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054BB" w14:textId="564DCEFB" w:rsidR="00662247" w:rsidRPr="007F43F9" w:rsidRDefault="00376D9C" w:rsidP="00184941">
      <w:pPr>
        <w:spacing w:line="300" w:lineRule="auto"/>
        <w:jc w:val="center"/>
        <w:rPr>
          <w:rFonts w:ascii="Calibri" w:hAnsi="Calibri" w:cs="Calibri"/>
          <w:b/>
          <w:sz w:val="44"/>
          <w:szCs w:val="36"/>
        </w:rPr>
      </w:pPr>
      <w:bookmarkStart w:id="0" w:name="_GoBack"/>
      <w:r w:rsidRPr="007F43F9">
        <w:rPr>
          <w:rFonts w:ascii="Calibri" w:hAnsi="Calibri" w:cs="Calibri"/>
          <w:b/>
          <w:sz w:val="44"/>
          <w:szCs w:val="36"/>
        </w:rPr>
        <w:t xml:space="preserve"> </w:t>
      </w:r>
      <w:r w:rsidR="00A10740" w:rsidRPr="007F43F9">
        <w:rPr>
          <w:rFonts w:ascii="Calibri" w:hAnsi="Calibri" w:cs="Calibri"/>
          <w:b/>
          <w:sz w:val="44"/>
          <w:szCs w:val="36"/>
        </w:rPr>
        <w:t xml:space="preserve"> </w:t>
      </w:r>
      <w:r w:rsidR="005E7E6D" w:rsidRPr="007F43F9">
        <w:rPr>
          <w:rFonts w:ascii="Calibri" w:hAnsi="Calibri" w:cs="Calibri"/>
          <w:b/>
          <w:sz w:val="44"/>
          <w:szCs w:val="36"/>
        </w:rPr>
        <w:t xml:space="preserve">The </w:t>
      </w:r>
      <w:r w:rsidR="00036E75" w:rsidRPr="007F43F9">
        <w:rPr>
          <w:rFonts w:ascii="Calibri" w:hAnsi="Calibri" w:cs="Calibri"/>
          <w:b/>
          <w:sz w:val="44"/>
          <w:szCs w:val="36"/>
        </w:rPr>
        <w:t>Dynamics of ‘Civilised’ Sovereignty: Colonial Frontiers and Performative D</w:t>
      </w:r>
      <w:r w:rsidR="00184941" w:rsidRPr="007F43F9">
        <w:rPr>
          <w:rFonts w:ascii="Calibri" w:hAnsi="Calibri" w:cs="Calibri"/>
          <w:b/>
          <w:sz w:val="44"/>
          <w:szCs w:val="36"/>
        </w:rPr>
        <w:t xml:space="preserve">iscourses of </w:t>
      </w:r>
      <w:r w:rsidR="00036E75" w:rsidRPr="007F43F9">
        <w:rPr>
          <w:rFonts w:ascii="Calibri" w:hAnsi="Calibri" w:cs="Calibri"/>
          <w:b/>
          <w:sz w:val="44"/>
          <w:szCs w:val="36"/>
        </w:rPr>
        <w:t>C</w:t>
      </w:r>
      <w:r w:rsidR="00184941" w:rsidRPr="007F43F9">
        <w:rPr>
          <w:rFonts w:ascii="Calibri" w:hAnsi="Calibri" w:cs="Calibri"/>
          <w:b/>
          <w:sz w:val="44"/>
          <w:szCs w:val="36"/>
        </w:rPr>
        <w:t xml:space="preserve">ivilisation and </w:t>
      </w:r>
      <w:r w:rsidR="00036E75" w:rsidRPr="007F43F9">
        <w:rPr>
          <w:rFonts w:ascii="Calibri" w:hAnsi="Calibri" w:cs="Calibri"/>
          <w:b/>
          <w:sz w:val="44"/>
          <w:szCs w:val="36"/>
        </w:rPr>
        <w:t>S</w:t>
      </w:r>
      <w:r w:rsidR="00184941" w:rsidRPr="007F43F9">
        <w:rPr>
          <w:rFonts w:ascii="Calibri" w:hAnsi="Calibri" w:cs="Calibri"/>
          <w:b/>
          <w:sz w:val="44"/>
          <w:szCs w:val="36"/>
        </w:rPr>
        <w:t>avagery</w:t>
      </w:r>
    </w:p>
    <w:p w14:paraId="59DF3910" w14:textId="77777777" w:rsidR="00662247" w:rsidRPr="007F43F9" w:rsidRDefault="00662247" w:rsidP="005C1918">
      <w:pPr>
        <w:spacing w:line="300" w:lineRule="auto"/>
        <w:rPr>
          <w:rFonts w:ascii="Calibri" w:hAnsi="Calibri" w:cs="Calibri"/>
        </w:rPr>
      </w:pPr>
    </w:p>
    <w:p w14:paraId="2573CB52" w14:textId="77777777" w:rsidR="00953B71" w:rsidRPr="007F43F9" w:rsidRDefault="00953B71" w:rsidP="005C1918">
      <w:pPr>
        <w:spacing w:line="300" w:lineRule="auto"/>
        <w:rPr>
          <w:rFonts w:ascii="Calibri" w:hAnsi="Calibri" w:cs="Calibri"/>
        </w:rPr>
      </w:pPr>
    </w:p>
    <w:p w14:paraId="5535E8B8" w14:textId="77777777" w:rsidR="00BD4FCA" w:rsidRPr="007F43F9" w:rsidRDefault="00BD4FCA" w:rsidP="005C1918">
      <w:pPr>
        <w:spacing w:line="300" w:lineRule="auto"/>
        <w:rPr>
          <w:rFonts w:ascii="Calibri" w:hAnsi="Calibri" w:cs="Calibri"/>
        </w:rPr>
      </w:pPr>
    </w:p>
    <w:p w14:paraId="102DB789" w14:textId="77777777" w:rsidR="00BD4FCA" w:rsidRPr="007F43F9" w:rsidRDefault="00BD4FCA" w:rsidP="005C1918">
      <w:pPr>
        <w:spacing w:line="300" w:lineRule="auto"/>
        <w:rPr>
          <w:rFonts w:cstheme="minorHAnsi"/>
          <w:lang w:val="en-US"/>
        </w:rPr>
      </w:pPr>
    </w:p>
    <w:p w14:paraId="31DE21F9" w14:textId="77777777" w:rsidR="007D3A9C" w:rsidRPr="007F43F9" w:rsidRDefault="007D3A9C" w:rsidP="005C1918">
      <w:pPr>
        <w:spacing w:line="300" w:lineRule="auto"/>
        <w:rPr>
          <w:rFonts w:ascii="Calibri" w:hAnsi="Calibri" w:cs="Calibri"/>
          <w:lang w:val="en-US"/>
        </w:rPr>
      </w:pPr>
    </w:p>
    <w:p w14:paraId="0E1CB37C" w14:textId="77777777" w:rsidR="00312F46" w:rsidRPr="007F43F9" w:rsidRDefault="00312F46" w:rsidP="005C1918">
      <w:pPr>
        <w:spacing w:line="300" w:lineRule="auto"/>
        <w:jc w:val="both"/>
        <w:rPr>
          <w:rFonts w:ascii="Calibri" w:hAnsi="Calibri"/>
          <w:lang w:val="en-US"/>
        </w:rPr>
      </w:pPr>
    </w:p>
    <w:p w14:paraId="3373732E" w14:textId="77777777" w:rsidR="00C94ED9" w:rsidRPr="007F43F9" w:rsidRDefault="00C94ED9" w:rsidP="005C1918">
      <w:pPr>
        <w:spacing w:line="300" w:lineRule="auto"/>
        <w:rPr>
          <w:lang w:val="en-US"/>
        </w:rPr>
      </w:pPr>
    </w:p>
    <w:p w14:paraId="2B0274C7" w14:textId="77777777" w:rsidR="007A3C34" w:rsidRPr="007F43F9" w:rsidRDefault="007A3C34" w:rsidP="005C1918">
      <w:pPr>
        <w:spacing w:line="300" w:lineRule="auto"/>
        <w:rPr>
          <w:lang w:val="en-US"/>
        </w:rPr>
      </w:pPr>
    </w:p>
    <w:p w14:paraId="2307B722" w14:textId="77777777" w:rsidR="00820125" w:rsidRPr="007F43F9" w:rsidRDefault="00820125" w:rsidP="005C1918">
      <w:pPr>
        <w:spacing w:line="300" w:lineRule="auto"/>
        <w:rPr>
          <w:lang w:val="en-US"/>
        </w:rPr>
      </w:pPr>
    </w:p>
    <w:p w14:paraId="7A096B04" w14:textId="77777777" w:rsidR="00820125" w:rsidRPr="007F43F9" w:rsidRDefault="00820125" w:rsidP="005C1918">
      <w:pPr>
        <w:spacing w:line="300" w:lineRule="auto"/>
        <w:rPr>
          <w:lang w:val="en-US"/>
        </w:rPr>
      </w:pPr>
    </w:p>
    <w:p w14:paraId="1846BE74" w14:textId="77777777" w:rsidR="007A3C34" w:rsidRPr="007F43F9" w:rsidRDefault="007A3C34" w:rsidP="005C1918">
      <w:pPr>
        <w:spacing w:line="300" w:lineRule="auto"/>
        <w:rPr>
          <w:lang w:val="en-US"/>
        </w:rPr>
      </w:pPr>
    </w:p>
    <w:p w14:paraId="18D54BA9" w14:textId="77777777" w:rsidR="00782013" w:rsidRPr="007F43F9" w:rsidRDefault="006B2D0D" w:rsidP="005C1918">
      <w:pPr>
        <w:spacing w:line="300" w:lineRule="auto"/>
        <w:rPr>
          <w:b/>
          <w:bCs/>
          <w:sz w:val="28"/>
          <w:szCs w:val="28"/>
        </w:rPr>
      </w:pPr>
      <w:r w:rsidRPr="007F43F9">
        <w:rPr>
          <w:b/>
          <w:bCs/>
          <w:sz w:val="28"/>
          <w:szCs w:val="28"/>
        </w:rPr>
        <w:t>Introduction</w:t>
      </w:r>
    </w:p>
    <w:p w14:paraId="2903D35E" w14:textId="77777777" w:rsidR="00D82060" w:rsidRPr="007F43F9" w:rsidRDefault="00D82060" w:rsidP="005C1918">
      <w:pPr>
        <w:spacing w:line="300" w:lineRule="auto"/>
      </w:pPr>
    </w:p>
    <w:p w14:paraId="5848F929" w14:textId="77777777" w:rsidR="00F34173" w:rsidRPr="007F43F9" w:rsidRDefault="00F34173" w:rsidP="005C1918">
      <w:pPr>
        <w:spacing w:line="300" w:lineRule="auto"/>
        <w:ind w:firstLine="720"/>
        <w:jc w:val="both"/>
      </w:pPr>
    </w:p>
    <w:p w14:paraId="2126707C" w14:textId="035ABF64" w:rsidR="00F51911" w:rsidRPr="007F43F9" w:rsidRDefault="00E7455E" w:rsidP="007E2983">
      <w:pPr>
        <w:spacing w:line="300" w:lineRule="auto"/>
        <w:jc w:val="both"/>
      </w:pPr>
      <w:r w:rsidRPr="007F43F9">
        <w:t xml:space="preserve">Once seen as the cornerstone of mainstream International Relations (IR), the concept of sovereignty has recently been re-appropriated by critical and post-colonial scholars. Instead of embracing the idea of sovereignty as unquestionable and universal, these scholars have </w:t>
      </w:r>
      <w:r w:rsidR="00181771" w:rsidRPr="007F43F9">
        <w:t>enquired into</w:t>
      </w:r>
      <w:r w:rsidR="00A873F3" w:rsidRPr="007F43F9">
        <w:t xml:space="preserve"> </w:t>
      </w:r>
      <w:r w:rsidRPr="007F43F9">
        <w:t xml:space="preserve">the origin(s) and cultural specificity of the concept </w:t>
      </w:r>
      <w:r w:rsidR="00A873F3" w:rsidRPr="007F43F9">
        <w:t xml:space="preserve">as </w:t>
      </w:r>
      <w:r w:rsidR="00141053" w:rsidRPr="007F43F9">
        <w:t xml:space="preserve">currently </w:t>
      </w:r>
      <w:r w:rsidRPr="007F43F9">
        <w:t xml:space="preserve">used by most </w:t>
      </w:r>
      <w:r w:rsidR="00141053" w:rsidRPr="007F43F9">
        <w:t>of the discipline</w:t>
      </w:r>
      <w:r w:rsidRPr="007F43F9">
        <w:t>.</w:t>
      </w:r>
      <w:r w:rsidR="00E54280" w:rsidRPr="007F43F9">
        <w:t xml:space="preserve"> </w:t>
      </w:r>
      <w:r w:rsidR="00B72594" w:rsidRPr="007F43F9">
        <w:t xml:space="preserve">Indeed, if sovereignty is to be accepted </w:t>
      </w:r>
      <w:r w:rsidR="00C7000C" w:rsidRPr="007F43F9">
        <w:t xml:space="preserve">as </w:t>
      </w:r>
      <w:r w:rsidR="00B72594" w:rsidRPr="007F43F9">
        <w:t xml:space="preserve">the </w:t>
      </w:r>
      <w:r w:rsidR="00C7000C" w:rsidRPr="007F43F9">
        <w:t>“final and absolute authority in the political community</w:t>
      </w:r>
      <w:r w:rsidR="00141053" w:rsidRPr="007F43F9">
        <w:t>,</w:t>
      </w:r>
      <w:r w:rsidR="00C7000C" w:rsidRPr="007F43F9">
        <w:t>”</w:t>
      </w:r>
      <w:r w:rsidR="00F51911" w:rsidRPr="007F43F9">
        <w:rPr>
          <w:rStyle w:val="EndnoteReference"/>
        </w:rPr>
        <w:endnoteReference w:id="1"/>
      </w:r>
      <w:r w:rsidR="00F51911" w:rsidRPr="007F43F9">
        <w:t xml:space="preserve"> post-colonial scholars have shown how this final and absolute authority – i.e. an authority that is worth respecting and that will ensure the independence of the entity concerned – has been associated with a cultural or </w:t>
      </w:r>
      <w:proofErr w:type="spellStart"/>
      <w:r w:rsidR="00F51911" w:rsidRPr="007F43F9">
        <w:t>civilisational</w:t>
      </w:r>
      <w:proofErr w:type="spellEnd"/>
      <w:r w:rsidR="00F51911" w:rsidRPr="007F43F9">
        <w:t xml:space="preserve"> framework defined by the West. The concept of sovereignty used in </w:t>
      </w:r>
      <w:r w:rsidR="00266E2C" w:rsidRPr="007F43F9">
        <w:t>international relations</w:t>
      </w:r>
      <w:r w:rsidR="00F51911" w:rsidRPr="007F43F9">
        <w:t xml:space="preserve"> thus celebrates an idealised Western model of statehood and society </w:t>
      </w:r>
      <w:r w:rsidR="005E65D2" w:rsidRPr="007F43F9">
        <w:t>(</w:t>
      </w:r>
      <w:r w:rsidR="00D71F92" w:rsidRPr="007F43F9">
        <w:t xml:space="preserve">and </w:t>
      </w:r>
      <w:r w:rsidR="00F51911" w:rsidRPr="007F43F9">
        <w:t>in turn</w:t>
      </w:r>
      <w:r w:rsidR="007C702A" w:rsidRPr="007F43F9">
        <w:t xml:space="preserve"> serves to erase</w:t>
      </w:r>
      <w:r w:rsidR="00F51911" w:rsidRPr="007F43F9">
        <w:t xml:space="preserve"> alternative sovereignties).</w:t>
      </w:r>
      <w:r w:rsidR="00F51911" w:rsidRPr="007F43F9">
        <w:rPr>
          <w:rStyle w:val="EndnoteReference"/>
        </w:rPr>
        <w:endnoteReference w:id="2"/>
      </w:r>
      <w:r w:rsidR="00F51911" w:rsidRPr="007F43F9">
        <w:t xml:space="preserve"> As </w:t>
      </w:r>
      <w:proofErr w:type="spellStart"/>
      <w:r w:rsidR="00F51911" w:rsidRPr="007F43F9">
        <w:t>Anghie</w:t>
      </w:r>
      <w:proofErr w:type="spellEnd"/>
      <w:r w:rsidR="00F51911" w:rsidRPr="007F43F9">
        <w:t xml:space="preserve"> argues, “sovereignty became identified with a specific set of cultural practices to the exclusion of others” and as such has been “aligned with European ideas of social order, political organization, progress and development”.</w:t>
      </w:r>
      <w:r w:rsidR="00F51911" w:rsidRPr="007F43F9">
        <w:rPr>
          <w:rStyle w:val="EndnoteReference"/>
        </w:rPr>
        <w:endnoteReference w:id="3"/>
      </w:r>
      <w:r w:rsidR="00F51911" w:rsidRPr="007F43F9">
        <w:t xml:space="preserve"> Such a cultural definition of sovereignty based on idealised Western values evolves through time yet one particular moment has attracted a vast amount of attention: the European encounter with the Amerindian populations of the ‘New World’ in the</w:t>
      </w:r>
      <w:r w:rsidR="00036E75" w:rsidRPr="007F43F9">
        <w:t xml:space="preserve"> sixteenth </w:t>
      </w:r>
      <w:r w:rsidR="00F51911" w:rsidRPr="007F43F9">
        <w:t xml:space="preserve">century. These populations were described as living in a ‘state of nature’ and in need of the ‘civilised’ teaching of more ‘advanced’ (and thus sovereign) nations. This specific </w:t>
      </w:r>
      <w:r w:rsidR="007C702A" w:rsidRPr="007F43F9">
        <w:t>rationale</w:t>
      </w:r>
      <w:r w:rsidR="00F51911" w:rsidRPr="007F43F9">
        <w:t xml:space="preserve"> has </w:t>
      </w:r>
      <w:r w:rsidR="007C702A" w:rsidRPr="007F43F9">
        <w:t>evolved yet it continues to inform the contemporary practice of sovereignty</w:t>
      </w:r>
      <w:r w:rsidR="00F51911" w:rsidRPr="007F43F9">
        <w:t>.</w:t>
      </w:r>
      <w:r w:rsidR="00F51911" w:rsidRPr="007F43F9">
        <w:rPr>
          <w:rStyle w:val="EndnoteReference"/>
        </w:rPr>
        <w:endnoteReference w:id="4"/>
      </w:r>
    </w:p>
    <w:p w14:paraId="70F4049A" w14:textId="77777777" w:rsidR="00682AAD" w:rsidRPr="007F43F9" w:rsidRDefault="00682AAD" w:rsidP="007E2983">
      <w:pPr>
        <w:spacing w:line="300" w:lineRule="auto"/>
        <w:jc w:val="both"/>
      </w:pPr>
    </w:p>
    <w:p w14:paraId="46918E31" w14:textId="77777777" w:rsidR="00DB2AB0" w:rsidRPr="007F43F9" w:rsidRDefault="00DB2AB0" w:rsidP="00060E29">
      <w:pPr>
        <w:spacing w:line="300" w:lineRule="auto"/>
        <w:jc w:val="both"/>
      </w:pPr>
    </w:p>
    <w:p w14:paraId="7E935023" w14:textId="6F5F4738" w:rsidR="00772D15" w:rsidRPr="007F43F9" w:rsidRDefault="00DB2AB0" w:rsidP="00772D15">
      <w:pPr>
        <w:spacing w:line="300" w:lineRule="auto"/>
        <w:jc w:val="both"/>
      </w:pPr>
      <w:r w:rsidRPr="007F43F9">
        <w:lastRenderedPageBreak/>
        <w:t xml:space="preserve">One aspect strongly emphasised by critical and post-colonial scholars is the impossibility of understanding sovereignty without looking at the colonial ideologies and practices </w:t>
      </w:r>
      <w:r w:rsidR="005E65D2" w:rsidRPr="007F43F9">
        <w:t>developed by</w:t>
      </w:r>
      <w:r w:rsidR="007C702A" w:rsidRPr="007F43F9">
        <w:t xml:space="preserve"> Western states</w:t>
      </w:r>
      <w:r w:rsidRPr="007F43F9">
        <w:t xml:space="preserve">. </w:t>
      </w:r>
      <w:r w:rsidR="00682AAD" w:rsidRPr="007F43F9">
        <w:t>Yet despite the recognition that the process</w:t>
      </w:r>
      <w:r w:rsidR="007C702A" w:rsidRPr="007F43F9">
        <w:t>es</w:t>
      </w:r>
      <w:r w:rsidR="00682AAD" w:rsidRPr="007F43F9">
        <w:t xml:space="preserve"> of ‘domestically’</w:t>
      </w:r>
      <w:r w:rsidR="007C702A" w:rsidRPr="007F43F9">
        <w:t xml:space="preserve"> and ‘internationally’</w:t>
      </w:r>
      <w:r w:rsidR="00682AAD" w:rsidRPr="007F43F9">
        <w:t xml:space="preserve"> claiming sovereignty </w:t>
      </w:r>
      <w:r w:rsidR="007C702A" w:rsidRPr="007F43F9">
        <w:t>are</w:t>
      </w:r>
      <w:r w:rsidR="00682AAD" w:rsidRPr="007F43F9">
        <w:t xml:space="preserve"> interlinked,</w:t>
      </w:r>
      <w:r w:rsidR="00682AAD" w:rsidRPr="007F43F9">
        <w:rPr>
          <w:rStyle w:val="EndnoteReference"/>
        </w:rPr>
        <w:endnoteReference w:id="5"/>
      </w:r>
      <w:r w:rsidR="00682AAD" w:rsidRPr="007F43F9">
        <w:t xml:space="preserve"> a</w:t>
      </w:r>
      <w:r w:rsidR="002E3D97" w:rsidRPr="007F43F9">
        <w:t xml:space="preserve"> detailed</w:t>
      </w:r>
      <w:r w:rsidR="00682AAD" w:rsidRPr="007F43F9">
        <w:t xml:space="preserve"> analysis </w:t>
      </w:r>
      <w:r w:rsidR="006D6B11" w:rsidRPr="007F43F9">
        <w:t xml:space="preserve">of how </w:t>
      </w:r>
      <w:r w:rsidR="00682AAD" w:rsidRPr="007F43F9">
        <w:t xml:space="preserve">this interconnection functions </w:t>
      </w:r>
      <w:r w:rsidR="008A0517" w:rsidRPr="007F43F9">
        <w:t xml:space="preserve">when sovereignty is </w:t>
      </w:r>
      <w:r w:rsidR="00AD6B2B" w:rsidRPr="007F43F9">
        <w:t>constructed</w:t>
      </w:r>
      <w:r w:rsidR="008A0517" w:rsidRPr="007F43F9">
        <w:t xml:space="preserve"> </w:t>
      </w:r>
      <w:r w:rsidR="00445E0E" w:rsidRPr="007F43F9">
        <w:t xml:space="preserve">or contested </w:t>
      </w:r>
      <w:r w:rsidR="00682AAD" w:rsidRPr="007F43F9">
        <w:t xml:space="preserve">is still lacking. The </w:t>
      </w:r>
      <w:r w:rsidR="00AD6B2B" w:rsidRPr="007F43F9">
        <w:t>colonial claims to sovereignty made by Western states</w:t>
      </w:r>
      <w:r w:rsidR="00682AAD" w:rsidRPr="007F43F9">
        <w:t xml:space="preserve"> are </w:t>
      </w:r>
      <w:r w:rsidR="005E12DD" w:rsidRPr="007F43F9">
        <w:t xml:space="preserve">now regularly included or mentioned in </w:t>
      </w:r>
      <w:r w:rsidR="008071DF" w:rsidRPr="007F43F9">
        <w:t xml:space="preserve">critical </w:t>
      </w:r>
      <w:r w:rsidR="005E12DD" w:rsidRPr="007F43F9">
        <w:t>studies of sovereignty</w:t>
      </w:r>
      <w:r w:rsidR="00AD6B2B" w:rsidRPr="007F43F9">
        <w:t xml:space="preserve"> as an intrinsic part of the history of the concept</w:t>
      </w:r>
      <w:r w:rsidR="00772D15" w:rsidRPr="007F43F9">
        <w:rPr>
          <w:rStyle w:val="EndnoteReference"/>
        </w:rPr>
        <w:endnoteReference w:id="6"/>
      </w:r>
      <w:r w:rsidR="00772D15" w:rsidRPr="007F43F9">
        <w:rPr>
          <w:i/>
        </w:rPr>
        <w:t xml:space="preserve"> </w:t>
      </w:r>
      <w:r w:rsidR="00D62F0F" w:rsidRPr="007F43F9">
        <w:t>but</w:t>
      </w:r>
      <w:r w:rsidR="005E12DD" w:rsidRPr="007F43F9">
        <w:t xml:space="preserve"> the</w:t>
      </w:r>
      <w:r w:rsidR="00AD6B2B" w:rsidRPr="007F43F9">
        <w:t xml:space="preserve"> domestic and colonial spheres </w:t>
      </w:r>
      <w:r w:rsidR="005E12DD" w:rsidRPr="007F43F9">
        <w:t xml:space="preserve">remain analysed </w:t>
      </w:r>
      <w:r w:rsidR="00682AAD" w:rsidRPr="007F43F9">
        <w:t>separately</w:t>
      </w:r>
      <w:r w:rsidR="00EF789F" w:rsidRPr="007F43F9">
        <w:t xml:space="preserve"> </w:t>
      </w:r>
      <w:r w:rsidR="00266E2C" w:rsidRPr="007F43F9">
        <w:t xml:space="preserve">with a primary focus </w:t>
      </w:r>
      <w:r w:rsidR="00EF789F" w:rsidRPr="007F43F9">
        <w:t xml:space="preserve">on the external colonial encounter. This is intriguing as critical scholars have </w:t>
      </w:r>
      <w:r w:rsidR="00CF3DCA" w:rsidRPr="007F43F9">
        <w:t>revealed</w:t>
      </w:r>
      <w:r w:rsidR="00F233D4" w:rsidRPr="007F43F9">
        <w:t xml:space="preserve"> two crucial aspects </w:t>
      </w:r>
      <w:r w:rsidR="00CF3DCA" w:rsidRPr="007F43F9">
        <w:t xml:space="preserve">about </w:t>
      </w:r>
      <w:r w:rsidR="00F233D4" w:rsidRPr="007F43F9">
        <w:t xml:space="preserve">the construction of sovereignty: first, that there </w:t>
      </w:r>
      <w:r w:rsidR="00986391" w:rsidRPr="007F43F9">
        <w:t>are</w:t>
      </w:r>
      <w:r w:rsidR="00F233D4" w:rsidRPr="007F43F9">
        <w:t xml:space="preserve"> strong</w:t>
      </w:r>
      <w:r w:rsidR="00EF789F" w:rsidRPr="007F43F9">
        <w:t xml:space="preserve"> similarities between the domestic and international claims to sovereignty (such as the ‘presence’ of savage </w:t>
      </w:r>
      <w:proofErr w:type="gramStart"/>
      <w:r w:rsidR="00EF789F" w:rsidRPr="007F43F9">
        <w:t>Others</w:t>
      </w:r>
      <w:proofErr w:type="gramEnd"/>
      <w:r w:rsidR="00EF789F" w:rsidRPr="007F43F9">
        <w:t xml:space="preserve"> in both spheres)</w:t>
      </w:r>
      <w:r w:rsidR="00F233D4" w:rsidRPr="007F43F9">
        <w:t>.</w:t>
      </w:r>
      <w:r w:rsidR="00F233D4" w:rsidRPr="007F43F9">
        <w:rPr>
          <w:rStyle w:val="EndnoteReference"/>
        </w:rPr>
        <w:endnoteReference w:id="7"/>
      </w:r>
      <w:r w:rsidR="00F233D4" w:rsidRPr="007F43F9">
        <w:t xml:space="preserve"> </w:t>
      </w:r>
      <w:r w:rsidR="00D62F0F" w:rsidRPr="007F43F9">
        <w:t xml:space="preserve">‘Colonial’ encounters indeed happened both domestically and internationally and were essential in the process of building sovereignty. </w:t>
      </w:r>
      <w:r w:rsidR="00F233D4" w:rsidRPr="007F43F9">
        <w:t xml:space="preserve">Potential synergies are therefore to be expected and could shed light on the conditions </w:t>
      </w:r>
      <w:r w:rsidR="008D4C1E" w:rsidRPr="007F43F9">
        <w:t xml:space="preserve">required </w:t>
      </w:r>
      <w:r w:rsidR="00F233D4" w:rsidRPr="007F43F9">
        <w:t>for successful</w:t>
      </w:r>
      <w:r w:rsidR="003343FA" w:rsidRPr="007F43F9">
        <w:t>ly</w:t>
      </w:r>
      <w:r w:rsidR="00F233D4" w:rsidRPr="007F43F9">
        <w:t xml:space="preserve"> claiming sovereignty. In addition, critical scholars have </w:t>
      </w:r>
      <w:r w:rsidR="00EF789F" w:rsidRPr="007F43F9">
        <w:t>argue</w:t>
      </w:r>
      <w:r w:rsidR="00F233D4" w:rsidRPr="007F43F9">
        <w:t>d</w:t>
      </w:r>
      <w:r w:rsidR="00EF789F" w:rsidRPr="007F43F9">
        <w:t xml:space="preserve"> that sovereignty transcends the domestic/international binary</w:t>
      </w:r>
      <w:r w:rsidR="00F233D4" w:rsidRPr="007F43F9">
        <w:t xml:space="preserve"> and “forms the crucial link between anarchy and hierarchy”.</w:t>
      </w:r>
      <w:r w:rsidR="00D11A40" w:rsidRPr="007F43F9">
        <w:rPr>
          <w:rStyle w:val="EndnoteReference"/>
        </w:rPr>
        <w:endnoteReference w:id="8"/>
      </w:r>
      <w:r w:rsidR="00EF789F" w:rsidRPr="007F43F9">
        <w:t xml:space="preserve"> </w:t>
      </w:r>
      <w:r w:rsidR="009B1655" w:rsidRPr="007F43F9">
        <w:t>Studying the interaction</w:t>
      </w:r>
      <w:r w:rsidR="00437D11" w:rsidRPr="007F43F9">
        <w:t>, connection and interplay</w:t>
      </w:r>
      <w:r w:rsidR="009B1655" w:rsidRPr="007F43F9">
        <w:t xml:space="preserve"> </w:t>
      </w:r>
      <w:r w:rsidR="00F233D4" w:rsidRPr="007F43F9">
        <w:t xml:space="preserve">between the domestic and international </w:t>
      </w:r>
      <w:r w:rsidR="008D4C1E" w:rsidRPr="007F43F9">
        <w:t xml:space="preserve">colonial encounters </w:t>
      </w:r>
      <w:r w:rsidR="00D90B58" w:rsidRPr="007F43F9">
        <w:t xml:space="preserve">is </w:t>
      </w:r>
      <w:r w:rsidR="00EF789F" w:rsidRPr="007F43F9">
        <w:t xml:space="preserve">thus </w:t>
      </w:r>
      <w:r w:rsidR="00D90B58" w:rsidRPr="007F43F9">
        <w:t xml:space="preserve">essential </w:t>
      </w:r>
      <w:r w:rsidR="00EF789F" w:rsidRPr="007F43F9">
        <w:t>if we are</w:t>
      </w:r>
      <w:r w:rsidR="00D90B58" w:rsidRPr="007F43F9">
        <w:t xml:space="preserve"> to </w:t>
      </w:r>
      <w:r w:rsidR="00EF789F" w:rsidRPr="007F43F9">
        <w:t>reveal a fuller picture</w:t>
      </w:r>
      <w:r w:rsidR="00C2674E" w:rsidRPr="007F43F9">
        <w:t xml:space="preserve"> of ‘civilised</w:t>
      </w:r>
      <w:r w:rsidR="008D4C1E" w:rsidRPr="007F43F9">
        <w:t>’</w:t>
      </w:r>
      <w:r w:rsidR="00C2674E" w:rsidRPr="007F43F9">
        <w:t xml:space="preserve"> sovereignty.</w:t>
      </w:r>
    </w:p>
    <w:p w14:paraId="535F9405" w14:textId="77777777" w:rsidR="003903B2" w:rsidRPr="007F43F9" w:rsidRDefault="003903B2" w:rsidP="00772D15">
      <w:pPr>
        <w:spacing w:line="300" w:lineRule="auto"/>
        <w:jc w:val="both"/>
      </w:pPr>
    </w:p>
    <w:p w14:paraId="79ACE07B" w14:textId="77777777" w:rsidR="008818D1" w:rsidRPr="007F43F9" w:rsidRDefault="008818D1" w:rsidP="00060E29">
      <w:pPr>
        <w:spacing w:line="300" w:lineRule="auto"/>
        <w:jc w:val="both"/>
      </w:pPr>
    </w:p>
    <w:p w14:paraId="68FBDD25" w14:textId="4CBBBC6A" w:rsidR="00271E7D" w:rsidRPr="007F43F9" w:rsidRDefault="008818D1" w:rsidP="00D575E7">
      <w:pPr>
        <w:spacing w:line="300" w:lineRule="auto"/>
        <w:jc w:val="both"/>
      </w:pPr>
      <w:r w:rsidRPr="007F43F9">
        <w:t xml:space="preserve">In this article, I </w:t>
      </w:r>
      <w:r w:rsidR="000E15E3" w:rsidRPr="007F43F9">
        <w:t xml:space="preserve">explore what we learn when we consider together the two processes of </w:t>
      </w:r>
      <w:r w:rsidR="004E422D" w:rsidRPr="007F43F9">
        <w:t>constructing</w:t>
      </w:r>
      <w:r w:rsidR="000E15E3" w:rsidRPr="007F43F9">
        <w:t xml:space="preserve"> sovereignty ‘internally’ and ‘externally’.</w:t>
      </w:r>
      <w:r w:rsidR="008362D0" w:rsidRPr="007F43F9">
        <w:t xml:space="preserve"> I analyse the two spheres conjointly</w:t>
      </w:r>
      <w:r w:rsidR="001A5FEC" w:rsidRPr="007F43F9">
        <w:t xml:space="preserve"> </w:t>
      </w:r>
      <w:r w:rsidR="00772D15" w:rsidRPr="007F43F9">
        <w:t>in order to be able to answer new questions: How are the ‘internal’ and ‘external’ processes connected and how do they interact? How</w:t>
      </w:r>
      <w:r w:rsidR="00AB5E5E" w:rsidRPr="007F43F9">
        <w:t xml:space="preserve"> are these</w:t>
      </w:r>
      <w:r w:rsidR="00350950" w:rsidRPr="007F43F9">
        <w:t xml:space="preserve"> two</w:t>
      </w:r>
      <w:r w:rsidR="00AB5E5E" w:rsidRPr="007F43F9">
        <w:t xml:space="preserve"> processes used by political actors and do they play a role in </w:t>
      </w:r>
      <w:r w:rsidR="00826944" w:rsidRPr="007F43F9">
        <w:t xml:space="preserve">managing </w:t>
      </w:r>
      <w:r w:rsidR="002269A9" w:rsidRPr="007F43F9">
        <w:t xml:space="preserve">the inherent ambiguities that accompany </w:t>
      </w:r>
      <w:r w:rsidR="001A5FEC" w:rsidRPr="007F43F9">
        <w:t>the performance of</w:t>
      </w:r>
      <w:r w:rsidR="002269A9" w:rsidRPr="007F43F9">
        <w:t xml:space="preserve"> sovereignty</w:t>
      </w:r>
      <w:r w:rsidR="00772D15" w:rsidRPr="007F43F9">
        <w:t>?</w:t>
      </w:r>
      <w:r w:rsidR="008362D0" w:rsidRPr="007F43F9">
        <w:t xml:space="preserve"> </w:t>
      </w:r>
      <w:r w:rsidR="00F51911" w:rsidRPr="007F43F9">
        <w:t>This article offers an exploration</w:t>
      </w:r>
      <w:r w:rsidR="004E422D" w:rsidRPr="007F43F9">
        <w:t xml:space="preserve"> of these questions</w:t>
      </w:r>
      <w:r w:rsidR="00F51911" w:rsidRPr="007F43F9">
        <w:t xml:space="preserve"> through the example of France in the </w:t>
      </w:r>
      <w:r w:rsidR="006D6B11" w:rsidRPr="007F43F9">
        <w:t>16</w:t>
      </w:r>
      <w:r w:rsidR="006D6B11" w:rsidRPr="007F43F9">
        <w:rPr>
          <w:vertAlign w:val="superscript"/>
        </w:rPr>
        <w:t>th</w:t>
      </w:r>
      <w:r w:rsidR="006D6B11" w:rsidRPr="007F43F9">
        <w:t xml:space="preserve"> </w:t>
      </w:r>
      <w:r w:rsidR="00F51911" w:rsidRPr="007F43F9">
        <w:t xml:space="preserve">century. It </w:t>
      </w:r>
      <w:r w:rsidR="00F51911" w:rsidRPr="007F43F9">
        <w:rPr>
          <w:rStyle w:val="exldetailsdisplayval"/>
        </w:rPr>
        <w:t>shows</w:t>
      </w:r>
      <w:r w:rsidR="00271E7D" w:rsidRPr="007F43F9">
        <w:rPr>
          <w:rStyle w:val="exldetailsdisplayval"/>
        </w:rPr>
        <w:t>, first,</w:t>
      </w:r>
      <w:r w:rsidR="00F51911" w:rsidRPr="007F43F9">
        <w:rPr>
          <w:rStyle w:val="exldetailsdisplayval"/>
        </w:rPr>
        <w:t xml:space="preserve"> </w:t>
      </w:r>
      <w:r w:rsidR="006D6B11" w:rsidRPr="007F43F9">
        <w:rPr>
          <w:rStyle w:val="exldetailsdisplayval"/>
        </w:rPr>
        <w:t>that</w:t>
      </w:r>
      <w:r w:rsidR="00F51911" w:rsidRPr="007F43F9">
        <w:rPr>
          <w:rStyle w:val="exldetailsdisplayval"/>
        </w:rPr>
        <w:t xml:space="preserve"> sovereignty depends on unstable colonial frontiers, i.e. differentiations betwe</w:t>
      </w:r>
      <w:r w:rsidR="004A6841" w:rsidRPr="007F43F9">
        <w:rPr>
          <w:rStyle w:val="exldetailsdisplayval"/>
        </w:rPr>
        <w:t>en the civilised and the savage</w:t>
      </w:r>
      <w:r w:rsidR="006D6B11" w:rsidRPr="007F43F9">
        <w:rPr>
          <w:rStyle w:val="exldetailsdisplayval"/>
        </w:rPr>
        <w:t xml:space="preserve">, that are constantly </w:t>
      </w:r>
      <w:r w:rsidR="00271E7D" w:rsidRPr="007F43F9">
        <w:rPr>
          <w:rStyle w:val="exldetailsdisplayval"/>
        </w:rPr>
        <w:t xml:space="preserve">contested </w:t>
      </w:r>
      <w:r w:rsidR="006D6B11" w:rsidRPr="007F43F9">
        <w:rPr>
          <w:rStyle w:val="exldetailsdisplayval"/>
        </w:rPr>
        <w:t>and re-established. One of these frontiers</w:t>
      </w:r>
      <w:r w:rsidR="00F51911" w:rsidRPr="007F43F9">
        <w:rPr>
          <w:rFonts w:ascii="Calibri" w:hAnsi="Calibri"/>
        </w:rPr>
        <w:t xml:space="preserve"> is performed ‘inside’ the sovereign state and one between ‘it’ and its ‘outside’</w:t>
      </w:r>
      <w:r w:rsidR="00271E7D" w:rsidRPr="007F43F9">
        <w:rPr>
          <w:rFonts w:ascii="Calibri" w:hAnsi="Calibri"/>
        </w:rPr>
        <w:t xml:space="preserve"> </w:t>
      </w:r>
      <w:proofErr w:type="gramStart"/>
      <w:r w:rsidR="00271E7D" w:rsidRPr="007F43F9">
        <w:rPr>
          <w:rFonts w:ascii="Calibri" w:hAnsi="Calibri"/>
        </w:rPr>
        <w:t>Others</w:t>
      </w:r>
      <w:proofErr w:type="gramEnd"/>
      <w:r w:rsidR="00F51911" w:rsidRPr="007F43F9">
        <w:rPr>
          <w:rFonts w:ascii="Calibri" w:hAnsi="Calibri"/>
        </w:rPr>
        <w:t>.</w:t>
      </w:r>
      <w:r w:rsidR="00036E75" w:rsidRPr="007F43F9">
        <w:rPr>
          <w:rFonts w:ascii="Calibri" w:hAnsi="Calibri"/>
        </w:rPr>
        <w:t xml:space="preserve"> </w:t>
      </w:r>
      <w:r w:rsidR="00F51911" w:rsidRPr="007F43F9">
        <w:t>Thanks to th</w:t>
      </w:r>
      <w:r w:rsidR="00036E75" w:rsidRPr="007F43F9">
        <w:t xml:space="preserve">e </w:t>
      </w:r>
      <w:r w:rsidR="002C4BBF" w:rsidRPr="007F43F9">
        <w:t>combined</w:t>
      </w:r>
      <w:r w:rsidR="00036E75" w:rsidRPr="007F43F9">
        <w:t xml:space="preserve"> analysis of the ‘internal’ and ‘external’ colonial encounters</w:t>
      </w:r>
      <w:r w:rsidR="005B29F5" w:rsidRPr="007F43F9">
        <w:t>,</w:t>
      </w:r>
      <w:r w:rsidR="00F51911" w:rsidRPr="007F43F9">
        <w:t xml:space="preserve"> </w:t>
      </w:r>
      <w:r w:rsidR="005B29F5" w:rsidRPr="007F43F9">
        <w:t xml:space="preserve">establishing Western sovereignty </w:t>
      </w:r>
      <w:r w:rsidR="00F51911" w:rsidRPr="007F43F9">
        <w:t xml:space="preserve">is shown to be </w:t>
      </w:r>
      <w:r w:rsidR="008663D7" w:rsidRPr="007F43F9">
        <w:t xml:space="preserve">a </w:t>
      </w:r>
      <w:r w:rsidR="00F51911" w:rsidRPr="007F43F9">
        <w:t xml:space="preserve">fragile process </w:t>
      </w:r>
      <w:r w:rsidR="00094425" w:rsidRPr="007F43F9">
        <w:t xml:space="preserve">appealing to </w:t>
      </w:r>
      <w:r w:rsidR="005B29F5" w:rsidRPr="007F43F9">
        <w:t xml:space="preserve">one set of </w:t>
      </w:r>
      <w:r w:rsidR="00094425" w:rsidRPr="007F43F9">
        <w:t xml:space="preserve">conceptual constructs and </w:t>
      </w:r>
      <w:r w:rsidR="00F51911" w:rsidRPr="007F43F9">
        <w:t xml:space="preserve">designed to </w:t>
      </w:r>
      <w:r w:rsidR="00C62A62" w:rsidRPr="007F43F9">
        <w:t>place</w:t>
      </w:r>
      <w:r w:rsidR="00F51911" w:rsidRPr="007F43F9">
        <w:t xml:space="preserve"> savagery</w:t>
      </w:r>
      <w:r w:rsidR="00C62A62" w:rsidRPr="007F43F9">
        <w:t xml:space="preserve"> at the margins of</w:t>
      </w:r>
      <w:r w:rsidR="00F51911" w:rsidRPr="007F43F9">
        <w:t xml:space="preserve"> the sovereign state. </w:t>
      </w:r>
      <w:r w:rsidR="00271E7D" w:rsidRPr="007F43F9">
        <w:t xml:space="preserve">Second, the combined analysis of the two spheres </w:t>
      </w:r>
      <w:r w:rsidR="001E122C" w:rsidRPr="007F43F9">
        <w:t xml:space="preserve">highlights </w:t>
      </w:r>
      <w:r w:rsidR="0068211D" w:rsidRPr="007F43F9">
        <w:t xml:space="preserve">how </w:t>
      </w:r>
      <w:r w:rsidR="00C62A62" w:rsidRPr="007F43F9">
        <w:t xml:space="preserve">these </w:t>
      </w:r>
      <w:r w:rsidR="0068211D" w:rsidRPr="007F43F9">
        <w:t>colonial fron</w:t>
      </w:r>
      <w:r w:rsidR="00C96FD7" w:rsidRPr="007F43F9">
        <w:t>tiers reinforce one another and</w:t>
      </w:r>
      <w:r w:rsidR="00C62A62" w:rsidRPr="007F43F9">
        <w:t xml:space="preserve"> serve as </w:t>
      </w:r>
      <w:r w:rsidR="00C96FD7" w:rsidRPr="007F43F9">
        <w:t xml:space="preserve">objectified (and naturalised) </w:t>
      </w:r>
      <w:r w:rsidR="00C62A62" w:rsidRPr="007F43F9">
        <w:t>realities</w:t>
      </w:r>
      <w:r w:rsidR="00C96FD7" w:rsidRPr="007F43F9">
        <w:t xml:space="preserve"> pre-existing their performance by the sovereign</w:t>
      </w:r>
      <w:r w:rsidR="00350950" w:rsidRPr="007F43F9">
        <w:t xml:space="preserve"> voice</w:t>
      </w:r>
      <w:r w:rsidR="00C96FD7" w:rsidRPr="007F43F9">
        <w:t xml:space="preserve">. In other words, </w:t>
      </w:r>
      <w:r w:rsidR="00581088" w:rsidRPr="007F43F9">
        <w:t xml:space="preserve">the </w:t>
      </w:r>
      <w:r w:rsidR="00C62A62" w:rsidRPr="007F43F9">
        <w:t>savage identities</w:t>
      </w:r>
      <w:r w:rsidR="00581088" w:rsidRPr="007F43F9">
        <w:t xml:space="preserve"> developed in </w:t>
      </w:r>
      <w:r w:rsidR="00CF1CF7" w:rsidRPr="007F43F9">
        <w:t>the external colonial encounter</w:t>
      </w:r>
      <w:r w:rsidR="00581088" w:rsidRPr="007F43F9">
        <w:t xml:space="preserve"> become used as an objective basis </w:t>
      </w:r>
      <w:r w:rsidR="00FC4F0E" w:rsidRPr="007F43F9">
        <w:t>in the process of claiming sovereignty domestically</w:t>
      </w:r>
      <w:r w:rsidR="003F6F80" w:rsidRPr="007F43F9">
        <w:t>.</w:t>
      </w:r>
      <w:r w:rsidR="00581088" w:rsidRPr="007F43F9">
        <w:t xml:space="preserve"> The artificiality of the</w:t>
      </w:r>
      <w:r w:rsidR="00350950" w:rsidRPr="007F43F9">
        <w:t xml:space="preserve"> constitution of ‘civilised’ sovereignty</w:t>
      </w:r>
      <w:r w:rsidR="00581088" w:rsidRPr="007F43F9">
        <w:t xml:space="preserve"> </w:t>
      </w:r>
      <w:r w:rsidR="00371FF4" w:rsidRPr="007F43F9">
        <w:t xml:space="preserve">in the West </w:t>
      </w:r>
      <w:r w:rsidR="00581088" w:rsidRPr="007F43F9">
        <w:t>is thus hidden</w:t>
      </w:r>
      <w:r w:rsidR="00350950" w:rsidRPr="007F43F9">
        <w:t xml:space="preserve"> </w:t>
      </w:r>
      <w:r w:rsidR="00581088" w:rsidRPr="007F43F9">
        <w:t xml:space="preserve">behind the </w:t>
      </w:r>
      <w:r w:rsidR="00350950" w:rsidRPr="007F43F9">
        <w:t>appeal</w:t>
      </w:r>
      <w:r w:rsidR="00581088" w:rsidRPr="007F43F9">
        <w:t xml:space="preserve"> to </w:t>
      </w:r>
      <w:r w:rsidR="00CF1CF7" w:rsidRPr="007F43F9">
        <w:t xml:space="preserve">the </w:t>
      </w:r>
      <w:r w:rsidR="00581088" w:rsidRPr="007F43F9">
        <w:t xml:space="preserve">supposedly incontestable </w:t>
      </w:r>
      <w:r w:rsidR="004C7278" w:rsidRPr="007F43F9">
        <w:t xml:space="preserve">savage </w:t>
      </w:r>
      <w:r w:rsidR="00581088" w:rsidRPr="007F43F9">
        <w:t>identities</w:t>
      </w:r>
      <w:r w:rsidR="00B63757" w:rsidRPr="007F43F9">
        <w:t xml:space="preserve"> existing </w:t>
      </w:r>
      <w:r w:rsidR="004C7278" w:rsidRPr="007F43F9">
        <w:t>in the colonies</w:t>
      </w:r>
      <w:r w:rsidR="00E86D08" w:rsidRPr="007F43F9">
        <w:t>.</w:t>
      </w:r>
    </w:p>
    <w:p w14:paraId="5C09FFF8" w14:textId="77777777" w:rsidR="001E122C" w:rsidRPr="007F43F9" w:rsidRDefault="001E122C" w:rsidP="00D575E7">
      <w:pPr>
        <w:spacing w:line="300" w:lineRule="auto"/>
        <w:jc w:val="both"/>
        <w:rPr>
          <w:rFonts w:ascii="Calibri" w:hAnsi="Calibri"/>
        </w:rPr>
      </w:pPr>
    </w:p>
    <w:p w14:paraId="79BB8B52" w14:textId="77777777" w:rsidR="009860A6" w:rsidRPr="007F43F9" w:rsidRDefault="009860A6" w:rsidP="00D575E7">
      <w:pPr>
        <w:spacing w:line="300" w:lineRule="auto"/>
        <w:jc w:val="both"/>
        <w:rPr>
          <w:rFonts w:ascii="Calibri" w:hAnsi="Calibri"/>
        </w:rPr>
      </w:pPr>
    </w:p>
    <w:p w14:paraId="17119839" w14:textId="5393CF7C" w:rsidR="00D27218" w:rsidRPr="007F43F9" w:rsidRDefault="00F51911" w:rsidP="0074147F">
      <w:pPr>
        <w:spacing w:line="300" w:lineRule="auto"/>
        <w:jc w:val="both"/>
      </w:pPr>
      <w:r w:rsidRPr="007F43F9">
        <w:rPr>
          <w:bCs/>
        </w:rPr>
        <w:t xml:space="preserve">Through this exploration of civilised sovereignty this article confirms the arguments of post-colonial </w:t>
      </w:r>
      <w:r w:rsidR="003F41DE" w:rsidRPr="007F43F9">
        <w:rPr>
          <w:bCs/>
        </w:rPr>
        <w:t xml:space="preserve">and critical </w:t>
      </w:r>
      <w:r w:rsidRPr="007F43F9">
        <w:rPr>
          <w:bCs/>
        </w:rPr>
        <w:t xml:space="preserve">scholars while also making several contributions. It </w:t>
      </w:r>
      <w:r w:rsidRPr="007F43F9">
        <w:t xml:space="preserve">rebalances the focus of </w:t>
      </w:r>
      <w:r w:rsidR="003F41DE" w:rsidRPr="007F43F9">
        <w:t>these</w:t>
      </w:r>
      <w:r w:rsidRPr="007F43F9">
        <w:t xml:space="preserve"> analyses away from the ‘exceptional’, ‘radical’ and ‘savage’ encounter with the non-West and towards the day-to-day processes through which West</w:t>
      </w:r>
      <w:r w:rsidR="00CA1AD1" w:rsidRPr="007F43F9">
        <w:t>ern states build their</w:t>
      </w:r>
      <w:r w:rsidRPr="007F43F9">
        <w:t xml:space="preserve"> civilised and sovereign identity over both </w:t>
      </w:r>
      <w:r w:rsidR="00CA1AD1" w:rsidRPr="007F43F9">
        <w:t>their</w:t>
      </w:r>
      <w:r w:rsidRPr="007F43F9">
        <w:t xml:space="preserve"> domestic and the non-Western Others. In addition, and by combining the domestic and international processes through which sovereignty is claimed, I shed light on the way </w:t>
      </w:r>
      <w:r w:rsidR="00D42F02" w:rsidRPr="007F43F9">
        <w:t>these processes interact – and in particular how they come to provide an ‘objective’ and ‘natural’ basis for one another</w:t>
      </w:r>
      <w:r w:rsidR="00826944" w:rsidRPr="007F43F9">
        <w:t xml:space="preserve"> – </w:t>
      </w:r>
      <w:r w:rsidR="00A80F15" w:rsidRPr="007F43F9">
        <w:t xml:space="preserve">through a detailed analysis of primary sources about </w:t>
      </w:r>
      <w:r w:rsidR="00826944" w:rsidRPr="007F43F9">
        <w:t xml:space="preserve">the construction of sovereignty pre-1648. </w:t>
      </w:r>
      <w:r w:rsidRPr="007F43F9">
        <w:t xml:space="preserve">Finally, this article reveals the inescapable yet threatening reliance of sovereignty on the presence of the ‘savage’, i.e. the way discourses of sovereignty (re)create a savagery that they </w:t>
      </w:r>
      <w:r w:rsidR="00483139" w:rsidRPr="007F43F9">
        <w:t>contain</w:t>
      </w:r>
      <w:r w:rsidRPr="007F43F9">
        <w:t xml:space="preserve"> at the same time. The maintenance of Western sovereignty thus depends on a capacity to relegate to the (domestic and international) margins the ‘savage Others’ that are necessary to maintain the illusion of a civilised unity</w:t>
      </w:r>
      <w:r w:rsidRPr="007F43F9">
        <w:rPr>
          <w:bCs/>
        </w:rPr>
        <w:t>.</w:t>
      </w:r>
      <w:r w:rsidR="00531634" w:rsidRPr="007F43F9">
        <w:rPr>
          <w:bCs/>
        </w:rPr>
        <w:t xml:space="preserve"> </w:t>
      </w:r>
    </w:p>
    <w:p w14:paraId="19098CF7" w14:textId="77777777" w:rsidR="00D27218" w:rsidRPr="007F43F9" w:rsidRDefault="00D27218" w:rsidP="0074147F">
      <w:pPr>
        <w:spacing w:line="300" w:lineRule="auto"/>
        <w:jc w:val="both"/>
      </w:pPr>
    </w:p>
    <w:p w14:paraId="4536D959" w14:textId="77777777" w:rsidR="00064D3C" w:rsidRPr="007F43F9" w:rsidRDefault="00064D3C" w:rsidP="0074147F">
      <w:pPr>
        <w:spacing w:line="300" w:lineRule="auto"/>
        <w:jc w:val="both"/>
      </w:pPr>
    </w:p>
    <w:p w14:paraId="791AC62E" w14:textId="5C818EEE" w:rsidR="00F51911" w:rsidRPr="007F43F9" w:rsidRDefault="00F51911" w:rsidP="008051D4">
      <w:pPr>
        <w:spacing w:line="300" w:lineRule="auto"/>
        <w:jc w:val="both"/>
        <w:rPr>
          <w:bCs/>
        </w:rPr>
      </w:pPr>
      <w:r w:rsidRPr="007F43F9">
        <w:rPr>
          <w:bCs/>
        </w:rPr>
        <w:t xml:space="preserve">This article is divided into </w:t>
      </w:r>
      <w:r w:rsidR="00383D48" w:rsidRPr="007F43F9">
        <w:rPr>
          <w:bCs/>
        </w:rPr>
        <w:t>four</w:t>
      </w:r>
      <w:r w:rsidRPr="007F43F9">
        <w:rPr>
          <w:bCs/>
        </w:rPr>
        <w:t xml:space="preserve"> sections: first, I explain how post-colonial</w:t>
      </w:r>
      <w:r w:rsidR="00036E75" w:rsidRPr="007F43F9">
        <w:rPr>
          <w:bCs/>
        </w:rPr>
        <w:t xml:space="preserve"> and critical</w:t>
      </w:r>
      <w:r w:rsidRPr="007F43F9">
        <w:rPr>
          <w:bCs/>
        </w:rPr>
        <w:t xml:space="preserve"> scholars have </w:t>
      </w:r>
      <w:r w:rsidR="00036E75" w:rsidRPr="007F43F9">
        <w:rPr>
          <w:bCs/>
        </w:rPr>
        <w:t>challenged</w:t>
      </w:r>
      <w:r w:rsidRPr="007F43F9">
        <w:rPr>
          <w:bCs/>
        </w:rPr>
        <w:t xml:space="preserve"> our thinking</w:t>
      </w:r>
      <w:r w:rsidR="00FC49A7" w:rsidRPr="007F43F9">
        <w:rPr>
          <w:bCs/>
        </w:rPr>
        <w:t xml:space="preserve"> about</w:t>
      </w:r>
      <w:r w:rsidRPr="007F43F9">
        <w:rPr>
          <w:bCs/>
        </w:rPr>
        <w:t xml:space="preserve"> sovereignty (and </w:t>
      </w:r>
      <w:r w:rsidR="00036E75" w:rsidRPr="007F43F9">
        <w:rPr>
          <w:bCs/>
        </w:rPr>
        <w:t>in particular</w:t>
      </w:r>
      <w:r w:rsidRPr="007F43F9">
        <w:rPr>
          <w:bCs/>
        </w:rPr>
        <w:t xml:space="preserve"> about the universalised yet local notion of </w:t>
      </w:r>
      <w:r w:rsidR="00036E75" w:rsidRPr="007F43F9">
        <w:rPr>
          <w:bCs/>
        </w:rPr>
        <w:t>‘</w:t>
      </w:r>
      <w:r w:rsidRPr="007F43F9">
        <w:rPr>
          <w:bCs/>
        </w:rPr>
        <w:t>civilised sovereignty</w:t>
      </w:r>
      <w:r w:rsidR="00036E75" w:rsidRPr="007F43F9">
        <w:rPr>
          <w:bCs/>
        </w:rPr>
        <w:t>’</w:t>
      </w:r>
      <w:r w:rsidRPr="007F43F9">
        <w:rPr>
          <w:bCs/>
        </w:rPr>
        <w:t>)</w:t>
      </w:r>
      <w:r w:rsidR="00483139" w:rsidRPr="007F43F9">
        <w:rPr>
          <w:bCs/>
        </w:rPr>
        <w:t xml:space="preserve"> and how this article contributes to this literature</w:t>
      </w:r>
      <w:r w:rsidRPr="007F43F9">
        <w:rPr>
          <w:bCs/>
        </w:rPr>
        <w:t xml:space="preserve">. Section two </w:t>
      </w:r>
      <w:r w:rsidR="00383D48" w:rsidRPr="007F43F9">
        <w:rPr>
          <w:bCs/>
        </w:rPr>
        <w:t>focuses</w:t>
      </w:r>
      <w:r w:rsidRPr="007F43F9">
        <w:rPr>
          <w:bCs/>
        </w:rPr>
        <w:t xml:space="preserve"> on France in the 16</w:t>
      </w:r>
      <w:r w:rsidRPr="007F43F9">
        <w:rPr>
          <w:bCs/>
          <w:vertAlign w:val="superscript"/>
        </w:rPr>
        <w:t>th</w:t>
      </w:r>
      <w:r w:rsidRPr="007F43F9">
        <w:rPr>
          <w:bCs/>
        </w:rPr>
        <w:t xml:space="preserve"> century</w:t>
      </w:r>
      <w:r w:rsidR="00D65DA6" w:rsidRPr="007F43F9">
        <w:rPr>
          <w:bCs/>
        </w:rPr>
        <w:t>.</w:t>
      </w:r>
      <w:r w:rsidRPr="007F43F9">
        <w:rPr>
          <w:bCs/>
        </w:rPr>
        <w:t xml:space="preserve"> I analyse how the ‘civilised’ identity of France is </w:t>
      </w:r>
      <w:r w:rsidR="007F5BCF" w:rsidRPr="007F43F9">
        <w:rPr>
          <w:bCs/>
        </w:rPr>
        <w:t>destabilised</w:t>
      </w:r>
      <w:r w:rsidRPr="007F43F9">
        <w:rPr>
          <w:bCs/>
        </w:rPr>
        <w:t xml:space="preserve"> during a ‘crisis of sovereignty’ in France: the Catholic League’s rebellion against monarchical authority at the end of the </w:t>
      </w:r>
      <w:r w:rsidR="00483139" w:rsidRPr="007F43F9">
        <w:rPr>
          <w:bCs/>
        </w:rPr>
        <w:t>16</w:t>
      </w:r>
      <w:r w:rsidR="00483139" w:rsidRPr="007F43F9">
        <w:rPr>
          <w:bCs/>
          <w:vertAlign w:val="superscript"/>
        </w:rPr>
        <w:t>th</w:t>
      </w:r>
      <w:r w:rsidR="00483139" w:rsidRPr="007F43F9">
        <w:rPr>
          <w:bCs/>
        </w:rPr>
        <w:t xml:space="preserve"> </w:t>
      </w:r>
      <w:r w:rsidRPr="007F43F9">
        <w:rPr>
          <w:bCs/>
        </w:rPr>
        <w:t xml:space="preserve">century. In the third section I complement this analysis with contemporary French perceptions of the Canadian Amerindians (henceforth Amerindians). I deliberately juxtapose the domestic and international sides of the construction of civilised sovereignty in an attempt to disrupt the naturalised frontier between domestic/civilised on one side and external/savage on the other. This comparison enables me to identify </w:t>
      </w:r>
      <w:r w:rsidR="00383D48" w:rsidRPr="007F43F9">
        <w:rPr>
          <w:bCs/>
        </w:rPr>
        <w:t xml:space="preserve">(in a fourth section) </w:t>
      </w:r>
      <w:r w:rsidRPr="007F43F9">
        <w:rPr>
          <w:bCs/>
        </w:rPr>
        <w:t xml:space="preserve">how the two colonial frontiers enacted through the discourses of sovereignty </w:t>
      </w:r>
      <w:r w:rsidR="008C5051" w:rsidRPr="007F43F9">
        <w:rPr>
          <w:bCs/>
        </w:rPr>
        <w:t>interact with</w:t>
      </w:r>
      <w:r w:rsidR="00EB40B0" w:rsidRPr="007F43F9">
        <w:rPr>
          <w:bCs/>
        </w:rPr>
        <w:t xml:space="preserve"> one another in the re-establishment of </w:t>
      </w:r>
      <w:r w:rsidR="00D65DA6" w:rsidRPr="007F43F9">
        <w:rPr>
          <w:bCs/>
        </w:rPr>
        <w:t>‘civilised’ sovereignty domestically</w:t>
      </w:r>
      <w:r w:rsidR="00EB40B0" w:rsidRPr="007F43F9">
        <w:rPr>
          <w:bCs/>
        </w:rPr>
        <w:t>.</w:t>
      </w:r>
    </w:p>
    <w:p w14:paraId="4A17D53B" w14:textId="77777777" w:rsidR="00F51911" w:rsidRPr="007F43F9" w:rsidRDefault="00F51911" w:rsidP="004965D0">
      <w:pPr>
        <w:spacing w:line="300" w:lineRule="auto"/>
        <w:jc w:val="both"/>
        <w:rPr>
          <w:bCs/>
        </w:rPr>
      </w:pPr>
    </w:p>
    <w:p w14:paraId="6C9B57CA" w14:textId="77777777" w:rsidR="004A6841" w:rsidRPr="007F43F9" w:rsidRDefault="004A6841" w:rsidP="004965D0">
      <w:pPr>
        <w:spacing w:line="300" w:lineRule="auto"/>
        <w:jc w:val="both"/>
        <w:rPr>
          <w:bCs/>
        </w:rPr>
      </w:pPr>
    </w:p>
    <w:p w14:paraId="131D71F7" w14:textId="06E4C13D" w:rsidR="00F51911" w:rsidRPr="007F43F9" w:rsidRDefault="00F51911" w:rsidP="005C1918">
      <w:pPr>
        <w:spacing w:line="300" w:lineRule="auto"/>
        <w:jc w:val="both"/>
      </w:pPr>
      <w:r w:rsidRPr="007F43F9">
        <w:rPr>
          <w:bCs/>
        </w:rPr>
        <w:t xml:space="preserve">This article is based on </w:t>
      </w:r>
      <w:r w:rsidR="00036E75" w:rsidRPr="007F43F9">
        <w:rPr>
          <w:bCs/>
        </w:rPr>
        <w:t>sixteenth</w:t>
      </w:r>
      <w:r w:rsidR="00483139" w:rsidRPr="007F43F9">
        <w:rPr>
          <w:bCs/>
        </w:rPr>
        <w:t>-</w:t>
      </w:r>
      <w:r w:rsidRPr="007F43F9">
        <w:rPr>
          <w:bCs/>
        </w:rPr>
        <w:t xml:space="preserve">century French archival sources in order to explore the conceptual apparatus deployed in </w:t>
      </w:r>
      <w:r w:rsidR="00483139" w:rsidRPr="007F43F9">
        <w:rPr>
          <w:bCs/>
        </w:rPr>
        <w:t>discourses of sovereignty</w:t>
      </w:r>
      <w:r w:rsidRPr="007F43F9">
        <w:rPr>
          <w:bCs/>
        </w:rPr>
        <w:t xml:space="preserve">, i.e. how ideas were used and combined in </w:t>
      </w:r>
      <w:r w:rsidR="00483139" w:rsidRPr="007F43F9">
        <w:rPr>
          <w:bCs/>
        </w:rPr>
        <w:t>order to successfully perform the identity of the sovereign state</w:t>
      </w:r>
      <w:r w:rsidRPr="007F43F9">
        <w:rPr>
          <w:bCs/>
        </w:rPr>
        <w:t xml:space="preserve">. Situating this conceptual history in the </w:t>
      </w:r>
      <w:r w:rsidR="00483139" w:rsidRPr="007F43F9">
        <w:rPr>
          <w:bCs/>
        </w:rPr>
        <w:t>16</w:t>
      </w:r>
      <w:r w:rsidR="00483139" w:rsidRPr="007F43F9">
        <w:rPr>
          <w:bCs/>
          <w:vertAlign w:val="superscript"/>
        </w:rPr>
        <w:t>th</w:t>
      </w:r>
      <w:r w:rsidR="00483139" w:rsidRPr="007F43F9">
        <w:rPr>
          <w:bCs/>
        </w:rPr>
        <w:t xml:space="preserve"> </w:t>
      </w:r>
      <w:r w:rsidRPr="007F43F9">
        <w:rPr>
          <w:bCs/>
        </w:rPr>
        <w:t xml:space="preserve">century is justified for two reasons: first, this period marks the intensification of the centralisation of the sovereign power in the hands of the European kings. Secondly, it also witnessed the first European explorations of America and the beginning of modern colonialism. </w:t>
      </w:r>
      <w:r w:rsidRPr="007F43F9">
        <w:t>This period is therefore a vital litmus test both for the domestic and international construction of civilised sovereignty.</w:t>
      </w:r>
      <w:r w:rsidRPr="007F43F9">
        <w:rPr>
          <w:rStyle w:val="EndnoteReference"/>
        </w:rPr>
        <w:endnoteReference w:id="9"/>
      </w:r>
      <w:r w:rsidRPr="007F43F9">
        <w:t xml:space="preserve"> </w:t>
      </w:r>
      <w:r w:rsidR="00371FF4" w:rsidRPr="007F43F9">
        <w:t xml:space="preserve">This article, </w:t>
      </w:r>
      <w:r w:rsidRPr="007F43F9">
        <w:t xml:space="preserve">however, insists on the specificity of the case under study: instead of claiming universal validity, my ambition is limited to providing an historical example of the way sovereignty was linked to a </w:t>
      </w:r>
      <w:proofErr w:type="spellStart"/>
      <w:r w:rsidRPr="007F43F9">
        <w:t>civilisational</w:t>
      </w:r>
      <w:proofErr w:type="spellEnd"/>
      <w:r w:rsidRPr="007F43F9">
        <w:t xml:space="preserve"> discourse and relied on the creation of colonial frontiers. This article does not want to reduce the diversity of processes and actors </w:t>
      </w:r>
      <w:r w:rsidR="00BC451A" w:rsidRPr="007F43F9">
        <w:t>involved; i</w:t>
      </w:r>
      <w:r w:rsidR="00435570" w:rsidRPr="007F43F9">
        <w:t>n particular, other discursive constructions were at play in the performance of sovereignty</w:t>
      </w:r>
      <w:r w:rsidR="00D917AA" w:rsidRPr="007F43F9">
        <w:t xml:space="preserve"> and an exploration of civilisation/savagery does not cover every aspect of sovereignty</w:t>
      </w:r>
      <w:r w:rsidR="00435570" w:rsidRPr="007F43F9">
        <w:t xml:space="preserve">. This article therefore captures only one </w:t>
      </w:r>
      <w:r w:rsidR="00D917AA" w:rsidRPr="007F43F9">
        <w:t xml:space="preserve">(but a nevertheless important) </w:t>
      </w:r>
      <w:r w:rsidR="00435570" w:rsidRPr="007F43F9">
        <w:t>way through which sovereignty was articulated in this specific historical period and does not pretend</w:t>
      </w:r>
      <w:r w:rsidR="00D917AA" w:rsidRPr="007F43F9">
        <w:t xml:space="preserve"> to</w:t>
      </w:r>
      <w:r w:rsidR="00435570" w:rsidRPr="007F43F9">
        <w:t xml:space="preserve"> ‘explain’ how sovereignty emerged or was ‘created’</w:t>
      </w:r>
      <w:r w:rsidRPr="007F43F9">
        <w:t>.</w:t>
      </w:r>
      <w:r w:rsidR="00A67A0A" w:rsidRPr="007F43F9">
        <w:t xml:space="preserve"> In addition, bringing together an internal struggle for political power with a colonial claim to sovereignty (and highlighting some of their similarities) should not detract from the clear differences that exist between the actors involved in both cases. Compared to the distant savages, </w:t>
      </w:r>
      <w:proofErr w:type="spellStart"/>
      <w:r w:rsidR="00A67A0A" w:rsidRPr="007F43F9">
        <w:t>Otherised</w:t>
      </w:r>
      <w:proofErr w:type="spellEnd"/>
      <w:r w:rsidR="00A67A0A" w:rsidRPr="007F43F9">
        <w:t xml:space="preserve"> actors in the West remain relatively equal as they </w:t>
      </w:r>
      <w:r w:rsidR="009909AA" w:rsidRPr="007F43F9">
        <w:t>share</w:t>
      </w:r>
      <w:r w:rsidR="00A67A0A" w:rsidRPr="007F43F9">
        <w:t xml:space="preserve"> a civilised (yet </w:t>
      </w:r>
      <w:r w:rsidR="009909AA" w:rsidRPr="007F43F9">
        <w:t xml:space="preserve">for some </w:t>
      </w:r>
      <w:r w:rsidR="00A67A0A" w:rsidRPr="007F43F9">
        <w:t xml:space="preserve">degenerate) </w:t>
      </w:r>
      <w:r w:rsidR="00537637" w:rsidRPr="007F43F9">
        <w:t>status</w:t>
      </w:r>
      <w:r w:rsidR="00A67A0A" w:rsidRPr="007F43F9">
        <w:t>. The distant savage, on the contrary, is portrayed as essential</w:t>
      </w:r>
      <w:r w:rsidR="008A4D08" w:rsidRPr="007F43F9">
        <w:t>ly</w:t>
      </w:r>
      <w:r w:rsidR="00A67A0A" w:rsidRPr="007F43F9">
        <w:t xml:space="preserve"> deprived of civilisation. </w:t>
      </w:r>
      <w:r w:rsidR="0082467A" w:rsidRPr="007F43F9">
        <w:t>T</w:t>
      </w:r>
      <w:r w:rsidR="00A67A0A" w:rsidRPr="007F43F9">
        <w:t xml:space="preserve">he actors involved in these claims to sovereignty are </w:t>
      </w:r>
      <w:r w:rsidR="0082467A" w:rsidRPr="007F43F9">
        <w:t xml:space="preserve">thus neither </w:t>
      </w:r>
      <w:r w:rsidR="00A67A0A" w:rsidRPr="007F43F9">
        <w:t xml:space="preserve">identical </w:t>
      </w:r>
      <w:r w:rsidR="0082467A" w:rsidRPr="007F43F9">
        <w:t>n</w:t>
      </w:r>
      <w:r w:rsidR="00A67A0A" w:rsidRPr="007F43F9">
        <w:t>or equal. If sovereignty is claimed in both cases with performances of civilisation and savagery, it is the links made between these two spheres – rather than their similarity – that i</w:t>
      </w:r>
      <w:r w:rsidR="00537637" w:rsidRPr="007F43F9">
        <w:t xml:space="preserve">s </w:t>
      </w:r>
      <w:r w:rsidR="00A67A0A" w:rsidRPr="007F43F9">
        <w:t>at the centre of th</w:t>
      </w:r>
      <w:r w:rsidR="00537637" w:rsidRPr="007F43F9">
        <w:t>e analysis.</w:t>
      </w:r>
    </w:p>
    <w:p w14:paraId="7990BDE2" w14:textId="77777777" w:rsidR="004A6841" w:rsidRPr="007F43F9" w:rsidRDefault="004A6841" w:rsidP="005C1918">
      <w:pPr>
        <w:spacing w:line="300" w:lineRule="auto"/>
        <w:jc w:val="both"/>
      </w:pPr>
    </w:p>
    <w:p w14:paraId="498A61A0" w14:textId="77777777" w:rsidR="00F51911" w:rsidRPr="007F43F9" w:rsidRDefault="00F51911" w:rsidP="005C1918">
      <w:pPr>
        <w:spacing w:line="300" w:lineRule="auto"/>
        <w:jc w:val="both"/>
      </w:pPr>
    </w:p>
    <w:p w14:paraId="0C737BEB" w14:textId="4DD682FC" w:rsidR="00F51911" w:rsidRPr="007F43F9" w:rsidRDefault="00F51911" w:rsidP="005C1918">
      <w:pPr>
        <w:spacing w:line="300" w:lineRule="auto"/>
        <w:jc w:val="both"/>
      </w:pPr>
      <w:r w:rsidRPr="007F43F9">
        <w:t xml:space="preserve">To achieve the ambitions of this article and deconstruct such naturalised identities as ‘civilised’ and ‘savage’ I approach sovereignty discourses as ‘performative’. Performativity suggests that no state is ‘naturally’ </w:t>
      </w:r>
      <w:r w:rsidRPr="007F43F9">
        <w:rPr>
          <w:i/>
        </w:rPr>
        <w:t>there</w:t>
      </w:r>
      <w:r w:rsidRPr="007F43F9">
        <w:t xml:space="preserve"> outside of the sovereign discourses that create ‘it’. Hence, “no state possesses a </w:t>
      </w:r>
      <w:proofErr w:type="spellStart"/>
      <w:r w:rsidRPr="007F43F9">
        <w:t>prediscursive</w:t>
      </w:r>
      <w:proofErr w:type="spellEnd"/>
      <w:r w:rsidRPr="007F43F9">
        <w:t xml:space="preserve">, stable identity”, i.e. stable </w:t>
      </w:r>
      <w:r w:rsidRPr="007F43F9">
        <w:rPr>
          <w:i/>
        </w:rPr>
        <w:t>foundations</w:t>
      </w:r>
      <w:r w:rsidRPr="007F43F9">
        <w:t xml:space="preserve"> on which to ground a discourse.</w:t>
      </w:r>
      <w:r w:rsidRPr="007F43F9">
        <w:rPr>
          <w:rStyle w:val="EndnoteReference"/>
        </w:rPr>
        <w:endnoteReference w:id="10"/>
      </w:r>
      <w:r w:rsidRPr="007F43F9">
        <w:t xml:space="preserve"> In other words, discourses of sovereignty build both sovereignty and its foundation </w:t>
      </w:r>
      <w:r w:rsidR="009909AA" w:rsidRPr="007F43F9">
        <w:t>or identity</w:t>
      </w:r>
      <w:r w:rsidRPr="007F43F9">
        <w:t xml:space="preserve">. As Weber argued “the identity of the state is </w:t>
      </w:r>
      <w:proofErr w:type="spellStart"/>
      <w:r w:rsidRPr="007F43F9">
        <w:t>performatively</w:t>
      </w:r>
      <w:proofErr w:type="spellEnd"/>
      <w:r w:rsidRPr="007F43F9">
        <w:t xml:space="preserve"> constituted by the very expressions that are said to be its result”.</w:t>
      </w:r>
      <w:r w:rsidRPr="007F43F9">
        <w:rPr>
          <w:rStyle w:val="EndnoteReference"/>
        </w:rPr>
        <w:endnoteReference w:id="11"/>
      </w:r>
      <w:r w:rsidRPr="007F43F9">
        <w:t xml:space="preserve"> This understanding of the concept of sovereignty is particularly useful insofar as it enables me to interrogate the discursive construction of the </w:t>
      </w:r>
      <w:r w:rsidRPr="007F43F9">
        <w:rPr>
          <w:i/>
        </w:rPr>
        <w:t>foundations</w:t>
      </w:r>
      <w:r w:rsidRPr="007F43F9">
        <w:t xml:space="preserve"> of civilised sovereignty. As such, performativity offers the possibility of a radical deconstruction of the concept.</w:t>
      </w:r>
      <w:r w:rsidRPr="007F43F9">
        <w:rPr>
          <w:rStyle w:val="EndnoteReference"/>
        </w:rPr>
        <w:endnoteReference w:id="12"/>
      </w:r>
    </w:p>
    <w:p w14:paraId="598087C5" w14:textId="77777777" w:rsidR="00F51911" w:rsidRPr="007F43F9" w:rsidRDefault="00F51911" w:rsidP="00FD2A2A">
      <w:pPr>
        <w:spacing w:line="300" w:lineRule="auto"/>
        <w:jc w:val="both"/>
        <w:rPr>
          <w:highlight w:val="green"/>
        </w:rPr>
      </w:pPr>
    </w:p>
    <w:p w14:paraId="0ABC03CB" w14:textId="77777777" w:rsidR="00F51911" w:rsidRPr="007F43F9" w:rsidRDefault="00F51911" w:rsidP="005C1918">
      <w:pPr>
        <w:spacing w:line="300" w:lineRule="auto"/>
        <w:ind w:firstLine="720"/>
        <w:jc w:val="both"/>
      </w:pPr>
    </w:p>
    <w:p w14:paraId="014BA94D" w14:textId="77777777" w:rsidR="00F51911" w:rsidRPr="007F43F9" w:rsidRDefault="00F51911" w:rsidP="005C1918">
      <w:pPr>
        <w:spacing w:line="300" w:lineRule="auto"/>
        <w:ind w:firstLine="720"/>
        <w:jc w:val="both"/>
      </w:pPr>
    </w:p>
    <w:p w14:paraId="57F88858" w14:textId="4C66C06A" w:rsidR="00F51911" w:rsidRPr="007F43F9" w:rsidRDefault="00380A4B" w:rsidP="005C1918">
      <w:pPr>
        <w:spacing w:line="300" w:lineRule="auto"/>
        <w:rPr>
          <w:b/>
          <w:bCs/>
          <w:sz w:val="28"/>
          <w:szCs w:val="28"/>
        </w:rPr>
      </w:pPr>
      <w:r w:rsidRPr="007F43F9">
        <w:rPr>
          <w:b/>
          <w:bCs/>
          <w:sz w:val="28"/>
          <w:szCs w:val="28"/>
        </w:rPr>
        <w:t>Civilised S</w:t>
      </w:r>
      <w:r w:rsidR="00F51911" w:rsidRPr="007F43F9">
        <w:rPr>
          <w:b/>
          <w:bCs/>
          <w:sz w:val="28"/>
          <w:szCs w:val="28"/>
        </w:rPr>
        <w:t xml:space="preserve">overeignty and </w:t>
      </w:r>
      <w:r w:rsidRPr="007F43F9">
        <w:rPr>
          <w:b/>
          <w:bCs/>
          <w:sz w:val="28"/>
          <w:szCs w:val="28"/>
        </w:rPr>
        <w:t>Colonial E</w:t>
      </w:r>
      <w:r w:rsidR="00A929E4" w:rsidRPr="007F43F9">
        <w:rPr>
          <w:b/>
          <w:bCs/>
          <w:sz w:val="28"/>
          <w:szCs w:val="28"/>
        </w:rPr>
        <w:t>ncounter</w:t>
      </w:r>
      <w:r w:rsidR="00A20314" w:rsidRPr="007F43F9">
        <w:rPr>
          <w:b/>
          <w:bCs/>
          <w:sz w:val="28"/>
          <w:szCs w:val="28"/>
        </w:rPr>
        <w:t>s</w:t>
      </w:r>
    </w:p>
    <w:p w14:paraId="0CBCC84E" w14:textId="77777777" w:rsidR="00F51911" w:rsidRPr="007F43F9" w:rsidRDefault="00F51911" w:rsidP="005C1918">
      <w:pPr>
        <w:spacing w:line="300" w:lineRule="auto"/>
        <w:jc w:val="both"/>
      </w:pPr>
    </w:p>
    <w:p w14:paraId="6987668A" w14:textId="77777777" w:rsidR="00F51911" w:rsidRPr="007F43F9" w:rsidRDefault="00F51911" w:rsidP="005C1918">
      <w:pPr>
        <w:spacing w:line="300" w:lineRule="auto"/>
        <w:jc w:val="both"/>
      </w:pPr>
    </w:p>
    <w:p w14:paraId="0585437E" w14:textId="192745C6" w:rsidR="00F51911" w:rsidRPr="007F43F9" w:rsidRDefault="00F51911" w:rsidP="00B941BD">
      <w:pPr>
        <w:spacing w:line="300" w:lineRule="auto"/>
        <w:jc w:val="both"/>
      </w:pPr>
      <w:r w:rsidRPr="007F43F9">
        <w:t xml:space="preserve">In the past twenty </w:t>
      </w:r>
      <w:r w:rsidR="00A6496E" w:rsidRPr="007F43F9">
        <w:t xml:space="preserve">five </w:t>
      </w:r>
      <w:r w:rsidRPr="007F43F9">
        <w:t>years</w:t>
      </w:r>
      <w:r w:rsidR="00A6496E" w:rsidRPr="007F43F9">
        <w:t xml:space="preserve"> IR has witnessed a flourishing of new an</w:t>
      </w:r>
      <w:r w:rsidRPr="007F43F9">
        <w:t>alyses</w:t>
      </w:r>
      <w:r w:rsidR="00A6496E" w:rsidRPr="007F43F9">
        <w:t xml:space="preserve"> </w:t>
      </w:r>
      <w:r w:rsidR="004A6841" w:rsidRPr="007F43F9">
        <w:t>investigating</w:t>
      </w:r>
      <w:r w:rsidRPr="007F43F9">
        <w:t xml:space="preserve"> how sovereignty is historically contingent and dependent on the dominant values, ideologies and norms of each period.</w:t>
      </w:r>
      <w:r w:rsidRPr="007F43F9">
        <w:rPr>
          <w:rStyle w:val="EndnoteReference"/>
        </w:rPr>
        <w:endnoteReference w:id="13"/>
      </w:r>
      <w:r w:rsidRPr="007F43F9">
        <w:t xml:space="preserve"> Additionally, sovereignty has been shown to be a socially constructed concept influenced by the practices of the agents themselves.</w:t>
      </w:r>
      <w:r w:rsidRPr="007F43F9">
        <w:rPr>
          <w:rStyle w:val="EndnoteReference"/>
        </w:rPr>
        <w:endnoteReference w:id="14"/>
      </w:r>
      <w:r w:rsidRPr="007F43F9">
        <w:t xml:space="preserve"> Nevertheless, these analyses have remained limited in their ability to </w:t>
      </w:r>
      <w:proofErr w:type="spellStart"/>
      <w:r w:rsidRPr="007F43F9">
        <w:t>problematise</w:t>
      </w:r>
      <w:proofErr w:type="spellEnd"/>
      <w:r w:rsidRPr="007F43F9">
        <w:t xml:space="preserve"> the use of sovereignty in international relations and IR alike. Indeed, a large part of th</w:t>
      </w:r>
      <w:r w:rsidR="0089508F" w:rsidRPr="007F43F9">
        <w:t>is</w:t>
      </w:r>
      <w:r w:rsidRPr="007F43F9">
        <w:t xml:space="preserve"> literature has overlooked how sovereignty – insofar as its dominant conceptualisation is defined by the West</w:t>
      </w:r>
      <w:r w:rsidR="00DF51D9" w:rsidRPr="007F43F9">
        <w:rPr>
          <w:rStyle w:val="EndnoteReference"/>
        </w:rPr>
        <w:endnoteReference w:id="15"/>
      </w:r>
      <w:r w:rsidRPr="007F43F9">
        <w:t xml:space="preserve"> – perpetuates exclusions and inequality at the international level. A majority of these scholars has approached sovereignty as a socially constructed yet largely unproblematic concept thus leaving “unchanged the conventional picture as portrayed by mainstream theorists.”</w:t>
      </w:r>
      <w:r w:rsidRPr="007F43F9">
        <w:rPr>
          <w:rStyle w:val="EndnoteReference"/>
        </w:rPr>
        <w:endnoteReference w:id="16"/>
      </w:r>
    </w:p>
    <w:p w14:paraId="03C4596F" w14:textId="77777777" w:rsidR="004A6841" w:rsidRPr="007F43F9" w:rsidRDefault="004A6841" w:rsidP="00B941BD">
      <w:pPr>
        <w:spacing w:line="300" w:lineRule="auto"/>
        <w:jc w:val="both"/>
      </w:pPr>
    </w:p>
    <w:p w14:paraId="14C6D5B1" w14:textId="77777777" w:rsidR="00F51911" w:rsidRPr="007F43F9" w:rsidRDefault="00F51911" w:rsidP="00B941BD">
      <w:pPr>
        <w:spacing w:line="300" w:lineRule="auto"/>
        <w:jc w:val="both"/>
      </w:pPr>
    </w:p>
    <w:p w14:paraId="1E42CEA2" w14:textId="01EA139F" w:rsidR="00CE1B1A" w:rsidRPr="007F43F9" w:rsidRDefault="00F51911" w:rsidP="00D10065">
      <w:pPr>
        <w:spacing w:line="300" w:lineRule="auto"/>
        <w:jc w:val="both"/>
      </w:pPr>
      <w:r w:rsidRPr="007F43F9">
        <w:t>In contrast, post-colonial</w:t>
      </w:r>
      <w:r w:rsidR="00CE1B1A" w:rsidRPr="007F43F9">
        <w:t xml:space="preserve"> and critical</w:t>
      </w:r>
      <w:r w:rsidRPr="007F43F9">
        <w:t xml:space="preserve"> scholars have made a strong and convincing case for linking the dominant conceptualisation of sovereignty to an idealised notion of Western civilisation. The</w:t>
      </w:r>
      <w:r w:rsidR="00CE1B1A" w:rsidRPr="007F43F9">
        <w:t>ir</w:t>
      </w:r>
      <w:r w:rsidRPr="007F43F9">
        <w:t xml:space="preserve"> first major insight is the fact that </w:t>
      </w:r>
      <w:r w:rsidR="00CE1B1A" w:rsidRPr="007F43F9">
        <w:t>‘</w:t>
      </w:r>
      <w:r w:rsidRPr="007F43F9">
        <w:t>state</w:t>
      </w:r>
      <w:r w:rsidR="00CE1B1A" w:rsidRPr="007F43F9">
        <w:t>’</w:t>
      </w:r>
      <w:r w:rsidRPr="007F43F9">
        <w:t xml:space="preserve"> and </w:t>
      </w:r>
      <w:r w:rsidR="00CE1B1A" w:rsidRPr="007F43F9">
        <w:t>‘</w:t>
      </w:r>
      <w:r w:rsidRPr="007F43F9">
        <w:t>sovereignty</w:t>
      </w:r>
      <w:r w:rsidR="00CE1B1A" w:rsidRPr="007F43F9">
        <w:t>’</w:t>
      </w:r>
      <w:r w:rsidRPr="007F43F9">
        <w:t xml:space="preserve"> have been restricted to a Western understanding yet imposed universally under the guise of culturally neutral (analytical) tools. As a consequence, the acquisition of sovereignty by </w:t>
      </w:r>
      <w:proofErr w:type="gramStart"/>
      <w:r w:rsidRPr="007F43F9">
        <w:t>non-Western states</w:t>
      </w:r>
      <w:proofErr w:type="gramEnd"/>
      <w:r w:rsidRPr="007F43F9">
        <w:t xml:space="preserve"> should not be interpreted as an empowering and liberating movement but rather as debilitating and excluding non-Western states further, usually requiring them to surrender “important rights in order to achieve independence”.</w:t>
      </w:r>
      <w:r w:rsidRPr="007F43F9">
        <w:rPr>
          <w:rStyle w:val="EndnoteReference"/>
        </w:rPr>
        <w:endnoteReference w:id="17"/>
      </w:r>
      <w:r w:rsidRPr="007F43F9">
        <w:t xml:space="preserve"> Because its template is defined by the West sovereignty gives rise to a complex interplay between inclusion/equality – or, for the non-West, the prospect of achieving them – and the actual exclusion of the supposedly uncivilised and unsovereign non-West.</w:t>
      </w:r>
      <w:r w:rsidRPr="007F43F9">
        <w:rPr>
          <w:rStyle w:val="EndnoteReference"/>
        </w:rPr>
        <w:endnoteReference w:id="18"/>
      </w:r>
      <w:r w:rsidRPr="007F43F9">
        <w:t xml:space="preserve"> Post-colonial approaches therefore promote a radical departure from the traditional vision of sovereignty as a tool for emancipation and freedom.</w:t>
      </w:r>
      <w:r w:rsidR="00CE1B1A" w:rsidRPr="007F43F9">
        <w:t xml:space="preserve"> </w:t>
      </w:r>
      <w:r w:rsidRPr="007F43F9">
        <w:t xml:space="preserve">By shaping what a sovereign state can (or should) be, the discourses of sovereignty promoted by the West have also </w:t>
      </w:r>
      <w:r w:rsidR="00CE1B1A" w:rsidRPr="007F43F9">
        <w:t>silenced</w:t>
      </w:r>
      <w:r w:rsidRPr="007F43F9">
        <w:t xml:space="preserve"> alternatives to the state-system and alternative forms of sovereignty.</w:t>
      </w:r>
      <w:r w:rsidRPr="007F43F9">
        <w:rPr>
          <w:rStyle w:val="EndnoteReference"/>
        </w:rPr>
        <w:endnoteReference w:id="19"/>
      </w:r>
      <w:r w:rsidRPr="007F43F9">
        <w:t xml:space="preserve"> For Strange, “non-Western sovereignty was actively </w:t>
      </w:r>
      <w:proofErr w:type="spellStart"/>
      <w:r w:rsidRPr="007F43F9">
        <w:t>delegitimated</w:t>
      </w:r>
      <w:proofErr w:type="spellEnd"/>
      <w:r w:rsidRPr="007F43F9">
        <w:t xml:space="preserve">” during the period of colonialism, an observation shared by Dunn in the case of the Congo: “Traditional, indigenous </w:t>
      </w:r>
      <w:proofErr w:type="spellStart"/>
      <w:r w:rsidRPr="007F43F9">
        <w:t>sociopolitical</w:t>
      </w:r>
      <w:proofErr w:type="spellEnd"/>
      <w:r w:rsidRPr="007F43F9">
        <w:t xml:space="preserve"> structures and practices, as well as their autonomy and “sovereignty”, were viewed as illegitimate and erased”.</w:t>
      </w:r>
      <w:r w:rsidRPr="007F43F9">
        <w:rPr>
          <w:rStyle w:val="EndnoteReference"/>
        </w:rPr>
        <w:t xml:space="preserve"> </w:t>
      </w:r>
      <w:r w:rsidRPr="007F43F9">
        <w:rPr>
          <w:rStyle w:val="EndnoteReference"/>
        </w:rPr>
        <w:endnoteReference w:id="20"/>
      </w:r>
      <w:r w:rsidRPr="007F43F9">
        <w:t xml:space="preserve"> Members of the club of sovereign states impose their own requirements based on what they consider as non-negotiable values such as their “conceptions of community, religion, citizenship and property”.</w:t>
      </w:r>
      <w:r w:rsidRPr="007F43F9">
        <w:rPr>
          <w:rStyle w:val="EndnoteReference"/>
        </w:rPr>
        <w:endnoteReference w:id="21"/>
      </w:r>
    </w:p>
    <w:p w14:paraId="116FDF1F" w14:textId="77777777" w:rsidR="00F51911" w:rsidRPr="007F43F9" w:rsidRDefault="00F51911" w:rsidP="00D10065">
      <w:pPr>
        <w:spacing w:line="300" w:lineRule="auto"/>
        <w:jc w:val="both"/>
      </w:pPr>
    </w:p>
    <w:p w14:paraId="1EA79F1D" w14:textId="77777777" w:rsidR="004A6841" w:rsidRPr="007F43F9" w:rsidRDefault="004A6841" w:rsidP="00D10065">
      <w:pPr>
        <w:spacing w:line="300" w:lineRule="auto"/>
        <w:jc w:val="both"/>
      </w:pPr>
    </w:p>
    <w:p w14:paraId="6C5BBBA6" w14:textId="1C4303A4" w:rsidR="00F51911" w:rsidRPr="007F43F9" w:rsidRDefault="00F51911" w:rsidP="004A1D95">
      <w:pPr>
        <w:spacing w:line="300" w:lineRule="auto"/>
        <w:jc w:val="both"/>
      </w:pPr>
      <w:r w:rsidRPr="007F43F9">
        <w:t xml:space="preserve">Post-colonial </w:t>
      </w:r>
      <w:r w:rsidR="00686528" w:rsidRPr="007F43F9">
        <w:t xml:space="preserve">and critical </w:t>
      </w:r>
      <w:r w:rsidRPr="007F43F9">
        <w:t xml:space="preserve">scholars have thus shown that sovereignty </w:t>
      </w:r>
      <w:r w:rsidR="00380A4B" w:rsidRPr="007F43F9">
        <w:t>as understood in</w:t>
      </w:r>
      <w:r w:rsidRPr="007F43F9">
        <w:t xml:space="preserve"> the West is intrinsically linked to the civilised values that </w:t>
      </w:r>
      <w:r w:rsidR="00686528" w:rsidRPr="007F43F9">
        <w:t>Western</w:t>
      </w:r>
      <w:r w:rsidRPr="007F43F9">
        <w:t xml:space="preserve"> societies portray themselves as embodying. Here, this phenomenon is termed ‘civilised sovereignty’ by which is meant the reliance of Western actors on </w:t>
      </w:r>
      <w:r w:rsidR="0043424C" w:rsidRPr="007F43F9">
        <w:t>self-</w:t>
      </w:r>
      <w:r w:rsidRPr="007F43F9">
        <w:t>constructed civilised identities in order to</w:t>
      </w:r>
      <w:r w:rsidR="0043424C" w:rsidRPr="007F43F9">
        <w:t xml:space="preserve"> successfully</w:t>
      </w:r>
      <w:r w:rsidRPr="007F43F9">
        <w:t xml:space="preserve"> claim sovereignty. This coupling of the two terms requires some precisions. Talking about ‘civilised sovereignty’ does not mean that claims to civilisation will necessarily give rise to claims to sovereignty. Some entities might perceive themselves as civilised yet not claim sovereignty for themselves or over others. In addition, and while civilisation is thinkable without sovereignty, sovereignty is also thinkable beyond </w:t>
      </w:r>
      <w:r w:rsidRPr="007F43F9">
        <w:rPr>
          <w:i/>
        </w:rPr>
        <w:t>Western</w:t>
      </w:r>
      <w:r w:rsidRPr="007F43F9">
        <w:t xml:space="preserve"> civilisation – even though it remains attached to a desirable political state in order to take its full meaning.</w:t>
      </w:r>
      <w:r w:rsidRPr="007F43F9">
        <w:rPr>
          <w:rStyle w:val="EndnoteReference"/>
        </w:rPr>
        <w:endnoteReference w:id="22"/>
      </w:r>
      <w:r w:rsidRPr="007F43F9">
        <w:t xml:space="preserve"> Sovereignty can be developed outside of the West and outside of the Western normative order. If sovereignty is thus not restricted to the West, the universalised and supposedly culturally-neutral concept of sovereignty</w:t>
      </w:r>
      <w:r w:rsidR="0043424C" w:rsidRPr="007F43F9">
        <w:t xml:space="preserve"> that dominates international relations</w:t>
      </w:r>
      <w:r w:rsidRPr="007F43F9">
        <w:t xml:space="preserve"> has had a clear dependence on the ideal of Western civilisation. In this article, it is this specific ‘civilised sovereignty’ – and not sovereignty more generally – that is investigated. ‘Civilisation’ in this context can be understood </w:t>
      </w:r>
      <w:r w:rsidRPr="007F43F9">
        <w:rPr>
          <w:rFonts w:cstheme="minorHAnsi"/>
        </w:rPr>
        <w:t>to designate the cultural traits of a given population and its socio-political organisation, but also as a superior and desirable form of these traits and organisation.</w:t>
      </w:r>
      <w:r w:rsidRPr="007F43F9">
        <w:rPr>
          <w:rStyle w:val="EndnoteReference"/>
          <w:rFonts w:cstheme="minorHAnsi"/>
        </w:rPr>
        <w:endnoteReference w:id="23"/>
      </w:r>
      <w:r w:rsidRPr="007F43F9">
        <w:rPr>
          <w:rFonts w:cstheme="minorHAnsi"/>
        </w:rPr>
        <w:t xml:space="preserve"> In this article – and in the context of the critique of the discourse of Western civilisation – the second understanding will be the one privileged.</w:t>
      </w:r>
      <w:r w:rsidRPr="007F43F9">
        <w:rPr>
          <w:rStyle w:val="EndnoteReference"/>
          <w:rFonts w:cstheme="minorHAnsi"/>
        </w:rPr>
        <w:endnoteReference w:id="24"/>
      </w:r>
      <w:r w:rsidRPr="007F43F9">
        <w:rPr>
          <w:rFonts w:cstheme="minorHAnsi"/>
        </w:rPr>
        <w:t xml:space="preserve"> An important definitional aspect of ‘civilisation’ is that the term can only acquire its meaning through its opposition to savagery</w:t>
      </w:r>
      <w:r w:rsidRPr="007F43F9">
        <w:rPr>
          <w:rStyle w:val="EndnoteReference"/>
          <w:rFonts w:cstheme="minorHAnsi"/>
        </w:rPr>
        <w:endnoteReference w:id="25"/>
      </w:r>
      <w:r w:rsidRPr="007F43F9">
        <w:t xml:space="preserve"> – a specificity that will reveal the problematic yet necessary reliance of sovereignty on a ‘savagery’ that must be present yet contained. </w:t>
      </w:r>
    </w:p>
    <w:p w14:paraId="27366209" w14:textId="77777777" w:rsidR="00F51911" w:rsidRPr="007F43F9" w:rsidRDefault="00F51911" w:rsidP="00D10065">
      <w:pPr>
        <w:spacing w:line="300" w:lineRule="auto"/>
        <w:jc w:val="both"/>
      </w:pPr>
    </w:p>
    <w:p w14:paraId="1F8FE052" w14:textId="77777777" w:rsidR="004A6841" w:rsidRPr="007F43F9" w:rsidRDefault="004A6841" w:rsidP="00D10065">
      <w:pPr>
        <w:spacing w:line="300" w:lineRule="auto"/>
        <w:jc w:val="both"/>
      </w:pPr>
    </w:p>
    <w:p w14:paraId="350B65C4" w14:textId="3FB7D124" w:rsidR="00546C48" w:rsidRPr="007F43F9" w:rsidRDefault="00F51911" w:rsidP="00B941BD">
      <w:pPr>
        <w:spacing w:line="300" w:lineRule="auto"/>
        <w:jc w:val="both"/>
      </w:pPr>
      <w:r w:rsidRPr="007F43F9">
        <w:t xml:space="preserve">Due to this intrinsic link to notions of civilisation, post-colonial scholars have argued that a more complete account of sovereignty necessitates to go beyond the West and to focus on the colonial experience through which Western civilised </w:t>
      </w:r>
      <w:r w:rsidR="00C36075" w:rsidRPr="007F43F9">
        <w:t>identity</w:t>
      </w:r>
      <w:r w:rsidRPr="007F43F9">
        <w:t xml:space="preserve"> was forged.</w:t>
      </w:r>
      <w:r w:rsidRPr="007F43F9">
        <w:rPr>
          <w:rStyle w:val="EndnoteReference"/>
        </w:rPr>
        <w:endnoteReference w:id="26"/>
      </w:r>
      <w:r w:rsidRPr="007F43F9">
        <w:t xml:space="preserve"> Indeed, "A genealogy of sovereignty that is confined to a Europe with its drawbridges up is necessarily an incomplete genealogy – one that is complicit with the attendant universalization of Europe.”</w:t>
      </w:r>
      <w:r w:rsidRPr="007F43F9">
        <w:rPr>
          <w:rStyle w:val="EndnoteReference"/>
        </w:rPr>
        <w:endnoteReference w:id="27"/>
      </w:r>
      <w:r w:rsidRPr="007F43F9">
        <w:t xml:space="preserve"> In fact, the colonial encounter is now widely considered as crucial for the understanding of sovereignty.</w:t>
      </w:r>
      <w:r w:rsidRPr="007F43F9">
        <w:rPr>
          <w:rStyle w:val="EndnoteReference"/>
        </w:rPr>
        <w:endnoteReference w:id="28"/>
      </w:r>
      <w:r w:rsidRPr="007F43F9">
        <w:t xml:space="preserve"> </w:t>
      </w:r>
      <w:proofErr w:type="spellStart"/>
      <w:r w:rsidRPr="007F43F9">
        <w:t>Aalberts</w:t>
      </w:r>
      <w:proofErr w:type="spellEnd"/>
      <w:r w:rsidRPr="007F43F9">
        <w:t xml:space="preserve"> for instance argues that “it is in the colonial encounter that the Europeans are produced as the original sovereign powers who command and impose their universal law vis-à-vis the uncivilised.”</w:t>
      </w:r>
      <w:r w:rsidRPr="007F43F9">
        <w:rPr>
          <w:rStyle w:val="EndnoteReference"/>
        </w:rPr>
        <w:endnoteReference w:id="29"/>
      </w:r>
      <w:r w:rsidRPr="007F43F9">
        <w:t xml:space="preserve"> The Western concept of sovereignty therefore emerges through the colonial experiences of the West (</w:t>
      </w:r>
      <w:r w:rsidR="00646757" w:rsidRPr="007F43F9">
        <w:t>in a typical Eurocentric fashion, of course, the ‘civilised’ Western state is often s</w:t>
      </w:r>
      <w:r w:rsidRPr="007F43F9">
        <w:t>eparated from these interconnections and reinstalled as a discrete and self-sufficient entity).</w:t>
      </w:r>
      <w:r w:rsidRPr="007F43F9">
        <w:rPr>
          <w:rStyle w:val="EndnoteReference"/>
        </w:rPr>
        <w:endnoteReference w:id="30"/>
      </w:r>
      <w:r w:rsidRPr="007F43F9">
        <w:t xml:space="preserve"> </w:t>
      </w:r>
    </w:p>
    <w:p w14:paraId="4DD1C700" w14:textId="77777777" w:rsidR="00546C48" w:rsidRPr="007F43F9" w:rsidRDefault="00546C48" w:rsidP="00B941BD">
      <w:pPr>
        <w:spacing w:line="300" w:lineRule="auto"/>
        <w:jc w:val="both"/>
      </w:pPr>
    </w:p>
    <w:p w14:paraId="1C1A2110" w14:textId="77777777" w:rsidR="008A28DB" w:rsidRPr="007F43F9" w:rsidRDefault="008A28DB" w:rsidP="00B941BD">
      <w:pPr>
        <w:spacing w:line="300" w:lineRule="auto"/>
        <w:jc w:val="both"/>
      </w:pPr>
    </w:p>
    <w:p w14:paraId="2216855D" w14:textId="243132CA" w:rsidR="00546C48" w:rsidRPr="007F43F9" w:rsidRDefault="00546C48" w:rsidP="00B941BD">
      <w:pPr>
        <w:spacing w:line="300" w:lineRule="auto"/>
        <w:jc w:val="both"/>
      </w:pPr>
      <w:r w:rsidRPr="007F43F9">
        <w:t xml:space="preserve">If the </w:t>
      </w:r>
      <w:r w:rsidR="00575A0C" w:rsidRPr="007F43F9">
        <w:t>Western claims to civilised sovereignty over their colonies</w:t>
      </w:r>
      <w:r w:rsidR="00C720FD" w:rsidRPr="007F43F9">
        <w:t xml:space="preserve"> </w:t>
      </w:r>
      <w:r w:rsidR="00575A0C" w:rsidRPr="007F43F9">
        <w:t>have</w:t>
      </w:r>
      <w:r w:rsidRPr="007F43F9">
        <w:t xml:space="preserve"> received sustained attention, </w:t>
      </w:r>
      <w:r w:rsidR="00B40748" w:rsidRPr="007F43F9">
        <w:t xml:space="preserve">how </w:t>
      </w:r>
      <w:r w:rsidR="00410402" w:rsidRPr="007F43F9">
        <w:t>these claims</w:t>
      </w:r>
      <w:r w:rsidR="00575A0C" w:rsidRPr="007F43F9">
        <w:t xml:space="preserve"> were ‘brought back home’ and the way they </w:t>
      </w:r>
      <w:r w:rsidR="008465B2" w:rsidRPr="007F43F9">
        <w:t>interacted</w:t>
      </w:r>
      <w:r w:rsidR="00575A0C" w:rsidRPr="007F43F9">
        <w:t xml:space="preserve"> with the process of claiming sovereignty internally have </w:t>
      </w:r>
      <w:r w:rsidR="0043424C" w:rsidRPr="007F43F9">
        <w:t>not been analysed substantively</w:t>
      </w:r>
      <w:r w:rsidR="00575A0C" w:rsidRPr="007F43F9">
        <w:t>. In particular,</w:t>
      </w:r>
      <w:r w:rsidR="00410402" w:rsidRPr="007F43F9">
        <w:t xml:space="preserve"> if claiming sovereignty domestically also implied the creation of an internal </w:t>
      </w:r>
      <w:proofErr w:type="gramStart"/>
      <w:r w:rsidR="00410402" w:rsidRPr="007F43F9">
        <w:t>Other</w:t>
      </w:r>
      <w:proofErr w:type="gramEnd"/>
      <w:r w:rsidR="00410402" w:rsidRPr="007F43F9">
        <w:t xml:space="preserve"> (and thus a domestic ‘colonial’ encounter),</w:t>
      </w:r>
      <w:r w:rsidR="00575A0C" w:rsidRPr="007F43F9">
        <w:t xml:space="preserve"> how the</w:t>
      </w:r>
      <w:r w:rsidR="00E53E77" w:rsidRPr="007F43F9">
        <w:t>se</w:t>
      </w:r>
      <w:r w:rsidR="00410402" w:rsidRPr="007F43F9">
        <w:t xml:space="preserve"> domestic and international </w:t>
      </w:r>
      <w:r w:rsidR="00B40748" w:rsidRPr="007F43F9">
        <w:t>encounters</w:t>
      </w:r>
      <w:r w:rsidR="00575A0C" w:rsidRPr="007F43F9">
        <w:t xml:space="preserve"> i</w:t>
      </w:r>
      <w:r w:rsidRPr="007F43F9">
        <w:t xml:space="preserve">nteract and </w:t>
      </w:r>
      <w:r w:rsidR="00233DEB" w:rsidRPr="007F43F9">
        <w:t xml:space="preserve">how they </w:t>
      </w:r>
      <w:r w:rsidR="0089508F" w:rsidRPr="007F43F9">
        <w:t>can</w:t>
      </w:r>
      <w:r w:rsidRPr="007F43F9">
        <w:t xml:space="preserve"> reinforce </w:t>
      </w:r>
      <w:r w:rsidR="00F27AFD" w:rsidRPr="007F43F9">
        <w:t xml:space="preserve">or undermine </w:t>
      </w:r>
      <w:r w:rsidRPr="007F43F9">
        <w:t>one another ha</w:t>
      </w:r>
      <w:r w:rsidR="00233DEB" w:rsidRPr="007F43F9">
        <w:t>ve</w:t>
      </w:r>
      <w:r w:rsidRPr="007F43F9">
        <w:t xml:space="preserve"> </w:t>
      </w:r>
      <w:r w:rsidR="00575A0C" w:rsidRPr="007F43F9">
        <w:t xml:space="preserve">not </w:t>
      </w:r>
      <w:r w:rsidRPr="007F43F9">
        <w:t xml:space="preserve">been explicitly addressed. </w:t>
      </w:r>
      <w:r w:rsidR="00242AEA" w:rsidRPr="007F43F9">
        <w:t xml:space="preserve">In </w:t>
      </w:r>
      <w:r w:rsidR="009B0BE8" w:rsidRPr="007F43F9">
        <w:t>critical</w:t>
      </w:r>
      <w:r w:rsidR="00242AEA" w:rsidRPr="007F43F9">
        <w:t xml:space="preserve"> analyses,</w:t>
      </w:r>
      <w:r w:rsidRPr="007F43F9">
        <w:t xml:space="preserve"> the interplay between internal and external constructions of civilised sovereignty </w:t>
      </w:r>
      <w:r w:rsidR="00617064" w:rsidRPr="007F43F9">
        <w:t xml:space="preserve">is relegated to the margins </w:t>
      </w:r>
      <w:r w:rsidR="006972DF" w:rsidRPr="007F43F9">
        <w:t>and the overall focus remains on the external colonial encounter</w:t>
      </w:r>
      <w:r w:rsidR="00617064" w:rsidRPr="007F43F9">
        <w:t>. Some crucial questions are thus left unanswered:</w:t>
      </w:r>
      <w:r w:rsidR="0068730F" w:rsidRPr="007F43F9">
        <w:t xml:space="preserve"> how are the two processes (which </w:t>
      </w:r>
      <w:r w:rsidR="00AA1DFE" w:rsidRPr="007F43F9">
        <w:t xml:space="preserve">historically </w:t>
      </w:r>
      <w:r w:rsidR="0068730F" w:rsidRPr="007F43F9">
        <w:t>happen</w:t>
      </w:r>
      <w:r w:rsidR="00AA1DFE" w:rsidRPr="007F43F9">
        <w:t>ed</w:t>
      </w:r>
      <w:r w:rsidR="0068730F" w:rsidRPr="007F43F9">
        <w:t xml:space="preserve"> at the same time) connected in practice, and for what purpose? Is this </w:t>
      </w:r>
      <w:r w:rsidR="00AA1DFE" w:rsidRPr="007F43F9">
        <w:t>interconnection</w:t>
      </w:r>
      <w:r w:rsidR="0068730F" w:rsidRPr="007F43F9">
        <w:t xml:space="preserve"> reinforcing</w:t>
      </w:r>
      <w:r w:rsidR="00AA1DFE" w:rsidRPr="007F43F9">
        <w:t xml:space="preserve"> or undermining</w:t>
      </w:r>
      <w:r w:rsidR="0068730F" w:rsidRPr="007F43F9">
        <w:t xml:space="preserve"> the claims of the self-defined civilised? </w:t>
      </w:r>
      <w:r w:rsidRPr="007F43F9">
        <w:t xml:space="preserve">What can we learn from refusing to </w:t>
      </w:r>
      <w:r w:rsidR="0068730F" w:rsidRPr="007F43F9">
        <w:t>choose between a focus on the</w:t>
      </w:r>
      <w:r w:rsidRPr="007F43F9">
        <w:t xml:space="preserve"> ‘civilised’ </w:t>
      </w:r>
      <w:r w:rsidR="00143162" w:rsidRPr="007F43F9">
        <w:t>metropoles</w:t>
      </w:r>
      <w:r w:rsidRPr="007F43F9">
        <w:t xml:space="preserve"> </w:t>
      </w:r>
      <w:r w:rsidR="0068730F" w:rsidRPr="007F43F9">
        <w:t>or on the</w:t>
      </w:r>
      <w:r w:rsidRPr="007F43F9">
        <w:t xml:space="preserve"> ‘savage’ colonies?</w:t>
      </w:r>
      <w:r w:rsidR="009B0BE8" w:rsidRPr="007F43F9">
        <w:t xml:space="preserve"> These questions are all the more pressing given the widespread recognition that</w:t>
      </w:r>
      <w:r w:rsidR="00313E8F" w:rsidRPr="007F43F9">
        <w:t xml:space="preserve"> </w:t>
      </w:r>
      <w:r w:rsidR="009B0BE8" w:rsidRPr="007F43F9">
        <w:t>Western states failed short of their own standard of civilisation</w:t>
      </w:r>
      <w:r w:rsidR="00575A0C" w:rsidRPr="007F43F9">
        <w:rPr>
          <w:rStyle w:val="EndnoteReference"/>
        </w:rPr>
        <w:endnoteReference w:id="31"/>
      </w:r>
      <w:r w:rsidR="009B0BE8" w:rsidRPr="007F43F9">
        <w:t xml:space="preserve"> </w:t>
      </w:r>
      <w:r w:rsidR="00313E8F" w:rsidRPr="007F43F9">
        <w:t xml:space="preserve">and </w:t>
      </w:r>
      <w:r w:rsidR="008465B2" w:rsidRPr="007F43F9">
        <w:t>that</w:t>
      </w:r>
      <w:r w:rsidR="009B0BE8" w:rsidRPr="007F43F9">
        <w:t xml:space="preserve"> the </w:t>
      </w:r>
      <w:r w:rsidR="008465B2" w:rsidRPr="007F43F9">
        <w:t xml:space="preserve">internal and external colonial encounters shared some important </w:t>
      </w:r>
      <w:r w:rsidR="009B0BE8" w:rsidRPr="007F43F9">
        <w:t>similarities.</w:t>
      </w:r>
    </w:p>
    <w:p w14:paraId="6D9D79E3" w14:textId="77777777" w:rsidR="004A6841" w:rsidRPr="007F43F9" w:rsidRDefault="004A6841" w:rsidP="00B941BD">
      <w:pPr>
        <w:spacing w:line="300" w:lineRule="auto"/>
        <w:jc w:val="both"/>
      </w:pPr>
    </w:p>
    <w:p w14:paraId="4F1BC888" w14:textId="77777777" w:rsidR="009B0BE8" w:rsidRPr="007F43F9" w:rsidRDefault="009B0BE8" w:rsidP="00B941BD">
      <w:pPr>
        <w:spacing w:line="300" w:lineRule="auto"/>
        <w:jc w:val="both"/>
      </w:pPr>
    </w:p>
    <w:p w14:paraId="0BA6A889" w14:textId="123BABA5" w:rsidR="00546C48" w:rsidRPr="007F43F9" w:rsidRDefault="00546C48" w:rsidP="00B941BD">
      <w:pPr>
        <w:spacing w:line="300" w:lineRule="auto"/>
        <w:jc w:val="both"/>
      </w:pPr>
      <w:r w:rsidRPr="007F43F9">
        <w:t>This article thus reinforces post-colonial and critical analyses of sovereignty by interrogating together – and as two interlinked processes – the domestic and international construction</w:t>
      </w:r>
      <w:r w:rsidR="00143162" w:rsidRPr="007F43F9">
        <w:t>s</w:t>
      </w:r>
      <w:r w:rsidRPr="007F43F9">
        <w:t xml:space="preserve"> of civilised sovereignty. I do not advocate a supplanting but a re-balancing of </w:t>
      </w:r>
      <w:r w:rsidR="00103E79" w:rsidRPr="007F43F9">
        <w:t xml:space="preserve">analyses of sovereignty </w:t>
      </w:r>
      <w:r w:rsidRPr="007F43F9">
        <w:t xml:space="preserve">towards intra-European events </w:t>
      </w:r>
      <w:r w:rsidR="00103E79" w:rsidRPr="007F43F9">
        <w:t xml:space="preserve">but without excluding the extra-European </w:t>
      </w:r>
      <w:r w:rsidRPr="007F43F9">
        <w:t xml:space="preserve">colonial enterprises. Furthering the post-colonial research agenda, my analysis </w:t>
      </w:r>
      <w:r w:rsidR="00143162" w:rsidRPr="007F43F9">
        <w:t>focuses on the connections between external and internal colonial encounters</w:t>
      </w:r>
      <w:r w:rsidRPr="007F43F9">
        <w:t xml:space="preserve">. As such, and by not restricting the idea of ‘frontier’ to the demarcation between the (Western) state and its ‘outside’, this article proposes to assess </w:t>
      </w:r>
      <w:r w:rsidR="00143162" w:rsidRPr="007F43F9">
        <w:t>how these domestic and international processes interact in the creation of the sovereign and civilised identity of the West.</w:t>
      </w:r>
    </w:p>
    <w:p w14:paraId="715A617B" w14:textId="77777777" w:rsidR="00546C48" w:rsidRPr="007F43F9" w:rsidRDefault="00546C48" w:rsidP="00B941BD">
      <w:pPr>
        <w:spacing w:line="300" w:lineRule="auto"/>
        <w:jc w:val="both"/>
      </w:pPr>
    </w:p>
    <w:p w14:paraId="4D7BC60D" w14:textId="77777777" w:rsidR="00F51911" w:rsidRPr="007F43F9" w:rsidRDefault="00F51911" w:rsidP="005C1918">
      <w:pPr>
        <w:spacing w:line="300" w:lineRule="auto"/>
        <w:jc w:val="both"/>
      </w:pPr>
    </w:p>
    <w:p w14:paraId="7443808F" w14:textId="77777777" w:rsidR="00F51911" w:rsidRPr="007F43F9" w:rsidRDefault="00F51911" w:rsidP="005C1918">
      <w:pPr>
        <w:spacing w:line="300" w:lineRule="auto"/>
        <w:jc w:val="both"/>
      </w:pPr>
    </w:p>
    <w:p w14:paraId="6EFF48A4" w14:textId="786B9993" w:rsidR="00F51911" w:rsidRPr="007F43F9" w:rsidRDefault="00380A4B" w:rsidP="005C1918">
      <w:pPr>
        <w:spacing w:line="300" w:lineRule="auto"/>
        <w:jc w:val="both"/>
        <w:rPr>
          <w:b/>
          <w:bCs/>
          <w:sz w:val="28"/>
          <w:szCs w:val="28"/>
        </w:rPr>
      </w:pPr>
      <w:r w:rsidRPr="007F43F9">
        <w:rPr>
          <w:b/>
          <w:bCs/>
          <w:sz w:val="28"/>
          <w:szCs w:val="28"/>
        </w:rPr>
        <w:t>From a Sovereign Kingdom to a S</w:t>
      </w:r>
      <w:r w:rsidR="00F51911" w:rsidRPr="007F43F9">
        <w:rPr>
          <w:b/>
          <w:bCs/>
          <w:sz w:val="28"/>
          <w:szCs w:val="28"/>
        </w:rPr>
        <w:t xml:space="preserve">tate of </w:t>
      </w:r>
      <w:r w:rsidRPr="007F43F9">
        <w:rPr>
          <w:b/>
          <w:bCs/>
          <w:sz w:val="28"/>
          <w:szCs w:val="28"/>
        </w:rPr>
        <w:t>Nature: A</w:t>
      </w:r>
      <w:r w:rsidR="00F51911" w:rsidRPr="007F43F9">
        <w:rPr>
          <w:b/>
          <w:bCs/>
          <w:sz w:val="28"/>
          <w:szCs w:val="28"/>
        </w:rPr>
        <w:t xml:space="preserve">ttacking the </w:t>
      </w:r>
      <w:r w:rsidRPr="007F43F9">
        <w:rPr>
          <w:b/>
          <w:bCs/>
          <w:sz w:val="28"/>
          <w:szCs w:val="28"/>
        </w:rPr>
        <w:t>K</w:t>
      </w:r>
      <w:r w:rsidR="00F51911" w:rsidRPr="007F43F9">
        <w:rPr>
          <w:b/>
          <w:bCs/>
          <w:sz w:val="28"/>
          <w:szCs w:val="28"/>
        </w:rPr>
        <w:t xml:space="preserve">ing’s </w:t>
      </w:r>
      <w:r w:rsidRPr="007F43F9">
        <w:rPr>
          <w:b/>
          <w:bCs/>
          <w:sz w:val="28"/>
          <w:szCs w:val="28"/>
        </w:rPr>
        <w:t>C</w:t>
      </w:r>
      <w:r w:rsidR="00F51911" w:rsidRPr="007F43F9">
        <w:rPr>
          <w:b/>
          <w:bCs/>
          <w:sz w:val="28"/>
          <w:szCs w:val="28"/>
        </w:rPr>
        <w:t xml:space="preserve">ivilised </w:t>
      </w:r>
      <w:r w:rsidRPr="007F43F9">
        <w:rPr>
          <w:b/>
          <w:bCs/>
          <w:sz w:val="28"/>
          <w:szCs w:val="28"/>
        </w:rPr>
        <w:t>S</w:t>
      </w:r>
      <w:r w:rsidR="00F51911" w:rsidRPr="007F43F9">
        <w:rPr>
          <w:b/>
          <w:bCs/>
          <w:sz w:val="28"/>
          <w:szCs w:val="28"/>
        </w:rPr>
        <w:t>overeignty</w:t>
      </w:r>
    </w:p>
    <w:p w14:paraId="5292B6E9" w14:textId="77777777" w:rsidR="00F51911" w:rsidRPr="007F43F9" w:rsidRDefault="00F51911" w:rsidP="005C1918">
      <w:pPr>
        <w:spacing w:line="300" w:lineRule="auto"/>
        <w:jc w:val="both"/>
        <w:rPr>
          <w:b/>
          <w:bCs/>
          <w:sz w:val="24"/>
          <w:szCs w:val="24"/>
        </w:rPr>
      </w:pPr>
    </w:p>
    <w:p w14:paraId="7D3F5411" w14:textId="77777777" w:rsidR="00F51911" w:rsidRPr="007F43F9" w:rsidRDefault="00F51911" w:rsidP="005C1918">
      <w:pPr>
        <w:spacing w:line="300" w:lineRule="auto"/>
        <w:jc w:val="both"/>
        <w:rPr>
          <w:b/>
          <w:bCs/>
          <w:sz w:val="24"/>
          <w:szCs w:val="24"/>
        </w:rPr>
      </w:pPr>
    </w:p>
    <w:p w14:paraId="20B612C4" w14:textId="66E35928" w:rsidR="00F51911" w:rsidRPr="007F43F9" w:rsidRDefault="00F51911" w:rsidP="00FD2A2A">
      <w:pPr>
        <w:spacing w:line="300" w:lineRule="auto"/>
        <w:jc w:val="both"/>
      </w:pPr>
      <w:r w:rsidRPr="007F43F9">
        <w:t xml:space="preserve">For the purpose of informing this argument, this article focuses on a specific period of French history: the opposition of the League to Henry III and its progressive demise under Henry IV (1584-1598). This conflict started with the death of the younger brother of </w:t>
      </w:r>
      <w:proofErr w:type="gramStart"/>
      <w:r w:rsidRPr="007F43F9">
        <w:t>king</w:t>
      </w:r>
      <w:proofErr w:type="gramEnd"/>
      <w:r w:rsidRPr="007F43F9">
        <w:t xml:space="preserve"> Henry III in 1584. As the king had no children, the new heir to the crown became Henry of Navarre, a Protestant. But “the French Catholics served notice that they were not willing to accept a heretic on the throne”</w:t>
      </w:r>
      <w:r w:rsidRPr="007F43F9">
        <w:rPr>
          <w:rStyle w:val="EndnoteReference"/>
        </w:rPr>
        <w:endnoteReference w:id="32"/>
      </w:r>
      <w:r w:rsidRPr="007F43F9">
        <w:t xml:space="preserve"> and they formed the League in order to impose their own truly legitimate (because Catholic) king. Hence, “[f]rom 1585 the union thus formed led to seizure of power and to civil war”.</w:t>
      </w:r>
      <w:r w:rsidRPr="007F43F9">
        <w:rPr>
          <w:rStyle w:val="EndnoteReference"/>
        </w:rPr>
        <w:endnoteReference w:id="33"/>
      </w:r>
      <w:r w:rsidRPr="007F43F9">
        <w:t xml:space="preserve"> The prospect of a Protestant becoming king of France thus led to an acute and violent political crisis,</w:t>
      </w:r>
      <w:r w:rsidRPr="007F43F9">
        <w:rPr>
          <w:rStyle w:val="EndnoteReference"/>
        </w:rPr>
        <w:t xml:space="preserve"> </w:t>
      </w:r>
      <w:r w:rsidRPr="007F43F9">
        <w:rPr>
          <w:rStyle w:val="EndnoteReference"/>
        </w:rPr>
        <w:endnoteReference w:id="34"/>
      </w:r>
      <w:r w:rsidRPr="007F43F9">
        <w:t xml:space="preserve"> these religious disagreements being reinforced by political and social discontent.</w:t>
      </w:r>
      <w:r w:rsidRPr="007F43F9">
        <w:rPr>
          <w:rStyle w:val="EndnoteReference"/>
        </w:rPr>
        <w:t xml:space="preserve"> </w:t>
      </w:r>
      <w:r w:rsidRPr="007F43F9">
        <w:t xml:space="preserve">The conflict was marked by several – attempted or successful – murders against the kings and the leaders of the League (in particular the Guise family). In 1589, when Henry III </w:t>
      </w:r>
      <w:r w:rsidR="007D3AFD" w:rsidRPr="007F43F9">
        <w:t>is murdered</w:t>
      </w:r>
      <w:r w:rsidRPr="007F43F9">
        <w:t>, Henry of Navarre was not automatically recognised as king by most of the Catholics. Finally, in 1593, Henry of Navarre “decided the fate of France by formally adopting the Catholic faith, and in the following year, supported by the moderate Catholics, he was able to enter Paris in triumph”.</w:t>
      </w:r>
      <w:r w:rsidRPr="007F43F9">
        <w:rPr>
          <w:rStyle w:val="EndnoteReference"/>
        </w:rPr>
        <w:endnoteReference w:id="35"/>
      </w:r>
      <w:r w:rsidRPr="007F43F9">
        <w:t xml:space="preserve"> Henry of Navarre is sacred king (and becomes Henry IV) in February 1594. He is recognised the same year by the Sorbonne – a stronghold of Catholicism in the kingdom – as the “legitimate and real king most Christian, natural lord and heir to the kingdoms of France and Navarre”</w:t>
      </w:r>
      <w:r w:rsidRPr="007F43F9">
        <w:rPr>
          <w:rStyle w:val="EndnoteReference"/>
        </w:rPr>
        <w:endnoteReference w:id="36"/>
      </w:r>
      <w:r w:rsidRPr="007F43F9">
        <w:t xml:space="preserve"> and absolved by the Pope in September 1595. The archives used in this section reflect this turbulent period in the formation of the French state and include political discourses, edicts, official declarations and pamphlets.</w:t>
      </w:r>
      <w:r w:rsidRPr="007F43F9">
        <w:rPr>
          <w:rStyle w:val="EndnoteReference"/>
        </w:rPr>
        <w:endnoteReference w:id="37"/>
      </w:r>
      <w:r w:rsidRPr="007F43F9">
        <w:t xml:space="preserve"> The authors of these documents can be schematically divided into two groups: the two successive kings</w:t>
      </w:r>
      <w:r w:rsidR="00B40748" w:rsidRPr="007F43F9">
        <w:rPr>
          <w:rStyle w:val="EndnoteReference"/>
        </w:rPr>
        <w:endnoteReference w:id="38"/>
      </w:r>
      <w:r w:rsidRPr="007F43F9">
        <w:t xml:space="preserve"> and their supporters on one side, and the League on the other (with the dominant figures of the Duke of Guise, the Duke of </w:t>
      </w:r>
      <w:proofErr w:type="spellStart"/>
      <w:r w:rsidRPr="007F43F9">
        <w:t>Mayenne</w:t>
      </w:r>
      <w:proofErr w:type="spellEnd"/>
      <w:r w:rsidRPr="007F43F9">
        <w:t xml:space="preserve"> and the Cardinal of Bourbon). </w:t>
      </w:r>
    </w:p>
    <w:p w14:paraId="1FE9B912" w14:textId="77777777" w:rsidR="00F51911" w:rsidRPr="007F43F9" w:rsidRDefault="00F51911" w:rsidP="005C1918">
      <w:pPr>
        <w:spacing w:line="300" w:lineRule="auto"/>
        <w:jc w:val="both"/>
      </w:pPr>
    </w:p>
    <w:p w14:paraId="67E4A050" w14:textId="77777777" w:rsidR="0046733B" w:rsidRPr="007F43F9" w:rsidRDefault="0046733B" w:rsidP="005C1918">
      <w:pPr>
        <w:spacing w:line="300" w:lineRule="auto"/>
        <w:jc w:val="both"/>
      </w:pPr>
    </w:p>
    <w:p w14:paraId="4502936E" w14:textId="64241957" w:rsidR="00F51911" w:rsidRPr="007F43F9" w:rsidRDefault="00F51911" w:rsidP="00131366">
      <w:pPr>
        <w:spacing w:line="300" w:lineRule="auto"/>
        <w:jc w:val="both"/>
      </w:pPr>
      <w:r w:rsidRPr="007F43F9">
        <w:t xml:space="preserve">The period under study is characterised by repeated attempts at destabilising the image of the king as a guarantor of civilisation and sovereignty (what I term a ‘crisis of sovereignty’, i.e. a ‘de-linking’ of the current holder of sovereignty with the </w:t>
      </w:r>
      <w:proofErr w:type="spellStart"/>
      <w:r w:rsidRPr="007F43F9">
        <w:t>civilisational</w:t>
      </w:r>
      <w:proofErr w:type="spellEnd"/>
      <w:r w:rsidRPr="007F43F9">
        <w:t xml:space="preserve"> values that support the concept). </w:t>
      </w:r>
      <w:proofErr w:type="gramStart"/>
      <w:r w:rsidRPr="007F43F9">
        <w:t>The most ardent proponents of this ‘de-linking’ are to be found, unsurprisingly, among the League advocates and those opposing Henry III.</w:t>
      </w:r>
      <w:proofErr w:type="gramEnd"/>
      <w:r w:rsidRPr="007F43F9">
        <w:t xml:space="preserve"> Charles of Bourbon talks in 1585 of “calamities” and “oppressions” in his famous </w:t>
      </w:r>
      <w:proofErr w:type="spellStart"/>
      <w:r w:rsidRPr="007F43F9">
        <w:t>Péronne</w:t>
      </w:r>
      <w:proofErr w:type="spellEnd"/>
      <w:r w:rsidRPr="007F43F9">
        <w:t xml:space="preserve"> declaration (B.N.F., </w:t>
      </w:r>
      <w:proofErr w:type="spellStart"/>
      <w:r w:rsidRPr="007F43F9">
        <w:t>Dupuy</w:t>
      </w:r>
      <w:proofErr w:type="spellEnd"/>
      <w:r w:rsidRPr="007F43F9">
        <w:t xml:space="preserve"> 87: f. 210 and 211v). Charles of Lorraine (a member of the Guise family) ‘describes’ in 1589 a “state strongly weakened by the continuous miseries and ruins that it has suffered” under the rule of Henry III (B.N.F., </w:t>
      </w:r>
      <w:proofErr w:type="spellStart"/>
      <w:r w:rsidRPr="007F43F9">
        <w:rPr>
          <w:rFonts w:eastAsia="PMingLiU" w:cstheme="majorBidi"/>
          <w:lang w:eastAsia="zh-TW"/>
        </w:rPr>
        <w:t>Dupuy</w:t>
      </w:r>
      <w:proofErr w:type="spellEnd"/>
      <w:r w:rsidRPr="007F43F9">
        <w:rPr>
          <w:rFonts w:eastAsia="PMingLiU" w:cstheme="majorBidi"/>
          <w:lang w:eastAsia="zh-TW"/>
        </w:rPr>
        <w:t xml:space="preserve"> 121: </w:t>
      </w:r>
      <w:r w:rsidRPr="007F43F9">
        <w:t xml:space="preserve">f. 100v). The deputies of Paris also express their concerns in 1588 in a remonstrance to the king: they enumerate the “oppressions”, “trouble, ruin and confusion” of the kingdom, its “disorders, miseries and desolations”, reminding the king of his responsibility before God for the good administration of the kingdom (all quotes are from B.N.F., </w:t>
      </w:r>
      <w:proofErr w:type="spellStart"/>
      <w:r w:rsidRPr="007F43F9">
        <w:t>Dupuy</w:t>
      </w:r>
      <w:proofErr w:type="spellEnd"/>
      <w:r w:rsidRPr="007F43F9">
        <w:t xml:space="preserve"> 844: f. 561 and 561v)</w:t>
      </w:r>
      <w:r w:rsidR="0046733B" w:rsidRPr="007F43F9">
        <w:t>.</w:t>
      </w:r>
    </w:p>
    <w:p w14:paraId="57ED0F12" w14:textId="77777777" w:rsidR="0046733B" w:rsidRPr="007F43F9" w:rsidRDefault="0046733B" w:rsidP="00131366">
      <w:pPr>
        <w:spacing w:line="300" w:lineRule="auto"/>
        <w:jc w:val="both"/>
      </w:pPr>
    </w:p>
    <w:p w14:paraId="119C1A8B" w14:textId="77777777" w:rsidR="00F51911" w:rsidRPr="007F43F9" w:rsidRDefault="00F51911" w:rsidP="005C1918">
      <w:pPr>
        <w:spacing w:line="300" w:lineRule="auto"/>
        <w:jc w:val="both"/>
      </w:pPr>
    </w:p>
    <w:p w14:paraId="017240BD" w14:textId="3C681808" w:rsidR="00F51911" w:rsidRPr="007F43F9" w:rsidRDefault="00F51911" w:rsidP="009B7479">
      <w:pPr>
        <w:spacing w:line="300" w:lineRule="auto"/>
        <w:jc w:val="both"/>
      </w:pPr>
      <w:r w:rsidRPr="007F43F9">
        <w:t xml:space="preserve">Some go further and openly question the idea of unity necessary to a sovereign kingdom by mentioning the existence of a ‘civil war’. The Duke of </w:t>
      </w:r>
      <w:proofErr w:type="spellStart"/>
      <w:r w:rsidRPr="007F43F9">
        <w:t>Mayenne</w:t>
      </w:r>
      <w:proofErr w:type="spellEnd"/>
      <w:r w:rsidRPr="007F43F9">
        <w:t xml:space="preserve">, for instance, frequently highlights the disorganisation of the kingdom and describes the conflict as a “civil war” (see for instance A.E., M.D. </w:t>
      </w:r>
      <w:proofErr w:type="spellStart"/>
      <w:r w:rsidRPr="007F43F9">
        <w:t>Espagne</w:t>
      </w:r>
      <w:proofErr w:type="spellEnd"/>
      <w:r w:rsidRPr="007F43F9">
        <w:t>, 331: f. 61). This state of civil war is also associated to “sedition” among the subjects by Bourbon (A.E., M.D. France 761: f. 118), thus further highlighting the distance between the current state of France and the ‘natural’ obedience of the subjects found in a ‘civilised’ and sovereign state. In a discourse to the Duke of Guise discussing the topic of peace and war one League author estimates that “our police is so corrupted that it would be better calling our dispute a seditious tumult rather than a true war” (B.N.F., Cinq Cents de Colbert 30: f. 11v).</w:t>
      </w:r>
    </w:p>
    <w:p w14:paraId="006EB35E" w14:textId="77777777" w:rsidR="0046733B" w:rsidRPr="007F43F9" w:rsidRDefault="0046733B" w:rsidP="009B7479">
      <w:pPr>
        <w:spacing w:line="300" w:lineRule="auto"/>
        <w:jc w:val="both"/>
      </w:pPr>
    </w:p>
    <w:p w14:paraId="68BA23A0" w14:textId="77777777" w:rsidR="00F51911" w:rsidRPr="007F43F9" w:rsidRDefault="00F51911" w:rsidP="005C1918">
      <w:pPr>
        <w:spacing w:line="300" w:lineRule="auto"/>
        <w:jc w:val="both"/>
      </w:pPr>
    </w:p>
    <w:p w14:paraId="3511FC0F" w14:textId="57458AF0" w:rsidR="00F51911" w:rsidRPr="007F43F9" w:rsidRDefault="00F51911" w:rsidP="008E180C">
      <w:pPr>
        <w:spacing w:line="300" w:lineRule="auto"/>
        <w:jc w:val="both"/>
      </w:pPr>
      <w:r w:rsidRPr="007F43F9">
        <w:rPr>
          <w:rFonts w:cstheme="minorHAnsi"/>
        </w:rPr>
        <w:t xml:space="preserve">This state of France performed by the enemies of the kings is particularly dangerous as it implies the failure of the king to ensure ‘civilisation’ and therefore </w:t>
      </w:r>
      <w:r w:rsidR="003A637D" w:rsidRPr="007F43F9">
        <w:rPr>
          <w:rFonts w:cstheme="minorHAnsi"/>
        </w:rPr>
        <w:t xml:space="preserve">his lack of </w:t>
      </w:r>
      <w:r w:rsidRPr="007F43F9">
        <w:rPr>
          <w:rFonts w:cstheme="minorHAnsi"/>
        </w:rPr>
        <w:t xml:space="preserve">sovereignty. These ‘descriptions’ of the kingdom help destabilise the king’s sovereignty but a particular strand of arguments also emerge that pushes this ‘de-linking’ further into a dangerous terrain. Indeed, analogies are made between the idea of the state of nature and the ‘descriptions’ of the internal state of France. Associating the kingdom with savagery represents a denial of the colonial frontier that the French kings rely upon in order to differentiate themselves from internal ‘savages’ (and as such to ensure the legitimacy of their sovereignty). That is why the League regularly uses the </w:t>
      </w:r>
      <w:r w:rsidR="00B40748" w:rsidRPr="007F43F9">
        <w:rPr>
          <w:rFonts w:cstheme="minorHAnsi"/>
        </w:rPr>
        <w:t>idea</w:t>
      </w:r>
      <w:r w:rsidRPr="007F43F9">
        <w:rPr>
          <w:rFonts w:cstheme="minorHAnsi"/>
        </w:rPr>
        <w:t xml:space="preserve"> of savagery against the kings and their supporters.</w:t>
      </w:r>
      <w:r w:rsidR="00A26EDA" w:rsidRPr="007F43F9">
        <w:rPr>
          <w:rFonts w:cstheme="minorHAnsi"/>
        </w:rPr>
        <w:t xml:space="preserve"> </w:t>
      </w:r>
      <w:r w:rsidRPr="007F43F9">
        <w:rPr>
          <w:rFonts w:cstheme="minorHAnsi"/>
        </w:rPr>
        <w:t xml:space="preserve">The </w:t>
      </w:r>
      <w:r w:rsidR="00B40748" w:rsidRPr="007F43F9">
        <w:rPr>
          <w:rFonts w:cstheme="minorHAnsi"/>
        </w:rPr>
        <w:t>concept of bestiality</w:t>
      </w:r>
      <w:r w:rsidRPr="007F43F9">
        <w:rPr>
          <w:rFonts w:cstheme="minorHAnsi"/>
        </w:rPr>
        <w:t>, for instance,</w:t>
      </w:r>
      <w:r w:rsidR="00B40748" w:rsidRPr="007F43F9">
        <w:rPr>
          <w:rFonts w:cstheme="minorHAnsi"/>
        </w:rPr>
        <w:t xml:space="preserve"> is</w:t>
      </w:r>
      <w:r w:rsidRPr="007F43F9">
        <w:rPr>
          <w:rFonts w:cstheme="minorHAnsi"/>
        </w:rPr>
        <w:t xml:space="preserve"> frequent during the period: </w:t>
      </w:r>
      <w:r w:rsidRPr="007F43F9">
        <w:t xml:space="preserve">after the assassinations of the leaders of the League by Henry III, </w:t>
      </w:r>
      <w:proofErr w:type="spellStart"/>
      <w:r w:rsidRPr="007F43F9">
        <w:t>Mayenne</w:t>
      </w:r>
      <w:proofErr w:type="spellEnd"/>
      <w:r w:rsidRPr="007F43F9">
        <w:t xml:space="preserve"> qualifies these murders as “cruelties and barbarity” perpetrated by the king (B.N.F., </w:t>
      </w:r>
      <w:proofErr w:type="spellStart"/>
      <w:r w:rsidRPr="007F43F9">
        <w:t>Dupuy</w:t>
      </w:r>
      <w:proofErr w:type="spellEnd"/>
      <w:r w:rsidRPr="007F43F9">
        <w:t xml:space="preserve"> 87: f. 279). A pamphlet published after these same events describe them as “cruelties inhumanly exercised” (B.N.F., </w:t>
      </w:r>
      <w:proofErr w:type="spellStart"/>
      <w:r w:rsidRPr="007F43F9">
        <w:rPr>
          <w:i/>
          <w:iCs/>
        </w:rPr>
        <w:t>Contre</w:t>
      </w:r>
      <w:proofErr w:type="spellEnd"/>
      <w:r w:rsidRPr="007F43F9">
        <w:rPr>
          <w:i/>
          <w:iCs/>
        </w:rPr>
        <w:t xml:space="preserve"> les </w:t>
      </w:r>
      <w:proofErr w:type="spellStart"/>
      <w:r w:rsidRPr="007F43F9">
        <w:rPr>
          <w:i/>
          <w:iCs/>
        </w:rPr>
        <w:t>fausses</w:t>
      </w:r>
      <w:proofErr w:type="spellEnd"/>
      <w:r w:rsidRPr="007F43F9">
        <w:rPr>
          <w:i/>
          <w:iCs/>
        </w:rPr>
        <w:t xml:space="preserve"> allegations</w:t>
      </w:r>
      <w:r w:rsidRPr="007F43F9">
        <w:t xml:space="preserve">: 39). In another pamphlet of 1589 the author estimates that the factions and divisions experienced in the kingdom transform the inhabitants from “reasonable men” to “very wild and very cruel beasts” (B.N.F., </w:t>
      </w:r>
      <w:proofErr w:type="spellStart"/>
      <w:r w:rsidRPr="007F43F9">
        <w:t>Dupuy</w:t>
      </w:r>
      <w:proofErr w:type="spellEnd"/>
      <w:r w:rsidRPr="007F43F9">
        <w:t xml:space="preserve"> 203: f. 110). </w:t>
      </w:r>
      <w:r w:rsidRPr="007F43F9">
        <w:rPr>
          <w:rFonts w:cstheme="minorHAnsi"/>
        </w:rPr>
        <w:t xml:space="preserve">The </w:t>
      </w:r>
      <w:proofErr w:type="spellStart"/>
      <w:r w:rsidRPr="007F43F9">
        <w:rPr>
          <w:rFonts w:cstheme="minorHAnsi"/>
        </w:rPr>
        <w:t>remonstrances</w:t>
      </w:r>
      <w:proofErr w:type="spellEnd"/>
      <w:r w:rsidRPr="007F43F9">
        <w:rPr>
          <w:rFonts w:cstheme="minorHAnsi"/>
        </w:rPr>
        <w:t xml:space="preserve"> of the Estates General of 1588 also introduce several similar discourses establishing a link between France and the classic image of the state of nature. In 1598 one such remonstrance explains how those who escaped the troubles “had to take refuge in the woods where they hoped to find more humanity among the brute, savage, and unreasonable beasts than among men that they found without mercy or compassion”.</w:t>
      </w:r>
      <w:r w:rsidRPr="007F43F9">
        <w:rPr>
          <w:rStyle w:val="EndnoteReference"/>
          <w:rFonts w:cstheme="minorHAnsi"/>
        </w:rPr>
        <w:endnoteReference w:id="39"/>
      </w:r>
      <w:r w:rsidRPr="007F43F9">
        <w:rPr>
          <w:rFonts w:cstheme="minorHAnsi"/>
        </w:rPr>
        <w:t xml:space="preserve"> This attack is all the more effective as it plays with the association of the ‘woods’ with savagery and an absence of civility. These expressions contrast the king’s expected sovereign conduct – the attainment of a civil(</w:t>
      </w:r>
      <w:proofErr w:type="spellStart"/>
      <w:r w:rsidRPr="007F43F9">
        <w:rPr>
          <w:rFonts w:cstheme="minorHAnsi"/>
        </w:rPr>
        <w:t>ised</w:t>
      </w:r>
      <w:proofErr w:type="spellEnd"/>
      <w:r w:rsidRPr="007F43F9">
        <w:rPr>
          <w:rFonts w:cstheme="minorHAnsi"/>
        </w:rPr>
        <w:t xml:space="preserve">) state – with his </w:t>
      </w:r>
      <w:r w:rsidR="00B40748" w:rsidRPr="007F43F9">
        <w:rPr>
          <w:rFonts w:cstheme="minorHAnsi"/>
        </w:rPr>
        <w:t>‘</w:t>
      </w:r>
      <w:r w:rsidRPr="007F43F9">
        <w:rPr>
          <w:rFonts w:cstheme="minorHAnsi"/>
          <w:iCs/>
        </w:rPr>
        <w:t>actual</w:t>
      </w:r>
      <w:r w:rsidR="00B40748" w:rsidRPr="007F43F9">
        <w:rPr>
          <w:rFonts w:cstheme="minorHAnsi"/>
          <w:iCs/>
        </w:rPr>
        <w:t>’</w:t>
      </w:r>
      <w:r w:rsidRPr="007F43F9">
        <w:rPr>
          <w:rFonts w:cstheme="minorHAnsi"/>
        </w:rPr>
        <w:t xml:space="preserve"> achievements </w:t>
      </w:r>
      <w:r w:rsidR="00B40748" w:rsidRPr="007F43F9">
        <w:rPr>
          <w:rFonts w:cstheme="minorHAnsi"/>
        </w:rPr>
        <w:t xml:space="preserve">as performed by the League </w:t>
      </w:r>
      <w:r w:rsidRPr="007F43F9">
        <w:rPr>
          <w:rFonts w:cstheme="minorHAnsi"/>
        </w:rPr>
        <w:t>(a disordered and barely social way of life). France, for instance, has lost its attainment of justice: in a public discourse to the Estates one official declares that “we can actually call France the Mother of Laws, but a poor protector of them”.</w:t>
      </w:r>
      <w:r w:rsidRPr="007F43F9">
        <w:rPr>
          <w:rStyle w:val="EndnoteReference"/>
          <w:rFonts w:cstheme="minorHAnsi"/>
        </w:rPr>
        <w:endnoteReference w:id="40"/>
      </w:r>
      <w:r w:rsidRPr="007F43F9">
        <w:t xml:space="preserve"> A remonstrance to the king goes further: “As for what concerns justice (the first firmament of the Kingdom, the anchor of the state, and the main link of love and obedience of the People for its prince), it is not half-perverted but completely gone and lost” in France.</w:t>
      </w:r>
      <w:r w:rsidRPr="007F43F9">
        <w:rPr>
          <w:rStyle w:val="EndnoteReference"/>
        </w:rPr>
        <w:endnoteReference w:id="41"/>
      </w:r>
      <w:r w:rsidRPr="007F43F9">
        <w:t xml:space="preserve"> </w:t>
      </w:r>
    </w:p>
    <w:p w14:paraId="073EEFAE" w14:textId="77777777" w:rsidR="00F51911" w:rsidRPr="007F43F9" w:rsidRDefault="00F51911" w:rsidP="005C1918">
      <w:pPr>
        <w:spacing w:line="300" w:lineRule="auto"/>
        <w:jc w:val="both"/>
        <w:rPr>
          <w:rFonts w:cstheme="minorHAnsi"/>
        </w:rPr>
      </w:pPr>
    </w:p>
    <w:p w14:paraId="09BF1336" w14:textId="77777777" w:rsidR="0046733B" w:rsidRPr="007F43F9" w:rsidRDefault="0046733B" w:rsidP="005C1918">
      <w:pPr>
        <w:spacing w:line="300" w:lineRule="auto"/>
        <w:jc w:val="both"/>
        <w:rPr>
          <w:rFonts w:cstheme="minorHAnsi"/>
        </w:rPr>
      </w:pPr>
    </w:p>
    <w:p w14:paraId="1F250B38" w14:textId="2F427B3C" w:rsidR="00F51911" w:rsidRPr="007F43F9" w:rsidRDefault="00F51911" w:rsidP="009B7479">
      <w:pPr>
        <w:spacing w:line="300" w:lineRule="auto"/>
        <w:jc w:val="both"/>
        <w:rPr>
          <w:rFonts w:cstheme="minorHAnsi"/>
        </w:rPr>
      </w:pPr>
      <w:r w:rsidRPr="007F43F9">
        <w:rPr>
          <w:rFonts w:cstheme="minorHAnsi"/>
        </w:rPr>
        <w:t xml:space="preserve">Having lost justice and what makes a sovereign state </w:t>
      </w:r>
      <w:r w:rsidRPr="007F43F9">
        <w:rPr>
          <w:rFonts w:cstheme="minorHAnsi"/>
          <w:i/>
          <w:iCs/>
        </w:rPr>
        <w:t xml:space="preserve">sovereign </w:t>
      </w:r>
      <w:r w:rsidRPr="007F43F9">
        <w:rPr>
          <w:rFonts w:cstheme="minorHAnsi"/>
        </w:rPr>
        <w:t>the French kingdom becomes mere chaos.</w:t>
      </w:r>
      <w:r w:rsidRPr="007F43F9">
        <w:rPr>
          <w:rStyle w:val="EndnoteReference"/>
          <w:rFonts w:cstheme="minorHAnsi"/>
        </w:rPr>
        <w:endnoteReference w:id="42"/>
      </w:r>
      <w:r w:rsidRPr="007F43F9">
        <w:t xml:space="preserve"> It has lost all the traits of a civilised and sovereign state, in particular its ‘valid’ institutions. The colonial frontier that the kings rely upon is dismantled when the leaguers compare France (and here Paris more specifically) to a new Babylon “without Law, without King, without Justice, where everyone is pulling in </w:t>
      </w:r>
      <w:r w:rsidR="0046733B" w:rsidRPr="007F43F9">
        <w:t>a different</w:t>
      </w:r>
      <w:r w:rsidRPr="007F43F9">
        <w:t xml:space="preserve"> direction”.</w:t>
      </w:r>
      <w:r w:rsidRPr="007F43F9">
        <w:rPr>
          <w:rStyle w:val="EndnoteReference"/>
        </w:rPr>
        <w:endnoteReference w:id="43"/>
      </w:r>
      <w:r w:rsidRPr="007F43F9">
        <w:rPr>
          <w:rFonts w:cstheme="minorHAnsi"/>
        </w:rPr>
        <w:t xml:space="preserve"> </w:t>
      </w:r>
      <w:r w:rsidRPr="007F43F9">
        <w:t>A similar 1985 pamphlet warns the king that his kingdom “is today almost without justice, without order and without police”.</w:t>
      </w:r>
      <w:r w:rsidRPr="007F43F9">
        <w:rPr>
          <w:rStyle w:val="EndnoteReference"/>
        </w:rPr>
        <w:endnoteReference w:id="44"/>
      </w:r>
      <w:r w:rsidRPr="007F43F9">
        <w:t xml:space="preserve"> The attacks against the sovereign king thus take the form of a fully-fledged depiction of ‘savagery’ in France, like in this 1589 treatise of Louis de </w:t>
      </w:r>
      <w:proofErr w:type="spellStart"/>
      <w:r w:rsidRPr="007F43F9">
        <w:t>Gonzague</w:t>
      </w:r>
      <w:proofErr w:type="spellEnd"/>
      <w:r w:rsidRPr="007F43F9">
        <w:t xml:space="preserve"> (a fervent Catholic):</w:t>
      </w:r>
    </w:p>
    <w:p w14:paraId="6B2C1FF5" w14:textId="77777777" w:rsidR="00F51911" w:rsidRPr="007F43F9" w:rsidRDefault="00F51911" w:rsidP="005C1918">
      <w:pPr>
        <w:spacing w:line="300" w:lineRule="auto"/>
        <w:jc w:val="both"/>
      </w:pPr>
    </w:p>
    <w:p w14:paraId="16D2F830" w14:textId="1929C22F" w:rsidR="00F51911" w:rsidRPr="007F43F9" w:rsidRDefault="00F51911" w:rsidP="005C1918">
      <w:pPr>
        <w:spacing w:line="300" w:lineRule="auto"/>
        <w:ind w:left="720"/>
        <w:jc w:val="both"/>
        <w:rPr>
          <w:rFonts w:cstheme="minorHAnsi"/>
        </w:rPr>
      </w:pPr>
      <w:r w:rsidRPr="007F43F9">
        <w:rPr>
          <w:rFonts w:cstheme="minorHAnsi"/>
        </w:rPr>
        <w:t>[</w:t>
      </w:r>
      <w:r w:rsidRPr="007F43F9">
        <w:t>the consequences of the current troubles are</w:t>
      </w:r>
      <w:r w:rsidRPr="007F43F9">
        <w:rPr>
          <w:rFonts w:cstheme="minorHAnsi"/>
        </w:rPr>
        <w:t xml:space="preserve">] the entire desolation of this kingdom, so flourishing and formidable to all nations, be they Christian, barbaric or infidel; the depravation of the ecclesiastical discipline; the ruin of several beautiful and important buildings; the cessation of justice, trade, ploughing, communication that we used to have among ourselves (B.N.F., </w:t>
      </w:r>
      <w:proofErr w:type="spellStart"/>
      <w:r w:rsidRPr="007F43F9">
        <w:t>Dupuy</w:t>
      </w:r>
      <w:proofErr w:type="spellEnd"/>
      <w:r w:rsidRPr="007F43F9">
        <w:t xml:space="preserve"> 579: f. 104v-105).</w:t>
      </w:r>
    </w:p>
    <w:p w14:paraId="3687F86B" w14:textId="77777777" w:rsidR="00F51911" w:rsidRPr="007F43F9" w:rsidRDefault="00F51911" w:rsidP="005C1918">
      <w:pPr>
        <w:spacing w:line="300" w:lineRule="auto"/>
        <w:rPr>
          <w:rFonts w:cstheme="minorHAnsi"/>
        </w:rPr>
      </w:pPr>
    </w:p>
    <w:p w14:paraId="10114341" w14:textId="4829B8A3" w:rsidR="00F51911" w:rsidRPr="007F43F9" w:rsidRDefault="00F51911" w:rsidP="00044BCA">
      <w:pPr>
        <w:spacing w:line="300" w:lineRule="auto"/>
        <w:jc w:val="both"/>
        <w:rPr>
          <w:rFonts w:cstheme="minorHAnsi"/>
        </w:rPr>
      </w:pPr>
      <w:r w:rsidRPr="007F43F9">
        <w:rPr>
          <w:rFonts w:cstheme="minorHAnsi"/>
        </w:rPr>
        <w:t xml:space="preserve">The different elements of this sentence are worth noticing: an absence of religion, of justice, of arts and of agriculture. All the institutions of a civilised – and thus sovereign – society seems therefore lost in France, a clear accusation against the king and his rule. In one of the most violent texts published against the king one pamphleteer accuses him of ‘sorcery’ and of being influenced by the devil. This is added to a charge against the ‘cannibal’ advisors that surround the king (all references are from </w:t>
      </w:r>
      <w:r w:rsidRPr="007F43F9">
        <w:t xml:space="preserve">B.N.F., </w:t>
      </w:r>
      <w:proofErr w:type="spellStart"/>
      <w:r w:rsidRPr="007F43F9">
        <w:rPr>
          <w:i/>
          <w:iCs/>
        </w:rPr>
        <w:t>Contre</w:t>
      </w:r>
      <w:proofErr w:type="spellEnd"/>
      <w:r w:rsidRPr="007F43F9">
        <w:rPr>
          <w:i/>
          <w:iCs/>
        </w:rPr>
        <w:t xml:space="preserve"> les </w:t>
      </w:r>
      <w:proofErr w:type="spellStart"/>
      <w:r w:rsidRPr="007F43F9">
        <w:rPr>
          <w:i/>
          <w:iCs/>
        </w:rPr>
        <w:t>fausses</w:t>
      </w:r>
      <w:proofErr w:type="spellEnd"/>
      <w:r w:rsidRPr="007F43F9">
        <w:rPr>
          <w:i/>
          <w:iCs/>
        </w:rPr>
        <w:t xml:space="preserve"> allegations</w:t>
      </w:r>
      <w:r w:rsidRPr="007F43F9">
        <w:t>: 20, 22, 34, 38, 43 and 48).</w:t>
      </w:r>
      <w:r w:rsidRPr="007F43F9">
        <w:rPr>
          <w:rStyle w:val="EndnoteReference"/>
        </w:rPr>
        <w:endnoteReference w:id="45"/>
      </w:r>
      <w:r w:rsidRPr="007F43F9">
        <w:t xml:space="preserve"> The League is thus using the classical ideas of savagery and ‘state of nature’ to delegitimise the sovereignty of the king. In doing so they directly erase or rather </w:t>
      </w:r>
      <w:r w:rsidR="007F401B" w:rsidRPr="007F43F9">
        <w:rPr>
          <w:i/>
        </w:rPr>
        <w:t>invert</w:t>
      </w:r>
      <w:r w:rsidRPr="007F43F9">
        <w:t xml:space="preserve"> the colonial frontier that the kings rely upon in order to justify their civilised sovereignty.</w:t>
      </w:r>
    </w:p>
    <w:p w14:paraId="0B173F7F" w14:textId="77777777" w:rsidR="00F51911" w:rsidRPr="007F43F9" w:rsidRDefault="00F51911" w:rsidP="005C1918">
      <w:pPr>
        <w:spacing w:line="300" w:lineRule="auto"/>
        <w:jc w:val="both"/>
      </w:pPr>
    </w:p>
    <w:p w14:paraId="15EB93FA" w14:textId="77777777" w:rsidR="00F51911" w:rsidRPr="007F43F9" w:rsidRDefault="00F51911" w:rsidP="005C1918">
      <w:pPr>
        <w:spacing w:line="300" w:lineRule="auto"/>
        <w:jc w:val="both"/>
      </w:pPr>
    </w:p>
    <w:p w14:paraId="09989113" w14:textId="77777777" w:rsidR="00F51911" w:rsidRPr="007F43F9" w:rsidRDefault="00F51911" w:rsidP="005C1918">
      <w:pPr>
        <w:spacing w:line="300" w:lineRule="auto"/>
        <w:jc w:val="both"/>
      </w:pPr>
    </w:p>
    <w:p w14:paraId="436AA5F9" w14:textId="2A9D4355" w:rsidR="00F51911" w:rsidRPr="007F43F9" w:rsidRDefault="00E53E77" w:rsidP="005B4D29">
      <w:pPr>
        <w:pStyle w:val="Heading2"/>
        <w:spacing w:before="0" w:line="300" w:lineRule="auto"/>
        <w:rPr>
          <w:color w:val="auto"/>
        </w:rPr>
      </w:pPr>
      <w:r w:rsidRPr="007F43F9">
        <w:rPr>
          <w:rFonts w:asciiTheme="minorHAnsi" w:hAnsiTheme="minorHAnsi"/>
          <w:color w:val="auto"/>
          <w:sz w:val="28"/>
          <w:szCs w:val="28"/>
        </w:rPr>
        <w:t>Savagery in France and in America</w:t>
      </w:r>
    </w:p>
    <w:p w14:paraId="4710E762" w14:textId="77777777" w:rsidR="00F51911" w:rsidRPr="007F43F9" w:rsidRDefault="00F51911" w:rsidP="005C1918">
      <w:pPr>
        <w:spacing w:line="300" w:lineRule="auto"/>
        <w:jc w:val="both"/>
      </w:pPr>
    </w:p>
    <w:p w14:paraId="684A4E25" w14:textId="77777777" w:rsidR="00F51911" w:rsidRPr="007F43F9" w:rsidRDefault="00F51911" w:rsidP="005C1918">
      <w:pPr>
        <w:spacing w:line="300" w:lineRule="auto"/>
        <w:jc w:val="both"/>
      </w:pPr>
    </w:p>
    <w:p w14:paraId="28044AF4" w14:textId="573EDDC0" w:rsidR="00F51911" w:rsidRPr="007F43F9" w:rsidRDefault="00F51911" w:rsidP="009B7479">
      <w:pPr>
        <w:spacing w:line="300" w:lineRule="auto"/>
        <w:jc w:val="both"/>
      </w:pPr>
      <w:r w:rsidRPr="007F43F9">
        <w:t>This bleak image of the French kingdom is particularly striking insofar as it moves France dangerously close to the peoples recently ‘discovered’ in America. Indeed, the discursive elements used by the League reveal the presence of a (supposedly external) savagery inside of France. In order to explore more fully this resemblance I introduce here some of the ideas used by the French to construct their ‘external’ sovereignty over the ‘savages’ of Canada. These ideas were developed</w:t>
      </w:r>
      <w:r w:rsidR="009832CB" w:rsidRPr="007F43F9">
        <w:t xml:space="preserve"> when the French first came into contact with the Amerindians</w:t>
      </w:r>
      <w:r w:rsidRPr="007F43F9">
        <w:t xml:space="preserve"> in the 16</w:t>
      </w:r>
      <w:r w:rsidRPr="007F43F9">
        <w:rPr>
          <w:vertAlign w:val="superscript"/>
        </w:rPr>
        <w:t>th</w:t>
      </w:r>
      <w:r w:rsidRPr="007F43F9">
        <w:t xml:space="preserve"> and first quarter of the 17</w:t>
      </w:r>
      <w:r w:rsidRPr="007F43F9">
        <w:rPr>
          <w:vertAlign w:val="superscript"/>
        </w:rPr>
        <w:t>th</w:t>
      </w:r>
      <w:r w:rsidRPr="007F43F9">
        <w:t xml:space="preserve"> centuries and were thus contemporary to the ‘domestic’ struggles analysed in the previous section.</w:t>
      </w:r>
      <w:r w:rsidR="009B0BE8" w:rsidRPr="007F43F9">
        <w:rPr>
          <w:rStyle w:val="EndnoteReference"/>
          <w:bCs/>
        </w:rPr>
        <w:endnoteReference w:id="46"/>
      </w:r>
      <w:r w:rsidR="009B0BE8" w:rsidRPr="007F43F9">
        <w:t xml:space="preserve"> While </w:t>
      </w:r>
      <w:r w:rsidR="00E562A6" w:rsidRPr="007F43F9">
        <w:t>there is not a p</w:t>
      </w:r>
      <w:r w:rsidR="009B0BE8" w:rsidRPr="007F43F9">
        <w:t>erfect analogy between the</w:t>
      </w:r>
      <w:r w:rsidR="00E562A6" w:rsidRPr="007F43F9">
        <w:t>se</w:t>
      </w:r>
      <w:r w:rsidR="009B0BE8" w:rsidRPr="007F43F9">
        <w:t xml:space="preserve"> two cases </w:t>
      </w:r>
      <w:r w:rsidR="00E562A6" w:rsidRPr="007F43F9">
        <w:t>because of</w:t>
      </w:r>
      <w:r w:rsidR="009B0BE8" w:rsidRPr="007F43F9">
        <w:t xml:space="preserve"> the stark inequality of position suffered by the Amerindians, this section</w:t>
      </w:r>
      <w:r w:rsidRPr="007F43F9">
        <w:t xml:space="preserve"> demonstrates that the </w:t>
      </w:r>
      <w:r w:rsidR="00D4677A" w:rsidRPr="007F43F9">
        <w:t xml:space="preserve">discursive </w:t>
      </w:r>
      <w:r w:rsidRPr="007F43F9">
        <w:t xml:space="preserve">elements used to perform the state of nature of the Amerindians are similar to </w:t>
      </w:r>
      <w:r w:rsidR="00A50308" w:rsidRPr="007F43F9">
        <w:t xml:space="preserve">the discursive elements used </w:t>
      </w:r>
      <w:r w:rsidRPr="007F43F9">
        <w:t>by the kings’ adversaries at the end of the 16</w:t>
      </w:r>
      <w:r w:rsidRPr="007F43F9">
        <w:rPr>
          <w:vertAlign w:val="superscript"/>
        </w:rPr>
        <w:t>th</w:t>
      </w:r>
      <w:r w:rsidR="009B0BE8" w:rsidRPr="007F43F9">
        <w:t xml:space="preserve"> century</w:t>
      </w:r>
      <w:r w:rsidR="00D4677A" w:rsidRPr="007F43F9">
        <w:t>. The closeness of these ideas (demonstrated in this section) will later facilitate the invocation of this external colonial frontier in the context of the domestic struggle over sovereignty.</w:t>
      </w:r>
    </w:p>
    <w:p w14:paraId="37148206" w14:textId="77777777" w:rsidR="00F51911" w:rsidRPr="007F43F9" w:rsidRDefault="00F51911" w:rsidP="00295EDC">
      <w:pPr>
        <w:spacing w:line="300" w:lineRule="auto"/>
        <w:jc w:val="both"/>
      </w:pPr>
    </w:p>
    <w:p w14:paraId="49E65D81" w14:textId="77777777" w:rsidR="00295EDC" w:rsidRPr="007F43F9" w:rsidRDefault="00295EDC" w:rsidP="00295EDC">
      <w:pPr>
        <w:spacing w:line="300" w:lineRule="auto"/>
        <w:jc w:val="both"/>
      </w:pPr>
    </w:p>
    <w:p w14:paraId="28CD03FC" w14:textId="74884091" w:rsidR="00F51911" w:rsidRPr="007F43F9" w:rsidRDefault="00F51911" w:rsidP="009B7479">
      <w:pPr>
        <w:spacing w:line="300" w:lineRule="auto"/>
        <w:jc w:val="both"/>
        <w:rPr>
          <w:rFonts w:cs="Calibri"/>
        </w:rPr>
      </w:pPr>
      <w:r w:rsidRPr="007F43F9">
        <w:t xml:space="preserve">The first striking element of similarity is that of misery and </w:t>
      </w:r>
      <w:r w:rsidR="003903B2" w:rsidRPr="007F43F9">
        <w:t xml:space="preserve">social </w:t>
      </w:r>
      <w:r w:rsidRPr="007F43F9">
        <w:t xml:space="preserve">disorder. The lack of sovereignty of the king(s) is regularly associated with a lack of social order that French explorers also found among the Amerindians. </w:t>
      </w:r>
      <w:proofErr w:type="spellStart"/>
      <w:r w:rsidRPr="007F43F9">
        <w:t>Biard</w:t>
      </w:r>
      <w:proofErr w:type="spellEnd"/>
      <w:r w:rsidRPr="007F43F9">
        <w:t xml:space="preserve"> for instance discusses the </w:t>
      </w:r>
      <w:r w:rsidRPr="007F43F9">
        <w:rPr>
          <w:i/>
          <w:iCs/>
        </w:rPr>
        <w:t>police</w:t>
      </w:r>
      <w:r w:rsidRPr="007F43F9">
        <w:t xml:space="preserve"> (i.e. the government or administration) of the Amerindians in the following terms: “One cannot have a </w:t>
      </w:r>
      <w:r w:rsidRPr="007F43F9">
        <w:rPr>
          <w:i/>
        </w:rPr>
        <w:t>police</w:t>
      </w:r>
      <w:r w:rsidRPr="007F43F9">
        <w:t xml:space="preserve"> in the absence of a community (…) Yet these savages having no big community, living one day at a time, not being linked to one another, because they are scattered and vagabonds, so they cannot have a great </w:t>
      </w:r>
      <w:r w:rsidRPr="007F43F9">
        <w:rPr>
          <w:i/>
        </w:rPr>
        <w:t>police</w:t>
      </w:r>
      <w:r w:rsidRPr="007F43F9">
        <w:t>”.</w:t>
      </w:r>
      <w:r w:rsidRPr="007F43F9">
        <w:rPr>
          <w:rStyle w:val="EndnoteReference"/>
        </w:rPr>
        <w:endnoteReference w:id="47"/>
      </w:r>
      <w:r w:rsidRPr="007F43F9">
        <w:rPr>
          <w:rFonts w:cs="Calibri"/>
          <w:b/>
          <w:bCs/>
        </w:rPr>
        <w:t xml:space="preserve"> </w:t>
      </w:r>
      <w:r w:rsidRPr="007F43F9">
        <w:rPr>
          <w:rFonts w:cs="Calibri"/>
        </w:rPr>
        <w:t>The poverty and misery of the Fr</w:t>
      </w:r>
      <w:r w:rsidR="00444A99" w:rsidRPr="007F43F9">
        <w:rPr>
          <w:rFonts w:cs="Calibri"/>
        </w:rPr>
        <w:t xml:space="preserve">ench people are also signs reminiscent of </w:t>
      </w:r>
      <w:r w:rsidRPr="007F43F9">
        <w:rPr>
          <w:rFonts w:cs="Calibri"/>
        </w:rPr>
        <w:t>the Amerindians. The French generally consider the Amerindians to live a miserable life characterised by famine and hunger,</w:t>
      </w:r>
      <w:r w:rsidRPr="007F43F9">
        <w:rPr>
          <w:rStyle w:val="EndnoteReference"/>
          <w:rFonts w:cs="Calibri"/>
        </w:rPr>
        <w:endnoteReference w:id="48"/>
      </w:r>
      <w:r w:rsidRPr="007F43F9">
        <w:rPr>
          <w:rFonts w:cs="Calibri"/>
        </w:rPr>
        <w:t xml:space="preserve"> a situation that is similar to the performed state of the kingdom. The use of references to the ‘woods’ is also one of the tropes of French discourses about the Amerindians that is commonly used by the League in its attacks against the king(s).</w:t>
      </w:r>
    </w:p>
    <w:p w14:paraId="259E07BD" w14:textId="77777777" w:rsidR="00295EDC" w:rsidRPr="007F43F9" w:rsidRDefault="00295EDC" w:rsidP="009B7479">
      <w:pPr>
        <w:spacing w:line="300" w:lineRule="auto"/>
        <w:jc w:val="both"/>
      </w:pPr>
    </w:p>
    <w:p w14:paraId="476A5E63" w14:textId="77777777" w:rsidR="00F51911" w:rsidRPr="007F43F9" w:rsidRDefault="00F51911" w:rsidP="005C1918">
      <w:pPr>
        <w:spacing w:line="300" w:lineRule="auto"/>
        <w:jc w:val="both"/>
      </w:pPr>
    </w:p>
    <w:p w14:paraId="7C8F5267" w14:textId="0FF0C569" w:rsidR="00F51911" w:rsidRPr="007F43F9" w:rsidRDefault="00F51911" w:rsidP="00E73339">
      <w:pPr>
        <w:spacing w:line="300" w:lineRule="auto"/>
        <w:jc w:val="both"/>
        <w:rPr>
          <w:rFonts w:cs="Calibri"/>
        </w:rPr>
      </w:pPr>
      <w:r w:rsidRPr="007F43F9">
        <w:t xml:space="preserve">The resemblance also extends to the state of war performed by the king’s adversaries: the repeated references to civil war inside of France offer a striking parallel between the (supposedly) civilised French and the performed savagery of the Amerindians. Indeed, the fact that the French are waging unjust wars among themselves seems to mirror the Amerindians’ ‘natural’ and ‘uncivilised’ warfare. Just like the French civil war the Amerindian wars are considered irrational since they are not motivated by legitimate reasons. As </w:t>
      </w:r>
      <w:proofErr w:type="spellStart"/>
      <w:r w:rsidRPr="007F43F9">
        <w:t>Sagard</w:t>
      </w:r>
      <w:proofErr w:type="spellEnd"/>
      <w:r w:rsidRPr="007F43F9">
        <w:t xml:space="preserve"> explains:</w:t>
      </w:r>
    </w:p>
    <w:p w14:paraId="215935F3" w14:textId="77777777" w:rsidR="00F51911" w:rsidRPr="007F43F9" w:rsidRDefault="00F51911" w:rsidP="005C1918">
      <w:pPr>
        <w:spacing w:line="300" w:lineRule="auto"/>
        <w:rPr>
          <w:rFonts w:cs="Calibri"/>
        </w:rPr>
      </w:pPr>
    </w:p>
    <w:p w14:paraId="767780C4" w14:textId="0249447C" w:rsidR="00F51911" w:rsidRPr="007F43F9" w:rsidRDefault="00F51911" w:rsidP="005C1918">
      <w:pPr>
        <w:spacing w:line="300" w:lineRule="auto"/>
        <w:ind w:left="720"/>
        <w:jc w:val="both"/>
        <w:rPr>
          <w:rFonts w:cs="Calibri"/>
        </w:rPr>
      </w:pPr>
      <w:r w:rsidRPr="007F43F9">
        <w:rPr>
          <w:rFonts w:cs="Calibri"/>
        </w:rPr>
        <w:t>There is almost no nation that is not fighting or in discord with the others, not because they want to possess their lands or conquer their country; but only to exterminate them when they can and take revenge for small wrongdoings or displeasures which are of negligible importance; but their bad [social] order and the fact that they do not punish the faulty citizens is the source of all this evil.</w:t>
      </w:r>
      <w:r w:rsidRPr="007F43F9">
        <w:rPr>
          <w:rStyle w:val="EndnoteReference"/>
          <w:rFonts w:cs="Calibri"/>
        </w:rPr>
        <w:endnoteReference w:id="49"/>
      </w:r>
    </w:p>
    <w:p w14:paraId="6193E912" w14:textId="77777777" w:rsidR="00F51911" w:rsidRPr="007F43F9" w:rsidRDefault="00F51911" w:rsidP="005C1918">
      <w:pPr>
        <w:spacing w:line="300" w:lineRule="auto"/>
        <w:jc w:val="both"/>
        <w:rPr>
          <w:rFonts w:cs="Calibri"/>
          <w:b/>
          <w:bCs/>
        </w:rPr>
      </w:pPr>
    </w:p>
    <w:p w14:paraId="026139C6" w14:textId="46F0560A" w:rsidR="00F51911" w:rsidRPr="007F43F9" w:rsidRDefault="00F51911" w:rsidP="001C0D9C">
      <w:pPr>
        <w:spacing w:line="300" w:lineRule="auto"/>
        <w:jc w:val="both"/>
      </w:pPr>
      <w:r w:rsidRPr="007F43F9">
        <w:rPr>
          <w:rFonts w:cs="Calibri"/>
        </w:rPr>
        <w:t>These small internal conflicts – which are also a sign of the Amerindians’ lack of civil society and institutional organisation (</w:t>
      </w:r>
      <w:r w:rsidRPr="007F43F9">
        <w:t xml:space="preserve">B.N.F., Rothschild 1967: tome 1: 295) – are not considered as a </w:t>
      </w:r>
      <w:r w:rsidR="006144D1" w:rsidRPr="007F43F9">
        <w:t>just</w:t>
      </w:r>
      <w:r w:rsidRPr="007F43F9">
        <w:t xml:space="preserve"> reason to go to war. Furthermore, these wars are not fought in legitimate (European) ways: for </w:t>
      </w:r>
      <w:proofErr w:type="spellStart"/>
      <w:r w:rsidRPr="007F43F9">
        <w:t>Biard</w:t>
      </w:r>
      <w:proofErr w:type="spellEnd"/>
      <w:r w:rsidRPr="007F43F9">
        <w:t>, the Amerindians always attack by surprise and also use treason.</w:t>
      </w:r>
      <w:r w:rsidRPr="007F43F9">
        <w:rPr>
          <w:rStyle w:val="EndnoteReference"/>
        </w:rPr>
        <w:endnoteReference w:id="50"/>
      </w:r>
      <w:r w:rsidRPr="007F43F9">
        <w:t xml:space="preserve"> Nevertheless, and in an ironic way, these characteristics – internal struggles, irrationality and treason – also apply to the internal French situation: the murder of the League leaders by Henry III is considered </w:t>
      </w:r>
      <w:proofErr w:type="gramStart"/>
      <w:r w:rsidRPr="007F43F9">
        <w:t>a treason</w:t>
      </w:r>
      <w:proofErr w:type="gramEnd"/>
      <w:r w:rsidRPr="007F43F9">
        <w:t xml:space="preserve"> and the existence of various ‘factions’ in France an unacceptable division of the French people. If the French perceive </w:t>
      </w:r>
      <w:r w:rsidR="00295EDC" w:rsidRPr="007F43F9">
        <w:t xml:space="preserve">these </w:t>
      </w:r>
      <w:r w:rsidRPr="007F43F9">
        <w:t xml:space="preserve">Amerindian wars as ‘unnecessary violence’, their characterisation as ‘savage warfare’ seems to similarly apply to their own </w:t>
      </w:r>
      <w:r w:rsidR="00F26EF5" w:rsidRPr="007F43F9">
        <w:t>domestic</w:t>
      </w:r>
      <w:r w:rsidRPr="007F43F9">
        <w:t xml:space="preserve"> struggles.</w:t>
      </w:r>
    </w:p>
    <w:p w14:paraId="495BB960" w14:textId="77777777" w:rsidR="00295EDC" w:rsidRPr="007F43F9" w:rsidRDefault="00295EDC" w:rsidP="001C0D9C">
      <w:pPr>
        <w:spacing w:line="300" w:lineRule="auto"/>
        <w:jc w:val="both"/>
      </w:pPr>
    </w:p>
    <w:p w14:paraId="2C3807C8" w14:textId="77777777" w:rsidR="00F51911" w:rsidRPr="007F43F9" w:rsidRDefault="00F51911" w:rsidP="005C1918">
      <w:pPr>
        <w:spacing w:line="300" w:lineRule="auto"/>
        <w:jc w:val="both"/>
      </w:pPr>
    </w:p>
    <w:p w14:paraId="612BEB85" w14:textId="59E0D946" w:rsidR="00F51911" w:rsidRPr="007F43F9" w:rsidRDefault="00F51911" w:rsidP="00B8552D">
      <w:pPr>
        <w:spacing w:line="300" w:lineRule="auto"/>
        <w:jc w:val="both"/>
      </w:pPr>
      <w:r w:rsidRPr="007F43F9">
        <w:t xml:space="preserve">More generally, the king’s adversaries perform an absence of justice in the kingdom, an interruption of religious practice, and a clear lack of what makes the French civilised (in particular agriculture and trade). All three elements are also central in performing the Amerindian state of nature. The absence of justice in France is mirrored by the absence of law in Canada: </w:t>
      </w:r>
      <w:r w:rsidRPr="007F43F9">
        <w:rPr>
          <w:rFonts w:cs="Calibri"/>
        </w:rPr>
        <w:t>“These people in the main have no law, from what I could see”.</w:t>
      </w:r>
      <w:r w:rsidRPr="007F43F9">
        <w:rPr>
          <w:rStyle w:val="EndnoteReference"/>
          <w:rFonts w:cs="Calibri"/>
        </w:rPr>
        <w:endnoteReference w:id="51"/>
      </w:r>
      <w:r w:rsidRPr="007F43F9">
        <w:rPr>
          <w:rFonts w:cs="Calibri"/>
        </w:rPr>
        <w:t xml:space="preserve"> Describing a group of Amerindians, Champlain adds: “I do not know what law they uphold, and I believe that for that matter they resemble their neighbours, who do not have a law at all” (</w:t>
      </w:r>
      <w:r w:rsidRPr="007F43F9">
        <w:t xml:space="preserve">B.N.F., Rothschild 1967: tome 1: 85). </w:t>
      </w:r>
      <w:r w:rsidRPr="007F43F9">
        <w:rPr>
          <w:rFonts w:cs="Calibri"/>
        </w:rPr>
        <w:t>For others, their only law is to follow nature and the Amerindians live according to their natural instinct.</w:t>
      </w:r>
      <w:r w:rsidRPr="007F43F9">
        <w:rPr>
          <w:rStyle w:val="EndnoteReference"/>
          <w:rFonts w:cs="Calibri"/>
        </w:rPr>
        <w:endnoteReference w:id="52"/>
      </w:r>
      <w:r w:rsidRPr="007F43F9">
        <w:t xml:space="preserve"> When François I sends explorers to take possession of Canada in 1540 he also mentions this absence of justice and instructs his men to </w:t>
      </w:r>
      <w:r w:rsidRPr="007F43F9">
        <w:rPr>
          <w:rFonts w:cs="Calibri"/>
        </w:rPr>
        <w:t>“</w:t>
      </w:r>
      <w:r w:rsidRPr="007F43F9">
        <w:t xml:space="preserve">establish laws and justice officers to make them live reasonably and in the love of God” </w:t>
      </w:r>
      <w:r w:rsidRPr="007F43F9">
        <w:rPr>
          <w:rFonts w:cs="Calibri"/>
        </w:rPr>
        <w:t xml:space="preserve">(B.N.F., </w:t>
      </w:r>
      <w:proofErr w:type="spellStart"/>
      <w:r w:rsidRPr="007F43F9">
        <w:rPr>
          <w:rFonts w:cs="Calibri"/>
        </w:rPr>
        <w:t>Français</w:t>
      </w:r>
      <w:proofErr w:type="spellEnd"/>
      <w:r w:rsidRPr="007F43F9">
        <w:rPr>
          <w:rFonts w:cs="Calibri"/>
        </w:rPr>
        <w:t xml:space="preserve"> 5503, f. 190).</w:t>
      </w:r>
    </w:p>
    <w:p w14:paraId="24437FB4" w14:textId="77777777" w:rsidR="00F51911" w:rsidRPr="007F43F9" w:rsidRDefault="00F51911" w:rsidP="005C1918">
      <w:pPr>
        <w:spacing w:line="300" w:lineRule="auto"/>
        <w:jc w:val="both"/>
      </w:pPr>
    </w:p>
    <w:p w14:paraId="5EE36DAB" w14:textId="77777777" w:rsidR="00295EDC" w:rsidRPr="007F43F9" w:rsidRDefault="00295EDC" w:rsidP="005C1918">
      <w:pPr>
        <w:spacing w:line="300" w:lineRule="auto"/>
        <w:jc w:val="both"/>
      </w:pPr>
    </w:p>
    <w:p w14:paraId="317D8DE2" w14:textId="1988AFF6" w:rsidR="00F51911" w:rsidRPr="007F43F9" w:rsidRDefault="00F51911" w:rsidP="00B8552D">
      <w:pPr>
        <w:spacing w:line="300" w:lineRule="auto"/>
        <w:jc w:val="both"/>
      </w:pPr>
      <w:r w:rsidRPr="007F43F9">
        <w:t>This absence of law on both sides of the Atlantic is aggravated by the performed disrespect for religion (an accusation that is all the more important in the context of the War of Religion). Despite the portrayal of religion as central to the existence of a ‘civilised’ society</w:t>
      </w:r>
      <w:r w:rsidRPr="007F43F9">
        <w:rPr>
          <w:rStyle w:val="EndnoteReference"/>
        </w:rPr>
        <w:endnoteReference w:id="53"/>
      </w:r>
      <w:r w:rsidRPr="007F43F9">
        <w:t xml:space="preserve"> it appears clearly that the French are similar to the Amerindians in their disregard for religious practices. The texts about the Amerindians regularly mention the absence of religion among them: </w:t>
      </w:r>
      <w:r w:rsidRPr="007F43F9">
        <w:rPr>
          <w:rFonts w:cs="Calibri"/>
        </w:rPr>
        <w:t xml:space="preserve">Verrazano writes that “We did not see that they did sacrifices or prayers or </w:t>
      </w:r>
      <w:proofErr w:type="gramStart"/>
      <w:r w:rsidRPr="007F43F9">
        <w:rPr>
          <w:rFonts w:cs="Calibri"/>
        </w:rPr>
        <w:t>that</w:t>
      </w:r>
      <w:proofErr w:type="gramEnd"/>
      <w:r w:rsidRPr="007F43F9">
        <w:rPr>
          <w:rFonts w:cs="Calibri"/>
        </w:rPr>
        <w:t xml:space="preserve"> they possessed temples or places for cult”.</w:t>
      </w:r>
      <w:r w:rsidRPr="007F43F9">
        <w:rPr>
          <w:rStyle w:val="EndnoteReference"/>
          <w:rFonts w:cs="Calibri"/>
        </w:rPr>
        <w:endnoteReference w:id="54"/>
      </w:r>
      <w:r w:rsidRPr="007F43F9">
        <w:rPr>
          <w:rFonts w:cs="Calibri"/>
        </w:rPr>
        <w:t xml:space="preserve"> Almost a century later, Champlain reiterates what has become a widespread opinion: the Amerindians “do not know how to adore nor pray God, living like brutal beasts” (</w:t>
      </w:r>
      <w:r w:rsidRPr="007F43F9">
        <w:t xml:space="preserve">B.N.F., Rothschild 1967: tome 1, 126). </w:t>
      </w:r>
      <w:r w:rsidRPr="007F43F9">
        <w:rPr>
          <w:rFonts w:cs="Calibri"/>
        </w:rPr>
        <w:t>Hence it is established as a fact that</w:t>
      </w:r>
      <w:r w:rsidRPr="007F43F9">
        <w:t xml:space="preserve"> this “brutish people” has “neither ceremony nor any form of praying God”.</w:t>
      </w:r>
      <w:r w:rsidRPr="007F43F9">
        <w:rPr>
          <w:rStyle w:val="EndnoteReference"/>
        </w:rPr>
        <w:endnoteReference w:id="55"/>
      </w:r>
      <w:r w:rsidRPr="007F43F9">
        <w:t xml:space="preserve"> But instead of creating a stark contrast with the French these very accusations can be found in the French context in order to delegitimise the sovereignty of the king(s); religious persecutions, attacks against priests, interruption of the divine service and more broadly a lack of respect for religion are central elements that</w:t>
      </w:r>
      <w:r w:rsidR="00295EDC" w:rsidRPr="007F43F9">
        <w:t xml:space="preserve"> </w:t>
      </w:r>
      <w:r w:rsidR="00552EB9" w:rsidRPr="007F43F9">
        <w:t xml:space="preserve">are </w:t>
      </w:r>
      <w:r w:rsidR="00295EDC" w:rsidRPr="007F43F9">
        <w:t>used to</w:t>
      </w:r>
      <w:r w:rsidRPr="007F43F9">
        <w:t xml:space="preserve"> characterise the French kingdom </w:t>
      </w:r>
      <w:r w:rsidR="00295EDC" w:rsidRPr="007F43F9">
        <w:t>by</w:t>
      </w:r>
      <w:r w:rsidRPr="007F43F9">
        <w:t xml:space="preserve"> the League.</w:t>
      </w:r>
    </w:p>
    <w:p w14:paraId="7A46D039" w14:textId="77777777" w:rsidR="00F51911" w:rsidRPr="007F43F9" w:rsidRDefault="00F51911" w:rsidP="005C1918">
      <w:pPr>
        <w:spacing w:line="300" w:lineRule="auto"/>
        <w:jc w:val="both"/>
      </w:pPr>
    </w:p>
    <w:p w14:paraId="55A4DE6C" w14:textId="77777777" w:rsidR="00C615AA" w:rsidRPr="007F43F9" w:rsidRDefault="00C615AA" w:rsidP="005C1918">
      <w:pPr>
        <w:spacing w:line="300" w:lineRule="auto"/>
        <w:jc w:val="both"/>
      </w:pPr>
    </w:p>
    <w:p w14:paraId="13BEB351" w14:textId="63444246" w:rsidR="00F51911" w:rsidRPr="007F43F9" w:rsidRDefault="00ED309A" w:rsidP="009B7479">
      <w:pPr>
        <w:spacing w:line="300" w:lineRule="auto"/>
        <w:jc w:val="both"/>
        <w:rPr>
          <w:rFonts w:cs="Calibri"/>
        </w:rPr>
      </w:pPr>
      <w:r w:rsidRPr="007F43F9">
        <w:t>Ultimately, the</w:t>
      </w:r>
      <w:r w:rsidR="00F51911" w:rsidRPr="007F43F9">
        <w:t xml:space="preserve"> troubles deprive France of all the attributes of civilisation, in particular of agriculture and commerce. </w:t>
      </w:r>
      <w:proofErr w:type="gramStart"/>
      <w:r w:rsidR="00F51911" w:rsidRPr="007F43F9">
        <w:t xml:space="preserve">Just as land becomes uncultivated in France due to civil unrest </w:t>
      </w:r>
      <w:r w:rsidR="00F51911" w:rsidRPr="007F43F9">
        <w:rPr>
          <w:rFonts w:cs="Calibri"/>
        </w:rPr>
        <w:t>the Amerindians “do not plough the land”.</w:t>
      </w:r>
      <w:proofErr w:type="gramEnd"/>
      <w:r w:rsidR="00F51911" w:rsidRPr="007F43F9">
        <w:rPr>
          <w:rStyle w:val="EndnoteReference"/>
          <w:rFonts w:cs="Calibri"/>
        </w:rPr>
        <w:endnoteReference w:id="56"/>
      </w:r>
      <w:r w:rsidR="00F51911" w:rsidRPr="007F43F9">
        <w:t xml:space="preserve"> Verrazano also indicates that </w:t>
      </w:r>
      <w:r w:rsidR="00F51911" w:rsidRPr="007F43F9">
        <w:rPr>
          <w:rFonts w:cs="Calibri"/>
        </w:rPr>
        <w:t>“we saw no trace of cultivation” in Canada.</w:t>
      </w:r>
      <w:r w:rsidR="00F51911" w:rsidRPr="007F43F9">
        <w:rPr>
          <w:rStyle w:val="EndnoteReference"/>
          <w:rFonts w:cs="Calibri"/>
        </w:rPr>
        <w:endnoteReference w:id="57"/>
      </w:r>
      <w:r w:rsidR="00F51911" w:rsidRPr="007F43F9">
        <w:rPr>
          <w:rFonts w:cs="Calibri"/>
        </w:rPr>
        <w:t xml:space="preserve"> France and Canada seem to become united by the </w:t>
      </w:r>
      <w:r w:rsidR="00F51911" w:rsidRPr="007F43F9">
        <w:rPr>
          <w:rFonts w:cs="Calibri"/>
          <w:i/>
          <w:iCs/>
        </w:rPr>
        <w:t xml:space="preserve">terra nullius </w:t>
      </w:r>
      <w:r w:rsidR="00F51911" w:rsidRPr="007F43F9">
        <w:rPr>
          <w:rFonts w:cs="Calibri"/>
        </w:rPr>
        <w:t>idea predominantly invoked by Europeans to qualify the “</w:t>
      </w:r>
      <w:r w:rsidR="00F51911" w:rsidRPr="007F43F9">
        <w:t>uncultivated wilderness”</w:t>
      </w:r>
      <w:r w:rsidR="00F51911" w:rsidRPr="007F43F9">
        <w:rPr>
          <w:rStyle w:val="EndnoteReference"/>
        </w:rPr>
        <w:endnoteReference w:id="58"/>
      </w:r>
      <w:r w:rsidR="00F51911" w:rsidRPr="007F43F9">
        <w:rPr>
          <w:b/>
          <w:bCs/>
        </w:rPr>
        <w:t xml:space="preserve"> </w:t>
      </w:r>
      <w:r w:rsidR="00F51911" w:rsidRPr="007F43F9">
        <w:t xml:space="preserve">of America. The once ‘flourishing’ kingdom of France – a clear sign of civilisation – now shares with Canada the attribute of ‘bareness’ that characterises the state of savagery. Combined with the impossibility of practising trade this absence of agriculture brings French and Amerindians together in their apparent lack of civilisation and thus of sovereignty. Hence, discourses designed to enact the uncivilised life and the </w:t>
      </w:r>
      <w:proofErr w:type="gramStart"/>
      <w:r w:rsidR="00F51911" w:rsidRPr="007F43F9">
        <w:t>absence of sovereignty of the Amerindians are</w:t>
      </w:r>
      <w:proofErr w:type="gramEnd"/>
      <w:r w:rsidR="00F51911" w:rsidRPr="007F43F9">
        <w:t xml:space="preserve"> also found ‘internally’ (thus threatening the existence of ‘civilisation’ and sovereignty in France).</w:t>
      </w:r>
    </w:p>
    <w:p w14:paraId="15F1EAA4" w14:textId="77777777" w:rsidR="00F51911" w:rsidRPr="007F43F9" w:rsidRDefault="00F51911" w:rsidP="005C1918">
      <w:pPr>
        <w:spacing w:line="300" w:lineRule="auto"/>
        <w:ind w:firstLine="720"/>
        <w:jc w:val="both"/>
        <w:rPr>
          <w:rFonts w:cs="Calibri"/>
        </w:rPr>
      </w:pPr>
    </w:p>
    <w:p w14:paraId="7E063BCD" w14:textId="77777777" w:rsidR="00F51911" w:rsidRPr="007F43F9" w:rsidRDefault="00F51911" w:rsidP="005C1918">
      <w:pPr>
        <w:spacing w:line="300" w:lineRule="auto"/>
        <w:jc w:val="both"/>
      </w:pPr>
    </w:p>
    <w:p w14:paraId="28B964EC" w14:textId="328A83A9" w:rsidR="00F51911" w:rsidRPr="007F43F9" w:rsidRDefault="00295EDC" w:rsidP="005C1918">
      <w:pPr>
        <w:spacing w:line="300" w:lineRule="auto"/>
        <w:jc w:val="both"/>
        <w:rPr>
          <w:b/>
          <w:bCs/>
          <w:sz w:val="28"/>
          <w:szCs w:val="28"/>
        </w:rPr>
      </w:pPr>
      <w:r w:rsidRPr="007F43F9">
        <w:rPr>
          <w:b/>
          <w:bCs/>
          <w:sz w:val="28"/>
          <w:szCs w:val="28"/>
        </w:rPr>
        <w:t>Re-E</w:t>
      </w:r>
      <w:r w:rsidR="00F51911" w:rsidRPr="007F43F9">
        <w:rPr>
          <w:b/>
          <w:bCs/>
          <w:sz w:val="28"/>
          <w:szCs w:val="28"/>
        </w:rPr>
        <w:t xml:space="preserve">stablishing </w:t>
      </w:r>
      <w:r w:rsidRPr="007F43F9">
        <w:rPr>
          <w:b/>
          <w:bCs/>
          <w:sz w:val="28"/>
          <w:szCs w:val="28"/>
        </w:rPr>
        <w:t>C</w:t>
      </w:r>
      <w:r w:rsidR="00F51911" w:rsidRPr="007F43F9">
        <w:rPr>
          <w:b/>
          <w:bCs/>
          <w:sz w:val="28"/>
          <w:szCs w:val="28"/>
        </w:rPr>
        <w:t>ivilis</w:t>
      </w:r>
      <w:r w:rsidRPr="007F43F9">
        <w:rPr>
          <w:b/>
          <w:bCs/>
          <w:sz w:val="28"/>
          <w:szCs w:val="28"/>
        </w:rPr>
        <w:t>ed Sovereignty: The Interaction between Internal and External Frontiers</w:t>
      </w:r>
    </w:p>
    <w:p w14:paraId="06E9BC5F" w14:textId="77777777" w:rsidR="00295EDC" w:rsidRPr="007F43F9" w:rsidRDefault="00295EDC" w:rsidP="005C1918">
      <w:pPr>
        <w:spacing w:line="300" w:lineRule="auto"/>
        <w:jc w:val="both"/>
        <w:rPr>
          <w:rFonts w:eastAsiaTheme="majorEastAsia" w:cstheme="majorBidi"/>
        </w:rPr>
      </w:pPr>
    </w:p>
    <w:p w14:paraId="78F63BE9" w14:textId="77777777" w:rsidR="00F51911" w:rsidRPr="007F43F9" w:rsidRDefault="00F51911" w:rsidP="005C1918">
      <w:pPr>
        <w:spacing w:line="300" w:lineRule="auto"/>
        <w:jc w:val="both"/>
        <w:rPr>
          <w:rFonts w:eastAsiaTheme="majorEastAsia" w:cstheme="majorBidi"/>
        </w:rPr>
      </w:pPr>
    </w:p>
    <w:p w14:paraId="616A0F2F" w14:textId="3D032942" w:rsidR="00F51911" w:rsidRPr="007F43F9" w:rsidRDefault="00F51911" w:rsidP="009B7479">
      <w:pPr>
        <w:spacing w:line="300" w:lineRule="auto"/>
        <w:jc w:val="both"/>
      </w:pPr>
      <w:r w:rsidRPr="007F43F9">
        <w:t xml:space="preserve">Are the French turning into ‘uncivilised’ and ‘savage’ Amerindians? In other words: how could the French kings still be sovereign in the ‘presence’ of </w:t>
      </w:r>
      <w:r w:rsidR="00C615AA" w:rsidRPr="007F43F9">
        <w:t>a</w:t>
      </w:r>
      <w:r w:rsidRPr="007F43F9">
        <w:t xml:space="preserve"> savagery</w:t>
      </w:r>
      <w:r w:rsidR="00C615AA" w:rsidRPr="007F43F9">
        <w:t xml:space="preserve"> reminiscent of the newly ‘discovered’ peoples of America</w:t>
      </w:r>
      <w:r w:rsidR="00ED246B" w:rsidRPr="007F43F9">
        <w:t xml:space="preserve">? </w:t>
      </w:r>
      <w:r w:rsidRPr="007F43F9">
        <w:t>As this section will dis</w:t>
      </w:r>
      <w:r w:rsidR="00FD1AD0" w:rsidRPr="007F43F9">
        <w:t xml:space="preserve">cuss, the re-establishment of an undisputable </w:t>
      </w:r>
      <w:r w:rsidRPr="007F43F9">
        <w:t xml:space="preserve">colonial frontier is the only way for the kings to ensure (the legitimacy of) their sovereignty. The kings need to attribute civilised and savage identities in order to differentiate themselves from ‘savage’ </w:t>
      </w:r>
      <w:proofErr w:type="gramStart"/>
      <w:r w:rsidRPr="007F43F9">
        <w:t>Others</w:t>
      </w:r>
      <w:proofErr w:type="gramEnd"/>
      <w:r w:rsidRPr="007F43F9">
        <w:t>. As discussed previously, claims to sovereignty only become legitimate when they are attached to superior and desirable principles. In sixteenth-century France, sovereignty was strongly attached to the principles underpinning ‘French civilisation’ and in particular to a specific form of civilised justice and order. These principles were regularly defined by opposition to the ‘state of nature’ fiction, which reveals the importance of evolutionary thinking and theories of progress for sixteenth-century French sovereignty.</w:t>
      </w:r>
      <w:r w:rsidRPr="007F43F9">
        <w:rPr>
          <w:rStyle w:val="EndnoteReference"/>
        </w:rPr>
        <w:endnoteReference w:id="59"/>
      </w:r>
      <w:r w:rsidRPr="007F43F9">
        <w:t xml:space="preserve"> Logically, then, the accusations of savagery are turned against the League in order to perform the civilised identity of the kings. In the process, one can see how the well-known colonial frontier between Europeans and Amerindians </w:t>
      </w:r>
      <w:r w:rsidR="00DA6EB5" w:rsidRPr="007F43F9">
        <w:t>interacts</w:t>
      </w:r>
      <w:r w:rsidR="00E541CB" w:rsidRPr="007F43F9">
        <w:t xml:space="preserve"> with, reinforces and</w:t>
      </w:r>
      <w:r w:rsidR="00DA6EB5" w:rsidRPr="007F43F9">
        <w:t xml:space="preserve"> is</w:t>
      </w:r>
      <w:r w:rsidRPr="007F43F9">
        <w:t xml:space="preserve"> reinforced </w:t>
      </w:r>
      <w:r w:rsidR="00E541CB" w:rsidRPr="007F43F9">
        <w:t>by</w:t>
      </w:r>
      <w:r w:rsidR="006650E2" w:rsidRPr="007F43F9">
        <w:t xml:space="preserve"> </w:t>
      </w:r>
      <w:r w:rsidRPr="007F43F9">
        <w:t>the domestic colonial frontier between the French kings and the</w:t>
      </w:r>
      <w:r w:rsidR="009F53D3" w:rsidRPr="007F43F9">
        <w:t>ir adversaries</w:t>
      </w:r>
      <w:r w:rsidRPr="007F43F9">
        <w:t xml:space="preserve">. </w:t>
      </w:r>
      <w:r w:rsidR="009E0CD2" w:rsidRPr="007F43F9">
        <w:t>Colonial frontiers can thus be invoked in the process of claiming sovereignty in order to naturalise</w:t>
      </w:r>
      <w:r w:rsidRPr="007F43F9">
        <w:t xml:space="preserve"> ‘civilised’ and ‘savage’ identities. </w:t>
      </w:r>
      <w:r w:rsidR="009E0CD2" w:rsidRPr="007F43F9">
        <w:t>Here</w:t>
      </w:r>
      <w:r w:rsidR="00FD1AD0" w:rsidRPr="007F43F9">
        <w:t>, the external colonial frontier is used by French actors in a domestic context in order to reinforce their own claim to civilisation and sovereignty.</w:t>
      </w:r>
    </w:p>
    <w:p w14:paraId="6423C96E" w14:textId="77777777" w:rsidR="00F51911" w:rsidRPr="007F43F9" w:rsidRDefault="00F51911" w:rsidP="006650E2">
      <w:pPr>
        <w:spacing w:line="300" w:lineRule="auto"/>
        <w:jc w:val="both"/>
      </w:pPr>
    </w:p>
    <w:p w14:paraId="3D44D62E" w14:textId="77777777" w:rsidR="006650E2" w:rsidRPr="007F43F9" w:rsidRDefault="006650E2" w:rsidP="006650E2">
      <w:pPr>
        <w:spacing w:line="300" w:lineRule="auto"/>
        <w:jc w:val="both"/>
      </w:pPr>
    </w:p>
    <w:p w14:paraId="1D8B42AE" w14:textId="4BD5825C" w:rsidR="00F51911" w:rsidRPr="007F43F9" w:rsidRDefault="00F51911" w:rsidP="009B7479">
      <w:pPr>
        <w:spacing w:line="300" w:lineRule="auto"/>
        <w:jc w:val="both"/>
        <w:rPr>
          <w:rFonts w:cstheme="minorHAnsi"/>
        </w:rPr>
      </w:pPr>
      <w:r w:rsidRPr="007F43F9">
        <w:rPr>
          <w:rFonts w:cstheme="minorHAnsi"/>
        </w:rPr>
        <w:t xml:space="preserve">In the domestic sphere, then, the discursive (re-)construction of civilised sovereignty involves the identification of the League as an ‘internal’ </w:t>
      </w:r>
      <w:proofErr w:type="gramStart"/>
      <w:r w:rsidRPr="007F43F9">
        <w:rPr>
          <w:rFonts w:cstheme="minorHAnsi"/>
        </w:rPr>
        <w:t>Other</w:t>
      </w:r>
      <w:proofErr w:type="gramEnd"/>
      <w:r w:rsidRPr="007F43F9">
        <w:rPr>
          <w:rFonts w:cstheme="minorHAnsi"/>
        </w:rPr>
        <w:t xml:space="preserve">. These attacks </w:t>
      </w:r>
      <w:r w:rsidRPr="007F43F9">
        <w:t xml:space="preserve">can be classified according to their intensity: some imply that the League is at the source of the current troubles; others that the League is a barbaric actor; and the last – and more extreme – attacks focus on how the League contributes to the creation of a state of nature inside of France. First, the League is characterised as the main reason for the existence of the troubles that de-stabilised the ‘civilised’ French kingdom. </w:t>
      </w:r>
      <w:r w:rsidRPr="007F43F9">
        <w:rPr>
          <w:rFonts w:cstheme="minorHAnsi"/>
        </w:rPr>
        <w:t xml:space="preserve">As soon as 1585 such attacks are frequent: Henry of Navarre estimates that the League “troubles today the tranquillity of this Kingdom”, has brought civil wars and a “great confusion to all things, poverty to the people, a decline of the Nobility, have ruined the clergy and made justice despised” (B.N.F., F-47171 (17): 5 and 40). He reiterates this view in 1586 in a letter to the nobility, qualifying the League as acting against the tranquillity of the kingdom (B.N.F., </w:t>
      </w:r>
      <w:r w:rsidRPr="007F43F9">
        <w:t xml:space="preserve">N.A.F. 17874: f. 2). </w:t>
      </w:r>
      <w:r w:rsidRPr="007F43F9">
        <w:rPr>
          <w:rFonts w:cstheme="minorHAnsi"/>
        </w:rPr>
        <w:t>Near the end of the conflict Henry IV still mentions the “disorders, ruins, murders, pillages, sacrileges and other types of evils that they [the League] have brought to this Kingdom, thus turning it from the most beautiful and flourishing of Europe into the most misshapen, confused and miserable of the entire Earth”.</w:t>
      </w:r>
      <w:r w:rsidRPr="007F43F9">
        <w:rPr>
          <w:rStyle w:val="EndnoteReference"/>
          <w:rFonts w:cstheme="minorHAnsi"/>
        </w:rPr>
        <w:endnoteReference w:id="60"/>
      </w:r>
    </w:p>
    <w:p w14:paraId="0289DE10" w14:textId="77777777" w:rsidR="00F51911" w:rsidRPr="007F43F9" w:rsidRDefault="00F51911" w:rsidP="005C1918">
      <w:pPr>
        <w:spacing w:line="300" w:lineRule="auto"/>
        <w:jc w:val="both"/>
        <w:rPr>
          <w:rFonts w:cstheme="minorHAnsi"/>
        </w:rPr>
      </w:pPr>
    </w:p>
    <w:p w14:paraId="14D98A57" w14:textId="77777777" w:rsidR="006650E2" w:rsidRPr="007F43F9" w:rsidRDefault="006650E2" w:rsidP="005C1918">
      <w:pPr>
        <w:spacing w:line="300" w:lineRule="auto"/>
        <w:jc w:val="both"/>
        <w:rPr>
          <w:rFonts w:cstheme="minorHAnsi"/>
        </w:rPr>
      </w:pPr>
    </w:p>
    <w:p w14:paraId="230C07B4" w14:textId="79B3590F" w:rsidR="00F51911" w:rsidRPr="007F43F9" w:rsidRDefault="00F51911" w:rsidP="00374A58">
      <w:pPr>
        <w:spacing w:line="300" w:lineRule="auto"/>
        <w:jc w:val="both"/>
      </w:pPr>
      <w:r w:rsidRPr="007F43F9">
        <w:rPr>
          <w:rFonts w:cstheme="minorHAnsi"/>
        </w:rPr>
        <w:t>These attacks become stronger when they further associate the League to the ‘state of nature’ idea through the use of the notions of ‘barbarism’ and ‘inhumanity’. These concepts are used by Henry III to qualify the acts of the rebels (B.N.F., FZ-2052: 4</w:t>
      </w:r>
      <w:r w:rsidRPr="007F43F9">
        <w:t>)</w:t>
      </w:r>
      <w:r w:rsidRPr="007F43F9">
        <w:rPr>
          <w:rFonts w:cstheme="minorHAnsi"/>
        </w:rPr>
        <w:t xml:space="preserve"> but also by Henry of Navarre to characterise the murder of Henry III as “the most barbarous act” (B.N.F. </w:t>
      </w:r>
      <w:r w:rsidRPr="007F43F9">
        <w:t>F-46889 (25)) and as a murder that even “the thieves and barbarians, and the enemies of humankind” would have not executed.</w:t>
      </w:r>
      <w:r w:rsidRPr="007F43F9">
        <w:rPr>
          <w:rStyle w:val="EndnoteReference"/>
        </w:rPr>
        <w:endnoteReference w:id="61"/>
      </w:r>
      <w:r w:rsidRPr="007F43F9">
        <w:t xml:space="preserve"> </w:t>
      </w:r>
      <w:r w:rsidR="00ED309A" w:rsidRPr="007F43F9">
        <w:t>An</w:t>
      </w:r>
      <w:r w:rsidRPr="007F43F9">
        <w:t xml:space="preserve"> anti-League pamphlet of 1592 </w:t>
      </w:r>
      <w:r w:rsidR="00ED309A" w:rsidRPr="007F43F9">
        <w:t xml:space="preserve">also </w:t>
      </w:r>
      <w:r w:rsidRPr="007F43F9">
        <w:t>‘describes’ the League supporters as “deprived of all humanity” and as only following their “violent appetites”.</w:t>
      </w:r>
      <w:r w:rsidRPr="007F43F9">
        <w:rPr>
          <w:rStyle w:val="EndnoteReference"/>
        </w:rPr>
        <w:endnoteReference w:id="62"/>
      </w:r>
      <w:r w:rsidR="00ED309A" w:rsidRPr="007F43F9">
        <w:t xml:space="preserve"> The Parliament is similarly concerned by the fact that the League is leading to “the entire ruin and overthrow of all </w:t>
      </w:r>
      <w:r w:rsidR="00ED309A" w:rsidRPr="007F43F9">
        <w:rPr>
          <w:i/>
          <w:iCs/>
        </w:rPr>
        <w:t>police</w:t>
      </w:r>
      <w:r w:rsidR="00ED309A" w:rsidRPr="007F43F9">
        <w:t xml:space="preserve"> and human society instituted by God, and even of this renowned and flourishing Monarchy”.</w:t>
      </w:r>
      <w:r w:rsidR="00ED309A" w:rsidRPr="007F43F9">
        <w:rPr>
          <w:rStyle w:val="EndnoteReference"/>
        </w:rPr>
        <w:endnoteReference w:id="63"/>
      </w:r>
      <w:r w:rsidR="00ED309A" w:rsidRPr="007F43F9">
        <w:t xml:space="preserve"> The dissipation of ‘order’ and ‘hierarchy’ – such crucial ideas when identifying a ‘civilised’ society – are repeated in a 1589 pamphlet stating that “all the [social] positions are perverted, the temple of justice polluted, crimes not punished, innocence oppressed [and] laws without authority” (B.N.F., </w:t>
      </w:r>
      <w:proofErr w:type="spellStart"/>
      <w:r w:rsidR="00ED309A" w:rsidRPr="007F43F9">
        <w:t>Français</w:t>
      </w:r>
      <w:proofErr w:type="spellEnd"/>
      <w:r w:rsidR="00ED309A" w:rsidRPr="007F43F9">
        <w:t xml:space="preserve"> 6546 (3)).</w:t>
      </w:r>
    </w:p>
    <w:p w14:paraId="20887FED" w14:textId="77777777" w:rsidR="00F03C65" w:rsidRPr="007F43F9" w:rsidRDefault="00F03C65" w:rsidP="00374A58">
      <w:pPr>
        <w:spacing w:line="300" w:lineRule="auto"/>
        <w:jc w:val="both"/>
      </w:pPr>
    </w:p>
    <w:p w14:paraId="1F90443B" w14:textId="77777777" w:rsidR="00F51911" w:rsidRPr="007F43F9" w:rsidRDefault="00F51911" w:rsidP="005C1918">
      <w:pPr>
        <w:spacing w:line="300" w:lineRule="auto"/>
      </w:pPr>
    </w:p>
    <w:p w14:paraId="7C965BFA" w14:textId="0BF80FE1" w:rsidR="00F51911" w:rsidRPr="007F43F9" w:rsidRDefault="00ED309A" w:rsidP="00374A58">
      <w:pPr>
        <w:spacing w:line="300" w:lineRule="auto"/>
        <w:jc w:val="both"/>
        <w:rPr>
          <w:rFonts w:cstheme="minorHAnsi"/>
        </w:rPr>
      </w:pPr>
      <w:r w:rsidRPr="007F43F9">
        <w:t xml:space="preserve">This successful </w:t>
      </w:r>
      <w:r w:rsidR="00F51911" w:rsidRPr="007F43F9">
        <w:t>association of the League with the creation</w:t>
      </w:r>
      <w:r w:rsidR="00C615AA" w:rsidRPr="007F43F9">
        <w:t xml:space="preserve"> </w:t>
      </w:r>
      <w:r w:rsidRPr="007F43F9">
        <w:t xml:space="preserve">of a state of nature in France </w:t>
      </w:r>
      <w:r w:rsidR="00C615AA" w:rsidRPr="007F43F9">
        <w:t xml:space="preserve">is </w:t>
      </w:r>
      <w:r w:rsidRPr="007F43F9">
        <w:t>also achieved</w:t>
      </w:r>
      <w:r w:rsidR="00C615AA" w:rsidRPr="007F43F9">
        <w:t xml:space="preserve"> through an invocation of the ‘external’ colonial frontier.</w:t>
      </w:r>
      <w:r w:rsidR="00F51911" w:rsidRPr="007F43F9">
        <w:t xml:space="preserve"> </w:t>
      </w:r>
      <w:r w:rsidR="003B22D2" w:rsidRPr="007F43F9">
        <w:t>I</w:t>
      </w:r>
      <w:r w:rsidR="00F51911" w:rsidRPr="007F43F9">
        <w:t xml:space="preserve">n a 1593 </w:t>
      </w:r>
      <w:r w:rsidR="00F51911" w:rsidRPr="007F43F9">
        <w:rPr>
          <w:rFonts w:cstheme="minorHAnsi"/>
        </w:rPr>
        <w:t>declaration written against the League and supporting the new king Henry IV after his conversion</w:t>
      </w:r>
      <w:r w:rsidR="00C615AA" w:rsidRPr="007F43F9">
        <w:rPr>
          <w:rFonts w:cstheme="minorHAnsi"/>
        </w:rPr>
        <w:t xml:space="preserve">, </w:t>
      </w:r>
      <w:r w:rsidR="00F51911" w:rsidRPr="007F43F9">
        <w:rPr>
          <w:rFonts w:cstheme="minorHAnsi"/>
        </w:rPr>
        <w:t>the author estimates that the current troubles</w:t>
      </w:r>
    </w:p>
    <w:p w14:paraId="2F539024" w14:textId="77777777" w:rsidR="00F51911" w:rsidRPr="007F43F9" w:rsidRDefault="00F51911" w:rsidP="005C1918">
      <w:pPr>
        <w:spacing w:line="300" w:lineRule="auto"/>
        <w:jc w:val="both"/>
        <w:rPr>
          <w:rFonts w:cstheme="minorHAnsi"/>
        </w:rPr>
      </w:pPr>
    </w:p>
    <w:p w14:paraId="33CD748B" w14:textId="17362B0F" w:rsidR="00F51911" w:rsidRPr="007F43F9" w:rsidRDefault="00F51911" w:rsidP="00DE25D5">
      <w:pPr>
        <w:spacing w:line="300" w:lineRule="auto"/>
        <w:ind w:left="720"/>
        <w:jc w:val="both"/>
        <w:rPr>
          <w:rFonts w:cstheme="minorHAnsi"/>
        </w:rPr>
      </w:pPr>
      <w:proofErr w:type="gramStart"/>
      <w:r w:rsidRPr="007F43F9">
        <w:rPr>
          <w:rFonts w:cstheme="minorHAnsi"/>
        </w:rPr>
        <w:t>prevent</w:t>
      </w:r>
      <w:proofErr w:type="gramEnd"/>
      <w:r w:rsidRPr="007F43F9">
        <w:rPr>
          <w:rFonts w:cstheme="minorHAnsi"/>
        </w:rPr>
        <w:t xml:space="preserve"> working the land, remove all trade from the fair cities, award impunity to the vices, deprive an infinite number of places of priest, the priests of revenue, the poor people of divine service. In a nutshell, if we do not put an end to these unfortunate dissensions with a good agreement, it will not be long until we see France – the ancient house of the Catholic faith and of all humanity, the main support of the liberty and safety of the Christian countries, the name of a virtuous freedom – become a name for servitude, with her ancient humanity being turned into the most barbaric inhumanity of the Indies.</w:t>
      </w:r>
      <w:r w:rsidRPr="007F43F9">
        <w:rPr>
          <w:rStyle w:val="EndnoteReference"/>
          <w:rFonts w:cstheme="minorHAnsi"/>
        </w:rPr>
        <w:endnoteReference w:id="64"/>
      </w:r>
    </w:p>
    <w:p w14:paraId="6BFCCC90" w14:textId="77777777" w:rsidR="00F51911" w:rsidRPr="007F43F9" w:rsidRDefault="00F51911" w:rsidP="005C1918">
      <w:pPr>
        <w:spacing w:line="300" w:lineRule="auto"/>
        <w:jc w:val="both"/>
        <w:rPr>
          <w:rFonts w:cstheme="minorHAnsi"/>
        </w:rPr>
      </w:pPr>
    </w:p>
    <w:p w14:paraId="0516D00D" w14:textId="6F772EE8" w:rsidR="00F51911" w:rsidRPr="007F43F9" w:rsidRDefault="00F51911" w:rsidP="005C1918">
      <w:pPr>
        <w:spacing w:line="300" w:lineRule="auto"/>
        <w:jc w:val="both"/>
        <w:rPr>
          <w:rFonts w:cstheme="minorHAnsi"/>
        </w:rPr>
      </w:pPr>
      <w:r w:rsidRPr="007F43F9">
        <w:rPr>
          <w:rFonts w:cstheme="minorHAnsi"/>
        </w:rPr>
        <w:t>It is striking to notice that some of the categories used to perform the lack of civilisation of the Amerindians are being turned against the League supporters who still refuse to swear allegiance to the king. The League thus becomes the reason for the absence of the traditional signs of ‘civilisation’ that turns France into what was supposedly external, foreign and different to itself and its sovereign identity. This re-establishment of the</w:t>
      </w:r>
      <w:r w:rsidR="00C30C1F" w:rsidRPr="007F43F9">
        <w:rPr>
          <w:rFonts w:cstheme="minorHAnsi"/>
        </w:rPr>
        <w:t xml:space="preserve"> domestic</w:t>
      </w:r>
      <w:r w:rsidRPr="007F43F9">
        <w:rPr>
          <w:rFonts w:cstheme="minorHAnsi"/>
        </w:rPr>
        <w:t xml:space="preserve"> colonial frontier</w:t>
      </w:r>
      <w:r w:rsidR="00C30C1F" w:rsidRPr="007F43F9">
        <w:rPr>
          <w:rFonts w:cstheme="minorHAnsi"/>
        </w:rPr>
        <w:t xml:space="preserve"> relies on an appeal to an ‘objective’ savagery (in the ‘Indies’), which shows how both spheres are intertwined in order to </w:t>
      </w:r>
      <w:r w:rsidRPr="007F43F9">
        <w:rPr>
          <w:rFonts w:cstheme="minorHAnsi"/>
        </w:rPr>
        <w:t>legitimise</w:t>
      </w:r>
      <w:r w:rsidR="00C30C1F" w:rsidRPr="007F43F9">
        <w:rPr>
          <w:rFonts w:cstheme="minorHAnsi"/>
        </w:rPr>
        <w:t xml:space="preserve"> the sovereignty of </w:t>
      </w:r>
      <w:r w:rsidR="00134C5C" w:rsidRPr="007F43F9">
        <w:rPr>
          <w:rFonts w:cstheme="minorHAnsi"/>
        </w:rPr>
        <w:t>the kings</w:t>
      </w:r>
      <w:r w:rsidRPr="007F43F9">
        <w:rPr>
          <w:rFonts w:cstheme="minorHAnsi"/>
        </w:rPr>
        <w:t>.</w:t>
      </w:r>
      <w:r w:rsidR="00134C5C" w:rsidRPr="007F43F9">
        <w:rPr>
          <w:rFonts w:cstheme="minorHAnsi"/>
        </w:rPr>
        <w:t xml:space="preserve"> In the process, of course, one notices how the identity of the </w:t>
      </w:r>
      <w:r w:rsidR="00D4677A" w:rsidRPr="007F43F9">
        <w:rPr>
          <w:rFonts w:cstheme="minorHAnsi"/>
        </w:rPr>
        <w:t>colonies</w:t>
      </w:r>
      <w:r w:rsidR="00134C5C" w:rsidRPr="007F43F9">
        <w:rPr>
          <w:rFonts w:cstheme="minorHAnsi"/>
        </w:rPr>
        <w:t xml:space="preserve"> is further reaffirmed as savage.</w:t>
      </w:r>
    </w:p>
    <w:p w14:paraId="2FA06B35" w14:textId="77777777" w:rsidR="00F03C65" w:rsidRPr="007F43F9" w:rsidRDefault="00F03C65" w:rsidP="005C1918">
      <w:pPr>
        <w:spacing w:line="300" w:lineRule="auto"/>
        <w:jc w:val="both"/>
      </w:pPr>
    </w:p>
    <w:p w14:paraId="177D4113" w14:textId="77777777" w:rsidR="00F51911" w:rsidRPr="007F43F9" w:rsidRDefault="00F51911" w:rsidP="005C1918">
      <w:pPr>
        <w:spacing w:line="300" w:lineRule="auto"/>
        <w:jc w:val="both"/>
      </w:pPr>
    </w:p>
    <w:p w14:paraId="478562A0" w14:textId="297804F2" w:rsidR="00F51911" w:rsidRPr="007F43F9" w:rsidRDefault="00E06262" w:rsidP="009B7479">
      <w:pPr>
        <w:spacing w:line="300" w:lineRule="auto"/>
        <w:jc w:val="both"/>
      </w:pPr>
      <w:r w:rsidRPr="007F43F9">
        <w:t>Th</w:t>
      </w:r>
      <w:r w:rsidR="00D4677A" w:rsidRPr="007F43F9">
        <w:t>e</w:t>
      </w:r>
      <w:r w:rsidRPr="007F43F9">
        <w:t xml:space="preserve"> </w:t>
      </w:r>
      <w:r w:rsidR="00EE3559" w:rsidRPr="007F43F9">
        <w:t xml:space="preserve">appeal to America in the French domestic struggles </w:t>
      </w:r>
      <w:r w:rsidRPr="007F43F9">
        <w:t xml:space="preserve">can also be seen when Spain is </w:t>
      </w:r>
      <w:r w:rsidR="00FB22D0" w:rsidRPr="007F43F9">
        <w:t>mentioned</w:t>
      </w:r>
      <w:r w:rsidR="00B64028" w:rsidRPr="007F43F9">
        <w:t xml:space="preserve"> in order to reinforce the civilised sovereignty of the French kings. </w:t>
      </w:r>
      <w:r w:rsidR="00167EE0" w:rsidRPr="007F43F9">
        <w:rPr>
          <w:rFonts w:cstheme="minorHAnsi"/>
        </w:rPr>
        <w:t xml:space="preserve">Because </w:t>
      </w:r>
      <w:r w:rsidR="00F51911" w:rsidRPr="007F43F9">
        <w:rPr>
          <w:rFonts w:cstheme="minorHAnsi"/>
        </w:rPr>
        <w:t>Spain</w:t>
      </w:r>
      <w:r w:rsidR="00167EE0" w:rsidRPr="007F43F9">
        <w:rPr>
          <w:rFonts w:cstheme="minorHAnsi"/>
        </w:rPr>
        <w:t xml:space="preserve"> helped</w:t>
      </w:r>
      <w:r w:rsidR="00F51911" w:rsidRPr="007F43F9">
        <w:rPr>
          <w:rFonts w:cstheme="minorHAnsi"/>
        </w:rPr>
        <w:t xml:space="preserve"> the League, </w:t>
      </w:r>
      <w:r w:rsidR="00E562A6" w:rsidRPr="007F43F9">
        <w:rPr>
          <w:rFonts w:cstheme="minorHAnsi"/>
        </w:rPr>
        <w:t xml:space="preserve">it becomes an important enemy for </w:t>
      </w:r>
      <w:r w:rsidR="00F51911" w:rsidRPr="007F43F9">
        <w:rPr>
          <w:rFonts w:cstheme="minorHAnsi"/>
        </w:rPr>
        <w:t>the supporters of the king(s)</w:t>
      </w:r>
      <w:r w:rsidR="00E562A6" w:rsidRPr="007F43F9">
        <w:rPr>
          <w:rFonts w:cstheme="minorHAnsi"/>
        </w:rPr>
        <w:t xml:space="preserve">. But in their </w:t>
      </w:r>
      <w:r w:rsidR="00862EE3" w:rsidRPr="007F43F9">
        <w:rPr>
          <w:rFonts w:cstheme="minorHAnsi"/>
        </w:rPr>
        <w:t xml:space="preserve">reference to </w:t>
      </w:r>
      <w:r w:rsidR="00E562A6" w:rsidRPr="007F43F9">
        <w:rPr>
          <w:rFonts w:cstheme="minorHAnsi"/>
        </w:rPr>
        <w:t xml:space="preserve">Spain, these supporters insist on one particular element: the </w:t>
      </w:r>
      <w:r w:rsidR="00F51911" w:rsidRPr="007F43F9">
        <w:rPr>
          <w:rFonts w:cstheme="minorHAnsi"/>
        </w:rPr>
        <w:t>“unfair and tyrannical domination”</w:t>
      </w:r>
      <w:r w:rsidR="00F51911" w:rsidRPr="007F43F9">
        <w:rPr>
          <w:rStyle w:val="EndnoteReference"/>
          <w:rFonts w:cstheme="minorHAnsi"/>
        </w:rPr>
        <w:endnoteReference w:id="65"/>
      </w:r>
      <w:r w:rsidR="00F51911" w:rsidRPr="007F43F9">
        <w:rPr>
          <w:rFonts w:cstheme="minorHAnsi"/>
        </w:rPr>
        <w:t xml:space="preserve"> of Spain over its possessions in America</w:t>
      </w:r>
      <w:r w:rsidR="00E94CA7" w:rsidRPr="007F43F9">
        <w:rPr>
          <w:rFonts w:cstheme="minorHAnsi"/>
        </w:rPr>
        <w:t>. This mention of the Amerindians</w:t>
      </w:r>
      <w:r w:rsidR="00F51911" w:rsidRPr="007F43F9">
        <w:rPr>
          <w:rFonts w:cstheme="minorHAnsi"/>
        </w:rPr>
        <w:t xml:space="preserve"> </w:t>
      </w:r>
      <w:r w:rsidR="00E562A6" w:rsidRPr="007F43F9">
        <w:rPr>
          <w:rFonts w:cstheme="minorHAnsi"/>
        </w:rPr>
        <w:t>serves to</w:t>
      </w:r>
      <w:r w:rsidR="00E94CA7" w:rsidRPr="007F43F9">
        <w:rPr>
          <w:rFonts w:cstheme="minorHAnsi"/>
        </w:rPr>
        <w:t xml:space="preserve"> further entrench</w:t>
      </w:r>
      <w:r w:rsidR="00862EE3" w:rsidRPr="007F43F9">
        <w:rPr>
          <w:rFonts w:cstheme="minorHAnsi"/>
        </w:rPr>
        <w:t xml:space="preserve"> the frontier between savage and civilised actors that the kings necessitate</w:t>
      </w:r>
      <w:r w:rsidR="00F51911" w:rsidRPr="007F43F9">
        <w:rPr>
          <w:rFonts w:cstheme="minorHAnsi"/>
        </w:rPr>
        <w:t xml:space="preserve"> (see B.N.F., F-46893 (9)). </w:t>
      </w:r>
      <w:r w:rsidR="00F51911" w:rsidRPr="007F43F9">
        <w:t>Evoking the promise of the Spanish king to financially help the League, a 1593 pamphlet accuses Spain of barbarism in ‘Peru’:</w:t>
      </w:r>
    </w:p>
    <w:p w14:paraId="63258125" w14:textId="77777777" w:rsidR="00F51911" w:rsidRPr="007F43F9" w:rsidRDefault="00F51911" w:rsidP="005C1918">
      <w:pPr>
        <w:spacing w:line="300" w:lineRule="auto"/>
        <w:ind w:firstLine="720"/>
        <w:jc w:val="both"/>
      </w:pPr>
    </w:p>
    <w:p w14:paraId="30D84D4C" w14:textId="3BC51BEE" w:rsidR="00F51911" w:rsidRPr="007F43F9" w:rsidRDefault="00F51911" w:rsidP="00C338E1">
      <w:pPr>
        <w:spacing w:line="300" w:lineRule="auto"/>
        <w:ind w:left="720"/>
        <w:jc w:val="both"/>
      </w:pPr>
      <w:r w:rsidRPr="007F43F9">
        <w:t xml:space="preserve">where he [the Spanish king] drained all the mines and killed two millions of these poor </w:t>
      </w:r>
      <w:proofErr w:type="spellStart"/>
      <w:r w:rsidRPr="007F43F9">
        <w:t>peoples</w:t>
      </w:r>
      <w:proofErr w:type="spellEnd"/>
      <w:r w:rsidRPr="007F43F9">
        <w:t xml:space="preserve"> [the Amerindians] in the process due to all the detestable cruelties that Antiquity invented and that time has added (…) [talking to the Spanish:] Fearless butchers, your hands are impatient to find out if the French stomach (…) is softer than the savage one.</w:t>
      </w:r>
      <w:r w:rsidRPr="007F43F9">
        <w:rPr>
          <w:rStyle w:val="EndnoteReference"/>
        </w:rPr>
        <w:endnoteReference w:id="66"/>
      </w:r>
    </w:p>
    <w:p w14:paraId="751A22D0" w14:textId="77777777" w:rsidR="00F51911" w:rsidRPr="007F43F9" w:rsidRDefault="00F51911" w:rsidP="005C1918">
      <w:pPr>
        <w:spacing w:line="300" w:lineRule="auto"/>
        <w:jc w:val="both"/>
      </w:pPr>
    </w:p>
    <w:p w14:paraId="1965508F" w14:textId="09965319" w:rsidR="00F51911" w:rsidRPr="007F43F9" w:rsidRDefault="00AD1E2D" w:rsidP="00BC18EC">
      <w:pPr>
        <w:spacing w:line="300" w:lineRule="auto"/>
        <w:jc w:val="both"/>
      </w:pPr>
      <w:r w:rsidRPr="007F43F9">
        <w:t>T</w:t>
      </w:r>
      <w:r w:rsidR="00DB6A85" w:rsidRPr="007F43F9">
        <w:t>he external colonial frontier is</w:t>
      </w:r>
      <w:r w:rsidRPr="007F43F9">
        <w:t xml:space="preserve"> here</w:t>
      </w:r>
      <w:r w:rsidR="00DB6A85" w:rsidRPr="007F43F9">
        <w:t xml:space="preserve"> </w:t>
      </w:r>
      <w:r w:rsidR="00FB22D0" w:rsidRPr="007F43F9">
        <w:t>invoked</w:t>
      </w:r>
      <w:r w:rsidR="00DB6A85" w:rsidRPr="007F43F9">
        <w:t xml:space="preserve"> to differentiate the ‘legitimate’ French rulers from </w:t>
      </w:r>
      <w:r w:rsidRPr="007F43F9">
        <w:t xml:space="preserve">the Spanish and Amerindians </w:t>
      </w:r>
      <w:r w:rsidR="00DB6A85" w:rsidRPr="007F43F9">
        <w:t>‘savages’</w:t>
      </w:r>
      <w:r w:rsidR="00F51911" w:rsidRPr="007F43F9">
        <w:t>.</w:t>
      </w:r>
      <w:r w:rsidRPr="007F43F9">
        <w:t xml:space="preserve"> Crucially here, both the Spanish and the ‘savages’ are performed as inferior </w:t>
      </w:r>
      <w:proofErr w:type="gramStart"/>
      <w:r w:rsidRPr="007F43F9">
        <w:t>Others</w:t>
      </w:r>
      <w:proofErr w:type="gramEnd"/>
      <w:r w:rsidRPr="007F43F9">
        <w:t xml:space="preserve"> and used to sustain, by contrast, the ‘civilised’ and sovereign identity of the French kings. This is reiterated in a</w:t>
      </w:r>
      <w:r w:rsidR="00F51911" w:rsidRPr="007F43F9">
        <w:t xml:space="preserve"> 1590 pamphlet</w:t>
      </w:r>
      <w:r w:rsidRPr="007F43F9">
        <w:t>:</w:t>
      </w:r>
      <w:r w:rsidR="00F51911" w:rsidRPr="007F43F9">
        <w:t xml:space="preserve"> “all the Christian nations, and even the Barbarians and Indians, </w:t>
      </w:r>
      <w:proofErr w:type="spellStart"/>
      <w:r w:rsidR="00F51911" w:rsidRPr="007F43F9">
        <w:t>give</w:t>
      </w:r>
      <w:proofErr w:type="spellEnd"/>
      <w:r w:rsidR="00F51911" w:rsidRPr="007F43F9">
        <w:t xml:space="preserve"> ample testimony of the harshness and tyranny that the Spanish use on those who are subjected to their sovere</w:t>
      </w:r>
      <w:r w:rsidR="0043017F" w:rsidRPr="007F43F9">
        <w:t xml:space="preserve">ignty” (B.N.F., </w:t>
      </w:r>
      <w:proofErr w:type="spellStart"/>
      <w:r w:rsidR="0043017F" w:rsidRPr="007F43F9">
        <w:t>Dupuy</w:t>
      </w:r>
      <w:proofErr w:type="spellEnd"/>
      <w:r w:rsidR="0043017F" w:rsidRPr="007F43F9">
        <w:t xml:space="preserve"> 579: 158v</w:t>
      </w:r>
      <w:r w:rsidR="00F51911" w:rsidRPr="007F43F9">
        <w:t xml:space="preserve">). This reveals how the two colonial frontiers created by sovereignty feed into each other: the ‘domestic’ and ‘international’ savageries performed by the French </w:t>
      </w:r>
      <w:r w:rsidRPr="007F43F9">
        <w:t xml:space="preserve">sovereigns </w:t>
      </w:r>
      <w:r w:rsidR="00AF1359" w:rsidRPr="007F43F9">
        <w:t xml:space="preserve">mirror </w:t>
      </w:r>
      <w:r w:rsidR="00F51911" w:rsidRPr="007F43F9">
        <w:t xml:space="preserve">one another </w:t>
      </w:r>
      <w:r w:rsidR="00AF1359" w:rsidRPr="007F43F9">
        <w:t>and provide the kings and their supporters with a confirmation of their civilised identity.</w:t>
      </w:r>
      <w:r w:rsidR="001A2F75" w:rsidRPr="007F43F9">
        <w:t xml:space="preserve"> </w:t>
      </w:r>
    </w:p>
    <w:p w14:paraId="1B0E50C1" w14:textId="77777777" w:rsidR="00F51911" w:rsidRPr="007F43F9" w:rsidRDefault="00F51911" w:rsidP="005C1918">
      <w:pPr>
        <w:spacing w:line="300" w:lineRule="auto"/>
      </w:pPr>
    </w:p>
    <w:p w14:paraId="72D40515" w14:textId="77777777" w:rsidR="00F51911" w:rsidRPr="007F43F9" w:rsidRDefault="00F51911" w:rsidP="005C1918">
      <w:pPr>
        <w:spacing w:line="300" w:lineRule="auto"/>
        <w:rPr>
          <w:b/>
          <w:sz w:val="28"/>
          <w:szCs w:val="28"/>
        </w:rPr>
      </w:pPr>
    </w:p>
    <w:p w14:paraId="4B053D52" w14:textId="16BF9A52" w:rsidR="00F51911" w:rsidRPr="007F43F9" w:rsidRDefault="00F03C65" w:rsidP="0054170A">
      <w:pPr>
        <w:spacing w:line="300" w:lineRule="auto"/>
        <w:jc w:val="both"/>
        <w:rPr>
          <w:b/>
          <w:sz w:val="28"/>
          <w:szCs w:val="28"/>
        </w:rPr>
      </w:pPr>
      <w:r w:rsidRPr="007F43F9">
        <w:rPr>
          <w:b/>
          <w:sz w:val="28"/>
          <w:szCs w:val="28"/>
        </w:rPr>
        <w:t>Conclu</w:t>
      </w:r>
      <w:r w:rsidR="00997504" w:rsidRPr="007F43F9">
        <w:rPr>
          <w:b/>
          <w:sz w:val="28"/>
          <w:szCs w:val="28"/>
        </w:rPr>
        <w:t>sion</w:t>
      </w:r>
    </w:p>
    <w:p w14:paraId="324B6670" w14:textId="77777777" w:rsidR="00F51911" w:rsidRPr="007F43F9" w:rsidRDefault="00F51911" w:rsidP="005C1918">
      <w:pPr>
        <w:spacing w:line="300" w:lineRule="auto"/>
        <w:jc w:val="both"/>
      </w:pPr>
    </w:p>
    <w:p w14:paraId="1CFBE4CC" w14:textId="77777777" w:rsidR="00F51911" w:rsidRPr="007F43F9" w:rsidRDefault="00F51911" w:rsidP="005C1918">
      <w:pPr>
        <w:spacing w:line="300" w:lineRule="auto"/>
        <w:jc w:val="both"/>
      </w:pPr>
    </w:p>
    <w:p w14:paraId="4E45D9D3" w14:textId="1C4D60BF" w:rsidR="006625E6" w:rsidRPr="007F43F9" w:rsidRDefault="007B73E9" w:rsidP="00801C43">
      <w:pPr>
        <w:spacing w:line="300" w:lineRule="auto"/>
        <w:jc w:val="both"/>
      </w:pPr>
      <w:r w:rsidRPr="007F43F9">
        <w:t>T</w:t>
      </w:r>
      <w:r w:rsidR="00F51911" w:rsidRPr="007F43F9">
        <w:t>h</w:t>
      </w:r>
      <w:r w:rsidR="00006A71" w:rsidRPr="007F43F9">
        <w:t>is article has shown how th</w:t>
      </w:r>
      <w:r w:rsidR="00F51911" w:rsidRPr="007F43F9">
        <w:t>e discourses of sovereignty in sixteenth-century France are saturated with references to civilisation and savagery. Both sides appeal to the concepts of ‘barbarism’ and ‘state of nature’ in order to de-stabilise their opponent(s) while ensuring their sovereignty is preserved or recognised as legitimate. A</w:t>
      </w:r>
      <w:r w:rsidRPr="007F43F9">
        <w:t xml:space="preserve">mong this confusion, </w:t>
      </w:r>
      <w:r w:rsidR="00F51911" w:rsidRPr="007F43F9">
        <w:rPr>
          <w:rFonts w:cstheme="minorHAnsi"/>
        </w:rPr>
        <w:t>the French kings are able to</w:t>
      </w:r>
      <w:r w:rsidR="008E5F93" w:rsidRPr="007F43F9">
        <w:rPr>
          <w:rFonts w:cstheme="minorHAnsi"/>
        </w:rPr>
        <w:t xml:space="preserve"> successfully</w:t>
      </w:r>
      <w:r w:rsidR="00F51911" w:rsidRPr="007F43F9">
        <w:rPr>
          <w:rFonts w:cstheme="minorHAnsi"/>
        </w:rPr>
        <w:t xml:space="preserve"> perform savagery and attribute it to actors constructed as external to the sovereign state: the League rebels and the Amerindians. The existence of these margin</w:t>
      </w:r>
      <w:r w:rsidR="00A51E51" w:rsidRPr="007F43F9">
        <w:rPr>
          <w:rFonts w:cstheme="minorHAnsi"/>
        </w:rPr>
        <w:t>alised subjects</w:t>
      </w:r>
      <w:r w:rsidR="00F51911" w:rsidRPr="007F43F9">
        <w:rPr>
          <w:rFonts w:cstheme="minorHAnsi"/>
        </w:rPr>
        <w:t xml:space="preserve"> is essential for the sovereign centre to maintain its identity, superiority and </w:t>
      </w:r>
      <w:r w:rsidR="00A51E51" w:rsidRPr="007F43F9">
        <w:rPr>
          <w:rFonts w:cstheme="minorHAnsi"/>
        </w:rPr>
        <w:t>unity</w:t>
      </w:r>
      <w:r w:rsidR="002866E2" w:rsidRPr="007F43F9">
        <w:rPr>
          <w:rFonts w:cstheme="minorHAnsi"/>
        </w:rPr>
        <w:t>,</w:t>
      </w:r>
      <w:r w:rsidR="00F51911" w:rsidRPr="007F43F9">
        <w:rPr>
          <w:rStyle w:val="EndnoteReference"/>
        </w:rPr>
        <w:endnoteReference w:id="67"/>
      </w:r>
      <w:r w:rsidR="00F51911" w:rsidRPr="007F43F9">
        <w:t xml:space="preserve"> </w:t>
      </w:r>
      <w:r w:rsidR="002866E2" w:rsidRPr="007F43F9">
        <w:t xml:space="preserve">and references </w:t>
      </w:r>
      <w:r w:rsidR="00D4677A" w:rsidRPr="007F43F9">
        <w:t xml:space="preserve">to the external colonial frontier </w:t>
      </w:r>
      <w:r w:rsidR="002866E2" w:rsidRPr="007F43F9">
        <w:t xml:space="preserve">play a key role in this process. </w:t>
      </w:r>
      <w:r w:rsidR="00A51E51" w:rsidRPr="007F43F9">
        <w:t xml:space="preserve">This </w:t>
      </w:r>
      <w:r w:rsidR="009F5312" w:rsidRPr="007F43F9">
        <w:t xml:space="preserve">also </w:t>
      </w:r>
      <w:r w:rsidR="00A51E51" w:rsidRPr="007F43F9">
        <w:t>means that</w:t>
      </w:r>
      <w:r w:rsidR="006625E6" w:rsidRPr="007F43F9">
        <w:t xml:space="preserve"> sover</w:t>
      </w:r>
      <w:r w:rsidR="00A51E51" w:rsidRPr="007F43F9">
        <w:t xml:space="preserve">eignty </w:t>
      </w:r>
      <w:r w:rsidR="002866E2" w:rsidRPr="007F43F9">
        <w:t>calls into being</w:t>
      </w:r>
      <w:r w:rsidR="00A51E51" w:rsidRPr="007F43F9">
        <w:t xml:space="preserve"> the problem (‘savagery’) to which it provides a solution</w:t>
      </w:r>
      <w:r w:rsidR="006625E6" w:rsidRPr="007F43F9">
        <w:t xml:space="preserve">. Indeed, sovereignty is built on the assumption of a unified </w:t>
      </w:r>
      <w:r w:rsidR="003903B2" w:rsidRPr="007F43F9">
        <w:t xml:space="preserve">and civilised </w:t>
      </w:r>
      <w:r w:rsidR="006625E6" w:rsidRPr="007F43F9">
        <w:t xml:space="preserve">political order; but the very performance of this political order requires the presence of an </w:t>
      </w:r>
      <w:proofErr w:type="gramStart"/>
      <w:r w:rsidR="006625E6" w:rsidRPr="007F43F9">
        <w:t>Other</w:t>
      </w:r>
      <w:proofErr w:type="gramEnd"/>
      <w:r w:rsidR="006625E6" w:rsidRPr="007F43F9">
        <w:t xml:space="preserve"> from which the sovereign voice can differentiate itself. And this </w:t>
      </w:r>
      <w:proofErr w:type="gramStart"/>
      <w:r w:rsidR="006625E6" w:rsidRPr="007F43F9">
        <w:t>Other</w:t>
      </w:r>
      <w:proofErr w:type="gramEnd"/>
      <w:r w:rsidR="006625E6" w:rsidRPr="007F43F9">
        <w:t xml:space="preserve"> – just like the Self – is only temporarily stabilised. The </w:t>
      </w:r>
      <w:r w:rsidR="00B94B7C" w:rsidRPr="007F43F9">
        <w:t>‘</w:t>
      </w:r>
      <w:r w:rsidR="006625E6" w:rsidRPr="007F43F9">
        <w:t xml:space="preserve">savage </w:t>
      </w:r>
      <w:proofErr w:type="gramStart"/>
      <w:r w:rsidR="006625E6" w:rsidRPr="007F43F9">
        <w:t>Other</w:t>
      </w:r>
      <w:proofErr w:type="gramEnd"/>
      <w:r w:rsidR="001F363A" w:rsidRPr="007F43F9">
        <w:t>’</w:t>
      </w:r>
      <w:r w:rsidR="006625E6" w:rsidRPr="007F43F9">
        <w:t xml:space="preserve"> is here both a necessity and a danger: it is necessary for international relations organised around sovereign states to continue to exist and dangerous since this constructed Otherness mus</w:t>
      </w:r>
      <w:r w:rsidR="00D01DAE" w:rsidRPr="007F43F9">
        <w:t>t be excluded and domesticated.</w:t>
      </w:r>
    </w:p>
    <w:p w14:paraId="34E184D0" w14:textId="77777777" w:rsidR="00F03C65" w:rsidRPr="007F43F9" w:rsidRDefault="00F03C65" w:rsidP="00801C43">
      <w:pPr>
        <w:spacing w:line="300" w:lineRule="auto"/>
        <w:jc w:val="both"/>
      </w:pPr>
    </w:p>
    <w:p w14:paraId="19FDCA11" w14:textId="77777777" w:rsidR="00EC0BB0" w:rsidRPr="007F43F9" w:rsidRDefault="00EC0BB0" w:rsidP="00EC0BB0">
      <w:pPr>
        <w:spacing w:line="300" w:lineRule="auto"/>
      </w:pPr>
    </w:p>
    <w:p w14:paraId="3A356BB7" w14:textId="25FA9527" w:rsidR="006911A2" w:rsidRPr="007F43F9" w:rsidRDefault="007D44A4" w:rsidP="009B7479">
      <w:pPr>
        <w:spacing w:line="300" w:lineRule="auto"/>
        <w:jc w:val="both"/>
      </w:pPr>
      <w:r w:rsidRPr="007F43F9">
        <w:t>Successfully p</w:t>
      </w:r>
      <w:r w:rsidR="00254013" w:rsidRPr="007F43F9">
        <w:t>erforming sovereignty thus depends on the existence of colonial frontiers</w:t>
      </w:r>
      <w:r w:rsidRPr="007F43F9">
        <w:t xml:space="preserve">, </w:t>
      </w:r>
      <w:r w:rsidR="00C8704F" w:rsidRPr="007F43F9">
        <w:t xml:space="preserve">i.e. </w:t>
      </w:r>
      <w:r w:rsidRPr="007F43F9">
        <w:t>the capacity to differentiate civilised (and sovereign) from savage (and unsovereign) actors</w:t>
      </w:r>
      <w:r w:rsidR="00D01DAE" w:rsidRPr="007F43F9">
        <w:t>, and these frontiers are intimately connected</w:t>
      </w:r>
      <w:r w:rsidR="00254013" w:rsidRPr="007F43F9">
        <w:t xml:space="preserve">. </w:t>
      </w:r>
      <w:r w:rsidR="009502F9" w:rsidRPr="007F43F9">
        <w:t>P</w:t>
      </w:r>
      <w:r w:rsidR="009502F9" w:rsidRPr="007F43F9">
        <w:rPr>
          <w:rFonts w:ascii="Calibri" w:hAnsi="Calibri"/>
        </w:rPr>
        <w:t xml:space="preserve">aradoxically, then, a refocus on the </w:t>
      </w:r>
      <w:r w:rsidR="00886DD8" w:rsidRPr="007F43F9">
        <w:rPr>
          <w:rFonts w:ascii="Calibri" w:hAnsi="Calibri"/>
        </w:rPr>
        <w:t>domestic</w:t>
      </w:r>
      <w:r w:rsidR="009502F9" w:rsidRPr="007F43F9">
        <w:rPr>
          <w:rFonts w:ascii="Calibri" w:hAnsi="Calibri"/>
        </w:rPr>
        <w:t xml:space="preserve"> dimension of civilised sovereignty reveals a fuller and more balanced picture of the Eurocentrism of the concept since the same discriminatory processes can be identified on both sides of what are, essentially, </w:t>
      </w:r>
      <w:r w:rsidR="009502F9" w:rsidRPr="007F43F9">
        <w:rPr>
          <w:rFonts w:ascii="Calibri" w:hAnsi="Calibri"/>
          <w:i/>
          <w:iCs/>
        </w:rPr>
        <w:t>two</w:t>
      </w:r>
      <w:r w:rsidR="009502F9" w:rsidRPr="007F43F9">
        <w:rPr>
          <w:rFonts w:ascii="Calibri" w:hAnsi="Calibri"/>
        </w:rPr>
        <w:t xml:space="preserve"> civilised frontiers constructed on similar ideas of </w:t>
      </w:r>
      <w:r w:rsidR="00AE4E89" w:rsidRPr="007F43F9">
        <w:rPr>
          <w:rFonts w:ascii="Calibri" w:hAnsi="Calibri"/>
        </w:rPr>
        <w:t>civilisation</w:t>
      </w:r>
      <w:r w:rsidR="009502F9" w:rsidRPr="007F43F9">
        <w:rPr>
          <w:rFonts w:ascii="Calibri" w:hAnsi="Calibri"/>
        </w:rPr>
        <w:t xml:space="preserve">. </w:t>
      </w:r>
      <w:r w:rsidR="00135277" w:rsidRPr="007F43F9">
        <w:t>The</w:t>
      </w:r>
      <w:r w:rsidR="00886DD8" w:rsidRPr="007F43F9">
        <w:t>se</w:t>
      </w:r>
      <w:r w:rsidR="00135277" w:rsidRPr="007F43F9">
        <w:t xml:space="preserve"> discourses of sovereignty are central in the discarding of political alternatives and as such participate </w:t>
      </w:r>
      <w:r w:rsidR="00CB1560" w:rsidRPr="007F43F9">
        <w:t>in the establishment of (</w:t>
      </w:r>
      <w:proofErr w:type="spellStart"/>
      <w:r w:rsidR="00CB1560" w:rsidRPr="007F43F9">
        <w:t>i</w:t>
      </w:r>
      <w:proofErr w:type="spellEnd"/>
      <w:r w:rsidR="00CB1560" w:rsidRPr="007F43F9">
        <w:t>) a domestic hierarchy between the legitimate ruler (or rulers) and those who have to obey and (ii) an international hierarchy between the legitimate</w:t>
      </w:r>
      <w:r w:rsidR="00C04163" w:rsidRPr="007F43F9">
        <w:t xml:space="preserve"> </w:t>
      </w:r>
      <w:r w:rsidR="001F363A" w:rsidRPr="007F43F9">
        <w:t>(</w:t>
      </w:r>
      <w:r w:rsidR="00C04163" w:rsidRPr="007F43F9">
        <w:t xml:space="preserve">because </w:t>
      </w:r>
      <w:r w:rsidR="001F363A" w:rsidRPr="007F43F9">
        <w:t>‘</w:t>
      </w:r>
      <w:r w:rsidR="00C04163" w:rsidRPr="007F43F9">
        <w:t>civilised</w:t>
      </w:r>
      <w:r w:rsidR="001F363A" w:rsidRPr="007F43F9">
        <w:t>’)</w:t>
      </w:r>
      <w:r w:rsidR="00CB1560" w:rsidRPr="007F43F9">
        <w:t xml:space="preserve"> form of rule and </w:t>
      </w:r>
      <w:r w:rsidR="001A1F6D" w:rsidRPr="007F43F9">
        <w:t>other forms of rule</w:t>
      </w:r>
      <w:r w:rsidR="00CB1560" w:rsidRPr="007F43F9">
        <w:t xml:space="preserve"> that are denied this legitimacy and importance.</w:t>
      </w:r>
      <w:r w:rsidR="00135277" w:rsidRPr="007F43F9">
        <w:t xml:space="preserve"> </w:t>
      </w:r>
      <w:r w:rsidR="00D9022C" w:rsidRPr="007F43F9">
        <w:rPr>
          <w:rFonts w:ascii="Calibri" w:hAnsi="Calibri"/>
        </w:rPr>
        <w:t>So</w:t>
      </w:r>
      <w:r w:rsidR="00AF45B8" w:rsidRPr="007F43F9">
        <w:t>vereignty</w:t>
      </w:r>
      <w:r w:rsidR="00D9022C" w:rsidRPr="007F43F9">
        <w:t xml:space="preserve"> therefore</w:t>
      </w:r>
      <w:r w:rsidR="00AF45B8" w:rsidRPr="007F43F9">
        <w:t xml:space="preserve"> seems to escape our simplistic </w:t>
      </w:r>
      <w:r w:rsidR="00C8704F" w:rsidRPr="007F43F9">
        <w:t>binaries</w:t>
      </w:r>
      <w:r w:rsidR="00AF45B8" w:rsidRPr="007F43F9">
        <w:t xml:space="preserve"> and </w:t>
      </w:r>
      <w:r w:rsidR="00C8704F" w:rsidRPr="007F43F9">
        <w:t xml:space="preserve">our </w:t>
      </w:r>
      <w:r w:rsidR="00AF45B8" w:rsidRPr="007F43F9">
        <w:t xml:space="preserve">disciplinary boundaries: it plays a key role both </w:t>
      </w:r>
      <w:r w:rsidR="00C04163" w:rsidRPr="007F43F9">
        <w:t>domestically and internationally a</w:t>
      </w:r>
      <w:r w:rsidR="00AF45B8" w:rsidRPr="007F43F9">
        <w:t>nd it orders the world in both spheres by constructing civilised and savage identities</w:t>
      </w:r>
      <w:r w:rsidR="006911A2" w:rsidRPr="007F43F9">
        <w:t>.</w:t>
      </w:r>
      <w:r w:rsidR="001F363A" w:rsidRPr="007F43F9">
        <w:t xml:space="preserve"> These hierarchically-</w:t>
      </w:r>
      <w:r w:rsidR="006711FB" w:rsidRPr="007F43F9">
        <w:t xml:space="preserve">ordered identities also reinforce one another: through their performed naturalness they serve to validate one another and thus </w:t>
      </w:r>
      <w:r w:rsidR="001F363A" w:rsidRPr="007F43F9">
        <w:t>to hide their own</w:t>
      </w:r>
      <w:r w:rsidR="006711FB" w:rsidRPr="007F43F9">
        <w:t xml:space="preserve"> </w:t>
      </w:r>
      <w:r w:rsidR="007F1B88" w:rsidRPr="007F43F9">
        <w:t>artificiality</w:t>
      </w:r>
      <w:r w:rsidR="006711FB" w:rsidRPr="007F43F9">
        <w:t xml:space="preserve">. The act of establishing these sovereign and unsovereign identities </w:t>
      </w:r>
      <w:r w:rsidR="00886DD8" w:rsidRPr="007F43F9">
        <w:t>in one sphere is naturalised by the</w:t>
      </w:r>
      <w:r w:rsidR="006711FB" w:rsidRPr="007F43F9">
        <w:t xml:space="preserve"> identities </w:t>
      </w:r>
      <w:r w:rsidR="00CE27E3" w:rsidRPr="007F43F9">
        <w:t>supposedly pre-existing in the other sphere</w:t>
      </w:r>
      <w:r w:rsidR="00453C22" w:rsidRPr="007F43F9">
        <w:t>.</w:t>
      </w:r>
      <w:r w:rsidR="00F03C65" w:rsidRPr="007F43F9">
        <w:t xml:space="preserve"> The crucial role of the ‘external’ colonial encounter is thus not to inform or provide content to the ‘domestic’ construction of sovereignty – after all, notions of civilisation and savagery predates modern colonialism – but rather to reinforce the ‘naturalness’ </w:t>
      </w:r>
      <w:r w:rsidR="00FD5BB4" w:rsidRPr="007F43F9">
        <w:t xml:space="preserve">and ‘objectivity’ </w:t>
      </w:r>
      <w:r w:rsidR="00F03C65" w:rsidRPr="007F43F9">
        <w:t>of these distinctions.</w:t>
      </w:r>
    </w:p>
    <w:p w14:paraId="3340D090" w14:textId="77777777" w:rsidR="00290635" w:rsidRPr="007F43F9" w:rsidRDefault="00290635" w:rsidP="009B7479">
      <w:pPr>
        <w:spacing w:line="300" w:lineRule="auto"/>
        <w:jc w:val="both"/>
      </w:pPr>
    </w:p>
    <w:p w14:paraId="75095F6A" w14:textId="77777777" w:rsidR="00AA728D" w:rsidRPr="007F43F9" w:rsidRDefault="00AA728D" w:rsidP="009B7479">
      <w:pPr>
        <w:spacing w:line="300" w:lineRule="auto"/>
        <w:jc w:val="both"/>
      </w:pPr>
    </w:p>
    <w:p w14:paraId="55929C8F" w14:textId="7AA367E7" w:rsidR="00E47EC6" w:rsidRPr="007F43F9" w:rsidRDefault="00AA728D" w:rsidP="00EF2EE2">
      <w:pPr>
        <w:spacing w:line="300" w:lineRule="auto"/>
        <w:jc w:val="both"/>
      </w:pPr>
      <w:r w:rsidRPr="007F43F9">
        <w:t xml:space="preserve">This key strategy of production and differentiation from external and internal </w:t>
      </w:r>
      <w:proofErr w:type="gramStart"/>
      <w:r w:rsidRPr="007F43F9">
        <w:t>Others</w:t>
      </w:r>
      <w:proofErr w:type="gramEnd"/>
      <w:r w:rsidRPr="007F43F9">
        <w:t xml:space="preserve"> is central for sovereignty. Sovereignty is thus the ever-reproduced (and always in need of a further reproduction) performance of a civilised Self and a savage </w:t>
      </w:r>
      <w:proofErr w:type="gramStart"/>
      <w:r w:rsidRPr="007F43F9">
        <w:t>Other</w:t>
      </w:r>
      <w:proofErr w:type="gramEnd"/>
      <w:r w:rsidRPr="007F43F9">
        <w:t xml:space="preserve">. If the specific </w:t>
      </w:r>
      <w:r w:rsidR="0000696E" w:rsidRPr="007F43F9">
        <w:rPr>
          <w:rFonts w:cstheme="minorHAnsi"/>
        </w:rPr>
        <w:t xml:space="preserve">historical </w:t>
      </w:r>
      <w:r w:rsidR="00E94CA7" w:rsidRPr="007F43F9">
        <w:rPr>
          <w:rFonts w:cstheme="minorHAnsi"/>
        </w:rPr>
        <w:t>period</w:t>
      </w:r>
      <w:r w:rsidR="0000696E" w:rsidRPr="007F43F9">
        <w:rPr>
          <w:rFonts w:cstheme="minorHAnsi"/>
        </w:rPr>
        <w:t xml:space="preserve"> </w:t>
      </w:r>
      <w:r w:rsidRPr="007F43F9">
        <w:rPr>
          <w:rFonts w:cstheme="minorHAnsi"/>
        </w:rPr>
        <w:t xml:space="preserve">analysed in this article </w:t>
      </w:r>
      <w:r w:rsidR="0000696E" w:rsidRPr="007F43F9">
        <w:rPr>
          <w:rFonts w:cstheme="minorHAnsi"/>
        </w:rPr>
        <w:t xml:space="preserve">offers an analytically rich example of </w:t>
      </w:r>
      <w:r w:rsidR="007F1B88" w:rsidRPr="007F43F9">
        <w:rPr>
          <w:bCs/>
        </w:rPr>
        <w:t>a ‘crisis of sovereignty’,</w:t>
      </w:r>
      <w:r w:rsidRPr="007F43F9">
        <w:rPr>
          <w:rStyle w:val="EndnoteReference"/>
          <w:bCs/>
        </w:rPr>
        <w:endnoteReference w:id="68"/>
      </w:r>
      <w:r w:rsidRPr="007F43F9">
        <w:rPr>
          <w:bCs/>
        </w:rPr>
        <w:t xml:space="preserve"> </w:t>
      </w:r>
      <w:r w:rsidR="00EF2EE2" w:rsidRPr="007F43F9">
        <w:t>t</w:t>
      </w:r>
      <w:r w:rsidRPr="007F43F9">
        <w:t xml:space="preserve">his </w:t>
      </w:r>
      <w:r w:rsidR="00EF2EE2" w:rsidRPr="007F43F9">
        <w:t xml:space="preserve">episode </w:t>
      </w:r>
      <w:r w:rsidRPr="007F43F9">
        <w:t xml:space="preserve">is not exceptional. Despite its intensity </w:t>
      </w:r>
      <w:r w:rsidR="007F1B88" w:rsidRPr="007F43F9">
        <w:t>it</w:t>
      </w:r>
      <w:r w:rsidRPr="007F43F9">
        <w:t xml:space="preserve"> is not</w:t>
      </w:r>
      <w:r w:rsidR="007F1B88" w:rsidRPr="007F43F9">
        <w:t xml:space="preserve"> an isolated incident and</w:t>
      </w:r>
      <w:r w:rsidRPr="007F43F9">
        <w:t xml:space="preserve"> crises of sovereignty were frequent in the process of strengthening of the </w:t>
      </w:r>
      <w:r w:rsidR="00F93149" w:rsidRPr="007F43F9">
        <w:t xml:space="preserve">French </w:t>
      </w:r>
      <w:r w:rsidRPr="007F43F9">
        <w:t xml:space="preserve">sovereign state. Other major crises include the </w:t>
      </w:r>
      <w:r w:rsidRPr="007F43F9">
        <w:rPr>
          <w:i/>
        </w:rPr>
        <w:t>Guerre du Bien Public</w:t>
      </w:r>
      <w:r w:rsidRPr="007F43F9">
        <w:t xml:space="preserve"> in 1464-1465 or the </w:t>
      </w:r>
      <w:proofErr w:type="spellStart"/>
      <w:r w:rsidRPr="007F43F9">
        <w:rPr>
          <w:i/>
        </w:rPr>
        <w:t>Fronde</w:t>
      </w:r>
      <w:proofErr w:type="spellEnd"/>
      <w:r w:rsidRPr="007F43F9">
        <w:rPr>
          <w:i/>
        </w:rPr>
        <w:t xml:space="preserve"> </w:t>
      </w:r>
      <w:r w:rsidRPr="007F43F9">
        <w:t xml:space="preserve">between 1648 and 1653. </w:t>
      </w:r>
      <w:r w:rsidR="00EF2EE2" w:rsidRPr="007F43F9">
        <w:t xml:space="preserve">In this last event, </w:t>
      </w:r>
      <w:r w:rsidR="007F1B88" w:rsidRPr="007F43F9">
        <w:t xml:space="preserve">for instance, </w:t>
      </w:r>
      <w:r w:rsidR="00EF2EE2" w:rsidRPr="007F43F9">
        <w:t xml:space="preserve">another external frontier (between the civilised French and the barbaric Ottomans) was invoked in order to delegitimise or reinforce domestic claims to sovereignty. As such, </w:t>
      </w:r>
      <w:r w:rsidRPr="007F43F9">
        <w:t>these crises</w:t>
      </w:r>
      <w:r w:rsidR="00EF2EE2" w:rsidRPr="007F43F9">
        <w:t xml:space="preserve"> of sovereignty represent</w:t>
      </w:r>
      <w:r w:rsidRPr="007F43F9">
        <w:t xml:space="preserve"> momentary and explicit examples of a deeper iterative need to perform and re-perform sovereignty on a daily basis. Even once </w:t>
      </w:r>
      <w:r w:rsidR="00EF2EE2" w:rsidRPr="007F43F9">
        <w:t>the state is seemingly established s</w:t>
      </w:r>
      <w:r w:rsidRPr="007F43F9">
        <w:t xml:space="preserve">overeignty still needs to be produced and reproduced in order to be </w:t>
      </w:r>
      <w:r w:rsidR="00EF2EE2" w:rsidRPr="007F43F9">
        <w:t>sustained</w:t>
      </w:r>
      <w:r w:rsidRPr="007F43F9">
        <w:t xml:space="preserve">. </w:t>
      </w:r>
      <w:r w:rsidR="00E94CA7" w:rsidRPr="007F43F9">
        <w:t>While t</w:t>
      </w:r>
      <w:r w:rsidR="00EF2EE2" w:rsidRPr="007F43F9">
        <w:t xml:space="preserve">hese political struggles </w:t>
      </w:r>
      <w:r w:rsidR="007F1B88" w:rsidRPr="007F43F9">
        <w:t xml:space="preserve">can achieve great political confusion when they succeed in inverting </w:t>
      </w:r>
      <w:r w:rsidR="00E94CA7" w:rsidRPr="007F43F9">
        <w:t xml:space="preserve">pre-existing colonial frontiers, </w:t>
      </w:r>
      <w:r w:rsidR="002E2E8B" w:rsidRPr="007F43F9">
        <w:t>t</w:t>
      </w:r>
      <w:r w:rsidR="00EF2EE2" w:rsidRPr="007F43F9">
        <w:t xml:space="preserve">he </w:t>
      </w:r>
      <w:r w:rsidR="007F1B88" w:rsidRPr="007F43F9">
        <w:t xml:space="preserve">use of the external colonial encounter can play an important role in re-establishing the legitimacy of the </w:t>
      </w:r>
      <w:r w:rsidR="00E94CA7" w:rsidRPr="007F43F9">
        <w:t xml:space="preserve">Western </w:t>
      </w:r>
      <w:r w:rsidR="007F1B88" w:rsidRPr="007F43F9">
        <w:t>sovereign</w:t>
      </w:r>
      <w:r w:rsidR="002E2E8B" w:rsidRPr="007F43F9">
        <w:t>.</w:t>
      </w:r>
    </w:p>
    <w:p w14:paraId="6E1E9C33" w14:textId="748D0312" w:rsidR="006D6F07" w:rsidRPr="007F43F9" w:rsidRDefault="00EF2EE2" w:rsidP="00EF2EE2">
      <w:pPr>
        <w:spacing w:line="300" w:lineRule="auto"/>
        <w:jc w:val="both"/>
      </w:pPr>
      <w:r w:rsidRPr="007F43F9">
        <w:t xml:space="preserve"> </w:t>
      </w:r>
    </w:p>
    <w:p w14:paraId="0424D361" w14:textId="77777777" w:rsidR="006D6F07" w:rsidRPr="007F43F9" w:rsidRDefault="006D6F07" w:rsidP="005C1918">
      <w:pPr>
        <w:spacing w:line="300" w:lineRule="auto"/>
        <w:jc w:val="both"/>
      </w:pPr>
    </w:p>
    <w:p w14:paraId="1B23A906" w14:textId="77777777" w:rsidR="008A5E63" w:rsidRPr="007F43F9" w:rsidRDefault="008A5E63" w:rsidP="005C1918">
      <w:pPr>
        <w:spacing w:line="300" w:lineRule="auto"/>
        <w:jc w:val="both"/>
      </w:pPr>
    </w:p>
    <w:p w14:paraId="6F353D99" w14:textId="77777777" w:rsidR="005E7E6D" w:rsidRPr="007F43F9" w:rsidRDefault="005E7E6D" w:rsidP="005C1918">
      <w:pPr>
        <w:spacing w:line="300" w:lineRule="auto"/>
        <w:rPr>
          <w:b/>
          <w:bCs/>
          <w:sz w:val="28"/>
          <w:szCs w:val="28"/>
        </w:rPr>
      </w:pPr>
      <w:r w:rsidRPr="007F43F9">
        <w:rPr>
          <w:b/>
          <w:bCs/>
          <w:sz w:val="28"/>
          <w:szCs w:val="28"/>
        </w:rPr>
        <w:t>A note on the archives used:</w:t>
      </w:r>
    </w:p>
    <w:p w14:paraId="688909F8" w14:textId="77777777" w:rsidR="005E7E6D" w:rsidRPr="007F43F9" w:rsidRDefault="005E7E6D" w:rsidP="005C1918">
      <w:pPr>
        <w:spacing w:line="300" w:lineRule="auto"/>
        <w:jc w:val="both"/>
        <w:rPr>
          <w:rFonts w:ascii="Calibri" w:hAnsi="Calibri" w:cs="Calibri"/>
        </w:rPr>
      </w:pPr>
    </w:p>
    <w:p w14:paraId="6C5064CE" w14:textId="1DC78292" w:rsidR="005E7E6D" w:rsidRPr="007F43F9" w:rsidRDefault="005E7E6D" w:rsidP="005C1918">
      <w:pPr>
        <w:spacing w:line="300" w:lineRule="auto"/>
        <w:jc w:val="both"/>
        <w:rPr>
          <w:rFonts w:ascii="Calibri" w:hAnsi="Calibri" w:cs="Calibri"/>
        </w:rPr>
      </w:pPr>
      <w:r w:rsidRPr="007F43F9">
        <w:rPr>
          <w:rFonts w:ascii="Calibri" w:hAnsi="Calibri" w:cs="Calibri"/>
        </w:rPr>
        <w:t>All of the archives used are translated from French by the author. The orthography and syntax have been modernised where necessary. For page numbers, a simple number is indicated; for folio numbers, a</w:t>
      </w:r>
      <w:r w:rsidR="008B6803" w:rsidRPr="007F43F9">
        <w:rPr>
          <w:rFonts w:ascii="Calibri" w:hAnsi="Calibri" w:cs="Calibri"/>
        </w:rPr>
        <w:t>n</w:t>
      </w:r>
      <w:r w:rsidRPr="007F43F9">
        <w:rPr>
          <w:rFonts w:ascii="Calibri" w:hAnsi="Calibri" w:cs="Calibri"/>
        </w:rPr>
        <w:t xml:space="preserve"> ‘f.’ comes before the number, and a ‘v’ indicates that it is the verso side of the folio. Archives that have not been published are cited </w:t>
      </w:r>
      <w:r w:rsidR="00907074" w:rsidRPr="007F43F9">
        <w:rPr>
          <w:rFonts w:ascii="Calibri" w:hAnsi="Calibri" w:cs="Calibri"/>
        </w:rPr>
        <w:t>as follows</w:t>
      </w:r>
      <w:r w:rsidRPr="007F43F9">
        <w:rPr>
          <w:rFonts w:ascii="Calibri" w:hAnsi="Calibri" w:cs="Calibri"/>
        </w:rPr>
        <w:t>:</w:t>
      </w:r>
    </w:p>
    <w:p w14:paraId="63381A63" w14:textId="09E8E718" w:rsidR="005E7E6D" w:rsidRPr="007F43F9" w:rsidRDefault="005E7E6D" w:rsidP="005C1918">
      <w:pPr>
        <w:spacing w:line="300" w:lineRule="auto"/>
        <w:jc w:val="both"/>
        <w:rPr>
          <w:rFonts w:ascii="Calibri" w:hAnsi="Calibri" w:cs="Calibri"/>
          <w:lang w:val="fr-FR"/>
        </w:rPr>
      </w:pPr>
      <w:r w:rsidRPr="007F43F9">
        <w:rPr>
          <w:rFonts w:ascii="Calibri" w:hAnsi="Calibri" w:cs="Calibri"/>
          <w:lang w:val="fr-FR"/>
        </w:rPr>
        <w:t>- The place of conservation: A.E. [Archives du Ministère des Affaires Etrangères], B.N.F. [Bibliothèque Nationale de France];</w:t>
      </w:r>
    </w:p>
    <w:p w14:paraId="7A5922DA" w14:textId="70C9D2A6" w:rsidR="005E7E6D" w:rsidRPr="007F43F9" w:rsidRDefault="005E7E6D" w:rsidP="005C1918">
      <w:pPr>
        <w:spacing w:line="300" w:lineRule="auto"/>
        <w:jc w:val="both"/>
        <w:rPr>
          <w:rFonts w:ascii="Calibri" w:hAnsi="Calibri" w:cs="Calibri"/>
        </w:rPr>
      </w:pPr>
      <w:r w:rsidRPr="007F43F9">
        <w:rPr>
          <w:rFonts w:ascii="Calibri" w:hAnsi="Calibri" w:cs="Calibri"/>
        </w:rPr>
        <w:t>- Collection and manuscript number in the collection (e.g. “NAF 9384”), or reference number of the item (e.g. “F-23610”);</w:t>
      </w:r>
    </w:p>
    <w:p w14:paraId="6E3CDE12" w14:textId="77777777" w:rsidR="003E291B" w:rsidRPr="007F43F9" w:rsidRDefault="005E7E6D" w:rsidP="005C1918">
      <w:pPr>
        <w:spacing w:line="300" w:lineRule="auto"/>
        <w:jc w:val="both"/>
        <w:rPr>
          <w:rFonts w:ascii="Calibri" w:hAnsi="Calibri" w:cs="Calibri"/>
        </w:rPr>
      </w:pPr>
      <w:r w:rsidRPr="007F43F9">
        <w:rPr>
          <w:rFonts w:ascii="Calibri" w:hAnsi="Calibri" w:cs="Calibri"/>
        </w:rPr>
        <w:t>- Page or folio numbers (in the manuscript or in the document when the document number is given).</w:t>
      </w:r>
    </w:p>
    <w:p w14:paraId="61A91D69" w14:textId="77777777" w:rsidR="003E291B" w:rsidRPr="007F43F9" w:rsidRDefault="003E291B" w:rsidP="005C1918">
      <w:pPr>
        <w:spacing w:line="300" w:lineRule="auto"/>
        <w:jc w:val="both"/>
        <w:rPr>
          <w:rFonts w:ascii="Calibri" w:hAnsi="Calibri" w:cs="Calibri"/>
        </w:rPr>
      </w:pPr>
    </w:p>
    <w:bookmarkEnd w:id="0"/>
    <w:p w14:paraId="4541DCB7" w14:textId="672E41D8" w:rsidR="008F4D61" w:rsidRPr="007F43F9" w:rsidRDefault="008F4D61" w:rsidP="005C1918">
      <w:pPr>
        <w:spacing w:line="300" w:lineRule="auto"/>
        <w:jc w:val="both"/>
        <w:rPr>
          <w:rFonts w:ascii="Calibri" w:hAnsi="Calibri" w:cs="Calibri"/>
        </w:rPr>
      </w:pPr>
    </w:p>
    <w:sectPr w:rsidR="008F4D61" w:rsidRPr="007F43F9">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938D" w14:textId="77777777" w:rsidR="00B9126D" w:rsidRDefault="00B9126D" w:rsidP="0051593E">
      <w:r>
        <w:separator/>
      </w:r>
    </w:p>
  </w:endnote>
  <w:endnote w:type="continuationSeparator" w:id="0">
    <w:p w14:paraId="72032A75" w14:textId="77777777" w:rsidR="00B9126D" w:rsidRDefault="00B9126D" w:rsidP="0051593E">
      <w:r>
        <w:continuationSeparator/>
      </w:r>
    </w:p>
  </w:endnote>
  <w:endnote w:id="1">
    <w:p w14:paraId="3172C6A3" w14:textId="3B8FC834" w:rsidR="00F51911" w:rsidRPr="0073118C" w:rsidRDefault="00F51911" w:rsidP="0073118C">
      <w:pPr>
        <w:pStyle w:val="EndNoteBibliography"/>
        <w:rPr>
          <w:rFonts w:asciiTheme="minorHAnsi" w:hAnsiTheme="minorHAnsi" w:cstheme="minorHAnsi"/>
          <w:sz w:val="20"/>
          <w:szCs w:val="20"/>
        </w:rPr>
      </w:pPr>
      <w:r w:rsidRPr="0073118C">
        <w:rPr>
          <w:rStyle w:val="EndnoteReference"/>
          <w:rFonts w:asciiTheme="minorHAnsi" w:hAnsiTheme="minorHAnsi" w:cstheme="minorHAnsi"/>
          <w:sz w:val="20"/>
          <w:szCs w:val="20"/>
        </w:rPr>
        <w:endnoteRef/>
      </w:r>
      <w:r w:rsidRPr="0073118C">
        <w:rPr>
          <w:rFonts w:asciiTheme="minorHAnsi" w:hAnsiTheme="minorHAnsi" w:cstheme="minorHAnsi"/>
          <w:sz w:val="20"/>
          <w:szCs w:val="20"/>
        </w:rPr>
        <w:t xml:space="preserve"> F. H. Hinsley, </w:t>
      </w:r>
      <w:r w:rsidRPr="0073118C">
        <w:rPr>
          <w:rFonts w:asciiTheme="minorHAnsi" w:hAnsiTheme="minorHAnsi" w:cstheme="minorHAnsi"/>
          <w:i/>
          <w:sz w:val="20"/>
          <w:szCs w:val="20"/>
        </w:rPr>
        <w:t xml:space="preserve">Sovereignty </w:t>
      </w:r>
      <w:r w:rsidRPr="0073118C">
        <w:rPr>
          <w:rFonts w:asciiTheme="minorHAnsi" w:hAnsiTheme="minorHAnsi" w:cstheme="minorHAnsi"/>
          <w:sz w:val="20"/>
          <w:szCs w:val="20"/>
        </w:rPr>
        <w:t>(Cambridge: Cambridge University Press, 1986), p. 1.</w:t>
      </w:r>
    </w:p>
  </w:endnote>
  <w:endnote w:id="2">
    <w:p w14:paraId="187CB608" w14:textId="663ECBA1" w:rsidR="00F51911" w:rsidRPr="0073118C" w:rsidRDefault="00F51911" w:rsidP="0073118C">
      <w:pPr>
        <w:pStyle w:val="EndNoteBibliography"/>
        <w:rPr>
          <w:rFonts w:asciiTheme="minorHAnsi" w:hAnsiTheme="minorHAnsi" w:cstheme="minorHAnsi"/>
          <w:sz w:val="20"/>
          <w:szCs w:val="20"/>
        </w:rPr>
      </w:pPr>
      <w:r w:rsidRPr="0073118C">
        <w:rPr>
          <w:rStyle w:val="EndnoteReference"/>
          <w:rFonts w:asciiTheme="minorHAnsi" w:hAnsiTheme="minorHAnsi" w:cstheme="minorHAnsi"/>
          <w:sz w:val="20"/>
          <w:szCs w:val="20"/>
        </w:rPr>
        <w:endnoteRef/>
      </w:r>
      <w:r w:rsidRPr="0073118C">
        <w:rPr>
          <w:rFonts w:asciiTheme="minorHAnsi" w:hAnsiTheme="minorHAnsi" w:cstheme="minorHAnsi"/>
          <w:sz w:val="20"/>
          <w:szCs w:val="20"/>
        </w:rPr>
        <w:t xml:space="preserve"> R. L. Doty, </w:t>
      </w:r>
      <w:r w:rsidRPr="0073118C">
        <w:rPr>
          <w:rFonts w:asciiTheme="minorHAnsi" w:hAnsiTheme="minorHAnsi" w:cstheme="minorHAnsi"/>
          <w:i/>
          <w:sz w:val="20"/>
          <w:szCs w:val="20"/>
        </w:rPr>
        <w:t xml:space="preserve">Imperial Encounters: the Politics of Representation in North-South Relations </w:t>
      </w:r>
      <w:r w:rsidRPr="0073118C">
        <w:rPr>
          <w:rFonts w:asciiTheme="minorHAnsi" w:hAnsiTheme="minorHAnsi" w:cstheme="minorHAnsi"/>
          <w:sz w:val="20"/>
          <w:szCs w:val="20"/>
        </w:rPr>
        <w:t xml:space="preserve">(Minneapolis; London: University of Minnesota Press, 1996); J. M. Hobson, </w:t>
      </w:r>
      <w:r w:rsidRPr="0073118C">
        <w:rPr>
          <w:rFonts w:asciiTheme="minorHAnsi" w:hAnsiTheme="minorHAnsi" w:cstheme="minorHAnsi"/>
          <w:i/>
          <w:sz w:val="20"/>
          <w:szCs w:val="20"/>
        </w:rPr>
        <w:t xml:space="preserve">The Eurocentric Conception of World Politics. Western International Theory, 1760-2010 </w:t>
      </w:r>
      <w:r w:rsidRPr="0073118C">
        <w:rPr>
          <w:rFonts w:asciiTheme="minorHAnsi" w:hAnsiTheme="minorHAnsi" w:cstheme="minorHAnsi"/>
          <w:sz w:val="20"/>
          <w:szCs w:val="20"/>
        </w:rPr>
        <w:t xml:space="preserve">(Cambridge: Cambridge University Press, 2012). A similar argument can be found in Third World approaches to International Law, in particular in the work of </w:t>
      </w:r>
      <w:r w:rsidRPr="0073118C">
        <w:rPr>
          <w:rFonts w:asciiTheme="minorHAnsi" w:hAnsiTheme="minorHAnsi" w:cstheme="minorHAnsi"/>
          <w:sz w:val="20"/>
          <w:szCs w:val="20"/>
        </w:rPr>
        <w:fldChar w:fldCharType="begin"/>
      </w:r>
      <w:r w:rsidRPr="0073118C">
        <w:rPr>
          <w:rFonts w:asciiTheme="minorHAnsi" w:hAnsiTheme="minorHAnsi" w:cstheme="minorHAnsi"/>
          <w:sz w:val="20"/>
          <w:szCs w:val="20"/>
        </w:rPr>
        <w:instrText xml:space="preserve"> ADDIN EN.CITE &lt;EndNote&gt;&lt;Cite ExcludeAuth="1"&gt;&lt;Author&gt;Anghie&lt;/Author&gt;&lt;Year&gt;2005&lt;/Year&gt;&lt;RecNum&gt;264&lt;/RecNum&gt;&lt;DisplayText&gt;A. Anghie, &lt;style face="italic"&gt;Imperialism, Sovereignty and the Making of International Law &lt;/style&gt;(Cambridge: Cambridge University Press, 2005).&lt;/DisplayText&gt;&lt;record&gt;&lt;rec-number&gt;264&lt;/rec-number&gt;&lt;foreign-keys&gt;&lt;key app="EN" db-id="e0p0sdz2n5prezee0vmpeatvzspt5pp0dd2a" timestamp="1323781874"&gt;264&lt;/key&gt;&lt;/foreign-keys&gt;&lt;ref-type name="Book"&gt;6&lt;/ref-type&gt;&lt;contributors&gt;&lt;authors&gt;&lt;author&gt;Antony Anghie&lt;/author&gt;&lt;/authors&gt;&lt;/contributors&gt;&lt;titles&gt;&lt;title&gt;Imperialism, Sovereignty and the Making of International Law&lt;/title&gt;&lt;/titles&gt;&lt;dates&gt;&lt;year&gt;2005&lt;/year&gt;&lt;/dates&gt;&lt;pub-location&gt;Cambridge&lt;/pub-location&gt;&lt;publisher&gt;Cambridge University Press&lt;/publisher&gt;&lt;urls&gt;&lt;/urls&gt;&lt;/record&gt;&lt;/Cite&gt;&lt;/EndNote&gt;</w:instrText>
      </w:r>
      <w:r w:rsidRPr="0073118C">
        <w:rPr>
          <w:rFonts w:asciiTheme="minorHAnsi" w:hAnsiTheme="minorHAnsi" w:cstheme="minorHAnsi"/>
          <w:sz w:val="20"/>
          <w:szCs w:val="20"/>
        </w:rPr>
        <w:fldChar w:fldCharType="separate"/>
      </w:r>
      <w:r w:rsidRPr="0073118C">
        <w:rPr>
          <w:rFonts w:asciiTheme="minorHAnsi" w:hAnsiTheme="minorHAnsi" w:cstheme="minorHAnsi"/>
          <w:sz w:val="20"/>
          <w:szCs w:val="20"/>
        </w:rPr>
        <w:t xml:space="preserve">A. Anghie, </w:t>
      </w:r>
      <w:r w:rsidRPr="0073118C">
        <w:rPr>
          <w:rFonts w:asciiTheme="minorHAnsi" w:hAnsiTheme="minorHAnsi" w:cstheme="minorHAnsi"/>
          <w:i/>
          <w:sz w:val="20"/>
          <w:szCs w:val="20"/>
        </w:rPr>
        <w:t xml:space="preserve">Imperialism, Sovereignty and the Making of International Law </w:t>
      </w:r>
      <w:r w:rsidRPr="0073118C">
        <w:rPr>
          <w:rFonts w:asciiTheme="minorHAnsi" w:hAnsiTheme="minorHAnsi" w:cstheme="minorHAnsi"/>
          <w:sz w:val="20"/>
          <w:szCs w:val="20"/>
        </w:rPr>
        <w:t>(Cambridge: Cambridge University Press, 2005)</w:t>
      </w:r>
      <w:r w:rsidRPr="0073118C">
        <w:rPr>
          <w:rFonts w:asciiTheme="minorHAnsi" w:hAnsiTheme="minorHAnsi" w:cstheme="minorHAnsi"/>
          <w:sz w:val="20"/>
          <w:szCs w:val="20"/>
        </w:rPr>
        <w:fldChar w:fldCharType="end"/>
      </w:r>
      <w:r w:rsidRPr="0073118C">
        <w:rPr>
          <w:rFonts w:asciiTheme="minorHAnsi" w:hAnsiTheme="minorHAnsi" w:cstheme="minorHAnsi"/>
          <w:sz w:val="20"/>
          <w:szCs w:val="20"/>
        </w:rPr>
        <w:t xml:space="preserve"> and </w:t>
      </w:r>
      <w:r w:rsidRPr="0073118C">
        <w:rPr>
          <w:rFonts w:asciiTheme="minorHAnsi" w:hAnsiTheme="minorHAnsi" w:cstheme="minorHAnsi"/>
          <w:sz w:val="20"/>
          <w:szCs w:val="20"/>
        </w:rPr>
        <w:fldChar w:fldCharType="begin"/>
      </w:r>
      <w:r w:rsidRPr="0073118C">
        <w:rPr>
          <w:rFonts w:asciiTheme="minorHAnsi" w:hAnsiTheme="minorHAnsi" w:cstheme="minorHAnsi"/>
          <w:sz w:val="20"/>
          <w:szCs w:val="20"/>
        </w:rPr>
        <w:instrText xml:space="preserve"> ADDIN EN.CITE &lt;EndNote&gt;&lt;Cite ExcludeAuth="1"&gt;&lt;Author&gt;Koskenniemi&lt;/Author&gt;&lt;Year&gt;2001&lt;/Year&gt;&lt;RecNum&gt;612&lt;/RecNum&gt;&lt;DisplayText&gt;M. Koskenniemi, &lt;style face="italic"&gt;The Gentle Civilizer of Nations: The Rise and Fall of International Law 1870–1960 &lt;/style&gt;(Cambridge: Cambridge University Press, 2001).&lt;/DisplayText&gt;&lt;record&gt;&lt;rec-number&gt;612&lt;/rec-number&gt;&lt;foreign-keys&gt;&lt;key app="EN" db-id="e0p0sdz2n5prezee0vmpeatvzspt5pp0dd2a" timestamp="1428658556"&gt;612&lt;/key&gt;&lt;/foreign-keys&gt;&lt;ref-type name="Book"&gt;6&lt;/ref-type&gt;&lt;contributors&gt;&lt;authors&gt;&lt;author&gt;Martti Koskenniemi&lt;/author&gt;&lt;/authors&gt;&lt;/contributors&gt;&lt;titles&gt;&lt;title&gt;The Gentle Civilizer of Nations: The Rise and Fall of International Law 1870–1960&lt;/title&gt;&lt;/titles&gt;&lt;dates&gt;&lt;year&gt;2001&lt;/year&gt;&lt;/dates&gt;&lt;pub-location&gt;Cambridge&lt;/pub-location&gt;&lt;publisher&gt;Cambridge University Press&lt;/publisher&gt;&lt;urls&gt;&lt;/urls&gt;&lt;/record&gt;&lt;/Cite&gt;&lt;/EndNote&gt;</w:instrText>
      </w:r>
      <w:r w:rsidRPr="0073118C">
        <w:rPr>
          <w:rFonts w:asciiTheme="minorHAnsi" w:hAnsiTheme="minorHAnsi" w:cstheme="minorHAnsi"/>
          <w:sz w:val="20"/>
          <w:szCs w:val="20"/>
        </w:rPr>
        <w:fldChar w:fldCharType="separate"/>
      </w:r>
      <w:r w:rsidRPr="0073118C">
        <w:rPr>
          <w:rFonts w:asciiTheme="minorHAnsi" w:hAnsiTheme="minorHAnsi" w:cstheme="minorHAnsi"/>
          <w:sz w:val="20"/>
          <w:szCs w:val="20"/>
        </w:rPr>
        <w:t xml:space="preserve">M. Koskenniemi, </w:t>
      </w:r>
      <w:r w:rsidRPr="0073118C">
        <w:rPr>
          <w:rFonts w:asciiTheme="minorHAnsi" w:hAnsiTheme="minorHAnsi" w:cstheme="minorHAnsi"/>
          <w:i/>
          <w:sz w:val="20"/>
          <w:szCs w:val="20"/>
        </w:rPr>
        <w:t xml:space="preserve">The Gentle Civilizer of Nations: The Rise and Fall of International Law 1870–1960 </w:t>
      </w:r>
      <w:r w:rsidRPr="0073118C">
        <w:rPr>
          <w:rFonts w:asciiTheme="minorHAnsi" w:hAnsiTheme="minorHAnsi" w:cstheme="minorHAnsi"/>
          <w:sz w:val="20"/>
          <w:szCs w:val="20"/>
        </w:rPr>
        <w:t>(Cambridge: Cambridge University Press, 2001).</w:t>
      </w:r>
      <w:r w:rsidRPr="0073118C">
        <w:rPr>
          <w:rFonts w:asciiTheme="minorHAnsi" w:hAnsiTheme="minorHAnsi" w:cstheme="minorHAnsi"/>
          <w:sz w:val="20"/>
          <w:szCs w:val="20"/>
        </w:rPr>
        <w:fldChar w:fldCharType="end"/>
      </w:r>
    </w:p>
  </w:endnote>
  <w:endnote w:id="3">
    <w:p w14:paraId="6FF44C7A" w14:textId="364AC518" w:rsidR="00F51911" w:rsidRPr="0073118C" w:rsidRDefault="00F51911" w:rsidP="0073118C">
      <w:pPr>
        <w:pStyle w:val="EndnoteText"/>
        <w:jc w:val="both"/>
        <w:rPr>
          <w:rFonts w:cstheme="minorHAnsi"/>
          <w:iCs/>
        </w:rPr>
      </w:pPr>
      <w:r w:rsidRPr="0073118C">
        <w:rPr>
          <w:rStyle w:val="EndnoteReference"/>
          <w:rFonts w:cstheme="minorHAnsi"/>
        </w:rPr>
        <w:endnoteRef/>
      </w:r>
      <w:r w:rsidRPr="0073118C">
        <w:rPr>
          <w:rFonts w:cstheme="minorHAnsi"/>
        </w:rPr>
        <w:t xml:space="preserve"> </w:t>
      </w:r>
      <w:r w:rsidRPr="0073118C">
        <w:rPr>
          <w:rFonts w:cstheme="minorHAnsi"/>
          <w:noProof/>
        </w:rPr>
        <w:t xml:space="preserve">Anghie, </w:t>
      </w:r>
      <w:r w:rsidRPr="0073118C">
        <w:rPr>
          <w:rFonts w:cstheme="minorHAnsi"/>
          <w:i/>
          <w:noProof/>
        </w:rPr>
        <w:t>Imperialism</w:t>
      </w:r>
      <w:r w:rsidRPr="0073118C">
        <w:rPr>
          <w:rFonts w:cstheme="minorHAnsi"/>
          <w:iCs/>
          <w:noProof/>
        </w:rPr>
        <w:t xml:space="preserve">, p. 37 and 103. </w:t>
      </w:r>
      <w:r w:rsidRPr="0073118C">
        <w:rPr>
          <w:rFonts w:cstheme="minorHAnsi"/>
        </w:rPr>
        <w:t xml:space="preserve">On this question, see more generally </w:t>
      </w:r>
      <w:r w:rsidRPr="0073118C">
        <w:rPr>
          <w:rFonts w:cstheme="minorHAnsi"/>
        </w:rPr>
        <w:fldChar w:fldCharType="begin"/>
      </w:r>
      <w:r w:rsidRPr="0073118C">
        <w:rPr>
          <w:rFonts w:cstheme="minorHAnsi"/>
        </w:rPr>
        <w:instrText xml:space="preserve"> ADDIN EN.CITE &lt;EndNote&gt;&lt;Cite ExcludeAuth="1"&gt;&lt;Author&gt;Seth&lt;/Author&gt;&lt;Year&gt;2000&lt;/Year&gt;&lt;RecNum&gt;244&lt;/RecNum&gt;&lt;DisplayText&gt;S. Seth, &amp;apos;A &amp;apos;Postcolonial World&amp;apos;?&amp;apos;, in G. Fry and J. O&amp;apos;Hagan (eds.) &lt;style face="italic"&gt;Contending Images of World Politics&lt;/style&gt; (London: Macmillan, 2000), pp. 214-226.&lt;/DisplayText&gt;&lt;record&gt;&lt;rec-number&gt;244&lt;/rec-number&gt;&lt;foreign-keys&gt;&lt;key app="EN" db-id="e0p0sdz2n5prezee0vmpeatvzspt5pp0dd2a" timestamp="1319898420"&gt;244&lt;/key&gt;&lt;/foreign-keys&gt;&lt;ref-type name="Book Section"&gt;5&lt;/ref-type&gt;&lt;contributors&gt;&lt;authors&gt;&lt;author&gt;Sanjay Seth&lt;/author&gt;&lt;/authors&gt;&lt;secondary-authors&gt;&lt;author&gt;Greg Fry&lt;/author&gt;&lt;author&gt;Jacintha O&amp;apos;Hagan&lt;/author&gt;&lt;/secondary-authors&gt;&lt;/contributors&gt;&lt;titles&gt;&lt;title&gt;A &amp;apos;Postcolonial World&amp;apos;?&lt;/title&gt;&lt;secondary-title&gt;Contending Images of World Politics&lt;/secondary-title&gt;&lt;/titles&gt;&lt;pages&gt;214-226&lt;/pages&gt;&lt;dates&gt;&lt;year&gt;2000&lt;/year&gt;&lt;/dates&gt;&lt;pub-location&gt;London&lt;/pub-location&gt;&lt;publisher&gt;Macmillan&lt;/publisher&gt;&lt;urls&gt;&lt;/urls&gt;&lt;/record&gt;&lt;/Cite&gt;&lt;/EndNote&gt;</w:instrText>
      </w:r>
      <w:r w:rsidRPr="0073118C">
        <w:rPr>
          <w:rFonts w:cstheme="minorHAnsi"/>
        </w:rPr>
        <w:fldChar w:fldCharType="separate"/>
      </w:r>
      <w:r w:rsidRPr="0073118C">
        <w:rPr>
          <w:rFonts w:cstheme="minorHAnsi"/>
          <w:noProof/>
        </w:rPr>
        <w:t xml:space="preserve">S. Seth, 'A 'Postcolonial World'?', in G. Fry and J. O'Hagan (eds.) </w:t>
      </w:r>
      <w:r w:rsidRPr="0073118C">
        <w:rPr>
          <w:rFonts w:cstheme="minorHAnsi"/>
          <w:i/>
          <w:noProof/>
        </w:rPr>
        <w:t>Contending Images of World Politics</w:t>
      </w:r>
      <w:r w:rsidRPr="0073118C">
        <w:rPr>
          <w:rFonts w:cstheme="minorHAnsi"/>
          <w:noProof/>
        </w:rPr>
        <w:t xml:space="preserve"> (London: Macmillan, 2000), pp. 214-226</w:t>
      </w:r>
      <w:r w:rsidRPr="0073118C">
        <w:rPr>
          <w:rFonts w:cstheme="minorHAnsi"/>
        </w:rPr>
        <w:fldChar w:fldCharType="end"/>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 ExcludeAuth="1"&gt;&lt;Author&gt;Dunn&lt;/Author&gt;&lt;Year&gt;2003&lt;/Year&gt;&lt;RecNum&gt;289&lt;/RecNum&gt;&lt;DisplayText&gt;K. C. Dunn, &lt;style face="italic"&gt;Imagining the Congo: The International Relations of Identity &lt;/style&gt;(New York: Palgrave MacMillan, 2003).&lt;/DisplayText&gt;&lt;record&gt;&lt;rec-number&gt;289&lt;/rec-number&gt;&lt;foreign-keys&gt;&lt;key app="EN" db-id="e0p0sdz2n5prezee0vmpeatvzspt5pp0dd2a" timestamp="1328514984"&gt;289&lt;/key&gt;&lt;/foreign-keys&gt;&lt;ref-type name="Book"&gt;6&lt;/ref-type&gt;&lt;contributors&gt;&lt;authors&gt;&lt;author&gt;Kevin C. Dunn&lt;/author&gt;&lt;/authors&gt;&lt;/contributors&gt;&lt;titles&gt;&lt;title&gt;Imagining the Congo: The International Relations of Identity&lt;/title&gt;&lt;/titles&gt;&lt;dates&gt;&lt;year&gt;2003&lt;/year&gt;&lt;/dates&gt;&lt;pub-location&gt;New York&lt;/pub-location&gt;&lt;publisher&gt;Palgrave MacMillan&lt;/publisher&gt;&lt;urls&gt;&lt;/urls&gt;&lt;/record&gt;&lt;/Cite&gt;&lt;/EndNote&gt;</w:instrText>
      </w:r>
      <w:r w:rsidRPr="0073118C">
        <w:rPr>
          <w:rFonts w:cstheme="minorHAnsi"/>
        </w:rPr>
        <w:fldChar w:fldCharType="separate"/>
      </w:r>
      <w:r w:rsidRPr="0073118C">
        <w:rPr>
          <w:rFonts w:cstheme="minorHAnsi"/>
          <w:noProof/>
        </w:rPr>
        <w:t xml:space="preserve">K. C. Dunn, </w:t>
      </w:r>
      <w:r w:rsidRPr="0073118C">
        <w:rPr>
          <w:rFonts w:cstheme="minorHAnsi"/>
          <w:i/>
          <w:noProof/>
        </w:rPr>
        <w:t xml:space="preserve">Imagining the Congo: The International Relations of Identity </w:t>
      </w:r>
      <w:r w:rsidRPr="0073118C">
        <w:rPr>
          <w:rFonts w:cstheme="minorHAnsi"/>
          <w:noProof/>
        </w:rPr>
        <w:t>(New York: Palgrave MacMillan, 2003)</w:t>
      </w:r>
      <w:r w:rsidRPr="0073118C">
        <w:rPr>
          <w:rFonts w:cstheme="minorHAnsi"/>
        </w:rPr>
        <w:fldChar w:fldCharType="end"/>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 ExcludeAuth="1"&gt;&lt;Author&gt;Keene&lt;/Author&gt;&lt;Year&gt;2004&lt;/Year&gt;&lt;RecNum&gt;270&lt;/RecNum&gt;&lt;DisplayText&gt;E. Keene, &lt;style face="italic"&gt;Beyond the Anarchical Society. Grotius, Colonialism and Order in World Politics &lt;/style&gt;(Cambridge: Cambridge University Press, 2004).&lt;/DisplayText&gt;&lt;record&gt;&lt;rec-number&gt;270&lt;/rec-number&gt;&lt;foreign-keys&gt;&lt;key app="EN" db-id="e0p0sdz2n5prezee0vmpeatvzspt5pp0dd2a" timestamp="1325842056"&gt;270&lt;/key&gt;&lt;/foreign-keys&gt;&lt;ref-type name="Book"&gt;6&lt;/ref-type&gt;&lt;contributors&gt;&lt;authors&gt;&lt;author&gt;Edward Keene&lt;/author&gt;&lt;/authors&gt;&lt;/contributors&gt;&lt;titles&gt;&lt;title&gt;Beyond the Anarchical Society. Grotius, Colonialism and Order in World Politics&lt;/title&gt;&lt;/titles&gt;&lt;dates&gt;&lt;year&gt;2004&lt;/year&gt;&lt;/dates&gt;&lt;pub-location&gt;Cambridge&lt;/pub-location&gt;&lt;publisher&gt;Cambridge University Press&lt;/publisher&gt;&lt;urls&gt;&lt;/urls&gt;&lt;/record&gt;&lt;/Cite&gt;&lt;/EndNote&gt;</w:instrText>
      </w:r>
      <w:r w:rsidRPr="0073118C">
        <w:rPr>
          <w:rFonts w:cstheme="minorHAnsi"/>
        </w:rPr>
        <w:fldChar w:fldCharType="separate"/>
      </w:r>
      <w:r w:rsidRPr="0073118C">
        <w:rPr>
          <w:rFonts w:cstheme="minorHAnsi"/>
          <w:noProof/>
        </w:rPr>
        <w:t xml:space="preserve">E. Keene, </w:t>
      </w:r>
      <w:r w:rsidRPr="0073118C">
        <w:rPr>
          <w:rFonts w:cstheme="minorHAnsi"/>
          <w:i/>
          <w:noProof/>
        </w:rPr>
        <w:t xml:space="preserve">Beyond the Anarchical Society. Grotius, Colonialism and Order in World Politics </w:t>
      </w:r>
      <w:r w:rsidRPr="0073118C">
        <w:rPr>
          <w:rFonts w:cstheme="minorHAnsi"/>
          <w:noProof/>
        </w:rPr>
        <w:t>(Cambridge: Cambridge University Press, 2004)</w:t>
      </w:r>
      <w:r w:rsidRPr="0073118C">
        <w:rPr>
          <w:rFonts w:cstheme="minorHAnsi"/>
        </w:rPr>
        <w:fldChar w:fldCharType="end"/>
      </w:r>
      <w:r w:rsidRPr="0073118C">
        <w:rPr>
          <w:rFonts w:cstheme="minorHAnsi"/>
        </w:rPr>
        <w:t xml:space="preserve">; </w:t>
      </w:r>
      <w:r w:rsidRPr="0073118C">
        <w:rPr>
          <w:rFonts w:cstheme="minorHAnsi"/>
        </w:rPr>
        <w:fldChar w:fldCharType="begin">
          <w:fldData xml:space="preserve">PEVuZE5vdGU+PENpdGUgRXhjbHVkZUF1dGg9IjEiPjxBdXRob3I+U2ltcHNvbjwvQXV0aG9yPjxZ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</w:fldData>
        </w:fldChar>
      </w:r>
      <w:r w:rsidRPr="0073118C">
        <w:rPr>
          <w:rFonts w:cstheme="minorHAnsi"/>
        </w:rPr>
        <w:instrText xml:space="preserve"> ADDIN EN.CITE </w:instrText>
      </w:r>
      <w:r w:rsidRPr="0073118C">
        <w:rPr>
          <w:rFonts w:cstheme="minorHAnsi"/>
        </w:rPr>
        <w:fldChar w:fldCharType="begin">
          <w:fldData xml:space="preserve">PEVuZE5vdGU+PENpdGUgRXhjbHVkZUF1dGg9IjEiPjxBdXRob3I+U2ltcHNvbjwvQXV0aG9yPjxZ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</w:fldData>
        </w:fldChar>
      </w:r>
      <w:r w:rsidRPr="0073118C">
        <w:rPr>
          <w:rFonts w:cstheme="minorHAnsi"/>
        </w:rPr>
        <w:instrText xml:space="preserve"> ADDIN EN.CITE.DATA </w:instrText>
      </w:r>
      <w:r w:rsidRPr="0073118C">
        <w:rPr>
          <w:rFonts w:cstheme="minorHAnsi"/>
        </w:rPr>
      </w:r>
      <w:r w:rsidRPr="0073118C">
        <w:rPr>
          <w:rFonts w:cstheme="minorHAnsi"/>
        </w:rPr>
        <w:fldChar w:fldCharType="end"/>
      </w:r>
      <w:r w:rsidRPr="0073118C">
        <w:rPr>
          <w:rFonts w:cstheme="minorHAnsi"/>
        </w:rPr>
      </w:r>
      <w:r w:rsidRPr="0073118C">
        <w:rPr>
          <w:rFonts w:cstheme="minorHAnsi"/>
        </w:rPr>
        <w:fldChar w:fldCharType="separate"/>
      </w:r>
      <w:r w:rsidRPr="0073118C">
        <w:rPr>
          <w:rFonts w:cstheme="minorHAnsi"/>
          <w:noProof/>
        </w:rPr>
        <w:t xml:space="preserve">G. Simpson, </w:t>
      </w:r>
      <w:r w:rsidRPr="0073118C">
        <w:rPr>
          <w:rFonts w:cstheme="minorHAnsi"/>
          <w:i/>
          <w:noProof/>
        </w:rPr>
        <w:t xml:space="preserve">Great Powers and Outlaw States: Unequal Sovereigns in the International Legal Order </w:t>
      </w:r>
      <w:r w:rsidRPr="0073118C">
        <w:rPr>
          <w:rFonts w:cstheme="minorHAnsi"/>
          <w:noProof/>
        </w:rPr>
        <w:t xml:space="preserve">(Cambridge: Cambridge University Press, 2004), C. Pateman, 'The settler contract', in C. Pateman and C. Mills (eds.) </w:t>
      </w:r>
      <w:r w:rsidRPr="0073118C">
        <w:rPr>
          <w:rFonts w:cstheme="minorHAnsi"/>
          <w:i/>
          <w:noProof/>
        </w:rPr>
        <w:t>Contract and Domination</w:t>
      </w:r>
      <w:r w:rsidRPr="0073118C">
        <w:rPr>
          <w:rFonts w:cstheme="minorHAnsi"/>
          <w:noProof/>
        </w:rPr>
        <w:t xml:space="preserve"> (Cambridge: Polity Press, 2007), pp. 35-78, S. Suzuki, </w:t>
      </w:r>
      <w:r w:rsidRPr="0073118C">
        <w:rPr>
          <w:rFonts w:cstheme="minorHAnsi"/>
          <w:i/>
          <w:noProof/>
        </w:rPr>
        <w:t xml:space="preserve">Civilization and Empire. China and Japan's Encounter with European International Society </w:t>
      </w:r>
      <w:r w:rsidRPr="0073118C">
        <w:rPr>
          <w:rFonts w:cstheme="minorHAnsi"/>
          <w:noProof/>
        </w:rPr>
        <w:t>(London: Routledge, 2009).</w:t>
      </w:r>
      <w:r w:rsidRPr="0073118C">
        <w:rPr>
          <w:rFonts w:cstheme="minorHAnsi"/>
        </w:rPr>
        <w:fldChar w:fldCharType="end"/>
      </w:r>
      <w:r w:rsidRPr="0073118C">
        <w:rPr>
          <w:rFonts w:cstheme="minorHAnsi"/>
        </w:rPr>
        <w:t xml:space="preserve"> On the question of sovereignty as an exclusionary concept see more specifically  </w:t>
      </w:r>
      <w:r w:rsidRPr="0073118C">
        <w:rPr>
          <w:rFonts w:cstheme="minorHAnsi"/>
        </w:rPr>
        <w:fldChar w:fldCharType="begin"/>
      </w:r>
      <w:r w:rsidRPr="0073118C">
        <w:rPr>
          <w:rFonts w:cstheme="minorHAnsi"/>
        </w:rPr>
        <w:instrText xml:space="preserve"> ADDIN EN.CITE &lt;EndNote&gt;&lt;Cite ExcludeAuth="1"&gt;&lt;Author&gt;Walker&lt;/Author&gt;&lt;Year&gt;1993&lt;/Year&gt;&lt;RecNum&gt;236&lt;/RecNum&gt;&lt;DisplayText&gt;R. B. J. Walker, &lt;style face="italic"&gt;Inside/Outside: International Relations as Political Theory &lt;/style&gt;(Cambridge: Cambridge University Press, 1993).&lt;/DisplayText&gt;&lt;record&gt;&lt;rec-number&gt;236&lt;/rec-number&gt;&lt;foreign-keys&gt;&lt;key app="EN" db-id="e0p0sdz2n5prezee0vmpeatvzspt5pp0dd2a" timestamp="1318581275"&gt;236&lt;/key&gt;&lt;/foreign-keys&gt;&lt;ref-type name="Book"&gt;6&lt;/ref-type&gt;&lt;contributors&gt;&lt;authors&gt;&lt;author&gt;R. B. J. Walker&lt;/author&gt;&lt;/authors&gt;&lt;/contributors&gt;&lt;titles&gt;&lt;title&gt;Inside/Outside: International Relations as Political Theory&lt;/title&gt;&lt;/titles&gt;&lt;dates&gt;&lt;year&gt;1993&lt;/year&gt;&lt;/dates&gt;&lt;pub-location&gt;Cambridge&lt;/pub-location&gt;&lt;publisher&gt;Cambridge University Press&lt;/publisher&gt;&lt;urls&gt;&lt;/urls&gt;&lt;/record&gt;&lt;/Cite&gt;&lt;/EndNote&gt;</w:instrText>
      </w:r>
      <w:r w:rsidRPr="0073118C">
        <w:rPr>
          <w:rFonts w:cstheme="minorHAnsi"/>
        </w:rPr>
        <w:fldChar w:fldCharType="separate"/>
      </w:r>
      <w:r w:rsidRPr="0073118C">
        <w:rPr>
          <w:rFonts w:cstheme="minorHAnsi"/>
          <w:noProof/>
        </w:rPr>
        <w:t xml:space="preserve">R. B. J. Walker, </w:t>
      </w:r>
      <w:r w:rsidRPr="0073118C">
        <w:rPr>
          <w:rFonts w:cstheme="minorHAnsi"/>
          <w:i/>
          <w:noProof/>
        </w:rPr>
        <w:t xml:space="preserve">Inside/Outside: International Relations as Political Theory </w:t>
      </w:r>
      <w:r w:rsidRPr="0073118C">
        <w:rPr>
          <w:rFonts w:cstheme="minorHAnsi"/>
          <w:noProof/>
        </w:rPr>
        <w:t>(Cambridge: Cambridge University Press, 1993)</w:t>
      </w:r>
      <w:r w:rsidRPr="0073118C">
        <w:rPr>
          <w:rFonts w:cstheme="minorHAnsi"/>
        </w:rPr>
        <w:fldChar w:fldCharType="end"/>
      </w:r>
      <w:r w:rsidRPr="0073118C">
        <w:rPr>
          <w:rFonts w:cstheme="minorHAnsi"/>
        </w:rPr>
        <w:t xml:space="preserve"> and </w:t>
      </w:r>
      <w:r w:rsidRPr="0073118C">
        <w:rPr>
          <w:rFonts w:cstheme="minorHAnsi"/>
        </w:rPr>
        <w:fldChar w:fldCharType="begin"/>
      </w:r>
      <w:r w:rsidRPr="0073118C">
        <w:rPr>
          <w:rFonts w:cstheme="minorHAnsi"/>
        </w:rPr>
        <w:instrText xml:space="preserve"> ADDIN EN.CITE &lt;EndNote&gt;&lt;Cite ExcludeAuth="1"&gt;&lt;Author&gt;Campbell&lt;/Author&gt;&lt;Year&gt;1997&lt;/Year&gt;&lt;RecNum&gt;288&lt;/RecNum&gt;&lt;DisplayText&gt;D. Campbell, &amp;apos;Violent Performances: Identity, Sovereignty, Responsability&amp;apos;, in Y. Lapid and F. Kratochwil (eds.) &lt;style face="italic"&gt;The Return of Culture and Identity in IR Theory&lt;/style&gt; (London: Lynne Rienner, 1997), pp. 163-180.&lt;/DisplayText&gt;&lt;record&gt;&lt;rec-number&gt;288&lt;/rec-number&gt;&lt;foreign-keys&gt;&lt;key app="EN" db-id="e0p0sdz2n5prezee0vmpeatvzspt5pp0dd2a" timestamp="1328120473"&gt;288&lt;/key&gt;&lt;/foreign-keys&gt;&lt;ref-type name="Book Section"&gt;5&lt;/ref-type&gt;&lt;contributors&gt;&lt;authors&gt;&lt;author&gt;David Campbell&lt;/author&gt;&lt;/authors&gt;&lt;secondary-authors&gt;&lt;author&gt;Yosef Lapid&lt;/author&gt;&lt;author&gt;Friedrich Kratochwil&lt;/author&gt;&lt;/secondary-authors&gt;&lt;/contributors&gt;&lt;titles&gt;&lt;title&gt;Violent Performances: Identity, Sovereignty, Responsability&lt;/title&gt;&lt;secondary-title&gt;The Return of Culture and Identity in IR Theory&lt;/secondary-title&gt;&lt;/titles&gt;&lt;pages&gt;163-180&lt;/pages&gt;&lt;dates&gt;&lt;year&gt;1997&lt;/year&gt;&lt;/dates&gt;&lt;pub-location&gt;London&lt;/pub-location&gt;&lt;publisher&gt;Lynne Rienner&lt;/publisher&gt;&lt;urls&gt;&lt;/urls&gt;&lt;/record&gt;&lt;/Cite&gt;&lt;/EndNote&gt;</w:instrText>
      </w:r>
      <w:r w:rsidRPr="0073118C">
        <w:rPr>
          <w:rFonts w:cstheme="minorHAnsi"/>
        </w:rPr>
        <w:fldChar w:fldCharType="separate"/>
      </w:r>
      <w:r w:rsidRPr="0073118C">
        <w:rPr>
          <w:rFonts w:cstheme="minorHAnsi"/>
          <w:noProof/>
        </w:rPr>
        <w:t xml:space="preserve">D. Campbell, 'Violent Performances: Identity, Sovereignty, Responsability', in Y. Lapid and F. Kratochwil (eds.) </w:t>
      </w:r>
      <w:r w:rsidRPr="0073118C">
        <w:rPr>
          <w:rFonts w:cstheme="minorHAnsi"/>
          <w:i/>
          <w:noProof/>
        </w:rPr>
        <w:t>The Return of Culture and Identity in IR Theory</w:t>
      </w:r>
      <w:r w:rsidRPr="0073118C">
        <w:rPr>
          <w:rFonts w:cstheme="minorHAnsi"/>
          <w:noProof/>
        </w:rPr>
        <w:t xml:space="preserve"> (London: Lynne Rienner, 1997), pp. 163-180.</w:t>
      </w:r>
      <w:r w:rsidRPr="0073118C">
        <w:rPr>
          <w:rFonts w:cstheme="minorHAnsi"/>
        </w:rPr>
        <w:fldChar w:fldCharType="end"/>
      </w:r>
    </w:p>
  </w:endnote>
  <w:endnote w:id="4">
    <w:p w14:paraId="7428285E" w14:textId="35355669" w:rsidR="00F51911" w:rsidRPr="0073118C" w:rsidRDefault="00F51911" w:rsidP="0073118C">
      <w:pPr>
        <w:pStyle w:val="EndNoteBibliography"/>
        <w:rPr>
          <w:rFonts w:asciiTheme="minorHAnsi" w:hAnsiTheme="minorHAnsi" w:cstheme="minorHAnsi"/>
          <w:sz w:val="20"/>
          <w:szCs w:val="20"/>
        </w:rPr>
      </w:pPr>
      <w:r w:rsidRPr="0073118C">
        <w:rPr>
          <w:rStyle w:val="EndnoteReference"/>
          <w:rFonts w:asciiTheme="minorHAnsi" w:hAnsiTheme="minorHAnsi" w:cstheme="minorHAnsi"/>
          <w:sz w:val="20"/>
          <w:szCs w:val="20"/>
        </w:rPr>
        <w:endnoteRef/>
      </w:r>
      <w:r w:rsidRPr="0073118C">
        <w:rPr>
          <w:rFonts w:asciiTheme="minorHAnsi" w:hAnsiTheme="minorHAnsi" w:cstheme="minorHAnsi"/>
          <w:sz w:val="20"/>
          <w:szCs w:val="20"/>
        </w:rPr>
        <w:t xml:space="preserve"> B. Jahn, </w:t>
      </w:r>
      <w:r w:rsidRPr="0073118C">
        <w:rPr>
          <w:rFonts w:asciiTheme="minorHAnsi" w:hAnsiTheme="minorHAnsi" w:cstheme="minorHAnsi"/>
          <w:i/>
          <w:sz w:val="20"/>
          <w:szCs w:val="20"/>
        </w:rPr>
        <w:t xml:space="preserve">The Cultural Construction of International Relations: the Invention of the State of Nature </w:t>
      </w:r>
      <w:r w:rsidRPr="0073118C">
        <w:rPr>
          <w:rFonts w:asciiTheme="minorHAnsi" w:hAnsiTheme="minorHAnsi" w:cstheme="minorHAnsi"/>
          <w:sz w:val="20"/>
          <w:szCs w:val="20"/>
        </w:rPr>
        <w:t xml:space="preserve">(New York: Palgrave, 2000); Anghie, </w:t>
      </w:r>
      <w:r w:rsidRPr="0073118C">
        <w:rPr>
          <w:rFonts w:asciiTheme="minorHAnsi" w:hAnsiTheme="minorHAnsi" w:cstheme="minorHAnsi"/>
          <w:i/>
          <w:sz w:val="20"/>
          <w:szCs w:val="20"/>
        </w:rPr>
        <w:t>Imperialism</w:t>
      </w:r>
      <w:r w:rsidRPr="0073118C">
        <w:rPr>
          <w:rFonts w:asciiTheme="minorHAnsi" w:hAnsiTheme="minorHAnsi" w:cstheme="minorHAnsi"/>
          <w:iCs/>
          <w:sz w:val="20"/>
          <w:szCs w:val="20"/>
        </w:rPr>
        <w:t xml:space="preserve">; </w:t>
      </w:r>
      <w:r w:rsidRPr="0073118C">
        <w:rPr>
          <w:rFonts w:asciiTheme="minorHAnsi" w:hAnsiTheme="minorHAnsi" w:cstheme="minorHAnsi"/>
          <w:sz w:val="20"/>
          <w:szCs w:val="20"/>
        </w:rPr>
        <w:t xml:space="preserve">T. E. Aalberts, 'Rethinking the Principle of (Sovereign) Equality as a Standard of Civilisation', </w:t>
      </w:r>
      <w:r w:rsidRPr="0073118C">
        <w:rPr>
          <w:rFonts w:asciiTheme="minorHAnsi" w:hAnsiTheme="minorHAnsi" w:cstheme="minorHAnsi"/>
          <w:i/>
          <w:sz w:val="20"/>
          <w:szCs w:val="20"/>
        </w:rPr>
        <w:t>Millennium: Journal of International Studies</w:t>
      </w:r>
      <w:r w:rsidRPr="0073118C">
        <w:rPr>
          <w:rFonts w:asciiTheme="minorHAnsi" w:hAnsiTheme="minorHAnsi" w:cstheme="minorHAnsi"/>
          <w:sz w:val="20"/>
          <w:szCs w:val="20"/>
        </w:rPr>
        <w:t>, 42 (2014), pp. 767-789.</w:t>
      </w:r>
    </w:p>
  </w:endnote>
  <w:endnote w:id="5">
    <w:p w14:paraId="194C7426" w14:textId="77777777" w:rsidR="00682AAD" w:rsidRPr="0073118C" w:rsidRDefault="00682AAD" w:rsidP="0073118C">
      <w:pPr>
        <w:pStyle w:val="EndnoteText"/>
        <w:jc w:val="both"/>
        <w:rPr>
          <w:rFonts w:cstheme="minorHAnsi"/>
        </w:rPr>
      </w:pPr>
      <w:r w:rsidRPr="0073118C">
        <w:rPr>
          <w:rStyle w:val="EndnoteReference"/>
          <w:rFonts w:cstheme="minorHAnsi"/>
        </w:rPr>
        <w:endnoteRef/>
      </w:r>
      <w:r w:rsidRPr="0073118C">
        <w:rPr>
          <w:rFonts w:cstheme="minorHAnsi"/>
        </w:rPr>
        <w:t xml:space="preserve"> As will be discussed throughout this article the categories ‘internal’ and ‘external’ do not pre-exist the discourses of sovereignty that call them into being.</w:t>
      </w:r>
    </w:p>
  </w:endnote>
  <w:endnote w:id="6">
    <w:p w14:paraId="4CEEC89C" w14:textId="77777777" w:rsidR="00772D15" w:rsidRPr="0073118C" w:rsidRDefault="00772D15" w:rsidP="0073118C">
      <w:pPr>
        <w:pStyle w:val="EndnoteText"/>
        <w:jc w:val="both"/>
        <w:rPr>
          <w:rFonts w:cstheme="minorHAnsi"/>
        </w:rPr>
      </w:pPr>
      <w:r w:rsidRPr="0073118C">
        <w:rPr>
          <w:rStyle w:val="EndnoteReference"/>
          <w:rFonts w:cstheme="minorHAnsi"/>
        </w:rPr>
        <w:endnoteRef/>
      </w:r>
      <w:r w:rsidRPr="0073118C">
        <w:rPr>
          <w:rFonts w:cstheme="minorHAnsi"/>
        </w:rPr>
        <w:t xml:space="preserve"> For examples of analyses that emphasise the impact of ‘external’ colonial encounters on domestic political processes see A. </w:t>
      </w:r>
      <w:proofErr w:type="spellStart"/>
      <w:r w:rsidRPr="0073118C">
        <w:rPr>
          <w:rFonts w:cstheme="minorHAnsi"/>
        </w:rPr>
        <w:t>Pagden</w:t>
      </w:r>
      <w:proofErr w:type="spellEnd"/>
      <w:r w:rsidRPr="0073118C">
        <w:rPr>
          <w:rFonts w:cstheme="minorHAnsi"/>
        </w:rPr>
        <w:t xml:space="preserve">, </w:t>
      </w:r>
      <w:r w:rsidRPr="0073118C">
        <w:rPr>
          <w:rFonts w:cstheme="minorHAnsi"/>
          <w:i/>
        </w:rPr>
        <w:t>Lords of All the World: Ideologies of Empire in Spain, Britain and France, c. 1500-c.1800</w:t>
      </w:r>
      <w:r w:rsidRPr="0073118C">
        <w:rPr>
          <w:rFonts w:cstheme="minorHAnsi"/>
        </w:rPr>
        <w:t xml:space="preserve"> (New Haven: Yale University Press, 1995) or, more recently, J. Branch, ''Colonial Reflection' and Territoriality: The Peripheral Origins of Sovereign Statehood', </w:t>
      </w:r>
      <w:r w:rsidRPr="0073118C">
        <w:rPr>
          <w:rFonts w:cstheme="minorHAnsi"/>
          <w:i/>
        </w:rPr>
        <w:t>European Journal of International Relations</w:t>
      </w:r>
      <w:r w:rsidRPr="0073118C">
        <w:rPr>
          <w:rFonts w:cstheme="minorHAnsi"/>
        </w:rPr>
        <w:t>, 18 (2012), pp. 277-297.</w:t>
      </w:r>
    </w:p>
  </w:endnote>
  <w:endnote w:id="7">
    <w:p w14:paraId="0C603C95" w14:textId="3E6FD3BD" w:rsidR="00F233D4" w:rsidRPr="0073118C" w:rsidRDefault="00F233D4" w:rsidP="0073118C">
      <w:pPr>
        <w:pStyle w:val="EndnoteText"/>
        <w:jc w:val="both"/>
      </w:pPr>
      <w:r w:rsidRPr="0073118C">
        <w:rPr>
          <w:rStyle w:val="EndnoteReference"/>
        </w:rPr>
        <w:endnoteRef/>
      </w:r>
      <w:r w:rsidRPr="0073118C">
        <w:t xml:space="preserve"> On the necessity for the sovereign state to build a domestic </w:t>
      </w:r>
      <w:proofErr w:type="gramStart"/>
      <w:r w:rsidRPr="0073118C">
        <w:t>Other</w:t>
      </w:r>
      <w:proofErr w:type="gramEnd"/>
      <w:r w:rsidRPr="0073118C">
        <w:t xml:space="preserve"> see </w:t>
      </w:r>
      <w:r w:rsidRPr="0073118C">
        <w:rPr>
          <w:rFonts w:cstheme="minorHAnsi"/>
        </w:rPr>
        <w:t xml:space="preserve">D. Campbell, </w:t>
      </w:r>
      <w:r w:rsidRPr="0073118C">
        <w:rPr>
          <w:rFonts w:cstheme="minorHAnsi"/>
          <w:i/>
        </w:rPr>
        <w:t xml:space="preserve">Writing Security: United States Foreign Policy and the Politics of Identity </w:t>
      </w:r>
      <w:r w:rsidRPr="0073118C">
        <w:rPr>
          <w:rFonts w:cstheme="minorHAnsi"/>
        </w:rPr>
        <w:t xml:space="preserve">(Minneapolis: University of Minnesota Press, 1992) and L. Hansen, </w:t>
      </w:r>
      <w:r w:rsidRPr="0073118C">
        <w:rPr>
          <w:rFonts w:cstheme="minorHAnsi"/>
          <w:i/>
        </w:rPr>
        <w:t>Security as Practice. Discourse analysis and the Bosnian war</w:t>
      </w:r>
      <w:r w:rsidRPr="0073118C">
        <w:rPr>
          <w:rFonts w:cstheme="minorHAnsi"/>
        </w:rPr>
        <w:t xml:space="preserve"> (London, New York: Routledge), p. 30.</w:t>
      </w:r>
    </w:p>
  </w:endnote>
  <w:endnote w:id="8">
    <w:p w14:paraId="160E2C26" w14:textId="2DF4892F" w:rsidR="00D11A40" w:rsidRPr="0073118C" w:rsidRDefault="00D11A40" w:rsidP="0073118C">
      <w:pPr>
        <w:pStyle w:val="EndnoteText"/>
        <w:jc w:val="both"/>
      </w:pPr>
      <w:r w:rsidRPr="0073118C">
        <w:rPr>
          <w:rStyle w:val="EndnoteReference"/>
        </w:rPr>
        <w:endnoteRef/>
      </w:r>
      <w:r w:rsidRPr="0073118C">
        <w:t xml:space="preserve"> </w:t>
      </w:r>
      <w:r w:rsidR="00B94C87" w:rsidRPr="0073118C">
        <w:rPr>
          <w:rFonts w:cstheme="minorHAnsi"/>
        </w:rPr>
        <w:t xml:space="preserve">J. </w:t>
      </w:r>
      <w:proofErr w:type="spellStart"/>
      <w:r w:rsidR="00B94C87" w:rsidRPr="0073118C">
        <w:rPr>
          <w:rFonts w:cstheme="minorHAnsi"/>
        </w:rPr>
        <w:t>Bartelson</w:t>
      </w:r>
      <w:proofErr w:type="spellEnd"/>
      <w:r w:rsidR="00B94C87" w:rsidRPr="0073118C">
        <w:rPr>
          <w:rFonts w:cstheme="minorHAnsi"/>
        </w:rPr>
        <w:t xml:space="preserve">, </w:t>
      </w:r>
      <w:proofErr w:type="gramStart"/>
      <w:r w:rsidR="00B94C87" w:rsidRPr="0073118C">
        <w:rPr>
          <w:rFonts w:cstheme="minorHAnsi"/>
          <w:i/>
        </w:rPr>
        <w:t>A</w:t>
      </w:r>
      <w:proofErr w:type="gramEnd"/>
      <w:r w:rsidR="00B94C87" w:rsidRPr="0073118C">
        <w:rPr>
          <w:rFonts w:cstheme="minorHAnsi"/>
          <w:i/>
        </w:rPr>
        <w:t xml:space="preserve"> Genealogy of Sovereignty</w:t>
      </w:r>
      <w:r w:rsidR="00B94C87" w:rsidRPr="0073118C">
        <w:rPr>
          <w:rFonts w:cstheme="minorHAnsi"/>
        </w:rPr>
        <w:t xml:space="preserve"> (Cambridge: Cambridge University Press, 1995), p. 17.</w:t>
      </w:r>
    </w:p>
  </w:endnote>
  <w:endnote w:id="9">
    <w:p w14:paraId="4150BDB8" w14:textId="3AC0F84B" w:rsidR="00F51911" w:rsidRPr="0073118C" w:rsidRDefault="00F51911" w:rsidP="0073118C">
      <w:pPr>
        <w:jc w:val="both"/>
        <w:rPr>
          <w:rFonts w:cstheme="minorHAnsi"/>
          <w:sz w:val="20"/>
          <w:szCs w:val="20"/>
        </w:rPr>
      </w:pPr>
      <w:r w:rsidRPr="0073118C">
        <w:rPr>
          <w:rStyle w:val="EndnoteReference"/>
          <w:rFonts w:cstheme="minorHAnsi"/>
          <w:sz w:val="20"/>
          <w:szCs w:val="20"/>
        </w:rPr>
        <w:endnoteRef/>
      </w:r>
      <w:r w:rsidRPr="0073118C">
        <w:rPr>
          <w:rFonts w:cstheme="minorHAnsi"/>
          <w:sz w:val="20"/>
          <w:szCs w:val="20"/>
        </w:rPr>
        <w:t xml:space="preserve"> As </w:t>
      </w:r>
      <w:proofErr w:type="spellStart"/>
      <w:r w:rsidRPr="0073118C">
        <w:rPr>
          <w:rFonts w:cstheme="minorHAnsi"/>
          <w:sz w:val="20"/>
          <w:szCs w:val="20"/>
        </w:rPr>
        <w:t>Bhambra</w:t>
      </w:r>
      <w:proofErr w:type="spellEnd"/>
      <w:r w:rsidRPr="0073118C">
        <w:rPr>
          <w:rFonts w:cstheme="minorHAnsi"/>
          <w:sz w:val="20"/>
          <w:szCs w:val="20"/>
        </w:rPr>
        <w:t xml:space="preserve"> argues “The modern state and colonization emerged together in the sixteenth century and together posed the fundamental questions of order and the legitimation of power that are still being addressed today” (</w:t>
      </w:r>
      <w:r w:rsidRPr="0073118C">
        <w:rPr>
          <w:rFonts w:cstheme="minorHAnsi"/>
          <w:sz w:val="20"/>
          <w:szCs w:val="20"/>
        </w:rPr>
        <w:fldChar w:fldCharType="begin"/>
      </w:r>
      <w:r w:rsidRPr="0073118C">
        <w:rPr>
          <w:rFonts w:cstheme="minorHAnsi"/>
          <w:sz w:val="20"/>
          <w:szCs w:val="20"/>
        </w:rPr>
        <w:instrText xml:space="preserve"> ADDIN EN.CITE &lt;EndNote&gt;&lt;Cite&gt;&lt;Author&gt;Bhambra&lt;/Author&gt;&lt;Year&gt;2007&lt;/Year&gt;&lt;RecNum&gt;725&lt;/RecNum&gt;&lt;Pages&gt;149&lt;/Pages&gt;&lt;DisplayText&gt;G. K. Bhambra, &lt;style face="italic"&gt;Rethinking modernity. Postcolonialism and the sociological imagination &lt;/style&gt;(Basingstoke and New York: Palgrave Macmillan, 2007).&lt;/DisplayText&gt;&lt;record&gt;&lt;rec-number&gt;725&lt;/rec-number&gt;&lt;foreign-keys&gt;&lt;key app="EN" db-id="e0p0sdz2n5prezee0vmpeatvzspt5pp0dd2a" timestamp="1478599201"&gt;725&lt;/key&gt;&lt;/foreign-keys&gt;&lt;ref-type name="Book"&gt;6&lt;/ref-type&gt;&lt;contributors&gt;&lt;authors&gt;&lt;author&gt;Gurminder K. Bhambra&lt;/author&gt;&lt;/authors&gt;&lt;/contributors&gt;&lt;titles&gt;&lt;title&gt;Rethinking modernity. Postcolonialism and the sociological imagination&lt;/title&gt;&lt;/titles&gt;&lt;dates&gt;&lt;year&gt;2007&lt;/year&gt;&lt;/dates&gt;&lt;pub-location&gt;Basingstoke and New York&lt;/pub-location&gt;&lt;publisher&gt;Palgrave Macmillan&lt;/publisher&gt;&lt;urls&gt;&lt;/urls&gt;&lt;/record&gt;&lt;/Cite&gt;&lt;/EndNote&gt;</w:instrText>
      </w:r>
      <w:r w:rsidRPr="0073118C">
        <w:rPr>
          <w:rFonts w:cstheme="minorHAnsi"/>
          <w:sz w:val="20"/>
          <w:szCs w:val="20"/>
        </w:rPr>
        <w:fldChar w:fldCharType="separate"/>
      </w:r>
      <w:r w:rsidRPr="0073118C">
        <w:rPr>
          <w:rFonts w:cstheme="minorHAnsi"/>
          <w:noProof/>
          <w:sz w:val="20"/>
          <w:szCs w:val="20"/>
        </w:rPr>
        <w:t xml:space="preserve">G. K. Bhambra, </w:t>
      </w:r>
      <w:r w:rsidRPr="0073118C">
        <w:rPr>
          <w:rFonts w:cstheme="minorHAnsi"/>
          <w:i/>
          <w:noProof/>
          <w:sz w:val="20"/>
          <w:szCs w:val="20"/>
        </w:rPr>
        <w:t xml:space="preserve">Rethinking modernity. Postcolonialism and the sociological imagination </w:t>
      </w:r>
      <w:r w:rsidRPr="0073118C">
        <w:rPr>
          <w:rFonts w:cstheme="minorHAnsi"/>
          <w:noProof/>
          <w:sz w:val="20"/>
          <w:szCs w:val="20"/>
        </w:rPr>
        <w:t>(Basingstoke and New York: Palgrave Macmillan, 2007), p.</w:t>
      </w:r>
      <w:r w:rsidRPr="0073118C">
        <w:rPr>
          <w:rFonts w:cstheme="minorHAnsi"/>
          <w:sz w:val="20"/>
          <w:szCs w:val="20"/>
        </w:rPr>
        <w:fldChar w:fldCharType="end"/>
      </w:r>
      <w:r w:rsidRPr="0073118C">
        <w:rPr>
          <w:rFonts w:cstheme="minorHAnsi"/>
          <w:sz w:val="20"/>
          <w:szCs w:val="20"/>
        </w:rPr>
        <w:t xml:space="preserve"> 149).</w:t>
      </w:r>
    </w:p>
  </w:endnote>
  <w:endnote w:id="10">
    <w:p w14:paraId="75EEB284" w14:textId="3CA0D56E"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proofErr w:type="gramStart"/>
      <w:r w:rsidR="00D11A40" w:rsidRPr="0073118C">
        <w:rPr>
          <w:rFonts w:cstheme="minorHAnsi"/>
        </w:rPr>
        <w:t xml:space="preserve">Campbell, </w:t>
      </w:r>
      <w:r w:rsidR="00D11A40" w:rsidRPr="0073118C">
        <w:rPr>
          <w:rFonts w:cstheme="minorHAnsi"/>
          <w:i/>
        </w:rPr>
        <w:t>Writing Security</w:t>
      </w:r>
      <w:r w:rsidR="00D11A40" w:rsidRPr="0073118C">
        <w:rPr>
          <w:rFonts w:cstheme="minorHAnsi"/>
        </w:rPr>
        <w:t xml:space="preserve">, </w:t>
      </w:r>
      <w:r w:rsidRPr="0073118C">
        <w:rPr>
          <w:rFonts w:cstheme="minorHAnsi"/>
        </w:rPr>
        <w:t>pp. 11 and 105.</w:t>
      </w:r>
      <w:proofErr w:type="gramEnd"/>
    </w:p>
  </w:endnote>
  <w:endnote w:id="11">
    <w:p w14:paraId="61435F0C" w14:textId="3D84C682"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&lt;EndNote&gt;&lt;Cite&gt;&lt;Author&gt;Weber&lt;/Author&gt;&lt;Year&gt;1998&lt;/Year&gt;&lt;RecNum&gt;281&lt;/RecNum&gt;&lt;DisplayText&gt;C. Weber, &amp;apos;Performative States&amp;apos;, &lt;style face="italic"&gt;Millennium: Journal of International Studies&lt;/style&gt;, 27 (1998), pp. 77-95.&lt;/DisplayText&gt;&lt;record&gt;&lt;rec-number&gt;281&lt;/rec-number&gt;&lt;foreign-keys&gt;&lt;key app="EN" db-id="e0p0sdz2n5prezee0vmpeatvzspt5pp0dd2a" timestamp="1327396451"&gt;281&lt;/key&gt;&lt;/foreign-keys&gt;&lt;ref-type name="Journal Article"&gt;17&lt;/ref-type&gt;&lt;contributors&gt;&lt;authors&gt;&lt;author&gt;Cynthia Weber&lt;/author&gt;&lt;/authors&gt;&lt;/contributors&gt;&lt;titles&gt;&lt;title&gt;Performative States&lt;/title&gt;&lt;secondary-title&gt;Millennium: Journal of International Studies&lt;/secondary-title&gt;&lt;/titles&gt;&lt;periodical&gt;&lt;full-title&gt;Millennium: Journal of International Studies&lt;/full-title&gt;&lt;/periodical&gt;&lt;pages&gt;77-95&lt;/pages&gt;&lt;volume&gt;27&lt;/volume&gt;&lt;number&gt;1&lt;/number&gt;&lt;dates&gt;&lt;year&gt;1998&lt;/year&gt;&lt;/dates&gt;&lt;urls&gt;&lt;/urls&gt;&lt;/record&gt;&lt;/Cite&gt;&lt;/EndNote&gt;</w:instrText>
      </w:r>
      <w:r w:rsidRPr="0073118C">
        <w:rPr>
          <w:rFonts w:cstheme="minorHAnsi"/>
        </w:rPr>
        <w:fldChar w:fldCharType="separate"/>
      </w:r>
      <w:r w:rsidRPr="0073118C">
        <w:rPr>
          <w:rFonts w:cstheme="minorHAnsi"/>
          <w:noProof/>
        </w:rPr>
        <w:t xml:space="preserve">C. Weber, 'Performative States', </w:t>
      </w:r>
      <w:r w:rsidRPr="0073118C">
        <w:rPr>
          <w:rFonts w:cstheme="minorHAnsi"/>
          <w:i/>
          <w:noProof/>
        </w:rPr>
        <w:t>Millennium: Journal of International Studies</w:t>
      </w:r>
      <w:r w:rsidRPr="0073118C">
        <w:rPr>
          <w:rFonts w:cstheme="minorHAnsi"/>
          <w:noProof/>
        </w:rPr>
        <w:t>, 27 (1998), p</w:t>
      </w:r>
      <w:r w:rsidRPr="0073118C">
        <w:rPr>
          <w:rFonts w:cstheme="minorHAnsi"/>
        </w:rPr>
        <w:fldChar w:fldCharType="end"/>
      </w:r>
      <w:r w:rsidRPr="0073118C">
        <w:rPr>
          <w:rFonts w:cstheme="minorHAnsi"/>
        </w:rPr>
        <w:t>. 90. Weber’s article is inspired by Butler’s own approach to performativity (</w:t>
      </w:r>
      <w:r w:rsidRPr="0073118C">
        <w:rPr>
          <w:rFonts w:cstheme="minorHAnsi"/>
        </w:rPr>
        <w:fldChar w:fldCharType="begin"/>
      </w:r>
      <w:r w:rsidRPr="0073118C">
        <w:rPr>
          <w:rFonts w:cstheme="minorHAnsi"/>
        </w:rPr>
        <w:instrText xml:space="preserve"> ADDIN EN.CITE &lt;EndNote&gt;&lt;Cite&gt;&lt;Author&gt;Butler&lt;/Author&gt;&lt;Year&gt;1990&lt;/Year&gt;&lt;RecNum&gt;283&lt;/RecNum&gt;&lt;DisplayText&gt;J. Butler, &lt;style face="italic"&gt;Gender Trouble: Feminism and the Subversion of Identity &lt;/style&gt;(New York - London: Routledge, 1990).&lt;/DisplayText&gt;&lt;record&gt;&lt;rec-number&gt;283&lt;/rec-number&gt;&lt;foreign-keys&gt;&lt;key app="EN" db-id="e0p0sdz2n5prezee0vmpeatvzspt5pp0dd2a" timestamp="1327427096"&gt;283&lt;/key&gt;&lt;/foreign-keys&gt;&lt;ref-type name="Book"&gt;6&lt;/ref-type&gt;&lt;contributors&gt;&lt;authors&gt;&lt;author&gt;Judith Butler&lt;/author&gt;&lt;/authors&gt;&lt;/contributors&gt;&lt;titles&gt;&lt;title&gt;Gender Trouble: Feminism and the Subversion of Identity&lt;/title&gt;&lt;/titles&gt;&lt;dates&gt;&lt;year&gt;1990&lt;/year&gt;&lt;/dates&gt;&lt;pub-location&gt;New York - London&lt;/pub-location&gt;&lt;publisher&gt;Routledge&lt;/publisher&gt;&lt;urls&gt;&lt;/urls&gt;&lt;/record&gt;&lt;/Cite&gt;&lt;/EndNote&gt;</w:instrText>
      </w:r>
      <w:r w:rsidRPr="0073118C">
        <w:rPr>
          <w:rFonts w:cstheme="minorHAnsi"/>
        </w:rPr>
        <w:fldChar w:fldCharType="separate"/>
      </w:r>
      <w:r w:rsidRPr="0073118C">
        <w:rPr>
          <w:rFonts w:cstheme="minorHAnsi"/>
          <w:noProof/>
        </w:rPr>
        <w:t xml:space="preserve">J. Butler, </w:t>
      </w:r>
      <w:r w:rsidRPr="0073118C">
        <w:rPr>
          <w:rFonts w:cstheme="minorHAnsi"/>
          <w:i/>
          <w:noProof/>
        </w:rPr>
        <w:t xml:space="preserve">Gender Trouble: Feminism and the Subversion of Identity </w:t>
      </w:r>
      <w:r w:rsidRPr="0073118C">
        <w:rPr>
          <w:rFonts w:cstheme="minorHAnsi"/>
          <w:noProof/>
        </w:rPr>
        <w:t>(New York - London: Routledge, 1990);</w:t>
      </w:r>
      <w:r w:rsidRPr="0073118C">
        <w:rPr>
          <w:rFonts w:cstheme="minorHAnsi"/>
        </w:rPr>
        <w:fldChar w:fldCharType="end"/>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&lt;EndNote&gt;&lt;Cite&gt;&lt;Author&gt;Butler&lt;/Author&gt;&lt;Year&gt;1993&lt;/Year&gt;&lt;RecNum&gt;284&lt;/RecNum&gt;&lt;DisplayText&gt;J. Butler, &lt;style face="italic"&gt;Bodies That Matter: On the Discursive Limits of &amp;quot;Sex&amp;quot; &lt;/style&gt;(New York - London: Routledge, 1993).&lt;/DisplayText&gt;&lt;record&gt;&lt;rec-number&gt;284&lt;/rec-number&gt;&lt;foreign-keys&gt;&lt;key app="EN" db-id="e0p0sdz2n5prezee0vmpeatvzspt5pp0dd2a" timestamp="1327575896"&gt;284&lt;/key&gt;&lt;/foreign-keys&gt;&lt;ref-type name="Book"&gt;6&lt;/ref-type&gt;&lt;contributors&gt;&lt;authors&gt;&lt;author&gt;Judith Butler&lt;/author&gt;&lt;/authors&gt;&lt;/contributors&gt;&lt;titles&gt;&lt;title&gt;Bodies That Matter: On the Discursive Limits of &amp;quot;Sex&amp;quot;&lt;/title&gt;&lt;/titles&gt;&lt;dates&gt;&lt;year&gt;1993&lt;/year&gt;&lt;/dates&gt;&lt;pub-location&gt;New York - London&lt;/pub-location&gt;&lt;publisher&gt;Routledge&lt;/publisher&gt;&lt;urls&gt;&lt;/urls&gt;&lt;/record&gt;&lt;/Cite&gt;&lt;/EndNote&gt;</w:instrText>
      </w:r>
      <w:r w:rsidRPr="0073118C">
        <w:rPr>
          <w:rFonts w:cstheme="minorHAnsi"/>
        </w:rPr>
        <w:fldChar w:fldCharType="separate"/>
      </w:r>
      <w:r w:rsidRPr="0073118C">
        <w:rPr>
          <w:rFonts w:cstheme="minorHAnsi"/>
          <w:noProof/>
        </w:rPr>
        <w:t xml:space="preserve">J. Butler, </w:t>
      </w:r>
      <w:r w:rsidRPr="0073118C">
        <w:rPr>
          <w:rFonts w:cstheme="minorHAnsi"/>
          <w:i/>
          <w:noProof/>
        </w:rPr>
        <w:t xml:space="preserve">Bodies That Matter: On the Discursive Limits of "Sex" </w:t>
      </w:r>
      <w:r w:rsidRPr="0073118C">
        <w:rPr>
          <w:rFonts w:cstheme="minorHAnsi"/>
          <w:noProof/>
        </w:rPr>
        <w:t>(New York - London: Routledge, 1993).</w:t>
      </w:r>
      <w:r w:rsidRPr="0073118C">
        <w:rPr>
          <w:rFonts w:cstheme="minorHAnsi"/>
        </w:rPr>
        <w:fldChar w:fldCharType="end"/>
      </w:r>
    </w:p>
  </w:endnote>
  <w:endnote w:id="12">
    <w:p w14:paraId="36B0D670" w14:textId="23E1CF6A"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For examples of analyses using performativity to analyse the state and sovereignty see R. K. Ashley, 'Foreign Policy as Political Performance', </w:t>
      </w:r>
      <w:r w:rsidRPr="0073118C">
        <w:rPr>
          <w:rFonts w:cstheme="minorHAnsi"/>
          <w:i/>
        </w:rPr>
        <w:t>International Studies Notes</w:t>
      </w:r>
      <w:r w:rsidRPr="0073118C">
        <w:rPr>
          <w:rFonts w:cstheme="minorHAnsi"/>
        </w:rPr>
        <w:t xml:space="preserve">, 13 (1987), pp. 51-54; Campbell, </w:t>
      </w:r>
      <w:r w:rsidRPr="0073118C">
        <w:rPr>
          <w:rFonts w:cstheme="minorHAnsi"/>
          <w:i/>
        </w:rPr>
        <w:t>Writing Security</w:t>
      </w:r>
      <w:r w:rsidRPr="0073118C">
        <w:rPr>
          <w:rFonts w:cstheme="minorHAnsi"/>
        </w:rPr>
        <w:t xml:space="preserve">; Weber, 'Performative States'; </w:t>
      </w:r>
      <w:r w:rsidRPr="0073118C">
        <w:rPr>
          <w:rFonts w:cstheme="minorHAnsi"/>
        </w:rPr>
        <w:fldChar w:fldCharType="begin"/>
      </w:r>
      <w:r w:rsidRPr="0073118C">
        <w:rPr>
          <w:rFonts w:cstheme="minorHAnsi"/>
        </w:rPr>
        <w:instrText xml:space="preserve"> ADDIN EN.CITE &lt;EndNote&gt;&lt;Cite ExcludeAuth="1"&gt;&lt;Author&gt;Dunn&lt;/Author&gt;&lt;Year&gt;2009&lt;/Year&gt;&lt;RecNum&gt;282&lt;/RecNum&gt;&lt;DisplayText&gt;K. C. Dunn, &amp;apos;Contested State Spaces: African National Parks and the State&amp;apos;, &lt;style face="italic"&gt;European Journal of International Relations&lt;/style&gt;, 15 (2009), pp. 423-446.&lt;/DisplayText&gt;&lt;record&gt;&lt;rec-number&gt;282&lt;/rec-number&gt;&lt;foreign-keys&gt;&lt;key app="EN" db-id="e0p0sdz2n5prezee0vmpeatvzspt5pp0dd2a" timestamp="1327402441"&gt;282&lt;/key&gt;&lt;/foreign-keys&gt;&lt;ref-type name="Journal Article"&gt;17&lt;/ref-type&gt;&lt;contributors&gt;&lt;authors&gt;&lt;author&gt;Kevin C. Dunn&lt;/author&gt;&lt;/authors&gt;&lt;/contributors&gt;&lt;titles&gt;&lt;title&gt;Contested State Spaces: African National Parks and the State&lt;/title&gt;&lt;secondary-title&gt;European Journal of International Relations&lt;/secondary-title&gt;&lt;/titles&gt;&lt;periodical&gt;&lt;full-title&gt;European Journal of International Relations&lt;/full-title&gt;&lt;/periodical&gt;&lt;pages&gt;423-446&lt;/pages&gt;&lt;volume&gt;15&lt;/volume&gt;&lt;number&gt;3&lt;/number&gt;&lt;dates&gt;&lt;year&gt;2009&lt;/year&gt;&lt;/dates&gt;&lt;urls&gt;&lt;/urls&gt;&lt;/record&gt;&lt;/Cite&gt;&lt;/EndNote&gt;</w:instrText>
      </w:r>
      <w:r w:rsidRPr="0073118C">
        <w:rPr>
          <w:rFonts w:cstheme="minorHAnsi"/>
        </w:rPr>
        <w:fldChar w:fldCharType="separate"/>
      </w:r>
      <w:r w:rsidRPr="0073118C">
        <w:rPr>
          <w:rFonts w:cstheme="minorHAnsi"/>
          <w:noProof/>
        </w:rPr>
        <w:t xml:space="preserve">K. C. Dunn, 'Contested State Spaces: African National Parks and the State', </w:t>
      </w:r>
      <w:r w:rsidRPr="0073118C">
        <w:rPr>
          <w:rFonts w:cstheme="minorHAnsi"/>
          <w:i/>
          <w:noProof/>
        </w:rPr>
        <w:t>European Journal of International Relations</w:t>
      </w:r>
      <w:r w:rsidRPr="0073118C">
        <w:rPr>
          <w:rFonts w:cstheme="minorHAnsi"/>
          <w:noProof/>
        </w:rPr>
        <w:t>, 15 (2009), pp. 423-446</w:t>
      </w:r>
      <w:r w:rsidRPr="0073118C">
        <w:rPr>
          <w:rFonts w:cstheme="minorHAnsi"/>
        </w:rPr>
        <w:fldChar w:fldCharType="end"/>
      </w:r>
      <w:r w:rsidRPr="0073118C">
        <w:rPr>
          <w:rFonts w:cstheme="minorHAnsi"/>
        </w:rPr>
        <w:t xml:space="preserve"> and </w:t>
      </w:r>
      <w:r w:rsidRPr="0073118C">
        <w:rPr>
          <w:rFonts w:cstheme="minorHAnsi"/>
        </w:rPr>
        <w:fldChar w:fldCharType="begin"/>
      </w:r>
      <w:r w:rsidRPr="0073118C">
        <w:rPr>
          <w:rFonts w:cstheme="minorHAnsi"/>
        </w:rPr>
        <w:instrText xml:space="preserve"> ADDIN EN.CITE &lt;EndNote&gt;&lt;Cite ExcludeAuth="1"&gt;&lt;Author&gt;Jeffrey&lt;/Author&gt;&lt;Year&gt;2013&lt;/Year&gt;&lt;RecNum&gt;463&lt;/RecNum&gt;&lt;DisplayText&gt;A. Jeffrey, &lt;style face="italic"&gt;The Improvised State. Sovereignty, Performance and Agency in Dayton Bosnia &lt;/style&gt;(Oxford: Wiley-Blackwell, 2013).&lt;/DisplayText&gt;&lt;record&gt;&lt;rec-number&gt;463&lt;/rec-number&gt;&lt;foreign-keys&gt;&lt;key app="EN" db-id="e0p0sdz2n5prezee0vmpeatvzspt5pp0dd2a" timestamp="1384345239"&gt;463&lt;/key&gt;&lt;/foreign-keys&gt;&lt;ref-type name="Book"&gt;6&lt;/ref-type&gt;&lt;contributors&gt;&lt;authors&gt;&lt;author&gt;Alex Jeffrey&lt;/author&gt;&lt;/authors&gt;&lt;/contributors&gt;&lt;titles&gt;&lt;title&gt;The Improvised State. Sovereignty, Performance and Agency in Dayton Bosnia&lt;/title&gt;&lt;/titles&gt;&lt;dates&gt;&lt;year&gt;2013&lt;/year&gt;&lt;/dates&gt;&lt;pub-location&gt;Oxford&lt;/pub-location&gt;&lt;publisher&gt;Wiley-Blackwell&lt;/publisher&gt;&lt;urls&gt;&lt;/urls&gt;&lt;/record&gt;&lt;/Cite&gt;&lt;/EndNote&gt;</w:instrText>
      </w:r>
      <w:r w:rsidRPr="0073118C">
        <w:rPr>
          <w:rFonts w:cstheme="minorHAnsi"/>
        </w:rPr>
        <w:fldChar w:fldCharType="separate"/>
      </w:r>
      <w:r w:rsidRPr="0073118C">
        <w:rPr>
          <w:rFonts w:cstheme="minorHAnsi"/>
          <w:noProof/>
        </w:rPr>
        <w:t xml:space="preserve">A. Jeffrey, </w:t>
      </w:r>
      <w:r w:rsidRPr="0073118C">
        <w:rPr>
          <w:rFonts w:cstheme="minorHAnsi"/>
          <w:i/>
          <w:noProof/>
        </w:rPr>
        <w:t xml:space="preserve">The Improvised State. Sovereignty, Performance and Agency in Dayton Bosnia </w:t>
      </w:r>
      <w:r w:rsidRPr="0073118C">
        <w:rPr>
          <w:rFonts w:cstheme="minorHAnsi"/>
          <w:noProof/>
        </w:rPr>
        <w:t>(Oxford: Wiley-Blackwell, 2013).</w:t>
      </w:r>
      <w:r w:rsidRPr="0073118C">
        <w:rPr>
          <w:rFonts w:cstheme="minorHAnsi"/>
        </w:rPr>
        <w:fldChar w:fldCharType="end"/>
      </w:r>
    </w:p>
  </w:endnote>
  <w:endnote w:id="13">
    <w:p w14:paraId="3964B9A5" w14:textId="77777777" w:rsidR="00F51911" w:rsidRPr="0073118C" w:rsidRDefault="00F51911" w:rsidP="0073118C">
      <w:pPr>
        <w:pStyle w:val="EndNoteBibliography"/>
        <w:rPr>
          <w:rFonts w:asciiTheme="minorHAnsi" w:hAnsiTheme="minorHAnsi" w:cstheme="minorHAnsi"/>
          <w:sz w:val="20"/>
          <w:szCs w:val="20"/>
        </w:rPr>
      </w:pPr>
      <w:r w:rsidRPr="0073118C">
        <w:rPr>
          <w:rStyle w:val="EndnoteReference"/>
          <w:rFonts w:asciiTheme="minorHAnsi" w:hAnsiTheme="minorHAnsi" w:cstheme="minorHAnsi"/>
          <w:sz w:val="20"/>
          <w:szCs w:val="20"/>
        </w:rPr>
        <w:endnoteRef/>
      </w:r>
      <w:r w:rsidRPr="0073118C">
        <w:rPr>
          <w:rFonts w:asciiTheme="minorHAnsi" w:hAnsiTheme="minorHAnsi" w:cstheme="minorHAnsi"/>
          <w:sz w:val="20"/>
          <w:szCs w:val="20"/>
        </w:rPr>
        <w:t xml:space="preserve"> J. E. Thomson, 'State Sovereignty in International Relations: Bridging the Gap between Theory and Empirical Research', </w:t>
      </w:r>
      <w:r w:rsidRPr="0073118C">
        <w:rPr>
          <w:rFonts w:asciiTheme="minorHAnsi" w:hAnsiTheme="minorHAnsi" w:cstheme="minorHAnsi"/>
          <w:i/>
          <w:sz w:val="20"/>
          <w:szCs w:val="20"/>
        </w:rPr>
        <w:t>International Studies Quarterly</w:t>
      </w:r>
      <w:r w:rsidRPr="0073118C">
        <w:rPr>
          <w:rFonts w:asciiTheme="minorHAnsi" w:hAnsiTheme="minorHAnsi" w:cstheme="minorHAnsi"/>
          <w:sz w:val="20"/>
          <w:szCs w:val="20"/>
        </w:rPr>
        <w:t xml:space="preserve">, 39 (1995), pp. 213-233; D. Philpott, </w:t>
      </w:r>
      <w:r w:rsidRPr="0073118C">
        <w:rPr>
          <w:rFonts w:asciiTheme="minorHAnsi" w:hAnsiTheme="minorHAnsi" w:cstheme="minorHAnsi"/>
          <w:i/>
          <w:sz w:val="20"/>
          <w:szCs w:val="20"/>
        </w:rPr>
        <w:t xml:space="preserve">Revolutions in Sovereignty. How Ideas Shaped Modern International Relations </w:t>
      </w:r>
      <w:r w:rsidRPr="0073118C">
        <w:rPr>
          <w:rFonts w:asciiTheme="minorHAnsi" w:hAnsiTheme="minorHAnsi" w:cstheme="minorHAnsi"/>
          <w:sz w:val="20"/>
          <w:szCs w:val="20"/>
        </w:rPr>
        <w:t xml:space="preserve">(Princeton: Princeton University Press, 2001); L. Glanville, 'The Antecedents of 'Sovereignty as Responsibility'', </w:t>
      </w:r>
      <w:r w:rsidRPr="0073118C">
        <w:rPr>
          <w:rFonts w:asciiTheme="minorHAnsi" w:hAnsiTheme="minorHAnsi" w:cstheme="minorHAnsi"/>
          <w:i/>
          <w:sz w:val="20"/>
          <w:szCs w:val="20"/>
        </w:rPr>
        <w:t>European Journal of International Relations</w:t>
      </w:r>
      <w:r w:rsidRPr="0073118C">
        <w:rPr>
          <w:rFonts w:asciiTheme="minorHAnsi" w:hAnsiTheme="minorHAnsi" w:cstheme="minorHAnsi"/>
          <w:sz w:val="20"/>
          <w:szCs w:val="20"/>
        </w:rPr>
        <w:t>, 17 (2011), pp. 233-255.</w:t>
      </w:r>
    </w:p>
  </w:endnote>
  <w:endnote w:id="14">
    <w:p w14:paraId="6832BE23" w14:textId="77777777" w:rsidR="00F51911" w:rsidRPr="0073118C" w:rsidRDefault="00F51911" w:rsidP="0073118C">
      <w:pPr>
        <w:pStyle w:val="EndNoteBibliography"/>
        <w:rPr>
          <w:rFonts w:asciiTheme="minorHAnsi" w:hAnsiTheme="minorHAnsi" w:cstheme="minorHAnsi"/>
          <w:sz w:val="20"/>
          <w:szCs w:val="20"/>
        </w:rPr>
      </w:pPr>
      <w:r w:rsidRPr="0073118C">
        <w:rPr>
          <w:rStyle w:val="EndnoteReference"/>
          <w:rFonts w:asciiTheme="minorHAnsi" w:hAnsiTheme="minorHAnsi" w:cstheme="minorHAnsi"/>
          <w:sz w:val="20"/>
          <w:szCs w:val="20"/>
        </w:rPr>
        <w:endnoteRef/>
      </w:r>
      <w:r w:rsidRPr="0073118C">
        <w:rPr>
          <w:rFonts w:asciiTheme="minorHAnsi" w:hAnsiTheme="minorHAnsi" w:cstheme="minorHAnsi"/>
          <w:sz w:val="20"/>
          <w:szCs w:val="20"/>
        </w:rPr>
        <w:t xml:space="preserve"> A. James, </w:t>
      </w:r>
      <w:r w:rsidRPr="0073118C">
        <w:rPr>
          <w:rFonts w:asciiTheme="minorHAnsi" w:hAnsiTheme="minorHAnsi" w:cstheme="minorHAnsi"/>
          <w:i/>
          <w:sz w:val="20"/>
          <w:szCs w:val="20"/>
        </w:rPr>
        <w:t xml:space="preserve">Sovereign Statehood: the Basis of International Society </w:t>
      </w:r>
      <w:r w:rsidRPr="0073118C">
        <w:rPr>
          <w:rFonts w:asciiTheme="minorHAnsi" w:hAnsiTheme="minorHAnsi" w:cstheme="minorHAnsi"/>
          <w:sz w:val="20"/>
          <w:szCs w:val="20"/>
        </w:rPr>
        <w:t xml:space="preserve">(London: Allen &amp; Unwin, 1986); A. James, 'The Practice of Sovereign Statehood in Contemporary International Society', </w:t>
      </w:r>
      <w:r w:rsidRPr="0073118C">
        <w:rPr>
          <w:rFonts w:asciiTheme="minorHAnsi" w:hAnsiTheme="minorHAnsi" w:cstheme="minorHAnsi"/>
          <w:i/>
          <w:sz w:val="20"/>
          <w:szCs w:val="20"/>
        </w:rPr>
        <w:t>Political Studies</w:t>
      </w:r>
      <w:r w:rsidRPr="0073118C">
        <w:rPr>
          <w:rFonts w:asciiTheme="minorHAnsi" w:hAnsiTheme="minorHAnsi" w:cstheme="minorHAnsi"/>
          <w:sz w:val="20"/>
          <w:szCs w:val="20"/>
        </w:rPr>
        <w:t xml:space="preserve">, 47 (1999), pp. 457-473; A. Wendt, 'Anarchy is What States Make of It: the Social Construction of Power Politics ', </w:t>
      </w:r>
      <w:r w:rsidRPr="0073118C">
        <w:rPr>
          <w:rFonts w:asciiTheme="minorHAnsi" w:hAnsiTheme="minorHAnsi" w:cstheme="minorHAnsi"/>
          <w:i/>
          <w:sz w:val="20"/>
          <w:szCs w:val="20"/>
        </w:rPr>
        <w:t>International Organization</w:t>
      </w:r>
      <w:r w:rsidRPr="0073118C">
        <w:rPr>
          <w:rFonts w:asciiTheme="minorHAnsi" w:hAnsiTheme="minorHAnsi" w:cstheme="minorHAnsi"/>
          <w:sz w:val="20"/>
          <w:szCs w:val="20"/>
        </w:rPr>
        <w:t xml:space="preserve">, 46 (1992), pp. 391-425; K. Sikkink, 'Human Rights, Principled Issue-Networks, and Sovereignty in Latin America', </w:t>
      </w:r>
      <w:r w:rsidRPr="0073118C">
        <w:rPr>
          <w:rFonts w:asciiTheme="minorHAnsi" w:hAnsiTheme="minorHAnsi" w:cstheme="minorHAnsi"/>
          <w:i/>
          <w:sz w:val="20"/>
          <w:szCs w:val="20"/>
        </w:rPr>
        <w:t>International Organization</w:t>
      </w:r>
      <w:r w:rsidRPr="0073118C">
        <w:rPr>
          <w:rFonts w:asciiTheme="minorHAnsi" w:hAnsiTheme="minorHAnsi" w:cstheme="minorHAnsi"/>
          <w:sz w:val="20"/>
          <w:szCs w:val="20"/>
        </w:rPr>
        <w:t xml:space="preserve">, 47 (1993), pp. 411-441; T. J. Biersteker and C. Weber (eds.), </w:t>
      </w:r>
      <w:r w:rsidRPr="0073118C">
        <w:rPr>
          <w:rFonts w:asciiTheme="minorHAnsi" w:hAnsiTheme="minorHAnsi" w:cstheme="minorHAnsi"/>
          <w:i/>
          <w:sz w:val="20"/>
          <w:szCs w:val="20"/>
        </w:rPr>
        <w:t xml:space="preserve">State Sovereignty as Social Construct </w:t>
      </w:r>
      <w:r w:rsidRPr="0073118C">
        <w:rPr>
          <w:rFonts w:asciiTheme="minorHAnsi" w:hAnsiTheme="minorHAnsi" w:cstheme="minorHAnsi"/>
          <w:sz w:val="20"/>
          <w:szCs w:val="20"/>
        </w:rPr>
        <w:t xml:space="preserve">(Cambridge: Cambridge University Press, 1996); D. Zaum, </w:t>
      </w:r>
      <w:r w:rsidRPr="0073118C">
        <w:rPr>
          <w:rFonts w:asciiTheme="minorHAnsi" w:hAnsiTheme="minorHAnsi" w:cstheme="minorHAnsi"/>
          <w:i/>
          <w:sz w:val="20"/>
          <w:szCs w:val="20"/>
        </w:rPr>
        <w:t xml:space="preserve">The Sovereignty Paradox. Norms and Politics of International Statebuilding </w:t>
      </w:r>
      <w:r w:rsidRPr="0073118C">
        <w:rPr>
          <w:rFonts w:asciiTheme="minorHAnsi" w:hAnsiTheme="minorHAnsi" w:cstheme="minorHAnsi"/>
          <w:sz w:val="20"/>
          <w:szCs w:val="20"/>
        </w:rPr>
        <w:t>(Oxford: Oxford University Press, 2007).</w:t>
      </w:r>
    </w:p>
  </w:endnote>
  <w:endnote w:id="15">
    <w:p w14:paraId="12AC8B15" w14:textId="3EC7A0E1" w:rsidR="00DF51D9" w:rsidRPr="0073118C" w:rsidRDefault="00DF51D9" w:rsidP="0073118C">
      <w:pPr>
        <w:pStyle w:val="EndnoteText"/>
        <w:jc w:val="both"/>
      </w:pPr>
      <w:r w:rsidRPr="0073118C">
        <w:rPr>
          <w:rStyle w:val="EndnoteReference"/>
        </w:rPr>
        <w:endnoteRef/>
      </w:r>
      <w:r w:rsidRPr="0073118C">
        <w:t xml:space="preserve"> The ‘West’ is here understood as a</w:t>
      </w:r>
      <w:r w:rsidR="00F93149">
        <w:t>n intellectual</w:t>
      </w:r>
      <w:r w:rsidRPr="0073118C">
        <w:t xml:space="preserve"> construct</w:t>
      </w:r>
      <w:r w:rsidR="00F93149">
        <w:t xml:space="preserve"> rather than as a geographical place. I</w:t>
      </w:r>
      <w:r w:rsidRPr="0073118C">
        <w:t xml:space="preserve">n the period under study, the West equates to Western </w:t>
      </w:r>
      <w:r w:rsidR="005C43B7" w:rsidRPr="0073118C">
        <w:t>Christendom</w:t>
      </w:r>
      <w:r w:rsidRPr="0073118C">
        <w:t xml:space="preserve">. Canada (or rather the Amerindians) </w:t>
      </w:r>
      <w:proofErr w:type="gramStart"/>
      <w:r w:rsidRPr="0073118C">
        <w:t>are</w:t>
      </w:r>
      <w:proofErr w:type="gramEnd"/>
      <w:r w:rsidRPr="0073118C">
        <w:t xml:space="preserve"> thus excluded from it.</w:t>
      </w:r>
      <w:r w:rsidR="005C43B7" w:rsidRPr="0073118C">
        <w:t xml:space="preserve"> In this section, I oppose the ‘West’ to the ‘non-West’ is a schematic fashion that mirrors the colonial distinction between </w:t>
      </w:r>
      <w:proofErr w:type="gramStart"/>
      <w:r w:rsidR="005C43B7" w:rsidRPr="0073118C">
        <w:t>a  sphere</w:t>
      </w:r>
      <w:proofErr w:type="gramEnd"/>
      <w:r w:rsidR="005C43B7" w:rsidRPr="0073118C">
        <w:t xml:space="preserve"> of civilisation and the savagery that lies beyond.</w:t>
      </w:r>
    </w:p>
  </w:endnote>
  <w:endnote w:id="16">
    <w:p w14:paraId="7DB544B0" w14:textId="729B0210"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J. M. Hobson and J. C. Sharman, '</w:t>
      </w:r>
      <w:proofErr w:type="gramStart"/>
      <w:r w:rsidRPr="0073118C">
        <w:rPr>
          <w:rFonts w:cstheme="minorHAnsi"/>
        </w:rPr>
        <w:t>The</w:t>
      </w:r>
      <w:proofErr w:type="gramEnd"/>
      <w:r w:rsidRPr="0073118C">
        <w:rPr>
          <w:rFonts w:cstheme="minorHAnsi"/>
        </w:rPr>
        <w:t xml:space="preserve"> Enduring Place of Hierarchy in World Politics: Tracing the Social Logics of Hierarchy and Political Change', </w:t>
      </w:r>
      <w:r w:rsidRPr="0073118C">
        <w:rPr>
          <w:rFonts w:cstheme="minorHAnsi"/>
          <w:i/>
        </w:rPr>
        <w:t>European Journal of International Relations</w:t>
      </w:r>
      <w:r w:rsidR="00DF51D9" w:rsidRPr="0073118C">
        <w:rPr>
          <w:rFonts w:cstheme="minorHAnsi"/>
        </w:rPr>
        <w:t>, 11 (2005), p. 63.</w:t>
      </w:r>
    </w:p>
  </w:endnote>
  <w:endnote w:id="17">
    <w:p w14:paraId="2F5A31B6" w14:textId="59CFF1CE"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&lt;EndNote&gt;&lt;Cite&gt;&lt;Author&gt;Anghie&lt;/Author&gt;&lt;Year&gt;2005&lt;/Year&gt;&lt;RecNum&gt;264&lt;/RecNum&gt;&lt;DisplayText&gt;A. Anghie, &lt;style face="italic"&gt;Imperialism, Sovereignty and the Making of International Law &lt;/style&gt;(Cambridge: Cambridge University Press, 2005).&lt;/DisplayText&gt;&lt;record&gt;&lt;rec-number&gt;264&lt;/rec-number&gt;&lt;foreign-keys&gt;&lt;key app="EN" db-id="e0p0sdz2n5prezee0vmpeatvzspt5pp0dd2a" timestamp="1323781874"&gt;264&lt;/key&gt;&lt;/foreign-keys&gt;&lt;ref-type name="Book"&gt;6&lt;/ref-type&gt;&lt;contributors&gt;&lt;authors&gt;&lt;author&gt;Antony Anghie&lt;/author&gt;&lt;/authors&gt;&lt;/contributors&gt;&lt;titles&gt;&lt;title&gt;Imperialism, Sovereignty and the Making of International Law&lt;/title&gt;&lt;/titles&gt;&lt;dates&gt;&lt;year&gt;2005&lt;/year&gt;&lt;/dates&gt;&lt;pub-location&gt;Cambridge&lt;/pub-location&gt;&lt;publisher&gt;Cambridge University Press&lt;/publisher&gt;&lt;urls&gt;&lt;/urls&gt;&lt;/record&gt;&lt;/Cite&gt;&lt;/EndNote&gt;</w:instrText>
      </w:r>
      <w:r w:rsidRPr="0073118C">
        <w:rPr>
          <w:rFonts w:cstheme="minorHAnsi"/>
        </w:rPr>
        <w:fldChar w:fldCharType="separate"/>
      </w:r>
      <w:proofErr w:type="gramStart"/>
      <w:r w:rsidRPr="0073118C">
        <w:rPr>
          <w:rFonts w:cstheme="minorHAnsi"/>
          <w:noProof/>
        </w:rPr>
        <w:t xml:space="preserve">Anghie, </w:t>
      </w:r>
      <w:r w:rsidRPr="0073118C">
        <w:rPr>
          <w:rFonts w:cstheme="minorHAnsi"/>
          <w:i/>
          <w:noProof/>
        </w:rPr>
        <w:t>Imperialism</w:t>
      </w:r>
      <w:r w:rsidRPr="0073118C">
        <w:rPr>
          <w:rFonts w:cstheme="minorHAnsi"/>
        </w:rPr>
        <w:fldChar w:fldCharType="end"/>
      </w:r>
      <w:r w:rsidRPr="0073118C">
        <w:rPr>
          <w:rFonts w:cstheme="minorHAnsi"/>
        </w:rPr>
        <w:t>, pp. 6 and 215.</w:t>
      </w:r>
      <w:proofErr w:type="gramEnd"/>
    </w:p>
  </w:endnote>
  <w:endnote w:id="18">
    <w:p w14:paraId="18697B88" w14:textId="7E1530F8"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&lt;EndNote&gt;&lt;Cite&gt;&lt;Author&gt;Aalberts&lt;/Author&gt;&lt;Year&gt;2014&lt;/Year&gt;&lt;RecNum&gt;532&lt;/RecNum&gt;&lt;DisplayText&gt;T. E. Aalberts, &amp;apos;Rethinking the Principle of (Sovereign) Equality as a Standard of Civilisation&amp;apos;, &lt;style face="italic"&gt;Millennium: Journal of International Studies&lt;/style&gt;, 42 (2014), pp. 767-789.&lt;/DisplayText&gt;&lt;record&gt;&lt;rec-number&gt;532&lt;/rec-number&gt;&lt;foreign-keys&gt;&lt;key app="EN" db-id="e0p0sdz2n5prezee0vmpeatvzspt5pp0dd2a" timestamp="1407772486"&gt;532&lt;/key&gt;&lt;/foreign-keys&gt;&lt;ref-type name="Journal Article"&gt;17&lt;/ref-type&gt;&lt;contributors&gt;&lt;authors&gt;&lt;author&gt;Tanja E. Aalberts&lt;/author&gt;&lt;/authors&gt;&lt;/contributors&gt;&lt;titles&gt;&lt;title&gt;Rethinking the Principle of (Sovereign) Equality as a Standard of Civilisation&lt;/title&gt;&lt;secondary-title&gt;Millennium: Journal of International Studies&lt;/secondary-title&gt;&lt;/titles&gt;&lt;periodical&gt;&lt;full-title&gt;Millennium: Journal of International Studies&lt;/full-title&gt;&lt;/periodical&gt;&lt;pages&gt;767-789&lt;/pages&gt;&lt;volume&gt;42&lt;/volume&gt;&lt;number&gt;3&lt;/number&gt;&lt;dates&gt;&lt;year&gt;2014&lt;/year&gt;&lt;/dates&gt;&lt;urls&gt;&lt;/urls&gt;&lt;/record&gt;&lt;/Cite&gt;&lt;/EndNote&gt;</w:instrText>
      </w:r>
      <w:r w:rsidRPr="0073118C">
        <w:rPr>
          <w:rFonts w:cstheme="minorHAnsi"/>
        </w:rPr>
        <w:fldChar w:fldCharType="separate"/>
      </w:r>
      <w:r w:rsidRPr="0073118C">
        <w:rPr>
          <w:rFonts w:cstheme="minorHAnsi"/>
          <w:noProof/>
        </w:rPr>
        <w:t xml:space="preserve">Aalberts, 'Rethinking the Principle of (Sovereign) Equality', </w:t>
      </w:r>
      <w:r w:rsidRPr="0073118C">
        <w:rPr>
          <w:rFonts w:cstheme="minorHAnsi"/>
        </w:rPr>
        <w:fldChar w:fldCharType="end"/>
      </w:r>
      <w:r w:rsidRPr="0073118C">
        <w:rPr>
          <w:rFonts w:cstheme="minorHAnsi"/>
        </w:rPr>
        <w:t>p. 774.</w:t>
      </w:r>
    </w:p>
  </w:endnote>
  <w:endnote w:id="19">
    <w:p w14:paraId="4BAF8DA9" w14:textId="74D8C638"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&lt;EndNote&gt;&lt;Cite&gt;&lt;Author&gt;Doty&lt;/Author&gt;&lt;Year&gt;1996&lt;/Year&gt;&lt;RecNum&gt;254&lt;/RecNum&gt;&lt;DisplayText&gt;R. L. Doty, &lt;style face="italic"&gt;Imperial Encounters: the Politics of Representation in North-South Relations &lt;/style&gt;(Minneapolis; London: University of Minnesota Press, 1996).&lt;/DisplayText&gt;&lt;record&gt;&lt;rec-number&gt;254&lt;/rec-number&gt;&lt;foreign-keys&gt;&lt;key app="EN" db-id="e0p0sdz2n5prezee0vmpeatvzspt5pp0dd2a" timestamp="1321429882"&gt;254&lt;/key&gt;&lt;/foreign-keys&gt;&lt;ref-type name="Book"&gt;6&lt;/ref-type&gt;&lt;contributors&gt;&lt;authors&gt;&lt;author&gt;Roxanne Lynn Doty&lt;/author&gt;&lt;/authors&gt;&lt;/contributors&gt;&lt;titles&gt;&lt;title&gt;Imperial Encounters: the Politics of Representation in North-South Relations&lt;/title&gt;&lt;/titles&gt;&lt;dates&gt;&lt;year&gt;1996&lt;/year&gt;&lt;/dates&gt;&lt;pub-location&gt;Minneapolis; London&lt;/pub-location&gt;&lt;publisher&gt;University of Minnesota Press&lt;/publisher&gt;&lt;urls&gt;&lt;/urls&gt;&lt;/record&gt;&lt;/Cite&gt;&lt;/EndNote&gt;</w:instrText>
      </w:r>
      <w:r w:rsidRPr="0073118C">
        <w:rPr>
          <w:rFonts w:cstheme="minorHAnsi"/>
        </w:rPr>
        <w:fldChar w:fldCharType="separate"/>
      </w:r>
      <w:r w:rsidRPr="0073118C">
        <w:rPr>
          <w:rFonts w:cstheme="minorHAnsi"/>
          <w:noProof/>
        </w:rPr>
        <w:t xml:space="preserve">Doty, </w:t>
      </w:r>
      <w:r w:rsidRPr="0073118C">
        <w:rPr>
          <w:rFonts w:cstheme="minorHAnsi"/>
          <w:i/>
          <w:noProof/>
        </w:rPr>
        <w:t>Imperial Encounters</w:t>
      </w:r>
      <w:r w:rsidRPr="0073118C">
        <w:rPr>
          <w:rFonts w:cstheme="minorHAnsi"/>
        </w:rPr>
        <w:fldChar w:fldCharType="end"/>
      </w:r>
      <w:r w:rsidRPr="0073118C">
        <w:rPr>
          <w:rFonts w:cstheme="minorHAnsi"/>
        </w:rPr>
        <w:t xml:space="preserve">, p. 105; </w:t>
      </w:r>
      <w:r w:rsidRPr="0073118C">
        <w:rPr>
          <w:rFonts w:cstheme="minorHAnsi"/>
        </w:rPr>
        <w:fldChar w:fldCharType="begin"/>
      </w:r>
      <w:r w:rsidRPr="0073118C">
        <w:rPr>
          <w:rFonts w:cstheme="minorHAnsi"/>
        </w:rPr>
        <w:instrText xml:space="preserve"> ADDIN EN.CITE &lt;EndNote&gt;&lt;Cite&gt;&lt;Author&gt;Keene&lt;/Author&gt;&lt;Year&gt;2004&lt;/Year&gt;&lt;RecNum&gt;270&lt;/RecNum&gt;&lt;DisplayText&gt;E. Keene, &lt;style face="italic"&gt;Beyond the Anarchical Society. Grotius, Colonialism and Order in World Politics &lt;/style&gt;(Cambridge: Cambridge University Press, 2004).&lt;/DisplayText&gt;&lt;record&gt;&lt;rec-number&gt;270&lt;/rec-number&gt;&lt;foreign-keys&gt;&lt;key app="EN" db-id="e0p0sdz2n5prezee0vmpeatvzspt5pp0dd2a" timestamp="1325842056"&gt;270&lt;/key&gt;&lt;/foreign-keys&gt;&lt;ref-type name="Book"&gt;6&lt;/ref-type&gt;&lt;contributors&gt;&lt;authors&gt;&lt;author&gt;Edward Keene&lt;/author&gt;&lt;/authors&gt;&lt;/contributors&gt;&lt;titles&gt;&lt;title&gt;Beyond the Anarchical Society. Grotius, Colonialism and Order in World Politics&lt;/title&gt;&lt;/titles&gt;&lt;dates&gt;&lt;year&gt;2004&lt;/year&gt;&lt;/dates&gt;&lt;pub-location&gt;Cambridge&lt;/pub-location&gt;&lt;publisher&gt;Cambridge University Press&lt;/publisher&gt;&lt;urls&gt;&lt;/urls&gt;&lt;/record&gt;&lt;/Cite&gt;&lt;/EndNote&gt;</w:instrText>
      </w:r>
      <w:r w:rsidRPr="0073118C">
        <w:rPr>
          <w:rFonts w:cstheme="minorHAnsi"/>
        </w:rPr>
        <w:fldChar w:fldCharType="separate"/>
      </w:r>
      <w:r w:rsidRPr="0073118C">
        <w:rPr>
          <w:rFonts w:cstheme="minorHAnsi"/>
          <w:noProof/>
        </w:rPr>
        <w:t xml:space="preserve">Keene, </w:t>
      </w:r>
      <w:r w:rsidRPr="0073118C">
        <w:rPr>
          <w:rFonts w:cstheme="minorHAnsi"/>
          <w:i/>
          <w:noProof/>
        </w:rPr>
        <w:t>Beyond the Anarchical Society</w:t>
      </w:r>
      <w:r w:rsidRPr="0073118C">
        <w:rPr>
          <w:rFonts w:cstheme="minorHAnsi"/>
        </w:rPr>
        <w:fldChar w:fldCharType="end"/>
      </w:r>
      <w:r w:rsidRPr="0073118C">
        <w:rPr>
          <w:rFonts w:cstheme="minorHAnsi"/>
        </w:rPr>
        <w:t xml:space="preserve">, </w:t>
      </w:r>
      <w:r w:rsidR="002B72E7" w:rsidRPr="0073118C">
        <w:rPr>
          <w:rFonts w:cstheme="minorHAnsi"/>
        </w:rPr>
        <w:t xml:space="preserve">pp. </w:t>
      </w:r>
      <w:r w:rsidRPr="0073118C">
        <w:rPr>
          <w:rFonts w:cstheme="minorHAnsi"/>
        </w:rPr>
        <w:t xml:space="preserve">24-25; </w:t>
      </w:r>
      <w:r w:rsidRPr="0073118C">
        <w:rPr>
          <w:rFonts w:cstheme="minorHAnsi"/>
        </w:rPr>
        <w:fldChar w:fldCharType="begin"/>
      </w:r>
      <w:r w:rsidRPr="0073118C">
        <w:rPr>
          <w:rFonts w:cstheme="minorHAnsi"/>
        </w:rPr>
        <w:instrText xml:space="preserve"> ADDIN EN.CITE &lt;EndNote&gt;&lt;Cite&gt;&lt;Author&gt;Cocks&lt;/Author&gt;&lt;Year&gt;2014&lt;/Year&gt;&lt;RecNum&gt;566&lt;/RecNum&gt;&lt;DisplayText&gt;J. Cocks, &lt;style face="italic"&gt;On sovereignty and other political delusions &lt;/style&gt;(London, New York: Bloomsbury, 2014).&lt;/DisplayText&gt;&lt;record&gt;&lt;rec-number&gt;566&lt;/rec-number&gt;&lt;foreign-keys&gt;&lt;key app="EN" db-id="e0p0sdz2n5prezee0vmpeatvzspt5pp0dd2a" timestamp="1417165481"&gt;566&lt;/key&gt;&lt;/foreign-keys&gt;&lt;ref-type name="Book"&gt;6&lt;/ref-type&gt;&lt;contributors&gt;&lt;authors&gt;&lt;author&gt;Joan Cocks&lt;/author&gt;&lt;/authors&gt;&lt;/contributors&gt;&lt;titles&gt;&lt;title&gt;On sovereignty and other political delusions&lt;/title&gt;&lt;/titles&gt;&lt;dates&gt;&lt;year&gt;2014&lt;/year&gt;&lt;/dates&gt;&lt;pub-location&gt;London, New York&lt;/pub-location&gt;&lt;publisher&gt;Bloomsbury&lt;/publisher&gt;&lt;urls&gt;&lt;/urls&gt;&lt;/record&gt;&lt;/Cite&gt;&lt;/EndNote&gt;</w:instrText>
      </w:r>
      <w:r w:rsidRPr="0073118C">
        <w:rPr>
          <w:rFonts w:cstheme="minorHAnsi"/>
        </w:rPr>
        <w:fldChar w:fldCharType="separate"/>
      </w:r>
      <w:r w:rsidRPr="0073118C">
        <w:rPr>
          <w:rFonts w:cstheme="minorHAnsi"/>
          <w:noProof/>
        </w:rPr>
        <w:t xml:space="preserve">J. Cocks, </w:t>
      </w:r>
      <w:r w:rsidRPr="0073118C">
        <w:rPr>
          <w:rFonts w:cstheme="minorHAnsi"/>
          <w:i/>
          <w:noProof/>
        </w:rPr>
        <w:t xml:space="preserve">On sovereignty and other political delusions </w:t>
      </w:r>
      <w:r w:rsidRPr="0073118C">
        <w:rPr>
          <w:rFonts w:cstheme="minorHAnsi"/>
          <w:noProof/>
        </w:rPr>
        <w:t>(London, New York: Bloomsbury, 2014)</w:t>
      </w:r>
      <w:r w:rsidRPr="0073118C">
        <w:rPr>
          <w:rFonts w:cstheme="minorHAnsi"/>
        </w:rPr>
        <w:fldChar w:fldCharType="end"/>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&lt;EndNote&gt;&lt;Cite&gt;&lt;Author&gt;Parasram&lt;/Author&gt;&lt;Year&gt;2014&lt;/Year&gt;&lt;RecNum&gt;728&lt;/RecNum&gt;&lt;DisplayText&gt;A. Parasram, &amp;apos;Postcolonial Territory and the Coloniality of the State&amp;apos;, &lt;style face="italic"&gt;Caribbean Journal of International Relations &amp;amp; Diplomacy&lt;/style&gt;, 2 (2014), pp. 51-79.&lt;/DisplayText&gt;&lt;record&gt;&lt;rec-number&gt;728&lt;/rec-number&gt;&lt;foreign-keys&gt;&lt;key app="EN" db-id="e0p0sdz2n5prezee0vmpeatvzspt5pp0dd2a" timestamp="1480498882"&gt;728&lt;/key&gt;&lt;/foreign-keys&gt;&lt;ref-type name="Journal Article"&gt;17&lt;/ref-type&gt;&lt;contributors&gt;&lt;authors&gt;&lt;author&gt;Ajay Parasram&lt;/author&gt;&lt;/authors&gt;&lt;/contributors&gt;&lt;titles&gt;&lt;title&gt;Postcolonial Territory and the Coloniality of the State&lt;/title&gt;&lt;secondary-title&gt;Caribbean Journal of International Relations &amp;amp; Diplomacy&lt;/secondary-title&gt;&lt;/titles&gt;&lt;periodical&gt;&lt;full-title&gt;Caribbean Journal of International Relations &amp;amp; Diplomacy&lt;/full-title&gt;&lt;/periodical&gt;&lt;pages&gt;51-79&lt;/pages&gt;&lt;volume&gt;2&lt;/volume&gt;&lt;number&gt;4&lt;/number&gt;&lt;dates&gt;&lt;year&gt;2014&lt;/year&gt;&lt;/dates&gt;&lt;urls&gt;&lt;/urls&gt;&lt;/record&gt;&lt;/Cite&gt;&lt;/EndNote&gt;</w:instrText>
      </w:r>
      <w:r w:rsidRPr="0073118C">
        <w:rPr>
          <w:rFonts w:cstheme="minorHAnsi"/>
        </w:rPr>
        <w:fldChar w:fldCharType="separate"/>
      </w:r>
      <w:r w:rsidRPr="0073118C">
        <w:rPr>
          <w:rFonts w:cstheme="minorHAnsi"/>
          <w:noProof/>
        </w:rPr>
        <w:t xml:space="preserve">A. Parasram, 'Postcolonial Territory and the Coloniality of the State', </w:t>
      </w:r>
      <w:r w:rsidRPr="0073118C">
        <w:rPr>
          <w:rFonts w:cstheme="minorHAnsi"/>
          <w:i/>
          <w:noProof/>
        </w:rPr>
        <w:t>Caribbean Journal of International Relations &amp; Diplomacy</w:t>
      </w:r>
      <w:r w:rsidRPr="0073118C">
        <w:rPr>
          <w:rFonts w:cstheme="minorHAnsi"/>
          <w:noProof/>
        </w:rPr>
        <w:t>, 2 (2014), pp. 51-79.</w:t>
      </w:r>
      <w:r w:rsidRPr="0073118C">
        <w:rPr>
          <w:rFonts w:cstheme="minorHAnsi"/>
        </w:rPr>
        <w:fldChar w:fldCharType="end"/>
      </w:r>
    </w:p>
  </w:endnote>
  <w:endnote w:id="20">
    <w:p w14:paraId="689DD543" w14:textId="2DDEDCF8"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&lt;EndNote&gt;&lt;Cite&gt;&lt;Author&gt;Strange&lt;/Author&gt;&lt;Year&gt;1996&lt;/Year&gt;&lt;RecNum&gt;273&lt;/RecNum&gt;&lt;DisplayText&gt;D. Strange, &amp;apos;Contested Sovereignty: the Social Construction of Colonial Imperialism &amp;apos;, in T. J. Biersteker and C. Weber (eds.) &lt;style face="italic"&gt;State Sovereignty as Social Construct&lt;/style&gt; (Cambridge: Cambridge University Press, 1996), pp. 22-49.&lt;/DisplayText&gt;&lt;record&gt;&lt;rec-number&gt;273&lt;/rec-number&gt;&lt;foreign-keys&gt;&lt;key app="EN" db-id="e0p0sdz2n5prezee0vmpeatvzspt5pp0dd2a" timestamp="1326365404"&gt;273&lt;/key&gt;&lt;/foreign-keys&gt;&lt;ref-type name="Book Section"&gt;5&lt;/ref-type&gt;&lt;contributors&gt;&lt;authors&gt;&lt;author&gt;David Strange&lt;/author&gt;&lt;/authors&gt;&lt;secondary-authors&gt;&lt;author&gt;Thomas J. Biersteker&lt;/author&gt;&lt;author&gt;Cynthia Weber&lt;/author&gt;&lt;/secondary-authors&gt;&lt;/contributors&gt;&lt;titles&gt;&lt;title&gt;Contested Sovereignty: the Social Construction of Colonial Imperialism &lt;/title&gt;&lt;secondary-title&gt;State Sovereignty as Social Construct&lt;/secondary-title&gt;&lt;/titles&gt;&lt;pages&gt;22-49&lt;/pages&gt;&lt;dates&gt;&lt;year&gt;1996&lt;/year&gt;&lt;/dates&gt;&lt;pub-location&gt;Cambridge&lt;/pub-location&gt;&lt;publisher&gt;Cambridge University Press&lt;/publisher&gt;&lt;urls&gt;&lt;/urls&gt;&lt;/record&gt;&lt;/Cite&gt;&lt;/EndNote&gt;</w:instrText>
      </w:r>
      <w:r w:rsidRPr="0073118C">
        <w:rPr>
          <w:rFonts w:cstheme="minorHAnsi"/>
        </w:rPr>
        <w:fldChar w:fldCharType="separate"/>
      </w:r>
      <w:r w:rsidRPr="0073118C">
        <w:rPr>
          <w:rFonts w:cstheme="minorHAnsi"/>
          <w:noProof/>
        </w:rPr>
        <w:t xml:space="preserve">D. Strange, 'Contested Sovereignty: the Social Construction of Colonial Imperialism ', in T. J. Biersteker and C. Weber (eds.) </w:t>
      </w:r>
      <w:r w:rsidRPr="0073118C">
        <w:rPr>
          <w:rFonts w:cstheme="minorHAnsi"/>
          <w:i/>
          <w:noProof/>
        </w:rPr>
        <w:t>State Sovereignty as Social Construct</w:t>
      </w:r>
      <w:r w:rsidRPr="0073118C">
        <w:rPr>
          <w:rFonts w:cstheme="minorHAnsi"/>
          <w:noProof/>
        </w:rPr>
        <w:t xml:space="preserve"> (Cambridge: Cambridge University Press, 1996), pp. 22-49.</w:t>
      </w:r>
      <w:r w:rsidRPr="0073118C">
        <w:rPr>
          <w:rFonts w:cstheme="minorHAnsi"/>
        </w:rPr>
        <w:fldChar w:fldCharType="end"/>
      </w:r>
      <w:r w:rsidRPr="0073118C">
        <w:rPr>
          <w:rFonts w:cstheme="minorHAnsi"/>
        </w:rPr>
        <w:t xml:space="preserve"> 25 ; </w:t>
      </w:r>
      <w:r w:rsidRPr="0073118C">
        <w:rPr>
          <w:rFonts w:cstheme="minorHAnsi"/>
        </w:rPr>
        <w:fldChar w:fldCharType="begin"/>
      </w:r>
      <w:r w:rsidRPr="0073118C">
        <w:rPr>
          <w:rFonts w:cstheme="minorHAnsi"/>
        </w:rPr>
        <w:instrText xml:space="preserve"> ADDIN EN.CITE &lt;EndNote&gt;&lt;Cite&gt;&lt;Author&gt;Dunn&lt;/Author&gt;&lt;Year&gt;2003&lt;/Year&gt;&lt;RecNum&gt;289&lt;/RecNum&gt;&lt;DisplayText&gt;K. C. Dunn, &lt;style face="italic"&gt;Imagining the Congo: The International Relations of Identity &lt;/style&gt;(New York: Palgrave MacMillan, 2003).&lt;/DisplayText&gt;&lt;record&gt;&lt;rec-number&gt;289&lt;/rec-number&gt;&lt;foreign-keys&gt;&lt;key app="EN" db-id="e0p0sdz2n5prezee0vmpeatvzspt5pp0dd2a" timestamp="1328514984"&gt;289&lt;/key&gt;&lt;/foreign-keys&gt;&lt;ref-type name="Book"&gt;6&lt;/ref-type&gt;&lt;contributors&gt;&lt;authors&gt;&lt;author&gt;Kevin C. Dunn&lt;/author&gt;&lt;/authors&gt;&lt;/contributors&gt;&lt;titles&gt;&lt;title&gt;Imagining the Congo: The International Relations of Identity&lt;/title&gt;&lt;/titles&gt;&lt;dates&gt;&lt;year&gt;2003&lt;/year&gt;&lt;/dates&gt;&lt;pub-location&gt;New York&lt;/pub-location&gt;&lt;publisher&gt;Palgrave MacMillan&lt;/publisher&gt;&lt;urls&gt;&lt;/urls&gt;&lt;/record&gt;&lt;/Cite&gt;&lt;/EndNote&gt;</w:instrText>
      </w:r>
      <w:r w:rsidRPr="0073118C">
        <w:rPr>
          <w:rFonts w:cstheme="minorHAnsi"/>
        </w:rPr>
        <w:fldChar w:fldCharType="separate"/>
      </w:r>
      <w:r w:rsidRPr="0073118C">
        <w:rPr>
          <w:rFonts w:cstheme="minorHAnsi"/>
          <w:noProof/>
        </w:rPr>
        <w:t xml:space="preserve">K. C. Dunn, </w:t>
      </w:r>
      <w:r w:rsidRPr="0073118C">
        <w:rPr>
          <w:rFonts w:cstheme="minorHAnsi"/>
          <w:i/>
          <w:noProof/>
        </w:rPr>
        <w:t>Imagining the Congo</w:t>
      </w:r>
      <w:r w:rsidRPr="0073118C">
        <w:rPr>
          <w:rFonts w:cstheme="minorHAnsi"/>
        </w:rPr>
        <w:fldChar w:fldCharType="end"/>
      </w:r>
      <w:r w:rsidRPr="0073118C">
        <w:rPr>
          <w:rFonts w:cstheme="minorHAnsi"/>
        </w:rPr>
        <w:t>, p. 40.</w:t>
      </w:r>
    </w:p>
  </w:endnote>
  <w:endnote w:id="21">
    <w:p w14:paraId="06CC96E1" w14:textId="3297653E"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&lt;EndNote&gt;&lt;Cite&gt;&lt;Author&gt;Grovogui&lt;/Author&gt;&lt;Year&gt;2002&lt;/Year&gt;&lt;RecNum&gt;359&lt;/RecNum&gt;&lt;DisplayText&gt;S. N. Grovogui, &amp;apos;Regimes of Sovereignty: International Morality and the African Condition&amp;apos;, &lt;style face="italic"&gt;European Journal of International Relations&lt;/style&gt;, 8 (2002), pp. 315-338.&lt;/DisplayText&gt;&lt;record&gt;&lt;rec-number&gt;359&lt;/rec-number&gt;&lt;foreign-keys&gt;&lt;key app="EN" db-id="e0p0sdz2n5prezee0vmpeatvzspt5pp0dd2a" timestamp="1340806546"&gt;359&lt;/key&gt;&lt;/foreign-keys&gt;&lt;ref-type name="Journal Article"&gt;17&lt;/ref-type&gt;&lt;contributors&gt;&lt;authors&gt;&lt;author&gt;Siba N. Grovogui&lt;/author&gt;&lt;/authors&gt;&lt;/contributors&gt;&lt;titles&gt;&lt;title&gt;Regimes of Sovereignty: International Morality and the African Condition&lt;/title&gt;&lt;secondary-title&gt;European Journal of International Relations&lt;/secondary-title&gt;&lt;/titles&gt;&lt;periodical&gt;&lt;full-title&gt;European Journal of International Relations&lt;/full-title&gt;&lt;/periodical&gt;&lt;pages&gt;315-338&lt;/pages&gt;&lt;volume&gt;8&lt;/volume&gt;&lt;number&gt;3&lt;/number&gt;&lt;dates&gt;&lt;year&gt;2002&lt;/year&gt;&lt;/dates&gt;&lt;urls&gt;&lt;/urls&gt;&lt;/record&gt;&lt;/Cite&gt;&lt;/EndNote&gt;</w:instrText>
      </w:r>
      <w:r w:rsidRPr="0073118C">
        <w:rPr>
          <w:rFonts w:cstheme="minorHAnsi"/>
        </w:rPr>
        <w:fldChar w:fldCharType="separate"/>
      </w:r>
      <w:r w:rsidRPr="0073118C">
        <w:rPr>
          <w:rFonts w:cstheme="minorHAnsi"/>
          <w:noProof/>
        </w:rPr>
        <w:t xml:space="preserve">S. N. Grovogui, 'Regimes of Sovereignty: International Morality and the African Condition', </w:t>
      </w:r>
      <w:r w:rsidRPr="0073118C">
        <w:rPr>
          <w:rFonts w:cstheme="minorHAnsi"/>
          <w:i/>
          <w:noProof/>
        </w:rPr>
        <w:t>European Journal of International Relations</w:t>
      </w:r>
      <w:r w:rsidRPr="0073118C">
        <w:rPr>
          <w:rFonts w:cstheme="minorHAnsi"/>
          <w:noProof/>
        </w:rPr>
        <w:t xml:space="preserve">, 8 (2002), p. </w:t>
      </w:r>
      <w:r w:rsidRPr="0073118C">
        <w:rPr>
          <w:rFonts w:cstheme="minorHAnsi"/>
        </w:rPr>
        <w:fldChar w:fldCharType="end"/>
      </w:r>
      <w:r w:rsidRPr="0073118C">
        <w:rPr>
          <w:rFonts w:cstheme="minorHAnsi"/>
        </w:rPr>
        <w:t>327.</w:t>
      </w:r>
    </w:p>
  </w:endnote>
  <w:endnote w:id="22">
    <w:p w14:paraId="163ABAFB" w14:textId="1C1DACC2"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Indeed, sovereignty as a ‘final and absolute authority’ is an abstract notion that is necessarily attached to a normative – and usually silenced – content in order to be operationalised. On the idea of abstraction and its Eurocentric consequences see </w:t>
      </w:r>
      <w:r w:rsidRPr="0073118C">
        <w:rPr>
          <w:rFonts w:cstheme="minorHAnsi"/>
        </w:rPr>
        <w:fldChar w:fldCharType="begin"/>
      </w:r>
      <w:r w:rsidRPr="0073118C">
        <w:rPr>
          <w:rFonts w:cstheme="minorHAnsi"/>
        </w:rPr>
        <w:instrText xml:space="preserve"> ADDIN EN.CITE &lt;EndNote&gt;&lt;Cite&gt;&lt;Author&gt;Krishna&lt;/Author&gt;&lt;Year&gt;2006&lt;/Year&gt;&lt;RecNum&gt;726&lt;/RecNum&gt;&lt;DisplayText&gt;S. Krishna, &amp;apos;Race, amnesia, and the education of International Relations&amp;apos;, in B. G. Jones (ed.) &lt;style face="italic"&gt;Decolonizing International Relations&lt;/style&gt; (Plymouth: Rowman and Littlefield, 2006), pp. 89-108.&lt;/DisplayText&gt;&lt;record&gt;&lt;rec-number&gt;726&lt;/rec-number&gt;&lt;foreign-keys&gt;&lt;key app="EN" db-id="e0p0sdz2n5prezee0vmpeatvzspt5pp0dd2a" timestamp="1478604359"&gt;726&lt;/key&gt;&lt;/foreign-keys&gt;&lt;ref-type name="Book Section"&gt;5&lt;/ref-type&gt;&lt;contributors&gt;&lt;authors&gt;&lt;author&gt;Sankaran Krishna&lt;/author&gt;&lt;/authors&gt;&lt;secondary-authors&gt;&lt;author&gt;Jones, Branwen Gruffydd&lt;/author&gt;&lt;/secondary-authors&gt;&lt;/contributors&gt;&lt;titles&gt;&lt;title&gt;Race, amnesia, and the education of International Relations&lt;/title&gt;&lt;secondary-title&gt;Decolonizing International Relations&lt;/secondary-title&gt;&lt;/titles&gt;&lt;pages&gt;89-108&lt;/pages&gt;&lt;dates&gt;&lt;year&gt;2006&lt;/year&gt;&lt;/dates&gt;&lt;pub-location&gt;Plymouth&lt;/pub-location&gt;&lt;publisher&gt;Rowman and Littlefield&lt;/publisher&gt;&lt;urls&gt;&lt;/urls&gt;&lt;/record&gt;&lt;/Cite&gt;&lt;/EndNote&gt;</w:instrText>
      </w:r>
      <w:r w:rsidRPr="0073118C">
        <w:rPr>
          <w:rFonts w:cstheme="minorHAnsi"/>
        </w:rPr>
        <w:fldChar w:fldCharType="separate"/>
      </w:r>
      <w:r w:rsidRPr="0073118C">
        <w:rPr>
          <w:rFonts w:cstheme="minorHAnsi"/>
          <w:noProof/>
        </w:rPr>
        <w:t xml:space="preserve">S. Krishna, 'Race, amnesia, and the education of International Relations', in B. G. Jones (ed.) </w:t>
      </w:r>
      <w:r w:rsidRPr="0073118C">
        <w:rPr>
          <w:rFonts w:cstheme="minorHAnsi"/>
          <w:i/>
          <w:noProof/>
        </w:rPr>
        <w:t>Decolonizing International Relations</w:t>
      </w:r>
      <w:r w:rsidRPr="0073118C">
        <w:rPr>
          <w:rFonts w:cstheme="minorHAnsi"/>
          <w:noProof/>
        </w:rPr>
        <w:t xml:space="preserve"> (Plymouth: Rowman and Littlefield, 2006), pp. 89-108.</w:t>
      </w:r>
      <w:r w:rsidRPr="0073118C">
        <w:rPr>
          <w:rFonts w:cstheme="minorHAnsi"/>
        </w:rPr>
        <w:fldChar w:fldCharType="end"/>
      </w:r>
    </w:p>
  </w:endnote>
  <w:endnote w:id="23">
    <w:p w14:paraId="6623E368" w14:textId="0EDCF5B8"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 ExcludeAuth="1"&gt;&lt;Author&gt;Bowden&lt;/Author&gt;&lt;Year&gt;2009&lt;/Year&gt;&lt;RecNum&gt;209&lt;/RecNum&gt;&lt;Pages&gt;Chapter 2&lt;/Pages&gt;&lt;DisplayText&gt;B. Bowden, &lt;style face="italic"&gt;The Empire of Civilization: The Evolution of an Imperial Idea &lt;/style&gt;(Chicago and London: The University of Chicago Press, 2009).&lt;/DisplayText&gt;&lt;record&gt;&lt;rec-number&gt;209&lt;/rec-number&gt;&lt;foreign-keys&gt;&lt;key app="EN" db-id="e0p0sdz2n5prezee0vmpeatvzspt5pp0dd2a" timestamp="1288706487"&gt;209&lt;/key&gt;&lt;/foreign-keys&gt;&lt;ref-type name="Book"&gt;6&lt;/ref-type&gt;&lt;contributors&gt;&lt;authors&gt;&lt;author&gt;Brett Bowden&lt;/author&gt;&lt;/authors&gt;&lt;/contributors&gt;&lt;titles&gt;&lt;title&gt;The Empire of Civilization: The Evolution of an Imperial Idea&lt;/title&gt;&lt;/titles&gt;&lt;dates&gt;&lt;year&gt;2009&lt;/year&gt;&lt;/dates&gt;&lt;pub-location&gt;Chicago and London&lt;/pub-location&gt;&lt;publisher&gt;The University of Chicago Press&lt;/publisher&gt;&lt;urls&gt;&lt;/urls&gt;&lt;/record&gt;&lt;/Cite&gt;&lt;/EndNote&gt;</w:instrText>
      </w:r>
      <w:r w:rsidRPr="0073118C">
        <w:rPr>
          <w:rFonts w:cstheme="minorHAnsi"/>
        </w:rPr>
        <w:fldChar w:fldCharType="separate"/>
      </w:r>
      <w:r w:rsidRPr="0073118C">
        <w:rPr>
          <w:rFonts w:cstheme="minorHAnsi"/>
          <w:noProof/>
        </w:rPr>
        <w:t xml:space="preserve">B. Bowden, </w:t>
      </w:r>
      <w:r w:rsidRPr="0073118C">
        <w:rPr>
          <w:rFonts w:cstheme="minorHAnsi"/>
          <w:i/>
          <w:noProof/>
        </w:rPr>
        <w:t xml:space="preserve">The Empire of Civilization: The Evolution of an Imperial Idea </w:t>
      </w:r>
      <w:r w:rsidRPr="0073118C">
        <w:rPr>
          <w:rFonts w:cstheme="minorHAnsi"/>
          <w:noProof/>
        </w:rPr>
        <w:t>(Chicago and London: The University of Chicago Press, 2009)</w:t>
      </w:r>
      <w:r w:rsidRPr="0073118C">
        <w:rPr>
          <w:rFonts w:cstheme="minorHAnsi"/>
        </w:rPr>
        <w:fldChar w:fldCharType="end"/>
      </w:r>
      <w:r w:rsidR="007B19E1" w:rsidRPr="0073118C">
        <w:rPr>
          <w:rFonts w:cstheme="minorHAnsi"/>
        </w:rPr>
        <w:t xml:space="preserve"> </w:t>
      </w:r>
      <w:r w:rsidRPr="0073118C">
        <w:rPr>
          <w:rFonts w:cstheme="minorHAnsi"/>
        </w:rPr>
        <w:t xml:space="preserve">and </w:t>
      </w:r>
      <w:r w:rsidRPr="0073118C">
        <w:rPr>
          <w:rFonts w:cstheme="minorHAnsi"/>
        </w:rPr>
        <w:fldChar w:fldCharType="begin"/>
      </w:r>
      <w:r w:rsidRPr="0073118C">
        <w:rPr>
          <w:rFonts w:cstheme="minorHAnsi"/>
        </w:rPr>
        <w:instrText xml:space="preserve"> ADDIN EN.CITE &lt;EndNote&gt;&lt;Cite&gt;&lt;Author&gt;Bettiza&lt;/Author&gt;&lt;Year&gt;2014&lt;/Year&gt;&lt;RecNum&gt;598&lt;/RecNum&gt;&lt;DisplayText&gt;G. Bettiza, &amp;apos;Civilizational Analysis in International Relations: Mapping the Field and Advancing a “Civilizational Politics” Line of Research&amp;apos;, &lt;style face="italic"&gt;International Studies Review&lt;/style&gt;, 16 (2014), pp. 1-28.&lt;/DisplayText&gt;&lt;record&gt;&lt;rec-number&gt;598&lt;/rec-number&gt;&lt;foreign-keys&gt;&lt;key app="EN" db-id="e0p0sdz2n5prezee0vmpeatvzspt5pp0dd2a" timestamp="1424342729"&gt;598&lt;/key&gt;&lt;/foreign-keys&gt;&lt;ref-type name="Journal Article"&gt;17&lt;/ref-type&gt;&lt;contributors&gt;&lt;authors&gt;&lt;author&gt;Gregorio Bettiza&lt;/author&gt;&lt;/authors&gt;&lt;/contributors&gt;&lt;titles&gt;&lt;title&gt;Civilizational Analysis in International Relations: Mapping the Field and Advancing a “Civilizational Politics” Line of Research&lt;/title&gt;&lt;secondary-title&gt;International Studies Review&lt;/secondary-title&gt;&lt;/titles&gt;&lt;periodical&gt;&lt;full-title&gt;International Studies Review&lt;/full-title&gt;&lt;/periodical&gt;&lt;pages&gt;1-28&lt;/pages&gt;&lt;volume&gt;16&lt;/volume&gt;&lt;number&gt;1&lt;/number&gt;&lt;dates&gt;&lt;year&gt;2014&lt;/year&gt;&lt;/dates&gt;&lt;urls&gt;&lt;/urls&gt;&lt;/record&gt;&lt;/Cite&gt;&lt;/EndNote&gt;</w:instrText>
      </w:r>
      <w:r w:rsidRPr="0073118C">
        <w:rPr>
          <w:rFonts w:cstheme="minorHAnsi"/>
        </w:rPr>
        <w:fldChar w:fldCharType="separate"/>
      </w:r>
      <w:r w:rsidRPr="0073118C">
        <w:rPr>
          <w:rFonts w:cstheme="minorHAnsi"/>
          <w:noProof/>
        </w:rPr>
        <w:t xml:space="preserve">G. Bettiza, 'Civilizational Analysis in International Relations: Mapping the Field and Advancing a “Civilizational Politics” Line of Research', </w:t>
      </w:r>
      <w:r w:rsidRPr="0073118C">
        <w:rPr>
          <w:rFonts w:cstheme="minorHAnsi"/>
          <w:i/>
          <w:noProof/>
        </w:rPr>
        <w:t>International Studies Review</w:t>
      </w:r>
      <w:r w:rsidRPr="0073118C">
        <w:rPr>
          <w:rFonts w:cstheme="minorHAnsi"/>
          <w:noProof/>
        </w:rPr>
        <w:t>, 16 (2014), pp. 1-28.</w:t>
      </w:r>
      <w:r w:rsidRPr="0073118C">
        <w:rPr>
          <w:rFonts w:cstheme="minorHAnsi"/>
        </w:rPr>
        <w:fldChar w:fldCharType="end"/>
      </w:r>
    </w:p>
  </w:endnote>
  <w:endnote w:id="24">
    <w:p w14:paraId="09D7FDC7" w14:textId="5949EFCE" w:rsidR="00F51911" w:rsidRPr="0073118C" w:rsidRDefault="00F51911" w:rsidP="0073118C">
      <w:pPr>
        <w:jc w:val="both"/>
        <w:rPr>
          <w:rFonts w:cstheme="minorHAnsi"/>
          <w:sz w:val="20"/>
          <w:szCs w:val="20"/>
        </w:rPr>
      </w:pPr>
      <w:r w:rsidRPr="0073118C">
        <w:rPr>
          <w:rStyle w:val="EndnoteReference"/>
          <w:rFonts w:cstheme="minorHAnsi"/>
          <w:sz w:val="20"/>
          <w:szCs w:val="20"/>
        </w:rPr>
        <w:endnoteRef/>
      </w:r>
      <w:r w:rsidRPr="0073118C">
        <w:rPr>
          <w:rFonts w:cstheme="minorHAnsi"/>
          <w:sz w:val="20"/>
          <w:szCs w:val="20"/>
        </w:rPr>
        <w:t xml:space="preserve"> The distinction between the two meanings of ‘civilisation’ is not necessarily as strict as it seems. Indeed, ‘describing’ social characteristics can hardly be </w:t>
      </w:r>
      <w:r w:rsidR="006004CF" w:rsidRPr="0073118C">
        <w:rPr>
          <w:rFonts w:cstheme="minorHAnsi"/>
          <w:sz w:val="20"/>
          <w:szCs w:val="20"/>
        </w:rPr>
        <w:t xml:space="preserve">conducted outside of </w:t>
      </w:r>
      <w:r w:rsidRPr="0073118C">
        <w:rPr>
          <w:rFonts w:cstheme="minorHAnsi"/>
          <w:sz w:val="20"/>
          <w:szCs w:val="20"/>
        </w:rPr>
        <w:t xml:space="preserve">a broader belief in the superiority of one’s own societal features. </w:t>
      </w:r>
    </w:p>
  </w:endnote>
  <w:endnote w:id="25">
    <w:p w14:paraId="3E2F6B79" w14:textId="710E51BE"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&lt;EndNote&gt;&lt;Cite&gt;&lt;Author&gt;Sheehan&lt;/Author&gt;&lt;Year&gt;1980&lt;/Year&gt;&lt;RecNum&gt;729&lt;/RecNum&gt;&lt;DisplayText&gt;B. W. Sheehan, &lt;style face="italic"&gt;Savagism and civility. Indians and Englishmen in colonial Virginia &lt;/style&gt;(Cambridge, New York, Melbourne: Cambridge University Press, 1980).&lt;/DisplayText&gt;&lt;record&gt;&lt;rec-number&gt;729&lt;/rec-number&gt;&lt;foreign-keys&gt;&lt;key app="EN" db-id="e0p0sdz2n5prezee0vmpeatvzspt5pp0dd2a" timestamp="1480498962"&gt;729&lt;/key&gt;&lt;/foreign-keys&gt;&lt;ref-type name="Book"&gt;6&lt;/ref-type&gt;&lt;contributors&gt;&lt;authors&gt;&lt;author&gt;Bernard W. Sheehan&lt;/author&gt;&lt;/authors&gt;&lt;/contributors&gt;&lt;titles&gt;&lt;title&gt;Savagism and civility. Indians and Englishmen in colonial Virginia&lt;/title&gt;&lt;/titles&gt;&lt;dates&gt;&lt;year&gt;1980&lt;/year&gt;&lt;/dates&gt;&lt;pub-location&gt;Cambridge, New York, Melbourne&lt;/pub-location&gt;&lt;publisher&gt;Cambridge University Press&lt;/publisher&gt;&lt;urls&gt;&lt;/urls&gt;&lt;/record&gt;&lt;/Cite&gt;&lt;/EndNote&gt;</w:instrText>
      </w:r>
      <w:r w:rsidRPr="0073118C">
        <w:rPr>
          <w:rFonts w:cstheme="minorHAnsi"/>
        </w:rPr>
        <w:fldChar w:fldCharType="separate"/>
      </w:r>
      <w:r w:rsidRPr="0073118C">
        <w:rPr>
          <w:rFonts w:cstheme="minorHAnsi"/>
          <w:noProof/>
        </w:rPr>
        <w:t xml:space="preserve">B. W. Sheehan, </w:t>
      </w:r>
      <w:r w:rsidRPr="0073118C">
        <w:rPr>
          <w:rFonts w:cstheme="minorHAnsi"/>
          <w:i/>
          <w:noProof/>
        </w:rPr>
        <w:t xml:space="preserve">Savagism and civility. Indians and Englishmen in colonial Virginia </w:t>
      </w:r>
      <w:r w:rsidRPr="0073118C">
        <w:rPr>
          <w:rFonts w:cstheme="minorHAnsi"/>
          <w:noProof/>
        </w:rPr>
        <w:t>(Cambridge, New York, Melbourne: Cambridge University Press, 1980)</w:t>
      </w:r>
      <w:r w:rsidRPr="0073118C">
        <w:rPr>
          <w:rFonts w:cstheme="minorHAnsi"/>
        </w:rPr>
        <w:fldChar w:fldCharType="end"/>
      </w:r>
      <w:r w:rsidRPr="0073118C">
        <w:rPr>
          <w:rFonts w:cstheme="minorHAnsi"/>
        </w:rPr>
        <w:t xml:space="preserve"> and </w:t>
      </w:r>
      <w:r w:rsidRPr="0073118C">
        <w:rPr>
          <w:rFonts w:cstheme="minorHAnsi"/>
        </w:rPr>
        <w:fldChar w:fldCharType="begin"/>
      </w:r>
      <w:r w:rsidRPr="0073118C">
        <w:rPr>
          <w:rFonts w:cstheme="minorHAnsi"/>
        </w:rPr>
        <w:instrText xml:space="preserve"> ADDIN EN.CITE &lt;EndNote&gt;&lt;Cite&gt;&lt;Author&gt;White&lt;/Author&gt;&lt;Year&gt;1972&lt;/Year&gt;&lt;RecNum&gt;617&lt;/RecNum&gt;&lt;DisplayText&gt;H. White, &amp;apos;The forms of wildness: Archaeology of an idea&amp;apos;, in E. Dudley (ed.) &lt;style face="italic"&gt;The wild man within : an image in western thought from the Renaissance to Romanticism&lt;/style&gt; (Pittsburgh University of Pittsburgh Press, 1972).&lt;/DisplayText&gt;&lt;record&gt;&lt;rec-number&gt;617&lt;/rec-number&gt;&lt;foreign-keys&gt;&lt;key app="EN" db-id="e0p0sdz2n5prezee0vmpeatvzspt5pp0dd2a" timestamp="1432059258"&gt;617&lt;/key&gt;&lt;/foreign-keys&gt;&lt;ref-type name="Book Section"&gt;5&lt;/ref-type&gt;&lt;contributors&gt;&lt;authors&gt;&lt;author&gt;Hayden White&lt;/author&gt;&lt;/authors&gt;&lt;secondary-authors&gt;&lt;author&gt;Edward Dudley&lt;/author&gt;&lt;/secondary-authors&gt;&lt;/contributors&gt;&lt;titles&gt;&lt;title&gt;The forms of wildness: Archaeology of an idea&lt;/title&gt;&lt;secondary-title&gt;The wild man within : an image in western thought from the Renaissance to Romanticism&lt;/secondary-title&gt;&lt;/titles&gt;&lt;dates&gt;&lt;year&gt;1972&lt;/year&gt;&lt;/dates&gt;&lt;pub-location&gt;Pittsburgh &lt;/pub-location&gt;&lt;publisher&gt;University of Pittsburgh Press&lt;/publisher&gt;&lt;urls&gt;&lt;/urls&gt;&lt;/record&gt;&lt;/Cite&gt;&lt;/EndNote&gt;</w:instrText>
      </w:r>
      <w:r w:rsidRPr="0073118C">
        <w:rPr>
          <w:rFonts w:cstheme="minorHAnsi"/>
        </w:rPr>
        <w:fldChar w:fldCharType="separate"/>
      </w:r>
      <w:r w:rsidRPr="0073118C">
        <w:rPr>
          <w:rFonts w:cstheme="minorHAnsi"/>
          <w:noProof/>
        </w:rPr>
        <w:t xml:space="preserve">H. White, 'The forms of wildness: Archaeology of an idea', in E. Dudley (ed.) </w:t>
      </w:r>
      <w:r w:rsidRPr="0073118C">
        <w:rPr>
          <w:rFonts w:cstheme="minorHAnsi"/>
          <w:i/>
          <w:noProof/>
        </w:rPr>
        <w:t>The wild man within : an image in western thought from the Renaissance to Romanticism</w:t>
      </w:r>
      <w:r w:rsidRPr="0073118C">
        <w:rPr>
          <w:rFonts w:cstheme="minorHAnsi"/>
          <w:noProof/>
        </w:rPr>
        <w:t xml:space="preserve"> (Pittsburgh University of Pittsburgh Press, 1972).</w:t>
      </w:r>
      <w:r w:rsidRPr="0073118C">
        <w:rPr>
          <w:rFonts w:cstheme="minorHAnsi"/>
        </w:rPr>
        <w:fldChar w:fldCharType="end"/>
      </w:r>
    </w:p>
  </w:endnote>
  <w:endnote w:id="26">
    <w:p w14:paraId="3B5CB30E" w14:textId="487ADE1D" w:rsidR="00F51911" w:rsidRPr="0073118C" w:rsidRDefault="00F51911" w:rsidP="0073118C">
      <w:pPr>
        <w:jc w:val="both"/>
        <w:rPr>
          <w:rFonts w:cstheme="minorHAnsi"/>
          <w:sz w:val="20"/>
          <w:szCs w:val="20"/>
        </w:rPr>
      </w:pPr>
      <w:r w:rsidRPr="0073118C">
        <w:rPr>
          <w:rStyle w:val="EndnoteReference"/>
          <w:rFonts w:cstheme="minorHAnsi"/>
          <w:sz w:val="20"/>
          <w:szCs w:val="20"/>
        </w:rPr>
        <w:endnoteRef/>
      </w:r>
      <w:r w:rsidRPr="0073118C">
        <w:rPr>
          <w:rFonts w:cstheme="minorHAnsi"/>
          <w:sz w:val="20"/>
          <w:szCs w:val="20"/>
        </w:rPr>
        <w:t xml:space="preserve"> Western sovereignty is thus an example of the links between modernity and </w:t>
      </w:r>
      <w:proofErr w:type="spellStart"/>
      <w:r w:rsidRPr="0073118C">
        <w:rPr>
          <w:rFonts w:cstheme="minorHAnsi"/>
          <w:sz w:val="20"/>
          <w:szCs w:val="20"/>
        </w:rPr>
        <w:t>coloniality</w:t>
      </w:r>
      <w:proofErr w:type="spellEnd"/>
      <w:r w:rsidRPr="0073118C">
        <w:rPr>
          <w:rFonts w:cstheme="minorHAnsi"/>
          <w:sz w:val="20"/>
          <w:szCs w:val="20"/>
        </w:rPr>
        <w:t xml:space="preserve">. See </w:t>
      </w:r>
      <w:r w:rsidRPr="0073118C">
        <w:rPr>
          <w:rFonts w:cstheme="minorHAnsi"/>
          <w:sz w:val="20"/>
          <w:szCs w:val="20"/>
        </w:rPr>
        <w:fldChar w:fldCharType="begin"/>
      </w:r>
      <w:r w:rsidRPr="0073118C">
        <w:rPr>
          <w:rFonts w:cstheme="minorHAnsi"/>
          <w:sz w:val="20"/>
          <w:szCs w:val="20"/>
        </w:rPr>
        <w:instrText xml:space="preserve"> ADDIN EN.CITE &lt;EndNote&gt;&lt;Cite&gt;&lt;Author&gt;Quijano&lt;/Author&gt;&lt;Year&gt;2007&lt;/Year&gt;&lt;RecNum&gt;661&lt;/RecNum&gt;&lt;DisplayText&gt;A. Quijano, &amp;apos;Coloniality and modernity/rationality &amp;apos;, &lt;style face="italic"&gt;Cultural Studies&lt;/style&gt;, 21 (2007), pp. 168-178.&lt;/DisplayText&gt;&lt;record&gt;&lt;rec-number&gt;661&lt;/rec-number&gt;&lt;foreign-keys&gt;&lt;key app="EN" db-id="e0p0sdz2n5prezee0vmpeatvzspt5pp0dd2a" timestamp="1465548391"&gt;661&lt;/key&gt;&lt;/foreign-keys&gt;&lt;ref-type name="Journal Article"&gt;17&lt;/ref-type&gt;&lt;contributors&gt;&lt;authors&gt;&lt;author&gt;Aníbal Quijano&lt;/author&gt;&lt;/authors&gt;&lt;/contributors&gt;&lt;titles&gt;&lt;title&gt;Coloniality and modernity/rationality &lt;/title&gt;&lt;secondary-title&gt;Cultural Studies&lt;/secondary-title&gt;&lt;/titles&gt;&lt;periodical&gt;&lt;full-title&gt;Cultural Studies&lt;/full-title&gt;&lt;/periodical&gt;&lt;pages&gt;168-178&lt;/pages&gt;&lt;volume&gt;21&lt;/volume&gt;&lt;number&gt;2-3&lt;/number&gt;&lt;dates&gt;&lt;year&gt;2007&lt;/year&gt;&lt;/dates&gt;&lt;urls&gt;&lt;/urls&gt;&lt;/record&gt;&lt;/Cite&gt;&lt;/EndNote&gt;</w:instrText>
      </w:r>
      <w:r w:rsidRPr="0073118C">
        <w:rPr>
          <w:rFonts w:cstheme="minorHAnsi"/>
          <w:sz w:val="20"/>
          <w:szCs w:val="20"/>
        </w:rPr>
        <w:fldChar w:fldCharType="separate"/>
      </w:r>
      <w:r w:rsidRPr="0073118C">
        <w:rPr>
          <w:rFonts w:cstheme="minorHAnsi"/>
          <w:noProof/>
          <w:sz w:val="20"/>
          <w:szCs w:val="20"/>
        </w:rPr>
        <w:t xml:space="preserve">A. Quijano, 'Coloniality and modernity/rationality', </w:t>
      </w:r>
      <w:r w:rsidRPr="0073118C">
        <w:rPr>
          <w:rFonts w:cstheme="minorHAnsi"/>
          <w:i/>
          <w:noProof/>
          <w:sz w:val="20"/>
          <w:szCs w:val="20"/>
        </w:rPr>
        <w:t>Cultural Studies</w:t>
      </w:r>
      <w:r w:rsidRPr="0073118C">
        <w:rPr>
          <w:rFonts w:cstheme="minorHAnsi"/>
          <w:noProof/>
          <w:sz w:val="20"/>
          <w:szCs w:val="20"/>
        </w:rPr>
        <w:t>, 21 (2007), pp. 168-178.</w:t>
      </w:r>
      <w:r w:rsidRPr="0073118C">
        <w:rPr>
          <w:rFonts w:cstheme="minorHAnsi"/>
          <w:sz w:val="20"/>
          <w:szCs w:val="20"/>
        </w:rPr>
        <w:fldChar w:fldCharType="end"/>
      </w:r>
    </w:p>
  </w:endnote>
  <w:endnote w:id="27">
    <w:p w14:paraId="19F3DBBC" w14:textId="78E5B7BF"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&lt;EndNote&gt;&lt;Cite&gt;&lt;Author&gt;Krishna&lt;/Author&gt;&lt;Year&gt;2006&lt;/Year&gt;&lt;RecNum&gt;726&lt;/RecNum&gt;&lt;DisplayText&gt;S. Krishna, &amp;apos;Race, amnesia, and the education of International Relations&amp;apos;, in B. G. Jones (ed.) &lt;style face="italic"&gt;Decolonizing International Relations&lt;/style&gt; (Plymouth: Rowman and Littlefield, 2006), pp. 89-108.&lt;/DisplayText&gt;&lt;record&gt;&lt;rec-number&gt;726&lt;/rec-number&gt;&lt;foreign-keys&gt;&lt;key app="EN" db-id="e0p0sdz2n5prezee0vmpeatvzspt5pp0dd2a" timestamp="1478604359"&gt;726&lt;/key&gt;&lt;/foreign-keys&gt;&lt;ref-type name="Book Section"&gt;5&lt;/ref-type&gt;&lt;contributors&gt;&lt;authors&gt;&lt;author&gt;Sankaran Krishna&lt;/author&gt;&lt;/authors&gt;&lt;secondary-authors&gt;&lt;author&gt;Jones, Branwen Gruffydd&lt;/author&gt;&lt;/secondary-authors&gt;&lt;/contributors&gt;&lt;titles&gt;&lt;title&gt;Race, amnesia, and the education of International Relations&lt;/title&gt;&lt;secondary-title&gt;Decolonizing International Relations&lt;/secondary-title&gt;&lt;/titles&gt;&lt;pages&gt;89-108&lt;/pages&gt;&lt;dates&gt;&lt;year&gt;2006&lt;/year&gt;&lt;/dates&gt;&lt;pub-location&gt;Plymouth&lt;/pub-location&gt;&lt;publisher&gt;Rowman and Littlefield&lt;/publisher&gt;&lt;urls&gt;&lt;/urls&gt;&lt;/record&gt;&lt;/Cite&gt;&lt;/EndNote&gt;</w:instrText>
      </w:r>
      <w:r w:rsidRPr="0073118C">
        <w:rPr>
          <w:rFonts w:cstheme="minorHAnsi"/>
        </w:rPr>
        <w:fldChar w:fldCharType="separate"/>
      </w:r>
      <w:proofErr w:type="gramStart"/>
      <w:r w:rsidRPr="0073118C">
        <w:rPr>
          <w:rFonts w:cstheme="minorHAnsi"/>
          <w:noProof/>
        </w:rPr>
        <w:t>Krishna, 'Race, amnesia, and the education of International Relations',</w:t>
      </w:r>
      <w:r w:rsidRPr="0073118C">
        <w:rPr>
          <w:rFonts w:cstheme="minorHAnsi"/>
        </w:rPr>
        <w:fldChar w:fldCharType="end"/>
      </w:r>
      <w:r w:rsidRPr="0073118C">
        <w:rPr>
          <w:rFonts w:cstheme="minorHAnsi"/>
        </w:rPr>
        <w:t xml:space="preserve"> p. 100.</w:t>
      </w:r>
      <w:proofErr w:type="gramEnd"/>
      <w:r w:rsidRPr="0073118C">
        <w:rPr>
          <w:rFonts w:cstheme="minorHAnsi"/>
        </w:rPr>
        <w:t xml:space="preserve"> </w:t>
      </w:r>
    </w:p>
  </w:endnote>
  <w:endnote w:id="28">
    <w:p w14:paraId="75D65015" w14:textId="031F9C6D"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00CE1B1A" w:rsidRPr="0073118C">
        <w:rPr>
          <w:rFonts w:cstheme="minorHAnsi"/>
        </w:rPr>
        <w:t xml:space="preserve">This is true even beyond critical and post-colonial scholarship. See for instance </w:t>
      </w:r>
      <w:r w:rsidRPr="0073118C">
        <w:rPr>
          <w:rFonts w:cstheme="minorHAnsi"/>
        </w:rPr>
        <w:fldChar w:fldCharType="begin"/>
      </w:r>
      <w:r w:rsidRPr="0073118C">
        <w:rPr>
          <w:rFonts w:cstheme="minorHAnsi"/>
        </w:rPr>
        <w:instrText xml:space="preserve"> ADDIN EN.CITE &lt;EndNote&gt;&lt;Cite&gt;&lt;Author&gt;Glanville&lt;/Author&gt;&lt;Year&gt;2014&lt;/Year&gt;&lt;RecNum&gt;615&lt;/RecNum&gt;&lt;DisplayText&gt;L. Glanville, &lt;style face="italic"&gt;Sovereignty and the Responsibility to Protect: A New History &lt;/style&gt;(Chicago: University of Chicago Press, 2014).&lt;/DisplayText&gt;&lt;record&gt;&lt;rec-number&gt;615&lt;/rec-number&gt;&lt;foreign-keys&gt;&lt;key app="EN" db-id="e0p0sdz2n5prezee0vmpeatvzspt5pp0dd2a" timestamp="1431245195"&gt;615&lt;/key&gt;&lt;/foreign-keys&gt;&lt;ref-type name="Book"&gt;6&lt;/ref-type&gt;&lt;contributors&gt;&lt;authors&gt;&lt;author&gt;Luke Glanville&lt;/author&gt;&lt;/authors&gt;&lt;/contributors&gt;&lt;titles&gt;&lt;title&gt;Sovereignty and the Responsibility to Protect: A New History&lt;/title&gt;&lt;/titles&gt;&lt;dates&gt;&lt;year&gt;2014&lt;/year&gt;&lt;/dates&gt;&lt;pub-location&gt;Chicago&lt;/pub-location&gt;&lt;publisher&gt;University of Chicago Press&lt;/publisher&gt;&lt;urls&gt;&lt;/urls&gt;&lt;/record&gt;&lt;/Cite&gt;&lt;/EndNote&gt;</w:instrText>
      </w:r>
      <w:r w:rsidRPr="0073118C">
        <w:rPr>
          <w:rFonts w:cstheme="minorHAnsi"/>
        </w:rPr>
        <w:fldChar w:fldCharType="separate"/>
      </w:r>
      <w:r w:rsidRPr="0073118C">
        <w:rPr>
          <w:rFonts w:cstheme="minorHAnsi"/>
          <w:noProof/>
        </w:rPr>
        <w:t xml:space="preserve">L. Glanville, </w:t>
      </w:r>
      <w:r w:rsidRPr="0073118C">
        <w:rPr>
          <w:rFonts w:cstheme="minorHAnsi"/>
          <w:i/>
          <w:noProof/>
        </w:rPr>
        <w:t xml:space="preserve">Sovereignty and the Responsibility to Protect: A New History </w:t>
      </w:r>
      <w:r w:rsidRPr="0073118C">
        <w:rPr>
          <w:rFonts w:cstheme="minorHAnsi"/>
          <w:noProof/>
        </w:rPr>
        <w:t>(Chicago: University of Chicago Press, 2014)</w:t>
      </w:r>
      <w:r w:rsidRPr="0073118C">
        <w:rPr>
          <w:rFonts w:cstheme="minorHAnsi"/>
        </w:rPr>
        <w:fldChar w:fldCharType="end"/>
      </w:r>
      <w:r w:rsidRPr="0073118C">
        <w:rPr>
          <w:rFonts w:cstheme="minorHAnsi"/>
        </w:rPr>
        <w:t>, p. 130.</w:t>
      </w:r>
    </w:p>
  </w:endnote>
  <w:endnote w:id="29">
    <w:p w14:paraId="39CB2F8A" w14:textId="071DAFD0"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&lt;EndNote&gt;&lt;Cite&gt;&lt;Author&gt;Aalberts&lt;/Author&gt;&lt;Year&gt;2014&lt;/Year&gt;&lt;RecNum&gt;532&lt;/RecNum&gt;&lt;DisplayText&gt;T. E. Aalberts, &amp;apos;Rethinking the Principle of (Sovereign) Equality as a Standard of Civilisation&amp;apos;, &lt;style face="italic"&gt;Millennium: Journal of International Studies&lt;/style&gt;, 42 (2014), pp. 767-789.&lt;/DisplayText&gt;&lt;record&gt;&lt;rec-number&gt;532&lt;/rec-number&gt;&lt;foreign-keys&gt;&lt;key app="EN" db-id="e0p0sdz2n5prezee0vmpeatvzspt5pp0dd2a" timestamp="1407772486"&gt;532&lt;/key&gt;&lt;/foreign-keys&gt;&lt;ref-type name="Journal Article"&gt;17&lt;/ref-type&gt;&lt;contributors&gt;&lt;authors&gt;&lt;author&gt;Tanja E. Aalberts&lt;/author&gt;&lt;/authors&gt;&lt;/contributors&gt;&lt;titles&gt;&lt;title&gt;Rethinking the Principle of (Sovereign) Equality as a Standard of Civilisation&lt;/title&gt;&lt;secondary-title&gt;Millennium: Journal of International Studies&lt;/secondary-title&gt;&lt;/titles&gt;&lt;periodical&gt;&lt;full-title&gt;Millennium: Journal of International Studies&lt;/full-title&gt;&lt;/periodical&gt;&lt;pages&gt;767-789&lt;/pages&gt;&lt;volume&gt;42&lt;/volume&gt;&lt;number&gt;3&lt;/number&gt;&lt;dates&gt;&lt;year&gt;2014&lt;/year&gt;&lt;/dates&gt;&lt;urls&gt;&lt;/urls&gt;&lt;/record&gt;&lt;/Cite&gt;&lt;/EndNote&gt;</w:instrText>
      </w:r>
      <w:r w:rsidRPr="0073118C">
        <w:rPr>
          <w:rFonts w:cstheme="minorHAnsi"/>
        </w:rPr>
        <w:fldChar w:fldCharType="separate"/>
      </w:r>
      <w:r w:rsidRPr="0073118C">
        <w:rPr>
          <w:rFonts w:cstheme="minorHAnsi"/>
          <w:noProof/>
        </w:rPr>
        <w:t>Aalberts, 'Rethinking the Principle of (Sovereign) Equality',</w:t>
      </w:r>
      <w:r w:rsidRPr="0073118C">
        <w:rPr>
          <w:rFonts w:cstheme="minorHAnsi"/>
        </w:rPr>
        <w:fldChar w:fldCharType="end"/>
      </w:r>
      <w:r w:rsidRPr="0073118C">
        <w:rPr>
          <w:rFonts w:cstheme="minorHAnsi"/>
        </w:rPr>
        <w:t xml:space="preserve"> p. 779.</w:t>
      </w:r>
    </w:p>
  </w:endnote>
  <w:endnote w:id="30">
    <w:p w14:paraId="47E04735" w14:textId="77777777"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On the idea of connected histories and their erasure in/through modern science see </w:t>
      </w:r>
      <w:r w:rsidRPr="0073118C">
        <w:rPr>
          <w:rFonts w:cstheme="minorHAnsi"/>
        </w:rPr>
        <w:fldChar w:fldCharType="begin"/>
      </w:r>
      <w:r w:rsidRPr="0073118C">
        <w:rPr>
          <w:rFonts w:cstheme="minorHAnsi"/>
        </w:rPr>
        <w:instrText xml:space="preserve"> ADDIN EN.CITE &lt;EndNote&gt;&lt;Cite&gt;&lt;Author&gt;Bhambra&lt;/Author&gt;&lt;Year&gt;2007&lt;/Year&gt;&lt;RecNum&gt;725&lt;/RecNum&gt;&lt;DisplayText&gt;G. K. Bhambra, &lt;style face="italic"&gt;Rethinking modernity. Postcolonialism and the sociological imagination &lt;/style&gt;(Basingstoke and New York: Palgrave Macmillan, 2007).&lt;/DisplayText&gt;&lt;record&gt;&lt;rec-number&gt;725&lt;/rec-number&gt;&lt;foreign-keys&gt;&lt;key app="EN" db-id="e0p0sdz2n5prezee0vmpeatvzspt5pp0dd2a" timestamp="1478599201"&gt;725&lt;/key&gt;&lt;/foreign-keys&gt;&lt;ref-type name="Book"&gt;6&lt;/ref-type&gt;&lt;contributors&gt;&lt;authors&gt;&lt;author&gt;Gurminder K. Bhambra&lt;/author&gt;&lt;/authors&gt;&lt;/contributors&gt;&lt;titles&gt;&lt;title&gt;Rethinking modernity. Postcolonialism and the sociological imagination&lt;/title&gt;&lt;/titles&gt;&lt;dates&gt;&lt;year&gt;2007&lt;/year&gt;&lt;/dates&gt;&lt;pub-location&gt;Basingstoke and New York&lt;/pub-location&gt;&lt;publisher&gt;Palgrave Macmillan&lt;/publisher&gt;&lt;urls&gt;&lt;/urls&gt;&lt;/record&gt;&lt;/Cite&gt;&lt;/EndNote&gt;</w:instrText>
      </w:r>
      <w:r w:rsidRPr="0073118C">
        <w:rPr>
          <w:rFonts w:cstheme="minorHAnsi"/>
        </w:rPr>
        <w:fldChar w:fldCharType="separate"/>
      </w:r>
      <w:r w:rsidRPr="0073118C">
        <w:rPr>
          <w:rFonts w:cstheme="minorHAnsi"/>
          <w:noProof/>
        </w:rPr>
        <w:t xml:space="preserve">Bhambra, </w:t>
      </w:r>
      <w:r w:rsidRPr="0073118C">
        <w:rPr>
          <w:rFonts w:cstheme="minorHAnsi"/>
          <w:i/>
          <w:noProof/>
        </w:rPr>
        <w:t>Rethinking modernity.</w:t>
      </w:r>
      <w:r w:rsidRPr="0073118C">
        <w:rPr>
          <w:rFonts w:cstheme="minorHAnsi"/>
        </w:rPr>
        <w:fldChar w:fldCharType="end"/>
      </w:r>
    </w:p>
  </w:endnote>
  <w:endnote w:id="31">
    <w:p w14:paraId="1246E481" w14:textId="7BAF7CCC" w:rsidR="00575A0C" w:rsidRPr="0073118C" w:rsidRDefault="00575A0C"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0094308B" w:rsidRPr="0073118C">
        <w:rPr>
          <w:rFonts w:cstheme="minorHAnsi"/>
        </w:rPr>
        <w:t xml:space="preserve">On the </w:t>
      </w:r>
      <w:r w:rsidRPr="0073118C">
        <w:rPr>
          <w:rFonts w:cstheme="minorHAnsi"/>
        </w:rPr>
        <w:t xml:space="preserve">presence of ‘domestic’ savages and the ambiguities of a more often idealised than </w:t>
      </w:r>
      <w:r w:rsidR="006004CF" w:rsidRPr="0073118C">
        <w:rPr>
          <w:rFonts w:cstheme="minorHAnsi"/>
        </w:rPr>
        <w:t>achieved</w:t>
      </w:r>
      <w:r w:rsidRPr="0073118C">
        <w:rPr>
          <w:rFonts w:cstheme="minorHAnsi"/>
        </w:rPr>
        <w:t xml:space="preserve"> Western ‘civilisation’</w:t>
      </w:r>
      <w:r w:rsidR="0094308B" w:rsidRPr="0073118C">
        <w:rPr>
          <w:rFonts w:cstheme="minorHAnsi"/>
        </w:rPr>
        <w:t>, see</w:t>
      </w:r>
      <w:r w:rsidRPr="0073118C">
        <w:rPr>
          <w:rFonts w:cstheme="minorHAnsi"/>
        </w:rPr>
        <w:t xml:space="preserve"> in particular </w:t>
      </w:r>
      <w:r w:rsidRPr="0073118C">
        <w:rPr>
          <w:rFonts w:cstheme="minorHAnsi"/>
          <w:noProof/>
        </w:rPr>
        <w:t xml:space="preserve">Anghie, </w:t>
      </w:r>
      <w:r w:rsidRPr="0073118C">
        <w:rPr>
          <w:rFonts w:cstheme="minorHAnsi"/>
          <w:i/>
          <w:noProof/>
        </w:rPr>
        <w:t>Imperialism</w:t>
      </w:r>
      <w:r w:rsidRPr="0073118C">
        <w:rPr>
          <w:rFonts w:cstheme="minorHAnsi"/>
          <w:noProof/>
        </w:rPr>
        <w:t xml:space="preserve">, pp. 22-23; </w:t>
      </w:r>
      <w:r w:rsidRPr="0073118C">
        <w:rPr>
          <w:rFonts w:cstheme="minorHAnsi"/>
        </w:rPr>
        <w:fldChar w:fldCharType="begin"/>
      </w:r>
      <w:r w:rsidRPr="0073118C">
        <w:rPr>
          <w:rFonts w:cstheme="minorHAnsi"/>
        </w:rPr>
        <w:instrText xml:space="preserve"> ADDIN EN.CITE &lt;EndNote&gt;&lt;Cite&gt;&lt;Author&gt;Inayatullah&lt;/Author&gt;&lt;Year&gt;2004&lt;/Year&gt;&lt;RecNum&gt;258&lt;/RecNum&gt;&lt;DisplayText&gt;N. Inayatullah and D. L. Blaney, &lt;style face="italic"&gt;International Relations and the Problem of Difference &lt;/style&gt;(New York: Routledge, 2004).&lt;/DisplayText&gt;&lt;record&gt;&lt;rec-number&gt;258&lt;/rec-number&gt;&lt;foreign-keys&gt;&lt;key app="EN" db-id="e0p0sdz2n5prezee0vmpeatvzspt5pp0dd2a" timestamp="1323183600"&gt;258&lt;/key&gt;&lt;/foreign-keys&gt;&lt;ref-type name="Book"&gt;6&lt;/ref-type&gt;&lt;contributors&gt;&lt;authors&gt;&lt;author&gt;Naeem Inayatullah&lt;/author&gt;&lt;author&gt;David L. Blaney&lt;/author&gt;&lt;/authors&gt;&lt;/contributors&gt;&lt;titles&gt;&lt;title&gt;International Relations and the Problem of Difference&lt;/title&gt;&lt;/titles&gt;&lt;dates&gt;&lt;year&gt;2004&lt;/year&gt;&lt;/dates&gt;&lt;pub-location&gt;New York&lt;/pub-location&gt;&lt;publisher&gt;Routledge&lt;/publisher&gt;&lt;urls&gt;&lt;/urls&gt;&lt;/record&gt;&lt;/Cite&gt;&lt;/EndNote&gt;</w:instrText>
      </w:r>
      <w:r w:rsidRPr="0073118C">
        <w:rPr>
          <w:rFonts w:cstheme="minorHAnsi"/>
        </w:rPr>
        <w:fldChar w:fldCharType="separate"/>
      </w:r>
      <w:r w:rsidRPr="0073118C">
        <w:rPr>
          <w:rFonts w:cstheme="minorHAnsi"/>
          <w:noProof/>
        </w:rPr>
        <w:t xml:space="preserve">N. Inayatullah and D. L. Blaney, </w:t>
      </w:r>
      <w:r w:rsidRPr="0073118C">
        <w:rPr>
          <w:rFonts w:cstheme="minorHAnsi"/>
          <w:i/>
          <w:noProof/>
        </w:rPr>
        <w:t xml:space="preserve">International Relations and the Problem of Difference </w:t>
      </w:r>
      <w:r w:rsidRPr="0073118C">
        <w:rPr>
          <w:rFonts w:cstheme="minorHAnsi"/>
          <w:noProof/>
        </w:rPr>
        <w:t>(New York: Routledge, 2004)</w:t>
      </w:r>
      <w:r w:rsidRPr="0073118C">
        <w:rPr>
          <w:rFonts w:cstheme="minorHAnsi"/>
        </w:rPr>
        <w:fldChar w:fldCharType="end"/>
      </w:r>
      <w:r w:rsidRPr="0073118C">
        <w:rPr>
          <w:rFonts w:cstheme="minorHAnsi"/>
        </w:rPr>
        <w:t xml:space="preserve">, pp. 70-73; </w:t>
      </w:r>
      <w:proofErr w:type="spellStart"/>
      <w:r w:rsidRPr="0073118C">
        <w:rPr>
          <w:rFonts w:cstheme="minorHAnsi"/>
        </w:rPr>
        <w:t>Jahn</w:t>
      </w:r>
      <w:proofErr w:type="spellEnd"/>
      <w:r w:rsidRPr="0073118C">
        <w:rPr>
          <w:rFonts w:cstheme="minorHAnsi"/>
        </w:rPr>
        <w:t xml:space="preserve">, </w:t>
      </w:r>
      <w:r w:rsidRPr="0073118C">
        <w:rPr>
          <w:rFonts w:cstheme="minorHAnsi"/>
          <w:i/>
        </w:rPr>
        <w:t>The Cultural Construction of International Relations</w:t>
      </w:r>
      <w:r w:rsidRPr="0073118C">
        <w:rPr>
          <w:rFonts w:cstheme="minorHAnsi"/>
        </w:rPr>
        <w:t>, pp. 63-64. These authors, however, have not explained how the presence of ‘domestic’ savages was managed by the aspiring civilised state.</w:t>
      </w:r>
    </w:p>
  </w:endnote>
  <w:endnote w:id="32">
    <w:p w14:paraId="3A1E4375" w14:textId="7466229A" w:rsidR="00F51911" w:rsidRPr="0073118C" w:rsidRDefault="00F51911" w:rsidP="0073118C">
      <w:pPr>
        <w:pStyle w:val="EndNoteBibliography"/>
        <w:rPr>
          <w:rFonts w:asciiTheme="minorHAnsi" w:hAnsiTheme="minorHAnsi" w:cstheme="minorHAnsi"/>
          <w:sz w:val="20"/>
          <w:szCs w:val="20"/>
        </w:rPr>
      </w:pPr>
      <w:r w:rsidRPr="0073118C">
        <w:rPr>
          <w:rStyle w:val="EndnoteReference"/>
          <w:rFonts w:asciiTheme="minorHAnsi" w:hAnsiTheme="minorHAnsi" w:cstheme="minorHAnsi"/>
          <w:sz w:val="20"/>
          <w:szCs w:val="20"/>
        </w:rPr>
        <w:endnoteRef/>
      </w:r>
      <w:r w:rsidRPr="0073118C">
        <w:rPr>
          <w:rFonts w:asciiTheme="minorHAnsi" w:hAnsiTheme="minorHAnsi" w:cstheme="minorHAnsi"/>
          <w:sz w:val="20"/>
          <w:szCs w:val="20"/>
        </w:rPr>
        <w:t xml:space="preserve"> F. J. Baumgartner, </w:t>
      </w:r>
      <w:r w:rsidRPr="0073118C">
        <w:rPr>
          <w:rFonts w:asciiTheme="minorHAnsi" w:hAnsiTheme="minorHAnsi" w:cstheme="minorHAnsi"/>
          <w:i/>
          <w:sz w:val="20"/>
          <w:szCs w:val="20"/>
        </w:rPr>
        <w:t xml:space="preserve">France in the sixteenth century </w:t>
      </w:r>
      <w:r w:rsidRPr="0073118C">
        <w:rPr>
          <w:rFonts w:asciiTheme="minorHAnsi" w:hAnsiTheme="minorHAnsi" w:cstheme="minorHAnsi"/>
          <w:sz w:val="20"/>
          <w:szCs w:val="20"/>
        </w:rPr>
        <w:t>(New York: St Martin’s Press, 1995), p. 222.</w:t>
      </w:r>
    </w:p>
  </w:endnote>
  <w:endnote w:id="33">
    <w:p w14:paraId="6130B3EE" w14:textId="4DE363D6"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E. L. R. </w:t>
      </w:r>
      <w:proofErr w:type="spellStart"/>
      <w:r w:rsidRPr="0073118C">
        <w:rPr>
          <w:rFonts w:cstheme="minorHAnsi"/>
        </w:rPr>
        <w:t>Ladurie</w:t>
      </w:r>
      <w:proofErr w:type="spellEnd"/>
      <w:r w:rsidRPr="0073118C">
        <w:rPr>
          <w:rFonts w:cstheme="minorHAnsi"/>
        </w:rPr>
        <w:t xml:space="preserve">, </w:t>
      </w:r>
      <w:proofErr w:type="gramStart"/>
      <w:r w:rsidRPr="0073118C">
        <w:rPr>
          <w:rFonts w:cstheme="minorHAnsi"/>
          <w:i/>
        </w:rPr>
        <w:t>The</w:t>
      </w:r>
      <w:proofErr w:type="gramEnd"/>
      <w:r w:rsidRPr="0073118C">
        <w:rPr>
          <w:rFonts w:cstheme="minorHAnsi"/>
          <w:i/>
        </w:rPr>
        <w:t xml:space="preserve"> Royal French State 1460-1610 </w:t>
      </w:r>
      <w:r w:rsidRPr="0073118C">
        <w:rPr>
          <w:rFonts w:cstheme="minorHAnsi"/>
        </w:rPr>
        <w:t>(Oxford and Cambridge: Blackwell, 1994), p. 215.</w:t>
      </w:r>
    </w:p>
  </w:endnote>
  <w:endnote w:id="34">
    <w:p w14:paraId="78F9EBED" w14:textId="77777777"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This period is not exceptional; far from being a one-time occurrence, crises of sovereignty were frequent in the process of centralization of the French state. Moreover, if sovereignty is not challenged as strongly once centralization is achieved, it is still in need of being constantly performed. </w:t>
      </w:r>
    </w:p>
  </w:endnote>
  <w:endnote w:id="35">
    <w:p w14:paraId="1377F3EC" w14:textId="75CD00B1"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Pr="0073118C">
        <w:rPr>
          <w:rFonts w:cstheme="minorHAnsi"/>
        </w:rPr>
        <w:fldChar w:fldCharType="begin"/>
      </w:r>
      <w:r w:rsidRPr="0073118C">
        <w:rPr>
          <w:rFonts w:cstheme="minorHAnsi"/>
        </w:rPr>
        <w:instrText xml:space="preserve"> ADDIN EN.CITE &lt;EndNote&gt;&lt;Cite&gt;&lt;Author&gt;Jackson&lt;/Author&gt;&lt;Year&gt;1974&lt;/Year&gt;&lt;RecNum&gt;565&lt;/RecNum&gt;&lt;DisplayText&gt;J. Jackson, N. J. M. Richardson, H. Butterfield and N. J. M. Richardson, &lt;style face="italic"&gt;A Short History of France (second edition) &lt;/style&gt;(London, New York: Cambridge University Press, 1974).&lt;/DisplayText&gt;&lt;record&gt;&lt;rec-number&gt;565&lt;/rec-number&gt;&lt;foreign-keys&gt;&lt;key app="EN" db-id="e0p0sdz2n5prezee0vmpeatvzspt5pp0dd2a" timestamp="1417165397"&gt;565&lt;/key&gt;&lt;/foreign-keys&gt;&lt;ref-type name="Book"&gt;6&lt;/ref-type&gt;&lt;contributors&gt;&lt;authors&gt;&lt;author&gt;J Jackson&lt;/author&gt;&lt;author&gt;N J M Richardson&lt;/author&gt;&lt;author&gt;Herbert Butterfield&lt;/author&gt;&lt;author&gt;N.J.M. Richardson&lt;/author&gt;&lt;/authors&gt;&lt;/contributors&gt;&lt;titles&gt;&lt;title&gt;A Short History of France (second edition)&lt;/title&gt;&lt;/titles&gt;&lt;dates&gt;&lt;year&gt;1974&lt;/year&gt;&lt;/dates&gt;&lt;pub-location&gt;London, New York&lt;/pub-location&gt;&lt;publisher&gt;Cambridge University Press&lt;/publisher&gt;&lt;urls&gt;&lt;/urls&gt;&lt;/record&gt;&lt;/Cite&gt;&lt;/EndNote&gt;</w:instrText>
      </w:r>
      <w:r w:rsidRPr="0073118C">
        <w:rPr>
          <w:rFonts w:cstheme="minorHAnsi"/>
        </w:rPr>
        <w:fldChar w:fldCharType="separate"/>
      </w:r>
      <w:r w:rsidRPr="0073118C">
        <w:rPr>
          <w:rFonts w:cstheme="minorHAnsi"/>
          <w:noProof/>
        </w:rPr>
        <w:t xml:space="preserve">J. Jackson, N. J. M. Richardson, H. Butterfield and N. J. M. Richardson, </w:t>
      </w:r>
      <w:r w:rsidRPr="0073118C">
        <w:rPr>
          <w:rFonts w:cstheme="minorHAnsi"/>
          <w:i/>
          <w:noProof/>
        </w:rPr>
        <w:t xml:space="preserve">A Short History of France (second edition) </w:t>
      </w:r>
      <w:r w:rsidRPr="0073118C">
        <w:rPr>
          <w:rFonts w:cstheme="minorHAnsi"/>
          <w:noProof/>
        </w:rPr>
        <w:t>(London, New York: Cambridge University Press, 1974)</w:t>
      </w:r>
      <w:r w:rsidRPr="0073118C">
        <w:rPr>
          <w:rFonts w:cstheme="minorHAnsi"/>
        </w:rPr>
        <w:fldChar w:fldCharType="end"/>
      </w:r>
      <w:r w:rsidRPr="0073118C">
        <w:rPr>
          <w:rFonts w:cstheme="minorHAnsi"/>
        </w:rPr>
        <w:t>, 53.</w:t>
      </w:r>
    </w:p>
  </w:endnote>
  <w:endnote w:id="36">
    <w:p w14:paraId="52AE0DBC" w14:textId="7A404AF2"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w:t>
      </w:r>
      <w:r w:rsidRPr="0073118C">
        <w:rPr>
          <w:rFonts w:cstheme="minorHAnsi"/>
        </w:rPr>
        <w:fldChar w:fldCharType="begin"/>
      </w:r>
      <w:r w:rsidRPr="0073118C">
        <w:rPr>
          <w:rFonts w:cstheme="minorHAnsi"/>
          <w:lang w:val="fr-FR"/>
        </w:rPr>
        <w:instrText xml:space="preserve"> ADDIN EN.CITE &lt;EndNote&gt;&lt;Cite&gt;&lt;Author&gt;Weill&lt;/Author&gt;&lt;Year&gt;1892&lt;/Year&gt;&lt;RecNum&gt;589&lt;/RecNum&gt;&lt;DisplayText&gt;G. Weill, &lt;style face="italic"&gt;Les théories sur le pouvoir royal en France pendant les guerres de religion &lt;/style&gt;(Paris: Hachette, 1892).&lt;/DisplayText&gt;&lt;record&gt;&lt;rec-number&gt;589&lt;/rec-number&gt;&lt;foreign-keys&gt;&lt;key app="EN" db-id="e0p0sdz2n5prezee0vmpeatvzspt5pp0dd2a" timestamp="1421855811"&gt;589&lt;/key&gt;&lt;/foreign-keys&gt;&lt;ref-type name="Book"&gt;6&lt;/ref-type&gt;&lt;contributors&gt;&lt;authors&gt;&lt;author&gt;Georges Weill&lt;/author&gt;&lt;/authors&gt;&lt;/contributors&gt;&lt;titles&gt;&lt;title&gt;Les théories sur le pouvoir royal en France pendant les guerres de religion&lt;/title&gt;&lt;/titles&gt;&lt;dates&gt;&lt;year&gt;1892&lt;/year&gt;&lt;/dates&gt;&lt;pub-location&gt;Paris&lt;/pub-location&gt;&lt;publisher&gt;Hachette&lt;/publisher&gt;&lt;urls&gt;&lt;/urls&gt;&lt;/record&gt;&lt;/Cite&gt;&lt;/EndNote&gt;</w:instrText>
      </w:r>
      <w:r w:rsidRPr="0073118C">
        <w:rPr>
          <w:rFonts w:cstheme="minorHAnsi"/>
        </w:rPr>
        <w:fldChar w:fldCharType="separate"/>
      </w:r>
      <w:r w:rsidRPr="0073118C">
        <w:rPr>
          <w:rFonts w:cstheme="minorHAnsi"/>
          <w:noProof/>
          <w:lang w:val="fr-FR"/>
        </w:rPr>
        <w:t xml:space="preserve">G. Weill, </w:t>
      </w:r>
      <w:r w:rsidRPr="0073118C">
        <w:rPr>
          <w:rFonts w:cstheme="minorHAnsi"/>
          <w:i/>
          <w:noProof/>
          <w:lang w:val="fr-FR"/>
        </w:rPr>
        <w:t xml:space="preserve">Les théories sur le pouvoir royal en France pendant les guerres de religion </w:t>
      </w:r>
      <w:r w:rsidRPr="0073118C">
        <w:rPr>
          <w:rFonts w:cstheme="minorHAnsi"/>
          <w:noProof/>
          <w:lang w:val="fr-FR"/>
        </w:rPr>
        <w:t>(Paris: Hachette, 1892)</w:t>
      </w:r>
      <w:r w:rsidRPr="0073118C">
        <w:rPr>
          <w:rFonts w:cstheme="minorHAnsi"/>
        </w:rPr>
        <w:fldChar w:fldCharType="end"/>
      </w:r>
      <w:r w:rsidRPr="0073118C">
        <w:rPr>
          <w:rFonts w:cstheme="minorHAnsi"/>
          <w:lang w:val="fr-FR"/>
        </w:rPr>
        <w:t>, 267.</w:t>
      </w:r>
    </w:p>
  </w:endnote>
  <w:endnote w:id="37">
    <w:p w14:paraId="77CB9702" w14:textId="699F68E5"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r w:rsidR="00423AD4" w:rsidRPr="0073118C">
        <w:rPr>
          <w:rFonts w:cstheme="minorHAnsi"/>
        </w:rPr>
        <w:t>The archives presented in this article result from an extensive analysis of the political speeches and acts (with the exception of purely military documents) recorded</w:t>
      </w:r>
      <w:r w:rsidR="00E07152" w:rsidRPr="0073118C">
        <w:rPr>
          <w:rFonts w:cstheme="minorHAnsi"/>
        </w:rPr>
        <w:t xml:space="preserve"> and/or</w:t>
      </w:r>
      <w:r w:rsidR="00423AD4" w:rsidRPr="0073118C">
        <w:rPr>
          <w:rFonts w:cstheme="minorHAnsi"/>
        </w:rPr>
        <w:t xml:space="preserve"> published </w:t>
      </w:r>
      <w:r w:rsidR="00E07152" w:rsidRPr="0073118C">
        <w:rPr>
          <w:rFonts w:cstheme="minorHAnsi"/>
        </w:rPr>
        <w:t>(</w:t>
      </w:r>
      <w:r w:rsidR="00423AD4" w:rsidRPr="0073118C">
        <w:rPr>
          <w:rFonts w:cstheme="minorHAnsi"/>
        </w:rPr>
        <w:t>and later preserved in the French archives</w:t>
      </w:r>
      <w:r w:rsidR="00E07152" w:rsidRPr="0073118C">
        <w:rPr>
          <w:rFonts w:cstheme="minorHAnsi"/>
        </w:rPr>
        <w:t>)</w:t>
      </w:r>
      <w:r w:rsidR="00423AD4" w:rsidRPr="0073118C">
        <w:rPr>
          <w:rFonts w:cstheme="minorHAnsi"/>
        </w:rPr>
        <w:t xml:space="preserve">. They cover all the main political discussions associated with this ‘crisis of sovereignty’. </w:t>
      </w:r>
      <w:proofErr w:type="spellStart"/>
      <w:r w:rsidRPr="0073118C">
        <w:rPr>
          <w:rFonts w:cstheme="minorHAnsi"/>
        </w:rPr>
        <w:t>Goulart</w:t>
      </w:r>
      <w:proofErr w:type="spellEnd"/>
      <w:r w:rsidRPr="0073118C">
        <w:rPr>
          <w:rFonts w:cstheme="minorHAnsi"/>
        </w:rPr>
        <w:t xml:space="preserve"> and </w:t>
      </w:r>
      <w:proofErr w:type="spellStart"/>
      <w:r w:rsidRPr="0073118C">
        <w:rPr>
          <w:rFonts w:cstheme="minorHAnsi"/>
        </w:rPr>
        <w:t>Goujet</w:t>
      </w:r>
      <w:proofErr w:type="spellEnd"/>
      <w:r w:rsidRPr="0073118C">
        <w:rPr>
          <w:rFonts w:cstheme="minorHAnsi"/>
        </w:rPr>
        <w:t xml:space="preserve"> compiled a great number of these </w:t>
      </w:r>
      <w:r w:rsidR="007B6C2F" w:rsidRPr="0073118C">
        <w:rPr>
          <w:rFonts w:cstheme="minorHAnsi"/>
        </w:rPr>
        <w:t xml:space="preserve">documents </w:t>
      </w:r>
      <w:r w:rsidRPr="0073118C">
        <w:rPr>
          <w:rFonts w:cstheme="minorHAnsi"/>
        </w:rPr>
        <w:t>in their six volumes.</w:t>
      </w:r>
    </w:p>
  </w:endnote>
  <w:endnote w:id="38">
    <w:p w14:paraId="3AE04DF7" w14:textId="74F1C3B2" w:rsidR="00B40748" w:rsidRPr="0073118C" w:rsidRDefault="00B40748" w:rsidP="0073118C">
      <w:pPr>
        <w:pStyle w:val="EndnoteText"/>
        <w:jc w:val="both"/>
        <w:rPr>
          <w:rFonts w:cstheme="minorHAnsi"/>
        </w:rPr>
      </w:pPr>
      <w:r w:rsidRPr="0073118C">
        <w:rPr>
          <w:rStyle w:val="EndnoteReference"/>
          <w:rFonts w:cstheme="minorHAnsi"/>
        </w:rPr>
        <w:endnoteRef/>
      </w:r>
      <w:r w:rsidRPr="0073118C">
        <w:rPr>
          <w:rFonts w:cstheme="minorHAnsi"/>
        </w:rPr>
        <w:t xml:space="preserve"> In this article, and for the sake of simplicity, I use of the expression ‘kings’ and ‘king(s)’ when both Henry III and Henry IV were targeted by similar attacks. This is not to deny that they were in fact adversaries in the first few years of the conflict.</w:t>
      </w:r>
    </w:p>
  </w:endnote>
  <w:endnote w:id="39">
    <w:p w14:paraId="51320E53" w14:textId="2B51C949"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lang w:val="fr-FR"/>
        </w:rPr>
        <w:t xml:space="preserve"> S. Goulart and C.-P. </w:t>
      </w:r>
      <w:proofErr w:type="spellStart"/>
      <w:r w:rsidRPr="0073118C">
        <w:rPr>
          <w:rFonts w:cstheme="minorHAnsi"/>
          <w:lang w:val="fr-FR"/>
        </w:rPr>
        <w:t>Goujet</w:t>
      </w:r>
      <w:proofErr w:type="spellEnd"/>
      <w:r w:rsidRPr="0073118C">
        <w:rPr>
          <w:rFonts w:cstheme="minorHAnsi"/>
          <w:lang w:val="fr-FR"/>
        </w:rPr>
        <w:t xml:space="preserve">, </w:t>
      </w:r>
      <w:r w:rsidRPr="0073118C">
        <w:rPr>
          <w:rFonts w:cstheme="minorHAnsi"/>
          <w:i/>
          <w:lang w:val="fr-FR"/>
        </w:rPr>
        <w:t xml:space="preserve">Mémoires De La Ligue, Contenant Les </w:t>
      </w:r>
      <w:proofErr w:type="spellStart"/>
      <w:r w:rsidRPr="0073118C">
        <w:rPr>
          <w:rFonts w:cstheme="minorHAnsi"/>
          <w:i/>
          <w:lang w:val="fr-FR"/>
        </w:rPr>
        <w:t>Evenements</w:t>
      </w:r>
      <w:proofErr w:type="spellEnd"/>
      <w:r w:rsidRPr="0073118C">
        <w:rPr>
          <w:rFonts w:cstheme="minorHAnsi"/>
          <w:i/>
          <w:lang w:val="fr-FR"/>
        </w:rPr>
        <w:t xml:space="preserve"> Les Plus Remarquables Depuis 1576, Jusqu’à La Paix </w:t>
      </w:r>
      <w:proofErr w:type="spellStart"/>
      <w:r w:rsidRPr="0073118C">
        <w:rPr>
          <w:rFonts w:cstheme="minorHAnsi"/>
          <w:i/>
          <w:lang w:val="fr-FR"/>
        </w:rPr>
        <w:t>Accordee</w:t>
      </w:r>
      <w:proofErr w:type="spellEnd"/>
      <w:r w:rsidRPr="0073118C">
        <w:rPr>
          <w:rFonts w:cstheme="minorHAnsi"/>
          <w:i/>
          <w:lang w:val="fr-FR"/>
        </w:rPr>
        <w:t xml:space="preserve"> Entre Le Roi De France Et Le Roi </w:t>
      </w:r>
      <w:proofErr w:type="spellStart"/>
      <w:r w:rsidRPr="0073118C">
        <w:rPr>
          <w:rFonts w:cstheme="minorHAnsi"/>
          <w:i/>
          <w:lang w:val="fr-FR"/>
        </w:rPr>
        <w:t>D’espagne</w:t>
      </w:r>
      <w:proofErr w:type="spellEnd"/>
      <w:r w:rsidRPr="0073118C">
        <w:rPr>
          <w:rFonts w:cstheme="minorHAnsi"/>
          <w:i/>
          <w:lang w:val="fr-FR"/>
        </w:rPr>
        <w:t xml:space="preserve">, En 1598. </w:t>
      </w:r>
      <w:proofErr w:type="gramStart"/>
      <w:r w:rsidRPr="0073118C">
        <w:rPr>
          <w:rFonts w:cstheme="minorHAnsi"/>
          <w:i/>
        </w:rPr>
        <w:t>Nouvelle Edition.</w:t>
      </w:r>
      <w:proofErr w:type="gramEnd"/>
      <w:r w:rsidRPr="0073118C">
        <w:rPr>
          <w:rFonts w:cstheme="minorHAnsi"/>
          <w:i/>
        </w:rPr>
        <w:t xml:space="preserve"> Tome 6 </w:t>
      </w:r>
      <w:r w:rsidRPr="0073118C">
        <w:rPr>
          <w:rFonts w:cstheme="minorHAnsi"/>
        </w:rPr>
        <w:t xml:space="preserve">(Amsterdam: </w:t>
      </w:r>
      <w:proofErr w:type="spellStart"/>
      <w:r w:rsidRPr="0073118C">
        <w:rPr>
          <w:rFonts w:cstheme="minorHAnsi"/>
        </w:rPr>
        <w:t>Arkstee</w:t>
      </w:r>
      <w:proofErr w:type="spellEnd"/>
      <w:r w:rsidRPr="0073118C">
        <w:rPr>
          <w:rFonts w:cstheme="minorHAnsi"/>
        </w:rPr>
        <w:t xml:space="preserve"> &amp; </w:t>
      </w:r>
      <w:proofErr w:type="spellStart"/>
      <w:r w:rsidRPr="0073118C">
        <w:rPr>
          <w:rFonts w:cstheme="minorHAnsi"/>
        </w:rPr>
        <w:t>Merkus</w:t>
      </w:r>
      <w:proofErr w:type="spellEnd"/>
      <w:r w:rsidRPr="0073118C">
        <w:rPr>
          <w:rFonts w:cstheme="minorHAnsi"/>
        </w:rPr>
        <w:t>, 1758), p. 601-602.</w:t>
      </w:r>
    </w:p>
  </w:endnote>
  <w:endnote w:id="40">
    <w:p w14:paraId="677D2DE7" w14:textId="6C0E84EC"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proofErr w:type="gramStart"/>
      <w:r w:rsidRPr="0073118C">
        <w:rPr>
          <w:rFonts w:cstheme="minorHAnsi"/>
        </w:rPr>
        <w:t>Ibid.,</w:t>
      </w:r>
      <w:proofErr w:type="gramEnd"/>
      <w:r w:rsidRPr="0073118C">
        <w:rPr>
          <w:rFonts w:cstheme="minorHAnsi"/>
        </w:rPr>
        <w:t xml:space="preserve"> p. 99.</w:t>
      </w:r>
    </w:p>
  </w:endnote>
  <w:endnote w:id="41">
    <w:p w14:paraId="7758EE06" w14:textId="39AB060C"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proofErr w:type="gramStart"/>
      <w:r w:rsidRPr="0073118C">
        <w:rPr>
          <w:rFonts w:cstheme="minorHAnsi"/>
        </w:rPr>
        <w:t>Ibid.,</w:t>
      </w:r>
      <w:proofErr w:type="gramEnd"/>
      <w:r w:rsidRPr="0073118C">
        <w:rPr>
          <w:rFonts w:cstheme="minorHAnsi"/>
        </w:rPr>
        <w:t xml:space="preserve"> p. 102.</w:t>
      </w:r>
    </w:p>
  </w:endnote>
  <w:endnote w:id="42">
    <w:p w14:paraId="106D815B" w14:textId="6F12CDB7"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Ibid., p. 99.</w:t>
      </w:r>
    </w:p>
  </w:endnote>
  <w:endnote w:id="43">
    <w:p w14:paraId="05DDC839" w14:textId="1AA15272"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lang w:val="fr-FR"/>
        </w:rPr>
        <w:t xml:space="preserve"> S. Goulart and C.-P. </w:t>
      </w:r>
      <w:proofErr w:type="spellStart"/>
      <w:r w:rsidRPr="0073118C">
        <w:rPr>
          <w:rFonts w:cstheme="minorHAnsi"/>
          <w:lang w:val="fr-FR"/>
        </w:rPr>
        <w:t>Goujet</w:t>
      </w:r>
      <w:proofErr w:type="spellEnd"/>
      <w:r w:rsidRPr="0073118C">
        <w:rPr>
          <w:rFonts w:cstheme="minorHAnsi"/>
          <w:lang w:val="fr-FR"/>
        </w:rPr>
        <w:t xml:space="preserve">, </w:t>
      </w:r>
      <w:r w:rsidRPr="0073118C">
        <w:rPr>
          <w:rFonts w:cstheme="minorHAnsi"/>
          <w:i/>
          <w:lang w:val="fr-FR"/>
        </w:rPr>
        <w:t xml:space="preserve">Mémoires De La Ligue, Contenant Les </w:t>
      </w:r>
      <w:proofErr w:type="spellStart"/>
      <w:r w:rsidRPr="0073118C">
        <w:rPr>
          <w:rFonts w:cstheme="minorHAnsi"/>
          <w:i/>
          <w:lang w:val="fr-FR"/>
        </w:rPr>
        <w:t>Evenements</w:t>
      </w:r>
      <w:proofErr w:type="spellEnd"/>
      <w:r w:rsidRPr="0073118C">
        <w:rPr>
          <w:rFonts w:cstheme="minorHAnsi"/>
          <w:i/>
          <w:lang w:val="fr-FR"/>
        </w:rPr>
        <w:t xml:space="preserve"> Les Plus Remarquables Depuis 1576, Jusqu’à La Paix </w:t>
      </w:r>
      <w:proofErr w:type="spellStart"/>
      <w:r w:rsidRPr="0073118C">
        <w:rPr>
          <w:rFonts w:cstheme="minorHAnsi"/>
          <w:i/>
          <w:lang w:val="fr-FR"/>
        </w:rPr>
        <w:t>Accordee</w:t>
      </w:r>
      <w:proofErr w:type="spellEnd"/>
      <w:r w:rsidRPr="0073118C">
        <w:rPr>
          <w:rFonts w:cstheme="minorHAnsi"/>
          <w:i/>
          <w:lang w:val="fr-FR"/>
        </w:rPr>
        <w:t xml:space="preserve"> Entre Le Roi De France Et Le Roi </w:t>
      </w:r>
      <w:proofErr w:type="spellStart"/>
      <w:r w:rsidRPr="0073118C">
        <w:rPr>
          <w:rFonts w:cstheme="minorHAnsi"/>
          <w:i/>
          <w:lang w:val="fr-FR"/>
        </w:rPr>
        <w:t>D’espagne</w:t>
      </w:r>
      <w:proofErr w:type="spellEnd"/>
      <w:r w:rsidRPr="0073118C">
        <w:rPr>
          <w:rFonts w:cstheme="minorHAnsi"/>
          <w:i/>
          <w:lang w:val="fr-FR"/>
        </w:rPr>
        <w:t xml:space="preserve">, En 1598. </w:t>
      </w:r>
      <w:proofErr w:type="gramStart"/>
      <w:r w:rsidRPr="0073118C">
        <w:rPr>
          <w:rFonts w:cstheme="minorHAnsi"/>
          <w:i/>
        </w:rPr>
        <w:t>Nouvelle Edition.</w:t>
      </w:r>
      <w:proofErr w:type="gramEnd"/>
      <w:r w:rsidRPr="0073118C">
        <w:rPr>
          <w:rFonts w:cstheme="minorHAnsi"/>
          <w:i/>
        </w:rPr>
        <w:t xml:space="preserve"> Tome 4 </w:t>
      </w:r>
      <w:r w:rsidRPr="0073118C">
        <w:rPr>
          <w:rFonts w:cstheme="minorHAnsi"/>
        </w:rPr>
        <w:t xml:space="preserve">(Amsterdam: </w:t>
      </w:r>
      <w:proofErr w:type="spellStart"/>
      <w:r w:rsidRPr="0073118C">
        <w:rPr>
          <w:rFonts w:cstheme="minorHAnsi"/>
        </w:rPr>
        <w:t>Arkstee</w:t>
      </w:r>
      <w:proofErr w:type="spellEnd"/>
      <w:r w:rsidRPr="0073118C">
        <w:rPr>
          <w:rFonts w:cstheme="minorHAnsi"/>
        </w:rPr>
        <w:t xml:space="preserve"> &amp; </w:t>
      </w:r>
      <w:proofErr w:type="spellStart"/>
      <w:r w:rsidRPr="0073118C">
        <w:rPr>
          <w:rFonts w:cstheme="minorHAnsi"/>
        </w:rPr>
        <w:t>Merkus</w:t>
      </w:r>
      <w:proofErr w:type="spellEnd"/>
      <w:r w:rsidRPr="0073118C">
        <w:rPr>
          <w:rFonts w:cstheme="minorHAnsi"/>
        </w:rPr>
        <w:t xml:space="preserve">, 1758), p. 280. See also </w:t>
      </w:r>
      <w:proofErr w:type="spellStart"/>
      <w:r w:rsidRPr="0073118C">
        <w:rPr>
          <w:rFonts w:cstheme="minorHAnsi"/>
        </w:rPr>
        <w:t>Goulart</w:t>
      </w:r>
      <w:proofErr w:type="spellEnd"/>
      <w:r w:rsidRPr="0073118C">
        <w:rPr>
          <w:rFonts w:cstheme="minorHAnsi"/>
        </w:rPr>
        <w:t xml:space="preserve"> and </w:t>
      </w:r>
      <w:proofErr w:type="spellStart"/>
      <w:r w:rsidRPr="0073118C">
        <w:rPr>
          <w:rFonts w:cstheme="minorHAnsi"/>
        </w:rPr>
        <w:t>Goujet</w:t>
      </w:r>
      <w:proofErr w:type="spellEnd"/>
      <w:r w:rsidRPr="0073118C">
        <w:rPr>
          <w:rFonts w:cstheme="minorHAnsi"/>
        </w:rPr>
        <w:t xml:space="preserve">, </w:t>
      </w:r>
      <w:proofErr w:type="spellStart"/>
      <w:r w:rsidRPr="0073118C">
        <w:rPr>
          <w:rFonts w:cstheme="minorHAnsi"/>
          <w:i/>
          <w:iCs/>
        </w:rPr>
        <w:t>Mémoires</w:t>
      </w:r>
      <w:proofErr w:type="spellEnd"/>
      <w:r w:rsidRPr="0073118C">
        <w:rPr>
          <w:rFonts w:cstheme="minorHAnsi"/>
        </w:rPr>
        <w:t xml:space="preserve"> (tome 3), p. 271.</w:t>
      </w:r>
    </w:p>
  </w:endnote>
  <w:endnote w:id="44">
    <w:p w14:paraId="48E050B7" w14:textId="14A1CC08"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S. Goulart, </w:t>
      </w:r>
      <w:r w:rsidRPr="0073118C">
        <w:rPr>
          <w:rFonts w:cstheme="minorHAnsi"/>
          <w:i/>
          <w:lang w:val="fr-FR"/>
        </w:rPr>
        <w:t xml:space="preserve">Le second recueil contenant l'histoire des choses plus mémorables advenues sous la Ligue, Tome 2 </w:t>
      </w:r>
      <w:r w:rsidRPr="0073118C">
        <w:rPr>
          <w:rFonts w:cstheme="minorHAnsi"/>
          <w:lang w:val="fr-FR"/>
        </w:rPr>
        <w:t>(1590), p. 161.</w:t>
      </w:r>
    </w:p>
  </w:endnote>
  <w:endnote w:id="45">
    <w:p w14:paraId="014DD1D5" w14:textId="77777777"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The use of ‘cannibalism’ in this context refers to the recent murders perpetrated against the Guise and to the suspicion of ‘Protestantism’ against Henry III and his advisors. </w:t>
      </w:r>
    </w:p>
  </w:endnote>
  <w:endnote w:id="46">
    <w:p w14:paraId="30A7E083" w14:textId="6F6D4796" w:rsidR="009B0BE8" w:rsidRPr="0073118C" w:rsidRDefault="009B0BE8" w:rsidP="0073118C">
      <w:pPr>
        <w:pStyle w:val="EndnoteText"/>
        <w:jc w:val="both"/>
        <w:rPr>
          <w:rFonts w:cstheme="minorHAnsi"/>
        </w:rPr>
      </w:pPr>
      <w:r w:rsidRPr="0073118C">
        <w:rPr>
          <w:rStyle w:val="EndnoteReference"/>
          <w:rFonts w:cstheme="minorHAnsi"/>
        </w:rPr>
        <w:endnoteRef/>
      </w:r>
      <w:r w:rsidRPr="0073118C">
        <w:rPr>
          <w:rFonts w:cstheme="minorHAnsi"/>
        </w:rPr>
        <w:t xml:space="preserve"> I specifically focus on the early period of encounters as the crucial period of the formation of the French vision of the Amerindians. It starts from the first officially sanctioned voyage in 1524 and finishes with the creation of the first commercial company open to investors in 1627. My sources include</w:t>
      </w:r>
      <w:r w:rsidRPr="0073118C">
        <w:rPr>
          <w:rStyle w:val="addmd1"/>
          <w:rFonts w:cstheme="minorHAnsi"/>
        </w:rPr>
        <w:t xml:space="preserve"> explorers such as Verrazano, Cartier, and Champlain; missionaries like </w:t>
      </w:r>
      <w:proofErr w:type="spellStart"/>
      <w:r w:rsidRPr="0073118C">
        <w:rPr>
          <w:rStyle w:val="addmd1"/>
          <w:rFonts w:cstheme="minorHAnsi"/>
        </w:rPr>
        <w:t>Biard</w:t>
      </w:r>
      <w:proofErr w:type="spellEnd"/>
      <w:r w:rsidRPr="0073118C">
        <w:rPr>
          <w:rStyle w:val="addmd1"/>
          <w:rFonts w:cstheme="minorHAnsi"/>
        </w:rPr>
        <w:t xml:space="preserve"> and </w:t>
      </w:r>
      <w:proofErr w:type="spellStart"/>
      <w:r w:rsidRPr="0073118C">
        <w:rPr>
          <w:rStyle w:val="addmd1"/>
          <w:rFonts w:cstheme="minorHAnsi"/>
        </w:rPr>
        <w:t>Sagard</w:t>
      </w:r>
      <w:proofErr w:type="spellEnd"/>
      <w:r w:rsidRPr="0073118C">
        <w:rPr>
          <w:rStyle w:val="addmd1"/>
          <w:rFonts w:cstheme="minorHAnsi"/>
        </w:rPr>
        <w:t xml:space="preserve">; and ‘scholars’ like </w:t>
      </w:r>
      <w:proofErr w:type="spellStart"/>
      <w:r w:rsidRPr="0073118C">
        <w:rPr>
          <w:rStyle w:val="addmd1"/>
          <w:rFonts w:cstheme="minorHAnsi"/>
        </w:rPr>
        <w:t>Thévet</w:t>
      </w:r>
      <w:proofErr w:type="spellEnd"/>
      <w:r w:rsidRPr="0073118C">
        <w:rPr>
          <w:rFonts w:cstheme="minorHAnsi"/>
        </w:rPr>
        <w:t xml:space="preserve">, Madeleine, </w:t>
      </w:r>
      <w:proofErr w:type="spellStart"/>
      <w:r w:rsidRPr="0073118C">
        <w:rPr>
          <w:rFonts w:cstheme="minorHAnsi"/>
        </w:rPr>
        <w:t>Perrière</w:t>
      </w:r>
      <w:proofErr w:type="spellEnd"/>
      <w:r w:rsidRPr="0073118C">
        <w:rPr>
          <w:rFonts w:cstheme="minorHAnsi"/>
        </w:rPr>
        <w:t xml:space="preserve">, and Du </w:t>
      </w:r>
      <w:proofErr w:type="spellStart"/>
      <w:r w:rsidRPr="0073118C">
        <w:rPr>
          <w:rFonts w:cstheme="minorHAnsi"/>
        </w:rPr>
        <w:t>Chesne</w:t>
      </w:r>
      <w:proofErr w:type="spellEnd"/>
      <w:r w:rsidRPr="0073118C">
        <w:rPr>
          <w:rFonts w:cstheme="minorHAnsi"/>
        </w:rPr>
        <w:t xml:space="preserve">. For a more detailed account of the early explorations and colonisation of Canada by the French see </w:t>
      </w:r>
      <w:r w:rsidRPr="0073118C">
        <w:rPr>
          <w:rFonts w:cstheme="minorHAnsi"/>
        </w:rPr>
        <w:fldChar w:fldCharType="begin"/>
      </w:r>
      <w:r w:rsidRPr="0073118C">
        <w:rPr>
          <w:rFonts w:cstheme="minorHAnsi"/>
        </w:rPr>
        <w:instrText xml:space="preserve"> ADDIN EN.CITE &lt;EndNote&gt;&lt;Cite ExcludeAuth="1"&gt;&lt;Author&gt;Trudel&lt;/Author&gt;&lt;Year&gt;1973&lt;/Year&gt;&lt;RecNum&gt;601&lt;/RecNum&gt;&lt;DisplayText&gt;M. Trudel, &lt;style face="italic"&gt;The beginnings of New France, 1524-1663 &lt;/style&gt;(Toronto: McClelland and Steward Limited, 1973).&lt;/DisplayText&gt;&lt;record&gt;&lt;rec-number&gt;601&lt;/rec-number&gt;&lt;foreign-keys&gt;&lt;key app="EN" db-id="e0p0sdz2n5prezee0vmpeatvzspt5pp0dd2a" timestamp="1426457272"&gt;601&lt;/key&gt;&lt;/foreign-keys&gt;&lt;ref-type name="Book"&gt;6&lt;/ref-type&gt;&lt;contributors&gt;&lt;authors&gt;&lt;author&gt;Marcel Trudel&lt;/author&gt;&lt;/authors&gt;&lt;/contributors&gt;&lt;titles&gt;&lt;title&gt;The beginnings of New France, 1524-1663&lt;/title&gt;&lt;/titles&gt;&lt;dates&gt;&lt;year&gt;1973&lt;/year&gt;&lt;/dates&gt;&lt;pub-location&gt;Toronto&lt;/pub-location&gt;&lt;publisher&gt;McClelland and Steward Limited&lt;/publisher&gt;&lt;urls&gt;&lt;/urls&gt;&lt;/record&gt;&lt;/Cite&gt;&lt;/EndNote&gt;</w:instrText>
      </w:r>
      <w:r w:rsidRPr="0073118C">
        <w:rPr>
          <w:rFonts w:cstheme="minorHAnsi"/>
        </w:rPr>
        <w:fldChar w:fldCharType="separate"/>
      </w:r>
      <w:r w:rsidRPr="0073118C">
        <w:rPr>
          <w:rFonts w:cstheme="minorHAnsi"/>
          <w:noProof/>
        </w:rPr>
        <w:t xml:space="preserve">M. Trudel, </w:t>
      </w:r>
      <w:r w:rsidRPr="0073118C">
        <w:rPr>
          <w:rFonts w:cstheme="minorHAnsi"/>
          <w:i/>
          <w:noProof/>
        </w:rPr>
        <w:t xml:space="preserve">The beginnings of New France, 1524-1663 </w:t>
      </w:r>
      <w:r w:rsidRPr="0073118C">
        <w:rPr>
          <w:rFonts w:cstheme="minorHAnsi"/>
          <w:noProof/>
        </w:rPr>
        <w:t>(Toronto: McClelland and Steward Limited, 1973).</w:t>
      </w:r>
      <w:r w:rsidRPr="0073118C">
        <w:rPr>
          <w:rFonts w:cstheme="minorHAnsi"/>
        </w:rPr>
        <w:fldChar w:fldCharType="end"/>
      </w:r>
      <w:r w:rsidRPr="0073118C">
        <w:rPr>
          <w:rFonts w:cstheme="minorHAnsi"/>
        </w:rPr>
        <w:t xml:space="preserve"> For more extensive exploration</w:t>
      </w:r>
      <w:r w:rsidR="00741327" w:rsidRPr="0073118C">
        <w:rPr>
          <w:rFonts w:cstheme="minorHAnsi"/>
        </w:rPr>
        <w:t>s</w:t>
      </w:r>
      <w:r w:rsidRPr="0073118C">
        <w:rPr>
          <w:rFonts w:cstheme="minorHAnsi"/>
        </w:rPr>
        <w:t xml:space="preserve"> of the way the Amerindians were written by Europeans see for instance A. </w:t>
      </w:r>
      <w:proofErr w:type="spellStart"/>
      <w:r w:rsidRPr="0073118C">
        <w:rPr>
          <w:rFonts w:cstheme="minorHAnsi"/>
        </w:rPr>
        <w:t>Padgen</w:t>
      </w:r>
      <w:proofErr w:type="spellEnd"/>
      <w:r w:rsidRPr="0073118C">
        <w:rPr>
          <w:rFonts w:cstheme="minorHAnsi"/>
        </w:rPr>
        <w:t xml:space="preserve">, </w:t>
      </w:r>
      <w:r w:rsidRPr="0073118C">
        <w:rPr>
          <w:rFonts w:cstheme="minorHAnsi"/>
          <w:i/>
          <w:iCs/>
        </w:rPr>
        <w:t xml:space="preserve">The fall of natural man. </w:t>
      </w:r>
      <w:proofErr w:type="gramStart"/>
      <w:r w:rsidRPr="0073118C">
        <w:rPr>
          <w:rFonts w:cstheme="minorHAnsi"/>
          <w:i/>
          <w:iCs/>
        </w:rPr>
        <w:t xml:space="preserve">The American Indian and the origins of comparative ethnology </w:t>
      </w:r>
      <w:r w:rsidRPr="0073118C">
        <w:rPr>
          <w:rFonts w:cstheme="minorHAnsi"/>
        </w:rPr>
        <w:t xml:space="preserve">(Cambridge: Cambridge University Press, 1982); T. </w:t>
      </w:r>
      <w:proofErr w:type="spellStart"/>
      <w:r w:rsidRPr="0073118C">
        <w:rPr>
          <w:rFonts w:cstheme="minorHAnsi"/>
        </w:rPr>
        <w:t>Todorov</w:t>
      </w:r>
      <w:proofErr w:type="spellEnd"/>
      <w:r w:rsidRPr="0073118C">
        <w:rPr>
          <w:rFonts w:cstheme="minorHAnsi"/>
        </w:rPr>
        <w:t xml:space="preserve">, </w:t>
      </w:r>
      <w:r w:rsidRPr="0073118C">
        <w:rPr>
          <w:rFonts w:cstheme="minorHAnsi"/>
          <w:i/>
          <w:iCs/>
        </w:rPr>
        <w:t xml:space="preserve">La </w:t>
      </w:r>
      <w:proofErr w:type="spellStart"/>
      <w:r w:rsidRPr="0073118C">
        <w:rPr>
          <w:rFonts w:cstheme="minorHAnsi"/>
          <w:i/>
          <w:iCs/>
        </w:rPr>
        <w:t>conquête</w:t>
      </w:r>
      <w:proofErr w:type="spellEnd"/>
      <w:r w:rsidRPr="0073118C">
        <w:rPr>
          <w:rFonts w:cstheme="minorHAnsi"/>
          <w:i/>
          <w:iCs/>
        </w:rPr>
        <w:t xml:space="preserve"> de </w:t>
      </w:r>
      <w:proofErr w:type="spellStart"/>
      <w:r w:rsidRPr="0073118C">
        <w:rPr>
          <w:rFonts w:cstheme="minorHAnsi"/>
          <w:i/>
          <w:iCs/>
        </w:rPr>
        <w:t>l'Amérique</w:t>
      </w:r>
      <w:proofErr w:type="spellEnd"/>
      <w:r w:rsidRPr="0073118C">
        <w:rPr>
          <w:rFonts w:cstheme="minorHAnsi"/>
          <w:i/>
          <w:iCs/>
        </w:rPr>
        <w:t>.</w:t>
      </w:r>
      <w:proofErr w:type="gramEnd"/>
      <w:r w:rsidRPr="0073118C">
        <w:rPr>
          <w:rFonts w:cstheme="minorHAnsi"/>
          <w:i/>
          <w:iCs/>
        </w:rPr>
        <w:t xml:space="preserve"> La question de </w:t>
      </w:r>
      <w:proofErr w:type="spellStart"/>
      <w:r w:rsidRPr="0073118C">
        <w:rPr>
          <w:rFonts w:cstheme="minorHAnsi"/>
          <w:i/>
          <w:iCs/>
        </w:rPr>
        <w:t>l'autre</w:t>
      </w:r>
      <w:proofErr w:type="spellEnd"/>
      <w:r w:rsidRPr="0073118C">
        <w:rPr>
          <w:rFonts w:cstheme="minorHAnsi"/>
          <w:i/>
          <w:iCs/>
        </w:rPr>
        <w:t xml:space="preserve"> </w:t>
      </w:r>
      <w:r w:rsidRPr="0073118C">
        <w:rPr>
          <w:rFonts w:cstheme="minorHAnsi"/>
        </w:rPr>
        <w:t xml:space="preserve">(Paris: Editions du </w:t>
      </w:r>
      <w:proofErr w:type="spellStart"/>
      <w:r w:rsidRPr="0073118C">
        <w:rPr>
          <w:rFonts w:cstheme="minorHAnsi"/>
        </w:rPr>
        <w:t>Seuil</w:t>
      </w:r>
      <w:proofErr w:type="spellEnd"/>
      <w:r w:rsidRPr="0073118C">
        <w:rPr>
          <w:rFonts w:cstheme="minorHAnsi"/>
        </w:rPr>
        <w:t xml:space="preserve">, 1982); and S. Greenblatt, </w:t>
      </w:r>
      <w:r w:rsidRPr="0073118C">
        <w:rPr>
          <w:rFonts w:cstheme="minorHAnsi"/>
          <w:i/>
          <w:iCs/>
        </w:rPr>
        <w:t xml:space="preserve">Marvellous possessions: the wonders of the New World </w:t>
      </w:r>
      <w:r w:rsidRPr="0073118C">
        <w:rPr>
          <w:rFonts w:cstheme="minorHAnsi"/>
        </w:rPr>
        <w:t>(Chicago: The University of Chicago Press, 1991).</w:t>
      </w:r>
    </w:p>
  </w:endnote>
  <w:endnote w:id="47">
    <w:p w14:paraId="130926D0" w14:textId="227F57F2"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P. Biard, </w:t>
      </w:r>
      <w:r w:rsidRPr="0073118C">
        <w:rPr>
          <w:rFonts w:cstheme="minorHAnsi"/>
          <w:i/>
          <w:lang w:val="fr-FR"/>
        </w:rPr>
        <w:t xml:space="preserve">Relation de la Nouvelle France, de ses terres, naturel du pais, et de ses habitants </w:t>
      </w:r>
      <w:r w:rsidRPr="0073118C">
        <w:rPr>
          <w:rFonts w:cstheme="minorHAnsi"/>
          <w:lang w:val="fr-FR"/>
        </w:rPr>
        <w:t xml:space="preserve">(Lyon: </w:t>
      </w:r>
      <w:proofErr w:type="spellStart"/>
      <w:r w:rsidRPr="0073118C">
        <w:rPr>
          <w:rFonts w:cstheme="minorHAnsi"/>
          <w:lang w:val="fr-FR"/>
        </w:rPr>
        <w:t>Louys</w:t>
      </w:r>
      <w:proofErr w:type="spellEnd"/>
      <w:r w:rsidRPr="0073118C">
        <w:rPr>
          <w:rFonts w:cstheme="minorHAnsi"/>
          <w:lang w:val="fr-FR"/>
        </w:rPr>
        <w:t xml:space="preserve"> Muguet, 1616), p. 49-50.</w:t>
      </w:r>
    </w:p>
  </w:endnote>
  <w:endnote w:id="48">
    <w:p w14:paraId="012CBEEA" w14:textId="7FE9143C" w:rsidR="00F51911" w:rsidRPr="0073118C" w:rsidRDefault="00F51911" w:rsidP="0073118C">
      <w:pPr>
        <w:pStyle w:val="EndNoteBibliography"/>
        <w:rPr>
          <w:rFonts w:asciiTheme="minorHAnsi" w:hAnsiTheme="minorHAnsi" w:cstheme="minorHAnsi"/>
          <w:sz w:val="20"/>
          <w:szCs w:val="20"/>
          <w:lang w:val="fr-FR"/>
        </w:rPr>
      </w:pPr>
      <w:r w:rsidRPr="0073118C">
        <w:rPr>
          <w:rStyle w:val="EndnoteReference"/>
          <w:rFonts w:asciiTheme="minorHAnsi" w:hAnsiTheme="minorHAnsi" w:cstheme="minorHAnsi"/>
          <w:sz w:val="20"/>
          <w:szCs w:val="20"/>
        </w:rPr>
        <w:endnoteRef/>
      </w:r>
      <w:r w:rsidRPr="0073118C">
        <w:rPr>
          <w:rFonts w:asciiTheme="minorHAnsi" w:hAnsiTheme="minorHAnsi" w:cstheme="minorHAnsi"/>
          <w:sz w:val="20"/>
          <w:szCs w:val="20"/>
          <w:lang w:val="fr-FR"/>
        </w:rPr>
        <w:t xml:space="preserve"> Ibid., p. 76-77; S. d. Champlain, </w:t>
      </w:r>
      <w:r w:rsidRPr="0073118C">
        <w:rPr>
          <w:rFonts w:asciiTheme="minorHAnsi" w:hAnsiTheme="minorHAnsi" w:cstheme="minorHAnsi"/>
          <w:i/>
          <w:sz w:val="20"/>
          <w:szCs w:val="20"/>
          <w:lang w:val="fr-FR"/>
        </w:rPr>
        <w:t xml:space="preserve">Des sauvages, ou Voyage de Samuel Champlain, de Brouage, fait en la France nouvelle l'an mil six cens trois </w:t>
      </w:r>
      <w:r w:rsidRPr="0073118C">
        <w:rPr>
          <w:rFonts w:asciiTheme="minorHAnsi" w:hAnsiTheme="minorHAnsi" w:cstheme="minorHAnsi"/>
          <w:sz w:val="20"/>
          <w:szCs w:val="20"/>
          <w:lang w:val="fr-FR"/>
        </w:rPr>
        <w:t xml:space="preserve">(Paris: Claude de Monstroeil, 1603), f. 8 ; J. Cartier, </w:t>
      </w:r>
      <w:r w:rsidRPr="0073118C">
        <w:rPr>
          <w:rFonts w:asciiTheme="minorHAnsi" w:hAnsiTheme="minorHAnsi" w:cstheme="minorHAnsi"/>
          <w:i/>
          <w:sz w:val="20"/>
          <w:szCs w:val="20"/>
          <w:lang w:val="fr-FR"/>
        </w:rPr>
        <w:t xml:space="preserve">Voyage de Jaques Cartier au Canada en 1534. Nouvelle édition d'après l'édition de 1598 et d'après Ramusio, par M. H. Michelant </w:t>
      </w:r>
      <w:r w:rsidRPr="0073118C">
        <w:rPr>
          <w:rFonts w:asciiTheme="minorHAnsi" w:hAnsiTheme="minorHAnsi" w:cstheme="minorHAnsi"/>
          <w:sz w:val="20"/>
          <w:szCs w:val="20"/>
          <w:lang w:val="fr-FR"/>
        </w:rPr>
        <w:t>(Paris: Tross, 1865), p. 53.</w:t>
      </w:r>
    </w:p>
  </w:endnote>
  <w:endnote w:id="49">
    <w:p w14:paraId="4FD4F33B" w14:textId="54A06F33"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G. Sagard, </w:t>
      </w:r>
      <w:r w:rsidRPr="0073118C">
        <w:rPr>
          <w:rFonts w:cstheme="minorHAnsi"/>
          <w:i/>
          <w:lang w:val="fr-FR"/>
        </w:rPr>
        <w:t xml:space="preserve">Le grand voyage du pays des Hurons, situé en l'Amérique vers la mer douce, </w:t>
      </w:r>
      <w:proofErr w:type="spellStart"/>
      <w:r w:rsidRPr="0073118C">
        <w:rPr>
          <w:rFonts w:cstheme="minorHAnsi"/>
          <w:i/>
          <w:lang w:val="fr-FR"/>
        </w:rPr>
        <w:t>és</w:t>
      </w:r>
      <w:proofErr w:type="spellEnd"/>
      <w:r w:rsidRPr="0073118C">
        <w:rPr>
          <w:rFonts w:cstheme="minorHAnsi"/>
          <w:i/>
          <w:lang w:val="fr-FR"/>
        </w:rPr>
        <w:t xml:space="preserve"> derniers confins de la nouvelle France, dite Canada </w:t>
      </w:r>
      <w:r w:rsidRPr="0073118C">
        <w:rPr>
          <w:rFonts w:cstheme="minorHAnsi"/>
          <w:lang w:val="fr-FR"/>
        </w:rPr>
        <w:t>(Paris: Denys Moreau, 1632), p. 219-220.</w:t>
      </w:r>
    </w:p>
  </w:endnote>
  <w:endnote w:id="50">
    <w:p w14:paraId="6FA8025D" w14:textId="4DEC2252" w:rsidR="00F51911" w:rsidRPr="0073118C" w:rsidRDefault="00F51911" w:rsidP="0073118C">
      <w:pPr>
        <w:pStyle w:val="EndnoteText"/>
        <w:jc w:val="both"/>
        <w:rPr>
          <w:rFonts w:cstheme="minorHAnsi"/>
          <w:iCs/>
          <w:lang w:val="fr-FR"/>
        </w:rPr>
      </w:pPr>
      <w:r w:rsidRPr="0073118C">
        <w:rPr>
          <w:rStyle w:val="EndnoteReference"/>
          <w:rFonts w:cstheme="minorHAnsi"/>
        </w:rPr>
        <w:endnoteRef/>
      </w:r>
      <w:r w:rsidRPr="0073118C">
        <w:rPr>
          <w:rFonts w:cstheme="minorHAnsi"/>
          <w:lang w:val="fr-FR"/>
        </w:rPr>
        <w:t xml:space="preserve"> Biard, </w:t>
      </w:r>
      <w:r w:rsidRPr="0073118C">
        <w:rPr>
          <w:rFonts w:cstheme="minorHAnsi"/>
          <w:i/>
          <w:lang w:val="fr-FR"/>
        </w:rPr>
        <w:t>Relation de la Nouvelle France</w:t>
      </w:r>
      <w:r w:rsidRPr="0073118C">
        <w:rPr>
          <w:rFonts w:cstheme="minorHAnsi"/>
          <w:iCs/>
          <w:lang w:val="fr-FR"/>
        </w:rPr>
        <w:t>, p. 55.</w:t>
      </w:r>
    </w:p>
  </w:endnote>
  <w:endnote w:id="51">
    <w:p w14:paraId="1CA7FF38" w14:textId="3A05F955" w:rsidR="00F51911" w:rsidRPr="0073118C" w:rsidRDefault="00F51911" w:rsidP="0073118C">
      <w:pPr>
        <w:pStyle w:val="EndnoteText"/>
        <w:jc w:val="both"/>
        <w:rPr>
          <w:rFonts w:cstheme="minorHAnsi"/>
          <w:iCs/>
          <w:lang w:val="fr-FR"/>
        </w:rPr>
      </w:pPr>
      <w:r w:rsidRPr="0073118C">
        <w:rPr>
          <w:rStyle w:val="EndnoteReference"/>
          <w:rFonts w:cstheme="minorHAnsi"/>
        </w:rPr>
        <w:endnoteRef/>
      </w:r>
      <w:r w:rsidRPr="0073118C">
        <w:rPr>
          <w:rFonts w:cstheme="minorHAnsi"/>
          <w:lang w:val="fr-FR"/>
        </w:rPr>
        <w:t xml:space="preserve"> Champlain, </w:t>
      </w:r>
      <w:r w:rsidRPr="0073118C">
        <w:rPr>
          <w:rFonts w:cstheme="minorHAnsi"/>
          <w:i/>
          <w:lang w:val="fr-FR"/>
        </w:rPr>
        <w:t>Des sauvages</w:t>
      </w:r>
      <w:r w:rsidRPr="0073118C">
        <w:rPr>
          <w:rFonts w:cstheme="minorHAnsi"/>
          <w:iCs/>
          <w:lang w:val="fr-FR"/>
        </w:rPr>
        <w:t>, f. 8v.</w:t>
      </w:r>
    </w:p>
  </w:endnote>
  <w:endnote w:id="52">
    <w:p w14:paraId="1BBB289A" w14:textId="0D881223"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A. </w:t>
      </w:r>
      <w:proofErr w:type="spellStart"/>
      <w:r w:rsidRPr="0073118C">
        <w:rPr>
          <w:rFonts w:cstheme="minorHAnsi"/>
          <w:lang w:val="fr-FR"/>
        </w:rPr>
        <w:t>Thévet</w:t>
      </w:r>
      <w:proofErr w:type="spellEnd"/>
      <w:r w:rsidRPr="0073118C">
        <w:rPr>
          <w:rFonts w:cstheme="minorHAnsi"/>
          <w:lang w:val="fr-FR"/>
        </w:rPr>
        <w:t xml:space="preserve">, </w:t>
      </w:r>
      <w:r w:rsidRPr="0073118C">
        <w:rPr>
          <w:rFonts w:cstheme="minorHAnsi"/>
          <w:i/>
          <w:lang w:val="fr-FR"/>
        </w:rPr>
        <w:t xml:space="preserve">La Cosmographie Universelle, Tome Second </w:t>
      </w:r>
      <w:r w:rsidRPr="0073118C">
        <w:rPr>
          <w:rFonts w:cstheme="minorHAnsi"/>
          <w:lang w:val="fr-FR"/>
        </w:rPr>
        <w:t>(Paris: Guillaume Chaudière, 1575), f. 1013v.</w:t>
      </w:r>
    </w:p>
  </w:endnote>
  <w:endnote w:id="53">
    <w:p w14:paraId="1CFE395C" w14:textId="19E543C5" w:rsidR="00F51911" w:rsidRPr="0073118C" w:rsidRDefault="00F51911" w:rsidP="0073118C">
      <w:pPr>
        <w:pStyle w:val="EndNoteBibliography"/>
        <w:rPr>
          <w:rFonts w:asciiTheme="minorHAnsi" w:hAnsiTheme="minorHAnsi" w:cstheme="minorHAnsi"/>
          <w:sz w:val="20"/>
          <w:szCs w:val="20"/>
          <w:lang w:val="fr-FR"/>
        </w:rPr>
      </w:pPr>
      <w:r w:rsidRPr="0073118C">
        <w:rPr>
          <w:rStyle w:val="EndnoteReference"/>
          <w:rFonts w:asciiTheme="minorHAnsi" w:hAnsiTheme="minorHAnsi" w:cstheme="minorHAnsi"/>
          <w:sz w:val="20"/>
          <w:szCs w:val="20"/>
        </w:rPr>
        <w:endnoteRef/>
      </w:r>
      <w:r w:rsidRPr="0073118C">
        <w:rPr>
          <w:rFonts w:asciiTheme="minorHAnsi" w:hAnsiTheme="minorHAnsi" w:cstheme="minorHAnsi"/>
          <w:sz w:val="20"/>
          <w:szCs w:val="20"/>
          <w:lang w:val="fr-FR"/>
        </w:rPr>
        <w:t xml:space="preserve"> G. d. L. Perrière, </w:t>
      </w:r>
      <w:r w:rsidRPr="0073118C">
        <w:rPr>
          <w:rFonts w:asciiTheme="minorHAnsi" w:hAnsiTheme="minorHAnsi" w:cstheme="minorHAnsi"/>
          <w:i/>
          <w:sz w:val="20"/>
          <w:szCs w:val="20"/>
          <w:lang w:val="fr-FR"/>
        </w:rPr>
        <w:t xml:space="preserve">Le miroir politique : contenant diverses manières de gouverner et policer les républiques, qui sont et ont esté par cy devant </w:t>
      </w:r>
      <w:r w:rsidRPr="0073118C">
        <w:rPr>
          <w:rFonts w:asciiTheme="minorHAnsi" w:hAnsiTheme="minorHAnsi" w:cstheme="minorHAnsi"/>
          <w:sz w:val="20"/>
          <w:szCs w:val="20"/>
          <w:lang w:val="fr-FR"/>
        </w:rPr>
        <w:t xml:space="preserve">(Paris: V. Norment, J. Bruneau, 1567), f. 104v ; J. d. L. Madeleine, </w:t>
      </w:r>
      <w:r w:rsidRPr="0073118C">
        <w:rPr>
          <w:rFonts w:asciiTheme="minorHAnsi" w:hAnsiTheme="minorHAnsi" w:cstheme="minorHAnsi"/>
          <w:i/>
          <w:sz w:val="20"/>
          <w:szCs w:val="20"/>
          <w:lang w:val="fr-FR"/>
        </w:rPr>
        <w:t xml:space="preserve">Discours de l'estat et office d'un bon roy, prince ou monarque, pour bien et heureusement régner sur la terre et pour garder et maintenir ses subjectz en paix, union et obéissance </w:t>
      </w:r>
      <w:r w:rsidRPr="0073118C">
        <w:rPr>
          <w:rFonts w:asciiTheme="minorHAnsi" w:hAnsiTheme="minorHAnsi" w:cstheme="minorHAnsi"/>
          <w:sz w:val="20"/>
          <w:szCs w:val="20"/>
          <w:lang w:val="fr-FR"/>
        </w:rPr>
        <w:t xml:space="preserve">(Paris: Lucas Brayer, 1575), f. 15 ; A. D. Chesne, </w:t>
      </w:r>
      <w:r w:rsidRPr="0073118C">
        <w:rPr>
          <w:rFonts w:asciiTheme="minorHAnsi" w:hAnsiTheme="minorHAnsi" w:cstheme="minorHAnsi"/>
          <w:i/>
          <w:sz w:val="20"/>
          <w:szCs w:val="20"/>
          <w:lang w:val="fr-FR"/>
        </w:rPr>
        <w:t xml:space="preserve">Les antiquitez et recherches de la grandeur et majesté des roys de France, recueillies tant des auteurs anciens que des meilleurs escrivains de ce siècle et divisées en 3 livres </w:t>
      </w:r>
      <w:r w:rsidRPr="0073118C">
        <w:rPr>
          <w:rFonts w:asciiTheme="minorHAnsi" w:hAnsiTheme="minorHAnsi" w:cstheme="minorHAnsi"/>
          <w:sz w:val="20"/>
          <w:szCs w:val="20"/>
          <w:lang w:val="fr-FR"/>
        </w:rPr>
        <w:t>(Paris: Jean Petit-Pas, 1609), p. 14.</w:t>
      </w:r>
    </w:p>
  </w:endnote>
  <w:endnote w:id="54">
    <w:p w14:paraId="5143EDEA" w14:textId="42E674E2"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C. A. Julien, R. </w:t>
      </w:r>
      <w:proofErr w:type="spellStart"/>
      <w:r w:rsidRPr="0073118C">
        <w:rPr>
          <w:rFonts w:cstheme="minorHAnsi"/>
          <w:lang w:val="fr-FR"/>
        </w:rPr>
        <w:t>Herval</w:t>
      </w:r>
      <w:proofErr w:type="spellEnd"/>
      <w:r w:rsidRPr="0073118C">
        <w:rPr>
          <w:rFonts w:cstheme="minorHAnsi"/>
          <w:lang w:val="fr-FR"/>
        </w:rPr>
        <w:t xml:space="preserve"> and T. Beauchesne, </w:t>
      </w:r>
      <w:r w:rsidRPr="0073118C">
        <w:rPr>
          <w:rFonts w:cstheme="minorHAnsi"/>
          <w:i/>
          <w:lang w:val="fr-FR"/>
        </w:rPr>
        <w:t xml:space="preserve">Les français en Amérique pendant la première moitié du XVIe siècle. Textes des voyages de </w:t>
      </w:r>
      <w:proofErr w:type="spellStart"/>
      <w:r w:rsidRPr="0073118C">
        <w:rPr>
          <w:rFonts w:cstheme="minorHAnsi"/>
          <w:i/>
          <w:lang w:val="fr-FR"/>
        </w:rPr>
        <w:t>Gonneville</w:t>
      </w:r>
      <w:proofErr w:type="spellEnd"/>
      <w:r w:rsidRPr="0073118C">
        <w:rPr>
          <w:rFonts w:cstheme="minorHAnsi"/>
          <w:i/>
          <w:lang w:val="fr-FR"/>
        </w:rPr>
        <w:t xml:space="preserve">, Verrazano, Cartier et Roberval </w:t>
      </w:r>
      <w:r w:rsidRPr="0073118C">
        <w:rPr>
          <w:rFonts w:cstheme="minorHAnsi"/>
          <w:lang w:val="fr-FR"/>
        </w:rPr>
        <w:t>(Paris: Presses Universitaires de France, 1946), p. 72.</w:t>
      </w:r>
    </w:p>
  </w:endnote>
  <w:endnote w:id="55">
    <w:p w14:paraId="6C7787B9" w14:textId="7A9831B6" w:rsidR="00F51911" w:rsidRPr="0073118C" w:rsidRDefault="00F51911" w:rsidP="0073118C">
      <w:pPr>
        <w:pStyle w:val="EndnoteText"/>
        <w:jc w:val="both"/>
        <w:rPr>
          <w:rFonts w:cstheme="minorHAnsi"/>
          <w:iCs/>
          <w:lang w:val="fr-FR"/>
        </w:rPr>
      </w:pPr>
      <w:r w:rsidRPr="0073118C">
        <w:rPr>
          <w:rStyle w:val="EndnoteReference"/>
          <w:rFonts w:cstheme="minorHAnsi"/>
        </w:rPr>
        <w:endnoteRef/>
      </w:r>
      <w:r w:rsidRPr="0073118C">
        <w:rPr>
          <w:rFonts w:cstheme="minorHAnsi"/>
          <w:lang w:val="fr-FR"/>
        </w:rPr>
        <w:t xml:space="preserve"> </w:t>
      </w:r>
      <w:proofErr w:type="spellStart"/>
      <w:r w:rsidRPr="0073118C">
        <w:rPr>
          <w:rFonts w:cstheme="minorHAnsi"/>
          <w:lang w:val="fr-FR"/>
        </w:rPr>
        <w:t>Thévet</w:t>
      </w:r>
      <w:proofErr w:type="spellEnd"/>
      <w:r w:rsidRPr="0073118C">
        <w:rPr>
          <w:rFonts w:cstheme="minorHAnsi"/>
          <w:lang w:val="fr-FR"/>
        </w:rPr>
        <w:t xml:space="preserve">, </w:t>
      </w:r>
      <w:r w:rsidRPr="0073118C">
        <w:rPr>
          <w:rFonts w:cstheme="minorHAnsi"/>
          <w:i/>
          <w:lang w:val="fr-FR"/>
        </w:rPr>
        <w:t>La Cosmographie Universelle</w:t>
      </w:r>
      <w:r w:rsidRPr="0073118C">
        <w:rPr>
          <w:rFonts w:cstheme="minorHAnsi"/>
          <w:iCs/>
          <w:lang w:val="fr-FR"/>
        </w:rPr>
        <w:t>, f. 1013v.</w:t>
      </w:r>
    </w:p>
  </w:endnote>
  <w:endnote w:id="56">
    <w:p w14:paraId="0FB5AA2F" w14:textId="603FD004"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Biard, </w:t>
      </w:r>
      <w:r w:rsidRPr="0073118C">
        <w:rPr>
          <w:rFonts w:cstheme="minorHAnsi"/>
          <w:i/>
          <w:lang w:val="fr-FR"/>
        </w:rPr>
        <w:t>Relation de la Nouvelle France</w:t>
      </w:r>
      <w:r w:rsidRPr="0073118C">
        <w:rPr>
          <w:rFonts w:cstheme="minorHAnsi"/>
          <w:iCs/>
          <w:lang w:val="fr-FR"/>
        </w:rPr>
        <w:t>, p. 42.</w:t>
      </w:r>
    </w:p>
  </w:endnote>
  <w:endnote w:id="57">
    <w:p w14:paraId="1478647F" w14:textId="4E042CC0" w:rsidR="00F51911" w:rsidRPr="0073118C" w:rsidRDefault="00F51911" w:rsidP="0073118C">
      <w:pPr>
        <w:pStyle w:val="EndnoteText"/>
        <w:jc w:val="both"/>
        <w:rPr>
          <w:rFonts w:cstheme="minorHAnsi"/>
          <w:iCs/>
          <w:lang w:val="fr-FR"/>
        </w:rPr>
      </w:pPr>
      <w:r w:rsidRPr="0073118C">
        <w:rPr>
          <w:rStyle w:val="EndnoteReference"/>
          <w:rFonts w:cstheme="minorHAnsi"/>
        </w:rPr>
        <w:endnoteRef/>
      </w:r>
      <w:r w:rsidRPr="0073118C">
        <w:rPr>
          <w:rFonts w:cstheme="minorHAnsi"/>
          <w:lang w:val="fr-FR"/>
        </w:rPr>
        <w:t xml:space="preserve"> Julien, </w:t>
      </w:r>
      <w:proofErr w:type="spellStart"/>
      <w:r w:rsidRPr="0073118C">
        <w:rPr>
          <w:rFonts w:cstheme="minorHAnsi"/>
          <w:lang w:val="fr-FR"/>
        </w:rPr>
        <w:t>Herval</w:t>
      </w:r>
      <w:proofErr w:type="spellEnd"/>
      <w:r w:rsidRPr="0073118C">
        <w:rPr>
          <w:rFonts w:cstheme="minorHAnsi"/>
          <w:lang w:val="fr-FR"/>
        </w:rPr>
        <w:t xml:space="preserve"> and Beauchesne, </w:t>
      </w:r>
      <w:r w:rsidRPr="0073118C">
        <w:rPr>
          <w:rFonts w:cstheme="minorHAnsi"/>
          <w:i/>
          <w:lang w:val="fr-FR"/>
        </w:rPr>
        <w:t>Les français en Amérique</w:t>
      </w:r>
      <w:r w:rsidRPr="0073118C">
        <w:rPr>
          <w:rFonts w:cstheme="minorHAnsi"/>
          <w:iCs/>
          <w:lang w:val="fr-FR"/>
        </w:rPr>
        <w:t>, p. 70.</w:t>
      </w:r>
    </w:p>
  </w:endnote>
  <w:endnote w:id="58">
    <w:p w14:paraId="188848E2" w14:textId="73811E45" w:rsidR="00F51911" w:rsidRPr="0073118C" w:rsidRDefault="00F51911" w:rsidP="0073118C">
      <w:pPr>
        <w:pStyle w:val="EndnoteText"/>
        <w:jc w:val="both"/>
        <w:rPr>
          <w:rFonts w:cstheme="minorHAnsi"/>
        </w:rPr>
      </w:pPr>
      <w:r w:rsidRPr="0073118C">
        <w:rPr>
          <w:rStyle w:val="EndnoteReference"/>
          <w:rFonts w:cstheme="minorHAnsi"/>
        </w:rPr>
        <w:endnoteRef/>
      </w:r>
      <w:r w:rsidRPr="0073118C">
        <w:rPr>
          <w:rFonts w:cstheme="minorHAnsi"/>
        </w:rPr>
        <w:t xml:space="preserve"> </w:t>
      </w:r>
      <w:proofErr w:type="spellStart"/>
      <w:proofErr w:type="gramStart"/>
      <w:r w:rsidRPr="0073118C">
        <w:rPr>
          <w:rFonts w:cstheme="minorHAnsi"/>
        </w:rPr>
        <w:t>Pateman</w:t>
      </w:r>
      <w:proofErr w:type="spellEnd"/>
      <w:r w:rsidRPr="0073118C">
        <w:rPr>
          <w:rFonts w:cstheme="minorHAnsi"/>
        </w:rPr>
        <w:t>, 'The settler contract', p. 36.</w:t>
      </w:r>
      <w:proofErr w:type="gramEnd"/>
    </w:p>
  </w:endnote>
  <w:endnote w:id="59">
    <w:p w14:paraId="36051F06" w14:textId="4047D17D" w:rsidR="00F51911" w:rsidRPr="0073118C" w:rsidRDefault="00F51911" w:rsidP="0073118C">
      <w:pPr>
        <w:jc w:val="both"/>
        <w:rPr>
          <w:rFonts w:cstheme="minorHAnsi"/>
          <w:sz w:val="20"/>
          <w:lang w:val="fr-FR"/>
        </w:rPr>
      </w:pPr>
      <w:r w:rsidRPr="0073118C">
        <w:rPr>
          <w:rStyle w:val="EndnoteReference"/>
          <w:sz w:val="20"/>
        </w:rPr>
        <w:endnoteRef/>
      </w:r>
      <w:r w:rsidRPr="0073118C">
        <w:rPr>
          <w:sz w:val="20"/>
          <w:lang w:val="fr-FR"/>
        </w:rPr>
        <w:t xml:space="preserve"> For </w:t>
      </w:r>
      <w:proofErr w:type="spellStart"/>
      <w:r w:rsidRPr="0073118C">
        <w:rPr>
          <w:sz w:val="20"/>
          <w:lang w:val="fr-FR"/>
        </w:rPr>
        <w:t>examples</w:t>
      </w:r>
      <w:proofErr w:type="spellEnd"/>
      <w:r w:rsidRPr="0073118C">
        <w:rPr>
          <w:sz w:val="20"/>
          <w:lang w:val="fr-FR"/>
        </w:rPr>
        <w:t xml:space="preserve"> of </w:t>
      </w:r>
      <w:proofErr w:type="spellStart"/>
      <w:r w:rsidRPr="0073118C">
        <w:rPr>
          <w:sz w:val="20"/>
          <w:lang w:val="fr-FR"/>
        </w:rPr>
        <w:t>political</w:t>
      </w:r>
      <w:proofErr w:type="spellEnd"/>
      <w:r w:rsidRPr="0073118C">
        <w:rPr>
          <w:sz w:val="20"/>
          <w:lang w:val="fr-FR"/>
        </w:rPr>
        <w:t xml:space="preserve"> </w:t>
      </w:r>
      <w:proofErr w:type="spellStart"/>
      <w:r w:rsidRPr="0073118C">
        <w:rPr>
          <w:sz w:val="20"/>
          <w:lang w:val="fr-FR"/>
        </w:rPr>
        <w:t>theorists</w:t>
      </w:r>
      <w:proofErr w:type="spellEnd"/>
      <w:r w:rsidRPr="0073118C">
        <w:rPr>
          <w:sz w:val="20"/>
          <w:lang w:val="fr-FR"/>
        </w:rPr>
        <w:t xml:space="preserve"> </w:t>
      </w:r>
      <w:proofErr w:type="spellStart"/>
      <w:r w:rsidRPr="0073118C">
        <w:rPr>
          <w:sz w:val="20"/>
          <w:lang w:val="fr-FR"/>
        </w:rPr>
        <w:t>who</w:t>
      </w:r>
      <w:proofErr w:type="spellEnd"/>
      <w:r w:rsidRPr="0073118C">
        <w:rPr>
          <w:sz w:val="20"/>
          <w:lang w:val="fr-FR"/>
        </w:rPr>
        <w:t xml:space="preserve"> </w:t>
      </w:r>
      <w:proofErr w:type="spellStart"/>
      <w:r w:rsidRPr="0073118C">
        <w:rPr>
          <w:sz w:val="20"/>
          <w:lang w:val="fr-FR"/>
        </w:rPr>
        <w:t>linked</w:t>
      </w:r>
      <w:proofErr w:type="spellEnd"/>
      <w:r w:rsidRPr="0073118C">
        <w:rPr>
          <w:sz w:val="20"/>
          <w:lang w:val="fr-FR"/>
        </w:rPr>
        <w:t xml:space="preserve"> the concept of </w:t>
      </w:r>
      <w:proofErr w:type="spellStart"/>
      <w:r w:rsidRPr="0073118C">
        <w:rPr>
          <w:sz w:val="20"/>
          <w:lang w:val="fr-FR"/>
        </w:rPr>
        <w:t>sovereignty</w:t>
      </w:r>
      <w:proofErr w:type="spellEnd"/>
      <w:r w:rsidRPr="0073118C">
        <w:rPr>
          <w:sz w:val="20"/>
          <w:lang w:val="fr-FR"/>
        </w:rPr>
        <w:t xml:space="preserve"> to </w:t>
      </w:r>
      <w:proofErr w:type="spellStart"/>
      <w:r w:rsidRPr="0073118C">
        <w:rPr>
          <w:sz w:val="20"/>
          <w:lang w:val="fr-FR"/>
        </w:rPr>
        <w:t>specific</w:t>
      </w:r>
      <w:proofErr w:type="spellEnd"/>
      <w:r w:rsidRPr="0073118C">
        <w:rPr>
          <w:sz w:val="20"/>
          <w:lang w:val="fr-FR"/>
        </w:rPr>
        <w:t xml:space="preserve"> cultural values </w:t>
      </w:r>
      <w:proofErr w:type="spellStart"/>
      <w:r w:rsidRPr="0073118C">
        <w:rPr>
          <w:sz w:val="20"/>
          <w:lang w:val="fr-FR"/>
        </w:rPr>
        <w:t>see</w:t>
      </w:r>
      <w:proofErr w:type="spellEnd"/>
      <w:r w:rsidRPr="0073118C">
        <w:rPr>
          <w:sz w:val="20"/>
          <w:lang w:val="fr-FR"/>
        </w:rPr>
        <w:t xml:space="preserve"> </w:t>
      </w:r>
      <w:r w:rsidRPr="0073118C">
        <w:rPr>
          <w:rFonts w:cstheme="minorHAnsi"/>
          <w:sz w:val="20"/>
          <w:lang w:val="fr-FR"/>
        </w:rPr>
        <w:t xml:space="preserve">A. Lemaire, </w:t>
      </w:r>
      <w:r w:rsidRPr="0073118C">
        <w:rPr>
          <w:rFonts w:cstheme="minorHAnsi"/>
          <w:i/>
          <w:sz w:val="20"/>
          <w:lang w:val="fr-FR"/>
        </w:rPr>
        <w:t>Les lois fondamentales de la monarchie française d’après les théoriciens de l’Ancien Régime</w:t>
      </w:r>
      <w:r w:rsidRPr="0073118C">
        <w:rPr>
          <w:rFonts w:cstheme="minorHAnsi"/>
          <w:sz w:val="20"/>
          <w:lang w:val="fr-FR"/>
        </w:rPr>
        <w:t xml:space="preserve"> (Paris: Albert </w:t>
      </w:r>
      <w:proofErr w:type="spellStart"/>
      <w:r w:rsidRPr="0073118C">
        <w:rPr>
          <w:rFonts w:cstheme="minorHAnsi"/>
          <w:sz w:val="20"/>
          <w:lang w:val="fr-FR"/>
        </w:rPr>
        <w:t>Fontemoing</w:t>
      </w:r>
      <w:proofErr w:type="spellEnd"/>
      <w:r w:rsidRPr="0073118C">
        <w:rPr>
          <w:rFonts w:cstheme="minorHAnsi"/>
          <w:sz w:val="20"/>
          <w:lang w:val="fr-FR"/>
        </w:rPr>
        <w:t xml:space="preserve">, 1907); G. Weill, </w:t>
      </w:r>
      <w:r w:rsidRPr="0073118C">
        <w:rPr>
          <w:rFonts w:cstheme="minorHAnsi"/>
          <w:i/>
          <w:sz w:val="20"/>
          <w:lang w:val="fr-FR"/>
        </w:rPr>
        <w:t>Les théories sur le pouvoir royal en France pendant les guerres de religion</w:t>
      </w:r>
      <w:r w:rsidRPr="0073118C">
        <w:rPr>
          <w:rFonts w:cstheme="minorHAnsi"/>
          <w:sz w:val="20"/>
          <w:lang w:val="fr-FR"/>
        </w:rPr>
        <w:t xml:space="preserve"> (Paris: Hachette, 1892); C. d. Seyssel, </w:t>
      </w:r>
      <w:r w:rsidRPr="0073118C">
        <w:rPr>
          <w:rFonts w:cstheme="minorHAnsi"/>
          <w:i/>
          <w:sz w:val="20"/>
          <w:lang w:val="fr-FR"/>
        </w:rPr>
        <w:t xml:space="preserve">La </w:t>
      </w:r>
      <w:proofErr w:type="spellStart"/>
      <w:r w:rsidRPr="0073118C">
        <w:rPr>
          <w:rFonts w:cstheme="minorHAnsi"/>
          <w:i/>
          <w:sz w:val="20"/>
          <w:lang w:val="fr-FR"/>
        </w:rPr>
        <w:t>Grand'monarchie</w:t>
      </w:r>
      <w:proofErr w:type="spellEnd"/>
      <w:r w:rsidRPr="0073118C">
        <w:rPr>
          <w:rFonts w:cstheme="minorHAnsi"/>
          <w:i/>
          <w:sz w:val="20"/>
          <w:lang w:val="fr-FR"/>
        </w:rPr>
        <w:t xml:space="preserve"> de France</w:t>
      </w:r>
      <w:r w:rsidRPr="0073118C">
        <w:rPr>
          <w:rFonts w:cstheme="minorHAnsi"/>
          <w:sz w:val="20"/>
          <w:lang w:val="fr-FR"/>
        </w:rPr>
        <w:t xml:space="preserve"> (Paris: </w:t>
      </w:r>
      <w:proofErr w:type="spellStart"/>
      <w:r w:rsidRPr="0073118C">
        <w:rPr>
          <w:rFonts w:cstheme="minorHAnsi"/>
          <w:sz w:val="20"/>
          <w:lang w:val="fr-FR"/>
        </w:rPr>
        <w:t>Galiot</w:t>
      </w:r>
      <w:proofErr w:type="spellEnd"/>
      <w:r w:rsidRPr="0073118C">
        <w:rPr>
          <w:rFonts w:cstheme="minorHAnsi"/>
          <w:sz w:val="20"/>
          <w:lang w:val="fr-FR"/>
        </w:rPr>
        <w:t xml:space="preserve"> du Pré, 1557); J. Bodin, </w:t>
      </w:r>
      <w:r w:rsidRPr="0073118C">
        <w:rPr>
          <w:rFonts w:cstheme="minorHAnsi"/>
          <w:i/>
          <w:sz w:val="20"/>
          <w:lang w:val="fr-FR"/>
        </w:rPr>
        <w:t xml:space="preserve">Les six livres de la République </w:t>
      </w:r>
      <w:r w:rsidRPr="0073118C">
        <w:rPr>
          <w:rFonts w:cstheme="minorHAnsi"/>
          <w:sz w:val="20"/>
          <w:lang w:val="fr-FR"/>
        </w:rPr>
        <w:t xml:space="preserve">(Paris: Jacques du Puys, 1576); A. D. Chesne, </w:t>
      </w:r>
      <w:r w:rsidRPr="0073118C">
        <w:rPr>
          <w:rFonts w:cstheme="minorHAnsi"/>
          <w:i/>
          <w:sz w:val="20"/>
          <w:lang w:val="fr-FR"/>
        </w:rPr>
        <w:t xml:space="preserve">Les </w:t>
      </w:r>
      <w:proofErr w:type="spellStart"/>
      <w:r w:rsidRPr="0073118C">
        <w:rPr>
          <w:rFonts w:cstheme="minorHAnsi"/>
          <w:i/>
          <w:sz w:val="20"/>
          <w:lang w:val="fr-FR"/>
        </w:rPr>
        <w:t>antiquitez</w:t>
      </w:r>
      <w:proofErr w:type="spellEnd"/>
      <w:r w:rsidRPr="0073118C">
        <w:rPr>
          <w:rFonts w:cstheme="minorHAnsi"/>
          <w:i/>
          <w:sz w:val="20"/>
          <w:lang w:val="fr-FR"/>
        </w:rPr>
        <w:t xml:space="preserve"> et recherches de la grandeur et majesté des </w:t>
      </w:r>
      <w:proofErr w:type="spellStart"/>
      <w:r w:rsidRPr="0073118C">
        <w:rPr>
          <w:rFonts w:cstheme="minorHAnsi"/>
          <w:i/>
          <w:sz w:val="20"/>
          <w:lang w:val="fr-FR"/>
        </w:rPr>
        <w:t>roys</w:t>
      </w:r>
      <w:proofErr w:type="spellEnd"/>
      <w:r w:rsidRPr="0073118C">
        <w:rPr>
          <w:rFonts w:cstheme="minorHAnsi"/>
          <w:i/>
          <w:sz w:val="20"/>
          <w:lang w:val="fr-FR"/>
        </w:rPr>
        <w:t xml:space="preserve"> de France, recueillies tant des auteurs anciens que des meilleurs </w:t>
      </w:r>
      <w:proofErr w:type="spellStart"/>
      <w:r w:rsidRPr="0073118C">
        <w:rPr>
          <w:rFonts w:cstheme="minorHAnsi"/>
          <w:i/>
          <w:sz w:val="20"/>
          <w:lang w:val="fr-FR"/>
        </w:rPr>
        <w:t>escrivains</w:t>
      </w:r>
      <w:proofErr w:type="spellEnd"/>
      <w:r w:rsidRPr="0073118C">
        <w:rPr>
          <w:rFonts w:cstheme="minorHAnsi"/>
          <w:i/>
          <w:sz w:val="20"/>
          <w:lang w:val="fr-FR"/>
        </w:rPr>
        <w:t xml:space="preserve"> de ce siècle et divisées en 3 livres </w:t>
      </w:r>
      <w:r w:rsidRPr="0073118C">
        <w:rPr>
          <w:rFonts w:cstheme="minorHAnsi"/>
          <w:sz w:val="20"/>
          <w:lang w:val="fr-FR"/>
        </w:rPr>
        <w:t xml:space="preserve">(Paris: Jean </w:t>
      </w:r>
      <w:proofErr w:type="spellStart"/>
      <w:r w:rsidRPr="0073118C">
        <w:rPr>
          <w:rFonts w:cstheme="minorHAnsi"/>
          <w:sz w:val="20"/>
          <w:lang w:val="fr-FR"/>
        </w:rPr>
        <w:t>Petit-Pas</w:t>
      </w:r>
      <w:proofErr w:type="spellEnd"/>
      <w:r w:rsidRPr="0073118C">
        <w:rPr>
          <w:rFonts w:cstheme="minorHAnsi"/>
          <w:sz w:val="20"/>
          <w:lang w:val="fr-FR"/>
        </w:rPr>
        <w:t>, 1609).</w:t>
      </w:r>
    </w:p>
  </w:endnote>
  <w:endnote w:id="60">
    <w:p w14:paraId="21BBD7F5" w14:textId="17A17140" w:rsidR="00F51911" w:rsidRPr="0073118C" w:rsidRDefault="00F51911" w:rsidP="0073118C">
      <w:pPr>
        <w:pStyle w:val="EndnoteText"/>
        <w:jc w:val="both"/>
        <w:rPr>
          <w:rFonts w:cstheme="minorHAnsi"/>
          <w:iCs/>
          <w:lang w:val="fr-FR"/>
        </w:rPr>
      </w:pPr>
      <w:r w:rsidRPr="0073118C">
        <w:rPr>
          <w:rStyle w:val="EndnoteReference"/>
          <w:rFonts w:cstheme="minorHAnsi"/>
        </w:rPr>
        <w:endnoteRef/>
      </w:r>
      <w:r w:rsidRPr="0073118C">
        <w:rPr>
          <w:rFonts w:cstheme="minorHAnsi"/>
          <w:lang w:val="fr-FR"/>
        </w:rPr>
        <w:t xml:space="preserve"> Goulart and </w:t>
      </w:r>
      <w:proofErr w:type="spellStart"/>
      <w:r w:rsidRPr="0073118C">
        <w:rPr>
          <w:rFonts w:cstheme="minorHAnsi"/>
          <w:lang w:val="fr-FR"/>
        </w:rPr>
        <w:t>Goujet</w:t>
      </w:r>
      <w:proofErr w:type="spellEnd"/>
      <w:r w:rsidRPr="0073118C">
        <w:rPr>
          <w:rFonts w:cstheme="minorHAnsi"/>
          <w:lang w:val="fr-FR"/>
        </w:rPr>
        <w:t xml:space="preserve">, </w:t>
      </w:r>
      <w:r w:rsidRPr="0073118C">
        <w:rPr>
          <w:rFonts w:cstheme="minorHAnsi"/>
          <w:i/>
          <w:lang w:val="fr-FR"/>
        </w:rPr>
        <w:t xml:space="preserve">Mémoires </w:t>
      </w:r>
      <w:r w:rsidRPr="0073118C">
        <w:rPr>
          <w:rFonts w:cstheme="minorHAnsi"/>
          <w:iCs/>
          <w:lang w:val="fr-FR"/>
        </w:rPr>
        <w:t>(tome 6), p. 108.</w:t>
      </w:r>
    </w:p>
  </w:endnote>
  <w:endnote w:id="61">
    <w:p w14:paraId="66917BF9" w14:textId="5332AD32"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Goulart and </w:t>
      </w:r>
      <w:proofErr w:type="spellStart"/>
      <w:r w:rsidRPr="0073118C">
        <w:rPr>
          <w:rFonts w:cstheme="minorHAnsi"/>
          <w:lang w:val="fr-FR"/>
        </w:rPr>
        <w:t>Goujet</w:t>
      </w:r>
      <w:proofErr w:type="spellEnd"/>
      <w:r w:rsidRPr="0073118C">
        <w:rPr>
          <w:rFonts w:cstheme="minorHAnsi"/>
          <w:lang w:val="fr-FR"/>
        </w:rPr>
        <w:t xml:space="preserve">, </w:t>
      </w:r>
      <w:r w:rsidRPr="0073118C">
        <w:rPr>
          <w:rFonts w:cstheme="minorHAnsi"/>
          <w:i/>
          <w:iCs/>
          <w:lang w:val="fr-FR"/>
        </w:rPr>
        <w:t>Mémoires</w:t>
      </w:r>
      <w:r w:rsidRPr="0073118C">
        <w:rPr>
          <w:rFonts w:cstheme="minorHAnsi"/>
          <w:lang w:val="fr-FR"/>
        </w:rPr>
        <w:t xml:space="preserve"> (tome 3), p. 253.</w:t>
      </w:r>
    </w:p>
  </w:endnote>
  <w:endnote w:id="62">
    <w:p w14:paraId="4C00D708" w14:textId="5B8C2F85"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S. Goulart and C.-P. </w:t>
      </w:r>
      <w:proofErr w:type="spellStart"/>
      <w:r w:rsidRPr="0073118C">
        <w:rPr>
          <w:rFonts w:cstheme="minorHAnsi"/>
          <w:lang w:val="fr-FR"/>
        </w:rPr>
        <w:t>Goujet</w:t>
      </w:r>
      <w:proofErr w:type="spellEnd"/>
      <w:r w:rsidRPr="0073118C">
        <w:rPr>
          <w:rFonts w:cstheme="minorHAnsi"/>
          <w:lang w:val="fr-FR"/>
        </w:rPr>
        <w:t xml:space="preserve">, </w:t>
      </w:r>
      <w:r w:rsidRPr="0073118C">
        <w:rPr>
          <w:rFonts w:cstheme="minorHAnsi"/>
          <w:i/>
          <w:lang w:val="fr-FR"/>
        </w:rPr>
        <w:t xml:space="preserve">Mémoires De La Ligue, Contenant Les </w:t>
      </w:r>
      <w:proofErr w:type="spellStart"/>
      <w:r w:rsidRPr="0073118C">
        <w:rPr>
          <w:rFonts w:cstheme="minorHAnsi"/>
          <w:i/>
          <w:lang w:val="fr-FR"/>
        </w:rPr>
        <w:t>Evenements</w:t>
      </w:r>
      <w:proofErr w:type="spellEnd"/>
      <w:r w:rsidRPr="0073118C">
        <w:rPr>
          <w:rFonts w:cstheme="minorHAnsi"/>
          <w:i/>
          <w:lang w:val="fr-FR"/>
        </w:rPr>
        <w:t xml:space="preserve"> Les Plus Remarquables Depuis 1576, Jusqu’à La Paix </w:t>
      </w:r>
      <w:proofErr w:type="spellStart"/>
      <w:r w:rsidRPr="0073118C">
        <w:rPr>
          <w:rFonts w:cstheme="minorHAnsi"/>
          <w:i/>
          <w:lang w:val="fr-FR"/>
        </w:rPr>
        <w:t>Accordee</w:t>
      </w:r>
      <w:proofErr w:type="spellEnd"/>
      <w:r w:rsidRPr="0073118C">
        <w:rPr>
          <w:rFonts w:cstheme="minorHAnsi"/>
          <w:i/>
          <w:lang w:val="fr-FR"/>
        </w:rPr>
        <w:t xml:space="preserve"> Entre Le Roi De France Et Le Roi </w:t>
      </w:r>
      <w:proofErr w:type="spellStart"/>
      <w:r w:rsidRPr="0073118C">
        <w:rPr>
          <w:rFonts w:cstheme="minorHAnsi"/>
          <w:i/>
          <w:lang w:val="fr-FR"/>
        </w:rPr>
        <w:t>D’espagne</w:t>
      </w:r>
      <w:proofErr w:type="spellEnd"/>
      <w:r w:rsidRPr="0073118C">
        <w:rPr>
          <w:rFonts w:cstheme="minorHAnsi"/>
          <w:i/>
          <w:lang w:val="fr-FR"/>
        </w:rPr>
        <w:t xml:space="preserve">, En 1598. Nouvelle Edition. Tome 5 </w:t>
      </w:r>
      <w:r w:rsidRPr="0073118C">
        <w:rPr>
          <w:rFonts w:cstheme="minorHAnsi"/>
          <w:lang w:val="fr-FR"/>
        </w:rPr>
        <w:t xml:space="preserve">(Amsterdam: </w:t>
      </w:r>
      <w:proofErr w:type="spellStart"/>
      <w:r w:rsidRPr="0073118C">
        <w:rPr>
          <w:rFonts w:cstheme="minorHAnsi"/>
          <w:lang w:val="fr-FR"/>
        </w:rPr>
        <w:t>Arkstee</w:t>
      </w:r>
      <w:proofErr w:type="spellEnd"/>
      <w:r w:rsidRPr="0073118C">
        <w:rPr>
          <w:rFonts w:cstheme="minorHAnsi"/>
          <w:lang w:val="fr-FR"/>
        </w:rPr>
        <w:t xml:space="preserve"> &amp; </w:t>
      </w:r>
      <w:proofErr w:type="spellStart"/>
      <w:r w:rsidRPr="0073118C">
        <w:rPr>
          <w:rFonts w:cstheme="minorHAnsi"/>
          <w:lang w:val="fr-FR"/>
        </w:rPr>
        <w:t>Merkus</w:t>
      </w:r>
      <w:proofErr w:type="spellEnd"/>
      <w:r w:rsidRPr="0073118C">
        <w:rPr>
          <w:rFonts w:cstheme="minorHAnsi"/>
          <w:lang w:val="fr-FR"/>
        </w:rPr>
        <w:t>, 1758), p. 194.</w:t>
      </w:r>
    </w:p>
  </w:endnote>
  <w:endnote w:id="63">
    <w:p w14:paraId="4905AC64" w14:textId="77777777" w:rsidR="00ED309A" w:rsidRPr="0073118C" w:rsidRDefault="00ED309A"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Goulart and </w:t>
      </w:r>
      <w:proofErr w:type="spellStart"/>
      <w:r w:rsidRPr="0073118C">
        <w:rPr>
          <w:rFonts w:cstheme="minorHAnsi"/>
          <w:lang w:val="fr-FR"/>
        </w:rPr>
        <w:t>Goujet</w:t>
      </w:r>
      <w:proofErr w:type="spellEnd"/>
      <w:r w:rsidRPr="0073118C">
        <w:rPr>
          <w:rFonts w:cstheme="minorHAnsi"/>
          <w:lang w:val="fr-FR"/>
        </w:rPr>
        <w:t xml:space="preserve">, </w:t>
      </w:r>
      <w:r w:rsidRPr="0073118C">
        <w:rPr>
          <w:rFonts w:cstheme="minorHAnsi"/>
          <w:i/>
          <w:iCs/>
          <w:lang w:val="fr-FR"/>
        </w:rPr>
        <w:t>Mémoires</w:t>
      </w:r>
      <w:r w:rsidRPr="0073118C">
        <w:rPr>
          <w:rFonts w:cstheme="minorHAnsi"/>
          <w:lang w:val="fr-FR"/>
        </w:rPr>
        <w:t xml:space="preserve"> (tome 5), p. 177.</w:t>
      </w:r>
    </w:p>
  </w:endnote>
  <w:endnote w:id="64">
    <w:p w14:paraId="221C0FC9" w14:textId="5E5B253B"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Ibid., p. 396.</w:t>
      </w:r>
    </w:p>
  </w:endnote>
  <w:endnote w:id="65">
    <w:p w14:paraId="77BA2C40" w14:textId="27827014"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Goulart and </w:t>
      </w:r>
      <w:proofErr w:type="spellStart"/>
      <w:r w:rsidRPr="0073118C">
        <w:rPr>
          <w:rFonts w:cstheme="minorHAnsi"/>
          <w:lang w:val="fr-FR"/>
        </w:rPr>
        <w:t>Goujet</w:t>
      </w:r>
      <w:proofErr w:type="spellEnd"/>
      <w:r w:rsidRPr="0073118C">
        <w:rPr>
          <w:rFonts w:cstheme="minorHAnsi"/>
          <w:lang w:val="fr-FR"/>
        </w:rPr>
        <w:t xml:space="preserve">, </w:t>
      </w:r>
      <w:r w:rsidRPr="0073118C">
        <w:rPr>
          <w:rFonts w:cstheme="minorHAnsi"/>
          <w:i/>
          <w:lang w:val="fr-FR"/>
        </w:rPr>
        <w:t xml:space="preserve">Mémoires </w:t>
      </w:r>
      <w:r w:rsidRPr="0073118C">
        <w:rPr>
          <w:rFonts w:cstheme="minorHAnsi"/>
          <w:iCs/>
          <w:lang w:val="fr-FR"/>
        </w:rPr>
        <w:t>(tome 6), p. 59.</w:t>
      </w:r>
    </w:p>
  </w:endnote>
  <w:endnote w:id="66">
    <w:p w14:paraId="30176A94" w14:textId="52128236" w:rsidR="00F51911" w:rsidRPr="0073118C" w:rsidRDefault="00F51911" w:rsidP="0073118C">
      <w:pPr>
        <w:pStyle w:val="EndnoteText"/>
        <w:jc w:val="both"/>
        <w:rPr>
          <w:rFonts w:cstheme="minorHAnsi"/>
          <w:lang w:val="fr-FR"/>
        </w:rPr>
      </w:pPr>
      <w:r w:rsidRPr="0073118C">
        <w:rPr>
          <w:rStyle w:val="EndnoteReference"/>
          <w:rFonts w:cstheme="minorHAnsi"/>
        </w:rPr>
        <w:endnoteRef/>
      </w:r>
      <w:r w:rsidRPr="0073118C">
        <w:rPr>
          <w:rFonts w:cstheme="minorHAnsi"/>
          <w:lang w:val="fr-FR"/>
        </w:rPr>
        <w:t xml:space="preserve"> Goulart and </w:t>
      </w:r>
      <w:proofErr w:type="spellStart"/>
      <w:r w:rsidRPr="0073118C">
        <w:rPr>
          <w:rFonts w:cstheme="minorHAnsi"/>
          <w:lang w:val="fr-FR"/>
        </w:rPr>
        <w:t>Goujet</w:t>
      </w:r>
      <w:proofErr w:type="spellEnd"/>
      <w:r w:rsidRPr="0073118C">
        <w:rPr>
          <w:rFonts w:cstheme="minorHAnsi"/>
          <w:lang w:val="fr-FR"/>
        </w:rPr>
        <w:t xml:space="preserve">, </w:t>
      </w:r>
      <w:r w:rsidRPr="0073118C">
        <w:rPr>
          <w:rFonts w:cstheme="minorHAnsi"/>
          <w:i/>
          <w:lang w:val="fr-FR"/>
        </w:rPr>
        <w:t xml:space="preserve">Mémoires </w:t>
      </w:r>
      <w:r w:rsidRPr="0073118C">
        <w:rPr>
          <w:rFonts w:cstheme="minorHAnsi"/>
          <w:iCs/>
          <w:lang w:val="fr-FR"/>
        </w:rPr>
        <w:t>(tome 6), p. 215-216.</w:t>
      </w:r>
    </w:p>
  </w:endnote>
  <w:endnote w:id="67">
    <w:p w14:paraId="650A6BE6" w14:textId="59BFF933" w:rsidR="00F51911" w:rsidRPr="0073118C" w:rsidRDefault="00F51911" w:rsidP="0073118C">
      <w:pPr>
        <w:pStyle w:val="EndnoteText"/>
        <w:jc w:val="both"/>
        <w:rPr>
          <w:rFonts w:cstheme="minorHAnsi"/>
          <w:iCs/>
        </w:rPr>
      </w:pPr>
      <w:r w:rsidRPr="0073118C">
        <w:rPr>
          <w:rStyle w:val="EndnoteReference"/>
          <w:rFonts w:cstheme="minorHAnsi"/>
        </w:rPr>
        <w:endnoteRef/>
      </w:r>
      <w:r w:rsidRPr="0073118C">
        <w:rPr>
          <w:rFonts w:cstheme="minorHAnsi"/>
        </w:rPr>
        <w:t xml:space="preserve"> Walker, </w:t>
      </w:r>
      <w:r w:rsidRPr="0073118C">
        <w:rPr>
          <w:rFonts w:cstheme="minorHAnsi"/>
          <w:i/>
        </w:rPr>
        <w:t>Inside/Outside</w:t>
      </w:r>
      <w:r w:rsidRPr="0073118C">
        <w:rPr>
          <w:rFonts w:cstheme="minorHAnsi"/>
          <w:iCs/>
        </w:rPr>
        <w:t>, p. 163.</w:t>
      </w:r>
    </w:p>
  </w:endnote>
  <w:endnote w:id="68">
    <w:p w14:paraId="55018658" w14:textId="6F345E0D" w:rsidR="00AA728D" w:rsidRPr="00AA728D" w:rsidRDefault="00AA728D" w:rsidP="0073118C">
      <w:pPr>
        <w:pStyle w:val="EndnoteText"/>
        <w:jc w:val="both"/>
      </w:pPr>
      <w:r w:rsidRPr="0073118C">
        <w:rPr>
          <w:rStyle w:val="EndnoteReference"/>
        </w:rPr>
        <w:endnoteRef/>
      </w:r>
      <w:r w:rsidRPr="0073118C">
        <w:t xml:space="preserve"> </w:t>
      </w:r>
      <w:r w:rsidRPr="0073118C">
        <w:rPr>
          <w:bCs/>
        </w:rPr>
        <w:t xml:space="preserve">This is particularly useful since </w:t>
      </w:r>
      <w:r w:rsidRPr="0073118C">
        <w:t>“performances of the state are often more explicit where changes are desired”</w:t>
      </w:r>
      <w:r w:rsidR="00F93149">
        <w:t xml:space="preserve"> (</w:t>
      </w:r>
      <w:r w:rsidR="00B27B7F" w:rsidRPr="0073118C">
        <w:t xml:space="preserve">Jeffrey, </w:t>
      </w:r>
      <w:r w:rsidR="009724BF" w:rsidRPr="0073118C">
        <w:rPr>
          <w:i/>
        </w:rPr>
        <w:t>The Improvised State</w:t>
      </w:r>
      <w:r w:rsidR="00B27B7F" w:rsidRPr="0073118C">
        <w:t xml:space="preserve">, </w:t>
      </w:r>
      <w:r w:rsidR="00425567" w:rsidRPr="0073118C">
        <w:t>p. 2</w:t>
      </w:r>
      <w:r w:rsidR="00F93149">
        <w:t>)</w:t>
      </w:r>
      <w:r w:rsidR="00425567" w:rsidRPr="0073118C">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0387" w14:textId="6D817C8A" w:rsidR="00F65E93" w:rsidRDefault="00F65E93">
    <w:pPr>
      <w:pStyle w:val="Footer"/>
      <w:jc w:val="center"/>
    </w:pPr>
  </w:p>
  <w:p w14:paraId="2B4B1329" w14:textId="77777777" w:rsidR="00F65E93" w:rsidRDefault="00F6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7B5F" w14:textId="77777777" w:rsidR="00B9126D" w:rsidRDefault="00B9126D" w:rsidP="0051593E">
      <w:r>
        <w:separator/>
      </w:r>
    </w:p>
  </w:footnote>
  <w:footnote w:type="continuationSeparator" w:id="0">
    <w:p w14:paraId="4E74BC06" w14:textId="77777777" w:rsidR="00B9126D" w:rsidRDefault="00B9126D" w:rsidP="0051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926"/>
    <w:multiLevelType w:val="hybridMultilevel"/>
    <w:tmpl w:val="BDEA2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402F6"/>
    <w:multiLevelType w:val="hybridMultilevel"/>
    <w:tmpl w:val="C3BA3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051D5"/>
    <w:multiLevelType w:val="hybridMultilevel"/>
    <w:tmpl w:val="BDEA2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6721F3"/>
    <w:multiLevelType w:val="hybridMultilevel"/>
    <w:tmpl w:val="06FE95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D336E2"/>
    <w:multiLevelType w:val="hybridMultilevel"/>
    <w:tmpl w:val="4AD8A7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F65B7"/>
    <w:multiLevelType w:val="hybridMultilevel"/>
    <w:tmpl w:val="AE348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247B2F"/>
    <w:multiLevelType w:val="hybridMultilevel"/>
    <w:tmpl w:val="CAFA5BF2"/>
    <w:lvl w:ilvl="0" w:tplc="9984E864">
      <w:start w:val="1"/>
      <w:numFmt w:val="lowerLetter"/>
      <w:lvlText w:val="%1."/>
      <w:lvlJc w:val="left"/>
      <w:pPr>
        <w:ind w:left="720" w:hanging="360"/>
      </w:pPr>
      <w:rPr>
        <w:rFonts w:hint="default"/>
        <w:color w:val="C0504D"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DD45B7"/>
    <w:multiLevelType w:val="hybridMultilevel"/>
    <w:tmpl w:val="22661F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EC6CDA"/>
    <w:multiLevelType w:val="hybridMultilevel"/>
    <w:tmpl w:val="B584F6D4"/>
    <w:lvl w:ilvl="0" w:tplc="3530E040">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17A41"/>
    <w:multiLevelType w:val="hybridMultilevel"/>
    <w:tmpl w:val="1DDAAA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64519B"/>
    <w:multiLevelType w:val="hybridMultilevel"/>
    <w:tmpl w:val="C3BA3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F6168D"/>
    <w:multiLevelType w:val="hybridMultilevel"/>
    <w:tmpl w:val="BDEA2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2C367F"/>
    <w:multiLevelType w:val="hybridMultilevel"/>
    <w:tmpl w:val="9B94F7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292061"/>
    <w:multiLevelType w:val="hybridMultilevel"/>
    <w:tmpl w:val="40FC67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7C1D45"/>
    <w:multiLevelType w:val="hybridMultilevel"/>
    <w:tmpl w:val="ECB0DAB6"/>
    <w:lvl w:ilvl="0" w:tplc="D3C26EF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12"/>
  </w:num>
  <w:num w:numId="6">
    <w:abstractNumId w:val="4"/>
  </w:num>
  <w:num w:numId="7">
    <w:abstractNumId w:val="13"/>
  </w:num>
  <w:num w:numId="8">
    <w:abstractNumId w:val="8"/>
  </w:num>
  <w:num w:numId="9">
    <w:abstractNumId w:val="0"/>
  </w:num>
  <w:num w:numId="10">
    <w:abstractNumId w:val="11"/>
  </w:num>
  <w:num w:numId="11">
    <w:abstractNumId w:val="6"/>
  </w:num>
  <w:num w:numId="12">
    <w:abstractNumId w:val="9"/>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Rev Intl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p0sdz2n5prezee0vmpeatvzspt5pp0dd2a&quot;&gt;Bibliographie générale&lt;record-ids&gt;&lt;item&gt;209&lt;/item&gt;&lt;item&gt;210&lt;/item&gt;&lt;item&gt;236&lt;/item&gt;&lt;item&gt;243&lt;/item&gt;&lt;item&gt;244&lt;/item&gt;&lt;item&gt;254&lt;/item&gt;&lt;item&gt;258&lt;/item&gt;&lt;item&gt;263&lt;/item&gt;&lt;item&gt;264&lt;/item&gt;&lt;item&gt;270&lt;/item&gt;&lt;item&gt;273&lt;/item&gt;&lt;item&gt;281&lt;/item&gt;&lt;item&gt;282&lt;/item&gt;&lt;item&gt;283&lt;/item&gt;&lt;item&gt;284&lt;/item&gt;&lt;item&gt;288&lt;/item&gt;&lt;item&gt;289&lt;/item&gt;&lt;item&gt;311&lt;/item&gt;&lt;item&gt;359&lt;/item&gt;&lt;item&gt;363&lt;/item&gt;&lt;item&gt;463&lt;/item&gt;&lt;item&gt;501&lt;/item&gt;&lt;item&gt;522&lt;/item&gt;&lt;item&gt;532&lt;/item&gt;&lt;item&gt;556&lt;/item&gt;&lt;item&gt;565&lt;/item&gt;&lt;item&gt;566&lt;/item&gt;&lt;item&gt;583&lt;/item&gt;&lt;item&gt;589&lt;/item&gt;&lt;item&gt;598&lt;/item&gt;&lt;item&gt;601&lt;/item&gt;&lt;item&gt;612&lt;/item&gt;&lt;item&gt;615&lt;/item&gt;&lt;item&gt;617&lt;/item&gt;&lt;item&gt;661&lt;/item&gt;&lt;item&gt;725&lt;/item&gt;&lt;item&gt;726&lt;/item&gt;&lt;item&gt;728&lt;/item&gt;&lt;item&gt;729&lt;/item&gt;&lt;item&gt;730&lt;/item&gt;&lt;/record-ids&gt;&lt;/item&gt;&lt;/Libraries&gt;"/>
  </w:docVars>
  <w:rsids>
    <w:rsidRoot w:val="00782013"/>
    <w:rsid w:val="0000233C"/>
    <w:rsid w:val="00002B54"/>
    <w:rsid w:val="000046C9"/>
    <w:rsid w:val="0000696E"/>
    <w:rsid w:val="00006A71"/>
    <w:rsid w:val="00006E65"/>
    <w:rsid w:val="00012433"/>
    <w:rsid w:val="0001293C"/>
    <w:rsid w:val="000132D4"/>
    <w:rsid w:val="00013CAD"/>
    <w:rsid w:val="000168B9"/>
    <w:rsid w:val="00020691"/>
    <w:rsid w:val="00020905"/>
    <w:rsid w:val="00020B16"/>
    <w:rsid w:val="000233BF"/>
    <w:rsid w:val="00024FC2"/>
    <w:rsid w:val="000265DD"/>
    <w:rsid w:val="00026692"/>
    <w:rsid w:val="00030245"/>
    <w:rsid w:val="00031063"/>
    <w:rsid w:val="0003195F"/>
    <w:rsid w:val="0003435D"/>
    <w:rsid w:val="00035739"/>
    <w:rsid w:val="00035F08"/>
    <w:rsid w:val="000361D2"/>
    <w:rsid w:val="00036E75"/>
    <w:rsid w:val="0004072F"/>
    <w:rsid w:val="00041D85"/>
    <w:rsid w:val="00042B0D"/>
    <w:rsid w:val="00042BB0"/>
    <w:rsid w:val="000440C9"/>
    <w:rsid w:val="0004468A"/>
    <w:rsid w:val="00044BCA"/>
    <w:rsid w:val="00045D61"/>
    <w:rsid w:val="00046FCB"/>
    <w:rsid w:val="00047208"/>
    <w:rsid w:val="00047382"/>
    <w:rsid w:val="0005063A"/>
    <w:rsid w:val="0005186C"/>
    <w:rsid w:val="0005280B"/>
    <w:rsid w:val="00052CBC"/>
    <w:rsid w:val="00054826"/>
    <w:rsid w:val="00054FD0"/>
    <w:rsid w:val="00055BD6"/>
    <w:rsid w:val="0005649E"/>
    <w:rsid w:val="000569F3"/>
    <w:rsid w:val="000572DC"/>
    <w:rsid w:val="00060E29"/>
    <w:rsid w:val="00061013"/>
    <w:rsid w:val="00063701"/>
    <w:rsid w:val="00064D3C"/>
    <w:rsid w:val="00066F68"/>
    <w:rsid w:val="00067A5C"/>
    <w:rsid w:val="00071E21"/>
    <w:rsid w:val="000722F1"/>
    <w:rsid w:val="00075FB4"/>
    <w:rsid w:val="00077B3E"/>
    <w:rsid w:val="00084E93"/>
    <w:rsid w:val="000876B2"/>
    <w:rsid w:val="00091A84"/>
    <w:rsid w:val="00094425"/>
    <w:rsid w:val="000A05BC"/>
    <w:rsid w:val="000A0AE9"/>
    <w:rsid w:val="000A0C52"/>
    <w:rsid w:val="000A19EE"/>
    <w:rsid w:val="000A2B76"/>
    <w:rsid w:val="000A3330"/>
    <w:rsid w:val="000A3CE3"/>
    <w:rsid w:val="000A4010"/>
    <w:rsid w:val="000A4303"/>
    <w:rsid w:val="000A4D8C"/>
    <w:rsid w:val="000B16D7"/>
    <w:rsid w:val="000B19D5"/>
    <w:rsid w:val="000B38F5"/>
    <w:rsid w:val="000B4BDE"/>
    <w:rsid w:val="000B4C9A"/>
    <w:rsid w:val="000B6718"/>
    <w:rsid w:val="000C4C11"/>
    <w:rsid w:val="000C4DAB"/>
    <w:rsid w:val="000C5BF3"/>
    <w:rsid w:val="000C6E18"/>
    <w:rsid w:val="000C79B5"/>
    <w:rsid w:val="000D1A38"/>
    <w:rsid w:val="000D6D5B"/>
    <w:rsid w:val="000D7553"/>
    <w:rsid w:val="000D7FA1"/>
    <w:rsid w:val="000E0B8D"/>
    <w:rsid w:val="000E15E3"/>
    <w:rsid w:val="000E18F5"/>
    <w:rsid w:val="000E346D"/>
    <w:rsid w:val="000F04EF"/>
    <w:rsid w:val="000F313C"/>
    <w:rsid w:val="000F3D8F"/>
    <w:rsid w:val="000F6492"/>
    <w:rsid w:val="000F7CC9"/>
    <w:rsid w:val="000F7CFD"/>
    <w:rsid w:val="00103373"/>
    <w:rsid w:val="00103664"/>
    <w:rsid w:val="00103E79"/>
    <w:rsid w:val="00104A1B"/>
    <w:rsid w:val="00104A66"/>
    <w:rsid w:val="00107976"/>
    <w:rsid w:val="00110126"/>
    <w:rsid w:val="00111ECC"/>
    <w:rsid w:val="0011385C"/>
    <w:rsid w:val="00116714"/>
    <w:rsid w:val="00120F01"/>
    <w:rsid w:val="001243EE"/>
    <w:rsid w:val="0012513D"/>
    <w:rsid w:val="00127DB8"/>
    <w:rsid w:val="001307A0"/>
    <w:rsid w:val="00130E62"/>
    <w:rsid w:val="00131366"/>
    <w:rsid w:val="001325EF"/>
    <w:rsid w:val="0013293C"/>
    <w:rsid w:val="001336D4"/>
    <w:rsid w:val="00134047"/>
    <w:rsid w:val="00134C5C"/>
    <w:rsid w:val="00135277"/>
    <w:rsid w:val="001365DA"/>
    <w:rsid w:val="001375A3"/>
    <w:rsid w:val="00137868"/>
    <w:rsid w:val="00141053"/>
    <w:rsid w:val="00141A06"/>
    <w:rsid w:val="00142330"/>
    <w:rsid w:val="00142B4D"/>
    <w:rsid w:val="00143162"/>
    <w:rsid w:val="00143DD0"/>
    <w:rsid w:val="001456F1"/>
    <w:rsid w:val="0014602A"/>
    <w:rsid w:val="0014690B"/>
    <w:rsid w:val="001503F6"/>
    <w:rsid w:val="001507D5"/>
    <w:rsid w:val="00152C67"/>
    <w:rsid w:val="00154358"/>
    <w:rsid w:val="00157142"/>
    <w:rsid w:val="001618DB"/>
    <w:rsid w:val="001651F8"/>
    <w:rsid w:val="001652A0"/>
    <w:rsid w:val="00167609"/>
    <w:rsid w:val="00167823"/>
    <w:rsid w:val="00167A4A"/>
    <w:rsid w:val="00167EE0"/>
    <w:rsid w:val="00170270"/>
    <w:rsid w:val="0017094F"/>
    <w:rsid w:val="00171343"/>
    <w:rsid w:val="00171B03"/>
    <w:rsid w:val="00171CF2"/>
    <w:rsid w:val="00174E24"/>
    <w:rsid w:val="00180A4A"/>
    <w:rsid w:val="00181771"/>
    <w:rsid w:val="00183D89"/>
    <w:rsid w:val="001840B8"/>
    <w:rsid w:val="001847E2"/>
    <w:rsid w:val="00184941"/>
    <w:rsid w:val="0018501B"/>
    <w:rsid w:val="0018515D"/>
    <w:rsid w:val="00185E3C"/>
    <w:rsid w:val="00187355"/>
    <w:rsid w:val="001879AB"/>
    <w:rsid w:val="0019087F"/>
    <w:rsid w:val="00192D0A"/>
    <w:rsid w:val="001947F9"/>
    <w:rsid w:val="00195610"/>
    <w:rsid w:val="00195D66"/>
    <w:rsid w:val="001974E9"/>
    <w:rsid w:val="00197C0A"/>
    <w:rsid w:val="001A079E"/>
    <w:rsid w:val="001A0803"/>
    <w:rsid w:val="001A0963"/>
    <w:rsid w:val="001A1333"/>
    <w:rsid w:val="001A1F6D"/>
    <w:rsid w:val="001A22EC"/>
    <w:rsid w:val="001A2EB3"/>
    <w:rsid w:val="001A2F75"/>
    <w:rsid w:val="001A30D3"/>
    <w:rsid w:val="001A4B4F"/>
    <w:rsid w:val="001A58A2"/>
    <w:rsid w:val="001A59A1"/>
    <w:rsid w:val="001A5FEC"/>
    <w:rsid w:val="001A68E5"/>
    <w:rsid w:val="001A7616"/>
    <w:rsid w:val="001B0CEE"/>
    <w:rsid w:val="001B1C3F"/>
    <w:rsid w:val="001B1FEB"/>
    <w:rsid w:val="001B207E"/>
    <w:rsid w:val="001B65D3"/>
    <w:rsid w:val="001B6AB7"/>
    <w:rsid w:val="001C0D9C"/>
    <w:rsid w:val="001C21C5"/>
    <w:rsid w:val="001C3E74"/>
    <w:rsid w:val="001C44B8"/>
    <w:rsid w:val="001C629B"/>
    <w:rsid w:val="001C646D"/>
    <w:rsid w:val="001C6953"/>
    <w:rsid w:val="001C7469"/>
    <w:rsid w:val="001D2763"/>
    <w:rsid w:val="001D2EC5"/>
    <w:rsid w:val="001D3ABA"/>
    <w:rsid w:val="001D625A"/>
    <w:rsid w:val="001D6ED1"/>
    <w:rsid w:val="001D7076"/>
    <w:rsid w:val="001E1215"/>
    <w:rsid w:val="001E122C"/>
    <w:rsid w:val="001E2EB1"/>
    <w:rsid w:val="001E31A8"/>
    <w:rsid w:val="001E3A80"/>
    <w:rsid w:val="001E3D8F"/>
    <w:rsid w:val="001E4584"/>
    <w:rsid w:val="001E6295"/>
    <w:rsid w:val="001F1137"/>
    <w:rsid w:val="001F1FB5"/>
    <w:rsid w:val="001F3260"/>
    <w:rsid w:val="001F363A"/>
    <w:rsid w:val="001F4363"/>
    <w:rsid w:val="001F5403"/>
    <w:rsid w:val="001F56EF"/>
    <w:rsid w:val="001F7BFD"/>
    <w:rsid w:val="00202845"/>
    <w:rsid w:val="00202DDC"/>
    <w:rsid w:val="00211AEF"/>
    <w:rsid w:val="0021205F"/>
    <w:rsid w:val="00212339"/>
    <w:rsid w:val="0021288C"/>
    <w:rsid w:val="00213D9C"/>
    <w:rsid w:val="002149F6"/>
    <w:rsid w:val="00215A2B"/>
    <w:rsid w:val="002165AA"/>
    <w:rsid w:val="00217675"/>
    <w:rsid w:val="002176ED"/>
    <w:rsid w:val="00221AC3"/>
    <w:rsid w:val="00221EB2"/>
    <w:rsid w:val="00222E3B"/>
    <w:rsid w:val="00223AC4"/>
    <w:rsid w:val="00224FD9"/>
    <w:rsid w:val="002269A9"/>
    <w:rsid w:val="00226B92"/>
    <w:rsid w:val="002308F7"/>
    <w:rsid w:val="00233D57"/>
    <w:rsid w:val="00233DEB"/>
    <w:rsid w:val="00235957"/>
    <w:rsid w:val="00236039"/>
    <w:rsid w:val="00240E2F"/>
    <w:rsid w:val="0024267A"/>
    <w:rsid w:val="002427B6"/>
    <w:rsid w:val="00242AEA"/>
    <w:rsid w:val="00243A9F"/>
    <w:rsid w:val="00245902"/>
    <w:rsid w:val="00245934"/>
    <w:rsid w:val="00245EA2"/>
    <w:rsid w:val="00247D4E"/>
    <w:rsid w:val="002521EE"/>
    <w:rsid w:val="00254013"/>
    <w:rsid w:val="00257B36"/>
    <w:rsid w:val="00260300"/>
    <w:rsid w:val="00262672"/>
    <w:rsid w:val="0026284A"/>
    <w:rsid w:val="0026341C"/>
    <w:rsid w:val="00263E79"/>
    <w:rsid w:val="00264D43"/>
    <w:rsid w:val="00266E2C"/>
    <w:rsid w:val="002671B5"/>
    <w:rsid w:val="00267A23"/>
    <w:rsid w:val="00270692"/>
    <w:rsid w:val="00270C49"/>
    <w:rsid w:val="00271E7D"/>
    <w:rsid w:val="00273080"/>
    <w:rsid w:val="00276BFB"/>
    <w:rsid w:val="00277361"/>
    <w:rsid w:val="00277DA3"/>
    <w:rsid w:val="002809CF"/>
    <w:rsid w:val="00283E6F"/>
    <w:rsid w:val="00283E8F"/>
    <w:rsid w:val="002850F1"/>
    <w:rsid w:val="002866E2"/>
    <w:rsid w:val="00286FF4"/>
    <w:rsid w:val="00290343"/>
    <w:rsid w:val="00290635"/>
    <w:rsid w:val="00290D5B"/>
    <w:rsid w:val="00290D82"/>
    <w:rsid w:val="0029107C"/>
    <w:rsid w:val="002915B0"/>
    <w:rsid w:val="00291DB6"/>
    <w:rsid w:val="00292A08"/>
    <w:rsid w:val="00293548"/>
    <w:rsid w:val="0029356F"/>
    <w:rsid w:val="00294579"/>
    <w:rsid w:val="00294BB6"/>
    <w:rsid w:val="00295631"/>
    <w:rsid w:val="00295EDC"/>
    <w:rsid w:val="002977B2"/>
    <w:rsid w:val="00297B66"/>
    <w:rsid w:val="002A1920"/>
    <w:rsid w:val="002A1E26"/>
    <w:rsid w:val="002A428E"/>
    <w:rsid w:val="002A5C13"/>
    <w:rsid w:val="002A5DCA"/>
    <w:rsid w:val="002A6020"/>
    <w:rsid w:val="002B03B2"/>
    <w:rsid w:val="002B0764"/>
    <w:rsid w:val="002B0D6F"/>
    <w:rsid w:val="002B3514"/>
    <w:rsid w:val="002B6CFE"/>
    <w:rsid w:val="002B72E7"/>
    <w:rsid w:val="002B770F"/>
    <w:rsid w:val="002B7C40"/>
    <w:rsid w:val="002B7C88"/>
    <w:rsid w:val="002C004B"/>
    <w:rsid w:val="002C0778"/>
    <w:rsid w:val="002C1087"/>
    <w:rsid w:val="002C1125"/>
    <w:rsid w:val="002C3515"/>
    <w:rsid w:val="002C3DD7"/>
    <w:rsid w:val="002C4641"/>
    <w:rsid w:val="002C478B"/>
    <w:rsid w:val="002C4BBF"/>
    <w:rsid w:val="002C55EC"/>
    <w:rsid w:val="002C6D48"/>
    <w:rsid w:val="002C7221"/>
    <w:rsid w:val="002D05F4"/>
    <w:rsid w:val="002D0D3C"/>
    <w:rsid w:val="002D2197"/>
    <w:rsid w:val="002D2F39"/>
    <w:rsid w:val="002D3514"/>
    <w:rsid w:val="002E033F"/>
    <w:rsid w:val="002E0D6C"/>
    <w:rsid w:val="002E0ED7"/>
    <w:rsid w:val="002E135B"/>
    <w:rsid w:val="002E2E8B"/>
    <w:rsid w:val="002E3D97"/>
    <w:rsid w:val="002E5146"/>
    <w:rsid w:val="002E598F"/>
    <w:rsid w:val="002F0DEA"/>
    <w:rsid w:val="002F134E"/>
    <w:rsid w:val="002F1EBD"/>
    <w:rsid w:val="002F2E02"/>
    <w:rsid w:val="002F3AE5"/>
    <w:rsid w:val="002F71F2"/>
    <w:rsid w:val="002F721A"/>
    <w:rsid w:val="002F7C35"/>
    <w:rsid w:val="002F7ED8"/>
    <w:rsid w:val="002F7F21"/>
    <w:rsid w:val="00301368"/>
    <w:rsid w:val="00304497"/>
    <w:rsid w:val="00304B0A"/>
    <w:rsid w:val="0030599C"/>
    <w:rsid w:val="00306700"/>
    <w:rsid w:val="00306992"/>
    <w:rsid w:val="00307061"/>
    <w:rsid w:val="003076D9"/>
    <w:rsid w:val="00310178"/>
    <w:rsid w:val="00310248"/>
    <w:rsid w:val="00310A7E"/>
    <w:rsid w:val="003118EC"/>
    <w:rsid w:val="00312675"/>
    <w:rsid w:val="00312D95"/>
    <w:rsid w:val="00312F46"/>
    <w:rsid w:val="00313E8F"/>
    <w:rsid w:val="00314018"/>
    <w:rsid w:val="00314A1A"/>
    <w:rsid w:val="00315424"/>
    <w:rsid w:val="003173C4"/>
    <w:rsid w:val="0032032F"/>
    <w:rsid w:val="003218B8"/>
    <w:rsid w:val="00321DB2"/>
    <w:rsid w:val="00322EE7"/>
    <w:rsid w:val="0032358C"/>
    <w:rsid w:val="0032513D"/>
    <w:rsid w:val="00330B6F"/>
    <w:rsid w:val="00330EE3"/>
    <w:rsid w:val="00332D85"/>
    <w:rsid w:val="003343FA"/>
    <w:rsid w:val="00334475"/>
    <w:rsid w:val="003353BC"/>
    <w:rsid w:val="0033603E"/>
    <w:rsid w:val="003360A8"/>
    <w:rsid w:val="00336A60"/>
    <w:rsid w:val="00337A39"/>
    <w:rsid w:val="0034036A"/>
    <w:rsid w:val="003404FE"/>
    <w:rsid w:val="00342D2E"/>
    <w:rsid w:val="0034522D"/>
    <w:rsid w:val="003459C2"/>
    <w:rsid w:val="003459C8"/>
    <w:rsid w:val="00347C14"/>
    <w:rsid w:val="0035037E"/>
    <w:rsid w:val="00350950"/>
    <w:rsid w:val="00352600"/>
    <w:rsid w:val="00353503"/>
    <w:rsid w:val="00361FD4"/>
    <w:rsid w:val="00362F7A"/>
    <w:rsid w:val="00363F08"/>
    <w:rsid w:val="0036423B"/>
    <w:rsid w:val="00365409"/>
    <w:rsid w:val="00365FFE"/>
    <w:rsid w:val="00366CC1"/>
    <w:rsid w:val="00366D16"/>
    <w:rsid w:val="00366FA3"/>
    <w:rsid w:val="0036753B"/>
    <w:rsid w:val="003700AE"/>
    <w:rsid w:val="00370C94"/>
    <w:rsid w:val="00371C42"/>
    <w:rsid w:val="00371FF4"/>
    <w:rsid w:val="00372708"/>
    <w:rsid w:val="003727A5"/>
    <w:rsid w:val="00372832"/>
    <w:rsid w:val="00372FC3"/>
    <w:rsid w:val="003736D0"/>
    <w:rsid w:val="00374A58"/>
    <w:rsid w:val="00374C02"/>
    <w:rsid w:val="00376D9C"/>
    <w:rsid w:val="00377FAC"/>
    <w:rsid w:val="0038033F"/>
    <w:rsid w:val="00380A4B"/>
    <w:rsid w:val="00380BD7"/>
    <w:rsid w:val="003825F7"/>
    <w:rsid w:val="0038364E"/>
    <w:rsid w:val="00383D48"/>
    <w:rsid w:val="003858CB"/>
    <w:rsid w:val="003903B2"/>
    <w:rsid w:val="003904DE"/>
    <w:rsid w:val="00391B25"/>
    <w:rsid w:val="00392F35"/>
    <w:rsid w:val="00393F25"/>
    <w:rsid w:val="00394271"/>
    <w:rsid w:val="0039466F"/>
    <w:rsid w:val="00395D8B"/>
    <w:rsid w:val="00396516"/>
    <w:rsid w:val="00396763"/>
    <w:rsid w:val="00397707"/>
    <w:rsid w:val="003A16B1"/>
    <w:rsid w:val="003A1754"/>
    <w:rsid w:val="003A1847"/>
    <w:rsid w:val="003A31AB"/>
    <w:rsid w:val="003A637D"/>
    <w:rsid w:val="003A695C"/>
    <w:rsid w:val="003A7346"/>
    <w:rsid w:val="003B101F"/>
    <w:rsid w:val="003B22D2"/>
    <w:rsid w:val="003B5B86"/>
    <w:rsid w:val="003B5D2D"/>
    <w:rsid w:val="003B6A61"/>
    <w:rsid w:val="003B77B3"/>
    <w:rsid w:val="003C016F"/>
    <w:rsid w:val="003C2754"/>
    <w:rsid w:val="003C372F"/>
    <w:rsid w:val="003C3FD0"/>
    <w:rsid w:val="003C7ACB"/>
    <w:rsid w:val="003D08FB"/>
    <w:rsid w:val="003D1964"/>
    <w:rsid w:val="003D1F71"/>
    <w:rsid w:val="003D21D2"/>
    <w:rsid w:val="003D4A82"/>
    <w:rsid w:val="003D4D90"/>
    <w:rsid w:val="003D57A6"/>
    <w:rsid w:val="003D5950"/>
    <w:rsid w:val="003E09F3"/>
    <w:rsid w:val="003E27DB"/>
    <w:rsid w:val="003E291B"/>
    <w:rsid w:val="003E2965"/>
    <w:rsid w:val="003E33AC"/>
    <w:rsid w:val="003E3506"/>
    <w:rsid w:val="003E3A92"/>
    <w:rsid w:val="003E49E3"/>
    <w:rsid w:val="003E4E90"/>
    <w:rsid w:val="003E79FE"/>
    <w:rsid w:val="003F2858"/>
    <w:rsid w:val="003F41DE"/>
    <w:rsid w:val="003F5EFD"/>
    <w:rsid w:val="003F6300"/>
    <w:rsid w:val="003F6F80"/>
    <w:rsid w:val="003F70EF"/>
    <w:rsid w:val="003F77E9"/>
    <w:rsid w:val="00403998"/>
    <w:rsid w:val="00403A58"/>
    <w:rsid w:val="0040493A"/>
    <w:rsid w:val="004062F2"/>
    <w:rsid w:val="0040775E"/>
    <w:rsid w:val="00410402"/>
    <w:rsid w:val="004115FC"/>
    <w:rsid w:val="00411850"/>
    <w:rsid w:val="004136AA"/>
    <w:rsid w:val="00414C48"/>
    <w:rsid w:val="0041519F"/>
    <w:rsid w:val="004161F4"/>
    <w:rsid w:val="00416E11"/>
    <w:rsid w:val="004174CD"/>
    <w:rsid w:val="00417CD0"/>
    <w:rsid w:val="004216E7"/>
    <w:rsid w:val="00421897"/>
    <w:rsid w:val="00421C31"/>
    <w:rsid w:val="0042224B"/>
    <w:rsid w:val="00422968"/>
    <w:rsid w:val="00423525"/>
    <w:rsid w:val="00423AD4"/>
    <w:rsid w:val="00423B1E"/>
    <w:rsid w:val="00425567"/>
    <w:rsid w:val="00427986"/>
    <w:rsid w:val="0043017F"/>
    <w:rsid w:val="00430293"/>
    <w:rsid w:val="004315A3"/>
    <w:rsid w:val="004316EF"/>
    <w:rsid w:val="0043424C"/>
    <w:rsid w:val="00434EDD"/>
    <w:rsid w:val="00435570"/>
    <w:rsid w:val="0043646E"/>
    <w:rsid w:val="00437D11"/>
    <w:rsid w:val="00441432"/>
    <w:rsid w:val="0044312B"/>
    <w:rsid w:val="00444A99"/>
    <w:rsid w:val="00445CD1"/>
    <w:rsid w:val="00445E0E"/>
    <w:rsid w:val="0044747B"/>
    <w:rsid w:val="004475E0"/>
    <w:rsid w:val="00450BA2"/>
    <w:rsid w:val="004514FD"/>
    <w:rsid w:val="004525B6"/>
    <w:rsid w:val="00453C22"/>
    <w:rsid w:val="00455D8E"/>
    <w:rsid w:val="00456660"/>
    <w:rsid w:val="004568CE"/>
    <w:rsid w:val="00457073"/>
    <w:rsid w:val="0046062B"/>
    <w:rsid w:val="00460CB1"/>
    <w:rsid w:val="0046276F"/>
    <w:rsid w:val="004628AC"/>
    <w:rsid w:val="0046428C"/>
    <w:rsid w:val="004651B5"/>
    <w:rsid w:val="0046671B"/>
    <w:rsid w:val="0046733B"/>
    <w:rsid w:val="00467BE9"/>
    <w:rsid w:val="00467F3E"/>
    <w:rsid w:val="00471611"/>
    <w:rsid w:val="004719D1"/>
    <w:rsid w:val="00474E9D"/>
    <w:rsid w:val="004768BE"/>
    <w:rsid w:val="004779D3"/>
    <w:rsid w:val="00480267"/>
    <w:rsid w:val="004806B6"/>
    <w:rsid w:val="004806DB"/>
    <w:rsid w:val="004814CD"/>
    <w:rsid w:val="00481A1C"/>
    <w:rsid w:val="00481AD6"/>
    <w:rsid w:val="00483139"/>
    <w:rsid w:val="00483BBE"/>
    <w:rsid w:val="0048452B"/>
    <w:rsid w:val="004845F1"/>
    <w:rsid w:val="0048576F"/>
    <w:rsid w:val="00486D71"/>
    <w:rsid w:val="00491BE2"/>
    <w:rsid w:val="00491CC5"/>
    <w:rsid w:val="0049243E"/>
    <w:rsid w:val="004932E1"/>
    <w:rsid w:val="00493617"/>
    <w:rsid w:val="00494195"/>
    <w:rsid w:val="00494D06"/>
    <w:rsid w:val="00494FB3"/>
    <w:rsid w:val="004965D0"/>
    <w:rsid w:val="00497883"/>
    <w:rsid w:val="004A1D95"/>
    <w:rsid w:val="004A4A19"/>
    <w:rsid w:val="004A6841"/>
    <w:rsid w:val="004A68A9"/>
    <w:rsid w:val="004A6A14"/>
    <w:rsid w:val="004A6A75"/>
    <w:rsid w:val="004A6BEA"/>
    <w:rsid w:val="004A7396"/>
    <w:rsid w:val="004B2035"/>
    <w:rsid w:val="004B22D5"/>
    <w:rsid w:val="004B250F"/>
    <w:rsid w:val="004B31E6"/>
    <w:rsid w:val="004B38E7"/>
    <w:rsid w:val="004B4A6E"/>
    <w:rsid w:val="004B6745"/>
    <w:rsid w:val="004B7058"/>
    <w:rsid w:val="004B7597"/>
    <w:rsid w:val="004B788D"/>
    <w:rsid w:val="004C045C"/>
    <w:rsid w:val="004C074B"/>
    <w:rsid w:val="004C0B10"/>
    <w:rsid w:val="004C0DB8"/>
    <w:rsid w:val="004C0FC1"/>
    <w:rsid w:val="004C1964"/>
    <w:rsid w:val="004C7278"/>
    <w:rsid w:val="004C74BD"/>
    <w:rsid w:val="004C7A86"/>
    <w:rsid w:val="004D06E0"/>
    <w:rsid w:val="004D18D3"/>
    <w:rsid w:val="004D1C9F"/>
    <w:rsid w:val="004D447C"/>
    <w:rsid w:val="004D7FAE"/>
    <w:rsid w:val="004E1E6D"/>
    <w:rsid w:val="004E20D6"/>
    <w:rsid w:val="004E422D"/>
    <w:rsid w:val="004E4F4A"/>
    <w:rsid w:val="004E54BF"/>
    <w:rsid w:val="004E59CD"/>
    <w:rsid w:val="004E69B0"/>
    <w:rsid w:val="004E6A76"/>
    <w:rsid w:val="004E6A84"/>
    <w:rsid w:val="004E70B2"/>
    <w:rsid w:val="004E71DB"/>
    <w:rsid w:val="004F0814"/>
    <w:rsid w:val="004F433B"/>
    <w:rsid w:val="004F43B5"/>
    <w:rsid w:val="004F62CB"/>
    <w:rsid w:val="004F6671"/>
    <w:rsid w:val="0050075C"/>
    <w:rsid w:val="00501639"/>
    <w:rsid w:val="00501ACE"/>
    <w:rsid w:val="00502579"/>
    <w:rsid w:val="005043B0"/>
    <w:rsid w:val="00504485"/>
    <w:rsid w:val="00506DC7"/>
    <w:rsid w:val="00507044"/>
    <w:rsid w:val="00510AF9"/>
    <w:rsid w:val="00510C49"/>
    <w:rsid w:val="005157B1"/>
    <w:rsid w:val="0051593E"/>
    <w:rsid w:val="005171CA"/>
    <w:rsid w:val="00517F77"/>
    <w:rsid w:val="00521C89"/>
    <w:rsid w:val="00521F0E"/>
    <w:rsid w:val="005220AC"/>
    <w:rsid w:val="00522462"/>
    <w:rsid w:val="00524536"/>
    <w:rsid w:val="00525330"/>
    <w:rsid w:val="00526425"/>
    <w:rsid w:val="005301BD"/>
    <w:rsid w:val="005314B7"/>
    <w:rsid w:val="00531634"/>
    <w:rsid w:val="00531AFA"/>
    <w:rsid w:val="00531BD1"/>
    <w:rsid w:val="005350CD"/>
    <w:rsid w:val="005370EA"/>
    <w:rsid w:val="00537637"/>
    <w:rsid w:val="00537F3A"/>
    <w:rsid w:val="00540412"/>
    <w:rsid w:val="00540964"/>
    <w:rsid w:val="00540A96"/>
    <w:rsid w:val="0054170A"/>
    <w:rsid w:val="00544E99"/>
    <w:rsid w:val="00544E9E"/>
    <w:rsid w:val="00545AE1"/>
    <w:rsid w:val="00546C48"/>
    <w:rsid w:val="00546CB5"/>
    <w:rsid w:val="0055050A"/>
    <w:rsid w:val="00550DC4"/>
    <w:rsid w:val="00550E30"/>
    <w:rsid w:val="00552EB9"/>
    <w:rsid w:val="005551BB"/>
    <w:rsid w:val="00556A5F"/>
    <w:rsid w:val="005572A7"/>
    <w:rsid w:val="00560934"/>
    <w:rsid w:val="00562721"/>
    <w:rsid w:val="005630D5"/>
    <w:rsid w:val="005647B5"/>
    <w:rsid w:val="005648B2"/>
    <w:rsid w:val="00565D14"/>
    <w:rsid w:val="00567511"/>
    <w:rsid w:val="005675FE"/>
    <w:rsid w:val="00567D97"/>
    <w:rsid w:val="00570826"/>
    <w:rsid w:val="00571C86"/>
    <w:rsid w:val="00573AFB"/>
    <w:rsid w:val="005749D6"/>
    <w:rsid w:val="00575A0C"/>
    <w:rsid w:val="00576267"/>
    <w:rsid w:val="005772F0"/>
    <w:rsid w:val="00577BEC"/>
    <w:rsid w:val="005808BB"/>
    <w:rsid w:val="005808F0"/>
    <w:rsid w:val="00581088"/>
    <w:rsid w:val="00581DFE"/>
    <w:rsid w:val="0058205F"/>
    <w:rsid w:val="0058253F"/>
    <w:rsid w:val="0058263D"/>
    <w:rsid w:val="00583465"/>
    <w:rsid w:val="00583B5B"/>
    <w:rsid w:val="00585DB6"/>
    <w:rsid w:val="0058608D"/>
    <w:rsid w:val="005864C5"/>
    <w:rsid w:val="00586702"/>
    <w:rsid w:val="00586FDA"/>
    <w:rsid w:val="00590252"/>
    <w:rsid w:val="00591234"/>
    <w:rsid w:val="00591334"/>
    <w:rsid w:val="005919F5"/>
    <w:rsid w:val="005929D8"/>
    <w:rsid w:val="00592C66"/>
    <w:rsid w:val="00593048"/>
    <w:rsid w:val="00593CBC"/>
    <w:rsid w:val="00593EA8"/>
    <w:rsid w:val="00594A55"/>
    <w:rsid w:val="00594A6C"/>
    <w:rsid w:val="00594BEF"/>
    <w:rsid w:val="005A1E68"/>
    <w:rsid w:val="005A34D0"/>
    <w:rsid w:val="005A3C71"/>
    <w:rsid w:val="005A631B"/>
    <w:rsid w:val="005A6C1C"/>
    <w:rsid w:val="005B04F6"/>
    <w:rsid w:val="005B0EDD"/>
    <w:rsid w:val="005B1604"/>
    <w:rsid w:val="005B29F5"/>
    <w:rsid w:val="005B31B1"/>
    <w:rsid w:val="005B39A2"/>
    <w:rsid w:val="005B3E6E"/>
    <w:rsid w:val="005B4D29"/>
    <w:rsid w:val="005B4FD9"/>
    <w:rsid w:val="005B6B07"/>
    <w:rsid w:val="005C0FDA"/>
    <w:rsid w:val="005C1852"/>
    <w:rsid w:val="005C1918"/>
    <w:rsid w:val="005C3E5E"/>
    <w:rsid w:val="005C3F90"/>
    <w:rsid w:val="005C428C"/>
    <w:rsid w:val="005C43B7"/>
    <w:rsid w:val="005C46DE"/>
    <w:rsid w:val="005C6939"/>
    <w:rsid w:val="005C6A62"/>
    <w:rsid w:val="005C753B"/>
    <w:rsid w:val="005D00A5"/>
    <w:rsid w:val="005D01BC"/>
    <w:rsid w:val="005D1CF2"/>
    <w:rsid w:val="005D1E27"/>
    <w:rsid w:val="005D2B46"/>
    <w:rsid w:val="005D30CB"/>
    <w:rsid w:val="005D382E"/>
    <w:rsid w:val="005D50A9"/>
    <w:rsid w:val="005D66E2"/>
    <w:rsid w:val="005D76F1"/>
    <w:rsid w:val="005D7702"/>
    <w:rsid w:val="005E12DD"/>
    <w:rsid w:val="005E2BF3"/>
    <w:rsid w:val="005E3E92"/>
    <w:rsid w:val="005E65D2"/>
    <w:rsid w:val="005E6973"/>
    <w:rsid w:val="005E6DB1"/>
    <w:rsid w:val="005E6E16"/>
    <w:rsid w:val="005E7536"/>
    <w:rsid w:val="005E7E6D"/>
    <w:rsid w:val="005F0820"/>
    <w:rsid w:val="005F0B94"/>
    <w:rsid w:val="005F2153"/>
    <w:rsid w:val="005F2415"/>
    <w:rsid w:val="005F275A"/>
    <w:rsid w:val="005F2859"/>
    <w:rsid w:val="005F2FBE"/>
    <w:rsid w:val="005F5AC8"/>
    <w:rsid w:val="006004CF"/>
    <w:rsid w:val="006023DD"/>
    <w:rsid w:val="00603F52"/>
    <w:rsid w:val="006043A7"/>
    <w:rsid w:val="00611138"/>
    <w:rsid w:val="006111D5"/>
    <w:rsid w:val="006117FE"/>
    <w:rsid w:val="0061253A"/>
    <w:rsid w:val="00612BE0"/>
    <w:rsid w:val="00612CB2"/>
    <w:rsid w:val="00613229"/>
    <w:rsid w:val="00613279"/>
    <w:rsid w:val="0061439B"/>
    <w:rsid w:val="006144D1"/>
    <w:rsid w:val="006157E1"/>
    <w:rsid w:val="00615E77"/>
    <w:rsid w:val="00617064"/>
    <w:rsid w:val="006178EF"/>
    <w:rsid w:val="006178FE"/>
    <w:rsid w:val="00617F98"/>
    <w:rsid w:val="00620046"/>
    <w:rsid w:val="006201E3"/>
    <w:rsid w:val="006220C5"/>
    <w:rsid w:val="006226CF"/>
    <w:rsid w:val="00622909"/>
    <w:rsid w:val="00624663"/>
    <w:rsid w:val="0062533C"/>
    <w:rsid w:val="00630CCE"/>
    <w:rsid w:val="00632F2A"/>
    <w:rsid w:val="006335C3"/>
    <w:rsid w:val="00633D3D"/>
    <w:rsid w:val="00633EFA"/>
    <w:rsid w:val="006351B7"/>
    <w:rsid w:val="00635A54"/>
    <w:rsid w:val="00635EDC"/>
    <w:rsid w:val="00636212"/>
    <w:rsid w:val="00636977"/>
    <w:rsid w:val="0063720F"/>
    <w:rsid w:val="00637972"/>
    <w:rsid w:val="006400A5"/>
    <w:rsid w:val="0064251B"/>
    <w:rsid w:val="0064464C"/>
    <w:rsid w:val="00646757"/>
    <w:rsid w:val="0064677C"/>
    <w:rsid w:val="006506A0"/>
    <w:rsid w:val="0065097E"/>
    <w:rsid w:val="00650EEE"/>
    <w:rsid w:val="00654280"/>
    <w:rsid w:val="0065460A"/>
    <w:rsid w:val="00655066"/>
    <w:rsid w:val="00655FD6"/>
    <w:rsid w:val="00656142"/>
    <w:rsid w:val="0065701A"/>
    <w:rsid w:val="00660F8C"/>
    <w:rsid w:val="00661B99"/>
    <w:rsid w:val="00662247"/>
    <w:rsid w:val="006625E6"/>
    <w:rsid w:val="00663202"/>
    <w:rsid w:val="0066348C"/>
    <w:rsid w:val="006650E2"/>
    <w:rsid w:val="00666FA9"/>
    <w:rsid w:val="006679F9"/>
    <w:rsid w:val="006711FB"/>
    <w:rsid w:val="00671518"/>
    <w:rsid w:val="00672719"/>
    <w:rsid w:val="00673420"/>
    <w:rsid w:val="006748E8"/>
    <w:rsid w:val="006755A7"/>
    <w:rsid w:val="006802D0"/>
    <w:rsid w:val="00680E8B"/>
    <w:rsid w:val="006817AE"/>
    <w:rsid w:val="0068211D"/>
    <w:rsid w:val="00682AAD"/>
    <w:rsid w:val="006841F2"/>
    <w:rsid w:val="00684453"/>
    <w:rsid w:val="00684D5E"/>
    <w:rsid w:val="00685095"/>
    <w:rsid w:val="0068525E"/>
    <w:rsid w:val="00685288"/>
    <w:rsid w:val="00686528"/>
    <w:rsid w:val="0068730F"/>
    <w:rsid w:val="006911A2"/>
    <w:rsid w:val="006959A2"/>
    <w:rsid w:val="00696572"/>
    <w:rsid w:val="006965BB"/>
    <w:rsid w:val="006965E3"/>
    <w:rsid w:val="006972DF"/>
    <w:rsid w:val="0069740B"/>
    <w:rsid w:val="00697790"/>
    <w:rsid w:val="006979A7"/>
    <w:rsid w:val="006A1689"/>
    <w:rsid w:val="006A1A61"/>
    <w:rsid w:val="006A20A2"/>
    <w:rsid w:val="006A2E8E"/>
    <w:rsid w:val="006A36B5"/>
    <w:rsid w:val="006A7B8A"/>
    <w:rsid w:val="006B2D0D"/>
    <w:rsid w:val="006B2E20"/>
    <w:rsid w:val="006B40C8"/>
    <w:rsid w:val="006B46F9"/>
    <w:rsid w:val="006C1250"/>
    <w:rsid w:val="006C26A8"/>
    <w:rsid w:val="006C6834"/>
    <w:rsid w:val="006D00AF"/>
    <w:rsid w:val="006D0355"/>
    <w:rsid w:val="006D41EE"/>
    <w:rsid w:val="006D4830"/>
    <w:rsid w:val="006D5D4D"/>
    <w:rsid w:val="006D6B11"/>
    <w:rsid w:val="006D6E26"/>
    <w:rsid w:val="006D6F07"/>
    <w:rsid w:val="006D73DE"/>
    <w:rsid w:val="006D74FB"/>
    <w:rsid w:val="006E2EB1"/>
    <w:rsid w:val="006F00BB"/>
    <w:rsid w:val="006F13B7"/>
    <w:rsid w:val="006F202B"/>
    <w:rsid w:val="006F221F"/>
    <w:rsid w:val="006F29A5"/>
    <w:rsid w:val="006F3A69"/>
    <w:rsid w:val="006F40EE"/>
    <w:rsid w:val="006F5497"/>
    <w:rsid w:val="006F59FA"/>
    <w:rsid w:val="006F5FCA"/>
    <w:rsid w:val="00702B21"/>
    <w:rsid w:val="0070378F"/>
    <w:rsid w:val="00705A8E"/>
    <w:rsid w:val="00707365"/>
    <w:rsid w:val="007102B9"/>
    <w:rsid w:val="00713DC7"/>
    <w:rsid w:val="00714ADD"/>
    <w:rsid w:val="007205E0"/>
    <w:rsid w:val="0072089D"/>
    <w:rsid w:val="00720D9B"/>
    <w:rsid w:val="00722CA8"/>
    <w:rsid w:val="00723135"/>
    <w:rsid w:val="0072339C"/>
    <w:rsid w:val="0073118C"/>
    <w:rsid w:val="007319CA"/>
    <w:rsid w:val="00733C60"/>
    <w:rsid w:val="00734E56"/>
    <w:rsid w:val="00734EFC"/>
    <w:rsid w:val="00735223"/>
    <w:rsid w:val="007403FD"/>
    <w:rsid w:val="00741327"/>
    <w:rsid w:val="0074147F"/>
    <w:rsid w:val="00741A7C"/>
    <w:rsid w:val="00742A6B"/>
    <w:rsid w:val="007442AC"/>
    <w:rsid w:val="00745205"/>
    <w:rsid w:val="00746896"/>
    <w:rsid w:val="00747028"/>
    <w:rsid w:val="00747921"/>
    <w:rsid w:val="007509D9"/>
    <w:rsid w:val="00750F56"/>
    <w:rsid w:val="007529E9"/>
    <w:rsid w:val="007576FD"/>
    <w:rsid w:val="00761437"/>
    <w:rsid w:val="0076150C"/>
    <w:rsid w:val="0076180B"/>
    <w:rsid w:val="00764A56"/>
    <w:rsid w:val="00764DB1"/>
    <w:rsid w:val="00765689"/>
    <w:rsid w:val="0076597C"/>
    <w:rsid w:val="00765CBA"/>
    <w:rsid w:val="007702F2"/>
    <w:rsid w:val="00772D15"/>
    <w:rsid w:val="0077610C"/>
    <w:rsid w:val="00776681"/>
    <w:rsid w:val="00776A10"/>
    <w:rsid w:val="00782013"/>
    <w:rsid w:val="0078428C"/>
    <w:rsid w:val="00784E57"/>
    <w:rsid w:val="0078615D"/>
    <w:rsid w:val="00786583"/>
    <w:rsid w:val="007875EA"/>
    <w:rsid w:val="00792598"/>
    <w:rsid w:val="00793C0C"/>
    <w:rsid w:val="0079697B"/>
    <w:rsid w:val="00797AC0"/>
    <w:rsid w:val="00797D26"/>
    <w:rsid w:val="007A0173"/>
    <w:rsid w:val="007A1C81"/>
    <w:rsid w:val="007A1CCE"/>
    <w:rsid w:val="007A2AF1"/>
    <w:rsid w:val="007A3C34"/>
    <w:rsid w:val="007A4375"/>
    <w:rsid w:val="007A54EC"/>
    <w:rsid w:val="007A675F"/>
    <w:rsid w:val="007B1882"/>
    <w:rsid w:val="007B19E1"/>
    <w:rsid w:val="007B28F9"/>
    <w:rsid w:val="007B67D8"/>
    <w:rsid w:val="007B6C2F"/>
    <w:rsid w:val="007B73E9"/>
    <w:rsid w:val="007C0A88"/>
    <w:rsid w:val="007C62D9"/>
    <w:rsid w:val="007C702A"/>
    <w:rsid w:val="007C7501"/>
    <w:rsid w:val="007D2938"/>
    <w:rsid w:val="007D3230"/>
    <w:rsid w:val="007D3A9C"/>
    <w:rsid w:val="007D3AFD"/>
    <w:rsid w:val="007D44A4"/>
    <w:rsid w:val="007D506F"/>
    <w:rsid w:val="007D5AAF"/>
    <w:rsid w:val="007D5D64"/>
    <w:rsid w:val="007E0ADA"/>
    <w:rsid w:val="007E1B1E"/>
    <w:rsid w:val="007E2983"/>
    <w:rsid w:val="007E29D2"/>
    <w:rsid w:val="007E32E6"/>
    <w:rsid w:val="007E4741"/>
    <w:rsid w:val="007E6340"/>
    <w:rsid w:val="007E759E"/>
    <w:rsid w:val="007F03EE"/>
    <w:rsid w:val="007F0501"/>
    <w:rsid w:val="007F0B38"/>
    <w:rsid w:val="007F1662"/>
    <w:rsid w:val="007F1788"/>
    <w:rsid w:val="007F1B88"/>
    <w:rsid w:val="007F1F78"/>
    <w:rsid w:val="007F23C4"/>
    <w:rsid w:val="007F3AF2"/>
    <w:rsid w:val="007F401B"/>
    <w:rsid w:val="007F43F9"/>
    <w:rsid w:val="007F46B0"/>
    <w:rsid w:val="007F48FD"/>
    <w:rsid w:val="007F5BCF"/>
    <w:rsid w:val="007F7FB3"/>
    <w:rsid w:val="00800C15"/>
    <w:rsid w:val="0080114A"/>
    <w:rsid w:val="00801C43"/>
    <w:rsid w:val="00802B8A"/>
    <w:rsid w:val="00803336"/>
    <w:rsid w:val="008051D4"/>
    <w:rsid w:val="008061EA"/>
    <w:rsid w:val="008065F4"/>
    <w:rsid w:val="008071DF"/>
    <w:rsid w:val="008075EB"/>
    <w:rsid w:val="00807DCA"/>
    <w:rsid w:val="00810BAC"/>
    <w:rsid w:val="00810E91"/>
    <w:rsid w:val="00813A87"/>
    <w:rsid w:val="00815DFC"/>
    <w:rsid w:val="0081670E"/>
    <w:rsid w:val="00816A64"/>
    <w:rsid w:val="00820125"/>
    <w:rsid w:val="00820925"/>
    <w:rsid w:val="00821E15"/>
    <w:rsid w:val="0082467A"/>
    <w:rsid w:val="008248E1"/>
    <w:rsid w:val="008255B9"/>
    <w:rsid w:val="008258E3"/>
    <w:rsid w:val="00826944"/>
    <w:rsid w:val="008279EC"/>
    <w:rsid w:val="0083263B"/>
    <w:rsid w:val="0083488B"/>
    <w:rsid w:val="00835A25"/>
    <w:rsid w:val="008362D0"/>
    <w:rsid w:val="00836C7C"/>
    <w:rsid w:val="00837C6A"/>
    <w:rsid w:val="008401DA"/>
    <w:rsid w:val="00840BA7"/>
    <w:rsid w:val="008419C0"/>
    <w:rsid w:val="00841B41"/>
    <w:rsid w:val="00842D47"/>
    <w:rsid w:val="00844674"/>
    <w:rsid w:val="008465B2"/>
    <w:rsid w:val="008468F9"/>
    <w:rsid w:val="00847471"/>
    <w:rsid w:val="008474E5"/>
    <w:rsid w:val="00853B0B"/>
    <w:rsid w:val="00853D08"/>
    <w:rsid w:val="0085623F"/>
    <w:rsid w:val="00856296"/>
    <w:rsid w:val="00856EFD"/>
    <w:rsid w:val="008578B5"/>
    <w:rsid w:val="00861B2F"/>
    <w:rsid w:val="00862EE3"/>
    <w:rsid w:val="00863020"/>
    <w:rsid w:val="008649ED"/>
    <w:rsid w:val="00865B8E"/>
    <w:rsid w:val="00865FD2"/>
    <w:rsid w:val="008663D7"/>
    <w:rsid w:val="0086642A"/>
    <w:rsid w:val="00866BE9"/>
    <w:rsid w:val="00867044"/>
    <w:rsid w:val="008727AA"/>
    <w:rsid w:val="00872838"/>
    <w:rsid w:val="008745A5"/>
    <w:rsid w:val="0087553F"/>
    <w:rsid w:val="008818D1"/>
    <w:rsid w:val="00882534"/>
    <w:rsid w:val="00882E16"/>
    <w:rsid w:val="00884A70"/>
    <w:rsid w:val="00885ACF"/>
    <w:rsid w:val="00885E7A"/>
    <w:rsid w:val="00886178"/>
    <w:rsid w:val="00886DD8"/>
    <w:rsid w:val="00886E07"/>
    <w:rsid w:val="0088751C"/>
    <w:rsid w:val="00890473"/>
    <w:rsid w:val="00891BC9"/>
    <w:rsid w:val="008924E8"/>
    <w:rsid w:val="00892EEB"/>
    <w:rsid w:val="008933CA"/>
    <w:rsid w:val="00893A5D"/>
    <w:rsid w:val="008946F5"/>
    <w:rsid w:val="00894B21"/>
    <w:rsid w:val="0089508F"/>
    <w:rsid w:val="00897C17"/>
    <w:rsid w:val="008A0517"/>
    <w:rsid w:val="008A199D"/>
    <w:rsid w:val="008A28DB"/>
    <w:rsid w:val="008A4D08"/>
    <w:rsid w:val="008A5D31"/>
    <w:rsid w:val="008A5E63"/>
    <w:rsid w:val="008A69B9"/>
    <w:rsid w:val="008A6AA9"/>
    <w:rsid w:val="008B0F60"/>
    <w:rsid w:val="008B1300"/>
    <w:rsid w:val="008B2803"/>
    <w:rsid w:val="008B3383"/>
    <w:rsid w:val="008B3EAF"/>
    <w:rsid w:val="008B4CC1"/>
    <w:rsid w:val="008B63C1"/>
    <w:rsid w:val="008B6803"/>
    <w:rsid w:val="008B7692"/>
    <w:rsid w:val="008B7F5C"/>
    <w:rsid w:val="008C3142"/>
    <w:rsid w:val="008C3189"/>
    <w:rsid w:val="008C4C55"/>
    <w:rsid w:val="008C5051"/>
    <w:rsid w:val="008C52D5"/>
    <w:rsid w:val="008C5E30"/>
    <w:rsid w:val="008D0647"/>
    <w:rsid w:val="008D2AC3"/>
    <w:rsid w:val="008D3BDA"/>
    <w:rsid w:val="008D4773"/>
    <w:rsid w:val="008D4C1E"/>
    <w:rsid w:val="008D51D2"/>
    <w:rsid w:val="008D56D6"/>
    <w:rsid w:val="008D5AC4"/>
    <w:rsid w:val="008D7037"/>
    <w:rsid w:val="008E180C"/>
    <w:rsid w:val="008E32DB"/>
    <w:rsid w:val="008E5F93"/>
    <w:rsid w:val="008F2525"/>
    <w:rsid w:val="008F256A"/>
    <w:rsid w:val="008F2CF9"/>
    <w:rsid w:val="008F2DAB"/>
    <w:rsid w:val="008F47D8"/>
    <w:rsid w:val="008F4D61"/>
    <w:rsid w:val="008F696B"/>
    <w:rsid w:val="008F78F5"/>
    <w:rsid w:val="009000B3"/>
    <w:rsid w:val="00900813"/>
    <w:rsid w:val="00900865"/>
    <w:rsid w:val="009054CD"/>
    <w:rsid w:val="009058C2"/>
    <w:rsid w:val="00905A2E"/>
    <w:rsid w:val="00907074"/>
    <w:rsid w:val="00910463"/>
    <w:rsid w:val="00911B9C"/>
    <w:rsid w:val="00911FC8"/>
    <w:rsid w:val="0091207B"/>
    <w:rsid w:val="009121C1"/>
    <w:rsid w:val="00912BEF"/>
    <w:rsid w:val="00912DCB"/>
    <w:rsid w:val="009151D5"/>
    <w:rsid w:val="009152FD"/>
    <w:rsid w:val="00915418"/>
    <w:rsid w:val="009159DC"/>
    <w:rsid w:val="00915C62"/>
    <w:rsid w:val="0092064D"/>
    <w:rsid w:val="00920973"/>
    <w:rsid w:val="00921E4C"/>
    <w:rsid w:val="00922727"/>
    <w:rsid w:val="0092417A"/>
    <w:rsid w:val="009244E4"/>
    <w:rsid w:val="00924DB7"/>
    <w:rsid w:val="00926090"/>
    <w:rsid w:val="0092622E"/>
    <w:rsid w:val="00926CB7"/>
    <w:rsid w:val="0092774C"/>
    <w:rsid w:val="009279E8"/>
    <w:rsid w:val="00927E46"/>
    <w:rsid w:val="00930E7F"/>
    <w:rsid w:val="00931A65"/>
    <w:rsid w:val="00931AB9"/>
    <w:rsid w:val="00932A87"/>
    <w:rsid w:val="00934BD2"/>
    <w:rsid w:val="009379AD"/>
    <w:rsid w:val="00937DFB"/>
    <w:rsid w:val="00940ACF"/>
    <w:rsid w:val="00942972"/>
    <w:rsid w:val="0094308B"/>
    <w:rsid w:val="00944AF1"/>
    <w:rsid w:val="00946BFF"/>
    <w:rsid w:val="00947B58"/>
    <w:rsid w:val="0095014C"/>
    <w:rsid w:val="009502F9"/>
    <w:rsid w:val="0095290A"/>
    <w:rsid w:val="00953B71"/>
    <w:rsid w:val="00956E46"/>
    <w:rsid w:val="00956FAF"/>
    <w:rsid w:val="00957BBB"/>
    <w:rsid w:val="00960484"/>
    <w:rsid w:val="00961C74"/>
    <w:rsid w:val="009631E2"/>
    <w:rsid w:val="0096388D"/>
    <w:rsid w:val="009639E8"/>
    <w:rsid w:val="009663C1"/>
    <w:rsid w:val="00967BE1"/>
    <w:rsid w:val="00971C24"/>
    <w:rsid w:val="00971F26"/>
    <w:rsid w:val="0097207D"/>
    <w:rsid w:val="009724BF"/>
    <w:rsid w:val="00973DD0"/>
    <w:rsid w:val="009755DB"/>
    <w:rsid w:val="009755ED"/>
    <w:rsid w:val="0097587E"/>
    <w:rsid w:val="00976635"/>
    <w:rsid w:val="0097742B"/>
    <w:rsid w:val="009774F3"/>
    <w:rsid w:val="009829B4"/>
    <w:rsid w:val="009832CB"/>
    <w:rsid w:val="009860A6"/>
    <w:rsid w:val="00986391"/>
    <w:rsid w:val="00986436"/>
    <w:rsid w:val="00987693"/>
    <w:rsid w:val="009909AA"/>
    <w:rsid w:val="00990C67"/>
    <w:rsid w:val="00991361"/>
    <w:rsid w:val="00991D05"/>
    <w:rsid w:val="0099218C"/>
    <w:rsid w:val="00992493"/>
    <w:rsid w:val="00993442"/>
    <w:rsid w:val="00996CE3"/>
    <w:rsid w:val="00997504"/>
    <w:rsid w:val="009A05DE"/>
    <w:rsid w:val="009A103C"/>
    <w:rsid w:val="009A1F82"/>
    <w:rsid w:val="009A4A86"/>
    <w:rsid w:val="009A52A7"/>
    <w:rsid w:val="009A6A89"/>
    <w:rsid w:val="009B0BE8"/>
    <w:rsid w:val="009B117F"/>
    <w:rsid w:val="009B1655"/>
    <w:rsid w:val="009B2452"/>
    <w:rsid w:val="009B36E4"/>
    <w:rsid w:val="009B3CC8"/>
    <w:rsid w:val="009B4F32"/>
    <w:rsid w:val="009B509A"/>
    <w:rsid w:val="009B7479"/>
    <w:rsid w:val="009B7DD2"/>
    <w:rsid w:val="009C1B5C"/>
    <w:rsid w:val="009C5B6C"/>
    <w:rsid w:val="009C7A4D"/>
    <w:rsid w:val="009C7C42"/>
    <w:rsid w:val="009C7F46"/>
    <w:rsid w:val="009D1538"/>
    <w:rsid w:val="009D3F99"/>
    <w:rsid w:val="009D43C7"/>
    <w:rsid w:val="009D78C8"/>
    <w:rsid w:val="009E0CD2"/>
    <w:rsid w:val="009E2C49"/>
    <w:rsid w:val="009E4EEC"/>
    <w:rsid w:val="009E580A"/>
    <w:rsid w:val="009E593D"/>
    <w:rsid w:val="009E7478"/>
    <w:rsid w:val="009F223C"/>
    <w:rsid w:val="009F224D"/>
    <w:rsid w:val="009F3225"/>
    <w:rsid w:val="009F3776"/>
    <w:rsid w:val="009F47BC"/>
    <w:rsid w:val="009F51D3"/>
    <w:rsid w:val="009F5312"/>
    <w:rsid w:val="009F53D3"/>
    <w:rsid w:val="009F6F5F"/>
    <w:rsid w:val="009F7B66"/>
    <w:rsid w:val="00A009C2"/>
    <w:rsid w:val="00A03E5C"/>
    <w:rsid w:val="00A10740"/>
    <w:rsid w:val="00A10B1B"/>
    <w:rsid w:val="00A12D26"/>
    <w:rsid w:val="00A139C6"/>
    <w:rsid w:val="00A15DFC"/>
    <w:rsid w:val="00A16955"/>
    <w:rsid w:val="00A17089"/>
    <w:rsid w:val="00A20314"/>
    <w:rsid w:val="00A21D42"/>
    <w:rsid w:val="00A23742"/>
    <w:rsid w:val="00A24223"/>
    <w:rsid w:val="00A26EDA"/>
    <w:rsid w:val="00A302DE"/>
    <w:rsid w:val="00A31BF8"/>
    <w:rsid w:val="00A331A8"/>
    <w:rsid w:val="00A375B3"/>
    <w:rsid w:val="00A37FD3"/>
    <w:rsid w:val="00A41A07"/>
    <w:rsid w:val="00A4247D"/>
    <w:rsid w:val="00A433A2"/>
    <w:rsid w:val="00A45152"/>
    <w:rsid w:val="00A46F09"/>
    <w:rsid w:val="00A50308"/>
    <w:rsid w:val="00A51E51"/>
    <w:rsid w:val="00A54776"/>
    <w:rsid w:val="00A57FFC"/>
    <w:rsid w:val="00A62089"/>
    <w:rsid w:val="00A6496E"/>
    <w:rsid w:val="00A66168"/>
    <w:rsid w:val="00A6690D"/>
    <w:rsid w:val="00A67A0A"/>
    <w:rsid w:val="00A7181E"/>
    <w:rsid w:val="00A7296A"/>
    <w:rsid w:val="00A7432E"/>
    <w:rsid w:val="00A74C46"/>
    <w:rsid w:val="00A775D5"/>
    <w:rsid w:val="00A80AD7"/>
    <w:rsid w:val="00A80F15"/>
    <w:rsid w:val="00A814E2"/>
    <w:rsid w:val="00A82334"/>
    <w:rsid w:val="00A82D3A"/>
    <w:rsid w:val="00A83D9A"/>
    <w:rsid w:val="00A8412D"/>
    <w:rsid w:val="00A85201"/>
    <w:rsid w:val="00A85840"/>
    <w:rsid w:val="00A86663"/>
    <w:rsid w:val="00A873F3"/>
    <w:rsid w:val="00A87BE6"/>
    <w:rsid w:val="00A90235"/>
    <w:rsid w:val="00A90576"/>
    <w:rsid w:val="00A91305"/>
    <w:rsid w:val="00A920BD"/>
    <w:rsid w:val="00A929E4"/>
    <w:rsid w:val="00A944A5"/>
    <w:rsid w:val="00A952D1"/>
    <w:rsid w:val="00A96A59"/>
    <w:rsid w:val="00AA07DA"/>
    <w:rsid w:val="00AA1A2C"/>
    <w:rsid w:val="00AA1BE9"/>
    <w:rsid w:val="00AA1DFE"/>
    <w:rsid w:val="00AA31FB"/>
    <w:rsid w:val="00AA4889"/>
    <w:rsid w:val="00AA4893"/>
    <w:rsid w:val="00AA4B40"/>
    <w:rsid w:val="00AA4B48"/>
    <w:rsid w:val="00AA54CC"/>
    <w:rsid w:val="00AA67F8"/>
    <w:rsid w:val="00AA728D"/>
    <w:rsid w:val="00AA7AF6"/>
    <w:rsid w:val="00AB08C3"/>
    <w:rsid w:val="00AB27CA"/>
    <w:rsid w:val="00AB396E"/>
    <w:rsid w:val="00AB5703"/>
    <w:rsid w:val="00AB5E5E"/>
    <w:rsid w:val="00AC1D2F"/>
    <w:rsid w:val="00AC3A7E"/>
    <w:rsid w:val="00AC3E23"/>
    <w:rsid w:val="00AC4379"/>
    <w:rsid w:val="00AC6AC1"/>
    <w:rsid w:val="00AC741C"/>
    <w:rsid w:val="00AC78CC"/>
    <w:rsid w:val="00AD19EF"/>
    <w:rsid w:val="00AD1E2D"/>
    <w:rsid w:val="00AD2E2D"/>
    <w:rsid w:val="00AD38F8"/>
    <w:rsid w:val="00AD3980"/>
    <w:rsid w:val="00AD453A"/>
    <w:rsid w:val="00AD6B2B"/>
    <w:rsid w:val="00AD6FCB"/>
    <w:rsid w:val="00AD7535"/>
    <w:rsid w:val="00AD7BE7"/>
    <w:rsid w:val="00AE06E6"/>
    <w:rsid w:val="00AE2408"/>
    <w:rsid w:val="00AE364A"/>
    <w:rsid w:val="00AE4AAC"/>
    <w:rsid w:val="00AE4E89"/>
    <w:rsid w:val="00AE5272"/>
    <w:rsid w:val="00AE5DB3"/>
    <w:rsid w:val="00AE5E54"/>
    <w:rsid w:val="00AE64C5"/>
    <w:rsid w:val="00AE7F68"/>
    <w:rsid w:val="00AF0EC3"/>
    <w:rsid w:val="00AF1359"/>
    <w:rsid w:val="00AF45B8"/>
    <w:rsid w:val="00AF4DDC"/>
    <w:rsid w:val="00AF50D4"/>
    <w:rsid w:val="00B00768"/>
    <w:rsid w:val="00B02C4D"/>
    <w:rsid w:val="00B030A7"/>
    <w:rsid w:val="00B063DC"/>
    <w:rsid w:val="00B06ACD"/>
    <w:rsid w:val="00B07C20"/>
    <w:rsid w:val="00B10910"/>
    <w:rsid w:val="00B10952"/>
    <w:rsid w:val="00B12A6B"/>
    <w:rsid w:val="00B12D51"/>
    <w:rsid w:val="00B20265"/>
    <w:rsid w:val="00B21D51"/>
    <w:rsid w:val="00B221E0"/>
    <w:rsid w:val="00B243F5"/>
    <w:rsid w:val="00B24D1E"/>
    <w:rsid w:val="00B268AD"/>
    <w:rsid w:val="00B26DEF"/>
    <w:rsid w:val="00B27B7F"/>
    <w:rsid w:val="00B306AB"/>
    <w:rsid w:val="00B3086C"/>
    <w:rsid w:val="00B31536"/>
    <w:rsid w:val="00B31C4F"/>
    <w:rsid w:val="00B33659"/>
    <w:rsid w:val="00B33998"/>
    <w:rsid w:val="00B3600A"/>
    <w:rsid w:val="00B36318"/>
    <w:rsid w:val="00B37B92"/>
    <w:rsid w:val="00B37C19"/>
    <w:rsid w:val="00B40711"/>
    <w:rsid w:val="00B40748"/>
    <w:rsid w:val="00B4205F"/>
    <w:rsid w:val="00B422DB"/>
    <w:rsid w:val="00B42867"/>
    <w:rsid w:val="00B437DC"/>
    <w:rsid w:val="00B43B5A"/>
    <w:rsid w:val="00B43BD1"/>
    <w:rsid w:val="00B43C4B"/>
    <w:rsid w:val="00B43EFC"/>
    <w:rsid w:val="00B43FA5"/>
    <w:rsid w:val="00B50AD1"/>
    <w:rsid w:val="00B51478"/>
    <w:rsid w:val="00B51935"/>
    <w:rsid w:val="00B53926"/>
    <w:rsid w:val="00B569F5"/>
    <w:rsid w:val="00B60C50"/>
    <w:rsid w:val="00B63757"/>
    <w:rsid w:val="00B63BBB"/>
    <w:rsid w:val="00B64028"/>
    <w:rsid w:val="00B66740"/>
    <w:rsid w:val="00B707A3"/>
    <w:rsid w:val="00B70C1D"/>
    <w:rsid w:val="00B70C52"/>
    <w:rsid w:val="00B71202"/>
    <w:rsid w:val="00B71252"/>
    <w:rsid w:val="00B72594"/>
    <w:rsid w:val="00B76006"/>
    <w:rsid w:val="00B760E3"/>
    <w:rsid w:val="00B76F21"/>
    <w:rsid w:val="00B80B3A"/>
    <w:rsid w:val="00B80DA9"/>
    <w:rsid w:val="00B8118C"/>
    <w:rsid w:val="00B82E4A"/>
    <w:rsid w:val="00B82F96"/>
    <w:rsid w:val="00B83DAD"/>
    <w:rsid w:val="00B8552D"/>
    <w:rsid w:val="00B857DC"/>
    <w:rsid w:val="00B85A7D"/>
    <w:rsid w:val="00B85C03"/>
    <w:rsid w:val="00B85CC2"/>
    <w:rsid w:val="00B8648F"/>
    <w:rsid w:val="00B90380"/>
    <w:rsid w:val="00B90EF7"/>
    <w:rsid w:val="00B9126D"/>
    <w:rsid w:val="00B918DD"/>
    <w:rsid w:val="00B919E6"/>
    <w:rsid w:val="00B93893"/>
    <w:rsid w:val="00B93B6C"/>
    <w:rsid w:val="00B94124"/>
    <w:rsid w:val="00B941BD"/>
    <w:rsid w:val="00B943CC"/>
    <w:rsid w:val="00B94B77"/>
    <w:rsid w:val="00B94B7C"/>
    <w:rsid w:val="00B94C87"/>
    <w:rsid w:val="00B958B9"/>
    <w:rsid w:val="00BA0794"/>
    <w:rsid w:val="00BA36D6"/>
    <w:rsid w:val="00BA3A84"/>
    <w:rsid w:val="00BA6E6D"/>
    <w:rsid w:val="00BB1353"/>
    <w:rsid w:val="00BB260B"/>
    <w:rsid w:val="00BB2DDB"/>
    <w:rsid w:val="00BB3C0B"/>
    <w:rsid w:val="00BB5E0C"/>
    <w:rsid w:val="00BB689B"/>
    <w:rsid w:val="00BC0E4B"/>
    <w:rsid w:val="00BC18EC"/>
    <w:rsid w:val="00BC3672"/>
    <w:rsid w:val="00BC3738"/>
    <w:rsid w:val="00BC39C8"/>
    <w:rsid w:val="00BC39EA"/>
    <w:rsid w:val="00BC3A73"/>
    <w:rsid w:val="00BC43A1"/>
    <w:rsid w:val="00BC451A"/>
    <w:rsid w:val="00BC4CC5"/>
    <w:rsid w:val="00BC7D5C"/>
    <w:rsid w:val="00BC7FB3"/>
    <w:rsid w:val="00BD0A6E"/>
    <w:rsid w:val="00BD190C"/>
    <w:rsid w:val="00BD1DD5"/>
    <w:rsid w:val="00BD4FCA"/>
    <w:rsid w:val="00BD6218"/>
    <w:rsid w:val="00BD6CA7"/>
    <w:rsid w:val="00BD7671"/>
    <w:rsid w:val="00BE0122"/>
    <w:rsid w:val="00BE3DC3"/>
    <w:rsid w:val="00BE5292"/>
    <w:rsid w:val="00BE570B"/>
    <w:rsid w:val="00BE601F"/>
    <w:rsid w:val="00BE6868"/>
    <w:rsid w:val="00BE71DB"/>
    <w:rsid w:val="00BE7621"/>
    <w:rsid w:val="00BE7C93"/>
    <w:rsid w:val="00BF29A3"/>
    <w:rsid w:val="00BF348F"/>
    <w:rsid w:val="00BF3DFB"/>
    <w:rsid w:val="00BF61E5"/>
    <w:rsid w:val="00BF63A6"/>
    <w:rsid w:val="00BF7FA1"/>
    <w:rsid w:val="00C01A98"/>
    <w:rsid w:val="00C01BF2"/>
    <w:rsid w:val="00C03323"/>
    <w:rsid w:val="00C04163"/>
    <w:rsid w:val="00C0474A"/>
    <w:rsid w:val="00C05B0D"/>
    <w:rsid w:val="00C05D2E"/>
    <w:rsid w:val="00C07FC6"/>
    <w:rsid w:val="00C10465"/>
    <w:rsid w:val="00C148F8"/>
    <w:rsid w:val="00C15701"/>
    <w:rsid w:val="00C15BC9"/>
    <w:rsid w:val="00C16F96"/>
    <w:rsid w:val="00C178A3"/>
    <w:rsid w:val="00C20BA2"/>
    <w:rsid w:val="00C221FF"/>
    <w:rsid w:val="00C22CE4"/>
    <w:rsid w:val="00C23015"/>
    <w:rsid w:val="00C25120"/>
    <w:rsid w:val="00C252B6"/>
    <w:rsid w:val="00C25CD7"/>
    <w:rsid w:val="00C2674E"/>
    <w:rsid w:val="00C30062"/>
    <w:rsid w:val="00C3019E"/>
    <w:rsid w:val="00C306C2"/>
    <w:rsid w:val="00C30C1F"/>
    <w:rsid w:val="00C31FAD"/>
    <w:rsid w:val="00C32758"/>
    <w:rsid w:val="00C338E1"/>
    <w:rsid w:val="00C33D96"/>
    <w:rsid w:val="00C33DFF"/>
    <w:rsid w:val="00C34A10"/>
    <w:rsid w:val="00C34A6A"/>
    <w:rsid w:val="00C34F10"/>
    <w:rsid w:val="00C36075"/>
    <w:rsid w:val="00C36796"/>
    <w:rsid w:val="00C36A5E"/>
    <w:rsid w:val="00C40279"/>
    <w:rsid w:val="00C40E50"/>
    <w:rsid w:val="00C41506"/>
    <w:rsid w:val="00C4181F"/>
    <w:rsid w:val="00C41E78"/>
    <w:rsid w:val="00C4362E"/>
    <w:rsid w:val="00C47A41"/>
    <w:rsid w:val="00C47AA5"/>
    <w:rsid w:val="00C50503"/>
    <w:rsid w:val="00C511AD"/>
    <w:rsid w:val="00C516D7"/>
    <w:rsid w:val="00C53050"/>
    <w:rsid w:val="00C531BC"/>
    <w:rsid w:val="00C5434F"/>
    <w:rsid w:val="00C54FE0"/>
    <w:rsid w:val="00C615AA"/>
    <w:rsid w:val="00C615EF"/>
    <w:rsid w:val="00C62A62"/>
    <w:rsid w:val="00C62C36"/>
    <w:rsid w:val="00C62DC9"/>
    <w:rsid w:val="00C64739"/>
    <w:rsid w:val="00C7000C"/>
    <w:rsid w:val="00C707C0"/>
    <w:rsid w:val="00C71484"/>
    <w:rsid w:val="00C720FD"/>
    <w:rsid w:val="00C729BF"/>
    <w:rsid w:val="00C7543A"/>
    <w:rsid w:val="00C76075"/>
    <w:rsid w:val="00C7630F"/>
    <w:rsid w:val="00C804E5"/>
    <w:rsid w:val="00C810AE"/>
    <w:rsid w:val="00C8133F"/>
    <w:rsid w:val="00C83566"/>
    <w:rsid w:val="00C84609"/>
    <w:rsid w:val="00C8704F"/>
    <w:rsid w:val="00C8766B"/>
    <w:rsid w:val="00C90A41"/>
    <w:rsid w:val="00C92164"/>
    <w:rsid w:val="00C92347"/>
    <w:rsid w:val="00C93958"/>
    <w:rsid w:val="00C94ED9"/>
    <w:rsid w:val="00C94FF0"/>
    <w:rsid w:val="00C95D52"/>
    <w:rsid w:val="00C96FD7"/>
    <w:rsid w:val="00CA0B8D"/>
    <w:rsid w:val="00CA12C7"/>
    <w:rsid w:val="00CA1AD1"/>
    <w:rsid w:val="00CA1DD4"/>
    <w:rsid w:val="00CA253D"/>
    <w:rsid w:val="00CA296E"/>
    <w:rsid w:val="00CA29DD"/>
    <w:rsid w:val="00CA3B3C"/>
    <w:rsid w:val="00CA7397"/>
    <w:rsid w:val="00CB0F8A"/>
    <w:rsid w:val="00CB1560"/>
    <w:rsid w:val="00CB2724"/>
    <w:rsid w:val="00CB2F9F"/>
    <w:rsid w:val="00CB4FD8"/>
    <w:rsid w:val="00CB7E27"/>
    <w:rsid w:val="00CB7F0F"/>
    <w:rsid w:val="00CC287E"/>
    <w:rsid w:val="00CC2E61"/>
    <w:rsid w:val="00CC47CA"/>
    <w:rsid w:val="00CC54A8"/>
    <w:rsid w:val="00CC604C"/>
    <w:rsid w:val="00CC6751"/>
    <w:rsid w:val="00CC7945"/>
    <w:rsid w:val="00CD2698"/>
    <w:rsid w:val="00CD3C70"/>
    <w:rsid w:val="00CD70F1"/>
    <w:rsid w:val="00CD7453"/>
    <w:rsid w:val="00CE0341"/>
    <w:rsid w:val="00CE09BA"/>
    <w:rsid w:val="00CE1B1A"/>
    <w:rsid w:val="00CE21C4"/>
    <w:rsid w:val="00CE2716"/>
    <w:rsid w:val="00CE27E3"/>
    <w:rsid w:val="00CE2E32"/>
    <w:rsid w:val="00CE6B43"/>
    <w:rsid w:val="00CE7B20"/>
    <w:rsid w:val="00CF18AB"/>
    <w:rsid w:val="00CF1CF7"/>
    <w:rsid w:val="00CF3DCA"/>
    <w:rsid w:val="00CF6476"/>
    <w:rsid w:val="00CF6835"/>
    <w:rsid w:val="00CF7A1B"/>
    <w:rsid w:val="00CF7F4E"/>
    <w:rsid w:val="00D00F17"/>
    <w:rsid w:val="00D01DAE"/>
    <w:rsid w:val="00D01FC4"/>
    <w:rsid w:val="00D056CD"/>
    <w:rsid w:val="00D0601E"/>
    <w:rsid w:val="00D078E7"/>
    <w:rsid w:val="00D10065"/>
    <w:rsid w:val="00D11A40"/>
    <w:rsid w:val="00D12413"/>
    <w:rsid w:val="00D14312"/>
    <w:rsid w:val="00D14B64"/>
    <w:rsid w:val="00D14DFF"/>
    <w:rsid w:val="00D16CF4"/>
    <w:rsid w:val="00D172C9"/>
    <w:rsid w:val="00D20006"/>
    <w:rsid w:val="00D2160E"/>
    <w:rsid w:val="00D2528C"/>
    <w:rsid w:val="00D27218"/>
    <w:rsid w:val="00D27961"/>
    <w:rsid w:val="00D27F04"/>
    <w:rsid w:val="00D31013"/>
    <w:rsid w:val="00D311DB"/>
    <w:rsid w:val="00D31551"/>
    <w:rsid w:val="00D32F38"/>
    <w:rsid w:val="00D330E6"/>
    <w:rsid w:val="00D358E7"/>
    <w:rsid w:val="00D42A1D"/>
    <w:rsid w:val="00D42F02"/>
    <w:rsid w:val="00D43226"/>
    <w:rsid w:val="00D4407A"/>
    <w:rsid w:val="00D44325"/>
    <w:rsid w:val="00D464F4"/>
    <w:rsid w:val="00D4677A"/>
    <w:rsid w:val="00D46AD0"/>
    <w:rsid w:val="00D47E84"/>
    <w:rsid w:val="00D50589"/>
    <w:rsid w:val="00D506C4"/>
    <w:rsid w:val="00D51239"/>
    <w:rsid w:val="00D5126B"/>
    <w:rsid w:val="00D51D7E"/>
    <w:rsid w:val="00D54C0B"/>
    <w:rsid w:val="00D575E7"/>
    <w:rsid w:val="00D60685"/>
    <w:rsid w:val="00D62E63"/>
    <w:rsid w:val="00D62F0F"/>
    <w:rsid w:val="00D63F73"/>
    <w:rsid w:val="00D6463A"/>
    <w:rsid w:val="00D6510B"/>
    <w:rsid w:val="00D65DA6"/>
    <w:rsid w:val="00D65DFB"/>
    <w:rsid w:val="00D67907"/>
    <w:rsid w:val="00D67A23"/>
    <w:rsid w:val="00D71F92"/>
    <w:rsid w:val="00D724A7"/>
    <w:rsid w:val="00D74765"/>
    <w:rsid w:val="00D769F6"/>
    <w:rsid w:val="00D802BE"/>
    <w:rsid w:val="00D8050B"/>
    <w:rsid w:val="00D805B6"/>
    <w:rsid w:val="00D8182B"/>
    <w:rsid w:val="00D82060"/>
    <w:rsid w:val="00D84BBC"/>
    <w:rsid w:val="00D860D8"/>
    <w:rsid w:val="00D9022C"/>
    <w:rsid w:val="00D90A0D"/>
    <w:rsid w:val="00D90B58"/>
    <w:rsid w:val="00D91505"/>
    <w:rsid w:val="00D917AA"/>
    <w:rsid w:val="00D93000"/>
    <w:rsid w:val="00D96F75"/>
    <w:rsid w:val="00D973AD"/>
    <w:rsid w:val="00DA006B"/>
    <w:rsid w:val="00DA0217"/>
    <w:rsid w:val="00DA0C02"/>
    <w:rsid w:val="00DA1F2F"/>
    <w:rsid w:val="00DA2230"/>
    <w:rsid w:val="00DA6244"/>
    <w:rsid w:val="00DA6EB5"/>
    <w:rsid w:val="00DA7177"/>
    <w:rsid w:val="00DB1E59"/>
    <w:rsid w:val="00DB2AB0"/>
    <w:rsid w:val="00DB4973"/>
    <w:rsid w:val="00DB49CB"/>
    <w:rsid w:val="00DB6A85"/>
    <w:rsid w:val="00DB7995"/>
    <w:rsid w:val="00DB7EBD"/>
    <w:rsid w:val="00DC0049"/>
    <w:rsid w:val="00DC2E5F"/>
    <w:rsid w:val="00DC2F7C"/>
    <w:rsid w:val="00DC6227"/>
    <w:rsid w:val="00DC7A3D"/>
    <w:rsid w:val="00DD03D3"/>
    <w:rsid w:val="00DD3406"/>
    <w:rsid w:val="00DD4114"/>
    <w:rsid w:val="00DD4A16"/>
    <w:rsid w:val="00DD4AAD"/>
    <w:rsid w:val="00DD4F8C"/>
    <w:rsid w:val="00DD61E5"/>
    <w:rsid w:val="00DD7A1A"/>
    <w:rsid w:val="00DD7B75"/>
    <w:rsid w:val="00DE027C"/>
    <w:rsid w:val="00DE03D7"/>
    <w:rsid w:val="00DE1EDE"/>
    <w:rsid w:val="00DE25D5"/>
    <w:rsid w:val="00DE2EED"/>
    <w:rsid w:val="00DE377C"/>
    <w:rsid w:val="00DE3BFB"/>
    <w:rsid w:val="00DE5CB3"/>
    <w:rsid w:val="00DE72BE"/>
    <w:rsid w:val="00DE7C00"/>
    <w:rsid w:val="00DF22AB"/>
    <w:rsid w:val="00DF3AAC"/>
    <w:rsid w:val="00DF4F38"/>
    <w:rsid w:val="00DF51D9"/>
    <w:rsid w:val="00DF5A1B"/>
    <w:rsid w:val="00E0127B"/>
    <w:rsid w:val="00E016AC"/>
    <w:rsid w:val="00E0191D"/>
    <w:rsid w:val="00E02ADF"/>
    <w:rsid w:val="00E037AF"/>
    <w:rsid w:val="00E03DE1"/>
    <w:rsid w:val="00E040EF"/>
    <w:rsid w:val="00E06262"/>
    <w:rsid w:val="00E06B51"/>
    <w:rsid w:val="00E07152"/>
    <w:rsid w:val="00E07371"/>
    <w:rsid w:val="00E134A8"/>
    <w:rsid w:val="00E148C6"/>
    <w:rsid w:val="00E161D1"/>
    <w:rsid w:val="00E16257"/>
    <w:rsid w:val="00E17911"/>
    <w:rsid w:val="00E17FCC"/>
    <w:rsid w:val="00E21FDB"/>
    <w:rsid w:val="00E22962"/>
    <w:rsid w:val="00E233FA"/>
    <w:rsid w:val="00E24F6C"/>
    <w:rsid w:val="00E30C83"/>
    <w:rsid w:val="00E319C7"/>
    <w:rsid w:val="00E31A27"/>
    <w:rsid w:val="00E31D49"/>
    <w:rsid w:val="00E33B1B"/>
    <w:rsid w:val="00E352EE"/>
    <w:rsid w:val="00E36A72"/>
    <w:rsid w:val="00E40122"/>
    <w:rsid w:val="00E406FD"/>
    <w:rsid w:val="00E42D0E"/>
    <w:rsid w:val="00E42FA4"/>
    <w:rsid w:val="00E43578"/>
    <w:rsid w:val="00E45B9F"/>
    <w:rsid w:val="00E478E0"/>
    <w:rsid w:val="00E47EC6"/>
    <w:rsid w:val="00E525AA"/>
    <w:rsid w:val="00E52E8C"/>
    <w:rsid w:val="00E53056"/>
    <w:rsid w:val="00E535BE"/>
    <w:rsid w:val="00E537E1"/>
    <w:rsid w:val="00E5398C"/>
    <w:rsid w:val="00E53E77"/>
    <w:rsid w:val="00E541CB"/>
    <w:rsid w:val="00E54280"/>
    <w:rsid w:val="00E551FA"/>
    <w:rsid w:val="00E555CF"/>
    <w:rsid w:val="00E562A6"/>
    <w:rsid w:val="00E628F4"/>
    <w:rsid w:val="00E6377C"/>
    <w:rsid w:val="00E644C5"/>
    <w:rsid w:val="00E64856"/>
    <w:rsid w:val="00E64A68"/>
    <w:rsid w:val="00E64D08"/>
    <w:rsid w:val="00E66648"/>
    <w:rsid w:val="00E7034B"/>
    <w:rsid w:val="00E71E70"/>
    <w:rsid w:val="00E73339"/>
    <w:rsid w:val="00E7354D"/>
    <w:rsid w:val="00E735A3"/>
    <w:rsid w:val="00E7455E"/>
    <w:rsid w:val="00E74612"/>
    <w:rsid w:val="00E748BB"/>
    <w:rsid w:val="00E74B7C"/>
    <w:rsid w:val="00E761ED"/>
    <w:rsid w:val="00E835E7"/>
    <w:rsid w:val="00E856F9"/>
    <w:rsid w:val="00E86D08"/>
    <w:rsid w:val="00E8774D"/>
    <w:rsid w:val="00E8781A"/>
    <w:rsid w:val="00E9016F"/>
    <w:rsid w:val="00E91672"/>
    <w:rsid w:val="00E91BC3"/>
    <w:rsid w:val="00E92ADC"/>
    <w:rsid w:val="00E92C61"/>
    <w:rsid w:val="00E93020"/>
    <w:rsid w:val="00E94CA7"/>
    <w:rsid w:val="00E9669C"/>
    <w:rsid w:val="00E966D0"/>
    <w:rsid w:val="00E97923"/>
    <w:rsid w:val="00EA0574"/>
    <w:rsid w:val="00EA07BE"/>
    <w:rsid w:val="00EA0D40"/>
    <w:rsid w:val="00EA18E2"/>
    <w:rsid w:val="00EA512A"/>
    <w:rsid w:val="00EA57E6"/>
    <w:rsid w:val="00EA6AF8"/>
    <w:rsid w:val="00EB01E1"/>
    <w:rsid w:val="00EB07E4"/>
    <w:rsid w:val="00EB1085"/>
    <w:rsid w:val="00EB127D"/>
    <w:rsid w:val="00EB15A8"/>
    <w:rsid w:val="00EB377D"/>
    <w:rsid w:val="00EB3E54"/>
    <w:rsid w:val="00EB3EF1"/>
    <w:rsid w:val="00EB40B0"/>
    <w:rsid w:val="00EC0BB0"/>
    <w:rsid w:val="00EC25A6"/>
    <w:rsid w:val="00EC40C4"/>
    <w:rsid w:val="00EC46D5"/>
    <w:rsid w:val="00EC4723"/>
    <w:rsid w:val="00EC4D96"/>
    <w:rsid w:val="00EC5895"/>
    <w:rsid w:val="00EC6581"/>
    <w:rsid w:val="00EC6A65"/>
    <w:rsid w:val="00EC6B18"/>
    <w:rsid w:val="00EC6F13"/>
    <w:rsid w:val="00EC7DB0"/>
    <w:rsid w:val="00EC7E3F"/>
    <w:rsid w:val="00ED0AAB"/>
    <w:rsid w:val="00ED1325"/>
    <w:rsid w:val="00ED1B0A"/>
    <w:rsid w:val="00ED246B"/>
    <w:rsid w:val="00ED309A"/>
    <w:rsid w:val="00ED3436"/>
    <w:rsid w:val="00ED6023"/>
    <w:rsid w:val="00ED641D"/>
    <w:rsid w:val="00ED763A"/>
    <w:rsid w:val="00EE024B"/>
    <w:rsid w:val="00EE0255"/>
    <w:rsid w:val="00EE03A0"/>
    <w:rsid w:val="00EE0F05"/>
    <w:rsid w:val="00EE11CB"/>
    <w:rsid w:val="00EE161E"/>
    <w:rsid w:val="00EE2084"/>
    <w:rsid w:val="00EE3124"/>
    <w:rsid w:val="00EE3559"/>
    <w:rsid w:val="00EE6051"/>
    <w:rsid w:val="00EE7E98"/>
    <w:rsid w:val="00EF017F"/>
    <w:rsid w:val="00EF1F23"/>
    <w:rsid w:val="00EF2EE2"/>
    <w:rsid w:val="00EF733C"/>
    <w:rsid w:val="00EF789F"/>
    <w:rsid w:val="00EF7B4D"/>
    <w:rsid w:val="00F02B72"/>
    <w:rsid w:val="00F03C65"/>
    <w:rsid w:val="00F0478C"/>
    <w:rsid w:val="00F06373"/>
    <w:rsid w:val="00F07E1C"/>
    <w:rsid w:val="00F1244C"/>
    <w:rsid w:val="00F164DA"/>
    <w:rsid w:val="00F21485"/>
    <w:rsid w:val="00F2200F"/>
    <w:rsid w:val="00F22057"/>
    <w:rsid w:val="00F231D8"/>
    <w:rsid w:val="00F233D4"/>
    <w:rsid w:val="00F23E88"/>
    <w:rsid w:val="00F240A7"/>
    <w:rsid w:val="00F248F5"/>
    <w:rsid w:val="00F2646E"/>
    <w:rsid w:val="00F26EF5"/>
    <w:rsid w:val="00F27AFD"/>
    <w:rsid w:val="00F27E00"/>
    <w:rsid w:val="00F317E3"/>
    <w:rsid w:val="00F33294"/>
    <w:rsid w:val="00F34096"/>
    <w:rsid w:val="00F34173"/>
    <w:rsid w:val="00F34356"/>
    <w:rsid w:val="00F37970"/>
    <w:rsid w:val="00F409CA"/>
    <w:rsid w:val="00F41783"/>
    <w:rsid w:val="00F436EA"/>
    <w:rsid w:val="00F44ADB"/>
    <w:rsid w:val="00F4597B"/>
    <w:rsid w:val="00F46B74"/>
    <w:rsid w:val="00F4788C"/>
    <w:rsid w:val="00F50F36"/>
    <w:rsid w:val="00F5106F"/>
    <w:rsid w:val="00F51911"/>
    <w:rsid w:val="00F51CA1"/>
    <w:rsid w:val="00F52775"/>
    <w:rsid w:val="00F53B14"/>
    <w:rsid w:val="00F54EFC"/>
    <w:rsid w:val="00F55A21"/>
    <w:rsid w:val="00F55D14"/>
    <w:rsid w:val="00F56AA7"/>
    <w:rsid w:val="00F56AC3"/>
    <w:rsid w:val="00F63795"/>
    <w:rsid w:val="00F641E1"/>
    <w:rsid w:val="00F6425F"/>
    <w:rsid w:val="00F65E93"/>
    <w:rsid w:val="00F669F8"/>
    <w:rsid w:val="00F66D1C"/>
    <w:rsid w:val="00F67407"/>
    <w:rsid w:val="00F67930"/>
    <w:rsid w:val="00F71486"/>
    <w:rsid w:val="00F71DD7"/>
    <w:rsid w:val="00F72CB7"/>
    <w:rsid w:val="00F7471D"/>
    <w:rsid w:val="00F74CB0"/>
    <w:rsid w:val="00F75E48"/>
    <w:rsid w:val="00F763C5"/>
    <w:rsid w:val="00F76404"/>
    <w:rsid w:val="00F7666C"/>
    <w:rsid w:val="00F776F5"/>
    <w:rsid w:val="00F8149F"/>
    <w:rsid w:val="00F815AE"/>
    <w:rsid w:val="00F8214E"/>
    <w:rsid w:val="00F8227D"/>
    <w:rsid w:val="00F83988"/>
    <w:rsid w:val="00F854A0"/>
    <w:rsid w:val="00F85586"/>
    <w:rsid w:val="00F86A1B"/>
    <w:rsid w:val="00F87D48"/>
    <w:rsid w:val="00F91C61"/>
    <w:rsid w:val="00F91E18"/>
    <w:rsid w:val="00F93149"/>
    <w:rsid w:val="00F95043"/>
    <w:rsid w:val="00F95406"/>
    <w:rsid w:val="00F959BE"/>
    <w:rsid w:val="00FA02FD"/>
    <w:rsid w:val="00FA0363"/>
    <w:rsid w:val="00FA13EC"/>
    <w:rsid w:val="00FA15E5"/>
    <w:rsid w:val="00FA1CEC"/>
    <w:rsid w:val="00FA40E3"/>
    <w:rsid w:val="00FA418C"/>
    <w:rsid w:val="00FA4778"/>
    <w:rsid w:val="00FA4BA6"/>
    <w:rsid w:val="00FA54A4"/>
    <w:rsid w:val="00FA68F0"/>
    <w:rsid w:val="00FA73F4"/>
    <w:rsid w:val="00FA7474"/>
    <w:rsid w:val="00FA76AA"/>
    <w:rsid w:val="00FB0177"/>
    <w:rsid w:val="00FB057B"/>
    <w:rsid w:val="00FB0B39"/>
    <w:rsid w:val="00FB22D0"/>
    <w:rsid w:val="00FB3CD5"/>
    <w:rsid w:val="00FB3CF5"/>
    <w:rsid w:val="00FB4723"/>
    <w:rsid w:val="00FB48D2"/>
    <w:rsid w:val="00FB57E2"/>
    <w:rsid w:val="00FC0C83"/>
    <w:rsid w:val="00FC0F90"/>
    <w:rsid w:val="00FC0FAC"/>
    <w:rsid w:val="00FC19D7"/>
    <w:rsid w:val="00FC23FB"/>
    <w:rsid w:val="00FC3301"/>
    <w:rsid w:val="00FC3BA4"/>
    <w:rsid w:val="00FC49A7"/>
    <w:rsid w:val="00FC4F0E"/>
    <w:rsid w:val="00FC5334"/>
    <w:rsid w:val="00FC55BA"/>
    <w:rsid w:val="00FD1AD0"/>
    <w:rsid w:val="00FD2A2A"/>
    <w:rsid w:val="00FD54DB"/>
    <w:rsid w:val="00FD5965"/>
    <w:rsid w:val="00FD5BB4"/>
    <w:rsid w:val="00FD69EA"/>
    <w:rsid w:val="00FD7B5C"/>
    <w:rsid w:val="00FD7B8B"/>
    <w:rsid w:val="00FE6B13"/>
    <w:rsid w:val="00FE7BA2"/>
    <w:rsid w:val="00FF1057"/>
    <w:rsid w:val="00FF335F"/>
    <w:rsid w:val="00FF42D1"/>
    <w:rsid w:val="00FF4D14"/>
    <w:rsid w:val="00FF567E"/>
    <w:rsid w:val="00FF58FF"/>
    <w:rsid w:val="00FF6294"/>
    <w:rsid w:val="00FF7A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A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06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43226"/>
    <w:pPr>
      <w:keepNext/>
      <w:spacing w:before="240" w:after="60"/>
      <w:outlineLvl w:val="2"/>
    </w:pPr>
    <w:rPr>
      <w:rFonts w:ascii="Arial" w:eastAsia="PMingLiU" w:hAnsi="Arial" w:cs="Arial"/>
      <w:b/>
      <w:bCs/>
      <w:sz w:val="26"/>
      <w:szCs w:val="26"/>
      <w:lang w:eastAsia="fr-FR"/>
    </w:rPr>
  </w:style>
  <w:style w:type="paragraph" w:styleId="Heading4">
    <w:name w:val="heading 4"/>
    <w:basedOn w:val="Normal"/>
    <w:next w:val="Normal"/>
    <w:link w:val="Heading4Char"/>
    <w:uiPriority w:val="9"/>
    <w:unhideWhenUsed/>
    <w:qFormat/>
    <w:rsid w:val="009206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1593E"/>
    <w:rPr>
      <w:rFonts w:ascii="Times New Roman" w:eastAsia="PMingLiU" w:hAnsi="Times New Roman" w:cs="Times New Roman"/>
      <w:sz w:val="20"/>
      <w:szCs w:val="20"/>
      <w:lang w:eastAsia="fr-FR"/>
    </w:rPr>
  </w:style>
  <w:style w:type="character" w:customStyle="1" w:styleId="FootnoteTextChar">
    <w:name w:val="Footnote Text Char"/>
    <w:basedOn w:val="DefaultParagraphFont"/>
    <w:link w:val="FootnoteText"/>
    <w:uiPriority w:val="99"/>
    <w:rsid w:val="0051593E"/>
    <w:rPr>
      <w:rFonts w:ascii="Times New Roman" w:eastAsia="PMingLiU" w:hAnsi="Times New Roman" w:cs="Times New Roman"/>
      <w:sz w:val="20"/>
      <w:szCs w:val="20"/>
      <w:lang w:eastAsia="fr-FR"/>
    </w:rPr>
  </w:style>
  <w:style w:type="character" w:styleId="FootnoteReference">
    <w:name w:val="footnote reference"/>
    <w:uiPriority w:val="99"/>
    <w:rsid w:val="0051593E"/>
    <w:rPr>
      <w:vertAlign w:val="superscript"/>
    </w:rPr>
  </w:style>
  <w:style w:type="character" w:customStyle="1" w:styleId="Heading3Char">
    <w:name w:val="Heading 3 Char"/>
    <w:basedOn w:val="DefaultParagraphFont"/>
    <w:link w:val="Heading3"/>
    <w:rsid w:val="00D43226"/>
    <w:rPr>
      <w:rFonts w:ascii="Arial" w:eastAsia="PMingLiU" w:hAnsi="Arial" w:cs="Arial"/>
      <w:b/>
      <w:bCs/>
      <w:sz w:val="26"/>
      <w:szCs w:val="26"/>
      <w:lang w:eastAsia="fr-FR"/>
    </w:rPr>
  </w:style>
  <w:style w:type="paragraph" w:styleId="BalloonText">
    <w:name w:val="Balloon Text"/>
    <w:basedOn w:val="Normal"/>
    <w:link w:val="BalloonTextChar"/>
    <w:uiPriority w:val="99"/>
    <w:semiHidden/>
    <w:unhideWhenUsed/>
    <w:rsid w:val="006F13B7"/>
    <w:rPr>
      <w:rFonts w:ascii="Tahoma" w:hAnsi="Tahoma" w:cs="Tahoma"/>
      <w:sz w:val="16"/>
      <w:szCs w:val="16"/>
    </w:rPr>
  </w:style>
  <w:style w:type="character" w:customStyle="1" w:styleId="BalloonTextChar">
    <w:name w:val="Balloon Text Char"/>
    <w:basedOn w:val="DefaultParagraphFont"/>
    <w:link w:val="BalloonText"/>
    <w:uiPriority w:val="99"/>
    <w:semiHidden/>
    <w:rsid w:val="006F13B7"/>
    <w:rPr>
      <w:rFonts w:ascii="Tahoma" w:hAnsi="Tahoma" w:cs="Tahoma"/>
      <w:sz w:val="16"/>
      <w:szCs w:val="16"/>
    </w:rPr>
  </w:style>
  <w:style w:type="paragraph" w:styleId="ListParagraph">
    <w:name w:val="List Paragraph"/>
    <w:basedOn w:val="Normal"/>
    <w:uiPriority w:val="34"/>
    <w:qFormat/>
    <w:rsid w:val="00521F0E"/>
    <w:pPr>
      <w:ind w:left="720"/>
      <w:contextualSpacing/>
    </w:pPr>
  </w:style>
  <w:style w:type="character" w:customStyle="1" w:styleId="addmd1">
    <w:name w:val="addmd1"/>
    <w:basedOn w:val="DefaultParagraphFont"/>
    <w:rsid w:val="001C629B"/>
    <w:rPr>
      <w:sz w:val="20"/>
      <w:szCs w:val="20"/>
    </w:rPr>
  </w:style>
  <w:style w:type="paragraph" w:styleId="NormalWeb">
    <w:name w:val="Normal (Web)"/>
    <w:basedOn w:val="Normal"/>
    <w:uiPriority w:val="99"/>
    <w:unhideWhenUsed/>
    <w:rsid w:val="00885E7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CC5"/>
    <w:pPr>
      <w:tabs>
        <w:tab w:val="center" w:pos="4513"/>
        <w:tab w:val="right" w:pos="9026"/>
      </w:tabs>
    </w:pPr>
  </w:style>
  <w:style w:type="character" w:customStyle="1" w:styleId="HeaderChar">
    <w:name w:val="Header Char"/>
    <w:basedOn w:val="DefaultParagraphFont"/>
    <w:link w:val="Header"/>
    <w:uiPriority w:val="99"/>
    <w:rsid w:val="00491CC5"/>
  </w:style>
  <w:style w:type="paragraph" w:styleId="Footer">
    <w:name w:val="footer"/>
    <w:basedOn w:val="Normal"/>
    <w:link w:val="FooterChar"/>
    <w:uiPriority w:val="99"/>
    <w:unhideWhenUsed/>
    <w:rsid w:val="00491CC5"/>
    <w:pPr>
      <w:tabs>
        <w:tab w:val="center" w:pos="4513"/>
        <w:tab w:val="right" w:pos="9026"/>
      </w:tabs>
    </w:pPr>
  </w:style>
  <w:style w:type="character" w:customStyle="1" w:styleId="FooterChar">
    <w:name w:val="Footer Char"/>
    <w:basedOn w:val="DefaultParagraphFont"/>
    <w:link w:val="Footer"/>
    <w:uiPriority w:val="99"/>
    <w:rsid w:val="00491CC5"/>
  </w:style>
  <w:style w:type="character" w:customStyle="1" w:styleId="Heading2Char">
    <w:name w:val="Heading 2 Char"/>
    <w:basedOn w:val="DefaultParagraphFont"/>
    <w:link w:val="Heading2"/>
    <w:uiPriority w:val="9"/>
    <w:rsid w:val="0092064D"/>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92064D"/>
    <w:rPr>
      <w:i/>
      <w:iCs/>
      <w:color w:val="808080" w:themeColor="text1" w:themeTint="7F"/>
    </w:rPr>
  </w:style>
  <w:style w:type="paragraph" w:styleId="Subtitle">
    <w:name w:val="Subtitle"/>
    <w:basedOn w:val="Normal"/>
    <w:next w:val="Normal"/>
    <w:link w:val="SubtitleChar"/>
    <w:uiPriority w:val="11"/>
    <w:qFormat/>
    <w:rsid w:val="009206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064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92064D"/>
    <w:rPr>
      <w:rFonts w:asciiTheme="majorHAnsi" w:eastAsiaTheme="majorEastAsia" w:hAnsiTheme="majorHAnsi" w:cstheme="majorBidi"/>
      <w:b/>
      <w:bCs/>
      <w:i/>
      <w:iCs/>
      <w:color w:val="4F81BD" w:themeColor="accent1"/>
    </w:rPr>
  </w:style>
  <w:style w:type="character" w:customStyle="1" w:styleId="dmfdef">
    <w:name w:val="dmf_def"/>
    <w:basedOn w:val="DefaultParagraphFont"/>
    <w:rsid w:val="00DE3BFB"/>
  </w:style>
  <w:style w:type="character" w:styleId="CommentReference">
    <w:name w:val="annotation reference"/>
    <w:basedOn w:val="DefaultParagraphFont"/>
    <w:uiPriority w:val="99"/>
    <w:semiHidden/>
    <w:unhideWhenUsed/>
    <w:rsid w:val="008C52D5"/>
    <w:rPr>
      <w:sz w:val="16"/>
      <w:szCs w:val="16"/>
    </w:rPr>
  </w:style>
  <w:style w:type="paragraph" w:styleId="CommentText">
    <w:name w:val="annotation text"/>
    <w:basedOn w:val="Normal"/>
    <w:link w:val="CommentTextChar"/>
    <w:uiPriority w:val="99"/>
    <w:semiHidden/>
    <w:unhideWhenUsed/>
    <w:rsid w:val="008C52D5"/>
    <w:rPr>
      <w:sz w:val="20"/>
      <w:szCs w:val="20"/>
    </w:rPr>
  </w:style>
  <w:style w:type="character" w:customStyle="1" w:styleId="CommentTextChar">
    <w:name w:val="Comment Text Char"/>
    <w:basedOn w:val="DefaultParagraphFont"/>
    <w:link w:val="CommentText"/>
    <w:uiPriority w:val="99"/>
    <w:semiHidden/>
    <w:rsid w:val="008C52D5"/>
    <w:rPr>
      <w:sz w:val="20"/>
      <w:szCs w:val="20"/>
    </w:rPr>
  </w:style>
  <w:style w:type="paragraph" w:styleId="CommentSubject">
    <w:name w:val="annotation subject"/>
    <w:basedOn w:val="CommentText"/>
    <w:next w:val="CommentText"/>
    <w:link w:val="CommentSubjectChar"/>
    <w:uiPriority w:val="99"/>
    <w:semiHidden/>
    <w:unhideWhenUsed/>
    <w:rsid w:val="008C52D5"/>
    <w:rPr>
      <w:b/>
      <w:bCs/>
    </w:rPr>
  </w:style>
  <w:style w:type="character" w:customStyle="1" w:styleId="CommentSubjectChar">
    <w:name w:val="Comment Subject Char"/>
    <w:basedOn w:val="CommentTextChar"/>
    <w:link w:val="CommentSubject"/>
    <w:uiPriority w:val="99"/>
    <w:semiHidden/>
    <w:rsid w:val="008C52D5"/>
    <w:rPr>
      <w:b/>
      <w:bCs/>
      <w:sz w:val="20"/>
      <w:szCs w:val="20"/>
    </w:rPr>
  </w:style>
  <w:style w:type="character" w:customStyle="1" w:styleId="dmfdef1">
    <w:name w:val="dmf_def1"/>
    <w:basedOn w:val="DefaultParagraphFont"/>
    <w:rsid w:val="00D67907"/>
    <w:rPr>
      <w:shd w:val="clear" w:color="auto" w:fill="FFFFAA"/>
    </w:rPr>
  </w:style>
  <w:style w:type="character" w:customStyle="1" w:styleId="pl-ead-emph">
    <w:name w:val="pl-ead-emph"/>
    <w:basedOn w:val="DefaultParagraphFont"/>
    <w:rsid w:val="009755DB"/>
  </w:style>
  <w:style w:type="character" w:styleId="Hyperlink">
    <w:name w:val="Hyperlink"/>
    <w:basedOn w:val="DefaultParagraphFont"/>
    <w:uiPriority w:val="99"/>
    <w:unhideWhenUsed/>
    <w:rsid w:val="008F4D61"/>
    <w:rPr>
      <w:color w:val="0000FF" w:themeColor="hyperlink"/>
      <w:u w:val="single"/>
    </w:rPr>
  </w:style>
  <w:style w:type="character" w:customStyle="1" w:styleId="exldetailsdisplayval">
    <w:name w:val="exldetailsdisplayval"/>
    <w:basedOn w:val="DefaultParagraphFont"/>
    <w:rsid w:val="00F641E1"/>
  </w:style>
  <w:style w:type="paragraph" w:customStyle="1" w:styleId="EndNoteBibliographyTitle">
    <w:name w:val="EndNote Bibliography Title"/>
    <w:basedOn w:val="Normal"/>
    <w:link w:val="EndNoteBibliographyTitleChar"/>
    <w:rsid w:val="00063701"/>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63701"/>
    <w:rPr>
      <w:rFonts w:ascii="Calibri" w:hAnsi="Calibri" w:cs="Calibri"/>
      <w:noProof/>
    </w:rPr>
  </w:style>
  <w:style w:type="paragraph" w:customStyle="1" w:styleId="EndNoteBibliography">
    <w:name w:val="EndNote Bibliography"/>
    <w:basedOn w:val="Normal"/>
    <w:link w:val="EndNoteBibliographyChar"/>
    <w:rsid w:val="00063701"/>
    <w:pPr>
      <w:jc w:val="both"/>
    </w:pPr>
    <w:rPr>
      <w:rFonts w:ascii="Calibri" w:hAnsi="Calibri" w:cs="Calibri"/>
      <w:noProof/>
    </w:rPr>
  </w:style>
  <w:style w:type="character" w:customStyle="1" w:styleId="EndNoteBibliographyChar">
    <w:name w:val="EndNote Bibliography Char"/>
    <w:basedOn w:val="DefaultParagraphFont"/>
    <w:link w:val="EndNoteBibliography"/>
    <w:rsid w:val="00063701"/>
    <w:rPr>
      <w:rFonts w:ascii="Calibri" w:hAnsi="Calibri" w:cs="Calibri"/>
      <w:noProof/>
    </w:rPr>
  </w:style>
  <w:style w:type="paragraph" w:styleId="EndnoteText">
    <w:name w:val="endnote text"/>
    <w:basedOn w:val="Normal"/>
    <w:link w:val="EndnoteTextChar"/>
    <w:uiPriority w:val="99"/>
    <w:semiHidden/>
    <w:unhideWhenUsed/>
    <w:rsid w:val="00F51911"/>
    <w:rPr>
      <w:sz w:val="20"/>
      <w:szCs w:val="20"/>
    </w:rPr>
  </w:style>
  <w:style w:type="character" w:customStyle="1" w:styleId="EndnoteTextChar">
    <w:name w:val="Endnote Text Char"/>
    <w:basedOn w:val="DefaultParagraphFont"/>
    <w:link w:val="EndnoteText"/>
    <w:uiPriority w:val="99"/>
    <w:semiHidden/>
    <w:rsid w:val="00F51911"/>
    <w:rPr>
      <w:sz w:val="20"/>
      <w:szCs w:val="20"/>
    </w:rPr>
  </w:style>
  <w:style w:type="character" w:styleId="EndnoteReference">
    <w:name w:val="endnote reference"/>
    <w:basedOn w:val="DefaultParagraphFont"/>
    <w:uiPriority w:val="99"/>
    <w:semiHidden/>
    <w:unhideWhenUsed/>
    <w:rsid w:val="00F519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06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43226"/>
    <w:pPr>
      <w:keepNext/>
      <w:spacing w:before="240" w:after="60"/>
      <w:outlineLvl w:val="2"/>
    </w:pPr>
    <w:rPr>
      <w:rFonts w:ascii="Arial" w:eastAsia="PMingLiU" w:hAnsi="Arial" w:cs="Arial"/>
      <w:b/>
      <w:bCs/>
      <w:sz w:val="26"/>
      <w:szCs w:val="26"/>
      <w:lang w:eastAsia="fr-FR"/>
    </w:rPr>
  </w:style>
  <w:style w:type="paragraph" w:styleId="Heading4">
    <w:name w:val="heading 4"/>
    <w:basedOn w:val="Normal"/>
    <w:next w:val="Normal"/>
    <w:link w:val="Heading4Char"/>
    <w:uiPriority w:val="9"/>
    <w:unhideWhenUsed/>
    <w:qFormat/>
    <w:rsid w:val="009206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1593E"/>
    <w:rPr>
      <w:rFonts w:ascii="Times New Roman" w:eastAsia="PMingLiU" w:hAnsi="Times New Roman" w:cs="Times New Roman"/>
      <w:sz w:val="20"/>
      <w:szCs w:val="20"/>
      <w:lang w:eastAsia="fr-FR"/>
    </w:rPr>
  </w:style>
  <w:style w:type="character" w:customStyle="1" w:styleId="FootnoteTextChar">
    <w:name w:val="Footnote Text Char"/>
    <w:basedOn w:val="DefaultParagraphFont"/>
    <w:link w:val="FootnoteText"/>
    <w:uiPriority w:val="99"/>
    <w:rsid w:val="0051593E"/>
    <w:rPr>
      <w:rFonts w:ascii="Times New Roman" w:eastAsia="PMingLiU" w:hAnsi="Times New Roman" w:cs="Times New Roman"/>
      <w:sz w:val="20"/>
      <w:szCs w:val="20"/>
      <w:lang w:eastAsia="fr-FR"/>
    </w:rPr>
  </w:style>
  <w:style w:type="character" w:styleId="FootnoteReference">
    <w:name w:val="footnote reference"/>
    <w:uiPriority w:val="99"/>
    <w:rsid w:val="0051593E"/>
    <w:rPr>
      <w:vertAlign w:val="superscript"/>
    </w:rPr>
  </w:style>
  <w:style w:type="character" w:customStyle="1" w:styleId="Heading3Char">
    <w:name w:val="Heading 3 Char"/>
    <w:basedOn w:val="DefaultParagraphFont"/>
    <w:link w:val="Heading3"/>
    <w:rsid w:val="00D43226"/>
    <w:rPr>
      <w:rFonts w:ascii="Arial" w:eastAsia="PMingLiU" w:hAnsi="Arial" w:cs="Arial"/>
      <w:b/>
      <w:bCs/>
      <w:sz w:val="26"/>
      <w:szCs w:val="26"/>
      <w:lang w:eastAsia="fr-FR"/>
    </w:rPr>
  </w:style>
  <w:style w:type="paragraph" w:styleId="BalloonText">
    <w:name w:val="Balloon Text"/>
    <w:basedOn w:val="Normal"/>
    <w:link w:val="BalloonTextChar"/>
    <w:uiPriority w:val="99"/>
    <w:semiHidden/>
    <w:unhideWhenUsed/>
    <w:rsid w:val="006F13B7"/>
    <w:rPr>
      <w:rFonts w:ascii="Tahoma" w:hAnsi="Tahoma" w:cs="Tahoma"/>
      <w:sz w:val="16"/>
      <w:szCs w:val="16"/>
    </w:rPr>
  </w:style>
  <w:style w:type="character" w:customStyle="1" w:styleId="BalloonTextChar">
    <w:name w:val="Balloon Text Char"/>
    <w:basedOn w:val="DefaultParagraphFont"/>
    <w:link w:val="BalloonText"/>
    <w:uiPriority w:val="99"/>
    <w:semiHidden/>
    <w:rsid w:val="006F13B7"/>
    <w:rPr>
      <w:rFonts w:ascii="Tahoma" w:hAnsi="Tahoma" w:cs="Tahoma"/>
      <w:sz w:val="16"/>
      <w:szCs w:val="16"/>
    </w:rPr>
  </w:style>
  <w:style w:type="paragraph" w:styleId="ListParagraph">
    <w:name w:val="List Paragraph"/>
    <w:basedOn w:val="Normal"/>
    <w:uiPriority w:val="34"/>
    <w:qFormat/>
    <w:rsid w:val="00521F0E"/>
    <w:pPr>
      <w:ind w:left="720"/>
      <w:contextualSpacing/>
    </w:pPr>
  </w:style>
  <w:style w:type="character" w:customStyle="1" w:styleId="addmd1">
    <w:name w:val="addmd1"/>
    <w:basedOn w:val="DefaultParagraphFont"/>
    <w:rsid w:val="001C629B"/>
    <w:rPr>
      <w:sz w:val="20"/>
      <w:szCs w:val="20"/>
    </w:rPr>
  </w:style>
  <w:style w:type="paragraph" w:styleId="NormalWeb">
    <w:name w:val="Normal (Web)"/>
    <w:basedOn w:val="Normal"/>
    <w:uiPriority w:val="99"/>
    <w:unhideWhenUsed/>
    <w:rsid w:val="00885E7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CC5"/>
    <w:pPr>
      <w:tabs>
        <w:tab w:val="center" w:pos="4513"/>
        <w:tab w:val="right" w:pos="9026"/>
      </w:tabs>
    </w:pPr>
  </w:style>
  <w:style w:type="character" w:customStyle="1" w:styleId="HeaderChar">
    <w:name w:val="Header Char"/>
    <w:basedOn w:val="DefaultParagraphFont"/>
    <w:link w:val="Header"/>
    <w:uiPriority w:val="99"/>
    <w:rsid w:val="00491CC5"/>
  </w:style>
  <w:style w:type="paragraph" w:styleId="Footer">
    <w:name w:val="footer"/>
    <w:basedOn w:val="Normal"/>
    <w:link w:val="FooterChar"/>
    <w:uiPriority w:val="99"/>
    <w:unhideWhenUsed/>
    <w:rsid w:val="00491CC5"/>
    <w:pPr>
      <w:tabs>
        <w:tab w:val="center" w:pos="4513"/>
        <w:tab w:val="right" w:pos="9026"/>
      </w:tabs>
    </w:pPr>
  </w:style>
  <w:style w:type="character" w:customStyle="1" w:styleId="FooterChar">
    <w:name w:val="Footer Char"/>
    <w:basedOn w:val="DefaultParagraphFont"/>
    <w:link w:val="Footer"/>
    <w:uiPriority w:val="99"/>
    <w:rsid w:val="00491CC5"/>
  </w:style>
  <w:style w:type="character" w:customStyle="1" w:styleId="Heading2Char">
    <w:name w:val="Heading 2 Char"/>
    <w:basedOn w:val="DefaultParagraphFont"/>
    <w:link w:val="Heading2"/>
    <w:uiPriority w:val="9"/>
    <w:rsid w:val="0092064D"/>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92064D"/>
    <w:rPr>
      <w:i/>
      <w:iCs/>
      <w:color w:val="808080" w:themeColor="text1" w:themeTint="7F"/>
    </w:rPr>
  </w:style>
  <w:style w:type="paragraph" w:styleId="Subtitle">
    <w:name w:val="Subtitle"/>
    <w:basedOn w:val="Normal"/>
    <w:next w:val="Normal"/>
    <w:link w:val="SubtitleChar"/>
    <w:uiPriority w:val="11"/>
    <w:qFormat/>
    <w:rsid w:val="009206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064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92064D"/>
    <w:rPr>
      <w:rFonts w:asciiTheme="majorHAnsi" w:eastAsiaTheme="majorEastAsia" w:hAnsiTheme="majorHAnsi" w:cstheme="majorBidi"/>
      <w:b/>
      <w:bCs/>
      <w:i/>
      <w:iCs/>
      <w:color w:val="4F81BD" w:themeColor="accent1"/>
    </w:rPr>
  </w:style>
  <w:style w:type="character" w:customStyle="1" w:styleId="dmfdef">
    <w:name w:val="dmf_def"/>
    <w:basedOn w:val="DefaultParagraphFont"/>
    <w:rsid w:val="00DE3BFB"/>
  </w:style>
  <w:style w:type="character" w:styleId="CommentReference">
    <w:name w:val="annotation reference"/>
    <w:basedOn w:val="DefaultParagraphFont"/>
    <w:uiPriority w:val="99"/>
    <w:semiHidden/>
    <w:unhideWhenUsed/>
    <w:rsid w:val="008C52D5"/>
    <w:rPr>
      <w:sz w:val="16"/>
      <w:szCs w:val="16"/>
    </w:rPr>
  </w:style>
  <w:style w:type="paragraph" w:styleId="CommentText">
    <w:name w:val="annotation text"/>
    <w:basedOn w:val="Normal"/>
    <w:link w:val="CommentTextChar"/>
    <w:uiPriority w:val="99"/>
    <w:semiHidden/>
    <w:unhideWhenUsed/>
    <w:rsid w:val="008C52D5"/>
    <w:rPr>
      <w:sz w:val="20"/>
      <w:szCs w:val="20"/>
    </w:rPr>
  </w:style>
  <w:style w:type="character" w:customStyle="1" w:styleId="CommentTextChar">
    <w:name w:val="Comment Text Char"/>
    <w:basedOn w:val="DefaultParagraphFont"/>
    <w:link w:val="CommentText"/>
    <w:uiPriority w:val="99"/>
    <w:semiHidden/>
    <w:rsid w:val="008C52D5"/>
    <w:rPr>
      <w:sz w:val="20"/>
      <w:szCs w:val="20"/>
    </w:rPr>
  </w:style>
  <w:style w:type="paragraph" w:styleId="CommentSubject">
    <w:name w:val="annotation subject"/>
    <w:basedOn w:val="CommentText"/>
    <w:next w:val="CommentText"/>
    <w:link w:val="CommentSubjectChar"/>
    <w:uiPriority w:val="99"/>
    <w:semiHidden/>
    <w:unhideWhenUsed/>
    <w:rsid w:val="008C52D5"/>
    <w:rPr>
      <w:b/>
      <w:bCs/>
    </w:rPr>
  </w:style>
  <w:style w:type="character" w:customStyle="1" w:styleId="CommentSubjectChar">
    <w:name w:val="Comment Subject Char"/>
    <w:basedOn w:val="CommentTextChar"/>
    <w:link w:val="CommentSubject"/>
    <w:uiPriority w:val="99"/>
    <w:semiHidden/>
    <w:rsid w:val="008C52D5"/>
    <w:rPr>
      <w:b/>
      <w:bCs/>
      <w:sz w:val="20"/>
      <w:szCs w:val="20"/>
    </w:rPr>
  </w:style>
  <w:style w:type="character" w:customStyle="1" w:styleId="dmfdef1">
    <w:name w:val="dmf_def1"/>
    <w:basedOn w:val="DefaultParagraphFont"/>
    <w:rsid w:val="00D67907"/>
    <w:rPr>
      <w:shd w:val="clear" w:color="auto" w:fill="FFFFAA"/>
    </w:rPr>
  </w:style>
  <w:style w:type="character" w:customStyle="1" w:styleId="pl-ead-emph">
    <w:name w:val="pl-ead-emph"/>
    <w:basedOn w:val="DefaultParagraphFont"/>
    <w:rsid w:val="009755DB"/>
  </w:style>
  <w:style w:type="character" w:styleId="Hyperlink">
    <w:name w:val="Hyperlink"/>
    <w:basedOn w:val="DefaultParagraphFont"/>
    <w:uiPriority w:val="99"/>
    <w:unhideWhenUsed/>
    <w:rsid w:val="008F4D61"/>
    <w:rPr>
      <w:color w:val="0000FF" w:themeColor="hyperlink"/>
      <w:u w:val="single"/>
    </w:rPr>
  </w:style>
  <w:style w:type="character" w:customStyle="1" w:styleId="exldetailsdisplayval">
    <w:name w:val="exldetailsdisplayval"/>
    <w:basedOn w:val="DefaultParagraphFont"/>
    <w:rsid w:val="00F641E1"/>
  </w:style>
  <w:style w:type="paragraph" w:customStyle="1" w:styleId="EndNoteBibliographyTitle">
    <w:name w:val="EndNote Bibliography Title"/>
    <w:basedOn w:val="Normal"/>
    <w:link w:val="EndNoteBibliographyTitleChar"/>
    <w:rsid w:val="00063701"/>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63701"/>
    <w:rPr>
      <w:rFonts w:ascii="Calibri" w:hAnsi="Calibri" w:cs="Calibri"/>
      <w:noProof/>
    </w:rPr>
  </w:style>
  <w:style w:type="paragraph" w:customStyle="1" w:styleId="EndNoteBibliography">
    <w:name w:val="EndNote Bibliography"/>
    <w:basedOn w:val="Normal"/>
    <w:link w:val="EndNoteBibliographyChar"/>
    <w:rsid w:val="00063701"/>
    <w:pPr>
      <w:jc w:val="both"/>
    </w:pPr>
    <w:rPr>
      <w:rFonts w:ascii="Calibri" w:hAnsi="Calibri" w:cs="Calibri"/>
      <w:noProof/>
    </w:rPr>
  </w:style>
  <w:style w:type="character" w:customStyle="1" w:styleId="EndNoteBibliographyChar">
    <w:name w:val="EndNote Bibliography Char"/>
    <w:basedOn w:val="DefaultParagraphFont"/>
    <w:link w:val="EndNoteBibliography"/>
    <w:rsid w:val="00063701"/>
    <w:rPr>
      <w:rFonts w:ascii="Calibri" w:hAnsi="Calibri" w:cs="Calibri"/>
      <w:noProof/>
    </w:rPr>
  </w:style>
  <w:style w:type="paragraph" w:styleId="EndnoteText">
    <w:name w:val="endnote text"/>
    <w:basedOn w:val="Normal"/>
    <w:link w:val="EndnoteTextChar"/>
    <w:uiPriority w:val="99"/>
    <w:semiHidden/>
    <w:unhideWhenUsed/>
    <w:rsid w:val="00F51911"/>
    <w:rPr>
      <w:sz w:val="20"/>
      <w:szCs w:val="20"/>
    </w:rPr>
  </w:style>
  <w:style w:type="character" w:customStyle="1" w:styleId="EndnoteTextChar">
    <w:name w:val="Endnote Text Char"/>
    <w:basedOn w:val="DefaultParagraphFont"/>
    <w:link w:val="EndnoteText"/>
    <w:uiPriority w:val="99"/>
    <w:semiHidden/>
    <w:rsid w:val="00F51911"/>
    <w:rPr>
      <w:sz w:val="20"/>
      <w:szCs w:val="20"/>
    </w:rPr>
  </w:style>
  <w:style w:type="character" w:styleId="EndnoteReference">
    <w:name w:val="endnote reference"/>
    <w:basedOn w:val="DefaultParagraphFont"/>
    <w:uiPriority w:val="99"/>
    <w:semiHidden/>
    <w:unhideWhenUsed/>
    <w:rsid w:val="00F51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971">
      <w:bodyDiv w:val="1"/>
      <w:marLeft w:val="0"/>
      <w:marRight w:val="0"/>
      <w:marTop w:val="0"/>
      <w:marBottom w:val="0"/>
      <w:divBdr>
        <w:top w:val="none" w:sz="0" w:space="0" w:color="auto"/>
        <w:left w:val="none" w:sz="0" w:space="0" w:color="auto"/>
        <w:bottom w:val="none" w:sz="0" w:space="0" w:color="auto"/>
        <w:right w:val="none" w:sz="0" w:space="0" w:color="auto"/>
      </w:divBdr>
      <w:divsChild>
        <w:div w:id="1127697520">
          <w:marLeft w:val="0"/>
          <w:marRight w:val="0"/>
          <w:marTop w:val="0"/>
          <w:marBottom w:val="0"/>
          <w:divBdr>
            <w:top w:val="none" w:sz="0" w:space="0" w:color="auto"/>
            <w:left w:val="none" w:sz="0" w:space="0" w:color="auto"/>
            <w:bottom w:val="none" w:sz="0" w:space="0" w:color="auto"/>
            <w:right w:val="none" w:sz="0" w:space="0" w:color="auto"/>
          </w:divBdr>
          <w:divsChild>
            <w:div w:id="58410203">
              <w:marLeft w:val="0"/>
              <w:marRight w:val="0"/>
              <w:marTop w:val="0"/>
              <w:marBottom w:val="0"/>
              <w:divBdr>
                <w:top w:val="none" w:sz="0" w:space="0" w:color="auto"/>
                <w:left w:val="none" w:sz="0" w:space="0" w:color="auto"/>
                <w:bottom w:val="none" w:sz="0" w:space="0" w:color="auto"/>
                <w:right w:val="none" w:sz="0" w:space="0" w:color="auto"/>
              </w:divBdr>
            </w:div>
            <w:div w:id="143351047">
              <w:marLeft w:val="0"/>
              <w:marRight w:val="0"/>
              <w:marTop w:val="0"/>
              <w:marBottom w:val="0"/>
              <w:divBdr>
                <w:top w:val="none" w:sz="0" w:space="0" w:color="auto"/>
                <w:left w:val="none" w:sz="0" w:space="0" w:color="auto"/>
                <w:bottom w:val="none" w:sz="0" w:space="0" w:color="auto"/>
                <w:right w:val="none" w:sz="0" w:space="0" w:color="auto"/>
              </w:divBdr>
            </w:div>
            <w:div w:id="215168259">
              <w:marLeft w:val="0"/>
              <w:marRight w:val="0"/>
              <w:marTop w:val="0"/>
              <w:marBottom w:val="0"/>
              <w:divBdr>
                <w:top w:val="none" w:sz="0" w:space="0" w:color="auto"/>
                <w:left w:val="none" w:sz="0" w:space="0" w:color="auto"/>
                <w:bottom w:val="none" w:sz="0" w:space="0" w:color="auto"/>
                <w:right w:val="none" w:sz="0" w:space="0" w:color="auto"/>
              </w:divBdr>
            </w:div>
            <w:div w:id="330448290">
              <w:marLeft w:val="0"/>
              <w:marRight w:val="0"/>
              <w:marTop w:val="0"/>
              <w:marBottom w:val="0"/>
              <w:divBdr>
                <w:top w:val="none" w:sz="0" w:space="0" w:color="auto"/>
                <w:left w:val="none" w:sz="0" w:space="0" w:color="auto"/>
                <w:bottom w:val="none" w:sz="0" w:space="0" w:color="auto"/>
                <w:right w:val="none" w:sz="0" w:space="0" w:color="auto"/>
              </w:divBdr>
            </w:div>
            <w:div w:id="335501703">
              <w:marLeft w:val="0"/>
              <w:marRight w:val="0"/>
              <w:marTop w:val="0"/>
              <w:marBottom w:val="0"/>
              <w:divBdr>
                <w:top w:val="none" w:sz="0" w:space="0" w:color="auto"/>
                <w:left w:val="none" w:sz="0" w:space="0" w:color="auto"/>
                <w:bottom w:val="none" w:sz="0" w:space="0" w:color="auto"/>
                <w:right w:val="none" w:sz="0" w:space="0" w:color="auto"/>
              </w:divBdr>
            </w:div>
            <w:div w:id="390857898">
              <w:marLeft w:val="0"/>
              <w:marRight w:val="0"/>
              <w:marTop w:val="0"/>
              <w:marBottom w:val="0"/>
              <w:divBdr>
                <w:top w:val="none" w:sz="0" w:space="0" w:color="auto"/>
                <w:left w:val="none" w:sz="0" w:space="0" w:color="auto"/>
                <w:bottom w:val="none" w:sz="0" w:space="0" w:color="auto"/>
                <w:right w:val="none" w:sz="0" w:space="0" w:color="auto"/>
              </w:divBdr>
            </w:div>
            <w:div w:id="659963311">
              <w:marLeft w:val="0"/>
              <w:marRight w:val="0"/>
              <w:marTop w:val="0"/>
              <w:marBottom w:val="0"/>
              <w:divBdr>
                <w:top w:val="none" w:sz="0" w:space="0" w:color="auto"/>
                <w:left w:val="none" w:sz="0" w:space="0" w:color="auto"/>
                <w:bottom w:val="none" w:sz="0" w:space="0" w:color="auto"/>
                <w:right w:val="none" w:sz="0" w:space="0" w:color="auto"/>
              </w:divBdr>
            </w:div>
            <w:div w:id="712995577">
              <w:marLeft w:val="0"/>
              <w:marRight w:val="0"/>
              <w:marTop w:val="0"/>
              <w:marBottom w:val="0"/>
              <w:divBdr>
                <w:top w:val="none" w:sz="0" w:space="0" w:color="auto"/>
                <w:left w:val="none" w:sz="0" w:space="0" w:color="auto"/>
                <w:bottom w:val="none" w:sz="0" w:space="0" w:color="auto"/>
                <w:right w:val="none" w:sz="0" w:space="0" w:color="auto"/>
              </w:divBdr>
            </w:div>
            <w:div w:id="769397080">
              <w:marLeft w:val="0"/>
              <w:marRight w:val="0"/>
              <w:marTop w:val="0"/>
              <w:marBottom w:val="0"/>
              <w:divBdr>
                <w:top w:val="none" w:sz="0" w:space="0" w:color="auto"/>
                <w:left w:val="none" w:sz="0" w:space="0" w:color="auto"/>
                <w:bottom w:val="none" w:sz="0" w:space="0" w:color="auto"/>
                <w:right w:val="none" w:sz="0" w:space="0" w:color="auto"/>
              </w:divBdr>
            </w:div>
            <w:div w:id="911814053">
              <w:marLeft w:val="0"/>
              <w:marRight w:val="0"/>
              <w:marTop w:val="0"/>
              <w:marBottom w:val="0"/>
              <w:divBdr>
                <w:top w:val="none" w:sz="0" w:space="0" w:color="auto"/>
                <w:left w:val="none" w:sz="0" w:space="0" w:color="auto"/>
                <w:bottom w:val="none" w:sz="0" w:space="0" w:color="auto"/>
                <w:right w:val="none" w:sz="0" w:space="0" w:color="auto"/>
              </w:divBdr>
            </w:div>
            <w:div w:id="1050689187">
              <w:marLeft w:val="0"/>
              <w:marRight w:val="0"/>
              <w:marTop w:val="0"/>
              <w:marBottom w:val="0"/>
              <w:divBdr>
                <w:top w:val="none" w:sz="0" w:space="0" w:color="auto"/>
                <w:left w:val="none" w:sz="0" w:space="0" w:color="auto"/>
                <w:bottom w:val="none" w:sz="0" w:space="0" w:color="auto"/>
                <w:right w:val="none" w:sz="0" w:space="0" w:color="auto"/>
              </w:divBdr>
            </w:div>
            <w:div w:id="1292858434">
              <w:marLeft w:val="0"/>
              <w:marRight w:val="0"/>
              <w:marTop w:val="0"/>
              <w:marBottom w:val="0"/>
              <w:divBdr>
                <w:top w:val="none" w:sz="0" w:space="0" w:color="auto"/>
                <w:left w:val="none" w:sz="0" w:space="0" w:color="auto"/>
                <w:bottom w:val="none" w:sz="0" w:space="0" w:color="auto"/>
                <w:right w:val="none" w:sz="0" w:space="0" w:color="auto"/>
              </w:divBdr>
            </w:div>
            <w:div w:id="1465809388">
              <w:marLeft w:val="0"/>
              <w:marRight w:val="0"/>
              <w:marTop w:val="0"/>
              <w:marBottom w:val="0"/>
              <w:divBdr>
                <w:top w:val="none" w:sz="0" w:space="0" w:color="auto"/>
                <w:left w:val="none" w:sz="0" w:space="0" w:color="auto"/>
                <w:bottom w:val="none" w:sz="0" w:space="0" w:color="auto"/>
                <w:right w:val="none" w:sz="0" w:space="0" w:color="auto"/>
              </w:divBdr>
            </w:div>
            <w:div w:id="1498182408">
              <w:marLeft w:val="0"/>
              <w:marRight w:val="0"/>
              <w:marTop w:val="0"/>
              <w:marBottom w:val="0"/>
              <w:divBdr>
                <w:top w:val="none" w:sz="0" w:space="0" w:color="auto"/>
                <w:left w:val="none" w:sz="0" w:space="0" w:color="auto"/>
                <w:bottom w:val="none" w:sz="0" w:space="0" w:color="auto"/>
                <w:right w:val="none" w:sz="0" w:space="0" w:color="auto"/>
              </w:divBdr>
            </w:div>
            <w:div w:id="1820656034">
              <w:marLeft w:val="0"/>
              <w:marRight w:val="0"/>
              <w:marTop w:val="0"/>
              <w:marBottom w:val="0"/>
              <w:divBdr>
                <w:top w:val="none" w:sz="0" w:space="0" w:color="auto"/>
                <w:left w:val="none" w:sz="0" w:space="0" w:color="auto"/>
                <w:bottom w:val="none" w:sz="0" w:space="0" w:color="auto"/>
                <w:right w:val="none" w:sz="0" w:space="0" w:color="auto"/>
              </w:divBdr>
            </w:div>
            <w:div w:id="1845975655">
              <w:marLeft w:val="0"/>
              <w:marRight w:val="0"/>
              <w:marTop w:val="0"/>
              <w:marBottom w:val="0"/>
              <w:divBdr>
                <w:top w:val="none" w:sz="0" w:space="0" w:color="auto"/>
                <w:left w:val="none" w:sz="0" w:space="0" w:color="auto"/>
                <w:bottom w:val="none" w:sz="0" w:space="0" w:color="auto"/>
                <w:right w:val="none" w:sz="0" w:space="0" w:color="auto"/>
              </w:divBdr>
            </w:div>
            <w:div w:id="1886528508">
              <w:marLeft w:val="0"/>
              <w:marRight w:val="0"/>
              <w:marTop w:val="0"/>
              <w:marBottom w:val="0"/>
              <w:divBdr>
                <w:top w:val="none" w:sz="0" w:space="0" w:color="auto"/>
                <w:left w:val="none" w:sz="0" w:space="0" w:color="auto"/>
                <w:bottom w:val="none" w:sz="0" w:space="0" w:color="auto"/>
                <w:right w:val="none" w:sz="0" w:space="0" w:color="auto"/>
              </w:divBdr>
            </w:div>
            <w:div w:id="19225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331">
      <w:bodyDiv w:val="1"/>
      <w:marLeft w:val="0"/>
      <w:marRight w:val="0"/>
      <w:marTop w:val="0"/>
      <w:marBottom w:val="0"/>
      <w:divBdr>
        <w:top w:val="none" w:sz="0" w:space="0" w:color="auto"/>
        <w:left w:val="none" w:sz="0" w:space="0" w:color="auto"/>
        <w:bottom w:val="none" w:sz="0" w:space="0" w:color="auto"/>
        <w:right w:val="none" w:sz="0" w:space="0" w:color="auto"/>
      </w:divBdr>
    </w:div>
    <w:div w:id="280187046">
      <w:bodyDiv w:val="1"/>
      <w:marLeft w:val="0"/>
      <w:marRight w:val="0"/>
      <w:marTop w:val="0"/>
      <w:marBottom w:val="0"/>
      <w:divBdr>
        <w:top w:val="none" w:sz="0" w:space="0" w:color="auto"/>
        <w:left w:val="none" w:sz="0" w:space="0" w:color="auto"/>
        <w:bottom w:val="none" w:sz="0" w:space="0" w:color="auto"/>
        <w:right w:val="none" w:sz="0" w:space="0" w:color="auto"/>
      </w:divBdr>
    </w:div>
    <w:div w:id="399406812">
      <w:bodyDiv w:val="1"/>
      <w:marLeft w:val="0"/>
      <w:marRight w:val="0"/>
      <w:marTop w:val="0"/>
      <w:marBottom w:val="0"/>
      <w:divBdr>
        <w:top w:val="none" w:sz="0" w:space="0" w:color="auto"/>
        <w:left w:val="none" w:sz="0" w:space="0" w:color="auto"/>
        <w:bottom w:val="none" w:sz="0" w:space="0" w:color="auto"/>
        <w:right w:val="none" w:sz="0" w:space="0" w:color="auto"/>
      </w:divBdr>
    </w:div>
    <w:div w:id="434132384">
      <w:bodyDiv w:val="1"/>
      <w:marLeft w:val="0"/>
      <w:marRight w:val="0"/>
      <w:marTop w:val="0"/>
      <w:marBottom w:val="0"/>
      <w:divBdr>
        <w:top w:val="none" w:sz="0" w:space="0" w:color="auto"/>
        <w:left w:val="none" w:sz="0" w:space="0" w:color="auto"/>
        <w:bottom w:val="none" w:sz="0" w:space="0" w:color="auto"/>
        <w:right w:val="none" w:sz="0" w:space="0" w:color="auto"/>
      </w:divBdr>
    </w:div>
    <w:div w:id="531070129">
      <w:bodyDiv w:val="1"/>
      <w:marLeft w:val="0"/>
      <w:marRight w:val="0"/>
      <w:marTop w:val="0"/>
      <w:marBottom w:val="0"/>
      <w:divBdr>
        <w:top w:val="none" w:sz="0" w:space="0" w:color="auto"/>
        <w:left w:val="none" w:sz="0" w:space="0" w:color="auto"/>
        <w:bottom w:val="none" w:sz="0" w:space="0" w:color="auto"/>
        <w:right w:val="none" w:sz="0" w:space="0" w:color="auto"/>
      </w:divBdr>
    </w:div>
    <w:div w:id="562562096">
      <w:bodyDiv w:val="1"/>
      <w:marLeft w:val="0"/>
      <w:marRight w:val="0"/>
      <w:marTop w:val="0"/>
      <w:marBottom w:val="0"/>
      <w:divBdr>
        <w:top w:val="none" w:sz="0" w:space="0" w:color="auto"/>
        <w:left w:val="none" w:sz="0" w:space="0" w:color="auto"/>
        <w:bottom w:val="none" w:sz="0" w:space="0" w:color="auto"/>
        <w:right w:val="none" w:sz="0" w:space="0" w:color="auto"/>
      </w:divBdr>
    </w:div>
    <w:div w:id="613875828">
      <w:bodyDiv w:val="1"/>
      <w:marLeft w:val="0"/>
      <w:marRight w:val="0"/>
      <w:marTop w:val="0"/>
      <w:marBottom w:val="0"/>
      <w:divBdr>
        <w:top w:val="none" w:sz="0" w:space="0" w:color="auto"/>
        <w:left w:val="none" w:sz="0" w:space="0" w:color="auto"/>
        <w:bottom w:val="none" w:sz="0" w:space="0" w:color="auto"/>
        <w:right w:val="none" w:sz="0" w:space="0" w:color="auto"/>
      </w:divBdr>
    </w:div>
    <w:div w:id="645820865">
      <w:bodyDiv w:val="1"/>
      <w:marLeft w:val="0"/>
      <w:marRight w:val="0"/>
      <w:marTop w:val="0"/>
      <w:marBottom w:val="0"/>
      <w:divBdr>
        <w:top w:val="none" w:sz="0" w:space="0" w:color="auto"/>
        <w:left w:val="none" w:sz="0" w:space="0" w:color="auto"/>
        <w:bottom w:val="none" w:sz="0" w:space="0" w:color="auto"/>
        <w:right w:val="none" w:sz="0" w:space="0" w:color="auto"/>
      </w:divBdr>
    </w:div>
    <w:div w:id="757751376">
      <w:bodyDiv w:val="1"/>
      <w:marLeft w:val="0"/>
      <w:marRight w:val="0"/>
      <w:marTop w:val="0"/>
      <w:marBottom w:val="0"/>
      <w:divBdr>
        <w:top w:val="none" w:sz="0" w:space="0" w:color="auto"/>
        <w:left w:val="none" w:sz="0" w:space="0" w:color="auto"/>
        <w:bottom w:val="none" w:sz="0" w:space="0" w:color="auto"/>
        <w:right w:val="none" w:sz="0" w:space="0" w:color="auto"/>
      </w:divBdr>
    </w:div>
    <w:div w:id="934284909">
      <w:bodyDiv w:val="1"/>
      <w:marLeft w:val="0"/>
      <w:marRight w:val="0"/>
      <w:marTop w:val="0"/>
      <w:marBottom w:val="0"/>
      <w:divBdr>
        <w:top w:val="none" w:sz="0" w:space="0" w:color="auto"/>
        <w:left w:val="none" w:sz="0" w:space="0" w:color="auto"/>
        <w:bottom w:val="none" w:sz="0" w:space="0" w:color="auto"/>
        <w:right w:val="none" w:sz="0" w:space="0" w:color="auto"/>
      </w:divBdr>
    </w:div>
    <w:div w:id="1373769463">
      <w:bodyDiv w:val="1"/>
      <w:marLeft w:val="0"/>
      <w:marRight w:val="0"/>
      <w:marTop w:val="0"/>
      <w:marBottom w:val="0"/>
      <w:divBdr>
        <w:top w:val="none" w:sz="0" w:space="0" w:color="auto"/>
        <w:left w:val="none" w:sz="0" w:space="0" w:color="auto"/>
        <w:bottom w:val="none" w:sz="0" w:space="0" w:color="auto"/>
        <w:right w:val="none" w:sz="0" w:space="0" w:color="auto"/>
      </w:divBdr>
    </w:div>
    <w:div w:id="1393772260">
      <w:bodyDiv w:val="1"/>
      <w:marLeft w:val="0"/>
      <w:marRight w:val="0"/>
      <w:marTop w:val="0"/>
      <w:marBottom w:val="0"/>
      <w:divBdr>
        <w:top w:val="none" w:sz="0" w:space="0" w:color="auto"/>
        <w:left w:val="none" w:sz="0" w:space="0" w:color="auto"/>
        <w:bottom w:val="none" w:sz="0" w:space="0" w:color="auto"/>
        <w:right w:val="none" w:sz="0" w:space="0" w:color="auto"/>
      </w:divBdr>
    </w:div>
    <w:div w:id="1704935845">
      <w:bodyDiv w:val="1"/>
      <w:marLeft w:val="0"/>
      <w:marRight w:val="0"/>
      <w:marTop w:val="0"/>
      <w:marBottom w:val="0"/>
      <w:divBdr>
        <w:top w:val="none" w:sz="0" w:space="0" w:color="auto"/>
        <w:left w:val="none" w:sz="0" w:space="0" w:color="auto"/>
        <w:bottom w:val="none" w:sz="0" w:space="0" w:color="auto"/>
        <w:right w:val="none" w:sz="0" w:space="0" w:color="auto"/>
      </w:divBdr>
    </w:div>
    <w:div w:id="1886598301">
      <w:bodyDiv w:val="1"/>
      <w:marLeft w:val="0"/>
      <w:marRight w:val="0"/>
      <w:marTop w:val="0"/>
      <w:marBottom w:val="0"/>
      <w:divBdr>
        <w:top w:val="none" w:sz="0" w:space="0" w:color="auto"/>
        <w:left w:val="none" w:sz="0" w:space="0" w:color="auto"/>
        <w:bottom w:val="none" w:sz="0" w:space="0" w:color="auto"/>
        <w:right w:val="none" w:sz="0" w:space="0" w:color="auto"/>
      </w:divBdr>
    </w:div>
    <w:div w:id="2070837925">
      <w:bodyDiv w:val="1"/>
      <w:marLeft w:val="0"/>
      <w:marRight w:val="0"/>
      <w:marTop w:val="0"/>
      <w:marBottom w:val="0"/>
      <w:divBdr>
        <w:top w:val="none" w:sz="0" w:space="0" w:color="auto"/>
        <w:left w:val="none" w:sz="0" w:space="0" w:color="auto"/>
        <w:bottom w:val="none" w:sz="0" w:space="0" w:color="auto"/>
        <w:right w:val="none" w:sz="0" w:space="0" w:color="auto"/>
      </w:divBdr>
    </w:div>
    <w:div w:id="2092239155">
      <w:bodyDiv w:val="1"/>
      <w:marLeft w:val="0"/>
      <w:marRight w:val="0"/>
      <w:marTop w:val="0"/>
      <w:marBottom w:val="0"/>
      <w:divBdr>
        <w:top w:val="none" w:sz="0" w:space="0" w:color="auto"/>
        <w:left w:val="none" w:sz="0" w:space="0" w:color="auto"/>
        <w:bottom w:val="none" w:sz="0" w:space="0" w:color="auto"/>
        <w:right w:val="none" w:sz="0" w:space="0" w:color="auto"/>
      </w:divBdr>
    </w:div>
    <w:div w:id="2131046528">
      <w:bodyDiv w:val="1"/>
      <w:marLeft w:val="0"/>
      <w:marRight w:val="0"/>
      <w:marTop w:val="0"/>
      <w:marBottom w:val="0"/>
      <w:divBdr>
        <w:top w:val="none" w:sz="0" w:space="0" w:color="auto"/>
        <w:left w:val="none" w:sz="0" w:space="0" w:color="auto"/>
        <w:bottom w:val="none" w:sz="0" w:space="0" w:color="auto"/>
        <w:right w:val="none" w:sz="0" w:space="0" w:color="auto"/>
      </w:divBdr>
      <w:divsChild>
        <w:div w:id="221066914">
          <w:marLeft w:val="0"/>
          <w:marRight w:val="0"/>
          <w:marTop w:val="0"/>
          <w:marBottom w:val="0"/>
          <w:divBdr>
            <w:top w:val="none" w:sz="0" w:space="0" w:color="auto"/>
            <w:left w:val="none" w:sz="0" w:space="0" w:color="auto"/>
            <w:bottom w:val="none" w:sz="0" w:space="0" w:color="auto"/>
            <w:right w:val="none" w:sz="0" w:space="0" w:color="auto"/>
          </w:divBdr>
        </w:div>
        <w:div w:id="253823120">
          <w:marLeft w:val="0"/>
          <w:marRight w:val="0"/>
          <w:marTop w:val="0"/>
          <w:marBottom w:val="0"/>
          <w:divBdr>
            <w:top w:val="none" w:sz="0" w:space="0" w:color="auto"/>
            <w:left w:val="none" w:sz="0" w:space="0" w:color="auto"/>
            <w:bottom w:val="none" w:sz="0" w:space="0" w:color="auto"/>
            <w:right w:val="none" w:sz="0" w:space="0" w:color="auto"/>
          </w:divBdr>
        </w:div>
        <w:div w:id="281113642">
          <w:marLeft w:val="0"/>
          <w:marRight w:val="0"/>
          <w:marTop w:val="0"/>
          <w:marBottom w:val="0"/>
          <w:divBdr>
            <w:top w:val="none" w:sz="0" w:space="0" w:color="auto"/>
            <w:left w:val="none" w:sz="0" w:space="0" w:color="auto"/>
            <w:bottom w:val="none" w:sz="0" w:space="0" w:color="auto"/>
            <w:right w:val="none" w:sz="0" w:space="0" w:color="auto"/>
          </w:divBdr>
        </w:div>
        <w:div w:id="370804001">
          <w:marLeft w:val="0"/>
          <w:marRight w:val="0"/>
          <w:marTop w:val="0"/>
          <w:marBottom w:val="0"/>
          <w:divBdr>
            <w:top w:val="none" w:sz="0" w:space="0" w:color="auto"/>
            <w:left w:val="none" w:sz="0" w:space="0" w:color="auto"/>
            <w:bottom w:val="none" w:sz="0" w:space="0" w:color="auto"/>
            <w:right w:val="none" w:sz="0" w:space="0" w:color="auto"/>
          </w:divBdr>
        </w:div>
        <w:div w:id="583339165">
          <w:marLeft w:val="0"/>
          <w:marRight w:val="0"/>
          <w:marTop w:val="0"/>
          <w:marBottom w:val="0"/>
          <w:divBdr>
            <w:top w:val="none" w:sz="0" w:space="0" w:color="auto"/>
            <w:left w:val="none" w:sz="0" w:space="0" w:color="auto"/>
            <w:bottom w:val="none" w:sz="0" w:space="0" w:color="auto"/>
            <w:right w:val="none" w:sz="0" w:space="0" w:color="auto"/>
          </w:divBdr>
        </w:div>
        <w:div w:id="754784452">
          <w:marLeft w:val="0"/>
          <w:marRight w:val="0"/>
          <w:marTop w:val="0"/>
          <w:marBottom w:val="0"/>
          <w:divBdr>
            <w:top w:val="none" w:sz="0" w:space="0" w:color="auto"/>
            <w:left w:val="none" w:sz="0" w:space="0" w:color="auto"/>
            <w:bottom w:val="none" w:sz="0" w:space="0" w:color="auto"/>
            <w:right w:val="none" w:sz="0" w:space="0" w:color="auto"/>
          </w:divBdr>
        </w:div>
        <w:div w:id="862593462">
          <w:marLeft w:val="0"/>
          <w:marRight w:val="0"/>
          <w:marTop w:val="0"/>
          <w:marBottom w:val="0"/>
          <w:divBdr>
            <w:top w:val="none" w:sz="0" w:space="0" w:color="auto"/>
            <w:left w:val="none" w:sz="0" w:space="0" w:color="auto"/>
            <w:bottom w:val="none" w:sz="0" w:space="0" w:color="auto"/>
            <w:right w:val="none" w:sz="0" w:space="0" w:color="auto"/>
          </w:divBdr>
        </w:div>
        <w:div w:id="1229269490">
          <w:marLeft w:val="0"/>
          <w:marRight w:val="0"/>
          <w:marTop w:val="0"/>
          <w:marBottom w:val="0"/>
          <w:divBdr>
            <w:top w:val="none" w:sz="0" w:space="0" w:color="auto"/>
            <w:left w:val="none" w:sz="0" w:space="0" w:color="auto"/>
            <w:bottom w:val="none" w:sz="0" w:space="0" w:color="auto"/>
            <w:right w:val="none" w:sz="0" w:space="0" w:color="auto"/>
          </w:divBdr>
        </w:div>
        <w:div w:id="1295136970">
          <w:marLeft w:val="0"/>
          <w:marRight w:val="0"/>
          <w:marTop w:val="0"/>
          <w:marBottom w:val="0"/>
          <w:divBdr>
            <w:top w:val="none" w:sz="0" w:space="0" w:color="auto"/>
            <w:left w:val="none" w:sz="0" w:space="0" w:color="auto"/>
            <w:bottom w:val="none" w:sz="0" w:space="0" w:color="auto"/>
            <w:right w:val="none" w:sz="0" w:space="0" w:color="auto"/>
          </w:divBdr>
        </w:div>
        <w:div w:id="1567454459">
          <w:marLeft w:val="0"/>
          <w:marRight w:val="0"/>
          <w:marTop w:val="0"/>
          <w:marBottom w:val="0"/>
          <w:divBdr>
            <w:top w:val="none" w:sz="0" w:space="0" w:color="auto"/>
            <w:left w:val="none" w:sz="0" w:space="0" w:color="auto"/>
            <w:bottom w:val="none" w:sz="0" w:space="0" w:color="auto"/>
            <w:right w:val="none" w:sz="0" w:space="0" w:color="auto"/>
          </w:divBdr>
        </w:div>
        <w:div w:id="1702046597">
          <w:marLeft w:val="0"/>
          <w:marRight w:val="0"/>
          <w:marTop w:val="0"/>
          <w:marBottom w:val="0"/>
          <w:divBdr>
            <w:top w:val="none" w:sz="0" w:space="0" w:color="auto"/>
            <w:left w:val="none" w:sz="0" w:space="0" w:color="auto"/>
            <w:bottom w:val="none" w:sz="0" w:space="0" w:color="auto"/>
            <w:right w:val="none" w:sz="0" w:space="0" w:color="auto"/>
          </w:divBdr>
        </w:div>
        <w:div w:id="195848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236B-36B3-4198-B2B7-3E2DCE3E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19</Pages>
  <Words>7480</Words>
  <Characters>41146</Characters>
  <Application>Microsoft Office Word</Application>
  <DocSecurity>0</DocSecurity>
  <Lines>342</Lines>
  <Paragraphs>97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Savagery in France and in America</vt:lpstr>
    </vt:vector>
  </TitlesOfParts>
  <Company/>
  <LinksUpToDate>false</LinksUpToDate>
  <CharactersWithSpaces>48529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MATHIEU</dc:creator>
  <cp:lastModifiedBy>Alex</cp:lastModifiedBy>
  <cp:revision>43</cp:revision>
  <cp:lastPrinted>2018-01-30T09:46:00Z</cp:lastPrinted>
  <dcterms:created xsi:type="dcterms:W3CDTF">2018-01-30T13:10:00Z</dcterms:created>
  <dcterms:modified xsi:type="dcterms:W3CDTF">2018-03-05T11:51:00Z</dcterms:modified>
</cp:coreProperties>
</file>