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8BC7D0" w14:textId="77777777" w:rsidR="00EF60C6" w:rsidRPr="00C00554" w:rsidRDefault="00EF60C6">
      <w:pPr>
        <w:rPr>
          <w:b/>
          <w:bCs/>
          <w:sz w:val="28"/>
          <w:szCs w:val="28"/>
          <w:lang w:bidi="he-IL"/>
        </w:rPr>
      </w:pPr>
      <w:bookmarkStart w:id="0" w:name="_Hlk534110807"/>
    </w:p>
    <w:p w14:paraId="477D1AC1" w14:textId="41578C4B" w:rsidR="00AC55C4" w:rsidRDefault="00AC55C4" w:rsidP="001958D5">
      <w:pPr>
        <w:spacing w:line="360" w:lineRule="auto"/>
        <w:contextualSpacing/>
        <w:rPr>
          <w:rFonts w:asciiTheme="majorBidi" w:hAnsiTheme="majorBidi" w:cstheme="majorBidi"/>
          <w:i/>
          <w:sz w:val="28"/>
          <w:szCs w:val="28"/>
        </w:rPr>
      </w:pPr>
      <w:r w:rsidRPr="00DB0AA9">
        <w:rPr>
          <w:rFonts w:asciiTheme="majorBidi" w:hAnsiTheme="majorBidi" w:cstheme="majorBidi"/>
          <w:b/>
          <w:sz w:val="28"/>
          <w:szCs w:val="28"/>
        </w:rPr>
        <w:t>Effects of dapagliflozin on</w:t>
      </w:r>
      <w:r w:rsidR="00CD21BE">
        <w:rPr>
          <w:rFonts w:asciiTheme="majorBidi" w:hAnsiTheme="majorBidi" w:cstheme="majorBidi"/>
          <w:b/>
          <w:sz w:val="28"/>
          <w:szCs w:val="28"/>
        </w:rPr>
        <w:t xml:space="preserve"> development and</w:t>
      </w:r>
      <w:r w:rsidRPr="00DB0AA9">
        <w:rPr>
          <w:rFonts w:asciiTheme="majorBidi" w:hAnsiTheme="majorBidi" w:cstheme="majorBidi"/>
          <w:b/>
          <w:sz w:val="28"/>
          <w:szCs w:val="28"/>
        </w:rPr>
        <w:t xml:space="preserve"> progression of kidney disease</w:t>
      </w:r>
      <w:r w:rsidR="001958D5">
        <w:rPr>
          <w:rFonts w:asciiTheme="majorBidi" w:hAnsiTheme="majorBidi" w:cstheme="majorBidi"/>
          <w:b/>
          <w:sz w:val="28"/>
          <w:szCs w:val="28"/>
        </w:rPr>
        <w:t xml:space="preserve"> in patients with type 2 diabetes</w:t>
      </w:r>
      <w:r w:rsidRPr="00DB0AA9">
        <w:rPr>
          <w:rFonts w:asciiTheme="majorBidi" w:hAnsiTheme="majorBidi" w:cstheme="majorBidi"/>
          <w:b/>
          <w:sz w:val="28"/>
          <w:szCs w:val="28"/>
        </w:rPr>
        <w:t xml:space="preserve">: </w:t>
      </w:r>
      <w:r w:rsidRPr="00DB0AA9">
        <w:rPr>
          <w:rFonts w:asciiTheme="majorBidi" w:hAnsiTheme="majorBidi" w:cstheme="majorBidi"/>
          <w:i/>
          <w:sz w:val="28"/>
          <w:szCs w:val="28"/>
        </w:rPr>
        <w:t>Analysis from DECLARE-TIMI 58 trial</w:t>
      </w:r>
    </w:p>
    <w:p w14:paraId="25782DB1" w14:textId="77777777" w:rsidR="001D40A9" w:rsidRPr="00DB0AA9" w:rsidRDefault="001D40A9" w:rsidP="00DB0AA9">
      <w:pPr>
        <w:spacing w:line="360" w:lineRule="auto"/>
        <w:contextualSpacing/>
        <w:rPr>
          <w:rFonts w:asciiTheme="majorBidi" w:hAnsiTheme="majorBidi" w:cstheme="majorBidi"/>
          <w:i/>
          <w:sz w:val="28"/>
          <w:szCs w:val="28"/>
        </w:rPr>
      </w:pPr>
    </w:p>
    <w:p w14:paraId="29913AA3" w14:textId="77777777" w:rsidR="005749AC" w:rsidRPr="00DB0AA9" w:rsidRDefault="005749AC" w:rsidP="005749AC">
      <w:pPr>
        <w:spacing w:line="360" w:lineRule="auto"/>
        <w:contextualSpacing/>
        <w:rPr>
          <w:rFonts w:asciiTheme="majorBidi" w:hAnsiTheme="majorBidi" w:cstheme="majorBidi"/>
          <w:i/>
          <w:sz w:val="28"/>
          <w:szCs w:val="28"/>
        </w:rPr>
      </w:pPr>
    </w:p>
    <w:p w14:paraId="4383504A" w14:textId="5857CF04" w:rsidR="005749AC" w:rsidRDefault="005749AC" w:rsidP="005749AC">
      <w:pPr>
        <w:rPr>
          <w:rFonts w:asciiTheme="majorBidi" w:hAnsiTheme="majorBidi" w:cstheme="majorBidi"/>
          <w:color w:val="212121"/>
          <w:sz w:val="24"/>
          <w:szCs w:val="24"/>
        </w:rPr>
      </w:pPr>
      <w:r w:rsidRPr="00DB0AA9">
        <w:rPr>
          <w:rFonts w:asciiTheme="majorBidi" w:hAnsiTheme="majorBidi" w:cstheme="majorBidi"/>
          <w:color w:val="212121"/>
          <w:sz w:val="24"/>
          <w:szCs w:val="24"/>
        </w:rPr>
        <w:t>Ofri Mosenzon</w:t>
      </w:r>
      <w:r w:rsidRPr="003C5145">
        <w:rPr>
          <w:rFonts w:asciiTheme="majorBidi" w:hAnsiTheme="majorBidi" w:cstheme="majorBidi"/>
          <w:color w:val="212121"/>
          <w:sz w:val="24"/>
          <w:szCs w:val="24"/>
          <w:vertAlign w:val="superscript"/>
        </w:rPr>
        <w:t>1</w:t>
      </w:r>
      <w:r w:rsidRPr="00DB0AA9">
        <w:rPr>
          <w:rFonts w:asciiTheme="majorBidi" w:hAnsiTheme="majorBidi" w:cstheme="majorBidi"/>
          <w:color w:val="212121"/>
          <w:sz w:val="24"/>
          <w:szCs w:val="24"/>
        </w:rPr>
        <w:t>, Stephen D. Wiviott</w:t>
      </w:r>
      <w:r w:rsidRPr="003C5145">
        <w:rPr>
          <w:rFonts w:asciiTheme="majorBidi" w:hAnsiTheme="majorBidi" w:cstheme="majorBidi"/>
          <w:color w:val="212121"/>
          <w:sz w:val="24"/>
          <w:szCs w:val="24"/>
          <w:vertAlign w:val="superscript"/>
        </w:rPr>
        <w:t>2</w:t>
      </w:r>
      <w:r w:rsidRPr="00DB0AA9">
        <w:rPr>
          <w:rFonts w:asciiTheme="majorBidi" w:hAnsiTheme="majorBidi" w:cstheme="majorBidi"/>
          <w:color w:val="212121"/>
          <w:sz w:val="24"/>
          <w:szCs w:val="24"/>
        </w:rPr>
        <w:t>, Avivit Cahn</w:t>
      </w:r>
      <w:r w:rsidRPr="003C5145">
        <w:rPr>
          <w:rFonts w:asciiTheme="majorBidi" w:hAnsiTheme="majorBidi" w:cstheme="majorBidi"/>
          <w:color w:val="212121"/>
          <w:sz w:val="24"/>
          <w:szCs w:val="24"/>
          <w:vertAlign w:val="superscript"/>
        </w:rPr>
        <w:t>1</w:t>
      </w:r>
      <w:r w:rsidRPr="00DB0AA9">
        <w:rPr>
          <w:rFonts w:asciiTheme="majorBidi" w:hAnsiTheme="majorBidi" w:cstheme="majorBidi"/>
          <w:color w:val="212121"/>
          <w:sz w:val="24"/>
          <w:szCs w:val="24"/>
        </w:rPr>
        <w:t>, Aliza Ro</w:t>
      </w:r>
      <w:r>
        <w:rPr>
          <w:rFonts w:asciiTheme="majorBidi" w:hAnsiTheme="majorBidi" w:cstheme="majorBidi"/>
          <w:color w:val="212121"/>
          <w:sz w:val="24"/>
          <w:szCs w:val="24"/>
        </w:rPr>
        <w:t>z</w:t>
      </w:r>
      <w:r w:rsidRPr="00DB0AA9">
        <w:rPr>
          <w:rFonts w:asciiTheme="majorBidi" w:hAnsiTheme="majorBidi" w:cstheme="majorBidi"/>
          <w:color w:val="212121"/>
          <w:sz w:val="24"/>
          <w:szCs w:val="24"/>
        </w:rPr>
        <w:t>enberg</w:t>
      </w:r>
      <w:r w:rsidRPr="003C5145">
        <w:rPr>
          <w:rFonts w:asciiTheme="majorBidi" w:hAnsiTheme="majorBidi" w:cstheme="majorBidi"/>
          <w:color w:val="212121"/>
          <w:sz w:val="24"/>
          <w:szCs w:val="24"/>
          <w:vertAlign w:val="superscript"/>
        </w:rPr>
        <w:t>1</w:t>
      </w:r>
      <w:r w:rsidRPr="00DB0AA9">
        <w:rPr>
          <w:rFonts w:asciiTheme="majorBidi" w:hAnsiTheme="majorBidi" w:cstheme="majorBidi"/>
          <w:color w:val="212121"/>
          <w:sz w:val="24"/>
          <w:szCs w:val="24"/>
        </w:rPr>
        <w:t>, Ilan Yanuv</w:t>
      </w:r>
      <w:r w:rsidRPr="003C5145">
        <w:rPr>
          <w:rFonts w:asciiTheme="majorBidi" w:hAnsiTheme="majorBidi" w:cstheme="majorBidi"/>
          <w:color w:val="212121"/>
          <w:sz w:val="24"/>
          <w:szCs w:val="24"/>
          <w:vertAlign w:val="superscript"/>
        </w:rPr>
        <w:t>1</w:t>
      </w:r>
      <w:r w:rsidRPr="00DB0AA9">
        <w:rPr>
          <w:rFonts w:asciiTheme="majorBidi" w:hAnsiTheme="majorBidi" w:cstheme="majorBidi"/>
          <w:color w:val="212121"/>
          <w:sz w:val="24"/>
          <w:szCs w:val="24"/>
        </w:rPr>
        <w:t>, Erica</w:t>
      </w:r>
      <w:r w:rsidR="00022D02">
        <w:rPr>
          <w:rFonts w:asciiTheme="majorBidi" w:hAnsiTheme="majorBidi" w:cstheme="majorBidi"/>
          <w:color w:val="212121"/>
          <w:sz w:val="24"/>
          <w:szCs w:val="24"/>
        </w:rPr>
        <w:t xml:space="preserve"> L.</w:t>
      </w:r>
      <w:r>
        <w:rPr>
          <w:rFonts w:asciiTheme="majorBidi" w:hAnsiTheme="majorBidi" w:cstheme="majorBidi"/>
          <w:color w:val="212121"/>
          <w:sz w:val="24"/>
          <w:szCs w:val="24"/>
        </w:rPr>
        <w:t xml:space="preserve"> Goodrich</w:t>
      </w:r>
      <w:r w:rsidRPr="003C5145">
        <w:rPr>
          <w:rFonts w:asciiTheme="majorBidi" w:hAnsiTheme="majorBidi" w:cstheme="majorBidi"/>
          <w:color w:val="212121"/>
          <w:sz w:val="24"/>
          <w:szCs w:val="24"/>
          <w:vertAlign w:val="superscript"/>
        </w:rPr>
        <w:t>2</w:t>
      </w:r>
      <w:r w:rsidRPr="00DB0AA9">
        <w:rPr>
          <w:rFonts w:asciiTheme="majorBidi" w:hAnsiTheme="majorBidi" w:cstheme="majorBidi"/>
          <w:color w:val="212121"/>
          <w:sz w:val="24"/>
          <w:szCs w:val="24"/>
        </w:rPr>
        <w:t>, Sabina</w:t>
      </w:r>
      <w:r w:rsidRPr="00DB0AA9">
        <w:rPr>
          <w:rFonts w:asciiTheme="majorBidi" w:hAnsiTheme="majorBidi" w:cstheme="majorBidi"/>
          <w:color w:val="212121"/>
          <w:sz w:val="24"/>
          <w:szCs w:val="24"/>
          <w:lang w:val="en-GB"/>
        </w:rPr>
        <w:t xml:space="preserve"> A. Murphy</w:t>
      </w:r>
      <w:r w:rsidRPr="003C5145">
        <w:rPr>
          <w:rFonts w:asciiTheme="majorBidi" w:hAnsiTheme="majorBidi" w:cstheme="majorBidi"/>
          <w:color w:val="212121"/>
          <w:sz w:val="24"/>
          <w:szCs w:val="24"/>
          <w:vertAlign w:val="superscript"/>
        </w:rPr>
        <w:t>2</w:t>
      </w:r>
      <w:r w:rsidRPr="00DB0AA9">
        <w:rPr>
          <w:rFonts w:asciiTheme="majorBidi" w:hAnsiTheme="majorBidi" w:cstheme="majorBidi"/>
          <w:color w:val="212121"/>
          <w:sz w:val="24"/>
          <w:szCs w:val="24"/>
        </w:rPr>
        <w:t xml:space="preserve">, Hiddo J.L. </w:t>
      </w:r>
      <w:r w:rsidRPr="00DB0AA9">
        <w:rPr>
          <w:rFonts w:asciiTheme="majorBidi" w:hAnsiTheme="majorBidi" w:cstheme="majorBidi"/>
          <w:color w:val="000000"/>
          <w:sz w:val="24"/>
          <w:szCs w:val="24"/>
        </w:rPr>
        <w:t>Heerspink</w:t>
      </w:r>
      <w:r w:rsidRPr="003C5145">
        <w:rPr>
          <w:rFonts w:asciiTheme="majorBidi" w:hAnsiTheme="majorBidi" w:cstheme="majorBidi"/>
          <w:color w:val="000000"/>
          <w:sz w:val="24"/>
          <w:szCs w:val="24"/>
          <w:vertAlign w:val="superscript"/>
        </w:rPr>
        <w:t>3</w:t>
      </w:r>
      <w:r w:rsidRPr="00DB0AA9">
        <w:rPr>
          <w:rFonts w:asciiTheme="majorBidi" w:hAnsiTheme="majorBidi" w:cstheme="majorBidi"/>
          <w:color w:val="000000"/>
          <w:sz w:val="24"/>
          <w:szCs w:val="24"/>
        </w:rPr>
        <w:t>,</w:t>
      </w:r>
      <w:r w:rsidRPr="00DB0AA9">
        <w:rPr>
          <w:rFonts w:asciiTheme="majorBidi" w:hAnsiTheme="majorBidi" w:cstheme="majorBidi"/>
          <w:color w:val="212121"/>
          <w:sz w:val="24"/>
          <w:szCs w:val="24"/>
        </w:rPr>
        <w:t xml:space="preserve"> Thomas A. Zelniker</w:t>
      </w:r>
      <w:r w:rsidRPr="003C5145">
        <w:rPr>
          <w:rFonts w:asciiTheme="majorBidi" w:hAnsiTheme="majorBidi" w:cstheme="majorBidi"/>
          <w:color w:val="212121"/>
          <w:sz w:val="24"/>
          <w:szCs w:val="24"/>
          <w:vertAlign w:val="superscript"/>
        </w:rPr>
        <w:t>2</w:t>
      </w:r>
      <w:r w:rsidRPr="00DB0AA9">
        <w:rPr>
          <w:rFonts w:asciiTheme="majorBidi" w:hAnsiTheme="majorBidi" w:cstheme="majorBidi"/>
          <w:color w:val="212121"/>
          <w:sz w:val="24"/>
          <w:szCs w:val="24"/>
        </w:rPr>
        <w:t xml:space="preserve">, </w:t>
      </w:r>
      <w:r w:rsidRPr="00DB0AA9">
        <w:rPr>
          <w:rFonts w:asciiTheme="majorBidi" w:hAnsiTheme="majorBidi" w:cstheme="majorBidi"/>
          <w:color w:val="000000"/>
          <w:sz w:val="24"/>
          <w:szCs w:val="24"/>
        </w:rPr>
        <w:t>Jamie</w:t>
      </w:r>
      <w:r w:rsidRPr="00DB0AA9">
        <w:rPr>
          <w:rFonts w:asciiTheme="majorBidi" w:hAnsiTheme="majorBidi" w:cstheme="majorBidi"/>
          <w:color w:val="212121"/>
          <w:sz w:val="24"/>
          <w:szCs w:val="24"/>
        </w:rPr>
        <w:t xml:space="preserve"> </w:t>
      </w:r>
      <w:r w:rsidR="00F73C06">
        <w:rPr>
          <w:rFonts w:asciiTheme="majorBidi" w:hAnsiTheme="majorBidi" w:cstheme="majorBidi"/>
          <w:color w:val="212121"/>
          <w:sz w:val="24"/>
          <w:szCs w:val="24"/>
          <w:lang w:val="en-GB" w:bidi="he-IL"/>
        </w:rPr>
        <w:t xml:space="preserve">P. </w:t>
      </w:r>
      <w:r w:rsidRPr="00DB0AA9">
        <w:rPr>
          <w:rFonts w:asciiTheme="majorBidi" w:hAnsiTheme="majorBidi" w:cstheme="majorBidi"/>
          <w:color w:val="212121"/>
          <w:sz w:val="24"/>
          <w:szCs w:val="24"/>
        </w:rPr>
        <w:t>Dwyer</w:t>
      </w:r>
      <w:r w:rsidRPr="003C5145">
        <w:rPr>
          <w:rFonts w:asciiTheme="majorBidi" w:hAnsiTheme="majorBidi" w:cstheme="majorBidi"/>
          <w:color w:val="212121"/>
          <w:sz w:val="24"/>
          <w:szCs w:val="24"/>
          <w:vertAlign w:val="superscript"/>
        </w:rPr>
        <w:t>4</w:t>
      </w:r>
      <w:r w:rsidRPr="00DB0AA9">
        <w:rPr>
          <w:rFonts w:asciiTheme="majorBidi" w:hAnsiTheme="majorBidi" w:cstheme="majorBidi"/>
          <w:color w:val="212121"/>
          <w:sz w:val="24"/>
          <w:szCs w:val="24"/>
        </w:rPr>
        <w:t xml:space="preserve">, </w:t>
      </w:r>
      <w:r w:rsidRPr="00DB0AA9">
        <w:rPr>
          <w:rFonts w:asciiTheme="majorBidi" w:hAnsiTheme="majorBidi" w:cstheme="majorBidi"/>
          <w:sz w:val="24"/>
          <w:szCs w:val="24"/>
        </w:rPr>
        <w:t>Deepak L. Bhatt</w:t>
      </w:r>
      <w:r w:rsidRPr="003C5145">
        <w:rPr>
          <w:rFonts w:asciiTheme="majorBidi" w:hAnsiTheme="majorBidi" w:cstheme="majorBidi"/>
          <w:color w:val="212121"/>
          <w:sz w:val="24"/>
          <w:szCs w:val="24"/>
          <w:vertAlign w:val="superscript"/>
        </w:rPr>
        <w:t>2</w:t>
      </w:r>
      <w:r w:rsidRPr="00DB0AA9">
        <w:rPr>
          <w:rFonts w:asciiTheme="majorBidi" w:hAnsiTheme="majorBidi" w:cstheme="majorBidi"/>
          <w:sz w:val="24"/>
          <w:szCs w:val="24"/>
        </w:rPr>
        <w:t>, Lawrence A. Leiter</w:t>
      </w:r>
      <w:r w:rsidRPr="003C5145">
        <w:rPr>
          <w:rFonts w:asciiTheme="majorBidi" w:hAnsiTheme="majorBidi" w:cstheme="majorBidi"/>
          <w:sz w:val="24"/>
          <w:szCs w:val="24"/>
          <w:vertAlign w:val="superscript"/>
        </w:rPr>
        <w:t>5</w:t>
      </w:r>
      <w:r w:rsidRPr="00DB0AA9">
        <w:rPr>
          <w:rFonts w:asciiTheme="majorBidi" w:hAnsiTheme="majorBidi" w:cstheme="majorBidi"/>
          <w:sz w:val="24"/>
          <w:szCs w:val="24"/>
        </w:rPr>
        <w:t>, Darren K. McGuire</w:t>
      </w:r>
      <w:r w:rsidRPr="003C5145">
        <w:rPr>
          <w:rFonts w:asciiTheme="majorBidi" w:hAnsiTheme="majorBidi" w:cstheme="majorBidi"/>
          <w:sz w:val="24"/>
          <w:szCs w:val="24"/>
          <w:vertAlign w:val="superscript"/>
        </w:rPr>
        <w:t>6</w:t>
      </w:r>
      <w:r w:rsidRPr="00DB0AA9">
        <w:rPr>
          <w:rFonts w:asciiTheme="majorBidi" w:hAnsiTheme="majorBidi" w:cstheme="majorBidi"/>
          <w:sz w:val="24"/>
          <w:szCs w:val="24"/>
        </w:rPr>
        <w:t>, John P.H. Wilding</w:t>
      </w:r>
      <w:r w:rsidRPr="003C5145">
        <w:rPr>
          <w:rFonts w:asciiTheme="majorBidi" w:hAnsiTheme="majorBidi" w:cstheme="majorBidi"/>
          <w:sz w:val="24"/>
          <w:szCs w:val="24"/>
          <w:vertAlign w:val="superscript"/>
        </w:rPr>
        <w:t>7</w:t>
      </w:r>
      <w:r w:rsidRPr="00DB0AA9">
        <w:rPr>
          <w:rFonts w:asciiTheme="majorBidi" w:hAnsiTheme="majorBidi" w:cstheme="majorBidi"/>
          <w:sz w:val="24"/>
          <w:szCs w:val="24"/>
        </w:rPr>
        <w:t xml:space="preserve">, </w:t>
      </w:r>
      <w:r w:rsidRPr="00DB0AA9">
        <w:rPr>
          <w:rFonts w:asciiTheme="majorBidi" w:hAnsiTheme="majorBidi" w:cstheme="majorBidi"/>
          <w:color w:val="212121"/>
          <w:sz w:val="24"/>
          <w:szCs w:val="24"/>
        </w:rPr>
        <w:t>Eri T. Kato</w:t>
      </w:r>
      <w:r w:rsidRPr="003C5145">
        <w:rPr>
          <w:rFonts w:asciiTheme="majorBidi" w:hAnsiTheme="majorBidi" w:cstheme="majorBidi"/>
          <w:color w:val="212121"/>
          <w:sz w:val="24"/>
          <w:szCs w:val="24"/>
          <w:vertAlign w:val="superscript"/>
        </w:rPr>
        <w:t>8</w:t>
      </w:r>
      <w:r w:rsidRPr="00DB0AA9">
        <w:rPr>
          <w:rFonts w:asciiTheme="majorBidi" w:hAnsiTheme="majorBidi" w:cstheme="majorBidi"/>
          <w:color w:val="212121"/>
          <w:sz w:val="24"/>
          <w:szCs w:val="24"/>
        </w:rPr>
        <w:t>, Ingrid A. M. Gause- Nilsson</w:t>
      </w:r>
      <w:r w:rsidRPr="003C5145">
        <w:rPr>
          <w:rFonts w:asciiTheme="majorBidi" w:hAnsiTheme="majorBidi" w:cstheme="majorBidi"/>
          <w:color w:val="212121"/>
          <w:sz w:val="24"/>
          <w:szCs w:val="24"/>
          <w:vertAlign w:val="superscript"/>
        </w:rPr>
        <w:t>9</w:t>
      </w:r>
      <w:r w:rsidRPr="00DB0AA9">
        <w:rPr>
          <w:rFonts w:asciiTheme="majorBidi" w:hAnsiTheme="majorBidi" w:cstheme="majorBidi"/>
          <w:color w:val="212121"/>
          <w:sz w:val="24"/>
          <w:szCs w:val="24"/>
        </w:rPr>
        <w:t xml:space="preserve">, </w:t>
      </w:r>
      <w:r w:rsidRPr="005234DF">
        <w:rPr>
          <w:rFonts w:asciiTheme="majorBidi" w:hAnsiTheme="majorBidi" w:cstheme="majorBidi"/>
          <w:color w:val="212121"/>
          <w:sz w:val="24"/>
          <w:szCs w:val="24"/>
        </w:rPr>
        <w:t xml:space="preserve">Martin </w:t>
      </w:r>
      <w:r w:rsidRPr="005234DF">
        <w:rPr>
          <w:rFonts w:asciiTheme="majorBidi" w:hAnsiTheme="majorBidi" w:cstheme="majorBidi"/>
          <w:sz w:val="24"/>
          <w:szCs w:val="24"/>
        </w:rPr>
        <w:t>Fredriksson</w:t>
      </w:r>
      <w:r w:rsidRPr="003C5145">
        <w:rPr>
          <w:rFonts w:asciiTheme="majorBidi" w:hAnsiTheme="majorBidi" w:cstheme="majorBidi"/>
          <w:color w:val="212121"/>
          <w:sz w:val="24"/>
          <w:szCs w:val="24"/>
          <w:vertAlign w:val="superscript"/>
        </w:rPr>
        <w:t>9</w:t>
      </w:r>
      <w:r w:rsidRPr="005234DF">
        <w:rPr>
          <w:rFonts w:asciiTheme="majorBidi" w:hAnsiTheme="majorBidi" w:cstheme="majorBidi"/>
          <w:sz w:val="24"/>
          <w:szCs w:val="24"/>
        </w:rPr>
        <w:t>, Peter A. Johansson</w:t>
      </w:r>
      <w:r w:rsidRPr="003C5145">
        <w:rPr>
          <w:rFonts w:asciiTheme="majorBidi" w:hAnsiTheme="majorBidi" w:cstheme="majorBidi"/>
          <w:color w:val="212121"/>
          <w:sz w:val="24"/>
          <w:szCs w:val="24"/>
          <w:vertAlign w:val="superscript"/>
        </w:rPr>
        <w:t>9</w:t>
      </w:r>
      <w:r w:rsidRPr="005234DF">
        <w:rPr>
          <w:rFonts w:asciiTheme="majorBidi" w:hAnsiTheme="majorBidi" w:cstheme="majorBidi"/>
          <w:sz w:val="24"/>
          <w:szCs w:val="24"/>
        </w:rPr>
        <w:t>,</w:t>
      </w:r>
      <w:r>
        <w:t xml:space="preserve"> </w:t>
      </w:r>
      <w:r w:rsidR="003E7B54" w:rsidRPr="00D6418E">
        <w:rPr>
          <w:rFonts w:ascii="Times New Roman" w:hAnsi="Times New Roman" w:cs="Times New Roman"/>
          <w:sz w:val="24"/>
          <w:szCs w:val="24"/>
        </w:rPr>
        <w:t>Anna</w:t>
      </w:r>
      <w:r w:rsidR="003E7B54" w:rsidRPr="00D6418E">
        <w:rPr>
          <w:rFonts w:ascii="Times New Roman" w:hAnsi="Times New Roman" w:cs="Times New Roman"/>
        </w:rPr>
        <w:t xml:space="preserve"> </w:t>
      </w:r>
      <w:r w:rsidR="003E7B54" w:rsidRPr="00D6418E">
        <w:rPr>
          <w:rFonts w:ascii="Times New Roman" w:hAnsi="Times New Roman" w:cs="Times New Roman"/>
          <w:sz w:val="24"/>
          <w:szCs w:val="24"/>
        </w:rPr>
        <w:t>Maria</w:t>
      </w:r>
      <w:r w:rsidR="009B178B">
        <w:rPr>
          <w:rFonts w:ascii="Times New Roman" w:hAnsi="Times New Roman" w:cs="Times New Roman"/>
          <w:sz w:val="24"/>
          <w:szCs w:val="24"/>
        </w:rPr>
        <w:t xml:space="preserve"> </w:t>
      </w:r>
      <w:r w:rsidRPr="00DB0AA9">
        <w:rPr>
          <w:rFonts w:asciiTheme="majorBidi" w:hAnsiTheme="majorBidi" w:cstheme="majorBidi"/>
          <w:color w:val="212121"/>
          <w:sz w:val="24"/>
          <w:szCs w:val="24"/>
        </w:rPr>
        <w:t>Langkilde</w:t>
      </w:r>
      <w:r w:rsidRPr="003C5145">
        <w:rPr>
          <w:rFonts w:asciiTheme="majorBidi" w:hAnsiTheme="majorBidi" w:cstheme="majorBidi"/>
          <w:color w:val="212121"/>
          <w:sz w:val="24"/>
          <w:szCs w:val="24"/>
          <w:vertAlign w:val="superscript"/>
        </w:rPr>
        <w:t>9</w:t>
      </w:r>
      <w:r w:rsidRPr="00DB0AA9">
        <w:rPr>
          <w:rFonts w:asciiTheme="majorBidi" w:hAnsiTheme="majorBidi" w:cstheme="majorBidi"/>
          <w:color w:val="212121"/>
          <w:sz w:val="24"/>
          <w:szCs w:val="24"/>
        </w:rPr>
        <w:t>, Marc S. Sabatine</w:t>
      </w:r>
      <w:r w:rsidRPr="003C5145">
        <w:rPr>
          <w:rFonts w:asciiTheme="majorBidi" w:hAnsiTheme="majorBidi" w:cstheme="majorBidi"/>
          <w:color w:val="212121"/>
          <w:sz w:val="24"/>
          <w:szCs w:val="24"/>
          <w:vertAlign w:val="superscript"/>
        </w:rPr>
        <w:t>2</w:t>
      </w:r>
      <w:r w:rsidRPr="00DB0AA9">
        <w:rPr>
          <w:rFonts w:asciiTheme="majorBidi" w:hAnsiTheme="majorBidi" w:cstheme="majorBidi"/>
          <w:color w:val="212121"/>
          <w:sz w:val="24"/>
          <w:szCs w:val="24"/>
        </w:rPr>
        <w:t>, Itamar Raz</w:t>
      </w:r>
      <w:r w:rsidRPr="003C5145">
        <w:rPr>
          <w:rFonts w:asciiTheme="majorBidi" w:hAnsiTheme="majorBidi" w:cstheme="majorBidi"/>
          <w:color w:val="212121"/>
          <w:sz w:val="24"/>
          <w:szCs w:val="24"/>
          <w:vertAlign w:val="superscript"/>
        </w:rPr>
        <w:t>1</w:t>
      </w:r>
    </w:p>
    <w:p w14:paraId="1FABEEE4" w14:textId="77777777" w:rsidR="005749AC" w:rsidRDefault="005749AC" w:rsidP="005749AC">
      <w:pPr>
        <w:rPr>
          <w:rFonts w:asciiTheme="majorBidi" w:hAnsiTheme="majorBidi" w:cstheme="majorBidi"/>
          <w:color w:val="212121"/>
          <w:sz w:val="24"/>
          <w:szCs w:val="24"/>
        </w:rPr>
      </w:pPr>
    </w:p>
    <w:p w14:paraId="21F869A9" w14:textId="77777777" w:rsidR="005749AC" w:rsidRDefault="005749AC" w:rsidP="005749AC">
      <w:pPr>
        <w:rPr>
          <w:rFonts w:asciiTheme="majorBidi" w:hAnsiTheme="majorBidi" w:cstheme="majorBidi"/>
          <w:color w:val="212121"/>
          <w:sz w:val="24"/>
          <w:szCs w:val="24"/>
        </w:rPr>
      </w:pPr>
    </w:p>
    <w:p w14:paraId="51FA4126" w14:textId="77777777" w:rsidR="005749AC" w:rsidRDefault="005749AC" w:rsidP="005749AC">
      <w:pPr>
        <w:rPr>
          <w:rFonts w:asciiTheme="majorBidi" w:hAnsiTheme="majorBidi" w:cstheme="majorBidi"/>
          <w:color w:val="212121"/>
          <w:sz w:val="24"/>
          <w:szCs w:val="24"/>
        </w:rPr>
      </w:pPr>
      <w:r w:rsidRPr="003C5145">
        <w:rPr>
          <w:rFonts w:asciiTheme="majorBidi" w:hAnsiTheme="majorBidi" w:cstheme="majorBidi"/>
          <w:color w:val="212121"/>
          <w:sz w:val="24"/>
          <w:szCs w:val="24"/>
          <w:vertAlign w:val="superscript"/>
        </w:rPr>
        <w:t>1</w:t>
      </w:r>
      <w:r>
        <w:rPr>
          <w:rFonts w:asciiTheme="majorBidi" w:hAnsiTheme="majorBidi" w:cstheme="majorBidi"/>
          <w:color w:val="212121"/>
          <w:sz w:val="24"/>
          <w:szCs w:val="24"/>
        </w:rPr>
        <w:t xml:space="preserve"> Hadassah Hebrew University Hospital, Jerusalem, Israel</w:t>
      </w:r>
    </w:p>
    <w:p w14:paraId="08A236F5" w14:textId="77777777" w:rsidR="005749AC" w:rsidRDefault="005749AC" w:rsidP="005749AC">
      <w:pPr>
        <w:rPr>
          <w:rFonts w:asciiTheme="majorBidi" w:hAnsiTheme="majorBidi" w:cstheme="majorBidi"/>
          <w:color w:val="212121"/>
          <w:sz w:val="24"/>
          <w:szCs w:val="24"/>
        </w:rPr>
      </w:pPr>
      <w:r w:rsidRPr="003C5145">
        <w:rPr>
          <w:rFonts w:asciiTheme="majorBidi" w:hAnsiTheme="majorBidi" w:cstheme="majorBidi"/>
          <w:color w:val="212121"/>
          <w:sz w:val="24"/>
          <w:szCs w:val="24"/>
          <w:vertAlign w:val="superscript"/>
        </w:rPr>
        <w:t>2</w:t>
      </w:r>
      <w:r>
        <w:rPr>
          <w:rFonts w:asciiTheme="majorBidi" w:hAnsiTheme="majorBidi" w:cstheme="majorBidi"/>
          <w:color w:val="212121"/>
          <w:sz w:val="24"/>
          <w:szCs w:val="24"/>
        </w:rPr>
        <w:t xml:space="preserve"> TIMI study Group, Brigham and Women's Hospital, Boston MA USA</w:t>
      </w:r>
    </w:p>
    <w:p w14:paraId="52231AE9" w14:textId="77777777" w:rsidR="005749AC" w:rsidRPr="004F2754" w:rsidRDefault="005749AC" w:rsidP="005749AC">
      <w:pPr>
        <w:rPr>
          <w:rFonts w:asciiTheme="majorBidi" w:hAnsiTheme="majorBidi" w:cstheme="majorBidi"/>
          <w:sz w:val="24"/>
          <w:szCs w:val="24"/>
        </w:rPr>
      </w:pPr>
      <w:r w:rsidRPr="003C5145">
        <w:rPr>
          <w:rFonts w:asciiTheme="majorBidi" w:hAnsiTheme="majorBidi" w:cstheme="majorBidi"/>
          <w:color w:val="000000"/>
          <w:sz w:val="24"/>
          <w:szCs w:val="24"/>
          <w:vertAlign w:val="superscript"/>
        </w:rPr>
        <w:t>3</w:t>
      </w:r>
      <w:r>
        <w:rPr>
          <w:rFonts w:asciiTheme="majorBidi" w:hAnsiTheme="majorBidi" w:cstheme="majorBidi"/>
          <w:sz w:val="24"/>
          <w:szCs w:val="24"/>
        </w:rPr>
        <w:t xml:space="preserve"> </w:t>
      </w:r>
      <w:r w:rsidRPr="004F2754">
        <w:rPr>
          <w:rFonts w:asciiTheme="majorBidi" w:hAnsiTheme="majorBidi" w:cstheme="majorBidi"/>
          <w:sz w:val="24"/>
          <w:szCs w:val="24"/>
        </w:rPr>
        <w:t>University Medical Center Groningen, Groningen, Netherlands</w:t>
      </w:r>
    </w:p>
    <w:p w14:paraId="27CC488B" w14:textId="77777777" w:rsidR="005749AC" w:rsidRPr="004F2754" w:rsidRDefault="005749AC" w:rsidP="005749AC">
      <w:pPr>
        <w:rPr>
          <w:rFonts w:asciiTheme="majorBidi" w:hAnsiTheme="majorBidi" w:cstheme="majorBidi"/>
          <w:sz w:val="24"/>
          <w:szCs w:val="24"/>
        </w:rPr>
      </w:pPr>
      <w:r w:rsidRPr="003C5145">
        <w:rPr>
          <w:rFonts w:asciiTheme="majorBidi" w:hAnsiTheme="majorBidi" w:cstheme="majorBidi"/>
          <w:color w:val="212121"/>
          <w:sz w:val="24"/>
          <w:szCs w:val="24"/>
          <w:vertAlign w:val="superscript"/>
        </w:rPr>
        <w:t>4</w:t>
      </w:r>
      <w:r>
        <w:rPr>
          <w:rFonts w:asciiTheme="majorBidi" w:hAnsiTheme="majorBidi" w:cstheme="majorBidi"/>
          <w:sz w:val="24"/>
          <w:szCs w:val="24"/>
        </w:rPr>
        <w:t xml:space="preserve"> </w:t>
      </w:r>
      <w:r w:rsidRPr="004F2754">
        <w:rPr>
          <w:rFonts w:asciiTheme="majorBidi" w:hAnsiTheme="majorBidi" w:cstheme="majorBidi"/>
          <w:sz w:val="24"/>
          <w:szCs w:val="24"/>
        </w:rPr>
        <w:t>Vanderbilt University Medical Center, Nashville TN USA</w:t>
      </w:r>
    </w:p>
    <w:p w14:paraId="6307C58D" w14:textId="0F7DF178" w:rsidR="005749AC" w:rsidRPr="004F2754" w:rsidRDefault="005749AC" w:rsidP="005749AC">
      <w:pPr>
        <w:rPr>
          <w:rFonts w:asciiTheme="majorBidi" w:hAnsiTheme="majorBidi" w:cstheme="majorBidi"/>
          <w:sz w:val="24"/>
          <w:szCs w:val="24"/>
        </w:rPr>
      </w:pPr>
      <w:r w:rsidRPr="003C5145">
        <w:rPr>
          <w:rFonts w:asciiTheme="majorBidi" w:hAnsiTheme="majorBidi" w:cstheme="majorBidi"/>
          <w:sz w:val="24"/>
          <w:szCs w:val="24"/>
          <w:vertAlign w:val="superscript"/>
        </w:rPr>
        <w:t>5</w:t>
      </w:r>
      <w:r>
        <w:rPr>
          <w:rFonts w:asciiTheme="majorBidi" w:hAnsiTheme="majorBidi" w:cstheme="majorBidi"/>
          <w:sz w:val="24"/>
          <w:szCs w:val="24"/>
        </w:rPr>
        <w:t xml:space="preserve"> </w:t>
      </w:r>
      <w:r w:rsidR="00CD5088">
        <w:rPr>
          <w:rFonts w:asciiTheme="majorBidi" w:hAnsiTheme="majorBidi" w:cstheme="majorBidi"/>
          <w:sz w:val="24"/>
          <w:szCs w:val="24"/>
        </w:rPr>
        <w:t>Li Ka Shing Knowledge Institute, S</w:t>
      </w:r>
      <w:r w:rsidRPr="004F2754">
        <w:rPr>
          <w:rFonts w:asciiTheme="majorBidi" w:hAnsiTheme="majorBidi" w:cstheme="majorBidi"/>
          <w:sz w:val="24"/>
          <w:szCs w:val="24"/>
        </w:rPr>
        <w:t>t. Michael's Hospital, University of Toronto, Toronto, ON Canada</w:t>
      </w:r>
    </w:p>
    <w:p w14:paraId="3C328FE2" w14:textId="77777777" w:rsidR="005749AC" w:rsidRPr="004F2754" w:rsidRDefault="005749AC" w:rsidP="005749AC">
      <w:pPr>
        <w:rPr>
          <w:rFonts w:asciiTheme="majorBidi" w:hAnsiTheme="majorBidi" w:cstheme="majorBidi"/>
          <w:color w:val="212121"/>
          <w:sz w:val="24"/>
          <w:szCs w:val="24"/>
        </w:rPr>
      </w:pPr>
      <w:r w:rsidRPr="003C5145">
        <w:rPr>
          <w:rFonts w:asciiTheme="majorBidi" w:hAnsiTheme="majorBidi" w:cstheme="majorBidi"/>
          <w:sz w:val="24"/>
          <w:szCs w:val="24"/>
          <w:vertAlign w:val="superscript"/>
        </w:rPr>
        <w:t>6</w:t>
      </w:r>
      <w:r>
        <w:rPr>
          <w:rFonts w:asciiTheme="majorBidi" w:hAnsiTheme="majorBidi" w:cstheme="majorBidi"/>
          <w:color w:val="212121"/>
          <w:sz w:val="24"/>
          <w:szCs w:val="24"/>
        </w:rPr>
        <w:t xml:space="preserve"> </w:t>
      </w:r>
      <w:r w:rsidRPr="004F2754">
        <w:rPr>
          <w:rFonts w:asciiTheme="majorBidi" w:hAnsiTheme="majorBidi" w:cstheme="majorBidi"/>
          <w:color w:val="212121"/>
          <w:sz w:val="24"/>
          <w:szCs w:val="24"/>
        </w:rPr>
        <w:t>University of Texas Southwestern Medical Center, Dallas, Texas USA</w:t>
      </w:r>
    </w:p>
    <w:p w14:paraId="7AC6ACE3" w14:textId="77777777" w:rsidR="005749AC" w:rsidRPr="003C5145" w:rsidRDefault="005749AC" w:rsidP="005749AC">
      <w:pPr>
        <w:rPr>
          <w:rFonts w:asciiTheme="majorBidi" w:hAnsiTheme="majorBidi" w:cstheme="majorBidi"/>
          <w:color w:val="212121"/>
          <w:sz w:val="24"/>
          <w:szCs w:val="24"/>
        </w:rPr>
      </w:pPr>
      <w:r w:rsidRPr="003C5145">
        <w:rPr>
          <w:rFonts w:asciiTheme="majorBidi" w:hAnsiTheme="majorBidi" w:cstheme="majorBidi"/>
          <w:sz w:val="24"/>
          <w:szCs w:val="24"/>
          <w:vertAlign w:val="superscript"/>
        </w:rPr>
        <w:t>7</w:t>
      </w:r>
      <w:r>
        <w:rPr>
          <w:rFonts w:asciiTheme="majorBidi" w:hAnsiTheme="majorBidi" w:cstheme="majorBidi"/>
          <w:color w:val="212121"/>
          <w:sz w:val="24"/>
          <w:szCs w:val="24"/>
        </w:rPr>
        <w:t xml:space="preserve"> </w:t>
      </w:r>
      <w:r w:rsidRPr="003C5145">
        <w:rPr>
          <w:rFonts w:asciiTheme="majorBidi" w:hAnsiTheme="majorBidi" w:cstheme="majorBidi"/>
          <w:color w:val="212121"/>
          <w:sz w:val="24"/>
          <w:szCs w:val="24"/>
        </w:rPr>
        <w:t>University of Liverpool, Liverpool UK</w:t>
      </w:r>
    </w:p>
    <w:p w14:paraId="32E36DDC" w14:textId="77777777" w:rsidR="005749AC" w:rsidRDefault="005749AC" w:rsidP="005749AC">
      <w:pPr>
        <w:rPr>
          <w:rFonts w:asciiTheme="majorBidi" w:hAnsiTheme="majorBidi" w:cstheme="majorBidi"/>
          <w:color w:val="212121"/>
          <w:sz w:val="24"/>
          <w:szCs w:val="24"/>
        </w:rPr>
      </w:pPr>
      <w:r w:rsidRPr="003C5145">
        <w:rPr>
          <w:rFonts w:asciiTheme="majorBidi" w:hAnsiTheme="majorBidi" w:cstheme="majorBidi"/>
          <w:color w:val="212121"/>
          <w:sz w:val="24"/>
          <w:szCs w:val="24"/>
          <w:vertAlign w:val="superscript"/>
        </w:rPr>
        <w:t>8</w:t>
      </w:r>
      <w:r>
        <w:rPr>
          <w:rFonts w:asciiTheme="majorBidi" w:hAnsiTheme="majorBidi" w:cstheme="majorBidi"/>
          <w:color w:val="212121"/>
          <w:sz w:val="24"/>
          <w:szCs w:val="24"/>
        </w:rPr>
        <w:t xml:space="preserve"> </w:t>
      </w:r>
      <w:r w:rsidRPr="004F2754">
        <w:rPr>
          <w:rFonts w:asciiTheme="majorBidi" w:hAnsiTheme="majorBidi" w:cstheme="majorBidi"/>
          <w:color w:val="212121"/>
          <w:sz w:val="24"/>
          <w:szCs w:val="24"/>
        </w:rPr>
        <w:t>Kyoto University Gra</w:t>
      </w:r>
      <w:r>
        <w:rPr>
          <w:rFonts w:asciiTheme="majorBidi" w:hAnsiTheme="majorBidi" w:cstheme="majorBidi"/>
          <w:color w:val="212121"/>
          <w:sz w:val="24"/>
          <w:szCs w:val="24"/>
        </w:rPr>
        <w:t>duate School of Medicine, Kyoto</w:t>
      </w:r>
      <w:r w:rsidRPr="004F2754">
        <w:rPr>
          <w:rFonts w:asciiTheme="majorBidi" w:hAnsiTheme="majorBidi" w:cstheme="majorBidi"/>
          <w:color w:val="212121"/>
          <w:sz w:val="24"/>
          <w:szCs w:val="24"/>
        </w:rPr>
        <w:t xml:space="preserve"> Japan</w:t>
      </w:r>
    </w:p>
    <w:p w14:paraId="59FA7241" w14:textId="77777777" w:rsidR="005749AC" w:rsidRPr="004F2754" w:rsidRDefault="005749AC" w:rsidP="005749AC">
      <w:pPr>
        <w:rPr>
          <w:rFonts w:asciiTheme="majorBidi" w:hAnsiTheme="majorBidi" w:cstheme="majorBidi"/>
          <w:color w:val="212121"/>
          <w:sz w:val="24"/>
          <w:szCs w:val="24"/>
        </w:rPr>
      </w:pPr>
      <w:r w:rsidRPr="003C5145">
        <w:rPr>
          <w:rFonts w:asciiTheme="majorBidi" w:hAnsiTheme="majorBidi" w:cstheme="majorBidi"/>
          <w:color w:val="212121"/>
          <w:sz w:val="24"/>
          <w:szCs w:val="24"/>
          <w:vertAlign w:val="superscript"/>
        </w:rPr>
        <w:t>9</w:t>
      </w:r>
      <w:r>
        <w:rPr>
          <w:rFonts w:asciiTheme="majorBidi" w:hAnsiTheme="majorBidi" w:cstheme="majorBidi"/>
          <w:color w:val="212121"/>
          <w:sz w:val="24"/>
          <w:szCs w:val="24"/>
        </w:rPr>
        <w:t xml:space="preserve"> AstraZeneca, Molndal Sweden</w:t>
      </w:r>
    </w:p>
    <w:p w14:paraId="77FDFF93" w14:textId="77777777" w:rsidR="005749AC" w:rsidRPr="003C5145" w:rsidRDefault="005749AC" w:rsidP="005749AC">
      <w:pPr>
        <w:pStyle w:val="ListParagraph"/>
        <w:rPr>
          <w:rFonts w:asciiTheme="majorBidi" w:hAnsiTheme="majorBidi" w:cstheme="majorBidi"/>
          <w:color w:val="212121"/>
          <w:sz w:val="24"/>
          <w:szCs w:val="24"/>
        </w:rPr>
      </w:pPr>
    </w:p>
    <w:p w14:paraId="6642B40B" w14:textId="77777777" w:rsidR="005749AC" w:rsidRDefault="005749AC" w:rsidP="005749AC">
      <w:pPr>
        <w:rPr>
          <w:rFonts w:asciiTheme="majorBidi" w:hAnsiTheme="majorBidi" w:cstheme="majorBidi"/>
          <w:color w:val="212121"/>
          <w:sz w:val="24"/>
          <w:szCs w:val="24"/>
        </w:rPr>
      </w:pPr>
    </w:p>
    <w:p w14:paraId="2801FDC3" w14:textId="77777777" w:rsidR="005749AC" w:rsidRDefault="005749AC" w:rsidP="005749AC">
      <w:pPr>
        <w:rPr>
          <w:rFonts w:asciiTheme="majorBidi" w:hAnsiTheme="majorBidi" w:cstheme="majorBidi"/>
          <w:color w:val="212121"/>
          <w:sz w:val="24"/>
          <w:szCs w:val="24"/>
        </w:rPr>
      </w:pPr>
      <w:r>
        <w:rPr>
          <w:rFonts w:asciiTheme="majorBidi" w:hAnsiTheme="majorBidi" w:cstheme="majorBidi"/>
          <w:color w:val="212121"/>
          <w:sz w:val="24"/>
          <w:szCs w:val="24"/>
        </w:rPr>
        <w:t xml:space="preserve">Word Counts:  </w:t>
      </w:r>
    </w:p>
    <w:p w14:paraId="6F70EDAA" w14:textId="3C74DB1E" w:rsidR="005749AC" w:rsidRDefault="005749AC" w:rsidP="005749AC">
      <w:pPr>
        <w:rPr>
          <w:rFonts w:asciiTheme="majorBidi" w:hAnsiTheme="majorBidi" w:cstheme="majorBidi"/>
          <w:color w:val="212121"/>
          <w:sz w:val="24"/>
          <w:szCs w:val="24"/>
        </w:rPr>
      </w:pPr>
      <w:r>
        <w:rPr>
          <w:rFonts w:asciiTheme="majorBidi" w:hAnsiTheme="majorBidi" w:cstheme="majorBidi"/>
          <w:color w:val="212121"/>
          <w:sz w:val="24"/>
          <w:szCs w:val="24"/>
        </w:rPr>
        <w:t>Abstract</w:t>
      </w:r>
      <w:r w:rsidR="001B68DA">
        <w:rPr>
          <w:rFonts w:asciiTheme="majorBidi" w:hAnsiTheme="majorBidi" w:cstheme="majorBidi"/>
          <w:color w:val="212121"/>
          <w:sz w:val="24"/>
          <w:szCs w:val="24"/>
        </w:rPr>
        <w:t xml:space="preserve">: </w:t>
      </w:r>
      <w:r w:rsidR="007F3A12">
        <w:rPr>
          <w:rFonts w:asciiTheme="majorBidi" w:hAnsiTheme="majorBidi" w:cstheme="majorBidi"/>
          <w:color w:val="212121"/>
          <w:sz w:val="24"/>
          <w:szCs w:val="24"/>
        </w:rPr>
        <w:t>305</w:t>
      </w:r>
      <w:r>
        <w:rPr>
          <w:rFonts w:asciiTheme="majorBidi" w:hAnsiTheme="majorBidi" w:cstheme="majorBidi"/>
          <w:color w:val="212121"/>
          <w:sz w:val="24"/>
          <w:szCs w:val="24"/>
        </w:rPr>
        <w:t xml:space="preserve"> </w:t>
      </w:r>
    </w:p>
    <w:p w14:paraId="5A5A8C11" w14:textId="42E85FB6" w:rsidR="005749AC" w:rsidRPr="00DB0AA9" w:rsidRDefault="005749AC" w:rsidP="005749AC">
      <w:pPr>
        <w:rPr>
          <w:rFonts w:asciiTheme="majorBidi" w:hAnsiTheme="majorBidi" w:cstheme="majorBidi"/>
          <w:color w:val="212121"/>
          <w:sz w:val="24"/>
          <w:szCs w:val="24"/>
        </w:rPr>
      </w:pPr>
      <w:r>
        <w:rPr>
          <w:rFonts w:asciiTheme="majorBidi" w:hAnsiTheme="majorBidi" w:cstheme="majorBidi"/>
          <w:color w:val="212121"/>
          <w:sz w:val="24"/>
          <w:szCs w:val="24"/>
        </w:rPr>
        <w:t xml:space="preserve">Manuscript total word count: </w:t>
      </w:r>
      <w:r w:rsidR="001B68DA">
        <w:rPr>
          <w:rFonts w:asciiTheme="majorBidi" w:hAnsiTheme="majorBidi" w:cstheme="majorBidi"/>
          <w:color w:val="212121"/>
          <w:sz w:val="24"/>
          <w:szCs w:val="24"/>
        </w:rPr>
        <w:t>3,904</w:t>
      </w:r>
    </w:p>
    <w:p w14:paraId="27C0B9D7" w14:textId="77777777" w:rsidR="00072F05" w:rsidRPr="00072F05" w:rsidRDefault="00072F05" w:rsidP="00072F05">
      <w:pPr>
        <w:pStyle w:val="Heading2"/>
        <w:spacing w:line="360" w:lineRule="auto"/>
        <w:contextualSpacing/>
        <w:rPr>
          <w:rFonts w:asciiTheme="majorBidi" w:hAnsiTheme="majorBidi"/>
          <w:sz w:val="24"/>
          <w:szCs w:val="24"/>
          <w:lang w:val="en-US"/>
        </w:rPr>
      </w:pPr>
      <w:r w:rsidRPr="00072F05">
        <w:rPr>
          <w:rFonts w:asciiTheme="majorBidi" w:hAnsiTheme="majorBidi"/>
          <w:sz w:val="24"/>
          <w:szCs w:val="24"/>
          <w:lang w:val="en-US"/>
        </w:rPr>
        <w:lastRenderedPageBreak/>
        <w:t>Research in context:</w:t>
      </w:r>
    </w:p>
    <w:p w14:paraId="27A6466C" w14:textId="77777777" w:rsidR="00072F05" w:rsidRPr="00371FF6" w:rsidRDefault="00072F05" w:rsidP="00072F05">
      <w:pPr>
        <w:pStyle w:val="Heading2"/>
        <w:spacing w:line="360" w:lineRule="auto"/>
        <w:contextualSpacing/>
        <w:rPr>
          <w:rFonts w:asciiTheme="majorBidi" w:hAnsiTheme="majorBidi"/>
          <w:b w:val="0"/>
          <w:bCs/>
          <w:sz w:val="24"/>
          <w:szCs w:val="24"/>
          <w:u w:val="single"/>
          <w:lang w:val="en-US"/>
        </w:rPr>
      </w:pPr>
      <w:r w:rsidRPr="00371FF6">
        <w:rPr>
          <w:rFonts w:asciiTheme="majorBidi" w:hAnsiTheme="majorBidi"/>
          <w:sz w:val="24"/>
          <w:szCs w:val="24"/>
          <w:u w:val="single"/>
          <w:lang w:val="en-US"/>
        </w:rPr>
        <w:t>Evidence before this study:</w:t>
      </w:r>
    </w:p>
    <w:p w14:paraId="30E8647E" w14:textId="2EC92D54" w:rsidR="001B62D6" w:rsidRDefault="006B3114" w:rsidP="003977BC">
      <w:pPr>
        <w:pStyle w:val="Heading2"/>
        <w:spacing w:line="360" w:lineRule="auto"/>
        <w:contextualSpacing/>
        <w:rPr>
          <w:rFonts w:asciiTheme="majorBidi" w:hAnsiTheme="majorBidi"/>
          <w:b w:val="0"/>
          <w:bCs/>
          <w:sz w:val="24"/>
          <w:szCs w:val="24"/>
          <w:lang w:val="en-US"/>
        </w:rPr>
      </w:pPr>
      <w:r>
        <w:rPr>
          <w:rFonts w:asciiTheme="majorBidi" w:hAnsiTheme="majorBidi"/>
          <w:b w:val="0"/>
          <w:bCs/>
          <w:sz w:val="24"/>
          <w:szCs w:val="24"/>
          <w:lang w:val="en-US"/>
        </w:rPr>
        <w:t xml:space="preserve">Prior trials have shown that </w:t>
      </w:r>
      <w:r w:rsidR="00BB2BFC">
        <w:rPr>
          <w:rFonts w:asciiTheme="majorBidi" w:hAnsiTheme="majorBidi"/>
          <w:b w:val="0"/>
          <w:bCs/>
          <w:sz w:val="24"/>
          <w:szCs w:val="24"/>
          <w:lang w:val="en-US"/>
        </w:rPr>
        <w:t xml:space="preserve">the </w:t>
      </w:r>
      <w:r w:rsidR="00BB2BFC" w:rsidRPr="00072F05">
        <w:rPr>
          <w:rFonts w:asciiTheme="majorBidi" w:hAnsiTheme="majorBidi"/>
          <w:b w:val="0"/>
          <w:bCs/>
          <w:sz w:val="24"/>
          <w:szCs w:val="24"/>
          <w:lang w:val="en-US"/>
        </w:rPr>
        <w:t xml:space="preserve">sodium-glucose co-transporter-2 </w:t>
      </w:r>
      <w:r w:rsidR="00505A1F">
        <w:rPr>
          <w:rFonts w:asciiTheme="majorBidi" w:hAnsiTheme="majorBidi"/>
          <w:b w:val="0"/>
          <w:bCs/>
          <w:sz w:val="24"/>
          <w:szCs w:val="24"/>
          <w:lang w:val="en-US"/>
        </w:rPr>
        <w:t xml:space="preserve">inhibitors </w:t>
      </w:r>
      <w:r w:rsidR="00BB2BFC" w:rsidRPr="00072F05">
        <w:rPr>
          <w:rFonts w:asciiTheme="majorBidi" w:hAnsiTheme="majorBidi"/>
          <w:b w:val="0"/>
          <w:bCs/>
          <w:sz w:val="24"/>
          <w:szCs w:val="24"/>
          <w:lang w:val="en-US"/>
        </w:rPr>
        <w:t>(SGLT2</w:t>
      </w:r>
      <w:r w:rsidR="00505A1F">
        <w:rPr>
          <w:rFonts w:asciiTheme="majorBidi" w:hAnsiTheme="majorBidi"/>
          <w:b w:val="0"/>
          <w:bCs/>
          <w:sz w:val="24"/>
          <w:szCs w:val="24"/>
          <w:lang w:val="en-US"/>
        </w:rPr>
        <w:t>i</w:t>
      </w:r>
      <w:r w:rsidR="00BB2BFC" w:rsidRPr="00072F05">
        <w:rPr>
          <w:rFonts w:asciiTheme="majorBidi" w:hAnsiTheme="majorBidi"/>
          <w:b w:val="0"/>
          <w:bCs/>
          <w:sz w:val="24"/>
          <w:szCs w:val="24"/>
          <w:lang w:val="en-US"/>
        </w:rPr>
        <w:t xml:space="preserve">) </w:t>
      </w:r>
      <w:r>
        <w:rPr>
          <w:rFonts w:asciiTheme="majorBidi" w:hAnsiTheme="majorBidi"/>
          <w:b w:val="0"/>
          <w:bCs/>
          <w:sz w:val="24"/>
          <w:szCs w:val="24"/>
          <w:lang w:val="en-US"/>
        </w:rPr>
        <w:t xml:space="preserve">empagliflozin and canagliflozin </w:t>
      </w:r>
      <w:r w:rsidR="00BB2BFC">
        <w:rPr>
          <w:rFonts w:asciiTheme="majorBidi" w:hAnsiTheme="majorBidi"/>
          <w:b w:val="0"/>
          <w:bCs/>
          <w:sz w:val="24"/>
          <w:szCs w:val="24"/>
          <w:lang w:val="en-US"/>
        </w:rPr>
        <w:t>slow</w:t>
      </w:r>
      <w:r>
        <w:rPr>
          <w:rFonts w:asciiTheme="majorBidi" w:hAnsiTheme="majorBidi"/>
          <w:b w:val="0"/>
          <w:bCs/>
          <w:sz w:val="24"/>
          <w:szCs w:val="24"/>
          <w:lang w:val="en-US"/>
        </w:rPr>
        <w:t>ed</w:t>
      </w:r>
      <w:r w:rsidR="00BB2BFC">
        <w:rPr>
          <w:rFonts w:asciiTheme="majorBidi" w:hAnsiTheme="majorBidi"/>
          <w:b w:val="0"/>
          <w:bCs/>
          <w:sz w:val="24"/>
          <w:szCs w:val="24"/>
          <w:lang w:val="en-US"/>
        </w:rPr>
        <w:t xml:space="preserve"> the progression of </w:t>
      </w:r>
      <w:r w:rsidR="00072F05" w:rsidRPr="00072F05">
        <w:rPr>
          <w:rFonts w:asciiTheme="majorBidi" w:hAnsiTheme="majorBidi"/>
          <w:b w:val="0"/>
          <w:bCs/>
          <w:sz w:val="24"/>
          <w:szCs w:val="24"/>
          <w:lang w:val="en-US"/>
        </w:rPr>
        <w:t xml:space="preserve">nephropathy </w:t>
      </w:r>
      <w:r w:rsidR="00BB2BFC">
        <w:rPr>
          <w:rFonts w:asciiTheme="majorBidi" w:hAnsiTheme="majorBidi"/>
          <w:b w:val="0"/>
          <w:bCs/>
          <w:sz w:val="24"/>
          <w:szCs w:val="24"/>
          <w:lang w:val="en-US"/>
        </w:rPr>
        <w:t xml:space="preserve">in patients </w:t>
      </w:r>
      <w:r w:rsidR="00505A1F">
        <w:rPr>
          <w:rFonts w:asciiTheme="majorBidi" w:hAnsiTheme="majorBidi"/>
          <w:b w:val="0"/>
          <w:bCs/>
          <w:sz w:val="24"/>
          <w:szCs w:val="24"/>
          <w:lang w:val="en-US"/>
        </w:rPr>
        <w:t xml:space="preserve">with </w:t>
      </w:r>
      <w:r w:rsidR="00BB2BFC" w:rsidRPr="00072F05">
        <w:rPr>
          <w:rFonts w:asciiTheme="majorBidi" w:hAnsiTheme="majorBidi"/>
          <w:b w:val="0"/>
          <w:bCs/>
          <w:sz w:val="24"/>
          <w:szCs w:val="24"/>
          <w:lang w:val="en-US"/>
        </w:rPr>
        <w:t>type 2 diabetes</w:t>
      </w:r>
      <w:r>
        <w:rPr>
          <w:rFonts w:asciiTheme="majorBidi" w:hAnsiTheme="majorBidi"/>
          <w:b w:val="0"/>
          <w:bCs/>
          <w:sz w:val="24"/>
          <w:szCs w:val="24"/>
          <w:lang w:val="en-US"/>
        </w:rPr>
        <w:t xml:space="preserve">. </w:t>
      </w:r>
      <w:r w:rsidR="00371FF6">
        <w:rPr>
          <w:rFonts w:asciiTheme="majorBidi" w:hAnsiTheme="majorBidi"/>
          <w:b w:val="0"/>
          <w:bCs/>
          <w:sz w:val="24"/>
          <w:szCs w:val="24"/>
          <w:lang w:val="en-US"/>
        </w:rPr>
        <w:t>However,</w:t>
      </w:r>
      <w:r>
        <w:rPr>
          <w:rFonts w:asciiTheme="majorBidi" w:hAnsiTheme="majorBidi"/>
          <w:b w:val="0"/>
          <w:bCs/>
          <w:sz w:val="24"/>
          <w:szCs w:val="24"/>
          <w:lang w:val="en-US"/>
        </w:rPr>
        <w:t xml:space="preserve"> most of the patients in these trials had established </w:t>
      </w:r>
      <w:r w:rsidR="00BB2BFC">
        <w:rPr>
          <w:rFonts w:asciiTheme="majorBidi" w:hAnsiTheme="majorBidi"/>
          <w:b w:val="0"/>
          <w:bCs/>
          <w:sz w:val="24"/>
          <w:szCs w:val="24"/>
          <w:lang w:val="en-US"/>
        </w:rPr>
        <w:t xml:space="preserve">atherosclerotic </w:t>
      </w:r>
      <w:r w:rsidR="00BB2BFC" w:rsidRPr="00072F05">
        <w:rPr>
          <w:rFonts w:asciiTheme="majorBidi" w:hAnsiTheme="majorBidi"/>
          <w:b w:val="0"/>
          <w:bCs/>
          <w:sz w:val="24"/>
          <w:szCs w:val="24"/>
          <w:lang w:val="en-US"/>
        </w:rPr>
        <w:t>cardiovascular disease</w:t>
      </w:r>
      <w:r w:rsidR="00BB2BFC">
        <w:rPr>
          <w:rFonts w:asciiTheme="majorBidi" w:hAnsiTheme="majorBidi"/>
          <w:b w:val="0"/>
          <w:bCs/>
          <w:sz w:val="24"/>
          <w:szCs w:val="24"/>
          <w:lang w:val="en-US"/>
        </w:rPr>
        <w:t xml:space="preserve"> (ASCVD) and</w:t>
      </w:r>
      <w:r w:rsidR="003977BC">
        <w:rPr>
          <w:rFonts w:asciiTheme="majorBidi" w:hAnsiTheme="majorBidi"/>
          <w:b w:val="0"/>
          <w:bCs/>
          <w:sz w:val="24"/>
          <w:szCs w:val="24"/>
          <w:lang w:val="en-US"/>
        </w:rPr>
        <w:t>/or</w:t>
      </w:r>
      <w:r w:rsidR="00EF250A">
        <w:rPr>
          <w:rFonts w:asciiTheme="majorBidi" w:hAnsiTheme="majorBidi"/>
          <w:b w:val="0"/>
          <w:bCs/>
          <w:sz w:val="24"/>
          <w:szCs w:val="24"/>
          <w:lang w:val="en-US"/>
        </w:rPr>
        <w:t xml:space="preserve"> </w:t>
      </w:r>
      <w:r w:rsidR="00BB2BFC">
        <w:rPr>
          <w:rFonts w:asciiTheme="majorBidi" w:hAnsiTheme="majorBidi"/>
          <w:b w:val="0"/>
          <w:bCs/>
          <w:sz w:val="24"/>
          <w:szCs w:val="24"/>
          <w:lang w:val="en-US"/>
        </w:rPr>
        <w:t xml:space="preserve">high prevalence of mild to moderate </w:t>
      </w:r>
      <w:r>
        <w:rPr>
          <w:rFonts w:asciiTheme="majorBidi" w:hAnsiTheme="majorBidi"/>
          <w:b w:val="0"/>
          <w:bCs/>
          <w:sz w:val="24"/>
          <w:szCs w:val="24"/>
          <w:lang w:val="en-US"/>
        </w:rPr>
        <w:t>chronic kidney disease</w:t>
      </w:r>
      <w:r w:rsidR="00BB2BFC" w:rsidRPr="00072F05">
        <w:rPr>
          <w:rFonts w:asciiTheme="majorBidi" w:hAnsiTheme="majorBidi"/>
          <w:b w:val="0"/>
          <w:bCs/>
          <w:sz w:val="24"/>
          <w:szCs w:val="24"/>
          <w:lang w:val="en-US"/>
        </w:rPr>
        <w:t xml:space="preserve">. </w:t>
      </w:r>
    </w:p>
    <w:p w14:paraId="5E6405A5" w14:textId="77777777" w:rsidR="001B62D6" w:rsidRDefault="00072F05" w:rsidP="00072F05">
      <w:pPr>
        <w:pStyle w:val="Heading2"/>
        <w:spacing w:line="360" w:lineRule="auto"/>
        <w:contextualSpacing/>
        <w:rPr>
          <w:rFonts w:asciiTheme="majorBidi" w:hAnsiTheme="majorBidi"/>
          <w:sz w:val="24"/>
          <w:szCs w:val="24"/>
          <w:u w:val="single"/>
          <w:lang w:val="en-US"/>
        </w:rPr>
      </w:pPr>
      <w:r w:rsidRPr="00D311FE">
        <w:rPr>
          <w:rFonts w:asciiTheme="majorBidi" w:hAnsiTheme="majorBidi"/>
          <w:sz w:val="24"/>
          <w:szCs w:val="24"/>
          <w:u w:val="single"/>
          <w:lang w:val="en-US"/>
        </w:rPr>
        <w:t>Added value of this study</w:t>
      </w:r>
      <w:r w:rsidR="001B62D6" w:rsidRPr="00D311FE">
        <w:rPr>
          <w:rFonts w:asciiTheme="majorBidi" w:hAnsiTheme="majorBidi"/>
          <w:sz w:val="24"/>
          <w:szCs w:val="24"/>
          <w:u w:val="single"/>
          <w:lang w:val="en-US"/>
        </w:rPr>
        <w:t>:</w:t>
      </w:r>
    </w:p>
    <w:p w14:paraId="3E397CE8" w14:textId="551E288A" w:rsidR="0041475D" w:rsidRDefault="00072F05" w:rsidP="00CC07E2">
      <w:pPr>
        <w:pStyle w:val="Heading2"/>
        <w:spacing w:line="360" w:lineRule="auto"/>
        <w:contextualSpacing/>
        <w:rPr>
          <w:rFonts w:asciiTheme="majorBidi" w:hAnsiTheme="majorBidi"/>
          <w:b w:val="0"/>
          <w:bCs/>
          <w:sz w:val="24"/>
          <w:szCs w:val="24"/>
          <w:lang w:val="en-US"/>
        </w:rPr>
      </w:pPr>
      <w:r w:rsidRPr="00072F05">
        <w:rPr>
          <w:rFonts w:asciiTheme="majorBidi" w:hAnsiTheme="majorBidi"/>
          <w:b w:val="0"/>
          <w:bCs/>
          <w:sz w:val="24"/>
          <w:szCs w:val="24"/>
          <w:lang w:val="en-US"/>
        </w:rPr>
        <w:t xml:space="preserve">This analysis is the first to show the effects of </w:t>
      </w:r>
      <w:r w:rsidR="003977BC">
        <w:rPr>
          <w:rFonts w:asciiTheme="majorBidi" w:hAnsiTheme="majorBidi"/>
          <w:b w:val="0"/>
          <w:bCs/>
          <w:sz w:val="24"/>
          <w:szCs w:val="24"/>
          <w:lang w:val="en-US"/>
        </w:rPr>
        <w:t xml:space="preserve">the SGLT2i </w:t>
      </w:r>
      <w:r w:rsidR="00D311FE">
        <w:rPr>
          <w:rFonts w:asciiTheme="majorBidi" w:hAnsiTheme="majorBidi"/>
          <w:b w:val="0"/>
          <w:bCs/>
          <w:sz w:val="24"/>
          <w:szCs w:val="24"/>
          <w:lang w:val="en-US"/>
        </w:rPr>
        <w:t>dap</w:t>
      </w:r>
      <w:r w:rsidRPr="00072F05">
        <w:rPr>
          <w:rFonts w:asciiTheme="majorBidi" w:hAnsiTheme="majorBidi"/>
          <w:b w:val="0"/>
          <w:bCs/>
          <w:sz w:val="24"/>
          <w:szCs w:val="24"/>
          <w:lang w:val="en-US"/>
        </w:rPr>
        <w:t xml:space="preserve">agliflozin on </w:t>
      </w:r>
      <w:r w:rsidR="00B43CA7">
        <w:rPr>
          <w:rFonts w:asciiTheme="majorBidi" w:hAnsiTheme="majorBidi"/>
          <w:b w:val="0"/>
          <w:bCs/>
          <w:sz w:val="24"/>
          <w:szCs w:val="24"/>
          <w:lang w:val="en-US"/>
        </w:rPr>
        <w:t>clinically important</w:t>
      </w:r>
      <w:r w:rsidR="00D311FE">
        <w:rPr>
          <w:rFonts w:asciiTheme="majorBidi" w:hAnsiTheme="majorBidi"/>
          <w:b w:val="0"/>
          <w:bCs/>
          <w:sz w:val="24"/>
          <w:szCs w:val="24"/>
          <w:lang w:val="en-US"/>
        </w:rPr>
        <w:t xml:space="preserve"> renal outcomes and on change in eGFR </w:t>
      </w:r>
      <w:r w:rsidRPr="00072F05">
        <w:rPr>
          <w:rFonts w:asciiTheme="majorBidi" w:hAnsiTheme="majorBidi"/>
          <w:b w:val="0"/>
          <w:bCs/>
          <w:sz w:val="24"/>
          <w:szCs w:val="24"/>
          <w:lang w:val="en-US"/>
        </w:rPr>
        <w:t>in</w:t>
      </w:r>
      <w:r w:rsidR="00D311FE">
        <w:rPr>
          <w:rFonts w:asciiTheme="majorBidi" w:hAnsiTheme="majorBidi"/>
          <w:b w:val="0"/>
          <w:bCs/>
          <w:sz w:val="24"/>
          <w:szCs w:val="24"/>
          <w:lang w:val="en-US"/>
        </w:rPr>
        <w:t xml:space="preserve"> </w:t>
      </w:r>
      <w:r w:rsidRPr="00072F05">
        <w:rPr>
          <w:rFonts w:asciiTheme="majorBidi" w:hAnsiTheme="majorBidi"/>
          <w:b w:val="0"/>
          <w:bCs/>
          <w:sz w:val="24"/>
          <w:szCs w:val="24"/>
          <w:lang w:val="en-US"/>
        </w:rPr>
        <w:t xml:space="preserve">a </w:t>
      </w:r>
      <w:r w:rsidR="00D311FE">
        <w:rPr>
          <w:rFonts w:asciiTheme="majorBidi" w:hAnsiTheme="majorBidi"/>
          <w:b w:val="0"/>
          <w:bCs/>
          <w:sz w:val="24"/>
          <w:szCs w:val="24"/>
          <w:lang w:val="en-US"/>
        </w:rPr>
        <w:t xml:space="preserve">large and </w:t>
      </w:r>
      <w:r w:rsidR="0027446D">
        <w:rPr>
          <w:rFonts w:asciiTheme="majorBidi" w:hAnsiTheme="majorBidi"/>
          <w:b w:val="0"/>
          <w:bCs/>
          <w:sz w:val="24"/>
          <w:szCs w:val="24"/>
          <w:lang w:val="en-US"/>
        </w:rPr>
        <w:t>broad</w:t>
      </w:r>
      <w:r w:rsidR="0003395A">
        <w:rPr>
          <w:rFonts w:asciiTheme="majorBidi" w:hAnsiTheme="majorBidi"/>
          <w:b w:val="0"/>
          <w:bCs/>
          <w:sz w:val="24"/>
          <w:szCs w:val="24"/>
          <w:lang w:val="en-US"/>
        </w:rPr>
        <w:t xml:space="preserve"> </w:t>
      </w:r>
      <w:r w:rsidRPr="00072F05">
        <w:rPr>
          <w:rFonts w:asciiTheme="majorBidi" w:hAnsiTheme="majorBidi"/>
          <w:b w:val="0"/>
          <w:bCs/>
          <w:sz w:val="24"/>
          <w:szCs w:val="24"/>
          <w:lang w:val="en-US"/>
        </w:rPr>
        <w:t>cohort</w:t>
      </w:r>
      <w:r w:rsidR="00D311FE">
        <w:rPr>
          <w:rFonts w:asciiTheme="majorBidi" w:hAnsiTheme="majorBidi"/>
          <w:b w:val="0"/>
          <w:bCs/>
          <w:sz w:val="24"/>
          <w:szCs w:val="24"/>
          <w:lang w:val="en-US"/>
        </w:rPr>
        <w:t xml:space="preserve"> of patients with type 2 diabetes</w:t>
      </w:r>
      <w:r w:rsidR="00FD30CD">
        <w:rPr>
          <w:rFonts w:asciiTheme="majorBidi" w:hAnsiTheme="majorBidi"/>
          <w:b w:val="0"/>
          <w:bCs/>
          <w:sz w:val="24"/>
          <w:szCs w:val="24"/>
          <w:lang w:val="en-US"/>
        </w:rPr>
        <w:t xml:space="preserve"> with or without previous ASCVD</w:t>
      </w:r>
      <w:r w:rsidR="006B3114">
        <w:rPr>
          <w:rFonts w:asciiTheme="majorBidi" w:hAnsiTheme="majorBidi"/>
          <w:b w:val="0"/>
          <w:bCs/>
          <w:sz w:val="24"/>
          <w:szCs w:val="24"/>
          <w:lang w:val="en-US"/>
        </w:rPr>
        <w:t xml:space="preserve"> and most of whom </w:t>
      </w:r>
      <w:r w:rsidR="00226ADA">
        <w:rPr>
          <w:rFonts w:asciiTheme="majorBidi" w:hAnsiTheme="majorBidi"/>
          <w:b w:val="0"/>
          <w:bCs/>
          <w:sz w:val="24"/>
          <w:szCs w:val="24"/>
          <w:lang w:val="en-US"/>
        </w:rPr>
        <w:t>had normal or only mildly reduced renal function</w:t>
      </w:r>
      <w:r w:rsidR="006B3114">
        <w:rPr>
          <w:rFonts w:asciiTheme="majorBidi" w:hAnsiTheme="majorBidi"/>
          <w:b w:val="0"/>
          <w:bCs/>
          <w:sz w:val="24"/>
          <w:szCs w:val="24"/>
          <w:lang w:val="en-US"/>
        </w:rPr>
        <w:t>. T</w:t>
      </w:r>
      <w:r w:rsidR="00657D94">
        <w:rPr>
          <w:rFonts w:asciiTheme="majorBidi" w:hAnsiTheme="majorBidi"/>
          <w:b w:val="0"/>
          <w:bCs/>
          <w:sz w:val="24"/>
          <w:szCs w:val="24"/>
          <w:lang w:val="en-US"/>
        </w:rPr>
        <w:t>hereby</w:t>
      </w:r>
      <w:r w:rsidR="006B3114">
        <w:rPr>
          <w:rFonts w:asciiTheme="majorBidi" w:hAnsiTheme="majorBidi"/>
          <w:b w:val="0"/>
          <w:bCs/>
          <w:sz w:val="24"/>
          <w:szCs w:val="24"/>
          <w:lang w:val="en-US"/>
        </w:rPr>
        <w:t>,</w:t>
      </w:r>
      <w:r w:rsidR="00226ADA">
        <w:rPr>
          <w:rFonts w:asciiTheme="majorBidi" w:hAnsiTheme="majorBidi"/>
          <w:b w:val="0"/>
          <w:bCs/>
          <w:sz w:val="24"/>
          <w:szCs w:val="24"/>
          <w:lang w:val="en-US"/>
        </w:rPr>
        <w:t xml:space="preserve"> we are able to demonstrate the effect of </w:t>
      </w:r>
      <w:r w:rsidR="003977BC">
        <w:rPr>
          <w:rFonts w:asciiTheme="majorBidi" w:hAnsiTheme="majorBidi"/>
          <w:b w:val="0"/>
          <w:bCs/>
          <w:sz w:val="24"/>
          <w:szCs w:val="24"/>
          <w:lang w:val="en-US"/>
        </w:rPr>
        <w:t xml:space="preserve">a SGLT2i </w:t>
      </w:r>
      <w:r w:rsidR="00226ADA">
        <w:rPr>
          <w:rFonts w:asciiTheme="majorBidi" w:hAnsiTheme="majorBidi"/>
          <w:b w:val="0"/>
          <w:bCs/>
          <w:sz w:val="24"/>
          <w:szCs w:val="24"/>
          <w:lang w:val="en-US"/>
        </w:rPr>
        <w:t xml:space="preserve">on early prevention of chronic kidney disease in patients with type 2 diabetes. </w:t>
      </w:r>
    </w:p>
    <w:p w14:paraId="3E79B4B0" w14:textId="77777777" w:rsidR="0033739D" w:rsidRDefault="00072F05" w:rsidP="0033739D">
      <w:pPr>
        <w:pStyle w:val="Heading2"/>
        <w:spacing w:line="360" w:lineRule="auto"/>
        <w:contextualSpacing/>
        <w:rPr>
          <w:rFonts w:asciiTheme="majorBidi" w:hAnsiTheme="majorBidi"/>
          <w:b w:val="0"/>
          <w:bCs/>
          <w:sz w:val="24"/>
          <w:szCs w:val="24"/>
          <w:lang w:val="en-US"/>
        </w:rPr>
      </w:pPr>
      <w:r w:rsidRPr="00072F05">
        <w:rPr>
          <w:rFonts w:asciiTheme="majorBidi" w:hAnsiTheme="majorBidi"/>
          <w:b w:val="0"/>
          <w:bCs/>
          <w:sz w:val="24"/>
          <w:szCs w:val="24"/>
          <w:lang w:val="en-US"/>
        </w:rPr>
        <w:t xml:space="preserve"> </w:t>
      </w:r>
    </w:p>
    <w:p w14:paraId="5E1586B2" w14:textId="77777777" w:rsidR="0041475D" w:rsidRPr="0041475D" w:rsidRDefault="00072F05" w:rsidP="00D311FE">
      <w:pPr>
        <w:pStyle w:val="Heading2"/>
        <w:spacing w:line="360" w:lineRule="auto"/>
        <w:contextualSpacing/>
        <w:rPr>
          <w:rFonts w:asciiTheme="majorBidi" w:hAnsiTheme="majorBidi"/>
          <w:sz w:val="24"/>
          <w:szCs w:val="24"/>
          <w:u w:val="single"/>
          <w:lang w:val="en-US"/>
        </w:rPr>
      </w:pPr>
      <w:r w:rsidRPr="0041475D">
        <w:rPr>
          <w:rFonts w:asciiTheme="majorBidi" w:hAnsiTheme="majorBidi"/>
          <w:sz w:val="24"/>
          <w:szCs w:val="24"/>
          <w:u w:val="single"/>
          <w:lang w:val="en-US"/>
        </w:rPr>
        <w:t>Implications of all the available evidence</w:t>
      </w:r>
      <w:r w:rsidR="0041475D" w:rsidRPr="0041475D">
        <w:rPr>
          <w:rFonts w:asciiTheme="majorBidi" w:hAnsiTheme="majorBidi"/>
          <w:sz w:val="24"/>
          <w:szCs w:val="24"/>
          <w:u w:val="single"/>
          <w:lang w:val="en-US"/>
        </w:rPr>
        <w:t>:</w:t>
      </w:r>
    </w:p>
    <w:p w14:paraId="7ADD54CB" w14:textId="6DA54D73" w:rsidR="00072F05" w:rsidRPr="00072F05" w:rsidRDefault="00072F05" w:rsidP="002E2EF9">
      <w:pPr>
        <w:pStyle w:val="Heading2"/>
        <w:spacing w:line="360" w:lineRule="auto"/>
        <w:contextualSpacing/>
        <w:rPr>
          <w:rFonts w:asciiTheme="majorBidi" w:hAnsiTheme="majorBidi"/>
          <w:b w:val="0"/>
          <w:bCs/>
          <w:sz w:val="24"/>
          <w:szCs w:val="24"/>
          <w:lang w:val="en-US"/>
        </w:rPr>
      </w:pPr>
      <w:r w:rsidRPr="00072F05">
        <w:rPr>
          <w:rFonts w:asciiTheme="majorBidi" w:hAnsiTheme="majorBidi"/>
          <w:b w:val="0"/>
          <w:bCs/>
          <w:sz w:val="24"/>
          <w:szCs w:val="24"/>
          <w:lang w:val="en-US"/>
        </w:rPr>
        <w:t>On the basis of available evidence, SGLT2</w:t>
      </w:r>
      <w:r w:rsidR="0041475D">
        <w:rPr>
          <w:rFonts w:asciiTheme="majorBidi" w:hAnsiTheme="majorBidi"/>
          <w:b w:val="0"/>
          <w:bCs/>
          <w:sz w:val="24"/>
          <w:szCs w:val="24"/>
          <w:lang w:val="en-US"/>
        </w:rPr>
        <w:t xml:space="preserve">i are expected to reduce the risk of </w:t>
      </w:r>
      <w:r w:rsidR="00E0523E">
        <w:rPr>
          <w:rFonts w:asciiTheme="majorBidi" w:hAnsiTheme="majorBidi"/>
          <w:b w:val="0"/>
          <w:bCs/>
          <w:sz w:val="24"/>
          <w:szCs w:val="24"/>
          <w:lang w:val="en-US"/>
        </w:rPr>
        <w:t xml:space="preserve">both </w:t>
      </w:r>
      <w:r w:rsidR="0041475D">
        <w:rPr>
          <w:rFonts w:asciiTheme="majorBidi" w:hAnsiTheme="majorBidi"/>
          <w:b w:val="0"/>
          <w:bCs/>
          <w:sz w:val="24"/>
          <w:szCs w:val="24"/>
          <w:lang w:val="en-US"/>
        </w:rPr>
        <w:t xml:space="preserve">progression </w:t>
      </w:r>
      <w:r w:rsidR="00E0523E">
        <w:rPr>
          <w:rFonts w:asciiTheme="majorBidi" w:hAnsiTheme="majorBidi"/>
          <w:b w:val="0"/>
          <w:bCs/>
          <w:sz w:val="24"/>
          <w:szCs w:val="24"/>
          <w:lang w:val="en-US"/>
        </w:rPr>
        <w:t xml:space="preserve">and development </w:t>
      </w:r>
      <w:r w:rsidR="0041475D">
        <w:rPr>
          <w:rFonts w:asciiTheme="majorBidi" w:hAnsiTheme="majorBidi"/>
          <w:b w:val="0"/>
          <w:bCs/>
          <w:sz w:val="24"/>
          <w:szCs w:val="24"/>
          <w:lang w:val="en-US"/>
        </w:rPr>
        <w:t xml:space="preserve">of </w:t>
      </w:r>
      <w:r w:rsidR="00DF5CAA">
        <w:rPr>
          <w:rFonts w:asciiTheme="majorBidi" w:hAnsiTheme="majorBidi"/>
          <w:b w:val="0"/>
          <w:bCs/>
          <w:sz w:val="24"/>
          <w:szCs w:val="24"/>
          <w:lang w:val="en-US"/>
        </w:rPr>
        <w:t>nephropathy</w:t>
      </w:r>
      <w:r w:rsidR="0041475D">
        <w:rPr>
          <w:rFonts w:asciiTheme="majorBidi" w:hAnsiTheme="majorBidi"/>
          <w:b w:val="0"/>
          <w:bCs/>
          <w:sz w:val="24"/>
          <w:szCs w:val="24"/>
          <w:lang w:val="en-US"/>
        </w:rPr>
        <w:t xml:space="preserve"> in patients with type 2 diabetes</w:t>
      </w:r>
      <w:r w:rsidR="00E0523E">
        <w:rPr>
          <w:rFonts w:asciiTheme="majorBidi" w:hAnsiTheme="majorBidi"/>
          <w:b w:val="0"/>
          <w:bCs/>
          <w:sz w:val="24"/>
          <w:szCs w:val="24"/>
          <w:lang w:val="en-US"/>
        </w:rPr>
        <w:t xml:space="preserve">, regardless of prevalence of </w:t>
      </w:r>
      <w:r w:rsidR="004C6A42">
        <w:rPr>
          <w:rFonts w:asciiTheme="majorBidi" w:hAnsiTheme="majorBidi"/>
          <w:b w:val="0"/>
          <w:bCs/>
          <w:sz w:val="24"/>
          <w:szCs w:val="24"/>
          <w:lang w:val="en-US"/>
        </w:rPr>
        <w:t>ASCVD</w:t>
      </w:r>
      <w:r w:rsidR="00A128F6">
        <w:rPr>
          <w:rFonts w:asciiTheme="majorBidi" w:hAnsiTheme="majorBidi"/>
          <w:b w:val="0"/>
          <w:bCs/>
          <w:sz w:val="24"/>
          <w:szCs w:val="24"/>
          <w:lang w:val="en-US"/>
        </w:rPr>
        <w:t>, or baseline renal dysfunction</w:t>
      </w:r>
      <w:r w:rsidRPr="00072F05">
        <w:rPr>
          <w:rFonts w:asciiTheme="majorBidi" w:hAnsiTheme="majorBidi"/>
          <w:b w:val="0"/>
          <w:bCs/>
          <w:sz w:val="24"/>
          <w:szCs w:val="24"/>
          <w:lang w:val="en-US"/>
        </w:rPr>
        <w:t xml:space="preserve">. </w:t>
      </w:r>
      <w:r w:rsidR="004F4685">
        <w:rPr>
          <w:rFonts w:asciiTheme="majorBidi" w:hAnsiTheme="majorBidi"/>
          <w:b w:val="0"/>
          <w:bCs/>
          <w:sz w:val="24"/>
          <w:szCs w:val="24"/>
          <w:lang w:val="en-US"/>
        </w:rPr>
        <w:t>T</w:t>
      </w:r>
      <w:r w:rsidRPr="00072F05">
        <w:rPr>
          <w:rFonts w:asciiTheme="majorBidi" w:hAnsiTheme="majorBidi"/>
          <w:b w:val="0"/>
          <w:bCs/>
          <w:sz w:val="24"/>
          <w:szCs w:val="24"/>
          <w:lang w:val="en-US"/>
        </w:rPr>
        <w:t>he effect of SGLT2</w:t>
      </w:r>
      <w:r w:rsidR="00DF5CAA">
        <w:rPr>
          <w:rFonts w:asciiTheme="majorBidi" w:hAnsiTheme="majorBidi"/>
          <w:b w:val="0"/>
          <w:bCs/>
          <w:sz w:val="24"/>
          <w:szCs w:val="24"/>
          <w:lang w:val="en-US"/>
        </w:rPr>
        <w:t>i</w:t>
      </w:r>
      <w:r w:rsidRPr="00072F05">
        <w:rPr>
          <w:rFonts w:asciiTheme="majorBidi" w:hAnsiTheme="majorBidi"/>
          <w:b w:val="0"/>
          <w:bCs/>
          <w:sz w:val="24"/>
          <w:szCs w:val="24"/>
          <w:lang w:val="en-US"/>
        </w:rPr>
        <w:t xml:space="preserve"> on nephropathy is being examined in dedicated studies of renal </w:t>
      </w:r>
      <w:r w:rsidR="00DF5CAA">
        <w:rPr>
          <w:rFonts w:asciiTheme="majorBidi" w:hAnsiTheme="majorBidi"/>
          <w:b w:val="0"/>
          <w:bCs/>
          <w:sz w:val="24"/>
          <w:szCs w:val="24"/>
          <w:lang w:val="en-US"/>
        </w:rPr>
        <w:t>outcome</w:t>
      </w:r>
      <w:r w:rsidR="004F4685">
        <w:rPr>
          <w:rFonts w:asciiTheme="majorBidi" w:hAnsiTheme="majorBidi"/>
          <w:b w:val="0"/>
          <w:bCs/>
          <w:sz w:val="24"/>
          <w:szCs w:val="24"/>
          <w:lang w:val="en-US"/>
        </w:rPr>
        <w:t xml:space="preserve">, </w:t>
      </w:r>
      <w:r w:rsidR="006F5F2F">
        <w:rPr>
          <w:rFonts w:asciiTheme="majorBidi" w:hAnsiTheme="majorBidi"/>
          <w:b w:val="0"/>
          <w:bCs/>
          <w:sz w:val="24"/>
          <w:szCs w:val="24"/>
          <w:lang w:val="en-US"/>
        </w:rPr>
        <w:t xml:space="preserve">both in patients with and without type 2 diabetes, </w:t>
      </w:r>
      <w:r w:rsidR="004F4685">
        <w:rPr>
          <w:rFonts w:asciiTheme="majorBidi" w:hAnsiTheme="majorBidi"/>
          <w:b w:val="0"/>
          <w:bCs/>
          <w:sz w:val="24"/>
          <w:szCs w:val="24"/>
          <w:lang w:val="en-US"/>
        </w:rPr>
        <w:t xml:space="preserve">however </w:t>
      </w:r>
      <w:r w:rsidR="002E2EF9">
        <w:rPr>
          <w:rFonts w:asciiTheme="majorBidi" w:hAnsiTheme="majorBidi"/>
          <w:b w:val="0"/>
          <w:bCs/>
          <w:sz w:val="24"/>
          <w:szCs w:val="24"/>
          <w:lang w:val="en-US"/>
        </w:rPr>
        <w:t xml:space="preserve">these trials focus on </w:t>
      </w:r>
      <w:r w:rsidR="00DF5CAA">
        <w:rPr>
          <w:rFonts w:asciiTheme="majorBidi" w:hAnsiTheme="majorBidi"/>
          <w:b w:val="0"/>
          <w:bCs/>
          <w:sz w:val="24"/>
          <w:szCs w:val="24"/>
          <w:lang w:val="en-US"/>
        </w:rPr>
        <w:t xml:space="preserve">populations </w:t>
      </w:r>
      <w:r w:rsidR="002E2EF9">
        <w:rPr>
          <w:rFonts w:asciiTheme="majorBidi" w:hAnsiTheme="majorBidi"/>
          <w:b w:val="0"/>
          <w:bCs/>
          <w:sz w:val="24"/>
          <w:szCs w:val="24"/>
          <w:lang w:val="en-US"/>
        </w:rPr>
        <w:t>of patients with nephropathy at baseline</w:t>
      </w:r>
      <w:r w:rsidR="004F4685">
        <w:rPr>
          <w:rFonts w:asciiTheme="majorBidi" w:hAnsiTheme="majorBidi"/>
          <w:b w:val="0"/>
          <w:bCs/>
          <w:sz w:val="24"/>
          <w:szCs w:val="24"/>
          <w:lang w:val="en-US"/>
        </w:rPr>
        <w:t xml:space="preserve"> and therefore should be seen as complementary</w:t>
      </w:r>
      <w:r w:rsidRPr="00072F05">
        <w:rPr>
          <w:rFonts w:asciiTheme="majorBidi" w:hAnsiTheme="majorBidi"/>
          <w:b w:val="0"/>
          <w:bCs/>
          <w:sz w:val="24"/>
          <w:szCs w:val="24"/>
          <w:lang w:val="en-US"/>
        </w:rPr>
        <w:t>.</w:t>
      </w:r>
    </w:p>
    <w:p w14:paraId="180AF2CC" w14:textId="77777777" w:rsidR="00072F05" w:rsidRDefault="00072F05" w:rsidP="001D40A9">
      <w:pPr>
        <w:pStyle w:val="Heading2"/>
        <w:spacing w:line="360" w:lineRule="auto"/>
        <w:contextualSpacing/>
        <w:rPr>
          <w:rFonts w:asciiTheme="majorBidi" w:hAnsiTheme="majorBidi"/>
          <w:sz w:val="24"/>
          <w:szCs w:val="24"/>
          <w:u w:val="single"/>
          <w:lang w:val="en-US"/>
        </w:rPr>
      </w:pPr>
    </w:p>
    <w:p w14:paraId="77114A1B" w14:textId="77777777" w:rsidR="00072F05" w:rsidRDefault="00072F05" w:rsidP="001D40A9">
      <w:pPr>
        <w:pStyle w:val="Heading2"/>
        <w:spacing w:line="360" w:lineRule="auto"/>
        <w:contextualSpacing/>
        <w:rPr>
          <w:rFonts w:asciiTheme="majorBidi" w:hAnsiTheme="majorBidi"/>
          <w:sz w:val="24"/>
          <w:szCs w:val="24"/>
          <w:u w:val="single"/>
          <w:lang w:val="en-US"/>
        </w:rPr>
      </w:pPr>
    </w:p>
    <w:p w14:paraId="6D54F161" w14:textId="77777777" w:rsidR="00072F05" w:rsidRDefault="00072F05" w:rsidP="001D40A9">
      <w:pPr>
        <w:pStyle w:val="Heading2"/>
        <w:spacing w:line="360" w:lineRule="auto"/>
        <w:contextualSpacing/>
        <w:rPr>
          <w:rFonts w:asciiTheme="majorBidi" w:hAnsiTheme="majorBidi"/>
          <w:sz w:val="24"/>
          <w:szCs w:val="24"/>
          <w:u w:val="single"/>
          <w:lang w:val="en-US"/>
        </w:rPr>
      </w:pPr>
    </w:p>
    <w:p w14:paraId="6EBD14F1" w14:textId="77777777" w:rsidR="00072F05" w:rsidRDefault="00072F05" w:rsidP="001D40A9">
      <w:pPr>
        <w:pStyle w:val="Heading2"/>
        <w:spacing w:line="360" w:lineRule="auto"/>
        <w:contextualSpacing/>
        <w:rPr>
          <w:rFonts w:asciiTheme="majorBidi" w:hAnsiTheme="majorBidi"/>
          <w:sz w:val="24"/>
          <w:szCs w:val="24"/>
          <w:u w:val="single"/>
          <w:lang w:val="en-US"/>
        </w:rPr>
      </w:pPr>
    </w:p>
    <w:p w14:paraId="66D94162" w14:textId="77777777" w:rsidR="00072F05" w:rsidRDefault="00072F05" w:rsidP="001D40A9">
      <w:pPr>
        <w:pStyle w:val="Heading2"/>
        <w:spacing w:line="360" w:lineRule="auto"/>
        <w:contextualSpacing/>
        <w:rPr>
          <w:rFonts w:asciiTheme="majorBidi" w:hAnsiTheme="majorBidi"/>
          <w:sz w:val="24"/>
          <w:szCs w:val="24"/>
          <w:u w:val="single"/>
          <w:lang w:val="en-US"/>
        </w:rPr>
      </w:pPr>
    </w:p>
    <w:p w14:paraId="37AE32BB" w14:textId="77777777" w:rsidR="00072F05" w:rsidRDefault="00072F05" w:rsidP="001D40A9">
      <w:pPr>
        <w:pStyle w:val="Heading2"/>
        <w:spacing w:line="360" w:lineRule="auto"/>
        <w:contextualSpacing/>
        <w:rPr>
          <w:rFonts w:asciiTheme="majorBidi" w:hAnsiTheme="majorBidi"/>
          <w:sz w:val="24"/>
          <w:szCs w:val="24"/>
          <w:u w:val="single"/>
          <w:lang w:val="en-US"/>
        </w:rPr>
      </w:pPr>
    </w:p>
    <w:p w14:paraId="30DCF984" w14:textId="77777777" w:rsidR="00072F05" w:rsidRDefault="00072F05" w:rsidP="001D40A9">
      <w:pPr>
        <w:pStyle w:val="Heading2"/>
        <w:spacing w:line="360" w:lineRule="auto"/>
        <w:contextualSpacing/>
        <w:rPr>
          <w:rFonts w:asciiTheme="majorBidi" w:hAnsiTheme="majorBidi"/>
          <w:sz w:val="24"/>
          <w:szCs w:val="24"/>
          <w:u w:val="single"/>
          <w:lang w:val="en-US"/>
        </w:rPr>
      </w:pPr>
    </w:p>
    <w:p w14:paraId="285CFEAB" w14:textId="77777777" w:rsidR="00072F05" w:rsidRDefault="00072F05" w:rsidP="001D40A9">
      <w:pPr>
        <w:pStyle w:val="Heading2"/>
        <w:spacing w:line="360" w:lineRule="auto"/>
        <w:contextualSpacing/>
        <w:rPr>
          <w:rFonts w:asciiTheme="majorBidi" w:hAnsiTheme="majorBidi"/>
          <w:sz w:val="24"/>
          <w:szCs w:val="24"/>
          <w:u w:val="single"/>
          <w:lang w:val="en-US"/>
        </w:rPr>
      </w:pPr>
    </w:p>
    <w:p w14:paraId="12A2A510" w14:textId="77777777" w:rsidR="00072F05" w:rsidRDefault="00072F05" w:rsidP="001D40A9">
      <w:pPr>
        <w:pStyle w:val="Heading2"/>
        <w:spacing w:line="360" w:lineRule="auto"/>
        <w:contextualSpacing/>
        <w:rPr>
          <w:rFonts w:asciiTheme="majorBidi" w:hAnsiTheme="majorBidi"/>
          <w:sz w:val="24"/>
          <w:szCs w:val="24"/>
          <w:u w:val="single"/>
          <w:lang w:val="en-US"/>
        </w:rPr>
      </w:pPr>
    </w:p>
    <w:p w14:paraId="04A32079" w14:textId="77777777" w:rsidR="00072F05" w:rsidRDefault="00072F05" w:rsidP="001D40A9">
      <w:pPr>
        <w:pStyle w:val="Heading2"/>
        <w:spacing w:line="360" w:lineRule="auto"/>
        <w:contextualSpacing/>
        <w:rPr>
          <w:rFonts w:asciiTheme="majorBidi" w:hAnsiTheme="majorBidi"/>
          <w:sz w:val="24"/>
          <w:szCs w:val="24"/>
          <w:u w:val="single"/>
          <w:lang w:val="en-US"/>
        </w:rPr>
      </w:pPr>
    </w:p>
    <w:p w14:paraId="01216447" w14:textId="77777777" w:rsidR="00072F05" w:rsidRDefault="00072F05" w:rsidP="001D40A9">
      <w:pPr>
        <w:pStyle w:val="Heading2"/>
        <w:spacing w:line="360" w:lineRule="auto"/>
        <w:contextualSpacing/>
        <w:rPr>
          <w:rFonts w:asciiTheme="majorBidi" w:hAnsiTheme="majorBidi"/>
          <w:sz w:val="24"/>
          <w:szCs w:val="24"/>
          <w:u w:val="single"/>
          <w:lang w:val="en-US"/>
        </w:rPr>
      </w:pPr>
    </w:p>
    <w:p w14:paraId="3E30B4FD" w14:textId="7C890F0A" w:rsidR="00C55D7F" w:rsidRDefault="00C55D7F" w:rsidP="001D40A9">
      <w:pPr>
        <w:pStyle w:val="Heading2"/>
        <w:spacing w:line="360" w:lineRule="auto"/>
        <w:contextualSpacing/>
        <w:rPr>
          <w:rFonts w:asciiTheme="majorBidi" w:hAnsiTheme="majorBidi"/>
          <w:sz w:val="24"/>
          <w:szCs w:val="24"/>
          <w:u w:val="single"/>
          <w:lang w:val="en-US"/>
        </w:rPr>
      </w:pPr>
    </w:p>
    <w:p w14:paraId="0EE70A5B" w14:textId="3656E234" w:rsidR="001D40A9" w:rsidRPr="001D40A9" w:rsidRDefault="001D40A9" w:rsidP="001D40A9">
      <w:pPr>
        <w:pStyle w:val="Heading2"/>
        <w:spacing w:line="360" w:lineRule="auto"/>
        <w:contextualSpacing/>
        <w:rPr>
          <w:rFonts w:asciiTheme="majorBidi" w:hAnsiTheme="majorBidi"/>
          <w:sz w:val="24"/>
          <w:szCs w:val="24"/>
          <w:u w:val="single"/>
          <w:lang w:val="en-US"/>
        </w:rPr>
      </w:pPr>
      <w:r w:rsidRPr="001D40A9">
        <w:rPr>
          <w:rFonts w:asciiTheme="majorBidi" w:hAnsiTheme="majorBidi"/>
          <w:sz w:val="24"/>
          <w:szCs w:val="24"/>
          <w:u w:val="single"/>
          <w:lang w:val="en-US"/>
        </w:rPr>
        <w:t>Abstract:</w:t>
      </w:r>
    </w:p>
    <w:p w14:paraId="60E8B88A" w14:textId="6D01680D" w:rsidR="00D4468E" w:rsidRPr="001D40A9" w:rsidRDefault="00D4468E" w:rsidP="00D4468E">
      <w:pPr>
        <w:pStyle w:val="Heading2"/>
        <w:spacing w:line="360" w:lineRule="auto"/>
        <w:contextualSpacing/>
        <w:rPr>
          <w:rFonts w:asciiTheme="majorBidi" w:hAnsiTheme="majorBidi"/>
          <w:sz w:val="24"/>
          <w:szCs w:val="24"/>
          <w:rtl/>
          <w:lang w:val="en-GB" w:bidi="he-IL"/>
        </w:rPr>
      </w:pPr>
      <w:r w:rsidRPr="001D40A9">
        <w:rPr>
          <w:rFonts w:asciiTheme="majorBidi" w:hAnsiTheme="majorBidi"/>
          <w:sz w:val="24"/>
          <w:szCs w:val="24"/>
          <w:lang w:val="en-US"/>
        </w:rPr>
        <w:t>Background</w:t>
      </w:r>
    </w:p>
    <w:p w14:paraId="5AFC74E0" w14:textId="0527F7CB" w:rsidR="00D4468E" w:rsidRPr="001D40A9" w:rsidRDefault="00D4468E" w:rsidP="0003395A">
      <w:pPr>
        <w:spacing w:line="360" w:lineRule="auto"/>
        <w:contextualSpacing/>
        <w:jc w:val="both"/>
        <w:rPr>
          <w:rFonts w:asciiTheme="majorBidi" w:hAnsiTheme="majorBidi" w:cstheme="majorBidi"/>
          <w:sz w:val="24"/>
          <w:szCs w:val="24"/>
        </w:rPr>
      </w:pPr>
      <w:r>
        <w:rPr>
          <w:rFonts w:asciiTheme="majorBidi" w:hAnsiTheme="majorBidi" w:cstheme="majorBidi"/>
          <w:sz w:val="24"/>
          <w:szCs w:val="24"/>
        </w:rPr>
        <w:t>Sodium glucose co-transporter 2 inhibitors (</w:t>
      </w:r>
      <w:r w:rsidRPr="001D40A9">
        <w:rPr>
          <w:rFonts w:asciiTheme="majorBidi" w:hAnsiTheme="majorBidi" w:cstheme="majorBidi"/>
          <w:sz w:val="24"/>
          <w:szCs w:val="24"/>
        </w:rPr>
        <w:t>SGLT2i</w:t>
      </w:r>
      <w:r>
        <w:rPr>
          <w:rFonts w:asciiTheme="majorBidi" w:hAnsiTheme="majorBidi" w:cstheme="majorBidi"/>
          <w:sz w:val="24"/>
          <w:szCs w:val="24"/>
        </w:rPr>
        <w:t>)</w:t>
      </w:r>
      <w:r w:rsidRPr="001D40A9">
        <w:rPr>
          <w:rFonts w:asciiTheme="majorBidi" w:hAnsiTheme="majorBidi" w:cstheme="majorBidi"/>
          <w:sz w:val="24"/>
          <w:szCs w:val="24"/>
        </w:rPr>
        <w:t xml:space="preserve"> have </w:t>
      </w:r>
      <w:r w:rsidR="00E0523E">
        <w:rPr>
          <w:rFonts w:asciiTheme="majorBidi" w:hAnsiTheme="majorBidi" w:cstheme="majorBidi"/>
          <w:sz w:val="24"/>
          <w:szCs w:val="24"/>
        </w:rPr>
        <w:t xml:space="preserve">shown </w:t>
      </w:r>
      <w:r w:rsidRPr="001D40A9">
        <w:rPr>
          <w:rFonts w:asciiTheme="majorBidi" w:hAnsiTheme="majorBidi" w:cstheme="majorBidi"/>
          <w:sz w:val="24"/>
          <w:szCs w:val="24"/>
        </w:rPr>
        <w:t>beneficial effect</w:t>
      </w:r>
      <w:r>
        <w:rPr>
          <w:rFonts w:asciiTheme="majorBidi" w:hAnsiTheme="majorBidi" w:cstheme="majorBidi"/>
          <w:sz w:val="24"/>
          <w:szCs w:val="24"/>
        </w:rPr>
        <w:t>s</w:t>
      </w:r>
      <w:r w:rsidRPr="001D40A9">
        <w:rPr>
          <w:rFonts w:asciiTheme="majorBidi" w:hAnsiTheme="majorBidi" w:cstheme="majorBidi"/>
          <w:sz w:val="24"/>
          <w:szCs w:val="24"/>
        </w:rPr>
        <w:t xml:space="preserve"> on renal outcomes</w:t>
      </w:r>
      <w:r>
        <w:rPr>
          <w:rFonts w:asciiTheme="majorBidi" w:hAnsiTheme="majorBidi" w:cstheme="majorBidi"/>
          <w:sz w:val="24"/>
          <w:szCs w:val="24"/>
        </w:rPr>
        <w:t xml:space="preserve"> primarily in patients with established atherosclerotic cardiovascular disease (ASCVD). We report renal outcomes of treatment with dapagliflozin vs. placebo in the DECLARE-TIMI 58 trial which included patients with type 2 diabetes (T2D) primarily with preserved renal function and without ASCVD. </w:t>
      </w:r>
    </w:p>
    <w:p w14:paraId="221CA10D" w14:textId="77777777" w:rsidR="00D4468E" w:rsidRPr="001D40A9" w:rsidRDefault="00D4468E" w:rsidP="00D4468E">
      <w:pPr>
        <w:pStyle w:val="Heading2"/>
        <w:spacing w:line="360" w:lineRule="auto"/>
        <w:contextualSpacing/>
        <w:rPr>
          <w:rFonts w:asciiTheme="majorBidi" w:hAnsiTheme="majorBidi"/>
          <w:sz w:val="24"/>
          <w:szCs w:val="24"/>
          <w:lang w:val="en-US"/>
        </w:rPr>
      </w:pPr>
      <w:r w:rsidRPr="001D40A9">
        <w:rPr>
          <w:rFonts w:asciiTheme="majorBidi" w:hAnsiTheme="majorBidi"/>
          <w:sz w:val="24"/>
          <w:szCs w:val="24"/>
          <w:lang w:val="en-US"/>
        </w:rPr>
        <w:t>Methods</w:t>
      </w:r>
    </w:p>
    <w:p w14:paraId="3F5B23E0" w14:textId="5FD4FAE7" w:rsidR="00D4468E" w:rsidRPr="001D40A9" w:rsidRDefault="00D4468E" w:rsidP="00CC07E2">
      <w:pPr>
        <w:spacing w:line="360" w:lineRule="auto"/>
        <w:jc w:val="both"/>
        <w:rPr>
          <w:rFonts w:asciiTheme="majorBidi" w:hAnsiTheme="majorBidi" w:cstheme="majorBidi"/>
          <w:sz w:val="24"/>
          <w:szCs w:val="24"/>
        </w:rPr>
      </w:pPr>
      <w:r w:rsidRPr="001D40A9">
        <w:rPr>
          <w:rFonts w:asciiTheme="majorBidi" w:hAnsiTheme="majorBidi" w:cstheme="majorBidi"/>
          <w:sz w:val="24"/>
          <w:szCs w:val="24"/>
        </w:rPr>
        <w:t xml:space="preserve">DECLARE-TIMI 58 </w:t>
      </w:r>
      <w:r>
        <w:rPr>
          <w:rFonts w:asciiTheme="majorBidi" w:hAnsiTheme="majorBidi" w:cstheme="majorBidi"/>
          <w:sz w:val="24"/>
          <w:szCs w:val="24"/>
        </w:rPr>
        <w:t>enrolled patients with</w:t>
      </w:r>
      <w:r w:rsidRPr="001D40A9">
        <w:rPr>
          <w:rFonts w:asciiTheme="majorBidi" w:hAnsiTheme="majorBidi" w:cstheme="majorBidi"/>
          <w:sz w:val="24"/>
          <w:szCs w:val="24"/>
        </w:rPr>
        <w:t xml:space="preserve"> creatinine clearance of </w:t>
      </w:r>
      <w:r>
        <w:rPr>
          <w:rFonts w:asciiTheme="majorBidi" w:hAnsiTheme="majorBidi" w:cstheme="majorBidi"/>
          <w:sz w:val="24"/>
          <w:szCs w:val="24"/>
        </w:rPr>
        <w:t>≥</w:t>
      </w:r>
      <w:r w:rsidRPr="001D40A9">
        <w:rPr>
          <w:rFonts w:asciiTheme="majorBidi" w:hAnsiTheme="majorBidi" w:cstheme="majorBidi"/>
          <w:sz w:val="24"/>
          <w:szCs w:val="24"/>
        </w:rPr>
        <w:t>60 ml/min</w:t>
      </w:r>
      <w:r>
        <w:rPr>
          <w:rFonts w:asciiTheme="majorBidi" w:hAnsiTheme="majorBidi" w:cstheme="majorBidi"/>
          <w:sz w:val="24"/>
          <w:szCs w:val="24"/>
        </w:rPr>
        <w:t>,</w:t>
      </w:r>
      <w:r w:rsidRPr="001D40A9">
        <w:rPr>
          <w:rFonts w:asciiTheme="majorBidi" w:hAnsiTheme="majorBidi" w:cstheme="majorBidi"/>
          <w:sz w:val="24"/>
          <w:szCs w:val="24"/>
        </w:rPr>
        <w:t xml:space="preserve"> randomized to treatment with dapa</w:t>
      </w:r>
      <w:r>
        <w:rPr>
          <w:rFonts w:asciiTheme="majorBidi" w:hAnsiTheme="majorBidi" w:cstheme="majorBidi"/>
          <w:sz w:val="24"/>
          <w:szCs w:val="24"/>
        </w:rPr>
        <w:t>gliflozin</w:t>
      </w:r>
      <w:r w:rsidRPr="001D40A9">
        <w:rPr>
          <w:rFonts w:asciiTheme="majorBidi" w:hAnsiTheme="majorBidi" w:cstheme="majorBidi"/>
          <w:sz w:val="24"/>
          <w:szCs w:val="24"/>
        </w:rPr>
        <w:t xml:space="preserve"> 10 mg/day vs. placebo.</w:t>
      </w:r>
      <w:r>
        <w:rPr>
          <w:rFonts w:asciiTheme="majorBidi" w:hAnsiTheme="majorBidi" w:cstheme="majorBidi"/>
          <w:sz w:val="24"/>
          <w:szCs w:val="24"/>
        </w:rPr>
        <w:t xml:space="preserve"> The </w:t>
      </w:r>
      <w:r w:rsidRPr="001D40A9">
        <w:rPr>
          <w:rFonts w:asciiTheme="majorBidi" w:hAnsiTheme="majorBidi" w:cstheme="majorBidi"/>
          <w:sz w:val="24"/>
          <w:szCs w:val="24"/>
          <w:lang w:val="en-GB"/>
        </w:rPr>
        <w:t>p</w:t>
      </w:r>
      <w:r w:rsidRPr="001D40A9">
        <w:rPr>
          <w:rFonts w:asciiTheme="majorBidi" w:hAnsiTheme="majorBidi" w:cstheme="majorBidi"/>
          <w:sz w:val="24"/>
          <w:szCs w:val="24"/>
        </w:rPr>
        <w:t xml:space="preserve">re-specified primary composite renal outcome (PCRO) </w:t>
      </w:r>
      <w:r>
        <w:rPr>
          <w:rFonts w:asciiTheme="majorBidi" w:hAnsiTheme="majorBidi" w:cstheme="majorBidi"/>
          <w:sz w:val="24"/>
          <w:szCs w:val="24"/>
        </w:rPr>
        <w:t>was:</w:t>
      </w:r>
      <w:r w:rsidRPr="001D40A9">
        <w:rPr>
          <w:rFonts w:asciiTheme="majorBidi" w:hAnsiTheme="majorBidi" w:cstheme="majorBidi"/>
          <w:sz w:val="24"/>
          <w:szCs w:val="24"/>
        </w:rPr>
        <w:t xml:space="preserve"> sustained 40% eGFR decline to &lt; 60 ml/min/1.73m</w:t>
      </w:r>
      <w:r w:rsidRPr="001D40A9">
        <w:rPr>
          <w:rFonts w:asciiTheme="majorBidi" w:hAnsiTheme="majorBidi" w:cstheme="majorBidi"/>
          <w:sz w:val="24"/>
          <w:szCs w:val="24"/>
          <w:vertAlign w:val="superscript"/>
        </w:rPr>
        <w:t>2</w:t>
      </w:r>
      <w:r w:rsidRPr="001D40A9">
        <w:rPr>
          <w:rFonts w:asciiTheme="majorBidi" w:hAnsiTheme="majorBidi" w:cstheme="majorBidi"/>
          <w:sz w:val="24"/>
          <w:szCs w:val="24"/>
        </w:rPr>
        <w:t>, end-stage renal disease</w:t>
      </w:r>
      <w:r>
        <w:rPr>
          <w:rFonts w:asciiTheme="majorBidi" w:hAnsiTheme="majorBidi" w:cstheme="majorBidi"/>
          <w:sz w:val="24"/>
          <w:szCs w:val="24"/>
        </w:rPr>
        <w:t xml:space="preserve"> (ESRD)</w:t>
      </w:r>
      <w:r w:rsidRPr="001D40A9">
        <w:rPr>
          <w:rFonts w:asciiTheme="majorBidi" w:hAnsiTheme="majorBidi" w:cstheme="majorBidi"/>
          <w:sz w:val="24"/>
          <w:szCs w:val="24"/>
        </w:rPr>
        <w:t xml:space="preserve"> (defined as dialysis ≥90 days</w:t>
      </w:r>
      <w:r w:rsidR="002F7BEE">
        <w:rPr>
          <w:rFonts w:asciiTheme="majorBidi" w:hAnsiTheme="majorBidi" w:cstheme="majorBidi"/>
          <w:sz w:val="24"/>
          <w:szCs w:val="24"/>
        </w:rPr>
        <w:t>,</w:t>
      </w:r>
      <w:r w:rsidRPr="001D40A9">
        <w:rPr>
          <w:rFonts w:asciiTheme="majorBidi" w:hAnsiTheme="majorBidi" w:cstheme="majorBidi"/>
          <w:sz w:val="24"/>
          <w:szCs w:val="24"/>
        </w:rPr>
        <w:t xml:space="preserve"> kidney transplantation, confirmed sustained eGFR &lt;15ml/min/1.73 m</w:t>
      </w:r>
      <w:r w:rsidRPr="001D40A9">
        <w:rPr>
          <w:rFonts w:asciiTheme="majorBidi" w:hAnsiTheme="majorBidi" w:cstheme="majorBidi"/>
          <w:sz w:val="24"/>
          <w:szCs w:val="24"/>
          <w:vertAlign w:val="superscript"/>
        </w:rPr>
        <w:t>2</w:t>
      </w:r>
      <w:r w:rsidRPr="001D40A9">
        <w:rPr>
          <w:rFonts w:asciiTheme="majorBidi" w:hAnsiTheme="majorBidi" w:cstheme="majorBidi"/>
          <w:sz w:val="24"/>
          <w:szCs w:val="24"/>
        </w:rPr>
        <w:t xml:space="preserve">), or death from renal or cardiovascular causes; the same outcome without cardiovascular death was the secondary composite renal outcome (SCRO). </w:t>
      </w:r>
    </w:p>
    <w:p w14:paraId="267C0C0A" w14:textId="77777777" w:rsidR="00D4468E" w:rsidRPr="001D40A9" w:rsidRDefault="00D4468E" w:rsidP="00D4468E">
      <w:pPr>
        <w:pStyle w:val="Heading2"/>
        <w:tabs>
          <w:tab w:val="left" w:pos="1950"/>
        </w:tabs>
        <w:spacing w:line="360" w:lineRule="auto"/>
        <w:contextualSpacing/>
        <w:rPr>
          <w:rFonts w:asciiTheme="majorBidi" w:hAnsiTheme="majorBidi"/>
          <w:sz w:val="24"/>
          <w:szCs w:val="24"/>
          <w:lang w:val="en-US"/>
        </w:rPr>
      </w:pPr>
      <w:r w:rsidRPr="001D40A9">
        <w:rPr>
          <w:rFonts w:asciiTheme="majorBidi" w:hAnsiTheme="majorBidi"/>
          <w:sz w:val="24"/>
          <w:szCs w:val="24"/>
          <w:lang w:val="en-US"/>
        </w:rPr>
        <w:t>Results</w:t>
      </w:r>
    </w:p>
    <w:p w14:paraId="7FE68FEE" w14:textId="4BF8093D" w:rsidR="00D4468E" w:rsidRPr="001D40A9" w:rsidRDefault="00D4468E" w:rsidP="00D4468E">
      <w:pPr>
        <w:spacing w:line="360" w:lineRule="auto"/>
        <w:jc w:val="both"/>
        <w:rPr>
          <w:rFonts w:asciiTheme="majorBidi" w:hAnsiTheme="majorBidi" w:cstheme="majorBidi"/>
          <w:sz w:val="24"/>
          <w:szCs w:val="24"/>
        </w:rPr>
      </w:pPr>
      <w:r>
        <w:rPr>
          <w:rFonts w:asciiTheme="majorBidi" w:hAnsiTheme="majorBidi" w:cstheme="majorBidi"/>
          <w:sz w:val="24"/>
          <w:szCs w:val="24"/>
        </w:rPr>
        <w:t>Out</w:t>
      </w:r>
      <w:r w:rsidRPr="001D40A9">
        <w:rPr>
          <w:rFonts w:asciiTheme="majorBidi" w:hAnsiTheme="majorBidi" w:cstheme="majorBidi"/>
          <w:sz w:val="24"/>
          <w:szCs w:val="24"/>
        </w:rPr>
        <w:t xml:space="preserve"> of 17,160 subjects</w:t>
      </w:r>
      <w:r w:rsidR="00C028CC">
        <w:rPr>
          <w:rFonts w:asciiTheme="majorBidi" w:hAnsiTheme="majorBidi" w:cstheme="majorBidi"/>
          <w:sz w:val="24"/>
          <w:szCs w:val="24"/>
        </w:rPr>
        <w:t xml:space="preserve"> </w:t>
      </w:r>
      <w:r w:rsidR="000A3511">
        <w:rPr>
          <w:rFonts w:asciiTheme="majorBidi" w:hAnsiTheme="majorBidi" w:cstheme="majorBidi"/>
          <w:sz w:val="24"/>
          <w:szCs w:val="24"/>
        </w:rPr>
        <w:t>randomized</w:t>
      </w:r>
      <w:r>
        <w:rPr>
          <w:rFonts w:asciiTheme="majorBidi" w:hAnsiTheme="majorBidi" w:cstheme="majorBidi"/>
          <w:sz w:val="24"/>
          <w:szCs w:val="24"/>
        </w:rPr>
        <w:t>,</w:t>
      </w:r>
      <w:r w:rsidRPr="00D016ED">
        <w:rPr>
          <w:rFonts w:asciiTheme="majorBidi" w:hAnsiTheme="majorBidi" w:cstheme="majorBidi"/>
          <w:sz w:val="24"/>
          <w:szCs w:val="24"/>
        </w:rPr>
        <w:t xml:space="preserve"> </w:t>
      </w:r>
      <w:r w:rsidRPr="001D40A9">
        <w:rPr>
          <w:rFonts w:asciiTheme="majorBidi" w:hAnsiTheme="majorBidi" w:cstheme="majorBidi"/>
          <w:sz w:val="24"/>
          <w:szCs w:val="24"/>
        </w:rPr>
        <w:t xml:space="preserve">8,162 (47.6%) </w:t>
      </w:r>
      <w:r>
        <w:rPr>
          <w:rFonts w:asciiTheme="majorBidi" w:hAnsiTheme="majorBidi" w:cstheme="majorBidi"/>
          <w:sz w:val="24"/>
          <w:szCs w:val="24"/>
        </w:rPr>
        <w:t>had</w:t>
      </w:r>
      <w:r w:rsidRPr="001D40A9">
        <w:rPr>
          <w:rFonts w:asciiTheme="majorBidi" w:hAnsiTheme="majorBidi" w:cstheme="majorBidi"/>
          <w:sz w:val="24"/>
          <w:szCs w:val="24"/>
        </w:rPr>
        <w:t xml:space="preserve"> eGFR </w:t>
      </w:r>
      <w:r w:rsidRPr="001D40A9">
        <w:rPr>
          <w:rFonts w:asciiTheme="majorBidi" w:hAnsiTheme="majorBidi" w:cstheme="majorBidi"/>
          <w:sz w:val="24"/>
          <w:szCs w:val="24"/>
          <w:u w:val="single"/>
        </w:rPr>
        <w:t>&gt;</w:t>
      </w:r>
      <w:r w:rsidRPr="001D40A9">
        <w:rPr>
          <w:rFonts w:asciiTheme="majorBidi" w:hAnsiTheme="majorBidi" w:cstheme="majorBidi"/>
          <w:sz w:val="24"/>
          <w:szCs w:val="24"/>
        </w:rPr>
        <w:t xml:space="preserve">90, 7,732 (45.1%) </w:t>
      </w:r>
      <w:r>
        <w:rPr>
          <w:rFonts w:asciiTheme="majorBidi" w:hAnsiTheme="majorBidi" w:cstheme="majorBidi"/>
          <w:sz w:val="24"/>
          <w:szCs w:val="24"/>
        </w:rPr>
        <w:t>had</w:t>
      </w:r>
      <w:r w:rsidRPr="001D40A9">
        <w:rPr>
          <w:rFonts w:asciiTheme="majorBidi" w:hAnsiTheme="majorBidi" w:cstheme="majorBidi"/>
          <w:sz w:val="24"/>
          <w:szCs w:val="24"/>
        </w:rPr>
        <w:t xml:space="preserve"> eGFR 60</w:t>
      </w:r>
      <w:r>
        <w:rPr>
          <w:rFonts w:asciiTheme="majorBidi" w:hAnsiTheme="majorBidi" w:cstheme="majorBidi"/>
          <w:sz w:val="24"/>
          <w:szCs w:val="24"/>
        </w:rPr>
        <w:t>-</w:t>
      </w:r>
      <w:r w:rsidRPr="001D40A9">
        <w:rPr>
          <w:rFonts w:asciiTheme="majorBidi" w:hAnsiTheme="majorBidi" w:cstheme="majorBidi"/>
          <w:sz w:val="24"/>
          <w:szCs w:val="24"/>
        </w:rPr>
        <w:t>&lt;90</w:t>
      </w:r>
      <w:r w:rsidR="00152AC8">
        <w:rPr>
          <w:rFonts w:asciiTheme="majorBidi" w:hAnsiTheme="majorBidi" w:cstheme="majorBidi"/>
          <w:sz w:val="24"/>
          <w:szCs w:val="24"/>
        </w:rPr>
        <w:t xml:space="preserve"> and</w:t>
      </w:r>
      <w:r w:rsidRPr="001D40A9">
        <w:rPr>
          <w:rFonts w:asciiTheme="majorBidi" w:hAnsiTheme="majorBidi" w:cstheme="majorBidi"/>
          <w:sz w:val="24"/>
          <w:szCs w:val="24"/>
        </w:rPr>
        <w:t xml:space="preserve"> 1,265 (7.4%) </w:t>
      </w:r>
      <w:r>
        <w:rPr>
          <w:rFonts w:asciiTheme="majorBidi" w:hAnsiTheme="majorBidi" w:cstheme="majorBidi"/>
          <w:sz w:val="24"/>
          <w:szCs w:val="24"/>
        </w:rPr>
        <w:t>had</w:t>
      </w:r>
      <w:r w:rsidRPr="001D40A9">
        <w:rPr>
          <w:rFonts w:asciiTheme="majorBidi" w:hAnsiTheme="majorBidi" w:cstheme="majorBidi"/>
          <w:sz w:val="24"/>
          <w:szCs w:val="24"/>
        </w:rPr>
        <w:t xml:space="preserve"> eGFR &lt;60 ml/min/1.73m</w:t>
      </w:r>
      <w:r w:rsidRPr="001D40A9">
        <w:rPr>
          <w:rFonts w:asciiTheme="majorBidi" w:hAnsiTheme="majorBidi" w:cstheme="majorBidi"/>
          <w:sz w:val="24"/>
          <w:szCs w:val="24"/>
          <w:vertAlign w:val="superscript"/>
        </w:rPr>
        <w:t>2</w:t>
      </w:r>
      <w:r>
        <w:rPr>
          <w:rFonts w:asciiTheme="majorBidi" w:hAnsiTheme="majorBidi" w:cstheme="majorBidi"/>
          <w:sz w:val="24"/>
          <w:szCs w:val="24"/>
        </w:rPr>
        <w:t>,</w:t>
      </w:r>
      <w:r w:rsidRPr="001D40A9">
        <w:rPr>
          <w:rFonts w:asciiTheme="majorBidi" w:hAnsiTheme="majorBidi" w:cstheme="majorBidi"/>
          <w:sz w:val="24"/>
          <w:szCs w:val="24"/>
        </w:rPr>
        <w:t xml:space="preserve"> </w:t>
      </w:r>
      <w:r>
        <w:rPr>
          <w:rFonts w:asciiTheme="majorBidi" w:hAnsiTheme="majorBidi" w:cstheme="majorBidi"/>
          <w:sz w:val="24"/>
          <w:szCs w:val="24"/>
        </w:rPr>
        <w:t>median follow-up was 4.2 yrs.</w:t>
      </w:r>
    </w:p>
    <w:p w14:paraId="4B2C956C" w14:textId="1631E953" w:rsidR="00D4468E" w:rsidRPr="001D40A9" w:rsidRDefault="00D4468E" w:rsidP="000A426A">
      <w:pPr>
        <w:spacing w:line="360" w:lineRule="auto"/>
        <w:contextualSpacing/>
        <w:jc w:val="both"/>
        <w:rPr>
          <w:rFonts w:asciiTheme="majorBidi" w:hAnsiTheme="majorBidi" w:cstheme="majorBidi"/>
          <w:sz w:val="24"/>
          <w:szCs w:val="24"/>
        </w:rPr>
      </w:pPr>
      <w:r w:rsidRPr="001D40A9">
        <w:rPr>
          <w:rFonts w:asciiTheme="majorBidi" w:hAnsiTheme="majorBidi" w:cstheme="majorBidi"/>
          <w:sz w:val="24"/>
          <w:szCs w:val="24"/>
        </w:rPr>
        <w:t>PCRO occurred in 370 (4.3%) vs. 480 (5.6%) in dapa</w:t>
      </w:r>
      <w:r>
        <w:rPr>
          <w:rFonts w:asciiTheme="majorBidi" w:hAnsiTheme="majorBidi" w:cstheme="majorBidi"/>
          <w:sz w:val="24"/>
          <w:szCs w:val="24"/>
        </w:rPr>
        <w:t>gliflozin</w:t>
      </w:r>
      <w:r w:rsidRPr="001D40A9">
        <w:rPr>
          <w:rFonts w:asciiTheme="majorBidi" w:hAnsiTheme="majorBidi" w:cstheme="majorBidi"/>
          <w:sz w:val="24"/>
          <w:szCs w:val="24"/>
        </w:rPr>
        <w:t xml:space="preserve"> and placebo arms</w:t>
      </w:r>
      <w:r>
        <w:rPr>
          <w:rFonts w:asciiTheme="majorBidi" w:hAnsiTheme="majorBidi" w:cstheme="majorBidi"/>
          <w:sz w:val="24"/>
          <w:szCs w:val="24"/>
        </w:rPr>
        <w:t>,</w:t>
      </w:r>
      <w:r w:rsidRPr="001D40A9">
        <w:rPr>
          <w:rFonts w:asciiTheme="majorBidi" w:hAnsiTheme="majorBidi" w:cstheme="majorBidi"/>
          <w:sz w:val="24"/>
          <w:szCs w:val="24"/>
        </w:rPr>
        <w:t xml:space="preserve"> </w:t>
      </w:r>
      <w:r>
        <w:rPr>
          <w:rFonts w:asciiTheme="majorBidi" w:hAnsiTheme="majorBidi" w:cstheme="majorBidi"/>
          <w:sz w:val="24"/>
          <w:szCs w:val="24"/>
        </w:rPr>
        <w:t>respectively</w:t>
      </w:r>
      <w:r w:rsidRPr="001D40A9">
        <w:rPr>
          <w:rFonts w:asciiTheme="majorBidi" w:hAnsiTheme="majorBidi" w:cstheme="majorBidi"/>
          <w:sz w:val="24"/>
          <w:szCs w:val="24"/>
        </w:rPr>
        <w:t xml:space="preserve"> [HR 0.76 (0.67, 0.87) p&lt;0.001]. SCRO </w:t>
      </w:r>
      <w:r>
        <w:rPr>
          <w:rFonts w:asciiTheme="majorBidi" w:hAnsiTheme="majorBidi" w:cstheme="majorBidi"/>
          <w:sz w:val="24"/>
          <w:szCs w:val="24"/>
        </w:rPr>
        <w:t>occurred in 127 (1.5%)</w:t>
      </w:r>
      <w:r w:rsidRPr="001D40A9">
        <w:rPr>
          <w:rFonts w:asciiTheme="majorBidi" w:hAnsiTheme="majorBidi" w:cstheme="majorBidi"/>
          <w:sz w:val="24"/>
          <w:szCs w:val="24"/>
        </w:rPr>
        <w:t xml:space="preserve"> vs. </w:t>
      </w:r>
      <w:r>
        <w:rPr>
          <w:rFonts w:asciiTheme="majorBidi" w:hAnsiTheme="majorBidi" w:cstheme="majorBidi"/>
          <w:sz w:val="24"/>
          <w:szCs w:val="24"/>
        </w:rPr>
        <w:t>238 (2.8%)</w:t>
      </w:r>
      <w:r w:rsidRPr="001D40A9">
        <w:rPr>
          <w:rFonts w:asciiTheme="majorBidi" w:hAnsiTheme="majorBidi" w:cstheme="majorBidi"/>
          <w:sz w:val="24"/>
          <w:szCs w:val="24"/>
        </w:rPr>
        <w:t xml:space="preserve"> in dapa</w:t>
      </w:r>
      <w:r>
        <w:rPr>
          <w:rFonts w:asciiTheme="majorBidi" w:hAnsiTheme="majorBidi" w:cstheme="majorBidi"/>
          <w:sz w:val="24"/>
          <w:szCs w:val="24"/>
        </w:rPr>
        <w:t>gliflozin</w:t>
      </w:r>
      <w:r w:rsidRPr="001D40A9">
        <w:rPr>
          <w:rFonts w:asciiTheme="majorBidi" w:hAnsiTheme="majorBidi" w:cstheme="majorBidi"/>
          <w:sz w:val="24"/>
          <w:szCs w:val="24"/>
        </w:rPr>
        <w:t xml:space="preserve"> and placebo arms</w:t>
      </w:r>
      <w:r>
        <w:rPr>
          <w:rFonts w:asciiTheme="majorBidi" w:hAnsiTheme="majorBidi" w:cstheme="majorBidi"/>
          <w:sz w:val="24"/>
          <w:szCs w:val="24"/>
        </w:rPr>
        <w:t xml:space="preserve">, </w:t>
      </w:r>
      <w:r w:rsidRPr="001D40A9">
        <w:rPr>
          <w:rFonts w:asciiTheme="majorBidi" w:hAnsiTheme="majorBidi" w:cstheme="majorBidi"/>
          <w:sz w:val="24"/>
          <w:szCs w:val="24"/>
        </w:rPr>
        <w:t>[HR 0.53 (0.43 to 0.66)</w:t>
      </w:r>
      <w:r>
        <w:rPr>
          <w:rFonts w:asciiTheme="majorBidi" w:hAnsiTheme="majorBidi" w:cstheme="majorBidi"/>
          <w:sz w:val="24"/>
          <w:szCs w:val="24"/>
        </w:rPr>
        <w:t xml:space="preserve"> p&lt;0.001</w:t>
      </w:r>
      <w:r w:rsidRPr="001D40A9">
        <w:rPr>
          <w:rFonts w:asciiTheme="majorBidi" w:hAnsiTheme="majorBidi" w:cstheme="majorBidi"/>
          <w:sz w:val="24"/>
          <w:szCs w:val="24"/>
        </w:rPr>
        <w:t xml:space="preserve">]. These </w:t>
      </w:r>
      <w:bookmarkStart w:id="1" w:name="_Hlk6946954"/>
      <w:r w:rsidRPr="001D40A9">
        <w:rPr>
          <w:rFonts w:asciiTheme="majorBidi" w:hAnsiTheme="majorBidi" w:cstheme="majorBidi"/>
          <w:sz w:val="24"/>
          <w:szCs w:val="24"/>
        </w:rPr>
        <w:t xml:space="preserve">differences </w:t>
      </w:r>
      <w:r w:rsidR="00D250AC">
        <w:rPr>
          <w:rFonts w:asciiTheme="majorBidi" w:hAnsiTheme="majorBidi" w:cstheme="majorBidi"/>
          <w:sz w:val="24"/>
          <w:szCs w:val="24"/>
        </w:rPr>
        <w:t xml:space="preserve">included a </w:t>
      </w:r>
      <w:bookmarkEnd w:id="1"/>
      <w:r w:rsidR="00D250AC">
        <w:rPr>
          <w:rFonts w:asciiTheme="majorBidi" w:hAnsiTheme="majorBidi" w:cstheme="majorBidi"/>
          <w:sz w:val="24"/>
          <w:szCs w:val="24"/>
        </w:rPr>
        <w:t xml:space="preserve">46% </w:t>
      </w:r>
      <w:r w:rsidRPr="001D40A9">
        <w:rPr>
          <w:rFonts w:asciiTheme="majorBidi" w:hAnsiTheme="majorBidi" w:cstheme="majorBidi"/>
          <w:sz w:val="24"/>
          <w:szCs w:val="24"/>
        </w:rPr>
        <w:t>reduction in sustained 40% eGFR decline to &lt; 60 ml/min/1.73m</w:t>
      </w:r>
      <w:r w:rsidRPr="001D40A9">
        <w:rPr>
          <w:rFonts w:asciiTheme="majorBidi" w:hAnsiTheme="majorBidi" w:cstheme="majorBidi"/>
          <w:sz w:val="24"/>
          <w:szCs w:val="24"/>
          <w:vertAlign w:val="superscript"/>
        </w:rPr>
        <w:t>2</w:t>
      </w:r>
      <w:r w:rsidRPr="001D40A9">
        <w:rPr>
          <w:rFonts w:asciiTheme="majorBidi" w:hAnsiTheme="majorBidi" w:cstheme="majorBidi"/>
          <w:sz w:val="24"/>
          <w:szCs w:val="24"/>
        </w:rPr>
        <w:t>: 120 (1.4%) vs. 221 (2.6%) in dapa</w:t>
      </w:r>
      <w:r>
        <w:rPr>
          <w:rFonts w:asciiTheme="majorBidi" w:hAnsiTheme="majorBidi" w:cstheme="majorBidi"/>
          <w:sz w:val="24"/>
          <w:szCs w:val="24"/>
        </w:rPr>
        <w:t>gliflozin</w:t>
      </w:r>
      <w:r w:rsidRPr="001D40A9">
        <w:rPr>
          <w:rFonts w:asciiTheme="majorBidi" w:hAnsiTheme="majorBidi" w:cstheme="majorBidi"/>
          <w:sz w:val="24"/>
          <w:szCs w:val="24"/>
        </w:rPr>
        <w:t xml:space="preserve"> and placebo arms [HR 0.54 (0.43, 0.67) p&lt;0.001]. </w:t>
      </w:r>
      <w:r>
        <w:rPr>
          <w:rFonts w:asciiTheme="majorBidi" w:hAnsiTheme="majorBidi" w:cstheme="majorBidi"/>
          <w:color w:val="212121"/>
          <w:sz w:val="24"/>
          <w:szCs w:val="24"/>
        </w:rPr>
        <w:t>Although rare, t</w:t>
      </w:r>
      <w:r w:rsidRPr="001D40A9">
        <w:rPr>
          <w:rFonts w:asciiTheme="majorBidi" w:hAnsiTheme="majorBidi" w:cstheme="majorBidi"/>
          <w:color w:val="212121"/>
          <w:sz w:val="24"/>
          <w:szCs w:val="24"/>
        </w:rPr>
        <w:t xml:space="preserve">here </w:t>
      </w:r>
      <w:r>
        <w:rPr>
          <w:rFonts w:asciiTheme="majorBidi" w:hAnsiTheme="majorBidi" w:cstheme="majorBidi"/>
          <w:color w:val="212121"/>
          <w:sz w:val="24"/>
          <w:szCs w:val="24"/>
        </w:rPr>
        <w:t>were</w:t>
      </w:r>
      <w:r w:rsidRPr="001D40A9">
        <w:rPr>
          <w:rFonts w:asciiTheme="majorBidi" w:hAnsiTheme="majorBidi" w:cstheme="majorBidi"/>
          <w:color w:val="212121"/>
          <w:sz w:val="24"/>
          <w:szCs w:val="24"/>
        </w:rPr>
        <w:t xml:space="preserve"> lower rate</w:t>
      </w:r>
      <w:r>
        <w:rPr>
          <w:rFonts w:asciiTheme="majorBidi" w:hAnsiTheme="majorBidi" w:cstheme="majorBidi"/>
          <w:color w:val="212121"/>
          <w:sz w:val="24"/>
          <w:szCs w:val="24"/>
        </w:rPr>
        <w:t>s</w:t>
      </w:r>
      <w:r w:rsidRPr="001D40A9">
        <w:rPr>
          <w:rFonts w:asciiTheme="majorBidi" w:hAnsiTheme="majorBidi" w:cstheme="majorBidi"/>
          <w:color w:val="212121"/>
          <w:sz w:val="24"/>
          <w:szCs w:val="24"/>
        </w:rPr>
        <w:t xml:space="preserve"> of ESRD</w:t>
      </w:r>
      <w:r w:rsidR="000A426A">
        <w:rPr>
          <w:rFonts w:asciiTheme="majorBidi" w:hAnsiTheme="majorBidi" w:cstheme="majorBidi"/>
          <w:color w:val="212121"/>
          <w:sz w:val="24"/>
          <w:szCs w:val="24"/>
        </w:rPr>
        <w:t xml:space="preserve"> and renal death</w:t>
      </w:r>
      <w:r w:rsidRPr="001D40A9">
        <w:rPr>
          <w:rFonts w:asciiTheme="majorBidi" w:hAnsiTheme="majorBidi" w:cstheme="majorBidi"/>
          <w:color w:val="212121"/>
          <w:sz w:val="24"/>
          <w:szCs w:val="24"/>
        </w:rPr>
        <w:t>:</w:t>
      </w:r>
      <w:r w:rsidRPr="001D40A9">
        <w:rPr>
          <w:rFonts w:asciiTheme="majorBidi" w:hAnsiTheme="majorBidi" w:cstheme="majorBidi"/>
          <w:sz w:val="24"/>
          <w:szCs w:val="24"/>
        </w:rPr>
        <w:t xml:space="preserve"> </w:t>
      </w:r>
      <w:r w:rsidR="000A426A">
        <w:rPr>
          <w:rFonts w:asciiTheme="majorBidi" w:hAnsiTheme="majorBidi" w:cstheme="majorBidi"/>
          <w:sz w:val="24"/>
          <w:szCs w:val="24"/>
        </w:rPr>
        <w:t>11</w:t>
      </w:r>
      <w:r w:rsidR="000A426A" w:rsidRPr="001D40A9">
        <w:rPr>
          <w:rFonts w:asciiTheme="majorBidi" w:hAnsiTheme="majorBidi" w:cstheme="majorBidi"/>
          <w:sz w:val="24"/>
          <w:szCs w:val="24"/>
        </w:rPr>
        <w:t xml:space="preserve"> </w:t>
      </w:r>
      <w:r w:rsidRPr="001D40A9">
        <w:rPr>
          <w:rFonts w:asciiTheme="majorBidi" w:hAnsiTheme="majorBidi" w:cstheme="majorBidi"/>
          <w:sz w:val="24"/>
          <w:szCs w:val="24"/>
        </w:rPr>
        <w:t xml:space="preserve">(0.1%) vs. </w:t>
      </w:r>
      <w:r w:rsidR="000A426A">
        <w:rPr>
          <w:rFonts w:asciiTheme="majorBidi" w:hAnsiTheme="majorBidi" w:cstheme="majorBidi"/>
          <w:sz w:val="24"/>
          <w:szCs w:val="24"/>
        </w:rPr>
        <w:t>27</w:t>
      </w:r>
      <w:r w:rsidR="000A426A" w:rsidRPr="001D40A9">
        <w:rPr>
          <w:rFonts w:asciiTheme="majorBidi" w:hAnsiTheme="majorBidi" w:cstheme="majorBidi"/>
          <w:sz w:val="24"/>
          <w:szCs w:val="24"/>
        </w:rPr>
        <w:t xml:space="preserve"> </w:t>
      </w:r>
      <w:r w:rsidRPr="001D40A9">
        <w:rPr>
          <w:rFonts w:asciiTheme="majorBidi" w:hAnsiTheme="majorBidi" w:cstheme="majorBidi"/>
          <w:sz w:val="24"/>
          <w:szCs w:val="24"/>
        </w:rPr>
        <w:t>(0.</w:t>
      </w:r>
      <w:r w:rsidR="000A426A">
        <w:rPr>
          <w:rFonts w:asciiTheme="majorBidi" w:hAnsiTheme="majorBidi" w:cstheme="majorBidi"/>
          <w:sz w:val="24"/>
          <w:szCs w:val="24"/>
        </w:rPr>
        <w:t>3</w:t>
      </w:r>
      <w:r w:rsidRPr="001D40A9">
        <w:rPr>
          <w:rFonts w:asciiTheme="majorBidi" w:hAnsiTheme="majorBidi" w:cstheme="majorBidi"/>
          <w:sz w:val="24"/>
          <w:szCs w:val="24"/>
        </w:rPr>
        <w:t>%) in dapa</w:t>
      </w:r>
      <w:r>
        <w:rPr>
          <w:rFonts w:asciiTheme="majorBidi" w:hAnsiTheme="majorBidi" w:cstheme="majorBidi"/>
          <w:sz w:val="24"/>
          <w:szCs w:val="24"/>
        </w:rPr>
        <w:t>gliflozin</w:t>
      </w:r>
      <w:r w:rsidRPr="001D40A9">
        <w:rPr>
          <w:rFonts w:asciiTheme="majorBidi" w:hAnsiTheme="majorBidi" w:cstheme="majorBidi"/>
          <w:sz w:val="24"/>
          <w:szCs w:val="24"/>
        </w:rPr>
        <w:t xml:space="preserve"> and placebo arms [HR 0.</w:t>
      </w:r>
      <w:r w:rsidR="000A426A">
        <w:rPr>
          <w:rFonts w:asciiTheme="majorBidi" w:hAnsiTheme="majorBidi" w:cstheme="majorBidi"/>
          <w:sz w:val="24"/>
          <w:szCs w:val="24"/>
        </w:rPr>
        <w:t>41</w:t>
      </w:r>
      <w:r w:rsidR="000A426A" w:rsidRPr="001D40A9">
        <w:rPr>
          <w:rFonts w:asciiTheme="majorBidi" w:hAnsiTheme="majorBidi" w:cstheme="majorBidi"/>
          <w:sz w:val="24"/>
          <w:szCs w:val="24"/>
        </w:rPr>
        <w:t xml:space="preserve"> </w:t>
      </w:r>
      <w:r w:rsidRPr="001D40A9">
        <w:rPr>
          <w:rFonts w:asciiTheme="majorBidi" w:hAnsiTheme="majorBidi" w:cstheme="majorBidi"/>
          <w:sz w:val="24"/>
          <w:szCs w:val="24"/>
        </w:rPr>
        <w:t>(0.</w:t>
      </w:r>
      <w:r w:rsidR="000A426A">
        <w:rPr>
          <w:rFonts w:asciiTheme="majorBidi" w:hAnsiTheme="majorBidi" w:cstheme="majorBidi"/>
          <w:sz w:val="24"/>
          <w:szCs w:val="24"/>
        </w:rPr>
        <w:t>20</w:t>
      </w:r>
      <w:r w:rsidRPr="001D40A9">
        <w:rPr>
          <w:rFonts w:asciiTheme="majorBidi" w:hAnsiTheme="majorBidi" w:cstheme="majorBidi"/>
          <w:sz w:val="24"/>
          <w:szCs w:val="24"/>
        </w:rPr>
        <w:t>, 0.</w:t>
      </w:r>
      <w:r w:rsidR="000A426A">
        <w:rPr>
          <w:rFonts w:asciiTheme="majorBidi" w:hAnsiTheme="majorBidi" w:cstheme="majorBidi"/>
          <w:sz w:val="24"/>
          <w:szCs w:val="24"/>
        </w:rPr>
        <w:t>82</w:t>
      </w:r>
      <w:r w:rsidRPr="001D40A9">
        <w:rPr>
          <w:rFonts w:asciiTheme="majorBidi" w:hAnsiTheme="majorBidi" w:cstheme="majorBidi"/>
          <w:sz w:val="24"/>
          <w:szCs w:val="24"/>
        </w:rPr>
        <w:t>) p=0.</w:t>
      </w:r>
      <w:r w:rsidR="000A426A" w:rsidRPr="001D40A9">
        <w:rPr>
          <w:rFonts w:asciiTheme="majorBidi" w:hAnsiTheme="majorBidi" w:cstheme="majorBidi"/>
          <w:sz w:val="24"/>
          <w:szCs w:val="24"/>
        </w:rPr>
        <w:t>01</w:t>
      </w:r>
      <w:r w:rsidR="000A426A">
        <w:rPr>
          <w:rFonts w:asciiTheme="majorBidi" w:hAnsiTheme="majorBidi" w:cstheme="majorBidi"/>
          <w:sz w:val="24"/>
          <w:szCs w:val="24"/>
        </w:rPr>
        <w:t>2</w:t>
      </w:r>
      <w:r w:rsidRPr="001D40A9">
        <w:rPr>
          <w:rFonts w:asciiTheme="majorBidi" w:hAnsiTheme="majorBidi" w:cstheme="majorBidi"/>
          <w:sz w:val="24"/>
          <w:szCs w:val="24"/>
        </w:rPr>
        <w:t>]. Acute kidney injury was less common in dapa</w:t>
      </w:r>
      <w:r>
        <w:rPr>
          <w:rFonts w:asciiTheme="majorBidi" w:hAnsiTheme="majorBidi" w:cstheme="majorBidi"/>
          <w:sz w:val="24"/>
          <w:szCs w:val="24"/>
        </w:rPr>
        <w:t>gliflozin</w:t>
      </w:r>
      <w:r w:rsidRPr="001D40A9">
        <w:rPr>
          <w:rFonts w:asciiTheme="majorBidi" w:hAnsiTheme="majorBidi" w:cstheme="majorBidi"/>
          <w:sz w:val="24"/>
          <w:szCs w:val="24"/>
        </w:rPr>
        <w:t xml:space="preserve"> (1.5%) </w:t>
      </w:r>
      <w:r>
        <w:rPr>
          <w:rFonts w:asciiTheme="majorBidi" w:hAnsiTheme="majorBidi" w:cstheme="majorBidi"/>
          <w:sz w:val="24"/>
          <w:szCs w:val="24"/>
        </w:rPr>
        <w:t>vs.</w:t>
      </w:r>
      <w:r w:rsidRPr="001D40A9">
        <w:rPr>
          <w:rFonts w:asciiTheme="majorBidi" w:hAnsiTheme="majorBidi" w:cstheme="majorBidi"/>
          <w:sz w:val="24"/>
          <w:szCs w:val="24"/>
        </w:rPr>
        <w:t xml:space="preserve"> placebo arm (2.0%) (p=0.002). </w:t>
      </w:r>
    </w:p>
    <w:p w14:paraId="086D22BC" w14:textId="77777777" w:rsidR="00D4468E" w:rsidRPr="001D40A9" w:rsidRDefault="00D4468E" w:rsidP="00D4468E">
      <w:pPr>
        <w:spacing w:line="360" w:lineRule="auto"/>
        <w:contextualSpacing/>
        <w:jc w:val="both"/>
        <w:rPr>
          <w:rFonts w:asciiTheme="majorBidi" w:hAnsiTheme="majorBidi" w:cstheme="majorBidi"/>
          <w:b/>
          <w:bCs/>
          <w:sz w:val="24"/>
          <w:szCs w:val="24"/>
        </w:rPr>
      </w:pPr>
    </w:p>
    <w:p w14:paraId="41672C85" w14:textId="77777777" w:rsidR="00ED49B4" w:rsidRDefault="00ED49B4" w:rsidP="00D4468E">
      <w:pPr>
        <w:spacing w:line="360" w:lineRule="auto"/>
        <w:contextualSpacing/>
        <w:jc w:val="both"/>
        <w:rPr>
          <w:rFonts w:asciiTheme="majorBidi" w:hAnsiTheme="majorBidi" w:cstheme="majorBidi"/>
          <w:b/>
          <w:bCs/>
          <w:sz w:val="24"/>
          <w:szCs w:val="24"/>
        </w:rPr>
      </w:pPr>
    </w:p>
    <w:p w14:paraId="5DDA393F" w14:textId="77777777" w:rsidR="00D4468E" w:rsidRPr="001D40A9" w:rsidRDefault="00D4468E" w:rsidP="00D4468E">
      <w:pPr>
        <w:spacing w:line="360" w:lineRule="auto"/>
        <w:contextualSpacing/>
        <w:jc w:val="both"/>
        <w:rPr>
          <w:rFonts w:asciiTheme="majorBidi" w:hAnsiTheme="majorBidi" w:cstheme="majorBidi"/>
          <w:sz w:val="24"/>
          <w:szCs w:val="24"/>
        </w:rPr>
      </w:pPr>
      <w:r w:rsidRPr="001D40A9">
        <w:rPr>
          <w:rFonts w:asciiTheme="majorBidi" w:hAnsiTheme="majorBidi" w:cstheme="majorBidi"/>
          <w:b/>
          <w:bCs/>
          <w:sz w:val="24"/>
          <w:szCs w:val="24"/>
        </w:rPr>
        <w:lastRenderedPageBreak/>
        <w:t>Conclusion</w:t>
      </w:r>
      <w:r w:rsidRPr="001D40A9">
        <w:rPr>
          <w:rFonts w:asciiTheme="majorBidi" w:hAnsiTheme="majorBidi" w:cstheme="majorBidi"/>
          <w:sz w:val="24"/>
          <w:szCs w:val="24"/>
        </w:rPr>
        <w:t xml:space="preserve"> </w:t>
      </w:r>
    </w:p>
    <w:p w14:paraId="17D31382" w14:textId="77777777" w:rsidR="00D4468E" w:rsidRDefault="00D4468E" w:rsidP="009F6970">
      <w:pPr>
        <w:spacing w:line="360" w:lineRule="auto"/>
      </w:pPr>
      <w:r>
        <w:rPr>
          <w:rFonts w:asciiTheme="majorBidi" w:hAnsiTheme="majorBidi" w:cstheme="majorBidi"/>
          <w:sz w:val="24"/>
          <w:szCs w:val="24"/>
        </w:rPr>
        <w:t>D</w:t>
      </w:r>
      <w:r w:rsidRPr="001D40A9">
        <w:rPr>
          <w:rFonts w:asciiTheme="majorBidi" w:hAnsiTheme="majorBidi" w:cstheme="majorBidi"/>
          <w:sz w:val="24"/>
          <w:szCs w:val="24"/>
        </w:rPr>
        <w:t>apa</w:t>
      </w:r>
      <w:r>
        <w:rPr>
          <w:rFonts w:asciiTheme="majorBidi" w:hAnsiTheme="majorBidi" w:cstheme="majorBidi"/>
          <w:sz w:val="24"/>
          <w:szCs w:val="24"/>
        </w:rPr>
        <w:t>gliflozin</w:t>
      </w:r>
      <w:r w:rsidRPr="001D40A9">
        <w:rPr>
          <w:rFonts w:asciiTheme="majorBidi" w:hAnsiTheme="majorBidi" w:cstheme="majorBidi"/>
          <w:sz w:val="24"/>
          <w:szCs w:val="24"/>
        </w:rPr>
        <w:t xml:space="preserve"> </w:t>
      </w:r>
      <w:r>
        <w:rPr>
          <w:rFonts w:asciiTheme="majorBidi" w:hAnsiTheme="majorBidi" w:cstheme="majorBidi"/>
          <w:sz w:val="24"/>
          <w:szCs w:val="24"/>
        </w:rPr>
        <w:t xml:space="preserve">appeared to prevent and </w:t>
      </w:r>
      <w:r w:rsidRPr="001D40A9">
        <w:rPr>
          <w:rFonts w:asciiTheme="majorBidi" w:hAnsiTheme="majorBidi" w:cstheme="majorBidi"/>
          <w:sz w:val="24"/>
          <w:szCs w:val="24"/>
        </w:rPr>
        <w:t xml:space="preserve">reduce progression of kidney disease </w:t>
      </w:r>
      <w:r>
        <w:rPr>
          <w:rFonts w:asciiTheme="majorBidi" w:hAnsiTheme="majorBidi" w:cstheme="majorBidi"/>
          <w:sz w:val="24"/>
          <w:szCs w:val="24"/>
        </w:rPr>
        <w:t>compared to</w:t>
      </w:r>
      <w:r w:rsidRPr="001D40A9">
        <w:rPr>
          <w:rFonts w:asciiTheme="majorBidi" w:hAnsiTheme="majorBidi" w:cstheme="majorBidi"/>
          <w:sz w:val="24"/>
          <w:szCs w:val="24"/>
        </w:rPr>
        <w:t xml:space="preserve"> placebo.  </w:t>
      </w:r>
      <w:r>
        <w:rPr>
          <w:rFonts w:asciiTheme="majorBidi" w:hAnsiTheme="majorBidi" w:cstheme="majorBidi"/>
          <w:sz w:val="24"/>
          <w:szCs w:val="24"/>
        </w:rPr>
        <w:t>This was demonstrated i</w:t>
      </w:r>
      <w:r w:rsidRPr="001D40A9">
        <w:rPr>
          <w:rFonts w:asciiTheme="majorBidi" w:hAnsiTheme="majorBidi" w:cstheme="majorBidi"/>
          <w:sz w:val="24"/>
          <w:szCs w:val="24"/>
        </w:rPr>
        <w:t xml:space="preserve">n a large and </w:t>
      </w:r>
      <w:r>
        <w:rPr>
          <w:rFonts w:asciiTheme="majorBidi" w:hAnsiTheme="majorBidi" w:cstheme="majorBidi"/>
          <w:sz w:val="24"/>
          <w:szCs w:val="24"/>
        </w:rPr>
        <w:t>broad</w:t>
      </w:r>
      <w:r w:rsidRPr="001D40A9">
        <w:rPr>
          <w:rFonts w:asciiTheme="majorBidi" w:hAnsiTheme="majorBidi" w:cstheme="majorBidi"/>
          <w:sz w:val="24"/>
          <w:szCs w:val="24"/>
        </w:rPr>
        <w:t xml:space="preserve"> population of patients with T2D</w:t>
      </w:r>
      <w:r>
        <w:rPr>
          <w:rFonts w:asciiTheme="majorBidi" w:hAnsiTheme="majorBidi" w:cstheme="majorBidi"/>
          <w:sz w:val="24"/>
          <w:szCs w:val="24"/>
        </w:rPr>
        <w:t>,</w:t>
      </w:r>
      <w:r w:rsidRPr="001D40A9">
        <w:rPr>
          <w:rFonts w:asciiTheme="majorBidi" w:hAnsiTheme="majorBidi" w:cstheme="majorBidi"/>
          <w:sz w:val="24"/>
          <w:szCs w:val="24"/>
        </w:rPr>
        <w:t xml:space="preserve"> </w:t>
      </w:r>
      <w:r>
        <w:rPr>
          <w:rFonts w:asciiTheme="majorBidi" w:hAnsiTheme="majorBidi" w:cstheme="majorBidi"/>
          <w:sz w:val="24"/>
          <w:szCs w:val="24"/>
        </w:rPr>
        <w:t>most of them without ASCVD</w:t>
      </w:r>
      <w:r w:rsidRPr="001D40A9">
        <w:rPr>
          <w:rFonts w:asciiTheme="majorBidi" w:hAnsiTheme="majorBidi" w:cstheme="majorBidi"/>
          <w:sz w:val="24"/>
          <w:szCs w:val="24"/>
        </w:rPr>
        <w:t xml:space="preserve"> </w:t>
      </w:r>
      <w:r>
        <w:rPr>
          <w:rFonts w:asciiTheme="majorBidi" w:hAnsiTheme="majorBidi" w:cstheme="majorBidi"/>
          <w:sz w:val="24"/>
          <w:szCs w:val="24"/>
        </w:rPr>
        <w:t>and with</w:t>
      </w:r>
      <w:r w:rsidRPr="001D40A9">
        <w:rPr>
          <w:rFonts w:asciiTheme="majorBidi" w:hAnsiTheme="majorBidi" w:cstheme="majorBidi"/>
          <w:sz w:val="24"/>
          <w:szCs w:val="24"/>
        </w:rPr>
        <w:t xml:space="preserve"> preserved renal function</w:t>
      </w:r>
      <w:r>
        <w:t>.</w:t>
      </w:r>
    </w:p>
    <w:p w14:paraId="3A90D283" w14:textId="77777777" w:rsidR="00D4468E" w:rsidRPr="001D40A9" w:rsidRDefault="00D4468E" w:rsidP="00DE213C">
      <w:pPr>
        <w:spacing w:line="360" w:lineRule="auto"/>
        <w:contextualSpacing/>
        <w:jc w:val="both"/>
        <w:rPr>
          <w:rFonts w:asciiTheme="majorBidi" w:hAnsiTheme="majorBidi" w:cstheme="majorBidi"/>
          <w:sz w:val="24"/>
          <w:szCs w:val="24"/>
        </w:rPr>
      </w:pPr>
    </w:p>
    <w:p w14:paraId="7F282909" w14:textId="77777777" w:rsidR="009F6970" w:rsidRDefault="009F6970" w:rsidP="009F6970">
      <w:pPr>
        <w:rPr>
          <w:rFonts w:ascii="Calibri" w:hAnsi="Calibri" w:cs="Calibri"/>
          <w:color w:val="1F497D"/>
          <w:lang w:val="en"/>
        </w:rPr>
      </w:pPr>
      <w:r>
        <w:rPr>
          <w:color w:val="4D4D4D"/>
          <w:lang w:val="en"/>
        </w:rPr>
        <w:t xml:space="preserve">Funded by AstraZeneca; DECLARE–TIMI 58 ClinicalTrials.gov number, </w:t>
      </w:r>
      <w:hyperlink r:id="rId8" w:tgtFrame="_blank" w:history="1">
        <w:r>
          <w:rPr>
            <w:rStyle w:val="Hyperlink"/>
            <w:lang w:val="en"/>
          </w:rPr>
          <w:t>NCT01730534</w:t>
        </w:r>
      </w:hyperlink>
      <w:r>
        <w:rPr>
          <w:color w:val="4D4D4D"/>
          <w:lang w:val="en"/>
        </w:rPr>
        <w:t>.</w:t>
      </w:r>
    </w:p>
    <w:p w14:paraId="42BB4511" w14:textId="77777777" w:rsidR="009F6970" w:rsidRDefault="009F6970" w:rsidP="009F6970">
      <w:pPr>
        <w:rPr>
          <w:rFonts w:ascii="Calibri" w:hAnsi="Calibri" w:cs="Calibri"/>
          <w:color w:val="1F497D"/>
        </w:rPr>
      </w:pPr>
    </w:p>
    <w:p w14:paraId="4462529E" w14:textId="77777777" w:rsidR="00EF60C6" w:rsidRPr="001D40A9" w:rsidRDefault="00EF60C6" w:rsidP="001D40A9">
      <w:pPr>
        <w:jc w:val="both"/>
        <w:rPr>
          <w:rFonts w:asciiTheme="majorBidi" w:hAnsiTheme="majorBidi" w:cstheme="majorBidi"/>
          <w:b/>
          <w:bCs/>
          <w:sz w:val="24"/>
          <w:szCs w:val="24"/>
        </w:rPr>
      </w:pPr>
    </w:p>
    <w:p w14:paraId="0B085F54" w14:textId="77777777" w:rsidR="00EF60C6" w:rsidRPr="001D40A9" w:rsidRDefault="00EF60C6" w:rsidP="001D40A9">
      <w:pPr>
        <w:jc w:val="both"/>
        <w:rPr>
          <w:rFonts w:asciiTheme="majorBidi" w:hAnsiTheme="majorBidi" w:cstheme="majorBidi"/>
          <w:b/>
          <w:bCs/>
          <w:sz w:val="24"/>
          <w:szCs w:val="24"/>
        </w:rPr>
      </w:pPr>
    </w:p>
    <w:p w14:paraId="3EA77151" w14:textId="77777777" w:rsidR="00AE219B" w:rsidRDefault="00AE219B">
      <w:pPr>
        <w:rPr>
          <w:rFonts w:asciiTheme="majorBidi" w:hAnsiTheme="majorBidi" w:cstheme="majorBidi"/>
          <w:b/>
          <w:bCs/>
          <w:sz w:val="24"/>
          <w:szCs w:val="24"/>
        </w:rPr>
      </w:pPr>
    </w:p>
    <w:p w14:paraId="448CE7AE" w14:textId="77777777" w:rsidR="00AE219B" w:rsidRDefault="00AE219B">
      <w:pPr>
        <w:rPr>
          <w:rFonts w:asciiTheme="majorBidi" w:hAnsiTheme="majorBidi" w:cstheme="majorBidi"/>
          <w:b/>
          <w:bCs/>
          <w:sz w:val="24"/>
          <w:szCs w:val="24"/>
        </w:rPr>
      </w:pPr>
    </w:p>
    <w:p w14:paraId="735C0792" w14:textId="77777777" w:rsidR="00AE219B" w:rsidRDefault="00AE219B">
      <w:pPr>
        <w:rPr>
          <w:rFonts w:asciiTheme="majorBidi" w:hAnsiTheme="majorBidi" w:cstheme="majorBidi"/>
          <w:b/>
          <w:bCs/>
          <w:sz w:val="24"/>
          <w:szCs w:val="24"/>
        </w:rPr>
      </w:pPr>
    </w:p>
    <w:p w14:paraId="5FD3EC72" w14:textId="77777777" w:rsidR="00AE219B" w:rsidRDefault="00AE219B">
      <w:pPr>
        <w:rPr>
          <w:rFonts w:asciiTheme="majorBidi" w:hAnsiTheme="majorBidi" w:cstheme="majorBidi"/>
          <w:b/>
          <w:bCs/>
          <w:sz w:val="24"/>
          <w:szCs w:val="24"/>
        </w:rPr>
      </w:pPr>
    </w:p>
    <w:p w14:paraId="2CA65312" w14:textId="77777777" w:rsidR="00AE219B" w:rsidRDefault="00AE219B">
      <w:pPr>
        <w:rPr>
          <w:rFonts w:asciiTheme="majorBidi" w:hAnsiTheme="majorBidi" w:cstheme="majorBidi"/>
          <w:b/>
          <w:bCs/>
          <w:sz w:val="24"/>
          <w:szCs w:val="24"/>
        </w:rPr>
      </w:pPr>
    </w:p>
    <w:p w14:paraId="0530C45F" w14:textId="77777777" w:rsidR="00AE219B" w:rsidRDefault="00AE219B">
      <w:pPr>
        <w:rPr>
          <w:rFonts w:asciiTheme="majorBidi" w:hAnsiTheme="majorBidi" w:cstheme="majorBidi"/>
          <w:b/>
          <w:bCs/>
          <w:sz w:val="24"/>
          <w:szCs w:val="24"/>
        </w:rPr>
      </w:pPr>
    </w:p>
    <w:p w14:paraId="439E90A4" w14:textId="77777777" w:rsidR="00AE219B" w:rsidRDefault="00AE219B">
      <w:pPr>
        <w:rPr>
          <w:rFonts w:asciiTheme="majorBidi" w:hAnsiTheme="majorBidi" w:cstheme="majorBidi"/>
          <w:b/>
          <w:bCs/>
          <w:sz w:val="24"/>
          <w:szCs w:val="24"/>
        </w:rPr>
      </w:pPr>
    </w:p>
    <w:p w14:paraId="1FDD4A96" w14:textId="77777777" w:rsidR="00AE219B" w:rsidRDefault="00AE219B">
      <w:pPr>
        <w:rPr>
          <w:rFonts w:asciiTheme="majorBidi" w:hAnsiTheme="majorBidi" w:cstheme="majorBidi"/>
          <w:b/>
          <w:bCs/>
          <w:sz w:val="24"/>
          <w:szCs w:val="24"/>
        </w:rPr>
      </w:pPr>
    </w:p>
    <w:p w14:paraId="4B80FDD3" w14:textId="77777777" w:rsidR="00AE219B" w:rsidRDefault="00AE219B">
      <w:pPr>
        <w:rPr>
          <w:rFonts w:asciiTheme="majorBidi" w:hAnsiTheme="majorBidi" w:cstheme="majorBidi"/>
          <w:b/>
          <w:bCs/>
          <w:sz w:val="24"/>
          <w:szCs w:val="24"/>
        </w:rPr>
      </w:pPr>
    </w:p>
    <w:p w14:paraId="59AB5601" w14:textId="77777777" w:rsidR="00AE219B" w:rsidRDefault="00AE219B">
      <w:pPr>
        <w:rPr>
          <w:rFonts w:asciiTheme="majorBidi" w:hAnsiTheme="majorBidi" w:cstheme="majorBidi"/>
          <w:b/>
          <w:bCs/>
          <w:sz w:val="24"/>
          <w:szCs w:val="24"/>
        </w:rPr>
      </w:pPr>
    </w:p>
    <w:p w14:paraId="70501A57" w14:textId="77777777" w:rsidR="00AE219B" w:rsidRDefault="00AE219B">
      <w:pPr>
        <w:rPr>
          <w:rFonts w:asciiTheme="majorBidi" w:hAnsiTheme="majorBidi" w:cstheme="majorBidi"/>
          <w:b/>
          <w:bCs/>
          <w:sz w:val="24"/>
          <w:szCs w:val="24"/>
        </w:rPr>
      </w:pPr>
    </w:p>
    <w:p w14:paraId="06A381AE" w14:textId="77777777" w:rsidR="00AE219B" w:rsidRDefault="00AE219B">
      <w:pPr>
        <w:rPr>
          <w:rFonts w:asciiTheme="majorBidi" w:hAnsiTheme="majorBidi" w:cstheme="majorBidi"/>
          <w:b/>
          <w:bCs/>
          <w:sz w:val="24"/>
          <w:szCs w:val="24"/>
        </w:rPr>
      </w:pPr>
    </w:p>
    <w:p w14:paraId="65BA030C" w14:textId="77777777" w:rsidR="00AE219B" w:rsidRDefault="00AE219B">
      <w:pPr>
        <w:rPr>
          <w:rFonts w:asciiTheme="majorBidi" w:hAnsiTheme="majorBidi" w:cstheme="majorBidi"/>
          <w:b/>
          <w:bCs/>
          <w:sz w:val="24"/>
          <w:szCs w:val="24"/>
        </w:rPr>
      </w:pPr>
    </w:p>
    <w:p w14:paraId="0E6D66C3" w14:textId="77777777" w:rsidR="00AE219B" w:rsidRDefault="00AE219B">
      <w:pPr>
        <w:rPr>
          <w:rFonts w:asciiTheme="majorBidi" w:hAnsiTheme="majorBidi" w:cstheme="majorBidi"/>
          <w:b/>
          <w:bCs/>
          <w:sz w:val="24"/>
          <w:szCs w:val="24"/>
        </w:rPr>
      </w:pPr>
    </w:p>
    <w:p w14:paraId="62BFFBEB" w14:textId="77777777" w:rsidR="00AE219B" w:rsidRDefault="00AE219B">
      <w:pPr>
        <w:rPr>
          <w:rFonts w:asciiTheme="majorBidi" w:hAnsiTheme="majorBidi" w:cstheme="majorBidi"/>
          <w:b/>
          <w:bCs/>
          <w:sz w:val="24"/>
          <w:szCs w:val="24"/>
        </w:rPr>
      </w:pPr>
    </w:p>
    <w:p w14:paraId="29BCF68A" w14:textId="77777777" w:rsidR="00AE219B" w:rsidRDefault="00AE219B">
      <w:pPr>
        <w:rPr>
          <w:rFonts w:asciiTheme="majorBidi" w:hAnsiTheme="majorBidi" w:cstheme="majorBidi"/>
          <w:b/>
          <w:bCs/>
          <w:sz w:val="24"/>
          <w:szCs w:val="24"/>
        </w:rPr>
      </w:pPr>
    </w:p>
    <w:p w14:paraId="3E06F9ED" w14:textId="77777777" w:rsidR="00AE219B" w:rsidRDefault="00AE219B">
      <w:pPr>
        <w:rPr>
          <w:rFonts w:asciiTheme="majorBidi" w:hAnsiTheme="majorBidi" w:cstheme="majorBidi"/>
          <w:b/>
          <w:bCs/>
          <w:sz w:val="24"/>
          <w:szCs w:val="24"/>
        </w:rPr>
      </w:pPr>
    </w:p>
    <w:p w14:paraId="4B1B44A2" w14:textId="77777777" w:rsidR="00AE219B" w:rsidRDefault="00AE219B">
      <w:pPr>
        <w:rPr>
          <w:rFonts w:asciiTheme="majorBidi" w:hAnsiTheme="majorBidi" w:cstheme="majorBidi"/>
          <w:b/>
          <w:bCs/>
          <w:sz w:val="24"/>
          <w:szCs w:val="24"/>
        </w:rPr>
      </w:pPr>
    </w:p>
    <w:p w14:paraId="50FD5097" w14:textId="77777777" w:rsidR="00AE219B" w:rsidRDefault="00AE219B">
      <w:pPr>
        <w:rPr>
          <w:rFonts w:asciiTheme="majorBidi" w:hAnsiTheme="majorBidi" w:cstheme="majorBidi"/>
          <w:b/>
          <w:bCs/>
          <w:sz w:val="24"/>
          <w:szCs w:val="24"/>
        </w:rPr>
      </w:pPr>
    </w:p>
    <w:p w14:paraId="0933FCA5" w14:textId="77777777" w:rsidR="00AE219B" w:rsidRDefault="00AE219B">
      <w:pPr>
        <w:rPr>
          <w:rFonts w:asciiTheme="majorBidi" w:hAnsiTheme="majorBidi" w:cstheme="majorBidi"/>
          <w:b/>
          <w:bCs/>
          <w:sz w:val="24"/>
          <w:szCs w:val="24"/>
        </w:rPr>
      </w:pPr>
    </w:p>
    <w:p w14:paraId="5B3DCA84" w14:textId="21099F60" w:rsidR="00194E1C" w:rsidRDefault="00F42BAE">
      <w:pPr>
        <w:rPr>
          <w:sz w:val="24"/>
          <w:szCs w:val="24"/>
        </w:rPr>
      </w:pPr>
      <w:r w:rsidRPr="001D40A9">
        <w:rPr>
          <w:rFonts w:asciiTheme="majorBidi" w:hAnsiTheme="majorBidi" w:cstheme="majorBidi"/>
          <w:b/>
          <w:bCs/>
          <w:sz w:val="24"/>
          <w:szCs w:val="24"/>
        </w:rPr>
        <w:t>Introduction</w:t>
      </w:r>
      <w:r w:rsidR="00194E1C" w:rsidRPr="001D40A9">
        <w:rPr>
          <w:rFonts w:asciiTheme="majorBidi" w:hAnsiTheme="majorBidi" w:cstheme="majorBidi"/>
          <w:b/>
          <w:bCs/>
          <w:sz w:val="24"/>
          <w:szCs w:val="24"/>
        </w:rPr>
        <w:t>:</w:t>
      </w:r>
    </w:p>
    <w:p w14:paraId="6C8F2236" w14:textId="6959E6CF" w:rsidR="00921572" w:rsidRDefault="00474E9C" w:rsidP="00B90562">
      <w:pPr>
        <w:pStyle w:val="Title1"/>
        <w:spacing w:before="0" w:beforeAutospacing="0" w:after="0" w:afterAutospacing="0" w:line="480" w:lineRule="auto"/>
        <w:jc w:val="both"/>
      </w:pPr>
      <w:r>
        <w:t xml:space="preserve">For many years the </w:t>
      </w:r>
      <w:r w:rsidR="002F29CD">
        <w:t>cornerstone</w:t>
      </w:r>
      <w:r>
        <w:t xml:space="preserve"> of treatment of diabetic kidney disease (DKD) </w:t>
      </w:r>
      <w:r w:rsidR="002F29CD">
        <w:t>consist</w:t>
      </w:r>
      <w:r w:rsidR="00251D48">
        <w:t>ed</w:t>
      </w:r>
      <w:r w:rsidR="002F29CD">
        <w:t xml:space="preserve"> of</w:t>
      </w:r>
      <w:r>
        <w:t xml:space="preserve"> angiotensin converting enzyme inhibitor</w:t>
      </w:r>
      <w:r w:rsidR="00D016ED">
        <w:t>s</w:t>
      </w:r>
      <w:r>
        <w:t xml:space="preserve"> (ACEi) or angiotensin receptor blocker</w:t>
      </w:r>
      <w:r w:rsidR="00D016ED">
        <w:t>s</w:t>
      </w:r>
      <w:r>
        <w:t xml:space="preserve"> (ARB)</w:t>
      </w:r>
      <w:r w:rsidR="00F73DA8">
        <w:fldChar w:fldCharType="begin" w:fldLock="1"/>
      </w:r>
      <w:r w:rsidR="005B1A91">
        <w:instrText>ADDIN CSL_CITATION {"citationItems":[{"id":"ITEM-1","itemData":{"DOI":"10.1038/nrneph.2013.251","ISSN":"1759-5061","PMID":"24296623","abstract":"The renin-angiotensin-aldosterone system (RAAS) has a key role in the regulation of blood pressure, sodium and water balance, and cardiovascular and renal homeostasis. In diabetic nephropathy, excessive activation of the RAAS results in progressive renal damage. RAAS blockade using angiotensin-converting-enzyme inhibitors or angiotensin-receptor blockers is the cornerstone of treatment of diabetic renal disease. Alternative RAAS-blockade strategies include renin inhibition and aldosterone blockade. Data from small initial studies of these agents are promising. However, single-agent interventions do not fully block the RAAS and patients treated with these therapies remain at high residual renal risk. Approaches to optimize drug responses include dietary changes and increasing dosages. The theoretically attractive option of combining different RAAS interventions has also been tested in clinical trials but long-term outcomes were disappointing. However, dual RAAS blockade might represent a good therapeutic option for specific patients. A better knowledge of the pathophysiology of the RAAS is crucial to fully understand the mechanisms of action of RAAS blockers and to exploit their renoprotective effects. Moreover, lifestyle interventions or diagnostic tools might be used to optimize RAAS blockade and identify those patients who are most likely to benefit from the therapy.","author":[{"dropping-particle":"","family":"Roscioni","given":"Sara S.","non-dropping-particle":"","parse-names":false,"suffix":""},{"dropping-particle":"","family":"Heerspink","given":"Hiddo J. Lambers","non-dropping-particle":"","parse-names":false,"suffix":""},{"dropping-particle":"","family":"Zeeuw","given":"Dick","non-dropping-particle":"de","parse-names":false,"suffix":""}],"container-title":"Nature Reviews Nephrology","id":"ITEM-1","issue":"2","issued":{"date-parts":[["2014","2","3"]]},"page":"77-87","title":"The effect of RAAS blockade on the progression of diabetic nephropathy","type":"article-journal","volume":"10"},"uris":["http://www.mendeley.com/documents/?uuid=daa21ad2-27ab-3eeb-bb8d-00e0309191ca"]},{"id":"ITEM-2","itemData":{"DOI":"10.1038/ki.2014.128","ISSN":"1523-1755","PMID":"24786708","abstract":"The incidence and prevalence of diabetes mellitus (DM) continue to grow markedly throughout the world, due primarily to the increase in type 2 DM (T2DM). Although improvements in DM and hypertension management have reduced the proportion of diabetic individuals who develop chronic kidney disease (CKD) and progress to end-stage renal disease (ESRD), the sheer increase in people developing DM will have a major impact on dialysis and transplant needs. This KDIGO conference addressed a number of controversial areas in the management of DM patients with CKD, including aspects of screening for CKD with measurements of albuminuria and estimated glomerular filtration rate (eGFR); defining treatment outcomes; glycemic management in both those developing CKD and those with ESRD; hypertension goals and management, including blockers of the renin-angiotensin-aldosterone system; and lipid management.","author":[{"dropping-particle":"","family":"Molitch","given":"Mark E","non-dropping-particle":"","parse-names":false,"suffix":""},{"dropping-particle":"","family":"Adler","given":"Amanda I","non-dropping-particle":"","parse-names":false,"suffix":""},{"dropping-particle":"","family":"Flyvbjerg","given":"Allan","non-dropping-particle":"","parse-names":false,"suffix":""},{"dropping-particle":"","family":"Nelson","given":"Robert G","non-dropping-particle":"","parse-names":false,"suffix":""},{"dropping-particle":"","family":"So","given":"Wing-Yee","non-dropping-particle":"","parse-names":false,"suffix":""},{"dropping-particle":"","family":"Wanner","given":"Christoph","non-dropping-particle":"","parse-names":false,"suffix":""},{"dropping-particle":"","family":"Kasiske","given":"Bertram L","non-dropping-particle":"","parse-names":false,"suffix":""},{"dropping-particle":"","family":"Wheeler","given":"David C","non-dropping-particle":"","parse-names":false,"suffix":""},{"dropping-particle":"","family":"Zeeuw","given":"Dick","non-dropping-particle":"de","parse-names":false,"suffix":""},{"dropping-particle":"","family":"Mogensen","given":"Carl E","non-dropping-particle":"","parse-names":false,"suffix":""}],"container-title":"Kidney international","id":"ITEM-2","issue":"1","issued":{"date-parts":[["2015","1"]]},"page":"20-30","publisher":"NIH Public Access","title":"Diabetic kidney disease: a clinical update from Kidney Disease: Improving Global Outcomes.","type":"article-journal","volume":"87"},"uris":["http://www.mendeley.com/documents/?uuid=01a1ff0c-2da9-36e1-b173-bbbf40d0d847"]}],"mendeley":{"formattedCitation":"&lt;sup&gt;1,2&lt;/sup&gt;","plainTextFormattedCitation":"1,2","previouslyFormattedCitation":"&lt;sup&gt;1,2&lt;/sup&gt;"},"properties":{"noteIndex":0},"schema":"https://github.com/citation-style-language/schema/raw/master/csl-citation.json"}</w:instrText>
      </w:r>
      <w:r w:rsidR="00F73DA8">
        <w:fldChar w:fldCharType="separate"/>
      </w:r>
      <w:r w:rsidR="00F73DA8" w:rsidRPr="00F73DA8">
        <w:rPr>
          <w:noProof/>
          <w:vertAlign w:val="superscript"/>
        </w:rPr>
        <w:t>1,2</w:t>
      </w:r>
      <w:r w:rsidR="00F73DA8">
        <w:fldChar w:fldCharType="end"/>
      </w:r>
      <w:r w:rsidR="00960758">
        <w:t xml:space="preserve"> in combination with optimal </w:t>
      </w:r>
      <w:r w:rsidR="00D62334">
        <w:t xml:space="preserve">blood pressure and </w:t>
      </w:r>
      <w:r w:rsidR="00960758">
        <w:t>glucose control</w:t>
      </w:r>
      <w:r w:rsidR="00960758" w:rsidRPr="00960758">
        <w:rPr>
          <w:vertAlign w:val="superscript"/>
        </w:rPr>
        <w:t>3-5</w:t>
      </w:r>
      <w:r w:rsidR="00921572">
        <w:t>.</w:t>
      </w:r>
      <w:r w:rsidR="0068368B">
        <w:t xml:space="preserve"> </w:t>
      </w:r>
      <w:r w:rsidR="0013539D">
        <w:t>Early identification and</w:t>
      </w:r>
      <w:r w:rsidR="0013539D" w:rsidRPr="00623334">
        <w:t xml:space="preserve"> appropriate intervention</w:t>
      </w:r>
      <w:r w:rsidR="00623334">
        <w:t>s</w:t>
      </w:r>
      <w:r w:rsidR="0013539D" w:rsidRPr="00623334">
        <w:t xml:space="preserve"> </w:t>
      </w:r>
      <w:r w:rsidR="00623334">
        <w:t>are</w:t>
      </w:r>
      <w:r w:rsidR="0013539D" w:rsidRPr="00623334">
        <w:t xml:space="preserve"> more effective to prevent </w:t>
      </w:r>
      <w:r w:rsidR="00260654">
        <w:t>adve</w:t>
      </w:r>
      <w:r w:rsidR="00537FA9">
        <w:t>r</w:t>
      </w:r>
      <w:r w:rsidR="00260654">
        <w:t xml:space="preserve">se </w:t>
      </w:r>
      <w:r w:rsidR="0013539D" w:rsidRPr="00623334">
        <w:t>renal outcomes than late intervention</w:t>
      </w:r>
      <w:r w:rsidR="00C00554">
        <w:fldChar w:fldCharType="begin" w:fldLock="1"/>
      </w:r>
      <w:r w:rsidR="00B90562">
        <w:instrText>ADDIN CSL_CITATION {"citationItems":[{"id":"ITEM-1","itemData":{"DOI":"10.1111/dom.12583","ISSN":"14628902","author":[{"dropping-particle":"","family":"Schievink","given":"B.","non-dropping-particle":"","parse-names":false,"suffix":""},{"dropping-particle":"","family":"Kröpelin","given":"T.","non-dropping-particle":"","parse-names":false,"suffix":""},{"dropping-particle":"","family":"Mulder","given":"S.","non-dropping-particle":"","parse-names":false,"suffix":""},{"dropping-particle":"","family":"Parving","given":"H.-H.","non-dropping-particle":"","parse-names":false,"suffix":""},{"dropping-particle":"","family":"Remuzzi","given":"G.","non-dropping-particle":"","parse-names":false,"suffix":""},{"dropping-particle":"","family":"Dwyer","given":"J.","non-dropping-particle":"","parse-names":false,"suffix":""},{"dropping-particle":"","family":"Vemer","given":"P.","non-dropping-particle":"","parse-names":false,"suffix":""},{"dropping-particle":"","family":"Zeeuw","given":"D.","non-dropping-particle":"de","parse-names":false,"suffix":""},{"dropping-particle":"","family":"Lambers Heerspink","given":"H. J.","non-dropping-particle":"","parse-names":false,"suffix":""}],"container-title":"Diabetes, Obesity and Metabolism","id":"ITEM-1","issue":"1","issued":{"date-parts":[["2016","1","1"]]},"page":"64-71","publisher":"John Wiley &amp; Sons, Ltd (10.1111)","title":"Early renin-angiotensin system intervention is more beneficial than late intervention in delaying end-stage renal disease in patients with type 2 diabetes","type":"article-journal","volume":"18"},"uris":["http://www.mendeley.com/documents/?uuid=ddaa6ef5-3eed-387b-8c56-84ce3265342b"]}],"mendeley":{"formattedCitation":"&lt;sup&gt;3&lt;/sup&gt;","plainTextFormattedCitation":"3","previouslyFormattedCitation":"&lt;sup&gt;3&lt;/sup&gt;"},"properties":{"noteIndex":0},"schema":"https://github.com/citation-style-language/schema/raw/master/csl-citation.json"}</w:instrText>
      </w:r>
      <w:r w:rsidR="00C00554">
        <w:fldChar w:fldCharType="separate"/>
      </w:r>
      <w:r w:rsidR="00C00554" w:rsidRPr="00C00554">
        <w:rPr>
          <w:noProof/>
          <w:vertAlign w:val="superscript"/>
        </w:rPr>
        <w:t>3</w:t>
      </w:r>
      <w:r w:rsidR="00C00554">
        <w:fldChar w:fldCharType="end"/>
      </w:r>
      <w:r w:rsidR="0013539D">
        <w:t>.</w:t>
      </w:r>
      <w:r w:rsidR="00B7751B">
        <w:t xml:space="preserve"> </w:t>
      </w:r>
      <w:r w:rsidR="0013539D">
        <w:t>Despite treatment with ACEI/ARB, t</w:t>
      </w:r>
      <w:r w:rsidR="00034F01">
        <w:t>he residual risk for both adverse renal and cardiovascular outcome</w:t>
      </w:r>
      <w:r w:rsidR="00932BD1">
        <w:t xml:space="preserve">s amongst patients with </w:t>
      </w:r>
      <w:r w:rsidR="00A311E7">
        <w:t>T2D</w:t>
      </w:r>
      <w:r w:rsidR="00932BD1">
        <w:t xml:space="preserve"> compare</w:t>
      </w:r>
      <w:r w:rsidR="00ED428F">
        <w:t>d</w:t>
      </w:r>
      <w:r w:rsidR="00932BD1">
        <w:t xml:space="preserve"> to their </w:t>
      </w:r>
      <w:r w:rsidR="00C779DD">
        <w:t>non-diabetic</w:t>
      </w:r>
      <w:r w:rsidR="00932BD1">
        <w:t xml:space="preserve"> age and sex matched counterparts is </w:t>
      </w:r>
      <w:r w:rsidR="003F55D8">
        <w:t>high</w:t>
      </w:r>
      <w:r w:rsidR="003F55D8">
        <w:fldChar w:fldCharType="begin" w:fldLock="1"/>
      </w:r>
      <w:r w:rsidR="00B90562">
        <w:instrText>ADDIN CSL_CITATION {"citationItems":[{"id":"ITEM-1","itemData":{"DOI":"10.1001/jama.2011.861","ISSN":"0098-7484","PMID":"21693741","abstract":"CONTEXT Diabetes is the leading cause of kidney disease in the developed world. Over time, the prevalence of diabetic kidney disease (DKD) may increase due to the expanding size of the diabetes population or decrease due to the implementation of diabetes therapies. OBJECTIVE To define temporal changes in DKD prevalence in the United States. DESIGN, SETTING, AND PARTICIPANTS Cross-sectional analyses of the Third National Health and Nutrition Examination Survey (NHANES III) from 1988-1994 (N = 15,073), NHANES 1999-2004 (N = 13,045), and NHANES 2005-2008 (N = 9588). Participants with diabetes were defined by levels of hemoglobin A(1c) of 6.5% or greater, use of glucose-lowering medications, or both (n = 1431 in NHANES III; n = 1443 in NHANES 1999-2004; n = 1280 in NHANES 2005-2008). MAIN OUTCOME MEASURES Diabetic kidney disease was defined as diabetes with albuminuria (ratio of urine albumin to creatinine ≥30 mg/g), impaired glomerular filtration rate (&lt;60 mL/min/1.73 m(2) estimated using the Chronic Kidney Disease Epidemiology Collaboration formula), or both. Prevalence of albuminuria was adjusted to estimate persistent albuminuria. RESULTS The prevalence of DKD in the US population was 2.2% (95% confidence interval [CI], 1.8%-2.6%) in NHANES III, 2.8% (95% CI, 2.4%-3.1%) in NHANES 1999-2004, and 3.3% (95% CI, 2.8%-3.7%) in NHANES 2005-2008 (P &lt;.001 for trend). The prevalence of DKD increased in direct proportion to the prevalence of diabetes, without a change in the prevalence of DKD among those with diabetes. Among persons with diabetes, use of glucose-lowering medications increased from 56.2% (95% CI, 52.1%-60.4%) in NHANES III to 74.2% (95% CI, 70.4%-78.0%) in NHANES 2005-2008 (P &lt;.001); use of renin-angiotensin-aldosterone system inhibitors increased from 11.2% (95% CI, 9.0%-13.4%) to 40.6% (95% CI, 37.2%-43.9%), respectively (P &lt;.001); the prevalence of impaired glomerular filtration rate increased from 14.9% (95% CI, 12.1%-17.8%) to 17.7% (95% CI, 15.2%-20.2%), respectively (P = .03); and the prevalence of albuminuria decreased from 27.3% (95% CI, 22.0%-32.7%) to 23.7% (95% CI, 19.3%-28.0%), respectively, but this was not statistically significant (P = .07). CONCLUSIONS Prevalence of DKD in the United States increased from 1988 to 2008 in proportion to the prevalence of diabetes. Among persons with diabetes, prevalence of DKD was stable despite increased use of glucose-lowering medications and renin-angiotensin-aldosterone system inhibitors.","author":[{"dropping-particle":"","family":"Boer","given":"Ian H.","non-dropping-particle":"de","parse-names":false,"suffix":""},{"dropping-particle":"","family":"Rue","given":"Tessa C","non-dropping-particle":"","parse-names":false,"suffix":""},{"dropping-particle":"","family":"Hall","given":"Yoshio N","non-dropping-particle":"","parse-names":false,"suffix":""},{"dropping-particle":"","family":"Heagerty","given":"Patrick J","non-dropping-particle":"","parse-names":false,"suffix":""},{"dropping-particle":"","family":"Weiss","given":"Noel S","non-dropping-particle":"","parse-names":false,"suffix":""},{"dropping-particle":"","family":"Himmelfarb","given":"Jonathan","non-dropping-particle":"","parse-names":false,"suffix":""}],"container-title":"JAMA","id":"ITEM-1","issue":"24","issued":{"date-parts":[["2011","6","22"]]},"page":"2532","title":"Temporal Trends in the Prevalence of Diabetic Kidney Disease in the United States","type":"article-journal","volume":"305"},"uris":["http://www.mendeley.com/documents/?uuid=7a2d192b-3025-3f2c-9297-0bb368cad99d"]},{"id":"ITEM-2","itemData":{"DOI":"10.1681/ASN.2012070718","ISSN":"1046-6673","PMID":"23362314","abstract":"Type 2 diabetes associates with increased risk of mortality, but how kidney disease contributes to this mortality risk among individuals with type 2 diabetes is not completely understood. Here, we examined 10-year cumulative mortality by diabetes and kidney disease status for 15,046 participants in the Third National Health and Nutrition Examination Survey (NHANES III) by linking baseline data from NHANES III with the National Death Index. Kidney disease, defined as urinary albumin/creatinine ratio ≥30 mg/g and/or estimated GFR ≤60 ml/min per 1.73 m(2), was present in 9.4% and 42.3% of individuals without and with type 2 diabetes, respectively. Among people without diabetes or kidney disease (reference group), 10-year cumulative all-cause mortality was 7.7% (95% confidence interval [95% CI], 7.0%-8.3%), standardized to population age, sex, and race. Among individuals with diabetes but without kidney disease, standardized mortality was 11.5% (95% CI, 7.9%-15.2%), representing an absolute risk difference with the reference group of 3.9% (95% CI, 0.1%-7.7%), adjusted for demographics, and 3.4% (95% CI, -0.3% to 7.0%) when further adjusted for smoking, BP, and cholesterol. Among individuals with both diabetes and kidney disease, standardized mortality was 31.1% (95% CI, 24.7%-37.5%), representing an absolute risk difference with the reference group of 23.4% (95% CI, 17.0%-29.9%), adjusted for demographics, and 23.4% (95% CI, 17.2%-29.6%) when further adjusted. We observed similar patterns for cardiovascular and noncardiovascular mortality. In conclusion, those with kidney disease predominantly account for the increased mortality observed in type 2 diabetes.","author":[{"dropping-particle":"","family":"Afkarian","given":"M.","non-dropping-particle":"","parse-names":false,"suffix":""},{"dropping-particle":"","family":"Sachs","given":"M. C.","non-dropping-particle":"","parse-names":false,"suffix":""},{"dropping-particle":"","family":"Kestenbaum","given":"B.","non-dropping-particle":"","parse-names":false,"suffix":""},{"dropping-particle":"","family":"Hirsch","given":"I. B.","non-dropping-particle":"","parse-names":false,"suffix":""},{"dropping-particle":"","family":"Tuttle","given":"K. R.","non-dropping-particle":"","parse-names":false,"suffix":""},{"dropping-particle":"","family":"Himmelfarb","given":"J.","non-dropping-particle":"","parse-names":false,"suffix":""},{"dropping-particle":"","family":"Boer","given":"I. H.","non-dropping-particle":"de","parse-names":false,"suffix":""}],"container-title":"Journal of the American Society of Nephrology","id":"ITEM-2","issue":"2","issued":{"date-parts":[["2013","2","1"]]},"page":"302-308","title":"Kidney Disease and Increased Mortality Risk in Type 2 Diabetes","type":"article-journal","volume":"24"},"uris":["http://www.mendeley.com/documents/?uuid=b8e032cf-2f34-3216-9d9d-cb36b64d5b81"]}],"mendeley":{"formattedCitation":"&lt;sup&gt;4,5&lt;/sup&gt;","plainTextFormattedCitation":"4,5","previouslyFormattedCitation":"&lt;sup&gt;4,5&lt;/sup&gt;"},"properties":{"noteIndex":0},"schema":"https://github.com/citation-style-language/schema/raw/master/csl-citation.json"}</w:instrText>
      </w:r>
      <w:r w:rsidR="003F55D8">
        <w:fldChar w:fldCharType="separate"/>
      </w:r>
      <w:r w:rsidR="00C00554" w:rsidRPr="00C00554">
        <w:rPr>
          <w:noProof/>
          <w:vertAlign w:val="superscript"/>
        </w:rPr>
        <w:t>4,5</w:t>
      </w:r>
      <w:r w:rsidR="003F55D8">
        <w:fldChar w:fldCharType="end"/>
      </w:r>
      <w:r w:rsidR="00932BD1">
        <w:t xml:space="preserve"> and diabetes is </w:t>
      </w:r>
      <w:r w:rsidR="00ED428F">
        <w:t>still</w:t>
      </w:r>
      <w:r w:rsidR="00932BD1">
        <w:t xml:space="preserve"> the leading cause for ESRD in most parts of the world</w:t>
      </w:r>
      <w:r w:rsidR="00907F9A">
        <w:fldChar w:fldCharType="begin" w:fldLock="1"/>
      </w:r>
      <w:r w:rsidR="00B90562">
        <w:instrText>ADDIN CSL_CITATION {"citationItems":[{"id":"ITEM-1","itemData":{"DOI":"10.1016/S0140-6736(14)61601-9","ISSN":"01406736","PMID":"25777665","abstract":"BACKGROUND End-stage kidney disease is a leading cause of morbidity and mortality worldwide. Prevalence of the disease and worldwide use of renal replacement therapy (RRT) are expected to rise sharply in the next decade. We aimed to quantify estimates of this burden. METHODS We systematically searched Medline for observational studies and renal registries, and contacted national experts to obtain RRT prevalence data. We used Poisson regression to estimate the prevalence of RRT for countries without reported data. We estimated the gap between needed and actual RRT, and projected needs to 2030. FINDINGS In 2010, 2·618 million people received RRT worldwide. We estimated the number of patients needing RRT to be between 4·902 million (95% CI 4·438-5·431 million) in our conservative model and 9·701 million (8·544-11·021 million) in our high-estimate model, suggesting that at least 2·284 million people might have died prematurely because RRT could not be accessed. We noted the largest treatment gaps in low-income countries, particularly Asia (1·907 million people needing but not receiving RRT; conservative model) and Africa (432,000 people; conservative model). Worldwide use of RRT is projected to more than double to 5·439 million (3·899-7·640 million) people by 2030, with the most growth in Asia (0·968 million to a projected 2·162 million [1·571-3·014 million]). INTERPRETATION The large number of people receiving RRT and the substantial number without access to it show the need to both develop low-cost treatments and implement effective population-based prevention strategies. FUNDING Australian National Health and Medical Research Council.","author":[{"dropping-particle":"","family":"Liyanage","given":"Thaminda","non-dropping-particle":"","parse-names":false,"suffix":""},{"dropping-particle":"","family":"Ninomiya","given":"Toshiharu","non-dropping-particle":"","parse-names":false,"suffix":""},{"dropping-particle":"","family":"Jha","given":"Vivekanand","non-dropping-particle":"","parse-names":false,"suffix":""},{"dropping-particle":"","family":"Neal","given":"Bruce","non-dropping-particle":"","parse-names":false,"suffix":""},{"dropping-particle":"","family":"Patrice","given":"Halle Marie","non-dropping-particle":"","parse-names":false,"suffix":""},{"dropping-particle":"","family":"Okpechi","given":"Ikechi","non-dropping-particle":"","parse-names":false,"suffix":""},{"dropping-particle":"","family":"Zhao","given":"Ming-hui","non-dropping-particle":"","parse-names":false,"suffix":""},{"dropping-particle":"","family":"Lv","given":"Jicheng","non-dropping-particle":"","parse-names":false,"suffix":""},{"dropping-particle":"","family":"Garg","given":"Amit X","non-dropping-particle":"","parse-names":false,"suffix":""},{"dropping-particle":"","family":"Knight","given":"John","non-dropping-particle":"","parse-names":false,"suffix":""},{"dropping-particle":"","family":"Rodgers","given":"Anthony","non-dropping-particle":"","parse-names":false,"suffix":""},{"dropping-particle":"","family":"Gallagher","given":"Martin","non-dropping-particle":"","parse-names":false,"suffix":""},{"dropping-particle":"","family":"Kotwal","given":"Sradha","non-dropping-particle":"","parse-names":false,"suffix":""},{"dropping-particle":"","family":"Cass","given":"Alan","non-dropping-particle":"","parse-names":false,"suffix":""},{"dropping-particle":"","family":"Perkovic","given":"Vlado","non-dropping-particle":"","parse-names":false,"suffix":""}],"container-title":"The Lancet","id":"ITEM-1","issue":"9981","issued":{"date-parts":[["2015","5","16"]]},"page":"1975-1982","title":"Worldwide access to treatment for end-stage kidney disease: a systematic review","type":"article-journal","volume":"385"},"uris":["http://www.mendeley.com/documents/?uuid=8d887b02-21ef-3c08-8d38-7de91a0ace89"]},{"id":"ITEM-2","itemData":{"id":"ITEM-2","issued":{"date-parts":[["2016"]]},"title":"United States Renal Data System. 2016 USRDS annual data report: Epidemiology of kidney disease in the United States. National Institutes of Health, National Institute of Diabetes and Digestive and Kidney Diseases, Bethesda, MD, 2016.","type":"chapter"},"uris":["http://www.mendeley.com/documents/?uuid=cfc62d69-8e75-47b3-a68a-d4c78565d247"]}],"mendeley":{"formattedCitation":"&lt;sup&gt;6,7&lt;/sup&gt;","plainTextFormattedCitation":"6,7","previouslyFormattedCitation":"&lt;sup&gt;6,7&lt;/sup&gt;"},"properties":{"noteIndex":0},"schema":"https://github.com/citation-style-language/schema/raw/master/csl-citation.json"}</w:instrText>
      </w:r>
      <w:r w:rsidR="00907F9A">
        <w:fldChar w:fldCharType="separate"/>
      </w:r>
      <w:r w:rsidR="00C00554" w:rsidRPr="00C00554">
        <w:rPr>
          <w:noProof/>
          <w:vertAlign w:val="superscript"/>
        </w:rPr>
        <w:t>6,7</w:t>
      </w:r>
      <w:r w:rsidR="00907F9A">
        <w:fldChar w:fldCharType="end"/>
      </w:r>
      <w:r w:rsidR="00932BD1">
        <w:t xml:space="preserve">. </w:t>
      </w:r>
      <w:r w:rsidR="00994E3F">
        <w:t xml:space="preserve">Novel treatments are therefore desired to address the unmet </w:t>
      </w:r>
      <w:bookmarkStart w:id="2" w:name="_Hlk6950002"/>
      <w:r w:rsidR="00994E3F">
        <w:t>need</w:t>
      </w:r>
      <w:r w:rsidR="00537FA9">
        <w:t xml:space="preserve"> of both prevention and halting the progression of chronic kidney disease (CKD) amongst patients with T2D</w:t>
      </w:r>
      <w:bookmarkEnd w:id="2"/>
      <w:r w:rsidR="00994E3F">
        <w:t xml:space="preserve">. </w:t>
      </w:r>
    </w:p>
    <w:p w14:paraId="4A205FE9" w14:textId="55EAAC03" w:rsidR="005979ED" w:rsidRDefault="003C6905" w:rsidP="00D91880">
      <w:pPr>
        <w:pStyle w:val="Title2"/>
        <w:spacing w:before="0" w:beforeAutospacing="0" w:after="0" w:afterAutospacing="0" w:line="480" w:lineRule="auto"/>
        <w:jc w:val="both"/>
        <w:rPr>
          <w:rFonts w:asciiTheme="majorBidi" w:hAnsiTheme="majorBidi" w:cstheme="majorBidi"/>
        </w:rPr>
      </w:pPr>
      <w:r>
        <w:rPr>
          <w:rFonts w:asciiTheme="majorBidi" w:hAnsiTheme="majorBidi" w:cstheme="majorBidi"/>
        </w:rPr>
        <w:t xml:space="preserve">Sodium glucose co-transporter inhibitors (SGLT2i) are a newer class of drug that have been shown to decrease the rate of renal function decline in patients with type 2 diabetes and cardiovascular disease. </w:t>
      </w:r>
      <w:r w:rsidR="003B51BE" w:rsidRPr="009B34E3">
        <w:rPr>
          <w:rFonts w:asciiTheme="majorBidi" w:hAnsiTheme="majorBidi" w:cstheme="majorBidi"/>
        </w:rPr>
        <w:t>In</w:t>
      </w:r>
      <w:r w:rsidR="007C53C4" w:rsidRPr="008B0ACF">
        <w:rPr>
          <w:rFonts w:asciiTheme="majorBidi" w:hAnsiTheme="majorBidi" w:cstheme="majorBidi"/>
        </w:rPr>
        <w:t xml:space="preserve"> the EMPA-REG </w:t>
      </w:r>
      <w:r w:rsidR="003B51BE" w:rsidRPr="008B0ACF">
        <w:rPr>
          <w:rFonts w:asciiTheme="majorBidi" w:hAnsiTheme="majorBidi" w:cstheme="majorBidi"/>
        </w:rPr>
        <w:t>outcome</w:t>
      </w:r>
      <w:r w:rsidR="007C53C4" w:rsidRPr="008B0ACF">
        <w:rPr>
          <w:rFonts w:asciiTheme="majorBidi" w:hAnsiTheme="majorBidi" w:cstheme="majorBidi"/>
        </w:rPr>
        <w:t xml:space="preserve"> trial</w:t>
      </w:r>
      <w:r w:rsidR="00B043CE">
        <w:rPr>
          <w:rFonts w:asciiTheme="majorBidi" w:hAnsiTheme="majorBidi" w:cstheme="majorBidi"/>
        </w:rPr>
        <w:fldChar w:fldCharType="begin" w:fldLock="1"/>
      </w:r>
      <w:r w:rsidR="00B90562">
        <w:rPr>
          <w:rFonts w:asciiTheme="majorBidi" w:hAnsiTheme="majorBidi" w:cstheme="majorBidi"/>
        </w:rPr>
        <w:instrText>ADDIN CSL_CITATION {"citationItems":[{"id":"ITEM-1","itemData":{"DOI":"10.1056/NEJMoa1515920","ISSN":"0028-4793","abstract":"BackgroundDiabetes confers an increased risk of adverse cardiovascular and renal events. In the EMPA-REG OUTCOME trial, empagliflozin, a sodium–glucose cotransporter 2 inhibitor, reduced the risk of major adverse cardiovascular events in patients with type 2 diabetes at high risk for cardiovascular events. We wanted to determine the long-term renal effects of empagliflozin, an analysis that was a prespecified component of the secondary microvascular outcome of that trial. MethodsWe randomly assigned patients with type 2 diabetes and an estimated glomerular filtration rate of at least 30 ml per minute per 1.73 m2 of body-surface area to receive either empagliflozin (at a dose of 10 mg or 25 mg) or placebo once daily. Prespecified renal outcomes included incident or worsening nephropathy (progression to macroalbuminuria, doubling of the serum creatinine level, initiation of renal-replacement therapy, or death from renal disease) and incident albuminuria. ResultsIncident or worsening nephropathy occurred in ...","author":[{"dropping-particle":"","family":"Wanner","given":"Christoph","non-dropping-particle":"","parse-names":false,"suffix":""},{"dropping-particle":"","family":"Inzucchi","given":"Silvio E.","non-dropping-particle":"","parse-names":false,"suffix":""},{"dropping-particle":"","family":"Lachin","given":"John M.","non-dropping-particle":"","parse-names":false,"suffix":""},{"dropping-particle":"","family":"Fitchett","given":"David","non-dropping-particle":"","parse-names":false,"suffix":""},{"dropping-particle":"","family":"Eynatten","given":"Maximilian","non-dropping-particle":"von","parse-names":false,"suffix":""},{"dropping-particle":"","family":"Mattheus","given":"Michaela","non-dropping-particle":"","parse-names":false,"suffix":""},{"dropping-particle":"","family":"Johansen","given":"Odd Erik","non-dropping-particle":"","parse-names":false,"suffix":""},{"dropping-particle":"","family":"Woerle","given":"Hans J.","non-dropping-particle":"","parse-names":false,"suffix":""},{"dropping-particle":"","family":"Broedl","given":"Uli C.","non-dropping-particle":"","parse-names":false,"suffix":""},{"dropping-particle":"","family":"Zinman","given":"Bernard","non-dropping-particle":"","parse-names":false,"suffix":""}],"container-title":"New England Journal of Medicine","id":"ITEM-1","issue":"4","issued":{"date-parts":[["2016","7","28"]]},"page":"323-334","publisher":"Massachusetts Medical Society","title":"Empagliflozin and Progression of Kidney Disease in Type 2 Diabetes","type":"article-journal","volume":"375"},"uris":["http://www.mendeley.com/documents/?uuid=2e726255-f518-3ed0-a16b-5d9e8ac66e98"]}],"mendeley":{"formattedCitation":"&lt;sup&gt;8&lt;/sup&gt;","plainTextFormattedCitation":"8","previouslyFormattedCitation":"&lt;sup&gt;8&lt;/sup&gt;"},"properties":{"noteIndex":0},"schema":"https://github.com/citation-style-language/schema/raw/master/csl-citation.json"}</w:instrText>
      </w:r>
      <w:r w:rsidR="00B043CE">
        <w:rPr>
          <w:rFonts w:asciiTheme="majorBidi" w:hAnsiTheme="majorBidi" w:cstheme="majorBidi"/>
        </w:rPr>
        <w:fldChar w:fldCharType="separate"/>
      </w:r>
      <w:r w:rsidR="00C00554" w:rsidRPr="00C00554">
        <w:rPr>
          <w:rFonts w:asciiTheme="majorBidi" w:hAnsiTheme="majorBidi" w:cstheme="majorBidi"/>
          <w:noProof/>
          <w:vertAlign w:val="superscript"/>
        </w:rPr>
        <w:t>8</w:t>
      </w:r>
      <w:r w:rsidR="00B043CE">
        <w:rPr>
          <w:rFonts w:asciiTheme="majorBidi" w:hAnsiTheme="majorBidi" w:cstheme="majorBidi"/>
        </w:rPr>
        <w:fldChar w:fldCharType="end"/>
      </w:r>
      <w:r w:rsidR="00034F01" w:rsidRPr="008B0ACF">
        <w:rPr>
          <w:rFonts w:asciiTheme="majorBidi" w:hAnsiTheme="majorBidi" w:cstheme="majorBidi"/>
        </w:rPr>
        <w:t xml:space="preserve"> </w:t>
      </w:r>
      <w:r w:rsidR="0097257D">
        <w:rPr>
          <w:rFonts w:asciiTheme="majorBidi" w:hAnsiTheme="majorBidi" w:cstheme="majorBidi"/>
        </w:rPr>
        <w:t>t</w:t>
      </w:r>
      <w:r w:rsidR="00EC42ED" w:rsidRPr="008B0ACF">
        <w:rPr>
          <w:rFonts w:asciiTheme="majorBidi" w:hAnsiTheme="majorBidi" w:cstheme="majorBidi"/>
        </w:rPr>
        <w:t xml:space="preserve">reatment with </w:t>
      </w:r>
      <w:r>
        <w:rPr>
          <w:rFonts w:asciiTheme="majorBidi" w:hAnsiTheme="majorBidi" w:cstheme="majorBidi"/>
        </w:rPr>
        <w:t xml:space="preserve">the SGLT2i </w:t>
      </w:r>
      <w:r w:rsidR="00EC42ED" w:rsidRPr="008B0ACF">
        <w:rPr>
          <w:rFonts w:asciiTheme="majorBidi" w:hAnsiTheme="majorBidi" w:cstheme="majorBidi"/>
        </w:rPr>
        <w:t>empagliflozin</w:t>
      </w:r>
      <w:r w:rsidR="00F42BAE" w:rsidRPr="008B0ACF">
        <w:rPr>
          <w:rFonts w:asciiTheme="majorBidi" w:hAnsiTheme="majorBidi" w:cstheme="majorBidi"/>
        </w:rPr>
        <w:t xml:space="preserve"> </w:t>
      </w:r>
      <w:r w:rsidR="00EC42ED" w:rsidRPr="008B0ACF">
        <w:rPr>
          <w:rFonts w:asciiTheme="majorBidi" w:hAnsiTheme="majorBidi" w:cstheme="majorBidi"/>
        </w:rPr>
        <w:t>reduce</w:t>
      </w:r>
      <w:r w:rsidR="003B51BE">
        <w:rPr>
          <w:rFonts w:asciiTheme="majorBidi" w:hAnsiTheme="majorBidi" w:cstheme="majorBidi"/>
        </w:rPr>
        <w:t>d</w:t>
      </w:r>
      <w:r w:rsidR="00EC42ED" w:rsidRPr="008B0ACF">
        <w:rPr>
          <w:rFonts w:asciiTheme="majorBidi" w:hAnsiTheme="majorBidi" w:cstheme="majorBidi"/>
        </w:rPr>
        <w:t xml:space="preserve"> the risk of the primary</w:t>
      </w:r>
      <w:r w:rsidR="00DF3CEF">
        <w:rPr>
          <w:rFonts w:asciiTheme="majorBidi" w:hAnsiTheme="majorBidi" w:cstheme="majorBidi"/>
        </w:rPr>
        <w:t xml:space="preserve"> </w:t>
      </w:r>
      <w:r w:rsidR="00D91880">
        <w:rPr>
          <w:rFonts w:asciiTheme="majorBidi" w:hAnsiTheme="majorBidi" w:cstheme="majorBidi"/>
        </w:rPr>
        <w:t>composite</w:t>
      </w:r>
      <w:r w:rsidR="00D91880" w:rsidRPr="008B0ACF">
        <w:rPr>
          <w:rFonts w:asciiTheme="majorBidi" w:hAnsiTheme="majorBidi" w:cstheme="majorBidi"/>
        </w:rPr>
        <w:t xml:space="preserve"> </w:t>
      </w:r>
      <w:r w:rsidR="00EC42ED" w:rsidRPr="008B0ACF">
        <w:rPr>
          <w:rFonts w:asciiTheme="majorBidi" w:hAnsiTheme="majorBidi" w:cstheme="majorBidi"/>
        </w:rPr>
        <w:t>renal outcome</w:t>
      </w:r>
      <w:r w:rsidR="009005F3" w:rsidRPr="008B0ACF">
        <w:rPr>
          <w:rFonts w:asciiTheme="majorBidi" w:hAnsiTheme="majorBidi" w:cstheme="majorBidi"/>
        </w:rPr>
        <w:t xml:space="preserve"> by 39%.</w:t>
      </w:r>
      <w:r w:rsidR="00F42BAE" w:rsidRPr="008B0ACF">
        <w:rPr>
          <w:rFonts w:asciiTheme="majorBidi" w:hAnsiTheme="majorBidi" w:cstheme="majorBidi"/>
        </w:rPr>
        <w:t xml:space="preserve"> </w:t>
      </w:r>
      <w:r w:rsidR="00DF3CEF">
        <w:rPr>
          <w:rFonts w:asciiTheme="majorBidi" w:hAnsiTheme="majorBidi" w:cstheme="majorBidi"/>
        </w:rPr>
        <w:t>T</w:t>
      </w:r>
      <w:r w:rsidR="00C51788" w:rsidRPr="008B0ACF">
        <w:rPr>
          <w:rFonts w:asciiTheme="majorBidi" w:hAnsiTheme="majorBidi" w:cstheme="majorBidi"/>
        </w:rPr>
        <w:t xml:space="preserve">his reduction was </w:t>
      </w:r>
      <w:r w:rsidR="003B51BE">
        <w:rPr>
          <w:rFonts w:asciiTheme="majorBidi" w:hAnsiTheme="majorBidi" w:cstheme="majorBidi"/>
        </w:rPr>
        <w:t>demonstrated</w:t>
      </w:r>
      <w:r w:rsidR="00C51788" w:rsidRPr="008B0ACF">
        <w:rPr>
          <w:rFonts w:asciiTheme="majorBidi" w:hAnsiTheme="majorBidi" w:cstheme="majorBidi"/>
        </w:rPr>
        <w:t xml:space="preserve"> in </w:t>
      </w:r>
      <w:r w:rsidR="003B51BE">
        <w:rPr>
          <w:rFonts w:asciiTheme="majorBidi" w:hAnsiTheme="majorBidi" w:cstheme="majorBidi"/>
        </w:rPr>
        <w:t xml:space="preserve">a </w:t>
      </w:r>
      <w:r w:rsidR="00730526" w:rsidRPr="008B0ACF">
        <w:rPr>
          <w:rFonts w:asciiTheme="majorBidi" w:hAnsiTheme="majorBidi" w:cstheme="majorBidi"/>
        </w:rPr>
        <w:t>high-risk</w:t>
      </w:r>
      <w:r w:rsidR="00C51788" w:rsidRPr="008B0ACF">
        <w:rPr>
          <w:rFonts w:asciiTheme="majorBidi" w:hAnsiTheme="majorBidi" w:cstheme="majorBidi"/>
        </w:rPr>
        <w:t xml:space="preserve"> population of patients wh</w:t>
      </w:r>
      <w:r w:rsidR="003B51BE">
        <w:rPr>
          <w:rFonts w:asciiTheme="majorBidi" w:hAnsiTheme="majorBidi" w:cstheme="majorBidi"/>
        </w:rPr>
        <w:t>o</w:t>
      </w:r>
      <w:r w:rsidR="00C51788" w:rsidRPr="008B0ACF">
        <w:rPr>
          <w:rFonts w:asciiTheme="majorBidi" w:hAnsiTheme="majorBidi" w:cstheme="majorBidi"/>
        </w:rPr>
        <w:t xml:space="preserve"> all had previous atherosclerotic cardiovascular disease </w:t>
      </w:r>
      <w:r w:rsidR="00C51788" w:rsidRPr="00984AF5">
        <w:rPr>
          <w:rFonts w:asciiTheme="majorBidi" w:hAnsiTheme="majorBidi" w:cstheme="majorBidi"/>
        </w:rPr>
        <w:t>(ASCVD)</w:t>
      </w:r>
      <w:r w:rsidR="00AB2C4C" w:rsidRPr="008B0ACF">
        <w:rPr>
          <w:rFonts w:asciiTheme="majorBidi" w:hAnsiTheme="majorBidi" w:cstheme="majorBidi"/>
        </w:rPr>
        <w:t xml:space="preserve"> </w:t>
      </w:r>
      <w:r w:rsidR="007418F4">
        <w:rPr>
          <w:rFonts w:asciiTheme="majorBidi" w:hAnsiTheme="majorBidi" w:cstheme="majorBidi"/>
        </w:rPr>
        <w:t xml:space="preserve">and high prevalence of </w:t>
      </w:r>
      <w:r w:rsidR="00B364F7">
        <w:rPr>
          <w:rFonts w:asciiTheme="majorBidi" w:hAnsiTheme="majorBidi" w:cstheme="majorBidi"/>
        </w:rPr>
        <w:t>chronic kidney disease (</w:t>
      </w:r>
      <w:r w:rsidR="00AB2C4C" w:rsidRPr="008B0ACF">
        <w:rPr>
          <w:rFonts w:asciiTheme="majorBidi" w:hAnsiTheme="majorBidi" w:cstheme="majorBidi"/>
        </w:rPr>
        <w:t xml:space="preserve">baseline median </w:t>
      </w:r>
      <w:r w:rsidR="00AB2C4C" w:rsidRPr="00172EA4">
        <w:rPr>
          <w:rFonts w:asciiTheme="majorBidi" w:hAnsiTheme="majorBidi" w:cstheme="majorBidi"/>
          <w:highlight w:val="yellow"/>
        </w:rPr>
        <w:t>eGFR</w:t>
      </w:r>
      <w:r w:rsidR="00B364F7">
        <w:rPr>
          <w:rFonts w:asciiTheme="majorBidi" w:hAnsiTheme="majorBidi" w:cstheme="majorBidi"/>
        </w:rPr>
        <w:t>=</w:t>
      </w:r>
      <w:r w:rsidR="00CA330E" w:rsidRPr="008B0ACF">
        <w:rPr>
          <w:rFonts w:asciiTheme="majorBidi" w:hAnsiTheme="majorBidi" w:cstheme="majorBidi"/>
        </w:rPr>
        <w:t xml:space="preserve"> </w:t>
      </w:r>
      <w:r w:rsidR="005E6FFD" w:rsidRPr="008B0ACF">
        <w:rPr>
          <w:rFonts w:asciiTheme="majorBidi" w:hAnsiTheme="majorBidi" w:cstheme="majorBidi"/>
        </w:rPr>
        <w:t>74.1 ml/minute/1.73 m</w:t>
      </w:r>
      <w:r w:rsidR="005E6FFD" w:rsidRPr="008B0ACF">
        <w:rPr>
          <w:rFonts w:asciiTheme="majorBidi" w:hAnsiTheme="majorBidi" w:cstheme="majorBidi"/>
          <w:vertAlign w:val="superscript"/>
        </w:rPr>
        <w:t>2</w:t>
      </w:r>
      <w:r w:rsidR="005E6FFD" w:rsidRPr="008B0ACF">
        <w:rPr>
          <w:rFonts w:asciiTheme="majorBidi" w:hAnsiTheme="majorBidi" w:cstheme="majorBidi"/>
        </w:rPr>
        <w:t xml:space="preserve"> </w:t>
      </w:r>
      <w:r w:rsidR="00D016ED">
        <w:rPr>
          <w:rFonts w:asciiTheme="majorBidi" w:hAnsiTheme="majorBidi" w:cstheme="majorBidi"/>
        </w:rPr>
        <w:t>with 25% with eGFR 30-60</w:t>
      </w:r>
      <w:r w:rsidR="00251D48">
        <w:t xml:space="preserve"> </w:t>
      </w:r>
      <w:r w:rsidR="00251D48" w:rsidRPr="00251D48">
        <w:rPr>
          <w:rFonts w:asciiTheme="majorBidi" w:hAnsiTheme="majorBidi" w:cstheme="majorBidi"/>
        </w:rPr>
        <w:t>ml/minute/1.73 m2</w:t>
      </w:r>
      <w:r w:rsidR="00D016ED" w:rsidRPr="00251D48">
        <w:rPr>
          <w:rFonts w:asciiTheme="majorBidi" w:hAnsiTheme="majorBidi" w:cstheme="majorBidi"/>
        </w:rPr>
        <w:t xml:space="preserve"> </w:t>
      </w:r>
      <w:r w:rsidR="005E6FFD" w:rsidRPr="008B0ACF">
        <w:rPr>
          <w:rFonts w:asciiTheme="majorBidi" w:hAnsiTheme="majorBidi" w:cstheme="majorBidi"/>
        </w:rPr>
        <w:t xml:space="preserve">and </w:t>
      </w:r>
      <w:r w:rsidR="00E135EA">
        <w:rPr>
          <w:rFonts w:asciiTheme="majorBidi" w:hAnsiTheme="majorBidi" w:cstheme="majorBidi"/>
        </w:rPr>
        <w:t>40</w:t>
      </w:r>
      <w:r w:rsidR="00AB2C4C" w:rsidRPr="008B0ACF">
        <w:rPr>
          <w:rFonts w:asciiTheme="majorBidi" w:hAnsiTheme="majorBidi" w:cstheme="majorBidi"/>
        </w:rPr>
        <w:t xml:space="preserve">% </w:t>
      </w:r>
      <w:r w:rsidR="00D016ED">
        <w:rPr>
          <w:rFonts w:asciiTheme="majorBidi" w:hAnsiTheme="majorBidi" w:cstheme="majorBidi"/>
        </w:rPr>
        <w:t xml:space="preserve">with </w:t>
      </w:r>
      <w:r w:rsidR="00AB2C4C" w:rsidRPr="008B0ACF">
        <w:rPr>
          <w:rFonts w:asciiTheme="majorBidi" w:hAnsiTheme="majorBidi" w:cstheme="majorBidi"/>
        </w:rPr>
        <w:t>microalbuminuria</w:t>
      </w:r>
      <w:r w:rsidR="005E6FFD" w:rsidRPr="008B0ACF">
        <w:rPr>
          <w:rFonts w:asciiTheme="majorBidi" w:hAnsiTheme="majorBidi" w:cstheme="majorBidi"/>
        </w:rPr>
        <w:t xml:space="preserve"> or </w:t>
      </w:r>
      <w:r w:rsidR="00AB2C4C" w:rsidRPr="008B0ACF">
        <w:rPr>
          <w:rFonts w:asciiTheme="majorBidi" w:hAnsiTheme="majorBidi" w:cstheme="majorBidi"/>
        </w:rPr>
        <w:t>macroalbuminuria at baseline</w:t>
      </w:r>
      <w:r w:rsidR="00B036B5">
        <w:rPr>
          <w:rFonts w:asciiTheme="majorBidi" w:hAnsiTheme="majorBidi" w:cstheme="majorBidi"/>
        </w:rPr>
        <w:fldChar w:fldCharType="begin" w:fldLock="1"/>
      </w:r>
      <w:r w:rsidR="00B90562">
        <w:rPr>
          <w:rFonts w:asciiTheme="majorBidi" w:hAnsiTheme="majorBidi" w:cstheme="majorBidi"/>
        </w:rPr>
        <w:instrText>ADDIN CSL_CITATION {"citationItems":[{"id":"ITEM-1","itemData":{"DOI":"10.1016/S2213-8587(17)30182-1","ISSN":"2213-8595","PMID":"28666775","abstract":"BACKGROUND In a pooled analysis of short-term trials, short-term treatment with the sodium-glucose co-transporter-2 (SGLT2) inhibitor empagliflozin reduced albuminuria in patients with type 2 diabetes and prevalent albuminuria. In this exploratory analysis of the EMPA-REG OUTCOME trial, we report the short-term and long-term effects of empagliflozin on albuminuria in patients with type 2 diabetes and established cardiovascular disease, according to patients' baseline albuminuria status. METHODS In this randomised, double-blind, placebo-controlled trial at 590 sites in 42 countries, we randomly assigned patients aged 18 years and older with type 2 diabetes and established cardiovascular disease (1:1:1) to empagliflozin 10 mg, empagliflozin 25 mg, or placebo in addition to standard of care until at least 691 patients experienced an adjudicated event included in the primary outcome. We did the randomisation with a computer-generated random-sequence and interactive voice-response and web-response system, stratified by HbA1c, BMI, region, and estimated glomerular filtration rate. Patients, investigators, and individuals involved in analysis of trial data were masked to treatment assignment. The primary and secondary efficacy and safety endpoints of this trial have been reported previously. Here, we report urinary albumin-to-creatinine ratio (UACR) data for the pooled empagliflozin group versus placebo according to albuminuria status at baseline (normoalbuminuria: UACR &lt;30 mg/g; microalbuminuria: UACR ≥30 to ≤300 mg/g; and macroalbuminuria: UACR &gt;300 mg/g). We did the analysis with mixed-model repeated measures including prespecified and post-hoc tests. This study is completed and registered with ClinicalTrials.gov, number NCT01131676. FINDINGS Between Sept 1, 2010, and April 22, 2013, we randomly assigned 7028 patients to treatment groups and 7020 patients received treatment. At baseline, we had UACR data for 6953 patients: 4171 (59% of treated patients; 1382 assigned to placebo and 2789 assigned to empagliflozin) had normoalbuminuria, 2013 (29%; 675 assigned to placebo and 1338 assigned to empagliflozin) had microalbuminuria, and 769 (11%; 260 assigned to placebo and 509 assigned to empagliflozin) had macroalbuminuria. Median treatment duration was 2·6 years (IQR 2·0-3·4; 136 weeks) and median observation time was 3·1 years (2·2-3·6; 164 weeks). After short-term treatment at week 12, the placebo-adjusted geometric mean ratio of UACR change from baseline wit…","author":[{"dropping-particle":"","family":"Cherney","given":"David Z I","non-dropping-particle":"","parse-names":false,"suffix":""},{"dropping-particle":"","family":"Zinman","given":"Bernard","non-dropping-particle":"","parse-names":false,"suffix":""},{"dropping-particle":"","family":"Inzucchi","given":"Silvio E","non-dropping-particle":"","parse-names":false,"suffix":""},{"dropping-particle":"","family":"Koitka-Weber","given":"Audrey","non-dropping-particle":"","parse-names":false,"suffix":""},{"dropping-particle":"","family":"Mattheus","given":"Michaela","non-dropping-particle":"","parse-names":false,"suffix":""},{"dropping-particle":"","family":"Eynatten","given":"Maximilian","non-dropping-particle":"von","parse-names":false,"suffix":""},{"dropping-particle":"","family":"Wanner","given":"Christoph","non-dropping-particle":"","parse-names":false,"suffix":""}],"container-title":"The lancet. Diabetes &amp; endocrinology","id":"ITEM-1","issue":"8","issued":{"date-parts":[["2017","8","1"]]},"page":"610-621","publisher":"Elsevier","title":"Effects of empagliflozin on the urinary albumin-to-creatinine ratio in patients with type 2 diabetes and established cardiovascular disease: an exploratory analysis from the EMPA-REG OUTCOME randomised, placebo-controlled trial.","type":"article-journal","volume":"5"},"uris":["http://www.mendeley.com/documents/?uuid=b649b4dd-a8e2-379a-a870-9dedc41c2e67"]}],"mendeley":{"formattedCitation":"&lt;sup&gt;9&lt;/sup&gt;","plainTextFormattedCitation":"9","previouslyFormattedCitation":"&lt;sup&gt;9&lt;/sup&gt;"},"properties":{"noteIndex":0},"schema":"https://github.com/citation-style-language/schema/raw/master/csl-citation.json"}</w:instrText>
      </w:r>
      <w:r w:rsidR="00B036B5">
        <w:rPr>
          <w:rFonts w:asciiTheme="majorBidi" w:hAnsiTheme="majorBidi" w:cstheme="majorBidi"/>
        </w:rPr>
        <w:fldChar w:fldCharType="separate"/>
      </w:r>
      <w:r w:rsidR="00C00554" w:rsidRPr="00C00554">
        <w:rPr>
          <w:rFonts w:asciiTheme="majorBidi" w:hAnsiTheme="majorBidi" w:cstheme="majorBidi"/>
          <w:noProof/>
          <w:vertAlign w:val="superscript"/>
        </w:rPr>
        <w:t>9</w:t>
      </w:r>
      <w:r w:rsidR="00B036B5">
        <w:rPr>
          <w:rFonts w:asciiTheme="majorBidi" w:hAnsiTheme="majorBidi" w:cstheme="majorBidi"/>
        </w:rPr>
        <w:fldChar w:fldCharType="end"/>
      </w:r>
      <w:r w:rsidR="00B364F7">
        <w:rPr>
          <w:rFonts w:asciiTheme="majorBidi" w:hAnsiTheme="majorBidi" w:cstheme="majorBidi"/>
        </w:rPr>
        <w:t>)</w:t>
      </w:r>
      <w:r w:rsidR="00AB2C4C" w:rsidRPr="008B0ACF">
        <w:rPr>
          <w:rFonts w:asciiTheme="majorBidi" w:hAnsiTheme="majorBidi" w:cstheme="majorBidi"/>
        </w:rPr>
        <w:t xml:space="preserve">. </w:t>
      </w:r>
    </w:p>
    <w:p w14:paraId="570C55DE" w14:textId="5EA9BC39" w:rsidR="00883E27" w:rsidRPr="00CB1386" w:rsidRDefault="003F55D8" w:rsidP="000A426A">
      <w:pPr>
        <w:pStyle w:val="Title2"/>
        <w:spacing w:before="0" w:beforeAutospacing="0" w:after="0" w:afterAutospacing="0" w:line="480" w:lineRule="auto"/>
        <w:jc w:val="both"/>
        <w:rPr>
          <w:rFonts w:asciiTheme="majorBidi" w:hAnsiTheme="majorBidi" w:cstheme="majorBidi"/>
          <w:color w:val="000000"/>
        </w:rPr>
      </w:pPr>
      <w:r>
        <w:rPr>
          <w:rFonts w:asciiTheme="majorBidi" w:hAnsiTheme="majorBidi" w:cstheme="majorBidi"/>
        </w:rPr>
        <w:t>In the</w:t>
      </w:r>
      <w:r w:rsidR="007D0E03" w:rsidRPr="008B0ACF">
        <w:rPr>
          <w:rFonts w:asciiTheme="majorBidi" w:hAnsiTheme="majorBidi" w:cstheme="majorBidi"/>
        </w:rPr>
        <w:t xml:space="preserve"> </w:t>
      </w:r>
      <w:r w:rsidR="004369EC" w:rsidRPr="004369EC">
        <w:rPr>
          <w:rFonts w:asciiTheme="majorBidi" w:hAnsiTheme="majorBidi" w:cstheme="majorBidi"/>
        </w:rPr>
        <w:t>Canagliflozin Cardiovascular Assessment Study</w:t>
      </w:r>
      <w:r w:rsidR="004369EC">
        <w:rPr>
          <w:rFonts w:asciiTheme="majorBidi" w:hAnsiTheme="majorBidi" w:cstheme="majorBidi"/>
        </w:rPr>
        <w:t xml:space="preserve"> (</w:t>
      </w:r>
      <w:r w:rsidR="007D0E03" w:rsidRPr="008B0ACF">
        <w:rPr>
          <w:rFonts w:asciiTheme="majorBidi" w:hAnsiTheme="majorBidi" w:cstheme="majorBidi"/>
        </w:rPr>
        <w:t>CANVAS</w:t>
      </w:r>
      <w:r w:rsidR="004369EC">
        <w:rPr>
          <w:rFonts w:asciiTheme="majorBidi" w:hAnsiTheme="majorBidi" w:cstheme="majorBidi"/>
        </w:rPr>
        <w:t>)</w:t>
      </w:r>
      <w:r w:rsidR="007D0E03" w:rsidRPr="008B0ACF">
        <w:rPr>
          <w:rFonts w:asciiTheme="majorBidi" w:hAnsiTheme="majorBidi" w:cstheme="majorBidi"/>
        </w:rPr>
        <w:t xml:space="preserve"> program</w:t>
      </w:r>
      <w:r w:rsidR="00F75EDB">
        <w:rPr>
          <w:rFonts w:asciiTheme="majorBidi" w:hAnsiTheme="majorBidi" w:cstheme="majorBidi"/>
        </w:rPr>
        <w:fldChar w:fldCharType="begin" w:fldLock="1"/>
      </w:r>
      <w:r w:rsidR="00B90562">
        <w:rPr>
          <w:rFonts w:asciiTheme="majorBidi" w:hAnsiTheme="majorBidi" w:cstheme="majorBidi"/>
        </w:rPr>
        <w:instrText>ADDIN CSL_CITATION {"citationItems":[{"id":"ITEM-1","itemData":{"DOI":"10.1056/NEJMoa1611925","ISSN":"0028-4793","PMID":"28605608","abstract":"Background Canagliflozin is a sodium-glucose cotransporter 2 inhibitor that reduces glycemia as well as blood pressure, body weight, and albuminuria in people with diabetes. We report the effects of treatment with canagliflozin on cardiovascular, renal, and safety outcomes. Methods The CANVAS Program integrated data from two trials involving a total of 10,142 participants with type 2 diabetes and high cardiovascular risk. Participants in each trial were randomly assigned to receive canagliflozin or placebo and were followed for a mean of 188.2 weeks. The primary outcome was a composite of death from cardiovascular causes, nonfatal myocardial infarction, or nonfatal stroke. Results The mean age of the participants was 63.3 years, 35.8% were women, the mean duration of diabetes was 13.5 years, and 65.6% had a history of cardiovascular disease. The rate of the primary outcome was lower with canagliflozin than with placebo (occurring in 26.9 vs. 31.5 participants per 1000 patient-years; hazard ratio, 0.86; 95% confidence interval [CI], 0.75 to 0.97; P&lt;0.001 for noninferiority; P=0.02 for superiority). Although on the basis of the prespecified hypothesis testing sequence the renal outcomes are not viewed as statistically significant, the results showed a possible benefit of canagliflozin with respect to the progression of albuminuria (hazard ratio, 0.73; 95% CI, 0.67 to 0.79) and the composite outcome of a sustained 40% reduction in the estimated glomerular filtration rate, the need for renal-replacement therapy, or death from renal causes (hazard ratio, 0.60; 95% CI, 0.47 to 0.77). Adverse reactions were consistent with the previously reported risks associated with canagliflozin except for an increased risk of amputation (6.3 vs. 3.4 participants per 1000 patient-years; hazard ratio, 1.97; 95% CI, 1.41 to 2.75); amputations were primarily at the level of the toe or metatarsal. Conclusions In two trials involving patients with type 2 diabetes and an elevated risk of cardiovascular disease, patients treated with canagliflozin had a lower risk of cardiovascular events than those who received placebo but a greater risk of amputation, primarily at the level of the toe or metatarsal. (Funded by Janssen Research and Development; CANVAS and CANVAS-R ClinicalTrials.gov numbers, NCT01032629 and NCT01989754 , respectively.).","author":[{"dropping-particle":"","family":"Neal","given":"Bruce","non-dropping-particle":"","parse-names":false,"suffix":""},{"dropping-particle":"","family":"Perkovic","given":"Vlado","non-dropping-particle":"","parse-names":false,"suffix":""},{"dropping-particle":"","family":"Mahaffey","given":"Kenneth W.","non-dropping-particle":"","parse-names":false,"suffix":""},{"dropping-particle":"","family":"Zeeuw","given":"Dick","non-dropping-particle":"de","parse-names":false,"suffix":""},{"dropping-particle":"","family":"Fulcher","given":"Greg","non-dropping-particle":"","parse-names":false,"suffix":""},{"dropping-particle":"","family":"Erondu","given":"Ngozi","non-dropping-particle":"","parse-names":false,"suffix":""},{"dropping-particle":"","family":"Shaw","given":"Wayne","non-dropping-particle":"","parse-names":false,"suffix":""},{"dropping-particle":"","family":"Law","given":"Gordon","non-dropping-particle":"","parse-names":false,"suffix":""},{"dropping-particle":"","family":"Desai","given":"Mehul","non-dropping-particle":"","parse-names":false,"suffix":""},{"dropping-particle":"","family":"Matthews","given":"David R.","non-dropping-particle":"","parse-names":false,"suffix":""},{"dropping-particle":"","family":"CANVAS Program Collaborative Group","given":"","non-dropping-particle":"","parse-names":false,"suffix":""}],"container-title":"New England Journal of Medicine","id":"ITEM-1","issue":"7","issued":{"date-parts":[["2017","8","17"]]},"page":"644-657","title":"Canagliflozin and Cardiovascular and Renal Events in Type 2 Diabetes","type":"article-journal","volume":"377"},"uris":["http://www.mendeley.com/documents/?uuid=7124c0d4-9130-383b-9d52-36fcb18e208f"]},{"id":"ITEM-2","itemData":{"DOI":"10.1016/S2213-8587(18)30141-4","ISSN":"22138587","PMID":"29937267","abstract":"BACKGROUND In the Canagliflozin Cardiovascular Assessment Study (CANVAS) Program, canagliflozin reduced the rates of major adverse cardiovascular events and the results suggested a renal benefit in patients with type 2 diabetes who were at high risk for cardiovascular events, compared with those treated with placebo. Here we report the results of a prespecified exploratory analysis of the long-term effects of canagliflozin on a range of sustained and adjudicated renal outcomes. METHODS The CANVAS Program consists of two double-blind, randomised trials that assessed canagliflozin versus placebo in participants with type 2 diabetes who were at high risk of cardiovascular events, done at 667 centres in 30 countries. People with type 2 diabetes and an HbA1c of 7·0-10·5% (53-91 mmol/mol) who were aged at least 30 years and had a history of symptomatic atherosclerotic vascular disease, or who were aged at least 50 years and had at least two cardiovascular risk factors were eligible to participate. Participants in CANVAS were randomly assigned (1:1:1) to receive 300 mg canagliflozin, 100 mg canagliflozin, or matching placebo once daily. Participants in CANVAS-R were randomly assigned (1:1) to receive canagliflozin or matching placebo, at an initial dose of 100 mg daily, with optional uptitration to 300 mg from week 13 or matching placebo. Participants and all study staff were masked to treatment allocations until study completion. Prespecified outcomes reported here include a composite of sustained and adjudicated doubling in serum creatinine, end-stage kidney disease, or death from renal causes; the individual components of this composite outcome; annual reductions in estimated glomerular filtration rate (eGFR); and changes in urinary albumin-to-creatinine ratio (UACR). The trials are registered with ClinicalTrials.gov, numbers NCT01032629 (CANVAS) and NCT01989754 (CANVAS-R). FINDINGS Between Nov 17, 2009, and March 7, 2011 (CANVAS), and Jan 17, 2014, and May 29, 2015 (CANVAS-R), 15 494 people were screened, of whom 10 142 participants (with a baseline mean eGFR 76·5 mL/min per 1·73 m2, median UACR 12·3 mg/g, and 80% of whom were receiving renin-angiotensin system blockade) were randomly allocated to receive either canagliflozin or placebo. The composite outcome of sustained doubling of serum creatinine, end-stage kidney disease, and death from renal causes occurred less frequently in the canagliflozin group compared with the placebo group (1·5 per 1000 patie…","author":[{"dropping-particle":"","family":"Perkovic","given":"Vlado","non-dropping-particle":"","parse-names":false,"suffix":""},{"dropping-particle":"","family":"Zeeuw","given":"Dick","non-dropping-particle":"de","parse-names":false,"suffix":""},{"dropping-particle":"","family":"Mahaffey","given":"Kenneth W","non-dropping-particle":"","parse-names":false,"suffix":""},{"dropping-particle":"","family":"Fulcher","given":"Greg","non-dropping-particle":"","parse-names":false,"suffix":""},{"dropping-particle":"","family":"Erondu","given":"Ngozi","non-dropping-particle":"","parse-names":false,"suffix":""},{"dropping-particle":"","family":"Shaw","given":"Wayne","non-dropping-particle":"","parse-names":false,"suffix":""},{"dropping-particle":"","family":"Barrett","given":"Terrance D","non-dropping-particle":"","parse-names":false,"suffix":""},{"dropping-particle":"","family":"Weidner-Wells","given":"Michele","non-dropping-particle":"","parse-names":false,"suffix":""},{"dropping-particle":"","family":"Deng","given":"Hsiaowei","non-dropping-particle":"","parse-names":false,"suffix":""},{"dropping-particle":"","family":"Matthews","given":"David R","non-dropping-particle":"","parse-names":false,"suffix":""},{"dropping-particle":"","family":"Neal","given":"Bruce","non-dropping-particle":"","parse-names":false,"suffix":""}],"container-title":"The Lancet Diabetes &amp; Endocrinology","id":"ITEM-2","issue":"9","issued":{"date-parts":[["2018","9"]]},"page":"691-704","title":"Canagliflozin and renal outcomes in type 2 diabetes: results from the CANVAS Program randomised clinical trials","type":"article-journal","volume":"6"},"uris":["http://www.mendeley.com/documents/?uuid=2681b6bb-b06f-35ea-9dc5-8f6dae9612ce"]},{"id":"ITEM-3","itemData":{"DOI":"10.1161/CIRCULATIONAHA.118.035901","ISSN":"0009-7322","PMID":"29941478","abstract":"BACKGROUND Canagliflozin is approved for glucose lowering in type 2 diabetes and confers cardiovascular and renal benefits. We sought to assess whether it had benefits in people with chronic kidney disease, including those with an estimated glomerular filtration rate (eGFR) between 30 and 45 mL/min/1.73 m2 in whom the drug is not currently approved for use. METHODS The CANVAS Program randomized 10 142 participants with type 2 diabetes and eGFR &gt;30 mL/min/1.73 m2 to canagliflozin or placebo. The primary outcome was a composite of cardiovascular death, nonfatal myocardial infarction, or nonfatal stroke, with other cardiovascular, renal, and safety outcomes. This secondary analysis describes outcomes in participants with and without chronic kidney disease, defined as eGFR &lt;60 and ≥60 mL/min/1.73 m2, and according to baseline kidney function (eGFR &lt;45, 45 to &lt;60, 60 to &lt;90, and ≥90 mL/min/1.73 m2). RESULTS At baseline, 2039 (20.1%) participants had an eGFR &lt;60 mL/min/1.73 m2, 71.6% of whom had a history of cardiovascular disease. The effect of canagliflozin on the primary outcome was similar in people with chronic kidney disease (hazard ratio, 0.70; 95% CI, 0.55-0.90) and those with preserved kidney function (hazard ratio, 0.92; 95% CI, 0.79-1.07; P heterogeneity = 0.08). Relative effects on most cardiovascular and renal outcomes were similar across eGFR subgroups, with possible heterogeneity suggested only for the outcome of fatal/nonfatal stroke ( P heterogeneity = 0.01), as were results for almost all safety outcomes. CONCLUSIONS The effects of canagliflozin on cardiovascular and renal outcomes were not modified by baseline level of kidney function in people with type 2 diabetes and a history or high risk of cardiovascular disease down to eGFR levels of 30 mL/min/1.73 m2. Reassessing current limitations on the use of canagliflozin in chronic kidney disease may allow additional individuals to benefit from this therapy. CLINICAL TRIAL REGISTRATION URL: https://www.clinicaltrials.gov . Unique identifiers: NCT01032629, NCT01989754.","author":[{"dropping-particle":"","family":"Neuen","given":"Brendon L.","non-dropping-particle":"","parse-names":false,"suffix":""},{"dropping-particle":"","family":"Ohkuma","given":"Toshiaki","non-dropping-particle":"","parse-names":false,"suffix":""},{"dropping-particle":"","family":"Neal","given":"Bruce","non-dropping-particle":"","parse-names":false,"suffix":""},{"dropping-particle":"","family":"Matthews","given":"David R.","non-dropping-particle":"","parse-names":false,"suffix":""},{"dropping-particle":"","family":"Zeeuw","given":"Dick","non-dropping-particle":"de","parse-names":false,"suffix":""},{"dropping-particle":"","family":"Mahaffey","given":"Kenneth W.","non-dropping-particle":"","parse-names":false,"suffix":""},{"dropping-particle":"","family":"Fulcher","given":"Greg","non-dropping-particle":"","parse-names":false,"suffix":""},{"dropping-particle":"","family":"Desai","given":"Mehul","non-dropping-particle":"","parse-names":false,"suffix":""},{"dropping-particle":"","family":"Li","given":"Qiang","non-dropping-particle":"","parse-names":false,"suffix":""},{"dropping-particle":"","family":"Deng","given":"Hsiaowei","non-dropping-particle":"","parse-names":false,"suffix":""},{"dropping-particle":"","family":"Rosenthal","given":"Norm","non-dropping-particle":"","parse-names":false,"suffix":""},{"dropping-particle":"","family":"Jardine","given":"Meg J.","non-dropping-particle":"","parse-names":false,"suffix":""},{"dropping-particle":"","family":"Bakris","given":"George","non-dropping-particle":"","parse-names":false,"suffix":""},{"dropping-particle":"","family":"Perkovic","given":"Vlado","non-dropping-particle":"","parse-names":false,"suffix":""}],"container-title":"Circulation","id":"ITEM-3","issue":"15","issued":{"date-parts":[["2018","10","9"]]},"page":"1537-1550","title":"Cardiovascular and Renal Outcomes With Canagliflozin According to Baseline Kidney Function","type":"article-journal","volume":"138"},"uris":["http://www.mendeley.com/documents/?uuid=1a98a9ba-c21b-37e0-bdd9-ce860f726481"]}],"mendeley":{"formattedCitation":"&lt;sup&gt;10–12&lt;/sup&gt;","plainTextFormattedCitation":"10–12","previouslyFormattedCitation":"&lt;sup&gt;10–12&lt;/sup&gt;"},"properties":{"noteIndex":0},"schema":"https://github.com/citation-style-language/schema/raw/master/csl-citation.json"}</w:instrText>
      </w:r>
      <w:r w:rsidR="00F75EDB">
        <w:rPr>
          <w:rFonts w:asciiTheme="majorBidi" w:hAnsiTheme="majorBidi" w:cstheme="majorBidi"/>
        </w:rPr>
        <w:fldChar w:fldCharType="separate"/>
      </w:r>
      <w:r w:rsidR="00C00554" w:rsidRPr="00C00554">
        <w:rPr>
          <w:rFonts w:asciiTheme="majorBidi" w:hAnsiTheme="majorBidi" w:cstheme="majorBidi"/>
          <w:noProof/>
          <w:vertAlign w:val="superscript"/>
        </w:rPr>
        <w:t>10–12</w:t>
      </w:r>
      <w:r w:rsidR="00F75EDB">
        <w:rPr>
          <w:rFonts w:asciiTheme="majorBidi" w:hAnsiTheme="majorBidi" w:cstheme="majorBidi"/>
        </w:rPr>
        <w:fldChar w:fldCharType="end"/>
      </w:r>
      <w:r w:rsidR="00D62334">
        <w:rPr>
          <w:rFonts w:asciiTheme="majorBidi" w:hAnsiTheme="majorBidi" w:cstheme="majorBidi"/>
        </w:rPr>
        <w:t>,</w:t>
      </w:r>
      <w:r>
        <w:rPr>
          <w:rFonts w:asciiTheme="majorBidi" w:hAnsiTheme="majorBidi" w:cstheme="majorBidi"/>
          <w:color w:val="000000"/>
        </w:rPr>
        <w:t xml:space="preserve"> the SGLT2i canagliflozin improved </w:t>
      </w:r>
      <w:r w:rsidR="003C6905">
        <w:rPr>
          <w:rFonts w:asciiTheme="majorBidi" w:hAnsiTheme="majorBidi" w:cstheme="majorBidi"/>
          <w:color w:val="000000"/>
        </w:rPr>
        <w:t>renal outcomes in a population of patients with predominantly ASCVD</w:t>
      </w:r>
      <w:r w:rsidR="006D24F8">
        <w:rPr>
          <w:rFonts w:asciiTheme="majorBidi" w:hAnsiTheme="majorBidi" w:cstheme="majorBidi"/>
          <w:color w:val="000000"/>
        </w:rPr>
        <w:fldChar w:fldCharType="begin" w:fldLock="1"/>
      </w:r>
      <w:r w:rsidR="00B90562">
        <w:rPr>
          <w:rFonts w:asciiTheme="majorBidi" w:hAnsiTheme="majorBidi" w:cstheme="majorBidi"/>
          <w:color w:val="000000"/>
        </w:rPr>
        <w:instrText>ADDIN CSL_CITATION {"citationItems":[{"id":"ITEM-1","itemData":{"DOI":"10.1161/CIRCULATIONAHA.118.035901","ISSN":"0009-7322","PMID":"29941478","abstract":"BACKGROUND Canagliflozin is approved for glucose lowering in type 2 diabetes and confers cardiovascular and renal benefits. We sought to assess whether it had benefits in people with chronic kidney disease, including those with an estimated glomerular filtration rate (eGFR) between 30 and 45 mL/min/1.73 m2 in whom the drug is not currently approved for use. METHODS The CANVAS Program randomized 10 142 participants with type 2 diabetes and eGFR &gt;30 mL/min/1.73 m2 to canagliflozin or placebo. The primary outcome was a composite of cardiovascular death, nonfatal myocardial infarction, or nonfatal stroke, with other cardiovascular, renal, and safety outcomes. This secondary analysis describes outcomes in participants with and without chronic kidney disease, defined as eGFR &lt;60 and ≥60 mL/min/1.73 m2, and according to baseline kidney function (eGFR &lt;45, 45 to &lt;60, 60 to &lt;90, and ≥90 mL/min/1.73 m2). RESULTS At baseline, 2039 (20.1%) participants had an eGFR &lt;60 mL/min/1.73 m2, 71.6% of whom had a history of cardiovascular disease. The effect of canagliflozin on the primary outcome was similar in people with chronic kidney disease (hazard ratio, 0.70; 95% CI, 0.55-0.90) and those with preserved kidney function (hazard ratio, 0.92; 95% CI, 0.79-1.07; P heterogeneity = 0.08). Relative effects on most cardiovascular and renal outcomes were similar across eGFR subgroups, with possible heterogeneity suggested only for the outcome of fatal/nonfatal stroke ( P heterogeneity = 0.01), as were results for almost all safety outcomes. CONCLUSIONS The effects of canagliflozin on cardiovascular and renal outcomes were not modified by baseline level of kidney function in people with type 2 diabetes and a history or high risk of cardiovascular disease down to eGFR levels of 30 mL/min/1.73 m2. Reassessing current limitations on the use of canagliflozin in chronic kidney disease may allow additional individuals to benefit from this therapy. CLINICAL TRIAL REGISTRATION URL: https://www.clinicaltrials.gov . Unique identifiers: NCT01032629, NCT01989754.","author":[{"dropping-particle":"","family":"Neuen","given":"Brendon L.","non-dropping-particle":"","parse-names":false,"suffix":""},{"dropping-particle":"","family":"Ohkuma","given":"Toshiaki","non-dropping-particle":"","parse-names":false,"suffix":""},{"dropping-particle":"","family":"Neal","given":"Bruce","non-dropping-particle":"","parse-names":false,"suffix":""},{"dropping-particle":"","family":"Matthews","given":"David R.","non-dropping-particle":"","parse-names":false,"suffix":""},{"dropping-particle":"","family":"Zeeuw","given":"Dick","non-dropping-particle":"de","parse-names":false,"suffix":""},{"dropping-particle":"","family":"Mahaffey","given":"Kenneth W.","non-dropping-particle":"","parse-names":false,"suffix":""},{"dropping-particle":"","family":"Fulcher","given":"Greg","non-dropping-particle":"","parse-names":false,"suffix":""},{"dropping-particle":"","family":"Desai","given":"Mehul","non-dropping-particle":"","parse-names":false,"suffix":""},{"dropping-particle":"","family":"Li","given":"Qiang","non-dropping-particle":"","parse-names":false,"suffix":""},{"dropping-particle":"","family":"Deng","given":"Hsiaowei","non-dropping-particle":"","parse-names":false,"suffix":""},{"dropping-particle":"","family":"Rosenthal","given":"Norm","non-dropping-particle":"","parse-names":false,"suffix":""},{"dropping-particle":"","family":"Jardine","given":"Meg J.","non-dropping-particle":"","parse-names":false,"suffix":""},{"dropping-particle":"","family":"Bakris","given":"George","non-dropping-particle":"","parse-names":false,"suffix":""},{"dropping-particle":"","family":"Perkovic","given":"Vlado","non-dropping-particle":"","parse-names":false,"suffix":""}],"container-title":"Circulation","id":"ITEM-1","issue":"15","issued":{"date-parts":[["2018","10","9"]]},"page":"1537-1550","title":"Cardiovascular and Renal Outcomes With Canagliflozin According to Baseline Kidney Function","type":"article-journal","volume":"138"},"uris":["http://www.mendeley.com/documents/?uuid=1a98a9ba-c21b-37e0-bdd9-ce860f726481"]}],"mendeley":{"formattedCitation":"&lt;sup&gt;12&lt;/sup&gt;","plainTextFormattedCitation":"12","previouslyFormattedCitation":"&lt;sup&gt;12&lt;/sup&gt;"},"properties":{"noteIndex":0},"schema":"https://github.com/citation-style-language/schema/raw/master/csl-citation.json"}</w:instrText>
      </w:r>
      <w:r w:rsidR="006D24F8">
        <w:rPr>
          <w:rFonts w:asciiTheme="majorBidi" w:hAnsiTheme="majorBidi" w:cstheme="majorBidi"/>
          <w:color w:val="000000"/>
        </w:rPr>
        <w:fldChar w:fldCharType="separate"/>
      </w:r>
      <w:r w:rsidR="00C00554" w:rsidRPr="00C00554">
        <w:rPr>
          <w:rFonts w:asciiTheme="majorBidi" w:hAnsiTheme="majorBidi" w:cstheme="majorBidi"/>
          <w:noProof/>
          <w:color w:val="000000"/>
          <w:vertAlign w:val="superscript"/>
        </w:rPr>
        <w:t>12</w:t>
      </w:r>
      <w:r w:rsidR="006D24F8">
        <w:rPr>
          <w:rFonts w:asciiTheme="majorBidi" w:hAnsiTheme="majorBidi" w:cstheme="majorBidi"/>
          <w:color w:val="000000"/>
        </w:rPr>
        <w:fldChar w:fldCharType="end"/>
      </w:r>
      <w:r w:rsidR="00131A9B" w:rsidRPr="00131A9B">
        <w:rPr>
          <w:rFonts w:asciiTheme="majorBidi" w:hAnsiTheme="majorBidi" w:cstheme="majorBidi"/>
        </w:rPr>
        <w:t xml:space="preserve"> </w:t>
      </w:r>
      <w:r w:rsidR="00131A9B" w:rsidRPr="00D11B23">
        <w:rPr>
          <w:rFonts w:asciiTheme="majorBidi" w:hAnsiTheme="majorBidi" w:cstheme="majorBidi"/>
        </w:rPr>
        <w:t xml:space="preserve">Most recently, </w:t>
      </w:r>
      <w:r w:rsidR="00C2460C" w:rsidRPr="00D11B23">
        <w:rPr>
          <w:rFonts w:asciiTheme="majorBidi" w:hAnsiTheme="majorBidi" w:cstheme="majorBidi"/>
        </w:rPr>
        <w:t xml:space="preserve">the </w:t>
      </w:r>
      <w:r w:rsidR="00D11B23" w:rsidRPr="0097028B">
        <w:rPr>
          <w:rFonts w:asciiTheme="majorBidi" w:hAnsiTheme="majorBidi" w:cstheme="majorBidi"/>
          <w:color w:val="333333"/>
          <w:spacing w:val="2"/>
        </w:rPr>
        <w:t>Canagliflozin and Renal Events in Diabetes with Established Nephropathy Clinical Evaluation (</w:t>
      </w:r>
      <w:r w:rsidR="00C2460C" w:rsidRPr="00D11B23">
        <w:rPr>
          <w:rFonts w:asciiTheme="majorBidi" w:hAnsiTheme="majorBidi" w:cstheme="majorBidi"/>
        </w:rPr>
        <w:t>CREDENCE</w:t>
      </w:r>
      <w:r w:rsidR="00D11B23" w:rsidRPr="00D11B23">
        <w:rPr>
          <w:rFonts w:asciiTheme="majorBidi" w:hAnsiTheme="majorBidi" w:cstheme="majorBidi"/>
        </w:rPr>
        <w:t>)</w:t>
      </w:r>
      <w:r w:rsidR="00C2460C" w:rsidRPr="0097028B">
        <w:rPr>
          <w:rFonts w:asciiTheme="majorBidi" w:hAnsiTheme="majorBidi" w:cstheme="majorBidi"/>
        </w:rPr>
        <w:t xml:space="preserve"> trial</w:t>
      </w:r>
      <w:r w:rsidR="00C2460C">
        <w:rPr>
          <w:rFonts w:asciiTheme="majorBidi" w:hAnsiTheme="majorBidi" w:cstheme="majorBidi"/>
        </w:rPr>
        <w:t xml:space="preserve"> </w:t>
      </w:r>
      <w:r w:rsidR="00AF629F">
        <w:rPr>
          <w:rFonts w:asciiTheme="majorBidi" w:hAnsiTheme="majorBidi" w:cstheme="majorBidi"/>
        </w:rPr>
        <w:t>randomized</w:t>
      </w:r>
      <w:r w:rsidR="00C2460C">
        <w:rPr>
          <w:rFonts w:asciiTheme="majorBidi" w:hAnsiTheme="majorBidi" w:cstheme="majorBidi"/>
        </w:rPr>
        <w:t xml:space="preserve"> patients with type 2 diabetes and </w:t>
      </w:r>
      <w:r w:rsidR="00C2460C" w:rsidRPr="00532958">
        <w:rPr>
          <w:rFonts w:asciiTheme="majorBidi" w:hAnsiTheme="majorBidi" w:cstheme="majorBidi"/>
        </w:rPr>
        <w:t>albuminuric chronic kidney disease</w:t>
      </w:r>
      <w:r w:rsidR="00C2460C">
        <w:rPr>
          <w:rFonts w:asciiTheme="majorBidi" w:hAnsiTheme="majorBidi" w:cstheme="majorBidi"/>
        </w:rPr>
        <w:t xml:space="preserve"> (eGFR</w:t>
      </w:r>
      <w:r w:rsidR="00C2460C" w:rsidRPr="00532958">
        <w:t xml:space="preserve"> </w:t>
      </w:r>
      <w:r w:rsidR="00C2460C" w:rsidRPr="00532958">
        <w:rPr>
          <w:rFonts w:asciiTheme="majorBidi" w:hAnsiTheme="majorBidi" w:cstheme="majorBidi"/>
        </w:rPr>
        <w:t>30 to &lt;90 ml</w:t>
      </w:r>
      <w:r w:rsidR="00C2460C">
        <w:rPr>
          <w:rFonts w:asciiTheme="majorBidi" w:hAnsiTheme="majorBidi" w:cstheme="majorBidi"/>
        </w:rPr>
        <w:t>/</w:t>
      </w:r>
      <w:r w:rsidR="00C2460C" w:rsidRPr="00532958">
        <w:rPr>
          <w:rFonts w:asciiTheme="majorBidi" w:hAnsiTheme="majorBidi" w:cstheme="majorBidi"/>
        </w:rPr>
        <w:t>minute</w:t>
      </w:r>
      <w:r w:rsidR="00C2460C">
        <w:rPr>
          <w:rFonts w:asciiTheme="majorBidi" w:hAnsiTheme="majorBidi" w:cstheme="majorBidi"/>
        </w:rPr>
        <w:t>/</w:t>
      </w:r>
      <w:r w:rsidR="00C2460C" w:rsidRPr="00532958">
        <w:rPr>
          <w:rFonts w:asciiTheme="majorBidi" w:hAnsiTheme="majorBidi" w:cstheme="majorBidi"/>
        </w:rPr>
        <w:t>1.73 m</w:t>
      </w:r>
      <w:r w:rsidR="00C2460C" w:rsidRPr="00532958">
        <w:rPr>
          <w:rFonts w:asciiTheme="majorBidi" w:hAnsiTheme="majorBidi" w:cstheme="majorBidi"/>
          <w:vertAlign w:val="superscript"/>
        </w:rPr>
        <w:t>2</w:t>
      </w:r>
      <w:r w:rsidR="00C2460C" w:rsidRPr="00532958">
        <w:rPr>
          <w:rFonts w:asciiTheme="majorBidi" w:hAnsiTheme="majorBidi" w:cstheme="majorBidi"/>
        </w:rPr>
        <w:t xml:space="preserve"> </w:t>
      </w:r>
      <w:r w:rsidR="00C2460C">
        <w:rPr>
          <w:rFonts w:asciiTheme="majorBidi" w:hAnsiTheme="majorBidi" w:cstheme="majorBidi"/>
        </w:rPr>
        <w:t>an</w:t>
      </w:r>
      <w:r w:rsidR="00C2460C" w:rsidRPr="00532958">
        <w:rPr>
          <w:rFonts w:asciiTheme="majorBidi" w:hAnsiTheme="majorBidi" w:cstheme="majorBidi"/>
        </w:rPr>
        <w:t xml:space="preserve">d </w:t>
      </w:r>
      <w:r w:rsidR="00C2460C">
        <w:rPr>
          <w:rFonts w:asciiTheme="majorBidi" w:hAnsiTheme="majorBidi" w:cstheme="majorBidi"/>
        </w:rPr>
        <w:t>UACR</w:t>
      </w:r>
      <w:r w:rsidR="00C2460C" w:rsidRPr="00532958">
        <w:rPr>
          <w:rFonts w:asciiTheme="majorBidi" w:hAnsiTheme="majorBidi" w:cstheme="majorBidi"/>
        </w:rPr>
        <w:t xml:space="preserve"> &gt;300 to 5000</w:t>
      </w:r>
      <w:r w:rsidR="00C2460C">
        <w:rPr>
          <w:rFonts w:asciiTheme="majorBidi" w:hAnsiTheme="majorBidi" w:cstheme="majorBidi"/>
        </w:rPr>
        <w:t xml:space="preserve"> mg/g</w:t>
      </w:r>
      <w:r w:rsidR="00C2460C" w:rsidRPr="00532958">
        <w:rPr>
          <w:rFonts w:asciiTheme="majorBidi" w:hAnsiTheme="majorBidi" w:cstheme="majorBidi"/>
        </w:rPr>
        <w:t>)</w:t>
      </w:r>
      <w:r w:rsidR="00C2460C">
        <w:rPr>
          <w:rFonts w:asciiTheme="majorBidi" w:hAnsiTheme="majorBidi" w:cstheme="majorBidi"/>
        </w:rPr>
        <w:t xml:space="preserve"> to </w:t>
      </w:r>
      <w:r w:rsidR="00C2460C">
        <w:rPr>
          <w:rFonts w:asciiTheme="majorBidi" w:hAnsiTheme="majorBidi" w:cstheme="majorBidi"/>
        </w:rPr>
        <w:lastRenderedPageBreak/>
        <w:t>canagliflo</w:t>
      </w:r>
      <w:r w:rsidR="0097028B">
        <w:rPr>
          <w:rFonts w:asciiTheme="majorBidi" w:hAnsiTheme="majorBidi" w:cstheme="majorBidi"/>
        </w:rPr>
        <w:t xml:space="preserve">zin </w:t>
      </w:r>
      <w:r w:rsidR="00C2460C">
        <w:rPr>
          <w:rFonts w:asciiTheme="majorBidi" w:hAnsiTheme="majorBidi" w:cstheme="majorBidi"/>
        </w:rPr>
        <w:t>vs. placebo</w:t>
      </w:r>
      <w:r w:rsidR="00B90562">
        <w:rPr>
          <w:rFonts w:asciiTheme="majorBidi" w:hAnsiTheme="majorBidi" w:cstheme="majorBidi"/>
        </w:rPr>
        <w:fldChar w:fldCharType="begin" w:fldLock="1"/>
      </w:r>
      <w:r w:rsidR="00B90562">
        <w:rPr>
          <w:rFonts w:asciiTheme="majorBidi" w:hAnsiTheme="majorBidi" w:cstheme="majorBidi"/>
        </w:rPr>
        <w:instrText>ADDIN CSL_CITATION {"citationItems":[{"id":"ITEM-1","itemData":{"DOI":"10.1056/NEJMoa1811744","ISSN":"0028-4793","abstract":"Abstract Background Type 2 diabetes mellitus is the leading cause of kidney failure worldwide, but few effective long-term treatments are available. In cardiovascular trials of inhibitors of sodium–glucose cotransporter 2 (SGLT2), exploratory results have suggested that such drugs may improve renal outcomes in patients with type 2 diabetes. Methods In this double-blind, randomized trial, we assigned patients with type 2 diabetes and albuminuric chronic kidney disease to receive canagliflozin, an oral SGLT2 inhibitor, at a dose of 100 mg daily or placebo. All the patients had an estimated glomerular filtration rate (GFR) of 30 to &lt;90 ml per minute per 1.73 m2 of body-surface area and albuminuria (ratio of albumin [mg] to creatinine [g], &gt;300 to 5000) and were treated with renin–angiotensin system blockade. The primary outcome was a composite of end-stage kidney disease (dialysis, transplantation, or a sustained estimated GFR of &lt;15 ml per minute per 1.73 m2), a doubling of the serum creatinine level, or de...","author":[{"dropping-particle":"","family":"Perkovic","given":"Vlado","non-dropping-particle":"","parse-names":false,"suffix":""},{"dropping-particle":"","family":"Jardine","given":"Meg J.","non-dropping-particle":"","parse-names":false,"suffix":""},{"dropping-particle":"","family":"Neal","given":"Bruce","non-dropping-particle":"","parse-names":false,"suffix":""},{"dropping-particle":"","family":"Bompoint","given":"Severine","non-dropping-particle":"","parse-names":false,"suffix":""},{"dropping-particle":"","family":"Heerspink","given":"Hiddo J.L.","non-dropping-particle":"","parse-names":false,"suffix":""},{"dropping-particle":"","family":"Charytan","given":"David M.","non-dropping-particle":"","parse-names":false,"suffix":""},{"dropping-particle":"","family":"Edwards","given":"Robert","non-dropping-particle":"","parse-names":false,"suffix":""},{"dropping-particle":"","family":"Agarwal","given":"Rajiv","non-dropping-particle":"","parse-names":false,"suffix":""},{"dropping-particle":"","family":"Bakris","given":"George","non-dropping-particle":"","parse-names":false,"suffix":""},{"dropping-particle":"","family":"Bull","given":"Scott","non-dropping-particle":"","parse-names":false,"suffix":""},{"dropping-particle":"","family":"Cannon","given":"Christopher P.","non-dropping-particle":"","parse-names":false,"suffix":""},{"dropping-particle":"","family":"Capuano","given":"George","non-dropping-particle":"","parse-names":false,"suffix":""},{"dropping-particle":"","family":"Chu","given":"Pei-Ling","non-dropping-particle":"","parse-names":false,"suffix":""},{"dropping-particle":"","family":"Zeeuw","given":"Dick","non-dropping-particle":"de","parse-names":false,"suffix":""},{"dropping-particle":"","family":"Greene","given":"Tom","non-dropping-particle":"","parse-names":false,"suffix":""},{"dropping-particle":"","family":"Levin","given":"Adeera","non-dropping-particle":"","parse-names":false,"suffix":""},{"dropping-particle":"","family":"Pollock","given":"Carol","non-dropping-particle":"","parse-names":false,"suffix":""},{"dropping-particle":"","family":"Wheeler","given":"David C.","non-dropping-particle":"","parse-names":false,"suffix":""},{"dropping-particle":"","family":"Yavin","given":"Yshai","non-dropping-particle":"","parse-names":false,"suffix":""},{"dropping-particle":"","family":"Zhang","given":"Hong","non-dropping-particle":"","parse-names":false,"suffix":""},{"dropping-particle":"","family":"Zinman","given":"Bernard","non-dropping-particle":"","parse-names":false,"suffix":""},{"dropping-particle":"","family":"Meininger","given":"Gary","non-dropping-particle":"","parse-names":false,"suffix":""},{"dropping-particle":"","family":"Brenner","given":"Barry M.","non-dropping-particle":"","parse-names":false,"suffix":""},{"dropping-particle":"","family":"Mahaffey","given":"Kenneth W.","non-dropping-particle":"","parse-names":false,"suffix":""}],"container-title":"New England Journal of Medicine","id":"ITEM-1","issued":{"date-parts":[["2019","4","14"]]},"page":"NEJMoa1811744","publisher":"Massachusetts Medical Society","title":"Canagliflozin and Renal Outcomes in Type 2 Diabetes and Nephropathy","type":"article-journal"},"uris":["http://www.mendeley.com/documents/?uuid=36aedd20-351f-302f-8c24-031acc377056"]}],"mendeley":{"formattedCitation":"&lt;sup&gt;13&lt;/sup&gt;","plainTextFormattedCitation":"13","previouslyFormattedCitation":"&lt;sup&gt;13&lt;/sup&gt;"},"properties":{"noteIndex":0},"schema":"https://github.com/citation-style-language/schema/raw/master/csl-citation.json"}</w:instrText>
      </w:r>
      <w:r w:rsidR="00B90562">
        <w:rPr>
          <w:rFonts w:asciiTheme="majorBidi" w:hAnsiTheme="majorBidi" w:cstheme="majorBidi"/>
        </w:rPr>
        <w:fldChar w:fldCharType="separate"/>
      </w:r>
      <w:r w:rsidR="00B90562" w:rsidRPr="00B90562">
        <w:rPr>
          <w:rFonts w:asciiTheme="majorBidi" w:hAnsiTheme="majorBidi" w:cstheme="majorBidi"/>
          <w:noProof/>
          <w:vertAlign w:val="superscript"/>
        </w:rPr>
        <w:t>13</w:t>
      </w:r>
      <w:r w:rsidR="00B90562">
        <w:rPr>
          <w:rFonts w:asciiTheme="majorBidi" w:hAnsiTheme="majorBidi" w:cstheme="majorBidi"/>
        </w:rPr>
        <w:fldChar w:fldCharType="end"/>
      </w:r>
      <w:r w:rsidR="00C2460C">
        <w:rPr>
          <w:rFonts w:asciiTheme="majorBidi" w:hAnsiTheme="majorBidi" w:cstheme="majorBidi"/>
        </w:rPr>
        <w:t xml:space="preserve">. </w:t>
      </w:r>
      <w:r w:rsidR="002A3B8C">
        <w:rPr>
          <w:rFonts w:asciiTheme="majorBidi" w:hAnsiTheme="majorBidi" w:cstheme="majorBidi"/>
        </w:rPr>
        <w:t>T</w:t>
      </w:r>
      <w:r w:rsidR="0072092C">
        <w:rPr>
          <w:rFonts w:asciiTheme="majorBidi" w:hAnsiTheme="majorBidi" w:cstheme="majorBidi"/>
        </w:rPr>
        <w:t>he</w:t>
      </w:r>
      <w:r w:rsidR="00131A9B">
        <w:rPr>
          <w:rFonts w:asciiTheme="majorBidi" w:hAnsiTheme="majorBidi" w:cstheme="majorBidi"/>
        </w:rPr>
        <w:t xml:space="preserve"> </w:t>
      </w:r>
      <w:r w:rsidR="00131A9B" w:rsidRPr="00177348">
        <w:rPr>
          <w:rFonts w:asciiTheme="majorBidi" w:hAnsiTheme="majorBidi" w:cstheme="majorBidi"/>
        </w:rPr>
        <w:t xml:space="preserve">primary composite </w:t>
      </w:r>
      <w:r w:rsidR="00131A9B">
        <w:rPr>
          <w:rFonts w:asciiTheme="majorBidi" w:hAnsiTheme="majorBidi" w:cstheme="majorBidi"/>
        </w:rPr>
        <w:t xml:space="preserve">outcome </w:t>
      </w:r>
      <w:r w:rsidR="00131A9B" w:rsidRPr="00177348">
        <w:rPr>
          <w:rFonts w:asciiTheme="majorBidi" w:hAnsiTheme="majorBidi" w:cstheme="majorBidi"/>
        </w:rPr>
        <w:t>of</w:t>
      </w:r>
      <w:r w:rsidR="00AA5952">
        <w:rPr>
          <w:rFonts w:asciiTheme="majorBidi" w:hAnsiTheme="majorBidi" w:cstheme="majorBidi" w:hint="cs"/>
          <w:rtl/>
        </w:rPr>
        <w:t>:</w:t>
      </w:r>
      <w:r w:rsidR="00131A9B" w:rsidRPr="00177348">
        <w:rPr>
          <w:rFonts w:asciiTheme="majorBidi" w:hAnsiTheme="majorBidi" w:cstheme="majorBidi"/>
        </w:rPr>
        <w:t xml:space="preserve"> end-stage </w:t>
      </w:r>
      <w:r w:rsidR="00901001">
        <w:rPr>
          <w:rFonts w:asciiTheme="majorBidi" w:hAnsiTheme="majorBidi" w:cstheme="majorBidi"/>
        </w:rPr>
        <w:t>renal</w:t>
      </w:r>
      <w:r w:rsidR="00131A9B" w:rsidRPr="00177348">
        <w:rPr>
          <w:rFonts w:asciiTheme="majorBidi" w:hAnsiTheme="majorBidi" w:cstheme="majorBidi"/>
        </w:rPr>
        <w:t xml:space="preserve"> disease </w:t>
      </w:r>
      <w:r w:rsidR="008553BA">
        <w:rPr>
          <w:rFonts w:asciiTheme="majorBidi" w:hAnsiTheme="majorBidi" w:cstheme="majorBidi"/>
        </w:rPr>
        <w:t xml:space="preserve">(ESRD) </w:t>
      </w:r>
      <w:r w:rsidR="00131A9B" w:rsidRPr="00177348">
        <w:rPr>
          <w:rFonts w:asciiTheme="majorBidi" w:hAnsiTheme="majorBidi" w:cstheme="majorBidi"/>
        </w:rPr>
        <w:t>(dialysis, transplantation, or a sustained estimated GFR of &lt;15 ml</w:t>
      </w:r>
      <w:r w:rsidR="00131A9B">
        <w:rPr>
          <w:rFonts w:asciiTheme="majorBidi" w:hAnsiTheme="majorBidi" w:cstheme="majorBidi"/>
        </w:rPr>
        <w:t>/</w:t>
      </w:r>
      <w:r w:rsidR="00131A9B" w:rsidRPr="00177348">
        <w:rPr>
          <w:rFonts w:asciiTheme="majorBidi" w:hAnsiTheme="majorBidi" w:cstheme="majorBidi"/>
        </w:rPr>
        <w:t>minute</w:t>
      </w:r>
      <w:r w:rsidR="00131A9B">
        <w:rPr>
          <w:rFonts w:asciiTheme="majorBidi" w:hAnsiTheme="majorBidi" w:cstheme="majorBidi"/>
        </w:rPr>
        <w:t>/</w:t>
      </w:r>
      <w:r w:rsidR="00131A9B" w:rsidRPr="00177348">
        <w:rPr>
          <w:rFonts w:asciiTheme="majorBidi" w:hAnsiTheme="majorBidi" w:cstheme="majorBidi"/>
        </w:rPr>
        <w:t>1.73 m</w:t>
      </w:r>
      <w:r w:rsidR="00131A9B" w:rsidRPr="00177348">
        <w:rPr>
          <w:rFonts w:asciiTheme="majorBidi" w:hAnsiTheme="majorBidi" w:cstheme="majorBidi"/>
          <w:vertAlign w:val="superscript"/>
        </w:rPr>
        <w:t>2</w:t>
      </w:r>
      <w:r w:rsidR="00131A9B" w:rsidRPr="00177348">
        <w:rPr>
          <w:rFonts w:asciiTheme="majorBidi" w:hAnsiTheme="majorBidi" w:cstheme="majorBidi"/>
        </w:rPr>
        <w:t>), doubling of the serum creatinine level, or death from renal or cardiovascular causes</w:t>
      </w:r>
      <w:r w:rsidR="002A3B8C">
        <w:rPr>
          <w:rFonts w:asciiTheme="majorBidi" w:hAnsiTheme="majorBidi" w:cstheme="majorBidi"/>
        </w:rPr>
        <w:t xml:space="preserve"> was reduced by 30% with canagliflozin treatment</w:t>
      </w:r>
      <w:r w:rsidR="00B90562">
        <w:rPr>
          <w:rFonts w:asciiTheme="majorBidi" w:hAnsiTheme="majorBidi" w:cstheme="majorBidi"/>
        </w:rPr>
        <w:fldChar w:fldCharType="begin" w:fldLock="1"/>
      </w:r>
      <w:r w:rsidR="00B90562">
        <w:rPr>
          <w:rFonts w:asciiTheme="majorBidi" w:hAnsiTheme="majorBidi" w:cstheme="majorBidi"/>
        </w:rPr>
        <w:instrText>ADDIN CSL_CITATION {"citationItems":[{"id":"ITEM-1","itemData":{"DOI":"10.1056/NEJMoa1811744","ISSN":"0028-4793","abstract":"Abstract Background Type 2 diabetes mellitus is the leading cause of kidney failure worldwide, but few effective long-term treatments are available. In cardiovascular trials of inhibitors of sodium–glucose cotransporter 2 (SGLT2), exploratory results have suggested that such drugs may improve renal outcomes in patients with type 2 diabetes. Methods In this double-blind, randomized trial, we assigned patients with type 2 diabetes and albuminuric chronic kidney disease to receive canagliflozin, an oral SGLT2 inhibitor, at a dose of 100 mg daily or placebo. All the patients had an estimated glomerular filtration rate (GFR) of 30 to &lt;90 ml per minute per 1.73 m2 of body-surface area and albuminuria (ratio of albumin [mg] to creatinine [g], &gt;300 to 5000) and were treated with renin–angiotensin system blockade. The primary outcome was a composite of end-stage kidney disease (dialysis, transplantation, or a sustained estimated GFR of &lt;15 ml per minute per 1.73 m2), a doubling of the serum creatinine level, or de...","author":[{"dropping-particle":"","family":"Perkovic","given":"Vlado","non-dropping-particle":"","parse-names":false,"suffix":""},{"dropping-particle":"","family":"Jardine","given":"Meg J.","non-dropping-particle":"","parse-names":false,"suffix":""},{"dropping-particle":"","family":"Neal","given":"Bruce","non-dropping-particle":"","parse-names":false,"suffix":""},{"dropping-particle":"","family":"Bompoint","given":"Severine","non-dropping-particle":"","parse-names":false,"suffix":""},{"dropping-particle":"","family":"Heerspink","given":"Hiddo J.L.","non-dropping-particle":"","parse-names":false,"suffix":""},{"dropping-particle":"","family":"Charytan","given":"David M.","non-dropping-particle":"","parse-names":false,"suffix":""},{"dropping-particle":"","family":"Edwards","given":"Robert","non-dropping-particle":"","parse-names":false,"suffix":""},{"dropping-particle":"","family":"Agarwal","given":"Rajiv","non-dropping-particle":"","parse-names":false,"suffix":""},{"dropping-particle":"","family":"Bakris","given":"George","non-dropping-particle":"","parse-names":false,"suffix":""},{"dropping-particle":"","family":"Bull","given":"Scott","non-dropping-particle":"","parse-names":false,"suffix":""},{"dropping-particle":"","family":"Cannon","given":"Christopher P.","non-dropping-particle":"","parse-names":false,"suffix":""},{"dropping-particle":"","family":"Capuano","given":"George","non-dropping-particle":"","parse-names":false,"suffix":""},{"dropping-particle":"","family":"Chu","given":"Pei-Ling","non-dropping-particle":"","parse-names":false,"suffix":""},{"dropping-particle":"","family":"Zeeuw","given":"Dick","non-dropping-particle":"de","parse-names":false,"suffix":""},{"dropping-particle":"","family":"Greene","given":"Tom","non-dropping-particle":"","parse-names":false,"suffix":""},{"dropping-particle":"","family":"Levin","given":"Adeera","non-dropping-particle":"","parse-names":false,"suffix":""},{"dropping-particle":"","family":"Pollock","given":"Carol","non-dropping-particle":"","parse-names":false,"suffix":""},{"dropping-particle":"","family":"Wheeler","given":"David C.","non-dropping-particle":"","parse-names":false,"suffix":""},{"dropping-particle":"","family":"Yavin","given":"Yshai","non-dropping-particle":"","parse-names":false,"suffix":""},{"dropping-particle":"","family":"Zhang","given":"Hong","non-dropping-particle":"","parse-names":false,"suffix":""},{"dropping-particle":"","family":"Zinman","given":"Bernard","non-dropping-particle":"","parse-names":false,"suffix":""},{"dropping-particle":"","family":"Meininger","given":"Gary","non-dropping-particle":"","parse-names":false,"suffix":""},{"dropping-particle":"","family":"Brenner","given":"Barry M.","non-dropping-particle":"","parse-names":false,"suffix":""},{"dropping-particle":"","family":"Mahaffey","given":"Kenneth W.","non-dropping-particle":"","parse-names":false,"suffix":""}],"container-title":"New England Journal of Medicine","id":"ITEM-1","issued":{"date-parts":[["2019","4","14"]]},"page":"NEJMoa1811744","publisher":"Massachusetts Medical Society","title":"Canagliflozin and Renal Outcomes in Type 2 Diabetes and Nephropathy","type":"article-journal"},"uris":["http://www.mendeley.com/documents/?uuid=36aedd20-351f-302f-8c24-031acc377056"]}],"mendeley":{"formattedCitation":"&lt;sup&gt;13&lt;/sup&gt;","plainTextFormattedCitation":"13"},"properties":{"noteIndex":0},"schema":"https://github.com/citation-style-language/schema/raw/master/csl-citation.json"}</w:instrText>
      </w:r>
      <w:r w:rsidR="00B90562">
        <w:rPr>
          <w:rFonts w:asciiTheme="majorBidi" w:hAnsiTheme="majorBidi" w:cstheme="majorBidi"/>
        </w:rPr>
        <w:fldChar w:fldCharType="separate"/>
      </w:r>
      <w:r w:rsidR="00B90562" w:rsidRPr="00B90562">
        <w:rPr>
          <w:rFonts w:asciiTheme="majorBidi" w:hAnsiTheme="majorBidi" w:cstheme="majorBidi"/>
          <w:noProof/>
          <w:vertAlign w:val="superscript"/>
        </w:rPr>
        <w:t>13</w:t>
      </w:r>
      <w:r w:rsidR="00B90562">
        <w:rPr>
          <w:rFonts w:asciiTheme="majorBidi" w:hAnsiTheme="majorBidi" w:cstheme="majorBidi"/>
        </w:rPr>
        <w:fldChar w:fldCharType="end"/>
      </w:r>
      <w:r w:rsidR="00532958">
        <w:rPr>
          <w:rFonts w:asciiTheme="majorBidi" w:hAnsiTheme="majorBidi" w:cstheme="majorBidi"/>
        </w:rPr>
        <w:t xml:space="preserve">. </w:t>
      </w:r>
    </w:p>
    <w:p w14:paraId="0F4718E4" w14:textId="30A6C00F" w:rsidR="00EE2B8F" w:rsidRDefault="00883E27">
      <w:pPr>
        <w:pStyle w:val="EndNoteBibliography"/>
        <w:spacing w:line="480" w:lineRule="auto"/>
      </w:pPr>
      <w:r w:rsidRPr="00984AF5">
        <w:rPr>
          <w:rFonts w:asciiTheme="majorBidi" w:hAnsiTheme="majorBidi"/>
          <w:color w:val="000000"/>
          <w:sz w:val="24"/>
          <w:szCs w:val="24"/>
        </w:rPr>
        <w:t xml:space="preserve">The </w:t>
      </w:r>
      <w:r w:rsidR="006A2D4D" w:rsidRPr="006A2D4D">
        <w:rPr>
          <w:rFonts w:asciiTheme="majorBidi" w:hAnsiTheme="majorBidi"/>
          <w:color w:val="000000"/>
          <w:sz w:val="24"/>
          <w:szCs w:val="24"/>
        </w:rPr>
        <w:t>Dapagliflozin Effect on Cardiovascular Events</w:t>
      </w:r>
      <w:r w:rsidR="006A2D4D">
        <w:rPr>
          <w:rFonts w:asciiTheme="majorBidi" w:hAnsiTheme="majorBidi"/>
          <w:color w:val="000000"/>
          <w:sz w:val="24"/>
          <w:szCs w:val="24"/>
        </w:rPr>
        <w:t xml:space="preserve"> (</w:t>
      </w:r>
      <w:r w:rsidRPr="00984AF5">
        <w:rPr>
          <w:rFonts w:asciiTheme="majorBidi" w:hAnsiTheme="majorBidi"/>
          <w:color w:val="000000"/>
          <w:sz w:val="24"/>
          <w:szCs w:val="24"/>
        </w:rPr>
        <w:t>DECLARE</w:t>
      </w:r>
      <w:r w:rsidR="006A2D4D">
        <w:rPr>
          <w:rFonts w:asciiTheme="majorBidi" w:hAnsiTheme="majorBidi"/>
          <w:color w:val="000000"/>
          <w:sz w:val="24"/>
          <w:szCs w:val="24"/>
        </w:rPr>
        <w:t>)</w:t>
      </w:r>
      <w:r w:rsidRPr="00984AF5">
        <w:rPr>
          <w:rFonts w:asciiTheme="majorBidi" w:hAnsiTheme="majorBidi"/>
          <w:color w:val="000000"/>
          <w:sz w:val="24"/>
          <w:szCs w:val="24"/>
        </w:rPr>
        <w:t>-TIMI 58 trial</w:t>
      </w:r>
      <w:r w:rsidR="00E1671D" w:rsidRPr="00984AF5">
        <w:rPr>
          <w:rFonts w:asciiTheme="majorBidi" w:hAnsiTheme="majorBidi"/>
          <w:sz w:val="24"/>
          <w:szCs w:val="24"/>
        </w:rPr>
        <w:t xml:space="preserve"> </w:t>
      </w:r>
      <w:r w:rsidR="003F55D8">
        <w:rPr>
          <w:rFonts w:asciiTheme="majorBidi" w:hAnsiTheme="majorBidi"/>
          <w:sz w:val="24"/>
          <w:szCs w:val="24"/>
        </w:rPr>
        <w:t>showed</w:t>
      </w:r>
      <w:r w:rsidR="003F55D8" w:rsidRPr="00984AF5">
        <w:rPr>
          <w:rFonts w:asciiTheme="majorBidi" w:hAnsiTheme="majorBidi"/>
          <w:sz w:val="24"/>
          <w:szCs w:val="24"/>
        </w:rPr>
        <w:t xml:space="preserve"> </w:t>
      </w:r>
      <w:r w:rsidR="00E1671D" w:rsidRPr="00984AF5">
        <w:rPr>
          <w:rFonts w:asciiTheme="majorBidi" w:hAnsiTheme="majorBidi"/>
          <w:sz w:val="24"/>
          <w:szCs w:val="24"/>
        </w:rPr>
        <w:t xml:space="preserve">that the SGLT2i dapagliflozin decreased </w:t>
      </w:r>
      <w:r w:rsidR="00C31A3C">
        <w:rPr>
          <w:rFonts w:asciiTheme="majorBidi" w:hAnsiTheme="majorBidi"/>
          <w:sz w:val="24"/>
          <w:szCs w:val="24"/>
        </w:rPr>
        <w:t xml:space="preserve">one of the dual </w:t>
      </w:r>
      <w:r w:rsidR="001907E8" w:rsidRPr="00984AF5">
        <w:rPr>
          <w:rFonts w:asciiTheme="majorBidi" w:hAnsiTheme="majorBidi"/>
          <w:sz w:val="24"/>
          <w:szCs w:val="24"/>
        </w:rPr>
        <w:t xml:space="preserve">primary </w:t>
      </w:r>
      <w:r w:rsidR="001B7894">
        <w:rPr>
          <w:rFonts w:asciiTheme="majorBidi" w:hAnsiTheme="majorBidi"/>
          <w:sz w:val="24"/>
          <w:szCs w:val="24"/>
        </w:rPr>
        <w:t xml:space="preserve">composite </w:t>
      </w:r>
      <w:r w:rsidR="00711FBF" w:rsidRPr="00984AF5">
        <w:rPr>
          <w:rFonts w:asciiTheme="majorBidi" w:hAnsiTheme="majorBidi"/>
          <w:sz w:val="24"/>
          <w:szCs w:val="24"/>
        </w:rPr>
        <w:t>outcome</w:t>
      </w:r>
      <w:r w:rsidR="00C31A3C">
        <w:rPr>
          <w:rFonts w:asciiTheme="majorBidi" w:hAnsiTheme="majorBidi"/>
          <w:sz w:val="24"/>
          <w:szCs w:val="24"/>
        </w:rPr>
        <w:t>s</w:t>
      </w:r>
      <w:r w:rsidR="00F31A4A">
        <w:rPr>
          <w:rFonts w:asciiTheme="majorBidi" w:hAnsiTheme="majorBidi"/>
          <w:sz w:val="24"/>
          <w:szCs w:val="24"/>
        </w:rPr>
        <w:t>, that</w:t>
      </w:r>
      <w:r w:rsidR="00711FBF" w:rsidRPr="00984AF5">
        <w:rPr>
          <w:rFonts w:asciiTheme="majorBidi" w:hAnsiTheme="majorBidi"/>
          <w:sz w:val="24"/>
          <w:szCs w:val="24"/>
        </w:rPr>
        <w:t xml:space="preserve"> </w:t>
      </w:r>
      <w:r w:rsidR="00E1671D" w:rsidRPr="00984AF5">
        <w:rPr>
          <w:rFonts w:asciiTheme="majorBidi" w:hAnsiTheme="majorBidi"/>
          <w:sz w:val="24"/>
          <w:szCs w:val="24"/>
        </w:rPr>
        <w:t xml:space="preserve">of CV death or hospitalization for </w:t>
      </w:r>
      <w:r w:rsidR="00BD0091">
        <w:rPr>
          <w:rFonts w:asciiTheme="majorBidi" w:hAnsiTheme="majorBidi"/>
          <w:sz w:val="24"/>
          <w:szCs w:val="24"/>
        </w:rPr>
        <w:t>heart failure (</w:t>
      </w:r>
      <w:r w:rsidR="00E1671D" w:rsidRPr="00984AF5">
        <w:rPr>
          <w:rFonts w:asciiTheme="majorBidi" w:hAnsiTheme="majorBidi"/>
          <w:sz w:val="24"/>
          <w:szCs w:val="24"/>
        </w:rPr>
        <w:t>HF</w:t>
      </w:r>
      <w:r w:rsidR="00BD0091">
        <w:rPr>
          <w:rFonts w:asciiTheme="majorBidi" w:hAnsiTheme="majorBidi"/>
          <w:sz w:val="24"/>
          <w:szCs w:val="24"/>
        </w:rPr>
        <w:t>)</w:t>
      </w:r>
      <w:r w:rsidR="00F31A4A">
        <w:rPr>
          <w:rFonts w:asciiTheme="majorBidi" w:hAnsiTheme="majorBidi"/>
          <w:sz w:val="24"/>
          <w:szCs w:val="24"/>
        </w:rPr>
        <w:t>,</w:t>
      </w:r>
      <w:r w:rsidR="00E1671D" w:rsidRPr="00984AF5">
        <w:rPr>
          <w:rFonts w:asciiTheme="majorBidi" w:hAnsiTheme="majorBidi"/>
          <w:sz w:val="24"/>
          <w:szCs w:val="24"/>
        </w:rPr>
        <w:t xml:space="preserve"> </w:t>
      </w:r>
      <w:r w:rsidR="001B7894">
        <w:rPr>
          <w:rFonts w:asciiTheme="majorBidi" w:hAnsiTheme="majorBidi"/>
          <w:sz w:val="24"/>
          <w:szCs w:val="24"/>
        </w:rPr>
        <w:t>and was non-inferior for</w:t>
      </w:r>
      <w:r w:rsidR="00C31A3C">
        <w:rPr>
          <w:rFonts w:asciiTheme="majorBidi" w:hAnsiTheme="majorBidi"/>
          <w:sz w:val="24"/>
          <w:szCs w:val="24"/>
        </w:rPr>
        <w:t xml:space="preserve"> the other:</w:t>
      </w:r>
      <w:r w:rsidR="001B7894">
        <w:rPr>
          <w:rFonts w:asciiTheme="majorBidi" w:hAnsiTheme="majorBidi"/>
          <w:sz w:val="24"/>
          <w:szCs w:val="24"/>
        </w:rPr>
        <w:t xml:space="preserve"> </w:t>
      </w:r>
      <w:r w:rsidR="00072F05">
        <w:rPr>
          <w:rFonts w:asciiTheme="majorBidi" w:hAnsiTheme="majorBidi"/>
          <w:sz w:val="24"/>
          <w:szCs w:val="24"/>
        </w:rPr>
        <w:t>major adverse cardiovascular outcome (</w:t>
      </w:r>
      <w:r w:rsidR="001B7894">
        <w:rPr>
          <w:rFonts w:asciiTheme="majorBidi" w:hAnsiTheme="majorBidi"/>
          <w:sz w:val="24"/>
          <w:szCs w:val="24"/>
        </w:rPr>
        <w:t>MACE</w:t>
      </w:r>
      <w:r w:rsidR="00072F05">
        <w:rPr>
          <w:rFonts w:asciiTheme="majorBidi" w:hAnsiTheme="majorBidi"/>
          <w:sz w:val="24"/>
          <w:szCs w:val="24"/>
        </w:rPr>
        <w:t>)</w:t>
      </w:r>
      <w:r w:rsidR="00C31A3C">
        <w:rPr>
          <w:rFonts w:asciiTheme="majorBidi" w:hAnsiTheme="majorBidi"/>
          <w:sz w:val="24"/>
          <w:szCs w:val="24"/>
        </w:rPr>
        <w:t>. This was demonstrated</w:t>
      </w:r>
      <w:r w:rsidR="001B7894">
        <w:rPr>
          <w:rFonts w:asciiTheme="majorBidi" w:hAnsiTheme="majorBidi"/>
          <w:sz w:val="24"/>
          <w:szCs w:val="24"/>
        </w:rPr>
        <w:t xml:space="preserve"> </w:t>
      </w:r>
      <w:r w:rsidR="00E1671D" w:rsidRPr="00984AF5">
        <w:rPr>
          <w:rFonts w:asciiTheme="majorBidi" w:hAnsiTheme="majorBidi"/>
          <w:sz w:val="24"/>
          <w:szCs w:val="24"/>
        </w:rPr>
        <w:t>in patients with T2D and either established ASCVD</w:t>
      </w:r>
      <w:r w:rsidR="00E1671D" w:rsidRPr="00065668">
        <w:rPr>
          <w:rFonts w:asciiTheme="majorBidi" w:hAnsiTheme="majorBidi"/>
          <w:sz w:val="24"/>
          <w:szCs w:val="24"/>
        </w:rPr>
        <w:t xml:space="preserve"> </w:t>
      </w:r>
      <w:r w:rsidR="008B4A35">
        <w:rPr>
          <w:rFonts w:asciiTheme="majorBidi" w:hAnsiTheme="majorBidi"/>
          <w:sz w:val="24"/>
          <w:szCs w:val="24"/>
        </w:rPr>
        <w:t xml:space="preserve">(40.6%) </w:t>
      </w:r>
      <w:r w:rsidR="00E1671D" w:rsidRPr="00065668">
        <w:rPr>
          <w:rFonts w:asciiTheme="majorBidi" w:hAnsiTheme="majorBidi"/>
          <w:sz w:val="24"/>
          <w:szCs w:val="24"/>
        </w:rPr>
        <w:t>or multiple risk factors (MRF)</w:t>
      </w:r>
      <w:r w:rsidR="00551623" w:rsidRPr="00065668">
        <w:rPr>
          <w:rFonts w:asciiTheme="majorBidi" w:hAnsiTheme="majorBidi"/>
          <w:sz w:val="24"/>
          <w:szCs w:val="24"/>
        </w:rPr>
        <w:t xml:space="preserve"> for CV disease</w:t>
      </w:r>
      <w:r w:rsidR="008B4A35">
        <w:rPr>
          <w:rFonts w:asciiTheme="majorBidi" w:hAnsiTheme="majorBidi"/>
          <w:sz w:val="24"/>
          <w:szCs w:val="24"/>
        </w:rPr>
        <w:t xml:space="preserve"> (59.4%)</w:t>
      </w:r>
      <w:r w:rsidR="00E60603">
        <w:rPr>
          <w:rFonts w:asciiTheme="majorBidi" w:hAnsiTheme="majorBidi"/>
          <w:sz w:val="24"/>
          <w:szCs w:val="24"/>
        </w:rPr>
        <w:fldChar w:fldCharType="begin" w:fldLock="1"/>
      </w:r>
      <w:r w:rsidR="00B90562">
        <w:rPr>
          <w:rFonts w:asciiTheme="majorBidi" w:hAnsiTheme="majorBidi"/>
          <w:sz w:val="24"/>
          <w:szCs w:val="24"/>
        </w:rPr>
        <w:instrText>ADDIN CSL_CITATION {"citationItems":[{"id":"ITEM-1","itemData":{"DOI":"10.1056/NEJMoa1812389","ISSN":"0028-4793","PMID":"30415602","abstract":"BACKGROUND The cardiovascular safety profile of dapagliflozin, a selective inhibitor of sodium-glucose cotransporter 2 that promotes glucosuria in patients with type 2 diabetes, is undefined. METHODS We randomly assigned patients with type 2 diabetes who had or were at risk for atherosclerotic cardiovascular disease to receive either dapagliflozin or placebo. The primary safety outcome was a composite of major adverse cardiovascular events (MACE), defined as cardiovascular death, myocardial infarction, or ischemic stroke. The primary efficacy outcomes were MACE and a composite of cardiovascular death or hospitalization for heart failure. Secondary efficacy outcomes were a renal composite (≥40% decrease in estimated glomerular filtration rate to &lt;60 ml per minute per 1.73 m2 of body-surface area, new end-stage renal disease, or death from renal or cardiovascular causes) and death from any cause. RESULTS We evaluated 17,160 patients, including 10,186 without atherosclerotic cardiovascular disease, who were followed for a median of 4.2 years. In the primary safety outcome analysis, dapagliflozin met the prespecified criterion for noninferiority to placebo with respect to MACE (upper boundary of the 95% confidence interval [CI], &lt;1.3; P&lt;0.001 for noninferiority). In the two primary efficacy analyses, dapagliflozin did not result in a lower rate of MACE (8.8% in the dapagliflozin group and 9.4% in the placebo group; hazard ratio, 0.93; 95% CI, 0.84 to 1.03; P=0.17) but did result in a lower rate of cardiovascular death or hospitalization for heart failure (4.9% vs. 5.8%; hazard ratio, 0.83; 95% CI, 0.73 to 0.95; P=0.005), which reflected a lower rate of hospitalization for heart failure (hazard ratio, 0.73; 95% CI, 0.61 to 0.88); there was no between-group difference in cardiovascular death (hazard ratio, 0.98; 95% CI, 0.82 to 1.17). A renal event occurred in 4.3% in the dapagliflozin group and in 5.6% in the placebo group (hazard ratio, 0.76; 95% CI, 0.67 to 0.87), and death from any cause occurred in 6.2% and 6.6%, respectively (hazard ratio, 0.93; 95% CI, 0.82 to 1.04). Diabetic ketoacidosis was more common with dapagliflozin than with placebo (0.3% vs. 0.1%, P=0.02), as was the rate of genital infections that led to discontinuation of the regimen or that were considered to be serious adverse events (0.9% vs. 0.1%, P&lt;0.001). CONCLUSIONS In patients with type 2 diabetes who had or were at risk for atherosclerotic cardiovascular disease, treatment with dapa…","author":[{"dropping-particle":"","family":"Wiviott","given":"Stephen D.","non-dropping-particle":"","parse-names":false,"suffix":""},{"dropping-particle":"","family":"Raz","given":"Itamar","non-dropping-particle":"","parse-names":false,"suffix":""},{"dropping-particle":"","family":"Bonaca","given":"Marc P.","non-dropping-particle":"","parse-names":false,"suffix":""},{"dropping-particle":"","family":"Mosenzon","given":"Ofri","non-dropping-particle":"","parse-names":false,"suffix":""},{"dropping-particle":"","family":"Kato","given":"Eri T.","non-dropping-particle":"","parse-names":false,"suffix":""},{"dropping-particle":"","family":"Cahn","given":"Avivit","non-dropping-particle":"","parse-names":false,"suffix":""},{"dropping-particle":"","family":"Silverman","given":"Michael G.","non-dropping-particle":"","parse-names":false,"suffix":""},{"dropping-particle":"","family":"Zelniker","given":"Thomas A.","non-dropping-particle":"","parse-names":false,"suffix":""},{"dropping-particle":"","family":"Kuder","given":"Julia F.","non-dropping-particle":"","parse-names":false,"suffix":""},{"dropping-particle":"","family":"Murphy","given":"Sabina A.","non-dropping-particle":"","parse-names":false,"suffix":""},{"dropping-particle":"","family":"Bhatt","given":"Deepak L.","non-dropping-particle":"","parse-names":false,"suffix":""},{"dropping-particle":"","family":"Leiter","given":"Lawrence A.","non-dropping-particle":"","parse-names":false,"suffix":""},{"dropping-particle":"","family":"McGuire","given":"Darren K.","non-dropping-particle":"","parse-names":false,"suffix":""},{"dropping-particle":"","family":"Wilding","given":"John P.H.","non-dropping-particle":"","parse-names":false,"suffix":""},{"dropping-particle":"","family":"Ruff","given":"Christian T.","non-dropping-particle":"","parse-names":false,"suffix":""},{"dropping-particle":"","family":"Gause-Nilsson","given":"Ingrid A.M.","non-dropping-particle":"","parse-names":false,"suffix":""},{"dropping-particle":"","family":"Fredriksson","given":"Martin","non-dropping-particle":"","parse-names":false,"suffix":""},{"dropping-particle":"","family":"Johansson","given":"Peter A.","non-dropping-particle":"","parse-names":false,"suffix":""},{"dropping-particle":"","family":"Langkilde","given":"Anna-Maria","non-dropping-particle":"","parse-names":false,"suffix":""},{"dropping-particle":"","family":"Sabatine","given":"Marc S.","non-dropping-particle":"","parse-names":false,"suffix":""},{"dropping-particle":"","family":"DECLARE–TIMI 58 Investigators","given":"","non-dropping-particle":"","parse-names":false,"suffix":""}],"container-title":"New England Journal of Medicine","id":"ITEM-1","issue":"4","issued":{"date-parts":[["2019","1","24"]]},"page":"347-357","title":"Dapagliflozin and Cardiovascular Outcomes in Type 2 Diabetes","type":"article-journal","volume":"380"},"uris":["http://www.mendeley.com/documents/?uuid=1e792486-62ed-3c60-9303-48c2a35bdcdd"]}],"mendeley":{"formattedCitation":"&lt;sup&gt;14&lt;/sup&gt;","plainTextFormattedCitation":"14","previouslyFormattedCitation":"&lt;sup&gt;14&lt;/sup&gt;"},"properties":{"noteIndex":0},"schema":"https://github.com/citation-style-language/schema/raw/master/csl-citation.json"}</w:instrText>
      </w:r>
      <w:r w:rsidR="00E60603">
        <w:rPr>
          <w:rFonts w:asciiTheme="majorBidi" w:hAnsiTheme="majorBidi"/>
          <w:sz w:val="24"/>
          <w:szCs w:val="24"/>
        </w:rPr>
        <w:fldChar w:fldCharType="separate"/>
      </w:r>
      <w:r w:rsidR="00B90562" w:rsidRPr="00B90562">
        <w:rPr>
          <w:rFonts w:asciiTheme="majorBidi" w:hAnsiTheme="majorBidi"/>
          <w:sz w:val="24"/>
          <w:szCs w:val="24"/>
          <w:vertAlign w:val="superscript"/>
        </w:rPr>
        <w:t>14</w:t>
      </w:r>
      <w:r w:rsidR="00E60603">
        <w:rPr>
          <w:rFonts w:asciiTheme="majorBidi" w:hAnsiTheme="majorBidi"/>
          <w:sz w:val="24"/>
          <w:szCs w:val="24"/>
        </w:rPr>
        <w:fldChar w:fldCharType="end"/>
      </w:r>
      <w:r w:rsidR="00F27359">
        <w:t xml:space="preserve">. </w:t>
      </w:r>
    </w:p>
    <w:p w14:paraId="5EA2D3E2" w14:textId="0B0CC46C" w:rsidR="003A1F8B" w:rsidRDefault="003F55D8" w:rsidP="00CC07E2">
      <w:pPr>
        <w:pStyle w:val="Title2"/>
        <w:spacing w:before="0" w:beforeAutospacing="0" w:after="0" w:afterAutospacing="0" w:line="480" w:lineRule="auto"/>
        <w:jc w:val="both"/>
        <w:rPr>
          <w:rFonts w:asciiTheme="majorBidi" w:hAnsiTheme="majorBidi" w:cstheme="majorBidi"/>
          <w:color w:val="000000"/>
        </w:rPr>
      </w:pPr>
      <w:r>
        <w:t>Herein we</w:t>
      </w:r>
      <w:r w:rsidR="00EE2B8F">
        <w:t xml:space="preserve"> </w:t>
      </w:r>
      <w:r>
        <w:t xml:space="preserve">report </w:t>
      </w:r>
      <w:r w:rsidR="00EE2B8F">
        <w:t xml:space="preserve">the </w:t>
      </w:r>
      <w:r>
        <w:t xml:space="preserve">findings </w:t>
      </w:r>
      <w:r w:rsidR="00EE2B8F">
        <w:t xml:space="preserve">of </w:t>
      </w:r>
      <w:r w:rsidR="008B19C2">
        <w:t xml:space="preserve">the </w:t>
      </w:r>
      <w:r w:rsidR="00992AF0">
        <w:t xml:space="preserve">predefined </w:t>
      </w:r>
      <w:r w:rsidR="00EE2B8F">
        <w:t xml:space="preserve">renal outcomes </w:t>
      </w:r>
      <w:r w:rsidR="001B61F0">
        <w:t>in</w:t>
      </w:r>
      <w:r w:rsidR="00EE2B8F">
        <w:t xml:space="preserve"> the DECLARE-TIMI 58 trial, </w:t>
      </w:r>
      <w:r>
        <w:t>and provide</w:t>
      </w:r>
      <w:r w:rsidR="007A50E8">
        <w:t xml:space="preserve"> new insights into the </w:t>
      </w:r>
      <w:r w:rsidR="001B61F0">
        <w:t>role</w:t>
      </w:r>
      <w:r w:rsidR="007A50E8">
        <w:t xml:space="preserve"> of </w:t>
      </w:r>
      <w:r w:rsidR="007A50E8" w:rsidRPr="00A052E2">
        <w:t>SGLT2</w:t>
      </w:r>
      <w:r w:rsidR="00AC1272" w:rsidRPr="00A052E2">
        <w:t>i</w:t>
      </w:r>
      <w:r w:rsidR="007A50E8">
        <w:t xml:space="preserve"> in the treatment of patients with T2D with</w:t>
      </w:r>
      <w:r w:rsidR="008B19C2">
        <w:t xml:space="preserve"> </w:t>
      </w:r>
      <w:r w:rsidR="001B7894">
        <w:t xml:space="preserve">and </w:t>
      </w:r>
      <w:r w:rsidR="007A50E8">
        <w:t xml:space="preserve">without </w:t>
      </w:r>
      <w:r w:rsidR="001B7894">
        <w:t xml:space="preserve">known </w:t>
      </w:r>
      <w:r w:rsidR="007A50E8">
        <w:t>ASCVD</w:t>
      </w:r>
      <w:r w:rsidR="008B19C2">
        <w:t xml:space="preserve"> </w:t>
      </w:r>
      <w:r w:rsidR="00A95884">
        <w:t>and relatively normal renal function.</w:t>
      </w:r>
      <w:r w:rsidR="006F139D">
        <w:rPr>
          <w:rFonts w:asciiTheme="majorBidi" w:hAnsiTheme="majorBidi" w:cstheme="majorBidi"/>
          <w:color w:val="000000"/>
        </w:rPr>
        <w:t xml:space="preserve"> </w:t>
      </w:r>
    </w:p>
    <w:p w14:paraId="3592A43E" w14:textId="5CDE7E5E" w:rsidR="006D3672" w:rsidRDefault="006F139D" w:rsidP="00A95884">
      <w:pPr>
        <w:pStyle w:val="Title2"/>
        <w:spacing w:before="0" w:beforeAutospacing="0" w:after="0" w:afterAutospacing="0" w:line="480" w:lineRule="auto"/>
        <w:jc w:val="both"/>
        <w:rPr>
          <w:rFonts w:asciiTheme="majorBidi" w:hAnsiTheme="majorBidi" w:cstheme="majorBidi"/>
          <w:color w:val="000000"/>
        </w:rPr>
      </w:pPr>
      <w:r>
        <w:rPr>
          <w:rFonts w:asciiTheme="majorBidi" w:hAnsiTheme="majorBidi" w:cstheme="majorBidi"/>
          <w:color w:val="000000"/>
        </w:rPr>
        <w:t xml:space="preserve"> </w:t>
      </w:r>
    </w:p>
    <w:p w14:paraId="55B3A7F4" w14:textId="77777777" w:rsidR="001B61F0" w:rsidRDefault="001B61F0" w:rsidP="00F6756A">
      <w:pPr>
        <w:pStyle w:val="Title2"/>
        <w:spacing w:before="0" w:beforeAutospacing="0" w:after="0" w:afterAutospacing="0" w:line="480" w:lineRule="auto"/>
        <w:jc w:val="both"/>
        <w:rPr>
          <w:rFonts w:asciiTheme="majorBidi" w:hAnsiTheme="majorBidi" w:cstheme="majorBidi"/>
          <w:color w:val="000000"/>
        </w:rPr>
      </w:pPr>
    </w:p>
    <w:p w14:paraId="683F15C7" w14:textId="77777777" w:rsidR="00292671" w:rsidRPr="001919B6" w:rsidRDefault="00A03FBE" w:rsidP="00F6756A">
      <w:pPr>
        <w:pStyle w:val="Title2"/>
        <w:spacing w:before="0" w:beforeAutospacing="0" w:after="0" w:afterAutospacing="0" w:line="480" w:lineRule="auto"/>
        <w:jc w:val="both"/>
        <w:rPr>
          <w:rFonts w:asciiTheme="majorBidi" w:hAnsiTheme="majorBidi" w:cstheme="majorBidi"/>
          <w:color w:val="000000"/>
          <w:lang w:val="en-GB"/>
        </w:rPr>
      </w:pPr>
      <w:r>
        <w:rPr>
          <w:rFonts w:asciiTheme="majorBidi" w:hAnsiTheme="majorBidi" w:cstheme="majorBidi"/>
          <w:color w:val="000000"/>
        </w:rPr>
        <w:t xml:space="preserve"> </w:t>
      </w:r>
      <w:r w:rsidR="00E17C53">
        <w:rPr>
          <w:rFonts w:asciiTheme="majorBidi" w:hAnsiTheme="majorBidi" w:cstheme="majorBidi"/>
          <w:color w:val="000000"/>
        </w:rPr>
        <w:t xml:space="preserve"> </w:t>
      </w:r>
    </w:p>
    <w:p w14:paraId="573360D6" w14:textId="77777777" w:rsidR="00D20E63" w:rsidRPr="00D15C2E" w:rsidRDefault="00D20E63" w:rsidP="00D20E63">
      <w:pPr>
        <w:spacing w:line="480" w:lineRule="auto"/>
        <w:jc w:val="both"/>
        <w:rPr>
          <w:rFonts w:ascii="Times New Roman" w:hAnsi="Times New Roman" w:cs="Times New Roman"/>
          <w:b/>
          <w:sz w:val="24"/>
          <w:szCs w:val="24"/>
        </w:rPr>
      </w:pPr>
      <w:r w:rsidRPr="00D15C2E">
        <w:rPr>
          <w:rFonts w:ascii="Times New Roman" w:hAnsi="Times New Roman" w:cs="Times New Roman"/>
          <w:b/>
          <w:sz w:val="24"/>
          <w:szCs w:val="24"/>
        </w:rPr>
        <w:t xml:space="preserve">METHODS </w:t>
      </w:r>
    </w:p>
    <w:p w14:paraId="6916E102" w14:textId="77777777" w:rsidR="00F40129" w:rsidRPr="00343A02" w:rsidRDefault="00F40129" w:rsidP="00F40129">
      <w:pPr>
        <w:pStyle w:val="Heading2"/>
        <w:spacing w:line="360" w:lineRule="auto"/>
        <w:rPr>
          <w:rFonts w:asciiTheme="majorBidi" w:hAnsiTheme="majorBidi"/>
          <w:i/>
          <w:iCs/>
          <w:color w:val="000000" w:themeColor="text1"/>
          <w:sz w:val="28"/>
        </w:rPr>
      </w:pPr>
      <w:r w:rsidRPr="00343A02">
        <w:rPr>
          <w:rFonts w:asciiTheme="majorBidi" w:hAnsiTheme="majorBidi"/>
          <w:color w:val="000000" w:themeColor="text1"/>
          <w:sz w:val="28"/>
        </w:rPr>
        <w:t xml:space="preserve">Study Design, trial population, intervention and CV outcomes: </w:t>
      </w:r>
    </w:p>
    <w:p w14:paraId="2DC2FFD1" w14:textId="1120B1AA" w:rsidR="000B675B" w:rsidRPr="000B675B" w:rsidRDefault="00D20E63" w:rsidP="00853653">
      <w:pPr>
        <w:pStyle w:val="EndNoteBibliography"/>
        <w:spacing w:line="480" w:lineRule="auto"/>
        <w:rPr>
          <w:rFonts w:ascii="Times New Roman" w:hAnsi="Times New Roman" w:cs="Times New Roman"/>
          <w:sz w:val="24"/>
          <w:szCs w:val="24"/>
        </w:rPr>
      </w:pPr>
      <w:r w:rsidRPr="00A96DF1">
        <w:rPr>
          <w:rFonts w:asciiTheme="majorBidi" w:hAnsiTheme="majorBidi"/>
          <w:sz w:val="24"/>
          <w:szCs w:val="24"/>
        </w:rPr>
        <w:t>DECLARE TIMI-58 trial design, baseline characteristics and main results were previously reported</w:t>
      </w:r>
      <w:r w:rsidR="006912AF">
        <w:rPr>
          <w:rFonts w:asciiTheme="majorBidi" w:hAnsiTheme="majorBidi"/>
          <w:sz w:val="24"/>
          <w:szCs w:val="24"/>
        </w:rPr>
        <w:fldChar w:fldCharType="begin" w:fldLock="1"/>
      </w:r>
      <w:r w:rsidR="00B90562">
        <w:rPr>
          <w:rFonts w:asciiTheme="majorBidi" w:hAnsiTheme="majorBidi"/>
          <w:sz w:val="24"/>
          <w:szCs w:val="24"/>
        </w:rPr>
        <w:instrText>ADDIN CSL_CITATION {"citationItems":[{"id":"ITEM-1","itemData":{"DOI":"10.1016/j.ahj.2018.01.012","ISSN":"10976744","abstract":"© 2018 Background: Dapagliflozin is a sodium-glucose co-transporter-2 (SGLT-2) inhibitor that reduces blood glucose in patients with type 2 diabetes mellitus (T2DM) by promoting glycosuria via inhibiting urinary glucose reabsorption. In addition to improving blood glucose control, treatment with dapagliflozin results in glucose-induced osmotic diuresis, weight loss, and blood pressure lowering. Previous trials of SGLT-2 inhibitors showed reductions in cardiovascular (CV) events, including CV death and hospitalization for heart failure, and ischemic events in patients with atherosclerotic cardiovascular disease (ASCVD). Research design and methods: DECLARE–TIMI 58 (NCT01730534) is a phase 3b randomized, double-blind, placebo-controlled trial designed to evaluate the CV safety and efficacy of dapagliflozin that has completed randomization of 17,160 patients with T2DM and a history of either established ASCVD (n = 6,971) or multiple risk factors for ASCVD (n = 10,189). Patients were randomized in a 1:1 fashion to dapagliflozin 10 mg or matching placebo. The primary safety outcome is the time to the first event of the composite of CV death, myocardial infarction, or ischemic stroke (major adverse cardiovascular events; MACEs). The co-primary efficacy outcomes are the composite of CV death, myocardial infarction, or ischemic stroke and the composite of CV death or hospitalization for heart failure. This event-driven trial will continue until at least 1,390 subjects have a MACE outcome, thereby providing &gt;99% power to test for the primary outcome of safety of dapagliflozin measured by rejecting the hypothesis that the upper bound of the CI &gt;1.3 for the primary outcome of MACE, as well as 85% power to detect a 15% relative risk reduction in MACE and an estimated 87% power to detect a 20% reduction in the composite of CV death or hospitalization for heart failure at a 1-sided α level of.0231. Conclusion: The DECLARE–TIMI 58 trial is testing the hypotheses that dapagliflozin is safe (does not increase) and may reduce the occurrence of major CV events. DECLARE–TIMI 58 is the largest study to address this question with an SGLT-2 inhibitor in patients with T2DM and with established CV disease and without CV disease but with multiple risk factors.","author":[{"dropping-particle":"","family":"Wiviott","given":"S.D.","non-dropping-particle":"","parse-names":false,"suffix":""},{"dropping-particle":"","family":"Raz","given":"I.","non-dropping-particle":"","parse-names":false,"suffix":""},{"dropping-particle":"","family":"Bonaca","given":"M.P.","non-dropping-particle":"","parse-names":false,"suffix":""},{"dropping-particle":"","family":"Mosenzon","given":"O.","non-dropping-particle":"","parse-names":false,"suffix":""},{"dropping-particle":"","family":"Kato","given":"E.T.","non-dropping-particle":"","parse-names":false,"suffix":""},{"dropping-particle":"","family":"Cahn","given":"A.","non-dropping-particle":"","parse-names":false,"suffix":""},{"dropping-particle":"","family":"Silverman","given":"M.G.","non-dropping-particle":"","parse-names":false,"suffix":""},{"dropping-particle":"","family":"Bansilal","given":"S.","non-dropping-particle":"","parse-names":false,"suffix":""},{"dropping-particle":"","family":"Bhatt","given":"D.L.","non-dropping-particle":"","parse-names":false,"suffix":""},{"dropping-particle":"","family":"Leiter","given":"L.A.","non-dropping-particle":"","parse-names":false,"suffix":""},{"dropping-particle":"","family":"McGuire","given":"D.K.","non-dropping-particle":"","parse-names":false,"suffix":""},{"dropping-particle":"","family":"Wilding","given":"J.P.","non-dropping-particle":"","parse-names":false,"suffix":""},{"dropping-particle":"","family":"Gause-Nilsson","given":"I.A.","non-dropping-particle":"","parse-names":false,"suffix":""},{"dropping-particle":"","family":"Langkilde","given":"A.M.","non-dropping-particle":"","parse-names":false,"suffix":""},{"dropping-particle":"","family":"Johansson","given":"P.A.","non-dropping-particle":"","parse-names":false,"suffix":""},{"dropping-particle":"","family":"Sabatine","given":"M.S.","non-dropping-particle":"","parse-names":false,"suffix":""}],"container-title":"American Heart Journal","id":"ITEM-1","issued":{"date-parts":[["2018"]]},"title":"The design and rationale for the Dapagliflozin Effect on Cardiovascular Events (DECLARE)–TIMI 58 Trial","type":"article-journal","volume":"200"},"uris":["http://www.mendeley.com/documents/?uuid=9cf8bdfe-6f66-3306-9fbc-57ae552a24dc"]},{"id":"ITEM-2","itemData":{"DOI":"10.1111/dom.13217","ISSN":"14628902","PMID":"29322605","abstract":"AIM To describe the baseline characteristics of participants randomized in the Dapagliflozin Effect on CardiovascuLAR Events (DECLARE-TIMI 58) trial, the pivotal study conducted to assess cardiovascular (CV) outcomes with dapagliflozin. METHODS The DECLARE-TIMI 58 trial will analyse 17 160 patients with type 2 diabetes randomized to treatment with dapagliflozin (10 mg/d) or matching placebo. We analysed their baseline characteristics. RESULTS The participants' mean ± SD age was 63.8 ± 6.8 years, 62.6% were male, and their mean ± SD diabetes duration was 11.8 ± 7.8 years, glycated haemoglobin 8.3% ± 1.2% (67 mmol/mol ± 9.7 mmol/mol) and body mass index 32.1 ± 6.0 kg/m2 . Randomization included 6971 (40.6%) patients with atherosclerotic CV disease (CVD), and 10 189 (59.4%) patients with multiple risk factors (MRF) for CVD (defined as men age ≥ 55 years or women ≥60 years, with at least one of dyslipidaemia, hypertension or smoking). Patients with CVD compared with patients with MRF were younger (62.5 ± 8.1 vs 64.7 ± 5.6 years), more frequently male (72.1% vs 56.1%), less often used metformin (74.6% vs 81.2%), more often used insulin (44.2% vs 36.4%), and more frequently used statins, aspirin, clopidogrel and β-blockers (82.2%, 71.1%, 24.7% and 66.6% vs 63.7%, 39.1%, 1.5% and 32.3%, respectively). CONCLUSION The DECLARE-TIMI 58 trial is expected to provide conclusive data on the effect of treatment with dapagliflozin in addition to standard of care, on CV outcomes in a broad patient population with type 2 diabetes and CVD or MRF for CVD.","author":[{"dropping-particle":"","family":"Raz","given":"Itamar","non-dropping-particle":"","parse-names":false,"suffix":""},{"dropping-particle":"","family":"Mosenzon","given":"Ofri","non-dropping-particle":"","parse-names":false,"suffix":""},{"dropping-particle":"","family":"Bonaca","given":"Marc P.","non-dropping-particle":"","parse-names":false,"suffix":""},{"dropping-particle":"","family":"Cahn","given":"Avivit","non-dropping-particle":"","parse-names":false,"suffix":""},{"dropping-particle":"","family":"Kato","given":"Eri T.","non-dropping-particle":"","parse-names":false,"suffix":""},{"dropping-particle":"","family":"Silverman","given":"Michael G.","non-dropping-particle":"","parse-names":false,"suffix":""},{"dropping-particle":"","family":"Bhatt","given":"Deepak L.","non-dropping-particle":"","parse-names":false,"suffix":""},{"dropping-particle":"","family":"Leiter","given":"Lawrence A.","non-dropping-particle":"","parse-names":false,"suffix":""},{"dropping-particle":"","family":"McGuire","given":"Darren K.","non-dropping-particle":"","parse-names":false,"suffix":""},{"dropping-particle":"","family":"Wilding","given":"John P. H.","non-dropping-particle":"","parse-names":false,"suffix":""},{"dropping-particle":"","family":"Gause-Nilsson","given":"Ingrid A. M.","non-dropping-particle":"","parse-names":false,"suffix":""},{"dropping-particle":"","family":"Langkilde","given":"Anna M.","non-dropping-particle":"","parse-names":false,"suffix":""},{"dropping-particle":"","family":"Johansson","given":"Peter A.","non-dropping-particle":"","parse-names":false,"suffix":""},{"dropping-particle":"","family":"Sabatine","given":"Marc S.","non-dropping-particle":"","parse-names":false,"suffix":""},{"dropping-particle":"","family":"Wiviott","given":"Stephen D.","non-dropping-particle":"","parse-names":false,"suffix":""}],"container-title":"Diabetes, Obesity and Metabolism","id":"ITEM-2","issue":"5","issued":{"date-parts":[["2018","5"]]},"page":"1102-1110","title":"DECLARE-TIMI 58: Participants’ baseline characteristics","type":"article-journal","volume":"20"},"uris":["http://www.mendeley.com/documents/?uuid=3f6d25c6-269b-30ee-9531-61f0631e1277"]},{"id":"ITEM-3","itemData":{"DOI":"10.1056/NEJMoa1812389","ISSN":"0028-4793","PMID":"30415602","abstract":"BACKGROUND The cardiovascular safety profile of dapagliflozin, a selective inhibitor of sodium-glucose cotransporter 2 that promotes glucosuria in patients with type 2 diabetes, is undefined. METHODS We randomly assigned patients with type 2 diabetes who had or were at risk for atherosclerotic cardiovascular disease to receive either dapagliflozin or placebo. The primary safety outcome was a composite of major adverse cardiovascular events (MACE), defined as cardiovascular death, myocardial infarction, or ischemic stroke. The primary efficacy outcomes were MACE and a composite of cardiovascular death or hospitalization for heart failure. Secondary efficacy outcomes were a renal composite (≥40% decrease in estimated glomerular filtration rate to &lt;60 ml per minute per 1.73 m2 of body-surface area, new end-stage renal disease, or death from renal or cardiovascular causes) and death from any cause. RESULTS We evaluated 17,160 patients, including 10,186 without atherosclerotic cardiovascular disease, who were followed for a median of 4.2 years. In the primary safety outcome analysis, dapagliflozin met the prespecified criterion for noninferiority to placebo with respect to MACE (upper boundary of the 95% confidence interval [CI], &lt;1.3; P&lt;0.001 for noninferiority). In the two primary efficacy analyses, dapagliflozin did not result in a lower rate of MACE (8.8% in the dapagliflozin group and 9.4% in the placebo group; hazard ratio, 0.93; 95% CI, 0.84 to 1.03; P=0.17) but did result in a lower rate of cardiovascular death or hospitalization for heart failure (4.9% vs. 5.8%; hazard ratio, 0.83; 95% CI, 0.73 to 0.95; P=0.005), which reflected a lower rate of hospitalization for heart failure (hazard ratio, 0.73; 95% CI, 0.61 to 0.88); there was no between-group difference in cardiovascular death (hazard ratio, 0.98; 95% CI, 0.82 to 1.17). A renal event occurred in 4.3% in the dapagliflozin group and in 5.6% in the placebo group (hazard ratio, 0.76; 95% CI, 0.67 to 0.87), and death from any cause occurred in 6.2% and 6.6%, respectively (hazard ratio, 0.93; 95% CI, 0.82 to 1.04). Diabetic ketoacidosis was more common with dapagliflozin than with placebo (0.3% vs. 0.1%, P=0.02), as was the rate of genital infections that led to discontinuation of the regimen or that were considered to be serious adverse events (0.9% vs. 0.1%, P&lt;0.001). CONCLUSIONS In patients with type 2 diabetes who had or were at risk for atherosclerotic cardiovascular disease, treatment with dapa…","author":[{"dropping-particle":"","family":"Wiviott","given":"Stephen D.","non-dropping-particle":"","parse-names":false,"suffix":""},{"dropping-particle":"","family":"Raz","given":"Itamar","non-dropping-particle":"","parse-names":false,"suffix":""},{"dropping-particle":"","family":"Bonaca","given":"Marc P.","non-dropping-particle":"","parse-names":false,"suffix":""},{"dropping-particle":"","family":"Mosenzon","given":"Ofri","non-dropping-particle":"","parse-names":false,"suffix":""},{"dropping-particle":"","family":"Kato","given":"Eri T.","non-dropping-particle":"","parse-names":false,"suffix":""},{"dropping-particle":"","family":"Cahn","given":"Avivit","non-dropping-particle":"","parse-names":false,"suffix":""},{"dropping-particle":"","family":"Silverman","given":"Michael G.","non-dropping-particle":"","parse-names":false,"suffix":""},{"dropping-particle":"","family":"Zelniker","given":"Thomas A.","non-dropping-particle":"","parse-names":false,"suffix":""},{"dropping-particle":"","family":"Kuder","given":"Julia F.","non-dropping-particle":"","parse-names":false,"suffix":""},{"dropping-particle":"","family":"Murphy","given":"Sabina A.","non-dropping-particle":"","parse-names":false,"suffix":""},{"dropping-particle":"","family":"Bhatt","given":"Deepak L.","non-dropping-particle":"","parse-names":false,"suffix":""},{"dropping-particle":"","family":"Leiter","given":"Lawrence A.","non-dropping-particle":"","parse-names":false,"suffix":""},{"dropping-particle":"","family":"McGuire","given":"Darren K.","non-dropping-particle":"","parse-names":false,"suffix":""},{"dropping-particle":"","family":"Wilding","given":"John P.H.","non-dropping-particle":"","parse-names":false,"suffix":""},{"dropping-particle":"","family":"Ruff","given":"Christian T.","non-dropping-particle":"","parse-names":false,"suffix":""},{"dropping-particle":"","family":"Gause-Nilsson","given":"Ingrid A.M.","non-dropping-particle":"","parse-names":false,"suffix":""},{"dropping-particle":"","family":"Fredriksson","given":"Martin","non-dropping-particle":"","parse-names":false,"suffix":""},{"dropping-particle":"","family":"Johansson","given":"Peter A.","non-dropping-particle":"","parse-names":false,"suffix":""},{"dropping-particle":"","family":"Langkilde","given":"Anna-Maria","non-dropping-particle":"","parse-names":false,"suffix":""},{"dropping-particle":"","family":"Sabatine","given":"Marc S.","non-dropping-particle":"","parse-names":false,"suffix":""},{"dropping-particle":"","family":"DECLARE–TIMI 58 Investigators","given":"","non-dropping-particle":"","parse-names":false,"suffix":""}],"container-title":"New England Journal of Medicine","id":"ITEM-3","issue":"4","issued":{"date-parts":[["2019","1","24"]]},"page":"347-357","title":"Dapagliflozin and Cardiovascular Outcomes in Type 2 Diabetes","type":"article-journal","volume":"380"},"uris":["http://www.mendeley.com/documents/?uuid=1e792486-62ed-3c60-9303-48c2a35bdcdd"]}],"mendeley":{"formattedCitation":"&lt;sup&gt;14–16&lt;/sup&gt;","plainTextFormattedCitation":"14–16","previouslyFormattedCitation":"&lt;sup&gt;14–16&lt;/sup&gt;"},"properties":{"noteIndex":0},"schema":"https://github.com/citation-style-language/schema/raw/master/csl-citation.json"}</w:instrText>
      </w:r>
      <w:r w:rsidR="006912AF">
        <w:rPr>
          <w:rFonts w:asciiTheme="majorBidi" w:hAnsiTheme="majorBidi"/>
          <w:sz w:val="24"/>
          <w:szCs w:val="24"/>
        </w:rPr>
        <w:fldChar w:fldCharType="separate"/>
      </w:r>
      <w:r w:rsidR="00B90562" w:rsidRPr="00B90562">
        <w:rPr>
          <w:rFonts w:asciiTheme="majorBidi" w:hAnsiTheme="majorBidi"/>
          <w:sz w:val="24"/>
          <w:szCs w:val="24"/>
          <w:vertAlign w:val="superscript"/>
        </w:rPr>
        <w:t>14–16</w:t>
      </w:r>
      <w:r w:rsidR="006912AF">
        <w:rPr>
          <w:rFonts w:asciiTheme="majorBidi" w:hAnsiTheme="majorBidi"/>
          <w:sz w:val="24"/>
          <w:szCs w:val="24"/>
        </w:rPr>
        <w:fldChar w:fldCharType="end"/>
      </w:r>
      <w:r w:rsidRPr="00A96DF1">
        <w:rPr>
          <w:rFonts w:asciiTheme="majorBidi" w:hAnsiTheme="majorBidi"/>
          <w:sz w:val="24"/>
          <w:szCs w:val="24"/>
        </w:rPr>
        <w:t xml:space="preserve">. Briefly, </w:t>
      </w:r>
      <w:r w:rsidR="005C310E">
        <w:rPr>
          <w:rFonts w:asciiTheme="majorBidi" w:hAnsiTheme="majorBidi"/>
          <w:sz w:val="24"/>
          <w:szCs w:val="24"/>
        </w:rPr>
        <w:t xml:space="preserve">the trial enrolled </w:t>
      </w:r>
      <w:r w:rsidRPr="00A96DF1">
        <w:rPr>
          <w:rFonts w:asciiTheme="majorBidi" w:hAnsiTheme="majorBidi"/>
          <w:sz w:val="24"/>
          <w:szCs w:val="24"/>
        </w:rPr>
        <w:t xml:space="preserve">patients with T2D </w:t>
      </w:r>
      <w:r w:rsidR="008A1DBB" w:rsidRPr="00A96DF1">
        <w:rPr>
          <w:rFonts w:asciiTheme="majorBidi" w:hAnsiTheme="majorBidi"/>
          <w:sz w:val="24"/>
          <w:szCs w:val="24"/>
        </w:rPr>
        <w:t xml:space="preserve">and either established ASCVD (age ≥ 40 and either ischemic heart disease, cerebrovascular disease or peripheral arterial disease), or MRF for </w:t>
      </w:r>
      <w:r w:rsidR="001B7894">
        <w:rPr>
          <w:rFonts w:asciiTheme="majorBidi" w:hAnsiTheme="majorBidi"/>
          <w:sz w:val="24"/>
          <w:szCs w:val="24"/>
        </w:rPr>
        <w:t>AS</w:t>
      </w:r>
      <w:r w:rsidR="008A1DBB" w:rsidRPr="00A96DF1">
        <w:rPr>
          <w:rFonts w:asciiTheme="majorBidi" w:hAnsiTheme="majorBidi"/>
          <w:sz w:val="24"/>
          <w:szCs w:val="24"/>
        </w:rPr>
        <w:t xml:space="preserve">CVD ( age ≥ 55 years for men or ≥ 60 years for women plus at least one of </w:t>
      </w:r>
      <w:r w:rsidR="003F55D8">
        <w:rPr>
          <w:rFonts w:asciiTheme="majorBidi" w:hAnsiTheme="majorBidi"/>
          <w:sz w:val="24"/>
          <w:szCs w:val="24"/>
        </w:rPr>
        <w:t xml:space="preserve">the following risk factors: </w:t>
      </w:r>
      <w:r w:rsidR="008A1DBB" w:rsidRPr="00A96DF1">
        <w:rPr>
          <w:rFonts w:asciiTheme="majorBidi" w:hAnsiTheme="majorBidi"/>
          <w:sz w:val="24"/>
          <w:szCs w:val="24"/>
        </w:rPr>
        <w:t>dyslipidemia, hypertension or current tobacco use)</w:t>
      </w:r>
      <w:r w:rsidR="005C310E">
        <w:rPr>
          <w:rFonts w:asciiTheme="majorBidi" w:hAnsiTheme="majorBidi"/>
          <w:sz w:val="24"/>
          <w:szCs w:val="24"/>
        </w:rPr>
        <w:t>.</w:t>
      </w:r>
      <w:r w:rsidR="008A1DBB" w:rsidRPr="00A96DF1">
        <w:rPr>
          <w:rFonts w:asciiTheme="majorBidi" w:hAnsiTheme="majorBidi"/>
          <w:sz w:val="24"/>
          <w:szCs w:val="24"/>
        </w:rPr>
        <w:t xml:space="preserve">   </w:t>
      </w:r>
      <w:r w:rsidR="00F0270B" w:rsidRPr="00A96DF1">
        <w:rPr>
          <w:rFonts w:asciiTheme="majorBidi" w:hAnsiTheme="majorBidi"/>
          <w:sz w:val="24"/>
          <w:szCs w:val="24"/>
        </w:rPr>
        <w:t>Enrollment criteria included patients with</w:t>
      </w:r>
      <w:r w:rsidR="00F0270B">
        <w:rPr>
          <w:rFonts w:asciiTheme="majorBidi" w:hAnsiTheme="majorBidi"/>
          <w:sz w:val="24"/>
          <w:szCs w:val="24"/>
        </w:rPr>
        <w:t xml:space="preserve"> HbA1c 6.5-12% and</w:t>
      </w:r>
      <w:r w:rsidR="00F0270B" w:rsidRPr="00A96DF1">
        <w:rPr>
          <w:rFonts w:asciiTheme="majorBidi" w:hAnsiTheme="majorBidi"/>
          <w:sz w:val="24"/>
          <w:szCs w:val="24"/>
        </w:rPr>
        <w:t xml:space="preserve"> creatinine clearance (estimated by Cockcroft-Gault equation</w:t>
      </w:r>
      <w:r w:rsidR="00E21A75" w:rsidRPr="00786FD4">
        <w:rPr>
          <w:rFonts w:asciiTheme="majorBidi" w:hAnsiTheme="majorBidi"/>
          <w:sz w:val="24"/>
          <w:szCs w:val="24"/>
          <w:vertAlign w:val="superscript"/>
        </w:rPr>
        <w:fldChar w:fldCharType="begin" w:fldLock="1"/>
      </w:r>
      <w:r w:rsidR="00B90562">
        <w:rPr>
          <w:rFonts w:asciiTheme="majorBidi" w:hAnsiTheme="majorBidi"/>
          <w:sz w:val="24"/>
          <w:szCs w:val="24"/>
          <w:vertAlign w:val="superscript"/>
        </w:rPr>
        <w:instrText>ADDIN CSL_CITATION {"citationItems":[{"id":"ITEM-1","itemData":{"DOI":"10.1016/j.jdiacomp.2017.06.016","ISSN":"10568727","PMID":"28711195","abstract":"AIMS To analyze the performance of Modification of Diet in Renal Disease (MDRD), Chronic Kidney Disease Epidemiology Collaboration (CKD-EPI), Cockcroft-Gault (CG), and CG calculated with ideal bodyweight (CG-IBW) equations to estimate glomerular filtration rate (eGFR) based on serum creatinine in a large diabetic population. METHODS 24,516 adults with type-1-diabetes or type-2-diabetes from the multicenter diabetes prospective follow-up registry DPV were analyzed. We compared eGFR and measured GFR (mGFR) based on 24-h urine collection by calculating mean bias (difference), precision (SD of this difference), accuracy (proportion of eGFR within ±10% of mGFR), Bland-Altman-plots. RESULTS CG overestimates, whereas MDRD, CKD-EPI, and CG-IBW underestimate. Smallest mean bias and highest accuracy (75.3%) were observed for MDRD compared to the other equations (p&lt;0.0001). MDRD and CKD-EPI estimated most accurately in stages 1 (MDRD:57.7%, CKD-EPI:57.3%) and 2 (MDRD:80.2%, CKD-EPI:80.7%). In stages 3 to 5, highest accuracy was observed for the MDRD (stage 3:82.3%, stage 4:77.8%, stage 5:71.0%). Among younger subjects, accuracy was higher using the CKD-EPI (18-&lt;40years:63.7%, 40-&lt;60years:72.8%). Above age 60years, MDRD estimated most accurately (60-&lt;70years:77.3%, ≥70years:78.8%). In males and females, MDRD estimated most accurately (males:75.3%, females:75.3%). CONCLUSION In this large diabetic cohort, smallest bias and highest accuracy were observed for the MDRD.","author":[{"dropping-particle":"","family":"Schwandt","given":"Anke","non-dropping-particle":"","parse-names":false,"suffix":""},{"dropping-particle":"","family":"Denkinger","given":"Michael","non-dropping-particle":"","parse-names":false,"suffix":""},{"dropping-particle":"","family":"Fasching","given":"Peter","non-dropping-particle":"","parse-names":false,"suffix":""},{"dropping-particle":"","family":"Pfeifer","given":"Martin","non-dropping-particle":"","parse-names":false,"suffix":""},{"dropping-particle":"","family":"Wagner","given":"Christian","non-dropping-particle":"","parse-names":false,"suffix":""},{"dropping-particle":"","family":"Weiland","given":"Jörg","non-dropping-particle":"","parse-names":false,"suffix":""},{"dropping-particle":"","family":"Zeyfang","given":"Andrej","non-dropping-particle":"","parse-names":false,"suffix":""},{"dropping-particle":"","family":"Holl","given":"Reinhard W.","non-dropping-particle":"","parse-names":false,"suffix":""}],"container-title":"Journal of Diabetes and its Complications","id":"ITEM-1","issue":"9","issued":{"date-parts":[["2017","9"]]},"page":"1376-1383","title":"Comparison of MDRD, CKD-EPI, and Cockcroft-Gault equation in relation to measured glomerular filtration rate among a large cohort with diabetes","type":"article-journal","volume":"31"},"uris":["http://www.mendeley.com/documents/?uuid=b198ed08-3fbf-349a-9369-1613740c42fa"]}],"mendeley":{"formattedCitation":"&lt;sup&gt;17&lt;/sup&gt;","plainTextFormattedCitation":"17","previouslyFormattedCitation":"&lt;sup&gt;17&lt;/sup&gt;"},"properties":{"noteIndex":0},"schema":"https://github.com/citation-style-language/schema/raw/master/csl-citation.json"}</w:instrText>
      </w:r>
      <w:r w:rsidR="00E21A75" w:rsidRPr="00786FD4">
        <w:rPr>
          <w:rFonts w:asciiTheme="majorBidi" w:hAnsiTheme="majorBidi"/>
          <w:sz w:val="24"/>
          <w:szCs w:val="24"/>
          <w:vertAlign w:val="superscript"/>
        </w:rPr>
        <w:fldChar w:fldCharType="separate"/>
      </w:r>
      <w:r w:rsidR="00B90562" w:rsidRPr="00B90562">
        <w:rPr>
          <w:rFonts w:asciiTheme="majorBidi" w:hAnsiTheme="majorBidi"/>
          <w:sz w:val="24"/>
          <w:szCs w:val="24"/>
          <w:vertAlign w:val="superscript"/>
        </w:rPr>
        <w:t>17</w:t>
      </w:r>
      <w:r w:rsidR="00E21A75" w:rsidRPr="00786FD4">
        <w:rPr>
          <w:rFonts w:asciiTheme="majorBidi" w:hAnsiTheme="majorBidi"/>
          <w:sz w:val="24"/>
          <w:szCs w:val="24"/>
          <w:vertAlign w:val="superscript"/>
        </w:rPr>
        <w:fldChar w:fldCharType="end"/>
      </w:r>
      <w:r w:rsidR="00D24863">
        <w:rPr>
          <w:rFonts w:asciiTheme="majorBidi" w:hAnsiTheme="majorBidi"/>
          <w:sz w:val="24"/>
          <w:szCs w:val="24"/>
        </w:rPr>
        <w:t xml:space="preserve">) </w:t>
      </w:r>
      <w:r w:rsidR="00F0270B" w:rsidRPr="00A96DF1">
        <w:rPr>
          <w:rFonts w:asciiTheme="majorBidi" w:hAnsiTheme="majorBidi"/>
          <w:sz w:val="24"/>
          <w:szCs w:val="24"/>
        </w:rPr>
        <w:lastRenderedPageBreak/>
        <w:t>above 60 ml/min.</w:t>
      </w:r>
      <w:r w:rsidR="00F0270B">
        <w:rPr>
          <w:rFonts w:asciiTheme="majorBidi" w:hAnsiTheme="majorBidi"/>
          <w:sz w:val="24"/>
          <w:szCs w:val="24"/>
        </w:rPr>
        <w:t xml:space="preserve"> </w:t>
      </w:r>
      <w:r w:rsidR="008A1DBB" w:rsidRPr="00A96DF1">
        <w:rPr>
          <w:rFonts w:asciiTheme="majorBidi" w:hAnsiTheme="majorBidi"/>
          <w:sz w:val="24"/>
          <w:szCs w:val="24"/>
        </w:rPr>
        <w:t xml:space="preserve">Patients were </w:t>
      </w:r>
      <w:r w:rsidRPr="00A96DF1">
        <w:rPr>
          <w:rFonts w:asciiTheme="majorBidi" w:hAnsiTheme="majorBidi"/>
          <w:sz w:val="24"/>
          <w:szCs w:val="24"/>
        </w:rPr>
        <w:t xml:space="preserve">randomly assigned </w:t>
      </w:r>
      <w:r w:rsidR="00A955E3" w:rsidRPr="00A955E3">
        <w:rPr>
          <w:rFonts w:asciiTheme="majorBidi" w:hAnsiTheme="majorBidi"/>
          <w:sz w:val="24"/>
          <w:szCs w:val="24"/>
        </w:rPr>
        <w:t>in a double-blind</w:t>
      </w:r>
      <w:r w:rsidR="0003395A">
        <w:rPr>
          <w:rFonts w:asciiTheme="majorBidi" w:hAnsiTheme="majorBidi"/>
          <w:sz w:val="24"/>
          <w:szCs w:val="24"/>
        </w:rPr>
        <w:t>ed</w:t>
      </w:r>
      <w:r w:rsidR="00A955E3" w:rsidRPr="00A955E3">
        <w:rPr>
          <w:rFonts w:asciiTheme="majorBidi" w:hAnsiTheme="majorBidi"/>
          <w:sz w:val="24"/>
          <w:szCs w:val="24"/>
        </w:rPr>
        <w:t xml:space="preserve"> fashion </w:t>
      </w:r>
      <w:r w:rsidRPr="00A96DF1">
        <w:rPr>
          <w:rFonts w:asciiTheme="majorBidi" w:hAnsiTheme="majorBidi"/>
          <w:sz w:val="24"/>
          <w:szCs w:val="24"/>
        </w:rPr>
        <w:t>to dapagliflozin 10 mg once daily or matching placebo, on top of standard-of-care therapy for T2D</w:t>
      </w:r>
      <w:r w:rsidR="00E550B6">
        <w:rPr>
          <w:rFonts w:asciiTheme="majorBidi" w:hAnsiTheme="majorBidi"/>
          <w:sz w:val="24"/>
          <w:szCs w:val="24"/>
        </w:rPr>
        <w:t>,</w:t>
      </w:r>
      <w:r w:rsidRPr="00A96DF1">
        <w:rPr>
          <w:rFonts w:asciiTheme="majorBidi" w:hAnsiTheme="majorBidi"/>
          <w:sz w:val="24"/>
          <w:szCs w:val="24"/>
        </w:rPr>
        <w:t xml:space="preserve"> </w:t>
      </w:r>
      <w:r w:rsidR="008A1DBB" w:rsidRPr="00A96DF1">
        <w:rPr>
          <w:rFonts w:asciiTheme="majorBidi" w:hAnsiTheme="majorBidi"/>
          <w:sz w:val="24"/>
          <w:szCs w:val="24"/>
        </w:rPr>
        <w:t>CV</w:t>
      </w:r>
      <w:r w:rsidRPr="00A96DF1">
        <w:rPr>
          <w:rFonts w:asciiTheme="majorBidi" w:hAnsiTheme="majorBidi"/>
          <w:sz w:val="24"/>
          <w:szCs w:val="24"/>
        </w:rPr>
        <w:t xml:space="preserve"> diseases</w:t>
      </w:r>
      <w:r w:rsidR="00984AF5">
        <w:rPr>
          <w:rFonts w:asciiTheme="majorBidi" w:hAnsiTheme="majorBidi"/>
          <w:sz w:val="24"/>
          <w:szCs w:val="24"/>
        </w:rPr>
        <w:t>,</w:t>
      </w:r>
      <w:r w:rsidR="00E550B6">
        <w:rPr>
          <w:rFonts w:asciiTheme="majorBidi" w:hAnsiTheme="majorBidi"/>
          <w:sz w:val="24"/>
          <w:szCs w:val="24"/>
        </w:rPr>
        <w:t xml:space="preserve"> and risk factors</w:t>
      </w:r>
      <w:r w:rsidRPr="00A96DF1">
        <w:rPr>
          <w:rFonts w:asciiTheme="majorBidi" w:hAnsiTheme="majorBidi"/>
          <w:sz w:val="24"/>
          <w:szCs w:val="24"/>
        </w:rPr>
        <w:t xml:space="preserve">. </w:t>
      </w:r>
      <w:r w:rsidR="00886005" w:rsidRPr="00886005">
        <w:rPr>
          <w:rFonts w:asciiTheme="majorBidi" w:hAnsiTheme="majorBidi"/>
          <w:sz w:val="24"/>
          <w:szCs w:val="24"/>
        </w:rPr>
        <w:t>Randomization w</w:t>
      </w:r>
      <w:r w:rsidR="00886005">
        <w:rPr>
          <w:rFonts w:asciiTheme="majorBidi" w:hAnsiTheme="majorBidi"/>
          <w:sz w:val="24"/>
          <w:szCs w:val="24"/>
        </w:rPr>
        <w:t>as</w:t>
      </w:r>
      <w:r w:rsidR="00886005" w:rsidRPr="00886005">
        <w:rPr>
          <w:rFonts w:asciiTheme="majorBidi" w:hAnsiTheme="majorBidi"/>
          <w:sz w:val="24"/>
          <w:szCs w:val="24"/>
        </w:rPr>
        <w:t xml:space="preserve"> stratified by CV risk category (</w:t>
      </w:r>
      <w:r w:rsidR="00886005">
        <w:rPr>
          <w:rFonts w:asciiTheme="majorBidi" w:hAnsiTheme="majorBidi"/>
          <w:sz w:val="24"/>
          <w:szCs w:val="24"/>
        </w:rPr>
        <w:t>established ASCVD vs MRF for ASCVD)</w:t>
      </w:r>
      <w:r w:rsidR="00886005" w:rsidRPr="00886005">
        <w:rPr>
          <w:rFonts w:asciiTheme="majorBidi" w:hAnsiTheme="majorBidi"/>
          <w:sz w:val="24"/>
          <w:szCs w:val="24"/>
        </w:rPr>
        <w:t xml:space="preserve"> and baseline hematuria status</w:t>
      </w:r>
      <w:r w:rsidR="00721709">
        <w:rPr>
          <w:rFonts w:asciiTheme="majorBidi" w:hAnsiTheme="majorBidi"/>
          <w:sz w:val="24"/>
          <w:szCs w:val="24"/>
        </w:rPr>
        <w:t xml:space="preserve"> (</w:t>
      </w:r>
      <w:r w:rsidR="00A955E3">
        <w:rPr>
          <w:rFonts w:asciiTheme="majorBidi" w:hAnsiTheme="majorBidi"/>
          <w:sz w:val="24"/>
          <w:szCs w:val="24"/>
        </w:rPr>
        <w:t>due to regulatory requirement to investigate the risk for bladder cancer)</w:t>
      </w:r>
      <w:r w:rsidR="00886005">
        <w:rPr>
          <w:rFonts w:asciiTheme="majorBidi" w:hAnsiTheme="majorBidi"/>
          <w:sz w:val="24"/>
          <w:szCs w:val="24"/>
        </w:rPr>
        <w:t xml:space="preserve">. </w:t>
      </w:r>
      <w:r w:rsidR="002D1BF5" w:rsidRPr="005B44B2">
        <w:rPr>
          <w:rFonts w:ascii="Times New Roman" w:hAnsi="Times New Roman" w:cs="Times New Roman"/>
          <w:sz w:val="24"/>
          <w:szCs w:val="24"/>
        </w:rPr>
        <w:t>The trial</w:t>
      </w:r>
      <w:r w:rsidR="00237152">
        <w:rPr>
          <w:rFonts w:ascii="Times New Roman" w:hAnsi="Times New Roman" w:cs="Times New Roman"/>
          <w:sz w:val="24"/>
          <w:szCs w:val="24"/>
        </w:rPr>
        <w:t>'s</w:t>
      </w:r>
      <w:r w:rsidR="002D1BF5" w:rsidRPr="005B44B2">
        <w:rPr>
          <w:rFonts w:ascii="Times New Roman" w:hAnsi="Times New Roman" w:cs="Times New Roman"/>
          <w:sz w:val="24"/>
          <w:szCs w:val="24"/>
        </w:rPr>
        <w:t xml:space="preserve"> </w:t>
      </w:r>
      <w:r w:rsidR="00D532C2">
        <w:rPr>
          <w:rFonts w:ascii="Times New Roman" w:hAnsi="Times New Roman" w:cs="Times New Roman"/>
          <w:sz w:val="24"/>
          <w:szCs w:val="24"/>
        </w:rPr>
        <w:t xml:space="preserve">dual </w:t>
      </w:r>
      <w:r w:rsidR="002D1BF5" w:rsidRPr="005B44B2">
        <w:rPr>
          <w:rFonts w:ascii="Times New Roman" w:hAnsi="Times New Roman" w:cs="Times New Roman"/>
          <w:sz w:val="24"/>
          <w:szCs w:val="24"/>
        </w:rPr>
        <w:t xml:space="preserve">primary efficacy endpoints </w:t>
      </w:r>
      <w:r w:rsidR="009D6330">
        <w:rPr>
          <w:rFonts w:ascii="Times New Roman" w:hAnsi="Times New Roman" w:cs="Times New Roman"/>
          <w:sz w:val="24"/>
          <w:szCs w:val="24"/>
        </w:rPr>
        <w:t xml:space="preserve">(changed during the trial in agreement with regulatory agencies and before unblinding) </w:t>
      </w:r>
      <w:r w:rsidR="002D1BF5" w:rsidRPr="005B44B2">
        <w:rPr>
          <w:rFonts w:ascii="Times New Roman" w:hAnsi="Times New Roman" w:cs="Times New Roman"/>
          <w:sz w:val="24"/>
          <w:szCs w:val="24"/>
        </w:rPr>
        <w:t>were: MACE (the composite of CV death, MI or ischemic stroke)</w:t>
      </w:r>
      <w:r w:rsidR="002D1BF5">
        <w:rPr>
          <w:rFonts w:ascii="Times New Roman" w:hAnsi="Times New Roman" w:cs="Times New Roman"/>
          <w:sz w:val="24"/>
          <w:szCs w:val="24"/>
        </w:rPr>
        <w:t xml:space="preserve"> </w:t>
      </w:r>
      <w:r w:rsidR="002D1BF5" w:rsidRPr="005B44B2">
        <w:rPr>
          <w:rFonts w:ascii="Times New Roman" w:hAnsi="Times New Roman" w:cs="Times New Roman"/>
          <w:sz w:val="24"/>
          <w:szCs w:val="24"/>
        </w:rPr>
        <w:t xml:space="preserve"> and the composite of CV death </w:t>
      </w:r>
      <w:r w:rsidR="001B7894">
        <w:rPr>
          <w:rFonts w:ascii="Times New Roman" w:hAnsi="Times New Roman" w:cs="Times New Roman"/>
          <w:sz w:val="24"/>
          <w:szCs w:val="24"/>
        </w:rPr>
        <w:t>or</w:t>
      </w:r>
      <w:r w:rsidR="001B7894" w:rsidRPr="005B44B2">
        <w:rPr>
          <w:rFonts w:ascii="Times New Roman" w:hAnsi="Times New Roman" w:cs="Times New Roman"/>
          <w:sz w:val="24"/>
          <w:szCs w:val="24"/>
        </w:rPr>
        <w:t xml:space="preserve"> </w:t>
      </w:r>
      <w:r w:rsidR="002D1BF5" w:rsidRPr="005B44B2">
        <w:rPr>
          <w:rFonts w:ascii="Times New Roman" w:hAnsi="Times New Roman" w:cs="Times New Roman"/>
          <w:sz w:val="24"/>
          <w:szCs w:val="24"/>
        </w:rPr>
        <w:t>HF hospitalizations</w:t>
      </w:r>
      <w:r w:rsidR="002D1BF5">
        <w:rPr>
          <w:rFonts w:ascii="Times New Roman" w:hAnsi="Times New Roman" w:cs="Times New Roman"/>
          <w:sz w:val="24"/>
          <w:szCs w:val="24"/>
        </w:rPr>
        <w:t xml:space="preserve">. The two secondary outcomes were </w:t>
      </w:r>
      <w:r w:rsidR="009D6330" w:rsidRPr="005B44B2">
        <w:rPr>
          <w:rFonts w:ascii="Times New Roman" w:hAnsi="Times New Roman" w:cs="Times New Roman"/>
          <w:sz w:val="24"/>
          <w:szCs w:val="24"/>
        </w:rPr>
        <w:t xml:space="preserve"> </w:t>
      </w:r>
      <w:r w:rsidR="009D6330">
        <w:rPr>
          <w:rFonts w:ascii="Times New Roman" w:hAnsi="Times New Roman" w:cs="Times New Roman"/>
          <w:sz w:val="24"/>
          <w:szCs w:val="24"/>
        </w:rPr>
        <w:t xml:space="preserve">(changed during the trial in agreement with regulatory agencies and before unblinding) </w:t>
      </w:r>
      <w:r w:rsidR="002D1BF5" w:rsidRPr="005B44B2">
        <w:rPr>
          <w:rFonts w:ascii="Times New Roman" w:hAnsi="Times New Roman" w:cs="Times New Roman"/>
          <w:sz w:val="24"/>
          <w:szCs w:val="24"/>
        </w:rPr>
        <w:t xml:space="preserve">the </w:t>
      </w:r>
      <w:r w:rsidR="003E6B32">
        <w:rPr>
          <w:rFonts w:ascii="Times New Roman" w:hAnsi="Times New Roman" w:cs="Times New Roman"/>
          <w:sz w:val="24"/>
          <w:szCs w:val="24"/>
        </w:rPr>
        <w:t>primary</w:t>
      </w:r>
      <w:r w:rsidR="00D91880">
        <w:rPr>
          <w:rFonts w:ascii="Times New Roman" w:hAnsi="Times New Roman" w:cs="Times New Roman"/>
          <w:sz w:val="24"/>
          <w:szCs w:val="24"/>
        </w:rPr>
        <w:t xml:space="preserve"> composite</w:t>
      </w:r>
      <w:r w:rsidR="003E6B32">
        <w:rPr>
          <w:rFonts w:ascii="Times New Roman" w:hAnsi="Times New Roman" w:cs="Times New Roman"/>
          <w:sz w:val="24"/>
          <w:szCs w:val="24"/>
        </w:rPr>
        <w:t xml:space="preserve"> </w:t>
      </w:r>
      <w:r w:rsidR="002D1BF5" w:rsidRPr="005B44B2">
        <w:rPr>
          <w:rFonts w:ascii="Times New Roman" w:hAnsi="Times New Roman" w:cs="Times New Roman"/>
          <w:sz w:val="24"/>
          <w:szCs w:val="24"/>
        </w:rPr>
        <w:t>renal</w:t>
      </w:r>
      <w:r w:rsidR="003E6B32">
        <w:rPr>
          <w:rFonts w:ascii="Times New Roman" w:hAnsi="Times New Roman" w:cs="Times New Roman"/>
          <w:sz w:val="24"/>
          <w:szCs w:val="24"/>
        </w:rPr>
        <w:t xml:space="preserve"> outcome</w:t>
      </w:r>
      <w:r w:rsidR="00561050">
        <w:rPr>
          <w:rFonts w:ascii="Times New Roman" w:hAnsi="Times New Roman" w:cs="Times New Roman"/>
          <w:sz w:val="24"/>
          <w:szCs w:val="24"/>
        </w:rPr>
        <w:t xml:space="preserve"> (spec</w:t>
      </w:r>
      <w:r w:rsidR="00446F61">
        <w:rPr>
          <w:rFonts w:ascii="Times New Roman" w:hAnsi="Times New Roman" w:cs="Times New Roman"/>
          <w:sz w:val="24"/>
          <w:szCs w:val="24"/>
        </w:rPr>
        <w:t>i</w:t>
      </w:r>
      <w:r w:rsidR="00561050">
        <w:rPr>
          <w:rFonts w:ascii="Times New Roman" w:hAnsi="Times New Roman" w:cs="Times New Roman"/>
          <w:sz w:val="24"/>
          <w:szCs w:val="24"/>
        </w:rPr>
        <w:t>f</w:t>
      </w:r>
      <w:r w:rsidR="00446F61">
        <w:rPr>
          <w:rFonts w:ascii="Times New Roman" w:hAnsi="Times New Roman" w:cs="Times New Roman"/>
          <w:sz w:val="24"/>
          <w:szCs w:val="24"/>
        </w:rPr>
        <w:t>ied</w:t>
      </w:r>
      <w:r w:rsidR="00561050">
        <w:rPr>
          <w:rFonts w:ascii="Times New Roman" w:hAnsi="Times New Roman" w:cs="Times New Roman"/>
          <w:sz w:val="24"/>
          <w:szCs w:val="24"/>
        </w:rPr>
        <w:t xml:space="preserve"> below)</w:t>
      </w:r>
      <w:r w:rsidR="003E6B32">
        <w:rPr>
          <w:rFonts w:ascii="Times New Roman" w:hAnsi="Times New Roman" w:cs="Times New Roman"/>
          <w:sz w:val="24"/>
          <w:szCs w:val="24"/>
        </w:rPr>
        <w:t xml:space="preserve"> and all cause death</w:t>
      </w:r>
      <w:r w:rsidR="005B00C9">
        <w:rPr>
          <w:rFonts w:ascii="Times New Roman" w:hAnsi="Times New Roman" w:cs="Times New Roman"/>
          <w:sz w:val="24"/>
          <w:szCs w:val="24"/>
        </w:rPr>
        <w:t xml:space="preserve">. </w:t>
      </w:r>
      <w:r w:rsidR="00D24863">
        <w:rPr>
          <w:rFonts w:ascii="Times New Roman" w:hAnsi="Times New Roman" w:cs="Times New Roman"/>
          <w:sz w:val="24"/>
          <w:szCs w:val="24"/>
        </w:rPr>
        <w:t>Since</w:t>
      </w:r>
      <w:r w:rsidR="000B675B">
        <w:rPr>
          <w:rFonts w:ascii="Times New Roman" w:hAnsi="Times New Roman" w:cs="Times New Roman"/>
          <w:sz w:val="24"/>
          <w:szCs w:val="24"/>
        </w:rPr>
        <w:t xml:space="preserve"> the trial met only one of its </w:t>
      </w:r>
      <w:r w:rsidR="00D532C2">
        <w:rPr>
          <w:rFonts w:ascii="Times New Roman" w:hAnsi="Times New Roman" w:cs="Times New Roman"/>
          <w:sz w:val="24"/>
          <w:szCs w:val="24"/>
        </w:rPr>
        <w:t xml:space="preserve">dual </w:t>
      </w:r>
      <w:r w:rsidR="000B675B">
        <w:rPr>
          <w:rFonts w:ascii="Times New Roman" w:hAnsi="Times New Roman" w:cs="Times New Roman"/>
          <w:sz w:val="24"/>
          <w:szCs w:val="24"/>
        </w:rPr>
        <w:t xml:space="preserve">primary outcomes </w:t>
      </w:r>
      <w:r w:rsidR="001B7894">
        <w:rPr>
          <w:rFonts w:ascii="Times New Roman" w:hAnsi="Times New Roman" w:cs="Times New Roman"/>
          <w:sz w:val="24"/>
          <w:szCs w:val="24"/>
        </w:rPr>
        <w:t xml:space="preserve">for superiority </w:t>
      </w:r>
      <w:r w:rsidR="00E135EA">
        <w:rPr>
          <w:rFonts w:ascii="Times New Roman" w:hAnsi="Times New Roman" w:cs="Times New Roman"/>
          <w:sz w:val="24"/>
          <w:szCs w:val="24"/>
        </w:rPr>
        <w:t>(</w:t>
      </w:r>
      <w:r w:rsidR="00015902">
        <w:rPr>
          <w:rFonts w:ascii="Times New Roman" w:hAnsi="Times New Roman" w:cs="Times New Roman"/>
          <w:sz w:val="24"/>
          <w:szCs w:val="24"/>
        </w:rPr>
        <w:t>CV death/HF hospitalization</w:t>
      </w:r>
      <w:r w:rsidR="00E135EA">
        <w:rPr>
          <w:rFonts w:ascii="Times New Roman" w:hAnsi="Times New Roman" w:cs="Times New Roman"/>
          <w:sz w:val="24"/>
          <w:szCs w:val="24"/>
        </w:rPr>
        <w:t xml:space="preserve">) </w:t>
      </w:r>
      <w:r w:rsidR="000B675B">
        <w:rPr>
          <w:rFonts w:ascii="Times New Roman" w:hAnsi="Times New Roman" w:cs="Times New Roman"/>
          <w:sz w:val="24"/>
          <w:szCs w:val="24"/>
        </w:rPr>
        <w:t xml:space="preserve">all other </w:t>
      </w:r>
      <w:r w:rsidR="000B675B" w:rsidRPr="000B675B">
        <w:rPr>
          <w:rFonts w:ascii="Times New Roman" w:hAnsi="Times New Roman" w:cs="Times New Roman"/>
          <w:sz w:val="24"/>
          <w:szCs w:val="24"/>
        </w:rPr>
        <w:t>analyses of additional outcomes</w:t>
      </w:r>
      <w:r w:rsidR="00226350">
        <w:rPr>
          <w:rFonts w:ascii="Times New Roman" w:hAnsi="Times New Roman" w:cs="Times New Roman"/>
          <w:sz w:val="24"/>
          <w:szCs w:val="24"/>
        </w:rPr>
        <w:t xml:space="preserve"> should be consider</w:t>
      </w:r>
      <w:r w:rsidR="00446F61">
        <w:rPr>
          <w:rFonts w:ascii="Times New Roman" w:hAnsi="Times New Roman" w:cs="Times New Roman"/>
          <w:sz w:val="24"/>
          <w:szCs w:val="24"/>
        </w:rPr>
        <w:t>ed</w:t>
      </w:r>
      <w:r w:rsidR="000B675B" w:rsidRPr="000B675B">
        <w:rPr>
          <w:rFonts w:ascii="Times New Roman" w:hAnsi="Times New Roman" w:cs="Times New Roman"/>
          <w:sz w:val="24"/>
          <w:szCs w:val="24"/>
        </w:rPr>
        <w:t xml:space="preserve"> hypothesis-gener</w:t>
      </w:r>
      <w:r w:rsidR="000B675B">
        <w:rPr>
          <w:rFonts w:ascii="Times New Roman" w:hAnsi="Times New Roman" w:cs="Times New Roman"/>
          <w:sz w:val="24"/>
          <w:szCs w:val="24"/>
        </w:rPr>
        <w:t>ating</w:t>
      </w:r>
      <w:r w:rsidR="00226350">
        <w:rPr>
          <w:rFonts w:ascii="Times New Roman" w:hAnsi="Times New Roman" w:cs="Times New Roman"/>
          <w:sz w:val="24"/>
          <w:szCs w:val="24"/>
        </w:rPr>
        <w:t>.</w:t>
      </w:r>
    </w:p>
    <w:p w14:paraId="2CDCB298" w14:textId="77777777" w:rsidR="00A414B6" w:rsidRDefault="00A414B6" w:rsidP="000B675B">
      <w:pPr>
        <w:pStyle w:val="EndNoteBibliography"/>
        <w:spacing w:line="480" w:lineRule="auto"/>
        <w:rPr>
          <w:rFonts w:ascii="Times New Roman" w:hAnsi="Times New Roman" w:cs="Times New Roman"/>
          <w:sz w:val="24"/>
          <w:szCs w:val="24"/>
        </w:rPr>
      </w:pPr>
    </w:p>
    <w:p w14:paraId="29BC3781" w14:textId="5EE14919" w:rsidR="00343A02" w:rsidRPr="00343A02" w:rsidRDefault="009D6330" w:rsidP="000B675B">
      <w:pPr>
        <w:pStyle w:val="EndNoteBibliography"/>
        <w:spacing w:line="480" w:lineRule="auto"/>
        <w:rPr>
          <w:rFonts w:ascii="Times New Roman" w:hAnsi="Times New Roman" w:cs="Times New Roman"/>
          <w:b/>
          <w:bCs/>
          <w:sz w:val="28"/>
          <w:szCs w:val="28"/>
        </w:rPr>
      </w:pPr>
      <w:r>
        <w:rPr>
          <w:rFonts w:ascii="Times New Roman" w:hAnsi="Times New Roman" w:cs="Times New Roman"/>
          <w:b/>
          <w:bCs/>
          <w:sz w:val="28"/>
          <w:szCs w:val="28"/>
        </w:rPr>
        <w:t xml:space="preserve">Renal data collection and </w:t>
      </w:r>
      <w:r w:rsidR="00343A02" w:rsidRPr="00343A02">
        <w:rPr>
          <w:rFonts w:ascii="Times New Roman" w:hAnsi="Times New Roman" w:cs="Times New Roman"/>
          <w:b/>
          <w:bCs/>
          <w:sz w:val="28"/>
          <w:szCs w:val="28"/>
        </w:rPr>
        <w:t>Predefined Renal Outcomes</w:t>
      </w:r>
    </w:p>
    <w:p w14:paraId="51292362" w14:textId="2BC4AFF9" w:rsidR="00DF3803" w:rsidRDefault="00234E3F" w:rsidP="00EB3457">
      <w:pPr>
        <w:pStyle w:val="EndNoteBibliography"/>
        <w:spacing w:line="480" w:lineRule="auto"/>
        <w:rPr>
          <w:rFonts w:ascii="Times New Roman" w:hAnsi="Times New Roman" w:cs="Times New Roman"/>
          <w:sz w:val="24"/>
          <w:szCs w:val="24"/>
        </w:rPr>
      </w:pPr>
      <w:r>
        <w:rPr>
          <w:rFonts w:ascii="Times New Roman" w:hAnsi="Times New Roman" w:cs="Times New Roman"/>
          <w:sz w:val="24"/>
          <w:szCs w:val="24"/>
        </w:rPr>
        <w:t>Lab</w:t>
      </w:r>
      <w:r w:rsidR="00EB3457">
        <w:rPr>
          <w:rFonts w:ascii="Times New Roman" w:hAnsi="Times New Roman" w:cs="Times New Roman"/>
          <w:sz w:val="24"/>
          <w:szCs w:val="24"/>
        </w:rPr>
        <w:t>ora</w:t>
      </w:r>
      <w:r>
        <w:rPr>
          <w:rFonts w:ascii="Times New Roman" w:hAnsi="Times New Roman" w:cs="Times New Roman"/>
          <w:sz w:val="24"/>
          <w:szCs w:val="24"/>
        </w:rPr>
        <w:t xml:space="preserve">tory tests including both serum creatinine and </w:t>
      </w:r>
      <w:r w:rsidR="00EB3457">
        <w:rPr>
          <w:rFonts w:ascii="Times New Roman" w:hAnsi="Times New Roman" w:cs="Times New Roman"/>
          <w:sz w:val="24"/>
          <w:szCs w:val="24"/>
        </w:rPr>
        <w:t>u</w:t>
      </w:r>
      <w:r>
        <w:rPr>
          <w:rFonts w:ascii="Times New Roman" w:hAnsi="Times New Roman" w:cs="Times New Roman"/>
          <w:sz w:val="24"/>
          <w:szCs w:val="24"/>
        </w:rPr>
        <w:t xml:space="preserve">rinary </w:t>
      </w:r>
      <w:r w:rsidR="00EB3457">
        <w:rPr>
          <w:rFonts w:ascii="Times New Roman" w:hAnsi="Times New Roman" w:cs="Times New Roman"/>
          <w:sz w:val="24"/>
          <w:szCs w:val="24"/>
        </w:rPr>
        <w:t>a</w:t>
      </w:r>
      <w:r>
        <w:rPr>
          <w:rFonts w:ascii="Times New Roman" w:hAnsi="Times New Roman" w:cs="Times New Roman"/>
          <w:sz w:val="24"/>
          <w:szCs w:val="24"/>
        </w:rPr>
        <w:t xml:space="preserve">lbumin to </w:t>
      </w:r>
      <w:r w:rsidR="00EB3457">
        <w:rPr>
          <w:rFonts w:ascii="Times New Roman" w:hAnsi="Times New Roman" w:cs="Times New Roman"/>
          <w:sz w:val="24"/>
          <w:szCs w:val="24"/>
        </w:rPr>
        <w:t>c</w:t>
      </w:r>
      <w:r>
        <w:rPr>
          <w:rFonts w:ascii="Times New Roman" w:hAnsi="Times New Roman" w:cs="Times New Roman"/>
          <w:sz w:val="24"/>
          <w:szCs w:val="24"/>
        </w:rPr>
        <w:t>reat</w:t>
      </w:r>
      <w:r w:rsidR="00EB3457">
        <w:rPr>
          <w:rFonts w:ascii="Times New Roman" w:hAnsi="Times New Roman" w:cs="Times New Roman"/>
          <w:sz w:val="24"/>
          <w:szCs w:val="24"/>
        </w:rPr>
        <w:t>i</w:t>
      </w:r>
      <w:r>
        <w:rPr>
          <w:rFonts w:ascii="Times New Roman" w:hAnsi="Times New Roman" w:cs="Times New Roman"/>
          <w:sz w:val="24"/>
          <w:szCs w:val="24"/>
        </w:rPr>
        <w:t xml:space="preserve">nine </w:t>
      </w:r>
      <w:r w:rsidR="00EB3457">
        <w:rPr>
          <w:rFonts w:ascii="Times New Roman" w:hAnsi="Times New Roman" w:cs="Times New Roman"/>
          <w:sz w:val="24"/>
          <w:szCs w:val="24"/>
        </w:rPr>
        <w:t>r</w:t>
      </w:r>
      <w:r>
        <w:rPr>
          <w:rFonts w:ascii="Times New Roman" w:hAnsi="Times New Roman" w:cs="Times New Roman"/>
          <w:sz w:val="24"/>
          <w:szCs w:val="24"/>
        </w:rPr>
        <w:t xml:space="preserve">atio (UACR) </w:t>
      </w:r>
      <w:r w:rsidR="00D52C0D">
        <w:rPr>
          <w:rFonts w:ascii="Times New Roman" w:hAnsi="Times New Roman" w:cs="Times New Roman"/>
          <w:sz w:val="24"/>
          <w:szCs w:val="24"/>
        </w:rPr>
        <w:t xml:space="preserve"> </w:t>
      </w:r>
      <w:r w:rsidR="000A77F9">
        <w:rPr>
          <w:rFonts w:ascii="Times New Roman" w:hAnsi="Times New Roman" w:cs="Times New Roman"/>
          <w:sz w:val="24"/>
          <w:szCs w:val="24"/>
        </w:rPr>
        <w:t>were co</w:t>
      </w:r>
      <w:r w:rsidR="005865DB">
        <w:rPr>
          <w:rFonts w:ascii="Times New Roman" w:hAnsi="Times New Roman" w:cs="Times New Roman"/>
          <w:sz w:val="24"/>
          <w:szCs w:val="24"/>
        </w:rPr>
        <w:t>l</w:t>
      </w:r>
      <w:r w:rsidR="00EB3457">
        <w:rPr>
          <w:rFonts w:ascii="Times New Roman" w:hAnsi="Times New Roman" w:cs="Times New Roman"/>
          <w:sz w:val="24"/>
          <w:szCs w:val="24"/>
        </w:rPr>
        <w:t>l</w:t>
      </w:r>
      <w:r w:rsidR="005865DB">
        <w:rPr>
          <w:rFonts w:ascii="Times New Roman" w:hAnsi="Times New Roman" w:cs="Times New Roman"/>
          <w:sz w:val="24"/>
          <w:szCs w:val="24"/>
        </w:rPr>
        <w:t xml:space="preserve">ected and </w:t>
      </w:r>
      <w:r w:rsidR="00D52C0D">
        <w:rPr>
          <w:rFonts w:ascii="Times New Roman" w:hAnsi="Times New Roman" w:cs="Times New Roman"/>
          <w:sz w:val="24"/>
          <w:szCs w:val="24"/>
        </w:rPr>
        <w:t>me</w:t>
      </w:r>
      <w:r w:rsidR="00EB3457">
        <w:rPr>
          <w:rFonts w:ascii="Times New Roman" w:hAnsi="Times New Roman" w:cs="Times New Roman"/>
          <w:sz w:val="24"/>
          <w:szCs w:val="24"/>
        </w:rPr>
        <w:t>a</w:t>
      </w:r>
      <w:r w:rsidR="00D52C0D">
        <w:rPr>
          <w:rFonts w:ascii="Times New Roman" w:hAnsi="Times New Roman" w:cs="Times New Roman"/>
          <w:sz w:val="24"/>
          <w:szCs w:val="24"/>
        </w:rPr>
        <w:t xml:space="preserve">sured </w:t>
      </w:r>
      <w:bookmarkStart w:id="3" w:name="_Hlk6950865"/>
      <w:r w:rsidR="00807FF0">
        <w:rPr>
          <w:rFonts w:ascii="Times New Roman" w:hAnsi="Times New Roman" w:cs="Times New Roman"/>
          <w:sz w:val="24"/>
          <w:szCs w:val="24"/>
        </w:rPr>
        <w:t xml:space="preserve">by </w:t>
      </w:r>
      <w:r w:rsidR="006B6899">
        <w:rPr>
          <w:rFonts w:ascii="Times New Roman" w:hAnsi="Times New Roman" w:cs="Times New Roman"/>
          <w:sz w:val="24"/>
          <w:szCs w:val="24"/>
        </w:rPr>
        <w:t>Covance central laboratories services</w:t>
      </w:r>
      <w:r w:rsidR="00FB5F18">
        <w:rPr>
          <w:rFonts w:ascii="Times New Roman" w:hAnsi="Times New Roman" w:cs="Times New Roman"/>
          <w:sz w:val="24"/>
          <w:szCs w:val="24"/>
        </w:rPr>
        <w:t xml:space="preserve"> </w:t>
      </w:r>
      <w:bookmarkEnd w:id="3"/>
      <w:r w:rsidR="00D52C0D">
        <w:rPr>
          <w:rFonts w:ascii="Times New Roman" w:hAnsi="Times New Roman" w:cs="Times New Roman"/>
          <w:sz w:val="24"/>
          <w:szCs w:val="24"/>
        </w:rPr>
        <w:t xml:space="preserve">at </w:t>
      </w:r>
      <w:r>
        <w:rPr>
          <w:rFonts w:ascii="Times New Roman" w:hAnsi="Times New Roman" w:cs="Times New Roman"/>
          <w:sz w:val="24"/>
          <w:szCs w:val="24"/>
        </w:rPr>
        <w:t>scre</w:t>
      </w:r>
      <w:r w:rsidR="00EB3457">
        <w:rPr>
          <w:rFonts w:ascii="Times New Roman" w:hAnsi="Times New Roman" w:cs="Times New Roman"/>
          <w:sz w:val="24"/>
          <w:szCs w:val="24"/>
        </w:rPr>
        <w:t>e</w:t>
      </w:r>
      <w:r>
        <w:rPr>
          <w:rFonts w:ascii="Times New Roman" w:hAnsi="Times New Roman" w:cs="Times New Roman"/>
          <w:sz w:val="24"/>
          <w:szCs w:val="24"/>
        </w:rPr>
        <w:t xml:space="preserve">ning, </w:t>
      </w:r>
      <w:r w:rsidR="00620052">
        <w:rPr>
          <w:rFonts w:ascii="Times New Roman" w:hAnsi="Times New Roman" w:cs="Times New Roman"/>
          <w:sz w:val="24"/>
          <w:szCs w:val="24"/>
        </w:rPr>
        <w:t>baseline,</w:t>
      </w:r>
      <w:r w:rsidR="00D52C0D">
        <w:rPr>
          <w:rFonts w:ascii="Times New Roman" w:hAnsi="Times New Roman" w:cs="Times New Roman"/>
          <w:sz w:val="24"/>
          <w:szCs w:val="24"/>
        </w:rPr>
        <w:t xml:space="preserve"> 6 </w:t>
      </w:r>
      <w:r w:rsidR="008B4A35">
        <w:rPr>
          <w:rFonts w:ascii="Times New Roman" w:hAnsi="Times New Roman" w:cs="Times New Roman"/>
          <w:sz w:val="24"/>
          <w:szCs w:val="24"/>
        </w:rPr>
        <w:t>and</w:t>
      </w:r>
      <w:r w:rsidR="00D52C0D">
        <w:rPr>
          <w:rFonts w:ascii="Times New Roman" w:hAnsi="Times New Roman" w:cs="Times New Roman"/>
          <w:sz w:val="24"/>
          <w:szCs w:val="24"/>
        </w:rPr>
        <w:t xml:space="preserve"> </w:t>
      </w:r>
      <w:r w:rsidR="00620052">
        <w:rPr>
          <w:rFonts w:ascii="Times New Roman" w:hAnsi="Times New Roman" w:cs="Times New Roman"/>
          <w:sz w:val="24"/>
          <w:szCs w:val="24"/>
        </w:rPr>
        <w:t xml:space="preserve">12 months </w:t>
      </w:r>
      <w:r w:rsidR="00D52C0D">
        <w:rPr>
          <w:rFonts w:ascii="Times New Roman" w:hAnsi="Times New Roman" w:cs="Times New Roman"/>
          <w:sz w:val="24"/>
          <w:szCs w:val="24"/>
        </w:rPr>
        <w:t xml:space="preserve">and </w:t>
      </w:r>
      <w:r w:rsidR="00620052">
        <w:rPr>
          <w:rFonts w:ascii="Times New Roman" w:hAnsi="Times New Roman" w:cs="Times New Roman"/>
          <w:sz w:val="24"/>
          <w:szCs w:val="24"/>
        </w:rPr>
        <w:t xml:space="preserve">once a </w:t>
      </w:r>
      <w:r w:rsidR="00D52C0D">
        <w:rPr>
          <w:rFonts w:ascii="Times New Roman" w:hAnsi="Times New Roman" w:cs="Times New Roman"/>
          <w:sz w:val="24"/>
          <w:szCs w:val="24"/>
        </w:rPr>
        <w:t>year therafter</w:t>
      </w:r>
      <w:r w:rsidR="00620052">
        <w:rPr>
          <w:rFonts w:ascii="Times New Roman" w:hAnsi="Times New Roman" w:cs="Times New Roman"/>
          <w:sz w:val="24"/>
          <w:szCs w:val="24"/>
        </w:rPr>
        <w:t>.</w:t>
      </w:r>
      <w:r w:rsidR="00D52C0D">
        <w:rPr>
          <w:rFonts w:ascii="Times New Roman" w:hAnsi="Times New Roman" w:cs="Times New Roman"/>
          <w:sz w:val="24"/>
          <w:szCs w:val="24"/>
        </w:rPr>
        <w:t xml:space="preserve"> </w:t>
      </w:r>
      <w:r w:rsidR="00875F4C">
        <w:rPr>
          <w:rFonts w:ascii="Times New Roman" w:hAnsi="Times New Roman" w:cs="Times New Roman"/>
          <w:sz w:val="24"/>
          <w:szCs w:val="24"/>
        </w:rPr>
        <w:t>Serum creat</w:t>
      </w:r>
      <w:r w:rsidR="00EB3457">
        <w:rPr>
          <w:rFonts w:ascii="Times New Roman" w:hAnsi="Times New Roman" w:cs="Times New Roman"/>
          <w:sz w:val="24"/>
          <w:szCs w:val="24"/>
        </w:rPr>
        <w:t>i</w:t>
      </w:r>
      <w:r w:rsidR="00875F4C">
        <w:rPr>
          <w:rFonts w:ascii="Times New Roman" w:hAnsi="Times New Roman" w:cs="Times New Roman"/>
          <w:sz w:val="24"/>
          <w:szCs w:val="24"/>
        </w:rPr>
        <w:t>nine and UACR were also me</w:t>
      </w:r>
      <w:r w:rsidR="00EB3457">
        <w:rPr>
          <w:rFonts w:ascii="Times New Roman" w:hAnsi="Times New Roman" w:cs="Times New Roman"/>
          <w:sz w:val="24"/>
          <w:szCs w:val="24"/>
        </w:rPr>
        <w:t>a</w:t>
      </w:r>
      <w:r w:rsidR="00875F4C">
        <w:rPr>
          <w:rFonts w:ascii="Times New Roman" w:hAnsi="Times New Roman" w:cs="Times New Roman"/>
          <w:sz w:val="24"/>
          <w:szCs w:val="24"/>
        </w:rPr>
        <w:t xml:space="preserve">sured at the end of treatment visit for patients </w:t>
      </w:r>
      <w:r w:rsidR="006156C4">
        <w:rPr>
          <w:rFonts w:ascii="Times New Roman" w:hAnsi="Times New Roman" w:cs="Times New Roman"/>
          <w:sz w:val="24"/>
          <w:szCs w:val="24"/>
        </w:rPr>
        <w:t xml:space="preserve">who </w:t>
      </w:r>
      <w:r w:rsidR="006156C4" w:rsidRPr="00172EA4">
        <w:rPr>
          <w:rFonts w:ascii="Times New Roman" w:hAnsi="Times New Roman" w:cs="Times New Roman"/>
          <w:sz w:val="24"/>
          <w:szCs w:val="24"/>
          <w:highlight w:val="yellow"/>
        </w:rPr>
        <w:t>pe</w:t>
      </w:r>
      <w:r w:rsidR="00EB3457" w:rsidRPr="00172EA4">
        <w:rPr>
          <w:rFonts w:ascii="Times New Roman" w:hAnsi="Times New Roman" w:cs="Times New Roman"/>
          <w:sz w:val="24"/>
          <w:szCs w:val="24"/>
          <w:highlight w:val="yellow"/>
        </w:rPr>
        <w:t>r</w:t>
      </w:r>
      <w:r w:rsidR="006156C4" w:rsidRPr="00172EA4">
        <w:rPr>
          <w:rFonts w:ascii="Times New Roman" w:hAnsi="Times New Roman" w:cs="Times New Roman"/>
          <w:sz w:val="24"/>
          <w:szCs w:val="24"/>
          <w:highlight w:val="yellow"/>
        </w:rPr>
        <w:t>ma</w:t>
      </w:r>
      <w:r w:rsidR="00EB3457" w:rsidRPr="00172EA4">
        <w:rPr>
          <w:rFonts w:ascii="Times New Roman" w:hAnsi="Times New Roman" w:cs="Times New Roman"/>
          <w:sz w:val="24"/>
          <w:szCs w:val="24"/>
          <w:highlight w:val="yellow"/>
        </w:rPr>
        <w:t>n</w:t>
      </w:r>
      <w:r w:rsidR="006156C4" w:rsidRPr="00172EA4">
        <w:rPr>
          <w:rFonts w:ascii="Times New Roman" w:hAnsi="Times New Roman" w:cs="Times New Roman"/>
          <w:sz w:val="24"/>
          <w:szCs w:val="24"/>
          <w:highlight w:val="yellow"/>
        </w:rPr>
        <w:t>ently</w:t>
      </w:r>
      <w:r w:rsidR="006156C4">
        <w:rPr>
          <w:rFonts w:ascii="Times New Roman" w:hAnsi="Times New Roman" w:cs="Times New Roman"/>
          <w:sz w:val="24"/>
          <w:szCs w:val="24"/>
        </w:rPr>
        <w:t xml:space="preserve"> discontinue</w:t>
      </w:r>
      <w:r w:rsidR="00EB3457">
        <w:rPr>
          <w:rFonts w:ascii="Times New Roman" w:hAnsi="Times New Roman" w:cs="Times New Roman"/>
          <w:sz w:val="24"/>
          <w:szCs w:val="24"/>
        </w:rPr>
        <w:t>d</w:t>
      </w:r>
      <w:r w:rsidR="006156C4">
        <w:rPr>
          <w:rFonts w:ascii="Times New Roman" w:hAnsi="Times New Roman" w:cs="Times New Roman"/>
          <w:sz w:val="24"/>
          <w:szCs w:val="24"/>
        </w:rPr>
        <w:t xml:space="preserve"> study drug and at the end of trial visit for patients who did not have earlier end of treatment visit. </w:t>
      </w:r>
    </w:p>
    <w:p w14:paraId="7265EA5E" w14:textId="4083CF9F" w:rsidR="00D24AC5" w:rsidRDefault="00DF3803" w:rsidP="00F0539C">
      <w:pPr>
        <w:pStyle w:val="EndNoteBibliography"/>
        <w:spacing w:line="480" w:lineRule="auto"/>
        <w:rPr>
          <w:rFonts w:ascii="Times New Roman" w:hAnsi="Times New Roman" w:cs="Times New Roman"/>
          <w:sz w:val="24"/>
          <w:szCs w:val="24"/>
        </w:rPr>
      </w:pPr>
      <w:r>
        <w:rPr>
          <w:rFonts w:ascii="Times New Roman" w:hAnsi="Times New Roman" w:cs="Times New Roman"/>
          <w:sz w:val="24"/>
          <w:szCs w:val="24"/>
        </w:rPr>
        <w:t>According to protocol, unscheduled creat</w:t>
      </w:r>
      <w:r w:rsidR="00EB3457">
        <w:rPr>
          <w:rFonts w:ascii="Times New Roman" w:hAnsi="Times New Roman" w:cs="Times New Roman"/>
          <w:sz w:val="24"/>
          <w:szCs w:val="24"/>
        </w:rPr>
        <w:t>i</w:t>
      </w:r>
      <w:r>
        <w:rPr>
          <w:rFonts w:ascii="Times New Roman" w:hAnsi="Times New Roman" w:cs="Times New Roman"/>
          <w:sz w:val="24"/>
          <w:szCs w:val="24"/>
        </w:rPr>
        <w:t>nine test</w:t>
      </w:r>
      <w:r w:rsidR="008147F1">
        <w:rPr>
          <w:rFonts w:ascii="Times New Roman" w:hAnsi="Times New Roman" w:cs="Times New Roman"/>
          <w:sz w:val="24"/>
          <w:szCs w:val="24"/>
        </w:rPr>
        <w:t>ing</w:t>
      </w:r>
      <w:r>
        <w:rPr>
          <w:rFonts w:ascii="Times New Roman" w:hAnsi="Times New Roman" w:cs="Times New Roman"/>
          <w:sz w:val="24"/>
          <w:szCs w:val="24"/>
        </w:rPr>
        <w:t xml:space="preserve"> </w:t>
      </w:r>
      <w:r w:rsidR="008147F1">
        <w:rPr>
          <w:rFonts w:ascii="Times New Roman" w:hAnsi="Times New Roman" w:cs="Times New Roman"/>
          <w:sz w:val="24"/>
          <w:szCs w:val="24"/>
        </w:rPr>
        <w:t>was</w:t>
      </w:r>
      <w:r>
        <w:rPr>
          <w:rFonts w:ascii="Times New Roman" w:hAnsi="Times New Roman" w:cs="Times New Roman"/>
          <w:sz w:val="24"/>
          <w:szCs w:val="24"/>
        </w:rPr>
        <w:t xml:space="preserve"> done</w:t>
      </w:r>
      <w:r w:rsidR="000C5823">
        <w:rPr>
          <w:rFonts w:ascii="Times New Roman" w:hAnsi="Times New Roman" w:cs="Times New Roman"/>
          <w:sz w:val="24"/>
          <w:szCs w:val="24"/>
        </w:rPr>
        <w:t>,</w:t>
      </w:r>
      <w:r>
        <w:rPr>
          <w:rFonts w:ascii="Times New Roman" w:hAnsi="Times New Roman" w:cs="Times New Roman"/>
          <w:sz w:val="24"/>
          <w:szCs w:val="24"/>
        </w:rPr>
        <w:t xml:space="preserve"> </w:t>
      </w:r>
      <w:r w:rsidR="000C5823" w:rsidRPr="000A77F9">
        <w:rPr>
          <w:rFonts w:ascii="Times New Roman" w:hAnsi="Times New Roman" w:cs="Times New Roman"/>
          <w:sz w:val="24"/>
          <w:szCs w:val="24"/>
        </w:rPr>
        <w:t>either central</w:t>
      </w:r>
      <w:r w:rsidR="008147F1">
        <w:rPr>
          <w:rFonts w:ascii="Times New Roman" w:hAnsi="Times New Roman" w:cs="Times New Roman"/>
          <w:sz w:val="24"/>
          <w:szCs w:val="24"/>
        </w:rPr>
        <w:t>ly</w:t>
      </w:r>
      <w:r w:rsidR="000C5823" w:rsidRPr="000A77F9">
        <w:rPr>
          <w:rFonts w:ascii="Times New Roman" w:hAnsi="Times New Roman" w:cs="Times New Roman"/>
          <w:sz w:val="24"/>
          <w:szCs w:val="24"/>
        </w:rPr>
        <w:t xml:space="preserve"> or local</w:t>
      </w:r>
      <w:r w:rsidR="008147F1">
        <w:rPr>
          <w:rFonts w:ascii="Times New Roman" w:hAnsi="Times New Roman" w:cs="Times New Roman"/>
          <w:sz w:val="24"/>
          <w:szCs w:val="24"/>
        </w:rPr>
        <w:t>ly</w:t>
      </w:r>
      <w:r w:rsidR="00A23D28">
        <w:rPr>
          <w:rFonts w:ascii="Times New Roman" w:hAnsi="Times New Roman" w:cs="Times New Roman"/>
          <w:sz w:val="24"/>
          <w:szCs w:val="24"/>
        </w:rPr>
        <w:t xml:space="preserve">, </w:t>
      </w:r>
      <w:r w:rsidR="00E6522A">
        <w:rPr>
          <w:rFonts w:ascii="Times New Roman" w:hAnsi="Times New Roman" w:cs="Times New Roman"/>
          <w:sz w:val="24"/>
          <w:szCs w:val="24"/>
        </w:rPr>
        <w:t xml:space="preserve"> when a</w:t>
      </w:r>
      <w:r w:rsidR="00A23D28">
        <w:rPr>
          <w:rFonts w:ascii="Times New Roman" w:hAnsi="Times New Roman" w:cs="Times New Roman"/>
          <w:sz w:val="24"/>
          <w:szCs w:val="24"/>
        </w:rPr>
        <w:t>ny of the following</w:t>
      </w:r>
      <w:r w:rsidR="00E6522A">
        <w:rPr>
          <w:rFonts w:ascii="Times New Roman" w:hAnsi="Times New Roman" w:cs="Times New Roman"/>
          <w:sz w:val="24"/>
          <w:szCs w:val="24"/>
        </w:rPr>
        <w:t xml:space="preserve"> </w:t>
      </w:r>
      <w:r w:rsidR="00A23D28">
        <w:rPr>
          <w:rFonts w:ascii="Times New Roman" w:hAnsi="Times New Roman" w:cs="Times New Roman"/>
          <w:sz w:val="24"/>
          <w:szCs w:val="24"/>
        </w:rPr>
        <w:t>occurred</w:t>
      </w:r>
      <w:r w:rsidR="00606327">
        <w:rPr>
          <w:rFonts w:ascii="Times New Roman" w:hAnsi="Times New Roman" w:cs="Times New Roman"/>
          <w:sz w:val="24"/>
          <w:szCs w:val="24"/>
        </w:rPr>
        <w:t xml:space="preserve"> based on central or local lab results</w:t>
      </w:r>
      <w:r w:rsidR="00A23D28">
        <w:rPr>
          <w:rFonts w:ascii="Times New Roman" w:hAnsi="Times New Roman" w:cs="Times New Roman"/>
          <w:sz w:val="24"/>
          <w:szCs w:val="24"/>
        </w:rPr>
        <w:t>:</w:t>
      </w:r>
      <w:r w:rsidR="00A23D28" w:rsidRPr="000A77F9">
        <w:rPr>
          <w:rFonts w:ascii="Times New Roman" w:hAnsi="Times New Roman" w:cs="Times New Roman"/>
          <w:sz w:val="24"/>
          <w:szCs w:val="24"/>
        </w:rPr>
        <w:t xml:space="preserve"> </w:t>
      </w:r>
      <w:r w:rsidR="000A77F9" w:rsidRPr="000A77F9">
        <w:rPr>
          <w:rFonts w:ascii="Times New Roman" w:hAnsi="Times New Roman" w:cs="Times New Roman"/>
          <w:sz w:val="24"/>
          <w:szCs w:val="24"/>
        </w:rPr>
        <w:t>doubling of serum creatinine from baseline</w:t>
      </w:r>
      <w:r w:rsidR="00A23D28">
        <w:rPr>
          <w:rFonts w:ascii="Times New Roman" w:hAnsi="Times New Roman" w:cs="Times New Roman"/>
          <w:sz w:val="24"/>
          <w:szCs w:val="24"/>
        </w:rPr>
        <w:t>;</w:t>
      </w:r>
      <w:r w:rsidR="000A77F9" w:rsidRPr="000A77F9">
        <w:rPr>
          <w:rFonts w:ascii="Times New Roman" w:hAnsi="Times New Roman" w:cs="Times New Roman"/>
          <w:sz w:val="24"/>
          <w:szCs w:val="24"/>
        </w:rPr>
        <w:t xml:space="preserve"> serum creatinine &gt;6.0 mg/dL (530 </w:t>
      </w:r>
      <w:r w:rsidR="002A3B8C">
        <w:rPr>
          <w:rFonts w:ascii="Times New Roman" w:hAnsi="Times New Roman" w:cs="Times New Roman"/>
          <w:sz w:val="24"/>
          <w:szCs w:val="24"/>
        </w:rPr>
        <w:t>µ</w:t>
      </w:r>
      <w:r w:rsidR="000A77F9" w:rsidRPr="000A77F9">
        <w:rPr>
          <w:rFonts w:ascii="Times New Roman" w:hAnsi="Times New Roman" w:cs="Times New Roman"/>
          <w:sz w:val="24"/>
          <w:szCs w:val="24"/>
        </w:rPr>
        <w:t>mol/L)</w:t>
      </w:r>
      <w:r w:rsidR="00A23D28">
        <w:rPr>
          <w:rFonts w:ascii="Times New Roman" w:hAnsi="Times New Roman" w:cs="Times New Roman"/>
          <w:sz w:val="24"/>
          <w:szCs w:val="24"/>
        </w:rPr>
        <w:t>;</w:t>
      </w:r>
      <w:r w:rsidR="000A77F9" w:rsidRPr="000A77F9">
        <w:rPr>
          <w:rFonts w:ascii="Times New Roman" w:hAnsi="Times New Roman" w:cs="Times New Roman"/>
          <w:sz w:val="24"/>
          <w:szCs w:val="24"/>
        </w:rPr>
        <w:t xml:space="preserve"> a decrease in eGFR of </w:t>
      </w:r>
      <w:r w:rsidR="00A23D28">
        <w:rPr>
          <w:rFonts w:ascii="Times New Roman" w:hAnsi="Times New Roman" w:cs="Times New Roman"/>
          <w:sz w:val="24"/>
          <w:szCs w:val="24"/>
        </w:rPr>
        <w:t xml:space="preserve"> </w:t>
      </w:r>
      <w:r w:rsidR="000A77F9" w:rsidRPr="000A77F9">
        <w:rPr>
          <w:rFonts w:ascii="Times New Roman" w:hAnsi="Times New Roman" w:cs="Times New Roman"/>
          <w:sz w:val="24"/>
          <w:szCs w:val="24"/>
        </w:rPr>
        <w:t>≥30% from baseline to eGFR &lt;60 ml/min/1.73m</w:t>
      </w:r>
      <w:r w:rsidR="000A77F9" w:rsidRPr="00DF3803">
        <w:rPr>
          <w:rFonts w:ascii="Times New Roman" w:hAnsi="Times New Roman" w:cs="Times New Roman"/>
          <w:sz w:val="24"/>
          <w:szCs w:val="24"/>
          <w:vertAlign w:val="superscript"/>
        </w:rPr>
        <w:t>2</w:t>
      </w:r>
      <w:r w:rsidR="00A23D28">
        <w:rPr>
          <w:rFonts w:ascii="Times New Roman" w:hAnsi="Times New Roman" w:cs="Times New Roman"/>
          <w:sz w:val="24"/>
          <w:szCs w:val="24"/>
        </w:rPr>
        <w:t>; and/</w:t>
      </w:r>
      <w:r w:rsidR="000A77F9" w:rsidRPr="000A77F9">
        <w:rPr>
          <w:rFonts w:ascii="Times New Roman" w:hAnsi="Times New Roman" w:cs="Times New Roman"/>
          <w:sz w:val="24"/>
          <w:szCs w:val="24"/>
        </w:rPr>
        <w:t>or an eGFR value of &lt;15 ml/min</w:t>
      </w:r>
      <w:r w:rsidR="00A23D28" w:rsidRPr="000A77F9">
        <w:rPr>
          <w:rFonts w:ascii="Times New Roman" w:hAnsi="Times New Roman" w:cs="Times New Roman"/>
          <w:sz w:val="24"/>
          <w:szCs w:val="24"/>
        </w:rPr>
        <w:t>/1.73m</w:t>
      </w:r>
      <w:r w:rsidR="00A23D28" w:rsidRPr="00DF3803">
        <w:rPr>
          <w:rFonts w:ascii="Times New Roman" w:hAnsi="Times New Roman" w:cs="Times New Roman"/>
          <w:sz w:val="24"/>
          <w:szCs w:val="24"/>
          <w:vertAlign w:val="superscript"/>
        </w:rPr>
        <w:t>2</w:t>
      </w:r>
      <w:r>
        <w:rPr>
          <w:rFonts w:ascii="Times New Roman" w:hAnsi="Times New Roman" w:cs="Times New Roman"/>
          <w:sz w:val="24"/>
          <w:szCs w:val="24"/>
        </w:rPr>
        <w:t xml:space="preserve">. In these </w:t>
      </w:r>
      <w:r w:rsidR="00E6522A">
        <w:rPr>
          <w:rFonts w:ascii="Times New Roman" w:hAnsi="Times New Roman" w:cs="Times New Roman"/>
          <w:sz w:val="24"/>
          <w:szCs w:val="24"/>
        </w:rPr>
        <w:t>instances</w:t>
      </w:r>
      <w:r>
        <w:rPr>
          <w:rFonts w:ascii="Times New Roman" w:hAnsi="Times New Roman" w:cs="Times New Roman"/>
          <w:sz w:val="24"/>
          <w:szCs w:val="24"/>
        </w:rPr>
        <w:t>,</w:t>
      </w:r>
      <w:r w:rsidR="000A77F9" w:rsidRPr="000A77F9">
        <w:rPr>
          <w:rFonts w:ascii="Times New Roman" w:hAnsi="Times New Roman" w:cs="Times New Roman"/>
          <w:sz w:val="24"/>
          <w:szCs w:val="24"/>
        </w:rPr>
        <w:t xml:space="preserve"> a new central laboratory measurement of serum creatinine </w:t>
      </w:r>
      <w:r>
        <w:rPr>
          <w:rFonts w:ascii="Times New Roman" w:hAnsi="Times New Roman" w:cs="Times New Roman"/>
          <w:sz w:val="24"/>
          <w:szCs w:val="24"/>
        </w:rPr>
        <w:t>was</w:t>
      </w:r>
      <w:r w:rsidR="000A77F9" w:rsidRPr="000A77F9">
        <w:rPr>
          <w:rFonts w:ascii="Times New Roman" w:hAnsi="Times New Roman" w:cs="Times New Roman"/>
          <w:sz w:val="24"/>
          <w:szCs w:val="24"/>
        </w:rPr>
        <w:t xml:space="preserve"> obtained at </w:t>
      </w:r>
      <w:r>
        <w:rPr>
          <w:rFonts w:ascii="Times New Roman" w:hAnsi="Times New Roman" w:cs="Times New Roman"/>
          <w:sz w:val="24"/>
          <w:szCs w:val="24"/>
        </w:rPr>
        <w:t xml:space="preserve">the </w:t>
      </w:r>
      <w:r w:rsidR="000A77F9" w:rsidRPr="000A77F9">
        <w:rPr>
          <w:rFonts w:ascii="Times New Roman" w:hAnsi="Times New Roman" w:cs="Times New Roman"/>
          <w:sz w:val="24"/>
          <w:szCs w:val="24"/>
        </w:rPr>
        <w:t xml:space="preserve">earliest </w:t>
      </w:r>
      <w:r w:rsidR="000A77F9" w:rsidRPr="000A77F9">
        <w:rPr>
          <w:rFonts w:ascii="Times New Roman" w:hAnsi="Times New Roman" w:cs="Times New Roman"/>
          <w:sz w:val="24"/>
          <w:szCs w:val="24"/>
        </w:rPr>
        <w:lastRenderedPageBreak/>
        <w:t>possible time</w:t>
      </w:r>
      <w:r w:rsidR="000A77F9">
        <w:rPr>
          <w:rFonts w:ascii="Times New Roman" w:hAnsi="Times New Roman" w:cs="Times New Roman"/>
          <w:sz w:val="24"/>
          <w:szCs w:val="24"/>
        </w:rPr>
        <w:t xml:space="preserve"> </w:t>
      </w:r>
      <w:r w:rsidR="00186487">
        <w:rPr>
          <w:rFonts w:ascii="Times New Roman" w:hAnsi="Times New Roman" w:cs="Times New Roman"/>
          <w:sz w:val="24"/>
          <w:szCs w:val="24"/>
        </w:rPr>
        <w:t>(</w:t>
      </w:r>
      <w:r w:rsidR="00186487" w:rsidRPr="000A77F9">
        <w:rPr>
          <w:rFonts w:ascii="Times New Roman" w:hAnsi="Times New Roman" w:cs="Times New Roman"/>
          <w:sz w:val="24"/>
          <w:szCs w:val="24"/>
        </w:rPr>
        <w:t>within 4 days whenever possible</w:t>
      </w:r>
      <w:r w:rsidR="00186487">
        <w:rPr>
          <w:rFonts w:ascii="Times New Roman" w:hAnsi="Times New Roman" w:cs="Times New Roman"/>
          <w:sz w:val="24"/>
          <w:szCs w:val="24"/>
        </w:rPr>
        <w:t xml:space="preserve">) </w:t>
      </w:r>
      <w:r w:rsidR="000A77F9">
        <w:rPr>
          <w:rFonts w:ascii="Times New Roman" w:hAnsi="Times New Roman" w:cs="Times New Roman"/>
          <w:sz w:val="24"/>
          <w:szCs w:val="24"/>
        </w:rPr>
        <w:t xml:space="preserve">and </w:t>
      </w:r>
      <w:r w:rsidR="000A77F9" w:rsidRPr="000A77F9">
        <w:rPr>
          <w:rFonts w:ascii="Times New Roman" w:hAnsi="Times New Roman" w:cs="Times New Roman"/>
          <w:sz w:val="24"/>
          <w:szCs w:val="24"/>
        </w:rPr>
        <w:t xml:space="preserve"> </w:t>
      </w:r>
      <w:r>
        <w:rPr>
          <w:rFonts w:ascii="Times New Roman" w:hAnsi="Times New Roman" w:cs="Times New Roman"/>
          <w:sz w:val="24"/>
          <w:szCs w:val="24"/>
        </w:rPr>
        <w:t>another</w:t>
      </w:r>
      <w:r w:rsidR="000A77F9" w:rsidRPr="000A77F9">
        <w:rPr>
          <w:rFonts w:ascii="Times New Roman" w:hAnsi="Times New Roman" w:cs="Times New Roman"/>
          <w:sz w:val="24"/>
          <w:szCs w:val="24"/>
        </w:rPr>
        <w:t xml:space="preserve"> central laboratory measurement of serum creatinine </w:t>
      </w:r>
      <w:r>
        <w:rPr>
          <w:rFonts w:ascii="Times New Roman" w:hAnsi="Times New Roman" w:cs="Times New Roman"/>
          <w:sz w:val="24"/>
          <w:szCs w:val="24"/>
        </w:rPr>
        <w:t>was</w:t>
      </w:r>
      <w:r w:rsidR="000A77F9" w:rsidRPr="000A77F9">
        <w:rPr>
          <w:rFonts w:ascii="Times New Roman" w:hAnsi="Times New Roman" w:cs="Times New Roman"/>
          <w:sz w:val="24"/>
          <w:szCs w:val="24"/>
        </w:rPr>
        <w:t xml:space="preserve"> obtained after at least four weeks. If the creatinine clearance (CrCl, based on Cockroft-Gault) f</w:t>
      </w:r>
      <w:r w:rsidR="00EB3457">
        <w:rPr>
          <w:rFonts w:ascii="Times New Roman" w:hAnsi="Times New Roman" w:cs="Times New Roman"/>
          <w:sz w:val="24"/>
          <w:szCs w:val="24"/>
        </w:rPr>
        <w:t>ell</w:t>
      </w:r>
      <w:r w:rsidR="000A77F9" w:rsidRPr="000A77F9">
        <w:rPr>
          <w:rFonts w:ascii="Times New Roman" w:hAnsi="Times New Roman" w:cs="Times New Roman"/>
          <w:sz w:val="24"/>
          <w:szCs w:val="24"/>
        </w:rPr>
        <w:t xml:space="preserve"> below 45 ml/min</w:t>
      </w:r>
      <w:r w:rsidR="002E2B3D">
        <w:rPr>
          <w:rFonts w:ascii="Times New Roman" w:hAnsi="Times New Roman" w:cs="Times New Roman"/>
          <w:sz w:val="24"/>
          <w:szCs w:val="24"/>
        </w:rPr>
        <w:t>,</w:t>
      </w:r>
      <w:r w:rsidR="000A77F9" w:rsidRPr="000A77F9">
        <w:rPr>
          <w:rFonts w:ascii="Times New Roman" w:hAnsi="Times New Roman" w:cs="Times New Roman"/>
          <w:sz w:val="24"/>
          <w:szCs w:val="24"/>
        </w:rPr>
        <w:t xml:space="preserve"> the patient </w:t>
      </w:r>
      <w:r>
        <w:rPr>
          <w:rFonts w:ascii="Times New Roman" w:hAnsi="Times New Roman" w:cs="Times New Roman"/>
          <w:sz w:val="24"/>
          <w:szCs w:val="24"/>
        </w:rPr>
        <w:t>was</w:t>
      </w:r>
      <w:r w:rsidR="000A77F9" w:rsidRPr="000A77F9">
        <w:rPr>
          <w:rFonts w:ascii="Times New Roman" w:hAnsi="Times New Roman" w:cs="Times New Roman"/>
          <w:sz w:val="24"/>
          <w:szCs w:val="24"/>
        </w:rPr>
        <w:t xml:space="preserve"> scheduled for a re-test within 4 days whenever possible</w:t>
      </w:r>
      <w:r w:rsidR="00186487">
        <w:rPr>
          <w:rFonts w:ascii="Times New Roman" w:hAnsi="Times New Roman" w:cs="Times New Roman"/>
          <w:sz w:val="24"/>
          <w:szCs w:val="24"/>
        </w:rPr>
        <w:t>.</w:t>
      </w:r>
      <w:r w:rsidR="000A77F9" w:rsidRPr="000A77F9">
        <w:rPr>
          <w:rFonts w:ascii="Times New Roman" w:hAnsi="Times New Roman" w:cs="Times New Roman"/>
          <w:sz w:val="24"/>
          <w:szCs w:val="24"/>
        </w:rPr>
        <w:t xml:space="preserve"> If at any time the patient´s CrCl (based on Cockroft-Gault) f</w:t>
      </w:r>
      <w:r w:rsidR="00EB3457">
        <w:rPr>
          <w:rFonts w:ascii="Times New Roman" w:hAnsi="Times New Roman" w:cs="Times New Roman"/>
          <w:sz w:val="24"/>
          <w:szCs w:val="24"/>
        </w:rPr>
        <w:t>ell</w:t>
      </w:r>
      <w:r w:rsidR="000A77F9" w:rsidRPr="000A77F9">
        <w:rPr>
          <w:rFonts w:ascii="Times New Roman" w:hAnsi="Times New Roman" w:cs="Times New Roman"/>
          <w:sz w:val="24"/>
          <w:szCs w:val="24"/>
        </w:rPr>
        <w:t xml:space="preserve"> below 30 ml/min calculated at the central laboratory and confirmed at a repeated central laboratory measurement</w:t>
      </w:r>
      <w:r w:rsidR="00D24AC5">
        <w:rPr>
          <w:rFonts w:ascii="Times New Roman" w:hAnsi="Times New Roman" w:cs="Times New Roman"/>
          <w:sz w:val="24"/>
          <w:szCs w:val="24"/>
        </w:rPr>
        <w:t>,</w:t>
      </w:r>
      <w:r w:rsidR="000A77F9" w:rsidRPr="000A77F9">
        <w:rPr>
          <w:rFonts w:ascii="Times New Roman" w:hAnsi="Times New Roman" w:cs="Times New Roman"/>
          <w:sz w:val="24"/>
          <w:szCs w:val="24"/>
        </w:rPr>
        <w:t xml:space="preserve"> </w:t>
      </w:r>
      <w:r w:rsidR="00186487" w:rsidRPr="000A77F9">
        <w:rPr>
          <w:rFonts w:ascii="Times New Roman" w:hAnsi="Times New Roman" w:cs="Times New Roman"/>
          <w:sz w:val="24"/>
          <w:szCs w:val="24"/>
          <w:lang w:bidi="he-IL"/>
        </w:rPr>
        <w:t xml:space="preserve">the patient </w:t>
      </w:r>
      <w:r w:rsidR="00D24AC5">
        <w:rPr>
          <w:rFonts w:ascii="Times New Roman" w:hAnsi="Times New Roman" w:cs="Times New Roman"/>
          <w:sz w:val="24"/>
          <w:szCs w:val="24"/>
          <w:lang w:bidi="he-IL"/>
        </w:rPr>
        <w:t>was</w:t>
      </w:r>
      <w:r w:rsidR="00186487" w:rsidRPr="000A77F9">
        <w:rPr>
          <w:rFonts w:ascii="Times New Roman" w:hAnsi="Times New Roman" w:cs="Times New Roman"/>
          <w:sz w:val="24"/>
          <w:szCs w:val="24"/>
          <w:lang w:bidi="he-IL"/>
        </w:rPr>
        <w:t xml:space="preserve"> discontinued from</w:t>
      </w:r>
      <w:r w:rsidR="00186487">
        <w:rPr>
          <w:rFonts w:ascii="Times New Roman" w:hAnsi="Times New Roman" w:cs="Times New Roman"/>
          <w:sz w:val="24"/>
          <w:szCs w:val="24"/>
          <w:lang w:bidi="he-IL"/>
        </w:rPr>
        <w:t xml:space="preserve"> </w:t>
      </w:r>
      <w:r w:rsidR="00EB3457">
        <w:rPr>
          <w:rFonts w:ascii="Times New Roman" w:hAnsi="Times New Roman" w:cs="Times New Roman"/>
          <w:sz w:val="24"/>
          <w:szCs w:val="24"/>
          <w:lang w:bidi="he-IL"/>
        </w:rPr>
        <w:t xml:space="preserve">the </w:t>
      </w:r>
      <w:r w:rsidR="00186487">
        <w:rPr>
          <w:rFonts w:ascii="Times New Roman" w:hAnsi="Times New Roman" w:cs="Times New Roman"/>
          <w:sz w:val="24"/>
          <w:szCs w:val="24"/>
          <w:lang w:bidi="he-IL"/>
        </w:rPr>
        <w:t>investigational product (</w:t>
      </w:r>
      <w:r w:rsidR="00186487" w:rsidRPr="000A77F9">
        <w:rPr>
          <w:rFonts w:ascii="Times New Roman" w:hAnsi="Times New Roman" w:cs="Times New Roman"/>
          <w:sz w:val="24"/>
          <w:szCs w:val="24"/>
          <w:lang w:bidi="he-IL"/>
        </w:rPr>
        <w:t>IP</w:t>
      </w:r>
      <w:r w:rsidR="00186487">
        <w:rPr>
          <w:rFonts w:ascii="Times New Roman" w:hAnsi="Times New Roman" w:cs="Times New Roman"/>
          <w:sz w:val="24"/>
          <w:szCs w:val="24"/>
          <w:lang w:bidi="he-IL"/>
        </w:rPr>
        <w:t>)</w:t>
      </w:r>
      <w:r w:rsidR="00186487" w:rsidRPr="000A77F9">
        <w:rPr>
          <w:rFonts w:ascii="Times New Roman" w:hAnsi="Times New Roman" w:cs="Times New Roman"/>
          <w:sz w:val="24"/>
          <w:szCs w:val="24"/>
          <w:lang w:bidi="he-IL"/>
        </w:rPr>
        <w:t>.</w:t>
      </w:r>
      <w:r w:rsidR="00186487">
        <w:rPr>
          <w:rFonts w:ascii="Times New Roman" w:hAnsi="Times New Roman" w:cs="Times New Roman"/>
          <w:sz w:val="24"/>
          <w:szCs w:val="24"/>
          <w:lang w:bidi="he-IL"/>
        </w:rPr>
        <w:t xml:space="preserve"> </w:t>
      </w:r>
      <w:r w:rsidR="00186487" w:rsidRPr="00445E1A">
        <w:rPr>
          <w:rFonts w:ascii="Times New Roman" w:hAnsi="Times New Roman" w:cs="Times New Roman"/>
          <w:sz w:val="24"/>
          <w:szCs w:val="24"/>
        </w:rPr>
        <w:t xml:space="preserve">The baseline value of each safety laboratory test </w:t>
      </w:r>
      <w:r w:rsidR="00D24AC5">
        <w:rPr>
          <w:rFonts w:ascii="Times New Roman" w:hAnsi="Times New Roman" w:cs="Times New Roman"/>
          <w:sz w:val="24"/>
          <w:szCs w:val="24"/>
        </w:rPr>
        <w:t>was</w:t>
      </w:r>
      <w:r w:rsidR="00186487" w:rsidRPr="00445E1A">
        <w:rPr>
          <w:rFonts w:ascii="Times New Roman" w:hAnsi="Times New Roman" w:cs="Times New Roman"/>
          <w:sz w:val="24"/>
          <w:szCs w:val="24"/>
        </w:rPr>
        <w:t xml:space="preserve"> defined as the last assessment on or before the date of randomization</w:t>
      </w:r>
      <w:r w:rsidR="00186487">
        <w:rPr>
          <w:rFonts w:ascii="Times New Roman" w:hAnsi="Times New Roman" w:cs="Times New Roman"/>
          <w:sz w:val="24"/>
          <w:szCs w:val="24"/>
        </w:rPr>
        <w:t xml:space="preserve"> and c</w:t>
      </w:r>
      <w:r w:rsidR="00186487" w:rsidRPr="00445E1A">
        <w:rPr>
          <w:rFonts w:ascii="Times New Roman" w:hAnsi="Times New Roman" w:cs="Times New Roman"/>
          <w:sz w:val="24"/>
          <w:szCs w:val="24"/>
        </w:rPr>
        <w:t xml:space="preserve">hange from </w:t>
      </w:r>
      <w:r w:rsidR="00186487">
        <w:rPr>
          <w:rFonts w:ascii="Times New Roman" w:hAnsi="Times New Roman" w:cs="Times New Roman"/>
          <w:sz w:val="24"/>
          <w:szCs w:val="24"/>
        </w:rPr>
        <w:t xml:space="preserve">this </w:t>
      </w:r>
      <w:r w:rsidR="00186487" w:rsidRPr="00445E1A">
        <w:rPr>
          <w:rFonts w:ascii="Times New Roman" w:hAnsi="Times New Roman" w:cs="Times New Roman"/>
          <w:sz w:val="24"/>
          <w:szCs w:val="24"/>
        </w:rPr>
        <w:t xml:space="preserve">baseline </w:t>
      </w:r>
      <w:r w:rsidR="00186487">
        <w:rPr>
          <w:rFonts w:ascii="Times New Roman" w:hAnsi="Times New Roman" w:cs="Times New Roman"/>
          <w:sz w:val="24"/>
          <w:szCs w:val="24"/>
        </w:rPr>
        <w:t>was</w:t>
      </w:r>
      <w:r w:rsidR="00186487" w:rsidRPr="00445E1A">
        <w:rPr>
          <w:rFonts w:ascii="Times New Roman" w:hAnsi="Times New Roman" w:cs="Times New Roman"/>
          <w:sz w:val="24"/>
          <w:szCs w:val="24"/>
        </w:rPr>
        <w:t xml:space="preserve"> calculated. </w:t>
      </w:r>
      <w:r w:rsidR="00186487" w:rsidRPr="00DE6661">
        <w:rPr>
          <w:rFonts w:ascii="Times New Roman" w:hAnsi="Times New Roman" w:cs="Times New Roman"/>
          <w:sz w:val="24"/>
          <w:szCs w:val="24"/>
        </w:rPr>
        <w:t xml:space="preserve"> </w:t>
      </w:r>
      <w:r w:rsidR="005011A5" w:rsidRPr="005011A5">
        <w:rPr>
          <w:rFonts w:ascii="Times New Roman" w:hAnsi="Times New Roman" w:cs="Times New Roman"/>
          <w:sz w:val="24"/>
          <w:szCs w:val="24"/>
        </w:rPr>
        <w:t xml:space="preserve">Time to onset </w:t>
      </w:r>
      <w:r w:rsidR="005011A5">
        <w:rPr>
          <w:rFonts w:ascii="Times New Roman" w:hAnsi="Times New Roman" w:cs="Times New Roman"/>
          <w:sz w:val="24"/>
          <w:szCs w:val="24"/>
        </w:rPr>
        <w:t>of the outcome</w:t>
      </w:r>
      <w:r w:rsidR="00B31F2D">
        <w:rPr>
          <w:rFonts w:ascii="Times New Roman" w:hAnsi="Times New Roman" w:cs="Times New Roman"/>
          <w:sz w:val="24"/>
          <w:szCs w:val="24"/>
        </w:rPr>
        <w:t>s</w:t>
      </w:r>
      <w:r w:rsidR="005011A5">
        <w:rPr>
          <w:rFonts w:ascii="Times New Roman" w:hAnsi="Times New Roman" w:cs="Times New Roman"/>
          <w:sz w:val="24"/>
          <w:szCs w:val="24"/>
        </w:rPr>
        <w:t xml:space="preserve"> w</w:t>
      </w:r>
      <w:r w:rsidR="00F0539C">
        <w:rPr>
          <w:rFonts w:ascii="Times New Roman" w:hAnsi="Times New Roman" w:cs="Times New Roman"/>
          <w:sz w:val="24"/>
          <w:szCs w:val="24"/>
        </w:rPr>
        <w:t>as</w:t>
      </w:r>
      <w:r w:rsidR="005011A5">
        <w:rPr>
          <w:rFonts w:ascii="Times New Roman" w:hAnsi="Times New Roman" w:cs="Times New Roman"/>
          <w:sz w:val="24"/>
          <w:szCs w:val="24"/>
        </w:rPr>
        <w:t xml:space="preserve"> calculated according to t</w:t>
      </w:r>
      <w:r w:rsidR="005011A5" w:rsidRPr="005011A5">
        <w:rPr>
          <w:rFonts w:ascii="Times New Roman" w:hAnsi="Times New Roman" w:cs="Times New Roman"/>
          <w:sz w:val="24"/>
          <w:szCs w:val="24"/>
        </w:rPr>
        <w:t xml:space="preserve">he first of the </w:t>
      </w:r>
      <w:r w:rsidR="005011A5">
        <w:rPr>
          <w:rFonts w:ascii="Times New Roman" w:hAnsi="Times New Roman" w:cs="Times New Roman"/>
          <w:sz w:val="24"/>
          <w:szCs w:val="24"/>
        </w:rPr>
        <w:t>two</w:t>
      </w:r>
      <w:r w:rsidR="005011A5" w:rsidRPr="005011A5">
        <w:rPr>
          <w:rFonts w:ascii="Times New Roman" w:hAnsi="Times New Roman" w:cs="Times New Roman"/>
          <w:sz w:val="24"/>
          <w:szCs w:val="24"/>
        </w:rPr>
        <w:t xml:space="preserve"> subsequent laboratory assessments.</w:t>
      </w:r>
      <w:r w:rsidR="00DE6661">
        <w:rPr>
          <w:rFonts w:ascii="Times New Roman" w:hAnsi="Times New Roman" w:cs="Times New Roman"/>
          <w:sz w:val="24"/>
          <w:szCs w:val="24"/>
        </w:rPr>
        <w:t xml:space="preserve"> </w:t>
      </w:r>
    </w:p>
    <w:p w14:paraId="34AA11E0" w14:textId="7FD9C881" w:rsidR="00160659" w:rsidRDefault="00D10983" w:rsidP="00C40158">
      <w:pPr>
        <w:pStyle w:val="EndNoteBibliography"/>
        <w:spacing w:line="480" w:lineRule="auto"/>
        <w:rPr>
          <w:rFonts w:ascii="Times New Roman" w:hAnsi="Times New Roman" w:cs="Times New Roman"/>
          <w:sz w:val="24"/>
          <w:szCs w:val="24"/>
          <w:lang w:val="en-GB"/>
        </w:rPr>
      </w:pPr>
      <w:r>
        <w:rPr>
          <w:rFonts w:ascii="Times New Roman" w:hAnsi="Times New Roman" w:cs="Times New Roman"/>
          <w:sz w:val="24"/>
          <w:szCs w:val="24"/>
        </w:rPr>
        <w:t xml:space="preserve">The primary </w:t>
      </w:r>
      <w:r w:rsidR="00D91880">
        <w:rPr>
          <w:rFonts w:ascii="Times New Roman" w:hAnsi="Times New Roman" w:cs="Times New Roman"/>
          <w:sz w:val="24"/>
          <w:szCs w:val="24"/>
        </w:rPr>
        <w:t xml:space="preserve">composite </w:t>
      </w:r>
      <w:r>
        <w:rPr>
          <w:rFonts w:ascii="Times New Roman" w:hAnsi="Times New Roman" w:cs="Times New Roman"/>
          <w:sz w:val="24"/>
          <w:szCs w:val="24"/>
        </w:rPr>
        <w:t xml:space="preserve">renal outcome was </w:t>
      </w:r>
      <w:r w:rsidR="00D66344">
        <w:rPr>
          <w:rFonts w:ascii="Times New Roman" w:hAnsi="Times New Roman" w:cs="Times New Roman"/>
          <w:sz w:val="24"/>
          <w:szCs w:val="24"/>
        </w:rPr>
        <w:t>previously reported</w:t>
      </w:r>
      <w:r w:rsidR="00D66344" w:rsidRPr="00D66344">
        <w:rPr>
          <w:rFonts w:ascii="Times New Roman" w:hAnsi="Times New Roman" w:cs="Times New Roman"/>
          <w:sz w:val="24"/>
          <w:szCs w:val="24"/>
          <w:highlight w:val="yellow"/>
          <w:vertAlign w:val="superscript"/>
        </w:rPr>
        <w:t>14</w:t>
      </w:r>
      <w:r w:rsidR="00D66344">
        <w:rPr>
          <w:rFonts w:ascii="Times New Roman" w:hAnsi="Times New Roman" w:cs="Times New Roman"/>
          <w:sz w:val="24"/>
          <w:szCs w:val="24"/>
        </w:rPr>
        <w:t xml:space="preserve"> and </w:t>
      </w:r>
      <w:r w:rsidR="00A414B6">
        <w:rPr>
          <w:rFonts w:ascii="Times New Roman" w:hAnsi="Times New Roman" w:cs="Times New Roman"/>
          <w:sz w:val="24"/>
          <w:szCs w:val="24"/>
        </w:rPr>
        <w:t>define</w:t>
      </w:r>
      <w:r w:rsidR="009402BD">
        <w:rPr>
          <w:rFonts w:ascii="Times New Roman" w:hAnsi="Times New Roman" w:cs="Times New Roman"/>
          <w:sz w:val="24"/>
          <w:szCs w:val="24"/>
        </w:rPr>
        <w:t>d</w:t>
      </w:r>
      <w:r w:rsidR="00A414B6">
        <w:rPr>
          <w:rFonts w:ascii="Times New Roman" w:hAnsi="Times New Roman" w:cs="Times New Roman"/>
          <w:sz w:val="24"/>
          <w:szCs w:val="24"/>
        </w:rPr>
        <w:t xml:space="preserve"> as:</w:t>
      </w:r>
      <w:r w:rsidR="00A414B6" w:rsidRPr="005B44B2">
        <w:rPr>
          <w:rFonts w:ascii="Times New Roman" w:hAnsi="Times New Roman" w:cs="Times New Roman"/>
          <w:sz w:val="24"/>
          <w:szCs w:val="24"/>
        </w:rPr>
        <w:t xml:space="preserve"> </w:t>
      </w:r>
      <w:r w:rsidR="009F6B66">
        <w:rPr>
          <w:rFonts w:ascii="Times New Roman" w:hAnsi="Times New Roman" w:cs="Times New Roman"/>
          <w:sz w:val="24"/>
          <w:szCs w:val="24"/>
        </w:rPr>
        <w:t>time to</w:t>
      </w:r>
      <w:r w:rsidR="00916ABF">
        <w:rPr>
          <w:rFonts w:ascii="Times New Roman" w:hAnsi="Times New Roman" w:cs="Times New Roman"/>
          <w:sz w:val="24"/>
          <w:szCs w:val="24"/>
        </w:rPr>
        <w:t xml:space="preserve"> </w:t>
      </w:r>
      <w:r w:rsidR="009F6B66">
        <w:rPr>
          <w:rFonts w:ascii="Times New Roman" w:hAnsi="Times New Roman" w:cs="Times New Roman"/>
          <w:sz w:val="24"/>
          <w:szCs w:val="24"/>
        </w:rPr>
        <w:t xml:space="preserve">first event of </w:t>
      </w:r>
      <w:r w:rsidR="00A414B6" w:rsidRPr="005B44B2">
        <w:rPr>
          <w:rFonts w:ascii="Times New Roman" w:hAnsi="Times New Roman" w:cs="Times New Roman"/>
          <w:sz w:val="24"/>
          <w:szCs w:val="24"/>
        </w:rPr>
        <w:t xml:space="preserve">composite of sustained </w:t>
      </w:r>
      <w:r w:rsidR="00726D47">
        <w:rPr>
          <w:rFonts w:ascii="Times New Roman" w:hAnsi="Times New Roman" w:cs="Times New Roman"/>
          <w:sz w:val="24"/>
          <w:szCs w:val="24"/>
        </w:rPr>
        <w:t xml:space="preserve">confirmed </w:t>
      </w:r>
      <w:r w:rsidR="00A414B6" w:rsidRPr="005B44B2">
        <w:rPr>
          <w:rFonts w:ascii="Times New Roman" w:hAnsi="Times New Roman" w:cs="Times New Roman"/>
          <w:sz w:val="24"/>
          <w:szCs w:val="24"/>
        </w:rPr>
        <w:t>decrease</w:t>
      </w:r>
      <w:r w:rsidR="00A414B6">
        <w:rPr>
          <w:rFonts w:ascii="Times New Roman" w:hAnsi="Times New Roman" w:cs="Times New Roman"/>
          <w:sz w:val="24"/>
          <w:szCs w:val="24"/>
        </w:rPr>
        <w:t xml:space="preserve"> of eGFR</w:t>
      </w:r>
      <w:r w:rsidR="00A414B6" w:rsidRPr="005B44B2">
        <w:rPr>
          <w:rFonts w:ascii="Times New Roman" w:hAnsi="Times New Roman" w:cs="Times New Roman"/>
          <w:sz w:val="24"/>
          <w:szCs w:val="24"/>
        </w:rPr>
        <w:t xml:space="preserve"> by at least 40 % (calculated by Chronic Kidney Disease Epidemiology Collaboration</w:t>
      </w:r>
      <w:r w:rsidR="00A414B6">
        <w:rPr>
          <w:rFonts w:ascii="Times New Roman" w:hAnsi="Times New Roman" w:cs="Times New Roman"/>
          <w:sz w:val="24"/>
          <w:szCs w:val="24"/>
        </w:rPr>
        <w:t xml:space="preserve"> equation</w:t>
      </w:r>
      <w:r w:rsidR="001B7894">
        <w:rPr>
          <w:rFonts w:ascii="Times New Roman" w:hAnsi="Times New Roman" w:cs="Times New Roman"/>
          <w:sz w:val="24"/>
          <w:szCs w:val="24"/>
        </w:rPr>
        <w:t xml:space="preserve"> </w:t>
      </w:r>
      <w:r w:rsidR="00B73B7A">
        <w:rPr>
          <w:rFonts w:ascii="Times New Roman" w:hAnsi="Times New Roman" w:cs="Times New Roman"/>
          <w:sz w:val="24"/>
          <w:szCs w:val="24"/>
        </w:rPr>
        <w:t xml:space="preserve">(CKD-EPI) </w:t>
      </w:r>
      <w:r w:rsidR="001B7894">
        <w:rPr>
          <w:rFonts w:ascii="Times New Roman" w:hAnsi="Times New Roman" w:cs="Times New Roman"/>
          <w:sz w:val="24"/>
          <w:szCs w:val="24"/>
        </w:rPr>
        <w:t>and defined as confirmed on two tests at the central laboratory at least 4 weeks apart</w:t>
      </w:r>
      <w:r w:rsidR="00A414B6" w:rsidRPr="005B44B2">
        <w:rPr>
          <w:rFonts w:ascii="Times New Roman" w:hAnsi="Times New Roman" w:cs="Times New Roman"/>
          <w:sz w:val="24"/>
          <w:szCs w:val="24"/>
        </w:rPr>
        <w:t>)</w:t>
      </w:r>
      <w:r w:rsidR="00A414B6" w:rsidRPr="00C56D32">
        <w:rPr>
          <w:rFonts w:ascii="Times New Roman" w:hAnsi="Times New Roman" w:cs="Times New Roman"/>
          <w:sz w:val="24"/>
          <w:szCs w:val="24"/>
        </w:rPr>
        <w:fldChar w:fldCharType="begin" w:fldLock="1"/>
      </w:r>
      <w:r w:rsidR="00B90562">
        <w:rPr>
          <w:rFonts w:ascii="Times New Roman" w:hAnsi="Times New Roman" w:cs="Times New Roman"/>
          <w:sz w:val="24"/>
          <w:szCs w:val="24"/>
        </w:rPr>
        <w:instrText>ADDIN CSL_CITATION {"citationItems":[{"id":"ITEM-1","itemData":{"ISSN":"1539-3704","PMID":"19414839","abstract":"BACKGROUND Equations to estimate glomerular filtration rate (GFR) are routinely used to assess kidney function. Current equations have limited precision and systematically underestimate measured GFR at higher values. OBJECTIVE To develop a new estimating equation for GFR: the Chronic Kidney Disease Epidemiology Collaboration (CKD-EPI) equation. DESIGN Cross-sectional analysis with separate pooled data sets for equation development and validation and a representative sample of the U.S. population for prevalence estimates. SETTING Research studies and clinical populations (\"studies\") with measured GFR and NHANES (National Health and Nutrition Examination Survey), 1999 to 2006. PARTICIPANTS 8254 participants in 10 studies (equation development data set) and 3896 participants in 16 studies (validation data set). Prevalence estimates were based on 16,032 participants in NHANES. MEASUREMENTS GFR, measured as the clearance of exogenous filtration markers (iothalamate in the development data set; iothalamate and other markers in the validation data set), and linear regression to estimate the logarithm of measured GFR from standardized creatinine levels, sex, race, and age. RESULTS In the validation data set, the CKD-EPI equation performed better than the Modification of Diet in Renal Disease Study equation, especially at higher GFR (P &lt; 0.001 for all subsequent comparisons), with less bias (median difference between measured and estimated GFR, 2.5 vs. 5.5 mL/min per 1.73 m(2)), improved precision (interquartile range [IQR] of the differences, 16.6 vs. 18.3 mL/min per 1.73 m(2)), and greater accuracy (percentage of estimated GFR within 30% of measured GFR, 84.1% vs. 80.6%). In NHANES, the median estimated GFR was 94.5 mL/min per 1.73 m(2) (IQR, 79.7 to 108.1) vs. 85.0 (IQR, 72.9 to 98.5) mL/min per 1.73 m(2), and the prevalence of chronic kidney disease was 11.5% (95% CI, 10.6% to 12.4%) versus 13.1% (CI, 12.1% to 14.0%). LIMITATION The sample contained a limited number of elderly people and racial and ethnic minorities with measured GFR. CONCLUSION The CKD-EPI creatinine equation is more accurate than the Modification of Diet in Renal Disease Study equation and could replace it for routine clinical use. PRIMARY FUNDING SOURCE National Institute of Diabetes and Digestive and Kidney Diseases.","author":[{"dropping-particle":"","family":"Levey","given":"Andrew S","non-dropping-particle":"","parse-names":false,"suffix":""},{"dropping-particle":"","family":"Stevens","given":"Lesley A","non-dropping-particle":"","parse-names":false,"suffix":""},{"dropping-particle":"","family":"Schmid","given":"Christopher H","non-dropping-particle":"","parse-names":false,"suffix":""},{"dropping-particle":"","family":"Zhang","given":"Yaping Lucy","non-dropping-particle":"","parse-names":false,"suffix":""},{"dropping-particle":"","family":"Castro","given":"Alejandro F","non-dropping-particle":"","parse-names":false,"suffix":""},{"dropping-particle":"","family":"Feldman","given":"Harold I","non-dropping-particle":"","parse-names":false,"suffix":""},{"dropping-particle":"","family":"Kusek","given":"John W","non-dropping-particle":"","parse-names":false,"suffix":""},{"dropping-particle":"","family":"Eggers","given":"Paul","non-dropping-particle":"","parse-names":false,"suffix":""},{"dropping-particle":"","family":"Lente","given":"Frederick","non-dropping-particle":"Van","parse-names":false,"suffix":""},{"dropping-particle":"","family":"Greene","given":"Tom","non-dropping-particle":"","parse-names":false,"suffix":""},{"dropping-particle":"","family":"Coresh","given":"Josef","non-dropping-particle":"","parse-names":false,"suffix":""},{"dropping-particle":"","family":"CKD-EPI (Chronic Kidney Disease Epidemiology Collaboration)","given":"","non-dropping-particle":"","parse-names":false,"suffix":""}],"container-title":"Annals of internal medicine","id":"ITEM-1","issue":"9","issued":{"date-parts":[["2009","5","5"]]},"page":"604-12","title":"A new equation to estimate glomerular filtration rate.","type":"article-journal","volume":"150"},"uris":["http://www.mendeley.com/documents/?uuid=a1274ee8-f970-32d3-beaa-612b53da7c6c"]}],"mendeley":{"formattedCitation":"&lt;sup&gt;18&lt;/sup&gt;","plainTextFormattedCitation":"18","previouslyFormattedCitation":"&lt;sup&gt;18&lt;/sup&gt;"},"properties":{"noteIndex":0},"schema":"https://github.com/citation-style-language/schema/raw/master/csl-citation.json"}</w:instrText>
      </w:r>
      <w:r w:rsidR="00A414B6" w:rsidRPr="00C56D32">
        <w:rPr>
          <w:rFonts w:ascii="Times New Roman" w:hAnsi="Times New Roman" w:cs="Times New Roman"/>
          <w:sz w:val="24"/>
          <w:szCs w:val="24"/>
        </w:rPr>
        <w:fldChar w:fldCharType="separate"/>
      </w:r>
      <w:r w:rsidR="00B90562" w:rsidRPr="00B90562">
        <w:rPr>
          <w:rFonts w:ascii="Times New Roman" w:hAnsi="Times New Roman" w:cs="Times New Roman"/>
          <w:sz w:val="24"/>
          <w:szCs w:val="24"/>
          <w:vertAlign w:val="superscript"/>
        </w:rPr>
        <w:t>18</w:t>
      </w:r>
      <w:r w:rsidR="00A414B6" w:rsidRPr="00C56D32">
        <w:rPr>
          <w:rFonts w:ascii="Times New Roman" w:hAnsi="Times New Roman" w:cs="Times New Roman"/>
          <w:sz w:val="24"/>
          <w:szCs w:val="24"/>
        </w:rPr>
        <w:fldChar w:fldCharType="end"/>
      </w:r>
      <w:r w:rsidR="003933C1">
        <w:rPr>
          <w:rFonts w:ascii="Times New Roman" w:hAnsi="Times New Roman" w:cs="Times New Roman"/>
          <w:sz w:val="24"/>
          <w:szCs w:val="24"/>
        </w:rPr>
        <w:t xml:space="preserve"> to eGFR&lt;60 </w:t>
      </w:r>
      <w:r w:rsidR="003933C1" w:rsidRPr="005B44B2">
        <w:rPr>
          <w:rFonts w:ascii="Times New Roman" w:hAnsi="Times New Roman" w:cs="Times New Roman"/>
          <w:sz w:val="24"/>
          <w:szCs w:val="24"/>
        </w:rPr>
        <w:t>ml/min/1.73 m</w:t>
      </w:r>
      <w:r w:rsidR="003933C1" w:rsidRPr="002D1BF5">
        <w:rPr>
          <w:rFonts w:ascii="Times New Roman" w:hAnsi="Times New Roman" w:cs="Times New Roman"/>
          <w:sz w:val="24"/>
          <w:szCs w:val="24"/>
          <w:vertAlign w:val="superscript"/>
        </w:rPr>
        <w:t>2</w:t>
      </w:r>
      <w:r w:rsidR="00A414B6">
        <w:rPr>
          <w:rFonts w:ascii="Times New Roman" w:hAnsi="Times New Roman" w:cs="Times New Roman"/>
          <w:sz w:val="24"/>
          <w:szCs w:val="24"/>
        </w:rPr>
        <w:t>,</w:t>
      </w:r>
      <w:r w:rsidR="00A414B6" w:rsidRPr="005B44B2">
        <w:rPr>
          <w:rFonts w:ascii="Times New Roman" w:hAnsi="Times New Roman" w:cs="Times New Roman"/>
          <w:sz w:val="24"/>
          <w:szCs w:val="24"/>
        </w:rPr>
        <w:t xml:space="preserve"> </w:t>
      </w:r>
      <w:r w:rsidR="003933C1">
        <w:rPr>
          <w:rFonts w:ascii="Times New Roman" w:hAnsi="Times New Roman" w:cs="Times New Roman"/>
          <w:sz w:val="24"/>
          <w:szCs w:val="24"/>
        </w:rPr>
        <w:t xml:space="preserve">and/or </w:t>
      </w:r>
      <w:r w:rsidR="00A414B6" w:rsidRPr="005B44B2">
        <w:rPr>
          <w:rFonts w:ascii="Times New Roman" w:hAnsi="Times New Roman" w:cs="Times New Roman"/>
          <w:sz w:val="24"/>
          <w:szCs w:val="24"/>
        </w:rPr>
        <w:t>end-stage renal disease</w:t>
      </w:r>
      <w:r w:rsidR="003933C1">
        <w:rPr>
          <w:rFonts w:ascii="Times New Roman" w:hAnsi="Times New Roman" w:cs="Times New Roman"/>
          <w:sz w:val="24"/>
          <w:szCs w:val="24"/>
        </w:rPr>
        <w:t xml:space="preserve"> (ESRD)</w:t>
      </w:r>
      <w:r w:rsidR="00A414B6" w:rsidRPr="005B44B2">
        <w:rPr>
          <w:rFonts w:ascii="Times New Roman" w:hAnsi="Times New Roman" w:cs="Times New Roman"/>
          <w:sz w:val="24"/>
          <w:szCs w:val="24"/>
        </w:rPr>
        <w:t xml:space="preserve"> (</w:t>
      </w:r>
      <w:r w:rsidR="00ED3078">
        <w:rPr>
          <w:rFonts w:ascii="Times New Roman" w:hAnsi="Times New Roman" w:cs="Times New Roman"/>
          <w:sz w:val="24"/>
          <w:szCs w:val="24"/>
        </w:rPr>
        <w:t>define</w:t>
      </w:r>
      <w:r w:rsidR="00446F61">
        <w:rPr>
          <w:rFonts w:ascii="Times New Roman" w:hAnsi="Times New Roman" w:cs="Times New Roman"/>
          <w:sz w:val="24"/>
          <w:szCs w:val="24"/>
        </w:rPr>
        <w:t>d</w:t>
      </w:r>
      <w:r w:rsidR="00ED3078">
        <w:rPr>
          <w:rFonts w:ascii="Times New Roman" w:hAnsi="Times New Roman" w:cs="Times New Roman"/>
          <w:sz w:val="24"/>
          <w:szCs w:val="24"/>
        </w:rPr>
        <w:t xml:space="preserve"> as </w:t>
      </w:r>
      <w:r w:rsidR="00A414B6" w:rsidRPr="005B44B2">
        <w:rPr>
          <w:rFonts w:ascii="Times New Roman" w:hAnsi="Times New Roman" w:cs="Times New Roman"/>
          <w:sz w:val="24"/>
          <w:szCs w:val="24"/>
        </w:rPr>
        <w:t xml:space="preserve">either </w:t>
      </w:r>
      <w:r w:rsidR="00D24F93">
        <w:rPr>
          <w:rFonts w:ascii="Times New Roman" w:hAnsi="Times New Roman" w:cs="Times New Roman"/>
          <w:sz w:val="24"/>
          <w:szCs w:val="24"/>
        </w:rPr>
        <w:t>dialysis</w:t>
      </w:r>
      <w:r w:rsidR="00A414B6" w:rsidRPr="005B44B2">
        <w:rPr>
          <w:rFonts w:ascii="Times New Roman" w:hAnsi="Times New Roman" w:cs="Times New Roman"/>
          <w:sz w:val="24"/>
          <w:szCs w:val="24"/>
        </w:rPr>
        <w:t xml:space="preserve"> for 90 days or more, kidney transplantation or sustained </w:t>
      </w:r>
      <w:r w:rsidR="00043F6A">
        <w:rPr>
          <w:rFonts w:ascii="Times New Roman" w:hAnsi="Times New Roman" w:cs="Times New Roman"/>
          <w:sz w:val="24"/>
          <w:szCs w:val="24"/>
        </w:rPr>
        <w:t xml:space="preserve">(defined as two tests at the central laboratory at least 4 weeks apart) </w:t>
      </w:r>
      <w:r w:rsidR="003933C1">
        <w:rPr>
          <w:rFonts w:ascii="Times New Roman" w:hAnsi="Times New Roman" w:cs="Times New Roman"/>
          <w:sz w:val="24"/>
          <w:szCs w:val="24"/>
        </w:rPr>
        <w:t>eGFR</w:t>
      </w:r>
      <w:r w:rsidR="00A414B6" w:rsidRPr="005B44B2">
        <w:rPr>
          <w:rFonts w:ascii="Times New Roman" w:hAnsi="Times New Roman" w:cs="Times New Roman"/>
          <w:sz w:val="24"/>
          <w:szCs w:val="24"/>
        </w:rPr>
        <w:t xml:space="preserve"> of </w:t>
      </w:r>
      <w:r w:rsidR="00D24F93">
        <w:rPr>
          <w:rFonts w:ascii="Times New Roman" w:hAnsi="Times New Roman" w:cs="Times New Roman"/>
          <w:sz w:val="24"/>
          <w:szCs w:val="24"/>
        </w:rPr>
        <w:t>&lt;</w:t>
      </w:r>
      <w:r w:rsidR="00A414B6" w:rsidRPr="005B44B2">
        <w:rPr>
          <w:rFonts w:ascii="Times New Roman" w:hAnsi="Times New Roman" w:cs="Times New Roman"/>
          <w:sz w:val="24"/>
          <w:szCs w:val="24"/>
        </w:rPr>
        <w:t>15 ml/min/1.73 m</w:t>
      </w:r>
      <w:r w:rsidR="00A414B6" w:rsidRPr="002D1BF5">
        <w:rPr>
          <w:rFonts w:ascii="Times New Roman" w:hAnsi="Times New Roman" w:cs="Times New Roman"/>
          <w:sz w:val="24"/>
          <w:szCs w:val="24"/>
          <w:vertAlign w:val="superscript"/>
        </w:rPr>
        <w:t>2</w:t>
      </w:r>
      <w:r w:rsidR="00A414B6" w:rsidRPr="005B44B2">
        <w:rPr>
          <w:rFonts w:ascii="Times New Roman" w:hAnsi="Times New Roman" w:cs="Times New Roman"/>
          <w:sz w:val="24"/>
          <w:szCs w:val="24"/>
        </w:rPr>
        <w:t xml:space="preserve">), </w:t>
      </w:r>
      <w:r w:rsidR="003933C1">
        <w:rPr>
          <w:rFonts w:ascii="Times New Roman" w:hAnsi="Times New Roman" w:cs="Times New Roman"/>
          <w:sz w:val="24"/>
          <w:szCs w:val="24"/>
        </w:rPr>
        <w:t xml:space="preserve">and/or </w:t>
      </w:r>
      <w:r w:rsidR="00A414B6" w:rsidRPr="005B44B2">
        <w:rPr>
          <w:rFonts w:ascii="Times New Roman" w:hAnsi="Times New Roman" w:cs="Times New Roman"/>
          <w:sz w:val="24"/>
          <w:szCs w:val="24"/>
        </w:rPr>
        <w:t>CV or renal death</w:t>
      </w:r>
      <w:r>
        <w:rPr>
          <w:rFonts w:ascii="Times New Roman" w:hAnsi="Times New Roman" w:cs="Times New Roman"/>
          <w:sz w:val="24"/>
          <w:szCs w:val="24"/>
        </w:rPr>
        <w:t>.</w:t>
      </w:r>
      <w:r w:rsidRPr="00D10983">
        <w:rPr>
          <w:rFonts w:ascii="Times New Roman" w:hAnsi="Times New Roman" w:cs="Times New Roman"/>
          <w:sz w:val="24"/>
          <w:szCs w:val="24"/>
        </w:rPr>
        <w:t xml:space="preserve"> </w:t>
      </w:r>
      <w:r>
        <w:rPr>
          <w:rFonts w:ascii="Times New Roman" w:hAnsi="Times New Roman" w:cs="Times New Roman"/>
          <w:sz w:val="24"/>
          <w:szCs w:val="24"/>
        </w:rPr>
        <w:t xml:space="preserve">The secondary </w:t>
      </w:r>
      <w:r w:rsidR="00D8471A">
        <w:rPr>
          <w:rFonts w:ascii="Times New Roman" w:hAnsi="Times New Roman" w:cs="Times New Roman"/>
          <w:sz w:val="24"/>
          <w:szCs w:val="24"/>
        </w:rPr>
        <w:t xml:space="preserve">composite </w:t>
      </w:r>
      <w:r>
        <w:rPr>
          <w:rFonts w:ascii="Times New Roman" w:hAnsi="Times New Roman" w:cs="Times New Roman"/>
          <w:sz w:val="24"/>
          <w:szCs w:val="24"/>
        </w:rPr>
        <w:t xml:space="preserve">renal </w:t>
      </w:r>
      <w:r w:rsidR="00D8471A">
        <w:rPr>
          <w:rFonts w:ascii="Times New Roman" w:hAnsi="Times New Roman" w:cs="Times New Roman"/>
          <w:sz w:val="24"/>
          <w:szCs w:val="24"/>
        </w:rPr>
        <w:t>outcome</w:t>
      </w:r>
      <w:r>
        <w:rPr>
          <w:rFonts w:ascii="Times New Roman" w:hAnsi="Times New Roman" w:cs="Times New Roman"/>
          <w:sz w:val="24"/>
          <w:szCs w:val="24"/>
        </w:rPr>
        <w:t xml:space="preserve"> was the same as the primary </w:t>
      </w:r>
      <w:r w:rsidR="00D8471A">
        <w:rPr>
          <w:rFonts w:ascii="Times New Roman" w:hAnsi="Times New Roman" w:cs="Times New Roman"/>
          <w:sz w:val="24"/>
          <w:szCs w:val="24"/>
        </w:rPr>
        <w:t xml:space="preserve">composite </w:t>
      </w:r>
      <w:r>
        <w:rPr>
          <w:rFonts w:ascii="Times New Roman" w:hAnsi="Times New Roman" w:cs="Times New Roman"/>
          <w:sz w:val="24"/>
          <w:szCs w:val="24"/>
        </w:rPr>
        <w:t xml:space="preserve">renal </w:t>
      </w:r>
      <w:r w:rsidR="00D8471A">
        <w:rPr>
          <w:rFonts w:ascii="Times New Roman" w:hAnsi="Times New Roman" w:cs="Times New Roman"/>
          <w:sz w:val="24"/>
          <w:szCs w:val="24"/>
        </w:rPr>
        <w:t>outcome</w:t>
      </w:r>
      <w:r>
        <w:rPr>
          <w:rFonts w:ascii="Times New Roman" w:hAnsi="Times New Roman" w:cs="Times New Roman"/>
          <w:sz w:val="24"/>
          <w:szCs w:val="24"/>
        </w:rPr>
        <w:t xml:space="preserve"> without CV death</w:t>
      </w:r>
      <w:r w:rsidR="00D66344">
        <w:rPr>
          <w:rFonts w:ascii="Times New Roman" w:hAnsi="Times New Roman" w:cs="Times New Roman"/>
          <w:sz w:val="24"/>
          <w:szCs w:val="24"/>
        </w:rPr>
        <w:t xml:space="preserve"> and was also previously reported</w:t>
      </w:r>
      <w:r w:rsidR="00D66344" w:rsidRPr="00D66344">
        <w:rPr>
          <w:rFonts w:ascii="Times New Roman" w:hAnsi="Times New Roman" w:cs="Times New Roman"/>
          <w:sz w:val="24"/>
          <w:szCs w:val="24"/>
          <w:highlight w:val="yellow"/>
          <w:vertAlign w:val="superscript"/>
        </w:rPr>
        <w:t>14</w:t>
      </w:r>
      <w:r>
        <w:rPr>
          <w:rFonts w:ascii="Times New Roman" w:hAnsi="Times New Roman" w:cs="Times New Roman"/>
          <w:sz w:val="24"/>
          <w:szCs w:val="24"/>
        </w:rPr>
        <w:t>.</w:t>
      </w:r>
      <w:r w:rsidR="00F332E1">
        <w:rPr>
          <w:rFonts w:ascii="Times New Roman" w:hAnsi="Times New Roman" w:cs="Times New Roman"/>
          <w:sz w:val="24"/>
          <w:szCs w:val="24"/>
        </w:rPr>
        <w:t xml:space="preserve"> </w:t>
      </w:r>
      <w:r w:rsidR="00D36565">
        <w:rPr>
          <w:rFonts w:ascii="Times New Roman" w:hAnsi="Times New Roman" w:cs="Times New Roman"/>
          <w:sz w:val="24"/>
          <w:szCs w:val="24"/>
        </w:rPr>
        <w:t xml:space="preserve">The primary </w:t>
      </w:r>
      <w:r w:rsidR="00D8471A">
        <w:rPr>
          <w:rFonts w:ascii="Times New Roman" w:hAnsi="Times New Roman" w:cs="Times New Roman"/>
          <w:sz w:val="24"/>
          <w:szCs w:val="24"/>
        </w:rPr>
        <w:t xml:space="preserve">composite </w:t>
      </w:r>
      <w:r w:rsidR="00D36565">
        <w:rPr>
          <w:rFonts w:ascii="Times New Roman" w:hAnsi="Times New Roman" w:cs="Times New Roman"/>
          <w:sz w:val="24"/>
          <w:szCs w:val="24"/>
        </w:rPr>
        <w:t>renal outcome represent</w:t>
      </w:r>
      <w:r w:rsidR="00163DA1">
        <w:rPr>
          <w:rFonts w:ascii="Times New Roman" w:hAnsi="Times New Roman" w:cs="Times New Roman"/>
          <w:sz w:val="24"/>
          <w:szCs w:val="24"/>
        </w:rPr>
        <w:t>s</w:t>
      </w:r>
      <w:r w:rsidR="00D36565">
        <w:rPr>
          <w:rFonts w:ascii="Times New Roman" w:hAnsi="Times New Roman" w:cs="Times New Roman"/>
          <w:sz w:val="24"/>
          <w:szCs w:val="24"/>
        </w:rPr>
        <w:t xml:space="preserve"> the renal outcome with it</w:t>
      </w:r>
      <w:r w:rsidR="00C40158">
        <w:rPr>
          <w:rFonts w:ascii="Times New Roman" w:hAnsi="Times New Roman" w:cs="Times New Roman"/>
          <w:sz w:val="24"/>
          <w:szCs w:val="24"/>
        </w:rPr>
        <w:t>'</w:t>
      </w:r>
      <w:r w:rsidR="00163DA1">
        <w:rPr>
          <w:rFonts w:ascii="Times New Roman" w:hAnsi="Times New Roman" w:cs="Times New Roman"/>
          <w:sz w:val="24"/>
          <w:szCs w:val="24"/>
        </w:rPr>
        <w:t>s</w:t>
      </w:r>
      <w:r w:rsidR="00D36565">
        <w:rPr>
          <w:rFonts w:ascii="Times New Roman" w:hAnsi="Times New Roman" w:cs="Times New Roman"/>
          <w:sz w:val="24"/>
          <w:szCs w:val="24"/>
        </w:rPr>
        <w:t xml:space="preserve"> main </w:t>
      </w:r>
      <w:r w:rsidR="00163DA1">
        <w:rPr>
          <w:rFonts w:ascii="Times New Roman" w:hAnsi="Times New Roman" w:cs="Times New Roman"/>
          <w:sz w:val="24"/>
          <w:szCs w:val="24"/>
        </w:rPr>
        <w:t xml:space="preserve">competing </w:t>
      </w:r>
      <w:r w:rsidR="00D36565">
        <w:rPr>
          <w:rFonts w:ascii="Times New Roman" w:hAnsi="Times New Roman" w:cs="Times New Roman"/>
          <w:sz w:val="24"/>
          <w:szCs w:val="24"/>
        </w:rPr>
        <w:t>event</w:t>
      </w:r>
      <w:r w:rsidR="00AF2C3B">
        <w:rPr>
          <w:rFonts w:ascii="Times New Roman" w:hAnsi="Times New Roman" w:cs="Times New Roman"/>
          <w:sz w:val="24"/>
          <w:szCs w:val="24"/>
        </w:rPr>
        <w:t xml:space="preserve"> </w:t>
      </w:r>
      <w:r w:rsidR="00D36565">
        <w:rPr>
          <w:rFonts w:ascii="Times New Roman" w:hAnsi="Times New Roman" w:cs="Times New Roman"/>
          <w:sz w:val="24"/>
          <w:szCs w:val="24"/>
        </w:rPr>
        <w:t xml:space="preserve">- CV death, while the secondary </w:t>
      </w:r>
      <w:r w:rsidR="00D8471A">
        <w:rPr>
          <w:rFonts w:ascii="Times New Roman" w:hAnsi="Times New Roman" w:cs="Times New Roman"/>
          <w:sz w:val="24"/>
          <w:szCs w:val="24"/>
        </w:rPr>
        <w:t xml:space="preserve">composite renal </w:t>
      </w:r>
      <w:r w:rsidR="00D36565">
        <w:rPr>
          <w:rFonts w:ascii="Times New Roman" w:hAnsi="Times New Roman" w:cs="Times New Roman"/>
          <w:sz w:val="24"/>
          <w:szCs w:val="24"/>
        </w:rPr>
        <w:t xml:space="preserve">outcome is the  renal </w:t>
      </w:r>
      <w:r w:rsidR="009A0834">
        <w:rPr>
          <w:rFonts w:ascii="Times New Roman" w:hAnsi="Times New Roman" w:cs="Times New Roman"/>
          <w:sz w:val="24"/>
          <w:szCs w:val="24"/>
        </w:rPr>
        <w:t xml:space="preserve">specific </w:t>
      </w:r>
      <w:r w:rsidR="00D36565">
        <w:rPr>
          <w:rFonts w:ascii="Times New Roman" w:hAnsi="Times New Roman" w:cs="Times New Roman"/>
          <w:sz w:val="24"/>
          <w:szCs w:val="24"/>
        </w:rPr>
        <w:t xml:space="preserve">outcome. </w:t>
      </w:r>
      <w:r w:rsidR="00085CBF">
        <w:rPr>
          <w:rFonts w:ascii="Times New Roman" w:hAnsi="Times New Roman" w:cs="Times New Roman"/>
          <w:sz w:val="24"/>
          <w:szCs w:val="24"/>
        </w:rPr>
        <w:t xml:space="preserve">The components of the primary and secondary </w:t>
      </w:r>
      <w:r w:rsidR="00FF7850">
        <w:rPr>
          <w:rFonts w:ascii="Times New Roman" w:hAnsi="Times New Roman" w:cs="Times New Roman"/>
          <w:sz w:val="24"/>
          <w:szCs w:val="24"/>
        </w:rPr>
        <w:t xml:space="preserve">composite </w:t>
      </w:r>
      <w:r w:rsidR="00085CBF">
        <w:rPr>
          <w:rFonts w:ascii="Times New Roman" w:hAnsi="Times New Roman" w:cs="Times New Roman"/>
          <w:sz w:val="24"/>
          <w:szCs w:val="24"/>
        </w:rPr>
        <w:t xml:space="preserve">renal outcomes were </w:t>
      </w:r>
      <w:r w:rsidR="00CC5C13">
        <w:rPr>
          <w:rFonts w:ascii="Times New Roman" w:hAnsi="Times New Roman" w:cs="Times New Roman"/>
          <w:sz w:val="24"/>
          <w:szCs w:val="24"/>
        </w:rPr>
        <w:t xml:space="preserve">prespecified </w:t>
      </w:r>
      <w:r w:rsidR="00085CBF">
        <w:rPr>
          <w:rFonts w:ascii="Times New Roman" w:hAnsi="Times New Roman" w:cs="Times New Roman"/>
          <w:sz w:val="24"/>
          <w:szCs w:val="24"/>
        </w:rPr>
        <w:t xml:space="preserve">exploratory endpoints. </w:t>
      </w:r>
      <w:r w:rsidR="00D66344">
        <w:rPr>
          <w:rFonts w:ascii="Times New Roman" w:hAnsi="Times New Roman" w:cs="Times New Roman"/>
          <w:sz w:val="24"/>
          <w:szCs w:val="24"/>
        </w:rPr>
        <w:t xml:space="preserve">All </w:t>
      </w:r>
      <w:r w:rsidR="00AE310E">
        <w:rPr>
          <w:rFonts w:ascii="Times New Roman" w:hAnsi="Times New Roman" w:cs="Times New Roman"/>
          <w:sz w:val="24"/>
          <w:szCs w:val="24"/>
        </w:rPr>
        <w:t>a</w:t>
      </w:r>
      <w:r w:rsidR="00D66344">
        <w:rPr>
          <w:rFonts w:ascii="Times New Roman" w:hAnsi="Times New Roman" w:cs="Times New Roman"/>
          <w:sz w:val="24"/>
          <w:szCs w:val="24"/>
        </w:rPr>
        <w:t>nalys</w:t>
      </w:r>
      <w:r w:rsidR="00CC5C13">
        <w:rPr>
          <w:rFonts w:ascii="Times New Roman" w:hAnsi="Times New Roman" w:cs="Times New Roman"/>
          <w:sz w:val="24"/>
          <w:szCs w:val="24"/>
        </w:rPr>
        <w:t>e</w:t>
      </w:r>
      <w:r w:rsidR="00D66344">
        <w:rPr>
          <w:rFonts w:ascii="Times New Roman" w:hAnsi="Times New Roman" w:cs="Times New Roman"/>
          <w:sz w:val="24"/>
          <w:szCs w:val="24"/>
        </w:rPr>
        <w:t xml:space="preserve">s and all subgroups presented in this manuscript were predefined </w:t>
      </w:r>
      <w:r w:rsidR="00F0539C">
        <w:rPr>
          <w:rFonts w:ascii="Times New Roman" w:hAnsi="Times New Roman" w:cs="Times New Roman"/>
          <w:sz w:val="24"/>
          <w:szCs w:val="24"/>
        </w:rPr>
        <w:t>in</w:t>
      </w:r>
      <w:r w:rsidR="00D66344">
        <w:rPr>
          <w:rFonts w:ascii="Times New Roman" w:hAnsi="Times New Roman" w:cs="Times New Roman"/>
          <w:sz w:val="24"/>
          <w:szCs w:val="24"/>
        </w:rPr>
        <w:t xml:space="preserve"> the statistical analysis plan (SAP) or </w:t>
      </w:r>
      <w:r w:rsidR="00F0539C">
        <w:rPr>
          <w:rFonts w:ascii="Times New Roman" w:hAnsi="Times New Roman" w:cs="Times New Roman"/>
          <w:sz w:val="24"/>
          <w:szCs w:val="24"/>
        </w:rPr>
        <w:t>in</w:t>
      </w:r>
      <w:r w:rsidR="00D66344">
        <w:rPr>
          <w:rFonts w:ascii="Times New Roman" w:hAnsi="Times New Roman" w:cs="Times New Roman"/>
          <w:sz w:val="24"/>
          <w:szCs w:val="24"/>
        </w:rPr>
        <w:t xml:space="preserve"> the academic SAP of the DECLARE-TIMI 58 trial, and </w:t>
      </w:r>
      <w:r w:rsidR="00AE310E">
        <w:rPr>
          <w:rFonts w:ascii="Times New Roman" w:hAnsi="Times New Roman" w:cs="Times New Roman"/>
          <w:sz w:val="24"/>
          <w:szCs w:val="24"/>
        </w:rPr>
        <w:t>only the primary and secondary outcome</w:t>
      </w:r>
      <w:r w:rsidR="00CC5C13">
        <w:rPr>
          <w:rFonts w:ascii="Times New Roman" w:hAnsi="Times New Roman" w:cs="Times New Roman"/>
          <w:sz w:val="24"/>
          <w:szCs w:val="24"/>
        </w:rPr>
        <w:t>s</w:t>
      </w:r>
      <w:r w:rsidR="00AE310E">
        <w:rPr>
          <w:rFonts w:ascii="Times New Roman" w:hAnsi="Times New Roman" w:cs="Times New Roman"/>
          <w:sz w:val="24"/>
          <w:szCs w:val="24"/>
        </w:rPr>
        <w:t xml:space="preserve"> in the entir</w:t>
      </w:r>
      <w:r w:rsidR="00D914D5">
        <w:rPr>
          <w:rFonts w:ascii="Times New Roman" w:hAnsi="Times New Roman" w:cs="Times New Roman"/>
          <w:sz w:val="24"/>
          <w:szCs w:val="24"/>
        </w:rPr>
        <w:t>e</w:t>
      </w:r>
      <w:r w:rsidR="00AE310E">
        <w:rPr>
          <w:rFonts w:ascii="Times New Roman" w:hAnsi="Times New Roman" w:cs="Times New Roman"/>
          <w:sz w:val="24"/>
          <w:szCs w:val="24"/>
        </w:rPr>
        <w:t xml:space="preserve"> trial population were </w:t>
      </w:r>
      <w:r w:rsidR="00D66344">
        <w:rPr>
          <w:rFonts w:ascii="Times New Roman" w:hAnsi="Times New Roman" w:cs="Times New Roman"/>
          <w:sz w:val="24"/>
          <w:szCs w:val="24"/>
        </w:rPr>
        <w:lastRenderedPageBreak/>
        <w:t>previo</w:t>
      </w:r>
      <w:r w:rsidR="00AE310E">
        <w:rPr>
          <w:rFonts w:ascii="Times New Roman" w:hAnsi="Times New Roman" w:cs="Times New Roman"/>
          <w:sz w:val="24"/>
          <w:szCs w:val="24"/>
        </w:rPr>
        <w:t>u</w:t>
      </w:r>
      <w:r w:rsidR="00D66344">
        <w:rPr>
          <w:rFonts w:ascii="Times New Roman" w:hAnsi="Times New Roman" w:cs="Times New Roman"/>
          <w:sz w:val="24"/>
          <w:szCs w:val="24"/>
        </w:rPr>
        <w:t>sly presented</w:t>
      </w:r>
      <w:r w:rsidR="00D914D5" w:rsidRPr="00D66344">
        <w:rPr>
          <w:rFonts w:ascii="Times New Roman" w:hAnsi="Times New Roman" w:cs="Times New Roman"/>
          <w:sz w:val="24"/>
          <w:szCs w:val="24"/>
          <w:highlight w:val="yellow"/>
          <w:vertAlign w:val="superscript"/>
        </w:rPr>
        <w:t>14</w:t>
      </w:r>
      <w:r w:rsidR="00D66344">
        <w:rPr>
          <w:rFonts w:ascii="Times New Roman" w:hAnsi="Times New Roman" w:cs="Times New Roman"/>
          <w:sz w:val="24"/>
          <w:szCs w:val="24"/>
        </w:rPr>
        <w:t xml:space="preserve">. </w:t>
      </w:r>
    </w:p>
    <w:p w14:paraId="760DA5F8" w14:textId="18580631" w:rsidR="00160659" w:rsidRDefault="00C90552" w:rsidP="00F0539C">
      <w:pPr>
        <w:pStyle w:val="EndNoteBibliography"/>
        <w:spacing w:line="480" w:lineRule="auto"/>
        <w:rPr>
          <w:rFonts w:ascii="Times New Roman" w:hAnsi="Times New Roman" w:cs="Times New Roman"/>
          <w:sz w:val="24"/>
          <w:szCs w:val="24"/>
          <w:lang w:val="en-GB"/>
        </w:rPr>
      </w:pPr>
      <w:r w:rsidRPr="009D337C">
        <w:rPr>
          <w:rFonts w:ascii="Times New Roman" w:hAnsi="Times New Roman" w:cs="Times New Roman"/>
          <w:sz w:val="24"/>
          <w:szCs w:val="24"/>
          <w:lang w:val="en-GB"/>
        </w:rPr>
        <w:t xml:space="preserve">Renal </w:t>
      </w:r>
      <w:r w:rsidR="00D24F93">
        <w:rPr>
          <w:rFonts w:ascii="Times New Roman" w:hAnsi="Times New Roman" w:cs="Times New Roman"/>
          <w:sz w:val="24"/>
          <w:szCs w:val="24"/>
          <w:lang w:val="en-GB"/>
        </w:rPr>
        <w:t xml:space="preserve">adverse </w:t>
      </w:r>
      <w:r w:rsidRPr="009D337C">
        <w:rPr>
          <w:rFonts w:ascii="Times New Roman" w:hAnsi="Times New Roman" w:cs="Times New Roman"/>
          <w:sz w:val="24"/>
          <w:szCs w:val="24"/>
          <w:lang w:val="en-GB"/>
        </w:rPr>
        <w:t xml:space="preserve">events were predefined adverse events </w:t>
      </w:r>
      <w:r w:rsidR="00A72056">
        <w:rPr>
          <w:rFonts w:ascii="Times New Roman" w:hAnsi="Times New Roman" w:cs="Times New Roman"/>
          <w:sz w:val="24"/>
          <w:szCs w:val="24"/>
          <w:lang w:val="en-GB"/>
        </w:rPr>
        <w:t xml:space="preserve">(AE) </w:t>
      </w:r>
      <w:r w:rsidRPr="009D337C">
        <w:rPr>
          <w:rFonts w:ascii="Times New Roman" w:hAnsi="Times New Roman" w:cs="Times New Roman"/>
          <w:sz w:val="24"/>
          <w:szCs w:val="24"/>
          <w:lang w:val="en-GB"/>
        </w:rPr>
        <w:t>of special int</w:t>
      </w:r>
      <w:r w:rsidR="00430B62">
        <w:rPr>
          <w:rFonts w:ascii="Times New Roman" w:hAnsi="Times New Roman" w:cs="Times New Roman"/>
          <w:sz w:val="24"/>
          <w:szCs w:val="24"/>
          <w:lang w:val="en-GB"/>
        </w:rPr>
        <w:t>e</w:t>
      </w:r>
      <w:r w:rsidRPr="009D337C">
        <w:rPr>
          <w:rFonts w:ascii="Times New Roman" w:hAnsi="Times New Roman" w:cs="Times New Roman"/>
          <w:sz w:val="24"/>
          <w:szCs w:val="24"/>
          <w:lang w:val="en-GB"/>
        </w:rPr>
        <w:t>rest and were</w:t>
      </w:r>
      <w:r w:rsidR="009D337C" w:rsidRPr="009D337C">
        <w:rPr>
          <w:rFonts w:ascii="Times New Roman" w:hAnsi="Times New Roman" w:cs="Times New Roman"/>
          <w:sz w:val="24"/>
          <w:szCs w:val="24"/>
          <w:lang w:val="en-GB"/>
        </w:rPr>
        <w:t xml:space="preserve"> </w:t>
      </w:r>
      <w:r w:rsidR="00163DA1" w:rsidRPr="009D337C">
        <w:rPr>
          <w:rFonts w:ascii="Times New Roman" w:hAnsi="Times New Roman" w:cs="Times New Roman"/>
          <w:sz w:val="24"/>
          <w:szCs w:val="24"/>
          <w:lang w:val="en-GB"/>
        </w:rPr>
        <w:t>ther</w:t>
      </w:r>
      <w:r w:rsidR="00163DA1">
        <w:rPr>
          <w:rFonts w:ascii="Times New Roman" w:hAnsi="Times New Roman" w:cs="Times New Roman"/>
          <w:sz w:val="24"/>
          <w:szCs w:val="24"/>
          <w:lang w:val="en-GB"/>
        </w:rPr>
        <w:t>e</w:t>
      </w:r>
      <w:r w:rsidR="00163DA1" w:rsidRPr="009D337C">
        <w:rPr>
          <w:rFonts w:ascii="Times New Roman" w:hAnsi="Times New Roman" w:cs="Times New Roman"/>
          <w:sz w:val="24"/>
          <w:szCs w:val="24"/>
          <w:lang w:val="en-GB"/>
        </w:rPr>
        <w:t xml:space="preserve">fore </w:t>
      </w:r>
      <w:r w:rsidRPr="00865FCE">
        <w:rPr>
          <w:rFonts w:asciiTheme="majorBidi" w:hAnsiTheme="majorBidi"/>
          <w:sz w:val="24"/>
          <w:szCs w:val="24"/>
          <w:lang w:val="en-GB"/>
        </w:rPr>
        <w:t>collected throughout the trial.</w:t>
      </w:r>
      <w:r w:rsidRPr="009D337C">
        <w:rPr>
          <w:rFonts w:ascii="Times New Roman" w:hAnsi="Times New Roman" w:cs="Times New Roman"/>
          <w:sz w:val="24"/>
          <w:szCs w:val="24"/>
          <w:lang w:val="en-GB"/>
        </w:rPr>
        <w:t xml:space="preserve"> </w:t>
      </w:r>
      <w:r w:rsidR="00A72056" w:rsidRPr="00A72056">
        <w:rPr>
          <w:rFonts w:ascii="Times New Roman" w:hAnsi="Times New Roman" w:cs="Times New Roman"/>
          <w:sz w:val="24"/>
          <w:szCs w:val="24"/>
          <w:lang w:val="en-GB"/>
        </w:rPr>
        <w:t>AEs of special interest in this study f</w:t>
      </w:r>
      <w:r w:rsidR="00CC5C13">
        <w:rPr>
          <w:rFonts w:ascii="Times New Roman" w:hAnsi="Times New Roman" w:cs="Times New Roman"/>
          <w:sz w:val="24"/>
          <w:szCs w:val="24"/>
          <w:lang w:val="en-GB"/>
        </w:rPr>
        <w:t>ell</w:t>
      </w:r>
      <w:r w:rsidR="00A72056" w:rsidRPr="00A72056">
        <w:rPr>
          <w:rFonts w:ascii="Times New Roman" w:hAnsi="Times New Roman" w:cs="Times New Roman"/>
          <w:sz w:val="24"/>
          <w:szCs w:val="24"/>
          <w:lang w:val="en-GB"/>
        </w:rPr>
        <w:t xml:space="preserve"> into the following categories: suspect neoplasm (benign, malignant or unspecified), hepatic events, major hypoglycemic events, fractures, renal events, symptoms of volume depletion, hypersensitivity reactions </w:t>
      </w:r>
      <w:r w:rsidR="00CC5C13">
        <w:rPr>
          <w:rFonts w:ascii="Times New Roman" w:hAnsi="Times New Roman" w:cs="Times New Roman"/>
          <w:sz w:val="24"/>
          <w:szCs w:val="24"/>
          <w:lang w:val="en-GB"/>
        </w:rPr>
        <w:t>[</w:t>
      </w:r>
      <w:r w:rsidR="00A72056" w:rsidRPr="00A72056">
        <w:rPr>
          <w:rFonts w:ascii="Times New Roman" w:hAnsi="Times New Roman" w:cs="Times New Roman"/>
          <w:sz w:val="24"/>
          <w:szCs w:val="24"/>
          <w:lang w:val="en-GB"/>
        </w:rPr>
        <w:t xml:space="preserve">serious or led to discontinuation of </w:t>
      </w:r>
      <w:r w:rsidR="00A72056">
        <w:rPr>
          <w:rFonts w:ascii="Times New Roman" w:hAnsi="Times New Roman" w:cs="Times New Roman"/>
          <w:sz w:val="24"/>
          <w:szCs w:val="24"/>
          <w:lang w:val="en-GB"/>
        </w:rPr>
        <w:t>investigational product (</w:t>
      </w:r>
      <w:r w:rsidR="00A72056" w:rsidRPr="00A72056">
        <w:rPr>
          <w:rFonts w:ascii="Times New Roman" w:hAnsi="Times New Roman" w:cs="Times New Roman"/>
          <w:sz w:val="24"/>
          <w:szCs w:val="24"/>
          <w:lang w:val="en-GB"/>
        </w:rPr>
        <w:t>IP</w:t>
      </w:r>
      <w:r w:rsidR="00A72056">
        <w:rPr>
          <w:rFonts w:ascii="Times New Roman" w:hAnsi="Times New Roman" w:cs="Times New Roman"/>
          <w:sz w:val="24"/>
          <w:szCs w:val="24"/>
          <w:lang w:val="en-GB"/>
        </w:rPr>
        <w:t>)</w:t>
      </w:r>
      <w:r w:rsidR="00CC5C13">
        <w:rPr>
          <w:rFonts w:ascii="Times New Roman" w:hAnsi="Times New Roman" w:cs="Times New Roman"/>
          <w:sz w:val="24"/>
          <w:szCs w:val="24"/>
          <w:lang w:val="en-GB"/>
        </w:rPr>
        <w:t>]</w:t>
      </w:r>
      <w:r w:rsidR="00A72056" w:rsidRPr="00A72056">
        <w:rPr>
          <w:rFonts w:ascii="Times New Roman" w:hAnsi="Times New Roman" w:cs="Times New Roman"/>
          <w:sz w:val="24"/>
          <w:szCs w:val="24"/>
          <w:lang w:val="en-GB"/>
        </w:rPr>
        <w:t>, urinary tract infections (serious or led to discontinuation of IP) and genital infections (serious or led to discontinuation of IP).</w:t>
      </w:r>
      <w:r w:rsidR="00A72056">
        <w:rPr>
          <w:rFonts w:ascii="Times New Roman" w:hAnsi="Times New Roman" w:cs="Times New Roman"/>
          <w:sz w:val="24"/>
          <w:szCs w:val="24"/>
          <w:lang w:val="en-GB"/>
        </w:rPr>
        <w:t xml:space="preserve"> </w:t>
      </w:r>
      <w:r w:rsidR="0014398F">
        <w:rPr>
          <w:rFonts w:ascii="Times New Roman" w:hAnsi="Times New Roman" w:cs="Times New Roman"/>
          <w:sz w:val="24"/>
          <w:szCs w:val="24"/>
          <w:lang w:val="en-GB"/>
        </w:rPr>
        <w:t xml:space="preserve">CV and renal death were adjudicated by an independent CEC. </w:t>
      </w:r>
      <w:r w:rsidR="00082121">
        <w:rPr>
          <w:rFonts w:ascii="Times New Roman" w:hAnsi="Times New Roman" w:cs="Times New Roman"/>
          <w:sz w:val="24"/>
          <w:szCs w:val="24"/>
          <w:lang w:val="en-GB"/>
        </w:rPr>
        <w:t>Renal a</w:t>
      </w:r>
      <w:r w:rsidR="009D337C">
        <w:rPr>
          <w:rFonts w:ascii="Times New Roman" w:hAnsi="Times New Roman" w:cs="Times New Roman"/>
          <w:sz w:val="24"/>
          <w:szCs w:val="24"/>
          <w:lang w:val="en-GB"/>
        </w:rPr>
        <w:t>dverse event</w:t>
      </w:r>
      <w:r w:rsidR="009D337C" w:rsidRPr="009D337C">
        <w:rPr>
          <w:rFonts w:ascii="Times New Roman" w:hAnsi="Times New Roman" w:cs="Times New Roman"/>
          <w:sz w:val="24"/>
          <w:szCs w:val="24"/>
          <w:lang w:val="en-GB"/>
        </w:rPr>
        <w:t xml:space="preserve">s </w:t>
      </w:r>
      <w:r w:rsidR="00CC5C13">
        <w:rPr>
          <w:rFonts w:ascii="Times New Roman" w:hAnsi="Times New Roman" w:cs="Times New Roman"/>
          <w:sz w:val="24"/>
          <w:szCs w:val="24"/>
          <w:lang w:val="en-GB"/>
        </w:rPr>
        <w:t>were</w:t>
      </w:r>
      <w:r w:rsidR="00CC5C13" w:rsidRPr="009D337C">
        <w:rPr>
          <w:rFonts w:ascii="Times New Roman" w:hAnsi="Times New Roman" w:cs="Times New Roman"/>
          <w:sz w:val="24"/>
          <w:szCs w:val="24"/>
          <w:lang w:val="en-GB"/>
        </w:rPr>
        <w:t xml:space="preserve"> </w:t>
      </w:r>
      <w:r w:rsidR="009D337C" w:rsidRPr="009D337C">
        <w:rPr>
          <w:rFonts w:ascii="Times New Roman" w:hAnsi="Times New Roman" w:cs="Times New Roman"/>
          <w:sz w:val="24"/>
          <w:szCs w:val="24"/>
          <w:lang w:val="en-GB"/>
        </w:rPr>
        <w:t xml:space="preserve">based on predefined </w:t>
      </w:r>
      <w:r w:rsidR="009D337C">
        <w:rPr>
          <w:rFonts w:ascii="Times New Roman" w:hAnsi="Times New Roman" w:cs="Times New Roman"/>
          <w:sz w:val="24"/>
          <w:szCs w:val="24"/>
          <w:lang w:val="en-GB"/>
        </w:rPr>
        <w:t>prefer</w:t>
      </w:r>
      <w:r w:rsidR="00430B62">
        <w:rPr>
          <w:rFonts w:ascii="Times New Roman" w:hAnsi="Times New Roman" w:cs="Times New Roman"/>
          <w:sz w:val="24"/>
          <w:szCs w:val="24"/>
          <w:lang w:val="en-GB"/>
        </w:rPr>
        <w:t>r</w:t>
      </w:r>
      <w:r w:rsidR="009D337C">
        <w:rPr>
          <w:rFonts w:ascii="Times New Roman" w:hAnsi="Times New Roman" w:cs="Times New Roman"/>
          <w:sz w:val="24"/>
          <w:szCs w:val="24"/>
          <w:lang w:val="en-GB"/>
        </w:rPr>
        <w:t>ed term</w:t>
      </w:r>
      <w:r w:rsidR="009D337C" w:rsidRPr="009D337C">
        <w:rPr>
          <w:rFonts w:ascii="Times New Roman" w:hAnsi="Times New Roman" w:cs="Times New Roman"/>
          <w:sz w:val="24"/>
          <w:szCs w:val="24"/>
          <w:lang w:val="en-GB"/>
        </w:rPr>
        <w:t xml:space="preserve"> lists</w:t>
      </w:r>
      <w:r w:rsidR="009D337C">
        <w:rPr>
          <w:rFonts w:ascii="Times New Roman" w:hAnsi="Times New Roman" w:cs="Times New Roman"/>
          <w:sz w:val="24"/>
          <w:szCs w:val="24"/>
          <w:lang w:val="en-GB"/>
        </w:rPr>
        <w:t xml:space="preserve"> and were</w:t>
      </w:r>
      <w:r w:rsidR="009D337C" w:rsidRPr="009D337C">
        <w:rPr>
          <w:rFonts w:ascii="Times New Roman" w:hAnsi="Times New Roman" w:cs="Times New Roman"/>
          <w:sz w:val="24"/>
          <w:szCs w:val="24"/>
          <w:lang w:val="en-GB"/>
        </w:rPr>
        <w:t xml:space="preserve"> coded using MedDRA version 21.0. Renal </w:t>
      </w:r>
      <w:r w:rsidR="00E5090A">
        <w:rPr>
          <w:rFonts w:ascii="Times New Roman" w:hAnsi="Times New Roman" w:cs="Times New Roman"/>
          <w:sz w:val="24"/>
          <w:szCs w:val="24"/>
          <w:lang w:val="en-GB"/>
        </w:rPr>
        <w:t>adve</w:t>
      </w:r>
      <w:r w:rsidR="008F45F8">
        <w:rPr>
          <w:rFonts w:ascii="Times New Roman" w:hAnsi="Times New Roman" w:cs="Times New Roman"/>
          <w:sz w:val="24"/>
          <w:szCs w:val="24"/>
          <w:lang w:val="en-GB"/>
        </w:rPr>
        <w:t>r</w:t>
      </w:r>
      <w:r w:rsidR="00E5090A">
        <w:rPr>
          <w:rFonts w:ascii="Times New Roman" w:hAnsi="Times New Roman" w:cs="Times New Roman"/>
          <w:sz w:val="24"/>
          <w:szCs w:val="24"/>
          <w:lang w:val="en-GB"/>
        </w:rPr>
        <w:t xml:space="preserve">se </w:t>
      </w:r>
      <w:r w:rsidR="009D337C" w:rsidRPr="009D337C">
        <w:rPr>
          <w:rFonts w:ascii="Times New Roman" w:hAnsi="Times New Roman" w:cs="Times New Roman"/>
          <w:sz w:val="24"/>
          <w:szCs w:val="24"/>
          <w:lang w:val="en-GB"/>
        </w:rPr>
        <w:t xml:space="preserve">events </w:t>
      </w:r>
      <w:r w:rsidR="009D337C">
        <w:rPr>
          <w:rFonts w:ascii="Times New Roman" w:hAnsi="Times New Roman" w:cs="Times New Roman"/>
          <w:sz w:val="24"/>
          <w:szCs w:val="24"/>
          <w:lang w:val="en-GB"/>
        </w:rPr>
        <w:t xml:space="preserve">were collected </w:t>
      </w:r>
      <w:r w:rsidR="00786B7D">
        <w:rPr>
          <w:rFonts w:ascii="Times New Roman" w:hAnsi="Times New Roman" w:cs="Times New Roman"/>
          <w:sz w:val="24"/>
          <w:szCs w:val="24"/>
          <w:lang w:val="en-GB"/>
        </w:rPr>
        <w:t xml:space="preserve">in the safety analysis set </w:t>
      </w:r>
      <w:r w:rsidR="00E5090A">
        <w:rPr>
          <w:rFonts w:ascii="Times New Roman" w:hAnsi="Times New Roman" w:cs="Times New Roman"/>
          <w:sz w:val="24"/>
          <w:szCs w:val="24"/>
          <w:lang w:val="en-GB"/>
        </w:rPr>
        <w:t>(defined as: a</w:t>
      </w:r>
      <w:r w:rsidR="00E5090A" w:rsidRPr="00E5090A">
        <w:rPr>
          <w:rFonts w:ascii="Times New Roman" w:hAnsi="Times New Roman" w:cs="Times New Roman"/>
          <w:sz w:val="24"/>
          <w:szCs w:val="24"/>
          <w:lang w:val="en-GB"/>
        </w:rPr>
        <w:t>ll patients who received at least 1 dose of randomized dapagliflozin or placebo and who have data observed at any time after first randomized dose till the end of the study</w:t>
      </w:r>
      <w:r w:rsidR="00E5090A">
        <w:rPr>
          <w:rFonts w:ascii="Times New Roman" w:hAnsi="Times New Roman" w:cs="Times New Roman"/>
          <w:sz w:val="24"/>
          <w:szCs w:val="24"/>
          <w:lang w:val="en-GB"/>
        </w:rPr>
        <w:t xml:space="preserve">) </w:t>
      </w:r>
      <w:r w:rsidR="00786B7D">
        <w:rPr>
          <w:rFonts w:ascii="Times New Roman" w:hAnsi="Times New Roman" w:cs="Times New Roman"/>
          <w:sz w:val="24"/>
          <w:szCs w:val="24"/>
          <w:lang w:val="en-GB"/>
        </w:rPr>
        <w:t xml:space="preserve">and on treatment: </w:t>
      </w:r>
      <w:r w:rsidR="009D337C">
        <w:rPr>
          <w:rFonts w:ascii="Times New Roman" w:hAnsi="Times New Roman" w:cs="Times New Roman"/>
          <w:sz w:val="24"/>
          <w:szCs w:val="24"/>
          <w:lang w:val="en-GB"/>
        </w:rPr>
        <w:t>if they</w:t>
      </w:r>
      <w:r w:rsidR="009D337C" w:rsidRPr="009D337C">
        <w:rPr>
          <w:rFonts w:ascii="Times New Roman" w:hAnsi="Times New Roman" w:cs="Times New Roman"/>
          <w:sz w:val="24"/>
          <w:szCs w:val="24"/>
          <w:lang w:val="en-GB"/>
        </w:rPr>
        <w:t xml:space="preserve"> occurred after the first dose of </w:t>
      </w:r>
      <w:r w:rsidR="00AF2C3B">
        <w:rPr>
          <w:rFonts w:ascii="Times New Roman" w:hAnsi="Times New Roman" w:cs="Times New Roman"/>
          <w:sz w:val="24"/>
          <w:szCs w:val="24"/>
          <w:lang w:val="en-GB"/>
        </w:rPr>
        <w:t xml:space="preserve">the </w:t>
      </w:r>
      <w:r w:rsidR="009D337C" w:rsidRPr="009D337C">
        <w:rPr>
          <w:rFonts w:ascii="Times New Roman" w:hAnsi="Times New Roman" w:cs="Times New Roman"/>
          <w:sz w:val="24"/>
          <w:szCs w:val="24"/>
          <w:lang w:val="en-GB"/>
        </w:rPr>
        <w:t xml:space="preserve">study drug to the earlier of 30 </w:t>
      </w:r>
      <w:r w:rsidR="002A58CC">
        <w:rPr>
          <w:rFonts w:ascii="Times New Roman" w:hAnsi="Times New Roman" w:cs="Times New Roman"/>
          <w:sz w:val="24"/>
          <w:szCs w:val="24"/>
          <w:lang w:val="en-GB"/>
        </w:rPr>
        <w:t xml:space="preserve">days </w:t>
      </w:r>
      <w:r w:rsidR="009D337C" w:rsidRPr="009D337C">
        <w:rPr>
          <w:rFonts w:ascii="Times New Roman" w:hAnsi="Times New Roman" w:cs="Times New Roman"/>
          <w:sz w:val="24"/>
          <w:szCs w:val="24"/>
          <w:lang w:val="en-GB"/>
        </w:rPr>
        <w:t xml:space="preserve">(for serious adverse event) or 7 </w:t>
      </w:r>
      <w:r w:rsidR="002A58CC" w:rsidRPr="009D337C">
        <w:rPr>
          <w:rFonts w:ascii="Times New Roman" w:hAnsi="Times New Roman" w:cs="Times New Roman"/>
          <w:sz w:val="24"/>
          <w:szCs w:val="24"/>
          <w:lang w:val="en-GB"/>
        </w:rPr>
        <w:t xml:space="preserve">days </w:t>
      </w:r>
      <w:r w:rsidR="009D337C" w:rsidRPr="009D337C">
        <w:rPr>
          <w:rFonts w:ascii="Times New Roman" w:hAnsi="Times New Roman" w:cs="Times New Roman"/>
          <w:sz w:val="24"/>
          <w:szCs w:val="24"/>
          <w:lang w:val="en-GB"/>
        </w:rPr>
        <w:t xml:space="preserve">(for non-serious adverse event) after </w:t>
      </w:r>
      <w:r w:rsidR="002A58CC">
        <w:rPr>
          <w:rFonts w:ascii="Times New Roman" w:hAnsi="Times New Roman" w:cs="Times New Roman"/>
          <w:sz w:val="24"/>
          <w:szCs w:val="24"/>
          <w:lang w:val="en-GB"/>
        </w:rPr>
        <w:t xml:space="preserve">the </w:t>
      </w:r>
      <w:r w:rsidR="009D337C" w:rsidRPr="009D337C">
        <w:rPr>
          <w:rFonts w:ascii="Times New Roman" w:hAnsi="Times New Roman" w:cs="Times New Roman"/>
          <w:sz w:val="24"/>
          <w:szCs w:val="24"/>
          <w:lang w:val="en-GB"/>
        </w:rPr>
        <w:t xml:space="preserve">last dose of </w:t>
      </w:r>
      <w:r w:rsidR="002A58CC">
        <w:rPr>
          <w:rFonts w:ascii="Times New Roman" w:hAnsi="Times New Roman" w:cs="Times New Roman"/>
          <w:sz w:val="24"/>
          <w:szCs w:val="24"/>
          <w:lang w:val="en-GB"/>
        </w:rPr>
        <w:t xml:space="preserve">the </w:t>
      </w:r>
      <w:r w:rsidR="009D337C" w:rsidRPr="009D337C">
        <w:rPr>
          <w:rFonts w:ascii="Times New Roman" w:hAnsi="Times New Roman" w:cs="Times New Roman"/>
          <w:sz w:val="24"/>
          <w:szCs w:val="24"/>
          <w:lang w:val="en-GB"/>
        </w:rPr>
        <w:t xml:space="preserve">study drug or the closing visit. </w:t>
      </w:r>
      <w:r w:rsidR="004E4B79" w:rsidRPr="009D337C">
        <w:rPr>
          <w:rFonts w:ascii="Times New Roman" w:hAnsi="Times New Roman" w:cs="Times New Roman"/>
          <w:sz w:val="24"/>
          <w:szCs w:val="24"/>
          <w:lang w:val="en-GB"/>
        </w:rPr>
        <w:t xml:space="preserve">Acute </w:t>
      </w:r>
      <w:r w:rsidR="00430B62" w:rsidRPr="009D337C">
        <w:rPr>
          <w:rFonts w:ascii="Times New Roman" w:hAnsi="Times New Roman" w:cs="Times New Roman"/>
          <w:sz w:val="24"/>
          <w:szCs w:val="24"/>
          <w:lang w:val="en-GB"/>
        </w:rPr>
        <w:t>kid</w:t>
      </w:r>
      <w:r w:rsidR="00430B62">
        <w:rPr>
          <w:rFonts w:ascii="Times New Roman" w:hAnsi="Times New Roman" w:cs="Times New Roman"/>
          <w:sz w:val="24"/>
          <w:szCs w:val="24"/>
          <w:lang w:val="en-GB"/>
        </w:rPr>
        <w:t>ne</w:t>
      </w:r>
      <w:r w:rsidR="00430B62" w:rsidRPr="009D337C">
        <w:rPr>
          <w:rFonts w:ascii="Times New Roman" w:hAnsi="Times New Roman" w:cs="Times New Roman"/>
          <w:sz w:val="24"/>
          <w:szCs w:val="24"/>
          <w:lang w:val="en-GB"/>
        </w:rPr>
        <w:t xml:space="preserve">y </w:t>
      </w:r>
      <w:r w:rsidR="004E4B79" w:rsidRPr="009D337C">
        <w:rPr>
          <w:rFonts w:ascii="Times New Roman" w:hAnsi="Times New Roman" w:cs="Times New Roman"/>
          <w:sz w:val="24"/>
          <w:szCs w:val="24"/>
          <w:lang w:val="en-GB"/>
        </w:rPr>
        <w:t xml:space="preserve">injury (AKI) was </w:t>
      </w:r>
      <w:r w:rsidR="00560662">
        <w:rPr>
          <w:rFonts w:ascii="Times New Roman" w:hAnsi="Times New Roman" w:cs="Times New Roman"/>
          <w:sz w:val="24"/>
          <w:szCs w:val="24"/>
          <w:lang w:val="en-GB"/>
        </w:rPr>
        <w:t>one of the pref</w:t>
      </w:r>
      <w:r w:rsidR="00430B62">
        <w:rPr>
          <w:rFonts w:ascii="Times New Roman" w:hAnsi="Times New Roman" w:cs="Times New Roman"/>
          <w:sz w:val="24"/>
          <w:szCs w:val="24"/>
          <w:lang w:val="en-GB"/>
        </w:rPr>
        <w:t>erre</w:t>
      </w:r>
      <w:r w:rsidR="00560662">
        <w:rPr>
          <w:rFonts w:ascii="Times New Roman" w:hAnsi="Times New Roman" w:cs="Times New Roman"/>
          <w:sz w:val="24"/>
          <w:szCs w:val="24"/>
          <w:lang w:val="en-GB"/>
        </w:rPr>
        <w:t xml:space="preserve">d </w:t>
      </w:r>
      <w:r w:rsidR="00865FCE">
        <w:rPr>
          <w:rFonts w:ascii="Times New Roman" w:hAnsi="Times New Roman" w:cs="Times New Roman"/>
          <w:sz w:val="24"/>
          <w:szCs w:val="24"/>
          <w:lang w:val="en-GB"/>
        </w:rPr>
        <w:t xml:space="preserve">MedDRA </w:t>
      </w:r>
      <w:r w:rsidR="00560662">
        <w:rPr>
          <w:rFonts w:ascii="Times New Roman" w:hAnsi="Times New Roman" w:cs="Times New Roman"/>
          <w:sz w:val="24"/>
          <w:szCs w:val="24"/>
          <w:lang w:val="en-GB"/>
        </w:rPr>
        <w:t>terms used</w:t>
      </w:r>
      <w:r w:rsidR="00E575C1">
        <w:rPr>
          <w:rFonts w:ascii="Times New Roman" w:hAnsi="Times New Roman" w:cs="Times New Roman"/>
          <w:sz w:val="24"/>
          <w:szCs w:val="24"/>
          <w:lang w:val="en-GB"/>
        </w:rPr>
        <w:t>, AKI cases were not ad</w:t>
      </w:r>
      <w:r w:rsidR="00D6418E">
        <w:rPr>
          <w:rFonts w:ascii="Times New Roman" w:hAnsi="Times New Roman" w:cs="Times New Roman"/>
          <w:sz w:val="24"/>
          <w:szCs w:val="24"/>
          <w:lang w:val="en-GB"/>
        </w:rPr>
        <w:t>j</w:t>
      </w:r>
      <w:r w:rsidR="00E575C1">
        <w:rPr>
          <w:rFonts w:ascii="Times New Roman" w:hAnsi="Times New Roman" w:cs="Times New Roman"/>
          <w:sz w:val="24"/>
          <w:szCs w:val="24"/>
          <w:lang w:val="en-GB"/>
        </w:rPr>
        <w:t>u</w:t>
      </w:r>
      <w:r w:rsidR="00D6418E">
        <w:rPr>
          <w:rFonts w:ascii="Times New Roman" w:hAnsi="Times New Roman" w:cs="Times New Roman"/>
          <w:sz w:val="24"/>
          <w:szCs w:val="24"/>
          <w:lang w:val="en-GB"/>
        </w:rPr>
        <w:t>d</w:t>
      </w:r>
      <w:r w:rsidR="00E575C1">
        <w:rPr>
          <w:rFonts w:ascii="Times New Roman" w:hAnsi="Times New Roman" w:cs="Times New Roman"/>
          <w:sz w:val="24"/>
          <w:szCs w:val="24"/>
          <w:lang w:val="en-GB"/>
        </w:rPr>
        <w:t>icated</w:t>
      </w:r>
      <w:r w:rsidR="00430B62">
        <w:rPr>
          <w:rFonts w:ascii="Times New Roman" w:hAnsi="Times New Roman" w:cs="Times New Roman"/>
          <w:sz w:val="24"/>
          <w:szCs w:val="24"/>
          <w:lang w:val="en-GB"/>
        </w:rPr>
        <w:t>.</w:t>
      </w:r>
      <w:r w:rsidR="00560662">
        <w:rPr>
          <w:rFonts w:ascii="Times New Roman" w:hAnsi="Times New Roman" w:cs="Times New Roman"/>
          <w:sz w:val="24"/>
          <w:szCs w:val="24"/>
          <w:lang w:val="en-GB"/>
        </w:rPr>
        <w:t xml:space="preserve"> </w:t>
      </w:r>
    </w:p>
    <w:p w14:paraId="7B4D72FF" w14:textId="77777777" w:rsidR="00525CA1" w:rsidRDefault="00525CA1" w:rsidP="00E575C1">
      <w:pPr>
        <w:pStyle w:val="EndNoteBibliography"/>
        <w:spacing w:line="480" w:lineRule="auto"/>
        <w:rPr>
          <w:rFonts w:ascii="Times New Roman" w:hAnsi="Times New Roman" w:cs="Times New Roman"/>
          <w:sz w:val="24"/>
          <w:szCs w:val="24"/>
          <w:lang w:val="en-GB"/>
        </w:rPr>
      </w:pPr>
    </w:p>
    <w:p w14:paraId="4ABF1F41" w14:textId="593434BE" w:rsidR="00194F04" w:rsidRDefault="00194F04" w:rsidP="00525CA1">
      <w:pPr>
        <w:pStyle w:val="EndNoteBibliography"/>
        <w:spacing w:line="480" w:lineRule="auto"/>
        <w:rPr>
          <w:rFonts w:ascii="Times New Roman" w:hAnsi="Times New Roman" w:cs="Times New Roman"/>
          <w:sz w:val="24"/>
          <w:szCs w:val="24"/>
          <w:lang w:val="en-GB"/>
        </w:rPr>
      </w:pPr>
      <w:r w:rsidRPr="000B4EDC">
        <w:rPr>
          <w:rFonts w:ascii="Times New Roman" w:hAnsi="Times New Roman" w:cs="Times New Roman"/>
          <w:b/>
          <w:bCs/>
          <w:sz w:val="28"/>
          <w:szCs w:val="28"/>
          <w:lang w:val="en-GB"/>
        </w:rPr>
        <w:t>Statistical Analysis</w:t>
      </w:r>
    </w:p>
    <w:p w14:paraId="211EEE29" w14:textId="0A08AEBB" w:rsidR="00194F04" w:rsidRDefault="00CC5C13" w:rsidP="0014398F">
      <w:pPr>
        <w:tabs>
          <w:tab w:val="left" w:pos="0"/>
        </w:tabs>
        <w:autoSpaceDE w:val="0"/>
        <w:autoSpaceDN w:val="0"/>
        <w:adjustRightInd w:val="0"/>
        <w:spacing w:line="48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In </w:t>
      </w:r>
      <w:r w:rsidR="002F08CE">
        <w:rPr>
          <w:rFonts w:ascii="Times New Roman" w:hAnsi="Times New Roman" w:cs="Times New Roman"/>
          <w:sz w:val="24"/>
          <w:szCs w:val="24"/>
        </w:rPr>
        <w:t>this analysis p</w:t>
      </w:r>
      <w:r w:rsidR="00194F04" w:rsidRPr="00034043">
        <w:rPr>
          <w:rFonts w:ascii="Times New Roman" w:hAnsi="Times New Roman" w:cs="Times New Roman"/>
          <w:sz w:val="24"/>
          <w:szCs w:val="24"/>
        </w:rPr>
        <w:t xml:space="preserve">atients </w:t>
      </w:r>
      <w:r w:rsidR="002F08CE">
        <w:rPr>
          <w:rFonts w:ascii="Times New Roman" w:hAnsi="Times New Roman" w:cs="Times New Roman"/>
          <w:sz w:val="24"/>
          <w:szCs w:val="24"/>
        </w:rPr>
        <w:t xml:space="preserve">are presented </w:t>
      </w:r>
      <w:r w:rsidR="002F08CE" w:rsidRPr="00034043">
        <w:rPr>
          <w:rFonts w:ascii="Times New Roman" w:hAnsi="Times New Roman" w:cs="Times New Roman"/>
          <w:sz w:val="24"/>
          <w:szCs w:val="24"/>
        </w:rPr>
        <w:t>based</w:t>
      </w:r>
      <w:r w:rsidR="00194F04" w:rsidRPr="00034043">
        <w:rPr>
          <w:rFonts w:ascii="Times New Roman" w:hAnsi="Times New Roman" w:cs="Times New Roman"/>
          <w:sz w:val="24"/>
          <w:szCs w:val="24"/>
        </w:rPr>
        <w:t xml:space="preserve"> on </w:t>
      </w:r>
      <w:r w:rsidR="00194F04">
        <w:rPr>
          <w:rFonts w:ascii="Times New Roman" w:hAnsi="Times New Roman" w:cs="Times New Roman"/>
          <w:sz w:val="24"/>
          <w:szCs w:val="24"/>
        </w:rPr>
        <w:t xml:space="preserve">their baseline eGFR categories according to CKD-EPI formulation </w:t>
      </w:r>
      <w:bookmarkStart w:id="4" w:name="_Hlk6951242"/>
      <w:r w:rsidR="00A170FE">
        <w:rPr>
          <w:rFonts w:ascii="Times New Roman" w:hAnsi="Times New Roman" w:cs="Times New Roman"/>
          <w:sz w:val="24"/>
          <w:szCs w:val="24"/>
        </w:rPr>
        <w:t xml:space="preserve">classified </w:t>
      </w:r>
      <w:bookmarkEnd w:id="4"/>
      <w:r w:rsidR="00194F04">
        <w:rPr>
          <w:rFonts w:ascii="Times New Roman" w:hAnsi="Times New Roman" w:cs="Times New Roman"/>
          <w:sz w:val="24"/>
          <w:szCs w:val="24"/>
        </w:rPr>
        <w:t xml:space="preserve">into eGFR&gt;90 </w:t>
      </w:r>
      <w:r w:rsidR="00194F04" w:rsidRPr="006A03CB">
        <w:rPr>
          <w:rFonts w:ascii="Times New Roman" w:hAnsi="Times New Roman" w:cs="Times New Roman"/>
          <w:sz w:val="24"/>
          <w:szCs w:val="24"/>
        </w:rPr>
        <w:t>mL/min/1.73m</w:t>
      </w:r>
      <w:r w:rsidR="00194F04" w:rsidRPr="00D81867">
        <w:rPr>
          <w:rFonts w:ascii="Times New Roman" w:hAnsi="Times New Roman" w:cs="Times New Roman"/>
          <w:sz w:val="24"/>
          <w:szCs w:val="24"/>
          <w:vertAlign w:val="superscript"/>
        </w:rPr>
        <w:t>2</w:t>
      </w:r>
      <w:r w:rsidR="00A170FE">
        <w:rPr>
          <w:rFonts w:ascii="Times New Roman" w:hAnsi="Times New Roman" w:cs="Times New Roman"/>
          <w:sz w:val="24"/>
          <w:szCs w:val="24"/>
        </w:rPr>
        <w:t xml:space="preserve">, </w:t>
      </w:r>
      <w:r w:rsidR="00194F04">
        <w:rPr>
          <w:rFonts w:ascii="Times New Roman" w:hAnsi="Times New Roman" w:cs="Times New Roman"/>
          <w:sz w:val="24"/>
          <w:szCs w:val="24"/>
        </w:rPr>
        <w:t>60-</w:t>
      </w:r>
      <w:r w:rsidR="004E6F90">
        <w:rPr>
          <w:rFonts w:ascii="Times New Roman" w:hAnsi="Times New Roman" w:cs="Times New Roman"/>
          <w:sz w:val="24"/>
          <w:szCs w:val="24"/>
        </w:rPr>
        <w:t>&lt;90</w:t>
      </w:r>
      <w:r w:rsidR="0014398F">
        <w:rPr>
          <w:rFonts w:ascii="Times New Roman" w:hAnsi="Times New Roman" w:cs="Times New Roman"/>
          <w:sz w:val="24"/>
          <w:szCs w:val="24"/>
        </w:rPr>
        <w:t xml:space="preserve"> </w:t>
      </w:r>
      <w:r w:rsidR="00194F04" w:rsidRPr="006A03CB">
        <w:rPr>
          <w:rFonts w:ascii="Times New Roman" w:hAnsi="Times New Roman" w:cs="Times New Roman"/>
          <w:sz w:val="24"/>
          <w:szCs w:val="24"/>
        </w:rPr>
        <w:t>mL/min/1.73m</w:t>
      </w:r>
      <w:r w:rsidR="00194F04" w:rsidRPr="00D81867">
        <w:rPr>
          <w:rFonts w:ascii="Times New Roman" w:hAnsi="Times New Roman" w:cs="Times New Roman"/>
          <w:sz w:val="24"/>
          <w:szCs w:val="24"/>
          <w:vertAlign w:val="superscript"/>
        </w:rPr>
        <w:t>2</w:t>
      </w:r>
      <w:r w:rsidR="00194F04">
        <w:rPr>
          <w:rFonts w:ascii="Times New Roman" w:hAnsi="Times New Roman" w:cs="Times New Roman"/>
          <w:sz w:val="24"/>
          <w:szCs w:val="24"/>
        </w:rPr>
        <w:t xml:space="preserve"> and &lt;60 </w:t>
      </w:r>
      <w:r w:rsidR="00194F04" w:rsidRPr="006A03CB">
        <w:rPr>
          <w:rFonts w:ascii="Times New Roman" w:hAnsi="Times New Roman" w:cs="Times New Roman"/>
          <w:sz w:val="24"/>
          <w:szCs w:val="24"/>
        </w:rPr>
        <w:t>mL/min/1.73m</w:t>
      </w:r>
      <w:r w:rsidR="00194F04" w:rsidRPr="00D81867">
        <w:rPr>
          <w:rFonts w:ascii="Times New Roman" w:hAnsi="Times New Roman" w:cs="Times New Roman"/>
          <w:sz w:val="24"/>
          <w:szCs w:val="24"/>
          <w:vertAlign w:val="superscript"/>
        </w:rPr>
        <w:t>2</w:t>
      </w:r>
      <w:r w:rsidR="00194F04">
        <w:rPr>
          <w:rFonts w:ascii="Times New Roman" w:hAnsi="Times New Roman" w:cs="Times New Roman"/>
          <w:sz w:val="24"/>
          <w:szCs w:val="24"/>
        </w:rPr>
        <w:t xml:space="preserve">. </w:t>
      </w:r>
      <w:r w:rsidR="00194F04" w:rsidRPr="00034043">
        <w:rPr>
          <w:rFonts w:ascii="Times New Roman" w:hAnsi="Times New Roman" w:cs="Times New Roman"/>
          <w:color w:val="222222"/>
          <w:sz w:val="24"/>
          <w:szCs w:val="24"/>
          <w:shd w:val="clear" w:color="auto" w:fill="FFFFFF"/>
        </w:rPr>
        <w:t>Baseline characteristics</w:t>
      </w:r>
      <w:r w:rsidR="00194F04" w:rsidRPr="00034043">
        <w:rPr>
          <w:rFonts w:ascii="Times New Roman" w:hAnsi="Times New Roman" w:cs="Times New Roman"/>
          <w:color w:val="000000" w:themeColor="text1"/>
          <w:sz w:val="24"/>
          <w:szCs w:val="24"/>
        </w:rPr>
        <w:t xml:space="preserve"> were reported as </w:t>
      </w:r>
      <w:r w:rsidR="00194F04" w:rsidRPr="00D15C2E">
        <w:rPr>
          <w:rFonts w:ascii="Times New Roman" w:hAnsi="Times New Roman" w:cs="Times New Roman"/>
          <w:sz w:val="24"/>
          <w:szCs w:val="24"/>
        </w:rPr>
        <w:t>absolute numbers and percentages</w:t>
      </w:r>
      <w:r w:rsidR="00194F04" w:rsidRPr="00034043">
        <w:rPr>
          <w:rFonts w:ascii="Times New Roman" w:hAnsi="Times New Roman" w:cs="Times New Roman"/>
          <w:sz w:val="24"/>
          <w:szCs w:val="24"/>
        </w:rPr>
        <w:t xml:space="preserve"> for categorical variables and as mean and </w:t>
      </w:r>
      <w:r w:rsidR="00194F04">
        <w:rPr>
          <w:rFonts w:ascii="Times New Roman" w:hAnsi="Times New Roman" w:cs="Times New Roman"/>
          <w:sz w:val="24"/>
          <w:szCs w:val="24"/>
        </w:rPr>
        <w:t>standard deviation</w:t>
      </w:r>
      <w:r w:rsidR="00194F04" w:rsidRPr="00034043">
        <w:rPr>
          <w:rFonts w:ascii="Times New Roman" w:hAnsi="Times New Roman" w:cs="Times New Roman"/>
          <w:sz w:val="24"/>
          <w:szCs w:val="24"/>
        </w:rPr>
        <w:t xml:space="preserve"> (</w:t>
      </w:r>
      <w:r w:rsidR="00194F04">
        <w:rPr>
          <w:rFonts w:ascii="Times New Roman" w:hAnsi="Times New Roman" w:cs="Times New Roman"/>
          <w:sz w:val="24"/>
          <w:szCs w:val="24"/>
        </w:rPr>
        <w:t>SD</w:t>
      </w:r>
      <w:r w:rsidR="00194F04" w:rsidRPr="00034043">
        <w:rPr>
          <w:rFonts w:ascii="Times New Roman" w:hAnsi="Times New Roman" w:cs="Times New Roman"/>
          <w:sz w:val="24"/>
          <w:szCs w:val="24"/>
        </w:rPr>
        <w:t>) for continuous variables</w:t>
      </w:r>
      <w:r w:rsidR="00194F04">
        <w:rPr>
          <w:rFonts w:ascii="Times New Roman" w:hAnsi="Times New Roman" w:cs="Times New Roman"/>
          <w:sz w:val="24"/>
          <w:szCs w:val="24"/>
        </w:rPr>
        <w:t>.</w:t>
      </w:r>
      <w:r w:rsidR="00194F04" w:rsidRPr="00034043">
        <w:rPr>
          <w:rFonts w:ascii="Times New Roman" w:hAnsi="Times New Roman" w:cs="Times New Roman"/>
          <w:sz w:val="24"/>
          <w:szCs w:val="24"/>
        </w:rPr>
        <w:t xml:space="preserve"> </w:t>
      </w:r>
      <w:r w:rsidR="00194F04">
        <w:rPr>
          <w:rFonts w:ascii="Times New Roman" w:hAnsi="Times New Roman" w:cs="Times New Roman"/>
          <w:sz w:val="24"/>
          <w:szCs w:val="24"/>
        </w:rPr>
        <w:t>They</w:t>
      </w:r>
      <w:r w:rsidR="00194F04" w:rsidRPr="00034043">
        <w:rPr>
          <w:rFonts w:ascii="Times New Roman" w:hAnsi="Times New Roman" w:cs="Times New Roman"/>
          <w:sz w:val="24"/>
          <w:szCs w:val="24"/>
        </w:rPr>
        <w:t xml:space="preserve"> were compared using the chi-square test for categorical and </w:t>
      </w:r>
      <w:r w:rsidR="00194F04" w:rsidRPr="004815F3">
        <w:rPr>
          <w:rFonts w:ascii="Times New Roman" w:hAnsi="Times New Roman" w:cs="Times New Roman"/>
          <w:sz w:val="24"/>
          <w:szCs w:val="24"/>
        </w:rPr>
        <w:t>Kruskal-Wallis</w:t>
      </w:r>
      <w:r w:rsidR="00194F04" w:rsidRPr="00C317CC">
        <w:t xml:space="preserve"> </w:t>
      </w:r>
      <w:r w:rsidR="00194F04" w:rsidRPr="00034043">
        <w:rPr>
          <w:rFonts w:ascii="Times New Roman" w:hAnsi="Times New Roman" w:cs="Times New Roman"/>
          <w:sz w:val="24"/>
          <w:szCs w:val="24"/>
        </w:rPr>
        <w:t xml:space="preserve">test for continuous variables. </w:t>
      </w:r>
    </w:p>
    <w:p w14:paraId="4C269572" w14:textId="6D710EC9" w:rsidR="00194F04" w:rsidRPr="00DB6C32" w:rsidRDefault="0014398F" w:rsidP="00CC5C13">
      <w:pPr>
        <w:pStyle w:val="CommentText"/>
        <w:spacing w:line="480" w:lineRule="auto"/>
        <w:jc w:val="both"/>
        <w:rPr>
          <w:rFonts w:asciiTheme="majorBidi" w:hAnsiTheme="majorBidi" w:cstheme="majorBidi"/>
          <w:sz w:val="24"/>
          <w:szCs w:val="24"/>
        </w:rPr>
      </w:pPr>
      <w:r>
        <w:rPr>
          <w:rFonts w:ascii="Times New Roman" w:hAnsi="Times New Roman" w:cs="Times New Roman"/>
          <w:color w:val="000000" w:themeColor="text1"/>
          <w:sz w:val="24"/>
          <w:shd w:val="clear" w:color="auto" w:fill="FFFFFF"/>
        </w:rPr>
        <w:lastRenderedPageBreak/>
        <w:t xml:space="preserve">Analyses were performed according to the intention-to-treat principle with the use of adjudicated </w:t>
      </w:r>
      <w:r w:rsidR="00852B29">
        <w:rPr>
          <w:rFonts w:ascii="Times New Roman" w:hAnsi="Times New Roman" w:cs="Times New Roman"/>
          <w:color w:val="000000" w:themeColor="text1"/>
          <w:sz w:val="24"/>
          <w:shd w:val="clear" w:color="auto" w:fill="FFFFFF"/>
        </w:rPr>
        <w:t>events</w:t>
      </w:r>
      <w:r w:rsidR="00852B29">
        <w:rPr>
          <w:rStyle w:val="CommentReference"/>
        </w:rPr>
        <w:t>.</w:t>
      </w:r>
      <w:r w:rsidR="00852B29">
        <w:rPr>
          <w:rFonts w:ascii="Times New Roman" w:hAnsi="Times New Roman" w:cs="Times New Roman"/>
          <w:color w:val="000000" w:themeColor="text1"/>
          <w:sz w:val="24"/>
          <w:shd w:val="clear" w:color="auto" w:fill="FFFFFF"/>
        </w:rPr>
        <w:t xml:space="preserve"> </w:t>
      </w:r>
      <w:r w:rsidR="006C18AF">
        <w:rPr>
          <w:rFonts w:ascii="Times New Roman" w:hAnsi="Times New Roman" w:cs="Times New Roman"/>
          <w:color w:val="000000" w:themeColor="text1"/>
          <w:sz w:val="24"/>
          <w:shd w:val="clear" w:color="auto" w:fill="FFFFFF"/>
          <w:lang w:val="en-GB"/>
        </w:rPr>
        <w:t>Safety analysis, including r</w:t>
      </w:r>
      <w:r w:rsidR="00082121">
        <w:rPr>
          <w:rFonts w:ascii="Times New Roman" w:hAnsi="Times New Roman" w:cs="Times New Roman"/>
          <w:color w:val="000000" w:themeColor="text1"/>
          <w:sz w:val="24"/>
          <w:shd w:val="clear" w:color="auto" w:fill="FFFFFF"/>
        </w:rPr>
        <w:t>enal adverse events (including acute kidney injury)</w:t>
      </w:r>
      <w:r w:rsidR="006C18AF">
        <w:rPr>
          <w:rFonts w:ascii="Times New Roman" w:hAnsi="Times New Roman" w:cs="Times New Roman"/>
          <w:color w:val="000000" w:themeColor="text1"/>
          <w:sz w:val="24"/>
          <w:shd w:val="clear" w:color="auto" w:fill="FFFFFF"/>
        </w:rPr>
        <w:t xml:space="preserve">, were </w:t>
      </w:r>
      <w:r w:rsidR="00CC5C13">
        <w:rPr>
          <w:rFonts w:ascii="Times New Roman" w:hAnsi="Times New Roman" w:cs="Times New Roman"/>
          <w:color w:val="000000" w:themeColor="text1"/>
          <w:sz w:val="24"/>
          <w:shd w:val="clear" w:color="auto" w:fill="FFFFFF"/>
        </w:rPr>
        <w:t xml:space="preserve">performed </w:t>
      </w:r>
      <w:r w:rsidR="006C18AF">
        <w:rPr>
          <w:rFonts w:ascii="Times New Roman" w:hAnsi="Times New Roman" w:cs="Times New Roman"/>
          <w:color w:val="000000" w:themeColor="text1"/>
          <w:sz w:val="24"/>
          <w:shd w:val="clear" w:color="auto" w:fill="FFFFFF"/>
        </w:rPr>
        <w:t>in the safety analysis set.</w:t>
      </w:r>
      <w:r w:rsidR="00082121">
        <w:rPr>
          <w:rFonts w:ascii="Times New Roman" w:hAnsi="Times New Roman" w:cs="Times New Roman"/>
          <w:color w:val="000000" w:themeColor="text1"/>
          <w:sz w:val="24"/>
          <w:shd w:val="clear" w:color="auto" w:fill="FFFFFF"/>
        </w:rPr>
        <w:t xml:space="preserve"> </w:t>
      </w:r>
      <w:r w:rsidR="00852B29" w:rsidRPr="00852B29">
        <w:rPr>
          <w:rFonts w:asciiTheme="majorBidi" w:hAnsiTheme="majorBidi" w:cstheme="majorBidi"/>
          <w:sz w:val="24"/>
          <w:szCs w:val="24"/>
          <w:shd w:val="clear" w:color="auto" w:fill="FFFFFF"/>
        </w:rPr>
        <w:t>Kaplan</w:t>
      </w:r>
      <w:r w:rsidR="00194F04" w:rsidRPr="00852B29">
        <w:rPr>
          <w:rFonts w:asciiTheme="majorBidi" w:hAnsiTheme="majorBidi" w:cstheme="majorBidi"/>
          <w:sz w:val="24"/>
          <w:szCs w:val="24"/>
          <w:shd w:val="clear" w:color="auto" w:fill="FFFFFF"/>
        </w:rPr>
        <w:t>-Meier (KM) method was used to estimate c</w:t>
      </w:r>
      <w:r w:rsidR="00194F04" w:rsidRPr="00852B29">
        <w:rPr>
          <w:rFonts w:asciiTheme="majorBidi" w:eastAsia="MS PGothic" w:hAnsiTheme="majorBidi" w:cstheme="majorBidi"/>
          <w:sz w:val="24"/>
          <w:szCs w:val="24"/>
        </w:rPr>
        <w:t xml:space="preserve">umulative incidence </w:t>
      </w:r>
      <w:r w:rsidRPr="00852B29">
        <w:rPr>
          <w:rFonts w:asciiTheme="majorBidi" w:eastAsia="MS PGothic" w:hAnsiTheme="majorBidi" w:cstheme="majorBidi"/>
          <w:sz w:val="24"/>
          <w:szCs w:val="24"/>
        </w:rPr>
        <w:t xml:space="preserve">curves </w:t>
      </w:r>
      <w:r w:rsidR="00194F04" w:rsidRPr="00852B29">
        <w:rPr>
          <w:rFonts w:asciiTheme="majorBidi" w:hAnsiTheme="majorBidi" w:cstheme="majorBidi"/>
          <w:sz w:val="24"/>
          <w:szCs w:val="24"/>
        </w:rPr>
        <w:t>for the primary and secondary</w:t>
      </w:r>
      <w:r w:rsidR="00FF7850">
        <w:rPr>
          <w:rFonts w:asciiTheme="majorBidi" w:hAnsiTheme="majorBidi" w:cstheme="majorBidi"/>
          <w:sz w:val="24"/>
          <w:szCs w:val="24"/>
        </w:rPr>
        <w:t xml:space="preserve"> composite</w:t>
      </w:r>
      <w:r w:rsidR="00194F04" w:rsidRPr="00852B29">
        <w:rPr>
          <w:rFonts w:asciiTheme="majorBidi" w:hAnsiTheme="majorBidi" w:cstheme="majorBidi"/>
          <w:sz w:val="24"/>
          <w:szCs w:val="24"/>
        </w:rPr>
        <w:t xml:space="preserve"> renal outcomes</w:t>
      </w:r>
      <w:r w:rsidR="00194F04" w:rsidRPr="00852B29">
        <w:rPr>
          <w:rFonts w:asciiTheme="majorBidi" w:eastAsia="MS PGothic" w:hAnsiTheme="majorBidi" w:cstheme="majorBidi"/>
          <w:sz w:val="24"/>
          <w:szCs w:val="24"/>
        </w:rPr>
        <w:t xml:space="preserve"> </w:t>
      </w:r>
      <w:r w:rsidR="00194F04" w:rsidRPr="00852B29">
        <w:rPr>
          <w:rFonts w:asciiTheme="majorBidi" w:eastAsia="MS PGothic" w:hAnsiTheme="majorBidi" w:cstheme="majorBidi"/>
          <w:sz w:val="24"/>
          <w:szCs w:val="24"/>
          <w:lang w:bidi="he-IL"/>
        </w:rPr>
        <w:t>and selected components</w:t>
      </w:r>
      <w:r w:rsidR="00194F04" w:rsidRPr="00852B29">
        <w:rPr>
          <w:rFonts w:asciiTheme="majorBidi" w:eastAsia="MS PGothic" w:hAnsiTheme="majorBidi" w:cstheme="majorBidi"/>
          <w:sz w:val="24"/>
          <w:szCs w:val="24"/>
        </w:rPr>
        <w:t>.</w:t>
      </w:r>
      <w:r w:rsidR="00194F04">
        <w:rPr>
          <w:rFonts w:eastAsia="MS PGothic"/>
        </w:rPr>
        <w:t xml:space="preserve"> </w:t>
      </w:r>
      <w:r w:rsidR="006153AA" w:rsidRPr="00D01B1D">
        <w:rPr>
          <w:rFonts w:asciiTheme="majorBidi" w:eastAsia="MS PGothic" w:hAnsiTheme="majorBidi" w:cstheme="majorBidi"/>
          <w:color w:val="000000" w:themeColor="text1"/>
          <w:sz w:val="24"/>
          <w:szCs w:val="24"/>
        </w:rPr>
        <w:t xml:space="preserve">Event rates are reported as n/N. </w:t>
      </w:r>
      <w:r w:rsidR="00194F04" w:rsidRPr="00852B29">
        <w:rPr>
          <w:rFonts w:asciiTheme="majorBidi" w:hAnsiTheme="majorBidi" w:cstheme="majorBidi"/>
          <w:sz w:val="24"/>
          <w:szCs w:val="24"/>
        </w:rPr>
        <w:t>Hazard ratios (HR) and 95% confidence intervals were calculated using the Cox proportional hazard model for the primary and secondary</w:t>
      </w:r>
      <w:r w:rsidR="00FF7850">
        <w:rPr>
          <w:rFonts w:asciiTheme="majorBidi" w:hAnsiTheme="majorBidi" w:cstheme="majorBidi"/>
          <w:sz w:val="24"/>
          <w:szCs w:val="24"/>
        </w:rPr>
        <w:t xml:space="preserve"> composite</w:t>
      </w:r>
      <w:r w:rsidR="00194F04" w:rsidRPr="00852B29">
        <w:rPr>
          <w:rFonts w:asciiTheme="majorBidi" w:hAnsiTheme="majorBidi" w:cstheme="majorBidi"/>
          <w:sz w:val="24"/>
          <w:szCs w:val="24"/>
        </w:rPr>
        <w:t xml:space="preserve"> renal outcomes and their components for the entire population as well as by pre-specified subgroups according to</w:t>
      </w:r>
      <w:r w:rsidR="002A58CC" w:rsidRPr="00852B29">
        <w:rPr>
          <w:rFonts w:asciiTheme="majorBidi" w:hAnsiTheme="majorBidi" w:cstheme="majorBidi"/>
          <w:sz w:val="24"/>
          <w:szCs w:val="24"/>
        </w:rPr>
        <w:t xml:space="preserve"> the</w:t>
      </w:r>
      <w:r w:rsidR="00194F04" w:rsidRPr="00852B29">
        <w:rPr>
          <w:rFonts w:asciiTheme="majorBidi" w:hAnsiTheme="majorBidi" w:cstheme="majorBidi"/>
          <w:sz w:val="24"/>
          <w:szCs w:val="24"/>
        </w:rPr>
        <w:t xml:space="preserve"> patients' demographics, medical history, background medication</w:t>
      </w:r>
      <w:r w:rsidR="005A1215" w:rsidRPr="00852B29">
        <w:rPr>
          <w:rFonts w:asciiTheme="majorBidi" w:hAnsiTheme="majorBidi" w:cstheme="majorBidi"/>
          <w:sz w:val="24"/>
          <w:szCs w:val="24"/>
        </w:rPr>
        <w:t>s</w:t>
      </w:r>
      <w:r w:rsidR="00194F04" w:rsidRPr="00852B29">
        <w:rPr>
          <w:rFonts w:asciiTheme="majorBidi" w:hAnsiTheme="majorBidi" w:cstheme="majorBidi"/>
          <w:sz w:val="24"/>
          <w:szCs w:val="24"/>
        </w:rPr>
        <w:t xml:space="preserve"> and baseline measurements</w:t>
      </w:r>
      <w:r w:rsidR="00D36C83">
        <w:rPr>
          <w:rFonts w:asciiTheme="majorBidi" w:hAnsiTheme="majorBidi" w:cstheme="majorBidi"/>
          <w:sz w:val="24"/>
          <w:szCs w:val="24"/>
        </w:rPr>
        <w:t xml:space="preserve"> </w:t>
      </w:r>
      <w:r w:rsidR="00FE08A5">
        <w:rPr>
          <w:rFonts w:asciiTheme="majorBidi" w:hAnsiTheme="majorBidi" w:cstheme="majorBidi"/>
          <w:sz w:val="24"/>
          <w:szCs w:val="24"/>
          <w:highlight w:val="cyan"/>
        </w:rPr>
        <w:t>with corresponding</w:t>
      </w:r>
      <w:r w:rsidR="00D36C83" w:rsidRPr="00172EA4">
        <w:rPr>
          <w:rFonts w:asciiTheme="majorBidi" w:hAnsiTheme="majorBidi" w:cstheme="majorBidi"/>
          <w:sz w:val="24"/>
          <w:szCs w:val="24"/>
          <w:highlight w:val="cyan"/>
        </w:rPr>
        <w:t xml:space="preserve"> interaction </w:t>
      </w:r>
      <w:r w:rsidR="00FE08A5">
        <w:rPr>
          <w:rFonts w:asciiTheme="majorBidi" w:hAnsiTheme="majorBidi" w:cstheme="majorBidi"/>
          <w:sz w:val="24"/>
          <w:szCs w:val="24"/>
        </w:rPr>
        <w:t>p-values presented</w:t>
      </w:r>
      <w:r w:rsidR="00194F04" w:rsidRPr="00852B29">
        <w:rPr>
          <w:rFonts w:asciiTheme="majorBidi" w:hAnsiTheme="majorBidi" w:cstheme="majorBidi"/>
          <w:sz w:val="24"/>
          <w:szCs w:val="24"/>
        </w:rPr>
        <w:t>.</w:t>
      </w:r>
      <w:r w:rsidR="00194F04">
        <w:rPr>
          <w:rFonts w:asciiTheme="majorBidi" w:hAnsiTheme="majorBidi" w:cstheme="majorBidi"/>
          <w:szCs w:val="24"/>
        </w:rPr>
        <w:t xml:space="preserve"> </w:t>
      </w:r>
      <w:r w:rsidR="006153AA">
        <w:rPr>
          <w:rFonts w:asciiTheme="majorBidi" w:hAnsiTheme="majorBidi" w:cstheme="majorBidi"/>
          <w:sz w:val="24"/>
          <w:szCs w:val="24"/>
        </w:rPr>
        <w:t xml:space="preserve">Treatment effect models included the stratification factors of baseline </w:t>
      </w:r>
      <w:r w:rsidR="005C7D38">
        <w:rPr>
          <w:rFonts w:asciiTheme="majorBidi" w:hAnsiTheme="majorBidi" w:cstheme="majorBidi"/>
          <w:sz w:val="24"/>
          <w:szCs w:val="24"/>
        </w:rPr>
        <w:t>A</w:t>
      </w:r>
      <w:r w:rsidR="003D7C17">
        <w:rPr>
          <w:rFonts w:asciiTheme="majorBidi" w:hAnsiTheme="majorBidi" w:cstheme="majorBidi"/>
          <w:sz w:val="24"/>
          <w:szCs w:val="24"/>
        </w:rPr>
        <w:t>SCVD</w:t>
      </w:r>
      <w:r w:rsidR="006153AA">
        <w:rPr>
          <w:rFonts w:asciiTheme="majorBidi" w:hAnsiTheme="majorBidi" w:cstheme="majorBidi"/>
          <w:sz w:val="24"/>
          <w:szCs w:val="24"/>
        </w:rPr>
        <w:t xml:space="preserve"> category (established </w:t>
      </w:r>
      <w:r w:rsidR="003D7C17">
        <w:rPr>
          <w:rFonts w:asciiTheme="majorBidi" w:hAnsiTheme="majorBidi" w:cstheme="majorBidi"/>
          <w:sz w:val="24"/>
          <w:szCs w:val="24"/>
        </w:rPr>
        <w:t>ASCVD</w:t>
      </w:r>
      <w:r w:rsidR="006153AA">
        <w:rPr>
          <w:rFonts w:asciiTheme="majorBidi" w:hAnsiTheme="majorBidi" w:cstheme="majorBidi"/>
          <w:sz w:val="24"/>
          <w:szCs w:val="24"/>
        </w:rPr>
        <w:t xml:space="preserve"> or multiple risk factors for </w:t>
      </w:r>
      <w:r w:rsidR="003D7C17">
        <w:rPr>
          <w:rFonts w:asciiTheme="majorBidi" w:hAnsiTheme="majorBidi" w:cstheme="majorBidi"/>
          <w:sz w:val="24"/>
          <w:szCs w:val="24"/>
        </w:rPr>
        <w:t>ASCVD</w:t>
      </w:r>
      <w:r w:rsidR="006153AA">
        <w:rPr>
          <w:rFonts w:asciiTheme="majorBidi" w:hAnsiTheme="majorBidi" w:cstheme="majorBidi"/>
          <w:sz w:val="24"/>
          <w:szCs w:val="24"/>
        </w:rPr>
        <w:t>) and the presence or absence</w:t>
      </w:r>
      <w:r w:rsidR="006153AA">
        <w:rPr>
          <w:rFonts w:ascii="Times New Roman" w:hAnsi="Times New Roman" w:cs="Times New Roman"/>
          <w:color w:val="000000" w:themeColor="text1"/>
          <w:sz w:val="24"/>
          <w:shd w:val="clear" w:color="auto" w:fill="FFFFFF"/>
        </w:rPr>
        <w:t xml:space="preserve"> </w:t>
      </w:r>
      <w:r w:rsidR="006153AA">
        <w:rPr>
          <w:rFonts w:asciiTheme="majorBidi" w:hAnsiTheme="majorBidi" w:cstheme="majorBidi"/>
          <w:sz w:val="24"/>
          <w:szCs w:val="24"/>
        </w:rPr>
        <w:t>of hematuria at baseline.</w:t>
      </w:r>
      <w:r w:rsidR="00852B29">
        <w:rPr>
          <w:rFonts w:asciiTheme="majorBidi" w:hAnsiTheme="majorBidi" w:cstheme="majorBidi"/>
          <w:sz w:val="24"/>
          <w:szCs w:val="24"/>
        </w:rPr>
        <w:t xml:space="preserve"> </w:t>
      </w:r>
      <w:r w:rsidR="00194F04">
        <w:rPr>
          <w:rFonts w:asciiTheme="majorBidi" w:hAnsiTheme="majorBidi" w:cstheme="majorBidi"/>
          <w:sz w:val="24"/>
          <w:szCs w:val="24"/>
        </w:rPr>
        <w:t xml:space="preserve">The change in </w:t>
      </w:r>
      <w:r w:rsidR="00194F04" w:rsidRPr="00DB6C32">
        <w:rPr>
          <w:rFonts w:asciiTheme="majorBidi" w:hAnsiTheme="majorBidi" w:cstheme="majorBidi"/>
          <w:sz w:val="24"/>
          <w:szCs w:val="24"/>
        </w:rPr>
        <w:t xml:space="preserve">eGFR </w:t>
      </w:r>
      <w:r w:rsidR="00194F04">
        <w:rPr>
          <w:rFonts w:asciiTheme="majorBidi" w:hAnsiTheme="majorBidi" w:cstheme="majorBidi"/>
          <w:sz w:val="24"/>
          <w:szCs w:val="24"/>
        </w:rPr>
        <w:t>was calculated using a mixed model for repeated measures</w:t>
      </w:r>
      <w:r w:rsidR="00194F04">
        <w:rPr>
          <w:rFonts w:asciiTheme="majorBidi" w:hAnsiTheme="majorBidi" w:cstheme="majorBidi"/>
          <w:sz w:val="24"/>
          <w:szCs w:val="24"/>
          <w:lang w:bidi="he-IL"/>
        </w:rPr>
        <w:t>, presenting least square mean estimators and 95% CI</w:t>
      </w:r>
      <w:r w:rsidR="00194F04" w:rsidRPr="00DB6C32">
        <w:rPr>
          <w:rFonts w:asciiTheme="majorBidi" w:hAnsiTheme="majorBidi" w:cstheme="majorBidi"/>
          <w:sz w:val="24"/>
          <w:szCs w:val="24"/>
        </w:rPr>
        <w:t xml:space="preserve"> </w:t>
      </w:r>
      <w:r w:rsidR="00194F04">
        <w:rPr>
          <w:rFonts w:asciiTheme="majorBidi" w:hAnsiTheme="majorBidi" w:cstheme="majorBidi"/>
          <w:sz w:val="24"/>
          <w:szCs w:val="24"/>
        </w:rPr>
        <w:t xml:space="preserve">by treatment arms, for the entire trial population </w:t>
      </w:r>
      <w:r w:rsidR="00194F04" w:rsidRPr="00DB6C32">
        <w:rPr>
          <w:rFonts w:asciiTheme="majorBidi" w:hAnsiTheme="majorBidi" w:cstheme="majorBidi"/>
          <w:sz w:val="24"/>
          <w:szCs w:val="24"/>
        </w:rPr>
        <w:t>by eGFR categories at baseline</w:t>
      </w:r>
      <w:r w:rsidR="00194F04">
        <w:rPr>
          <w:rFonts w:asciiTheme="majorBidi" w:hAnsiTheme="majorBidi" w:cstheme="majorBidi"/>
          <w:sz w:val="24"/>
          <w:szCs w:val="24"/>
        </w:rPr>
        <w:t xml:space="preserve">: </w:t>
      </w:r>
      <w:r w:rsidR="00194F04" w:rsidRPr="00DB6C32">
        <w:rPr>
          <w:rFonts w:asciiTheme="majorBidi" w:hAnsiTheme="majorBidi" w:cstheme="majorBidi"/>
          <w:sz w:val="24"/>
          <w:szCs w:val="24"/>
        </w:rPr>
        <w:t xml:space="preserve">eGFR&gt;90 </w:t>
      </w:r>
      <w:r w:rsidR="00194F04" w:rsidRPr="00DB6C32">
        <w:rPr>
          <w:rFonts w:asciiTheme="majorBidi" w:eastAsia="Times New Roman" w:hAnsiTheme="majorBidi" w:cstheme="majorBidi"/>
          <w:color w:val="000000"/>
          <w:sz w:val="24"/>
          <w:szCs w:val="24"/>
          <w:lang w:bidi="he-IL"/>
        </w:rPr>
        <w:t>mL/min/1.73m</w:t>
      </w:r>
      <w:r w:rsidR="00194F04" w:rsidRPr="00DB6C32">
        <w:rPr>
          <w:rFonts w:asciiTheme="majorBidi" w:eastAsia="Times New Roman" w:hAnsiTheme="majorBidi" w:cstheme="majorBidi"/>
          <w:color w:val="000000"/>
          <w:sz w:val="24"/>
          <w:szCs w:val="24"/>
          <w:vertAlign w:val="superscript"/>
          <w:lang w:bidi="he-IL"/>
        </w:rPr>
        <w:t>2</w:t>
      </w:r>
      <w:r w:rsidR="00194F04">
        <w:rPr>
          <w:rFonts w:asciiTheme="majorBidi" w:eastAsia="Times New Roman" w:hAnsiTheme="majorBidi" w:cstheme="majorBidi"/>
          <w:color w:val="000000"/>
          <w:sz w:val="24"/>
          <w:szCs w:val="24"/>
          <w:lang w:bidi="he-IL"/>
        </w:rPr>
        <w:t>,</w:t>
      </w:r>
      <w:r w:rsidR="00194F04" w:rsidRPr="00DB6C32">
        <w:rPr>
          <w:rFonts w:asciiTheme="majorBidi" w:eastAsia="Times New Roman" w:hAnsiTheme="majorBidi" w:cstheme="majorBidi"/>
          <w:color w:val="000000"/>
          <w:sz w:val="24"/>
          <w:szCs w:val="24"/>
          <w:lang w:bidi="he-IL"/>
        </w:rPr>
        <w:t xml:space="preserve"> </w:t>
      </w:r>
      <w:r w:rsidR="00194F04" w:rsidRPr="00AC05D2">
        <w:rPr>
          <w:rFonts w:asciiTheme="majorBidi" w:hAnsiTheme="majorBidi" w:cstheme="majorBidi"/>
          <w:sz w:val="24"/>
          <w:szCs w:val="24"/>
        </w:rPr>
        <w:t>eGFR 60-</w:t>
      </w:r>
      <w:r w:rsidR="00852B29" w:rsidRPr="00AC05D2">
        <w:rPr>
          <w:rFonts w:asciiTheme="majorBidi" w:hAnsiTheme="majorBidi" w:cstheme="majorBidi"/>
          <w:sz w:val="24"/>
          <w:szCs w:val="24"/>
        </w:rPr>
        <w:t>&lt;</w:t>
      </w:r>
      <w:r w:rsidR="00194F04" w:rsidRPr="00AC05D2">
        <w:rPr>
          <w:rFonts w:asciiTheme="majorBidi" w:hAnsiTheme="majorBidi" w:cstheme="majorBidi"/>
          <w:sz w:val="24"/>
          <w:szCs w:val="24"/>
        </w:rPr>
        <w:t>90</w:t>
      </w:r>
      <w:r w:rsidR="00194F04" w:rsidRPr="00DB6C32">
        <w:rPr>
          <w:rFonts w:asciiTheme="majorBidi" w:hAnsiTheme="majorBidi" w:cstheme="majorBidi"/>
          <w:sz w:val="24"/>
          <w:szCs w:val="24"/>
        </w:rPr>
        <w:t xml:space="preserve"> </w:t>
      </w:r>
      <w:r w:rsidR="00194F04" w:rsidRPr="00DB6C32">
        <w:rPr>
          <w:rFonts w:asciiTheme="majorBidi" w:eastAsia="Times New Roman" w:hAnsiTheme="majorBidi" w:cstheme="majorBidi"/>
          <w:color w:val="000000"/>
          <w:sz w:val="24"/>
          <w:szCs w:val="24"/>
          <w:lang w:bidi="he-IL"/>
        </w:rPr>
        <w:t>mL/min/1.73m</w:t>
      </w:r>
      <w:r w:rsidR="00194F04" w:rsidRPr="00DB6C32">
        <w:rPr>
          <w:rFonts w:asciiTheme="majorBidi" w:eastAsia="Times New Roman" w:hAnsiTheme="majorBidi" w:cstheme="majorBidi"/>
          <w:color w:val="000000"/>
          <w:sz w:val="24"/>
          <w:szCs w:val="24"/>
          <w:vertAlign w:val="superscript"/>
          <w:lang w:bidi="he-IL"/>
        </w:rPr>
        <w:t>2</w:t>
      </w:r>
      <w:r w:rsidR="00194F04">
        <w:rPr>
          <w:rFonts w:asciiTheme="majorBidi" w:eastAsia="Times New Roman" w:hAnsiTheme="majorBidi" w:cstheme="majorBidi"/>
          <w:color w:val="000000"/>
          <w:sz w:val="24"/>
          <w:szCs w:val="24"/>
          <w:lang w:bidi="he-IL"/>
        </w:rPr>
        <w:t xml:space="preserve"> and</w:t>
      </w:r>
      <w:r w:rsidR="00194F04" w:rsidRPr="00DB6C32">
        <w:rPr>
          <w:rFonts w:asciiTheme="majorBidi" w:eastAsia="Times New Roman" w:hAnsiTheme="majorBidi" w:cstheme="majorBidi"/>
          <w:color w:val="000000"/>
          <w:sz w:val="24"/>
          <w:szCs w:val="24"/>
          <w:lang w:bidi="he-IL"/>
        </w:rPr>
        <w:t xml:space="preserve"> </w:t>
      </w:r>
      <w:r w:rsidR="00194F04" w:rsidRPr="00DB6C32">
        <w:rPr>
          <w:rFonts w:asciiTheme="majorBidi" w:hAnsiTheme="majorBidi" w:cstheme="majorBidi"/>
          <w:sz w:val="24"/>
          <w:szCs w:val="24"/>
        </w:rPr>
        <w:t xml:space="preserve">eGFR&lt;60 </w:t>
      </w:r>
      <w:r w:rsidR="00194F04" w:rsidRPr="00DB6C32">
        <w:rPr>
          <w:rFonts w:asciiTheme="majorBidi" w:eastAsia="Times New Roman" w:hAnsiTheme="majorBidi" w:cstheme="majorBidi"/>
          <w:color w:val="000000"/>
          <w:sz w:val="24"/>
          <w:szCs w:val="24"/>
          <w:lang w:bidi="he-IL"/>
        </w:rPr>
        <w:t>mL/min/1.73m</w:t>
      </w:r>
      <w:r w:rsidR="00194F04" w:rsidRPr="00DB6C32">
        <w:rPr>
          <w:rFonts w:asciiTheme="majorBidi" w:eastAsia="Times New Roman" w:hAnsiTheme="majorBidi" w:cstheme="majorBidi"/>
          <w:color w:val="000000"/>
          <w:sz w:val="24"/>
          <w:szCs w:val="24"/>
          <w:vertAlign w:val="superscript"/>
          <w:lang w:bidi="he-IL"/>
        </w:rPr>
        <w:t>2</w:t>
      </w:r>
      <w:r w:rsidR="00194F04">
        <w:rPr>
          <w:rFonts w:asciiTheme="majorBidi" w:eastAsia="Times New Roman" w:hAnsiTheme="majorBidi" w:cstheme="majorBidi"/>
          <w:color w:val="000000"/>
          <w:sz w:val="24"/>
          <w:szCs w:val="24"/>
          <w:lang w:bidi="he-IL"/>
        </w:rPr>
        <w:t xml:space="preserve">. </w:t>
      </w:r>
    </w:p>
    <w:p w14:paraId="59EFC5F0" w14:textId="25513826" w:rsidR="0098526E" w:rsidRPr="005B44B2" w:rsidRDefault="00194F04" w:rsidP="00461812">
      <w:pPr>
        <w:spacing w:line="480" w:lineRule="auto"/>
        <w:jc w:val="both"/>
        <w:rPr>
          <w:rFonts w:ascii="Times New Roman" w:hAnsi="Times New Roman" w:cs="Times New Roman"/>
          <w:sz w:val="24"/>
          <w:szCs w:val="24"/>
        </w:rPr>
      </w:pPr>
      <w:r w:rsidRPr="005B44B2">
        <w:rPr>
          <w:rFonts w:ascii="Times New Roman" w:hAnsi="Times New Roman" w:cs="Times New Roman"/>
          <w:sz w:val="24"/>
          <w:szCs w:val="24"/>
        </w:rPr>
        <w:t xml:space="preserve">No adjustment for multiplicity was performed. The statistical programs used for the analysis were SAS version 9.3 (SAS Institute Inc., Cary, North Carolina) and Stata version 14.2 </w:t>
      </w:r>
      <w:bookmarkStart w:id="5" w:name="_Hlk536002918"/>
      <w:r w:rsidRPr="005B44B2">
        <w:rPr>
          <w:rFonts w:ascii="Times New Roman" w:hAnsi="Times New Roman" w:cs="Times New Roman"/>
          <w:sz w:val="24"/>
          <w:szCs w:val="24"/>
        </w:rPr>
        <w:t>(</w:t>
      </w:r>
      <w:r>
        <w:rPr>
          <w:rFonts w:ascii="Times New Roman" w:hAnsi="Times New Roman" w:cs="Times New Roman"/>
          <w:sz w:val="24"/>
          <w:szCs w:val="24"/>
        </w:rPr>
        <w:t xml:space="preserve">StataCorp, </w:t>
      </w:r>
      <w:r w:rsidRPr="005B44B2">
        <w:rPr>
          <w:rFonts w:ascii="Times New Roman" w:hAnsi="Times New Roman" w:cs="Times New Roman"/>
          <w:sz w:val="24"/>
          <w:szCs w:val="24"/>
        </w:rPr>
        <w:t xml:space="preserve">College Station, Texas). </w:t>
      </w:r>
      <w:bookmarkEnd w:id="5"/>
    </w:p>
    <w:p w14:paraId="5E895FA1" w14:textId="77777777" w:rsidR="0098526E" w:rsidRPr="001408A6" w:rsidRDefault="0098526E" w:rsidP="001408A6">
      <w:pPr>
        <w:pStyle w:val="CommentText"/>
        <w:spacing w:line="480" w:lineRule="auto"/>
        <w:rPr>
          <w:rFonts w:asciiTheme="majorBidi" w:hAnsiTheme="majorBidi" w:cstheme="majorBidi"/>
          <w:sz w:val="24"/>
          <w:szCs w:val="24"/>
        </w:rPr>
      </w:pPr>
    </w:p>
    <w:p w14:paraId="57267C5A" w14:textId="77777777" w:rsidR="000677AA" w:rsidRDefault="00FD505A" w:rsidP="00092236">
      <w:pPr>
        <w:pStyle w:val="EndNoteBibliography"/>
        <w:spacing w:line="480" w:lineRule="auto"/>
        <w:rPr>
          <w:rFonts w:asciiTheme="majorBidi" w:hAnsiTheme="majorBidi"/>
          <w:color w:val="000000"/>
        </w:rPr>
      </w:pPr>
      <w:r>
        <w:rPr>
          <w:rFonts w:ascii="Times New Roman" w:hAnsi="Times New Roman" w:cs="Times New Roman"/>
          <w:sz w:val="24"/>
          <w:szCs w:val="24"/>
        </w:rPr>
        <w:t xml:space="preserve"> </w:t>
      </w:r>
      <w:r w:rsidR="003825CA">
        <w:rPr>
          <w:rFonts w:ascii="Times New Roman" w:hAnsi="Times New Roman" w:cs="Times New Roman"/>
          <w:b/>
          <w:bCs/>
          <w:sz w:val="28"/>
          <w:szCs w:val="28"/>
        </w:rPr>
        <w:t xml:space="preserve">Results: </w:t>
      </w:r>
    </w:p>
    <w:p w14:paraId="7A7D72DE" w14:textId="0DEA6FEC" w:rsidR="00145F77" w:rsidRDefault="00AD3980" w:rsidP="00F0539C">
      <w:pPr>
        <w:pStyle w:val="Title2"/>
        <w:spacing w:before="0" w:beforeAutospacing="0" w:after="0" w:afterAutospacing="0" w:line="480" w:lineRule="auto"/>
        <w:jc w:val="both"/>
        <w:rPr>
          <w:rFonts w:asciiTheme="majorBidi" w:hAnsiTheme="majorBidi" w:cstheme="majorBidi"/>
          <w:color w:val="000000"/>
        </w:rPr>
      </w:pPr>
      <w:r>
        <w:rPr>
          <w:rFonts w:asciiTheme="majorBidi" w:hAnsiTheme="majorBidi" w:cstheme="majorBidi"/>
          <w:color w:val="000000"/>
        </w:rPr>
        <w:t>O</w:t>
      </w:r>
      <w:r w:rsidR="00483716" w:rsidRPr="00366BA9">
        <w:rPr>
          <w:rFonts w:asciiTheme="majorBidi" w:hAnsiTheme="majorBidi" w:cstheme="majorBidi"/>
          <w:color w:val="000000"/>
        </w:rPr>
        <w:t xml:space="preserve">f the 17,160 </w:t>
      </w:r>
      <w:r w:rsidR="005B117A" w:rsidRPr="00EB6AD0">
        <w:rPr>
          <w:rFonts w:asciiTheme="majorBidi" w:hAnsiTheme="majorBidi" w:cstheme="majorBidi"/>
          <w:color w:val="000000"/>
        </w:rPr>
        <w:t>participants</w:t>
      </w:r>
      <w:r w:rsidR="008D0091" w:rsidRPr="00EB6AD0">
        <w:rPr>
          <w:rFonts w:asciiTheme="majorBidi" w:hAnsiTheme="majorBidi" w:cstheme="majorBidi"/>
          <w:color w:val="000000"/>
        </w:rPr>
        <w:t xml:space="preserve"> at baseline</w:t>
      </w:r>
      <w:r w:rsidR="005B117A">
        <w:rPr>
          <w:rFonts w:asciiTheme="majorBidi" w:hAnsiTheme="majorBidi" w:cstheme="majorBidi"/>
          <w:color w:val="000000"/>
        </w:rPr>
        <w:t>,</w:t>
      </w:r>
      <w:r w:rsidR="008D0091" w:rsidRPr="00EB6AD0">
        <w:rPr>
          <w:rFonts w:asciiTheme="majorBidi" w:hAnsiTheme="majorBidi" w:cstheme="majorBidi"/>
          <w:color w:val="000000"/>
        </w:rPr>
        <w:t xml:space="preserve"> 8,162 </w:t>
      </w:r>
      <w:r w:rsidR="008D0091" w:rsidRPr="00092236">
        <w:rPr>
          <w:rFonts w:asciiTheme="majorBidi" w:hAnsiTheme="majorBidi" w:cstheme="majorBidi"/>
          <w:color w:val="000000"/>
        </w:rPr>
        <w:t>(</w:t>
      </w:r>
      <w:r w:rsidR="002C3A41" w:rsidRPr="00092236">
        <w:rPr>
          <w:rFonts w:asciiTheme="majorBidi" w:hAnsiTheme="majorBidi" w:cstheme="majorBidi"/>
          <w:color w:val="000000"/>
        </w:rPr>
        <w:t>47.6</w:t>
      </w:r>
      <w:r w:rsidR="008D0091" w:rsidRPr="00092236">
        <w:rPr>
          <w:rFonts w:asciiTheme="majorBidi" w:hAnsiTheme="majorBidi" w:cstheme="majorBidi"/>
          <w:color w:val="000000"/>
        </w:rPr>
        <w:t xml:space="preserve">%) had </w:t>
      </w:r>
      <w:r w:rsidR="008D0091" w:rsidRPr="00092236">
        <w:rPr>
          <w:rFonts w:asciiTheme="majorBidi" w:hAnsiTheme="majorBidi" w:cstheme="majorBidi"/>
        </w:rPr>
        <w:t>eGFR&gt;</w:t>
      </w:r>
      <w:r w:rsidR="006153AA">
        <w:rPr>
          <w:rFonts w:asciiTheme="majorBidi" w:hAnsiTheme="majorBidi" w:cstheme="majorBidi"/>
        </w:rPr>
        <w:t>=</w:t>
      </w:r>
      <w:r w:rsidR="008D0091" w:rsidRPr="00092236">
        <w:rPr>
          <w:rFonts w:asciiTheme="majorBidi" w:hAnsiTheme="majorBidi" w:cstheme="majorBidi"/>
        </w:rPr>
        <w:t xml:space="preserve">90 </w:t>
      </w:r>
      <w:r w:rsidR="008D0091" w:rsidRPr="00092236">
        <w:rPr>
          <w:rFonts w:asciiTheme="majorBidi" w:hAnsiTheme="majorBidi" w:cstheme="majorBidi"/>
          <w:color w:val="000000"/>
        </w:rPr>
        <w:t>mL/min/1.73m</w:t>
      </w:r>
      <w:r w:rsidR="008D0091" w:rsidRPr="00092236">
        <w:rPr>
          <w:rFonts w:asciiTheme="majorBidi" w:hAnsiTheme="majorBidi" w:cstheme="majorBidi"/>
          <w:color w:val="000000"/>
          <w:vertAlign w:val="superscript"/>
        </w:rPr>
        <w:t>2</w:t>
      </w:r>
      <w:r w:rsidR="008D0091" w:rsidRPr="00F95D12">
        <w:rPr>
          <w:rFonts w:asciiTheme="majorBidi" w:hAnsiTheme="majorBidi" w:cstheme="majorBidi"/>
          <w:color w:val="000000"/>
        </w:rPr>
        <w:t>,</w:t>
      </w:r>
      <w:r w:rsidR="008D0091" w:rsidRPr="00362564">
        <w:rPr>
          <w:rFonts w:asciiTheme="majorBidi" w:hAnsiTheme="majorBidi" w:cstheme="majorBidi"/>
          <w:color w:val="000000"/>
        </w:rPr>
        <w:t xml:space="preserve"> </w:t>
      </w:r>
      <w:r w:rsidR="003D636D" w:rsidRPr="00362564">
        <w:rPr>
          <w:rFonts w:asciiTheme="majorBidi" w:hAnsiTheme="majorBidi" w:cstheme="majorBidi"/>
          <w:color w:val="000000"/>
        </w:rPr>
        <w:t>7,</w:t>
      </w:r>
      <w:r w:rsidR="006153AA" w:rsidRPr="00362564">
        <w:rPr>
          <w:rFonts w:asciiTheme="majorBidi" w:hAnsiTheme="majorBidi" w:cstheme="majorBidi"/>
          <w:color w:val="000000"/>
        </w:rPr>
        <w:t>73</w:t>
      </w:r>
      <w:r w:rsidR="006153AA">
        <w:rPr>
          <w:rFonts w:asciiTheme="majorBidi" w:hAnsiTheme="majorBidi" w:cstheme="majorBidi"/>
          <w:color w:val="000000"/>
        </w:rPr>
        <w:t>2</w:t>
      </w:r>
      <w:r w:rsidR="006153AA" w:rsidRPr="00362564">
        <w:rPr>
          <w:rFonts w:asciiTheme="majorBidi" w:hAnsiTheme="majorBidi" w:cstheme="majorBidi"/>
          <w:color w:val="000000"/>
        </w:rPr>
        <w:t xml:space="preserve"> </w:t>
      </w:r>
      <w:r w:rsidR="003D636D" w:rsidRPr="00362564">
        <w:rPr>
          <w:rFonts w:asciiTheme="majorBidi" w:hAnsiTheme="majorBidi" w:cstheme="majorBidi"/>
          <w:color w:val="000000"/>
        </w:rPr>
        <w:t>(</w:t>
      </w:r>
      <w:r w:rsidR="002C3A41" w:rsidRPr="00362564">
        <w:rPr>
          <w:rFonts w:asciiTheme="majorBidi" w:hAnsiTheme="majorBidi" w:cstheme="majorBidi"/>
          <w:color w:val="000000"/>
        </w:rPr>
        <w:t>45.</w:t>
      </w:r>
      <w:r w:rsidR="006153AA">
        <w:rPr>
          <w:rFonts w:asciiTheme="majorBidi" w:hAnsiTheme="majorBidi" w:cstheme="majorBidi"/>
          <w:color w:val="000000"/>
        </w:rPr>
        <w:t>1</w:t>
      </w:r>
      <w:r w:rsidR="003D636D" w:rsidRPr="00362564">
        <w:rPr>
          <w:rFonts w:asciiTheme="majorBidi" w:hAnsiTheme="majorBidi" w:cstheme="majorBidi"/>
          <w:color w:val="000000"/>
        </w:rPr>
        <w:t xml:space="preserve">%) subjects had </w:t>
      </w:r>
      <w:r w:rsidR="008D0091" w:rsidRPr="00362564">
        <w:rPr>
          <w:rFonts w:asciiTheme="majorBidi" w:hAnsiTheme="majorBidi" w:cstheme="majorBidi"/>
        </w:rPr>
        <w:t>eGFR 60-</w:t>
      </w:r>
      <w:r w:rsidR="00AC05D2">
        <w:rPr>
          <w:rFonts w:asciiTheme="majorBidi" w:hAnsiTheme="majorBidi" w:cstheme="majorBidi"/>
        </w:rPr>
        <w:t>&lt;</w:t>
      </w:r>
      <w:r w:rsidR="008D0091" w:rsidRPr="00362564">
        <w:rPr>
          <w:rFonts w:asciiTheme="majorBidi" w:hAnsiTheme="majorBidi" w:cstheme="majorBidi"/>
        </w:rPr>
        <w:t xml:space="preserve">90 </w:t>
      </w:r>
      <w:r w:rsidR="008D0091" w:rsidRPr="00362564">
        <w:rPr>
          <w:rFonts w:asciiTheme="majorBidi" w:hAnsiTheme="majorBidi" w:cstheme="majorBidi"/>
          <w:color w:val="000000"/>
        </w:rPr>
        <w:t>mL/min/1.73m</w:t>
      </w:r>
      <w:r w:rsidR="008D0091" w:rsidRPr="00362564">
        <w:rPr>
          <w:rFonts w:asciiTheme="majorBidi" w:hAnsiTheme="majorBidi" w:cstheme="majorBidi"/>
          <w:color w:val="000000"/>
          <w:vertAlign w:val="superscript"/>
        </w:rPr>
        <w:t>2</w:t>
      </w:r>
      <w:r w:rsidR="008D0091" w:rsidRPr="00362564">
        <w:rPr>
          <w:rFonts w:asciiTheme="majorBidi" w:hAnsiTheme="majorBidi" w:cstheme="majorBidi"/>
          <w:color w:val="000000"/>
        </w:rPr>
        <w:t xml:space="preserve"> and</w:t>
      </w:r>
      <w:r w:rsidR="003D636D" w:rsidRPr="00145F77">
        <w:rPr>
          <w:rFonts w:asciiTheme="majorBidi" w:hAnsiTheme="majorBidi" w:cstheme="majorBidi"/>
          <w:color w:val="000000"/>
        </w:rPr>
        <w:t xml:space="preserve"> 1,265</w:t>
      </w:r>
      <w:r w:rsidR="003D636D" w:rsidRPr="00835907">
        <w:rPr>
          <w:rFonts w:asciiTheme="majorBidi" w:hAnsiTheme="majorBidi" w:cstheme="majorBidi"/>
          <w:color w:val="000000"/>
        </w:rPr>
        <w:t xml:space="preserve"> </w:t>
      </w:r>
      <w:r w:rsidR="003D636D" w:rsidRPr="00AF4455">
        <w:rPr>
          <w:rFonts w:asciiTheme="majorBidi" w:hAnsiTheme="majorBidi" w:cstheme="majorBidi"/>
          <w:color w:val="000000"/>
        </w:rPr>
        <w:t>(</w:t>
      </w:r>
      <w:r w:rsidR="002C3A41" w:rsidRPr="0044366D">
        <w:rPr>
          <w:rFonts w:asciiTheme="majorBidi" w:hAnsiTheme="majorBidi" w:cstheme="majorBidi"/>
          <w:color w:val="000000"/>
        </w:rPr>
        <w:t>7.4</w:t>
      </w:r>
      <w:r w:rsidR="003D636D" w:rsidRPr="00782B4E">
        <w:rPr>
          <w:rFonts w:asciiTheme="majorBidi" w:hAnsiTheme="majorBidi" w:cstheme="majorBidi"/>
          <w:color w:val="000000"/>
        </w:rPr>
        <w:t>%)</w:t>
      </w:r>
      <w:r w:rsidR="003D636D" w:rsidRPr="008B634E">
        <w:rPr>
          <w:rFonts w:asciiTheme="majorBidi" w:hAnsiTheme="majorBidi" w:cstheme="majorBidi"/>
          <w:color w:val="000000"/>
        </w:rPr>
        <w:t xml:space="preserve"> subjects had</w:t>
      </w:r>
      <w:r w:rsidR="008D0091" w:rsidRPr="000A70F8">
        <w:rPr>
          <w:rFonts w:asciiTheme="majorBidi" w:hAnsiTheme="majorBidi" w:cstheme="majorBidi"/>
          <w:color w:val="000000"/>
        </w:rPr>
        <w:t xml:space="preserve"> </w:t>
      </w:r>
      <w:r w:rsidR="008D0091" w:rsidRPr="000A70F8">
        <w:rPr>
          <w:rFonts w:asciiTheme="majorBidi" w:hAnsiTheme="majorBidi" w:cstheme="majorBidi"/>
        </w:rPr>
        <w:t xml:space="preserve">eGFR&lt;60 </w:t>
      </w:r>
      <w:r w:rsidR="008D0091" w:rsidRPr="00532AF6">
        <w:rPr>
          <w:rFonts w:asciiTheme="majorBidi" w:hAnsiTheme="majorBidi" w:cstheme="majorBidi"/>
          <w:color w:val="000000"/>
        </w:rPr>
        <w:lastRenderedPageBreak/>
        <w:t>mL/min/1.73m</w:t>
      </w:r>
      <w:r w:rsidR="008D0091" w:rsidRPr="00470B63">
        <w:rPr>
          <w:rFonts w:asciiTheme="majorBidi" w:hAnsiTheme="majorBidi" w:cstheme="majorBidi"/>
          <w:color w:val="000000"/>
          <w:vertAlign w:val="superscript"/>
        </w:rPr>
        <w:t>2</w:t>
      </w:r>
      <w:r w:rsidR="002C3A41" w:rsidRPr="00470B63">
        <w:rPr>
          <w:rFonts w:asciiTheme="majorBidi" w:hAnsiTheme="majorBidi" w:cstheme="majorBidi"/>
          <w:color w:val="000000"/>
        </w:rPr>
        <w:t xml:space="preserve"> (</w:t>
      </w:r>
      <w:r w:rsidR="002C3A41" w:rsidRPr="00366BA9">
        <w:rPr>
          <w:rFonts w:asciiTheme="majorBidi" w:hAnsiTheme="majorBidi" w:cstheme="majorBidi"/>
          <w:color w:val="000000"/>
        </w:rPr>
        <w:t xml:space="preserve">eGFR was </w:t>
      </w:r>
      <w:r>
        <w:rPr>
          <w:rFonts w:asciiTheme="majorBidi" w:hAnsiTheme="majorBidi" w:cstheme="majorBidi"/>
          <w:color w:val="000000"/>
        </w:rPr>
        <w:t>missing</w:t>
      </w:r>
      <w:r w:rsidR="002C3A41" w:rsidRPr="00366BA9">
        <w:rPr>
          <w:rFonts w:asciiTheme="majorBidi" w:hAnsiTheme="majorBidi" w:cstheme="majorBidi"/>
          <w:color w:val="000000"/>
        </w:rPr>
        <w:t xml:space="preserve"> for </w:t>
      </w:r>
      <w:r w:rsidR="006153AA">
        <w:rPr>
          <w:rFonts w:asciiTheme="majorBidi" w:hAnsiTheme="majorBidi" w:cstheme="majorBidi"/>
          <w:color w:val="000000"/>
        </w:rPr>
        <w:t>one</w:t>
      </w:r>
      <w:r w:rsidR="006153AA" w:rsidRPr="00366BA9">
        <w:rPr>
          <w:rFonts w:asciiTheme="majorBidi" w:hAnsiTheme="majorBidi" w:cstheme="majorBidi"/>
          <w:color w:val="000000"/>
        </w:rPr>
        <w:t xml:space="preserve"> </w:t>
      </w:r>
      <w:r w:rsidR="002C3A41" w:rsidRPr="00366BA9">
        <w:rPr>
          <w:rFonts w:asciiTheme="majorBidi" w:hAnsiTheme="majorBidi" w:cstheme="majorBidi"/>
          <w:color w:val="000000"/>
        </w:rPr>
        <w:t>patient)</w:t>
      </w:r>
      <w:r w:rsidR="006153AA">
        <w:rPr>
          <w:rFonts w:asciiTheme="majorBidi" w:hAnsiTheme="majorBidi" w:cstheme="majorBidi"/>
          <w:color w:val="000000"/>
        </w:rPr>
        <w:t xml:space="preserve"> reflecting the enrollment criteria</w:t>
      </w:r>
      <w:r w:rsidR="002C3A41" w:rsidRPr="00366BA9">
        <w:rPr>
          <w:rFonts w:asciiTheme="majorBidi" w:hAnsiTheme="majorBidi" w:cstheme="majorBidi"/>
          <w:color w:val="000000"/>
        </w:rPr>
        <w:t>.</w:t>
      </w:r>
      <w:r w:rsidR="00EB6AD0">
        <w:rPr>
          <w:rFonts w:asciiTheme="majorBidi" w:hAnsiTheme="majorBidi" w:cstheme="majorBidi"/>
          <w:color w:val="000000"/>
        </w:rPr>
        <w:t xml:space="preserve"> </w:t>
      </w:r>
      <w:r w:rsidR="00804BE4">
        <w:rPr>
          <w:rFonts w:asciiTheme="majorBidi" w:hAnsiTheme="majorBidi" w:cstheme="majorBidi"/>
          <w:color w:val="000000"/>
        </w:rPr>
        <w:t xml:space="preserve">Due to the difference between creatinine clearance </w:t>
      </w:r>
      <w:r w:rsidR="00804BE4" w:rsidRPr="00A96DF1">
        <w:rPr>
          <w:rFonts w:asciiTheme="majorBidi" w:hAnsiTheme="majorBidi"/>
        </w:rPr>
        <w:t>(estimated by Cockcroft-Gault equation</w:t>
      </w:r>
      <w:r w:rsidR="00804BE4" w:rsidRPr="00786FD4">
        <w:rPr>
          <w:rFonts w:asciiTheme="majorBidi" w:hAnsiTheme="majorBidi"/>
          <w:vertAlign w:val="superscript"/>
        </w:rPr>
        <w:fldChar w:fldCharType="begin" w:fldLock="1"/>
      </w:r>
      <w:r w:rsidR="00804BE4">
        <w:rPr>
          <w:rFonts w:asciiTheme="majorBidi" w:hAnsiTheme="majorBidi"/>
          <w:vertAlign w:val="superscript"/>
        </w:rPr>
        <w:instrText>ADDIN CSL_CITATION {"citationItems":[{"id":"ITEM-1","itemData":{"DOI":"10.1016/j.jdiacomp.2017.06.016","ISSN":"10568727","PMID":"28711195","abstract":"AIMS To analyze the performance of Modification of Diet in Renal Disease (MDRD), Chronic Kidney Disease Epidemiology Collaboration (CKD-EPI), Cockcroft-Gault (CG), and CG calculated with ideal bodyweight (CG-IBW) equations to estimate glomerular filtration rate (eGFR) based on serum creatinine in a large diabetic population. METHODS 24,516 adults with type-1-diabetes or type-2-diabetes from the multicenter diabetes prospective follow-up registry DPV were analyzed. We compared eGFR and measured GFR (mGFR) based on 24-h urine collection by calculating mean bias (difference), precision (SD of this difference), accuracy (proportion of eGFR within ±10% of mGFR), Bland-Altman-plots. RESULTS CG overestimates, whereas MDRD, CKD-EPI, and CG-IBW underestimate. Smallest mean bias and highest accuracy (75.3%) were observed for MDRD compared to the other equations (p&lt;0.0001). MDRD and CKD-EPI estimated most accurately in stages 1 (MDRD:57.7%, CKD-EPI:57.3%) and 2 (MDRD:80.2%, CKD-EPI:80.7%). In stages 3 to 5, highest accuracy was observed for the MDRD (stage 3:82.3%, stage 4:77.8%, stage 5:71.0%). Among younger subjects, accuracy was higher using the CKD-EPI (18-&lt;40years:63.7%, 40-&lt;60years:72.8%). Above age 60years, MDRD estimated most accurately (60-&lt;70years:77.3%, ≥70years:78.8%). In males and females, MDRD estimated most accurately (males:75.3%, females:75.3%). CONCLUSION In this large diabetic cohort, smallest bias and highest accuracy were observed for the MDRD.","author":[{"dropping-particle":"","family":"Schwandt","given":"Anke","non-dropping-particle":"","parse-names":false,"suffix":""},{"dropping-particle":"","family":"Denkinger","given":"Michael","non-dropping-particle":"","parse-names":false,"suffix":""},{"dropping-particle":"","family":"Fasching","given":"Peter","non-dropping-particle":"","parse-names":false,"suffix":""},{"dropping-particle":"","family":"Pfeifer","given":"Martin","non-dropping-particle":"","parse-names":false,"suffix":""},{"dropping-particle":"","family":"Wagner","given":"Christian","non-dropping-particle":"","parse-names":false,"suffix":""},{"dropping-particle":"","family":"Weiland","given":"Jörg","non-dropping-particle":"","parse-names":false,"suffix":""},{"dropping-particle":"","family":"Zeyfang","given":"Andrej","non-dropping-particle":"","parse-names":false,"suffix":""},{"dropping-particle":"","family":"Holl","given":"Reinhard W.","non-dropping-particle":"","parse-names":false,"suffix":""}],"container-title":"Journal of Diabetes and its Complications","id":"ITEM-1","issue":"9","issued":{"date-parts":[["2017","9"]]},"page":"1376-1383","title":"Comparison of MDRD, CKD-EPI, and Cockcroft-Gault equation in relation to measured glomerular filtration rate among a large cohort with diabetes","type":"article-journal","volume":"31"},"uris":["http://www.mendeley.com/documents/?uuid=b198ed08-3fbf-349a-9369-1613740c42fa"]}],"mendeley":{"formattedCitation":"&lt;sup&gt;17&lt;/sup&gt;","plainTextFormattedCitation":"17","previouslyFormattedCitation":"&lt;sup&gt;17&lt;/sup&gt;"},"properties":{"noteIndex":0},"schema":"https://github.com/citation-style-language/schema/raw/master/csl-citation.json"}</w:instrText>
      </w:r>
      <w:r w:rsidR="00804BE4" w:rsidRPr="00786FD4">
        <w:rPr>
          <w:rFonts w:asciiTheme="majorBidi" w:hAnsiTheme="majorBidi"/>
          <w:vertAlign w:val="superscript"/>
        </w:rPr>
        <w:fldChar w:fldCharType="separate"/>
      </w:r>
      <w:r w:rsidR="00804BE4" w:rsidRPr="00B90562">
        <w:rPr>
          <w:rFonts w:asciiTheme="majorBidi" w:hAnsiTheme="majorBidi"/>
          <w:noProof/>
          <w:vertAlign w:val="superscript"/>
        </w:rPr>
        <w:t>17</w:t>
      </w:r>
      <w:r w:rsidR="00804BE4" w:rsidRPr="00786FD4">
        <w:rPr>
          <w:rFonts w:asciiTheme="majorBidi" w:hAnsiTheme="majorBidi"/>
          <w:vertAlign w:val="superscript"/>
        </w:rPr>
        <w:fldChar w:fldCharType="end"/>
      </w:r>
      <w:r w:rsidR="00804BE4">
        <w:rPr>
          <w:rFonts w:asciiTheme="majorBidi" w:hAnsiTheme="majorBidi"/>
        </w:rPr>
        <w:t xml:space="preserve">) </w:t>
      </w:r>
      <w:r w:rsidR="00804BE4">
        <w:rPr>
          <w:rFonts w:asciiTheme="majorBidi" w:hAnsiTheme="majorBidi" w:cstheme="majorBidi"/>
          <w:color w:val="000000"/>
        </w:rPr>
        <w:t>and eGFR calculations</w:t>
      </w:r>
      <w:r w:rsidR="0058699A">
        <w:rPr>
          <w:rFonts w:asciiTheme="majorBidi" w:hAnsiTheme="majorBidi" w:cstheme="majorBidi"/>
          <w:color w:val="000000"/>
        </w:rPr>
        <w:t xml:space="preserve"> (estimated by CKD-EPI</w:t>
      </w:r>
      <w:r w:rsidR="002E4DF4" w:rsidRPr="00172EA4">
        <w:rPr>
          <w:rFonts w:asciiTheme="majorBidi" w:hAnsiTheme="majorBidi" w:cstheme="majorBidi"/>
          <w:color w:val="000000"/>
          <w:highlight w:val="yellow"/>
          <w:vertAlign w:val="superscript"/>
        </w:rPr>
        <w:t>##</w:t>
      </w:r>
      <w:r w:rsidR="0058699A">
        <w:rPr>
          <w:rFonts w:asciiTheme="majorBidi" w:hAnsiTheme="majorBidi" w:cstheme="majorBidi"/>
          <w:color w:val="000000"/>
        </w:rPr>
        <w:t>)</w:t>
      </w:r>
      <w:r w:rsidR="00804BE4">
        <w:rPr>
          <w:rFonts w:asciiTheme="majorBidi" w:hAnsiTheme="majorBidi" w:cstheme="majorBidi"/>
          <w:color w:val="000000"/>
        </w:rPr>
        <w:t xml:space="preserve">, and due to fact that inclusion criteria were applied at the screening visit while baseline eGFR </w:t>
      </w:r>
      <w:r w:rsidR="00F0539C">
        <w:rPr>
          <w:rFonts w:asciiTheme="majorBidi" w:hAnsiTheme="majorBidi" w:cstheme="majorBidi"/>
          <w:color w:val="000000"/>
        </w:rPr>
        <w:t>was</w:t>
      </w:r>
      <w:r w:rsidR="00804BE4">
        <w:rPr>
          <w:rFonts w:asciiTheme="majorBidi" w:hAnsiTheme="majorBidi" w:cstheme="majorBidi"/>
          <w:color w:val="000000"/>
        </w:rPr>
        <w:t xml:space="preserve"> from the randomization visit, there were 1,265 participants who entered the trial with eGFR&lt;60 </w:t>
      </w:r>
      <w:r w:rsidR="00804BE4" w:rsidRPr="00F42AA2">
        <w:rPr>
          <w:rFonts w:asciiTheme="majorBidi" w:hAnsiTheme="majorBidi" w:cstheme="majorBidi"/>
          <w:color w:val="000000"/>
        </w:rPr>
        <w:t>mL/min/1.73m</w:t>
      </w:r>
      <w:r w:rsidR="00804BE4" w:rsidRPr="00F42AA2">
        <w:rPr>
          <w:rFonts w:asciiTheme="majorBidi" w:hAnsiTheme="majorBidi" w:cstheme="majorBidi"/>
          <w:color w:val="000000"/>
          <w:vertAlign w:val="superscript"/>
        </w:rPr>
        <w:t>2</w:t>
      </w:r>
      <w:r w:rsidR="00804BE4">
        <w:rPr>
          <w:rFonts w:asciiTheme="majorBidi" w:hAnsiTheme="majorBidi" w:cstheme="majorBidi"/>
          <w:color w:val="000000"/>
        </w:rPr>
        <w:t xml:space="preserve">. </w:t>
      </w:r>
      <w:r w:rsidR="00145F77">
        <w:rPr>
          <w:rFonts w:asciiTheme="majorBidi" w:hAnsiTheme="majorBidi" w:cstheme="majorBidi"/>
          <w:color w:val="000000"/>
        </w:rPr>
        <w:t xml:space="preserve">Mean </w:t>
      </w:r>
      <w:r w:rsidR="0068235D">
        <w:rPr>
          <w:rFonts w:asciiTheme="majorBidi" w:hAnsiTheme="majorBidi" w:cstheme="majorBidi"/>
          <w:color w:val="000000"/>
        </w:rPr>
        <w:t xml:space="preserve">(SD) </w:t>
      </w:r>
      <w:r w:rsidR="00145F77">
        <w:rPr>
          <w:rFonts w:asciiTheme="majorBidi" w:hAnsiTheme="majorBidi" w:cstheme="majorBidi"/>
          <w:color w:val="000000"/>
        </w:rPr>
        <w:t xml:space="preserve">eGFR </w:t>
      </w:r>
      <w:r w:rsidR="002C23B6">
        <w:rPr>
          <w:rFonts w:asciiTheme="majorBidi" w:hAnsiTheme="majorBidi" w:cstheme="majorBidi"/>
          <w:color w:val="000000"/>
        </w:rPr>
        <w:t>of</w:t>
      </w:r>
      <w:r w:rsidR="00145F77">
        <w:rPr>
          <w:rFonts w:asciiTheme="majorBidi" w:hAnsiTheme="majorBidi" w:cstheme="majorBidi"/>
          <w:color w:val="000000"/>
        </w:rPr>
        <w:t xml:space="preserve"> the entire trial population was </w:t>
      </w:r>
      <w:r w:rsidR="00145F77">
        <w:rPr>
          <w:rFonts w:asciiTheme="majorBidi" w:hAnsiTheme="majorBidi" w:cstheme="majorBidi"/>
          <w:color w:val="000000"/>
          <w:lang w:val="en-GB"/>
        </w:rPr>
        <w:t xml:space="preserve">85.2 (15.9) </w:t>
      </w:r>
      <w:r w:rsidR="00145F77" w:rsidRPr="00F42AA2">
        <w:rPr>
          <w:rFonts w:asciiTheme="majorBidi" w:hAnsiTheme="majorBidi" w:cstheme="majorBidi"/>
          <w:color w:val="000000"/>
        </w:rPr>
        <w:t>mL/min/1.</w:t>
      </w:r>
      <w:r w:rsidR="00145F77" w:rsidRPr="00236185">
        <w:rPr>
          <w:rFonts w:asciiTheme="majorBidi" w:hAnsiTheme="majorBidi" w:cstheme="majorBidi"/>
          <w:color w:val="000000"/>
        </w:rPr>
        <w:t>73m</w:t>
      </w:r>
      <w:r w:rsidR="00145F77" w:rsidRPr="00236185">
        <w:rPr>
          <w:rFonts w:asciiTheme="majorBidi" w:hAnsiTheme="majorBidi" w:cstheme="majorBidi"/>
          <w:color w:val="000000"/>
          <w:vertAlign w:val="superscript"/>
        </w:rPr>
        <w:t>2</w:t>
      </w:r>
      <w:r w:rsidR="006C04E2">
        <w:rPr>
          <w:rFonts w:asciiTheme="majorBidi" w:hAnsiTheme="majorBidi" w:cstheme="majorBidi"/>
          <w:color w:val="000000"/>
        </w:rPr>
        <w:t>;</w:t>
      </w:r>
      <w:r w:rsidR="00145F77">
        <w:rPr>
          <w:rFonts w:asciiTheme="majorBidi" w:hAnsiTheme="majorBidi" w:cstheme="majorBidi"/>
          <w:color w:val="000000"/>
        </w:rPr>
        <w:t xml:space="preserve"> 98.3 (6.5)</w:t>
      </w:r>
      <w:r w:rsidR="006C04E2">
        <w:rPr>
          <w:rFonts w:asciiTheme="majorBidi" w:hAnsiTheme="majorBidi" w:cstheme="majorBidi"/>
          <w:color w:val="000000"/>
        </w:rPr>
        <w:t xml:space="preserve"> in the &gt;</w:t>
      </w:r>
      <w:r w:rsidR="006153AA">
        <w:rPr>
          <w:rFonts w:asciiTheme="majorBidi" w:hAnsiTheme="majorBidi" w:cstheme="majorBidi"/>
          <w:color w:val="000000"/>
        </w:rPr>
        <w:t>=</w:t>
      </w:r>
      <w:r w:rsidR="006C04E2">
        <w:rPr>
          <w:rFonts w:asciiTheme="majorBidi" w:hAnsiTheme="majorBidi" w:cstheme="majorBidi"/>
          <w:color w:val="000000"/>
        </w:rPr>
        <w:t>90 mL/min/1.73</w:t>
      </w:r>
      <w:r w:rsidR="006C04E2" w:rsidRPr="00F42AA2">
        <w:rPr>
          <w:rFonts w:asciiTheme="majorBidi" w:hAnsiTheme="majorBidi" w:cstheme="majorBidi"/>
          <w:color w:val="000000"/>
        </w:rPr>
        <w:t>m</w:t>
      </w:r>
      <w:r w:rsidR="006C04E2" w:rsidRPr="00F42AA2">
        <w:rPr>
          <w:rFonts w:asciiTheme="majorBidi" w:hAnsiTheme="majorBidi" w:cstheme="majorBidi"/>
          <w:color w:val="000000"/>
          <w:vertAlign w:val="superscript"/>
        </w:rPr>
        <w:t>2</w:t>
      </w:r>
      <w:r w:rsidR="006C04E2">
        <w:rPr>
          <w:rFonts w:asciiTheme="majorBidi" w:hAnsiTheme="majorBidi" w:cstheme="majorBidi"/>
          <w:color w:val="000000"/>
        </w:rPr>
        <w:t xml:space="preserve"> subgroup</w:t>
      </w:r>
      <w:r w:rsidR="00145F77">
        <w:rPr>
          <w:rFonts w:asciiTheme="majorBidi" w:hAnsiTheme="majorBidi" w:cstheme="majorBidi"/>
          <w:color w:val="000000"/>
        </w:rPr>
        <w:t>, 77.0 (8.5)</w:t>
      </w:r>
      <w:r w:rsidR="006C04E2">
        <w:rPr>
          <w:rFonts w:asciiTheme="majorBidi" w:hAnsiTheme="majorBidi" w:cstheme="majorBidi"/>
          <w:color w:val="000000"/>
        </w:rPr>
        <w:t xml:space="preserve"> in the 60-</w:t>
      </w:r>
      <w:r w:rsidR="004E6F90">
        <w:rPr>
          <w:rFonts w:asciiTheme="majorBidi" w:hAnsiTheme="majorBidi" w:cstheme="majorBidi"/>
          <w:color w:val="000000"/>
        </w:rPr>
        <w:t>&lt;90</w:t>
      </w:r>
      <w:r w:rsidR="006153AA">
        <w:rPr>
          <w:rFonts w:asciiTheme="majorBidi" w:hAnsiTheme="majorBidi" w:cstheme="majorBidi"/>
          <w:color w:val="000000"/>
        </w:rPr>
        <w:t xml:space="preserve"> </w:t>
      </w:r>
      <w:r w:rsidR="006C04E2" w:rsidRPr="00F42AA2">
        <w:rPr>
          <w:rFonts w:asciiTheme="majorBidi" w:hAnsiTheme="majorBidi" w:cstheme="majorBidi"/>
          <w:color w:val="000000"/>
        </w:rPr>
        <w:t>mL/min/1.73m</w:t>
      </w:r>
      <w:r w:rsidR="006C04E2" w:rsidRPr="00F42AA2">
        <w:rPr>
          <w:rFonts w:asciiTheme="majorBidi" w:hAnsiTheme="majorBidi" w:cstheme="majorBidi"/>
          <w:color w:val="000000"/>
          <w:vertAlign w:val="superscript"/>
        </w:rPr>
        <w:t>2</w:t>
      </w:r>
      <w:r w:rsidR="006C04E2">
        <w:rPr>
          <w:rFonts w:asciiTheme="majorBidi" w:hAnsiTheme="majorBidi" w:cstheme="majorBidi"/>
          <w:color w:val="000000"/>
          <w:vertAlign w:val="superscript"/>
        </w:rPr>
        <w:t xml:space="preserve"> </w:t>
      </w:r>
      <w:r w:rsidR="006C04E2">
        <w:rPr>
          <w:rFonts w:asciiTheme="majorBidi" w:hAnsiTheme="majorBidi" w:cstheme="majorBidi"/>
          <w:color w:val="000000"/>
        </w:rPr>
        <w:t>subgroup</w:t>
      </w:r>
      <w:r w:rsidR="00145F77">
        <w:rPr>
          <w:rFonts w:asciiTheme="majorBidi" w:hAnsiTheme="majorBidi" w:cstheme="majorBidi"/>
          <w:color w:val="000000"/>
        </w:rPr>
        <w:t xml:space="preserve"> and 51.4 (7.2) </w:t>
      </w:r>
      <w:r w:rsidR="00F276AB" w:rsidRPr="00F42AA2">
        <w:rPr>
          <w:rFonts w:asciiTheme="majorBidi" w:hAnsiTheme="majorBidi" w:cstheme="majorBidi"/>
          <w:color w:val="000000"/>
        </w:rPr>
        <w:t>mL/min/1.73m</w:t>
      </w:r>
      <w:r w:rsidR="00F276AB" w:rsidRPr="00F42AA2">
        <w:rPr>
          <w:rFonts w:asciiTheme="majorBidi" w:hAnsiTheme="majorBidi" w:cstheme="majorBidi"/>
          <w:color w:val="000000"/>
          <w:vertAlign w:val="superscript"/>
        </w:rPr>
        <w:t>2</w:t>
      </w:r>
      <w:r w:rsidR="00F276AB">
        <w:rPr>
          <w:rFonts w:asciiTheme="majorBidi" w:hAnsiTheme="majorBidi" w:cstheme="majorBidi"/>
          <w:color w:val="000000"/>
        </w:rPr>
        <w:t xml:space="preserve"> </w:t>
      </w:r>
      <w:r w:rsidR="006C04E2">
        <w:rPr>
          <w:rFonts w:asciiTheme="majorBidi" w:hAnsiTheme="majorBidi" w:cstheme="majorBidi"/>
          <w:color w:val="000000"/>
        </w:rPr>
        <w:t xml:space="preserve">in the &lt;60 </w:t>
      </w:r>
      <w:r w:rsidR="006C04E2" w:rsidRPr="00F42AA2">
        <w:rPr>
          <w:rFonts w:asciiTheme="majorBidi" w:hAnsiTheme="majorBidi" w:cstheme="majorBidi"/>
          <w:color w:val="000000"/>
        </w:rPr>
        <w:t>mL/min/1.73m</w:t>
      </w:r>
      <w:r w:rsidR="006C04E2" w:rsidRPr="00F42AA2">
        <w:rPr>
          <w:rFonts w:asciiTheme="majorBidi" w:hAnsiTheme="majorBidi" w:cstheme="majorBidi"/>
          <w:color w:val="000000"/>
          <w:vertAlign w:val="superscript"/>
        </w:rPr>
        <w:t>2</w:t>
      </w:r>
      <w:r w:rsidR="006C04E2">
        <w:rPr>
          <w:rFonts w:asciiTheme="majorBidi" w:hAnsiTheme="majorBidi" w:cstheme="majorBidi"/>
          <w:color w:val="000000"/>
          <w:vertAlign w:val="superscript"/>
        </w:rPr>
        <w:t xml:space="preserve"> </w:t>
      </w:r>
      <w:r w:rsidR="006C04E2">
        <w:rPr>
          <w:rFonts w:asciiTheme="majorBidi" w:hAnsiTheme="majorBidi" w:cstheme="majorBidi"/>
          <w:color w:val="000000"/>
        </w:rPr>
        <w:t>subgroup</w:t>
      </w:r>
      <w:r w:rsidR="00F276AB">
        <w:rPr>
          <w:rFonts w:asciiTheme="majorBidi" w:hAnsiTheme="majorBidi" w:cstheme="majorBidi"/>
          <w:color w:val="000000"/>
        </w:rPr>
        <w:t>.</w:t>
      </w:r>
      <w:r w:rsidR="00CD7626">
        <w:rPr>
          <w:rFonts w:asciiTheme="majorBidi" w:hAnsiTheme="majorBidi" w:cstheme="majorBidi"/>
          <w:color w:val="000000"/>
        </w:rPr>
        <w:t xml:space="preserve"> </w:t>
      </w:r>
      <w:r w:rsidR="00545CCB">
        <w:rPr>
          <w:rFonts w:asciiTheme="majorBidi" w:hAnsiTheme="majorBidi" w:cstheme="majorBidi"/>
          <w:color w:val="000000"/>
        </w:rPr>
        <w:t>(Table 1)</w:t>
      </w:r>
      <w:r w:rsidR="00420838">
        <w:rPr>
          <w:rFonts w:asciiTheme="majorBidi" w:hAnsiTheme="majorBidi" w:cstheme="majorBidi"/>
          <w:color w:val="000000"/>
        </w:rPr>
        <w:t>.</w:t>
      </w:r>
    </w:p>
    <w:p w14:paraId="3CBAF3F1" w14:textId="411AEA66" w:rsidR="006C159B" w:rsidRDefault="00630D06" w:rsidP="00A6371B">
      <w:pPr>
        <w:pStyle w:val="Title2"/>
        <w:spacing w:before="0" w:beforeAutospacing="0" w:after="0" w:afterAutospacing="0" w:line="480" w:lineRule="auto"/>
        <w:jc w:val="both"/>
        <w:rPr>
          <w:rFonts w:asciiTheme="majorBidi" w:hAnsiTheme="majorBidi" w:cstheme="majorBidi"/>
          <w:color w:val="000000"/>
        </w:rPr>
      </w:pPr>
      <w:r>
        <w:rPr>
          <w:lang w:val="en-GB"/>
        </w:rPr>
        <w:t xml:space="preserve">At baseline there were 11,644 (69%) patients with </w:t>
      </w:r>
      <w:r w:rsidRPr="00381A6A">
        <w:rPr>
          <w:lang w:val="en-GB"/>
        </w:rPr>
        <w:t>normo</w:t>
      </w:r>
      <w:r>
        <w:rPr>
          <w:lang w:val="en-GB"/>
        </w:rPr>
        <w:t>-</w:t>
      </w:r>
      <w:r w:rsidRPr="00381A6A">
        <w:rPr>
          <w:lang w:val="en-GB"/>
        </w:rPr>
        <w:t>albuminuria</w:t>
      </w:r>
      <w:r>
        <w:rPr>
          <w:lang w:val="en-GB"/>
        </w:rPr>
        <w:t xml:space="preserve"> (</w:t>
      </w:r>
      <w:r w:rsidRPr="00381A6A">
        <w:rPr>
          <w:lang w:val="en-GB"/>
        </w:rPr>
        <w:t>UACR &lt;30 mg/g</w:t>
      </w:r>
      <w:r>
        <w:rPr>
          <w:lang w:val="en-GB"/>
        </w:rPr>
        <w:t xml:space="preserve">), </w:t>
      </w:r>
      <w:r w:rsidRPr="00834571">
        <w:rPr>
          <w:lang w:val="en-GB"/>
        </w:rPr>
        <w:t>4</w:t>
      </w:r>
      <w:r>
        <w:rPr>
          <w:lang w:val="en-GB"/>
        </w:rPr>
        <w:t>,</w:t>
      </w:r>
      <w:r w:rsidRPr="00834571">
        <w:rPr>
          <w:lang w:val="en-GB"/>
        </w:rPr>
        <w:t>030 (2</w:t>
      </w:r>
      <w:r>
        <w:rPr>
          <w:lang w:val="en-GB"/>
        </w:rPr>
        <w:t>4%</w:t>
      </w:r>
      <w:r w:rsidRPr="00834571">
        <w:rPr>
          <w:lang w:val="en-GB"/>
        </w:rPr>
        <w:t>)</w:t>
      </w:r>
      <w:r>
        <w:rPr>
          <w:lang w:val="en-GB"/>
        </w:rPr>
        <w:t xml:space="preserve"> with </w:t>
      </w:r>
      <w:r w:rsidRPr="00381A6A">
        <w:rPr>
          <w:lang w:val="en-GB"/>
        </w:rPr>
        <w:t>microalbuminuria</w:t>
      </w:r>
      <w:r>
        <w:rPr>
          <w:lang w:val="en-GB"/>
        </w:rPr>
        <w:t xml:space="preserve"> (</w:t>
      </w:r>
      <w:r w:rsidRPr="00381A6A">
        <w:rPr>
          <w:lang w:val="en-GB"/>
        </w:rPr>
        <w:t>UACR ≥30 to ≤300 mg/g</w:t>
      </w:r>
      <w:r>
        <w:rPr>
          <w:lang w:val="en-GB"/>
        </w:rPr>
        <w:t>);</w:t>
      </w:r>
      <w:r w:rsidRPr="00381A6A">
        <w:rPr>
          <w:lang w:val="en-GB"/>
        </w:rPr>
        <w:t xml:space="preserve"> and </w:t>
      </w:r>
      <w:r w:rsidRPr="00533D79">
        <w:rPr>
          <w:lang w:val="en-GB"/>
        </w:rPr>
        <w:t>1</w:t>
      </w:r>
      <w:r>
        <w:rPr>
          <w:lang w:val="en-GB"/>
        </w:rPr>
        <w:t>,169 (7%</w:t>
      </w:r>
      <w:r w:rsidRPr="00533D79">
        <w:rPr>
          <w:lang w:val="en-GB"/>
        </w:rPr>
        <w:t>)</w:t>
      </w:r>
      <w:r>
        <w:rPr>
          <w:lang w:val="en-GB"/>
        </w:rPr>
        <w:t xml:space="preserve"> w</w:t>
      </w:r>
      <w:r w:rsidR="00CC5C13">
        <w:rPr>
          <w:lang w:val="en-GB"/>
        </w:rPr>
        <w:t xml:space="preserve">ith </w:t>
      </w:r>
      <w:r w:rsidRPr="00381A6A">
        <w:rPr>
          <w:lang w:val="en-GB"/>
        </w:rPr>
        <w:t>macroalbuminuria</w:t>
      </w:r>
      <w:r>
        <w:rPr>
          <w:lang w:val="en-GB"/>
        </w:rPr>
        <w:t xml:space="preserve"> (</w:t>
      </w:r>
      <w:r w:rsidRPr="00381A6A">
        <w:rPr>
          <w:lang w:val="en-GB"/>
        </w:rPr>
        <w:t>UACR &gt;300 mg/g</w:t>
      </w:r>
      <w:r>
        <w:rPr>
          <w:lang w:val="en-GB"/>
        </w:rPr>
        <w:t>)</w:t>
      </w:r>
      <w:r w:rsidRPr="00381A6A">
        <w:rPr>
          <w:lang w:val="en-GB"/>
        </w:rPr>
        <w:t>.</w:t>
      </w:r>
    </w:p>
    <w:p w14:paraId="39AC9740" w14:textId="051F1876" w:rsidR="00660D0F" w:rsidRDefault="002E4B52" w:rsidP="00DD51CB">
      <w:pPr>
        <w:pStyle w:val="Title2"/>
        <w:spacing w:before="0" w:beforeAutospacing="0" w:after="0" w:afterAutospacing="0" w:line="480" w:lineRule="auto"/>
        <w:jc w:val="both"/>
        <w:rPr>
          <w:rFonts w:asciiTheme="majorBidi" w:hAnsiTheme="majorBidi" w:cstheme="majorBidi"/>
          <w:color w:val="000000"/>
        </w:rPr>
      </w:pPr>
      <w:r>
        <w:rPr>
          <w:rFonts w:asciiTheme="majorBidi" w:hAnsiTheme="majorBidi" w:cstheme="majorBidi"/>
          <w:color w:val="000000"/>
        </w:rPr>
        <w:t>P</w:t>
      </w:r>
      <w:r w:rsidR="00C50B7C">
        <w:rPr>
          <w:rFonts w:asciiTheme="majorBidi" w:hAnsiTheme="majorBidi" w:cstheme="majorBidi"/>
          <w:color w:val="000000"/>
        </w:rPr>
        <w:t>atients’</w:t>
      </w:r>
      <w:r w:rsidR="00EB6AD0">
        <w:rPr>
          <w:rFonts w:asciiTheme="majorBidi" w:hAnsiTheme="majorBidi" w:cstheme="majorBidi"/>
          <w:color w:val="000000"/>
        </w:rPr>
        <w:t xml:space="preserve"> </w:t>
      </w:r>
      <w:r w:rsidR="00C50B7C">
        <w:rPr>
          <w:rFonts w:asciiTheme="majorBidi" w:hAnsiTheme="majorBidi" w:cstheme="majorBidi"/>
          <w:color w:val="000000"/>
        </w:rPr>
        <w:t xml:space="preserve">characteristics </w:t>
      </w:r>
      <w:r>
        <w:rPr>
          <w:rFonts w:asciiTheme="majorBidi" w:hAnsiTheme="majorBidi" w:cstheme="majorBidi"/>
          <w:color w:val="000000"/>
        </w:rPr>
        <w:t xml:space="preserve">were compared </w:t>
      </w:r>
      <w:r w:rsidR="00C50B7C">
        <w:rPr>
          <w:rFonts w:asciiTheme="majorBidi" w:hAnsiTheme="majorBidi" w:cstheme="majorBidi"/>
          <w:color w:val="000000"/>
        </w:rPr>
        <w:t xml:space="preserve">according to baseline eGFR categories (Table 1) </w:t>
      </w:r>
      <w:r>
        <w:rPr>
          <w:rFonts w:asciiTheme="majorBidi" w:hAnsiTheme="majorBidi" w:cstheme="majorBidi"/>
          <w:color w:val="000000"/>
          <w:lang w:val="en-GB"/>
        </w:rPr>
        <w:t xml:space="preserve">and </w:t>
      </w:r>
      <w:r w:rsidR="00C71843">
        <w:rPr>
          <w:rFonts w:asciiTheme="majorBidi" w:hAnsiTheme="majorBidi" w:cstheme="majorBidi"/>
          <w:color w:val="000000"/>
          <w:lang w:val="en-GB"/>
        </w:rPr>
        <w:t xml:space="preserve">according to </w:t>
      </w:r>
      <w:r>
        <w:rPr>
          <w:rFonts w:asciiTheme="majorBidi" w:hAnsiTheme="majorBidi" w:cstheme="majorBidi"/>
          <w:color w:val="000000"/>
          <w:lang w:val="en-GB"/>
        </w:rPr>
        <w:t xml:space="preserve">treatment arms </w:t>
      </w:r>
      <w:r w:rsidR="001341B1">
        <w:rPr>
          <w:rFonts w:asciiTheme="majorBidi" w:hAnsiTheme="majorBidi" w:cstheme="majorBidi"/>
          <w:color w:val="000000"/>
          <w:lang w:val="en-GB"/>
        </w:rPr>
        <w:t xml:space="preserve">in the different eGFR categories </w:t>
      </w:r>
      <w:r>
        <w:rPr>
          <w:rFonts w:asciiTheme="majorBidi" w:hAnsiTheme="majorBidi" w:cstheme="majorBidi"/>
          <w:color w:val="000000"/>
          <w:lang w:val="en-GB"/>
        </w:rPr>
        <w:t>(</w:t>
      </w:r>
      <w:r w:rsidR="00C71843">
        <w:rPr>
          <w:rFonts w:asciiTheme="majorBidi" w:hAnsiTheme="majorBidi" w:cstheme="majorBidi"/>
          <w:color w:val="000000"/>
          <w:lang w:val="en-GB"/>
        </w:rPr>
        <w:t xml:space="preserve">Table S1). </w:t>
      </w:r>
      <w:r w:rsidR="00DD51CB">
        <w:rPr>
          <w:rFonts w:asciiTheme="majorBidi" w:hAnsiTheme="majorBidi" w:cstheme="majorBidi"/>
          <w:color w:val="000000"/>
        </w:rPr>
        <w:t>Participants</w:t>
      </w:r>
      <w:r w:rsidR="00C50B7C">
        <w:rPr>
          <w:rFonts w:asciiTheme="majorBidi" w:hAnsiTheme="majorBidi" w:cstheme="majorBidi"/>
          <w:color w:val="000000"/>
        </w:rPr>
        <w:t xml:space="preserve"> with lower eGFR were older, with longer diabetes duration and higher BMI.  Patients </w:t>
      </w:r>
      <w:r w:rsidR="002C23B6">
        <w:rPr>
          <w:rFonts w:asciiTheme="majorBidi" w:hAnsiTheme="majorBidi" w:cstheme="majorBidi"/>
          <w:color w:val="000000"/>
        </w:rPr>
        <w:t>in</w:t>
      </w:r>
      <w:r w:rsidR="00C50B7C">
        <w:rPr>
          <w:rFonts w:asciiTheme="majorBidi" w:hAnsiTheme="majorBidi" w:cstheme="majorBidi"/>
          <w:color w:val="000000"/>
        </w:rPr>
        <w:t xml:space="preserve"> the lower eGFR categories </w:t>
      </w:r>
      <w:r w:rsidR="001341B1">
        <w:rPr>
          <w:rFonts w:asciiTheme="majorBidi" w:hAnsiTheme="majorBidi" w:cstheme="majorBidi"/>
          <w:color w:val="000000"/>
        </w:rPr>
        <w:t xml:space="preserve">had higher prevalence of </w:t>
      </w:r>
      <w:r w:rsidR="00EB108F">
        <w:rPr>
          <w:rFonts w:asciiTheme="majorBidi" w:hAnsiTheme="majorBidi" w:cstheme="majorBidi"/>
          <w:color w:val="000000"/>
        </w:rPr>
        <w:t xml:space="preserve">previous </w:t>
      </w:r>
      <w:r w:rsidR="00953021">
        <w:rPr>
          <w:rFonts w:asciiTheme="majorBidi" w:hAnsiTheme="majorBidi" w:cstheme="majorBidi"/>
          <w:color w:val="000000"/>
        </w:rPr>
        <w:t>ASCVD, history</w:t>
      </w:r>
      <w:r w:rsidR="006153AA">
        <w:rPr>
          <w:rFonts w:asciiTheme="majorBidi" w:hAnsiTheme="majorBidi" w:cstheme="majorBidi"/>
          <w:color w:val="000000"/>
        </w:rPr>
        <w:t xml:space="preserve"> of </w:t>
      </w:r>
      <w:r w:rsidR="00786FD4" w:rsidRPr="00786FD4">
        <w:rPr>
          <w:rFonts w:asciiTheme="majorBidi" w:hAnsiTheme="majorBidi" w:cstheme="majorBidi"/>
          <w:color w:val="000000"/>
        </w:rPr>
        <w:t>hea</w:t>
      </w:r>
      <w:r w:rsidR="00AF2C3B">
        <w:rPr>
          <w:rFonts w:asciiTheme="majorBidi" w:hAnsiTheme="majorBidi" w:cstheme="majorBidi"/>
          <w:color w:val="000000"/>
        </w:rPr>
        <w:t>r</w:t>
      </w:r>
      <w:r w:rsidR="00786FD4" w:rsidRPr="00786FD4">
        <w:rPr>
          <w:rFonts w:asciiTheme="majorBidi" w:hAnsiTheme="majorBidi" w:cstheme="majorBidi"/>
          <w:color w:val="000000"/>
        </w:rPr>
        <w:t>t failure</w:t>
      </w:r>
      <w:r w:rsidR="00EB108F">
        <w:rPr>
          <w:rFonts w:asciiTheme="majorBidi" w:hAnsiTheme="majorBidi" w:cstheme="majorBidi"/>
          <w:color w:val="000000"/>
        </w:rPr>
        <w:t xml:space="preserve"> and </w:t>
      </w:r>
      <w:r w:rsidR="003400C1">
        <w:rPr>
          <w:rFonts w:asciiTheme="majorBidi" w:hAnsiTheme="majorBidi" w:cstheme="majorBidi"/>
          <w:color w:val="000000"/>
        </w:rPr>
        <w:t xml:space="preserve">cardiovascular </w:t>
      </w:r>
      <w:r w:rsidR="00EB108F">
        <w:rPr>
          <w:rFonts w:asciiTheme="majorBidi" w:hAnsiTheme="majorBidi" w:cstheme="majorBidi"/>
          <w:color w:val="000000"/>
        </w:rPr>
        <w:t>risk factors (</w:t>
      </w:r>
      <w:r w:rsidR="003400C1">
        <w:rPr>
          <w:rFonts w:asciiTheme="majorBidi" w:hAnsiTheme="majorBidi" w:cstheme="majorBidi"/>
          <w:color w:val="000000"/>
        </w:rPr>
        <w:t xml:space="preserve">such as </w:t>
      </w:r>
      <w:r w:rsidR="00EB108F">
        <w:rPr>
          <w:rFonts w:asciiTheme="majorBidi" w:hAnsiTheme="majorBidi" w:cstheme="majorBidi"/>
          <w:color w:val="000000"/>
        </w:rPr>
        <w:t>HTN and hyperlipidemia</w:t>
      </w:r>
      <w:r w:rsidR="00FE78B7">
        <w:rPr>
          <w:rFonts w:asciiTheme="majorBidi" w:hAnsiTheme="majorBidi" w:cstheme="majorBidi"/>
          <w:color w:val="000000"/>
        </w:rPr>
        <w:t>)</w:t>
      </w:r>
      <w:r w:rsidR="00EB108F">
        <w:rPr>
          <w:rFonts w:asciiTheme="majorBidi" w:hAnsiTheme="majorBidi" w:cstheme="majorBidi"/>
          <w:color w:val="000000"/>
        </w:rPr>
        <w:t xml:space="preserve">. </w:t>
      </w:r>
      <w:r w:rsidR="001341B1">
        <w:rPr>
          <w:rFonts w:asciiTheme="majorBidi" w:hAnsiTheme="majorBidi" w:cstheme="majorBidi"/>
          <w:color w:val="000000"/>
        </w:rPr>
        <w:t xml:space="preserve">Consistently, </w:t>
      </w:r>
      <w:r w:rsidR="00C11D20">
        <w:rPr>
          <w:rFonts w:asciiTheme="majorBidi" w:hAnsiTheme="majorBidi" w:cstheme="majorBidi"/>
          <w:color w:val="000000"/>
        </w:rPr>
        <w:t xml:space="preserve">the use of </w:t>
      </w:r>
      <w:r w:rsidR="001341B1">
        <w:rPr>
          <w:rFonts w:asciiTheme="majorBidi" w:hAnsiTheme="majorBidi" w:cstheme="majorBidi"/>
          <w:color w:val="000000"/>
        </w:rPr>
        <w:t xml:space="preserve">different </w:t>
      </w:r>
      <w:r w:rsidR="00C11D20">
        <w:rPr>
          <w:rFonts w:asciiTheme="majorBidi" w:hAnsiTheme="majorBidi" w:cstheme="majorBidi"/>
          <w:color w:val="000000"/>
        </w:rPr>
        <w:t>CV medication</w:t>
      </w:r>
      <w:r w:rsidR="001341B1">
        <w:rPr>
          <w:rFonts w:asciiTheme="majorBidi" w:hAnsiTheme="majorBidi" w:cstheme="majorBidi"/>
          <w:color w:val="000000"/>
        </w:rPr>
        <w:t>s, including anti-coagulants, anti-platelets, beta-blockers, calcium channel blockers, statins, diuretics and mineral</w:t>
      </w:r>
      <w:r w:rsidR="00D532C2">
        <w:rPr>
          <w:rFonts w:asciiTheme="majorBidi" w:hAnsiTheme="majorBidi" w:cstheme="majorBidi"/>
          <w:color w:val="000000"/>
        </w:rPr>
        <w:t>o</w:t>
      </w:r>
      <w:r w:rsidR="001341B1">
        <w:rPr>
          <w:rFonts w:asciiTheme="majorBidi" w:hAnsiTheme="majorBidi" w:cstheme="majorBidi"/>
          <w:color w:val="000000"/>
        </w:rPr>
        <w:t xml:space="preserve">corticoid antagonists was more common in the </w:t>
      </w:r>
      <w:r w:rsidR="00347E9D">
        <w:rPr>
          <w:rFonts w:asciiTheme="majorBidi" w:hAnsiTheme="majorBidi" w:cstheme="majorBidi"/>
          <w:color w:val="000000"/>
        </w:rPr>
        <w:t>lower eGFR categories</w:t>
      </w:r>
      <w:r w:rsidR="001341B1">
        <w:rPr>
          <w:rFonts w:asciiTheme="majorBidi" w:hAnsiTheme="majorBidi" w:cstheme="majorBidi"/>
          <w:color w:val="000000"/>
        </w:rPr>
        <w:t xml:space="preserve">. </w:t>
      </w:r>
      <w:r w:rsidR="000C4CB6">
        <w:rPr>
          <w:rFonts w:asciiTheme="majorBidi" w:hAnsiTheme="majorBidi" w:cstheme="majorBidi"/>
          <w:color w:val="000000"/>
        </w:rPr>
        <w:t xml:space="preserve">ACEi/ARB use </w:t>
      </w:r>
      <w:r w:rsidR="00AD3980">
        <w:rPr>
          <w:rFonts w:asciiTheme="majorBidi" w:hAnsiTheme="majorBidi" w:cstheme="majorBidi"/>
          <w:color w:val="000000"/>
        </w:rPr>
        <w:t xml:space="preserve">ranged </w:t>
      </w:r>
      <w:r w:rsidR="000C4CB6">
        <w:rPr>
          <w:rFonts w:asciiTheme="majorBidi" w:hAnsiTheme="majorBidi" w:cstheme="majorBidi"/>
          <w:color w:val="000000"/>
        </w:rPr>
        <w:t xml:space="preserve">from </w:t>
      </w:r>
      <w:r w:rsidR="00092236">
        <w:rPr>
          <w:rFonts w:asciiTheme="majorBidi" w:hAnsiTheme="majorBidi" w:cstheme="majorBidi"/>
          <w:color w:val="000000"/>
        </w:rPr>
        <w:t xml:space="preserve">78.8% </w:t>
      </w:r>
      <w:r w:rsidR="002C23B6">
        <w:rPr>
          <w:rFonts w:asciiTheme="majorBidi" w:hAnsiTheme="majorBidi" w:cstheme="majorBidi"/>
          <w:color w:val="000000"/>
        </w:rPr>
        <w:t>in</w:t>
      </w:r>
      <w:r w:rsidR="00092236">
        <w:rPr>
          <w:rFonts w:asciiTheme="majorBidi" w:hAnsiTheme="majorBidi" w:cstheme="majorBidi"/>
          <w:color w:val="000000"/>
        </w:rPr>
        <w:t xml:space="preserve"> the eGFR&gt;90 </w:t>
      </w:r>
      <w:r w:rsidR="00092236" w:rsidRPr="00F42AA2">
        <w:rPr>
          <w:rFonts w:asciiTheme="majorBidi" w:hAnsiTheme="majorBidi" w:cstheme="majorBidi"/>
          <w:color w:val="000000"/>
        </w:rPr>
        <w:t>mL/min/1.73m</w:t>
      </w:r>
      <w:r w:rsidR="00092236" w:rsidRPr="00F42AA2">
        <w:rPr>
          <w:rFonts w:asciiTheme="majorBidi" w:hAnsiTheme="majorBidi" w:cstheme="majorBidi"/>
          <w:color w:val="000000"/>
          <w:vertAlign w:val="superscript"/>
        </w:rPr>
        <w:t>2</w:t>
      </w:r>
      <w:r w:rsidR="00092236" w:rsidRPr="00F42AA2">
        <w:rPr>
          <w:rFonts w:asciiTheme="majorBidi" w:hAnsiTheme="majorBidi" w:cstheme="majorBidi"/>
          <w:color w:val="000000"/>
        </w:rPr>
        <w:t xml:space="preserve"> </w:t>
      </w:r>
      <w:r w:rsidR="00092236">
        <w:rPr>
          <w:rFonts w:asciiTheme="majorBidi" w:hAnsiTheme="majorBidi" w:cstheme="majorBidi"/>
          <w:color w:val="000000"/>
        </w:rPr>
        <w:t>group to 86.7%</w:t>
      </w:r>
      <w:r w:rsidR="000C4CB6">
        <w:rPr>
          <w:rFonts w:asciiTheme="majorBidi" w:hAnsiTheme="majorBidi" w:cstheme="majorBidi"/>
          <w:color w:val="000000"/>
        </w:rPr>
        <w:t xml:space="preserve"> </w:t>
      </w:r>
      <w:r w:rsidR="002C23B6">
        <w:rPr>
          <w:rFonts w:asciiTheme="majorBidi" w:hAnsiTheme="majorBidi" w:cstheme="majorBidi"/>
          <w:color w:val="000000"/>
        </w:rPr>
        <w:t>in</w:t>
      </w:r>
      <w:r w:rsidR="00092236">
        <w:rPr>
          <w:rFonts w:asciiTheme="majorBidi" w:hAnsiTheme="majorBidi" w:cstheme="majorBidi"/>
          <w:color w:val="000000"/>
        </w:rPr>
        <w:t xml:space="preserve"> the eGFR&lt;60 </w:t>
      </w:r>
      <w:r w:rsidR="00092236" w:rsidRPr="00F42AA2">
        <w:rPr>
          <w:rFonts w:asciiTheme="majorBidi" w:hAnsiTheme="majorBidi" w:cstheme="majorBidi"/>
          <w:color w:val="000000"/>
        </w:rPr>
        <w:t>mL/min/1.73m</w:t>
      </w:r>
      <w:r w:rsidR="00092236" w:rsidRPr="00F42AA2">
        <w:rPr>
          <w:rFonts w:asciiTheme="majorBidi" w:hAnsiTheme="majorBidi" w:cstheme="majorBidi"/>
          <w:color w:val="000000"/>
          <w:vertAlign w:val="superscript"/>
        </w:rPr>
        <w:t>2</w:t>
      </w:r>
      <w:r w:rsidR="00092236" w:rsidRPr="00F42AA2">
        <w:rPr>
          <w:rFonts w:asciiTheme="majorBidi" w:hAnsiTheme="majorBidi" w:cstheme="majorBidi"/>
          <w:color w:val="000000"/>
        </w:rPr>
        <w:t xml:space="preserve"> </w:t>
      </w:r>
      <w:r w:rsidR="00092236">
        <w:rPr>
          <w:rFonts w:asciiTheme="majorBidi" w:hAnsiTheme="majorBidi" w:cstheme="majorBidi"/>
          <w:color w:val="000000"/>
        </w:rPr>
        <w:t xml:space="preserve">group. </w:t>
      </w:r>
      <w:r w:rsidR="00F95D12">
        <w:rPr>
          <w:rFonts w:asciiTheme="majorBidi" w:hAnsiTheme="majorBidi" w:cstheme="majorBidi"/>
          <w:color w:val="000000"/>
        </w:rPr>
        <w:t xml:space="preserve">The distribution of </w:t>
      </w:r>
      <w:r w:rsidR="00862E53">
        <w:rPr>
          <w:rFonts w:asciiTheme="majorBidi" w:hAnsiTheme="majorBidi" w:cstheme="majorBidi"/>
          <w:color w:val="000000"/>
        </w:rPr>
        <w:t xml:space="preserve">glucose lowering agents </w:t>
      </w:r>
      <w:r w:rsidR="00AC388C">
        <w:rPr>
          <w:rFonts w:asciiTheme="majorBidi" w:hAnsiTheme="majorBidi" w:cstheme="majorBidi"/>
          <w:color w:val="000000"/>
        </w:rPr>
        <w:t xml:space="preserve">amongst </w:t>
      </w:r>
      <w:r w:rsidR="00D44A7A">
        <w:rPr>
          <w:rFonts w:asciiTheme="majorBidi" w:hAnsiTheme="majorBidi" w:cstheme="majorBidi"/>
          <w:color w:val="000000"/>
        </w:rPr>
        <w:t>the different eGFR sub-groups</w:t>
      </w:r>
      <w:r w:rsidR="00347E9D">
        <w:rPr>
          <w:rFonts w:asciiTheme="majorBidi" w:hAnsiTheme="majorBidi" w:cstheme="majorBidi"/>
          <w:color w:val="000000"/>
        </w:rPr>
        <w:t xml:space="preserve"> </w:t>
      </w:r>
      <w:r w:rsidR="00D44A7A">
        <w:rPr>
          <w:rFonts w:asciiTheme="majorBidi" w:hAnsiTheme="majorBidi" w:cstheme="majorBidi"/>
          <w:color w:val="000000"/>
        </w:rPr>
        <w:t xml:space="preserve">was more </w:t>
      </w:r>
      <w:r w:rsidR="000C54B5">
        <w:rPr>
          <w:rFonts w:asciiTheme="majorBidi" w:hAnsiTheme="majorBidi" w:cstheme="majorBidi"/>
          <w:color w:val="000000"/>
        </w:rPr>
        <w:t>diverse</w:t>
      </w:r>
      <w:r w:rsidR="00D44A7A">
        <w:rPr>
          <w:rFonts w:asciiTheme="majorBidi" w:hAnsiTheme="majorBidi" w:cstheme="majorBidi"/>
          <w:color w:val="000000"/>
        </w:rPr>
        <w:t xml:space="preserve"> </w:t>
      </w:r>
      <w:r w:rsidR="001341B1">
        <w:rPr>
          <w:rFonts w:asciiTheme="majorBidi" w:hAnsiTheme="majorBidi" w:cstheme="majorBidi"/>
          <w:color w:val="000000"/>
        </w:rPr>
        <w:t xml:space="preserve">with </w:t>
      </w:r>
      <w:r w:rsidR="005A1215">
        <w:rPr>
          <w:rFonts w:asciiTheme="majorBidi" w:hAnsiTheme="majorBidi" w:cstheme="majorBidi"/>
          <w:color w:val="000000"/>
        </w:rPr>
        <w:t>less</w:t>
      </w:r>
      <w:r w:rsidR="001341B1">
        <w:rPr>
          <w:rFonts w:asciiTheme="majorBidi" w:hAnsiTheme="majorBidi" w:cstheme="majorBidi"/>
          <w:color w:val="000000"/>
        </w:rPr>
        <w:t xml:space="preserve"> </w:t>
      </w:r>
      <w:r w:rsidR="00D44A7A">
        <w:rPr>
          <w:rFonts w:asciiTheme="majorBidi" w:hAnsiTheme="majorBidi" w:cstheme="majorBidi"/>
          <w:color w:val="000000"/>
        </w:rPr>
        <w:t xml:space="preserve">use of metformin </w:t>
      </w:r>
      <w:r w:rsidR="00536FCE">
        <w:rPr>
          <w:rFonts w:asciiTheme="majorBidi" w:hAnsiTheme="majorBidi" w:cstheme="majorBidi"/>
          <w:color w:val="000000"/>
        </w:rPr>
        <w:t xml:space="preserve">and </w:t>
      </w:r>
      <w:r w:rsidR="00D0234C">
        <w:rPr>
          <w:rFonts w:asciiTheme="majorBidi" w:hAnsiTheme="majorBidi" w:cstheme="majorBidi"/>
          <w:color w:val="000000"/>
        </w:rPr>
        <w:t xml:space="preserve">sulphonylurea </w:t>
      </w:r>
      <w:r w:rsidR="002C23B6">
        <w:rPr>
          <w:rFonts w:asciiTheme="majorBidi" w:hAnsiTheme="majorBidi" w:cstheme="majorBidi"/>
          <w:color w:val="000000"/>
        </w:rPr>
        <w:t>in</w:t>
      </w:r>
      <w:r w:rsidR="00D44A7A">
        <w:rPr>
          <w:rFonts w:asciiTheme="majorBidi" w:hAnsiTheme="majorBidi" w:cstheme="majorBidi"/>
          <w:color w:val="000000"/>
        </w:rPr>
        <w:t xml:space="preserve"> the</w:t>
      </w:r>
      <w:r w:rsidR="00536FCE">
        <w:rPr>
          <w:rFonts w:asciiTheme="majorBidi" w:hAnsiTheme="majorBidi" w:cstheme="majorBidi"/>
          <w:color w:val="000000"/>
        </w:rPr>
        <w:t xml:space="preserve"> lower eGFR subgroups, </w:t>
      </w:r>
      <w:r w:rsidR="001341B1">
        <w:rPr>
          <w:rFonts w:asciiTheme="majorBidi" w:hAnsiTheme="majorBidi" w:cstheme="majorBidi"/>
          <w:color w:val="000000"/>
        </w:rPr>
        <w:t xml:space="preserve">and more frequent use of </w:t>
      </w:r>
      <w:r w:rsidR="00D0234C">
        <w:rPr>
          <w:rFonts w:asciiTheme="majorBidi" w:hAnsiTheme="majorBidi" w:cstheme="majorBidi"/>
          <w:color w:val="000000"/>
        </w:rPr>
        <w:t>insulin</w:t>
      </w:r>
      <w:r w:rsidR="00654FCC">
        <w:rPr>
          <w:rFonts w:asciiTheme="majorBidi" w:hAnsiTheme="majorBidi" w:cstheme="majorBidi"/>
          <w:color w:val="000000"/>
        </w:rPr>
        <w:t>.</w:t>
      </w:r>
      <w:r w:rsidR="00C32B30">
        <w:rPr>
          <w:rFonts w:asciiTheme="majorBidi" w:hAnsiTheme="majorBidi" w:cstheme="majorBidi"/>
          <w:color w:val="000000"/>
        </w:rPr>
        <w:t xml:space="preserve"> Patients </w:t>
      </w:r>
      <w:r w:rsidR="002C23B6">
        <w:rPr>
          <w:rFonts w:asciiTheme="majorBidi" w:hAnsiTheme="majorBidi" w:cstheme="majorBidi"/>
          <w:color w:val="000000"/>
        </w:rPr>
        <w:t>in</w:t>
      </w:r>
      <w:r w:rsidR="00C32B30">
        <w:rPr>
          <w:rFonts w:asciiTheme="majorBidi" w:hAnsiTheme="majorBidi" w:cstheme="majorBidi"/>
          <w:color w:val="000000"/>
        </w:rPr>
        <w:t xml:space="preserve"> the </w:t>
      </w:r>
      <w:r w:rsidR="008C7495">
        <w:rPr>
          <w:rFonts w:asciiTheme="majorBidi" w:hAnsiTheme="majorBidi" w:cstheme="majorBidi"/>
          <w:color w:val="000000"/>
        </w:rPr>
        <w:t>lower</w:t>
      </w:r>
      <w:r w:rsidR="00C32B30">
        <w:rPr>
          <w:rFonts w:asciiTheme="majorBidi" w:hAnsiTheme="majorBidi" w:cstheme="majorBidi"/>
          <w:color w:val="000000"/>
        </w:rPr>
        <w:t xml:space="preserve"> eGFR subgroups had </w:t>
      </w:r>
      <w:r w:rsidR="008C7495">
        <w:rPr>
          <w:rFonts w:asciiTheme="majorBidi" w:hAnsiTheme="majorBidi" w:cstheme="majorBidi"/>
          <w:color w:val="000000"/>
        </w:rPr>
        <w:t>lower</w:t>
      </w:r>
      <w:r w:rsidR="00C32B30">
        <w:rPr>
          <w:rFonts w:asciiTheme="majorBidi" w:hAnsiTheme="majorBidi" w:cstheme="majorBidi"/>
          <w:color w:val="000000"/>
        </w:rPr>
        <w:t xml:space="preserve"> </w:t>
      </w:r>
      <w:r w:rsidR="00C32B30">
        <w:rPr>
          <w:rFonts w:asciiTheme="majorBidi" w:hAnsiTheme="majorBidi" w:cstheme="majorBidi"/>
          <w:color w:val="000000"/>
        </w:rPr>
        <w:lastRenderedPageBreak/>
        <w:t>HbA1c and LDL cholesterol at baseline.</w:t>
      </w:r>
      <w:r w:rsidR="001E3A0F">
        <w:rPr>
          <w:rFonts w:asciiTheme="majorBidi" w:hAnsiTheme="majorBidi" w:cstheme="majorBidi"/>
          <w:color w:val="000000"/>
        </w:rPr>
        <w:t xml:space="preserve"> </w:t>
      </w:r>
      <w:r w:rsidR="00FE6F32">
        <w:rPr>
          <w:rFonts w:asciiTheme="majorBidi" w:hAnsiTheme="majorBidi" w:cstheme="majorBidi"/>
          <w:color w:val="000000"/>
        </w:rPr>
        <w:t>As expected, patients with lower eGFR had also higher albuminuria rates.</w:t>
      </w:r>
    </w:p>
    <w:p w14:paraId="0335446C" w14:textId="37CAC642" w:rsidR="00962EC3" w:rsidRDefault="000353BD" w:rsidP="00962EC3">
      <w:pPr>
        <w:pStyle w:val="Title2"/>
        <w:spacing w:before="0" w:beforeAutospacing="0" w:after="0" w:afterAutospacing="0" w:line="480" w:lineRule="auto"/>
        <w:jc w:val="both"/>
        <w:rPr>
          <w:rFonts w:asciiTheme="majorBidi" w:hAnsiTheme="majorBidi" w:cstheme="majorBidi"/>
          <w:color w:val="000000"/>
          <w:lang w:val="en-GB"/>
        </w:rPr>
      </w:pPr>
      <w:r>
        <w:rPr>
          <w:rFonts w:asciiTheme="majorBidi" w:hAnsiTheme="majorBidi" w:cstheme="majorBidi"/>
          <w:color w:val="000000"/>
          <w:lang w:val="en-GB"/>
        </w:rPr>
        <w:t xml:space="preserve">The primary </w:t>
      </w:r>
      <w:r w:rsidR="00A20A2B">
        <w:rPr>
          <w:rFonts w:asciiTheme="majorBidi" w:hAnsiTheme="majorBidi" w:cstheme="majorBidi"/>
          <w:color w:val="000000"/>
          <w:lang w:val="en-GB"/>
        </w:rPr>
        <w:t>com</w:t>
      </w:r>
      <w:r w:rsidR="0050051A">
        <w:rPr>
          <w:rFonts w:asciiTheme="majorBidi" w:hAnsiTheme="majorBidi" w:cstheme="majorBidi"/>
          <w:color w:val="000000"/>
          <w:lang w:val="en-GB"/>
        </w:rPr>
        <w:t>posite</w:t>
      </w:r>
      <w:r w:rsidR="00A20A2B">
        <w:rPr>
          <w:rFonts w:asciiTheme="majorBidi" w:hAnsiTheme="majorBidi" w:cstheme="majorBidi"/>
          <w:color w:val="000000"/>
          <w:lang w:val="en-GB"/>
        </w:rPr>
        <w:t xml:space="preserve"> </w:t>
      </w:r>
      <w:r w:rsidR="005D0EFF">
        <w:rPr>
          <w:rFonts w:asciiTheme="majorBidi" w:hAnsiTheme="majorBidi" w:cstheme="majorBidi"/>
          <w:color w:val="000000"/>
          <w:lang w:val="en-GB"/>
        </w:rPr>
        <w:t xml:space="preserve">renal outcome </w:t>
      </w:r>
      <w:r w:rsidR="00C06CE1">
        <w:rPr>
          <w:rFonts w:asciiTheme="majorBidi" w:hAnsiTheme="majorBidi" w:cstheme="majorBidi"/>
          <w:color w:val="000000"/>
          <w:lang w:val="en-GB"/>
        </w:rPr>
        <w:t xml:space="preserve">(Figure 1) </w:t>
      </w:r>
      <w:r w:rsidR="005D0EFF">
        <w:rPr>
          <w:rFonts w:asciiTheme="majorBidi" w:hAnsiTheme="majorBidi" w:cstheme="majorBidi"/>
          <w:color w:val="000000"/>
          <w:lang w:val="en-GB"/>
        </w:rPr>
        <w:t>was 24%</w:t>
      </w:r>
      <w:r w:rsidR="00954AB1">
        <w:rPr>
          <w:rFonts w:asciiTheme="majorBidi" w:hAnsiTheme="majorBidi" w:cstheme="majorBidi"/>
          <w:color w:val="000000"/>
          <w:lang w:val="en-GB"/>
        </w:rPr>
        <w:t xml:space="preserve"> lower</w:t>
      </w:r>
      <w:r w:rsidR="005D0EFF">
        <w:rPr>
          <w:rFonts w:asciiTheme="majorBidi" w:hAnsiTheme="majorBidi" w:cstheme="majorBidi"/>
          <w:color w:val="000000"/>
          <w:lang w:val="en-GB"/>
        </w:rPr>
        <w:t xml:space="preserve"> in patients treated with dapagliflozin compared to placebo (HR=0.76 95% CI 0.67-0.87, p&lt;0.001)</w:t>
      </w:r>
      <w:r w:rsidR="00241492">
        <w:rPr>
          <w:rFonts w:asciiTheme="majorBidi" w:hAnsiTheme="majorBidi" w:cstheme="majorBidi"/>
          <w:color w:val="000000"/>
          <w:lang w:val="en-GB"/>
        </w:rPr>
        <w:t xml:space="preserve"> (Figure 2A)</w:t>
      </w:r>
      <w:r w:rsidR="005D0EFF">
        <w:rPr>
          <w:rFonts w:asciiTheme="majorBidi" w:hAnsiTheme="majorBidi" w:cstheme="majorBidi"/>
          <w:color w:val="000000"/>
          <w:lang w:val="en-GB"/>
        </w:rPr>
        <w:t>.</w:t>
      </w:r>
      <w:r w:rsidR="00D30478">
        <w:rPr>
          <w:rFonts w:asciiTheme="majorBidi" w:hAnsiTheme="majorBidi" w:cstheme="majorBidi"/>
          <w:color w:val="000000"/>
          <w:lang w:val="en-GB"/>
        </w:rPr>
        <w:t xml:space="preserve"> </w:t>
      </w:r>
      <w:r w:rsidR="000B01C8">
        <w:rPr>
          <w:rFonts w:asciiTheme="majorBidi" w:hAnsiTheme="majorBidi" w:cstheme="majorBidi"/>
          <w:color w:val="000000"/>
          <w:lang w:val="en-GB"/>
        </w:rPr>
        <w:t xml:space="preserve">A </w:t>
      </w:r>
      <w:bookmarkStart w:id="6" w:name="_GoBack"/>
      <w:bookmarkEnd w:id="6"/>
      <w:r w:rsidR="000B01C8">
        <w:rPr>
          <w:rFonts w:asciiTheme="majorBidi" w:hAnsiTheme="majorBidi" w:cstheme="majorBidi"/>
          <w:color w:val="000000"/>
          <w:lang w:val="en-GB"/>
        </w:rPr>
        <w:t>s</w:t>
      </w:r>
      <w:r w:rsidR="00962EC3" w:rsidRPr="00244E1B">
        <w:rPr>
          <w:rFonts w:asciiTheme="majorBidi" w:hAnsiTheme="majorBidi" w:cstheme="majorBidi"/>
          <w:color w:val="000000"/>
          <w:lang w:val="en-GB"/>
        </w:rPr>
        <w:t xml:space="preserve">ensitivity analysis </w:t>
      </w:r>
      <w:r w:rsidR="000B01C8">
        <w:rPr>
          <w:rFonts w:asciiTheme="majorBidi" w:hAnsiTheme="majorBidi" w:cstheme="majorBidi"/>
          <w:color w:val="000000"/>
          <w:lang w:val="en-GB"/>
        </w:rPr>
        <w:t>using a</w:t>
      </w:r>
      <w:r w:rsidR="00962EC3" w:rsidRPr="00244E1B">
        <w:rPr>
          <w:rFonts w:asciiTheme="majorBidi" w:hAnsiTheme="majorBidi" w:cstheme="majorBidi"/>
          <w:color w:val="000000"/>
          <w:lang w:val="en-GB"/>
        </w:rPr>
        <w:t xml:space="preserve"> </w:t>
      </w:r>
      <w:r w:rsidR="00962EC3" w:rsidRPr="00244E1B">
        <w:rPr>
          <w:rFonts w:asciiTheme="majorBidi" w:hAnsiTheme="majorBidi" w:cstheme="majorBidi"/>
        </w:rPr>
        <w:t xml:space="preserve">decrease in eGFR of ≥40% to eGFR &lt;60 </w:t>
      </w:r>
      <w:r w:rsidR="00962EC3" w:rsidRPr="00244E1B">
        <w:rPr>
          <w:rFonts w:asciiTheme="majorBidi" w:hAnsiTheme="majorBidi" w:cstheme="majorBidi"/>
          <w:color w:val="000000"/>
        </w:rPr>
        <w:t>mL/min/1.73m</w:t>
      </w:r>
      <w:r w:rsidR="00962EC3" w:rsidRPr="00244E1B">
        <w:rPr>
          <w:rFonts w:asciiTheme="majorBidi" w:hAnsiTheme="majorBidi" w:cstheme="majorBidi"/>
          <w:color w:val="000000"/>
          <w:vertAlign w:val="superscript"/>
        </w:rPr>
        <w:t>2</w:t>
      </w:r>
      <w:r w:rsidR="00962EC3" w:rsidRPr="00244E1B">
        <w:rPr>
          <w:rFonts w:asciiTheme="majorBidi" w:hAnsiTheme="majorBidi" w:cstheme="majorBidi"/>
          <w:color w:val="000000"/>
        </w:rPr>
        <w:t xml:space="preserve"> performed</w:t>
      </w:r>
      <w:r w:rsidR="00962EC3" w:rsidRPr="00244E1B">
        <w:rPr>
          <w:rFonts w:asciiTheme="majorBidi" w:hAnsiTheme="majorBidi" w:cstheme="majorBidi"/>
          <w:color w:val="000000"/>
          <w:lang w:val="en-GB"/>
        </w:rPr>
        <w:t xml:space="preserve"> 90 days instead of 4 weeks after the first test (according to chronic kidney disease definition) demonstrated a significant reduction in the primary composite outcome with dapagliflozin vs placebo (HR=0.76 95% CI 0.66-0.88, p&lt;0.001). A</w:t>
      </w:r>
      <w:r w:rsidR="000B01C8">
        <w:rPr>
          <w:rFonts w:asciiTheme="majorBidi" w:hAnsiTheme="majorBidi" w:cstheme="majorBidi"/>
          <w:color w:val="000000"/>
          <w:lang w:val="en-GB"/>
        </w:rPr>
        <w:t>n a</w:t>
      </w:r>
      <w:r w:rsidR="00962EC3">
        <w:rPr>
          <w:rFonts w:asciiTheme="majorBidi" w:hAnsiTheme="majorBidi" w:cstheme="majorBidi"/>
          <w:color w:val="000000"/>
          <w:lang w:val="en-GB"/>
        </w:rPr>
        <w:t>dditional</w:t>
      </w:r>
      <w:r w:rsidR="00962EC3" w:rsidRPr="00244E1B">
        <w:rPr>
          <w:rFonts w:asciiTheme="majorBidi" w:hAnsiTheme="majorBidi" w:cstheme="majorBidi"/>
          <w:color w:val="000000"/>
          <w:lang w:val="en-GB"/>
        </w:rPr>
        <w:t xml:space="preserve"> sensitivity analysis done </w:t>
      </w:r>
      <w:r w:rsidR="000B01C8">
        <w:rPr>
          <w:rFonts w:asciiTheme="majorBidi" w:hAnsiTheme="majorBidi" w:cstheme="majorBidi"/>
          <w:color w:val="000000"/>
          <w:lang w:val="en-GB"/>
        </w:rPr>
        <w:t>using a</w:t>
      </w:r>
      <w:r w:rsidR="00962EC3" w:rsidRPr="00244E1B">
        <w:rPr>
          <w:rFonts w:asciiTheme="majorBidi" w:hAnsiTheme="majorBidi" w:cstheme="majorBidi"/>
          <w:color w:val="000000"/>
          <w:lang w:val="en-GB"/>
        </w:rPr>
        <w:t xml:space="preserve"> one-time </w:t>
      </w:r>
      <w:r w:rsidR="00962EC3" w:rsidRPr="00244E1B">
        <w:rPr>
          <w:rFonts w:asciiTheme="majorBidi" w:hAnsiTheme="majorBidi" w:cstheme="majorBidi"/>
        </w:rPr>
        <w:t xml:space="preserve">decrease in eGFR of ≥40% to eGFR &lt;60 </w:t>
      </w:r>
      <w:r w:rsidR="00962EC3" w:rsidRPr="00244E1B">
        <w:rPr>
          <w:rFonts w:asciiTheme="majorBidi" w:hAnsiTheme="majorBidi" w:cstheme="majorBidi"/>
          <w:color w:val="000000"/>
        </w:rPr>
        <w:t>mL/min/1.73m</w:t>
      </w:r>
      <w:r w:rsidR="00962EC3" w:rsidRPr="00244E1B">
        <w:rPr>
          <w:rFonts w:asciiTheme="majorBidi" w:hAnsiTheme="majorBidi" w:cstheme="majorBidi"/>
          <w:color w:val="000000"/>
          <w:vertAlign w:val="superscript"/>
        </w:rPr>
        <w:t>2</w:t>
      </w:r>
      <w:r w:rsidR="00962EC3" w:rsidRPr="00244E1B">
        <w:rPr>
          <w:rFonts w:asciiTheme="majorBidi" w:hAnsiTheme="majorBidi" w:cstheme="majorBidi"/>
          <w:color w:val="000000"/>
        </w:rPr>
        <w:t xml:space="preserve"> without </w:t>
      </w:r>
      <w:r w:rsidR="00962EC3">
        <w:rPr>
          <w:rFonts w:asciiTheme="majorBidi" w:hAnsiTheme="majorBidi" w:cstheme="majorBidi"/>
          <w:color w:val="000000"/>
        </w:rPr>
        <w:t xml:space="preserve">requirement </w:t>
      </w:r>
      <w:r w:rsidR="000B01C8">
        <w:rPr>
          <w:rFonts w:asciiTheme="majorBidi" w:hAnsiTheme="majorBidi" w:cstheme="majorBidi"/>
          <w:color w:val="000000"/>
        </w:rPr>
        <w:t>of confirmation by</w:t>
      </w:r>
      <w:r w:rsidR="00962EC3" w:rsidRPr="00244E1B">
        <w:rPr>
          <w:rFonts w:asciiTheme="majorBidi" w:hAnsiTheme="majorBidi" w:cstheme="majorBidi"/>
          <w:color w:val="000000"/>
        </w:rPr>
        <w:t xml:space="preserve"> repeated test</w:t>
      </w:r>
      <w:r w:rsidR="000B01C8">
        <w:rPr>
          <w:rFonts w:asciiTheme="majorBidi" w:hAnsiTheme="majorBidi" w:cstheme="majorBidi"/>
          <w:color w:val="000000"/>
        </w:rPr>
        <w:t>ing</w:t>
      </w:r>
      <w:r w:rsidR="00962EC3" w:rsidRPr="00244E1B">
        <w:rPr>
          <w:rFonts w:asciiTheme="majorBidi" w:hAnsiTheme="majorBidi" w:cstheme="majorBidi"/>
          <w:color w:val="000000"/>
        </w:rPr>
        <w:t xml:space="preserve"> also demonstrated a </w:t>
      </w:r>
      <w:r w:rsidR="00962EC3" w:rsidRPr="00244E1B">
        <w:rPr>
          <w:rFonts w:asciiTheme="majorBidi" w:hAnsiTheme="majorBidi" w:cstheme="majorBidi"/>
          <w:color w:val="000000"/>
          <w:lang w:val="en-GB"/>
        </w:rPr>
        <w:t>significant reduction in the primary composite outcome with dapagliflozin vs placebo (HR=0.77 95% CI 0.70-0.85, p&lt;0.001).</w:t>
      </w:r>
      <w:r w:rsidR="00962EC3" w:rsidRPr="00244E1B">
        <w:rPr>
          <w:rFonts w:asciiTheme="majorBidi" w:hAnsiTheme="majorBidi" w:cstheme="majorBidi"/>
          <w:color w:val="000000"/>
        </w:rPr>
        <w:t xml:space="preserve"> Both of th</w:t>
      </w:r>
      <w:r w:rsidR="00962EC3">
        <w:rPr>
          <w:rFonts w:asciiTheme="majorBidi" w:hAnsiTheme="majorBidi" w:cstheme="majorBidi"/>
          <w:color w:val="000000"/>
        </w:rPr>
        <w:t>e</w:t>
      </w:r>
      <w:r w:rsidR="00962EC3" w:rsidRPr="00244E1B">
        <w:rPr>
          <w:rFonts w:asciiTheme="majorBidi" w:hAnsiTheme="majorBidi" w:cstheme="majorBidi"/>
          <w:color w:val="000000"/>
        </w:rPr>
        <w:t>s</w:t>
      </w:r>
      <w:r w:rsidR="00962EC3">
        <w:rPr>
          <w:rFonts w:asciiTheme="majorBidi" w:hAnsiTheme="majorBidi" w:cstheme="majorBidi"/>
          <w:color w:val="000000"/>
        </w:rPr>
        <w:t>e</w:t>
      </w:r>
      <w:r w:rsidR="00962EC3" w:rsidRPr="00244E1B">
        <w:rPr>
          <w:rFonts w:asciiTheme="majorBidi" w:hAnsiTheme="majorBidi" w:cstheme="majorBidi"/>
          <w:color w:val="000000"/>
        </w:rPr>
        <w:t xml:space="preserve"> sensitivity </w:t>
      </w:r>
      <w:r w:rsidR="000B01C8">
        <w:rPr>
          <w:rFonts w:asciiTheme="majorBidi" w:hAnsiTheme="majorBidi" w:cstheme="majorBidi"/>
          <w:color w:val="000000"/>
        </w:rPr>
        <w:t>analyses</w:t>
      </w:r>
      <w:r w:rsidR="00962EC3" w:rsidRPr="00244E1B">
        <w:rPr>
          <w:rFonts w:asciiTheme="majorBidi" w:hAnsiTheme="majorBidi" w:cstheme="majorBidi"/>
          <w:color w:val="000000"/>
        </w:rPr>
        <w:t xml:space="preserve"> y</w:t>
      </w:r>
      <w:r w:rsidR="00962EC3">
        <w:rPr>
          <w:rFonts w:asciiTheme="majorBidi" w:hAnsiTheme="majorBidi" w:cstheme="majorBidi"/>
          <w:color w:val="000000"/>
        </w:rPr>
        <w:t>ielded</w:t>
      </w:r>
      <w:r w:rsidR="00962EC3" w:rsidRPr="00244E1B">
        <w:rPr>
          <w:rFonts w:asciiTheme="majorBidi" w:hAnsiTheme="majorBidi" w:cstheme="majorBidi"/>
          <w:color w:val="000000"/>
        </w:rPr>
        <w:t xml:space="preserve"> similar results to the </w:t>
      </w:r>
      <w:r w:rsidR="003E3268">
        <w:rPr>
          <w:rFonts w:asciiTheme="majorBidi" w:hAnsiTheme="majorBidi" w:cstheme="majorBidi"/>
          <w:color w:val="000000"/>
        </w:rPr>
        <w:t xml:space="preserve">pre-specified </w:t>
      </w:r>
      <w:r w:rsidR="00962EC3" w:rsidRPr="00244E1B">
        <w:rPr>
          <w:rFonts w:asciiTheme="majorBidi" w:hAnsiTheme="majorBidi" w:cstheme="majorBidi"/>
          <w:color w:val="000000"/>
        </w:rPr>
        <w:t>secondary composite renal outcome.</w:t>
      </w:r>
    </w:p>
    <w:p w14:paraId="2D333B9B" w14:textId="6FEA1BB1" w:rsidR="000F69D7" w:rsidRDefault="00D30478" w:rsidP="00962EC3">
      <w:pPr>
        <w:pStyle w:val="Title2"/>
        <w:spacing w:before="0" w:beforeAutospacing="0" w:after="0" w:afterAutospacing="0" w:line="480" w:lineRule="auto"/>
        <w:jc w:val="both"/>
        <w:rPr>
          <w:rFonts w:asciiTheme="majorBidi" w:hAnsiTheme="majorBidi" w:cstheme="majorBidi"/>
          <w:color w:val="000000"/>
          <w:lang w:val="en-GB"/>
        </w:rPr>
      </w:pPr>
      <w:r>
        <w:rPr>
          <w:rFonts w:asciiTheme="majorBidi" w:hAnsiTheme="majorBidi" w:cstheme="majorBidi"/>
          <w:color w:val="000000"/>
          <w:lang w:val="en-GB"/>
        </w:rPr>
        <w:t xml:space="preserve">The secondary </w:t>
      </w:r>
      <w:r w:rsidR="0050051A">
        <w:rPr>
          <w:rFonts w:asciiTheme="majorBidi" w:hAnsiTheme="majorBidi" w:cstheme="majorBidi"/>
          <w:color w:val="000000"/>
          <w:lang w:val="en-GB"/>
        </w:rPr>
        <w:t>composite</w:t>
      </w:r>
      <w:r w:rsidR="00A20A2B">
        <w:rPr>
          <w:rFonts w:asciiTheme="majorBidi" w:hAnsiTheme="majorBidi" w:cstheme="majorBidi"/>
          <w:color w:val="000000"/>
          <w:lang w:val="en-GB"/>
        </w:rPr>
        <w:t xml:space="preserve"> renal </w:t>
      </w:r>
      <w:r>
        <w:rPr>
          <w:rFonts w:asciiTheme="majorBidi" w:hAnsiTheme="majorBidi" w:cstheme="majorBidi"/>
          <w:color w:val="000000"/>
          <w:lang w:val="en-GB"/>
        </w:rPr>
        <w:t>outcome, which is the renal</w:t>
      </w:r>
      <w:r w:rsidR="005D68A0">
        <w:rPr>
          <w:rFonts w:asciiTheme="majorBidi" w:hAnsiTheme="majorBidi" w:cstheme="majorBidi"/>
          <w:color w:val="000000"/>
          <w:lang w:val="en-GB"/>
        </w:rPr>
        <w:t xml:space="preserve"> specific</w:t>
      </w:r>
      <w:r>
        <w:rPr>
          <w:rFonts w:asciiTheme="majorBidi" w:hAnsiTheme="majorBidi" w:cstheme="majorBidi"/>
          <w:color w:val="000000"/>
          <w:lang w:val="en-GB"/>
        </w:rPr>
        <w:t xml:space="preserve"> outcome after exclusion of CV death</w:t>
      </w:r>
      <w:r w:rsidR="00A20A2B">
        <w:rPr>
          <w:rFonts w:asciiTheme="majorBidi" w:hAnsiTheme="majorBidi" w:cstheme="majorBidi"/>
          <w:color w:val="000000"/>
          <w:lang w:val="en-GB"/>
        </w:rPr>
        <w:t>,</w:t>
      </w:r>
      <w:r>
        <w:rPr>
          <w:rFonts w:asciiTheme="majorBidi" w:hAnsiTheme="majorBidi" w:cstheme="majorBidi"/>
          <w:color w:val="000000"/>
          <w:lang w:val="en-GB"/>
        </w:rPr>
        <w:t xml:space="preserve"> was </w:t>
      </w:r>
      <w:r w:rsidR="009D2E2B">
        <w:rPr>
          <w:rFonts w:asciiTheme="majorBidi" w:hAnsiTheme="majorBidi" w:cstheme="majorBidi"/>
          <w:color w:val="000000"/>
          <w:lang w:val="en-GB"/>
        </w:rPr>
        <w:t xml:space="preserve">47% lower </w:t>
      </w:r>
      <w:r>
        <w:rPr>
          <w:rFonts w:asciiTheme="majorBidi" w:hAnsiTheme="majorBidi" w:cstheme="majorBidi"/>
          <w:color w:val="000000"/>
          <w:lang w:val="en-GB"/>
        </w:rPr>
        <w:t xml:space="preserve">in the dapagliflozin arm </w:t>
      </w:r>
      <w:r w:rsidR="006C1E09">
        <w:rPr>
          <w:rFonts w:asciiTheme="majorBidi" w:hAnsiTheme="majorBidi" w:cstheme="majorBidi"/>
          <w:color w:val="000000"/>
          <w:lang w:val="en-GB"/>
        </w:rPr>
        <w:t>(HR=0.53</w:t>
      </w:r>
      <w:r w:rsidR="00975978">
        <w:rPr>
          <w:rFonts w:asciiTheme="majorBidi" w:hAnsiTheme="majorBidi" w:cstheme="majorBidi"/>
          <w:color w:val="000000"/>
          <w:lang w:val="en-GB"/>
        </w:rPr>
        <w:t>,</w:t>
      </w:r>
      <w:r w:rsidR="006C1E09">
        <w:rPr>
          <w:rFonts w:asciiTheme="majorBidi" w:hAnsiTheme="majorBidi" w:cstheme="majorBidi"/>
          <w:color w:val="000000"/>
          <w:lang w:val="en-GB"/>
        </w:rPr>
        <w:t xml:space="preserve"> 95% CI </w:t>
      </w:r>
      <w:r w:rsidR="00A20A2B">
        <w:rPr>
          <w:rFonts w:asciiTheme="majorBidi" w:hAnsiTheme="majorBidi" w:cstheme="majorBidi"/>
          <w:color w:val="000000"/>
          <w:lang w:val="en-GB"/>
        </w:rPr>
        <w:t>0.43-0.66, p&lt;0.001)</w:t>
      </w:r>
      <w:r w:rsidR="00241492">
        <w:rPr>
          <w:rFonts w:asciiTheme="majorBidi" w:hAnsiTheme="majorBidi" w:cstheme="majorBidi"/>
          <w:color w:val="000000"/>
          <w:lang w:val="en-GB"/>
        </w:rPr>
        <w:t xml:space="preserve"> (Figure 2B)</w:t>
      </w:r>
      <w:r w:rsidR="00A20A2B">
        <w:rPr>
          <w:rFonts w:asciiTheme="majorBidi" w:hAnsiTheme="majorBidi" w:cstheme="majorBidi"/>
          <w:color w:val="000000"/>
          <w:lang w:val="en-GB"/>
        </w:rPr>
        <w:t xml:space="preserve">. This improvement </w:t>
      </w:r>
      <w:r w:rsidR="009405A4">
        <w:rPr>
          <w:rFonts w:asciiTheme="majorBidi" w:hAnsiTheme="majorBidi" w:cstheme="majorBidi"/>
          <w:color w:val="000000"/>
          <w:lang w:val="en-GB"/>
        </w:rPr>
        <w:t>included a</w:t>
      </w:r>
      <w:r w:rsidR="00C419AB">
        <w:rPr>
          <w:rFonts w:asciiTheme="majorBidi" w:hAnsiTheme="majorBidi" w:cstheme="majorBidi"/>
          <w:color w:val="000000"/>
          <w:lang w:val="en-GB"/>
        </w:rPr>
        <w:t xml:space="preserve"> </w:t>
      </w:r>
      <w:r w:rsidR="00AF4455">
        <w:rPr>
          <w:rFonts w:asciiTheme="majorBidi" w:hAnsiTheme="majorBidi" w:cstheme="majorBidi"/>
          <w:color w:val="000000"/>
          <w:lang w:val="en-GB"/>
        </w:rPr>
        <w:t xml:space="preserve">46% </w:t>
      </w:r>
      <w:r w:rsidR="00954AB1">
        <w:rPr>
          <w:rFonts w:asciiTheme="majorBidi" w:hAnsiTheme="majorBidi" w:cstheme="majorBidi"/>
          <w:color w:val="000000"/>
          <w:lang w:val="en-GB"/>
        </w:rPr>
        <w:t>reduction</w:t>
      </w:r>
      <w:r w:rsidR="00C419AB">
        <w:rPr>
          <w:rFonts w:asciiTheme="majorBidi" w:hAnsiTheme="majorBidi" w:cstheme="majorBidi"/>
          <w:color w:val="000000"/>
          <w:lang w:val="en-GB"/>
        </w:rPr>
        <w:t xml:space="preserve"> </w:t>
      </w:r>
      <w:r w:rsidR="00AF4455">
        <w:rPr>
          <w:rFonts w:asciiTheme="majorBidi" w:hAnsiTheme="majorBidi" w:cstheme="majorBidi"/>
          <w:color w:val="000000"/>
          <w:lang w:val="en-GB"/>
        </w:rPr>
        <w:t xml:space="preserve">in </w:t>
      </w:r>
      <w:r w:rsidR="00C9635C">
        <w:rPr>
          <w:rFonts w:asciiTheme="majorBidi" w:hAnsiTheme="majorBidi" w:cstheme="majorBidi"/>
          <w:color w:val="000000"/>
          <w:lang w:val="en-GB"/>
        </w:rPr>
        <w:t xml:space="preserve">the risk of </w:t>
      </w:r>
      <w:r w:rsidR="00AF4455">
        <w:t>s</w:t>
      </w:r>
      <w:r w:rsidR="00AF4455" w:rsidRPr="006A03CB">
        <w:t xml:space="preserve">ustained confirmed decrease </w:t>
      </w:r>
      <w:r w:rsidR="00AF4455">
        <w:t xml:space="preserve">in </w:t>
      </w:r>
      <w:r w:rsidR="00AF4455" w:rsidRPr="006A03CB">
        <w:t>eGFR</w:t>
      </w:r>
      <w:r w:rsidR="001341B1">
        <w:t xml:space="preserve"> of</w:t>
      </w:r>
      <w:r w:rsidR="00AF4455" w:rsidRPr="006A03CB">
        <w:t xml:space="preserve"> ≥</w:t>
      </w:r>
      <w:r w:rsidR="00AF4455">
        <w:t>4</w:t>
      </w:r>
      <w:r w:rsidR="00AF4455" w:rsidRPr="006A03CB">
        <w:t xml:space="preserve">0% to eGFR &lt;60 </w:t>
      </w:r>
      <w:r w:rsidR="00723D39" w:rsidRPr="00F42AA2">
        <w:rPr>
          <w:rFonts w:asciiTheme="majorBidi" w:hAnsiTheme="majorBidi" w:cstheme="majorBidi"/>
          <w:color w:val="000000"/>
        </w:rPr>
        <w:t>mL/min/1.73m</w:t>
      </w:r>
      <w:r w:rsidR="00723D39" w:rsidRPr="00F42AA2">
        <w:rPr>
          <w:rFonts w:asciiTheme="majorBidi" w:hAnsiTheme="majorBidi" w:cstheme="majorBidi"/>
          <w:color w:val="000000"/>
          <w:vertAlign w:val="superscript"/>
        </w:rPr>
        <w:t>2</w:t>
      </w:r>
      <w:r w:rsidR="00723D39">
        <w:rPr>
          <w:rFonts w:asciiTheme="majorBidi" w:hAnsiTheme="majorBidi" w:cstheme="majorBidi"/>
          <w:color w:val="000000"/>
        </w:rPr>
        <w:t xml:space="preserve"> (HR=0.</w:t>
      </w:r>
      <w:r w:rsidR="003400C1">
        <w:rPr>
          <w:rFonts w:asciiTheme="majorBidi" w:hAnsiTheme="majorBidi" w:cstheme="majorBidi"/>
          <w:color w:val="000000"/>
        </w:rPr>
        <w:t>54</w:t>
      </w:r>
      <w:r w:rsidR="00975978">
        <w:rPr>
          <w:rFonts w:asciiTheme="majorBidi" w:hAnsiTheme="majorBidi" w:cstheme="majorBidi"/>
          <w:color w:val="000000"/>
        </w:rPr>
        <w:t>,</w:t>
      </w:r>
      <w:r w:rsidR="00723D39">
        <w:rPr>
          <w:rFonts w:asciiTheme="majorBidi" w:hAnsiTheme="majorBidi" w:cstheme="majorBidi"/>
          <w:color w:val="000000"/>
        </w:rPr>
        <w:t xml:space="preserve"> 95% CI </w:t>
      </w:r>
      <w:r w:rsidR="00892576">
        <w:rPr>
          <w:rFonts w:asciiTheme="majorBidi" w:hAnsiTheme="majorBidi" w:cstheme="majorBidi"/>
          <w:color w:val="000000"/>
        </w:rPr>
        <w:t xml:space="preserve">0.43-0.67 p&lt;0.001), </w:t>
      </w:r>
      <w:r w:rsidR="008D7AA8">
        <w:rPr>
          <w:rFonts w:asciiTheme="majorBidi" w:hAnsiTheme="majorBidi" w:cstheme="majorBidi"/>
          <w:color w:val="000000"/>
        </w:rPr>
        <w:t xml:space="preserve">with </w:t>
      </w:r>
      <w:r w:rsidR="00C06CE1">
        <w:rPr>
          <w:rFonts w:asciiTheme="majorBidi" w:hAnsiTheme="majorBidi" w:cstheme="majorBidi"/>
          <w:color w:val="000000"/>
        </w:rPr>
        <w:t>120</w:t>
      </w:r>
      <w:r w:rsidR="003400C1">
        <w:rPr>
          <w:rFonts w:asciiTheme="majorBidi" w:hAnsiTheme="majorBidi" w:cstheme="majorBidi"/>
          <w:color w:val="000000"/>
        </w:rPr>
        <w:t xml:space="preserve"> (1.4%) vs. 221 (2.6%) </w:t>
      </w:r>
      <w:r w:rsidR="00C06CE1">
        <w:rPr>
          <w:rFonts w:asciiTheme="majorBidi" w:hAnsiTheme="majorBidi" w:cstheme="majorBidi"/>
          <w:color w:val="000000"/>
        </w:rPr>
        <w:t>events</w:t>
      </w:r>
      <w:r w:rsidR="00DB178A">
        <w:rPr>
          <w:rFonts w:asciiTheme="majorBidi" w:hAnsiTheme="majorBidi" w:cstheme="majorBidi"/>
          <w:color w:val="000000"/>
        </w:rPr>
        <w:t xml:space="preserve"> (Figure 2C)</w:t>
      </w:r>
      <w:r w:rsidR="00C06CE1">
        <w:rPr>
          <w:rFonts w:asciiTheme="majorBidi" w:hAnsiTheme="majorBidi" w:cstheme="majorBidi"/>
          <w:color w:val="000000"/>
        </w:rPr>
        <w:t>. A</w:t>
      </w:r>
      <w:r w:rsidR="002C23B6">
        <w:rPr>
          <w:rFonts w:asciiTheme="majorBidi" w:hAnsiTheme="majorBidi" w:cstheme="majorBidi"/>
          <w:color w:val="000000"/>
        </w:rPr>
        <w:t>dditionally,</w:t>
      </w:r>
      <w:r w:rsidR="00C06CE1">
        <w:rPr>
          <w:rFonts w:asciiTheme="majorBidi" w:hAnsiTheme="majorBidi" w:cstheme="majorBidi"/>
          <w:color w:val="000000"/>
        </w:rPr>
        <w:t xml:space="preserve"> the </w:t>
      </w:r>
      <w:r w:rsidR="001341B1">
        <w:rPr>
          <w:rFonts w:asciiTheme="majorBidi" w:hAnsiTheme="majorBidi" w:cstheme="majorBidi"/>
          <w:color w:val="000000"/>
        </w:rPr>
        <w:t xml:space="preserve">number of </w:t>
      </w:r>
      <w:r w:rsidR="00527163">
        <w:rPr>
          <w:rFonts w:asciiTheme="majorBidi" w:hAnsiTheme="majorBidi" w:cstheme="majorBidi"/>
          <w:color w:val="000000"/>
        </w:rPr>
        <w:t xml:space="preserve">the rare but </w:t>
      </w:r>
      <w:r w:rsidR="00536CB1">
        <w:rPr>
          <w:rFonts w:asciiTheme="majorBidi" w:hAnsiTheme="majorBidi" w:cstheme="majorBidi"/>
          <w:color w:val="000000"/>
        </w:rPr>
        <w:t xml:space="preserve">the clinically </w:t>
      </w:r>
      <w:r w:rsidR="00527163">
        <w:rPr>
          <w:rFonts w:asciiTheme="majorBidi" w:hAnsiTheme="majorBidi" w:cstheme="majorBidi"/>
          <w:color w:val="000000"/>
        </w:rPr>
        <w:t xml:space="preserve">important </w:t>
      </w:r>
      <w:r w:rsidR="009405A4">
        <w:rPr>
          <w:rFonts w:asciiTheme="majorBidi" w:hAnsiTheme="majorBidi" w:cstheme="majorBidi"/>
          <w:color w:val="000000"/>
        </w:rPr>
        <w:t xml:space="preserve">combined </w:t>
      </w:r>
      <w:r w:rsidR="00527163">
        <w:rPr>
          <w:rFonts w:asciiTheme="majorBidi" w:hAnsiTheme="majorBidi" w:cstheme="majorBidi"/>
          <w:color w:val="000000"/>
        </w:rPr>
        <w:t xml:space="preserve">events of </w:t>
      </w:r>
      <w:r w:rsidR="00C06CE1">
        <w:rPr>
          <w:rFonts w:asciiTheme="majorBidi" w:hAnsiTheme="majorBidi" w:cstheme="majorBidi"/>
          <w:color w:val="000000"/>
          <w:lang w:val="en-GB"/>
        </w:rPr>
        <w:t>ESRD</w:t>
      </w:r>
      <w:r w:rsidR="0011307B">
        <w:rPr>
          <w:rFonts w:asciiTheme="majorBidi" w:hAnsiTheme="majorBidi" w:cstheme="majorBidi"/>
          <w:color w:val="000000"/>
          <w:lang w:val="en-GB"/>
        </w:rPr>
        <w:t xml:space="preserve"> </w:t>
      </w:r>
      <w:r w:rsidR="00A6371B">
        <w:rPr>
          <w:rFonts w:asciiTheme="majorBidi" w:hAnsiTheme="majorBidi" w:cstheme="majorBidi"/>
          <w:color w:val="000000"/>
          <w:lang w:val="en-GB"/>
        </w:rPr>
        <w:t>or</w:t>
      </w:r>
      <w:r w:rsidR="0011307B">
        <w:rPr>
          <w:rFonts w:asciiTheme="majorBidi" w:hAnsiTheme="majorBidi" w:cstheme="majorBidi"/>
          <w:color w:val="000000"/>
          <w:lang w:val="en-GB"/>
        </w:rPr>
        <w:t xml:space="preserve"> renal death</w:t>
      </w:r>
      <w:r w:rsidR="00F76B12">
        <w:rPr>
          <w:rFonts w:asciiTheme="majorBidi" w:hAnsiTheme="majorBidi" w:cstheme="majorBidi"/>
          <w:color w:val="000000"/>
          <w:lang w:val="en-GB"/>
        </w:rPr>
        <w:t xml:space="preserve"> was </w:t>
      </w:r>
      <w:r w:rsidR="00A6371B">
        <w:rPr>
          <w:rFonts w:asciiTheme="majorBidi" w:hAnsiTheme="majorBidi" w:cstheme="majorBidi"/>
          <w:color w:val="000000"/>
          <w:lang w:val="en-GB"/>
        </w:rPr>
        <w:t>11</w:t>
      </w:r>
      <w:r w:rsidR="00226521">
        <w:rPr>
          <w:rFonts w:asciiTheme="majorBidi" w:hAnsiTheme="majorBidi" w:cstheme="majorBidi"/>
          <w:color w:val="000000"/>
          <w:lang w:val="en-GB"/>
        </w:rPr>
        <w:t xml:space="preserve"> vs. </w:t>
      </w:r>
      <w:r w:rsidR="00A6371B">
        <w:rPr>
          <w:rFonts w:asciiTheme="majorBidi" w:hAnsiTheme="majorBidi" w:cstheme="majorBidi"/>
          <w:color w:val="000000"/>
          <w:lang w:val="en-GB"/>
        </w:rPr>
        <w:t>27</w:t>
      </w:r>
      <w:r w:rsidR="00226521">
        <w:rPr>
          <w:rFonts w:asciiTheme="majorBidi" w:hAnsiTheme="majorBidi" w:cstheme="majorBidi"/>
          <w:color w:val="000000"/>
          <w:lang w:val="en-GB"/>
        </w:rPr>
        <w:t xml:space="preserve"> </w:t>
      </w:r>
      <w:r w:rsidR="00975978">
        <w:rPr>
          <w:rFonts w:asciiTheme="majorBidi" w:hAnsiTheme="majorBidi" w:cstheme="majorBidi"/>
          <w:color w:val="000000"/>
          <w:lang w:val="en-GB"/>
        </w:rPr>
        <w:t xml:space="preserve">events </w:t>
      </w:r>
      <w:r w:rsidR="003400C1">
        <w:rPr>
          <w:rFonts w:asciiTheme="majorBidi" w:hAnsiTheme="majorBidi" w:cstheme="majorBidi"/>
          <w:color w:val="000000"/>
          <w:lang w:val="en-GB"/>
        </w:rPr>
        <w:t>(HR 0.</w:t>
      </w:r>
      <w:r w:rsidR="00A6371B">
        <w:rPr>
          <w:rFonts w:asciiTheme="majorBidi" w:hAnsiTheme="majorBidi" w:cstheme="majorBidi"/>
          <w:color w:val="000000"/>
          <w:lang w:val="en-GB"/>
        </w:rPr>
        <w:t>4</w:t>
      </w:r>
      <w:r w:rsidR="003400C1">
        <w:rPr>
          <w:rFonts w:asciiTheme="majorBidi" w:hAnsiTheme="majorBidi" w:cstheme="majorBidi"/>
          <w:color w:val="000000"/>
          <w:lang w:val="en-GB"/>
        </w:rPr>
        <w:t>1. 95% CI 0.</w:t>
      </w:r>
      <w:r w:rsidR="00A6371B">
        <w:rPr>
          <w:rFonts w:asciiTheme="majorBidi" w:hAnsiTheme="majorBidi" w:cstheme="majorBidi"/>
          <w:color w:val="000000"/>
          <w:lang w:val="en-GB"/>
        </w:rPr>
        <w:t>20</w:t>
      </w:r>
      <w:r w:rsidR="003400C1">
        <w:rPr>
          <w:rFonts w:asciiTheme="majorBidi" w:hAnsiTheme="majorBidi" w:cstheme="majorBidi"/>
          <w:color w:val="000000"/>
          <w:lang w:val="en-GB"/>
        </w:rPr>
        <w:t>-0.</w:t>
      </w:r>
      <w:r w:rsidR="00A6371B">
        <w:rPr>
          <w:rFonts w:asciiTheme="majorBidi" w:hAnsiTheme="majorBidi" w:cstheme="majorBidi"/>
          <w:color w:val="000000"/>
          <w:lang w:val="en-GB"/>
        </w:rPr>
        <w:t>82</w:t>
      </w:r>
      <w:r w:rsidR="003400C1">
        <w:rPr>
          <w:rFonts w:asciiTheme="majorBidi" w:hAnsiTheme="majorBidi" w:cstheme="majorBidi"/>
          <w:color w:val="000000"/>
          <w:lang w:val="en-GB"/>
        </w:rPr>
        <w:t>, p=0.01</w:t>
      </w:r>
      <w:r w:rsidR="00A6371B">
        <w:rPr>
          <w:rFonts w:asciiTheme="majorBidi" w:hAnsiTheme="majorBidi" w:cstheme="majorBidi"/>
          <w:color w:val="000000"/>
          <w:lang w:val="en-GB"/>
        </w:rPr>
        <w:t>2</w:t>
      </w:r>
      <w:r w:rsidR="003400C1">
        <w:rPr>
          <w:rFonts w:asciiTheme="majorBidi" w:hAnsiTheme="majorBidi" w:cstheme="majorBidi"/>
          <w:color w:val="000000"/>
          <w:lang w:val="en-GB"/>
        </w:rPr>
        <w:t>)</w:t>
      </w:r>
      <w:r w:rsidR="00975978">
        <w:rPr>
          <w:rFonts w:asciiTheme="majorBidi" w:hAnsiTheme="majorBidi" w:cstheme="majorBidi"/>
          <w:color w:val="000000"/>
          <w:lang w:val="en-GB"/>
        </w:rPr>
        <w:t xml:space="preserve"> </w:t>
      </w:r>
      <w:r w:rsidR="002C23B6">
        <w:rPr>
          <w:rFonts w:asciiTheme="majorBidi" w:hAnsiTheme="majorBidi" w:cstheme="majorBidi"/>
          <w:color w:val="000000"/>
          <w:lang w:val="en-GB"/>
        </w:rPr>
        <w:t>in</w:t>
      </w:r>
      <w:r w:rsidR="00975978">
        <w:rPr>
          <w:rFonts w:asciiTheme="majorBidi" w:hAnsiTheme="majorBidi" w:cstheme="majorBidi"/>
          <w:color w:val="000000"/>
          <w:lang w:val="en-GB"/>
        </w:rPr>
        <w:t xml:space="preserve"> the dapagliflozin vs. placebo arm</w:t>
      </w:r>
      <w:r w:rsidR="00862E53">
        <w:rPr>
          <w:rFonts w:asciiTheme="majorBidi" w:hAnsiTheme="majorBidi" w:cstheme="majorBidi"/>
          <w:color w:val="000000"/>
          <w:lang w:val="en-GB"/>
        </w:rPr>
        <w:t>,</w:t>
      </w:r>
      <w:r w:rsidR="0011307B">
        <w:rPr>
          <w:rFonts w:asciiTheme="majorBidi" w:hAnsiTheme="majorBidi" w:cstheme="majorBidi"/>
          <w:color w:val="000000"/>
          <w:lang w:val="en-GB"/>
        </w:rPr>
        <w:t xml:space="preserve"> respectively</w:t>
      </w:r>
      <w:r w:rsidR="00975978">
        <w:rPr>
          <w:rFonts w:asciiTheme="majorBidi" w:hAnsiTheme="majorBidi" w:cstheme="majorBidi"/>
          <w:color w:val="000000"/>
          <w:lang w:val="en-GB"/>
        </w:rPr>
        <w:t xml:space="preserve">. </w:t>
      </w:r>
    </w:p>
    <w:p w14:paraId="21827C7B" w14:textId="0FA699AD" w:rsidR="000A70F8" w:rsidRDefault="009C208C" w:rsidP="007E6A12">
      <w:pPr>
        <w:pStyle w:val="Title2"/>
        <w:spacing w:before="0" w:beforeAutospacing="0" w:after="0" w:afterAutospacing="0" w:line="480" w:lineRule="auto"/>
        <w:jc w:val="both"/>
        <w:rPr>
          <w:rFonts w:asciiTheme="majorBidi" w:hAnsiTheme="majorBidi" w:cstheme="majorBidi"/>
          <w:color w:val="000000"/>
          <w:lang w:val="en-GB"/>
        </w:rPr>
      </w:pPr>
      <w:r>
        <w:rPr>
          <w:rFonts w:asciiTheme="majorBidi" w:hAnsiTheme="majorBidi" w:cstheme="majorBidi"/>
          <w:color w:val="000000"/>
          <w:lang w:val="en-GB"/>
        </w:rPr>
        <w:t>We analyse</w:t>
      </w:r>
      <w:r w:rsidR="002C23B6">
        <w:rPr>
          <w:rFonts w:asciiTheme="majorBidi" w:hAnsiTheme="majorBidi" w:cstheme="majorBidi"/>
          <w:color w:val="000000"/>
          <w:lang w:val="en-GB"/>
        </w:rPr>
        <w:t>d</w:t>
      </w:r>
      <w:r>
        <w:rPr>
          <w:rFonts w:asciiTheme="majorBidi" w:hAnsiTheme="majorBidi" w:cstheme="majorBidi"/>
          <w:color w:val="000000"/>
          <w:lang w:val="en-GB"/>
        </w:rPr>
        <w:t xml:space="preserve"> the primary (Figure S1 A-D</w:t>
      </w:r>
      <w:r w:rsidR="009765A0">
        <w:rPr>
          <w:rFonts w:asciiTheme="majorBidi" w:hAnsiTheme="majorBidi" w:cstheme="majorBidi"/>
          <w:color w:val="000000"/>
          <w:lang w:val="en-GB"/>
        </w:rPr>
        <w:t xml:space="preserve">) and secondary (Figure </w:t>
      </w:r>
      <w:r w:rsidR="003400C1">
        <w:rPr>
          <w:rFonts w:asciiTheme="majorBidi" w:hAnsiTheme="majorBidi" w:cstheme="majorBidi"/>
          <w:color w:val="000000"/>
          <w:lang w:val="en-GB"/>
        </w:rPr>
        <w:t>3</w:t>
      </w:r>
      <w:r w:rsidR="009765A0">
        <w:rPr>
          <w:rFonts w:asciiTheme="majorBidi" w:hAnsiTheme="majorBidi" w:cstheme="majorBidi"/>
          <w:color w:val="000000"/>
          <w:lang w:val="en-GB"/>
        </w:rPr>
        <w:t>) com</w:t>
      </w:r>
      <w:r w:rsidR="00237346">
        <w:rPr>
          <w:rFonts w:asciiTheme="majorBidi" w:hAnsiTheme="majorBidi" w:cstheme="majorBidi"/>
          <w:color w:val="000000"/>
          <w:lang w:val="en-GB"/>
        </w:rPr>
        <w:t>posite</w:t>
      </w:r>
      <w:r w:rsidR="009765A0">
        <w:rPr>
          <w:rFonts w:asciiTheme="majorBidi" w:hAnsiTheme="majorBidi" w:cstheme="majorBidi"/>
          <w:color w:val="000000"/>
          <w:lang w:val="en-GB"/>
        </w:rPr>
        <w:t xml:space="preserve"> renal outcome</w:t>
      </w:r>
      <w:r w:rsidR="002C23B6">
        <w:rPr>
          <w:rFonts w:asciiTheme="majorBidi" w:hAnsiTheme="majorBidi" w:cstheme="majorBidi"/>
          <w:color w:val="000000"/>
          <w:lang w:val="en-GB"/>
        </w:rPr>
        <w:t>s</w:t>
      </w:r>
      <w:r w:rsidR="009765A0">
        <w:rPr>
          <w:rFonts w:asciiTheme="majorBidi" w:hAnsiTheme="majorBidi" w:cstheme="majorBidi"/>
          <w:color w:val="000000"/>
          <w:lang w:val="en-GB"/>
        </w:rPr>
        <w:t xml:space="preserve"> according to</w:t>
      </w:r>
      <w:r>
        <w:rPr>
          <w:rFonts w:asciiTheme="majorBidi" w:hAnsiTheme="majorBidi" w:cstheme="majorBidi"/>
          <w:color w:val="000000"/>
          <w:lang w:val="en-GB"/>
        </w:rPr>
        <w:t xml:space="preserve"> </w:t>
      </w:r>
      <w:r w:rsidR="00446F61">
        <w:rPr>
          <w:rFonts w:asciiTheme="majorBidi" w:hAnsiTheme="majorBidi" w:cstheme="majorBidi"/>
          <w:color w:val="000000"/>
          <w:lang w:val="en-GB"/>
        </w:rPr>
        <w:t>pre-specified</w:t>
      </w:r>
      <w:r>
        <w:rPr>
          <w:rFonts w:asciiTheme="majorBidi" w:hAnsiTheme="majorBidi" w:cstheme="majorBidi"/>
          <w:color w:val="000000"/>
          <w:lang w:val="en-GB"/>
        </w:rPr>
        <w:t xml:space="preserve"> </w:t>
      </w:r>
      <w:r w:rsidR="00534DE5">
        <w:rPr>
          <w:rFonts w:asciiTheme="majorBidi" w:hAnsiTheme="majorBidi" w:cstheme="majorBidi"/>
          <w:color w:val="000000"/>
          <w:lang w:val="en-GB"/>
        </w:rPr>
        <w:t>subgroups</w:t>
      </w:r>
      <w:r w:rsidR="00782B4E">
        <w:rPr>
          <w:rFonts w:asciiTheme="majorBidi" w:hAnsiTheme="majorBidi" w:cstheme="majorBidi"/>
          <w:color w:val="000000"/>
          <w:lang w:val="en-GB"/>
        </w:rPr>
        <w:t xml:space="preserve"> by patient</w:t>
      </w:r>
      <w:r w:rsidR="002C23B6">
        <w:rPr>
          <w:rFonts w:asciiTheme="majorBidi" w:hAnsiTheme="majorBidi" w:cstheme="majorBidi"/>
          <w:color w:val="000000"/>
          <w:lang w:val="en-GB"/>
        </w:rPr>
        <w:t>'</w:t>
      </w:r>
      <w:r w:rsidR="00782B4E">
        <w:rPr>
          <w:rFonts w:asciiTheme="majorBidi" w:hAnsiTheme="majorBidi" w:cstheme="majorBidi"/>
          <w:color w:val="000000"/>
          <w:lang w:val="en-GB"/>
        </w:rPr>
        <w:t xml:space="preserve">s demographics, medical history, background medication and baseline laboratory measurements. </w:t>
      </w:r>
      <w:r w:rsidR="0044366D">
        <w:rPr>
          <w:rFonts w:asciiTheme="majorBidi" w:hAnsiTheme="majorBidi" w:cstheme="majorBidi"/>
          <w:color w:val="000000"/>
          <w:lang w:val="en-GB"/>
        </w:rPr>
        <w:t xml:space="preserve">There was no </w:t>
      </w:r>
      <w:r w:rsidR="00DF2265">
        <w:rPr>
          <w:rFonts w:asciiTheme="majorBidi" w:hAnsiTheme="majorBidi" w:cstheme="majorBidi"/>
          <w:color w:val="000000"/>
          <w:lang w:val="en-GB"/>
        </w:rPr>
        <w:t xml:space="preserve">statistically significant </w:t>
      </w:r>
      <w:r w:rsidR="0044366D">
        <w:rPr>
          <w:rFonts w:asciiTheme="majorBidi" w:hAnsiTheme="majorBidi" w:cstheme="majorBidi"/>
          <w:color w:val="000000"/>
          <w:lang w:val="en-GB"/>
        </w:rPr>
        <w:lastRenderedPageBreak/>
        <w:t>interaction between most subgroup</w:t>
      </w:r>
      <w:r w:rsidR="002C23B6">
        <w:rPr>
          <w:rFonts w:asciiTheme="majorBidi" w:hAnsiTheme="majorBidi" w:cstheme="majorBidi"/>
          <w:color w:val="000000"/>
          <w:lang w:val="en-GB"/>
        </w:rPr>
        <w:t>s</w:t>
      </w:r>
      <w:r w:rsidR="0044366D">
        <w:rPr>
          <w:rFonts w:asciiTheme="majorBidi" w:hAnsiTheme="majorBidi" w:cstheme="majorBidi"/>
          <w:color w:val="000000"/>
          <w:lang w:val="en-GB"/>
        </w:rPr>
        <w:t xml:space="preserve"> </w:t>
      </w:r>
      <w:r w:rsidR="00782B4E">
        <w:rPr>
          <w:rFonts w:asciiTheme="majorBidi" w:hAnsiTheme="majorBidi" w:cstheme="majorBidi"/>
          <w:color w:val="000000"/>
          <w:lang w:val="en-GB"/>
        </w:rPr>
        <w:t xml:space="preserve">and the positive effect of dapagliflozin on both </w:t>
      </w:r>
      <w:r w:rsidR="00FF7850">
        <w:rPr>
          <w:rFonts w:asciiTheme="majorBidi" w:hAnsiTheme="majorBidi" w:cstheme="majorBidi"/>
          <w:color w:val="000000"/>
          <w:lang w:val="en-GB"/>
        </w:rPr>
        <w:t xml:space="preserve">composite </w:t>
      </w:r>
      <w:r w:rsidR="00782B4E">
        <w:rPr>
          <w:rFonts w:asciiTheme="majorBidi" w:hAnsiTheme="majorBidi" w:cstheme="majorBidi"/>
          <w:color w:val="000000"/>
          <w:lang w:val="en-GB"/>
        </w:rPr>
        <w:t xml:space="preserve">renal outcomes. </w:t>
      </w:r>
      <w:r w:rsidR="00237346">
        <w:rPr>
          <w:rFonts w:asciiTheme="majorBidi" w:hAnsiTheme="majorBidi" w:cstheme="majorBidi"/>
          <w:color w:val="000000"/>
          <w:lang w:val="en-GB"/>
        </w:rPr>
        <w:t>Specifically, there was no difference between the ASCVD strata vs. the multiple risk factors for CVD strata</w:t>
      </w:r>
      <w:r w:rsidR="00F228DE">
        <w:rPr>
          <w:rFonts w:asciiTheme="majorBidi" w:hAnsiTheme="majorBidi" w:cstheme="majorBidi"/>
          <w:color w:val="000000"/>
          <w:lang w:val="en-GB"/>
        </w:rPr>
        <w:t>,</w:t>
      </w:r>
      <w:r w:rsidR="00237346">
        <w:rPr>
          <w:rFonts w:asciiTheme="majorBidi" w:hAnsiTheme="majorBidi" w:cstheme="majorBidi"/>
          <w:color w:val="000000"/>
          <w:lang w:val="en-GB"/>
        </w:rPr>
        <w:t xml:space="preserve"> </w:t>
      </w:r>
      <w:r w:rsidR="000B4199">
        <w:rPr>
          <w:rFonts w:asciiTheme="majorBidi" w:hAnsiTheme="majorBidi" w:cstheme="majorBidi"/>
          <w:color w:val="000000"/>
          <w:lang w:val="en-GB"/>
        </w:rPr>
        <w:t xml:space="preserve">both for the primary </w:t>
      </w:r>
      <w:r w:rsidR="00FF7850">
        <w:rPr>
          <w:rFonts w:asciiTheme="majorBidi" w:hAnsiTheme="majorBidi" w:cstheme="majorBidi"/>
          <w:color w:val="000000"/>
          <w:lang w:val="en-GB"/>
        </w:rPr>
        <w:t xml:space="preserve">composite </w:t>
      </w:r>
      <w:r w:rsidR="000B4199">
        <w:rPr>
          <w:rFonts w:asciiTheme="majorBidi" w:hAnsiTheme="majorBidi" w:cstheme="majorBidi"/>
          <w:color w:val="000000"/>
          <w:lang w:val="en-GB"/>
        </w:rPr>
        <w:t>renal outcome (p value for interaction=0.</w:t>
      </w:r>
      <w:r w:rsidR="00F228DE">
        <w:rPr>
          <w:rFonts w:asciiTheme="majorBidi" w:hAnsiTheme="majorBidi" w:cstheme="majorBidi"/>
          <w:color w:val="000000"/>
          <w:lang w:val="en-GB"/>
        </w:rPr>
        <w:t>719</w:t>
      </w:r>
      <w:r w:rsidR="000B4199">
        <w:rPr>
          <w:rFonts w:asciiTheme="majorBidi" w:hAnsiTheme="majorBidi" w:cstheme="majorBidi"/>
          <w:color w:val="000000"/>
          <w:lang w:val="en-GB"/>
        </w:rPr>
        <w:t>)</w:t>
      </w:r>
      <w:r w:rsidR="00F228DE">
        <w:rPr>
          <w:rFonts w:asciiTheme="majorBidi" w:hAnsiTheme="majorBidi" w:cstheme="majorBidi"/>
          <w:color w:val="000000"/>
          <w:lang w:val="en-GB"/>
        </w:rPr>
        <w:t xml:space="preserve">, and for the secondary </w:t>
      </w:r>
      <w:r w:rsidR="00FF7850">
        <w:rPr>
          <w:rFonts w:asciiTheme="majorBidi" w:hAnsiTheme="majorBidi" w:cstheme="majorBidi"/>
          <w:color w:val="000000"/>
          <w:lang w:val="en-GB"/>
        </w:rPr>
        <w:t xml:space="preserve">composite </w:t>
      </w:r>
      <w:r w:rsidR="00F228DE">
        <w:rPr>
          <w:rFonts w:asciiTheme="majorBidi" w:hAnsiTheme="majorBidi" w:cstheme="majorBidi"/>
          <w:color w:val="000000"/>
          <w:lang w:val="en-GB"/>
        </w:rPr>
        <w:t xml:space="preserve">renal outcome (p value for interaction=0.668) (Figures S1 B and </w:t>
      </w:r>
      <w:r w:rsidR="00FE78B7">
        <w:rPr>
          <w:rFonts w:asciiTheme="majorBidi" w:hAnsiTheme="majorBidi" w:cstheme="majorBidi"/>
          <w:color w:val="000000"/>
          <w:lang w:val="en-GB"/>
        </w:rPr>
        <w:t>3</w:t>
      </w:r>
      <w:r w:rsidR="00F228DE">
        <w:rPr>
          <w:rFonts w:asciiTheme="majorBidi" w:hAnsiTheme="majorBidi" w:cstheme="majorBidi"/>
          <w:color w:val="000000"/>
          <w:lang w:val="en-GB"/>
        </w:rPr>
        <w:t>).</w:t>
      </w:r>
      <w:r w:rsidR="000B4199">
        <w:rPr>
          <w:rFonts w:asciiTheme="majorBidi" w:hAnsiTheme="majorBidi" w:cstheme="majorBidi"/>
          <w:color w:val="000000"/>
          <w:lang w:val="en-GB"/>
        </w:rPr>
        <w:t xml:space="preserve"> </w:t>
      </w:r>
      <w:r w:rsidR="00403EF7">
        <w:rPr>
          <w:rFonts w:asciiTheme="majorBidi" w:hAnsiTheme="majorBidi" w:cstheme="majorBidi"/>
          <w:color w:val="000000"/>
          <w:lang w:val="en-GB"/>
        </w:rPr>
        <w:t xml:space="preserve">The </w:t>
      </w:r>
      <w:r w:rsidR="008A756C">
        <w:rPr>
          <w:rFonts w:asciiTheme="majorBidi" w:hAnsiTheme="majorBidi" w:cstheme="majorBidi"/>
          <w:color w:val="000000"/>
          <w:lang w:val="en-GB"/>
        </w:rPr>
        <w:t xml:space="preserve">exception </w:t>
      </w:r>
      <w:r w:rsidR="00B86A7F">
        <w:rPr>
          <w:rFonts w:asciiTheme="majorBidi" w:hAnsiTheme="majorBidi" w:cstheme="majorBidi"/>
          <w:color w:val="000000"/>
          <w:lang w:val="en-GB"/>
        </w:rPr>
        <w:t>w</w:t>
      </w:r>
      <w:r w:rsidR="00E16D0F">
        <w:rPr>
          <w:rFonts w:asciiTheme="majorBidi" w:hAnsiTheme="majorBidi" w:cstheme="majorBidi"/>
          <w:color w:val="000000"/>
          <w:lang w:val="en-GB"/>
        </w:rPr>
        <w:t>as</w:t>
      </w:r>
      <w:r w:rsidR="00F666C8">
        <w:rPr>
          <w:rFonts w:asciiTheme="majorBidi" w:hAnsiTheme="majorBidi" w:cstheme="majorBidi"/>
          <w:color w:val="000000"/>
          <w:lang w:val="en-GB"/>
        </w:rPr>
        <w:t xml:space="preserve"> </w:t>
      </w:r>
      <w:r w:rsidR="005F594C">
        <w:rPr>
          <w:rFonts w:asciiTheme="majorBidi" w:hAnsiTheme="majorBidi" w:cstheme="majorBidi"/>
          <w:color w:val="000000"/>
          <w:lang w:val="en-GB"/>
        </w:rPr>
        <w:t xml:space="preserve">an </w:t>
      </w:r>
      <w:r w:rsidR="00F666C8">
        <w:rPr>
          <w:rFonts w:asciiTheme="majorBidi" w:hAnsiTheme="majorBidi" w:cstheme="majorBidi"/>
          <w:color w:val="000000"/>
          <w:lang w:val="en-GB"/>
        </w:rPr>
        <w:t xml:space="preserve">interaction </w:t>
      </w:r>
      <w:r w:rsidR="005F594C">
        <w:rPr>
          <w:rFonts w:asciiTheme="majorBidi" w:hAnsiTheme="majorBidi" w:cstheme="majorBidi"/>
          <w:color w:val="000000"/>
          <w:lang w:val="en-GB"/>
        </w:rPr>
        <w:t xml:space="preserve">between treatment arms and UACR categories on </w:t>
      </w:r>
      <w:r w:rsidR="00A8053C">
        <w:rPr>
          <w:rFonts w:asciiTheme="majorBidi" w:hAnsiTheme="majorBidi" w:cstheme="majorBidi"/>
          <w:color w:val="000000"/>
          <w:lang w:val="en-GB"/>
        </w:rPr>
        <w:t xml:space="preserve">the primary </w:t>
      </w:r>
      <w:r w:rsidR="008B634E">
        <w:rPr>
          <w:rFonts w:asciiTheme="majorBidi" w:hAnsiTheme="majorBidi" w:cstheme="majorBidi"/>
          <w:color w:val="000000"/>
          <w:lang w:val="en-GB"/>
        </w:rPr>
        <w:t xml:space="preserve">composite </w:t>
      </w:r>
      <w:r w:rsidR="00A8053C">
        <w:rPr>
          <w:rFonts w:asciiTheme="majorBidi" w:hAnsiTheme="majorBidi" w:cstheme="majorBidi"/>
          <w:color w:val="000000"/>
          <w:lang w:val="en-GB"/>
        </w:rPr>
        <w:t>renal outcome</w:t>
      </w:r>
      <w:r w:rsidR="00C9635C">
        <w:rPr>
          <w:rFonts w:asciiTheme="majorBidi" w:hAnsiTheme="majorBidi" w:cstheme="majorBidi"/>
          <w:color w:val="000000"/>
          <w:lang w:val="en-GB"/>
        </w:rPr>
        <w:t xml:space="preserve"> but not the secondary</w:t>
      </w:r>
      <w:r w:rsidR="00FF7850">
        <w:rPr>
          <w:rFonts w:asciiTheme="majorBidi" w:hAnsiTheme="majorBidi" w:cstheme="majorBidi"/>
          <w:color w:val="000000"/>
          <w:lang w:val="en-GB"/>
        </w:rPr>
        <w:t xml:space="preserve"> composite</w:t>
      </w:r>
      <w:r w:rsidR="00C9635C">
        <w:rPr>
          <w:rFonts w:asciiTheme="majorBidi" w:hAnsiTheme="majorBidi" w:cstheme="majorBidi"/>
          <w:color w:val="000000"/>
          <w:lang w:val="en-GB"/>
        </w:rPr>
        <w:t xml:space="preserve"> renal outcome</w:t>
      </w:r>
      <w:r w:rsidR="00E16D0F">
        <w:rPr>
          <w:rFonts w:asciiTheme="majorBidi" w:hAnsiTheme="majorBidi" w:cstheme="majorBidi"/>
          <w:color w:val="000000"/>
          <w:lang w:val="en-GB"/>
        </w:rPr>
        <w:t xml:space="preserve">. </w:t>
      </w:r>
      <w:r w:rsidR="002C23B6">
        <w:rPr>
          <w:rFonts w:asciiTheme="majorBidi" w:hAnsiTheme="majorBidi" w:cstheme="majorBidi"/>
          <w:color w:val="000000"/>
          <w:lang w:val="en-GB"/>
        </w:rPr>
        <w:t>There was also</w:t>
      </w:r>
      <w:r w:rsidR="00A8053C">
        <w:rPr>
          <w:rFonts w:asciiTheme="majorBidi" w:hAnsiTheme="majorBidi" w:cstheme="majorBidi"/>
          <w:color w:val="000000"/>
          <w:lang w:val="en-GB"/>
        </w:rPr>
        <w:t xml:space="preserve"> an interaction </w:t>
      </w:r>
      <w:r w:rsidR="005F594C">
        <w:rPr>
          <w:rFonts w:asciiTheme="majorBidi" w:hAnsiTheme="majorBidi" w:cstheme="majorBidi"/>
          <w:color w:val="000000"/>
          <w:lang w:val="en-GB"/>
        </w:rPr>
        <w:t xml:space="preserve">between treatment arms and diuretic use on the </w:t>
      </w:r>
      <w:r w:rsidR="00A8053C">
        <w:rPr>
          <w:rFonts w:asciiTheme="majorBidi" w:hAnsiTheme="majorBidi" w:cstheme="majorBidi"/>
          <w:color w:val="000000"/>
          <w:lang w:val="en-GB"/>
        </w:rPr>
        <w:t xml:space="preserve">secondary composite </w:t>
      </w:r>
      <w:r w:rsidR="008B634E">
        <w:rPr>
          <w:rFonts w:asciiTheme="majorBidi" w:hAnsiTheme="majorBidi" w:cstheme="majorBidi"/>
          <w:color w:val="000000"/>
          <w:lang w:val="en-GB"/>
        </w:rPr>
        <w:t xml:space="preserve">renal </w:t>
      </w:r>
      <w:r w:rsidR="00A8053C">
        <w:rPr>
          <w:rFonts w:asciiTheme="majorBidi" w:hAnsiTheme="majorBidi" w:cstheme="majorBidi"/>
          <w:color w:val="000000"/>
          <w:lang w:val="en-GB"/>
        </w:rPr>
        <w:t>outcome</w:t>
      </w:r>
      <w:r w:rsidR="000501D7">
        <w:rPr>
          <w:rFonts w:asciiTheme="majorBidi" w:hAnsiTheme="majorBidi" w:cstheme="majorBidi"/>
          <w:color w:val="000000"/>
          <w:lang w:val="en-GB"/>
        </w:rPr>
        <w:t xml:space="preserve"> (p value for interaction=0.0</w:t>
      </w:r>
      <w:r w:rsidR="00121AA3">
        <w:rPr>
          <w:rFonts w:asciiTheme="majorBidi" w:hAnsiTheme="majorBidi" w:cstheme="majorBidi"/>
          <w:color w:val="000000"/>
          <w:lang w:val="en-GB"/>
        </w:rPr>
        <w:t>0</w:t>
      </w:r>
      <w:r w:rsidR="000501D7">
        <w:rPr>
          <w:rFonts w:asciiTheme="majorBidi" w:hAnsiTheme="majorBidi" w:cstheme="majorBidi"/>
          <w:color w:val="000000"/>
          <w:lang w:val="en-GB"/>
        </w:rPr>
        <w:t>2)</w:t>
      </w:r>
      <w:r w:rsidR="00121AA3">
        <w:rPr>
          <w:rFonts w:asciiTheme="majorBidi" w:hAnsiTheme="majorBidi" w:cstheme="majorBidi"/>
          <w:color w:val="000000"/>
          <w:lang w:val="en-GB"/>
        </w:rPr>
        <w:t xml:space="preserve">, </w:t>
      </w:r>
      <w:r w:rsidR="003F2D01">
        <w:rPr>
          <w:rFonts w:asciiTheme="majorBidi" w:hAnsiTheme="majorBidi" w:cstheme="majorBidi"/>
          <w:color w:val="000000"/>
          <w:lang w:val="en-GB"/>
        </w:rPr>
        <w:t xml:space="preserve">though benefit was observed with and without </w:t>
      </w:r>
      <w:r w:rsidR="00B3716F">
        <w:rPr>
          <w:rFonts w:asciiTheme="majorBidi" w:hAnsiTheme="majorBidi" w:cstheme="majorBidi"/>
          <w:color w:val="000000"/>
          <w:lang w:val="en-GB"/>
        </w:rPr>
        <w:t>diuretics</w:t>
      </w:r>
      <w:r w:rsidR="003F2D01">
        <w:rPr>
          <w:rFonts w:asciiTheme="majorBidi" w:hAnsiTheme="majorBidi" w:cstheme="majorBidi"/>
          <w:color w:val="000000"/>
          <w:lang w:val="en-GB"/>
        </w:rPr>
        <w:t xml:space="preserve">, </w:t>
      </w:r>
      <w:r w:rsidR="00121AA3">
        <w:rPr>
          <w:rFonts w:asciiTheme="majorBidi" w:hAnsiTheme="majorBidi" w:cstheme="majorBidi"/>
          <w:color w:val="000000"/>
          <w:lang w:val="en-GB"/>
        </w:rPr>
        <w:t>the positive effect of dapagliflozin</w:t>
      </w:r>
      <w:r w:rsidR="003F2D01">
        <w:rPr>
          <w:rFonts w:asciiTheme="majorBidi" w:hAnsiTheme="majorBidi" w:cstheme="majorBidi"/>
          <w:color w:val="000000"/>
          <w:lang w:val="en-GB"/>
        </w:rPr>
        <w:t xml:space="preserve"> appeared to be greater in patients </w:t>
      </w:r>
      <w:r w:rsidR="00F276AB">
        <w:rPr>
          <w:rFonts w:asciiTheme="majorBidi" w:hAnsiTheme="majorBidi" w:cstheme="majorBidi"/>
          <w:color w:val="000000"/>
          <w:lang w:val="en-GB"/>
        </w:rPr>
        <w:t xml:space="preserve">not taking </w:t>
      </w:r>
      <w:r w:rsidR="003F2D01">
        <w:rPr>
          <w:rFonts w:asciiTheme="majorBidi" w:hAnsiTheme="majorBidi" w:cstheme="majorBidi"/>
          <w:color w:val="000000"/>
          <w:lang w:val="en-GB"/>
        </w:rPr>
        <w:t xml:space="preserve"> diuretics at </w:t>
      </w:r>
      <w:r w:rsidR="00B3716F">
        <w:rPr>
          <w:rFonts w:asciiTheme="majorBidi" w:hAnsiTheme="majorBidi" w:cstheme="majorBidi"/>
          <w:color w:val="000000"/>
          <w:lang w:val="en-GB"/>
        </w:rPr>
        <w:t>baseline</w:t>
      </w:r>
      <w:r w:rsidR="003F2D01">
        <w:rPr>
          <w:rFonts w:asciiTheme="majorBidi" w:hAnsiTheme="majorBidi" w:cstheme="majorBidi"/>
          <w:color w:val="000000"/>
          <w:lang w:val="en-GB"/>
        </w:rPr>
        <w:t>.</w:t>
      </w:r>
    </w:p>
    <w:p w14:paraId="25EE45FD" w14:textId="05624B82" w:rsidR="007450FC" w:rsidRDefault="000A70F8" w:rsidP="00B3716F">
      <w:pPr>
        <w:spacing w:line="480" w:lineRule="auto"/>
        <w:jc w:val="both"/>
        <w:rPr>
          <w:rFonts w:asciiTheme="majorBidi" w:hAnsiTheme="majorBidi" w:cstheme="majorBidi"/>
          <w:color w:val="000000"/>
        </w:rPr>
      </w:pPr>
      <w:r w:rsidRPr="000A70F8">
        <w:rPr>
          <w:rFonts w:asciiTheme="majorBidi" w:hAnsiTheme="majorBidi" w:cstheme="majorBidi"/>
          <w:color w:val="000000"/>
          <w:sz w:val="24"/>
          <w:szCs w:val="24"/>
          <w:lang w:val="en-GB"/>
        </w:rPr>
        <w:t>We compared the adjusted mean change in eGFR over time in the two treatment arm</w:t>
      </w:r>
      <w:r w:rsidR="00EC64E3">
        <w:rPr>
          <w:rFonts w:asciiTheme="majorBidi" w:hAnsiTheme="majorBidi" w:cstheme="majorBidi"/>
          <w:color w:val="000000"/>
          <w:sz w:val="24"/>
          <w:szCs w:val="24"/>
          <w:lang w:val="en-GB"/>
        </w:rPr>
        <w:t>s</w:t>
      </w:r>
      <w:r w:rsidRPr="000A70F8">
        <w:rPr>
          <w:rFonts w:asciiTheme="majorBidi" w:hAnsiTheme="majorBidi" w:cstheme="majorBidi"/>
          <w:color w:val="000000"/>
          <w:sz w:val="24"/>
          <w:szCs w:val="24"/>
          <w:lang w:val="en-GB"/>
        </w:rPr>
        <w:t xml:space="preserve"> for </w:t>
      </w:r>
      <w:r w:rsidR="00B248A5">
        <w:rPr>
          <w:rFonts w:asciiTheme="majorBidi" w:hAnsiTheme="majorBidi" w:cstheme="majorBidi"/>
          <w:color w:val="000000"/>
          <w:sz w:val="24"/>
          <w:szCs w:val="24"/>
          <w:lang w:val="en-GB"/>
        </w:rPr>
        <w:t xml:space="preserve">the </w:t>
      </w:r>
      <w:r w:rsidR="00B248A5" w:rsidRPr="000A70F8">
        <w:rPr>
          <w:rFonts w:asciiTheme="majorBidi" w:hAnsiTheme="majorBidi" w:cstheme="majorBidi"/>
          <w:sz w:val="24"/>
          <w:szCs w:val="24"/>
        </w:rPr>
        <w:t>overall</w:t>
      </w:r>
      <w:r w:rsidRPr="000A70F8">
        <w:rPr>
          <w:rFonts w:asciiTheme="majorBidi" w:hAnsiTheme="majorBidi" w:cstheme="majorBidi"/>
          <w:sz w:val="24"/>
          <w:szCs w:val="24"/>
        </w:rPr>
        <w:t xml:space="preserve"> </w:t>
      </w:r>
      <w:r w:rsidR="00B248A5">
        <w:rPr>
          <w:rFonts w:asciiTheme="majorBidi" w:hAnsiTheme="majorBidi" w:cstheme="majorBidi"/>
          <w:sz w:val="24"/>
          <w:szCs w:val="24"/>
        </w:rPr>
        <w:t>p</w:t>
      </w:r>
      <w:r w:rsidRPr="000A70F8">
        <w:rPr>
          <w:rFonts w:asciiTheme="majorBidi" w:hAnsiTheme="majorBidi" w:cstheme="majorBidi"/>
          <w:sz w:val="24"/>
          <w:szCs w:val="24"/>
        </w:rPr>
        <w:t>opulation</w:t>
      </w:r>
      <w:r w:rsidR="00B248A5">
        <w:rPr>
          <w:rFonts w:asciiTheme="majorBidi" w:hAnsiTheme="majorBidi" w:cstheme="majorBidi"/>
          <w:sz w:val="24"/>
          <w:szCs w:val="24"/>
        </w:rPr>
        <w:t xml:space="preserve"> and by eGFR subgroups (Figure</w:t>
      </w:r>
      <w:r w:rsidR="00532AF6">
        <w:rPr>
          <w:rFonts w:asciiTheme="majorBidi" w:hAnsiTheme="majorBidi" w:cstheme="majorBidi"/>
          <w:sz w:val="24"/>
          <w:szCs w:val="24"/>
        </w:rPr>
        <w:t xml:space="preserve"> 4</w:t>
      </w:r>
      <w:r w:rsidR="00B248A5">
        <w:rPr>
          <w:rFonts w:asciiTheme="majorBidi" w:hAnsiTheme="majorBidi" w:cstheme="majorBidi"/>
          <w:sz w:val="24"/>
          <w:szCs w:val="24"/>
        </w:rPr>
        <w:t xml:space="preserve"> A-D).</w:t>
      </w:r>
      <w:r w:rsidRPr="000A70F8">
        <w:rPr>
          <w:rFonts w:asciiTheme="majorBidi" w:hAnsiTheme="majorBidi" w:cstheme="majorBidi"/>
          <w:sz w:val="24"/>
          <w:szCs w:val="24"/>
        </w:rPr>
        <w:t xml:space="preserve"> </w:t>
      </w:r>
      <w:r w:rsidR="00532AF6">
        <w:rPr>
          <w:rFonts w:asciiTheme="majorBidi" w:hAnsiTheme="majorBidi" w:cstheme="majorBidi"/>
          <w:sz w:val="24"/>
          <w:szCs w:val="24"/>
        </w:rPr>
        <w:t xml:space="preserve">In the entire population and in all </w:t>
      </w:r>
      <w:r w:rsidR="00C9635C">
        <w:rPr>
          <w:rFonts w:asciiTheme="majorBidi" w:hAnsiTheme="majorBidi" w:cstheme="majorBidi"/>
          <w:sz w:val="24"/>
          <w:szCs w:val="24"/>
        </w:rPr>
        <w:t xml:space="preserve">eGFR </w:t>
      </w:r>
      <w:r w:rsidR="00532AF6">
        <w:rPr>
          <w:rFonts w:asciiTheme="majorBidi" w:hAnsiTheme="majorBidi" w:cstheme="majorBidi"/>
          <w:sz w:val="24"/>
          <w:szCs w:val="24"/>
        </w:rPr>
        <w:t xml:space="preserve">subgroups the </w:t>
      </w:r>
      <w:r w:rsidR="00390F0D">
        <w:rPr>
          <w:rFonts w:asciiTheme="majorBidi" w:hAnsiTheme="majorBidi" w:cstheme="majorBidi"/>
          <w:sz w:val="24"/>
          <w:szCs w:val="24"/>
        </w:rPr>
        <w:t xml:space="preserve">mean </w:t>
      </w:r>
      <w:r w:rsidR="00532AF6">
        <w:rPr>
          <w:rFonts w:asciiTheme="majorBidi" w:hAnsiTheme="majorBidi" w:cstheme="majorBidi"/>
          <w:sz w:val="24"/>
          <w:szCs w:val="24"/>
        </w:rPr>
        <w:t xml:space="preserve">decrease in eGFR </w:t>
      </w:r>
      <w:r w:rsidR="002C23B6">
        <w:rPr>
          <w:rFonts w:asciiTheme="majorBidi" w:hAnsiTheme="majorBidi" w:cstheme="majorBidi"/>
          <w:sz w:val="24"/>
          <w:szCs w:val="24"/>
        </w:rPr>
        <w:t>in</w:t>
      </w:r>
      <w:r w:rsidR="00532AF6">
        <w:rPr>
          <w:rFonts w:asciiTheme="majorBidi" w:hAnsiTheme="majorBidi" w:cstheme="majorBidi"/>
          <w:sz w:val="24"/>
          <w:szCs w:val="24"/>
        </w:rPr>
        <w:t xml:space="preserve"> the dapagliflozin arm </w:t>
      </w:r>
      <w:r w:rsidR="001B1B66">
        <w:rPr>
          <w:rFonts w:asciiTheme="majorBidi" w:hAnsiTheme="majorBidi" w:cstheme="majorBidi"/>
          <w:sz w:val="24"/>
          <w:szCs w:val="24"/>
        </w:rPr>
        <w:t>was equal to</w:t>
      </w:r>
      <w:r w:rsidR="00532AF6">
        <w:rPr>
          <w:rFonts w:asciiTheme="majorBidi" w:hAnsiTheme="majorBidi" w:cstheme="majorBidi"/>
          <w:sz w:val="24"/>
          <w:szCs w:val="24"/>
        </w:rPr>
        <w:t xml:space="preserve"> the </w:t>
      </w:r>
      <w:r w:rsidR="001B1B66">
        <w:rPr>
          <w:rFonts w:asciiTheme="majorBidi" w:hAnsiTheme="majorBidi" w:cstheme="majorBidi"/>
          <w:sz w:val="24"/>
          <w:szCs w:val="24"/>
        </w:rPr>
        <w:t xml:space="preserve">decrease in the </w:t>
      </w:r>
      <w:r w:rsidR="00532AF6">
        <w:rPr>
          <w:rFonts w:asciiTheme="majorBidi" w:hAnsiTheme="majorBidi" w:cstheme="majorBidi"/>
          <w:sz w:val="24"/>
          <w:szCs w:val="24"/>
        </w:rPr>
        <w:t>placebo arm by year two</w:t>
      </w:r>
      <w:r w:rsidR="001B1B66">
        <w:rPr>
          <w:rFonts w:asciiTheme="majorBidi" w:hAnsiTheme="majorBidi" w:cstheme="majorBidi"/>
          <w:sz w:val="24"/>
          <w:szCs w:val="24"/>
        </w:rPr>
        <w:t>;</w:t>
      </w:r>
      <w:r w:rsidR="00532AF6">
        <w:rPr>
          <w:rFonts w:asciiTheme="majorBidi" w:hAnsiTheme="majorBidi" w:cstheme="majorBidi"/>
          <w:sz w:val="24"/>
          <w:szCs w:val="24"/>
        </w:rPr>
        <w:t xml:space="preserve"> and was </w:t>
      </w:r>
      <w:r w:rsidR="001B1B66">
        <w:rPr>
          <w:rFonts w:asciiTheme="majorBidi" w:hAnsiTheme="majorBidi" w:cstheme="majorBidi"/>
          <w:sz w:val="24"/>
          <w:szCs w:val="24"/>
        </w:rPr>
        <w:t>small</w:t>
      </w:r>
      <w:r w:rsidR="00532AF6">
        <w:rPr>
          <w:rFonts w:asciiTheme="majorBidi" w:hAnsiTheme="majorBidi" w:cstheme="majorBidi"/>
          <w:sz w:val="24"/>
          <w:szCs w:val="24"/>
        </w:rPr>
        <w:t xml:space="preserve">er than </w:t>
      </w:r>
      <w:r w:rsidR="00390F0D">
        <w:rPr>
          <w:rFonts w:asciiTheme="majorBidi" w:hAnsiTheme="majorBidi" w:cstheme="majorBidi"/>
          <w:sz w:val="24"/>
          <w:szCs w:val="24"/>
        </w:rPr>
        <w:t xml:space="preserve">at the </w:t>
      </w:r>
      <w:r w:rsidR="00532AF6">
        <w:rPr>
          <w:rFonts w:asciiTheme="majorBidi" w:hAnsiTheme="majorBidi" w:cstheme="majorBidi"/>
          <w:sz w:val="24"/>
          <w:szCs w:val="24"/>
        </w:rPr>
        <w:t>placebo</w:t>
      </w:r>
      <w:r w:rsidR="00390F0D">
        <w:rPr>
          <w:rFonts w:asciiTheme="majorBidi" w:hAnsiTheme="majorBidi" w:cstheme="majorBidi"/>
          <w:sz w:val="24"/>
          <w:szCs w:val="24"/>
        </w:rPr>
        <w:t xml:space="preserve"> arm</w:t>
      </w:r>
      <w:r w:rsidR="00532AF6">
        <w:rPr>
          <w:rFonts w:asciiTheme="majorBidi" w:hAnsiTheme="majorBidi" w:cstheme="majorBidi"/>
          <w:sz w:val="24"/>
          <w:szCs w:val="24"/>
        </w:rPr>
        <w:t xml:space="preserve"> at year 4</w:t>
      </w:r>
      <w:r w:rsidR="00B11F8C">
        <w:rPr>
          <w:rFonts w:asciiTheme="majorBidi" w:hAnsiTheme="majorBidi" w:cstheme="majorBidi"/>
          <w:sz w:val="24"/>
          <w:szCs w:val="24"/>
        </w:rPr>
        <w:t>.</w:t>
      </w:r>
      <w:r w:rsidR="00532AF6">
        <w:rPr>
          <w:rFonts w:asciiTheme="majorBidi" w:hAnsiTheme="majorBidi" w:cstheme="majorBidi"/>
          <w:sz w:val="24"/>
          <w:szCs w:val="24"/>
        </w:rPr>
        <w:t xml:space="preserve"> </w:t>
      </w:r>
    </w:p>
    <w:p w14:paraId="40FFC371" w14:textId="3A270D07" w:rsidR="00493EDF" w:rsidRDefault="007450FC" w:rsidP="00B248A5">
      <w:pPr>
        <w:spacing w:line="480" w:lineRule="auto"/>
        <w:jc w:val="both"/>
        <w:rPr>
          <w:rFonts w:asciiTheme="majorBidi" w:hAnsiTheme="majorBidi" w:cstheme="majorBidi"/>
          <w:sz w:val="24"/>
          <w:szCs w:val="24"/>
        </w:rPr>
      </w:pPr>
      <w:r w:rsidRPr="007B6053">
        <w:rPr>
          <w:rFonts w:asciiTheme="majorBidi" w:hAnsiTheme="majorBidi" w:cstheme="majorBidi"/>
          <w:sz w:val="24"/>
          <w:szCs w:val="24"/>
        </w:rPr>
        <w:t>There were fewer patients with events reported as acute kidney injury in the dapagliflozin group compared with the placebo group: 125 and 175, respectively</w:t>
      </w:r>
      <w:r w:rsidR="000E630E">
        <w:rPr>
          <w:rFonts w:asciiTheme="majorBidi" w:hAnsiTheme="majorBidi" w:cstheme="majorBidi"/>
          <w:sz w:val="24"/>
          <w:szCs w:val="24"/>
        </w:rPr>
        <w:t xml:space="preserve"> (HR 0.69, 95% CI 0.55-0.87, p=0.002)</w:t>
      </w:r>
      <w:r w:rsidR="000E630E" w:rsidRPr="007B6053">
        <w:rPr>
          <w:rFonts w:asciiTheme="majorBidi" w:hAnsiTheme="majorBidi" w:cstheme="majorBidi"/>
          <w:sz w:val="24"/>
          <w:szCs w:val="24"/>
        </w:rPr>
        <w:t>,</w:t>
      </w:r>
      <w:r w:rsidRPr="007B6053">
        <w:rPr>
          <w:rFonts w:asciiTheme="majorBidi" w:hAnsiTheme="majorBidi" w:cstheme="majorBidi"/>
          <w:sz w:val="24"/>
          <w:szCs w:val="24"/>
        </w:rPr>
        <w:t xml:space="preserve"> of which 67 and 101 were reported as </w:t>
      </w:r>
      <w:r w:rsidR="001F244B">
        <w:rPr>
          <w:rFonts w:asciiTheme="majorBidi" w:hAnsiTheme="majorBidi" w:cstheme="majorBidi"/>
          <w:sz w:val="24"/>
          <w:szCs w:val="24"/>
        </w:rPr>
        <w:t xml:space="preserve">serious adverse </w:t>
      </w:r>
      <w:r w:rsidR="009D787B">
        <w:rPr>
          <w:rFonts w:asciiTheme="majorBidi" w:hAnsiTheme="majorBidi" w:cstheme="majorBidi"/>
          <w:sz w:val="24"/>
          <w:szCs w:val="24"/>
        </w:rPr>
        <w:t>events.</w:t>
      </w:r>
      <w:r w:rsidRPr="007450FC">
        <w:rPr>
          <w:rFonts w:asciiTheme="majorBidi" w:hAnsiTheme="majorBidi" w:cstheme="majorBidi"/>
          <w:sz w:val="24"/>
          <w:szCs w:val="24"/>
        </w:rPr>
        <w:t xml:space="preserve"> </w:t>
      </w:r>
      <w:r w:rsidR="00532AF6">
        <w:rPr>
          <w:rFonts w:asciiTheme="majorBidi" w:hAnsiTheme="majorBidi" w:cstheme="majorBidi"/>
          <w:sz w:val="24"/>
          <w:szCs w:val="24"/>
        </w:rPr>
        <w:t xml:space="preserve"> </w:t>
      </w:r>
    </w:p>
    <w:p w14:paraId="2EF9994C" w14:textId="77777777" w:rsidR="000A70F8" w:rsidRDefault="00532AF6" w:rsidP="00B248A5">
      <w:pPr>
        <w:spacing w:line="480" w:lineRule="auto"/>
        <w:jc w:val="both"/>
        <w:rPr>
          <w:rFonts w:asciiTheme="majorBidi" w:hAnsiTheme="majorBidi" w:cstheme="majorBidi"/>
          <w:sz w:val="24"/>
          <w:szCs w:val="24"/>
        </w:rPr>
      </w:pPr>
      <w:r>
        <w:rPr>
          <w:rFonts w:asciiTheme="majorBidi" w:hAnsiTheme="majorBidi" w:cstheme="majorBidi"/>
          <w:sz w:val="24"/>
          <w:szCs w:val="24"/>
        </w:rPr>
        <w:t xml:space="preserve"> </w:t>
      </w:r>
      <w:r w:rsidR="00493EDF">
        <w:rPr>
          <w:rFonts w:asciiTheme="majorBidi" w:hAnsiTheme="majorBidi" w:cstheme="majorBidi"/>
          <w:b/>
          <w:bCs/>
          <w:sz w:val="28"/>
          <w:szCs w:val="28"/>
        </w:rPr>
        <w:t>Discussion:</w:t>
      </w:r>
    </w:p>
    <w:p w14:paraId="387ACAE2" w14:textId="7AA621AD" w:rsidR="00493EDF" w:rsidRPr="00D826B7" w:rsidRDefault="004E4325" w:rsidP="00260700">
      <w:pPr>
        <w:spacing w:line="480" w:lineRule="auto"/>
        <w:jc w:val="both"/>
        <w:rPr>
          <w:rFonts w:asciiTheme="majorBidi" w:hAnsiTheme="majorBidi" w:cstheme="majorBidi"/>
          <w:color w:val="000000"/>
          <w:sz w:val="24"/>
          <w:szCs w:val="24"/>
        </w:rPr>
      </w:pPr>
      <w:r>
        <w:rPr>
          <w:rFonts w:asciiTheme="majorBidi" w:hAnsiTheme="majorBidi" w:cstheme="majorBidi"/>
          <w:sz w:val="24"/>
          <w:szCs w:val="24"/>
        </w:rPr>
        <w:t>In</w:t>
      </w:r>
      <w:r w:rsidR="00567A92" w:rsidRPr="00D826B7">
        <w:rPr>
          <w:rFonts w:asciiTheme="majorBidi" w:hAnsiTheme="majorBidi" w:cstheme="majorBidi"/>
          <w:sz w:val="24"/>
          <w:szCs w:val="24"/>
        </w:rPr>
        <w:t xml:space="preserve"> the DECLARE-TIMI 58 trial</w:t>
      </w:r>
      <w:r w:rsidR="00C9635C">
        <w:rPr>
          <w:rFonts w:asciiTheme="majorBidi" w:hAnsiTheme="majorBidi" w:cstheme="majorBidi"/>
          <w:sz w:val="24"/>
          <w:szCs w:val="24"/>
        </w:rPr>
        <w:t>,</w:t>
      </w:r>
      <w:r w:rsidR="00567A92" w:rsidRPr="00D826B7">
        <w:rPr>
          <w:rFonts w:asciiTheme="majorBidi" w:hAnsiTheme="majorBidi" w:cstheme="majorBidi"/>
          <w:sz w:val="24"/>
          <w:szCs w:val="24"/>
        </w:rPr>
        <w:t xml:space="preserve"> </w:t>
      </w:r>
      <w:r w:rsidR="00C9635C">
        <w:rPr>
          <w:rFonts w:asciiTheme="majorBidi" w:hAnsiTheme="majorBidi" w:cstheme="majorBidi"/>
          <w:sz w:val="24"/>
          <w:szCs w:val="24"/>
        </w:rPr>
        <w:t xml:space="preserve">patients randomized to </w:t>
      </w:r>
      <w:r w:rsidR="00567A92" w:rsidRPr="004802A3">
        <w:rPr>
          <w:rFonts w:asciiTheme="majorBidi" w:hAnsiTheme="majorBidi" w:cstheme="majorBidi"/>
          <w:sz w:val="24"/>
          <w:szCs w:val="24"/>
        </w:rPr>
        <w:t xml:space="preserve">dapagliflozin </w:t>
      </w:r>
      <w:r w:rsidR="002B3603">
        <w:rPr>
          <w:rFonts w:asciiTheme="majorBidi" w:hAnsiTheme="majorBidi" w:cstheme="majorBidi"/>
          <w:sz w:val="24"/>
          <w:szCs w:val="24"/>
        </w:rPr>
        <w:t>had</w:t>
      </w:r>
      <w:r w:rsidR="002B3603" w:rsidRPr="00E85390">
        <w:rPr>
          <w:rFonts w:asciiTheme="majorBidi" w:hAnsiTheme="majorBidi" w:cstheme="majorBidi"/>
          <w:sz w:val="24"/>
          <w:szCs w:val="24"/>
        </w:rPr>
        <w:t xml:space="preserve"> </w:t>
      </w:r>
      <w:r>
        <w:rPr>
          <w:rFonts w:asciiTheme="majorBidi" w:hAnsiTheme="majorBidi" w:cstheme="majorBidi"/>
          <w:sz w:val="24"/>
          <w:szCs w:val="24"/>
        </w:rPr>
        <w:t>considerable</w:t>
      </w:r>
      <w:r w:rsidR="001524BE" w:rsidRPr="00E85390">
        <w:rPr>
          <w:rFonts w:asciiTheme="majorBidi" w:hAnsiTheme="majorBidi" w:cstheme="majorBidi"/>
          <w:sz w:val="24"/>
          <w:szCs w:val="24"/>
        </w:rPr>
        <w:t xml:space="preserve"> </w:t>
      </w:r>
      <w:r w:rsidR="00567A92" w:rsidRPr="00E85390">
        <w:rPr>
          <w:rFonts w:asciiTheme="majorBidi" w:hAnsiTheme="majorBidi" w:cstheme="majorBidi"/>
          <w:sz w:val="24"/>
          <w:szCs w:val="24"/>
        </w:rPr>
        <w:t xml:space="preserve">improvement in </w:t>
      </w:r>
      <w:r w:rsidR="001524BE" w:rsidRPr="00E85390">
        <w:rPr>
          <w:rFonts w:asciiTheme="majorBidi" w:hAnsiTheme="majorBidi" w:cstheme="majorBidi"/>
          <w:sz w:val="24"/>
          <w:szCs w:val="24"/>
        </w:rPr>
        <w:t xml:space="preserve">clinically significant </w:t>
      </w:r>
      <w:r w:rsidR="00567A92" w:rsidRPr="00084191">
        <w:rPr>
          <w:rFonts w:asciiTheme="majorBidi" w:hAnsiTheme="majorBidi" w:cstheme="majorBidi"/>
          <w:sz w:val="24"/>
          <w:szCs w:val="24"/>
        </w:rPr>
        <w:t>renal outcomes</w:t>
      </w:r>
      <w:r w:rsidR="00A03CCE">
        <w:rPr>
          <w:rFonts w:asciiTheme="majorBidi" w:hAnsiTheme="majorBidi" w:cstheme="majorBidi"/>
          <w:sz w:val="24"/>
          <w:szCs w:val="24"/>
        </w:rPr>
        <w:t>.</w:t>
      </w:r>
      <w:r w:rsidR="00F82811">
        <w:rPr>
          <w:rFonts w:asciiTheme="majorBidi" w:hAnsiTheme="majorBidi" w:cstheme="majorBidi"/>
          <w:sz w:val="24"/>
          <w:szCs w:val="24"/>
        </w:rPr>
        <w:t xml:space="preserve"> This includes </w:t>
      </w:r>
      <w:r w:rsidR="00A052E2">
        <w:rPr>
          <w:rFonts w:asciiTheme="majorBidi" w:hAnsiTheme="majorBidi" w:cstheme="majorBidi"/>
          <w:sz w:val="24"/>
          <w:szCs w:val="24"/>
        </w:rPr>
        <w:t>a 24%</w:t>
      </w:r>
      <w:r w:rsidR="00601717">
        <w:rPr>
          <w:rFonts w:asciiTheme="majorBidi" w:hAnsiTheme="majorBidi" w:cstheme="majorBidi"/>
          <w:sz w:val="24"/>
          <w:szCs w:val="24"/>
        </w:rPr>
        <w:t xml:space="preserve"> and 47%</w:t>
      </w:r>
      <w:r w:rsidR="00A052E2">
        <w:rPr>
          <w:rFonts w:asciiTheme="majorBidi" w:hAnsiTheme="majorBidi" w:cstheme="majorBidi"/>
          <w:sz w:val="24"/>
          <w:szCs w:val="24"/>
        </w:rPr>
        <w:t xml:space="preserve"> </w:t>
      </w:r>
      <w:r w:rsidR="005A1215">
        <w:rPr>
          <w:rFonts w:asciiTheme="majorBidi" w:hAnsiTheme="majorBidi" w:cstheme="majorBidi"/>
          <w:sz w:val="24"/>
          <w:szCs w:val="24"/>
        </w:rPr>
        <w:t>decrease</w:t>
      </w:r>
      <w:r w:rsidR="00F76B12">
        <w:rPr>
          <w:rFonts w:asciiTheme="majorBidi" w:hAnsiTheme="majorBidi" w:cstheme="majorBidi"/>
          <w:sz w:val="24"/>
          <w:szCs w:val="24"/>
        </w:rPr>
        <w:t xml:space="preserve"> </w:t>
      </w:r>
      <w:r w:rsidR="00F82811">
        <w:rPr>
          <w:rFonts w:asciiTheme="majorBidi" w:hAnsiTheme="majorBidi" w:cstheme="majorBidi"/>
          <w:sz w:val="24"/>
          <w:szCs w:val="24"/>
        </w:rPr>
        <w:t>in</w:t>
      </w:r>
      <w:r w:rsidR="00D03B5E" w:rsidRPr="00084191">
        <w:rPr>
          <w:rFonts w:asciiTheme="majorBidi" w:hAnsiTheme="majorBidi" w:cstheme="majorBidi"/>
          <w:sz w:val="24"/>
          <w:szCs w:val="24"/>
        </w:rPr>
        <w:t xml:space="preserve"> the </w:t>
      </w:r>
      <w:r w:rsidR="00F76B12">
        <w:rPr>
          <w:rFonts w:asciiTheme="majorBidi" w:hAnsiTheme="majorBidi" w:cstheme="majorBidi"/>
          <w:sz w:val="24"/>
          <w:szCs w:val="24"/>
        </w:rPr>
        <w:t xml:space="preserve">risk for the </w:t>
      </w:r>
      <w:r w:rsidR="00A0677F">
        <w:rPr>
          <w:rFonts w:asciiTheme="majorBidi" w:hAnsiTheme="majorBidi" w:cstheme="majorBidi"/>
          <w:sz w:val="24"/>
          <w:szCs w:val="24"/>
        </w:rPr>
        <w:t>primary and secondary composite</w:t>
      </w:r>
      <w:r w:rsidR="00F82811">
        <w:rPr>
          <w:rFonts w:asciiTheme="majorBidi" w:hAnsiTheme="majorBidi" w:cstheme="majorBidi"/>
          <w:sz w:val="24"/>
          <w:szCs w:val="24"/>
        </w:rPr>
        <w:t xml:space="preserve"> </w:t>
      </w:r>
      <w:r w:rsidR="007E096D">
        <w:rPr>
          <w:rFonts w:asciiTheme="majorBidi" w:hAnsiTheme="majorBidi" w:cstheme="majorBidi"/>
          <w:sz w:val="24"/>
          <w:szCs w:val="24"/>
        </w:rPr>
        <w:t xml:space="preserve">renal </w:t>
      </w:r>
      <w:r w:rsidR="00F82811">
        <w:rPr>
          <w:rFonts w:asciiTheme="majorBidi" w:hAnsiTheme="majorBidi" w:cstheme="majorBidi"/>
          <w:sz w:val="24"/>
          <w:szCs w:val="24"/>
        </w:rPr>
        <w:t>outcome</w:t>
      </w:r>
      <w:r w:rsidR="00A0677F">
        <w:rPr>
          <w:rFonts w:asciiTheme="majorBidi" w:hAnsiTheme="majorBidi" w:cstheme="majorBidi"/>
          <w:sz w:val="24"/>
          <w:szCs w:val="24"/>
        </w:rPr>
        <w:t>s</w:t>
      </w:r>
      <w:r w:rsidR="00D03B5E" w:rsidRPr="00F82811">
        <w:rPr>
          <w:rFonts w:asciiTheme="majorBidi" w:hAnsiTheme="majorBidi" w:cstheme="majorBidi"/>
          <w:sz w:val="24"/>
          <w:szCs w:val="24"/>
        </w:rPr>
        <w:t xml:space="preserve"> </w:t>
      </w:r>
      <w:r w:rsidR="00A0677F">
        <w:rPr>
          <w:rFonts w:asciiTheme="majorBidi" w:hAnsiTheme="majorBidi" w:cstheme="majorBidi"/>
          <w:sz w:val="24"/>
          <w:szCs w:val="24"/>
        </w:rPr>
        <w:t>respectively (</w:t>
      </w:r>
      <w:r w:rsidR="00D03B5E" w:rsidRPr="00F82811">
        <w:rPr>
          <w:rFonts w:ascii="Times New Roman" w:hAnsi="Times New Roman" w:cs="Times New Roman"/>
          <w:sz w:val="24"/>
          <w:szCs w:val="24"/>
        </w:rPr>
        <w:t>time to first event of sustained decrease of eGFR by ≥40 % to eGFR&lt;60 ml/min/1.73 m</w:t>
      </w:r>
      <w:r w:rsidR="00D03B5E" w:rsidRPr="00F82811">
        <w:rPr>
          <w:rFonts w:ascii="Times New Roman" w:hAnsi="Times New Roman" w:cs="Times New Roman"/>
          <w:sz w:val="24"/>
          <w:szCs w:val="24"/>
          <w:vertAlign w:val="superscript"/>
        </w:rPr>
        <w:t>2</w:t>
      </w:r>
      <w:r w:rsidR="00D03B5E" w:rsidRPr="00F82811">
        <w:rPr>
          <w:rFonts w:ascii="Times New Roman" w:hAnsi="Times New Roman" w:cs="Times New Roman"/>
          <w:sz w:val="24"/>
          <w:szCs w:val="24"/>
        </w:rPr>
        <w:t>, and/or ESRD, and</w:t>
      </w:r>
      <w:r w:rsidR="000F61B7">
        <w:rPr>
          <w:rFonts w:ascii="Times New Roman" w:hAnsi="Times New Roman" w:cs="Times New Roman"/>
          <w:sz w:val="24"/>
          <w:szCs w:val="24"/>
        </w:rPr>
        <w:t>/</w:t>
      </w:r>
      <w:r w:rsidR="00D03B5E" w:rsidRPr="00F82811">
        <w:rPr>
          <w:rFonts w:ascii="Times New Roman" w:hAnsi="Times New Roman" w:cs="Times New Roman"/>
          <w:sz w:val="24"/>
          <w:szCs w:val="24"/>
        </w:rPr>
        <w:t>or renal</w:t>
      </w:r>
      <w:r w:rsidR="00F82811">
        <w:rPr>
          <w:rFonts w:ascii="Times New Roman" w:hAnsi="Times New Roman" w:cs="Times New Roman"/>
          <w:sz w:val="24"/>
          <w:szCs w:val="24"/>
        </w:rPr>
        <w:t xml:space="preserve"> </w:t>
      </w:r>
      <w:r w:rsidR="00F82811">
        <w:rPr>
          <w:rFonts w:ascii="Times New Roman" w:hAnsi="Times New Roman" w:cs="Times New Roman"/>
          <w:sz w:val="24"/>
          <w:szCs w:val="24"/>
        </w:rPr>
        <w:lastRenderedPageBreak/>
        <w:t>death with or without</w:t>
      </w:r>
      <w:r w:rsidR="00F82811" w:rsidRPr="00B609A4">
        <w:rPr>
          <w:rFonts w:ascii="Times New Roman" w:hAnsi="Times New Roman" w:cs="Times New Roman"/>
          <w:sz w:val="24"/>
          <w:szCs w:val="24"/>
        </w:rPr>
        <w:t xml:space="preserve"> CV </w:t>
      </w:r>
      <w:r w:rsidR="00D03B5E" w:rsidRPr="00F82811">
        <w:rPr>
          <w:rFonts w:ascii="Times New Roman" w:hAnsi="Times New Roman" w:cs="Times New Roman"/>
          <w:sz w:val="24"/>
          <w:szCs w:val="24"/>
        </w:rPr>
        <w:t>death</w:t>
      </w:r>
      <w:r w:rsidR="00A0677F">
        <w:rPr>
          <w:rFonts w:ascii="Times New Roman" w:hAnsi="Times New Roman" w:cs="Times New Roman"/>
          <w:sz w:val="24"/>
          <w:szCs w:val="24"/>
        </w:rPr>
        <w:t>)</w:t>
      </w:r>
      <w:r>
        <w:rPr>
          <w:rFonts w:ascii="Times New Roman" w:hAnsi="Times New Roman" w:cs="Times New Roman"/>
          <w:sz w:val="24"/>
          <w:szCs w:val="24"/>
        </w:rPr>
        <w:t>.</w:t>
      </w:r>
      <w:r w:rsidR="00F82811">
        <w:rPr>
          <w:rFonts w:ascii="Times New Roman" w:hAnsi="Times New Roman" w:cs="Times New Roman"/>
          <w:sz w:val="24"/>
          <w:szCs w:val="24"/>
        </w:rPr>
        <w:t xml:space="preserve"> </w:t>
      </w:r>
      <w:r w:rsidR="00C9635C">
        <w:rPr>
          <w:rFonts w:ascii="Times New Roman" w:hAnsi="Times New Roman" w:cs="Times New Roman"/>
          <w:sz w:val="24"/>
          <w:szCs w:val="24"/>
        </w:rPr>
        <w:t xml:space="preserve">They </w:t>
      </w:r>
      <w:r>
        <w:rPr>
          <w:rFonts w:ascii="Times New Roman" w:hAnsi="Times New Roman" w:cs="Times New Roman"/>
          <w:sz w:val="24"/>
          <w:szCs w:val="24"/>
        </w:rPr>
        <w:t xml:space="preserve">also </w:t>
      </w:r>
      <w:r w:rsidR="00F76B12">
        <w:rPr>
          <w:rFonts w:ascii="Times New Roman" w:hAnsi="Times New Roman" w:cs="Times New Roman"/>
          <w:sz w:val="24"/>
          <w:szCs w:val="24"/>
        </w:rPr>
        <w:t xml:space="preserve">showed marked </w:t>
      </w:r>
      <w:r w:rsidR="00A052E2">
        <w:rPr>
          <w:rFonts w:asciiTheme="majorBidi" w:hAnsiTheme="majorBidi" w:cstheme="majorBidi"/>
          <w:sz w:val="24"/>
          <w:szCs w:val="24"/>
        </w:rPr>
        <w:t>improvement</w:t>
      </w:r>
      <w:r w:rsidR="00F82811">
        <w:rPr>
          <w:rFonts w:asciiTheme="majorBidi" w:hAnsiTheme="majorBidi" w:cstheme="majorBidi"/>
          <w:sz w:val="24"/>
          <w:szCs w:val="24"/>
        </w:rPr>
        <w:t xml:space="preserve"> in the </w:t>
      </w:r>
      <w:r w:rsidR="00A03CCE">
        <w:rPr>
          <w:rFonts w:asciiTheme="majorBidi" w:hAnsiTheme="majorBidi" w:cstheme="majorBidi"/>
          <w:sz w:val="24"/>
          <w:szCs w:val="24"/>
        </w:rPr>
        <w:t>components</w:t>
      </w:r>
      <w:r w:rsidR="00F82811">
        <w:rPr>
          <w:rFonts w:asciiTheme="majorBidi" w:hAnsiTheme="majorBidi" w:cstheme="majorBidi"/>
          <w:sz w:val="24"/>
          <w:szCs w:val="24"/>
        </w:rPr>
        <w:t xml:space="preserve"> of </w:t>
      </w:r>
      <w:r w:rsidR="00F82811" w:rsidRPr="00F82811">
        <w:rPr>
          <w:rFonts w:ascii="Times New Roman" w:hAnsi="Times New Roman" w:cs="Times New Roman"/>
          <w:sz w:val="24"/>
          <w:szCs w:val="24"/>
        </w:rPr>
        <w:t>sustained decrease</w:t>
      </w:r>
      <w:r w:rsidR="00F82811">
        <w:rPr>
          <w:rFonts w:asciiTheme="majorBidi" w:hAnsiTheme="majorBidi" w:cstheme="majorBidi"/>
          <w:sz w:val="24"/>
          <w:szCs w:val="24"/>
        </w:rPr>
        <w:t xml:space="preserve"> of </w:t>
      </w:r>
      <w:r w:rsidR="00F82811" w:rsidRPr="00F82811">
        <w:rPr>
          <w:rFonts w:ascii="Times New Roman" w:hAnsi="Times New Roman" w:cs="Times New Roman"/>
          <w:sz w:val="24"/>
          <w:szCs w:val="24"/>
        </w:rPr>
        <w:t>eGFR by ≥40 % and ESRD</w:t>
      </w:r>
      <w:r w:rsidR="00567A92" w:rsidRPr="00084191">
        <w:rPr>
          <w:rFonts w:asciiTheme="majorBidi" w:hAnsiTheme="majorBidi" w:cstheme="majorBidi"/>
          <w:sz w:val="24"/>
          <w:szCs w:val="24"/>
        </w:rPr>
        <w:t xml:space="preserve">. </w:t>
      </w:r>
      <w:r w:rsidR="00946F8C" w:rsidRPr="009D787B">
        <w:rPr>
          <w:rFonts w:asciiTheme="majorBidi" w:hAnsiTheme="majorBidi" w:cstheme="majorBidi"/>
          <w:color w:val="000000"/>
          <w:sz w:val="24"/>
          <w:szCs w:val="24"/>
          <w:lang w:val="en-GB"/>
        </w:rPr>
        <w:t xml:space="preserve">ESRD </w:t>
      </w:r>
      <w:r w:rsidR="00DC7472" w:rsidRPr="009D787B">
        <w:rPr>
          <w:rFonts w:asciiTheme="majorBidi" w:hAnsiTheme="majorBidi" w:cstheme="majorBidi"/>
          <w:color w:val="000000"/>
          <w:sz w:val="24"/>
          <w:szCs w:val="24"/>
          <w:lang w:val="en-GB"/>
        </w:rPr>
        <w:t>w</w:t>
      </w:r>
      <w:r w:rsidR="00DC7472">
        <w:rPr>
          <w:rFonts w:asciiTheme="majorBidi" w:hAnsiTheme="majorBidi" w:cstheme="majorBidi"/>
          <w:color w:val="000000"/>
          <w:sz w:val="24"/>
          <w:szCs w:val="24"/>
          <w:lang w:val="en-GB"/>
        </w:rPr>
        <w:t>as a</w:t>
      </w:r>
      <w:r w:rsidR="00DC7472" w:rsidRPr="009D787B">
        <w:rPr>
          <w:rFonts w:asciiTheme="majorBidi" w:hAnsiTheme="majorBidi" w:cstheme="majorBidi"/>
          <w:color w:val="000000"/>
          <w:sz w:val="24"/>
          <w:szCs w:val="24"/>
          <w:lang w:val="en-GB"/>
        </w:rPr>
        <w:t xml:space="preserve"> </w:t>
      </w:r>
      <w:r w:rsidR="00946F8C" w:rsidRPr="009D787B">
        <w:rPr>
          <w:rFonts w:asciiTheme="majorBidi" w:hAnsiTheme="majorBidi" w:cstheme="majorBidi"/>
          <w:color w:val="000000"/>
          <w:sz w:val="24"/>
          <w:szCs w:val="24"/>
          <w:lang w:val="en-GB"/>
        </w:rPr>
        <w:t>rare</w:t>
      </w:r>
      <w:r w:rsidR="00DC7472">
        <w:rPr>
          <w:rFonts w:asciiTheme="majorBidi" w:hAnsiTheme="majorBidi" w:cstheme="majorBidi"/>
          <w:color w:val="000000"/>
          <w:sz w:val="24"/>
          <w:szCs w:val="24"/>
          <w:lang w:val="en-GB"/>
        </w:rPr>
        <w:t xml:space="preserve"> event in the DECLARE</w:t>
      </w:r>
      <w:r w:rsidR="001361F2">
        <w:rPr>
          <w:rFonts w:asciiTheme="majorBidi" w:hAnsiTheme="majorBidi" w:cstheme="majorBidi"/>
          <w:color w:val="000000"/>
          <w:sz w:val="24"/>
          <w:szCs w:val="24"/>
          <w:lang w:val="en-GB"/>
        </w:rPr>
        <w:t>-TIMI 58</w:t>
      </w:r>
      <w:r w:rsidR="00DC7472">
        <w:rPr>
          <w:rFonts w:asciiTheme="majorBidi" w:hAnsiTheme="majorBidi" w:cstheme="majorBidi"/>
          <w:color w:val="000000"/>
          <w:sz w:val="24"/>
          <w:szCs w:val="24"/>
          <w:lang w:val="en-GB"/>
        </w:rPr>
        <w:t xml:space="preserve"> trial</w:t>
      </w:r>
      <w:r w:rsidR="000557DC">
        <w:rPr>
          <w:rFonts w:asciiTheme="majorBidi" w:hAnsiTheme="majorBidi" w:cstheme="majorBidi"/>
          <w:color w:val="000000"/>
          <w:sz w:val="24"/>
          <w:szCs w:val="24"/>
          <w:lang w:val="en-GB"/>
        </w:rPr>
        <w:t>, as expected in a population with high baseline eGFR,</w:t>
      </w:r>
      <w:r w:rsidR="00DC7472">
        <w:rPr>
          <w:rFonts w:asciiTheme="majorBidi" w:hAnsiTheme="majorBidi" w:cstheme="majorBidi"/>
          <w:color w:val="000000"/>
          <w:sz w:val="24"/>
          <w:szCs w:val="24"/>
          <w:lang w:val="en-GB"/>
        </w:rPr>
        <w:t xml:space="preserve"> yet the incidence was significantly reduced by dapagliflozin</w:t>
      </w:r>
      <w:r w:rsidR="007E096D">
        <w:rPr>
          <w:rFonts w:asciiTheme="majorBidi" w:hAnsiTheme="majorBidi" w:cstheme="majorBidi"/>
          <w:color w:val="000000"/>
          <w:sz w:val="24"/>
          <w:szCs w:val="24"/>
          <w:lang w:val="en-GB"/>
        </w:rPr>
        <w:t>.</w:t>
      </w:r>
      <w:r w:rsidR="00946F8C">
        <w:rPr>
          <w:rFonts w:asciiTheme="majorBidi" w:hAnsiTheme="majorBidi" w:cstheme="majorBidi"/>
          <w:sz w:val="24"/>
          <w:szCs w:val="24"/>
        </w:rPr>
        <w:t xml:space="preserve"> </w:t>
      </w:r>
      <w:r w:rsidR="00DC7472" w:rsidRPr="00084191">
        <w:rPr>
          <w:rFonts w:asciiTheme="majorBidi" w:hAnsiTheme="majorBidi" w:cstheme="majorBidi"/>
          <w:sz w:val="24"/>
          <w:szCs w:val="24"/>
        </w:rPr>
        <w:t>Th</w:t>
      </w:r>
      <w:r w:rsidR="00DC7472">
        <w:rPr>
          <w:rFonts w:asciiTheme="majorBidi" w:hAnsiTheme="majorBidi" w:cstheme="majorBidi"/>
          <w:sz w:val="24"/>
          <w:szCs w:val="24"/>
        </w:rPr>
        <w:t>ese benefits occurred</w:t>
      </w:r>
      <w:r w:rsidR="00DC7472" w:rsidRPr="00084191">
        <w:rPr>
          <w:rFonts w:asciiTheme="majorBidi" w:hAnsiTheme="majorBidi" w:cstheme="majorBidi"/>
          <w:sz w:val="24"/>
          <w:szCs w:val="24"/>
        </w:rPr>
        <w:t xml:space="preserve"> </w:t>
      </w:r>
      <w:r w:rsidR="00380655" w:rsidRPr="00F82811">
        <w:rPr>
          <w:rFonts w:asciiTheme="majorBidi" w:hAnsiTheme="majorBidi" w:cstheme="majorBidi"/>
          <w:sz w:val="24"/>
          <w:szCs w:val="24"/>
        </w:rPr>
        <w:t xml:space="preserve">in </w:t>
      </w:r>
      <w:r w:rsidR="001524BE" w:rsidRPr="00F82811">
        <w:rPr>
          <w:rFonts w:asciiTheme="majorBidi" w:hAnsiTheme="majorBidi" w:cstheme="majorBidi"/>
          <w:sz w:val="24"/>
          <w:szCs w:val="24"/>
        </w:rPr>
        <w:t>a</w:t>
      </w:r>
      <w:r w:rsidR="009D787B">
        <w:rPr>
          <w:rFonts w:asciiTheme="majorBidi" w:hAnsiTheme="majorBidi" w:cstheme="majorBidi"/>
          <w:sz w:val="24"/>
          <w:szCs w:val="24"/>
        </w:rPr>
        <w:t xml:space="preserve"> large</w:t>
      </w:r>
      <w:r w:rsidR="001524BE" w:rsidRPr="00F82811">
        <w:rPr>
          <w:rFonts w:asciiTheme="majorBidi" w:hAnsiTheme="majorBidi" w:cstheme="majorBidi"/>
          <w:sz w:val="24"/>
          <w:szCs w:val="24"/>
        </w:rPr>
        <w:t xml:space="preserve"> </w:t>
      </w:r>
      <w:r w:rsidR="00DC7472">
        <w:rPr>
          <w:rFonts w:asciiTheme="majorBidi" w:hAnsiTheme="majorBidi" w:cstheme="majorBidi"/>
          <w:sz w:val="24"/>
          <w:szCs w:val="24"/>
        </w:rPr>
        <w:t xml:space="preserve">and broad </w:t>
      </w:r>
      <w:r w:rsidR="001524BE" w:rsidRPr="00F82811">
        <w:rPr>
          <w:rFonts w:asciiTheme="majorBidi" w:hAnsiTheme="majorBidi" w:cstheme="majorBidi"/>
          <w:sz w:val="24"/>
          <w:szCs w:val="24"/>
        </w:rPr>
        <w:t xml:space="preserve">population of </w:t>
      </w:r>
      <w:r w:rsidR="00380655" w:rsidRPr="00F82811">
        <w:rPr>
          <w:rFonts w:asciiTheme="majorBidi" w:hAnsiTheme="majorBidi" w:cstheme="majorBidi"/>
          <w:sz w:val="24"/>
          <w:szCs w:val="24"/>
        </w:rPr>
        <w:t xml:space="preserve">patients with </w:t>
      </w:r>
      <w:r w:rsidR="003B52EF">
        <w:rPr>
          <w:rFonts w:asciiTheme="majorBidi" w:hAnsiTheme="majorBidi" w:cstheme="majorBidi"/>
          <w:sz w:val="24"/>
          <w:szCs w:val="24"/>
        </w:rPr>
        <w:t>T2D</w:t>
      </w:r>
      <w:r w:rsidR="00380655" w:rsidRPr="00F82811">
        <w:rPr>
          <w:rFonts w:asciiTheme="majorBidi" w:hAnsiTheme="majorBidi" w:cstheme="majorBidi"/>
          <w:sz w:val="24"/>
          <w:szCs w:val="24"/>
        </w:rPr>
        <w:t xml:space="preserve"> </w:t>
      </w:r>
      <w:r w:rsidR="00F76B12">
        <w:rPr>
          <w:rFonts w:asciiTheme="majorBidi" w:hAnsiTheme="majorBidi" w:cstheme="majorBidi"/>
          <w:sz w:val="24"/>
          <w:szCs w:val="24"/>
        </w:rPr>
        <w:t xml:space="preserve">irrespective of the presence of </w:t>
      </w:r>
      <w:r w:rsidR="00380655" w:rsidRPr="00F82811">
        <w:rPr>
          <w:rFonts w:asciiTheme="majorBidi" w:hAnsiTheme="majorBidi" w:cstheme="majorBidi"/>
          <w:sz w:val="24"/>
          <w:szCs w:val="24"/>
        </w:rPr>
        <w:t>ASCVD</w:t>
      </w:r>
      <w:r w:rsidR="00F76B12">
        <w:rPr>
          <w:rFonts w:asciiTheme="majorBidi" w:hAnsiTheme="majorBidi" w:cstheme="majorBidi"/>
          <w:sz w:val="24"/>
          <w:szCs w:val="24"/>
        </w:rPr>
        <w:t xml:space="preserve">. </w:t>
      </w:r>
      <w:r w:rsidR="00EB5D6F">
        <w:rPr>
          <w:rFonts w:asciiTheme="majorBidi" w:hAnsiTheme="majorBidi" w:cstheme="majorBidi"/>
          <w:sz w:val="24"/>
          <w:szCs w:val="24"/>
        </w:rPr>
        <w:t>A</w:t>
      </w:r>
      <w:r w:rsidR="00F76B12">
        <w:rPr>
          <w:rFonts w:asciiTheme="majorBidi" w:hAnsiTheme="majorBidi" w:cstheme="majorBidi"/>
          <w:sz w:val="24"/>
          <w:szCs w:val="24"/>
        </w:rPr>
        <w:t>lmost half of the patients</w:t>
      </w:r>
      <w:r w:rsidR="00380655" w:rsidRPr="00F82811">
        <w:rPr>
          <w:rFonts w:asciiTheme="majorBidi" w:hAnsiTheme="majorBidi" w:cstheme="majorBidi"/>
          <w:sz w:val="24"/>
          <w:szCs w:val="24"/>
        </w:rPr>
        <w:t xml:space="preserve"> </w:t>
      </w:r>
      <w:r w:rsidR="00F76B12">
        <w:rPr>
          <w:rFonts w:asciiTheme="majorBidi" w:hAnsiTheme="majorBidi" w:cstheme="majorBidi"/>
          <w:sz w:val="24"/>
          <w:szCs w:val="24"/>
        </w:rPr>
        <w:t>(</w:t>
      </w:r>
      <w:r w:rsidR="001524BE" w:rsidRPr="00F82811">
        <w:rPr>
          <w:rFonts w:asciiTheme="majorBidi" w:hAnsiTheme="majorBidi" w:cstheme="majorBidi"/>
          <w:sz w:val="24"/>
          <w:szCs w:val="24"/>
        </w:rPr>
        <w:t>47.6</w:t>
      </w:r>
      <w:r w:rsidR="00380655" w:rsidRPr="00F82811">
        <w:rPr>
          <w:rFonts w:asciiTheme="majorBidi" w:hAnsiTheme="majorBidi" w:cstheme="majorBidi"/>
          <w:sz w:val="24"/>
          <w:szCs w:val="24"/>
        </w:rPr>
        <w:t>%</w:t>
      </w:r>
      <w:r w:rsidR="00F76B12">
        <w:rPr>
          <w:rFonts w:asciiTheme="majorBidi" w:hAnsiTheme="majorBidi" w:cstheme="majorBidi"/>
          <w:sz w:val="24"/>
          <w:szCs w:val="24"/>
        </w:rPr>
        <w:t>)</w:t>
      </w:r>
      <w:r w:rsidR="00380655" w:rsidRPr="00F82811">
        <w:rPr>
          <w:rFonts w:asciiTheme="majorBidi" w:hAnsiTheme="majorBidi" w:cstheme="majorBidi"/>
          <w:sz w:val="24"/>
          <w:szCs w:val="24"/>
        </w:rPr>
        <w:t xml:space="preserve"> had </w:t>
      </w:r>
      <w:r w:rsidR="00DC7472">
        <w:rPr>
          <w:rFonts w:asciiTheme="majorBidi" w:hAnsiTheme="majorBidi" w:cstheme="majorBidi"/>
          <w:sz w:val="24"/>
          <w:szCs w:val="24"/>
          <w:lang w:val="en-GB" w:bidi="he-IL"/>
        </w:rPr>
        <w:t xml:space="preserve">preserved </w:t>
      </w:r>
      <w:r w:rsidR="00380655" w:rsidRPr="00F82811">
        <w:rPr>
          <w:rFonts w:asciiTheme="majorBidi" w:hAnsiTheme="majorBidi" w:cstheme="majorBidi"/>
          <w:sz w:val="24"/>
          <w:szCs w:val="24"/>
        </w:rPr>
        <w:t>renal function at baseline (eGFR&gt;</w:t>
      </w:r>
      <w:r w:rsidR="00EB5D6F">
        <w:rPr>
          <w:rFonts w:asciiTheme="majorBidi" w:hAnsiTheme="majorBidi" w:cstheme="majorBidi"/>
          <w:sz w:val="24"/>
          <w:szCs w:val="24"/>
        </w:rPr>
        <w:t>=</w:t>
      </w:r>
      <w:r w:rsidR="00380655" w:rsidRPr="00F82811">
        <w:rPr>
          <w:rFonts w:asciiTheme="majorBidi" w:hAnsiTheme="majorBidi" w:cstheme="majorBidi"/>
          <w:sz w:val="24"/>
          <w:szCs w:val="24"/>
        </w:rPr>
        <w:t xml:space="preserve">90 </w:t>
      </w:r>
      <w:r w:rsidR="00380655" w:rsidRPr="00F82811">
        <w:rPr>
          <w:rFonts w:asciiTheme="majorBidi" w:eastAsia="Times New Roman" w:hAnsiTheme="majorBidi" w:cstheme="majorBidi"/>
          <w:color w:val="000000"/>
          <w:sz w:val="24"/>
          <w:szCs w:val="24"/>
          <w:lang w:bidi="he-IL"/>
        </w:rPr>
        <w:t>mL/min/1.73m</w:t>
      </w:r>
      <w:r w:rsidR="00380655" w:rsidRPr="00F82811">
        <w:rPr>
          <w:rFonts w:asciiTheme="majorBidi" w:eastAsia="Times New Roman" w:hAnsiTheme="majorBidi" w:cstheme="majorBidi"/>
          <w:color w:val="000000"/>
          <w:sz w:val="24"/>
          <w:szCs w:val="24"/>
          <w:vertAlign w:val="superscript"/>
          <w:lang w:bidi="he-IL"/>
        </w:rPr>
        <w:t>2</w:t>
      </w:r>
      <w:r w:rsidR="00380655" w:rsidRPr="00D826B7">
        <w:rPr>
          <w:rFonts w:asciiTheme="majorBidi" w:hAnsiTheme="majorBidi" w:cstheme="majorBidi"/>
          <w:color w:val="000000"/>
          <w:sz w:val="24"/>
          <w:szCs w:val="24"/>
        </w:rPr>
        <w:t xml:space="preserve">) </w:t>
      </w:r>
      <w:r w:rsidR="001524BE" w:rsidRPr="00D826B7">
        <w:rPr>
          <w:rFonts w:asciiTheme="majorBidi" w:hAnsiTheme="majorBidi" w:cstheme="majorBidi"/>
          <w:color w:val="000000"/>
          <w:sz w:val="24"/>
          <w:szCs w:val="24"/>
        </w:rPr>
        <w:t xml:space="preserve">and only 7.4% had moderate renal </w:t>
      </w:r>
      <w:r w:rsidR="002B3603">
        <w:rPr>
          <w:rFonts w:asciiTheme="majorBidi" w:hAnsiTheme="majorBidi" w:cstheme="majorBidi"/>
          <w:color w:val="000000"/>
          <w:sz w:val="24"/>
          <w:szCs w:val="24"/>
        </w:rPr>
        <w:t>impairment</w:t>
      </w:r>
      <w:r w:rsidR="00DC7472" w:rsidRPr="00D826B7">
        <w:rPr>
          <w:rFonts w:asciiTheme="majorBidi" w:hAnsiTheme="majorBidi" w:cstheme="majorBidi"/>
          <w:color w:val="000000"/>
          <w:sz w:val="24"/>
          <w:szCs w:val="24"/>
        </w:rPr>
        <w:t xml:space="preserve"> </w:t>
      </w:r>
      <w:r w:rsidR="001524BE" w:rsidRPr="00D826B7">
        <w:rPr>
          <w:rFonts w:asciiTheme="majorBidi" w:hAnsiTheme="majorBidi" w:cstheme="majorBidi"/>
          <w:color w:val="000000"/>
          <w:sz w:val="24"/>
          <w:szCs w:val="24"/>
        </w:rPr>
        <w:t xml:space="preserve">(eGFR&lt;60 </w:t>
      </w:r>
      <w:r w:rsidR="001524BE" w:rsidRPr="00D826B7">
        <w:rPr>
          <w:rFonts w:asciiTheme="majorBidi" w:eastAsia="Times New Roman" w:hAnsiTheme="majorBidi" w:cstheme="majorBidi"/>
          <w:color w:val="000000"/>
          <w:sz w:val="24"/>
          <w:szCs w:val="24"/>
          <w:lang w:bidi="he-IL"/>
        </w:rPr>
        <w:t>mL/min/1.73m</w:t>
      </w:r>
      <w:r w:rsidR="001524BE" w:rsidRPr="00D826B7">
        <w:rPr>
          <w:rFonts w:asciiTheme="majorBidi" w:eastAsia="Times New Roman" w:hAnsiTheme="majorBidi" w:cstheme="majorBidi"/>
          <w:color w:val="000000"/>
          <w:sz w:val="24"/>
          <w:szCs w:val="24"/>
          <w:vertAlign w:val="superscript"/>
          <w:lang w:bidi="he-IL"/>
        </w:rPr>
        <w:t>2</w:t>
      </w:r>
      <w:r w:rsidR="001524BE" w:rsidRPr="00D826B7">
        <w:rPr>
          <w:rFonts w:asciiTheme="majorBidi" w:hAnsiTheme="majorBidi" w:cstheme="majorBidi"/>
          <w:color w:val="000000"/>
          <w:sz w:val="24"/>
          <w:szCs w:val="24"/>
        </w:rPr>
        <w:t>)</w:t>
      </w:r>
      <w:r w:rsidR="005A1215">
        <w:rPr>
          <w:rFonts w:asciiTheme="majorBidi" w:hAnsiTheme="majorBidi" w:cstheme="majorBidi"/>
          <w:color w:val="000000"/>
          <w:sz w:val="24"/>
          <w:szCs w:val="24"/>
        </w:rPr>
        <w:t xml:space="preserve">, suggesting that the protective effect of dapagliflozin is not limited to patients with renal </w:t>
      </w:r>
      <w:r w:rsidR="007B36E7">
        <w:rPr>
          <w:rFonts w:asciiTheme="majorBidi" w:hAnsiTheme="majorBidi" w:cstheme="majorBidi"/>
          <w:color w:val="000000"/>
          <w:sz w:val="24"/>
          <w:szCs w:val="24"/>
        </w:rPr>
        <w:t>impairment.</w:t>
      </w:r>
      <w:r w:rsidR="007B6053">
        <w:rPr>
          <w:rFonts w:asciiTheme="majorBidi" w:hAnsiTheme="majorBidi" w:cstheme="majorBidi"/>
          <w:color w:val="000000"/>
          <w:sz w:val="24"/>
          <w:szCs w:val="24"/>
        </w:rPr>
        <w:t xml:space="preserve"> </w:t>
      </w:r>
      <w:r w:rsidR="0042098C" w:rsidRPr="00C4716F">
        <w:rPr>
          <w:rFonts w:asciiTheme="majorBidi" w:hAnsiTheme="majorBidi" w:cstheme="majorBidi"/>
          <w:sz w:val="24"/>
          <w:szCs w:val="24"/>
        </w:rPr>
        <w:t xml:space="preserve">Collectively, these data underscore the value of early identification and treatment with SGLT2i to delay the risk of chronic kidney disease in patients with type 2 diabetes. </w:t>
      </w:r>
      <w:r w:rsidR="007B6053" w:rsidRPr="00C4716F">
        <w:rPr>
          <w:rFonts w:asciiTheme="majorBidi" w:hAnsiTheme="majorBidi" w:cstheme="majorBidi"/>
          <w:color w:val="000000"/>
          <w:sz w:val="28"/>
          <w:szCs w:val="28"/>
        </w:rPr>
        <w:t xml:space="preserve"> </w:t>
      </w:r>
    </w:p>
    <w:p w14:paraId="59C60483" w14:textId="3B9A8494" w:rsidR="00E1157F" w:rsidRPr="00597EF3" w:rsidRDefault="00914CA2" w:rsidP="002A621E">
      <w:pPr>
        <w:pStyle w:val="ListParagraph"/>
        <w:spacing w:line="480" w:lineRule="auto"/>
        <w:ind w:left="0"/>
        <w:jc w:val="both"/>
        <w:rPr>
          <w:sz w:val="24"/>
          <w:szCs w:val="24"/>
        </w:rPr>
      </w:pPr>
      <w:r w:rsidRPr="00E53C15">
        <w:rPr>
          <w:rFonts w:asciiTheme="majorBidi" w:hAnsiTheme="majorBidi" w:cstheme="majorBidi"/>
          <w:color w:val="000000"/>
          <w:sz w:val="24"/>
          <w:szCs w:val="24"/>
        </w:rPr>
        <w:t>Comparing t</w:t>
      </w:r>
      <w:r w:rsidR="00E1157F" w:rsidRPr="00E53C15">
        <w:rPr>
          <w:rFonts w:asciiTheme="majorBidi" w:hAnsiTheme="majorBidi" w:cstheme="majorBidi"/>
          <w:color w:val="000000"/>
          <w:sz w:val="24"/>
          <w:szCs w:val="24"/>
        </w:rPr>
        <w:t xml:space="preserve">he renal results of the DECLARE-TIMI 58 trial </w:t>
      </w:r>
      <w:r w:rsidRPr="00E53C15">
        <w:rPr>
          <w:rFonts w:asciiTheme="majorBidi" w:hAnsiTheme="majorBidi" w:cstheme="majorBidi"/>
          <w:sz w:val="24"/>
          <w:szCs w:val="24"/>
        </w:rPr>
        <w:t xml:space="preserve">to the renal outcomes </w:t>
      </w:r>
      <w:r w:rsidR="00430B62">
        <w:rPr>
          <w:rFonts w:asciiTheme="majorBidi" w:hAnsiTheme="majorBidi" w:cstheme="majorBidi"/>
          <w:sz w:val="24"/>
          <w:szCs w:val="24"/>
        </w:rPr>
        <w:t>in</w:t>
      </w:r>
      <w:r w:rsidRPr="00E53C15">
        <w:rPr>
          <w:rFonts w:asciiTheme="majorBidi" w:hAnsiTheme="majorBidi" w:cstheme="majorBidi"/>
          <w:sz w:val="24"/>
          <w:szCs w:val="24"/>
        </w:rPr>
        <w:t xml:space="preserve"> the EMPA REG</w:t>
      </w:r>
      <w:r w:rsidR="00A0099E">
        <w:rPr>
          <w:rFonts w:asciiTheme="majorBidi" w:hAnsiTheme="majorBidi" w:cstheme="majorBidi"/>
          <w:sz w:val="24"/>
          <w:szCs w:val="24"/>
        </w:rPr>
        <w:fldChar w:fldCharType="begin" w:fldLock="1"/>
      </w:r>
      <w:r w:rsidR="00B90562">
        <w:rPr>
          <w:rFonts w:asciiTheme="majorBidi" w:hAnsiTheme="majorBidi" w:cstheme="majorBidi"/>
          <w:sz w:val="24"/>
          <w:szCs w:val="24"/>
        </w:rPr>
        <w:instrText>ADDIN CSL_CITATION {"citationItems":[{"id":"ITEM-1","itemData":{"DOI":"10.1016/S2213-8587(17)30182-1","ISSN":"2213-8595","PMID":"28666775","abstract":"BACKGROUND In a pooled analysis of short-term trials, short-term treatment with the sodium-glucose co-transporter-2 (SGLT2) inhibitor empagliflozin reduced albuminuria in patients with type 2 diabetes and prevalent albuminuria. In this exploratory analysis of the EMPA-REG OUTCOME trial, we report the short-term and long-term effects of empagliflozin on albuminuria in patients with type 2 diabetes and established cardiovascular disease, according to patients' baseline albuminuria status. METHODS In this randomised, double-blind, placebo-controlled trial at 590 sites in 42 countries, we randomly assigned patients aged 18 years and older with type 2 diabetes and established cardiovascular disease (1:1:1) to empagliflozin 10 mg, empagliflozin 25 mg, or placebo in addition to standard of care until at least 691 patients experienced an adjudicated event included in the primary outcome. We did the randomisation with a computer-generated random-sequence and interactive voice-response and web-response system, stratified by HbA1c, BMI, region, and estimated glomerular filtration rate. Patients, investigators, and individuals involved in analysis of trial data were masked to treatment assignment. The primary and secondary efficacy and safety endpoints of this trial have been reported previously. Here, we report urinary albumin-to-creatinine ratio (UACR) data for the pooled empagliflozin group versus placebo according to albuminuria status at baseline (normoalbuminuria: UACR &lt;30 mg/g; microalbuminuria: UACR ≥30 to ≤300 mg/g; and macroalbuminuria: UACR &gt;300 mg/g). We did the analysis with mixed-model repeated measures including prespecified and post-hoc tests. This study is completed and registered with ClinicalTrials.gov, number NCT01131676. FINDINGS Between Sept 1, 2010, and April 22, 2013, we randomly assigned 7028 patients to treatment groups and 7020 patients received treatment. At baseline, we had UACR data for 6953 patients: 4171 (59% of treated patients; 1382 assigned to placebo and 2789 assigned to empagliflozin) had normoalbuminuria, 2013 (29%; 675 assigned to placebo and 1338 assigned to empagliflozin) had microalbuminuria, and 769 (11%; 260 assigned to placebo and 509 assigned to empagliflozin) had macroalbuminuria. Median treatment duration was 2·6 years (IQR 2·0-3·4; 136 weeks) and median observation time was 3·1 years (2·2-3·6; 164 weeks). After short-term treatment at week 12, the placebo-adjusted geometric mean ratio of UACR change from baseline wit…","author":[{"dropping-particle":"","family":"Cherney","given":"David Z I","non-dropping-particle":"","parse-names":false,"suffix":""},{"dropping-particle":"","family":"Zinman","given":"Bernard","non-dropping-particle":"","parse-names":false,"suffix":""},{"dropping-particle":"","family":"Inzucchi","given":"Silvio E","non-dropping-particle":"","parse-names":false,"suffix":""},{"dropping-particle":"","family":"Koitka-Weber","given":"Audrey","non-dropping-particle":"","parse-names":false,"suffix":""},{"dropping-particle":"","family":"Mattheus","given":"Michaela","non-dropping-particle":"","parse-names":false,"suffix":""},{"dropping-particle":"","family":"Eynatten","given":"Maximilian","non-dropping-particle":"von","parse-names":false,"suffix":""},{"dropping-particle":"","family":"Wanner","given":"Christoph","non-dropping-particle":"","parse-names":false,"suffix":""}],"container-title":"The lancet. Diabetes &amp; endocrinology","id":"ITEM-1","issue":"8","issued":{"date-parts":[["2017","8","1"]]},"page":"610-621","publisher":"Elsevier","title":"Effects of empagliflozin on the urinary albumin-to-creatinine ratio in patients with type 2 diabetes and established cardiovascular disease: an exploratory analysis from the EMPA-REG OUTCOME randomised, placebo-controlled trial.","type":"article-journal","volume":"5"},"uris":["http://www.mendeley.com/documents/?uuid=b649b4dd-a8e2-379a-a870-9dedc41c2e67"]},{"id":"ITEM-2","itemData":{"DOI":"10.1056/NEJMoa1515920","ISSN":"0028-4793","abstract":"BackgroundDiabetes confers an increased risk of adverse cardiovascular and renal events. In the EMPA-REG OUTCOME trial, empagliflozin, a sodium–glucose cotransporter 2 inhibitor, reduced the risk of major adverse cardiovascular events in patients with type 2 diabetes at high risk for cardiovascular events. We wanted to determine the long-term renal effects of empagliflozin, an analysis that was a prespecified component of the secondary microvascular outcome of that trial. MethodsWe randomly assigned patients with type 2 diabetes and an estimated glomerular filtration rate of at least 30 ml per minute per 1.73 m2 of body-surface area to receive either empagliflozin (at a dose of 10 mg or 25 mg) or placebo once daily. Prespecified renal outcomes included incident or worsening nephropathy (progression to macroalbuminuria, doubling of the serum creatinine level, initiation of renal-replacement therapy, or death from renal disease) and incident albuminuria. ResultsIncident or worsening nephropathy occurred in ...","author":[{"dropping-particle":"","family":"Wanner","given":"Christoph","non-dropping-particle":"","parse-names":false,"suffix":""},{"dropping-particle":"","family":"Inzucchi","given":"Silvio E.","non-dropping-particle":"","parse-names":false,"suffix":""},{"dropping-particle":"","family":"Lachin","given":"John M.","non-dropping-particle":"","parse-names":false,"suffix":""},{"dropping-particle":"","family":"Fitchett","given":"David","non-dropping-particle":"","parse-names":false,"suffix":""},{"dropping-particle":"","family":"Eynatten","given":"Maximilian","non-dropping-particle":"von","parse-names":false,"suffix":""},{"dropping-particle":"","family":"Mattheus","given":"Michaela","non-dropping-particle":"","parse-names":false,"suffix":""},{"dropping-particle":"","family":"Johansen","given":"Odd Erik","non-dropping-particle":"","parse-names":false,"suffix":""},{"dropping-particle":"","family":"Woerle","given":"Hans J.","non-dropping-particle":"","parse-names":false,"suffix":""},{"dropping-particle":"","family":"Broedl","given":"Uli C.","non-dropping-particle":"","parse-names":false,"suffix":""},{"dropping-particle":"","family":"Zinman","given":"Bernard","non-dropping-particle":"","parse-names":false,"suffix":""}],"container-title":"New England Journal of Medicine","id":"ITEM-2","issue":"4","issued":{"date-parts":[["2016","7","28"]]},"page":"323-334","publisher":"Massachusetts Medical Society","title":"Empagliflozin and Progression of Kidney Disease in Type 2 Diabetes","type":"article-journal","volume":"375"},"uris":["http://www.mendeley.com/documents/?uuid=2e726255-f518-3ed0-a16b-5d9e8ac66e98"]}],"mendeley":{"formattedCitation":"&lt;sup&gt;8,9&lt;/sup&gt;","plainTextFormattedCitation":"8,9","previouslyFormattedCitation":"&lt;sup&gt;8,9&lt;/sup&gt;"},"properties":{"noteIndex":0},"schema":"https://github.com/citation-style-language/schema/raw/master/csl-citation.json"}</w:instrText>
      </w:r>
      <w:r w:rsidR="00A0099E">
        <w:rPr>
          <w:rFonts w:asciiTheme="majorBidi" w:hAnsiTheme="majorBidi" w:cstheme="majorBidi"/>
          <w:sz w:val="24"/>
          <w:szCs w:val="24"/>
        </w:rPr>
        <w:fldChar w:fldCharType="separate"/>
      </w:r>
      <w:r w:rsidR="00C00554" w:rsidRPr="00C00554">
        <w:rPr>
          <w:rFonts w:asciiTheme="majorBidi" w:hAnsiTheme="majorBidi" w:cstheme="majorBidi"/>
          <w:noProof/>
          <w:sz w:val="24"/>
          <w:szCs w:val="24"/>
          <w:vertAlign w:val="superscript"/>
        </w:rPr>
        <w:t>8,9</w:t>
      </w:r>
      <w:r w:rsidR="00A0099E">
        <w:rPr>
          <w:rFonts w:asciiTheme="majorBidi" w:hAnsiTheme="majorBidi" w:cstheme="majorBidi"/>
          <w:sz w:val="24"/>
          <w:szCs w:val="24"/>
        </w:rPr>
        <w:fldChar w:fldCharType="end"/>
      </w:r>
      <w:r w:rsidR="00B716F0">
        <w:rPr>
          <w:rFonts w:asciiTheme="majorBidi" w:hAnsiTheme="majorBidi" w:cstheme="majorBidi"/>
          <w:sz w:val="24"/>
          <w:szCs w:val="24"/>
        </w:rPr>
        <w:t xml:space="preserve"> </w:t>
      </w:r>
      <w:r w:rsidRPr="00E53C15">
        <w:rPr>
          <w:rFonts w:asciiTheme="majorBidi" w:hAnsiTheme="majorBidi" w:cstheme="majorBidi"/>
          <w:sz w:val="24"/>
          <w:szCs w:val="24"/>
        </w:rPr>
        <w:t xml:space="preserve">trial and the </w:t>
      </w:r>
      <w:r w:rsidRPr="00597EF3">
        <w:rPr>
          <w:rFonts w:asciiTheme="majorBidi" w:hAnsiTheme="majorBidi" w:cstheme="majorBidi"/>
          <w:sz w:val="24"/>
          <w:szCs w:val="24"/>
        </w:rPr>
        <w:t>CANVAS</w:t>
      </w:r>
      <w:r w:rsidR="00417B52">
        <w:rPr>
          <w:rFonts w:asciiTheme="majorBidi" w:hAnsiTheme="majorBidi" w:cstheme="majorBidi"/>
          <w:sz w:val="24"/>
          <w:szCs w:val="24"/>
        </w:rPr>
        <w:fldChar w:fldCharType="begin" w:fldLock="1"/>
      </w:r>
      <w:r w:rsidR="00B90562">
        <w:rPr>
          <w:rFonts w:asciiTheme="majorBidi" w:hAnsiTheme="majorBidi" w:cstheme="majorBidi"/>
          <w:sz w:val="24"/>
          <w:szCs w:val="24"/>
        </w:rPr>
        <w:instrText>ADDIN CSL_CITATION {"citationItems":[{"id":"ITEM-1","itemData":{"DOI":"10.1056/NEJMoa1611925","ISSN":"0028-4793","PMID":"28605608","abstract":"Background Canagliflozin is a sodium-glucose cotransporter 2 inhibitor that reduces glycemia as well as blood pressure, body weight, and albuminuria in people with diabetes. We report the effects of treatment with canagliflozin on cardiovascular, renal, and safety outcomes. Methods The CANVAS Program integrated data from two trials involving a total of 10,142 participants with type 2 diabetes and high cardiovascular risk. Participants in each trial were randomly assigned to receive canagliflozin or placebo and were followed for a mean of 188.2 weeks. The primary outcome was a composite of death from cardiovascular causes, nonfatal myocardial infarction, or nonfatal stroke. Results The mean age of the participants was 63.3 years, 35.8% were women, the mean duration of diabetes was 13.5 years, and 65.6% had a history of cardiovascular disease. The rate of the primary outcome was lower with canagliflozin than with placebo (occurring in 26.9 vs. 31.5 participants per 1000 patient-years; hazard ratio, 0.86; 95% confidence interval [CI], 0.75 to 0.97; P&lt;0.001 for noninferiority; P=0.02 for superiority). Although on the basis of the prespecified hypothesis testing sequence the renal outcomes are not viewed as statistically significant, the results showed a possible benefit of canagliflozin with respect to the progression of albuminuria (hazard ratio, 0.73; 95% CI, 0.67 to 0.79) and the composite outcome of a sustained 40% reduction in the estimated glomerular filtration rate, the need for renal-replacement therapy, or death from renal causes (hazard ratio, 0.60; 95% CI, 0.47 to 0.77). Adverse reactions were consistent with the previously reported risks associated with canagliflozin except for an increased risk of amputation (6.3 vs. 3.4 participants per 1000 patient-years; hazard ratio, 1.97; 95% CI, 1.41 to 2.75); amputations were primarily at the level of the toe or metatarsal. Conclusions In two trials involving patients with type 2 diabetes and an elevated risk of cardiovascular disease, patients treated with canagliflozin had a lower risk of cardiovascular events than those who received placebo but a greater risk of amputation, primarily at the level of the toe or metatarsal. (Funded by Janssen Research and Development; CANVAS and CANVAS-R ClinicalTrials.gov numbers, NCT01032629 and NCT01989754 , respectively.).","author":[{"dropping-particle":"","family":"Neal","given":"Bruce","non-dropping-particle":"","parse-names":false,"suffix":""},{"dropping-particle":"","family":"Perkovic","given":"Vlado","non-dropping-particle":"","parse-names":false,"suffix":""},{"dropping-particle":"","family":"Mahaffey","given":"Kenneth W.","non-dropping-particle":"","parse-names":false,"suffix":""},{"dropping-particle":"","family":"Zeeuw","given":"Dick","non-dropping-particle":"de","parse-names":false,"suffix":""},{"dropping-particle":"","family":"Fulcher","given":"Greg","non-dropping-particle":"","parse-names":false,"suffix":""},{"dropping-particle":"","family":"Erondu","given":"Ngozi","non-dropping-particle":"","parse-names":false,"suffix":""},{"dropping-particle":"","family":"Shaw","given":"Wayne","non-dropping-particle":"","parse-names":false,"suffix":""},{"dropping-particle":"","family":"Law","given":"Gordon","non-dropping-particle":"","parse-names":false,"suffix":""},{"dropping-particle":"","family":"Desai","given":"Mehul","non-dropping-particle":"","parse-names":false,"suffix":""},{"dropping-particle":"","family":"Matthews","given":"David R.","non-dropping-particle":"","parse-names":false,"suffix":""},{"dropping-particle":"","family":"CANVAS Program Collaborative Group","given":"","non-dropping-particle":"","parse-names":false,"suffix":""}],"container-title":"New England Journal of Medicine","id":"ITEM-1","issue":"7","issued":{"date-parts":[["2017","8","17"]]},"page":"644-657","title":"Canagliflozin and Cardiovascular and Renal Events in Type 2 Diabetes","type":"article-journal","volume":"377"},"uris":["http://www.mendeley.com/documents/?uuid=7124c0d4-9130-383b-9d52-36fcb18e208f"]},{"id":"ITEM-2","itemData":{"DOI":"10.1016/S2213-8587(18)30141-4","ISSN":"22138587","PMID":"29937267","abstract":"BACKGROUND In the Canagliflozin Cardiovascular Assessment Study (CANVAS) Program, canagliflozin reduced the rates of major adverse cardiovascular events and the results suggested a renal benefit in patients with type 2 diabetes who were at high risk for cardiovascular events, compared with those treated with placebo. Here we report the results of a prespecified exploratory analysis of the long-term effects of canagliflozin on a range of sustained and adjudicated renal outcomes. METHODS The CANVAS Program consists of two double-blind, randomised trials that assessed canagliflozin versus placebo in participants with type 2 diabetes who were at high risk of cardiovascular events, done at 667 centres in 30 countries. People with type 2 diabetes and an HbA1c of 7·0-10·5% (53-91 mmol/mol) who were aged at least 30 years and had a history of symptomatic atherosclerotic vascular disease, or who were aged at least 50 years and had at least two cardiovascular risk factors were eligible to participate. Participants in CANVAS were randomly assigned (1:1:1) to receive 300 mg canagliflozin, 100 mg canagliflozin, or matching placebo once daily. Participants in CANVAS-R were randomly assigned (1:1) to receive canagliflozin or matching placebo, at an initial dose of 100 mg daily, with optional uptitration to 300 mg from week 13 or matching placebo. Participants and all study staff were masked to treatment allocations until study completion. Prespecified outcomes reported here include a composite of sustained and adjudicated doubling in serum creatinine, end-stage kidney disease, or death from renal causes; the individual components of this composite outcome; annual reductions in estimated glomerular filtration rate (eGFR); and changes in urinary albumin-to-creatinine ratio (UACR). The trials are registered with ClinicalTrials.gov, numbers NCT01032629 (CANVAS) and NCT01989754 (CANVAS-R). FINDINGS Between Nov 17, 2009, and March 7, 2011 (CANVAS), and Jan 17, 2014, and May 29, 2015 (CANVAS-R), 15 494 people were screened, of whom 10 142 participants (with a baseline mean eGFR 76·5 mL/min per 1·73 m2, median UACR 12·3 mg/g, and 80% of whom were receiving renin-angiotensin system blockade) were randomly allocated to receive either canagliflozin or placebo. The composite outcome of sustained doubling of serum creatinine, end-stage kidney disease, and death from renal causes occurred less frequently in the canagliflozin group compared with the placebo group (1·5 per 1000 patie…","author":[{"dropping-particle":"","family":"Perkovic","given":"Vlado","non-dropping-particle":"","parse-names":false,"suffix":""},{"dropping-particle":"","family":"Zeeuw","given":"Dick","non-dropping-particle":"de","parse-names":false,"suffix":""},{"dropping-particle":"","family":"Mahaffey","given":"Kenneth W","non-dropping-particle":"","parse-names":false,"suffix":""},{"dropping-particle":"","family":"Fulcher","given":"Greg","non-dropping-particle":"","parse-names":false,"suffix":""},{"dropping-particle":"","family":"Erondu","given":"Ngozi","non-dropping-particle":"","parse-names":false,"suffix":""},{"dropping-particle":"","family":"Shaw","given":"Wayne","non-dropping-particle":"","parse-names":false,"suffix":""},{"dropping-particle":"","family":"Barrett","given":"Terrance D","non-dropping-particle":"","parse-names":false,"suffix":""},{"dropping-particle":"","family":"Weidner-Wells","given":"Michele","non-dropping-particle":"","parse-names":false,"suffix":""},{"dropping-particle":"","family":"Deng","given":"Hsiaowei","non-dropping-particle":"","parse-names":false,"suffix":""},{"dropping-particle":"","family":"Matthews","given":"David R","non-dropping-particle":"","parse-names":false,"suffix":""},{"dropping-particle":"","family":"Neal","given":"Bruce","non-dropping-particle":"","parse-names":false,"suffix":""}],"container-title":"The Lancet Diabetes &amp; Endocrinology","id":"ITEM-2","issue":"9","issued":{"date-parts":[["2018","9"]]},"page":"691-704","title":"Canagliflozin and renal outcomes in type 2 diabetes: results from the CANVAS Program randomised clinical trials","type":"article-journal","volume":"6"},"uris":["http://www.mendeley.com/documents/?uuid=2681b6bb-b06f-35ea-9dc5-8f6dae9612ce"]},{"id":"ITEM-3","itemData":{"DOI":"10.1161/CIRCULATIONAHA.118.035901","ISSN":"0009-7322","PMID":"29941478","abstract":"BACKGROUND Canagliflozin is approved for glucose lowering in type 2 diabetes and confers cardiovascular and renal benefits. We sought to assess whether it had benefits in people with chronic kidney disease, including those with an estimated glomerular filtration rate (eGFR) between 30 and 45 mL/min/1.73 m2 in whom the drug is not currently approved for use. METHODS The CANVAS Program randomized 10 142 participants with type 2 diabetes and eGFR &gt;30 mL/min/1.73 m2 to canagliflozin or placebo. The primary outcome was a composite of cardiovascular death, nonfatal myocardial infarction, or nonfatal stroke, with other cardiovascular, renal, and safety outcomes. This secondary analysis describes outcomes in participants with and without chronic kidney disease, defined as eGFR &lt;60 and ≥60 mL/min/1.73 m2, and according to baseline kidney function (eGFR &lt;45, 45 to &lt;60, 60 to &lt;90, and ≥90 mL/min/1.73 m2). RESULTS At baseline, 2039 (20.1%) participants had an eGFR &lt;60 mL/min/1.73 m2, 71.6% of whom had a history of cardiovascular disease. The effect of canagliflozin on the primary outcome was similar in people with chronic kidney disease (hazard ratio, 0.70; 95% CI, 0.55-0.90) and those with preserved kidney function (hazard ratio, 0.92; 95% CI, 0.79-1.07; P heterogeneity = 0.08). Relative effects on most cardiovascular and renal outcomes were similar across eGFR subgroups, with possible heterogeneity suggested only for the outcome of fatal/nonfatal stroke ( P heterogeneity = 0.01), as were results for almost all safety outcomes. CONCLUSIONS The effects of canagliflozin on cardiovascular and renal outcomes were not modified by baseline level of kidney function in people with type 2 diabetes and a history or high risk of cardiovascular disease down to eGFR levels of 30 mL/min/1.73 m2. Reassessing current limitations on the use of canagliflozin in chronic kidney disease may allow additional individuals to benefit from this therapy. CLINICAL TRIAL REGISTRATION URL: https://www.clinicaltrials.gov . Unique identifiers: NCT01032629, NCT01989754.","author":[{"dropping-particle":"","family":"Neuen","given":"Brendon L.","non-dropping-particle":"","parse-names":false,"suffix":""},{"dropping-particle":"","family":"Ohkuma","given":"Toshiaki","non-dropping-particle":"","parse-names":false,"suffix":""},{"dropping-particle":"","family":"Neal","given":"Bruce","non-dropping-particle":"","parse-names":false,"suffix":""},{"dropping-particle":"","family":"Matthews","given":"David R.","non-dropping-particle":"","parse-names":false,"suffix":""},{"dropping-particle":"","family":"Zeeuw","given":"Dick","non-dropping-particle":"de","parse-names":false,"suffix":""},{"dropping-particle":"","family":"Mahaffey","given":"Kenneth W.","non-dropping-particle":"","parse-names":false,"suffix":""},{"dropping-particle":"","family":"Fulcher","given":"Greg","non-dropping-particle":"","parse-names":false,"suffix":""},{"dropping-particle":"","family":"Desai","given":"Mehul","non-dropping-particle":"","parse-names":false,"suffix":""},{"dropping-particle":"","family":"Li","given":"Qiang","non-dropping-particle":"","parse-names":false,"suffix":""},{"dropping-particle":"","family":"Deng","given":"Hsiaowei","non-dropping-particle":"","parse-names":false,"suffix":""},{"dropping-particle":"","family":"Rosenthal","given":"Norm","non-dropping-particle":"","parse-names":false,"suffix":""},{"dropping-particle":"","family":"Jardine","given":"Meg J.","non-dropping-particle":"","parse-names":false,"suffix":""},{"dropping-particle":"","family":"Bakris","given":"George","non-dropping-particle":"","parse-names":false,"suffix":""},{"dropping-particle":"","family":"Perkovic","given":"Vlado","non-dropping-particle":"","parse-names":false,"suffix":""}],"container-title":"Circulation","id":"ITEM-3","issue":"15","issued":{"date-parts":[["2018","10","9"]]},"page":"1537-1550","title":"Cardiovascular and Renal Outcomes With Canagliflozin According to Baseline Kidney Function","type":"article-journal","volume":"138"},"uris":["http://www.mendeley.com/documents/?uuid=1a98a9ba-c21b-37e0-bdd9-ce860f726481"]}],"mendeley":{"formattedCitation":"&lt;sup&gt;10–12&lt;/sup&gt;","plainTextFormattedCitation":"10–12","previouslyFormattedCitation":"&lt;sup&gt;10–12&lt;/sup&gt;"},"properties":{"noteIndex":0},"schema":"https://github.com/citation-style-language/schema/raw/master/csl-citation.json"}</w:instrText>
      </w:r>
      <w:r w:rsidR="00417B52">
        <w:rPr>
          <w:rFonts w:asciiTheme="majorBidi" w:hAnsiTheme="majorBidi" w:cstheme="majorBidi"/>
          <w:sz w:val="24"/>
          <w:szCs w:val="24"/>
        </w:rPr>
        <w:fldChar w:fldCharType="separate"/>
      </w:r>
      <w:r w:rsidR="00C00554" w:rsidRPr="00C00554">
        <w:rPr>
          <w:rFonts w:asciiTheme="majorBidi" w:hAnsiTheme="majorBidi" w:cstheme="majorBidi"/>
          <w:noProof/>
          <w:sz w:val="24"/>
          <w:szCs w:val="24"/>
          <w:vertAlign w:val="superscript"/>
        </w:rPr>
        <w:t>10–12</w:t>
      </w:r>
      <w:r w:rsidR="00417B52">
        <w:rPr>
          <w:rFonts w:asciiTheme="majorBidi" w:hAnsiTheme="majorBidi" w:cstheme="majorBidi"/>
          <w:sz w:val="24"/>
          <w:szCs w:val="24"/>
        </w:rPr>
        <w:fldChar w:fldCharType="end"/>
      </w:r>
      <w:r w:rsidR="007216AD">
        <w:rPr>
          <w:rFonts w:asciiTheme="majorBidi" w:hAnsiTheme="majorBidi" w:cstheme="majorBidi"/>
          <w:sz w:val="24"/>
          <w:szCs w:val="24"/>
        </w:rPr>
        <w:t xml:space="preserve"> </w:t>
      </w:r>
      <w:r w:rsidRPr="00597EF3">
        <w:rPr>
          <w:rFonts w:asciiTheme="majorBidi" w:hAnsiTheme="majorBidi" w:cstheme="majorBidi"/>
          <w:sz w:val="24"/>
          <w:szCs w:val="24"/>
        </w:rPr>
        <w:t>program</w:t>
      </w:r>
      <w:r w:rsidR="00EC64E3">
        <w:rPr>
          <w:rFonts w:asciiTheme="majorBidi" w:hAnsiTheme="majorBidi" w:cstheme="majorBidi"/>
          <w:sz w:val="24"/>
          <w:szCs w:val="24"/>
        </w:rPr>
        <w:t>,</w:t>
      </w:r>
      <w:r w:rsidRPr="00E53C15">
        <w:rPr>
          <w:rFonts w:asciiTheme="majorBidi" w:hAnsiTheme="majorBidi" w:cstheme="majorBidi"/>
          <w:sz w:val="24"/>
          <w:szCs w:val="24"/>
        </w:rPr>
        <w:t xml:space="preserve"> </w:t>
      </w:r>
      <w:r w:rsidR="00430B62">
        <w:rPr>
          <w:rFonts w:asciiTheme="majorBidi" w:hAnsiTheme="majorBidi" w:cstheme="majorBidi"/>
          <w:sz w:val="24"/>
          <w:szCs w:val="24"/>
        </w:rPr>
        <w:t xml:space="preserve">a </w:t>
      </w:r>
      <w:r w:rsidRPr="00E53C15">
        <w:rPr>
          <w:rFonts w:asciiTheme="majorBidi" w:hAnsiTheme="majorBidi" w:cstheme="majorBidi"/>
          <w:sz w:val="24"/>
          <w:szCs w:val="24"/>
        </w:rPr>
        <w:t xml:space="preserve">few important differences are </w:t>
      </w:r>
      <w:r w:rsidR="00EC64E3">
        <w:rPr>
          <w:rFonts w:asciiTheme="majorBidi" w:hAnsiTheme="majorBidi" w:cstheme="majorBidi"/>
          <w:sz w:val="24"/>
          <w:szCs w:val="24"/>
        </w:rPr>
        <w:t>observed</w:t>
      </w:r>
      <w:r w:rsidRPr="00E53C15">
        <w:rPr>
          <w:rFonts w:asciiTheme="majorBidi" w:hAnsiTheme="majorBidi" w:cstheme="majorBidi"/>
          <w:sz w:val="24"/>
          <w:szCs w:val="24"/>
        </w:rPr>
        <w:t xml:space="preserve">: </w:t>
      </w:r>
      <w:r w:rsidR="00430B62">
        <w:rPr>
          <w:rFonts w:asciiTheme="majorBidi" w:hAnsiTheme="majorBidi"/>
          <w:sz w:val="24"/>
          <w:szCs w:val="24"/>
        </w:rPr>
        <w:t>t</w:t>
      </w:r>
      <w:r w:rsidR="00430B62" w:rsidRPr="00E53C15">
        <w:rPr>
          <w:rFonts w:asciiTheme="majorBidi" w:hAnsiTheme="majorBidi"/>
          <w:sz w:val="24"/>
          <w:szCs w:val="24"/>
        </w:rPr>
        <w:t xml:space="preserve">he </w:t>
      </w:r>
      <w:r w:rsidRPr="00E53C15">
        <w:rPr>
          <w:rFonts w:asciiTheme="majorBidi" w:hAnsiTheme="majorBidi"/>
          <w:sz w:val="24"/>
          <w:szCs w:val="24"/>
        </w:rPr>
        <w:t xml:space="preserve"> </w:t>
      </w:r>
      <w:r w:rsidR="007B6053" w:rsidRPr="00E53C15">
        <w:rPr>
          <w:rFonts w:asciiTheme="majorBidi" w:hAnsiTheme="majorBidi"/>
          <w:sz w:val="24"/>
          <w:szCs w:val="24"/>
        </w:rPr>
        <w:t xml:space="preserve">population </w:t>
      </w:r>
      <w:r w:rsidR="00F966FE" w:rsidRPr="00E53C15">
        <w:rPr>
          <w:rFonts w:asciiTheme="majorBidi" w:hAnsiTheme="majorBidi"/>
          <w:sz w:val="24"/>
          <w:szCs w:val="24"/>
        </w:rPr>
        <w:t xml:space="preserve">included </w:t>
      </w:r>
      <w:r w:rsidR="007B6053">
        <w:rPr>
          <w:rFonts w:asciiTheme="majorBidi" w:hAnsiTheme="majorBidi"/>
          <w:sz w:val="24"/>
          <w:szCs w:val="24"/>
        </w:rPr>
        <w:t xml:space="preserve">in </w:t>
      </w:r>
      <w:r w:rsidR="00EB5D6F">
        <w:rPr>
          <w:rFonts w:asciiTheme="majorBidi" w:hAnsiTheme="majorBidi"/>
          <w:sz w:val="24"/>
          <w:szCs w:val="24"/>
        </w:rPr>
        <w:t xml:space="preserve">DECLARE-TIMI 58 </w:t>
      </w:r>
      <w:r w:rsidR="007B6053">
        <w:rPr>
          <w:rFonts w:asciiTheme="majorBidi" w:hAnsiTheme="majorBidi"/>
          <w:sz w:val="24"/>
          <w:szCs w:val="24"/>
        </w:rPr>
        <w:t xml:space="preserve">is </w:t>
      </w:r>
      <w:r w:rsidR="00E1157F" w:rsidRPr="00E53C15">
        <w:rPr>
          <w:rFonts w:asciiTheme="majorBidi" w:hAnsiTheme="majorBidi"/>
          <w:sz w:val="24"/>
          <w:szCs w:val="24"/>
        </w:rPr>
        <w:t xml:space="preserve">healthier with less ASCVD </w:t>
      </w:r>
      <w:r w:rsidR="00C23463" w:rsidRPr="00E53C15">
        <w:rPr>
          <w:rFonts w:asciiTheme="majorBidi" w:hAnsiTheme="majorBidi"/>
          <w:sz w:val="24"/>
          <w:szCs w:val="24"/>
        </w:rPr>
        <w:t xml:space="preserve">(only 40.6% vs. 100% and </w:t>
      </w:r>
      <w:r w:rsidR="00C23463" w:rsidRPr="00597EF3">
        <w:rPr>
          <w:rFonts w:asciiTheme="majorBidi" w:hAnsiTheme="majorBidi"/>
          <w:sz w:val="24"/>
          <w:szCs w:val="24"/>
        </w:rPr>
        <w:t xml:space="preserve">65.6% </w:t>
      </w:r>
      <w:r w:rsidR="00430B62">
        <w:rPr>
          <w:rFonts w:asciiTheme="majorBidi" w:hAnsiTheme="majorBidi"/>
          <w:sz w:val="24"/>
          <w:szCs w:val="24"/>
        </w:rPr>
        <w:t>in</w:t>
      </w:r>
      <w:r w:rsidR="00C23463" w:rsidRPr="00597EF3">
        <w:rPr>
          <w:rFonts w:asciiTheme="majorBidi" w:hAnsiTheme="majorBidi"/>
          <w:sz w:val="24"/>
          <w:szCs w:val="24"/>
        </w:rPr>
        <w:t xml:space="preserve"> DECLARE-TIMI 58 vs. EMPA-REG and CANVAS</w:t>
      </w:r>
      <w:r w:rsidR="00EC64E3">
        <w:rPr>
          <w:rFonts w:asciiTheme="majorBidi" w:hAnsiTheme="majorBidi"/>
          <w:sz w:val="24"/>
          <w:szCs w:val="24"/>
        </w:rPr>
        <w:t>,</w:t>
      </w:r>
      <w:r w:rsidR="00C23463" w:rsidRPr="00597EF3">
        <w:rPr>
          <w:rFonts w:asciiTheme="majorBidi" w:hAnsiTheme="majorBidi"/>
          <w:sz w:val="24"/>
          <w:szCs w:val="24"/>
        </w:rPr>
        <w:t xml:space="preserve"> respect</w:t>
      </w:r>
      <w:r w:rsidR="00430B62">
        <w:rPr>
          <w:rFonts w:asciiTheme="majorBidi" w:hAnsiTheme="majorBidi"/>
          <w:sz w:val="24"/>
          <w:szCs w:val="24"/>
        </w:rPr>
        <w:t>ive</w:t>
      </w:r>
      <w:r w:rsidR="00C23463" w:rsidRPr="00597EF3">
        <w:rPr>
          <w:rFonts w:asciiTheme="majorBidi" w:hAnsiTheme="majorBidi"/>
          <w:sz w:val="24"/>
          <w:szCs w:val="24"/>
        </w:rPr>
        <w:t xml:space="preserve">ly) </w:t>
      </w:r>
      <w:r w:rsidR="00E1157F" w:rsidRPr="00597EF3">
        <w:rPr>
          <w:rFonts w:asciiTheme="majorBidi" w:hAnsiTheme="majorBidi"/>
          <w:sz w:val="24"/>
          <w:szCs w:val="24"/>
        </w:rPr>
        <w:t xml:space="preserve">and </w:t>
      </w:r>
      <w:r w:rsidR="00EB5D6F">
        <w:rPr>
          <w:rFonts w:asciiTheme="majorBidi" w:hAnsiTheme="majorBidi"/>
          <w:sz w:val="24"/>
          <w:szCs w:val="24"/>
        </w:rPr>
        <w:t xml:space="preserve">had </w:t>
      </w:r>
      <w:r w:rsidR="00E1157F" w:rsidRPr="00597EF3">
        <w:rPr>
          <w:rFonts w:asciiTheme="majorBidi" w:hAnsiTheme="majorBidi"/>
          <w:sz w:val="24"/>
          <w:szCs w:val="24"/>
        </w:rPr>
        <w:t>better renal function at baseline (mean eGFR= 85.2 ml/min/1.73 m</w:t>
      </w:r>
      <w:r w:rsidR="00E1157F" w:rsidRPr="00597EF3">
        <w:rPr>
          <w:rFonts w:asciiTheme="majorBidi" w:hAnsiTheme="majorBidi"/>
          <w:sz w:val="24"/>
          <w:szCs w:val="24"/>
          <w:vertAlign w:val="superscript"/>
        </w:rPr>
        <w:t>2</w:t>
      </w:r>
      <w:r w:rsidR="00C23463" w:rsidRPr="00597EF3">
        <w:rPr>
          <w:rFonts w:asciiTheme="majorBidi" w:hAnsiTheme="majorBidi"/>
          <w:sz w:val="24"/>
          <w:szCs w:val="24"/>
        </w:rPr>
        <w:t xml:space="preserve"> vs. </w:t>
      </w:r>
      <w:r w:rsidR="00C23463" w:rsidRPr="00E53C15">
        <w:rPr>
          <w:rFonts w:asciiTheme="majorBidi" w:hAnsiTheme="majorBidi" w:cstheme="majorBidi"/>
          <w:sz w:val="24"/>
          <w:szCs w:val="24"/>
        </w:rPr>
        <w:t>74.1 ml/min/1.73 m</w:t>
      </w:r>
      <w:r w:rsidR="00C23463" w:rsidRPr="00E53C15">
        <w:rPr>
          <w:rFonts w:asciiTheme="majorBidi" w:hAnsiTheme="majorBidi" w:cstheme="majorBidi"/>
          <w:sz w:val="24"/>
          <w:szCs w:val="24"/>
          <w:vertAlign w:val="superscript"/>
        </w:rPr>
        <w:t>2</w:t>
      </w:r>
      <w:r w:rsidR="00C23463" w:rsidRPr="00E53C15">
        <w:rPr>
          <w:rFonts w:asciiTheme="majorBidi" w:hAnsiTheme="majorBidi" w:cstheme="majorBidi"/>
          <w:sz w:val="24"/>
          <w:szCs w:val="24"/>
        </w:rPr>
        <w:t xml:space="preserve"> and </w:t>
      </w:r>
      <w:r w:rsidR="00C23463" w:rsidRPr="00E53C15">
        <w:rPr>
          <w:rFonts w:asciiTheme="majorBidi" w:hAnsiTheme="majorBidi" w:cstheme="majorBidi"/>
          <w:color w:val="000000"/>
          <w:sz w:val="24"/>
          <w:szCs w:val="24"/>
        </w:rPr>
        <w:t>76.5 ml/min/1.73 m</w:t>
      </w:r>
      <w:r w:rsidR="00C23463" w:rsidRPr="00E53C15">
        <w:rPr>
          <w:rFonts w:asciiTheme="majorBidi" w:hAnsiTheme="majorBidi" w:cstheme="majorBidi"/>
          <w:color w:val="000000"/>
          <w:sz w:val="24"/>
          <w:szCs w:val="24"/>
          <w:vertAlign w:val="superscript"/>
        </w:rPr>
        <w:t>2</w:t>
      </w:r>
      <w:r w:rsidR="00C23463" w:rsidRPr="00E53C15">
        <w:rPr>
          <w:rFonts w:asciiTheme="majorBidi" w:hAnsiTheme="majorBidi"/>
          <w:sz w:val="24"/>
          <w:szCs w:val="24"/>
        </w:rPr>
        <w:t xml:space="preserve"> </w:t>
      </w:r>
      <w:r w:rsidR="00430B62">
        <w:rPr>
          <w:rFonts w:asciiTheme="majorBidi" w:hAnsiTheme="majorBidi"/>
          <w:sz w:val="24"/>
          <w:szCs w:val="24"/>
        </w:rPr>
        <w:t>in</w:t>
      </w:r>
      <w:r w:rsidR="00C23463" w:rsidRPr="00E53C15">
        <w:rPr>
          <w:rFonts w:asciiTheme="majorBidi" w:hAnsiTheme="majorBidi"/>
          <w:sz w:val="24"/>
          <w:szCs w:val="24"/>
        </w:rPr>
        <w:t xml:space="preserve"> the DECLARE-TIMI 58 vs. EMPA-REG and CANVAS</w:t>
      </w:r>
      <w:r w:rsidR="00EC64E3">
        <w:rPr>
          <w:rFonts w:asciiTheme="majorBidi" w:hAnsiTheme="majorBidi"/>
          <w:sz w:val="24"/>
          <w:szCs w:val="24"/>
        </w:rPr>
        <w:t>,</w:t>
      </w:r>
      <w:r w:rsidR="00C23463" w:rsidRPr="00E53C15">
        <w:rPr>
          <w:rFonts w:asciiTheme="majorBidi" w:hAnsiTheme="majorBidi"/>
          <w:sz w:val="24"/>
          <w:szCs w:val="24"/>
        </w:rPr>
        <w:t xml:space="preserve"> respec</w:t>
      </w:r>
      <w:r w:rsidR="00430B62">
        <w:rPr>
          <w:rFonts w:asciiTheme="majorBidi" w:hAnsiTheme="majorBidi"/>
          <w:sz w:val="24"/>
          <w:szCs w:val="24"/>
        </w:rPr>
        <w:t>tive</w:t>
      </w:r>
      <w:r w:rsidR="00C23463" w:rsidRPr="00E53C15">
        <w:rPr>
          <w:rFonts w:asciiTheme="majorBidi" w:hAnsiTheme="majorBidi"/>
          <w:sz w:val="24"/>
          <w:szCs w:val="24"/>
        </w:rPr>
        <w:t>ly</w:t>
      </w:r>
      <w:r w:rsidR="00E1157F" w:rsidRPr="00E53C15">
        <w:rPr>
          <w:rFonts w:asciiTheme="majorBidi" w:hAnsiTheme="majorBidi"/>
          <w:sz w:val="24"/>
          <w:szCs w:val="24"/>
        </w:rPr>
        <w:t>)</w:t>
      </w:r>
      <w:r w:rsidR="007C0F35" w:rsidRPr="00E53C15">
        <w:rPr>
          <w:rFonts w:asciiTheme="majorBidi" w:hAnsiTheme="majorBidi"/>
          <w:sz w:val="24"/>
          <w:szCs w:val="24"/>
        </w:rPr>
        <w:t xml:space="preserve">. </w:t>
      </w:r>
      <w:r w:rsidR="0099553C" w:rsidRPr="00E53C15">
        <w:rPr>
          <w:rFonts w:asciiTheme="majorBidi" w:hAnsiTheme="majorBidi"/>
          <w:sz w:val="24"/>
          <w:szCs w:val="24"/>
        </w:rPr>
        <w:t>The duration of</w:t>
      </w:r>
      <w:r w:rsidR="00E1157F" w:rsidRPr="00E53C15">
        <w:rPr>
          <w:rFonts w:asciiTheme="majorBidi" w:hAnsiTheme="majorBidi"/>
          <w:sz w:val="24"/>
          <w:szCs w:val="24"/>
        </w:rPr>
        <w:t xml:space="preserve"> follow-up</w:t>
      </w:r>
      <w:r w:rsidR="00EC3484" w:rsidRPr="00597EF3">
        <w:rPr>
          <w:rFonts w:asciiTheme="majorBidi" w:hAnsiTheme="majorBidi"/>
          <w:sz w:val="24"/>
          <w:szCs w:val="24"/>
        </w:rPr>
        <w:t xml:space="preserve"> </w:t>
      </w:r>
      <w:r w:rsidR="0099553C" w:rsidRPr="00597EF3">
        <w:rPr>
          <w:rFonts w:asciiTheme="majorBidi" w:hAnsiTheme="majorBidi"/>
          <w:sz w:val="24"/>
          <w:szCs w:val="24"/>
        </w:rPr>
        <w:t xml:space="preserve">was longer </w:t>
      </w:r>
      <w:r w:rsidR="00EC3484" w:rsidRPr="00597EF3">
        <w:rPr>
          <w:rFonts w:asciiTheme="majorBidi" w:hAnsiTheme="majorBidi"/>
          <w:sz w:val="24"/>
          <w:szCs w:val="24"/>
        </w:rPr>
        <w:t>(median follow-up of 4.2 years</w:t>
      </w:r>
      <w:r w:rsidR="0099553C" w:rsidRPr="00597EF3">
        <w:rPr>
          <w:rFonts w:asciiTheme="majorBidi" w:hAnsiTheme="majorBidi"/>
          <w:sz w:val="24"/>
          <w:szCs w:val="24"/>
        </w:rPr>
        <w:t xml:space="preserve"> vs.</w:t>
      </w:r>
      <w:r w:rsidR="00E53C15" w:rsidRPr="00597EF3">
        <w:rPr>
          <w:rFonts w:asciiTheme="majorBidi" w:hAnsiTheme="majorBidi"/>
          <w:sz w:val="24"/>
          <w:szCs w:val="24"/>
        </w:rPr>
        <w:t xml:space="preserve"> 3.1 years and</w:t>
      </w:r>
      <w:r w:rsidR="0099553C" w:rsidRPr="00597EF3">
        <w:rPr>
          <w:rFonts w:asciiTheme="majorBidi" w:hAnsiTheme="majorBidi"/>
          <w:sz w:val="24"/>
          <w:szCs w:val="24"/>
        </w:rPr>
        <w:t xml:space="preserve"> </w:t>
      </w:r>
      <w:r w:rsidR="00E53C15" w:rsidRPr="00597EF3">
        <w:rPr>
          <w:rFonts w:asciiTheme="majorBidi" w:hAnsiTheme="majorBidi"/>
          <w:sz w:val="24"/>
          <w:szCs w:val="24"/>
        </w:rPr>
        <w:t>2.4 years;</w:t>
      </w:r>
      <w:r w:rsidR="007959D5" w:rsidRPr="00597EF3">
        <w:rPr>
          <w:rFonts w:asciiTheme="majorBidi" w:hAnsiTheme="majorBidi"/>
          <w:sz w:val="24"/>
          <w:szCs w:val="24"/>
        </w:rPr>
        <w:t xml:space="preserve"> </w:t>
      </w:r>
      <w:r w:rsidR="00430B62">
        <w:rPr>
          <w:rFonts w:asciiTheme="majorBidi" w:hAnsiTheme="majorBidi"/>
          <w:sz w:val="24"/>
          <w:szCs w:val="24"/>
        </w:rPr>
        <w:t>in</w:t>
      </w:r>
      <w:r w:rsidR="007959D5" w:rsidRPr="00597EF3">
        <w:rPr>
          <w:rFonts w:asciiTheme="majorBidi" w:hAnsiTheme="majorBidi"/>
          <w:sz w:val="24"/>
          <w:szCs w:val="24"/>
        </w:rPr>
        <w:t xml:space="preserve"> the DECLARE-TIMI 58 vs. EMPA-REG and CANVAS</w:t>
      </w:r>
      <w:r w:rsidR="00EC64E3">
        <w:rPr>
          <w:rFonts w:asciiTheme="majorBidi" w:hAnsiTheme="majorBidi"/>
          <w:sz w:val="24"/>
          <w:szCs w:val="24"/>
        </w:rPr>
        <w:t>,</w:t>
      </w:r>
      <w:r w:rsidR="007959D5" w:rsidRPr="00597EF3">
        <w:rPr>
          <w:rFonts w:asciiTheme="majorBidi" w:hAnsiTheme="majorBidi"/>
          <w:sz w:val="24"/>
          <w:szCs w:val="24"/>
        </w:rPr>
        <w:t xml:space="preserve"> respect</w:t>
      </w:r>
      <w:r w:rsidR="00430B62">
        <w:rPr>
          <w:rFonts w:asciiTheme="majorBidi" w:hAnsiTheme="majorBidi"/>
          <w:sz w:val="24"/>
          <w:szCs w:val="24"/>
        </w:rPr>
        <w:t>ive</w:t>
      </w:r>
      <w:r w:rsidR="007959D5" w:rsidRPr="00597EF3">
        <w:rPr>
          <w:rFonts w:asciiTheme="majorBidi" w:hAnsiTheme="majorBidi"/>
          <w:sz w:val="24"/>
          <w:szCs w:val="24"/>
        </w:rPr>
        <w:t>ly</w:t>
      </w:r>
      <w:r w:rsidR="00EC3484" w:rsidRPr="00597EF3">
        <w:rPr>
          <w:rFonts w:asciiTheme="majorBidi" w:hAnsiTheme="majorBidi"/>
          <w:sz w:val="24"/>
          <w:szCs w:val="24"/>
        </w:rPr>
        <w:t>)</w:t>
      </w:r>
      <w:r w:rsidR="00E53C15" w:rsidRPr="00597EF3">
        <w:rPr>
          <w:rFonts w:asciiTheme="majorBidi" w:hAnsiTheme="majorBidi"/>
          <w:sz w:val="24"/>
          <w:szCs w:val="24"/>
        </w:rPr>
        <w:t xml:space="preserve">. </w:t>
      </w:r>
      <w:r w:rsidR="000557DC">
        <w:rPr>
          <w:rFonts w:asciiTheme="majorBidi" w:hAnsiTheme="majorBidi"/>
          <w:color w:val="000000"/>
          <w:sz w:val="24"/>
          <w:szCs w:val="24"/>
        </w:rPr>
        <w:t xml:space="preserve">The primary </w:t>
      </w:r>
      <w:r w:rsidR="000557DC" w:rsidRPr="00597EF3">
        <w:rPr>
          <w:rFonts w:asciiTheme="majorBidi" w:hAnsiTheme="majorBidi"/>
          <w:sz w:val="24"/>
          <w:szCs w:val="24"/>
        </w:rPr>
        <w:t xml:space="preserve">and secondary </w:t>
      </w:r>
      <w:r w:rsidR="000557DC">
        <w:rPr>
          <w:rFonts w:asciiTheme="majorBidi" w:hAnsiTheme="majorBidi"/>
          <w:sz w:val="24"/>
          <w:szCs w:val="24"/>
        </w:rPr>
        <w:t xml:space="preserve">composite renal outcomes </w:t>
      </w:r>
      <w:r w:rsidR="00E1157F" w:rsidRPr="00597EF3">
        <w:rPr>
          <w:rFonts w:asciiTheme="majorBidi" w:hAnsiTheme="majorBidi"/>
          <w:color w:val="000000"/>
          <w:sz w:val="24"/>
          <w:szCs w:val="24"/>
        </w:rPr>
        <w:t>include</w:t>
      </w:r>
      <w:r w:rsidR="00F966FE" w:rsidRPr="00597EF3">
        <w:rPr>
          <w:rFonts w:asciiTheme="majorBidi" w:hAnsiTheme="majorBidi"/>
          <w:color w:val="000000"/>
          <w:sz w:val="24"/>
          <w:szCs w:val="24"/>
        </w:rPr>
        <w:t>d</w:t>
      </w:r>
      <w:r w:rsidR="00E1157F" w:rsidRPr="00597EF3">
        <w:rPr>
          <w:rFonts w:asciiTheme="majorBidi" w:hAnsiTheme="majorBidi"/>
          <w:color w:val="000000"/>
          <w:sz w:val="24"/>
          <w:szCs w:val="24"/>
        </w:rPr>
        <w:t xml:space="preserve"> </w:t>
      </w:r>
      <w:r w:rsidR="00E1157F" w:rsidRPr="00597EF3">
        <w:rPr>
          <w:rFonts w:asciiTheme="majorBidi" w:hAnsiTheme="majorBidi"/>
          <w:sz w:val="24"/>
          <w:szCs w:val="24"/>
        </w:rPr>
        <w:t>outcome</w:t>
      </w:r>
      <w:r w:rsidR="000557DC">
        <w:rPr>
          <w:rFonts w:asciiTheme="majorBidi" w:hAnsiTheme="majorBidi"/>
          <w:sz w:val="24"/>
          <w:szCs w:val="24"/>
        </w:rPr>
        <w:t>s</w:t>
      </w:r>
      <w:r w:rsidR="00E1157F" w:rsidRPr="00597EF3">
        <w:rPr>
          <w:rFonts w:asciiTheme="majorBidi" w:hAnsiTheme="majorBidi"/>
          <w:sz w:val="24"/>
          <w:szCs w:val="24"/>
        </w:rPr>
        <w:t xml:space="preserve"> which </w:t>
      </w:r>
      <w:r w:rsidR="000557DC">
        <w:rPr>
          <w:rFonts w:asciiTheme="majorBidi" w:hAnsiTheme="majorBidi"/>
          <w:sz w:val="24"/>
          <w:szCs w:val="24"/>
        </w:rPr>
        <w:t>were</w:t>
      </w:r>
      <w:r w:rsidR="000557DC" w:rsidRPr="00597EF3">
        <w:rPr>
          <w:rFonts w:asciiTheme="majorBidi" w:hAnsiTheme="majorBidi"/>
          <w:sz w:val="24"/>
          <w:szCs w:val="24"/>
        </w:rPr>
        <w:t xml:space="preserve"> </w:t>
      </w:r>
      <w:r w:rsidR="00E1157F" w:rsidRPr="00597EF3">
        <w:rPr>
          <w:rFonts w:asciiTheme="majorBidi" w:hAnsiTheme="majorBidi"/>
          <w:sz w:val="24"/>
          <w:szCs w:val="24"/>
        </w:rPr>
        <w:t xml:space="preserve">based </w:t>
      </w:r>
      <w:r w:rsidR="00EC3484" w:rsidRPr="00597EF3">
        <w:rPr>
          <w:rFonts w:asciiTheme="majorBidi" w:hAnsiTheme="majorBidi"/>
          <w:sz w:val="24"/>
          <w:szCs w:val="24"/>
        </w:rPr>
        <w:t>only</w:t>
      </w:r>
      <w:r w:rsidR="00BC2921">
        <w:rPr>
          <w:rFonts w:asciiTheme="majorBidi" w:hAnsiTheme="majorBidi"/>
          <w:sz w:val="24"/>
          <w:szCs w:val="24"/>
        </w:rPr>
        <w:t xml:space="preserve"> on</w:t>
      </w:r>
      <w:r w:rsidR="00EC3484" w:rsidRPr="00597EF3">
        <w:rPr>
          <w:rFonts w:asciiTheme="majorBidi" w:hAnsiTheme="majorBidi"/>
          <w:sz w:val="24"/>
          <w:szCs w:val="24"/>
        </w:rPr>
        <w:t xml:space="preserve"> </w:t>
      </w:r>
      <w:r w:rsidR="009D209B">
        <w:rPr>
          <w:rFonts w:asciiTheme="majorBidi" w:hAnsiTheme="majorBidi"/>
          <w:sz w:val="24"/>
          <w:szCs w:val="24"/>
        </w:rPr>
        <w:t xml:space="preserve">sustained </w:t>
      </w:r>
      <w:r w:rsidR="000557DC">
        <w:rPr>
          <w:rFonts w:asciiTheme="majorBidi" w:hAnsiTheme="majorBidi"/>
          <w:sz w:val="24"/>
          <w:szCs w:val="24"/>
        </w:rPr>
        <w:t xml:space="preserve">change in </w:t>
      </w:r>
      <w:r w:rsidR="00E1157F" w:rsidRPr="00597EF3">
        <w:rPr>
          <w:rFonts w:asciiTheme="majorBidi" w:hAnsiTheme="majorBidi"/>
          <w:sz w:val="24"/>
          <w:szCs w:val="24"/>
        </w:rPr>
        <w:t>eGFR and clinical endpoints and not on “softer” endpoints of changes in albuminuria.</w:t>
      </w:r>
      <w:r w:rsidR="00597EF3">
        <w:rPr>
          <w:rFonts w:asciiTheme="majorBidi" w:hAnsiTheme="majorBidi"/>
          <w:sz w:val="24"/>
          <w:szCs w:val="24"/>
        </w:rPr>
        <w:t xml:space="preserve"> </w:t>
      </w:r>
      <w:r w:rsidR="00306590">
        <w:rPr>
          <w:rFonts w:asciiTheme="majorBidi" w:hAnsiTheme="majorBidi"/>
          <w:sz w:val="24"/>
          <w:szCs w:val="24"/>
        </w:rPr>
        <w:t>The fact that all eGFR changes had to be sustained (2 consecutive tests</w:t>
      </w:r>
      <w:r w:rsidR="002C2742">
        <w:rPr>
          <w:rFonts w:asciiTheme="majorBidi" w:hAnsiTheme="majorBidi"/>
          <w:sz w:val="24"/>
          <w:szCs w:val="24"/>
        </w:rPr>
        <w:t xml:space="preserve"> </w:t>
      </w:r>
      <w:r w:rsidR="00306590">
        <w:rPr>
          <w:rFonts w:asciiTheme="majorBidi" w:hAnsiTheme="majorBidi"/>
          <w:sz w:val="24"/>
          <w:szCs w:val="24"/>
        </w:rPr>
        <w:t>&gt;4 weeks apart)</w:t>
      </w:r>
      <w:r w:rsidR="00306590" w:rsidRPr="00597EF3">
        <w:rPr>
          <w:rFonts w:asciiTheme="majorBidi" w:hAnsiTheme="majorBidi"/>
          <w:sz w:val="24"/>
          <w:szCs w:val="24"/>
        </w:rPr>
        <w:t xml:space="preserve"> </w:t>
      </w:r>
      <w:r w:rsidR="00306590">
        <w:rPr>
          <w:rFonts w:asciiTheme="majorBidi" w:hAnsiTheme="majorBidi"/>
          <w:sz w:val="24"/>
          <w:szCs w:val="24"/>
        </w:rPr>
        <w:t>add to the robustness of this analysis.</w:t>
      </w:r>
      <w:r w:rsidR="00D66344">
        <w:rPr>
          <w:rFonts w:asciiTheme="majorBidi" w:hAnsiTheme="majorBidi"/>
          <w:sz w:val="24"/>
          <w:szCs w:val="24"/>
        </w:rPr>
        <w:t xml:space="preserve"> </w:t>
      </w:r>
      <w:r w:rsidR="00D66344">
        <w:rPr>
          <w:rFonts w:asciiTheme="majorBidi" w:hAnsiTheme="majorBidi"/>
          <w:sz w:val="24"/>
          <w:szCs w:val="24"/>
          <w:lang w:val="en-GB"/>
        </w:rPr>
        <w:t>The more recently published CREDENCE trial</w:t>
      </w:r>
      <w:r w:rsidR="00D66344" w:rsidRPr="009948A5">
        <w:rPr>
          <w:rFonts w:asciiTheme="majorBidi" w:hAnsiTheme="majorBidi"/>
          <w:sz w:val="24"/>
          <w:szCs w:val="24"/>
          <w:highlight w:val="yellow"/>
          <w:vertAlign w:val="superscript"/>
          <w:lang w:val="en-GB"/>
        </w:rPr>
        <w:t>13</w:t>
      </w:r>
      <w:r w:rsidR="00D66344">
        <w:rPr>
          <w:rFonts w:asciiTheme="majorBidi" w:hAnsiTheme="majorBidi"/>
          <w:sz w:val="24"/>
          <w:szCs w:val="24"/>
          <w:lang w:val="en-GB"/>
        </w:rPr>
        <w:t xml:space="preserve"> is the first trial</w:t>
      </w:r>
      <w:r w:rsidR="00E471D5">
        <w:rPr>
          <w:rFonts w:asciiTheme="majorBidi" w:hAnsiTheme="majorBidi"/>
          <w:sz w:val="24"/>
          <w:szCs w:val="24"/>
          <w:lang w:val="en-GB"/>
        </w:rPr>
        <w:t xml:space="preserve"> completed</w:t>
      </w:r>
      <w:r w:rsidR="00D66344">
        <w:rPr>
          <w:rFonts w:asciiTheme="majorBidi" w:hAnsiTheme="majorBidi"/>
          <w:sz w:val="24"/>
          <w:szCs w:val="24"/>
          <w:lang w:val="en-GB"/>
        </w:rPr>
        <w:t xml:space="preserve">, </w:t>
      </w:r>
      <w:r w:rsidR="00CC5C13">
        <w:rPr>
          <w:rFonts w:asciiTheme="majorBidi" w:hAnsiTheme="majorBidi"/>
          <w:sz w:val="24"/>
          <w:szCs w:val="24"/>
          <w:lang w:val="en-GB"/>
        </w:rPr>
        <w:t>among other ongoing</w:t>
      </w:r>
      <w:r w:rsidR="00D66344">
        <w:rPr>
          <w:rFonts w:asciiTheme="majorBidi" w:hAnsiTheme="majorBidi"/>
          <w:sz w:val="24"/>
          <w:szCs w:val="24"/>
          <w:lang w:val="en-GB"/>
        </w:rPr>
        <w:t xml:space="preserve"> trials with different SGLT2</w:t>
      </w:r>
      <w:r w:rsidR="00CD5088">
        <w:rPr>
          <w:rFonts w:asciiTheme="majorBidi" w:hAnsiTheme="majorBidi"/>
          <w:sz w:val="24"/>
          <w:szCs w:val="24"/>
          <w:lang w:val="en-GB"/>
        </w:rPr>
        <w:t xml:space="preserve"> inhibitors</w:t>
      </w:r>
      <w:r w:rsidR="00E471D5">
        <w:rPr>
          <w:rFonts w:asciiTheme="majorBidi" w:hAnsiTheme="majorBidi"/>
          <w:sz w:val="24"/>
          <w:szCs w:val="24"/>
          <w:lang w:val="en-GB"/>
        </w:rPr>
        <w:t>,</w:t>
      </w:r>
      <w:r w:rsidR="00D66344">
        <w:rPr>
          <w:rFonts w:asciiTheme="majorBidi" w:hAnsiTheme="majorBidi"/>
          <w:sz w:val="24"/>
          <w:szCs w:val="24"/>
          <w:lang w:val="en-GB"/>
        </w:rPr>
        <w:t xml:space="preserve"> in which the </w:t>
      </w:r>
      <w:r w:rsidR="00CD5088">
        <w:rPr>
          <w:rFonts w:asciiTheme="majorBidi" w:hAnsiTheme="majorBidi"/>
          <w:sz w:val="24"/>
          <w:szCs w:val="24"/>
          <w:lang w:val="en-GB"/>
        </w:rPr>
        <w:t xml:space="preserve">primary outcome </w:t>
      </w:r>
      <w:r w:rsidR="00491B82">
        <w:rPr>
          <w:rFonts w:asciiTheme="majorBidi" w:hAnsiTheme="majorBidi"/>
          <w:sz w:val="24"/>
          <w:szCs w:val="24"/>
          <w:lang w:val="en-GB"/>
        </w:rPr>
        <w:t>is</w:t>
      </w:r>
      <w:r w:rsidR="00CD5088">
        <w:rPr>
          <w:rFonts w:asciiTheme="majorBidi" w:hAnsiTheme="majorBidi"/>
          <w:sz w:val="24"/>
          <w:szCs w:val="24"/>
          <w:lang w:val="en-GB"/>
        </w:rPr>
        <w:t xml:space="preserve"> </w:t>
      </w:r>
      <w:r w:rsidR="00D66344">
        <w:rPr>
          <w:rFonts w:asciiTheme="majorBidi" w:hAnsiTheme="majorBidi"/>
          <w:sz w:val="24"/>
          <w:szCs w:val="24"/>
          <w:lang w:val="en-GB"/>
        </w:rPr>
        <w:t>renal</w:t>
      </w:r>
      <w:r w:rsidR="00CD5088">
        <w:rPr>
          <w:rFonts w:asciiTheme="majorBidi" w:hAnsiTheme="majorBidi"/>
          <w:sz w:val="24"/>
          <w:szCs w:val="24"/>
          <w:lang w:val="en-GB"/>
        </w:rPr>
        <w:t>,</w:t>
      </w:r>
      <w:r w:rsidR="00D66344">
        <w:rPr>
          <w:rFonts w:asciiTheme="majorBidi" w:hAnsiTheme="majorBidi"/>
          <w:sz w:val="24"/>
          <w:szCs w:val="24"/>
          <w:lang w:val="en-GB"/>
        </w:rPr>
        <w:t xml:space="preserve"> and </w:t>
      </w:r>
      <w:r w:rsidR="00D66344">
        <w:rPr>
          <w:rFonts w:asciiTheme="majorBidi" w:hAnsiTheme="majorBidi"/>
          <w:sz w:val="24"/>
          <w:szCs w:val="24"/>
          <w:lang w:val="en-GB"/>
        </w:rPr>
        <w:lastRenderedPageBreak/>
        <w:t xml:space="preserve">not </w:t>
      </w:r>
      <w:r w:rsidR="00CD5088">
        <w:rPr>
          <w:rFonts w:asciiTheme="majorBidi" w:hAnsiTheme="majorBidi"/>
          <w:sz w:val="24"/>
          <w:szCs w:val="24"/>
          <w:lang w:val="en-GB"/>
        </w:rPr>
        <w:t xml:space="preserve"> </w:t>
      </w:r>
      <w:r w:rsidR="00D66344">
        <w:rPr>
          <w:rFonts w:asciiTheme="majorBidi" w:hAnsiTheme="majorBidi"/>
          <w:sz w:val="24"/>
          <w:szCs w:val="24"/>
          <w:lang w:val="en-GB"/>
        </w:rPr>
        <w:t xml:space="preserve">cardiovascular. </w:t>
      </w:r>
      <w:r w:rsidR="00B71598">
        <w:rPr>
          <w:rFonts w:asciiTheme="majorBidi" w:hAnsiTheme="majorBidi"/>
          <w:sz w:val="24"/>
          <w:szCs w:val="24"/>
          <w:lang w:val="en-GB"/>
        </w:rPr>
        <w:t>The</w:t>
      </w:r>
      <w:r w:rsidR="00D66344">
        <w:rPr>
          <w:rFonts w:asciiTheme="majorBidi" w:hAnsiTheme="majorBidi"/>
          <w:sz w:val="24"/>
          <w:szCs w:val="24"/>
          <w:lang w:val="en-GB"/>
        </w:rPr>
        <w:t xml:space="preserve"> CREDENCE and other ongoing trials</w:t>
      </w:r>
      <w:r w:rsidR="00B71598">
        <w:rPr>
          <w:rFonts w:asciiTheme="majorBidi" w:hAnsiTheme="majorBidi"/>
          <w:sz w:val="24"/>
          <w:szCs w:val="24"/>
          <w:lang w:val="en-GB"/>
        </w:rPr>
        <w:t xml:space="preserve"> in this area</w:t>
      </w:r>
      <w:r w:rsidR="00D66344">
        <w:rPr>
          <w:rFonts w:asciiTheme="majorBidi" w:hAnsiTheme="majorBidi"/>
          <w:sz w:val="24"/>
          <w:szCs w:val="24"/>
          <w:lang w:val="en-GB"/>
        </w:rPr>
        <w:t xml:space="preserve"> will </w:t>
      </w:r>
      <w:r w:rsidR="00B71598">
        <w:rPr>
          <w:rFonts w:asciiTheme="majorBidi" w:hAnsiTheme="majorBidi"/>
          <w:sz w:val="24"/>
          <w:szCs w:val="24"/>
          <w:lang w:val="en-GB"/>
        </w:rPr>
        <w:t xml:space="preserve">help to define the position </w:t>
      </w:r>
      <w:r w:rsidR="00D66344">
        <w:rPr>
          <w:rFonts w:asciiTheme="majorBidi" w:hAnsiTheme="majorBidi"/>
          <w:sz w:val="24"/>
          <w:szCs w:val="24"/>
          <w:lang w:val="en-GB"/>
        </w:rPr>
        <w:t>of SGLT2i in</w:t>
      </w:r>
      <w:r w:rsidR="00B71598">
        <w:rPr>
          <w:rFonts w:asciiTheme="majorBidi" w:hAnsiTheme="majorBidi"/>
          <w:sz w:val="24"/>
          <w:szCs w:val="24"/>
          <w:lang w:val="en-GB"/>
        </w:rPr>
        <w:t xml:space="preserve"> the pharmacological management of </w:t>
      </w:r>
      <w:r w:rsidR="00491B82">
        <w:rPr>
          <w:rFonts w:asciiTheme="majorBidi" w:hAnsiTheme="majorBidi"/>
          <w:sz w:val="24"/>
          <w:szCs w:val="24"/>
          <w:lang w:val="en-GB"/>
        </w:rPr>
        <w:t>DKD</w:t>
      </w:r>
      <w:r w:rsidR="00D66344">
        <w:rPr>
          <w:rFonts w:asciiTheme="majorBidi" w:hAnsiTheme="majorBidi"/>
          <w:sz w:val="24"/>
          <w:szCs w:val="24"/>
          <w:lang w:val="en-GB"/>
        </w:rPr>
        <w:t xml:space="preserve"> and possibly other nephropathies. However, the </w:t>
      </w:r>
      <w:r w:rsidR="00420D89">
        <w:rPr>
          <w:rFonts w:asciiTheme="majorBidi" w:hAnsiTheme="majorBidi"/>
          <w:sz w:val="24"/>
          <w:szCs w:val="24"/>
          <w:lang w:val="en-GB"/>
        </w:rPr>
        <w:t xml:space="preserve">participants in these trials are </w:t>
      </w:r>
      <w:r w:rsidR="00D66344">
        <w:rPr>
          <w:rFonts w:asciiTheme="majorBidi" w:hAnsiTheme="majorBidi"/>
          <w:sz w:val="24"/>
          <w:szCs w:val="24"/>
          <w:lang w:val="en-GB"/>
        </w:rPr>
        <w:t xml:space="preserve">patients with </w:t>
      </w:r>
      <w:r w:rsidR="00491B82">
        <w:rPr>
          <w:rFonts w:asciiTheme="majorBidi" w:hAnsiTheme="majorBidi"/>
          <w:sz w:val="24"/>
          <w:szCs w:val="24"/>
          <w:lang w:val="en-GB"/>
        </w:rPr>
        <w:t xml:space="preserve">prevalent </w:t>
      </w:r>
      <w:r w:rsidR="00D66344">
        <w:rPr>
          <w:rFonts w:asciiTheme="majorBidi" w:hAnsiTheme="majorBidi"/>
          <w:sz w:val="24"/>
          <w:szCs w:val="24"/>
          <w:lang w:val="en-GB"/>
        </w:rPr>
        <w:t xml:space="preserve">nephropathy- </w:t>
      </w:r>
      <w:r w:rsidR="00CC5C13">
        <w:rPr>
          <w:rFonts w:asciiTheme="majorBidi" w:hAnsiTheme="majorBidi"/>
          <w:sz w:val="24"/>
          <w:szCs w:val="24"/>
          <w:lang w:val="en-GB"/>
        </w:rPr>
        <w:t>in</w:t>
      </w:r>
      <w:r w:rsidR="00D66344">
        <w:rPr>
          <w:rFonts w:asciiTheme="majorBidi" w:hAnsiTheme="majorBidi"/>
          <w:sz w:val="24"/>
          <w:szCs w:val="24"/>
          <w:lang w:val="en-GB"/>
        </w:rPr>
        <w:t xml:space="preserve"> the CREDENCE trial</w:t>
      </w:r>
      <w:r w:rsidR="00491B82">
        <w:rPr>
          <w:rFonts w:asciiTheme="majorBidi" w:hAnsiTheme="majorBidi"/>
          <w:sz w:val="24"/>
          <w:szCs w:val="24"/>
          <w:lang w:val="en-GB"/>
        </w:rPr>
        <w:t>,</w:t>
      </w:r>
      <w:r w:rsidR="00D66344">
        <w:rPr>
          <w:rFonts w:asciiTheme="majorBidi" w:hAnsiTheme="majorBidi"/>
          <w:sz w:val="24"/>
          <w:szCs w:val="24"/>
          <w:lang w:val="en-GB"/>
        </w:rPr>
        <w:t xml:space="preserve"> only patients with </w:t>
      </w:r>
      <w:r w:rsidR="00D66344" w:rsidRPr="00527FB4">
        <w:rPr>
          <w:rFonts w:asciiTheme="majorBidi" w:hAnsiTheme="majorBidi"/>
          <w:sz w:val="24"/>
          <w:szCs w:val="24"/>
          <w:lang w:val="en-GB"/>
        </w:rPr>
        <w:t xml:space="preserve">albuminuric </w:t>
      </w:r>
      <w:r w:rsidR="00491B82">
        <w:rPr>
          <w:rFonts w:asciiTheme="majorBidi" w:hAnsiTheme="majorBidi"/>
          <w:sz w:val="24"/>
          <w:szCs w:val="24"/>
          <w:lang w:val="en-GB"/>
        </w:rPr>
        <w:t>CKD</w:t>
      </w:r>
      <w:r w:rsidR="00D66344">
        <w:rPr>
          <w:rFonts w:asciiTheme="majorBidi" w:hAnsiTheme="majorBidi"/>
          <w:sz w:val="24"/>
          <w:szCs w:val="24"/>
          <w:lang w:val="en-GB"/>
        </w:rPr>
        <w:t xml:space="preserve"> were included. The DECLARE-TIMI 58 population</w:t>
      </w:r>
      <w:r w:rsidR="000F754C">
        <w:rPr>
          <w:rFonts w:asciiTheme="majorBidi" w:hAnsiTheme="majorBidi"/>
          <w:sz w:val="24"/>
          <w:szCs w:val="24"/>
          <w:lang w:val="en-GB"/>
        </w:rPr>
        <w:t>, in contrast,</w:t>
      </w:r>
      <w:r w:rsidR="00D66344">
        <w:rPr>
          <w:rFonts w:asciiTheme="majorBidi" w:hAnsiTheme="majorBidi"/>
          <w:sz w:val="24"/>
          <w:szCs w:val="24"/>
          <w:lang w:val="en-GB"/>
        </w:rPr>
        <w:t xml:space="preserve"> is able to demonstrate the effect of dapagliflozin on re</w:t>
      </w:r>
      <w:r w:rsidR="002E0720">
        <w:rPr>
          <w:rFonts w:asciiTheme="majorBidi" w:hAnsiTheme="majorBidi"/>
          <w:sz w:val="24"/>
          <w:szCs w:val="24"/>
          <w:lang w:val="en-GB"/>
        </w:rPr>
        <w:t>n</w:t>
      </w:r>
      <w:r w:rsidR="00D66344">
        <w:rPr>
          <w:rFonts w:asciiTheme="majorBidi" w:hAnsiTheme="majorBidi"/>
          <w:sz w:val="24"/>
          <w:szCs w:val="24"/>
          <w:lang w:val="en-GB"/>
        </w:rPr>
        <w:t xml:space="preserve">al outcomes in </w:t>
      </w:r>
      <w:r w:rsidR="00CC5C13">
        <w:rPr>
          <w:rFonts w:asciiTheme="majorBidi" w:hAnsiTheme="majorBidi"/>
          <w:sz w:val="24"/>
          <w:szCs w:val="24"/>
          <w:lang w:val="en-GB"/>
        </w:rPr>
        <w:t xml:space="preserve">a </w:t>
      </w:r>
      <w:r w:rsidR="00D66344">
        <w:rPr>
          <w:rFonts w:asciiTheme="majorBidi" w:hAnsiTheme="majorBidi"/>
          <w:sz w:val="24"/>
          <w:szCs w:val="24"/>
          <w:lang w:val="en-GB"/>
        </w:rPr>
        <w:t xml:space="preserve">population that is </w:t>
      </w:r>
      <w:r w:rsidR="00491B82">
        <w:rPr>
          <w:rFonts w:asciiTheme="majorBidi" w:hAnsiTheme="majorBidi"/>
          <w:sz w:val="24"/>
          <w:szCs w:val="24"/>
          <w:lang w:val="en-GB"/>
        </w:rPr>
        <w:t>primarily</w:t>
      </w:r>
      <w:r w:rsidR="00D66344">
        <w:rPr>
          <w:rFonts w:asciiTheme="majorBidi" w:hAnsiTheme="majorBidi"/>
          <w:sz w:val="24"/>
          <w:szCs w:val="24"/>
          <w:lang w:val="en-GB"/>
        </w:rPr>
        <w:t xml:space="preserve"> without reduction in eGFR and/or with normo-albuminuria</w:t>
      </w:r>
      <w:r w:rsidR="00491B82">
        <w:rPr>
          <w:rFonts w:asciiTheme="majorBidi" w:hAnsiTheme="majorBidi"/>
          <w:sz w:val="24"/>
          <w:szCs w:val="24"/>
          <w:lang w:val="en-GB"/>
        </w:rPr>
        <w:t>,</w:t>
      </w:r>
      <w:r w:rsidR="00D66344">
        <w:rPr>
          <w:rFonts w:asciiTheme="majorBidi" w:hAnsiTheme="majorBidi"/>
          <w:sz w:val="24"/>
          <w:szCs w:val="24"/>
          <w:lang w:val="en-GB"/>
        </w:rPr>
        <w:t xml:space="preserve"> and therefore with much lower risk for adverse renal outcomes</w:t>
      </w:r>
      <w:r w:rsidR="002A621E">
        <w:rPr>
          <w:rFonts w:asciiTheme="majorBidi" w:hAnsiTheme="majorBidi"/>
          <w:sz w:val="24"/>
          <w:szCs w:val="24"/>
        </w:rPr>
        <w:t>.</w:t>
      </w:r>
      <w:r w:rsidR="00F76B12">
        <w:rPr>
          <w:rFonts w:asciiTheme="majorBidi" w:hAnsiTheme="majorBidi"/>
          <w:sz w:val="24"/>
          <w:szCs w:val="24"/>
        </w:rPr>
        <w:t xml:space="preserve"> </w:t>
      </w:r>
      <w:r w:rsidR="002A621E">
        <w:rPr>
          <w:rFonts w:asciiTheme="majorBidi" w:hAnsiTheme="majorBidi"/>
          <w:sz w:val="24"/>
          <w:szCs w:val="24"/>
        </w:rPr>
        <w:t xml:space="preserve">This </w:t>
      </w:r>
      <w:r w:rsidR="00F76B12">
        <w:rPr>
          <w:rFonts w:asciiTheme="majorBidi" w:hAnsiTheme="majorBidi"/>
          <w:sz w:val="24"/>
          <w:szCs w:val="24"/>
        </w:rPr>
        <w:t xml:space="preserve">may have important implications for the early prevention of DKD. </w:t>
      </w:r>
    </w:p>
    <w:p w14:paraId="70AA8B5D" w14:textId="44EB33EC" w:rsidR="002C08AD" w:rsidRPr="00172EA4" w:rsidRDefault="00D36565" w:rsidP="000E37FE">
      <w:pPr>
        <w:pStyle w:val="ListParagraph"/>
        <w:spacing w:line="480" w:lineRule="auto"/>
        <w:ind w:left="0"/>
        <w:jc w:val="both"/>
        <w:rPr>
          <w:rFonts w:asciiTheme="majorBidi" w:hAnsiTheme="majorBidi" w:cstheme="majorBidi"/>
          <w:sz w:val="24"/>
          <w:szCs w:val="24"/>
          <w:lang w:val="en-GB"/>
        </w:rPr>
      </w:pPr>
      <w:r>
        <w:rPr>
          <w:rFonts w:asciiTheme="majorBidi" w:hAnsiTheme="majorBidi" w:cstheme="majorBidi"/>
          <w:sz w:val="24"/>
          <w:szCs w:val="24"/>
        </w:rPr>
        <w:t>T</w:t>
      </w:r>
      <w:r w:rsidR="002438BC">
        <w:rPr>
          <w:rFonts w:asciiTheme="majorBidi" w:hAnsiTheme="majorBidi" w:cstheme="majorBidi"/>
          <w:sz w:val="24"/>
          <w:szCs w:val="24"/>
        </w:rPr>
        <w:t xml:space="preserve">he fact that </w:t>
      </w:r>
      <w:r>
        <w:rPr>
          <w:rFonts w:asciiTheme="majorBidi" w:hAnsiTheme="majorBidi" w:cstheme="majorBidi"/>
          <w:sz w:val="24"/>
          <w:szCs w:val="24"/>
        </w:rPr>
        <w:t xml:space="preserve">almost </w:t>
      </w:r>
      <w:r w:rsidR="00886809">
        <w:rPr>
          <w:rFonts w:asciiTheme="majorBidi" w:hAnsiTheme="majorBidi" w:cstheme="majorBidi"/>
          <w:sz w:val="24"/>
          <w:szCs w:val="24"/>
        </w:rPr>
        <w:t xml:space="preserve">all subgroups </w:t>
      </w:r>
      <w:r w:rsidR="00517694">
        <w:rPr>
          <w:rFonts w:asciiTheme="majorBidi" w:hAnsiTheme="majorBidi" w:cstheme="majorBidi"/>
          <w:sz w:val="24"/>
          <w:szCs w:val="24"/>
        </w:rPr>
        <w:t>analyse</w:t>
      </w:r>
      <w:r w:rsidR="00F276AB">
        <w:rPr>
          <w:rFonts w:asciiTheme="majorBidi" w:hAnsiTheme="majorBidi" w:cstheme="majorBidi"/>
          <w:sz w:val="24"/>
          <w:szCs w:val="24"/>
        </w:rPr>
        <w:t>d</w:t>
      </w:r>
      <w:r w:rsidR="00517694">
        <w:rPr>
          <w:rFonts w:asciiTheme="majorBidi" w:hAnsiTheme="majorBidi" w:cstheme="majorBidi"/>
          <w:sz w:val="24"/>
          <w:szCs w:val="24"/>
        </w:rPr>
        <w:t xml:space="preserve"> </w:t>
      </w:r>
      <w:r w:rsidR="00886809">
        <w:rPr>
          <w:rFonts w:asciiTheme="majorBidi" w:hAnsiTheme="majorBidi" w:cstheme="majorBidi"/>
          <w:sz w:val="24"/>
          <w:szCs w:val="24"/>
        </w:rPr>
        <w:t xml:space="preserve">had </w:t>
      </w:r>
      <w:r>
        <w:rPr>
          <w:rFonts w:asciiTheme="majorBidi" w:hAnsiTheme="majorBidi" w:cstheme="majorBidi"/>
          <w:sz w:val="24"/>
          <w:szCs w:val="24"/>
        </w:rPr>
        <w:t xml:space="preserve">similar </w:t>
      </w:r>
      <w:r w:rsidR="00886809">
        <w:rPr>
          <w:rFonts w:asciiTheme="majorBidi" w:hAnsiTheme="majorBidi" w:cstheme="majorBidi"/>
          <w:sz w:val="24"/>
          <w:szCs w:val="24"/>
        </w:rPr>
        <w:t xml:space="preserve">renal benefits from treatment with dapagliflozin </w:t>
      </w:r>
      <w:r w:rsidR="00394448">
        <w:rPr>
          <w:rFonts w:asciiTheme="majorBidi" w:hAnsiTheme="majorBidi" w:cstheme="majorBidi"/>
          <w:sz w:val="24"/>
          <w:szCs w:val="24"/>
        </w:rPr>
        <w:t>further emphasize</w:t>
      </w:r>
      <w:r w:rsidR="00F966FE">
        <w:rPr>
          <w:rFonts w:asciiTheme="majorBidi" w:hAnsiTheme="majorBidi" w:cstheme="majorBidi"/>
          <w:sz w:val="24"/>
          <w:szCs w:val="24"/>
        </w:rPr>
        <w:t>s</w:t>
      </w:r>
      <w:r w:rsidR="00394448">
        <w:rPr>
          <w:rFonts w:asciiTheme="majorBidi" w:hAnsiTheme="majorBidi" w:cstheme="majorBidi"/>
          <w:sz w:val="24"/>
          <w:szCs w:val="24"/>
        </w:rPr>
        <w:t xml:space="preserve"> the </w:t>
      </w:r>
      <w:r w:rsidR="00EB5D6F">
        <w:rPr>
          <w:rFonts w:asciiTheme="majorBidi" w:hAnsiTheme="majorBidi" w:cstheme="majorBidi"/>
          <w:sz w:val="24"/>
          <w:szCs w:val="24"/>
        </w:rPr>
        <w:t xml:space="preserve">consistency </w:t>
      </w:r>
      <w:r w:rsidR="00394448">
        <w:rPr>
          <w:rFonts w:asciiTheme="majorBidi" w:hAnsiTheme="majorBidi" w:cstheme="majorBidi"/>
          <w:sz w:val="24"/>
          <w:szCs w:val="24"/>
        </w:rPr>
        <w:t xml:space="preserve">of this effect. </w:t>
      </w:r>
      <w:r w:rsidR="00055593" w:rsidRPr="00055593">
        <w:rPr>
          <w:rFonts w:asciiTheme="majorBidi" w:hAnsiTheme="majorBidi" w:cstheme="majorBidi"/>
          <w:sz w:val="24"/>
          <w:szCs w:val="24"/>
          <w:lang w:val="en-GB"/>
        </w:rPr>
        <w:t>However, since subgroup analys</w:t>
      </w:r>
      <w:r w:rsidR="002A621E">
        <w:rPr>
          <w:rFonts w:asciiTheme="majorBidi" w:hAnsiTheme="majorBidi" w:cstheme="majorBidi"/>
          <w:sz w:val="24"/>
          <w:szCs w:val="24"/>
          <w:lang w:val="en-GB"/>
        </w:rPr>
        <w:t>e</w:t>
      </w:r>
      <w:r w:rsidR="00055593" w:rsidRPr="00055593">
        <w:rPr>
          <w:rFonts w:asciiTheme="majorBidi" w:hAnsiTheme="majorBidi" w:cstheme="majorBidi"/>
          <w:sz w:val="24"/>
          <w:szCs w:val="24"/>
          <w:lang w:val="en-GB"/>
        </w:rPr>
        <w:t>s w</w:t>
      </w:r>
      <w:r w:rsidR="002A621E">
        <w:rPr>
          <w:rFonts w:asciiTheme="majorBidi" w:hAnsiTheme="majorBidi" w:cstheme="majorBidi"/>
          <w:sz w:val="24"/>
          <w:szCs w:val="24"/>
          <w:lang w:val="en-GB"/>
        </w:rPr>
        <w:t>ere</w:t>
      </w:r>
      <w:r w:rsidR="00055593" w:rsidRPr="00055593">
        <w:rPr>
          <w:rFonts w:asciiTheme="majorBidi" w:hAnsiTheme="majorBidi" w:cstheme="majorBidi"/>
          <w:sz w:val="24"/>
          <w:szCs w:val="24"/>
          <w:lang w:val="en-GB"/>
        </w:rPr>
        <w:t xml:space="preserve"> done without correction for </w:t>
      </w:r>
      <w:r w:rsidR="008129B1">
        <w:rPr>
          <w:rFonts w:asciiTheme="majorBidi" w:hAnsiTheme="majorBidi" w:cstheme="majorBidi"/>
          <w:sz w:val="24"/>
          <w:szCs w:val="24"/>
          <w:lang w:val="en-GB"/>
        </w:rPr>
        <w:t>multiplicity of</w:t>
      </w:r>
      <w:r w:rsidR="00055593" w:rsidRPr="00055593">
        <w:rPr>
          <w:rFonts w:asciiTheme="majorBidi" w:hAnsiTheme="majorBidi" w:cstheme="majorBidi"/>
          <w:sz w:val="24"/>
          <w:szCs w:val="24"/>
          <w:lang w:val="en-GB"/>
        </w:rPr>
        <w:t xml:space="preserve"> </w:t>
      </w:r>
      <w:r w:rsidR="00F276AB">
        <w:rPr>
          <w:rFonts w:asciiTheme="majorBidi" w:hAnsiTheme="majorBidi" w:cstheme="majorBidi"/>
          <w:sz w:val="24"/>
          <w:szCs w:val="24"/>
          <w:lang w:val="en-GB"/>
        </w:rPr>
        <w:t>statistical testing</w:t>
      </w:r>
      <w:r w:rsidR="00055593" w:rsidRPr="00055593">
        <w:rPr>
          <w:rFonts w:asciiTheme="majorBidi" w:hAnsiTheme="majorBidi" w:cstheme="majorBidi"/>
          <w:sz w:val="24"/>
          <w:szCs w:val="24"/>
          <w:lang w:val="en-GB"/>
        </w:rPr>
        <w:t xml:space="preserve">, </w:t>
      </w:r>
      <w:r w:rsidR="008129B1">
        <w:rPr>
          <w:rFonts w:asciiTheme="majorBidi" w:hAnsiTheme="majorBidi" w:cstheme="majorBidi"/>
          <w:sz w:val="24"/>
          <w:szCs w:val="24"/>
          <w:lang w:val="en-GB"/>
        </w:rPr>
        <w:t xml:space="preserve">these results </w:t>
      </w:r>
      <w:r w:rsidR="00055593" w:rsidRPr="00055593">
        <w:rPr>
          <w:rFonts w:asciiTheme="majorBidi" w:hAnsiTheme="majorBidi" w:cstheme="majorBidi"/>
          <w:sz w:val="24"/>
          <w:szCs w:val="24"/>
          <w:lang w:val="en-GB"/>
        </w:rPr>
        <w:t>should be considered with cautio</w:t>
      </w:r>
      <w:r w:rsidR="002A621E">
        <w:rPr>
          <w:rFonts w:asciiTheme="majorBidi" w:hAnsiTheme="majorBidi" w:cstheme="majorBidi"/>
          <w:sz w:val="24"/>
          <w:szCs w:val="24"/>
          <w:lang w:val="en-GB"/>
        </w:rPr>
        <w:t>n</w:t>
      </w:r>
      <w:r w:rsidR="00055593" w:rsidRPr="00055593">
        <w:rPr>
          <w:rFonts w:asciiTheme="majorBidi" w:hAnsiTheme="majorBidi" w:cstheme="majorBidi"/>
          <w:sz w:val="24"/>
          <w:szCs w:val="24"/>
          <w:lang w:val="en-GB"/>
        </w:rPr>
        <w:t>.</w:t>
      </w:r>
      <w:r w:rsidR="00055593">
        <w:rPr>
          <w:rFonts w:asciiTheme="majorBidi" w:hAnsiTheme="majorBidi" w:cstheme="majorBidi"/>
          <w:sz w:val="24"/>
          <w:szCs w:val="24"/>
        </w:rPr>
        <w:t xml:space="preserve"> </w:t>
      </w:r>
      <w:r w:rsidR="000C0F14">
        <w:rPr>
          <w:rFonts w:asciiTheme="majorBidi" w:hAnsiTheme="majorBidi" w:cstheme="majorBidi"/>
          <w:sz w:val="24"/>
          <w:szCs w:val="24"/>
        </w:rPr>
        <w:t>I</w:t>
      </w:r>
      <w:r w:rsidR="00F966FE">
        <w:rPr>
          <w:rFonts w:asciiTheme="majorBidi" w:hAnsiTheme="majorBidi" w:cstheme="majorBidi"/>
          <w:sz w:val="24"/>
          <w:szCs w:val="24"/>
        </w:rPr>
        <w:t>n</w:t>
      </w:r>
      <w:r w:rsidR="00394448">
        <w:rPr>
          <w:rFonts w:asciiTheme="majorBidi" w:hAnsiTheme="majorBidi" w:cstheme="majorBidi"/>
          <w:sz w:val="24"/>
          <w:szCs w:val="24"/>
        </w:rPr>
        <w:t xml:space="preserve"> the primary outcome </w:t>
      </w:r>
      <w:r w:rsidR="00ED4647">
        <w:rPr>
          <w:rFonts w:asciiTheme="majorBidi" w:hAnsiTheme="majorBidi" w:cstheme="majorBidi"/>
          <w:sz w:val="24"/>
          <w:szCs w:val="24"/>
        </w:rPr>
        <w:t>analysis,</w:t>
      </w:r>
      <w:r w:rsidR="00394448">
        <w:rPr>
          <w:rFonts w:asciiTheme="majorBidi" w:hAnsiTheme="majorBidi" w:cstheme="majorBidi"/>
          <w:sz w:val="24"/>
          <w:szCs w:val="24"/>
        </w:rPr>
        <w:t xml:space="preserve"> there was </w:t>
      </w:r>
      <w:r w:rsidR="000E37FE">
        <w:rPr>
          <w:rFonts w:asciiTheme="majorBidi" w:hAnsiTheme="majorBidi" w:cstheme="majorBidi"/>
          <w:sz w:val="24"/>
          <w:szCs w:val="24"/>
        </w:rPr>
        <w:t>an indication</w:t>
      </w:r>
      <w:r w:rsidR="00ED4647">
        <w:rPr>
          <w:rFonts w:asciiTheme="majorBidi" w:hAnsiTheme="majorBidi" w:cstheme="majorBidi"/>
          <w:sz w:val="24"/>
          <w:szCs w:val="24"/>
        </w:rPr>
        <w:t xml:space="preserve"> for</w:t>
      </w:r>
      <w:r w:rsidR="00F966FE">
        <w:rPr>
          <w:rFonts w:asciiTheme="majorBidi" w:hAnsiTheme="majorBidi" w:cstheme="majorBidi"/>
          <w:sz w:val="24"/>
          <w:szCs w:val="24"/>
        </w:rPr>
        <w:t xml:space="preserve"> </w:t>
      </w:r>
      <w:r w:rsidR="002A621E">
        <w:rPr>
          <w:rFonts w:asciiTheme="majorBidi" w:hAnsiTheme="majorBidi" w:cstheme="majorBidi"/>
          <w:sz w:val="24"/>
          <w:szCs w:val="24"/>
        </w:rPr>
        <w:t xml:space="preserve">an </w:t>
      </w:r>
      <w:r w:rsidR="00394448">
        <w:rPr>
          <w:rFonts w:asciiTheme="majorBidi" w:hAnsiTheme="majorBidi" w:cstheme="majorBidi"/>
          <w:sz w:val="24"/>
          <w:szCs w:val="24"/>
        </w:rPr>
        <w:t xml:space="preserve">even stronger improvement in renal outcome </w:t>
      </w:r>
      <w:r w:rsidR="00F966FE">
        <w:rPr>
          <w:rFonts w:asciiTheme="majorBidi" w:hAnsiTheme="majorBidi" w:cstheme="majorBidi"/>
          <w:sz w:val="24"/>
          <w:szCs w:val="24"/>
        </w:rPr>
        <w:t>in</w:t>
      </w:r>
      <w:r w:rsidR="00394448">
        <w:rPr>
          <w:rFonts w:asciiTheme="majorBidi" w:hAnsiTheme="majorBidi" w:cstheme="majorBidi"/>
          <w:sz w:val="24"/>
          <w:szCs w:val="24"/>
        </w:rPr>
        <w:t xml:space="preserve"> the subgroup of patients with micro and macro-albuminuria </w:t>
      </w:r>
      <w:r w:rsidR="002C08AD">
        <w:rPr>
          <w:rFonts w:asciiTheme="majorBidi" w:hAnsiTheme="majorBidi" w:cstheme="majorBidi"/>
          <w:sz w:val="24"/>
          <w:szCs w:val="24"/>
        </w:rPr>
        <w:t xml:space="preserve">at baseline </w:t>
      </w:r>
      <w:r w:rsidR="00394448">
        <w:rPr>
          <w:rFonts w:asciiTheme="majorBidi" w:hAnsiTheme="majorBidi" w:cstheme="majorBidi"/>
          <w:sz w:val="24"/>
          <w:szCs w:val="24"/>
        </w:rPr>
        <w:t>compare</w:t>
      </w:r>
      <w:r w:rsidR="00F966FE">
        <w:rPr>
          <w:rFonts w:asciiTheme="majorBidi" w:hAnsiTheme="majorBidi" w:cstheme="majorBidi"/>
          <w:sz w:val="24"/>
          <w:szCs w:val="24"/>
        </w:rPr>
        <w:t>d</w:t>
      </w:r>
      <w:r w:rsidR="00394448">
        <w:rPr>
          <w:rFonts w:asciiTheme="majorBidi" w:hAnsiTheme="majorBidi" w:cstheme="majorBidi"/>
          <w:sz w:val="24"/>
          <w:szCs w:val="24"/>
        </w:rPr>
        <w:t xml:space="preserve"> to the subpopulation with normo-albuminuria.  This finding was not </w:t>
      </w:r>
      <w:r w:rsidR="004E7082">
        <w:rPr>
          <w:rFonts w:asciiTheme="majorBidi" w:hAnsiTheme="majorBidi" w:cstheme="majorBidi"/>
          <w:sz w:val="24"/>
          <w:szCs w:val="24"/>
        </w:rPr>
        <w:t>observed</w:t>
      </w:r>
      <w:r w:rsidR="00394448">
        <w:rPr>
          <w:rFonts w:asciiTheme="majorBidi" w:hAnsiTheme="majorBidi" w:cstheme="majorBidi"/>
          <w:sz w:val="24"/>
          <w:szCs w:val="24"/>
        </w:rPr>
        <w:t xml:space="preserve"> </w:t>
      </w:r>
      <w:r w:rsidR="00F966FE">
        <w:rPr>
          <w:rFonts w:asciiTheme="majorBidi" w:hAnsiTheme="majorBidi" w:cstheme="majorBidi"/>
          <w:sz w:val="24"/>
          <w:szCs w:val="24"/>
        </w:rPr>
        <w:t>in</w:t>
      </w:r>
      <w:r w:rsidR="00394448">
        <w:rPr>
          <w:rFonts w:asciiTheme="majorBidi" w:hAnsiTheme="majorBidi" w:cstheme="majorBidi"/>
          <w:sz w:val="24"/>
          <w:szCs w:val="24"/>
        </w:rPr>
        <w:t xml:space="preserve"> the secondary renal outcome </w:t>
      </w:r>
      <w:r w:rsidR="002C08AD">
        <w:rPr>
          <w:rFonts w:asciiTheme="majorBidi" w:hAnsiTheme="majorBidi" w:cstheme="majorBidi"/>
          <w:sz w:val="24"/>
          <w:szCs w:val="24"/>
        </w:rPr>
        <w:t xml:space="preserve">that </w:t>
      </w:r>
      <w:r>
        <w:rPr>
          <w:rFonts w:asciiTheme="majorBidi" w:hAnsiTheme="majorBidi" w:cstheme="majorBidi"/>
          <w:sz w:val="24"/>
          <w:szCs w:val="24"/>
        </w:rPr>
        <w:t xml:space="preserve">did not </w:t>
      </w:r>
      <w:r w:rsidR="002C08AD">
        <w:rPr>
          <w:rFonts w:asciiTheme="majorBidi" w:hAnsiTheme="majorBidi" w:cstheme="majorBidi"/>
          <w:sz w:val="24"/>
          <w:szCs w:val="24"/>
        </w:rPr>
        <w:t xml:space="preserve">include CV death. </w:t>
      </w:r>
    </w:p>
    <w:p w14:paraId="59B16B51" w14:textId="6D46B2AA" w:rsidR="00731CC6" w:rsidRDefault="00773269" w:rsidP="000E37FE">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The mechanism</w:t>
      </w:r>
      <w:r w:rsidR="003B215C">
        <w:rPr>
          <w:rFonts w:asciiTheme="majorBidi" w:hAnsiTheme="majorBidi" w:cstheme="majorBidi"/>
          <w:sz w:val="24"/>
          <w:szCs w:val="24"/>
        </w:rPr>
        <w:t>s</w:t>
      </w:r>
      <w:r>
        <w:rPr>
          <w:rFonts w:asciiTheme="majorBidi" w:hAnsiTheme="majorBidi" w:cstheme="majorBidi"/>
          <w:sz w:val="24"/>
          <w:szCs w:val="24"/>
        </w:rPr>
        <w:t xml:space="preserve"> </w:t>
      </w:r>
      <w:r w:rsidR="00F76B12">
        <w:rPr>
          <w:rFonts w:asciiTheme="majorBidi" w:hAnsiTheme="majorBidi" w:cstheme="majorBidi"/>
          <w:sz w:val="24"/>
          <w:szCs w:val="24"/>
        </w:rPr>
        <w:t xml:space="preserve">underlying </w:t>
      </w:r>
      <w:r>
        <w:rPr>
          <w:rFonts w:asciiTheme="majorBidi" w:hAnsiTheme="majorBidi" w:cstheme="majorBidi"/>
          <w:sz w:val="24"/>
          <w:szCs w:val="24"/>
        </w:rPr>
        <w:t xml:space="preserve">the </w:t>
      </w:r>
      <w:r w:rsidR="00F76B12">
        <w:rPr>
          <w:rFonts w:asciiTheme="majorBidi" w:hAnsiTheme="majorBidi" w:cstheme="majorBidi"/>
          <w:sz w:val="24"/>
          <w:szCs w:val="24"/>
        </w:rPr>
        <w:t xml:space="preserve">beneficial </w:t>
      </w:r>
      <w:r>
        <w:rPr>
          <w:rFonts w:asciiTheme="majorBidi" w:hAnsiTheme="majorBidi" w:cstheme="majorBidi"/>
          <w:sz w:val="24"/>
          <w:szCs w:val="24"/>
        </w:rPr>
        <w:t>effect</w:t>
      </w:r>
      <w:r w:rsidR="00F76B12">
        <w:rPr>
          <w:rFonts w:asciiTheme="majorBidi" w:hAnsiTheme="majorBidi" w:cstheme="majorBidi"/>
          <w:sz w:val="24"/>
          <w:szCs w:val="24"/>
        </w:rPr>
        <w:t>s</w:t>
      </w:r>
      <w:r>
        <w:rPr>
          <w:rFonts w:asciiTheme="majorBidi" w:hAnsiTheme="majorBidi" w:cstheme="majorBidi"/>
          <w:sz w:val="24"/>
          <w:szCs w:val="24"/>
        </w:rPr>
        <w:t xml:space="preserve"> of SGLT2i on renal outcomes </w:t>
      </w:r>
      <w:r w:rsidR="00056F2A">
        <w:rPr>
          <w:rFonts w:asciiTheme="majorBidi" w:hAnsiTheme="majorBidi" w:cstheme="majorBidi"/>
          <w:sz w:val="24"/>
          <w:szCs w:val="24"/>
        </w:rPr>
        <w:t xml:space="preserve">are not known, but may </w:t>
      </w:r>
      <w:r>
        <w:rPr>
          <w:rFonts w:asciiTheme="majorBidi" w:hAnsiTheme="majorBidi" w:cstheme="majorBidi"/>
          <w:sz w:val="24"/>
          <w:szCs w:val="24"/>
        </w:rPr>
        <w:t>include hemodynamic, metabolic and possibly other mechanism</w:t>
      </w:r>
      <w:r w:rsidR="00A32CBB">
        <w:rPr>
          <w:rFonts w:asciiTheme="majorBidi" w:hAnsiTheme="majorBidi" w:cstheme="majorBidi"/>
          <w:sz w:val="24"/>
          <w:szCs w:val="24"/>
        </w:rPr>
        <w:t>s</w:t>
      </w:r>
      <w:r>
        <w:rPr>
          <w:rFonts w:asciiTheme="majorBidi" w:hAnsiTheme="majorBidi" w:cstheme="majorBidi"/>
          <w:sz w:val="24"/>
          <w:szCs w:val="24"/>
        </w:rPr>
        <w:t xml:space="preserve"> that are b</w:t>
      </w:r>
      <w:r w:rsidR="00A32CBB">
        <w:rPr>
          <w:rFonts w:asciiTheme="majorBidi" w:hAnsiTheme="majorBidi" w:cstheme="majorBidi"/>
          <w:sz w:val="24"/>
          <w:szCs w:val="24"/>
        </w:rPr>
        <w:t>eyond</w:t>
      </w:r>
      <w:r>
        <w:rPr>
          <w:rFonts w:asciiTheme="majorBidi" w:hAnsiTheme="majorBidi" w:cstheme="majorBidi"/>
          <w:sz w:val="24"/>
          <w:szCs w:val="24"/>
        </w:rPr>
        <w:t xml:space="preserve"> the scope of the current </w:t>
      </w:r>
      <w:r w:rsidRPr="000D1899">
        <w:rPr>
          <w:rFonts w:asciiTheme="majorBidi" w:hAnsiTheme="majorBidi" w:cstheme="majorBidi"/>
          <w:sz w:val="24"/>
          <w:szCs w:val="24"/>
        </w:rPr>
        <w:t>manuscript</w:t>
      </w:r>
      <w:r w:rsidR="00FE0338">
        <w:rPr>
          <w:rFonts w:asciiTheme="majorBidi" w:hAnsiTheme="majorBidi" w:cstheme="majorBidi"/>
          <w:sz w:val="24"/>
          <w:szCs w:val="24"/>
          <w:vertAlign w:val="superscript"/>
        </w:rPr>
        <w:fldChar w:fldCharType="begin" w:fldLock="1"/>
      </w:r>
      <w:r w:rsidR="00B90562">
        <w:rPr>
          <w:rFonts w:asciiTheme="majorBidi" w:hAnsiTheme="majorBidi" w:cstheme="majorBidi"/>
          <w:sz w:val="24"/>
          <w:szCs w:val="24"/>
          <w:vertAlign w:val="superscript"/>
        </w:rPr>
        <w:instrText>ADDIN CSL_CITATION {"citationItems":[{"id":"ITEM-1","itemData":{"DOI":"10.1016/j.kint.2017.12.027","ISSN":"00852538","PMID":"29735306","abstract":"Over the past two years, our understanding of anti-hyperglycemic medications used to treat patients with type 2 diabetes (T2D) has fundamentally changed. Before the EMPA-REG OUTCOME trial, agents used to lower blood glucose were felt to prevent or delay the development of microvascular complications, but were not known to definitively reduce cardiovascular risk or mortality. Previous studies with then novel sodium-glucose cotransport-2 (SGLT2) inhibitors demonstrated improvements in several cardiovascular and renal risk factors, including HbA1c, blood pressure, weight, renal hyperfiltration, and albuminuria. However, as with other antihyperglycemic drugs, it could not be known if these salutary effects would translate into improved cardiorenal outcomes. In the EMPA-REG OUTCOME trial, SGLT2 inhibition with empagliflozin reduced the primary outcome of major adverse cardiovascular events (MACE), while also reducing mortality, hospitalization for heart failure, and progression of diabetic kidney disease. In the CANVAS Program trials using canagliflozin, the rates of the 3-point MACE endpoint, the risk of heart failure and the renal composite endpoint were also reduced, albeit with an increased risk of lower extremity amputation and fracture. As a result, clinical practice guidelines recommend the consideration of SGLT2 inhibition in high-risk patient subgroups for cardiovascular risk reduction. Ongoing primary renal endpoint trials will inform the cardio-metabolic-renal community about how to optimally treat patients with chronic kidney disease - including those with and without diabetes. Our aim is to review the rationale for renal protection with SGLT2 inhibitors, and their current place in the clinical management of patients with kidney disease.","author":[{"dropping-particle":"","family":"Heerspink","given":"Hiddo J.L.","non-dropping-particle":"","parse-names":false,"suffix":""},{"dropping-particle":"","family":"Kosiborod","given":"Mikhail","non-dropping-particle":"","parse-names":false,"suffix":""},{"dropping-particle":"","family":"Inzucchi","given":"Silvio E.","non-dropping-particle":"","parse-names":false,"suffix":""},{"dropping-particle":"","family":"Cherney","given":"David Z.I.","non-dropping-particle":"","parse-names":false,"suffix":""}],"container-title":"Kidney International","id":"ITEM-1","issue":"1","issued":{"date-parts":[["2018","7"]]},"page":"26-39","title":"Renoprotective effects of sodium-glucose cotransporter-2 inhibitors","type":"article-journal","volume":"94"},"uris":["http://www.mendeley.com/documents/?uuid=5aa7a803-65f7-378d-9e61-daf1da0dadaf"]},{"id":"ITEM-2","itemData":{"DOI":"10.1177/1479164118783756","ISSN":"1479-1641","PMID":"29963920","abstract":"Sodium-glucose cotransporter 2 inhibitors are antihyperglycaemic medications with an emerging evidence base for cardiovascular and kidney disease risk reduction. Sodium-glucose cotransporter 2 inhibitors medications lower plasma glucose by inhibiting glucose reabsorption in the proximal tubule of the kidney independent of insulin. Furthermore, they reduce intraglomerular pressure by restoring tubuloglomerular feedback. Large cardiovascular outcome trials of both empagliflozin and canagliflozin have consistently shown beneficial kidney effects that go beyond glycaemic control, such as reducing risk for incident nephropathy and progression of chronic kidney disease. The mechanisms by which sodium-glucose cotransporter 2 inhibitors improve kidney outcomes are not clear. Proposed hypotheses underpinning the kidney benefits include kidney-specific effects such as decreased intraglomerular pressure, activation of angiotensin-(1-7) and the Mas receptor leading to decreased inflammation, decrease in overall kidney oxygen consumption, rise in erythropoietin levels, inhibition of the renal sodium-hydrogen exchanger and secondary kidney effects related to improvements in HbA1c and blood pressure. This review will focus on describing the mechanisms of action of sodium-glucose cotransporter 2 inhibitors in the kidney, clinical efficacy data on their use in patients with chronic kidney disease, postulated physiologic underpinnings of kidney protection observed with sodium-glucose cotransporter 2 inhibitors and the promise and potential pitfalls for their use in patients with chronic kidney disease.","author":[{"dropping-particle":"","family":"Albuquerque Rocha","given":"Natalia","non-dropping-particle":"de","parse-names":false,"suffix":""},{"dropping-particle":"","family":"Neeland","given":"Ian J","non-dropping-particle":"","parse-names":false,"suffix":""},{"dropping-particle":"","family":"McCullough","given":"Peter A","non-dropping-particle":"","parse-names":false,"suffix":""},{"dropping-particle":"","family":"Toto","given":"Robert D","non-dropping-particle":"","parse-names":false,"suffix":""},{"dropping-particle":"","family":"McGuire","given":"Darren K","non-dropping-particle":"","parse-names":false,"suffix":""}],"container-title":"Diabetes and Vascular Disease Research","id":"ITEM-2","issue":"5","issued":{"date-parts":[["2018","9","2"]]},"page":"375-386","title":"Effects of sodium glucose co-transporter 2 inhibitors on the kidney","type":"article-journal","volume":"15"},"uris":["http://www.mendeley.com/documents/?uuid=e44959c5-8e6d-35ec-b3ce-bd037917d2d5"]},{"id":"ITEM-3","itemData":{"DOI":"10.1038/nrneph.2016.170","ISSN":"1759-5061","PMID":"27941935","abstract":"The kidney has a pivotal role in maintaining glucose homeostasis by using glucose as a metabolic fuel, by producing glucose through gluconeogenesis, and by reabsorbing all filtered glucose through the sodium-glucose cotransporters SGLT1 and SGLT2 located in the proximal tubule. In patients with diabetes, the maximum glucose reabsorptive capacity (TmG) of the kidney, as well as the threshold for glucose spillage into the urine, are elevated, contributing to the pathogenesis of hyperglycaemia. By reducing the TmG and, more importantly, the threshold of glucosuria, SGLT2 inhibitors enhance glucose excretion, leading to a reduction in fasting and postprandial plasma glucose levels and improvements in both insulin secretion and insulin sensitivity. The beneficial effects of SGLT2 inhibition extend beyond glycaemic control, however, with new studies demonstrating that inhibition of renal glucose reabsorption reduces blood pressure, ameliorates glucotoxicity and induces haemodynamic effects that lead to improved cardiovascular and renal outcomes in patients with type 2 diabetes mellitus. In this Review we examine the role of SGLT2 and SGLT1 in the regulation of renal glucose reabsorption in health and disease and the effect of SGLT2 inhibition on renal function, glucose homeostasis, and cardiovascular disease.","author":[{"dropping-particle":"","family":"DeFronzo","given":"Ralph A.","non-dropping-particle":"","parse-names":false,"suffix":""},{"dropping-particle":"","family":"Norton","given":"Luke","non-dropping-particle":"","parse-names":false,"suffix":""},{"dropping-particle":"","family":"Abdul-Ghani","given":"Muhammad","non-dropping-particle":"","parse-names":false,"suffix":""}],"container-title":"Nature Reviews Nephrology","id":"ITEM-3","issue":"1","issued":{"date-parts":[["2017","1","12"]]},"page":"11-26","title":"Renal, metabolic and cardiovascular considerations of SGLT2 inhibition","type":"article-journal","volume":"13"},"uris":["http://www.mendeley.com/documents/?uuid=d2636c9d-c094-380f-832d-c43afa4ea819"]},{"id":"ITEM-4","itemData":{"DOI":"10.1161/CIRCULATIONAHA.116.021887","ISSN":"0009-7322","PMID":"27470878","abstract":"Sodium-glucose cotransporter-2 (SGLT2) inhibitors, including empagliflozin, dapagliflozin, and canagliflozin, are now widely approved antihyperglycemic therapies. Because of their unique glycosuric mechanism, SGLT2 inhibitors also reduce weight. Perhaps more important are the osmotic diuretic and natriuretic effects contributing to plasma volume contraction, and decreases in systolic and diastolic blood pressures by 4 to 6 and 1 to 2 mm Hg, respectively, which may underlie cardiovascular and kidney benefits. SGLT2 inhibition also is associated with an acute, dose-dependent reduction in estimated glomerular filtration rate by ≈5 mL·min(-1)·1.73 m(-2) and ≈30% to 40% reduction in albuminuria. These effects mirror preclinical observations suggesting that proximal tubular natriuresis activates renal tubuloglomerular feedback through increased macula densa sodium and chloride delivery, leading to afferent vasoconstriction. On the basis of reduced glomerular filtration, glycosuric and weight loss effects are attenuated in patients with chronic kidney disease (estimated glomerular filtration rate &lt;60 mL·min(-1)·1.73 m(-2)). In contrast, blood pressure lowering, estimated glomerular filtration rate, and albuminuric effects are preserved, and perhaps exaggerated in chronic kidney disease. With regard to long-term clinical outcomes, the EMPA-REG OUTCOME trial (Empagliflozin, Cardiovascular Outcomes, and Mortality in Type 2 Diabetes) in patients with type 2 diabetes mellitus and established cardiovascular disease randomly assigned to empagliflozin versus placebo reported a 14% reduction in the primary composite outcome of cardiovascular death, nonfatal myocardial infarction, nonfatal stroke, and &gt;30% reductions in cardiovascular mortality, overall mortality, and heart failure hospitalizations associated with empagliflozin, even though, by design, the hemoglobin A1c difference between the randomized groups was marginal. Aside from an increased risk of mycotic genital infections, empagliflozin-treated patients had fewer serious adverse events, including a lower risk of acute kidney injury. In light of the EMPA-REG OUTCOME results, some diabetes clinical practice guidelines now recommend that SGLT2 inhibitors with proven cardiovascular benefit be prioritized in patients with type 2 diabetes mellitus who have not achieved glycemic targets and who have prevalent atherosclerotic cardiovascular disease. With additional cardiorenal protection trials underway, sodium-relat…","author":[{"dropping-particle":"","family":"Heerspink","given":"Hiddo J.L.","non-dropping-particle":"","parse-names":false,"suffix":""},{"dropping-particle":"","family":"Perkins","given":"Bruce A.","non-dropping-particle":"","parse-names":false,"suffix":""},{"dropping-particle":"","family":"Fitchett","given":"David H.","non-dropping-particle":"","parse-names":false,"suffix":""},{"dropping-particle":"","family":"Husain","given":"Mansoor","non-dropping-particle":"","parse-names":false,"suffix":""},{"dropping-particle":"","family":"Cherney","given":"David Z. I.","non-dropping-particle":"","parse-names":false,"suffix":""}],"container-title":"Circulation","id":"ITEM-4","issue":"10","issued":{"date-parts":[["2016","9","6"]]},"page":"752-772","title":"Sodium Glucose Cotransporter 2 Inhibitors in the Treatment of Diabetes Mellitus","type":"article-journal","volume":"134"},"uris":["http://www.mendeley.com/documents/?uuid=a17d6ee3-6368-3042-a67a-85326d61a829"]},{"id":"ITEM-5","itemData":{"DOI":"10.2337/dcS15-3006","ISSN":"0149-5992","PMID":"27440829","abstract":"Diabetic nephropathy (DN) is the most common cause of end-stage renal disease worldwide. Blood glucose and blood pressure control reduce the risk of developing this complication; however, once DN is established, it is only possible to slow progression. Sodium-glucose cotransporter 2 (SGLT2) inhibitors, the most recent glucose-lowering oral agents, may have the potential to exert nephroprotection not only through improving glycemic control but also through glucose-independent effects, such as blood pressure-lowering and direct renal effects. It is important to consider, however, that in patients with impaired renal function, given their mode of action, SGLT2 inhibitors are less effective in lowering blood glucose. In patients with high cardiovascular risk, the SGLT2 inhibitor empagliflozin lowered the rate of cardiovascular events, especially cardiovascular death, and substantially reduced important renal outcomes. Such benefits on DN could derive from effects beyond glycemia. Glomerular hyperfiltration is a potential risk factor for DN. In addition to the activation of the renin-angiotensin-aldosterone system, renal tubular factors, including SGLT2, contribute to glomerular hyperfiltration in diabetes. SGLT2 inhibitors reduce sodium reabsorption in the proximal tubule, causing, through tubuloglomerular feedback, afferent arteriole vasoconstriction and reduction in hyperfiltration. Experimental studies showed that SGLT2 inhibitors reduced hyperfiltration and decreased inflammatory and fibrotic responses of proximal tubular cells. SGLT2 inhibitors reduced glomerular hyperfiltration in patients with type 1 diabetes, and in patients with type 2 diabetes, they caused transient acute reductions in glomerular filtration rate, followed by a progressive recovery and stabilization of renal function. Interestingly, recent studies consistently demonstrated a reduction in albuminuria. Although these data are promising, only dedicated renal outcome trials will clarify whether SGLT2 inhibitors, in addition to their glycemic and blood pressure benefits, may provide nephroprotective effects.","author":[{"dropping-particle":"","family":"Fioretto","given":"Paola","non-dropping-particle":"","parse-names":false,"suffix":""},{"dropping-particle":"","family":"Zambon","given":"Alberto","non-dropping-particle":"","parse-names":false,"suffix":""},{"dropping-particle":"","family":"Rossato","given":"Marco","non-dropping-particle":"","parse-names":false,"suffix":""},{"dropping-particle":"","family":"Busetto","given":"Luca","non-dropping-particle":"","parse-names":false,"suffix":""},{"dropping-particle":"","family":"Vettor","given":"Roberto","non-dropping-particle":"","parse-names":false,"suffix":""}],"container-title":"Diabetes Care","id":"ITEM-5","issue":"Supplement 2","issued":{"date-parts":[["2016","8","19"]]},"page":"S165-S171","title":"SGLT2 Inhibitors and the Diabetic Kidney","type":"article-journal","volume":"39"},"uris":["http://www.mendeley.com/documents/?uuid=760ca7aa-468a-3527-8e04-ec4f399889d3"]}],"mendeley":{"formattedCitation":"&lt;sup&gt;23–27&lt;/sup&gt;","plainTextFormattedCitation":"23–27","previouslyFormattedCitation":"&lt;sup&gt;23–27&lt;/sup&gt;"},"properties":{"noteIndex":0},"schema":"https://github.com/citation-style-language/schema/raw/master/csl-citation.json"}</w:instrText>
      </w:r>
      <w:r w:rsidR="00FE0338">
        <w:rPr>
          <w:rFonts w:asciiTheme="majorBidi" w:hAnsiTheme="majorBidi" w:cstheme="majorBidi"/>
          <w:sz w:val="24"/>
          <w:szCs w:val="24"/>
          <w:vertAlign w:val="superscript"/>
        </w:rPr>
        <w:fldChar w:fldCharType="separate"/>
      </w:r>
      <w:r w:rsidR="00B90562" w:rsidRPr="00B90562">
        <w:rPr>
          <w:rFonts w:asciiTheme="majorBidi" w:hAnsiTheme="majorBidi" w:cstheme="majorBidi"/>
          <w:noProof/>
          <w:sz w:val="24"/>
          <w:szCs w:val="24"/>
          <w:vertAlign w:val="superscript"/>
        </w:rPr>
        <w:t>23–27</w:t>
      </w:r>
      <w:r w:rsidR="00FE0338">
        <w:rPr>
          <w:rFonts w:asciiTheme="majorBidi" w:hAnsiTheme="majorBidi" w:cstheme="majorBidi"/>
          <w:sz w:val="24"/>
          <w:szCs w:val="24"/>
          <w:vertAlign w:val="superscript"/>
        </w:rPr>
        <w:fldChar w:fldCharType="end"/>
      </w:r>
      <w:r w:rsidRPr="00BD344D">
        <w:rPr>
          <w:rFonts w:asciiTheme="majorBidi" w:hAnsiTheme="majorBidi" w:cstheme="majorBidi"/>
          <w:sz w:val="24"/>
          <w:szCs w:val="24"/>
        </w:rPr>
        <w:t>.</w:t>
      </w:r>
      <w:r>
        <w:rPr>
          <w:rFonts w:asciiTheme="majorBidi" w:hAnsiTheme="majorBidi" w:cstheme="majorBidi"/>
          <w:sz w:val="24"/>
          <w:szCs w:val="24"/>
        </w:rPr>
        <w:t xml:space="preserve"> The secondary </w:t>
      </w:r>
      <w:r w:rsidR="007E096D">
        <w:rPr>
          <w:rFonts w:asciiTheme="majorBidi" w:hAnsiTheme="majorBidi" w:cstheme="majorBidi"/>
          <w:sz w:val="24"/>
          <w:szCs w:val="24"/>
        </w:rPr>
        <w:t>composite</w:t>
      </w:r>
      <w:r w:rsidR="007E096D" w:rsidDel="007E096D">
        <w:rPr>
          <w:rStyle w:val="CommentReference"/>
        </w:rPr>
        <w:t xml:space="preserve"> </w:t>
      </w:r>
      <w:r>
        <w:rPr>
          <w:rFonts w:asciiTheme="majorBidi" w:hAnsiTheme="majorBidi" w:cstheme="majorBidi"/>
          <w:sz w:val="24"/>
          <w:szCs w:val="24"/>
        </w:rPr>
        <w:t xml:space="preserve">renal outcome </w:t>
      </w:r>
      <w:r w:rsidR="007C2FDF">
        <w:rPr>
          <w:rFonts w:asciiTheme="majorBidi" w:hAnsiTheme="majorBidi" w:cstheme="majorBidi"/>
          <w:sz w:val="24"/>
          <w:szCs w:val="24"/>
        </w:rPr>
        <w:t xml:space="preserve">seems to </w:t>
      </w:r>
      <w:r>
        <w:rPr>
          <w:rFonts w:asciiTheme="majorBidi" w:hAnsiTheme="majorBidi" w:cstheme="majorBidi"/>
          <w:sz w:val="24"/>
          <w:szCs w:val="24"/>
        </w:rPr>
        <w:t>further improve in the subgroup of patients not treated with any diuretics (p value for interaction=</w:t>
      </w:r>
      <w:r w:rsidR="00B37967">
        <w:rPr>
          <w:rFonts w:asciiTheme="majorBidi" w:hAnsiTheme="majorBidi" w:cstheme="majorBidi"/>
          <w:sz w:val="24"/>
          <w:szCs w:val="24"/>
        </w:rPr>
        <w:t>0.002</w:t>
      </w:r>
      <w:r>
        <w:rPr>
          <w:rFonts w:asciiTheme="majorBidi" w:hAnsiTheme="majorBidi" w:cstheme="majorBidi"/>
          <w:sz w:val="24"/>
          <w:szCs w:val="24"/>
        </w:rPr>
        <w:t>)</w:t>
      </w:r>
      <w:r w:rsidR="003A3046">
        <w:rPr>
          <w:rFonts w:asciiTheme="majorBidi" w:hAnsiTheme="majorBidi" w:cstheme="majorBidi"/>
          <w:sz w:val="24"/>
          <w:szCs w:val="24"/>
        </w:rPr>
        <w:t>.</w:t>
      </w:r>
      <w:r>
        <w:rPr>
          <w:rFonts w:asciiTheme="majorBidi" w:hAnsiTheme="majorBidi" w:cstheme="majorBidi"/>
          <w:sz w:val="24"/>
          <w:szCs w:val="24"/>
        </w:rPr>
        <w:t xml:space="preserve"> </w:t>
      </w:r>
      <w:r w:rsidR="00D6418E">
        <w:rPr>
          <w:rFonts w:asciiTheme="majorBidi" w:hAnsiTheme="majorBidi" w:cstheme="majorBidi"/>
          <w:sz w:val="24"/>
          <w:szCs w:val="24"/>
        </w:rPr>
        <w:t xml:space="preserve">This </w:t>
      </w:r>
      <w:r w:rsidR="002A621E">
        <w:rPr>
          <w:rFonts w:asciiTheme="majorBidi" w:hAnsiTheme="majorBidi" w:cstheme="majorBidi"/>
          <w:sz w:val="24"/>
          <w:szCs w:val="24"/>
        </w:rPr>
        <w:t>may be just</w:t>
      </w:r>
      <w:r w:rsidR="00D6418E">
        <w:rPr>
          <w:rFonts w:asciiTheme="majorBidi" w:hAnsiTheme="majorBidi" w:cstheme="majorBidi"/>
          <w:sz w:val="24"/>
          <w:szCs w:val="24"/>
        </w:rPr>
        <w:t xml:space="preserve"> a chance finding or </w:t>
      </w:r>
      <w:r w:rsidR="000E37FE">
        <w:rPr>
          <w:rFonts w:asciiTheme="majorBidi" w:hAnsiTheme="majorBidi" w:cstheme="majorBidi"/>
          <w:sz w:val="24"/>
          <w:szCs w:val="24"/>
        </w:rPr>
        <w:t xml:space="preserve">may </w:t>
      </w:r>
      <w:r w:rsidR="00184EAD">
        <w:rPr>
          <w:rFonts w:asciiTheme="majorBidi" w:hAnsiTheme="majorBidi" w:cstheme="majorBidi"/>
          <w:sz w:val="24"/>
          <w:szCs w:val="24"/>
        </w:rPr>
        <w:t>be associated with the renal protective mechanism of SGLT2i.</w:t>
      </w:r>
    </w:p>
    <w:p w14:paraId="066ED813" w14:textId="7780E365" w:rsidR="0070413A" w:rsidRDefault="00731CC6" w:rsidP="000E37FE">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 xml:space="preserve">The use of ACEi/ARB </w:t>
      </w:r>
      <w:r w:rsidR="006436C1">
        <w:rPr>
          <w:rFonts w:asciiTheme="majorBidi" w:hAnsiTheme="majorBidi" w:cstheme="majorBidi"/>
          <w:sz w:val="24"/>
          <w:szCs w:val="24"/>
        </w:rPr>
        <w:t>in</w:t>
      </w:r>
      <w:r>
        <w:rPr>
          <w:rFonts w:asciiTheme="majorBidi" w:hAnsiTheme="majorBidi" w:cstheme="majorBidi"/>
          <w:sz w:val="24"/>
          <w:szCs w:val="24"/>
        </w:rPr>
        <w:t xml:space="preserve"> the DECLARE-TIMI 58 trial was extensive </w:t>
      </w:r>
      <w:r w:rsidR="00A75F7D">
        <w:rPr>
          <w:rFonts w:asciiTheme="majorBidi" w:hAnsiTheme="majorBidi" w:cstheme="majorBidi"/>
          <w:sz w:val="24"/>
          <w:szCs w:val="24"/>
        </w:rPr>
        <w:t>(81.3%)</w:t>
      </w:r>
      <w:r w:rsidR="00560662">
        <w:rPr>
          <w:rFonts w:asciiTheme="majorBidi" w:hAnsiTheme="majorBidi" w:cstheme="majorBidi"/>
          <w:sz w:val="24"/>
          <w:szCs w:val="24"/>
        </w:rPr>
        <w:t>.</w:t>
      </w:r>
      <w:r w:rsidR="00A75F7D">
        <w:rPr>
          <w:rFonts w:asciiTheme="majorBidi" w:hAnsiTheme="majorBidi" w:cstheme="majorBidi"/>
          <w:sz w:val="24"/>
          <w:szCs w:val="24"/>
        </w:rPr>
        <w:t xml:space="preserve"> </w:t>
      </w:r>
      <w:r w:rsidR="00E65D3D">
        <w:rPr>
          <w:rFonts w:ascii="Times New Roman" w:hAnsi="Times New Roman" w:cs="Times New Roman"/>
          <w:sz w:val="24"/>
          <w:szCs w:val="24"/>
        </w:rPr>
        <w:t xml:space="preserve">Background ACEi/ARB use did not attenuate the positive renal effect of dapagliflozin (p value for </w:t>
      </w:r>
      <w:r w:rsidR="00E65D3D">
        <w:rPr>
          <w:rFonts w:ascii="Times New Roman" w:hAnsi="Times New Roman" w:cs="Times New Roman"/>
          <w:sz w:val="24"/>
          <w:szCs w:val="24"/>
        </w:rPr>
        <w:lastRenderedPageBreak/>
        <w:t xml:space="preserve">interaction=0.161). </w:t>
      </w:r>
      <w:r w:rsidR="00FC6FA0">
        <w:rPr>
          <w:rFonts w:asciiTheme="majorBidi" w:hAnsiTheme="majorBidi" w:cstheme="majorBidi"/>
          <w:sz w:val="24"/>
          <w:szCs w:val="24"/>
        </w:rPr>
        <w:t>Th</w:t>
      </w:r>
      <w:r w:rsidR="00B26150">
        <w:rPr>
          <w:rFonts w:asciiTheme="majorBidi" w:hAnsiTheme="majorBidi" w:cstheme="majorBidi"/>
          <w:sz w:val="24"/>
          <w:szCs w:val="24"/>
        </w:rPr>
        <w:t>e</w:t>
      </w:r>
      <w:r w:rsidR="00FC6FA0">
        <w:rPr>
          <w:rFonts w:asciiTheme="majorBidi" w:hAnsiTheme="majorBidi" w:cstheme="majorBidi"/>
          <w:sz w:val="24"/>
          <w:szCs w:val="24"/>
        </w:rPr>
        <w:t xml:space="preserve"> </w:t>
      </w:r>
      <w:r w:rsidR="00B26150">
        <w:rPr>
          <w:rFonts w:asciiTheme="majorBidi" w:hAnsiTheme="majorBidi" w:cstheme="majorBidi"/>
          <w:sz w:val="24"/>
          <w:szCs w:val="24"/>
        </w:rPr>
        <w:t xml:space="preserve">positive renal effect of </w:t>
      </w:r>
      <w:r w:rsidR="0016120D">
        <w:rPr>
          <w:rFonts w:asciiTheme="majorBidi" w:hAnsiTheme="majorBidi" w:cstheme="majorBidi"/>
          <w:sz w:val="24"/>
          <w:szCs w:val="24"/>
        </w:rPr>
        <w:t>dapagliflozin when combined with</w:t>
      </w:r>
      <w:r w:rsidR="00B26150">
        <w:rPr>
          <w:rFonts w:asciiTheme="majorBidi" w:hAnsiTheme="majorBidi" w:cstheme="majorBidi"/>
          <w:sz w:val="24"/>
          <w:szCs w:val="24"/>
        </w:rPr>
        <w:t xml:space="preserve"> ACEi/ARB </w:t>
      </w:r>
      <w:r w:rsidR="00FC6FA0">
        <w:rPr>
          <w:rFonts w:asciiTheme="majorBidi" w:hAnsiTheme="majorBidi" w:cstheme="majorBidi"/>
          <w:sz w:val="24"/>
          <w:szCs w:val="24"/>
        </w:rPr>
        <w:t>further support</w:t>
      </w:r>
      <w:r w:rsidR="000E37FE">
        <w:rPr>
          <w:rFonts w:asciiTheme="majorBidi" w:hAnsiTheme="majorBidi" w:cstheme="majorBidi"/>
          <w:sz w:val="24"/>
          <w:szCs w:val="24"/>
        </w:rPr>
        <w:t>s</w:t>
      </w:r>
      <w:r w:rsidR="00FC6FA0">
        <w:rPr>
          <w:rFonts w:asciiTheme="majorBidi" w:hAnsiTheme="majorBidi" w:cstheme="majorBidi"/>
          <w:sz w:val="24"/>
          <w:szCs w:val="24"/>
        </w:rPr>
        <w:t xml:space="preserve"> the hemodynamic theory of the renal effect of SGLT2i: reduction in intra</w:t>
      </w:r>
      <w:r w:rsidR="006436C1">
        <w:rPr>
          <w:rFonts w:asciiTheme="majorBidi" w:hAnsiTheme="majorBidi" w:cstheme="majorBidi"/>
          <w:sz w:val="24"/>
          <w:szCs w:val="24"/>
        </w:rPr>
        <w:t>-</w:t>
      </w:r>
      <w:r w:rsidR="00FC6FA0">
        <w:rPr>
          <w:rFonts w:asciiTheme="majorBidi" w:hAnsiTheme="majorBidi" w:cstheme="majorBidi"/>
          <w:sz w:val="24"/>
          <w:szCs w:val="24"/>
        </w:rPr>
        <w:t xml:space="preserve">glomerular pressure driven both by vasoconstriction of the </w:t>
      </w:r>
      <w:r w:rsidR="00B37967">
        <w:rPr>
          <w:rFonts w:asciiTheme="majorBidi" w:hAnsiTheme="majorBidi" w:cstheme="majorBidi"/>
          <w:sz w:val="24"/>
          <w:szCs w:val="24"/>
        </w:rPr>
        <w:t>a</w:t>
      </w:r>
      <w:r w:rsidR="00FC6FA0">
        <w:rPr>
          <w:rFonts w:asciiTheme="majorBidi" w:hAnsiTheme="majorBidi" w:cstheme="majorBidi"/>
          <w:sz w:val="24"/>
          <w:szCs w:val="24"/>
        </w:rPr>
        <w:t xml:space="preserve">fferent arteriole with </w:t>
      </w:r>
      <w:r w:rsidR="007D1B5A">
        <w:rPr>
          <w:rFonts w:asciiTheme="majorBidi" w:hAnsiTheme="majorBidi" w:cstheme="majorBidi"/>
          <w:sz w:val="24"/>
          <w:szCs w:val="24"/>
        </w:rPr>
        <w:t>SGLT2i</w:t>
      </w:r>
      <w:r w:rsidR="00FC6FA0">
        <w:rPr>
          <w:rFonts w:asciiTheme="majorBidi" w:hAnsiTheme="majorBidi" w:cstheme="majorBidi"/>
          <w:sz w:val="24"/>
          <w:szCs w:val="24"/>
        </w:rPr>
        <w:t xml:space="preserve"> and vasodilation of the </w:t>
      </w:r>
      <w:r w:rsidR="000E37FE">
        <w:rPr>
          <w:rFonts w:asciiTheme="majorBidi" w:hAnsiTheme="majorBidi" w:cstheme="majorBidi"/>
          <w:sz w:val="24"/>
          <w:szCs w:val="24"/>
        </w:rPr>
        <w:t xml:space="preserve">afferent </w:t>
      </w:r>
      <w:r w:rsidR="00FC6FA0">
        <w:rPr>
          <w:rFonts w:asciiTheme="majorBidi" w:hAnsiTheme="majorBidi" w:cstheme="majorBidi"/>
          <w:sz w:val="24"/>
          <w:szCs w:val="24"/>
        </w:rPr>
        <w:t xml:space="preserve">arteriole with </w:t>
      </w:r>
      <w:r w:rsidR="007D1B5A">
        <w:rPr>
          <w:rFonts w:asciiTheme="majorBidi" w:hAnsiTheme="majorBidi" w:cstheme="majorBidi"/>
          <w:sz w:val="24"/>
          <w:szCs w:val="24"/>
        </w:rPr>
        <w:t xml:space="preserve"> ACEi/ARB </w:t>
      </w:r>
      <w:r w:rsidR="00AC0F44" w:rsidRPr="000D1899">
        <w:rPr>
          <w:rFonts w:asciiTheme="majorBidi" w:hAnsiTheme="majorBidi" w:cstheme="majorBidi"/>
          <w:sz w:val="24"/>
          <w:szCs w:val="24"/>
          <w:vertAlign w:val="superscript"/>
        </w:rPr>
        <w:fldChar w:fldCharType="begin" w:fldLock="1"/>
      </w:r>
      <w:r w:rsidR="00B90562">
        <w:rPr>
          <w:rFonts w:asciiTheme="majorBidi" w:hAnsiTheme="majorBidi" w:cstheme="majorBidi"/>
          <w:sz w:val="24"/>
          <w:szCs w:val="24"/>
          <w:vertAlign w:val="superscript"/>
        </w:rPr>
        <w:instrText>ADDIN CSL_CITATION {"citationItems":[{"id":"ITEM-1","itemData":{"DOI":"10.1016/j.kint.2017.12.027","ISSN":"00852538","PMID":"29735306","abstract":"Over the past two years, our understanding of anti-hyperglycemic medications used to treat patients with type 2 diabetes (T2D) has fundamentally changed. Before the EMPA-REG OUTCOME trial, agents used to lower blood glucose were felt to prevent or delay the development of microvascular complications, but were not known to definitively reduce cardiovascular risk or mortality. Previous studies with then novel sodium-glucose cotransport-2 (SGLT2) inhibitors demonstrated improvements in several cardiovascular and renal risk factors, including HbA1c, blood pressure, weight, renal hyperfiltration, and albuminuria. However, as with other antihyperglycemic drugs, it could not be known if these salutary effects would translate into improved cardiorenal outcomes. In the EMPA-REG OUTCOME trial, SGLT2 inhibition with empagliflozin reduced the primary outcome of major adverse cardiovascular events (MACE), while also reducing mortality, hospitalization for heart failure, and progression of diabetic kidney disease. In the CANVAS Program trials using canagliflozin, the rates of the 3-point MACE endpoint, the risk of heart failure and the renal composite endpoint were also reduced, albeit with an increased risk of lower extremity amputation and fracture. As a result, clinical practice guidelines recommend the consideration of SGLT2 inhibition in high-risk patient subgroups for cardiovascular risk reduction. Ongoing primary renal endpoint trials will inform the cardio-metabolic-renal community about how to optimally treat patients with chronic kidney disease - including those with and without diabetes. Our aim is to review the rationale for renal protection with SGLT2 inhibitors, and their current place in the clinical management of patients with kidney disease.","author":[{"dropping-particle":"","family":"Heerspink","given":"Hiddo J.L.","non-dropping-particle":"","parse-names":false,"suffix":""},{"dropping-particle":"","family":"Kosiborod","given":"Mikhail","non-dropping-particle":"","parse-names":false,"suffix":""},{"dropping-particle":"","family":"Inzucchi","given":"Silvio E.","non-dropping-particle":"","parse-names":false,"suffix":""},{"dropping-particle":"","family":"Cherney","given":"David Z.I.","non-dropping-particle":"","parse-names":false,"suffix":""}],"container-title":"Kidney International","id":"ITEM-1","issue":"1","issued":{"date-parts":[["2018","7"]]},"page":"26-39","title":"Renoprotective effects of sodium-glucose cotransporter-2 inhibitors","type":"article-journal","volume":"94"},"uris":["http://www.mendeley.com/documents/?uuid=5aa7a803-65f7-378d-9e61-daf1da0dadaf"]},{"id":"ITEM-2","itemData":{"DOI":"10.1177/1479164118783756","ISSN":"1479-1641","PMID":"29963920","abstract":"Sodium-glucose cotransporter 2 inhibitors are antihyperglycaemic medications with an emerging evidence base for cardiovascular and kidney disease risk reduction. Sodium-glucose cotransporter 2 inhibitors medications lower plasma glucose by inhibiting glucose reabsorption in the proximal tubule of the kidney independent of insulin. Furthermore, they reduce intraglomerular pressure by restoring tubuloglomerular feedback. Large cardiovascular outcome trials of both empagliflozin and canagliflozin have consistently shown beneficial kidney effects that go beyond glycaemic control, such as reducing risk for incident nephropathy and progression of chronic kidney disease. The mechanisms by which sodium-glucose cotransporter 2 inhibitors improve kidney outcomes are not clear. Proposed hypotheses underpinning the kidney benefits include kidney-specific effects such as decreased intraglomerular pressure, activation of angiotensin-(1-7) and the Mas receptor leading to decreased inflammation, decrease in overall kidney oxygen consumption, rise in erythropoietin levels, inhibition of the renal sodium-hydrogen exchanger and secondary kidney effects related to improvements in HbA1c and blood pressure. This review will focus on describing the mechanisms of action of sodium-glucose cotransporter 2 inhibitors in the kidney, clinical efficacy data on their use in patients with chronic kidney disease, postulated physiologic underpinnings of kidney protection observed with sodium-glucose cotransporter 2 inhibitors and the promise and potential pitfalls for their use in patients with chronic kidney disease.","author":[{"dropping-particle":"","family":"Albuquerque Rocha","given":"Natalia","non-dropping-particle":"de","parse-names":false,"suffix":""},{"dropping-particle":"","family":"Neeland","given":"Ian J","non-dropping-particle":"","parse-names":false,"suffix":""},{"dropping-particle":"","family":"McCullough","given":"Peter A","non-dropping-particle":"","parse-names":false,"suffix":""},{"dropping-particle":"","family":"Toto","given":"Robert D","non-dropping-particle":"","parse-names":false,"suffix":""},{"dropping-particle":"","family":"McGuire","given":"Darren K","non-dropping-particle":"","parse-names":false,"suffix":""}],"container-title":"Diabetes and Vascular Disease Research","id":"ITEM-2","issue":"5","issued":{"date-parts":[["2018","9","2"]]},"page":"375-386","title":"Effects of sodium glucose co-transporter 2 inhibitors on the kidney","type":"article-journal","volume":"15"},"uris":["http://www.mendeley.com/documents/?uuid=e44959c5-8e6d-35ec-b3ce-bd037917d2d5"]},{"id":"ITEM-3","itemData":{"DOI":"10.1038/nrneph.2016.170","ISSN":"1759-5061","PMID":"27941935","abstract":"The kidney has a pivotal role in maintaining glucose homeostasis by using glucose as a metabolic fuel, by producing glucose through gluconeogenesis, and by reabsorbing all filtered glucose through the sodium-glucose cotransporters SGLT1 and SGLT2 located in the proximal tubule. In patients with diabetes, the maximum glucose reabsorptive capacity (TmG) of the kidney, as well as the threshold for glucose spillage into the urine, are elevated, contributing to the pathogenesis of hyperglycaemia. By reducing the TmG and, more importantly, the threshold of glucosuria, SGLT2 inhibitors enhance glucose excretion, leading to a reduction in fasting and postprandial plasma glucose levels and improvements in both insulin secretion and insulin sensitivity. The beneficial effects of SGLT2 inhibition extend beyond glycaemic control, however, with new studies demonstrating that inhibition of renal glucose reabsorption reduces blood pressure, ameliorates glucotoxicity and induces haemodynamic effects that lead to improved cardiovascular and renal outcomes in patients with type 2 diabetes mellitus. In this Review we examine the role of SGLT2 and SGLT1 in the regulation of renal glucose reabsorption in health and disease and the effect of SGLT2 inhibition on renal function, glucose homeostasis, and cardiovascular disease.","author":[{"dropping-particle":"","family":"DeFronzo","given":"Ralph A.","non-dropping-particle":"","parse-names":false,"suffix":""},{"dropping-particle":"","family":"Norton","given":"Luke","non-dropping-particle":"","parse-names":false,"suffix":""},{"dropping-particle":"","family":"Abdul-Ghani","given":"Muhammad","non-dropping-particle":"","parse-names":false,"suffix":""}],"container-title":"Nature Reviews Nephrology","id":"ITEM-3","issue":"1","issued":{"date-parts":[["2017","1","12"]]},"page":"11-26","title":"Renal, metabolic and cardiovascular considerations of SGLT2 inhibition","type":"article-journal","volume":"13"},"uris":["http://www.mendeley.com/documents/?uuid=d2636c9d-c094-380f-832d-c43afa4ea819"]},{"id":"ITEM-4","itemData":{"DOI":"10.1161/CIRCULATIONAHA.116.021887","ISSN":"0009-7322","PMID":"27470878","abstract":"Sodium-glucose cotransporter-2 (SGLT2) inhibitors, including empagliflozin, dapagliflozin, and canagliflozin, are now widely approved antihyperglycemic therapies. Because of their unique glycosuric mechanism, SGLT2 inhibitors also reduce weight. Perhaps more important are the osmotic diuretic and natriuretic effects contributing to plasma volume contraction, and decreases in systolic and diastolic blood pressures by 4 to 6 and 1 to 2 mm Hg, respectively, which may underlie cardiovascular and kidney benefits. SGLT2 inhibition also is associated with an acute, dose-dependent reduction in estimated glomerular filtration rate by ≈5 mL·min(-1)·1.73 m(-2) and ≈30% to 40% reduction in albuminuria. These effects mirror preclinical observations suggesting that proximal tubular natriuresis activates renal tubuloglomerular feedback through increased macula densa sodium and chloride delivery, leading to afferent vasoconstriction. On the basis of reduced glomerular filtration, glycosuric and weight loss effects are attenuated in patients with chronic kidney disease (estimated glomerular filtration rate &lt;60 mL·min(-1)·1.73 m(-2)). In contrast, blood pressure lowering, estimated glomerular filtration rate, and albuminuric effects are preserved, and perhaps exaggerated in chronic kidney disease. With regard to long-term clinical outcomes, the EMPA-REG OUTCOME trial (Empagliflozin, Cardiovascular Outcomes, and Mortality in Type 2 Diabetes) in patients with type 2 diabetes mellitus and established cardiovascular disease randomly assigned to empagliflozin versus placebo reported a 14% reduction in the primary composite outcome of cardiovascular death, nonfatal myocardial infarction, nonfatal stroke, and &gt;30% reductions in cardiovascular mortality, overall mortality, and heart failure hospitalizations associated with empagliflozin, even though, by design, the hemoglobin A1c difference between the randomized groups was marginal. Aside from an increased risk of mycotic genital infections, empagliflozin-treated patients had fewer serious adverse events, including a lower risk of acute kidney injury. In light of the EMPA-REG OUTCOME results, some diabetes clinical practice guidelines now recommend that SGLT2 inhibitors with proven cardiovascular benefit be prioritized in patients with type 2 diabetes mellitus who have not achieved glycemic targets and who have prevalent atherosclerotic cardiovascular disease. With additional cardiorenal protection trials underway, sodium-relat…","author":[{"dropping-particle":"","family":"Heerspink","given":"Hiddo J.L.","non-dropping-particle":"","parse-names":false,"suffix":""},{"dropping-particle":"","family":"Perkins","given":"Bruce A.","non-dropping-particle":"","parse-names":false,"suffix":""},{"dropping-particle":"","family":"Fitchett","given":"David H.","non-dropping-particle":"","parse-names":false,"suffix":""},{"dropping-particle":"","family":"Husain","given":"Mansoor","non-dropping-particle":"","parse-names":false,"suffix":""},{"dropping-particle":"","family":"Cherney","given":"David Z. I.","non-dropping-particle":"","parse-names":false,"suffix":""}],"container-title":"Circulation","id":"ITEM-4","issue":"10","issued":{"date-parts":[["2016","9","6"]]},"page":"752-772","title":"Sodium Glucose Cotransporter 2 Inhibitors in the Treatment of Diabetes Mellitus","type":"article-journal","volume":"134"},"uris":["http://www.mendeley.com/documents/?uuid=a17d6ee3-6368-3042-a67a-85326d61a829"]},{"id":"ITEM-5","itemData":{"DOI":"10.2337/dcS15-3006","ISSN":"0149-5992","PMID":"27440829","abstract":"Diabetic nephropathy (DN) is the most common cause of end-stage renal disease worldwide. Blood glucose and blood pressure control reduce the risk of developing this complication; however, once DN is established, it is only possible to slow progression. Sodium-glucose cotransporter 2 (SGLT2) inhibitors, the most recent glucose-lowering oral agents, may have the potential to exert nephroprotection not only through improving glycemic control but also through glucose-independent effects, such as blood pressure-lowering and direct renal effects. It is important to consider, however, that in patients with impaired renal function, given their mode of action, SGLT2 inhibitors are less effective in lowering blood glucose. In patients with high cardiovascular risk, the SGLT2 inhibitor empagliflozin lowered the rate of cardiovascular events, especially cardiovascular death, and substantially reduced important renal outcomes. Such benefits on DN could derive from effects beyond glycemia. Glomerular hyperfiltration is a potential risk factor for DN. In addition to the activation of the renin-angiotensin-aldosterone system, renal tubular factors, including SGLT2, contribute to glomerular hyperfiltration in diabetes. SGLT2 inhibitors reduce sodium reabsorption in the proximal tubule, causing, through tubuloglomerular feedback, afferent arteriole vasoconstriction and reduction in hyperfiltration. Experimental studies showed that SGLT2 inhibitors reduced hyperfiltration and decreased inflammatory and fibrotic responses of proximal tubular cells. SGLT2 inhibitors reduced glomerular hyperfiltration in patients with type 1 diabetes, and in patients with type 2 diabetes, they caused transient acute reductions in glomerular filtration rate, followed by a progressive recovery and stabilization of renal function. Interestingly, recent studies consistently demonstrated a reduction in albuminuria. Although these data are promising, only dedicated renal outcome trials will clarify whether SGLT2 inhibitors, in addition to their glycemic and blood pressure benefits, may provide nephroprotective effects.","author":[{"dropping-particle":"","family":"Fioretto","given":"Paola","non-dropping-particle":"","parse-names":false,"suffix":""},{"dropping-particle":"","family":"Zambon","given":"Alberto","non-dropping-particle":"","parse-names":false,"suffix":""},{"dropping-particle":"","family":"Rossato","given":"Marco","non-dropping-particle":"","parse-names":false,"suffix":""},{"dropping-particle":"","family":"Busetto","given":"Luca","non-dropping-particle":"","parse-names":false,"suffix":""},{"dropping-particle":"","family":"Vettor","given":"Roberto","non-dropping-particle":"","parse-names":false,"suffix":""}],"container-title":"Diabetes Care","id":"ITEM-5","issue":"Supplement 2","issued":{"date-parts":[["2016","8","19"]]},"page":"S165-S171","title":"SGLT2 Inhibitors and the Diabetic Kidney","type":"article-journal","volume":"39"},"uris":["http://www.mendeley.com/documents/?uuid=760ca7aa-468a-3527-8e04-ec4f399889d3"]}],"mendeley":{"formattedCitation":"&lt;sup&gt;23–27&lt;/sup&gt;","plainTextFormattedCitation":"23–27","previouslyFormattedCitation":"&lt;sup&gt;23–27&lt;/sup&gt;"},"properties":{"noteIndex":0},"schema":"https://github.com/citation-style-language/schema/raw/master/csl-citation.json"}</w:instrText>
      </w:r>
      <w:r w:rsidR="00AC0F44" w:rsidRPr="000D1899">
        <w:rPr>
          <w:rFonts w:asciiTheme="majorBidi" w:hAnsiTheme="majorBidi" w:cstheme="majorBidi"/>
          <w:sz w:val="24"/>
          <w:szCs w:val="24"/>
          <w:vertAlign w:val="superscript"/>
        </w:rPr>
        <w:fldChar w:fldCharType="separate"/>
      </w:r>
      <w:r w:rsidR="00B90562" w:rsidRPr="00B90562">
        <w:rPr>
          <w:rFonts w:asciiTheme="majorBidi" w:hAnsiTheme="majorBidi" w:cstheme="majorBidi"/>
          <w:noProof/>
          <w:sz w:val="24"/>
          <w:szCs w:val="24"/>
          <w:vertAlign w:val="superscript"/>
        </w:rPr>
        <w:t>23–27</w:t>
      </w:r>
      <w:r w:rsidR="00AC0F44" w:rsidRPr="000D1899">
        <w:rPr>
          <w:rFonts w:asciiTheme="majorBidi" w:hAnsiTheme="majorBidi" w:cstheme="majorBidi"/>
          <w:sz w:val="24"/>
          <w:szCs w:val="24"/>
          <w:vertAlign w:val="superscript"/>
        </w:rPr>
        <w:fldChar w:fldCharType="end"/>
      </w:r>
      <w:r w:rsidR="00FC6FA0">
        <w:rPr>
          <w:rFonts w:asciiTheme="majorBidi" w:hAnsiTheme="majorBidi" w:cstheme="majorBidi"/>
          <w:sz w:val="24"/>
          <w:szCs w:val="24"/>
        </w:rPr>
        <w:t xml:space="preserve">. </w:t>
      </w:r>
    </w:p>
    <w:p w14:paraId="6563F59E" w14:textId="0F60E389" w:rsidR="006B3126" w:rsidRDefault="007B6DCB" w:rsidP="002A621E">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 xml:space="preserve">Six </w:t>
      </w:r>
      <w:r w:rsidR="006E66CD">
        <w:rPr>
          <w:rFonts w:asciiTheme="majorBidi" w:hAnsiTheme="majorBidi" w:cstheme="majorBidi"/>
          <w:sz w:val="24"/>
          <w:szCs w:val="24"/>
        </w:rPr>
        <w:t>months</w:t>
      </w:r>
      <w:r>
        <w:rPr>
          <w:rFonts w:asciiTheme="majorBidi" w:hAnsiTheme="majorBidi" w:cstheme="majorBidi"/>
          <w:sz w:val="24"/>
          <w:szCs w:val="24"/>
        </w:rPr>
        <w:t xml:space="preserve"> after randomization t</w:t>
      </w:r>
      <w:r w:rsidR="0070413A">
        <w:rPr>
          <w:rFonts w:asciiTheme="majorBidi" w:hAnsiTheme="majorBidi" w:cstheme="majorBidi"/>
          <w:sz w:val="24"/>
          <w:szCs w:val="24"/>
        </w:rPr>
        <w:t>he</w:t>
      </w:r>
      <w:r>
        <w:rPr>
          <w:rFonts w:asciiTheme="majorBidi" w:hAnsiTheme="majorBidi" w:cstheme="majorBidi"/>
          <w:sz w:val="24"/>
          <w:szCs w:val="24"/>
        </w:rPr>
        <w:t xml:space="preserve"> average </w:t>
      </w:r>
      <w:r w:rsidR="006E66CD">
        <w:rPr>
          <w:rFonts w:asciiTheme="majorBidi" w:hAnsiTheme="majorBidi" w:cstheme="majorBidi"/>
          <w:sz w:val="24"/>
          <w:szCs w:val="24"/>
        </w:rPr>
        <w:t xml:space="preserve">decrease </w:t>
      </w:r>
      <w:r w:rsidR="0070413A">
        <w:rPr>
          <w:rFonts w:asciiTheme="majorBidi" w:hAnsiTheme="majorBidi" w:cstheme="majorBidi"/>
          <w:sz w:val="24"/>
          <w:szCs w:val="24"/>
        </w:rPr>
        <w:t xml:space="preserve">in eGFR </w:t>
      </w:r>
      <w:r w:rsidR="006436C1">
        <w:rPr>
          <w:rFonts w:asciiTheme="majorBidi" w:hAnsiTheme="majorBidi" w:cstheme="majorBidi"/>
          <w:sz w:val="24"/>
          <w:szCs w:val="24"/>
        </w:rPr>
        <w:t>in</w:t>
      </w:r>
      <w:r w:rsidR="0070413A">
        <w:rPr>
          <w:rFonts w:asciiTheme="majorBidi" w:hAnsiTheme="majorBidi" w:cstheme="majorBidi"/>
          <w:sz w:val="24"/>
          <w:szCs w:val="24"/>
        </w:rPr>
        <w:t xml:space="preserve"> the dapagliflozin arm </w:t>
      </w:r>
      <w:r>
        <w:rPr>
          <w:rFonts w:asciiTheme="majorBidi" w:hAnsiTheme="majorBidi" w:cstheme="majorBidi"/>
          <w:sz w:val="24"/>
          <w:szCs w:val="24"/>
        </w:rPr>
        <w:t xml:space="preserve">was larger than </w:t>
      </w:r>
      <w:r w:rsidR="0016120D">
        <w:rPr>
          <w:rFonts w:asciiTheme="majorBidi" w:hAnsiTheme="majorBidi" w:cstheme="majorBidi"/>
          <w:sz w:val="24"/>
          <w:szCs w:val="24"/>
        </w:rPr>
        <w:t xml:space="preserve">in </w:t>
      </w:r>
      <w:r>
        <w:rPr>
          <w:rFonts w:asciiTheme="majorBidi" w:hAnsiTheme="majorBidi" w:cstheme="majorBidi"/>
          <w:sz w:val="24"/>
          <w:szCs w:val="24"/>
        </w:rPr>
        <w:t>the</w:t>
      </w:r>
      <w:r w:rsidR="0070413A">
        <w:rPr>
          <w:rFonts w:asciiTheme="majorBidi" w:hAnsiTheme="majorBidi" w:cstheme="majorBidi"/>
          <w:sz w:val="24"/>
          <w:szCs w:val="24"/>
        </w:rPr>
        <w:t xml:space="preserve"> placebo </w:t>
      </w:r>
      <w:r>
        <w:rPr>
          <w:rFonts w:asciiTheme="majorBidi" w:hAnsiTheme="majorBidi" w:cstheme="majorBidi"/>
          <w:sz w:val="24"/>
          <w:szCs w:val="24"/>
        </w:rPr>
        <w:t xml:space="preserve">arm. Thereafter, the slope of the reduction in eGFR in the dapagliflozin arm </w:t>
      </w:r>
      <w:r w:rsidR="002A621E">
        <w:rPr>
          <w:rFonts w:asciiTheme="majorBidi" w:hAnsiTheme="majorBidi" w:cstheme="majorBidi"/>
          <w:sz w:val="24"/>
          <w:szCs w:val="24"/>
        </w:rPr>
        <w:t xml:space="preserve">was </w:t>
      </w:r>
      <w:r>
        <w:rPr>
          <w:rFonts w:asciiTheme="majorBidi" w:hAnsiTheme="majorBidi" w:cstheme="majorBidi"/>
          <w:sz w:val="24"/>
          <w:szCs w:val="24"/>
        </w:rPr>
        <w:t>slower than the placebo arm.</w:t>
      </w:r>
      <w:r w:rsidR="00B212F9">
        <w:rPr>
          <w:rFonts w:asciiTheme="majorBidi" w:hAnsiTheme="majorBidi" w:cstheme="majorBidi"/>
          <w:sz w:val="24"/>
          <w:szCs w:val="24"/>
        </w:rPr>
        <w:t xml:space="preserve"> The average change in eGFR equalize</w:t>
      </w:r>
      <w:r w:rsidR="002A621E">
        <w:rPr>
          <w:rFonts w:asciiTheme="majorBidi" w:hAnsiTheme="majorBidi" w:cstheme="majorBidi"/>
          <w:sz w:val="24"/>
          <w:szCs w:val="24"/>
        </w:rPr>
        <w:t>d</w:t>
      </w:r>
      <w:r w:rsidR="00B212F9">
        <w:rPr>
          <w:rFonts w:asciiTheme="majorBidi" w:hAnsiTheme="majorBidi" w:cstheme="majorBidi"/>
          <w:sz w:val="24"/>
          <w:szCs w:val="24"/>
        </w:rPr>
        <w:t xml:space="preserve"> at two years, leading to a higher eGFR in the dapagliflozin arm at four years.</w:t>
      </w:r>
      <w:r w:rsidR="00ED5023">
        <w:rPr>
          <w:rFonts w:asciiTheme="majorBidi" w:hAnsiTheme="majorBidi" w:cstheme="majorBidi"/>
          <w:sz w:val="24"/>
          <w:szCs w:val="24"/>
        </w:rPr>
        <w:t xml:space="preserve"> This </w:t>
      </w:r>
      <w:r w:rsidR="00B212F9">
        <w:rPr>
          <w:rFonts w:asciiTheme="majorBidi" w:hAnsiTheme="majorBidi" w:cstheme="majorBidi"/>
          <w:sz w:val="24"/>
          <w:szCs w:val="24"/>
        </w:rPr>
        <w:t xml:space="preserve"> finding can</w:t>
      </w:r>
      <w:r w:rsidR="00ED5023">
        <w:rPr>
          <w:rFonts w:asciiTheme="majorBidi" w:hAnsiTheme="majorBidi" w:cstheme="majorBidi"/>
          <w:sz w:val="24"/>
          <w:szCs w:val="24"/>
        </w:rPr>
        <w:t xml:space="preserve"> be explained </w:t>
      </w:r>
      <w:r w:rsidR="00517694">
        <w:rPr>
          <w:rFonts w:asciiTheme="majorBidi" w:hAnsiTheme="majorBidi" w:cstheme="majorBidi"/>
          <w:sz w:val="24"/>
          <w:szCs w:val="24"/>
        </w:rPr>
        <w:t xml:space="preserve">by </w:t>
      </w:r>
      <w:r w:rsidR="00ED5023">
        <w:rPr>
          <w:rFonts w:asciiTheme="majorBidi" w:hAnsiTheme="majorBidi" w:cstheme="majorBidi"/>
          <w:sz w:val="24"/>
          <w:szCs w:val="24"/>
        </w:rPr>
        <w:t>the difference between the acute vs. the chronic effect of SGLT2i on renal function (associated with the</w:t>
      </w:r>
      <w:r w:rsidR="00FF2E4C">
        <w:rPr>
          <w:rFonts w:asciiTheme="majorBidi" w:hAnsiTheme="majorBidi" w:cstheme="majorBidi"/>
          <w:sz w:val="24"/>
          <w:szCs w:val="24"/>
        </w:rPr>
        <w:t>ir</w:t>
      </w:r>
      <w:r w:rsidR="00ED5023">
        <w:rPr>
          <w:rFonts w:asciiTheme="majorBidi" w:hAnsiTheme="majorBidi" w:cstheme="majorBidi"/>
          <w:sz w:val="24"/>
          <w:szCs w:val="24"/>
        </w:rPr>
        <w:t xml:space="preserve"> hemodynamic effect</w:t>
      </w:r>
      <w:r w:rsidR="008B07F4" w:rsidRPr="00C603CE">
        <w:rPr>
          <w:rFonts w:asciiTheme="majorBidi" w:hAnsiTheme="majorBidi" w:cstheme="majorBidi"/>
          <w:sz w:val="24"/>
          <w:szCs w:val="24"/>
          <w:vertAlign w:val="superscript"/>
        </w:rPr>
        <w:fldChar w:fldCharType="begin" w:fldLock="1"/>
      </w:r>
      <w:r w:rsidR="00B90562">
        <w:rPr>
          <w:rFonts w:asciiTheme="majorBidi" w:hAnsiTheme="majorBidi" w:cstheme="majorBidi"/>
          <w:sz w:val="24"/>
          <w:szCs w:val="24"/>
          <w:vertAlign w:val="superscript"/>
        </w:rPr>
        <w:instrText>ADDIN CSL_CITATION {"citationItems":[{"id":"ITEM-1","itemData":{"DOI":"10.1016/j.kint.2017.12.027","ISSN":"00852538","PMID":"29735306","abstract":"Over the past two years, our understanding of anti-hyperglycemic medications used to treat patients with type 2 diabetes (T2D) has fundamentally changed. Before the EMPA-REG OUTCOME trial, agents used to lower blood glucose were felt to prevent or delay the development of microvascular complications, but were not known to definitively reduce cardiovascular risk or mortality. Previous studies with then novel sodium-glucose cotransport-2 (SGLT2) inhibitors demonstrated improvements in several cardiovascular and renal risk factors, including HbA1c, blood pressure, weight, renal hyperfiltration, and albuminuria. However, as with other antihyperglycemic drugs, it could not be known if these salutary effects would translate into improved cardiorenal outcomes. In the EMPA-REG OUTCOME trial, SGLT2 inhibition with empagliflozin reduced the primary outcome of major adverse cardiovascular events (MACE), while also reducing mortality, hospitalization for heart failure, and progression of diabetic kidney disease. In the CANVAS Program trials using canagliflozin, the rates of the 3-point MACE endpoint, the risk of heart failure and the renal composite endpoint were also reduced, albeit with an increased risk of lower extremity amputation and fracture. As a result, clinical practice guidelines recommend the consideration of SGLT2 inhibition in high-risk patient subgroups for cardiovascular risk reduction. Ongoing primary renal endpoint trials will inform the cardio-metabolic-renal community about how to optimally treat patients with chronic kidney disease - including those with and without diabetes. Our aim is to review the rationale for renal protection with SGLT2 inhibitors, and their current place in the clinical management of patients with kidney disease.","author":[{"dropping-particle":"","family":"Heerspink","given":"Hiddo J.L.","non-dropping-particle":"","parse-names":false,"suffix":""},{"dropping-particle":"","family":"Kosiborod","given":"Mikhail","non-dropping-particle":"","parse-names":false,"suffix":""},{"dropping-particle":"","family":"Inzucchi","given":"Silvio E.","non-dropping-particle":"","parse-names":false,"suffix":""},{"dropping-particle":"","family":"Cherney","given":"David Z.I.","non-dropping-particle":"","parse-names":false,"suffix":""}],"container-title":"Kidney International","id":"ITEM-1","issue":"1","issued":{"date-parts":[["2018","7"]]},"page":"26-39","title":"Renoprotective effects of sodium-glucose cotransporter-2 inhibitors","type":"article-journal","volume":"94"},"uris":["http://www.mendeley.com/documents/?uuid=5aa7a803-65f7-378d-9e61-daf1da0dadaf"]},{"id":"ITEM-2","itemData":{"DOI":"10.1177/1479164118783756","ISSN":"1479-1641","PMID":"29963920","abstract":"Sodium-glucose cotransporter 2 inhibitors are antihyperglycaemic medications with an emerging evidence base for cardiovascular and kidney disease risk reduction. Sodium-glucose cotransporter 2 inhibitors medications lower plasma glucose by inhibiting glucose reabsorption in the proximal tubule of the kidney independent of insulin. Furthermore, they reduce intraglomerular pressure by restoring tubuloglomerular feedback. Large cardiovascular outcome trials of both empagliflozin and canagliflozin have consistently shown beneficial kidney effects that go beyond glycaemic control, such as reducing risk for incident nephropathy and progression of chronic kidney disease. The mechanisms by which sodium-glucose cotransporter 2 inhibitors improve kidney outcomes are not clear. Proposed hypotheses underpinning the kidney benefits include kidney-specific effects such as decreased intraglomerular pressure, activation of angiotensin-(1-7) and the Mas receptor leading to decreased inflammation, decrease in overall kidney oxygen consumption, rise in erythropoietin levels, inhibition of the renal sodium-hydrogen exchanger and secondary kidney effects related to improvements in HbA1c and blood pressure. This review will focus on describing the mechanisms of action of sodium-glucose cotransporter 2 inhibitors in the kidney, clinical efficacy data on their use in patients with chronic kidney disease, postulated physiologic underpinnings of kidney protection observed with sodium-glucose cotransporter 2 inhibitors and the promise and potential pitfalls for their use in patients with chronic kidney disease.","author":[{"dropping-particle":"","family":"Albuquerque Rocha","given":"Natalia","non-dropping-particle":"de","parse-names":false,"suffix":""},{"dropping-particle":"","family":"Neeland","given":"Ian J","non-dropping-particle":"","parse-names":false,"suffix":""},{"dropping-particle":"","family":"McCullough","given":"Peter A","non-dropping-particle":"","parse-names":false,"suffix":""},{"dropping-particle":"","family":"Toto","given":"Robert D","non-dropping-particle":"","parse-names":false,"suffix":""},{"dropping-particle":"","family":"McGuire","given":"Darren K","non-dropping-particle":"","parse-names":false,"suffix":""}],"container-title":"Diabetes and Vascular Disease Research","id":"ITEM-2","issue":"5","issued":{"date-parts":[["2018","9","2"]]},"page":"375-386","title":"Effects of sodium glucose co-transporter 2 inhibitors on the kidney","type":"article-journal","volume":"15"},"uris":["http://www.mendeley.com/documents/?uuid=e44959c5-8e6d-35ec-b3ce-bd037917d2d5"]},{"id":"ITEM-3","itemData":{"DOI":"10.1038/nrneph.2016.170","ISSN":"1759-5061","PMID":"27941935","abstract":"The kidney has a pivotal role in maintaining glucose homeostasis by using glucose as a metabolic fuel, by producing glucose through gluconeogenesis, and by reabsorbing all filtered glucose through the sodium-glucose cotransporters SGLT1 and SGLT2 located in the proximal tubule. In patients with diabetes, the maximum glucose reabsorptive capacity (TmG) of the kidney, as well as the threshold for glucose spillage into the urine, are elevated, contributing to the pathogenesis of hyperglycaemia. By reducing the TmG and, more importantly, the threshold of glucosuria, SGLT2 inhibitors enhance glucose excretion, leading to a reduction in fasting and postprandial plasma glucose levels and improvements in both insulin secretion and insulin sensitivity. The beneficial effects of SGLT2 inhibition extend beyond glycaemic control, however, with new studies demonstrating that inhibition of renal glucose reabsorption reduces blood pressure, ameliorates glucotoxicity and induces haemodynamic effects that lead to improved cardiovascular and renal outcomes in patients with type 2 diabetes mellitus. In this Review we examine the role of SGLT2 and SGLT1 in the regulation of renal glucose reabsorption in health and disease and the effect of SGLT2 inhibition on renal function, glucose homeostasis, and cardiovascular disease.","author":[{"dropping-particle":"","family":"DeFronzo","given":"Ralph A.","non-dropping-particle":"","parse-names":false,"suffix":""},{"dropping-particle":"","family":"Norton","given":"Luke","non-dropping-particle":"","parse-names":false,"suffix":""},{"dropping-particle":"","family":"Abdul-Ghani","given":"Muhammad","non-dropping-particle":"","parse-names":false,"suffix":""}],"container-title":"Nature Reviews Nephrology","id":"ITEM-3","issue":"1","issued":{"date-parts":[["2017","1","12"]]},"page":"11-26","title":"Renal, metabolic and cardiovascular considerations of SGLT2 inhibition","type":"article-journal","volume":"13"},"uris":["http://www.mendeley.com/documents/?uuid=d2636c9d-c094-380f-832d-c43afa4ea819"]},{"id":"ITEM-4","itemData":{"DOI":"10.1161/CIRCULATIONAHA.116.021887","ISSN":"0009-7322","PMID":"27470878","abstract":"Sodium-glucose cotransporter-2 (SGLT2) inhibitors, including empagliflozin, dapagliflozin, and canagliflozin, are now widely approved antihyperglycemic therapies. Because of their unique glycosuric mechanism, SGLT2 inhibitors also reduce weight. Perhaps more important are the osmotic diuretic and natriuretic effects contributing to plasma volume contraction, and decreases in systolic and diastolic blood pressures by 4 to 6 and 1 to 2 mm Hg, respectively, which may underlie cardiovascular and kidney benefits. SGLT2 inhibition also is associated with an acute, dose-dependent reduction in estimated glomerular filtration rate by ≈5 mL·min(-1)·1.73 m(-2) and ≈30% to 40% reduction in albuminuria. These effects mirror preclinical observations suggesting that proximal tubular natriuresis activates renal tubuloglomerular feedback through increased macula densa sodium and chloride delivery, leading to afferent vasoconstriction. On the basis of reduced glomerular filtration, glycosuric and weight loss effects are attenuated in patients with chronic kidney disease (estimated glomerular filtration rate &lt;60 mL·min(-1)·1.73 m(-2)). In contrast, blood pressure lowering, estimated glomerular filtration rate, and albuminuric effects are preserved, and perhaps exaggerated in chronic kidney disease. With regard to long-term clinical outcomes, the EMPA-REG OUTCOME trial (Empagliflozin, Cardiovascular Outcomes, and Mortality in Type 2 Diabetes) in patients with type 2 diabetes mellitus and established cardiovascular disease randomly assigned to empagliflozin versus placebo reported a 14% reduction in the primary composite outcome of cardiovascular death, nonfatal myocardial infarction, nonfatal stroke, and &gt;30% reductions in cardiovascular mortality, overall mortality, and heart failure hospitalizations associated with empagliflozin, even though, by design, the hemoglobin A1c difference between the randomized groups was marginal. Aside from an increased risk of mycotic genital infections, empagliflozin-treated patients had fewer serious adverse events, including a lower risk of acute kidney injury. In light of the EMPA-REG OUTCOME results, some diabetes clinical practice guidelines now recommend that SGLT2 inhibitors with proven cardiovascular benefit be prioritized in patients with type 2 diabetes mellitus who have not achieved glycemic targets and who have prevalent atherosclerotic cardiovascular disease. With additional cardiorenal protection trials underway, sodium-relat…","author":[{"dropping-particle":"","family":"Heerspink","given":"Hiddo J.L.","non-dropping-particle":"","parse-names":false,"suffix":""},{"dropping-particle":"","family":"Perkins","given":"Bruce A.","non-dropping-particle":"","parse-names":false,"suffix":""},{"dropping-particle":"","family":"Fitchett","given":"David H.","non-dropping-particle":"","parse-names":false,"suffix":""},{"dropping-particle":"","family":"Husain","given":"Mansoor","non-dropping-particle":"","parse-names":false,"suffix":""},{"dropping-particle":"","family":"Cherney","given":"David Z. I.","non-dropping-particle":"","parse-names":false,"suffix":""}],"container-title":"Circulation","id":"ITEM-4","issue":"10","issued":{"date-parts":[["2016","9","6"]]},"page":"752-772","title":"Sodium Glucose Cotransporter 2 Inhibitors in the Treatment of Diabetes Mellitus","type":"article-journal","volume":"134"},"uris":["http://www.mendeley.com/documents/?uuid=a17d6ee3-6368-3042-a67a-85326d61a829"]},{"id":"ITEM-5","itemData":{"DOI":"10.2337/dcS15-3006","ISSN":"0149-5992","PMID":"27440829","abstract":"Diabetic nephropathy (DN) is the most common cause of end-stage renal disease worldwide. Blood glucose and blood pressure control reduce the risk of developing this complication; however, once DN is established, it is only possible to slow progression. Sodium-glucose cotransporter 2 (SGLT2) inhibitors, the most recent glucose-lowering oral agents, may have the potential to exert nephroprotection not only through improving glycemic control but also through glucose-independent effects, such as blood pressure-lowering and direct renal effects. It is important to consider, however, that in patients with impaired renal function, given their mode of action, SGLT2 inhibitors are less effective in lowering blood glucose. In patients with high cardiovascular risk, the SGLT2 inhibitor empagliflozin lowered the rate of cardiovascular events, especially cardiovascular death, and substantially reduced important renal outcomes. Such benefits on DN could derive from effects beyond glycemia. Glomerular hyperfiltration is a potential risk factor for DN. In addition to the activation of the renin-angiotensin-aldosterone system, renal tubular factors, including SGLT2, contribute to glomerular hyperfiltration in diabetes. SGLT2 inhibitors reduce sodium reabsorption in the proximal tubule, causing, through tubuloglomerular feedback, afferent arteriole vasoconstriction and reduction in hyperfiltration. Experimental studies showed that SGLT2 inhibitors reduced hyperfiltration and decreased inflammatory and fibrotic responses of proximal tubular cells. SGLT2 inhibitors reduced glomerular hyperfiltration in patients with type 1 diabetes, and in patients with type 2 diabetes, they caused transient acute reductions in glomerular filtration rate, followed by a progressive recovery and stabilization of renal function. Interestingly, recent studies consistently demonstrated a reduction in albuminuria. Although these data are promising, only dedicated renal outcome trials will clarify whether SGLT2 inhibitors, in addition to their glycemic and blood pressure benefits, may provide nephroprotective effects.","author":[{"dropping-particle":"","family":"Fioretto","given":"Paola","non-dropping-particle":"","parse-names":false,"suffix":""},{"dropping-particle":"","family":"Zambon","given":"Alberto","non-dropping-particle":"","parse-names":false,"suffix":""},{"dropping-particle":"","family":"Rossato","given":"Marco","non-dropping-particle":"","parse-names":false,"suffix":""},{"dropping-particle":"","family":"Busetto","given":"Luca","non-dropping-particle":"","parse-names":false,"suffix":""},{"dropping-particle":"","family":"Vettor","given":"Roberto","non-dropping-particle":"","parse-names":false,"suffix":""}],"container-title":"Diabetes Care","id":"ITEM-5","issue":"Supplement 2","issued":{"date-parts":[["2016","8","19"]]},"page":"S165-S171","title":"SGLT2 Inhibitors and the Diabetic Kidney","type":"article-journal","volume":"39"},"uris":["http://www.mendeley.com/documents/?uuid=760ca7aa-468a-3527-8e04-ec4f399889d3"]}],"mendeley":{"formattedCitation":"&lt;sup&gt;23–27&lt;/sup&gt;","plainTextFormattedCitation":"23–27","previouslyFormattedCitation":"&lt;sup&gt;23–27&lt;/sup&gt;"},"properties":{"noteIndex":0},"schema":"https://github.com/citation-style-language/schema/raw/master/csl-citation.json"}</w:instrText>
      </w:r>
      <w:r w:rsidR="008B07F4" w:rsidRPr="00C603CE">
        <w:rPr>
          <w:rFonts w:asciiTheme="majorBidi" w:hAnsiTheme="majorBidi" w:cstheme="majorBidi"/>
          <w:sz w:val="24"/>
          <w:szCs w:val="24"/>
          <w:vertAlign w:val="superscript"/>
        </w:rPr>
        <w:fldChar w:fldCharType="separate"/>
      </w:r>
      <w:r w:rsidR="00B90562" w:rsidRPr="00B90562">
        <w:rPr>
          <w:rFonts w:asciiTheme="majorBidi" w:hAnsiTheme="majorBidi" w:cstheme="majorBidi"/>
          <w:noProof/>
          <w:sz w:val="24"/>
          <w:szCs w:val="24"/>
          <w:vertAlign w:val="superscript"/>
        </w:rPr>
        <w:t>23–27</w:t>
      </w:r>
      <w:r w:rsidR="008B07F4" w:rsidRPr="00C603CE">
        <w:rPr>
          <w:rFonts w:asciiTheme="majorBidi" w:hAnsiTheme="majorBidi" w:cstheme="majorBidi"/>
          <w:sz w:val="24"/>
          <w:szCs w:val="24"/>
          <w:vertAlign w:val="superscript"/>
        </w:rPr>
        <w:fldChar w:fldCharType="end"/>
      </w:r>
      <w:r w:rsidR="008B07F4" w:rsidRPr="008B07F4">
        <w:rPr>
          <w:rFonts w:asciiTheme="majorBidi" w:hAnsiTheme="majorBidi" w:cstheme="majorBidi"/>
          <w:sz w:val="24"/>
          <w:szCs w:val="24"/>
        </w:rPr>
        <w:t>)</w:t>
      </w:r>
      <w:r w:rsidR="006F4BC4">
        <w:rPr>
          <w:rFonts w:asciiTheme="majorBidi" w:hAnsiTheme="majorBidi" w:cstheme="majorBidi"/>
          <w:sz w:val="24"/>
          <w:szCs w:val="24"/>
        </w:rPr>
        <w:t>.</w:t>
      </w:r>
      <w:r w:rsidR="000E37FE">
        <w:rPr>
          <w:rFonts w:asciiTheme="majorBidi" w:hAnsiTheme="majorBidi" w:cstheme="majorBidi"/>
          <w:sz w:val="24"/>
          <w:szCs w:val="24"/>
        </w:rPr>
        <w:t xml:space="preserve"> </w:t>
      </w:r>
      <w:r w:rsidR="00B212F9">
        <w:rPr>
          <w:rFonts w:asciiTheme="majorBidi" w:hAnsiTheme="majorBidi" w:cstheme="majorBidi"/>
          <w:sz w:val="24"/>
          <w:szCs w:val="24"/>
        </w:rPr>
        <w:t>T</w:t>
      </w:r>
      <w:r w:rsidR="00ED5023">
        <w:rPr>
          <w:rFonts w:asciiTheme="majorBidi" w:hAnsiTheme="majorBidi" w:cstheme="majorBidi"/>
          <w:sz w:val="24"/>
          <w:szCs w:val="24"/>
        </w:rPr>
        <w:t xml:space="preserve">he population of patients </w:t>
      </w:r>
      <w:r w:rsidR="00CB1386">
        <w:rPr>
          <w:rFonts w:asciiTheme="majorBidi" w:hAnsiTheme="majorBidi" w:cstheme="majorBidi"/>
          <w:sz w:val="24"/>
          <w:szCs w:val="24"/>
        </w:rPr>
        <w:t>in</w:t>
      </w:r>
      <w:r w:rsidR="00ED5023">
        <w:rPr>
          <w:rFonts w:asciiTheme="majorBidi" w:hAnsiTheme="majorBidi" w:cstheme="majorBidi"/>
          <w:sz w:val="24"/>
          <w:szCs w:val="24"/>
        </w:rPr>
        <w:t xml:space="preserve"> the DECLARE-TIMI 58 </w:t>
      </w:r>
      <w:r w:rsidR="00CB1386">
        <w:rPr>
          <w:rFonts w:asciiTheme="majorBidi" w:hAnsiTheme="majorBidi" w:cstheme="majorBidi"/>
          <w:sz w:val="24"/>
          <w:szCs w:val="24"/>
        </w:rPr>
        <w:t xml:space="preserve">trial </w:t>
      </w:r>
      <w:r w:rsidR="00ED5023">
        <w:rPr>
          <w:rFonts w:asciiTheme="majorBidi" w:hAnsiTheme="majorBidi" w:cstheme="majorBidi"/>
          <w:sz w:val="24"/>
          <w:szCs w:val="24"/>
        </w:rPr>
        <w:t xml:space="preserve">had considerably </w:t>
      </w:r>
      <w:r w:rsidR="00C603CE">
        <w:rPr>
          <w:rFonts w:asciiTheme="majorBidi" w:hAnsiTheme="majorBidi" w:cstheme="majorBidi"/>
          <w:sz w:val="24"/>
          <w:szCs w:val="24"/>
        </w:rPr>
        <w:t>better-preserved</w:t>
      </w:r>
      <w:r w:rsidR="00ED5023">
        <w:rPr>
          <w:rFonts w:asciiTheme="majorBidi" w:hAnsiTheme="majorBidi" w:cstheme="majorBidi"/>
          <w:sz w:val="24"/>
          <w:szCs w:val="24"/>
        </w:rPr>
        <w:t xml:space="preserve"> renal function </w:t>
      </w:r>
      <w:r w:rsidR="006F4BC4">
        <w:rPr>
          <w:rFonts w:asciiTheme="majorBidi" w:hAnsiTheme="majorBidi" w:cstheme="majorBidi"/>
          <w:sz w:val="24"/>
          <w:szCs w:val="24"/>
        </w:rPr>
        <w:t xml:space="preserve">and </w:t>
      </w:r>
      <w:r w:rsidR="00B37967">
        <w:rPr>
          <w:rFonts w:asciiTheme="majorBidi" w:hAnsiTheme="majorBidi" w:cstheme="majorBidi"/>
          <w:sz w:val="24"/>
          <w:szCs w:val="24"/>
        </w:rPr>
        <w:t xml:space="preserve">therefore the rate of deterioration in both treatment arms </w:t>
      </w:r>
      <w:r w:rsidR="00517694">
        <w:rPr>
          <w:rFonts w:asciiTheme="majorBidi" w:hAnsiTheme="majorBidi" w:cstheme="majorBidi"/>
          <w:sz w:val="24"/>
          <w:szCs w:val="24"/>
        </w:rPr>
        <w:t>wa</w:t>
      </w:r>
      <w:r w:rsidR="00B37967">
        <w:rPr>
          <w:rFonts w:asciiTheme="majorBidi" w:hAnsiTheme="majorBidi" w:cstheme="majorBidi"/>
          <w:sz w:val="24"/>
          <w:szCs w:val="24"/>
        </w:rPr>
        <w:t>s slower and it</w:t>
      </w:r>
      <w:r w:rsidR="006F4BC4">
        <w:rPr>
          <w:rFonts w:asciiTheme="majorBidi" w:hAnsiTheme="majorBidi" w:cstheme="majorBidi"/>
          <w:sz w:val="24"/>
          <w:szCs w:val="24"/>
        </w:rPr>
        <w:t xml:space="preserve"> </w:t>
      </w:r>
      <w:r w:rsidR="00517694">
        <w:rPr>
          <w:rFonts w:asciiTheme="majorBidi" w:hAnsiTheme="majorBidi" w:cstheme="majorBidi"/>
          <w:sz w:val="24"/>
          <w:szCs w:val="24"/>
        </w:rPr>
        <w:t xml:space="preserve">took </w:t>
      </w:r>
      <w:r w:rsidR="00B37967">
        <w:rPr>
          <w:rFonts w:asciiTheme="majorBidi" w:hAnsiTheme="majorBidi" w:cstheme="majorBidi"/>
          <w:sz w:val="24"/>
          <w:szCs w:val="24"/>
        </w:rPr>
        <w:t xml:space="preserve">longer to </w:t>
      </w:r>
      <w:r w:rsidR="006F4BC4">
        <w:rPr>
          <w:rFonts w:asciiTheme="majorBidi" w:hAnsiTheme="majorBidi" w:cstheme="majorBidi"/>
          <w:sz w:val="24"/>
          <w:szCs w:val="24"/>
        </w:rPr>
        <w:t>demonstrate the benefit of dapagliflozin on eGFR</w:t>
      </w:r>
      <w:r w:rsidR="004F54D7">
        <w:rPr>
          <w:rFonts w:asciiTheme="majorBidi" w:hAnsiTheme="majorBidi" w:cstheme="majorBidi"/>
          <w:sz w:val="24"/>
          <w:szCs w:val="24"/>
        </w:rPr>
        <w:t>, compared to previous CVOTs</w:t>
      </w:r>
      <w:r w:rsidR="006F4BC4">
        <w:rPr>
          <w:rFonts w:asciiTheme="majorBidi" w:hAnsiTheme="majorBidi" w:cstheme="majorBidi"/>
          <w:sz w:val="24"/>
          <w:szCs w:val="24"/>
        </w:rPr>
        <w:t xml:space="preserve">. </w:t>
      </w:r>
      <w:r w:rsidR="004F54D7">
        <w:rPr>
          <w:rFonts w:asciiTheme="majorBidi" w:hAnsiTheme="majorBidi" w:cstheme="majorBidi"/>
          <w:sz w:val="24"/>
          <w:szCs w:val="24"/>
        </w:rPr>
        <w:t>T</w:t>
      </w:r>
      <w:r w:rsidR="00ED5023">
        <w:rPr>
          <w:rFonts w:asciiTheme="majorBidi" w:hAnsiTheme="majorBidi" w:cstheme="majorBidi"/>
          <w:sz w:val="24"/>
          <w:szCs w:val="24"/>
        </w:rPr>
        <w:t>he frequen</w:t>
      </w:r>
      <w:r w:rsidR="004F54D7">
        <w:rPr>
          <w:rFonts w:asciiTheme="majorBidi" w:hAnsiTheme="majorBidi" w:cstheme="majorBidi"/>
          <w:sz w:val="24"/>
          <w:szCs w:val="24"/>
        </w:rPr>
        <w:t>cy of</w:t>
      </w:r>
      <w:r w:rsidR="00ED5023">
        <w:rPr>
          <w:rFonts w:asciiTheme="majorBidi" w:hAnsiTheme="majorBidi" w:cstheme="majorBidi"/>
          <w:sz w:val="24"/>
          <w:szCs w:val="24"/>
        </w:rPr>
        <w:t xml:space="preserve"> testing of renal function throughout the trial</w:t>
      </w:r>
      <w:r w:rsidR="006F4BC4">
        <w:rPr>
          <w:rFonts w:asciiTheme="majorBidi" w:hAnsiTheme="majorBidi" w:cstheme="majorBidi"/>
          <w:sz w:val="24"/>
          <w:szCs w:val="24"/>
        </w:rPr>
        <w:t xml:space="preserve"> </w:t>
      </w:r>
      <w:r w:rsidR="004F54D7">
        <w:rPr>
          <w:rFonts w:asciiTheme="majorBidi" w:hAnsiTheme="majorBidi" w:cstheme="majorBidi"/>
          <w:sz w:val="24"/>
          <w:szCs w:val="24"/>
        </w:rPr>
        <w:t>(baseline, six month</w:t>
      </w:r>
      <w:r w:rsidR="007E096D">
        <w:rPr>
          <w:rFonts w:asciiTheme="majorBidi" w:hAnsiTheme="majorBidi" w:cstheme="majorBidi"/>
          <w:sz w:val="24"/>
          <w:szCs w:val="24"/>
        </w:rPr>
        <w:t>s, 12 months</w:t>
      </w:r>
      <w:r w:rsidR="004F54D7">
        <w:rPr>
          <w:rFonts w:asciiTheme="majorBidi" w:hAnsiTheme="majorBidi" w:cstheme="majorBidi"/>
          <w:sz w:val="24"/>
          <w:szCs w:val="24"/>
        </w:rPr>
        <w:t xml:space="preserve"> and yearly after) </w:t>
      </w:r>
      <w:r w:rsidR="00517694">
        <w:rPr>
          <w:rFonts w:asciiTheme="majorBidi" w:hAnsiTheme="majorBidi" w:cstheme="majorBidi"/>
          <w:sz w:val="24"/>
          <w:szCs w:val="24"/>
        </w:rPr>
        <w:t>limit</w:t>
      </w:r>
      <w:r w:rsidR="005A1215">
        <w:rPr>
          <w:rFonts w:asciiTheme="majorBidi" w:hAnsiTheme="majorBidi" w:cstheme="majorBidi"/>
          <w:sz w:val="24"/>
          <w:szCs w:val="24"/>
        </w:rPr>
        <w:t>s</w:t>
      </w:r>
      <w:r w:rsidR="00517694">
        <w:rPr>
          <w:rFonts w:asciiTheme="majorBidi" w:hAnsiTheme="majorBidi" w:cstheme="majorBidi"/>
          <w:sz w:val="24"/>
          <w:szCs w:val="24"/>
        </w:rPr>
        <w:t xml:space="preserve"> </w:t>
      </w:r>
      <w:r w:rsidR="006F4BC4">
        <w:rPr>
          <w:rFonts w:asciiTheme="majorBidi" w:hAnsiTheme="majorBidi" w:cstheme="majorBidi"/>
          <w:sz w:val="24"/>
          <w:szCs w:val="24"/>
        </w:rPr>
        <w:t>our ability to accurately estimate the exact timing of change</w:t>
      </w:r>
      <w:r w:rsidR="004F54D7">
        <w:rPr>
          <w:rFonts w:asciiTheme="majorBidi" w:hAnsiTheme="majorBidi" w:cstheme="majorBidi"/>
          <w:sz w:val="24"/>
          <w:szCs w:val="24"/>
        </w:rPr>
        <w:t>s</w:t>
      </w:r>
      <w:r w:rsidR="006F4BC4">
        <w:rPr>
          <w:rFonts w:asciiTheme="majorBidi" w:hAnsiTheme="majorBidi" w:cstheme="majorBidi"/>
          <w:sz w:val="24"/>
          <w:szCs w:val="24"/>
        </w:rPr>
        <w:t xml:space="preserve"> in eGFR</w:t>
      </w:r>
      <w:r w:rsidR="00ED5023">
        <w:rPr>
          <w:rFonts w:asciiTheme="majorBidi" w:hAnsiTheme="majorBidi" w:cstheme="majorBidi"/>
          <w:sz w:val="24"/>
          <w:szCs w:val="24"/>
        </w:rPr>
        <w:t xml:space="preserve">. </w:t>
      </w:r>
    </w:p>
    <w:p w14:paraId="289FC68F" w14:textId="5D2667EA" w:rsidR="00C726C0" w:rsidRDefault="00C726C0" w:rsidP="007E096D">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 xml:space="preserve">The </w:t>
      </w:r>
      <w:r w:rsidR="00DA0177">
        <w:rPr>
          <w:rFonts w:asciiTheme="majorBidi" w:hAnsiTheme="majorBidi" w:cstheme="majorBidi"/>
          <w:sz w:val="24"/>
          <w:szCs w:val="24"/>
        </w:rPr>
        <w:t xml:space="preserve">difference </w:t>
      </w:r>
      <w:r>
        <w:rPr>
          <w:rFonts w:asciiTheme="majorBidi" w:hAnsiTheme="majorBidi" w:cstheme="majorBidi"/>
          <w:sz w:val="24"/>
          <w:szCs w:val="24"/>
        </w:rPr>
        <w:t>between treatment arm</w:t>
      </w:r>
      <w:r w:rsidR="00DA0177">
        <w:rPr>
          <w:rFonts w:asciiTheme="majorBidi" w:hAnsiTheme="majorBidi" w:cstheme="majorBidi"/>
          <w:sz w:val="24"/>
          <w:szCs w:val="24"/>
        </w:rPr>
        <w:t>s</w:t>
      </w:r>
      <w:r>
        <w:rPr>
          <w:rFonts w:asciiTheme="majorBidi" w:hAnsiTheme="majorBidi" w:cstheme="majorBidi"/>
          <w:sz w:val="24"/>
          <w:szCs w:val="24"/>
        </w:rPr>
        <w:t xml:space="preserve"> in eGFR is </w:t>
      </w:r>
      <w:r w:rsidR="00676B20">
        <w:rPr>
          <w:rFonts w:asciiTheme="majorBidi" w:hAnsiTheme="majorBidi" w:cstheme="majorBidi"/>
          <w:sz w:val="24"/>
          <w:szCs w:val="24"/>
        </w:rPr>
        <w:t>small</w:t>
      </w:r>
      <w:r w:rsidR="00244FFA">
        <w:rPr>
          <w:rFonts w:asciiTheme="majorBidi" w:hAnsiTheme="majorBidi" w:cstheme="majorBidi"/>
          <w:sz w:val="24"/>
          <w:szCs w:val="24"/>
        </w:rPr>
        <w:t xml:space="preserve"> (Figure 4)</w:t>
      </w:r>
      <w:r w:rsidR="00676B20">
        <w:rPr>
          <w:rFonts w:asciiTheme="majorBidi" w:hAnsiTheme="majorBidi" w:cstheme="majorBidi"/>
          <w:sz w:val="24"/>
          <w:szCs w:val="24"/>
        </w:rPr>
        <w:t xml:space="preserve">, and </w:t>
      </w:r>
      <w:r w:rsidR="00C31D74">
        <w:rPr>
          <w:rFonts w:asciiTheme="majorBidi" w:hAnsiTheme="majorBidi" w:cstheme="majorBidi"/>
          <w:sz w:val="24"/>
          <w:szCs w:val="24"/>
        </w:rPr>
        <w:t xml:space="preserve">probably </w:t>
      </w:r>
      <w:r w:rsidR="00676B20">
        <w:rPr>
          <w:rFonts w:asciiTheme="majorBidi" w:hAnsiTheme="majorBidi" w:cstheme="majorBidi"/>
          <w:sz w:val="24"/>
          <w:szCs w:val="24"/>
        </w:rPr>
        <w:t>doe</w:t>
      </w:r>
      <w:r w:rsidR="00244FFA">
        <w:rPr>
          <w:rFonts w:asciiTheme="majorBidi" w:hAnsiTheme="majorBidi" w:cstheme="majorBidi"/>
          <w:sz w:val="24"/>
          <w:szCs w:val="24"/>
        </w:rPr>
        <w:t>s</w:t>
      </w:r>
      <w:r w:rsidR="00676B20">
        <w:rPr>
          <w:rFonts w:asciiTheme="majorBidi" w:hAnsiTheme="majorBidi" w:cstheme="majorBidi"/>
          <w:sz w:val="24"/>
          <w:szCs w:val="24"/>
        </w:rPr>
        <w:t xml:space="preserve"> not </w:t>
      </w:r>
      <w:r w:rsidR="00253689">
        <w:rPr>
          <w:rFonts w:asciiTheme="majorBidi" w:hAnsiTheme="majorBidi" w:cstheme="majorBidi"/>
          <w:sz w:val="24"/>
          <w:szCs w:val="24"/>
        </w:rPr>
        <w:t>fully explain the larger difference in the primary and secondary composite renal outcomes</w:t>
      </w:r>
      <w:r w:rsidR="00244FFA">
        <w:rPr>
          <w:rFonts w:asciiTheme="majorBidi" w:hAnsiTheme="majorBidi" w:cstheme="majorBidi"/>
          <w:sz w:val="24"/>
          <w:szCs w:val="24"/>
        </w:rPr>
        <w:t xml:space="preserve"> (Figure 1)</w:t>
      </w:r>
      <w:r w:rsidR="00DA0177">
        <w:rPr>
          <w:rFonts w:asciiTheme="majorBidi" w:hAnsiTheme="majorBidi" w:cstheme="majorBidi"/>
          <w:sz w:val="24"/>
          <w:szCs w:val="24"/>
        </w:rPr>
        <w:t>,</w:t>
      </w:r>
      <w:r w:rsidR="0075707D">
        <w:rPr>
          <w:rFonts w:asciiTheme="majorBidi" w:hAnsiTheme="majorBidi" w:cstheme="majorBidi"/>
          <w:sz w:val="24"/>
          <w:szCs w:val="24"/>
        </w:rPr>
        <w:t xml:space="preserve"> and specifically the difference in the </w:t>
      </w:r>
      <w:r w:rsidR="0075707D" w:rsidRPr="0075707D">
        <w:rPr>
          <w:rFonts w:asciiTheme="majorBidi" w:hAnsiTheme="majorBidi" w:cstheme="majorBidi"/>
          <w:sz w:val="24"/>
          <w:szCs w:val="24"/>
        </w:rPr>
        <w:t>eGFR decrease &gt;=40% to sustained eGFR &lt;60 mL/min per 1.73m</w:t>
      </w:r>
      <w:r w:rsidR="0075707D" w:rsidRPr="0075707D">
        <w:rPr>
          <w:rFonts w:asciiTheme="majorBidi" w:hAnsiTheme="majorBidi" w:cstheme="majorBidi"/>
          <w:sz w:val="24"/>
          <w:szCs w:val="24"/>
          <w:vertAlign w:val="superscript"/>
        </w:rPr>
        <w:t>2</w:t>
      </w:r>
      <w:r w:rsidR="0075707D">
        <w:rPr>
          <w:rFonts w:asciiTheme="majorBidi" w:hAnsiTheme="majorBidi" w:cstheme="majorBidi"/>
          <w:sz w:val="24"/>
          <w:szCs w:val="24"/>
        </w:rPr>
        <w:t xml:space="preserve"> (Figure 2C)</w:t>
      </w:r>
      <w:r w:rsidR="003F2E18">
        <w:rPr>
          <w:rFonts w:asciiTheme="majorBidi" w:hAnsiTheme="majorBidi" w:cstheme="majorBidi"/>
          <w:sz w:val="24"/>
          <w:szCs w:val="24"/>
        </w:rPr>
        <w:t>, which seem</w:t>
      </w:r>
      <w:r w:rsidR="000E37FE">
        <w:rPr>
          <w:rFonts w:asciiTheme="majorBidi" w:hAnsiTheme="majorBidi" w:cstheme="majorBidi"/>
          <w:sz w:val="24"/>
          <w:szCs w:val="24"/>
        </w:rPr>
        <w:t>s</w:t>
      </w:r>
      <w:r w:rsidR="003F2E18">
        <w:rPr>
          <w:rFonts w:asciiTheme="majorBidi" w:hAnsiTheme="majorBidi" w:cstheme="majorBidi"/>
          <w:sz w:val="24"/>
          <w:szCs w:val="24"/>
        </w:rPr>
        <w:t xml:space="preserve"> to differ by treatment arm after two years</w:t>
      </w:r>
      <w:r w:rsidR="00C31D74">
        <w:rPr>
          <w:rFonts w:asciiTheme="majorBidi" w:hAnsiTheme="majorBidi" w:cstheme="majorBidi"/>
          <w:sz w:val="24"/>
          <w:szCs w:val="24"/>
        </w:rPr>
        <w:t xml:space="preserve">. </w:t>
      </w:r>
      <w:r w:rsidR="00B8301C">
        <w:rPr>
          <w:rFonts w:asciiTheme="majorBidi" w:hAnsiTheme="majorBidi" w:cstheme="majorBidi"/>
          <w:sz w:val="24"/>
          <w:szCs w:val="24"/>
        </w:rPr>
        <w:t xml:space="preserve">This </w:t>
      </w:r>
      <w:r w:rsidR="005A6EEC">
        <w:rPr>
          <w:rFonts w:asciiTheme="majorBidi" w:hAnsiTheme="majorBidi" w:cstheme="majorBidi"/>
          <w:sz w:val="24"/>
          <w:szCs w:val="24"/>
        </w:rPr>
        <w:t xml:space="preserve">discrepancy, </w:t>
      </w:r>
      <w:r w:rsidR="00B8301C">
        <w:rPr>
          <w:rFonts w:asciiTheme="majorBidi" w:hAnsiTheme="majorBidi" w:cstheme="majorBidi"/>
          <w:sz w:val="24"/>
          <w:szCs w:val="24"/>
        </w:rPr>
        <w:t>however</w:t>
      </w:r>
      <w:r w:rsidR="00244FFA">
        <w:rPr>
          <w:rFonts w:asciiTheme="majorBidi" w:hAnsiTheme="majorBidi" w:cstheme="majorBidi"/>
          <w:sz w:val="24"/>
          <w:szCs w:val="24"/>
        </w:rPr>
        <w:t>,</w:t>
      </w:r>
      <w:r w:rsidR="00B8301C">
        <w:rPr>
          <w:rFonts w:asciiTheme="majorBidi" w:hAnsiTheme="majorBidi" w:cstheme="majorBidi"/>
          <w:sz w:val="24"/>
          <w:szCs w:val="24"/>
        </w:rPr>
        <w:t xml:space="preserve"> is not unique to the DECLARE-TIMI 58</w:t>
      </w:r>
      <w:r w:rsidR="00244FFA">
        <w:rPr>
          <w:rFonts w:asciiTheme="majorBidi" w:hAnsiTheme="majorBidi" w:cstheme="majorBidi"/>
          <w:sz w:val="24"/>
          <w:szCs w:val="24"/>
        </w:rPr>
        <w:t xml:space="preserve"> trial</w:t>
      </w:r>
      <w:r w:rsidR="0013518A">
        <w:rPr>
          <w:rFonts w:asciiTheme="majorBidi" w:hAnsiTheme="majorBidi" w:cstheme="majorBidi"/>
          <w:sz w:val="24"/>
          <w:szCs w:val="24"/>
        </w:rPr>
        <w:t>.</w:t>
      </w:r>
      <w:r w:rsidR="00244FFA">
        <w:rPr>
          <w:rFonts w:asciiTheme="majorBidi" w:hAnsiTheme="majorBidi" w:cstheme="majorBidi"/>
          <w:sz w:val="24"/>
          <w:szCs w:val="24"/>
        </w:rPr>
        <w:t xml:space="preserve"> </w:t>
      </w:r>
      <w:r w:rsidR="0013518A">
        <w:rPr>
          <w:rFonts w:asciiTheme="majorBidi" w:hAnsiTheme="majorBidi" w:cstheme="majorBidi"/>
          <w:sz w:val="24"/>
          <w:szCs w:val="24"/>
        </w:rPr>
        <w:t>I</w:t>
      </w:r>
      <w:r w:rsidR="00244FFA" w:rsidRPr="00244FFA">
        <w:rPr>
          <w:rFonts w:asciiTheme="majorBidi" w:hAnsiTheme="majorBidi" w:cstheme="majorBidi"/>
          <w:sz w:val="24"/>
          <w:szCs w:val="24"/>
          <w:lang w:val="en-GB"/>
        </w:rPr>
        <w:t>n the CREDENCE trial</w:t>
      </w:r>
      <w:r w:rsidR="00DA0177">
        <w:rPr>
          <w:rFonts w:asciiTheme="majorBidi" w:hAnsiTheme="majorBidi" w:cstheme="majorBidi"/>
          <w:sz w:val="24"/>
          <w:szCs w:val="24"/>
          <w:lang w:val="en-GB"/>
        </w:rPr>
        <w:t>,</w:t>
      </w:r>
      <w:r w:rsidR="00244FFA" w:rsidRPr="00244FFA">
        <w:rPr>
          <w:rFonts w:asciiTheme="majorBidi" w:hAnsiTheme="majorBidi" w:cstheme="majorBidi"/>
          <w:sz w:val="24"/>
          <w:szCs w:val="24"/>
          <w:lang w:val="en-GB"/>
        </w:rPr>
        <w:t xml:space="preserve"> </w:t>
      </w:r>
      <w:r w:rsidR="00DA0177">
        <w:rPr>
          <w:rFonts w:asciiTheme="majorBidi" w:hAnsiTheme="majorBidi" w:cstheme="majorBidi"/>
          <w:sz w:val="24"/>
          <w:szCs w:val="24"/>
          <w:lang w:val="en-GB"/>
        </w:rPr>
        <w:t xml:space="preserve">the </w:t>
      </w:r>
      <w:r w:rsidR="00244FFA" w:rsidRPr="00244FFA">
        <w:rPr>
          <w:rFonts w:asciiTheme="majorBidi" w:hAnsiTheme="majorBidi" w:cstheme="majorBidi"/>
          <w:sz w:val="24"/>
          <w:szCs w:val="24"/>
          <w:lang w:val="en-GB"/>
        </w:rPr>
        <w:t xml:space="preserve">between-group difference in </w:t>
      </w:r>
      <w:r w:rsidR="00DA0177">
        <w:rPr>
          <w:rFonts w:asciiTheme="majorBidi" w:hAnsiTheme="majorBidi" w:cstheme="majorBidi"/>
          <w:sz w:val="24"/>
          <w:szCs w:val="24"/>
          <w:lang w:val="en-GB"/>
        </w:rPr>
        <w:t xml:space="preserve">the rate of </w:t>
      </w:r>
      <w:r w:rsidR="00244FFA" w:rsidRPr="00244FFA">
        <w:rPr>
          <w:rFonts w:asciiTheme="majorBidi" w:hAnsiTheme="majorBidi" w:cstheme="majorBidi"/>
          <w:sz w:val="24"/>
          <w:szCs w:val="24"/>
          <w:lang w:val="en-GB"/>
        </w:rPr>
        <w:t xml:space="preserve">eGFR </w:t>
      </w:r>
      <w:r w:rsidR="00DA0177">
        <w:rPr>
          <w:rFonts w:asciiTheme="majorBidi" w:hAnsiTheme="majorBidi" w:cstheme="majorBidi"/>
          <w:sz w:val="24"/>
          <w:szCs w:val="24"/>
          <w:lang w:val="en-GB"/>
        </w:rPr>
        <w:t xml:space="preserve">decline </w:t>
      </w:r>
      <w:r w:rsidR="00244FFA" w:rsidRPr="00244FFA">
        <w:rPr>
          <w:rFonts w:asciiTheme="majorBidi" w:hAnsiTheme="majorBidi" w:cstheme="majorBidi"/>
          <w:sz w:val="24"/>
          <w:szCs w:val="24"/>
          <w:lang w:val="en-GB"/>
        </w:rPr>
        <w:t>was 1.52 ml/min/1.73 m</w:t>
      </w:r>
      <w:r w:rsidR="00244FFA" w:rsidRPr="00244FFA">
        <w:rPr>
          <w:rFonts w:asciiTheme="majorBidi" w:hAnsiTheme="majorBidi" w:cstheme="majorBidi"/>
          <w:sz w:val="24"/>
          <w:szCs w:val="24"/>
          <w:vertAlign w:val="superscript"/>
          <w:lang w:val="en-GB"/>
        </w:rPr>
        <w:t>2</w:t>
      </w:r>
      <w:r w:rsidR="00244FFA" w:rsidRPr="00244FFA">
        <w:rPr>
          <w:rFonts w:asciiTheme="majorBidi" w:hAnsiTheme="majorBidi" w:cstheme="majorBidi"/>
          <w:sz w:val="24"/>
          <w:szCs w:val="24"/>
          <w:lang w:val="en-GB"/>
        </w:rPr>
        <w:t xml:space="preserve"> per year (95% CI, 1.11 to 1.93), yet the difference in the primary composite outcome was already present after a year of follow-up</w:t>
      </w:r>
      <w:r w:rsidR="00244FFA" w:rsidRPr="009948A5">
        <w:rPr>
          <w:rFonts w:asciiTheme="majorBidi" w:hAnsiTheme="majorBidi"/>
          <w:sz w:val="24"/>
          <w:szCs w:val="24"/>
          <w:highlight w:val="yellow"/>
          <w:vertAlign w:val="superscript"/>
          <w:lang w:val="en-GB"/>
        </w:rPr>
        <w:t>13</w:t>
      </w:r>
      <w:r w:rsidR="00244FFA" w:rsidRPr="00244FFA">
        <w:rPr>
          <w:rFonts w:asciiTheme="majorBidi" w:hAnsiTheme="majorBidi" w:cstheme="majorBidi"/>
          <w:sz w:val="24"/>
          <w:szCs w:val="24"/>
          <w:lang w:val="en-GB"/>
        </w:rPr>
        <w:t>.</w:t>
      </w:r>
      <w:r w:rsidR="00EE4C7D">
        <w:rPr>
          <w:rFonts w:asciiTheme="majorBidi" w:hAnsiTheme="majorBidi" w:cstheme="majorBidi"/>
          <w:sz w:val="24"/>
          <w:szCs w:val="24"/>
          <w:lang w:val="en-GB"/>
        </w:rPr>
        <w:t xml:space="preserve"> When looking into differences in eGFR between treatment arms</w:t>
      </w:r>
      <w:r w:rsidR="00DA0177">
        <w:rPr>
          <w:rFonts w:asciiTheme="majorBidi" w:hAnsiTheme="majorBidi" w:cstheme="majorBidi"/>
          <w:sz w:val="24"/>
          <w:szCs w:val="24"/>
          <w:lang w:val="en-GB"/>
        </w:rPr>
        <w:t>,</w:t>
      </w:r>
      <w:r w:rsidR="00EE4C7D">
        <w:rPr>
          <w:rFonts w:asciiTheme="majorBidi" w:hAnsiTheme="majorBidi" w:cstheme="majorBidi"/>
          <w:sz w:val="24"/>
          <w:szCs w:val="24"/>
          <w:lang w:val="en-GB"/>
        </w:rPr>
        <w:t xml:space="preserve"> it is also important </w:t>
      </w:r>
      <w:r w:rsidR="00EE4C7D">
        <w:rPr>
          <w:rFonts w:asciiTheme="majorBidi" w:hAnsiTheme="majorBidi" w:cstheme="majorBidi"/>
          <w:sz w:val="24"/>
          <w:szCs w:val="24"/>
          <w:lang w:val="en-GB"/>
        </w:rPr>
        <w:lastRenderedPageBreak/>
        <w:t>to consider the group size</w:t>
      </w:r>
      <w:r w:rsidR="00222D6F">
        <w:rPr>
          <w:rFonts w:asciiTheme="majorBidi" w:hAnsiTheme="majorBidi" w:cstheme="majorBidi"/>
          <w:sz w:val="24"/>
          <w:szCs w:val="24"/>
          <w:lang w:val="en-GB"/>
        </w:rPr>
        <w:t>, wherein the smallest group of patients with eGFR&lt;60</w:t>
      </w:r>
      <w:r w:rsidR="00222D6F" w:rsidRPr="00222D6F">
        <w:rPr>
          <w:rFonts w:asciiTheme="majorBidi" w:hAnsiTheme="majorBidi" w:cstheme="majorBidi"/>
          <w:sz w:val="24"/>
          <w:szCs w:val="24"/>
          <w:lang w:val="en-GB"/>
        </w:rPr>
        <w:t xml:space="preserve"> </w:t>
      </w:r>
      <w:r w:rsidR="00222D6F" w:rsidRPr="00244FFA">
        <w:rPr>
          <w:rFonts w:asciiTheme="majorBidi" w:hAnsiTheme="majorBidi" w:cstheme="majorBidi"/>
          <w:sz w:val="24"/>
          <w:szCs w:val="24"/>
          <w:lang w:val="en-GB"/>
        </w:rPr>
        <w:t>ml/min/1.73 m</w:t>
      </w:r>
      <w:r w:rsidR="00222D6F" w:rsidRPr="00244FFA">
        <w:rPr>
          <w:rFonts w:asciiTheme="majorBidi" w:hAnsiTheme="majorBidi" w:cstheme="majorBidi"/>
          <w:sz w:val="24"/>
          <w:szCs w:val="24"/>
          <w:vertAlign w:val="superscript"/>
          <w:lang w:val="en-GB"/>
        </w:rPr>
        <w:t>2</w:t>
      </w:r>
      <w:r w:rsidR="00222D6F">
        <w:rPr>
          <w:rFonts w:asciiTheme="majorBidi" w:hAnsiTheme="majorBidi" w:cstheme="majorBidi"/>
          <w:sz w:val="24"/>
          <w:szCs w:val="24"/>
          <w:lang w:val="en-GB"/>
        </w:rPr>
        <w:t xml:space="preserve"> might not be </w:t>
      </w:r>
      <w:r w:rsidR="008F45F8">
        <w:rPr>
          <w:rFonts w:asciiTheme="majorBidi" w:hAnsiTheme="majorBidi" w:cstheme="majorBidi"/>
          <w:sz w:val="24"/>
          <w:szCs w:val="24"/>
          <w:lang w:val="en-GB"/>
        </w:rPr>
        <w:t xml:space="preserve">truly </w:t>
      </w:r>
      <w:r w:rsidR="00222D6F">
        <w:rPr>
          <w:rFonts w:asciiTheme="majorBidi" w:hAnsiTheme="majorBidi" w:cstheme="majorBidi"/>
          <w:sz w:val="24"/>
          <w:szCs w:val="24"/>
          <w:lang w:val="en-GB"/>
        </w:rPr>
        <w:t>representative</w:t>
      </w:r>
      <w:r w:rsidR="00DD620F">
        <w:rPr>
          <w:rFonts w:asciiTheme="majorBidi" w:hAnsiTheme="majorBidi" w:cstheme="majorBidi"/>
          <w:sz w:val="24"/>
          <w:szCs w:val="24"/>
          <w:lang w:val="en-GB"/>
        </w:rPr>
        <w:t xml:space="preserve"> (Figure 4D</w:t>
      </w:r>
      <w:r w:rsidR="00D84B06">
        <w:rPr>
          <w:rFonts w:asciiTheme="majorBidi" w:hAnsiTheme="majorBidi" w:cstheme="majorBidi"/>
          <w:sz w:val="24"/>
          <w:szCs w:val="24"/>
          <w:lang w:val="en-GB"/>
        </w:rPr>
        <w:t>)</w:t>
      </w:r>
      <w:r w:rsidR="00222D6F">
        <w:rPr>
          <w:rFonts w:asciiTheme="majorBidi" w:hAnsiTheme="majorBidi" w:cstheme="majorBidi"/>
          <w:sz w:val="24"/>
          <w:szCs w:val="24"/>
          <w:lang w:val="en-GB"/>
        </w:rPr>
        <w:t xml:space="preserve">.  </w:t>
      </w:r>
      <w:r w:rsidR="00EE4C7D">
        <w:rPr>
          <w:rFonts w:asciiTheme="majorBidi" w:hAnsiTheme="majorBidi" w:cstheme="majorBidi"/>
          <w:sz w:val="24"/>
          <w:szCs w:val="24"/>
          <w:lang w:val="en-GB"/>
        </w:rPr>
        <w:t xml:space="preserve">  </w:t>
      </w:r>
      <w:r w:rsidR="00244FFA">
        <w:rPr>
          <w:lang w:val="en-GB"/>
        </w:rPr>
        <w:t xml:space="preserve"> </w:t>
      </w:r>
      <w:r w:rsidR="00244FFA">
        <w:rPr>
          <w:rFonts w:asciiTheme="majorBidi" w:hAnsiTheme="majorBidi" w:cstheme="majorBidi"/>
          <w:sz w:val="24"/>
          <w:szCs w:val="24"/>
        </w:rPr>
        <w:t xml:space="preserve"> </w:t>
      </w:r>
      <w:r w:rsidR="00253689">
        <w:rPr>
          <w:rFonts w:asciiTheme="majorBidi" w:hAnsiTheme="majorBidi" w:cstheme="majorBidi"/>
          <w:sz w:val="24"/>
          <w:szCs w:val="24"/>
        </w:rPr>
        <w:t xml:space="preserve"> </w:t>
      </w:r>
    </w:p>
    <w:p w14:paraId="46D28863" w14:textId="70032096" w:rsidR="004E4B79" w:rsidRDefault="004E4B79" w:rsidP="00260700">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 xml:space="preserve">The FDA </w:t>
      </w:r>
      <w:r w:rsidR="00CB1386">
        <w:rPr>
          <w:rFonts w:asciiTheme="majorBidi" w:hAnsiTheme="majorBidi" w:cstheme="majorBidi"/>
          <w:sz w:val="24"/>
          <w:szCs w:val="24"/>
        </w:rPr>
        <w:t>has</w:t>
      </w:r>
      <w:r>
        <w:rPr>
          <w:rFonts w:asciiTheme="majorBidi" w:hAnsiTheme="majorBidi" w:cstheme="majorBidi"/>
          <w:sz w:val="24"/>
          <w:szCs w:val="24"/>
        </w:rPr>
        <w:t xml:space="preserve"> previously</w:t>
      </w:r>
      <w:r w:rsidR="00053465" w:rsidRPr="00053465">
        <w:rPr>
          <w:rFonts w:asciiTheme="majorBidi" w:hAnsiTheme="majorBidi" w:cstheme="majorBidi"/>
          <w:sz w:val="24"/>
          <w:szCs w:val="24"/>
        </w:rPr>
        <w:t xml:space="preserve">, based on post marketing reports, </w:t>
      </w:r>
      <w:r>
        <w:rPr>
          <w:rFonts w:asciiTheme="majorBidi" w:hAnsiTheme="majorBidi" w:cstheme="majorBidi"/>
          <w:sz w:val="24"/>
          <w:szCs w:val="24"/>
        </w:rPr>
        <w:t xml:space="preserve"> published a warning regarding the risk of </w:t>
      </w:r>
      <w:r w:rsidRPr="00A91137">
        <w:rPr>
          <w:rFonts w:asciiTheme="majorBidi" w:hAnsiTheme="majorBidi" w:cstheme="majorBidi"/>
          <w:sz w:val="24"/>
          <w:szCs w:val="24"/>
        </w:rPr>
        <w:t>AKI</w:t>
      </w:r>
      <w:r w:rsidR="00C22B1D">
        <w:rPr>
          <w:rFonts w:asciiTheme="majorBidi" w:hAnsiTheme="majorBidi" w:cstheme="majorBidi"/>
          <w:sz w:val="24"/>
          <w:szCs w:val="24"/>
        </w:rPr>
        <w:t xml:space="preserve"> in patients using SGLT2i</w:t>
      </w:r>
      <w:r w:rsidR="006E32C2" w:rsidRPr="00C603CE">
        <w:rPr>
          <w:rFonts w:asciiTheme="majorBidi" w:hAnsiTheme="majorBidi" w:cstheme="majorBidi"/>
          <w:sz w:val="24"/>
          <w:szCs w:val="24"/>
          <w:vertAlign w:val="superscript"/>
        </w:rPr>
        <w:fldChar w:fldCharType="begin" w:fldLock="1"/>
      </w:r>
      <w:r w:rsidR="00B90562">
        <w:rPr>
          <w:rFonts w:asciiTheme="majorBidi" w:hAnsiTheme="majorBidi" w:cstheme="majorBidi"/>
          <w:sz w:val="24"/>
          <w:szCs w:val="24"/>
          <w:vertAlign w:val="superscript"/>
        </w:rPr>
        <w:instrText>ADDIN CSL_CITATION {"citationItems":[{"id":"ITEM-1","itemData":{"abstract":"[6-14-2016]  The U.S. Food and Drug Administration (FDA) has strengthened the existing warning about the risk of acute kidney injury for the type 2 diabetes medicines canagliflozin (Invokana, Invokamet) and dapagliflozin (Farxiga, Xigduo XR).","author":[{"dropping-particle":"","family":"Research","given":"Center for Drug Evaluation and","non-dropping-particle":"","parse-names":false,"suffix":""}],"id":"ITEM-1","issued":{"date-parts":[["0"]]},"publisher":"Center for Drug Evaluation and Research","title":"Drug Safety and Availability - FDA Drug Safety Communication: FDA strengthens kidney warnings for diabetes medicines canagliflozin (Invokana, Invokamet) and dapagliflozin (Farxiga, Xigduo XR)","type":"article-journal"},"uris":["http://www.mendeley.com/documents/?uuid=0028b4d8-4b69-35da-927c-5c89adb692da"]}],"mendeley":{"formattedCitation":"&lt;sup&gt;28&lt;/sup&gt;","plainTextFormattedCitation":"28","previouslyFormattedCitation":"&lt;sup&gt;28&lt;/sup&gt;"},"properties":{"noteIndex":0},"schema":"https://github.com/citation-style-language/schema/raw/master/csl-citation.json"}</w:instrText>
      </w:r>
      <w:r w:rsidR="006E32C2" w:rsidRPr="00C603CE">
        <w:rPr>
          <w:rFonts w:asciiTheme="majorBidi" w:hAnsiTheme="majorBidi" w:cstheme="majorBidi"/>
          <w:sz w:val="24"/>
          <w:szCs w:val="24"/>
          <w:vertAlign w:val="superscript"/>
        </w:rPr>
        <w:fldChar w:fldCharType="separate"/>
      </w:r>
      <w:r w:rsidR="00B90562" w:rsidRPr="00B90562">
        <w:rPr>
          <w:rFonts w:asciiTheme="majorBidi" w:hAnsiTheme="majorBidi" w:cstheme="majorBidi"/>
          <w:noProof/>
          <w:sz w:val="24"/>
          <w:szCs w:val="24"/>
          <w:vertAlign w:val="superscript"/>
        </w:rPr>
        <w:t>28</w:t>
      </w:r>
      <w:r w:rsidR="006E32C2" w:rsidRPr="00C603CE">
        <w:rPr>
          <w:rFonts w:asciiTheme="majorBidi" w:hAnsiTheme="majorBidi" w:cstheme="majorBidi"/>
          <w:sz w:val="24"/>
          <w:szCs w:val="24"/>
          <w:vertAlign w:val="superscript"/>
        </w:rPr>
        <w:fldChar w:fldCharType="end"/>
      </w:r>
      <w:r w:rsidR="00C22B1D">
        <w:rPr>
          <w:rFonts w:asciiTheme="majorBidi" w:hAnsiTheme="majorBidi" w:cstheme="majorBidi"/>
          <w:sz w:val="24"/>
          <w:szCs w:val="24"/>
        </w:rPr>
        <w:t xml:space="preserve">. </w:t>
      </w:r>
      <w:r w:rsidR="00560662">
        <w:rPr>
          <w:rFonts w:asciiTheme="majorBidi" w:hAnsiTheme="majorBidi" w:cstheme="majorBidi"/>
          <w:sz w:val="24"/>
          <w:szCs w:val="24"/>
        </w:rPr>
        <w:t>However,</w:t>
      </w:r>
      <w:r w:rsidR="006F4BC4">
        <w:rPr>
          <w:rFonts w:asciiTheme="majorBidi" w:hAnsiTheme="majorBidi" w:cstheme="majorBidi"/>
          <w:sz w:val="24"/>
          <w:szCs w:val="24"/>
        </w:rPr>
        <w:t xml:space="preserve"> in this trial t</w:t>
      </w:r>
      <w:r w:rsidR="00E10542">
        <w:rPr>
          <w:rFonts w:asciiTheme="majorBidi" w:hAnsiTheme="majorBidi" w:cstheme="majorBidi"/>
          <w:sz w:val="24"/>
          <w:szCs w:val="24"/>
        </w:rPr>
        <w:t xml:space="preserve">here was </w:t>
      </w:r>
      <w:r w:rsidR="006F4BC4">
        <w:rPr>
          <w:rFonts w:asciiTheme="majorBidi" w:hAnsiTheme="majorBidi" w:cstheme="majorBidi"/>
          <w:sz w:val="24"/>
          <w:szCs w:val="24"/>
        </w:rPr>
        <w:t xml:space="preserve">a </w:t>
      </w:r>
      <w:r w:rsidR="00FA5715">
        <w:rPr>
          <w:rFonts w:asciiTheme="majorBidi" w:hAnsiTheme="majorBidi" w:cstheme="majorBidi"/>
          <w:sz w:val="24"/>
          <w:szCs w:val="24"/>
        </w:rPr>
        <w:t xml:space="preserve">31% </w:t>
      </w:r>
      <w:r w:rsidR="006F4BC4">
        <w:rPr>
          <w:rFonts w:asciiTheme="majorBidi" w:hAnsiTheme="majorBidi" w:cstheme="majorBidi"/>
          <w:sz w:val="24"/>
          <w:szCs w:val="24"/>
        </w:rPr>
        <w:t>decrease</w:t>
      </w:r>
      <w:r w:rsidR="00E10542">
        <w:rPr>
          <w:rFonts w:asciiTheme="majorBidi" w:hAnsiTheme="majorBidi" w:cstheme="majorBidi"/>
          <w:sz w:val="24"/>
          <w:szCs w:val="24"/>
        </w:rPr>
        <w:t xml:space="preserve"> in the risk of AKI</w:t>
      </w:r>
      <w:r w:rsidR="00D47941">
        <w:rPr>
          <w:rFonts w:asciiTheme="majorBidi" w:hAnsiTheme="majorBidi" w:cstheme="majorBidi"/>
          <w:sz w:val="24"/>
          <w:szCs w:val="24"/>
        </w:rPr>
        <w:t>.</w:t>
      </w:r>
      <w:r w:rsidR="006F4BC4" w:rsidRPr="00D47941">
        <w:rPr>
          <w:rFonts w:asciiTheme="majorBidi" w:hAnsiTheme="majorBidi" w:cstheme="majorBidi"/>
          <w:sz w:val="24"/>
          <w:szCs w:val="24"/>
        </w:rPr>
        <w:t xml:space="preserve"> </w:t>
      </w:r>
      <w:r w:rsidR="00E10542" w:rsidRPr="00D47941">
        <w:rPr>
          <w:rFonts w:asciiTheme="majorBidi" w:hAnsiTheme="majorBidi" w:cstheme="majorBidi"/>
          <w:sz w:val="24"/>
          <w:szCs w:val="24"/>
        </w:rPr>
        <w:t xml:space="preserve"> </w:t>
      </w:r>
      <w:r w:rsidR="00CF3DDA">
        <w:rPr>
          <w:rFonts w:asciiTheme="majorBidi" w:hAnsiTheme="majorBidi" w:cstheme="majorBidi"/>
          <w:sz w:val="24"/>
          <w:szCs w:val="24"/>
        </w:rPr>
        <w:t>No increase in AKI</w:t>
      </w:r>
      <w:r w:rsidR="000142B8">
        <w:rPr>
          <w:rFonts w:asciiTheme="majorBidi" w:hAnsiTheme="majorBidi" w:cstheme="majorBidi"/>
          <w:sz w:val="24"/>
          <w:szCs w:val="24"/>
        </w:rPr>
        <w:t xml:space="preserve"> was demonstrated </w:t>
      </w:r>
      <w:r w:rsidR="00E10542" w:rsidRPr="00D47941">
        <w:rPr>
          <w:rFonts w:asciiTheme="majorBidi" w:hAnsiTheme="majorBidi" w:cstheme="majorBidi"/>
          <w:sz w:val="24"/>
          <w:szCs w:val="24"/>
        </w:rPr>
        <w:t xml:space="preserve">in the </w:t>
      </w:r>
      <w:r w:rsidR="00260700">
        <w:rPr>
          <w:rFonts w:asciiTheme="majorBidi" w:hAnsiTheme="majorBidi" w:cstheme="majorBidi"/>
          <w:sz w:val="24"/>
          <w:szCs w:val="24"/>
        </w:rPr>
        <w:t>CANVAS program</w:t>
      </w:r>
      <w:r w:rsidR="00443735">
        <w:rPr>
          <w:rFonts w:asciiTheme="majorBidi" w:hAnsiTheme="majorBidi" w:cstheme="majorBidi"/>
          <w:sz w:val="24"/>
          <w:szCs w:val="24"/>
        </w:rPr>
        <w:fldChar w:fldCharType="begin" w:fldLock="1"/>
      </w:r>
      <w:r w:rsidR="00B90562">
        <w:rPr>
          <w:rFonts w:asciiTheme="majorBidi" w:hAnsiTheme="majorBidi" w:cstheme="majorBidi"/>
          <w:sz w:val="24"/>
          <w:szCs w:val="24"/>
        </w:rPr>
        <w:instrText>ADDIN CSL_CITATION {"citationItems":[{"id":"ITEM-1","itemData":{"DOI":"10.1056/NEJMoa1515920","ISSN":"0028-4793","abstract":"BackgroundDiabetes confers an increased risk of adverse cardiovascular and renal events. In the EMPA-REG OUTCOME trial, empagliflozin, a sodium–glucose cotransporter 2 inhibitor, reduced the risk of major adverse cardiovascular events in patients with type 2 diabetes at high risk for cardiovascular events. We wanted to determine the long-term renal effects of empagliflozin, an analysis that was a prespecified component of the secondary microvascular outcome of that trial. MethodsWe randomly assigned patients with type 2 diabetes and an estimated glomerular filtration rate of at least 30 ml per minute per 1.73 m2 of body-surface area to receive either empagliflozin (at a dose of 10 mg or 25 mg) or placebo once daily. Prespecified renal outcomes included incident or worsening nephropathy (progression to macroalbuminuria, doubling of the serum creatinine level, initiation of renal-replacement therapy, or death from renal disease) and incident albuminuria. ResultsIncident or worsening nephropathy occurred in ...","author":[{"dropping-particle":"","family":"Wanner","given":"Christoph","non-dropping-particle":"","parse-names":false,"suffix":""},{"dropping-particle":"","family":"Inzucchi","given":"Silvio E.","non-dropping-particle":"","parse-names":false,"suffix":""},{"dropping-particle":"","family":"Lachin","given":"John M.","non-dropping-particle":"","parse-names":false,"suffix":""},{"dropping-particle":"","family":"Fitchett","given":"David","non-dropping-particle":"","parse-names":false,"suffix":""},{"dropping-particle":"","family":"Eynatten","given":"Maximilian","non-dropping-particle":"von","parse-names":false,"suffix":""},{"dropping-particle":"","family":"Mattheus","given":"Michaela","non-dropping-particle":"","parse-names":false,"suffix":""},{"dropping-particle":"","family":"Johansen","given":"Odd Erik","non-dropping-particle":"","parse-names":false,"suffix":""},{"dropping-particle":"","family":"Woerle","given":"Hans J.","non-dropping-particle":"","parse-names":false,"suffix":""},{"dropping-particle":"","family":"Broedl","given":"Uli C.","non-dropping-particle":"","parse-names":false,"suffix":""},{"dropping-particle":"","family":"Zinman","given":"Bernard","non-dropping-particle":"","parse-names":false,"suffix":""}],"container-title":"New England Journal of Medicine","id":"ITEM-1","issue":"4","issued":{"date-parts":[["2016","7","28"]]},"page":"323-334","publisher":"Massachusetts Medical Society","title":"Empagliflozin and Progression of Kidney Disease in Type 2 Diabetes","type":"article-journal","volume":"375"},"uris":["http://www.mendeley.com/documents/?uuid=2e726255-f518-3ed0-a16b-5d9e8ac66e98"]},{"id":"ITEM-2","itemData":{"DOI":"10.1056/NEJMoa1611925","ISSN":"0028-4793","PMID":"28605608","abstract":"Background Canagliflozin is a sodium-glucose cotransporter 2 inhibitor that reduces glycemia as well as blood pressure, body weight, and albuminuria in people with diabetes. We report the effects of treatment with canagliflozin on cardiovascular, renal, and safety outcomes. Methods The CANVAS Program integrated data from two trials involving a total of 10,142 participants with type 2 diabetes and high cardiovascular risk. Participants in each trial were randomly assigned to receive canagliflozin or placebo and were followed for a mean of 188.2 weeks. The primary outcome was a composite of death from cardiovascular causes, nonfatal myocardial infarction, or nonfatal stroke. Results The mean age of the participants was 63.3 years, 35.8% were women, the mean duration of diabetes was 13.5 years, and 65.6% had a history of cardiovascular disease. The rate of the primary outcome was lower with canagliflozin than with placebo (occurring in 26.9 vs. 31.5 participants per 1000 patient-years; hazard ratio, 0.86; 95% confidence interval [CI], 0.75 to 0.97; P&lt;0.001 for noninferiority; P=0.02 for superiority). Although on the basis of the prespecified hypothesis testing sequence the renal outcomes are not viewed as statistically significant, the results showed a possible benefit of canagliflozin with respect to the progression of albuminuria (hazard ratio, 0.73; 95% CI, 0.67 to 0.79) and the composite outcome of a sustained 40% reduction in the estimated glomerular filtration rate, the need for renal-replacement therapy, or death from renal causes (hazard ratio, 0.60; 95% CI, 0.47 to 0.77). Adverse reactions were consistent with the previously reported risks associated with canagliflozin except for an increased risk of amputation (6.3 vs. 3.4 participants per 1000 patient-years; hazard ratio, 1.97; 95% CI, 1.41 to 2.75); amputations were primarily at the level of the toe or metatarsal. Conclusions In two trials involving patients with type 2 diabetes and an elevated risk of cardiovascular disease, patients treated with canagliflozin had a lower risk of cardiovascular events than those who received placebo but a greater risk of amputation, primarily at the level of the toe or metatarsal. (Funded by Janssen Research and Development; CANVAS and CANVAS-R ClinicalTrials.gov numbers, NCT01032629 and NCT01989754 , respectively.).","author":[{"dropping-particle":"","family":"Neal","given":"Bruce","non-dropping-particle":"","parse-names":false,"suffix":""},{"dropping-particle":"","family":"Perkovic","given":"Vlado","non-dropping-particle":"","parse-names":false,"suffix":""},{"dropping-particle":"","family":"Mahaffey","given":"Kenneth W.","non-dropping-particle":"","parse-names":false,"suffix":""},{"dropping-particle":"","family":"Zeeuw","given":"Dick","non-dropping-particle":"de","parse-names":false,"suffix":""},{"dropping-particle":"","family":"Fulcher","given":"Greg","non-dropping-particle":"","parse-names":false,"suffix":""},{"dropping-particle":"","family":"Erondu","given":"Ngozi","non-dropping-particle":"","parse-names":false,"suffix":""},{"dropping-particle":"","family":"Shaw","given":"Wayne","non-dropping-particle":"","parse-names":false,"suffix":""},{"dropping-particle":"","family":"Law","given":"Gordon","non-dropping-particle":"","parse-names":false,"suffix":""},{"dropping-particle":"","family":"Desai","given":"Mehul","non-dropping-particle":"","parse-names":false,"suffix":""},{"dropping-particle":"","family":"Matthews","given":"David R.","non-dropping-particle":"","parse-names":false,"suffix":""},{"dropping-particle":"","family":"CANVAS Program Collaborative Group","given":"","non-dropping-particle":"","parse-names":false,"suffix":""}],"container-title":"New England Journal of Medicine","id":"ITEM-2","issue":"7","issued":{"date-parts":[["2017","8","17"]]},"page":"644-657","title":"Canagliflozin and Cardiovascular and Renal Events in Type 2 Diabetes","type":"article-journal","volume":"377"},"uris":["http://www.mendeley.com/documents/?uuid=7124c0d4-9130-383b-9d52-36fcb18e208f"]}],"mendeley":{"formattedCitation":"&lt;sup&gt;8,10&lt;/sup&gt;","plainTextFormattedCitation":"8,10","previouslyFormattedCitation":"&lt;sup&gt;8,10&lt;/sup&gt;"},"properties":{"noteIndex":0},"schema":"https://github.com/citation-style-language/schema/raw/master/csl-citation.json"}</w:instrText>
      </w:r>
      <w:r w:rsidR="00443735">
        <w:rPr>
          <w:rFonts w:asciiTheme="majorBidi" w:hAnsiTheme="majorBidi" w:cstheme="majorBidi"/>
          <w:sz w:val="24"/>
          <w:szCs w:val="24"/>
        </w:rPr>
        <w:fldChar w:fldCharType="separate"/>
      </w:r>
      <w:r w:rsidR="00C00554" w:rsidRPr="00C00554">
        <w:rPr>
          <w:rFonts w:asciiTheme="majorBidi" w:hAnsiTheme="majorBidi" w:cstheme="majorBidi"/>
          <w:noProof/>
          <w:sz w:val="24"/>
          <w:szCs w:val="24"/>
          <w:vertAlign w:val="superscript"/>
        </w:rPr>
        <w:t>10</w:t>
      </w:r>
      <w:r w:rsidR="00443735">
        <w:rPr>
          <w:rFonts w:asciiTheme="majorBidi" w:hAnsiTheme="majorBidi" w:cstheme="majorBidi"/>
          <w:sz w:val="24"/>
          <w:szCs w:val="24"/>
        </w:rPr>
        <w:fldChar w:fldCharType="end"/>
      </w:r>
      <w:r w:rsidR="00A56708">
        <w:rPr>
          <w:rFonts w:asciiTheme="majorBidi" w:hAnsiTheme="majorBidi" w:cstheme="majorBidi"/>
          <w:sz w:val="24"/>
          <w:szCs w:val="24"/>
        </w:rPr>
        <w:t xml:space="preserve"> and in </w:t>
      </w:r>
      <w:r w:rsidR="00443735">
        <w:rPr>
          <w:rFonts w:asciiTheme="majorBidi" w:hAnsiTheme="majorBidi" w:cstheme="majorBidi"/>
          <w:sz w:val="24"/>
          <w:szCs w:val="24"/>
        </w:rPr>
        <w:t>observational</w:t>
      </w:r>
      <w:r w:rsidR="00A56708">
        <w:rPr>
          <w:rFonts w:asciiTheme="majorBidi" w:hAnsiTheme="majorBidi" w:cstheme="majorBidi"/>
          <w:sz w:val="24"/>
          <w:szCs w:val="24"/>
        </w:rPr>
        <w:t xml:space="preserve"> retrospective cohort</w:t>
      </w:r>
      <w:r w:rsidR="00443735">
        <w:rPr>
          <w:rFonts w:asciiTheme="majorBidi" w:hAnsiTheme="majorBidi" w:cstheme="majorBidi"/>
          <w:sz w:val="24"/>
          <w:szCs w:val="24"/>
        </w:rPr>
        <w:t>s</w:t>
      </w:r>
      <w:r w:rsidR="005F7BDE">
        <w:rPr>
          <w:rFonts w:asciiTheme="majorBidi" w:hAnsiTheme="majorBidi" w:cstheme="majorBidi"/>
          <w:sz w:val="24"/>
          <w:szCs w:val="24"/>
        </w:rPr>
        <w:fldChar w:fldCharType="begin" w:fldLock="1"/>
      </w:r>
      <w:r w:rsidR="00B90562">
        <w:rPr>
          <w:rFonts w:asciiTheme="majorBidi" w:hAnsiTheme="majorBidi" w:cstheme="majorBidi"/>
          <w:sz w:val="24"/>
          <w:szCs w:val="24"/>
        </w:rPr>
        <w:instrText>ADDIN CSL_CITATION {"citationItems":[{"id":"ITEM-1","itemData":{"DOI":"10.1111/dom.13508","ISSN":"14628902","PMID":"30136354","abstract":"AIM To evaluate the changes in renal endpoints in type 2 diabetes patients treated with dapagliflozin versus other glucose-lowering medications in routine clinical practice. MATERIALS AND METHODS DARWIN-T2D was a retrospective study conducted at 46 outpatient diabetes clinics in Italy. An automated software collected data on 17 285 patients who received dapagliflozin, glucagon-like peptide-1 receptor agonists, dipeptidyl peptidase-4 inhibitors, or gliclazide, 6751 of whom had a follow-up visit. We analysed changes in albumin excretion rate (AER) and estimated glomerular filtration rate (eGFR). RESULTS Patients who received dapagliflozin (n = 473) were younger, more obese, and had a poorer glucose control than those who received a comparator (n = 2973). After ~6 months, median (interquartile range) AER declined by 37%, from 19.5 (7.5-78.2) to 13.2 (6.5-45.0) mg/g (P &lt; 0.0001) in the dapagliflozin group and did not change in the comparator group. After adjusting for confounders, therapy with dapagliflozin versus comparators was associated with an AER reduction of 26.4 ± 13.1 mg/g (P = 0.045), and eGFR (mL/min/1.73 m2 ) diminished by 1.1 ± 0.5 (P = 0.049) in the dapagliflozin group and by 0.6 ± 9.1 (P = 0.002) in the comparator group (P = 0.35 between groups). No patient treated with dapagliflozin versus four patients treated with comparators experienced a doubling of serum creatinine. CONCLUSIONS The antiproteinuric effect of dapagliflozin is confirmed here for the first time by real-world data. Despite a mild decline in eGFR, there was no evidence of clinically relevant worsening in renal function.","author":[{"dropping-particle":"","family":"Fadini","given":"Gian Paolo","non-dropping-particle":"","parse-names":false,"suffix":""},{"dropping-particle":"","family":"Solini","given":"Anna","non-dropping-particle":"","parse-names":false,"suffix":""},{"dropping-particle":"","family":"Manca","given":"Maria Laura","non-dropping-particle":"","parse-names":false,"suffix":""},{"dropping-particle":"","family":"Penno","given":"Giuseppe","non-dropping-particle":"","parse-names":false,"suffix":""},{"dropping-particle":"","family":"Gatti","given":"Adriano","non-dropping-particle":"","parse-names":false,"suffix":""},{"dropping-particle":"","family":"Anichini","given":"Roberto","non-dropping-particle":"","parse-names":false,"suffix":""},{"dropping-particle":"","family":"Prato","given":"Stefano","non-dropping-particle":"Del","parse-names":false,"suffix":""},{"dropping-particle":"","family":"Avogaro","given":"Angelo","non-dropping-particle":"","parse-names":false,"suffix":""},{"dropping-particle":"","family":"DARWIN-T2D Network","given":"","non-dropping-particle":"","parse-names":false,"suffix":""}],"container-title":"Diabetes, Obesity and Metabolism","id":"ITEM-1","issue":"2","issued":{"date-parts":[["2019","2"]]},"page":"252-260","title":"Effectiveness of dapagliflozin versus comparators on renal endpoints in the real world: A multicentre retrospective study","type":"article-journal","volume":"21"},"uris":["http://www.mendeley.com/documents/?uuid=408555e9-6130-3f7c-8d81-17025a2f9aac"]},{"id":"ITEM-2","itemData":{"DOI":"10.1111/dom.13532","ISSN":"14628902","PMID":"30207040","abstract":"AIM To assess the possible risk of acute kidney injury (AKI) with the use of sodium-glucose co-transporter-2 inhibitors (SGLT2-i) as well as changes in estimated glomerular filtration rate (eGFR), hospitalizations and mortality in a real-world setting. MATERIALS AND METHODS Included in this historical cohort study were patients with type 2 diabetes in a large health organization in Israel who initiated therapy with SGLT2-i or dipeptidyl peptidase-4 inhibitors (DPP-4i) during 1 April 2015 to 30 June 2017. We collected data on serum creatinine measurements taken between 180 days prior to and 24 weeks after therapy initiation. Study endpoints included ≥30% reduction in eGFR, hospitalization with AKI, any hospitalization and all-cause mortality. RESULTS Overall 6418 and 5604 patients initiated SGLT2-i and DPP-4i, respectively. Baseline mean (SD) eGFR was higher among the SGLT2-i group compared with the DPP-4i group (88.3 [17.4] and 82.8 [23.7], respectively) but were similar when stratifying by chronic kidney disease (CKD) stages. The adjusted odds ratio (OR) (95% confidence interval [CI]) for ≥30% reduction in eGFR with SGLT2-i versus DPP4-i was 0.70 (0.49-1.00) and ORs ranged from 1.97 (0.62-6.26) to 0.45 (0.21-0.99) in patients with baseline eGFR 30 to 45 and ≥90 mL/min/1.73 m2 , respectively. Risks of AKI (OR = 0.47, 95% CI 0.27-0.80), hospitalization (OR = 0.66, 95% CI 0.56-0.78) or all-cause mortality (OR = 0.43, 95% CI 0.20-0.95) were lower in patients initiating SGLT2-i versus DPP-4i. CONCLUSIONS This real-world data analysis supports reassuring findings from previous randomized clinical trials showing no increased AKI risk among SGLT2-i users. Nevertheless, because of the more prominent decrease in eGFR in patients with moderate CKD, cautious use of SGLT2-i in patients with reduced eGFR is advised.","author":[{"dropping-particle":"","family":"Cahn","given":"Avivit","non-dropping-particle":"","parse-names":false,"suffix":""},{"dropping-particle":"","family":"Melzer-Cohen","given":"Cheli","non-dropping-particle":"","parse-names":false,"suffix":""},{"dropping-particle":"","family":"Pollack","given":"Rena","non-dropping-particle":"","parse-names":false,"suffix":""},{"dropping-particle":"","family":"Chodick","given":"Gabriel","non-dropping-particle":"","parse-names":false,"suffix":""},{"dropping-particle":"","family":"Shalev","given":"Varda","non-dropping-particle":"","parse-names":false,"suffix":""}],"container-title":"Diabetes, Obesity and Metabolism","id":"ITEM-2","issue":"2","issued":{"date-parts":[["2019","2"]]},"page":"340-348","title":"Acute renal outcomes with sodium-glucose co-transporter-2 inhibitors: Real-world data analysis","type":"article-journal","volume":"21"},"uris":["http://www.mendeley.com/documents/?uuid=073bea18-f3d6-32e2-afe8-57f356d57c9a"]}],"mendeley":{"formattedCitation":"&lt;sup&gt;29,30&lt;/sup&gt;","plainTextFormattedCitation":"29,30","previouslyFormattedCitation":"&lt;sup&gt;29,30&lt;/sup&gt;"},"properties":{"noteIndex":0},"schema":"https://github.com/citation-style-language/schema/raw/master/csl-citation.json"}</w:instrText>
      </w:r>
      <w:r w:rsidR="005F7BDE">
        <w:rPr>
          <w:rFonts w:asciiTheme="majorBidi" w:hAnsiTheme="majorBidi" w:cstheme="majorBidi"/>
          <w:sz w:val="24"/>
          <w:szCs w:val="24"/>
        </w:rPr>
        <w:fldChar w:fldCharType="separate"/>
      </w:r>
      <w:r w:rsidR="00B90562" w:rsidRPr="00B90562">
        <w:rPr>
          <w:rFonts w:asciiTheme="majorBidi" w:hAnsiTheme="majorBidi" w:cstheme="majorBidi"/>
          <w:noProof/>
          <w:sz w:val="24"/>
          <w:szCs w:val="24"/>
          <w:vertAlign w:val="superscript"/>
        </w:rPr>
        <w:t>29,30</w:t>
      </w:r>
      <w:r w:rsidR="005F7BDE">
        <w:rPr>
          <w:rFonts w:asciiTheme="majorBidi" w:hAnsiTheme="majorBidi" w:cstheme="majorBidi"/>
          <w:sz w:val="24"/>
          <w:szCs w:val="24"/>
        </w:rPr>
        <w:fldChar w:fldCharType="end"/>
      </w:r>
      <w:r w:rsidR="00260700">
        <w:rPr>
          <w:rFonts w:asciiTheme="majorBidi" w:hAnsiTheme="majorBidi" w:cstheme="majorBidi"/>
          <w:sz w:val="24"/>
          <w:szCs w:val="24"/>
        </w:rPr>
        <w:t xml:space="preserve">, and a decrease in AKI was observed </w:t>
      </w:r>
      <w:r w:rsidR="00DA0177">
        <w:rPr>
          <w:rFonts w:asciiTheme="majorBidi" w:hAnsiTheme="majorBidi" w:cstheme="majorBidi"/>
          <w:sz w:val="24"/>
          <w:szCs w:val="24"/>
        </w:rPr>
        <w:t>in</w:t>
      </w:r>
      <w:r w:rsidR="00260700">
        <w:rPr>
          <w:rFonts w:asciiTheme="majorBidi" w:hAnsiTheme="majorBidi" w:cstheme="majorBidi"/>
          <w:sz w:val="24"/>
          <w:szCs w:val="24"/>
        </w:rPr>
        <w:t xml:space="preserve"> the EMPA REG OUTCOME trial</w:t>
      </w:r>
      <w:r w:rsidR="00260700" w:rsidRPr="00260700">
        <w:rPr>
          <w:rFonts w:asciiTheme="majorBidi" w:hAnsiTheme="majorBidi" w:cstheme="majorBidi"/>
          <w:sz w:val="24"/>
          <w:szCs w:val="24"/>
          <w:highlight w:val="yellow"/>
          <w:vertAlign w:val="superscript"/>
        </w:rPr>
        <w:t>8</w:t>
      </w:r>
      <w:r w:rsidR="00260700">
        <w:rPr>
          <w:rFonts w:asciiTheme="majorBidi" w:hAnsiTheme="majorBidi" w:cstheme="majorBidi"/>
          <w:sz w:val="24"/>
          <w:szCs w:val="24"/>
        </w:rPr>
        <w:t xml:space="preserve"> and </w:t>
      </w:r>
      <w:r w:rsidR="00DA0177">
        <w:rPr>
          <w:rFonts w:asciiTheme="majorBidi" w:hAnsiTheme="majorBidi" w:cstheme="majorBidi"/>
          <w:sz w:val="24"/>
          <w:szCs w:val="24"/>
        </w:rPr>
        <w:t>in</w:t>
      </w:r>
      <w:r w:rsidR="00260700">
        <w:rPr>
          <w:rFonts w:asciiTheme="majorBidi" w:hAnsiTheme="majorBidi" w:cstheme="majorBidi"/>
          <w:sz w:val="24"/>
          <w:szCs w:val="24"/>
        </w:rPr>
        <w:t xml:space="preserve"> CREDENCE</w:t>
      </w:r>
      <w:r w:rsidR="00260700" w:rsidRPr="00260700">
        <w:rPr>
          <w:rFonts w:asciiTheme="majorBidi" w:hAnsiTheme="majorBidi" w:cstheme="majorBidi"/>
          <w:sz w:val="24"/>
          <w:szCs w:val="24"/>
          <w:highlight w:val="yellow"/>
          <w:vertAlign w:val="superscript"/>
        </w:rPr>
        <w:t>13</w:t>
      </w:r>
      <w:r w:rsidR="00E10542">
        <w:rPr>
          <w:rFonts w:asciiTheme="majorBidi" w:hAnsiTheme="majorBidi" w:cstheme="majorBidi"/>
          <w:sz w:val="24"/>
          <w:szCs w:val="24"/>
        </w:rPr>
        <w:t xml:space="preserve">. </w:t>
      </w:r>
    </w:p>
    <w:p w14:paraId="12C6618E" w14:textId="594F9209" w:rsidR="004E4B79" w:rsidRDefault="00053465" w:rsidP="00D9271F">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 xml:space="preserve">A </w:t>
      </w:r>
      <w:r w:rsidR="006B3126">
        <w:rPr>
          <w:rFonts w:asciiTheme="majorBidi" w:hAnsiTheme="majorBidi" w:cstheme="majorBidi"/>
          <w:sz w:val="24"/>
          <w:szCs w:val="24"/>
        </w:rPr>
        <w:t xml:space="preserve">limitation of the current analysis is the fact that the renal outcome was the secondary outcome </w:t>
      </w:r>
      <w:r w:rsidR="00CB1386">
        <w:rPr>
          <w:rFonts w:asciiTheme="majorBidi" w:hAnsiTheme="majorBidi" w:cstheme="majorBidi"/>
          <w:sz w:val="24"/>
          <w:szCs w:val="24"/>
        </w:rPr>
        <w:t>in</w:t>
      </w:r>
      <w:r w:rsidR="006B3126">
        <w:rPr>
          <w:rFonts w:asciiTheme="majorBidi" w:hAnsiTheme="majorBidi" w:cstheme="majorBidi"/>
          <w:sz w:val="24"/>
          <w:szCs w:val="24"/>
        </w:rPr>
        <w:t xml:space="preserve"> the trial and since one of the </w:t>
      </w:r>
      <w:r w:rsidR="004E7082">
        <w:rPr>
          <w:rFonts w:asciiTheme="majorBidi" w:hAnsiTheme="majorBidi" w:cstheme="majorBidi"/>
          <w:sz w:val="24"/>
          <w:szCs w:val="24"/>
        </w:rPr>
        <w:t xml:space="preserve">dual </w:t>
      </w:r>
      <w:r w:rsidR="006B3126">
        <w:rPr>
          <w:rFonts w:asciiTheme="majorBidi" w:hAnsiTheme="majorBidi" w:cstheme="majorBidi"/>
          <w:sz w:val="24"/>
          <w:szCs w:val="24"/>
        </w:rPr>
        <w:t>primary outcomes did not demonstrate superiority</w:t>
      </w:r>
      <w:r w:rsidR="00CB1386">
        <w:rPr>
          <w:rFonts w:asciiTheme="majorBidi" w:hAnsiTheme="majorBidi" w:cstheme="majorBidi"/>
          <w:sz w:val="24"/>
          <w:szCs w:val="24"/>
        </w:rPr>
        <w:t>,</w:t>
      </w:r>
      <w:r w:rsidR="006B3126">
        <w:rPr>
          <w:rFonts w:asciiTheme="majorBidi" w:hAnsiTheme="majorBidi" w:cstheme="majorBidi"/>
          <w:sz w:val="24"/>
          <w:szCs w:val="24"/>
        </w:rPr>
        <w:t xml:space="preserve"> all other outcomes must be consider</w:t>
      </w:r>
      <w:r w:rsidR="00CB1386">
        <w:rPr>
          <w:rFonts w:asciiTheme="majorBidi" w:hAnsiTheme="majorBidi" w:cstheme="majorBidi"/>
          <w:sz w:val="24"/>
          <w:szCs w:val="24"/>
        </w:rPr>
        <w:t>ed as</w:t>
      </w:r>
      <w:r w:rsidR="006B3126">
        <w:rPr>
          <w:rFonts w:asciiTheme="majorBidi" w:hAnsiTheme="majorBidi" w:cstheme="majorBidi"/>
          <w:sz w:val="24"/>
          <w:szCs w:val="24"/>
        </w:rPr>
        <w:t xml:space="preserve"> hypothes</w:t>
      </w:r>
      <w:r w:rsidR="00CB1386">
        <w:rPr>
          <w:rFonts w:asciiTheme="majorBidi" w:hAnsiTheme="majorBidi" w:cstheme="majorBidi"/>
          <w:sz w:val="24"/>
          <w:szCs w:val="24"/>
        </w:rPr>
        <w:t>i</w:t>
      </w:r>
      <w:r w:rsidR="006B3126">
        <w:rPr>
          <w:rFonts w:asciiTheme="majorBidi" w:hAnsiTheme="majorBidi" w:cstheme="majorBidi"/>
          <w:sz w:val="24"/>
          <w:szCs w:val="24"/>
        </w:rPr>
        <w:t>s generating. However, the extent and the robustness of the renal finding</w:t>
      </w:r>
      <w:r w:rsidR="00CB1386">
        <w:rPr>
          <w:rFonts w:asciiTheme="majorBidi" w:hAnsiTheme="majorBidi" w:cstheme="majorBidi"/>
          <w:sz w:val="24"/>
          <w:szCs w:val="24"/>
        </w:rPr>
        <w:t>s</w:t>
      </w:r>
      <w:r w:rsidR="006B3126">
        <w:rPr>
          <w:rFonts w:asciiTheme="majorBidi" w:hAnsiTheme="majorBidi" w:cstheme="majorBidi"/>
          <w:sz w:val="24"/>
          <w:szCs w:val="24"/>
        </w:rPr>
        <w:t xml:space="preserve"> </w:t>
      </w:r>
      <w:r w:rsidR="00BE043D">
        <w:rPr>
          <w:rFonts w:asciiTheme="majorBidi" w:hAnsiTheme="majorBidi" w:cstheme="majorBidi"/>
          <w:sz w:val="24"/>
          <w:szCs w:val="24"/>
        </w:rPr>
        <w:t>in all CVOT</w:t>
      </w:r>
      <w:r w:rsidR="00206100">
        <w:rPr>
          <w:rFonts w:asciiTheme="majorBidi" w:hAnsiTheme="majorBidi" w:cstheme="majorBidi"/>
          <w:sz w:val="24"/>
          <w:szCs w:val="24"/>
        </w:rPr>
        <w:t>s</w:t>
      </w:r>
      <w:r w:rsidR="00BE043D">
        <w:rPr>
          <w:rFonts w:asciiTheme="majorBidi" w:hAnsiTheme="majorBidi" w:cstheme="majorBidi"/>
          <w:sz w:val="24"/>
          <w:szCs w:val="24"/>
        </w:rPr>
        <w:t xml:space="preserve"> </w:t>
      </w:r>
      <w:r w:rsidR="006B3126">
        <w:rPr>
          <w:rFonts w:asciiTheme="majorBidi" w:hAnsiTheme="majorBidi" w:cstheme="majorBidi"/>
          <w:sz w:val="24"/>
          <w:szCs w:val="24"/>
        </w:rPr>
        <w:t xml:space="preserve">as well as </w:t>
      </w:r>
      <w:r w:rsidR="00BE043D">
        <w:rPr>
          <w:rFonts w:asciiTheme="majorBidi" w:hAnsiTheme="majorBidi" w:cstheme="majorBidi"/>
          <w:sz w:val="24"/>
          <w:szCs w:val="24"/>
        </w:rPr>
        <w:t xml:space="preserve">in </w:t>
      </w:r>
      <w:r w:rsidR="00FB0D50">
        <w:rPr>
          <w:rFonts w:asciiTheme="majorBidi" w:hAnsiTheme="majorBidi" w:cstheme="majorBidi"/>
          <w:sz w:val="24"/>
          <w:szCs w:val="24"/>
        </w:rPr>
        <w:t xml:space="preserve">retrospective </w:t>
      </w:r>
      <w:r w:rsidR="00FB0D50" w:rsidRPr="005F7BDE">
        <w:rPr>
          <w:rFonts w:asciiTheme="majorBidi" w:hAnsiTheme="majorBidi" w:cstheme="majorBidi"/>
          <w:sz w:val="24"/>
          <w:szCs w:val="24"/>
        </w:rPr>
        <w:t>cohorts</w:t>
      </w:r>
      <w:r w:rsidR="005F7BDE">
        <w:rPr>
          <w:rFonts w:asciiTheme="majorBidi" w:hAnsiTheme="majorBidi" w:cstheme="majorBidi"/>
          <w:sz w:val="24"/>
          <w:szCs w:val="24"/>
        </w:rPr>
        <w:fldChar w:fldCharType="begin" w:fldLock="1"/>
      </w:r>
      <w:r w:rsidR="00B90562">
        <w:rPr>
          <w:rFonts w:asciiTheme="majorBidi" w:hAnsiTheme="majorBidi" w:cstheme="majorBidi"/>
          <w:sz w:val="24"/>
          <w:szCs w:val="24"/>
        </w:rPr>
        <w:instrText>ADDIN CSL_CITATION {"citationItems":[{"id":"ITEM-1","itemData":{"DOI":"10.1111/dom.13508","ISSN":"14628902","PMID":"30136354","abstract":"AIM To evaluate the changes in renal endpoints in type 2 diabetes patients treated with dapagliflozin versus other glucose-lowering medications in routine clinical practice. MATERIALS AND METHODS DARWIN-T2D was a retrospective study conducted at 46 outpatient diabetes clinics in Italy. An automated software collected data on 17 285 patients who received dapagliflozin, glucagon-like peptide-1 receptor agonists, dipeptidyl peptidase-4 inhibitors, or gliclazide, 6751 of whom had a follow-up visit. We analysed changes in albumin excretion rate (AER) and estimated glomerular filtration rate (eGFR). RESULTS Patients who received dapagliflozin (n = 473) were younger, more obese, and had a poorer glucose control than those who received a comparator (n = 2973). After ~6 months, median (interquartile range) AER declined by 37%, from 19.5 (7.5-78.2) to 13.2 (6.5-45.0) mg/g (P &lt; 0.0001) in the dapagliflozin group and did not change in the comparator group. After adjusting for confounders, therapy with dapagliflozin versus comparators was associated with an AER reduction of 26.4 ± 13.1 mg/g (P = 0.045), and eGFR (mL/min/1.73 m2 ) diminished by 1.1 ± 0.5 (P = 0.049) in the dapagliflozin group and by 0.6 ± 9.1 (P = 0.002) in the comparator group (P = 0.35 between groups). No patient treated with dapagliflozin versus four patients treated with comparators experienced a doubling of serum creatinine. CONCLUSIONS The antiproteinuric effect of dapagliflozin is confirmed here for the first time by real-world data. Despite a mild decline in eGFR, there was no evidence of clinically relevant worsening in renal function.","author":[{"dropping-particle":"","family":"Fadini","given":"Gian Paolo","non-dropping-particle":"","parse-names":false,"suffix":""},{"dropping-particle":"","family":"Solini","given":"Anna","non-dropping-particle":"","parse-names":false,"suffix":""},{"dropping-particle":"","family":"Manca","given":"Maria Laura","non-dropping-particle":"","parse-names":false,"suffix":""},{"dropping-particle":"","family":"Penno","given":"Giuseppe","non-dropping-particle":"","parse-names":false,"suffix":""},{"dropping-particle":"","family":"Gatti","given":"Adriano","non-dropping-particle":"","parse-names":false,"suffix":""},{"dropping-particle":"","family":"Anichini","given":"Roberto","non-dropping-particle":"","parse-names":false,"suffix":""},{"dropping-particle":"","family":"Prato","given":"Stefano","non-dropping-particle":"Del","parse-names":false,"suffix":""},{"dropping-particle":"","family":"Avogaro","given":"Angelo","non-dropping-particle":"","parse-names":false,"suffix":""},{"dropping-particle":"","family":"DARWIN-T2D Network","given":"","non-dropping-particle":"","parse-names":false,"suffix":""}],"container-title":"Diabetes, Obesity and Metabolism","id":"ITEM-1","issue":"2","issued":{"date-parts":[["2019","2"]]},"page":"252-260","title":"Effectiveness of dapagliflozin versus comparators on renal endpoints in the real world: A multicentre retrospective study","type":"article-journal","volume":"21"},"uris":["http://www.mendeley.com/documents/?uuid=408555e9-6130-3f7c-8d81-17025a2f9aac"]},{"id":"ITEM-2","itemData":{"DOI":"10.1111/dom.13532","ISSN":"14628902","PMID":"30207040","abstract":"AIM To assess the possible risk of acute kidney injury (AKI) with the use of sodium-glucose co-transporter-2 inhibitors (SGLT2-i) as well as changes in estimated glomerular filtration rate (eGFR), hospitalizations and mortality in a real-world setting. MATERIALS AND METHODS Included in this historical cohort study were patients with type 2 diabetes in a large health organization in Israel who initiated therapy with SGLT2-i or dipeptidyl peptidase-4 inhibitors (DPP-4i) during 1 April 2015 to 30 June 2017. We collected data on serum creatinine measurements taken between 180 days prior to and 24 weeks after therapy initiation. Study endpoints included ≥30% reduction in eGFR, hospitalization with AKI, any hospitalization and all-cause mortality. RESULTS Overall 6418 and 5604 patients initiated SGLT2-i and DPP-4i, respectively. Baseline mean (SD) eGFR was higher among the SGLT2-i group compared with the DPP-4i group (88.3 [17.4] and 82.8 [23.7], respectively) but were similar when stratifying by chronic kidney disease (CKD) stages. The adjusted odds ratio (OR) (95% confidence interval [CI]) for ≥30% reduction in eGFR with SGLT2-i versus DPP4-i was 0.70 (0.49-1.00) and ORs ranged from 1.97 (0.62-6.26) to 0.45 (0.21-0.99) in patients with baseline eGFR 30 to 45 and ≥90 mL/min/1.73 m2 , respectively. Risks of AKI (OR = 0.47, 95% CI 0.27-0.80), hospitalization (OR = 0.66, 95% CI 0.56-0.78) or all-cause mortality (OR = 0.43, 95% CI 0.20-0.95) were lower in patients initiating SGLT2-i versus DPP-4i. CONCLUSIONS This real-world data analysis supports reassuring findings from previous randomized clinical trials showing no increased AKI risk among SGLT2-i users. Nevertheless, because of the more prominent decrease in eGFR in patients with moderate CKD, cautious use of SGLT2-i in patients with reduced eGFR is advised.","author":[{"dropping-particle":"","family":"Cahn","given":"Avivit","non-dropping-particle":"","parse-names":false,"suffix":""},{"dropping-particle":"","family":"Melzer-Cohen","given":"Cheli","non-dropping-particle":"","parse-names":false,"suffix":""},{"dropping-particle":"","family":"Pollack","given":"Rena","non-dropping-particle":"","parse-names":false,"suffix":""},{"dropping-particle":"","family":"Chodick","given":"Gabriel","non-dropping-particle":"","parse-names":false,"suffix":""},{"dropping-particle":"","family":"Shalev","given":"Varda","non-dropping-particle":"","parse-names":false,"suffix":""}],"container-title":"Diabetes, Obesity and Metabolism","id":"ITEM-2","issue":"2","issued":{"date-parts":[["2019","2"]]},"page":"340-348","title":"Acute renal outcomes with sodium-glucose co-transporter-2 inhibitors: Real-world data analysis","type":"article-journal","volume":"21"},"uris":["http://www.mendeley.com/documents/?uuid=073bea18-f3d6-32e2-afe8-57f356d57c9a"]}],"mendeley":{"formattedCitation":"&lt;sup&gt;29,30&lt;/sup&gt;","plainTextFormattedCitation":"29,30","previouslyFormattedCitation":"&lt;sup&gt;29,30&lt;/sup&gt;"},"properties":{"noteIndex":0},"schema":"https://github.com/citation-style-language/schema/raw/master/csl-citation.json"}</w:instrText>
      </w:r>
      <w:r w:rsidR="005F7BDE">
        <w:rPr>
          <w:rFonts w:asciiTheme="majorBidi" w:hAnsiTheme="majorBidi" w:cstheme="majorBidi"/>
          <w:sz w:val="24"/>
          <w:szCs w:val="24"/>
        </w:rPr>
        <w:fldChar w:fldCharType="separate"/>
      </w:r>
      <w:r w:rsidR="00B90562" w:rsidRPr="00B90562">
        <w:rPr>
          <w:rFonts w:asciiTheme="majorBidi" w:hAnsiTheme="majorBidi" w:cstheme="majorBidi"/>
          <w:noProof/>
          <w:sz w:val="24"/>
          <w:szCs w:val="24"/>
          <w:vertAlign w:val="superscript"/>
        </w:rPr>
        <w:t>29,30</w:t>
      </w:r>
      <w:r w:rsidR="005F7BDE">
        <w:rPr>
          <w:rFonts w:asciiTheme="majorBidi" w:hAnsiTheme="majorBidi" w:cstheme="majorBidi"/>
          <w:sz w:val="24"/>
          <w:szCs w:val="24"/>
        </w:rPr>
        <w:fldChar w:fldCharType="end"/>
      </w:r>
      <w:r w:rsidR="00BE043D">
        <w:rPr>
          <w:rFonts w:asciiTheme="majorBidi" w:hAnsiTheme="majorBidi" w:cstheme="majorBidi"/>
          <w:sz w:val="24"/>
          <w:szCs w:val="24"/>
        </w:rPr>
        <w:t xml:space="preserve"> strongly support the conclusion that SGLT2i are potent reno</w:t>
      </w:r>
      <w:r w:rsidR="00FB0D50">
        <w:rPr>
          <w:rFonts w:asciiTheme="majorBidi" w:hAnsiTheme="majorBidi" w:cstheme="majorBidi"/>
          <w:sz w:val="24"/>
          <w:szCs w:val="24"/>
        </w:rPr>
        <w:t>-</w:t>
      </w:r>
      <w:r w:rsidR="00BE043D">
        <w:rPr>
          <w:rFonts w:asciiTheme="majorBidi" w:hAnsiTheme="majorBidi" w:cstheme="majorBidi"/>
          <w:sz w:val="24"/>
          <w:szCs w:val="24"/>
        </w:rPr>
        <w:t xml:space="preserve">protective drugs. </w:t>
      </w:r>
      <w:r w:rsidR="00E53422">
        <w:rPr>
          <w:rFonts w:asciiTheme="majorBidi" w:hAnsiTheme="majorBidi" w:cstheme="majorBidi"/>
          <w:sz w:val="24"/>
          <w:szCs w:val="24"/>
        </w:rPr>
        <w:t xml:space="preserve">Moreover, the information added by the DECLARE-TIMI 58 trial is the place of dapagliflozin in </w:t>
      </w:r>
      <w:r w:rsidR="00AF7024">
        <w:rPr>
          <w:rFonts w:asciiTheme="majorBidi" w:hAnsiTheme="majorBidi" w:cstheme="majorBidi"/>
          <w:sz w:val="24"/>
          <w:szCs w:val="24"/>
        </w:rPr>
        <w:t xml:space="preserve">early intervention for </w:t>
      </w:r>
      <w:r w:rsidR="00E53422">
        <w:rPr>
          <w:rFonts w:asciiTheme="majorBidi" w:hAnsiTheme="majorBidi" w:cstheme="majorBidi"/>
          <w:sz w:val="24"/>
          <w:szCs w:val="24"/>
        </w:rPr>
        <w:t>prevention of</w:t>
      </w:r>
      <w:r w:rsidR="00AF7024">
        <w:rPr>
          <w:rFonts w:asciiTheme="majorBidi" w:hAnsiTheme="majorBidi" w:cstheme="majorBidi"/>
          <w:sz w:val="24"/>
          <w:szCs w:val="24"/>
        </w:rPr>
        <w:t xml:space="preserve"> CKD. </w:t>
      </w:r>
      <w:r w:rsidR="004E4B79">
        <w:rPr>
          <w:rFonts w:asciiTheme="majorBidi" w:hAnsiTheme="majorBidi" w:cstheme="majorBidi"/>
          <w:sz w:val="24"/>
          <w:szCs w:val="24"/>
        </w:rPr>
        <w:t xml:space="preserve"> </w:t>
      </w:r>
    </w:p>
    <w:p w14:paraId="5F992D32" w14:textId="57A1C63F" w:rsidR="001443E9" w:rsidRDefault="000F3956" w:rsidP="00C70F39">
      <w:pPr>
        <w:pStyle w:val="ListParagraph"/>
        <w:spacing w:line="480" w:lineRule="auto"/>
        <w:ind w:left="0"/>
        <w:jc w:val="both"/>
        <w:rPr>
          <w:rFonts w:asciiTheme="majorBidi" w:hAnsiTheme="majorBidi" w:cstheme="majorBidi"/>
          <w:sz w:val="24"/>
          <w:szCs w:val="24"/>
          <w:rtl/>
        </w:rPr>
      </w:pPr>
      <w:r>
        <w:rPr>
          <w:rFonts w:asciiTheme="majorBidi" w:hAnsiTheme="majorBidi" w:cstheme="majorBidi"/>
          <w:sz w:val="24"/>
          <w:szCs w:val="24"/>
        </w:rPr>
        <w:t>Ano</w:t>
      </w:r>
      <w:r w:rsidR="004E4B79">
        <w:rPr>
          <w:rFonts w:asciiTheme="majorBidi" w:hAnsiTheme="majorBidi" w:cstheme="majorBidi"/>
          <w:sz w:val="24"/>
          <w:szCs w:val="24"/>
        </w:rPr>
        <w:t xml:space="preserve">ther </w:t>
      </w:r>
      <w:r w:rsidR="004E7082">
        <w:rPr>
          <w:rFonts w:asciiTheme="majorBidi" w:hAnsiTheme="majorBidi" w:cstheme="majorBidi"/>
          <w:sz w:val="24"/>
          <w:szCs w:val="24"/>
        </w:rPr>
        <w:t>limitation</w:t>
      </w:r>
      <w:r w:rsidR="004E4B79">
        <w:rPr>
          <w:rFonts w:asciiTheme="majorBidi" w:hAnsiTheme="majorBidi" w:cstheme="majorBidi"/>
          <w:sz w:val="24"/>
          <w:szCs w:val="24"/>
        </w:rPr>
        <w:t xml:space="preserve"> of the current analysis includes the fact that creatinine and spot urine UACR were only done</w:t>
      </w:r>
      <w:r w:rsidR="00AF7024">
        <w:rPr>
          <w:rFonts w:asciiTheme="majorBidi" w:hAnsiTheme="majorBidi" w:cstheme="majorBidi"/>
          <w:sz w:val="24"/>
          <w:szCs w:val="24"/>
        </w:rPr>
        <w:t xml:space="preserve"> at </w:t>
      </w:r>
      <w:r w:rsidR="00D9271F">
        <w:rPr>
          <w:rFonts w:asciiTheme="majorBidi" w:hAnsiTheme="majorBidi" w:cstheme="majorBidi"/>
          <w:sz w:val="24"/>
          <w:szCs w:val="24"/>
        </w:rPr>
        <w:t xml:space="preserve">screening, </w:t>
      </w:r>
      <w:r w:rsidR="00AF7024">
        <w:rPr>
          <w:rFonts w:asciiTheme="majorBidi" w:hAnsiTheme="majorBidi" w:cstheme="majorBidi"/>
          <w:sz w:val="24"/>
          <w:szCs w:val="24"/>
        </w:rPr>
        <w:t>baseline, 6 months</w:t>
      </w:r>
      <w:r w:rsidR="00F918DD">
        <w:rPr>
          <w:rFonts w:asciiTheme="majorBidi" w:hAnsiTheme="majorBidi" w:cstheme="majorBidi"/>
          <w:sz w:val="24"/>
          <w:szCs w:val="24"/>
        </w:rPr>
        <w:t>,</w:t>
      </w:r>
      <w:r w:rsidR="00AF7024">
        <w:rPr>
          <w:rFonts w:asciiTheme="majorBidi" w:hAnsiTheme="majorBidi" w:cstheme="majorBidi"/>
          <w:sz w:val="24"/>
          <w:szCs w:val="24"/>
        </w:rPr>
        <w:t xml:space="preserve"> </w:t>
      </w:r>
      <w:r w:rsidR="00206100">
        <w:rPr>
          <w:rFonts w:asciiTheme="majorBidi" w:hAnsiTheme="majorBidi" w:cstheme="majorBidi"/>
          <w:sz w:val="24"/>
          <w:szCs w:val="24"/>
        </w:rPr>
        <w:t xml:space="preserve">12 months, </w:t>
      </w:r>
      <w:r w:rsidR="00AF7024">
        <w:rPr>
          <w:rFonts w:asciiTheme="majorBidi" w:hAnsiTheme="majorBidi" w:cstheme="majorBidi"/>
          <w:sz w:val="24"/>
          <w:szCs w:val="24"/>
        </w:rPr>
        <w:t>and</w:t>
      </w:r>
      <w:r w:rsidR="004E4B79">
        <w:rPr>
          <w:rFonts w:asciiTheme="majorBidi" w:hAnsiTheme="majorBidi" w:cstheme="majorBidi"/>
          <w:sz w:val="24"/>
          <w:szCs w:val="24"/>
        </w:rPr>
        <w:t xml:space="preserve"> once a year </w:t>
      </w:r>
      <w:r w:rsidR="00AF7024">
        <w:rPr>
          <w:rFonts w:asciiTheme="majorBidi" w:hAnsiTheme="majorBidi" w:cstheme="majorBidi"/>
          <w:sz w:val="24"/>
          <w:szCs w:val="24"/>
        </w:rPr>
        <w:t xml:space="preserve">thereafter, </w:t>
      </w:r>
      <w:r w:rsidR="00D9271F">
        <w:rPr>
          <w:rFonts w:asciiTheme="majorBidi" w:hAnsiTheme="majorBidi" w:cstheme="majorBidi"/>
          <w:sz w:val="24"/>
          <w:szCs w:val="24"/>
        </w:rPr>
        <w:t xml:space="preserve">unless </w:t>
      </w:r>
      <w:r w:rsidR="00F918DD">
        <w:rPr>
          <w:rFonts w:asciiTheme="majorBidi" w:hAnsiTheme="majorBidi" w:cstheme="majorBidi"/>
          <w:sz w:val="24"/>
          <w:szCs w:val="24"/>
        </w:rPr>
        <w:t xml:space="preserve">specific criteria </w:t>
      </w:r>
      <w:r w:rsidR="00DD37E0">
        <w:rPr>
          <w:rFonts w:asciiTheme="majorBidi" w:hAnsiTheme="majorBidi" w:cstheme="majorBidi"/>
          <w:sz w:val="24"/>
          <w:szCs w:val="24"/>
        </w:rPr>
        <w:t>(detailed in the method</w:t>
      </w:r>
      <w:r w:rsidR="002A621E">
        <w:rPr>
          <w:rFonts w:asciiTheme="majorBidi" w:hAnsiTheme="majorBidi" w:cstheme="majorBidi"/>
          <w:sz w:val="24"/>
          <w:szCs w:val="24"/>
        </w:rPr>
        <w:t>s</w:t>
      </w:r>
      <w:r w:rsidR="00DD37E0">
        <w:rPr>
          <w:rFonts w:asciiTheme="majorBidi" w:hAnsiTheme="majorBidi" w:cstheme="majorBidi"/>
          <w:sz w:val="24"/>
          <w:szCs w:val="24"/>
        </w:rPr>
        <w:t xml:space="preserve"> section) </w:t>
      </w:r>
      <w:r w:rsidR="00F918DD">
        <w:rPr>
          <w:rFonts w:asciiTheme="majorBidi" w:hAnsiTheme="majorBidi" w:cstheme="majorBidi"/>
          <w:sz w:val="24"/>
          <w:szCs w:val="24"/>
        </w:rPr>
        <w:t xml:space="preserve">required </w:t>
      </w:r>
      <w:r w:rsidR="002A621E">
        <w:rPr>
          <w:rFonts w:asciiTheme="majorBidi" w:hAnsiTheme="majorBidi" w:cstheme="majorBidi"/>
          <w:sz w:val="24"/>
          <w:szCs w:val="24"/>
        </w:rPr>
        <w:t xml:space="preserve">in </w:t>
      </w:r>
      <w:r w:rsidR="00F918DD">
        <w:rPr>
          <w:rFonts w:asciiTheme="majorBidi" w:hAnsiTheme="majorBidi" w:cstheme="majorBidi"/>
          <w:sz w:val="24"/>
          <w:szCs w:val="24"/>
        </w:rPr>
        <w:t xml:space="preserve">an </w:t>
      </w:r>
      <w:r w:rsidR="00DD37E0">
        <w:rPr>
          <w:rFonts w:asciiTheme="majorBidi" w:hAnsiTheme="majorBidi" w:cstheme="majorBidi"/>
          <w:sz w:val="24"/>
          <w:szCs w:val="24"/>
        </w:rPr>
        <w:t>earlier repeated test</w:t>
      </w:r>
      <w:r w:rsidR="00F918DD">
        <w:rPr>
          <w:rFonts w:asciiTheme="majorBidi" w:hAnsiTheme="majorBidi" w:cstheme="majorBidi"/>
          <w:sz w:val="24"/>
          <w:szCs w:val="24"/>
        </w:rPr>
        <w:t xml:space="preserve"> were met, </w:t>
      </w:r>
      <w:r w:rsidR="004E4B79">
        <w:rPr>
          <w:rFonts w:asciiTheme="majorBidi" w:hAnsiTheme="majorBidi" w:cstheme="majorBidi"/>
          <w:sz w:val="24"/>
          <w:szCs w:val="24"/>
        </w:rPr>
        <w:t xml:space="preserve">and therefore more </w:t>
      </w:r>
      <w:r w:rsidR="009C1B42">
        <w:rPr>
          <w:rFonts w:asciiTheme="majorBidi" w:hAnsiTheme="majorBidi" w:cstheme="majorBidi"/>
          <w:sz w:val="24"/>
          <w:szCs w:val="24"/>
        </w:rPr>
        <w:t>subtle</w:t>
      </w:r>
      <w:r w:rsidR="004E4B79">
        <w:rPr>
          <w:rFonts w:asciiTheme="majorBidi" w:hAnsiTheme="majorBidi" w:cstheme="majorBidi"/>
          <w:sz w:val="24"/>
          <w:szCs w:val="24"/>
        </w:rPr>
        <w:t xml:space="preserve"> changes </w:t>
      </w:r>
      <w:r w:rsidR="001443E9">
        <w:rPr>
          <w:rFonts w:asciiTheme="majorBidi" w:hAnsiTheme="majorBidi" w:cstheme="majorBidi"/>
          <w:sz w:val="24"/>
          <w:szCs w:val="24"/>
        </w:rPr>
        <w:t xml:space="preserve">in renal function might have been missed. </w:t>
      </w:r>
      <w:r w:rsidR="00F918DD">
        <w:rPr>
          <w:rFonts w:asciiTheme="majorBidi" w:hAnsiTheme="majorBidi" w:cstheme="majorBidi"/>
          <w:sz w:val="24"/>
          <w:szCs w:val="24"/>
        </w:rPr>
        <w:t xml:space="preserve">AKI was not </w:t>
      </w:r>
      <w:r w:rsidR="00DD37E0">
        <w:rPr>
          <w:rFonts w:asciiTheme="majorBidi" w:hAnsiTheme="majorBidi" w:cstheme="majorBidi"/>
          <w:sz w:val="24"/>
          <w:szCs w:val="24"/>
        </w:rPr>
        <w:t>adjudicated</w:t>
      </w:r>
      <w:r w:rsidR="00F918DD">
        <w:rPr>
          <w:rFonts w:asciiTheme="majorBidi" w:hAnsiTheme="majorBidi" w:cstheme="majorBidi"/>
          <w:sz w:val="24"/>
          <w:szCs w:val="24"/>
        </w:rPr>
        <w:t xml:space="preserve"> in this trial, unlike in the CANVAS </w:t>
      </w:r>
      <w:r w:rsidR="00F918DD" w:rsidRPr="00DD37E0">
        <w:rPr>
          <w:rFonts w:asciiTheme="majorBidi" w:hAnsiTheme="majorBidi" w:cstheme="majorBidi"/>
          <w:sz w:val="24"/>
          <w:szCs w:val="24"/>
        </w:rPr>
        <w:t>program</w:t>
      </w:r>
      <w:r w:rsidR="00DD37E0" w:rsidRPr="00DD37E0">
        <w:rPr>
          <w:rFonts w:asciiTheme="majorBidi" w:hAnsiTheme="majorBidi" w:cstheme="majorBidi"/>
          <w:sz w:val="24"/>
          <w:szCs w:val="24"/>
          <w:highlight w:val="yellow"/>
          <w:vertAlign w:val="superscript"/>
        </w:rPr>
        <w:t>9-12</w:t>
      </w:r>
      <w:r w:rsidR="00F918DD">
        <w:rPr>
          <w:rFonts w:asciiTheme="majorBidi" w:hAnsiTheme="majorBidi" w:cstheme="majorBidi"/>
          <w:sz w:val="24"/>
          <w:szCs w:val="24"/>
        </w:rPr>
        <w:t xml:space="preserve"> and the CR</w:t>
      </w:r>
      <w:r w:rsidR="00BE18A1">
        <w:rPr>
          <w:rFonts w:asciiTheme="majorBidi" w:hAnsiTheme="majorBidi" w:cstheme="majorBidi"/>
          <w:sz w:val="24"/>
          <w:szCs w:val="24"/>
        </w:rPr>
        <w:t>E</w:t>
      </w:r>
      <w:r w:rsidR="00F918DD">
        <w:rPr>
          <w:rFonts w:asciiTheme="majorBidi" w:hAnsiTheme="majorBidi" w:cstheme="majorBidi"/>
          <w:sz w:val="24"/>
          <w:szCs w:val="24"/>
        </w:rPr>
        <w:t>DENCE trial</w:t>
      </w:r>
      <w:r w:rsidR="00DD37E0" w:rsidRPr="00DD37E0">
        <w:rPr>
          <w:rFonts w:asciiTheme="majorBidi" w:hAnsiTheme="majorBidi" w:cstheme="majorBidi"/>
          <w:sz w:val="24"/>
          <w:szCs w:val="24"/>
          <w:highlight w:val="yellow"/>
          <w:vertAlign w:val="superscript"/>
        </w:rPr>
        <w:t>13</w:t>
      </w:r>
      <w:r w:rsidR="00DD37E0">
        <w:rPr>
          <w:rFonts w:asciiTheme="majorBidi" w:hAnsiTheme="majorBidi" w:cstheme="majorBidi"/>
          <w:sz w:val="24"/>
          <w:szCs w:val="24"/>
        </w:rPr>
        <w:t xml:space="preserve">. </w:t>
      </w:r>
      <w:r w:rsidR="00BE18A1">
        <w:rPr>
          <w:rFonts w:asciiTheme="majorBidi" w:hAnsiTheme="majorBidi" w:cstheme="majorBidi"/>
          <w:sz w:val="24"/>
          <w:szCs w:val="24"/>
        </w:rPr>
        <w:t xml:space="preserve">However, cases of AKI were specifically ascertained at each visit as adverse events of special interest (AESI) and a decrease in eGFR from baseline by more than 30% </w:t>
      </w:r>
      <w:r w:rsidR="00C70F39">
        <w:rPr>
          <w:rFonts w:asciiTheme="majorBidi" w:hAnsiTheme="majorBidi" w:cstheme="majorBidi"/>
          <w:sz w:val="24"/>
          <w:szCs w:val="24"/>
        </w:rPr>
        <w:t>was flagged by the central laboratory as requir</w:t>
      </w:r>
      <w:r w:rsidR="00DA0177">
        <w:rPr>
          <w:rFonts w:asciiTheme="majorBidi" w:hAnsiTheme="majorBidi" w:cstheme="majorBidi"/>
          <w:sz w:val="24"/>
          <w:szCs w:val="24"/>
        </w:rPr>
        <w:t>ing</w:t>
      </w:r>
      <w:r w:rsidR="00C70F39">
        <w:rPr>
          <w:rFonts w:asciiTheme="majorBidi" w:hAnsiTheme="majorBidi" w:cstheme="majorBidi"/>
          <w:sz w:val="24"/>
          <w:szCs w:val="24"/>
        </w:rPr>
        <w:t xml:space="preserve"> a repeated measurement.</w:t>
      </w:r>
      <w:r w:rsidR="00BE18A1">
        <w:rPr>
          <w:rFonts w:asciiTheme="majorBidi" w:hAnsiTheme="majorBidi" w:cstheme="majorBidi"/>
          <w:sz w:val="24"/>
          <w:szCs w:val="24"/>
        </w:rPr>
        <w:t xml:space="preserve"> </w:t>
      </w:r>
      <w:r w:rsidR="001443E9">
        <w:rPr>
          <w:rFonts w:asciiTheme="majorBidi" w:hAnsiTheme="majorBidi" w:cstheme="majorBidi"/>
          <w:sz w:val="24"/>
          <w:szCs w:val="24"/>
        </w:rPr>
        <w:t xml:space="preserve">Lastly, the choice to use only confirmed sustained outcomes and not any one time change in eGFR </w:t>
      </w:r>
      <w:r w:rsidR="00AF7024">
        <w:rPr>
          <w:rFonts w:asciiTheme="majorBidi" w:hAnsiTheme="majorBidi" w:cstheme="majorBidi"/>
          <w:sz w:val="24"/>
          <w:szCs w:val="24"/>
        </w:rPr>
        <w:t>(like in the previous SGLT2i CVOT</w:t>
      </w:r>
      <w:r w:rsidR="000E37FE">
        <w:rPr>
          <w:rFonts w:asciiTheme="majorBidi" w:hAnsiTheme="majorBidi" w:cstheme="majorBidi"/>
          <w:sz w:val="24"/>
          <w:szCs w:val="24"/>
        </w:rPr>
        <w:t>s</w:t>
      </w:r>
      <w:r w:rsidR="00AF7024">
        <w:rPr>
          <w:rFonts w:asciiTheme="majorBidi" w:hAnsiTheme="majorBidi" w:cstheme="majorBidi"/>
          <w:sz w:val="24"/>
          <w:szCs w:val="24"/>
        </w:rPr>
        <w:t xml:space="preserve">) </w:t>
      </w:r>
      <w:r w:rsidR="001443E9">
        <w:rPr>
          <w:rFonts w:asciiTheme="majorBidi" w:hAnsiTheme="majorBidi" w:cstheme="majorBidi"/>
          <w:sz w:val="24"/>
          <w:szCs w:val="24"/>
        </w:rPr>
        <w:t>might have cause</w:t>
      </w:r>
      <w:r w:rsidR="00CB1386">
        <w:rPr>
          <w:rFonts w:asciiTheme="majorBidi" w:hAnsiTheme="majorBidi" w:cstheme="majorBidi"/>
          <w:sz w:val="24"/>
          <w:szCs w:val="24"/>
        </w:rPr>
        <w:t>d</w:t>
      </w:r>
      <w:r w:rsidR="001443E9">
        <w:rPr>
          <w:rFonts w:asciiTheme="majorBidi" w:hAnsiTheme="majorBidi" w:cstheme="majorBidi"/>
          <w:sz w:val="24"/>
          <w:szCs w:val="24"/>
        </w:rPr>
        <w:t xml:space="preserve"> some reduction in the numbers of events, however </w:t>
      </w:r>
      <w:r>
        <w:rPr>
          <w:rFonts w:asciiTheme="majorBidi" w:hAnsiTheme="majorBidi" w:cstheme="majorBidi"/>
          <w:sz w:val="24"/>
          <w:szCs w:val="24"/>
        </w:rPr>
        <w:t>this actually</w:t>
      </w:r>
      <w:r w:rsidR="001443E9">
        <w:rPr>
          <w:rFonts w:asciiTheme="majorBidi" w:hAnsiTheme="majorBidi" w:cstheme="majorBidi"/>
          <w:sz w:val="24"/>
          <w:szCs w:val="24"/>
        </w:rPr>
        <w:t xml:space="preserve"> add</w:t>
      </w:r>
      <w:r>
        <w:rPr>
          <w:rFonts w:asciiTheme="majorBidi" w:hAnsiTheme="majorBidi" w:cstheme="majorBidi"/>
          <w:sz w:val="24"/>
          <w:szCs w:val="24"/>
        </w:rPr>
        <w:t>s</w:t>
      </w:r>
      <w:r w:rsidR="001443E9">
        <w:rPr>
          <w:rFonts w:asciiTheme="majorBidi" w:hAnsiTheme="majorBidi" w:cstheme="majorBidi"/>
          <w:sz w:val="24"/>
          <w:szCs w:val="24"/>
        </w:rPr>
        <w:t xml:space="preserve"> to the robustness of our </w:t>
      </w:r>
      <w:r w:rsidR="001443E9">
        <w:rPr>
          <w:rFonts w:asciiTheme="majorBidi" w:hAnsiTheme="majorBidi" w:cstheme="majorBidi"/>
          <w:sz w:val="24"/>
          <w:szCs w:val="24"/>
        </w:rPr>
        <w:lastRenderedPageBreak/>
        <w:t>finding</w:t>
      </w:r>
      <w:r w:rsidR="00CB1386">
        <w:rPr>
          <w:rFonts w:asciiTheme="majorBidi" w:hAnsiTheme="majorBidi" w:cstheme="majorBidi"/>
          <w:sz w:val="24"/>
          <w:szCs w:val="24"/>
        </w:rPr>
        <w:t>s</w:t>
      </w:r>
      <w:r w:rsidR="001443E9">
        <w:rPr>
          <w:rFonts w:asciiTheme="majorBidi" w:hAnsiTheme="majorBidi" w:cstheme="majorBidi"/>
          <w:sz w:val="24"/>
          <w:szCs w:val="24"/>
        </w:rPr>
        <w:t xml:space="preserve"> and help</w:t>
      </w:r>
      <w:r w:rsidR="00CB1386">
        <w:rPr>
          <w:rFonts w:asciiTheme="majorBidi" w:hAnsiTheme="majorBidi" w:cstheme="majorBidi"/>
          <w:sz w:val="24"/>
          <w:szCs w:val="24"/>
        </w:rPr>
        <w:t>s</w:t>
      </w:r>
      <w:r w:rsidR="001443E9">
        <w:rPr>
          <w:rFonts w:asciiTheme="majorBidi" w:hAnsiTheme="majorBidi" w:cstheme="majorBidi"/>
          <w:sz w:val="24"/>
          <w:szCs w:val="24"/>
        </w:rPr>
        <w:t xml:space="preserve"> differentiate between AKI which might be transient and permanent changes in renal function.  </w:t>
      </w:r>
    </w:p>
    <w:p w14:paraId="1267C23D" w14:textId="5A9E7EA3" w:rsidR="00764D5D" w:rsidRDefault="001443E9" w:rsidP="004F3254">
      <w:pPr>
        <w:pStyle w:val="ListParagraph"/>
        <w:spacing w:line="480" w:lineRule="auto"/>
        <w:ind w:left="0"/>
        <w:jc w:val="both"/>
        <w:rPr>
          <w:rFonts w:asciiTheme="majorBidi" w:hAnsiTheme="majorBidi" w:cstheme="majorBidi"/>
          <w:sz w:val="24"/>
          <w:szCs w:val="24"/>
          <w:lang w:val="en-GB"/>
        </w:rPr>
      </w:pPr>
      <w:r>
        <w:rPr>
          <w:rFonts w:asciiTheme="majorBidi" w:hAnsiTheme="majorBidi" w:cstheme="majorBidi"/>
          <w:sz w:val="24"/>
          <w:szCs w:val="24"/>
          <w:lang w:val="en-GB"/>
        </w:rPr>
        <w:t>In conclusion</w:t>
      </w:r>
      <w:r w:rsidR="009C1B42">
        <w:rPr>
          <w:rFonts w:asciiTheme="majorBidi" w:hAnsiTheme="majorBidi" w:cstheme="majorBidi"/>
          <w:sz w:val="24"/>
          <w:szCs w:val="24"/>
          <w:lang w:val="en-GB"/>
        </w:rPr>
        <w:t>,</w:t>
      </w:r>
      <w:r>
        <w:rPr>
          <w:rFonts w:asciiTheme="majorBidi" w:hAnsiTheme="majorBidi" w:cstheme="majorBidi"/>
          <w:sz w:val="24"/>
          <w:szCs w:val="24"/>
          <w:lang w:val="en-GB"/>
        </w:rPr>
        <w:t xml:space="preserve"> </w:t>
      </w:r>
      <w:r w:rsidR="009C1B42">
        <w:rPr>
          <w:rFonts w:asciiTheme="majorBidi" w:hAnsiTheme="majorBidi" w:cstheme="majorBidi"/>
          <w:sz w:val="24"/>
          <w:szCs w:val="24"/>
          <w:lang w:val="en-GB"/>
        </w:rPr>
        <w:t>in</w:t>
      </w:r>
      <w:r>
        <w:rPr>
          <w:rFonts w:asciiTheme="majorBidi" w:hAnsiTheme="majorBidi" w:cstheme="majorBidi"/>
          <w:sz w:val="24"/>
          <w:szCs w:val="24"/>
          <w:lang w:val="en-GB"/>
        </w:rPr>
        <w:t xml:space="preserve"> the DECLARE-TIMI 58 </w:t>
      </w:r>
      <w:r w:rsidR="00CB1386">
        <w:rPr>
          <w:rFonts w:asciiTheme="majorBidi" w:hAnsiTheme="majorBidi" w:cstheme="majorBidi"/>
          <w:sz w:val="24"/>
          <w:szCs w:val="24"/>
          <w:lang w:val="en-GB"/>
        </w:rPr>
        <w:t xml:space="preserve">trial </w:t>
      </w:r>
      <w:r>
        <w:rPr>
          <w:rFonts w:asciiTheme="majorBidi" w:hAnsiTheme="majorBidi" w:cstheme="majorBidi"/>
          <w:sz w:val="24"/>
          <w:szCs w:val="24"/>
          <w:lang w:val="en-GB"/>
        </w:rPr>
        <w:t xml:space="preserve">dapagliflozin </w:t>
      </w:r>
      <w:r w:rsidR="00CB1386">
        <w:rPr>
          <w:rFonts w:asciiTheme="majorBidi" w:hAnsiTheme="majorBidi" w:cstheme="majorBidi"/>
          <w:sz w:val="24"/>
          <w:szCs w:val="24"/>
          <w:lang w:val="en-GB"/>
        </w:rPr>
        <w:t>demonstrated</w:t>
      </w:r>
      <w:r>
        <w:rPr>
          <w:rFonts w:asciiTheme="majorBidi" w:hAnsiTheme="majorBidi" w:cstheme="majorBidi"/>
          <w:sz w:val="24"/>
          <w:szCs w:val="24"/>
          <w:lang w:val="en-GB"/>
        </w:rPr>
        <w:t xml:space="preserve"> </w:t>
      </w:r>
      <w:r w:rsidR="005E38CA">
        <w:rPr>
          <w:rFonts w:asciiTheme="majorBidi" w:hAnsiTheme="majorBidi" w:cstheme="majorBidi"/>
          <w:sz w:val="24"/>
          <w:szCs w:val="24"/>
          <w:lang w:val="en-GB"/>
        </w:rPr>
        <w:t>substantial</w:t>
      </w:r>
      <w:r>
        <w:rPr>
          <w:rFonts w:asciiTheme="majorBidi" w:hAnsiTheme="majorBidi" w:cstheme="majorBidi"/>
          <w:sz w:val="24"/>
          <w:szCs w:val="24"/>
          <w:lang w:val="en-GB"/>
        </w:rPr>
        <w:t xml:space="preserve"> reduc</w:t>
      </w:r>
      <w:r w:rsidR="005E38CA">
        <w:rPr>
          <w:rFonts w:asciiTheme="majorBidi" w:hAnsiTheme="majorBidi" w:cstheme="majorBidi"/>
          <w:sz w:val="24"/>
          <w:szCs w:val="24"/>
          <w:lang w:val="en-GB"/>
        </w:rPr>
        <w:t>tion in</w:t>
      </w:r>
      <w:r>
        <w:rPr>
          <w:rFonts w:asciiTheme="majorBidi" w:hAnsiTheme="majorBidi" w:cstheme="majorBidi"/>
          <w:sz w:val="24"/>
          <w:szCs w:val="24"/>
          <w:lang w:val="en-GB"/>
        </w:rPr>
        <w:t xml:space="preserve"> the risk </w:t>
      </w:r>
      <w:r w:rsidR="002B634F">
        <w:rPr>
          <w:rFonts w:asciiTheme="majorBidi" w:hAnsiTheme="majorBidi" w:cstheme="majorBidi"/>
          <w:sz w:val="24"/>
          <w:szCs w:val="24"/>
          <w:lang w:val="en-GB"/>
        </w:rPr>
        <w:t xml:space="preserve">of clinically significant renal deterioration in a large and </w:t>
      </w:r>
      <w:r w:rsidR="008E2084">
        <w:rPr>
          <w:rFonts w:asciiTheme="majorBidi" w:hAnsiTheme="majorBidi" w:cstheme="majorBidi"/>
          <w:sz w:val="24"/>
          <w:szCs w:val="24"/>
          <w:lang w:val="en-GB"/>
        </w:rPr>
        <w:t>broad</w:t>
      </w:r>
      <w:r w:rsidR="002B634F">
        <w:rPr>
          <w:rFonts w:asciiTheme="majorBidi" w:hAnsiTheme="majorBidi" w:cstheme="majorBidi"/>
          <w:sz w:val="24"/>
          <w:szCs w:val="24"/>
          <w:lang w:val="en-GB"/>
        </w:rPr>
        <w:t xml:space="preserve"> population of patients</w:t>
      </w:r>
      <w:r w:rsidR="009A25BA">
        <w:rPr>
          <w:rFonts w:asciiTheme="majorBidi" w:hAnsiTheme="majorBidi" w:cstheme="majorBidi"/>
          <w:sz w:val="24"/>
          <w:szCs w:val="24"/>
          <w:lang w:val="en-GB"/>
        </w:rPr>
        <w:t xml:space="preserve"> with T2D. </w:t>
      </w:r>
      <w:r w:rsidR="002905A8">
        <w:rPr>
          <w:rFonts w:asciiTheme="majorBidi" w:hAnsiTheme="majorBidi" w:cstheme="majorBidi"/>
          <w:sz w:val="24"/>
          <w:szCs w:val="24"/>
          <w:lang w:val="en-GB"/>
        </w:rPr>
        <w:t>These</w:t>
      </w:r>
      <w:r w:rsidR="009A25BA">
        <w:rPr>
          <w:rFonts w:asciiTheme="majorBidi" w:hAnsiTheme="majorBidi" w:cstheme="majorBidi"/>
          <w:sz w:val="24"/>
          <w:szCs w:val="24"/>
          <w:lang w:val="en-GB"/>
        </w:rPr>
        <w:t xml:space="preserve"> result</w:t>
      </w:r>
      <w:r w:rsidR="002905A8">
        <w:rPr>
          <w:rFonts w:asciiTheme="majorBidi" w:hAnsiTheme="majorBidi" w:cstheme="majorBidi"/>
          <w:sz w:val="24"/>
          <w:szCs w:val="24"/>
          <w:lang w:val="en-GB"/>
        </w:rPr>
        <w:t>s</w:t>
      </w:r>
      <w:r w:rsidR="009A25BA">
        <w:rPr>
          <w:rFonts w:asciiTheme="majorBidi" w:hAnsiTheme="majorBidi" w:cstheme="majorBidi"/>
          <w:sz w:val="24"/>
          <w:szCs w:val="24"/>
          <w:lang w:val="en-GB"/>
        </w:rPr>
        <w:t xml:space="preserve"> </w:t>
      </w:r>
      <w:r w:rsidR="004C767F">
        <w:rPr>
          <w:rFonts w:asciiTheme="majorBidi" w:hAnsiTheme="majorBidi" w:cstheme="majorBidi"/>
          <w:sz w:val="24"/>
          <w:szCs w:val="24"/>
          <w:lang w:val="en-GB"/>
        </w:rPr>
        <w:t>underscore the value of</w:t>
      </w:r>
      <w:r w:rsidR="00BE043D">
        <w:rPr>
          <w:rFonts w:asciiTheme="majorBidi" w:hAnsiTheme="majorBidi" w:cstheme="majorBidi"/>
          <w:sz w:val="24"/>
          <w:szCs w:val="24"/>
          <w:lang w:val="en-GB"/>
        </w:rPr>
        <w:t xml:space="preserve"> </w:t>
      </w:r>
      <w:r w:rsidR="009A25BA">
        <w:rPr>
          <w:rFonts w:asciiTheme="majorBidi" w:hAnsiTheme="majorBidi" w:cstheme="majorBidi"/>
          <w:sz w:val="24"/>
          <w:szCs w:val="24"/>
          <w:lang w:val="en-GB"/>
        </w:rPr>
        <w:t xml:space="preserve">SGLT2i </w:t>
      </w:r>
      <w:r w:rsidR="004C767F">
        <w:rPr>
          <w:rFonts w:asciiTheme="majorBidi" w:hAnsiTheme="majorBidi" w:cstheme="majorBidi"/>
          <w:sz w:val="24"/>
          <w:szCs w:val="24"/>
          <w:lang w:val="en-GB"/>
        </w:rPr>
        <w:t xml:space="preserve">as an </w:t>
      </w:r>
      <w:r w:rsidR="00BE043D">
        <w:rPr>
          <w:rFonts w:asciiTheme="majorBidi" w:hAnsiTheme="majorBidi" w:cstheme="majorBidi"/>
          <w:sz w:val="24"/>
          <w:szCs w:val="24"/>
          <w:lang w:val="en-GB"/>
        </w:rPr>
        <w:t xml:space="preserve">important component of </w:t>
      </w:r>
      <w:r w:rsidR="008445F6">
        <w:rPr>
          <w:rFonts w:asciiTheme="majorBidi" w:hAnsiTheme="majorBidi" w:cstheme="majorBidi"/>
          <w:sz w:val="24"/>
          <w:szCs w:val="24"/>
          <w:lang w:val="en-GB"/>
        </w:rPr>
        <w:t xml:space="preserve">both </w:t>
      </w:r>
      <w:r w:rsidR="00FB0D50">
        <w:rPr>
          <w:rFonts w:asciiTheme="majorBidi" w:hAnsiTheme="majorBidi" w:cstheme="majorBidi"/>
          <w:sz w:val="24"/>
          <w:szCs w:val="24"/>
          <w:lang w:val="en-GB"/>
        </w:rPr>
        <w:t xml:space="preserve">prevention and </w:t>
      </w:r>
      <w:r w:rsidR="009A25BA">
        <w:rPr>
          <w:rFonts w:asciiTheme="majorBidi" w:hAnsiTheme="majorBidi" w:cstheme="majorBidi"/>
          <w:sz w:val="24"/>
          <w:szCs w:val="24"/>
          <w:lang w:val="en-GB"/>
        </w:rPr>
        <w:t xml:space="preserve">treatment of </w:t>
      </w:r>
      <w:r w:rsidR="004F3254">
        <w:rPr>
          <w:rFonts w:asciiTheme="majorBidi" w:hAnsiTheme="majorBidi" w:cstheme="majorBidi"/>
          <w:sz w:val="24"/>
          <w:szCs w:val="24"/>
          <w:lang w:val="en-GB"/>
        </w:rPr>
        <w:t xml:space="preserve">chronic </w:t>
      </w:r>
      <w:r w:rsidR="008445F6">
        <w:rPr>
          <w:rFonts w:asciiTheme="majorBidi" w:hAnsiTheme="majorBidi" w:cstheme="majorBidi"/>
          <w:sz w:val="24"/>
          <w:szCs w:val="24"/>
          <w:lang w:val="en-GB"/>
        </w:rPr>
        <w:t>kidney disease</w:t>
      </w:r>
      <w:r w:rsidR="004F3254">
        <w:rPr>
          <w:rFonts w:asciiTheme="majorBidi" w:hAnsiTheme="majorBidi" w:cstheme="majorBidi"/>
          <w:sz w:val="24"/>
          <w:szCs w:val="24"/>
          <w:lang w:val="en-GB"/>
        </w:rPr>
        <w:t xml:space="preserve"> amongst patients with T2D</w:t>
      </w:r>
      <w:r w:rsidR="009A25BA">
        <w:rPr>
          <w:rFonts w:asciiTheme="majorBidi" w:hAnsiTheme="majorBidi" w:cstheme="majorBidi"/>
          <w:sz w:val="24"/>
          <w:szCs w:val="24"/>
          <w:lang w:val="en-GB"/>
        </w:rPr>
        <w:t xml:space="preserve">. </w:t>
      </w:r>
      <w:r w:rsidR="002B634F">
        <w:rPr>
          <w:rFonts w:asciiTheme="majorBidi" w:hAnsiTheme="majorBidi" w:cstheme="majorBidi"/>
          <w:sz w:val="24"/>
          <w:szCs w:val="24"/>
          <w:lang w:val="en-GB"/>
        </w:rPr>
        <w:t xml:space="preserve"> </w:t>
      </w:r>
      <w:r>
        <w:rPr>
          <w:rFonts w:asciiTheme="majorBidi" w:hAnsiTheme="majorBidi" w:cstheme="majorBidi"/>
          <w:sz w:val="24"/>
          <w:szCs w:val="24"/>
          <w:lang w:val="en-GB"/>
        </w:rPr>
        <w:t xml:space="preserve"> </w:t>
      </w:r>
    </w:p>
    <w:p w14:paraId="2E352290" w14:textId="7C42ECE9" w:rsidR="000E6504" w:rsidRDefault="000E6504" w:rsidP="008445F6">
      <w:pPr>
        <w:pStyle w:val="ListParagraph"/>
        <w:spacing w:line="480" w:lineRule="auto"/>
        <w:ind w:left="0"/>
        <w:jc w:val="both"/>
        <w:rPr>
          <w:rFonts w:asciiTheme="majorBidi" w:hAnsiTheme="majorBidi" w:cstheme="majorBidi"/>
          <w:sz w:val="24"/>
          <w:szCs w:val="24"/>
          <w:lang w:val="en-GB"/>
        </w:rPr>
      </w:pPr>
    </w:p>
    <w:p w14:paraId="2E87ACD8" w14:textId="25089E36" w:rsidR="000E6504" w:rsidRDefault="000E6504" w:rsidP="008445F6">
      <w:pPr>
        <w:pStyle w:val="ListParagraph"/>
        <w:spacing w:line="480" w:lineRule="auto"/>
        <w:ind w:left="0"/>
        <w:jc w:val="both"/>
        <w:rPr>
          <w:rFonts w:asciiTheme="majorBidi" w:hAnsiTheme="majorBidi" w:cstheme="majorBidi"/>
          <w:sz w:val="24"/>
          <w:szCs w:val="24"/>
          <w:lang w:val="en-GB"/>
        </w:rPr>
      </w:pPr>
    </w:p>
    <w:p w14:paraId="56AA47A5" w14:textId="271215AB" w:rsidR="000E6504" w:rsidRDefault="000E6504" w:rsidP="008445F6">
      <w:pPr>
        <w:pStyle w:val="ListParagraph"/>
        <w:spacing w:line="480" w:lineRule="auto"/>
        <w:ind w:left="0"/>
        <w:jc w:val="both"/>
        <w:rPr>
          <w:rFonts w:asciiTheme="majorBidi" w:hAnsiTheme="majorBidi" w:cstheme="majorBidi"/>
          <w:sz w:val="24"/>
          <w:szCs w:val="24"/>
          <w:lang w:val="en-GB"/>
        </w:rPr>
      </w:pPr>
    </w:p>
    <w:p w14:paraId="7BD5F87D" w14:textId="022FE7D8" w:rsidR="000E6504" w:rsidRDefault="000E6504" w:rsidP="008445F6">
      <w:pPr>
        <w:pStyle w:val="ListParagraph"/>
        <w:spacing w:line="480" w:lineRule="auto"/>
        <w:ind w:left="0"/>
        <w:jc w:val="both"/>
        <w:rPr>
          <w:rFonts w:asciiTheme="majorBidi" w:hAnsiTheme="majorBidi" w:cstheme="majorBidi"/>
          <w:sz w:val="24"/>
          <w:szCs w:val="24"/>
          <w:lang w:val="en-GB"/>
        </w:rPr>
      </w:pPr>
    </w:p>
    <w:p w14:paraId="44EBA3F1" w14:textId="77777777" w:rsidR="000E37FE" w:rsidRPr="00931F67" w:rsidRDefault="000E37FE" w:rsidP="000E37FE">
      <w:pPr>
        <w:rPr>
          <w:rFonts w:asciiTheme="majorBidi" w:hAnsiTheme="majorBidi" w:cstheme="majorBidi"/>
          <w:sz w:val="24"/>
          <w:szCs w:val="24"/>
        </w:rPr>
      </w:pPr>
      <w:r w:rsidRPr="00931F67">
        <w:rPr>
          <w:rFonts w:asciiTheme="majorBidi" w:hAnsiTheme="majorBidi" w:cstheme="majorBidi"/>
          <w:sz w:val="24"/>
          <w:szCs w:val="24"/>
        </w:rPr>
        <w:t>Author Contributions</w:t>
      </w:r>
    </w:p>
    <w:p w14:paraId="1EFD1ECF" w14:textId="77777777" w:rsidR="000E37FE" w:rsidRPr="00931F67" w:rsidRDefault="000E37FE" w:rsidP="000E37FE">
      <w:pPr>
        <w:rPr>
          <w:rFonts w:asciiTheme="majorBidi" w:hAnsiTheme="majorBidi" w:cstheme="majorBidi"/>
          <w:sz w:val="24"/>
          <w:szCs w:val="24"/>
        </w:rPr>
      </w:pPr>
      <w:r w:rsidRPr="00931F67">
        <w:rPr>
          <w:rFonts w:asciiTheme="majorBidi" w:hAnsiTheme="majorBidi" w:cstheme="majorBidi"/>
          <w:sz w:val="24"/>
          <w:szCs w:val="24"/>
        </w:rPr>
        <w:t>OM-literature search, figures, study design, data collection, data analysis, data interpretation, writing.</w:t>
      </w:r>
      <w:r w:rsidRPr="00931F67">
        <w:rPr>
          <w:rFonts w:asciiTheme="majorBidi" w:hAnsiTheme="majorBidi" w:cstheme="majorBidi"/>
          <w:color w:val="212121"/>
          <w:sz w:val="24"/>
          <w:szCs w:val="24"/>
        </w:rPr>
        <w:t xml:space="preserve"> SDW-</w:t>
      </w:r>
      <w:r w:rsidRPr="00931F67">
        <w:rPr>
          <w:rFonts w:asciiTheme="majorBidi" w:hAnsiTheme="majorBidi" w:cstheme="majorBidi"/>
          <w:sz w:val="24"/>
          <w:szCs w:val="24"/>
        </w:rPr>
        <w:t>literature search, figures, study design, data collection, data analysis, data interpretation, writing.</w:t>
      </w:r>
      <w:r w:rsidRPr="00931F67">
        <w:rPr>
          <w:rFonts w:asciiTheme="majorBidi" w:hAnsiTheme="majorBidi" w:cstheme="majorBidi"/>
          <w:color w:val="212121"/>
          <w:sz w:val="24"/>
          <w:szCs w:val="24"/>
        </w:rPr>
        <w:t xml:space="preserve"> AC-data interpretation, </w:t>
      </w:r>
      <w:r w:rsidRPr="00931F67">
        <w:rPr>
          <w:rFonts w:asciiTheme="majorBidi" w:hAnsiTheme="majorBidi" w:cstheme="majorBidi"/>
          <w:sz w:val="24"/>
          <w:szCs w:val="24"/>
        </w:rPr>
        <w:t>data analysis</w:t>
      </w:r>
      <w:r w:rsidRPr="00931F67">
        <w:rPr>
          <w:rFonts w:asciiTheme="majorBidi" w:hAnsiTheme="majorBidi" w:cstheme="majorBidi"/>
          <w:color w:val="212121"/>
          <w:sz w:val="24"/>
          <w:szCs w:val="24"/>
        </w:rPr>
        <w:t>, writing. AR-figures, data analysis, data interpretation, writing. IY-figures, data analysis, data interpretation, writing. ELG</w:t>
      </w:r>
      <w:bookmarkStart w:id="7" w:name="_Hlk4301637"/>
      <w:r w:rsidRPr="00931F67">
        <w:rPr>
          <w:rFonts w:asciiTheme="majorBidi" w:hAnsiTheme="majorBidi" w:cstheme="majorBidi"/>
          <w:color w:val="212121"/>
          <w:sz w:val="24"/>
          <w:szCs w:val="24"/>
        </w:rPr>
        <w:t>-figures, data analysis. S</w:t>
      </w:r>
      <w:r w:rsidRPr="00931F67">
        <w:rPr>
          <w:rFonts w:asciiTheme="majorBidi" w:hAnsiTheme="majorBidi" w:cstheme="majorBidi"/>
          <w:color w:val="212121"/>
          <w:sz w:val="24"/>
          <w:szCs w:val="24"/>
          <w:lang w:val="en-GB"/>
        </w:rPr>
        <w:t>AM</w:t>
      </w:r>
      <w:bookmarkEnd w:id="7"/>
      <w:r w:rsidRPr="00931F67">
        <w:rPr>
          <w:rFonts w:asciiTheme="majorBidi" w:hAnsiTheme="majorBidi" w:cstheme="majorBidi"/>
          <w:color w:val="212121"/>
          <w:sz w:val="24"/>
          <w:szCs w:val="24"/>
          <w:lang w:val="en-GB"/>
        </w:rPr>
        <w:t xml:space="preserve">-figures, data analysis. </w:t>
      </w:r>
      <w:r w:rsidRPr="00931F67">
        <w:rPr>
          <w:rFonts w:asciiTheme="majorBidi" w:hAnsiTheme="majorBidi" w:cstheme="majorBidi"/>
          <w:color w:val="212121"/>
          <w:sz w:val="24"/>
          <w:szCs w:val="24"/>
        </w:rPr>
        <w:t>HJL</w:t>
      </w:r>
      <w:r w:rsidRPr="00931F67">
        <w:rPr>
          <w:rFonts w:asciiTheme="majorBidi" w:hAnsiTheme="majorBidi" w:cstheme="majorBidi"/>
          <w:color w:val="000000"/>
          <w:sz w:val="24"/>
          <w:szCs w:val="24"/>
        </w:rPr>
        <w:t>H-data interpretation, writing.</w:t>
      </w:r>
      <w:r w:rsidRPr="00931F67">
        <w:rPr>
          <w:rFonts w:asciiTheme="majorBidi" w:hAnsiTheme="majorBidi" w:cstheme="majorBidi"/>
          <w:color w:val="212121"/>
          <w:sz w:val="24"/>
          <w:szCs w:val="24"/>
        </w:rPr>
        <w:t xml:space="preserve"> TAZ-data interpretation, writing</w:t>
      </w:r>
      <w:r w:rsidRPr="00931F67">
        <w:rPr>
          <w:rFonts w:asciiTheme="majorBidi" w:hAnsiTheme="majorBidi" w:cstheme="majorBidi"/>
          <w:color w:val="000000"/>
          <w:sz w:val="24"/>
          <w:szCs w:val="24"/>
        </w:rPr>
        <w:t>. J</w:t>
      </w:r>
      <w:r w:rsidRPr="00931F67">
        <w:rPr>
          <w:rFonts w:asciiTheme="majorBidi" w:hAnsiTheme="majorBidi" w:cstheme="majorBidi"/>
          <w:color w:val="212121"/>
          <w:sz w:val="24"/>
          <w:szCs w:val="24"/>
        </w:rPr>
        <w:t>PD-study design, writing.</w:t>
      </w:r>
      <w:r w:rsidRPr="00931F67">
        <w:rPr>
          <w:rFonts w:asciiTheme="majorBidi" w:hAnsiTheme="majorBidi" w:cstheme="majorBidi"/>
          <w:sz w:val="24"/>
          <w:szCs w:val="24"/>
        </w:rPr>
        <w:t xml:space="preserve"> DLB-data analysis, data interpretation, writing. LAL- data analysis, data interpretation, writing. DKM- data analysis, data interpretation, writing. JPHW</w:t>
      </w:r>
      <w:bookmarkStart w:id="8" w:name="_Hlk4267052"/>
      <w:r w:rsidRPr="00931F67">
        <w:rPr>
          <w:rFonts w:asciiTheme="majorBidi" w:hAnsiTheme="majorBidi" w:cstheme="majorBidi"/>
          <w:sz w:val="24"/>
          <w:szCs w:val="24"/>
        </w:rPr>
        <w:t>-data analysis, data interpretation, writing.</w:t>
      </w:r>
      <w:r w:rsidRPr="00931F67">
        <w:rPr>
          <w:rFonts w:asciiTheme="majorBidi" w:hAnsiTheme="majorBidi" w:cstheme="majorBidi"/>
          <w:color w:val="212121"/>
          <w:sz w:val="24"/>
          <w:szCs w:val="24"/>
        </w:rPr>
        <w:t xml:space="preserve"> ETK- </w:t>
      </w:r>
      <w:bookmarkEnd w:id="8"/>
      <w:r w:rsidRPr="00931F67">
        <w:rPr>
          <w:rFonts w:asciiTheme="majorBidi" w:hAnsiTheme="majorBidi" w:cstheme="majorBidi"/>
          <w:sz w:val="24"/>
          <w:szCs w:val="24"/>
        </w:rPr>
        <w:t>study design, data collection, data analysis, data interpretation, writing.</w:t>
      </w:r>
      <w:r w:rsidRPr="00931F67">
        <w:rPr>
          <w:rFonts w:asciiTheme="majorBidi" w:hAnsiTheme="majorBidi" w:cstheme="majorBidi"/>
          <w:color w:val="212121"/>
          <w:sz w:val="24"/>
          <w:szCs w:val="24"/>
        </w:rPr>
        <w:t xml:space="preserve"> IAMG-N-</w:t>
      </w:r>
      <w:r w:rsidRPr="00931F67">
        <w:rPr>
          <w:rFonts w:asciiTheme="majorBidi" w:hAnsiTheme="majorBidi" w:cstheme="majorBidi"/>
          <w:sz w:val="24"/>
          <w:szCs w:val="24"/>
        </w:rPr>
        <w:t>literature search, figures, study design, data collection, data analysis, data interpretation, writing.</w:t>
      </w:r>
      <w:r w:rsidRPr="00931F67">
        <w:rPr>
          <w:rFonts w:asciiTheme="majorBidi" w:hAnsiTheme="majorBidi" w:cstheme="majorBidi"/>
          <w:color w:val="212121"/>
          <w:sz w:val="24"/>
          <w:szCs w:val="24"/>
        </w:rPr>
        <w:t xml:space="preserve"> M</w:t>
      </w:r>
      <w:r w:rsidRPr="00931F67">
        <w:rPr>
          <w:rFonts w:asciiTheme="majorBidi" w:hAnsiTheme="majorBidi" w:cstheme="majorBidi"/>
          <w:sz w:val="24"/>
          <w:szCs w:val="24"/>
        </w:rPr>
        <w:t xml:space="preserve">F - data analysis. PAJ-data analysis. </w:t>
      </w:r>
      <w:r w:rsidRPr="00931F67">
        <w:rPr>
          <w:rFonts w:asciiTheme="majorBidi" w:hAnsiTheme="majorBidi" w:cstheme="majorBidi"/>
          <w:color w:val="212121"/>
          <w:sz w:val="24"/>
          <w:szCs w:val="24"/>
        </w:rPr>
        <w:t xml:space="preserve">AML- </w:t>
      </w:r>
      <w:r w:rsidRPr="00931F67">
        <w:rPr>
          <w:rFonts w:asciiTheme="majorBidi" w:hAnsiTheme="majorBidi" w:cstheme="majorBidi"/>
          <w:sz w:val="24"/>
          <w:szCs w:val="24"/>
        </w:rPr>
        <w:t xml:space="preserve">literature search, figures, study design, data collection, data analysis, data interpretation, writing. </w:t>
      </w:r>
      <w:r w:rsidRPr="00931F67">
        <w:rPr>
          <w:rFonts w:asciiTheme="majorBidi" w:hAnsiTheme="majorBidi" w:cstheme="majorBidi"/>
          <w:color w:val="212121"/>
          <w:sz w:val="24"/>
          <w:szCs w:val="24"/>
        </w:rPr>
        <w:t>MSS-</w:t>
      </w:r>
      <w:r w:rsidRPr="00931F67">
        <w:rPr>
          <w:rFonts w:asciiTheme="majorBidi" w:hAnsiTheme="majorBidi" w:cstheme="majorBidi"/>
          <w:sz w:val="24"/>
          <w:szCs w:val="24"/>
        </w:rPr>
        <w:t>literature search, figures, study design, data collection, data analysis, data interpretation, writing.</w:t>
      </w:r>
      <w:r w:rsidRPr="00931F67">
        <w:rPr>
          <w:rFonts w:asciiTheme="majorBidi" w:hAnsiTheme="majorBidi" w:cstheme="majorBidi"/>
          <w:color w:val="212121"/>
          <w:sz w:val="24"/>
          <w:szCs w:val="24"/>
        </w:rPr>
        <w:t xml:space="preserve"> IR -</w:t>
      </w:r>
      <w:r w:rsidRPr="00931F67">
        <w:rPr>
          <w:rFonts w:asciiTheme="majorBidi" w:hAnsiTheme="majorBidi" w:cstheme="majorBidi"/>
          <w:sz w:val="24"/>
          <w:szCs w:val="24"/>
        </w:rPr>
        <w:t>literature search, figures, study design, data collection, data analysis, data interpretation, writing.</w:t>
      </w:r>
    </w:p>
    <w:p w14:paraId="6F939EE6" w14:textId="77777777" w:rsidR="000E37FE" w:rsidRPr="00931F67" w:rsidRDefault="000E37FE" w:rsidP="000E37FE">
      <w:pPr>
        <w:rPr>
          <w:rFonts w:asciiTheme="majorBidi" w:hAnsiTheme="majorBidi" w:cstheme="majorBidi"/>
          <w:sz w:val="24"/>
          <w:szCs w:val="24"/>
        </w:rPr>
      </w:pPr>
    </w:p>
    <w:p w14:paraId="0D43C423" w14:textId="77777777" w:rsidR="000E37FE" w:rsidRPr="00931F67" w:rsidRDefault="000E37FE" w:rsidP="000E37FE">
      <w:pPr>
        <w:rPr>
          <w:rFonts w:asciiTheme="majorBidi" w:hAnsiTheme="majorBidi" w:cstheme="majorBidi"/>
          <w:sz w:val="24"/>
          <w:szCs w:val="24"/>
        </w:rPr>
      </w:pPr>
      <w:r w:rsidRPr="00931F67">
        <w:rPr>
          <w:rFonts w:asciiTheme="majorBidi" w:hAnsiTheme="majorBidi" w:cstheme="majorBidi"/>
          <w:sz w:val="24"/>
          <w:szCs w:val="24"/>
        </w:rPr>
        <w:t>Declaration of Interests</w:t>
      </w:r>
      <w:r>
        <w:rPr>
          <w:rFonts w:asciiTheme="majorBidi" w:hAnsiTheme="majorBidi" w:cstheme="majorBidi"/>
          <w:sz w:val="24"/>
          <w:szCs w:val="24"/>
        </w:rPr>
        <w:t xml:space="preserve">  </w:t>
      </w:r>
    </w:p>
    <w:p w14:paraId="7BC81973" w14:textId="77777777" w:rsidR="000E37FE" w:rsidRPr="00EA5E47" w:rsidRDefault="000E37FE" w:rsidP="000E37FE">
      <w:pPr>
        <w:autoSpaceDE w:val="0"/>
        <w:autoSpaceDN w:val="0"/>
        <w:adjustRightInd w:val="0"/>
        <w:spacing w:after="0" w:line="240" w:lineRule="auto"/>
        <w:rPr>
          <w:rFonts w:asciiTheme="majorBidi" w:hAnsiTheme="majorBidi" w:cstheme="majorBidi"/>
          <w:sz w:val="24"/>
          <w:szCs w:val="24"/>
        </w:rPr>
      </w:pPr>
      <w:r w:rsidRPr="00931F67">
        <w:rPr>
          <w:rFonts w:asciiTheme="majorBidi" w:hAnsiTheme="majorBidi" w:cstheme="majorBidi"/>
          <w:b/>
          <w:bCs/>
          <w:sz w:val="24"/>
          <w:szCs w:val="24"/>
        </w:rPr>
        <w:t xml:space="preserve">OM: </w:t>
      </w:r>
      <w:r w:rsidRPr="00931F67">
        <w:rPr>
          <w:rFonts w:asciiTheme="majorBidi" w:hAnsiTheme="majorBidi" w:cstheme="majorBidi"/>
          <w:sz w:val="24"/>
          <w:szCs w:val="24"/>
        </w:rPr>
        <w:t>reports grants and personal fees from AstraZeneca, grants and personal fees from Bristol-Myers Squibb, during the conduct of the study; grants and personal fees from NovoNordisk, personal fees from Eli Lilly, personal fees from sanofi, personal fees from Merck Sharp &amp; Dohme, personal fees from Boehringer Ingelheim, personal fees from Jansen and Jansen, personal fees from Novartis, outside the submitted work.</w:t>
      </w:r>
      <w:r w:rsidRPr="00931F67">
        <w:rPr>
          <w:rFonts w:asciiTheme="majorBidi" w:hAnsiTheme="majorBidi" w:cstheme="majorBidi"/>
          <w:b/>
          <w:bCs/>
          <w:sz w:val="24"/>
          <w:szCs w:val="24"/>
        </w:rPr>
        <w:t xml:space="preserve"> SDW: </w:t>
      </w:r>
      <w:r w:rsidRPr="00931F67">
        <w:rPr>
          <w:rFonts w:asciiTheme="majorBidi" w:hAnsiTheme="majorBidi" w:cstheme="majorBidi"/>
          <w:sz w:val="24"/>
          <w:szCs w:val="24"/>
        </w:rPr>
        <w:t xml:space="preserve">reports grants from </w:t>
      </w:r>
      <w:r w:rsidRPr="00931F67">
        <w:rPr>
          <w:rFonts w:asciiTheme="majorBidi" w:hAnsiTheme="majorBidi" w:cstheme="majorBidi"/>
          <w:sz w:val="24"/>
          <w:szCs w:val="24"/>
        </w:rPr>
        <w:lastRenderedPageBreak/>
        <w:t>AstraZeneca, grants from Bristol Myers Squibb, during the conduct of the study; grants from AMGEN, grants and personal fees from Arena, grants and personal fees from Daiichi Sankyo, grants and personal fees from Eisai, grants and personal fees from Eli</w:t>
      </w:r>
      <w:r>
        <w:rPr>
          <w:rFonts w:asciiTheme="majorBidi" w:hAnsiTheme="majorBidi" w:cstheme="majorBidi"/>
          <w:sz w:val="24"/>
          <w:szCs w:val="24"/>
        </w:rPr>
        <w:t xml:space="preserve"> </w:t>
      </w:r>
      <w:r w:rsidRPr="00931F67">
        <w:rPr>
          <w:rFonts w:asciiTheme="majorBidi" w:hAnsiTheme="majorBidi" w:cstheme="majorBidi"/>
          <w:sz w:val="24"/>
          <w:szCs w:val="24"/>
        </w:rPr>
        <w:t>Lilly, grants and personal fees from Janssen, grants, personal fees and other from Merck, grants from Sanofi Aventis, personal fees from Aegerion, personal fees from Allergan, personal fees from Angelmed, personal fees from Boehringer Ingelheim, personal fees from Boston Clinical Research Institute, personal fees from Icon Clinical, personal fees from Lexicon, personal fees from St Jude Medical, personal fees from Xoma, personal fees from Servier, personal fees from AstraZeneca, personal fees from Bristol Myers Squ</w:t>
      </w:r>
      <w:r>
        <w:rPr>
          <w:rFonts w:asciiTheme="majorBidi" w:hAnsiTheme="majorBidi" w:cstheme="majorBidi"/>
          <w:sz w:val="24"/>
          <w:szCs w:val="24"/>
        </w:rPr>
        <w:t xml:space="preserve">ibb, outside the submitted work. </w:t>
      </w:r>
      <w:r w:rsidRPr="00931F67">
        <w:rPr>
          <w:rFonts w:asciiTheme="majorBidi" w:hAnsiTheme="majorBidi" w:cstheme="majorBidi"/>
          <w:b/>
          <w:bCs/>
          <w:sz w:val="24"/>
          <w:szCs w:val="24"/>
        </w:rPr>
        <w:t xml:space="preserve">AC: </w:t>
      </w:r>
      <w:r w:rsidRPr="00931F67">
        <w:rPr>
          <w:rFonts w:asciiTheme="majorBidi" w:hAnsiTheme="majorBidi" w:cstheme="majorBidi"/>
          <w:sz w:val="24"/>
          <w:szCs w:val="24"/>
        </w:rPr>
        <w:t>reports personal fees from Novonordisk, personal fees from Elli Lilly, personal fees from Sanofi, grants and personal fees from AstraZeneca, personal fees from Boehringer Ingelheim, personal fees from Merck Sharp &amp; Dohme, personal fees from Glucome, outside the submitted work.</w:t>
      </w:r>
      <w:r w:rsidRPr="00931F67">
        <w:rPr>
          <w:rFonts w:asciiTheme="majorBidi" w:hAnsiTheme="majorBidi" w:cstheme="majorBidi"/>
          <w:b/>
          <w:bCs/>
          <w:sz w:val="24"/>
          <w:szCs w:val="24"/>
        </w:rPr>
        <w:t xml:space="preserve"> AR and IY: </w:t>
      </w:r>
      <w:r w:rsidRPr="00931F67">
        <w:rPr>
          <w:rFonts w:asciiTheme="majorBidi" w:hAnsiTheme="majorBidi" w:cstheme="majorBidi"/>
          <w:sz w:val="24"/>
          <w:szCs w:val="24"/>
        </w:rPr>
        <w:t xml:space="preserve">report </w:t>
      </w:r>
      <w:r w:rsidRPr="00931F67">
        <w:rPr>
          <w:rFonts w:asciiTheme="majorBidi" w:hAnsiTheme="majorBidi" w:cstheme="majorBidi"/>
          <w:b/>
          <w:bCs/>
          <w:sz w:val="24"/>
          <w:szCs w:val="24"/>
        </w:rPr>
        <w:t xml:space="preserve">                </w:t>
      </w:r>
      <w:r w:rsidRPr="008520AC">
        <w:rPr>
          <w:rFonts w:asciiTheme="majorBidi" w:hAnsiTheme="majorBidi" w:cstheme="majorBidi"/>
          <w:sz w:val="24"/>
          <w:szCs w:val="24"/>
        </w:rPr>
        <w:t>no conflict of interests.</w:t>
      </w:r>
      <w:r>
        <w:rPr>
          <w:rFonts w:asciiTheme="majorBidi" w:hAnsiTheme="majorBidi" w:cstheme="majorBidi"/>
          <w:b/>
          <w:bCs/>
          <w:sz w:val="24"/>
          <w:szCs w:val="24"/>
        </w:rPr>
        <w:t xml:space="preserve"> </w:t>
      </w:r>
      <w:r w:rsidRPr="00931F67">
        <w:rPr>
          <w:rFonts w:asciiTheme="majorBidi" w:hAnsiTheme="majorBidi" w:cstheme="majorBidi"/>
          <w:b/>
          <w:bCs/>
          <w:sz w:val="24"/>
          <w:szCs w:val="24"/>
        </w:rPr>
        <w:t xml:space="preserve">ELG: </w:t>
      </w:r>
      <w:r w:rsidRPr="005D6ACA">
        <w:rPr>
          <w:rFonts w:asciiTheme="majorBidi" w:hAnsiTheme="majorBidi" w:cstheme="majorBidi"/>
          <w:sz w:val="24"/>
          <w:szCs w:val="24"/>
        </w:rPr>
        <w:t>reports no conflict of interests</w:t>
      </w:r>
      <w:r>
        <w:rPr>
          <w:rFonts w:asciiTheme="majorBidi" w:hAnsiTheme="majorBidi" w:cstheme="majorBidi"/>
          <w:sz w:val="24"/>
          <w:szCs w:val="24"/>
        </w:rPr>
        <w:t>.</w:t>
      </w:r>
      <w:r w:rsidRPr="005D6ACA">
        <w:rPr>
          <w:rFonts w:asciiTheme="majorBidi" w:hAnsiTheme="majorBidi" w:cstheme="majorBidi"/>
          <w:b/>
          <w:bCs/>
          <w:sz w:val="24"/>
          <w:szCs w:val="24"/>
        </w:rPr>
        <w:t xml:space="preserve"> </w:t>
      </w:r>
      <w:r w:rsidRPr="00931F67">
        <w:rPr>
          <w:rFonts w:asciiTheme="majorBidi" w:hAnsiTheme="majorBidi" w:cstheme="majorBidi"/>
          <w:b/>
          <w:bCs/>
          <w:sz w:val="24"/>
          <w:szCs w:val="24"/>
        </w:rPr>
        <w:t xml:space="preserve">SAM: </w:t>
      </w:r>
      <w:r w:rsidRPr="00931F67">
        <w:rPr>
          <w:rFonts w:asciiTheme="majorBidi" w:hAnsiTheme="majorBidi" w:cstheme="majorBidi"/>
          <w:sz w:val="24"/>
          <w:szCs w:val="24"/>
        </w:rPr>
        <w:t xml:space="preserve">reports research grant support through Brigham and </w:t>
      </w:r>
      <w:r w:rsidRPr="00931F67">
        <w:rPr>
          <w:rFonts w:asciiTheme="majorBidi" w:eastAsia="TimesNewRomanPSMT" w:hAnsiTheme="majorBidi" w:cstheme="majorBidi"/>
          <w:sz w:val="24"/>
          <w:szCs w:val="24"/>
        </w:rPr>
        <w:t>Women’s Hospital from Abbott</w:t>
      </w:r>
      <w:r w:rsidRPr="005D6ACA">
        <w:rPr>
          <w:rFonts w:asciiTheme="majorBidi" w:eastAsia="TimesNewRomanPSMT" w:hAnsiTheme="majorBidi" w:cstheme="majorBidi"/>
          <w:sz w:val="24"/>
          <w:szCs w:val="24"/>
        </w:rPr>
        <w:t xml:space="preserve"> </w:t>
      </w:r>
      <w:r w:rsidRPr="00931F67">
        <w:rPr>
          <w:rFonts w:asciiTheme="majorBidi" w:eastAsia="TimesNewRomanPSMT" w:hAnsiTheme="majorBidi" w:cstheme="majorBidi"/>
          <w:sz w:val="24"/>
          <w:szCs w:val="24"/>
        </w:rPr>
        <w:t xml:space="preserve">Laboratories, Amgen, AstraZeneca, Critical Diagnostics, </w:t>
      </w:r>
      <w:r w:rsidRPr="00931F67">
        <w:rPr>
          <w:rFonts w:asciiTheme="majorBidi" w:hAnsiTheme="majorBidi" w:cstheme="majorBidi"/>
          <w:sz w:val="24"/>
          <w:szCs w:val="24"/>
        </w:rPr>
        <w:t>Daiichi-Sankyo, Eisai, Genzyme</w:t>
      </w:r>
      <w:r>
        <w:rPr>
          <w:rFonts w:asciiTheme="majorBidi" w:hAnsiTheme="majorBidi" w:cstheme="majorBidi"/>
          <w:sz w:val="24"/>
          <w:szCs w:val="24"/>
        </w:rPr>
        <w:t>,</w:t>
      </w:r>
      <w:r w:rsidRPr="005D6ACA">
        <w:rPr>
          <w:rFonts w:asciiTheme="majorBidi" w:hAnsiTheme="majorBidi" w:cstheme="majorBidi"/>
          <w:sz w:val="24"/>
          <w:szCs w:val="24"/>
        </w:rPr>
        <w:t xml:space="preserve"> </w:t>
      </w:r>
      <w:r w:rsidRPr="00931F67">
        <w:rPr>
          <w:rFonts w:asciiTheme="majorBidi" w:hAnsiTheme="majorBidi" w:cstheme="majorBidi"/>
          <w:sz w:val="24"/>
          <w:szCs w:val="24"/>
        </w:rPr>
        <w:t xml:space="preserve">Gilead, GlaxoSmithKline, Intarcia, Janssen Research and Development, </w:t>
      </w:r>
      <w:r w:rsidRPr="00EA5E47">
        <w:rPr>
          <w:rFonts w:asciiTheme="majorBidi" w:hAnsiTheme="majorBidi" w:cstheme="majorBidi"/>
          <w:sz w:val="24"/>
          <w:szCs w:val="24"/>
        </w:rPr>
        <w:t>the Medicines</w:t>
      </w:r>
      <w:r w:rsidRPr="005D6ACA">
        <w:rPr>
          <w:rFonts w:asciiTheme="majorBidi" w:hAnsiTheme="majorBidi" w:cstheme="majorBidi"/>
          <w:sz w:val="24"/>
          <w:szCs w:val="24"/>
        </w:rPr>
        <w:t xml:space="preserve"> </w:t>
      </w:r>
      <w:r w:rsidRPr="00EA5E47">
        <w:rPr>
          <w:rFonts w:asciiTheme="majorBidi" w:hAnsiTheme="majorBidi" w:cstheme="majorBidi"/>
          <w:sz w:val="24"/>
          <w:szCs w:val="24"/>
        </w:rPr>
        <w:t>Company, MedImmune, Merck,</w:t>
      </w:r>
      <w:r w:rsidRPr="00931F67">
        <w:rPr>
          <w:rFonts w:asciiTheme="majorBidi" w:hAnsiTheme="majorBidi" w:cstheme="majorBidi"/>
          <w:sz w:val="24"/>
          <w:szCs w:val="24"/>
        </w:rPr>
        <w:t>,</w:t>
      </w:r>
      <w:r w:rsidRPr="00931F67">
        <w:rPr>
          <w:rFonts w:asciiTheme="majorBidi" w:hAnsiTheme="majorBidi" w:cstheme="majorBidi"/>
          <w:b/>
          <w:bCs/>
          <w:sz w:val="24"/>
          <w:szCs w:val="24"/>
        </w:rPr>
        <w:t xml:space="preserve">           </w:t>
      </w:r>
      <w:r>
        <w:rPr>
          <w:rFonts w:asciiTheme="majorBidi" w:hAnsiTheme="majorBidi" w:cstheme="majorBidi"/>
          <w:b/>
          <w:bCs/>
          <w:sz w:val="24"/>
          <w:szCs w:val="24"/>
        </w:rPr>
        <w:t xml:space="preserve">                                        </w:t>
      </w:r>
      <w:r w:rsidRPr="00EA5E47">
        <w:rPr>
          <w:rFonts w:asciiTheme="majorBidi" w:hAnsiTheme="majorBidi" w:cstheme="majorBidi"/>
          <w:sz w:val="24"/>
          <w:szCs w:val="24"/>
        </w:rPr>
        <w:t>Novartis, Poxel, Pfizer, Roche Diagnostics, and Takeda.</w:t>
      </w:r>
      <w:r w:rsidRPr="00EA5E47">
        <w:rPr>
          <w:rFonts w:asciiTheme="majorBidi" w:hAnsiTheme="majorBidi" w:cstheme="majorBidi"/>
          <w:b/>
          <w:bCs/>
          <w:sz w:val="24"/>
          <w:szCs w:val="24"/>
        </w:rPr>
        <w:t xml:space="preserve"> HJLH: </w:t>
      </w:r>
      <w:r w:rsidRPr="00EA5E47">
        <w:rPr>
          <w:rFonts w:asciiTheme="majorBidi" w:hAnsiTheme="majorBidi" w:cstheme="majorBidi"/>
          <w:sz w:val="24"/>
          <w:szCs w:val="24"/>
        </w:rPr>
        <w:t>reports</w:t>
      </w:r>
      <w:r w:rsidRPr="00EA5E47">
        <w:rPr>
          <w:rFonts w:asciiTheme="majorBidi" w:hAnsiTheme="majorBidi" w:cstheme="majorBidi"/>
          <w:b/>
          <w:bCs/>
          <w:sz w:val="24"/>
          <w:szCs w:val="24"/>
        </w:rPr>
        <w:t xml:space="preserve"> </w:t>
      </w:r>
      <w:r w:rsidRPr="00EA5E47">
        <w:rPr>
          <w:rFonts w:asciiTheme="majorBidi" w:hAnsiTheme="majorBidi" w:cstheme="majorBidi"/>
          <w:sz w:val="24"/>
          <w:szCs w:val="24"/>
        </w:rPr>
        <w:t>consulting</w:t>
      </w:r>
      <w:r w:rsidRPr="00EA5E47">
        <w:rPr>
          <w:rFonts w:asciiTheme="majorBidi" w:hAnsiTheme="majorBidi" w:cstheme="majorBidi"/>
          <w:b/>
          <w:bCs/>
          <w:sz w:val="24"/>
          <w:szCs w:val="24"/>
        </w:rPr>
        <w:t xml:space="preserve"> </w:t>
      </w:r>
      <w:r w:rsidRPr="00EA5E47">
        <w:rPr>
          <w:rFonts w:asciiTheme="majorBidi" w:hAnsiTheme="majorBidi" w:cstheme="majorBidi"/>
          <w:sz w:val="24"/>
          <w:szCs w:val="24"/>
        </w:rPr>
        <w:t>for</w:t>
      </w:r>
    </w:p>
    <w:p w14:paraId="46854D75" w14:textId="748772F0" w:rsidR="000E37FE" w:rsidRPr="003120E4" w:rsidRDefault="000E37FE" w:rsidP="000E37FE">
      <w:pPr>
        <w:autoSpaceDE w:val="0"/>
        <w:autoSpaceDN w:val="0"/>
        <w:adjustRightInd w:val="0"/>
        <w:spacing w:after="0" w:line="240" w:lineRule="auto"/>
        <w:rPr>
          <w:rFonts w:asciiTheme="majorBidi" w:hAnsiTheme="majorBidi" w:cstheme="majorBidi"/>
          <w:sz w:val="24"/>
          <w:szCs w:val="24"/>
        </w:rPr>
      </w:pPr>
      <w:r w:rsidRPr="00EA5E47">
        <w:rPr>
          <w:rFonts w:asciiTheme="majorBidi" w:hAnsiTheme="majorBidi" w:cstheme="majorBidi"/>
          <w:sz w:val="24"/>
          <w:szCs w:val="24"/>
        </w:rPr>
        <w:t>AbbVie, Astellas, AstraZeneca, Boehringer Ingelheim, Fresenius, Gil</w:t>
      </w:r>
      <w:r>
        <w:rPr>
          <w:rFonts w:asciiTheme="majorBidi" w:hAnsiTheme="majorBidi" w:cstheme="majorBidi"/>
          <w:sz w:val="24"/>
          <w:szCs w:val="24"/>
        </w:rPr>
        <w:t xml:space="preserve">ead, Janssen, Merck, Mitsubishi </w:t>
      </w:r>
      <w:r w:rsidRPr="00EA5E47">
        <w:rPr>
          <w:rFonts w:asciiTheme="majorBidi" w:hAnsiTheme="majorBidi" w:cstheme="majorBidi"/>
          <w:sz w:val="24"/>
          <w:szCs w:val="24"/>
        </w:rPr>
        <w:t>Tanabe and Mundi</w:t>
      </w:r>
      <w:r>
        <w:rPr>
          <w:rFonts w:asciiTheme="majorBidi" w:hAnsiTheme="majorBidi" w:cstheme="majorBidi"/>
          <w:sz w:val="24"/>
          <w:szCs w:val="24"/>
        </w:rPr>
        <w:t xml:space="preserve"> </w:t>
      </w:r>
      <w:r w:rsidRPr="00EA5E47">
        <w:rPr>
          <w:rFonts w:asciiTheme="majorBidi" w:hAnsiTheme="majorBidi" w:cstheme="majorBidi"/>
          <w:sz w:val="24"/>
          <w:szCs w:val="24"/>
        </w:rPr>
        <w:t>Pharma and has a policy that all honoraria are paid to his employer</w:t>
      </w:r>
      <w:r>
        <w:rPr>
          <w:rFonts w:ascii="AdvOT1ef757c0" w:cs="AdvOT1ef757c0"/>
          <w:sz w:val="20"/>
          <w:szCs w:val="20"/>
        </w:rPr>
        <w:t>.</w:t>
      </w:r>
      <w:r w:rsidRPr="00931F67">
        <w:rPr>
          <w:rFonts w:asciiTheme="majorBidi" w:hAnsiTheme="majorBidi" w:cstheme="majorBidi"/>
          <w:b/>
          <w:bCs/>
          <w:sz w:val="24"/>
          <w:szCs w:val="24"/>
        </w:rPr>
        <w:t xml:space="preserve">TAZ: </w:t>
      </w:r>
      <w:r w:rsidRPr="00931F67">
        <w:rPr>
          <w:rFonts w:asciiTheme="majorBidi" w:hAnsiTheme="majorBidi" w:cstheme="majorBidi"/>
          <w:sz w:val="24"/>
          <w:szCs w:val="24"/>
        </w:rPr>
        <w:t xml:space="preserve">reports a research grant from Deutsche Forschungsgemeinschaft (ZE 1109/1-1), and grants to his institution from Astra Zeneca, grants from Bristol-Myers Squibb, during the conduct of the study. </w:t>
      </w:r>
      <w:r>
        <w:rPr>
          <w:rFonts w:asciiTheme="majorBidi" w:hAnsiTheme="majorBidi" w:cstheme="majorBidi"/>
          <w:b/>
          <w:bCs/>
          <w:sz w:val="24"/>
          <w:szCs w:val="24"/>
        </w:rPr>
        <w:t>JPD</w:t>
      </w:r>
      <w:r w:rsidRPr="005D6ACA">
        <w:rPr>
          <w:rFonts w:asciiTheme="majorBidi" w:hAnsiTheme="majorBidi" w:cstheme="majorBidi"/>
          <w:b/>
          <w:bCs/>
          <w:sz w:val="24"/>
          <w:szCs w:val="24"/>
        </w:rPr>
        <w:t xml:space="preserve">: </w:t>
      </w:r>
      <w:r w:rsidRPr="003120E4">
        <w:rPr>
          <w:rFonts w:asciiTheme="majorBidi" w:hAnsiTheme="majorBidi" w:cstheme="majorBidi"/>
          <w:sz w:val="24"/>
          <w:szCs w:val="24"/>
        </w:rPr>
        <w:t>reports</w:t>
      </w:r>
      <w:r>
        <w:rPr>
          <w:rFonts w:asciiTheme="majorBidi" w:hAnsiTheme="majorBidi" w:cstheme="majorBidi"/>
          <w:b/>
          <w:bCs/>
        </w:rPr>
        <w:t xml:space="preserve"> </w:t>
      </w:r>
      <w:r w:rsidRPr="005D6ACA">
        <w:rPr>
          <w:rFonts w:asciiTheme="majorBidi" w:hAnsiTheme="majorBidi" w:cstheme="majorBidi"/>
          <w:sz w:val="24"/>
          <w:szCs w:val="24"/>
        </w:rPr>
        <w:t>research support from AstraZeneca and Sanofi</w:t>
      </w:r>
      <w:r>
        <w:rPr>
          <w:rFonts w:asciiTheme="majorBidi" w:hAnsiTheme="majorBidi" w:cstheme="majorBidi"/>
          <w:b/>
          <w:bCs/>
        </w:rPr>
        <w:t>.</w:t>
      </w:r>
      <w:r w:rsidRPr="003120E4">
        <w:rPr>
          <w:rFonts w:asciiTheme="majorBidi" w:hAnsiTheme="majorBidi" w:cstheme="majorBidi"/>
          <w:b/>
          <w:bCs/>
        </w:rPr>
        <w:t xml:space="preserve"> </w:t>
      </w:r>
      <w:r w:rsidRPr="00931F67">
        <w:rPr>
          <w:rFonts w:asciiTheme="majorBidi" w:hAnsiTheme="majorBidi" w:cstheme="majorBidi"/>
          <w:b/>
          <w:bCs/>
          <w:sz w:val="24"/>
          <w:szCs w:val="24"/>
        </w:rPr>
        <w:t xml:space="preserve">DLB: </w:t>
      </w:r>
      <w:r>
        <w:rPr>
          <w:rFonts w:asciiTheme="majorBidi" w:hAnsiTheme="majorBidi" w:cstheme="majorBidi"/>
        </w:rPr>
        <w:t>reports the following:</w:t>
      </w:r>
      <w:r w:rsidRPr="005D6ACA">
        <w:rPr>
          <w:rFonts w:asciiTheme="majorBidi" w:hAnsiTheme="majorBidi" w:cstheme="majorBidi"/>
          <w:b/>
          <w:bCs/>
          <w:sz w:val="24"/>
          <w:szCs w:val="24"/>
        </w:rPr>
        <w:t xml:space="preserve"> </w:t>
      </w:r>
      <w:r w:rsidR="0058489D" w:rsidRPr="0058489D">
        <w:rPr>
          <w:rFonts w:asciiTheme="majorBidi" w:hAnsiTheme="majorBidi" w:cstheme="majorBidi"/>
          <w:sz w:val="24"/>
          <w:szCs w:val="24"/>
        </w:rPr>
        <w:t xml:space="preserve">Advisory Board: Cardax, Elsevier Practice Update Cardiology, Medscape Cardiology, PhaseBio, Regado Biosciences; Board of Directors: Boston VA Research Institute, Society of Cardiovascular Patient Care, TobeSoft; Chair: American Heart Association Quality Oversight Committee; Data Monitoring Committees: Baim Institute for Clinical Research (formerly Harvard Clinical Research Institute, for the PORTICO trial, funded by St. Jude Medical, now Abbott), Cleveland Clinic (including for the ExCEED trial, funded by Edwards), Duke Clinical Research Institute, Mayo Clinic, Mount Sinai School of Medicine (for the ENVISAGE trial, funded by Daiichi Sankyo), Population Health Research Institute; Honoraria: American College of Cardiology (Senior Associate Editor, Clinical Trials and News, ACC.org; Vice-Chair, ACC Accreditation Committee), Baim Institute for Clinical Research (formerly Harvard Clinical Research Institute; RE-DUAL PCI clinical trial steering committee funded by Boehringer Ingelheim), Belvoir Publications (Editor in Chief, Harvard Heart Letter), Duke Clinical Research Institute (clinical trial steering committees), HMP Global (Editor in Chief, Journal of Invasive Cardiology), Journal of the American College of Cardiology (Guest Editor; Associate Editor), Medtelligence/ReachMD (CME steering committees), Population Health Research Institute (for the COMPASS operations committee, publications committee, steering committee, and USA national co-leader, funded by Bayer), Slack Publications (Chief Medical Editor, Cardiology Today’s Intervention), Society of Cardiovascular Patient Care (Secretary/Treasurer), WebMD (CME steering committees); Other: Clinical Cardiology (Deputy Editor), NCDR-ACTION Registry Steering Committee (Chair), VA CART Research and Publications Committee (Chair); Research Funding: Abbott, Amarin, Amgen, AstraZeneca (including for the DECLARE-TIMI 58 Executive Committee), Bayer, Boehringer Ingelheim, Bristol-Myers Squibb, Chiesi, Eisai, Ethicon, Forest Laboratories, Idorsia, Ironwood, Ischemix, Lilly, Medtronic, PhaseBio, Pfizer, Regeneron, Roche, Sanofi Aventis, Synaptic, The Medicines </w:t>
      </w:r>
      <w:r w:rsidR="0058489D" w:rsidRPr="0058489D">
        <w:rPr>
          <w:rFonts w:asciiTheme="majorBidi" w:hAnsiTheme="majorBidi" w:cstheme="majorBidi"/>
          <w:sz w:val="24"/>
          <w:szCs w:val="24"/>
        </w:rPr>
        <w:lastRenderedPageBreak/>
        <w:t>Company; Royalties: Elsevier (Editor, Cardiovascular Intervention: A Companion to Braunwald’s Heart Disease); Site Co-Investigator: Biotronik, Boston Scientific, St. Jude Medical (now Abbott), Svelte; Trustee: American College of Cardiology; Unfunded Research: FlowCo, Fractyl, Merck, Novo Nordisk, PLx Pharma, Takeda.</w:t>
      </w:r>
      <w:r w:rsidRPr="00931F67">
        <w:rPr>
          <w:rFonts w:asciiTheme="majorBidi" w:hAnsiTheme="majorBidi" w:cstheme="majorBidi"/>
          <w:sz w:val="24"/>
          <w:szCs w:val="24"/>
        </w:rPr>
        <w:t xml:space="preserve"> </w:t>
      </w:r>
      <w:r w:rsidRPr="00931F67">
        <w:rPr>
          <w:rFonts w:asciiTheme="majorBidi" w:hAnsiTheme="majorBidi" w:cstheme="majorBidi"/>
          <w:b/>
          <w:bCs/>
          <w:sz w:val="24"/>
          <w:szCs w:val="24"/>
        </w:rPr>
        <w:t xml:space="preserve">LAL: </w:t>
      </w:r>
      <w:r w:rsidRPr="00931F67">
        <w:rPr>
          <w:rFonts w:asciiTheme="majorBidi" w:hAnsiTheme="majorBidi" w:cstheme="majorBidi"/>
          <w:sz w:val="24"/>
          <w:szCs w:val="24"/>
        </w:rPr>
        <w:t>reports grants and personal fees from AstraZeneca, during the conduct of the study; grants and personal fees from AstraZeneca, grants and personal fees from Boehringer Ingelheim, grants and personal fees from Eli Lilly, grants and personal fees from Janssen, grants and personal fees from Merck, grants and personal fees from</w:t>
      </w:r>
      <w:r>
        <w:rPr>
          <w:rFonts w:asciiTheme="majorBidi" w:hAnsiTheme="majorBidi" w:cstheme="majorBidi"/>
        </w:rPr>
        <w:t xml:space="preserve"> </w:t>
      </w:r>
      <w:r w:rsidRPr="00931F67">
        <w:rPr>
          <w:rFonts w:asciiTheme="majorBidi" w:hAnsiTheme="majorBidi" w:cstheme="majorBidi"/>
          <w:sz w:val="24"/>
          <w:szCs w:val="24"/>
        </w:rPr>
        <w:t xml:space="preserve">Novo Nordisk, grants and personal fees from Sanofi, personal fees from Servier, grants from GSK, outside the submitted work. </w:t>
      </w:r>
      <w:r w:rsidRPr="00931F67">
        <w:rPr>
          <w:rFonts w:asciiTheme="majorBidi" w:hAnsiTheme="majorBidi" w:cstheme="majorBidi"/>
          <w:b/>
          <w:bCs/>
          <w:sz w:val="24"/>
          <w:szCs w:val="24"/>
        </w:rPr>
        <w:t xml:space="preserve">DKM: </w:t>
      </w:r>
      <w:r w:rsidRPr="00931F67">
        <w:rPr>
          <w:rFonts w:asciiTheme="majorBidi" w:hAnsiTheme="majorBidi" w:cstheme="majorBidi"/>
          <w:sz w:val="24"/>
          <w:szCs w:val="24"/>
        </w:rPr>
        <w:t xml:space="preserve">reports personal fees from AstraZeneca, during the conduct of the study; personal fees from Boehringer Ingelheim, personal fees from Janssen Research and Development LLC, personal fees from Sanofi US, personal fees from Merck Sharp and Dohme Corp., personal fees from Lilly </w:t>
      </w:r>
      <w:r w:rsidR="00DA0177">
        <w:rPr>
          <w:rFonts w:asciiTheme="majorBidi" w:hAnsiTheme="majorBidi" w:cstheme="majorBidi"/>
          <w:sz w:val="24"/>
          <w:szCs w:val="24"/>
        </w:rPr>
        <w:t>USA</w:t>
      </w:r>
      <w:r w:rsidRPr="00931F67">
        <w:rPr>
          <w:rFonts w:asciiTheme="majorBidi" w:hAnsiTheme="majorBidi" w:cstheme="majorBidi"/>
          <w:sz w:val="24"/>
          <w:szCs w:val="24"/>
        </w:rPr>
        <w:t xml:space="preserve">, personal fees from Novo Nordisk, personal fees from GlaxoSmithKline, personal fees from AstraZeneca, personal fees from Lexicon, personal fees from Eisai Inc., personal fees from Esperion, personal fees from Metavant, personal fees from Pfizer, personal fees from Applied Therapeutics, outside the submitted work. </w:t>
      </w:r>
      <w:r w:rsidRPr="00931F67">
        <w:rPr>
          <w:rFonts w:asciiTheme="majorBidi" w:hAnsiTheme="majorBidi" w:cstheme="majorBidi"/>
          <w:b/>
          <w:bCs/>
          <w:sz w:val="24"/>
          <w:szCs w:val="24"/>
        </w:rPr>
        <w:t xml:space="preserve">JPHW: </w:t>
      </w:r>
      <w:r w:rsidRPr="00931F67">
        <w:rPr>
          <w:rFonts w:asciiTheme="majorBidi" w:hAnsiTheme="majorBidi" w:cstheme="majorBidi"/>
          <w:sz w:val="24"/>
          <w:szCs w:val="24"/>
        </w:rPr>
        <w:t xml:space="preserve">reports personal fees and other from Brigham and Women's Hospital, during the conduct of the study; grants, personal fees and consultancy fees (paid to his institution) from AstraZeneca, personal fees and consultancy fees (paid to his institution) from Boehringer Ingelheim, personal fees and consultancy fees (paid to his institution) from Lilly, grants, personal fees and consultancy fees (paid to his institution) from Novo Nordisk, personal fees and consultancy fees (paid to his institution) from Janssen, personal fees and consultancy fees (paid to his institution) from Napp, personal fees and consultancy fees (paid to his institution) </w:t>
      </w:r>
      <w:r w:rsidRPr="008520AC">
        <w:rPr>
          <w:rFonts w:asciiTheme="majorBidi" w:hAnsiTheme="majorBidi" w:cstheme="majorBidi"/>
          <w:sz w:val="24"/>
          <w:szCs w:val="24"/>
        </w:rPr>
        <w:t>Mundipharma, personal fees, consultancy fees (paid to his institution) from Sanofi, grants, personal fees and consultancy fees (paid to his institution) from Takeda, consultancy fees (paid to his institution) from Wilmington Healthcare, outside the submitted work.</w:t>
      </w:r>
      <w:r w:rsidRPr="008520AC">
        <w:rPr>
          <w:rFonts w:asciiTheme="majorBidi" w:hAnsiTheme="majorBidi" w:cstheme="majorBidi"/>
          <w:b/>
          <w:bCs/>
          <w:sz w:val="24"/>
          <w:szCs w:val="24"/>
        </w:rPr>
        <w:t xml:space="preserve"> ETK: </w:t>
      </w:r>
      <w:r w:rsidRPr="003120E4">
        <w:rPr>
          <w:rFonts w:asciiTheme="majorBidi" w:hAnsiTheme="majorBidi" w:cstheme="majorBidi"/>
          <w:sz w:val="24"/>
          <w:szCs w:val="24"/>
        </w:rPr>
        <w:t>reports</w:t>
      </w:r>
      <w:r w:rsidRPr="008520AC">
        <w:rPr>
          <w:rFonts w:asciiTheme="majorBidi" w:hAnsiTheme="majorBidi" w:cstheme="majorBidi"/>
          <w:b/>
          <w:bCs/>
          <w:sz w:val="24"/>
          <w:szCs w:val="24"/>
        </w:rPr>
        <w:t xml:space="preserve"> </w:t>
      </w:r>
      <w:r w:rsidRPr="008520AC">
        <w:rPr>
          <w:rFonts w:asciiTheme="majorBidi" w:hAnsiTheme="majorBidi" w:cstheme="majorBidi"/>
          <w:sz w:val="24"/>
          <w:szCs w:val="24"/>
        </w:rPr>
        <w:t>personal fees from Daiichi Sankyo, grants and personal fees from Ono Pharmaceutical, personal fees from AstraZeneca, personal fees from Bristol-Myers Squibb, and personal fees from Tanabe-Mitsubishi Phar</w:t>
      </w:r>
      <w:r>
        <w:rPr>
          <w:rFonts w:asciiTheme="majorBidi" w:hAnsiTheme="majorBidi" w:cstheme="majorBidi"/>
          <w:sz w:val="24"/>
          <w:szCs w:val="24"/>
        </w:rPr>
        <w:t>ma, outside the submitted work.</w:t>
      </w:r>
      <w:r>
        <w:rPr>
          <w:rFonts w:asciiTheme="majorBidi" w:hAnsiTheme="majorBidi" w:cstheme="majorBidi"/>
          <w:b/>
          <w:bCs/>
          <w:sz w:val="24"/>
          <w:szCs w:val="24"/>
        </w:rPr>
        <w:t xml:space="preserve"> </w:t>
      </w:r>
      <w:r w:rsidRPr="008520AC">
        <w:rPr>
          <w:rFonts w:asciiTheme="majorBidi" w:hAnsiTheme="majorBidi" w:cstheme="majorBidi"/>
          <w:b/>
          <w:bCs/>
          <w:sz w:val="24"/>
          <w:szCs w:val="24"/>
        </w:rPr>
        <w:t xml:space="preserve">IAMG-N, </w:t>
      </w:r>
      <w:r w:rsidRPr="003120E4">
        <w:rPr>
          <w:rFonts w:asciiTheme="majorBidi" w:hAnsiTheme="majorBidi" w:cstheme="majorBidi"/>
          <w:b/>
          <w:bCs/>
          <w:sz w:val="24"/>
          <w:szCs w:val="24"/>
        </w:rPr>
        <w:t>MF</w:t>
      </w:r>
      <w:r>
        <w:rPr>
          <w:rFonts w:asciiTheme="majorBidi" w:hAnsiTheme="majorBidi" w:cstheme="majorBidi"/>
          <w:b/>
          <w:bCs/>
          <w:sz w:val="24"/>
          <w:szCs w:val="24"/>
        </w:rPr>
        <w:t>,</w:t>
      </w:r>
      <w:r w:rsidRPr="008520AC">
        <w:rPr>
          <w:rFonts w:asciiTheme="majorBidi" w:hAnsiTheme="majorBidi" w:cstheme="majorBidi"/>
          <w:b/>
          <w:bCs/>
          <w:sz w:val="24"/>
          <w:szCs w:val="24"/>
        </w:rPr>
        <w:t xml:space="preserve"> PAJ and AML </w:t>
      </w:r>
      <w:r w:rsidRPr="008520AC">
        <w:rPr>
          <w:rFonts w:asciiTheme="majorBidi" w:hAnsiTheme="majorBidi" w:cstheme="majorBidi"/>
          <w:sz w:val="24"/>
          <w:szCs w:val="24"/>
        </w:rPr>
        <w:t>are employees of AstraZeneca</w:t>
      </w:r>
      <w:r w:rsidRPr="008520AC">
        <w:rPr>
          <w:rFonts w:asciiTheme="majorBidi" w:hAnsiTheme="majorBidi" w:cstheme="majorBidi"/>
          <w:b/>
          <w:bCs/>
          <w:sz w:val="24"/>
          <w:szCs w:val="24"/>
        </w:rPr>
        <w:t xml:space="preserve">. MSS: </w:t>
      </w:r>
      <w:r>
        <w:rPr>
          <w:rFonts w:asciiTheme="majorBidi" w:hAnsiTheme="majorBidi" w:cstheme="majorBidi"/>
          <w:sz w:val="24"/>
          <w:szCs w:val="24"/>
        </w:rPr>
        <w:t>reports r</w:t>
      </w:r>
      <w:r w:rsidRPr="008520AC">
        <w:rPr>
          <w:rFonts w:asciiTheme="majorBidi" w:hAnsiTheme="majorBidi" w:cstheme="majorBidi"/>
          <w:sz w:val="24"/>
          <w:szCs w:val="24"/>
        </w:rPr>
        <w:t>esearch grant support</w:t>
      </w:r>
      <w:r w:rsidRPr="00931F67">
        <w:rPr>
          <w:rFonts w:asciiTheme="majorBidi" w:hAnsiTheme="majorBidi" w:cstheme="majorBidi"/>
          <w:sz w:val="24"/>
          <w:szCs w:val="24"/>
        </w:rPr>
        <w:t xml:space="preserve"> through</w:t>
      </w:r>
      <w:r w:rsidRPr="003120E4">
        <w:rPr>
          <w:rFonts w:asciiTheme="majorBidi" w:hAnsiTheme="majorBidi" w:cstheme="majorBidi"/>
        </w:rPr>
        <w:t xml:space="preserve"> </w:t>
      </w:r>
      <w:r w:rsidRPr="00931F67">
        <w:rPr>
          <w:rFonts w:asciiTheme="majorBidi" w:hAnsiTheme="majorBidi" w:cstheme="majorBidi"/>
          <w:sz w:val="24"/>
          <w:szCs w:val="24"/>
        </w:rPr>
        <w:t>Brigham and Women’s</w:t>
      </w:r>
      <w:r>
        <w:rPr>
          <w:rFonts w:asciiTheme="majorBidi" w:hAnsiTheme="majorBidi" w:cstheme="majorBidi"/>
          <w:sz w:val="24"/>
          <w:szCs w:val="24"/>
        </w:rPr>
        <w:t xml:space="preserve"> </w:t>
      </w:r>
      <w:r w:rsidRPr="00931F67">
        <w:rPr>
          <w:rFonts w:asciiTheme="majorBidi" w:hAnsiTheme="majorBidi" w:cstheme="majorBidi"/>
          <w:sz w:val="24"/>
          <w:szCs w:val="24"/>
        </w:rPr>
        <w:t xml:space="preserve">Hospital from Abbott Laboratories; Amgen; AstraZeneca; Bayer; Daiichi-Sankyo; Eisai; Gilead; GlaxoSmithKline; Intarcia; Janssen Research and Development; Medicines Company; MedImmune; Merck; Novartis; Poxel; Pfizer; Quark Pharmaceuticals; Roche Diagnostics; Takeda, and consulting fee for Alnylam; Amgen; AstraZeneca; Bristol-Myers Squibb; CVS Caremark; Dyrnamix; Esperion; IFM Therapeutics; Intarcia; Ionis; Janssen Research and Development; Medicines Company; MedImmune; Merck; MyoKardia; Novartis. </w:t>
      </w:r>
      <w:r w:rsidRPr="00931F67">
        <w:rPr>
          <w:rFonts w:asciiTheme="majorBidi" w:hAnsiTheme="majorBidi" w:cstheme="majorBidi"/>
          <w:b/>
          <w:bCs/>
          <w:sz w:val="24"/>
          <w:szCs w:val="24"/>
        </w:rPr>
        <w:t xml:space="preserve">IR: </w:t>
      </w:r>
      <w:r w:rsidRPr="00931F67">
        <w:rPr>
          <w:rFonts w:asciiTheme="majorBidi" w:hAnsiTheme="majorBidi" w:cstheme="majorBidi"/>
          <w:sz w:val="24"/>
          <w:szCs w:val="24"/>
        </w:rPr>
        <w:t>reports personal fees from AstraZeneca, personal fees from Bristol-Myers Squibb, during the conduct of the study; personal fees from Boehringer Ingelheim, personal fees from Concenter BioPharma/Silkim Ltd, personal fees from Eli Lilly and Company, personal fees from Merck Sharp &amp; Dohme Limited, personal fees from Novo Nordisk, Inc, personal fees from Orgenesis, personal fees from Pfizer, personal fees from Sanofi, personal fees from SmartZyme Innovation Ltd, personal fees from Panaxia, personal fees from FuturRx Ltd, personal fees from Insuline Medical, personal fees from Medial EarlySign Ltd, personal fees from CameraEyes, personal fees from Exscopia, personal fees from Dermal Biomics Inc, personal fees from Johnson &amp; Johnson, personal fees from Novartis Pharma AG, personal fees from Teva, personal fees from Glucome Ltd, personal fees from DarioHealth, outside the submitted work.</w:t>
      </w:r>
      <w:r w:rsidRPr="00931F67">
        <w:rPr>
          <w:rFonts w:asciiTheme="majorBidi" w:hAnsiTheme="majorBidi" w:cstheme="majorBidi"/>
          <w:b/>
          <w:bCs/>
          <w:sz w:val="24"/>
          <w:szCs w:val="24"/>
        </w:rPr>
        <w:t xml:space="preserve">                      </w:t>
      </w:r>
    </w:p>
    <w:p w14:paraId="02F964F0" w14:textId="77777777" w:rsidR="000E37FE" w:rsidRPr="00931F67" w:rsidRDefault="000E37FE" w:rsidP="000E37FE">
      <w:pPr>
        <w:autoSpaceDE w:val="0"/>
        <w:autoSpaceDN w:val="0"/>
        <w:adjustRightInd w:val="0"/>
        <w:spacing w:after="0" w:line="240" w:lineRule="auto"/>
        <w:rPr>
          <w:rFonts w:asciiTheme="majorBidi" w:hAnsiTheme="majorBidi" w:cstheme="majorBidi"/>
          <w:sz w:val="24"/>
          <w:szCs w:val="24"/>
        </w:rPr>
      </w:pPr>
    </w:p>
    <w:p w14:paraId="1DE8585D" w14:textId="77777777" w:rsidR="000E37FE" w:rsidRDefault="000E37FE" w:rsidP="005E38CA">
      <w:pPr>
        <w:pStyle w:val="ListParagraph"/>
        <w:spacing w:line="480" w:lineRule="auto"/>
        <w:ind w:left="0"/>
        <w:jc w:val="both"/>
        <w:rPr>
          <w:rFonts w:ascii="Arial" w:hAnsi="Arial" w:cs="Arial"/>
          <w:color w:val="000000"/>
        </w:rPr>
      </w:pPr>
    </w:p>
    <w:p w14:paraId="67264262" w14:textId="77777777" w:rsidR="000E37FE" w:rsidRDefault="000E37FE" w:rsidP="005E38CA">
      <w:pPr>
        <w:pStyle w:val="ListParagraph"/>
        <w:spacing w:line="480" w:lineRule="auto"/>
        <w:ind w:left="0"/>
        <w:jc w:val="both"/>
        <w:rPr>
          <w:rFonts w:ascii="Arial" w:hAnsi="Arial" w:cs="Arial"/>
          <w:color w:val="000000"/>
        </w:rPr>
      </w:pPr>
    </w:p>
    <w:p w14:paraId="093D0606" w14:textId="77777777" w:rsidR="000E37FE" w:rsidRDefault="000E37FE" w:rsidP="005E38CA">
      <w:pPr>
        <w:pStyle w:val="ListParagraph"/>
        <w:spacing w:line="480" w:lineRule="auto"/>
        <w:ind w:left="0"/>
        <w:jc w:val="both"/>
        <w:rPr>
          <w:rFonts w:ascii="Arial" w:hAnsi="Arial" w:cs="Arial"/>
          <w:color w:val="000000"/>
        </w:rPr>
      </w:pPr>
    </w:p>
    <w:p w14:paraId="79F88EC0" w14:textId="77777777" w:rsidR="000E37FE" w:rsidRDefault="000E37FE" w:rsidP="005E38CA">
      <w:pPr>
        <w:pStyle w:val="ListParagraph"/>
        <w:spacing w:line="480" w:lineRule="auto"/>
        <w:ind w:left="0"/>
        <w:jc w:val="both"/>
        <w:rPr>
          <w:rFonts w:ascii="Arial" w:hAnsi="Arial" w:cs="Arial"/>
          <w:color w:val="000000"/>
        </w:rPr>
      </w:pPr>
    </w:p>
    <w:p w14:paraId="1EA6A493" w14:textId="77777777" w:rsidR="000E37FE" w:rsidRDefault="000E37FE" w:rsidP="005E38CA">
      <w:pPr>
        <w:pStyle w:val="ListParagraph"/>
        <w:spacing w:line="480" w:lineRule="auto"/>
        <w:ind w:left="0"/>
        <w:jc w:val="both"/>
        <w:rPr>
          <w:rFonts w:ascii="Arial" w:hAnsi="Arial" w:cs="Arial"/>
          <w:color w:val="000000"/>
        </w:rPr>
      </w:pPr>
    </w:p>
    <w:p w14:paraId="259D71A6" w14:textId="77777777" w:rsidR="000E37FE" w:rsidRDefault="000E37FE" w:rsidP="005E38CA">
      <w:pPr>
        <w:pStyle w:val="ListParagraph"/>
        <w:spacing w:line="480" w:lineRule="auto"/>
        <w:ind w:left="0"/>
        <w:jc w:val="both"/>
        <w:rPr>
          <w:rFonts w:ascii="Arial" w:hAnsi="Arial" w:cs="Arial"/>
          <w:color w:val="000000"/>
        </w:rPr>
      </w:pPr>
    </w:p>
    <w:p w14:paraId="474AD8CD" w14:textId="77777777" w:rsidR="000E37FE" w:rsidRDefault="000E37FE" w:rsidP="005E38CA">
      <w:pPr>
        <w:pStyle w:val="ListParagraph"/>
        <w:spacing w:line="480" w:lineRule="auto"/>
        <w:ind w:left="0"/>
        <w:jc w:val="both"/>
        <w:rPr>
          <w:rFonts w:ascii="Arial" w:hAnsi="Arial" w:cs="Arial"/>
          <w:color w:val="000000"/>
        </w:rPr>
      </w:pPr>
    </w:p>
    <w:p w14:paraId="098D0663" w14:textId="77777777" w:rsidR="000E37FE" w:rsidRDefault="000E37FE" w:rsidP="005E38CA">
      <w:pPr>
        <w:pStyle w:val="ListParagraph"/>
        <w:spacing w:line="480" w:lineRule="auto"/>
        <w:ind w:left="0"/>
        <w:jc w:val="both"/>
        <w:rPr>
          <w:rFonts w:ascii="Arial" w:hAnsi="Arial" w:cs="Arial"/>
          <w:color w:val="000000"/>
        </w:rPr>
      </w:pPr>
    </w:p>
    <w:p w14:paraId="2E31FEF4" w14:textId="77777777" w:rsidR="000E37FE" w:rsidRDefault="000E37FE" w:rsidP="005E38CA">
      <w:pPr>
        <w:pStyle w:val="ListParagraph"/>
        <w:spacing w:line="480" w:lineRule="auto"/>
        <w:ind w:left="0"/>
        <w:jc w:val="both"/>
        <w:rPr>
          <w:rFonts w:ascii="Arial" w:hAnsi="Arial" w:cs="Arial"/>
          <w:color w:val="000000"/>
        </w:rPr>
      </w:pPr>
    </w:p>
    <w:p w14:paraId="544BE2CD" w14:textId="77777777" w:rsidR="000E37FE" w:rsidRDefault="000E37FE" w:rsidP="005E38CA">
      <w:pPr>
        <w:pStyle w:val="ListParagraph"/>
        <w:spacing w:line="480" w:lineRule="auto"/>
        <w:ind w:left="0"/>
        <w:jc w:val="both"/>
        <w:rPr>
          <w:rFonts w:ascii="Arial" w:hAnsi="Arial" w:cs="Arial"/>
          <w:color w:val="000000"/>
        </w:rPr>
      </w:pPr>
    </w:p>
    <w:p w14:paraId="0AD45BA3" w14:textId="77777777" w:rsidR="000E37FE" w:rsidRDefault="000E37FE" w:rsidP="005E38CA">
      <w:pPr>
        <w:pStyle w:val="ListParagraph"/>
        <w:spacing w:line="480" w:lineRule="auto"/>
        <w:ind w:left="0"/>
        <w:jc w:val="both"/>
        <w:rPr>
          <w:rFonts w:ascii="Arial" w:hAnsi="Arial" w:cs="Arial"/>
          <w:color w:val="000000"/>
        </w:rPr>
      </w:pPr>
    </w:p>
    <w:p w14:paraId="7EEE6682" w14:textId="77777777" w:rsidR="002E109B" w:rsidRPr="002E109B" w:rsidRDefault="00764D5D" w:rsidP="005E38CA">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lang w:val="en-GB"/>
        </w:rPr>
        <w:t>References</w:t>
      </w:r>
      <w:r w:rsidR="001443E9">
        <w:rPr>
          <w:rFonts w:asciiTheme="majorBidi" w:hAnsiTheme="majorBidi" w:cstheme="majorBidi"/>
          <w:sz w:val="24"/>
          <w:szCs w:val="24"/>
        </w:rPr>
        <w:t xml:space="preserve">   </w:t>
      </w:r>
      <w:r w:rsidR="004E4B79">
        <w:rPr>
          <w:rFonts w:asciiTheme="majorBidi" w:hAnsiTheme="majorBidi" w:cstheme="majorBidi"/>
          <w:sz w:val="24"/>
          <w:szCs w:val="24"/>
        </w:rPr>
        <w:t xml:space="preserve"> </w:t>
      </w:r>
      <w:r w:rsidR="006B3126">
        <w:rPr>
          <w:rFonts w:asciiTheme="majorBidi" w:hAnsiTheme="majorBidi" w:cstheme="majorBidi"/>
          <w:sz w:val="24"/>
          <w:szCs w:val="24"/>
        </w:rPr>
        <w:t xml:space="preserve">   </w:t>
      </w:r>
      <w:r w:rsidR="003554FC">
        <w:rPr>
          <w:rFonts w:asciiTheme="majorBidi" w:hAnsiTheme="majorBidi" w:cstheme="majorBidi"/>
          <w:sz w:val="24"/>
          <w:szCs w:val="24"/>
        </w:rPr>
        <w:t xml:space="preserve"> </w:t>
      </w:r>
      <w:r w:rsidR="00FC6FA0">
        <w:rPr>
          <w:rFonts w:asciiTheme="majorBidi" w:hAnsiTheme="majorBidi" w:cstheme="majorBidi"/>
          <w:sz w:val="24"/>
          <w:szCs w:val="24"/>
        </w:rPr>
        <w:t xml:space="preserve">  </w:t>
      </w:r>
      <w:r w:rsidR="005F6F5A">
        <w:rPr>
          <w:rFonts w:asciiTheme="majorBidi" w:hAnsiTheme="majorBidi" w:cstheme="majorBidi"/>
          <w:sz w:val="24"/>
          <w:szCs w:val="24"/>
        </w:rPr>
        <w:t xml:space="preserve"> </w:t>
      </w:r>
      <w:r w:rsidR="00886809">
        <w:rPr>
          <w:rFonts w:asciiTheme="majorBidi" w:hAnsiTheme="majorBidi" w:cstheme="majorBidi"/>
          <w:sz w:val="24"/>
          <w:szCs w:val="24"/>
        </w:rPr>
        <w:t xml:space="preserve"> </w:t>
      </w:r>
      <w:r w:rsidR="007F029E">
        <w:rPr>
          <w:rFonts w:asciiTheme="majorBidi" w:hAnsiTheme="majorBidi" w:cstheme="majorBidi"/>
          <w:sz w:val="24"/>
          <w:szCs w:val="24"/>
        </w:rPr>
        <w:t xml:space="preserve">   </w:t>
      </w:r>
      <w:r w:rsidR="002E109B">
        <w:rPr>
          <w:rFonts w:asciiTheme="majorBidi" w:hAnsiTheme="majorBidi" w:cstheme="majorBidi"/>
          <w:sz w:val="24"/>
          <w:szCs w:val="24"/>
        </w:rPr>
        <w:t xml:space="preserve"> </w:t>
      </w:r>
    </w:p>
    <w:p w14:paraId="4096229D" w14:textId="61572444" w:rsidR="00B90562" w:rsidRPr="00B90562" w:rsidRDefault="00D5194B" w:rsidP="00B90562">
      <w:pPr>
        <w:widowControl w:val="0"/>
        <w:autoSpaceDE w:val="0"/>
        <w:autoSpaceDN w:val="0"/>
        <w:adjustRightInd w:val="0"/>
        <w:spacing w:line="240" w:lineRule="auto"/>
        <w:ind w:left="640" w:hanging="640"/>
        <w:rPr>
          <w:rFonts w:ascii="Times New Roman" w:hAnsi="Times New Roman" w:cs="Times New Roman"/>
          <w:noProof/>
          <w:szCs w:val="24"/>
        </w:rPr>
      </w:pPr>
      <w:r w:rsidRPr="000A70F8">
        <w:rPr>
          <w:rFonts w:asciiTheme="majorBidi" w:hAnsiTheme="majorBidi" w:cstheme="majorBidi"/>
          <w:color w:val="000000"/>
          <w:lang w:val="en-GB"/>
        </w:rPr>
        <w:t xml:space="preserve"> </w:t>
      </w:r>
      <w:r w:rsidR="00952B4B">
        <w:rPr>
          <w:rFonts w:asciiTheme="majorBidi" w:hAnsiTheme="majorBidi" w:cstheme="majorBidi"/>
          <w:color w:val="000000"/>
          <w:lang w:val="en-GB"/>
        </w:rPr>
        <w:fldChar w:fldCharType="begin" w:fldLock="1"/>
      </w:r>
      <w:r w:rsidR="00952B4B">
        <w:rPr>
          <w:rFonts w:asciiTheme="majorBidi" w:hAnsiTheme="majorBidi" w:cstheme="majorBidi"/>
          <w:color w:val="000000"/>
          <w:lang w:val="en-GB"/>
        </w:rPr>
        <w:instrText xml:space="preserve">ADDIN Mendeley Bibliography CSL_BIBLIOGRAPHY </w:instrText>
      </w:r>
      <w:r w:rsidR="00952B4B">
        <w:rPr>
          <w:rFonts w:asciiTheme="majorBidi" w:hAnsiTheme="majorBidi" w:cstheme="majorBidi"/>
          <w:color w:val="000000"/>
          <w:lang w:val="en-GB"/>
        </w:rPr>
        <w:fldChar w:fldCharType="separate"/>
      </w:r>
      <w:r w:rsidR="00B90562" w:rsidRPr="00B90562">
        <w:rPr>
          <w:rFonts w:ascii="Times New Roman" w:hAnsi="Times New Roman" w:cs="Times New Roman"/>
          <w:noProof/>
          <w:szCs w:val="24"/>
        </w:rPr>
        <w:t>1</w:t>
      </w:r>
      <w:r w:rsidR="00B90562" w:rsidRPr="00B90562">
        <w:rPr>
          <w:rFonts w:ascii="Times New Roman" w:hAnsi="Times New Roman" w:cs="Times New Roman"/>
          <w:noProof/>
          <w:szCs w:val="24"/>
        </w:rPr>
        <w:tab/>
        <w:t xml:space="preserve">Roscioni SS, Heerspink HJL, de Zeeuw D. The effect of RAAS blockade on the progression of diabetic nephropathy. </w:t>
      </w:r>
      <w:r w:rsidR="00B90562" w:rsidRPr="00B90562">
        <w:rPr>
          <w:rFonts w:ascii="Times New Roman" w:hAnsi="Times New Roman" w:cs="Times New Roman"/>
          <w:i/>
          <w:iCs/>
          <w:noProof/>
          <w:szCs w:val="24"/>
        </w:rPr>
        <w:t>Nat Rev Nephrol</w:t>
      </w:r>
      <w:r w:rsidR="00B90562" w:rsidRPr="00B90562">
        <w:rPr>
          <w:rFonts w:ascii="Times New Roman" w:hAnsi="Times New Roman" w:cs="Times New Roman"/>
          <w:noProof/>
          <w:szCs w:val="24"/>
        </w:rPr>
        <w:t xml:space="preserve"> 2014; </w:t>
      </w:r>
      <w:r w:rsidR="00B90562" w:rsidRPr="00B90562">
        <w:rPr>
          <w:rFonts w:ascii="Times New Roman" w:hAnsi="Times New Roman" w:cs="Times New Roman"/>
          <w:b/>
          <w:bCs/>
          <w:noProof/>
          <w:szCs w:val="24"/>
        </w:rPr>
        <w:t>10</w:t>
      </w:r>
      <w:r w:rsidR="00B90562" w:rsidRPr="00B90562">
        <w:rPr>
          <w:rFonts w:ascii="Times New Roman" w:hAnsi="Times New Roman" w:cs="Times New Roman"/>
          <w:noProof/>
          <w:szCs w:val="24"/>
        </w:rPr>
        <w:t>: 77–87.</w:t>
      </w:r>
    </w:p>
    <w:p w14:paraId="5ABAA4EB" w14:textId="77777777" w:rsidR="00B90562" w:rsidRPr="00B90562" w:rsidRDefault="00B90562" w:rsidP="00B90562">
      <w:pPr>
        <w:widowControl w:val="0"/>
        <w:autoSpaceDE w:val="0"/>
        <w:autoSpaceDN w:val="0"/>
        <w:adjustRightInd w:val="0"/>
        <w:spacing w:line="240" w:lineRule="auto"/>
        <w:ind w:left="640" w:hanging="640"/>
        <w:rPr>
          <w:rFonts w:ascii="Times New Roman" w:hAnsi="Times New Roman" w:cs="Times New Roman"/>
          <w:noProof/>
          <w:szCs w:val="24"/>
        </w:rPr>
      </w:pPr>
      <w:r w:rsidRPr="00B90562">
        <w:rPr>
          <w:rFonts w:ascii="Times New Roman" w:hAnsi="Times New Roman" w:cs="Times New Roman"/>
          <w:noProof/>
          <w:szCs w:val="24"/>
        </w:rPr>
        <w:t>2</w:t>
      </w:r>
      <w:r w:rsidRPr="00B90562">
        <w:rPr>
          <w:rFonts w:ascii="Times New Roman" w:hAnsi="Times New Roman" w:cs="Times New Roman"/>
          <w:noProof/>
          <w:szCs w:val="24"/>
        </w:rPr>
        <w:tab/>
        <w:t xml:space="preserve">Molitch ME, Adler AI, Flyvbjerg A, </w:t>
      </w:r>
      <w:r w:rsidRPr="00B90562">
        <w:rPr>
          <w:rFonts w:ascii="Times New Roman" w:hAnsi="Times New Roman" w:cs="Times New Roman"/>
          <w:i/>
          <w:iCs/>
          <w:noProof/>
          <w:szCs w:val="24"/>
        </w:rPr>
        <w:t>et al.</w:t>
      </w:r>
      <w:r w:rsidRPr="00B90562">
        <w:rPr>
          <w:rFonts w:ascii="Times New Roman" w:hAnsi="Times New Roman" w:cs="Times New Roman"/>
          <w:noProof/>
          <w:szCs w:val="24"/>
        </w:rPr>
        <w:t xml:space="preserve"> Diabetic kidney disease: a clinical update from Kidney Disease: Improving Global Outcomes. </w:t>
      </w:r>
      <w:r w:rsidRPr="00B90562">
        <w:rPr>
          <w:rFonts w:ascii="Times New Roman" w:hAnsi="Times New Roman" w:cs="Times New Roman"/>
          <w:i/>
          <w:iCs/>
          <w:noProof/>
          <w:szCs w:val="24"/>
        </w:rPr>
        <w:t>Kidney Int</w:t>
      </w:r>
      <w:r w:rsidRPr="00B90562">
        <w:rPr>
          <w:rFonts w:ascii="Times New Roman" w:hAnsi="Times New Roman" w:cs="Times New Roman"/>
          <w:noProof/>
          <w:szCs w:val="24"/>
        </w:rPr>
        <w:t xml:space="preserve"> 2015; </w:t>
      </w:r>
      <w:r w:rsidRPr="00B90562">
        <w:rPr>
          <w:rFonts w:ascii="Times New Roman" w:hAnsi="Times New Roman" w:cs="Times New Roman"/>
          <w:b/>
          <w:bCs/>
          <w:noProof/>
          <w:szCs w:val="24"/>
        </w:rPr>
        <w:t>87</w:t>
      </w:r>
      <w:r w:rsidRPr="00B90562">
        <w:rPr>
          <w:rFonts w:ascii="Times New Roman" w:hAnsi="Times New Roman" w:cs="Times New Roman"/>
          <w:noProof/>
          <w:szCs w:val="24"/>
        </w:rPr>
        <w:t>: 20–30.</w:t>
      </w:r>
    </w:p>
    <w:p w14:paraId="4555BAF0" w14:textId="77777777" w:rsidR="00B90562" w:rsidRPr="00B90562" w:rsidRDefault="00B90562" w:rsidP="00B90562">
      <w:pPr>
        <w:widowControl w:val="0"/>
        <w:autoSpaceDE w:val="0"/>
        <w:autoSpaceDN w:val="0"/>
        <w:adjustRightInd w:val="0"/>
        <w:spacing w:line="240" w:lineRule="auto"/>
        <w:ind w:left="640" w:hanging="640"/>
        <w:rPr>
          <w:rFonts w:ascii="Times New Roman" w:hAnsi="Times New Roman" w:cs="Times New Roman"/>
          <w:noProof/>
          <w:szCs w:val="24"/>
        </w:rPr>
      </w:pPr>
      <w:r w:rsidRPr="00B90562">
        <w:rPr>
          <w:rFonts w:ascii="Times New Roman" w:hAnsi="Times New Roman" w:cs="Times New Roman"/>
          <w:noProof/>
          <w:szCs w:val="24"/>
        </w:rPr>
        <w:t>3</w:t>
      </w:r>
      <w:r w:rsidRPr="00B90562">
        <w:rPr>
          <w:rFonts w:ascii="Times New Roman" w:hAnsi="Times New Roman" w:cs="Times New Roman"/>
          <w:noProof/>
          <w:szCs w:val="24"/>
        </w:rPr>
        <w:tab/>
        <w:t xml:space="preserve">Schievink B, Kröpelin T, Mulder S, </w:t>
      </w:r>
      <w:r w:rsidRPr="00B90562">
        <w:rPr>
          <w:rFonts w:ascii="Times New Roman" w:hAnsi="Times New Roman" w:cs="Times New Roman"/>
          <w:i/>
          <w:iCs/>
          <w:noProof/>
          <w:szCs w:val="24"/>
        </w:rPr>
        <w:t>et al.</w:t>
      </w:r>
      <w:r w:rsidRPr="00B90562">
        <w:rPr>
          <w:rFonts w:ascii="Times New Roman" w:hAnsi="Times New Roman" w:cs="Times New Roman"/>
          <w:noProof/>
          <w:szCs w:val="24"/>
        </w:rPr>
        <w:t xml:space="preserve"> Early renin-angiotensin system intervention is more beneficial than late intervention in delaying end-stage renal disease in patients with type 2 diabetes. </w:t>
      </w:r>
      <w:r w:rsidRPr="00B90562">
        <w:rPr>
          <w:rFonts w:ascii="Times New Roman" w:hAnsi="Times New Roman" w:cs="Times New Roman"/>
          <w:i/>
          <w:iCs/>
          <w:noProof/>
          <w:szCs w:val="24"/>
        </w:rPr>
        <w:t>Diabetes, Obes Metab</w:t>
      </w:r>
      <w:r w:rsidRPr="00B90562">
        <w:rPr>
          <w:rFonts w:ascii="Times New Roman" w:hAnsi="Times New Roman" w:cs="Times New Roman"/>
          <w:noProof/>
          <w:szCs w:val="24"/>
        </w:rPr>
        <w:t xml:space="preserve"> 2016; </w:t>
      </w:r>
      <w:r w:rsidRPr="00B90562">
        <w:rPr>
          <w:rFonts w:ascii="Times New Roman" w:hAnsi="Times New Roman" w:cs="Times New Roman"/>
          <w:b/>
          <w:bCs/>
          <w:noProof/>
          <w:szCs w:val="24"/>
        </w:rPr>
        <w:t>18</w:t>
      </w:r>
      <w:r w:rsidRPr="00B90562">
        <w:rPr>
          <w:rFonts w:ascii="Times New Roman" w:hAnsi="Times New Roman" w:cs="Times New Roman"/>
          <w:noProof/>
          <w:szCs w:val="24"/>
        </w:rPr>
        <w:t>: 64–71.</w:t>
      </w:r>
    </w:p>
    <w:p w14:paraId="04F174CA" w14:textId="77777777" w:rsidR="00B90562" w:rsidRPr="00B90562" w:rsidRDefault="00B90562" w:rsidP="00B90562">
      <w:pPr>
        <w:widowControl w:val="0"/>
        <w:autoSpaceDE w:val="0"/>
        <w:autoSpaceDN w:val="0"/>
        <w:adjustRightInd w:val="0"/>
        <w:spacing w:line="240" w:lineRule="auto"/>
        <w:ind w:left="640" w:hanging="640"/>
        <w:rPr>
          <w:rFonts w:ascii="Times New Roman" w:hAnsi="Times New Roman" w:cs="Times New Roman"/>
          <w:noProof/>
          <w:szCs w:val="24"/>
        </w:rPr>
      </w:pPr>
      <w:r w:rsidRPr="00B90562">
        <w:rPr>
          <w:rFonts w:ascii="Times New Roman" w:hAnsi="Times New Roman" w:cs="Times New Roman"/>
          <w:noProof/>
          <w:szCs w:val="24"/>
        </w:rPr>
        <w:t>4</w:t>
      </w:r>
      <w:r w:rsidRPr="00B90562">
        <w:rPr>
          <w:rFonts w:ascii="Times New Roman" w:hAnsi="Times New Roman" w:cs="Times New Roman"/>
          <w:noProof/>
          <w:szCs w:val="24"/>
        </w:rPr>
        <w:tab/>
        <w:t xml:space="preserve">de Boer IH, Rue TC, Hall YN, Heagerty PJ, Weiss NS, Himmelfarb J. Temporal Trends in the Prevalence of Diabetic Kidney Disease in the United States. </w:t>
      </w:r>
      <w:r w:rsidRPr="00B90562">
        <w:rPr>
          <w:rFonts w:ascii="Times New Roman" w:hAnsi="Times New Roman" w:cs="Times New Roman"/>
          <w:i/>
          <w:iCs/>
          <w:noProof/>
          <w:szCs w:val="24"/>
        </w:rPr>
        <w:t>JAMA</w:t>
      </w:r>
      <w:r w:rsidRPr="00B90562">
        <w:rPr>
          <w:rFonts w:ascii="Times New Roman" w:hAnsi="Times New Roman" w:cs="Times New Roman"/>
          <w:noProof/>
          <w:szCs w:val="24"/>
        </w:rPr>
        <w:t xml:space="preserve"> 2011; </w:t>
      </w:r>
      <w:r w:rsidRPr="00B90562">
        <w:rPr>
          <w:rFonts w:ascii="Times New Roman" w:hAnsi="Times New Roman" w:cs="Times New Roman"/>
          <w:b/>
          <w:bCs/>
          <w:noProof/>
          <w:szCs w:val="24"/>
        </w:rPr>
        <w:t>305</w:t>
      </w:r>
      <w:r w:rsidRPr="00B90562">
        <w:rPr>
          <w:rFonts w:ascii="Times New Roman" w:hAnsi="Times New Roman" w:cs="Times New Roman"/>
          <w:noProof/>
          <w:szCs w:val="24"/>
        </w:rPr>
        <w:t>: 2532.</w:t>
      </w:r>
    </w:p>
    <w:p w14:paraId="3E1A1691" w14:textId="77777777" w:rsidR="00B90562" w:rsidRPr="00B90562" w:rsidRDefault="00B90562" w:rsidP="00B90562">
      <w:pPr>
        <w:widowControl w:val="0"/>
        <w:autoSpaceDE w:val="0"/>
        <w:autoSpaceDN w:val="0"/>
        <w:adjustRightInd w:val="0"/>
        <w:spacing w:line="240" w:lineRule="auto"/>
        <w:ind w:left="640" w:hanging="640"/>
        <w:rPr>
          <w:rFonts w:ascii="Times New Roman" w:hAnsi="Times New Roman" w:cs="Times New Roman"/>
          <w:noProof/>
          <w:szCs w:val="24"/>
        </w:rPr>
      </w:pPr>
      <w:r w:rsidRPr="00B90562">
        <w:rPr>
          <w:rFonts w:ascii="Times New Roman" w:hAnsi="Times New Roman" w:cs="Times New Roman"/>
          <w:noProof/>
          <w:szCs w:val="24"/>
        </w:rPr>
        <w:t>5</w:t>
      </w:r>
      <w:r w:rsidRPr="00B90562">
        <w:rPr>
          <w:rFonts w:ascii="Times New Roman" w:hAnsi="Times New Roman" w:cs="Times New Roman"/>
          <w:noProof/>
          <w:szCs w:val="24"/>
        </w:rPr>
        <w:tab/>
        <w:t xml:space="preserve">Afkarian M, Sachs MC, Kestenbaum B, </w:t>
      </w:r>
      <w:r w:rsidRPr="00B90562">
        <w:rPr>
          <w:rFonts w:ascii="Times New Roman" w:hAnsi="Times New Roman" w:cs="Times New Roman"/>
          <w:i/>
          <w:iCs/>
          <w:noProof/>
          <w:szCs w:val="24"/>
        </w:rPr>
        <w:t>et al.</w:t>
      </w:r>
      <w:r w:rsidRPr="00B90562">
        <w:rPr>
          <w:rFonts w:ascii="Times New Roman" w:hAnsi="Times New Roman" w:cs="Times New Roman"/>
          <w:noProof/>
          <w:szCs w:val="24"/>
        </w:rPr>
        <w:t xml:space="preserve"> Kidney Disease and Increased Mortality Risk in Type 2 Diabetes. </w:t>
      </w:r>
      <w:r w:rsidRPr="00B90562">
        <w:rPr>
          <w:rFonts w:ascii="Times New Roman" w:hAnsi="Times New Roman" w:cs="Times New Roman"/>
          <w:i/>
          <w:iCs/>
          <w:noProof/>
          <w:szCs w:val="24"/>
        </w:rPr>
        <w:t>J Am Soc Nephrol</w:t>
      </w:r>
      <w:r w:rsidRPr="00B90562">
        <w:rPr>
          <w:rFonts w:ascii="Times New Roman" w:hAnsi="Times New Roman" w:cs="Times New Roman"/>
          <w:noProof/>
          <w:szCs w:val="24"/>
        </w:rPr>
        <w:t xml:space="preserve"> 2013; </w:t>
      </w:r>
      <w:r w:rsidRPr="00B90562">
        <w:rPr>
          <w:rFonts w:ascii="Times New Roman" w:hAnsi="Times New Roman" w:cs="Times New Roman"/>
          <w:b/>
          <w:bCs/>
          <w:noProof/>
          <w:szCs w:val="24"/>
        </w:rPr>
        <w:t>24</w:t>
      </w:r>
      <w:r w:rsidRPr="00B90562">
        <w:rPr>
          <w:rFonts w:ascii="Times New Roman" w:hAnsi="Times New Roman" w:cs="Times New Roman"/>
          <w:noProof/>
          <w:szCs w:val="24"/>
        </w:rPr>
        <w:t>: 302–8.</w:t>
      </w:r>
    </w:p>
    <w:p w14:paraId="09E08076" w14:textId="77777777" w:rsidR="00B90562" w:rsidRPr="00B90562" w:rsidRDefault="00B90562" w:rsidP="00B90562">
      <w:pPr>
        <w:widowControl w:val="0"/>
        <w:autoSpaceDE w:val="0"/>
        <w:autoSpaceDN w:val="0"/>
        <w:adjustRightInd w:val="0"/>
        <w:spacing w:line="240" w:lineRule="auto"/>
        <w:ind w:left="640" w:hanging="640"/>
        <w:rPr>
          <w:rFonts w:ascii="Times New Roman" w:hAnsi="Times New Roman" w:cs="Times New Roman"/>
          <w:noProof/>
          <w:szCs w:val="24"/>
        </w:rPr>
      </w:pPr>
      <w:r w:rsidRPr="00B90562">
        <w:rPr>
          <w:rFonts w:ascii="Times New Roman" w:hAnsi="Times New Roman" w:cs="Times New Roman"/>
          <w:noProof/>
          <w:szCs w:val="24"/>
        </w:rPr>
        <w:t>6</w:t>
      </w:r>
      <w:r w:rsidRPr="00B90562">
        <w:rPr>
          <w:rFonts w:ascii="Times New Roman" w:hAnsi="Times New Roman" w:cs="Times New Roman"/>
          <w:noProof/>
          <w:szCs w:val="24"/>
        </w:rPr>
        <w:tab/>
        <w:t xml:space="preserve">Liyanage T, Ninomiya T, Jha V, </w:t>
      </w:r>
      <w:r w:rsidRPr="00B90562">
        <w:rPr>
          <w:rFonts w:ascii="Times New Roman" w:hAnsi="Times New Roman" w:cs="Times New Roman"/>
          <w:i/>
          <w:iCs/>
          <w:noProof/>
          <w:szCs w:val="24"/>
        </w:rPr>
        <w:t>et al.</w:t>
      </w:r>
      <w:r w:rsidRPr="00B90562">
        <w:rPr>
          <w:rFonts w:ascii="Times New Roman" w:hAnsi="Times New Roman" w:cs="Times New Roman"/>
          <w:noProof/>
          <w:szCs w:val="24"/>
        </w:rPr>
        <w:t xml:space="preserve"> Worldwide access to treatment for end-stage kidney disease: a systematic review. </w:t>
      </w:r>
      <w:r w:rsidRPr="00B90562">
        <w:rPr>
          <w:rFonts w:ascii="Times New Roman" w:hAnsi="Times New Roman" w:cs="Times New Roman"/>
          <w:i/>
          <w:iCs/>
          <w:noProof/>
          <w:szCs w:val="24"/>
        </w:rPr>
        <w:t>Lancet</w:t>
      </w:r>
      <w:r w:rsidRPr="00B90562">
        <w:rPr>
          <w:rFonts w:ascii="Times New Roman" w:hAnsi="Times New Roman" w:cs="Times New Roman"/>
          <w:noProof/>
          <w:szCs w:val="24"/>
        </w:rPr>
        <w:t xml:space="preserve"> 2015; </w:t>
      </w:r>
      <w:r w:rsidRPr="00B90562">
        <w:rPr>
          <w:rFonts w:ascii="Times New Roman" w:hAnsi="Times New Roman" w:cs="Times New Roman"/>
          <w:b/>
          <w:bCs/>
          <w:noProof/>
          <w:szCs w:val="24"/>
        </w:rPr>
        <w:t>385</w:t>
      </w:r>
      <w:r w:rsidRPr="00B90562">
        <w:rPr>
          <w:rFonts w:ascii="Times New Roman" w:hAnsi="Times New Roman" w:cs="Times New Roman"/>
          <w:noProof/>
          <w:szCs w:val="24"/>
        </w:rPr>
        <w:t>: 1975–82.</w:t>
      </w:r>
    </w:p>
    <w:p w14:paraId="04ACE2CC" w14:textId="77777777" w:rsidR="00B90562" w:rsidRPr="00B90562" w:rsidRDefault="00B90562" w:rsidP="00B90562">
      <w:pPr>
        <w:widowControl w:val="0"/>
        <w:autoSpaceDE w:val="0"/>
        <w:autoSpaceDN w:val="0"/>
        <w:adjustRightInd w:val="0"/>
        <w:spacing w:line="240" w:lineRule="auto"/>
        <w:ind w:left="640" w:hanging="640"/>
        <w:rPr>
          <w:rFonts w:ascii="Times New Roman" w:hAnsi="Times New Roman" w:cs="Times New Roman"/>
          <w:noProof/>
          <w:szCs w:val="24"/>
        </w:rPr>
      </w:pPr>
      <w:r w:rsidRPr="00B90562">
        <w:rPr>
          <w:rFonts w:ascii="Times New Roman" w:hAnsi="Times New Roman" w:cs="Times New Roman"/>
          <w:noProof/>
          <w:szCs w:val="24"/>
        </w:rPr>
        <w:t>7</w:t>
      </w:r>
      <w:r w:rsidRPr="00B90562">
        <w:rPr>
          <w:rFonts w:ascii="Times New Roman" w:hAnsi="Times New Roman" w:cs="Times New Roman"/>
          <w:noProof/>
          <w:szCs w:val="24"/>
        </w:rPr>
        <w:tab/>
        <w:t>United States Renal Data System. 2016 USRDS annual data report: Epidemiology of kidney disease in the United States. National Institutes of Health, National Institute of Diabetes and Digestive and Kidney Diseases, Bethesda, MD, 2016. 2016.</w:t>
      </w:r>
    </w:p>
    <w:p w14:paraId="77855ADD" w14:textId="77777777" w:rsidR="00B90562" w:rsidRPr="00B90562" w:rsidRDefault="00B90562" w:rsidP="00B90562">
      <w:pPr>
        <w:widowControl w:val="0"/>
        <w:autoSpaceDE w:val="0"/>
        <w:autoSpaceDN w:val="0"/>
        <w:adjustRightInd w:val="0"/>
        <w:spacing w:line="240" w:lineRule="auto"/>
        <w:ind w:left="640" w:hanging="640"/>
        <w:rPr>
          <w:rFonts w:ascii="Times New Roman" w:hAnsi="Times New Roman" w:cs="Times New Roman"/>
          <w:noProof/>
          <w:szCs w:val="24"/>
        </w:rPr>
      </w:pPr>
      <w:r w:rsidRPr="00B90562">
        <w:rPr>
          <w:rFonts w:ascii="Times New Roman" w:hAnsi="Times New Roman" w:cs="Times New Roman"/>
          <w:noProof/>
          <w:szCs w:val="24"/>
        </w:rPr>
        <w:t>8</w:t>
      </w:r>
      <w:r w:rsidRPr="00B90562">
        <w:rPr>
          <w:rFonts w:ascii="Times New Roman" w:hAnsi="Times New Roman" w:cs="Times New Roman"/>
          <w:noProof/>
          <w:szCs w:val="24"/>
        </w:rPr>
        <w:tab/>
        <w:t xml:space="preserve">Wanner C, Inzucchi SE, Lachin JM, </w:t>
      </w:r>
      <w:r w:rsidRPr="00B90562">
        <w:rPr>
          <w:rFonts w:ascii="Times New Roman" w:hAnsi="Times New Roman" w:cs="Times New Roman"/>
          <w:i/>
          <w:iCs/>
          <w:noProof/>
          <w:szCs w:val="24"/>
        </w:rPr>
        <w:t>et al.</w:t>
      </w:r>
      <w:r w:rsidRPr="00B90562">
        <w:rPr>
          <w:rFonts w:ascii="Times New Roman" w:hAnsi="Times New Roman" w:cs="Times New Roman"/>
          <w:noProof/>
          <w:szCs w:val="24"/>
        </w:rPr>
        <w:t xml:space="preserve"> Empagliflozin and Progression of Kidney Disease in Type 2 Diabetes. </w:t>
      </w:r>
      <w:r w:rsidRPr="00B90562">
        <w:rPr>
          <w:rFonts w:ascii="Times New Roman" w:hAnsi="Times New Roman" w:cs="Times New Roman"/>
          <w:i/>
          <w:iCs/>
          <w:noProof/>
          <w:szCs w:val="24"/>
        </w:rPr>
        <w:t>N Engl J Med</w:t>
      </w:r>
      <w:r w:rsidRPr="00B90562">
        <w:rPr>
          <w:rFonts w:ascii="Times New Roman" w:hAnsi="Times New Roman" w:cs="Times New Roman"/>
          <w:noProof/>
          <w:szCs w:val="24"/>
        </w:rPr>
        <w:t xml:space="preserve"> 2016; </w:t>
      </w:r>
      <w:r w:rsidRPr="00B90562">
        <w:rPr>
          <w:rFonts w:ascii="Times New Roman" w:hAnsi="Times New Roman" w:cs="Times New Roman"/>
          <w:b/>
          <w:bCs/>
          <w:noProof/>
          <w:szCs w:val="24"/>
        </w:rPr>
        <w:t>375</w:t>
      </w:r>
      <w:r w:rsidRPr="00B90562">
        <w:rPr>
          <w:rFonts w:ascii="Times New Roman" w:hAnsi="Times New Roman" w:cs="Times New Roman"/>
          <w:noProof/>
          <w:szCs w:val="24"/>
        </w:rPr>
        <w:t>: 323–34.</w:t>
      </w:r>
    </w:p>
    <w:p w14:paraId="51FBB750" w14:textId="77777777" w:rsidR="00B90562" w:rsidRPr="00B90562" w:rsidRDefault="00B90562" w:rsidP="00B90562">
      <w:pPr>
        <w:widowControl w:val="0"/>
        <w:autoSpaceDE w:val="0"/>
        <w:autoSpaceDN w:val="0"/>
        <w:adjustRightInd w:val="0"/>
        <w:spacing w:line="240" w:lineRule="auto"/>
        <w:ind w:left="640" w:hanging="640"/>
        <w:rPr>
          <w:rFonts w:ascii="Times New Roman" w:hAnsi="Times New Roman" w:cs="Times New Roman"/>
          <w:noProof/>
          <w:szCs w:val="24"/>
        </w:rPr>
      </w:pPr>
      <w:r w:rsidRPr="00B90562">
        <w:rPr>
          <w:rFonts w:ascii="Times New Roman" w:hAnsi="Times New Roman" w:cs="Times New Roman"/>
          <w:noProof/>
          <w:szCs w:val="24"/>
        </w:rPr>
        <w:t>9</w:t>
      </w:r>
      <w:r w:rsidRPr="00B90562">
        <w:rPr>
          <w:rFonts w:ascii="Times New Roman" w:hAnsi="Times New Roman" w:cs="Times New Roman"/>
          <w:noProof/>
          <w:szCs w:val="24"/>
        </w:rPr>
        <w:tab/>
        <w:t xml:space="preserve">Cherney DZI, Zinman B, Inzucchi SE, </w:t>
      </w:r>
      <w:r w:rsidRPr="00B90562">
        <w:rPr>
          <w:rFonts w:ascii="Times New Roman" w:hAnsi="Times New Roman" w:cs="Times New Roman"/>
          <w:i/>
          <w:iCs/>
          <w:noProof/>
          <w:szCs w:val="24"/>
        </w:rPr>
        <w:t>et al.</w:t>
      </w:r>
      <w:r w:rsidRPr="00B90562">
        <w:rPr>
          <w:rFonts w:ascii="Times New Roman" w:hAnsi="Times New Roman" w:cs="Times New Roman"/>
          <w:noProof/>
          <w:szCs w:val="24"/>
        </w:rPr>
        <w:t xml:space="preserve"> Effects of empagliflozin on the urinary albumin-to-creatinine ratio in patients with type 2 diabetes and established cardiovascular disease: an exploratory analysis from the EMPA-REG OUTCOME randomised, placebo-controlled trial. </w:t>
      </w:r>
      <w:r w:rsidRPr="00B90562">
        <w:rPr>
          <w:rFonts w:ascii="Times New Roman" w:hAnsi="Times New Roman" w:cs="Times New Roman"/>
          <w:i/>
          <w:iCs/>
          <w:noProof/>
          <w:szCs w:val="24"/>
        </w:rPr>
        <w:t>lancet Diabetes Endocrinol</w:t>
      </w:r>
      <w:r w:rsidRPr="00B90562">
        <w:rPr>
          <w:rFonts w:ascii="Times New Roman" w:hAnsi="Times New Roman" w:cs="Times New Roman"/>
          <w:noProof/>
          <w:szCs w:val="24"/>
        </w:rPr>
        <w:t xml:space="preserve"> 2017; </w:t>
      </w:r>
      <w:r w:rsidRPr="00B90562">
        <w:rPr>
          <w:rFonts w:ascii="Times New Roman" w:hAnsi="Times New Roman" w:cs="Times New Roman"/>
          <w:b/>
          <w:bCs/>
          <w:noProof/>
          <w:szCs w:val="24"/>
        </w:rPr>
        <w:t>5</w:t>
      </w:r>
      <w:r w:rsidRPr="00B90562">
        <w:rPr>
          <w:rFonts w:ascii="Times New Roman" w:hAnsi="Times New Roman" w:cs="Times New Roman"/>
          <w:noProof/>
          <w:szCs w:val="24"/>
        </w:rPr>
        <w:t>: 610–21.</w:t>
      </w:r>
    </w:p>
    <w:p w14:paraId="40B4489C" w14:textId="77777777" w:rsidR="00B90562" w:rsidRPr="0038652E" w:rsidRDefault="00B90562" w:rsidP="00B90562">
      <w:pPr>
        <w:widowControl w:val="0"/>
        <w:autoSpaceDE w:val="0"/>
        <w:autoSpaceDN w:val="0"/>
        <w:adjustRightInd w:val="0"/>
        <w:spacing w:line="240" w:lineRule="auto"/>
        <w:ind w:left="640" w:hanging="640"/>
        <w:rPr>
          <w:rFonts w:ascii="Times New Roman" w:hAnsi="Times New Roman" w:cs="Times New Roman"/>
          <w:noProof/>
          <w:szCs w:val="24"/>
          <w:lang w:val="sv-SE"/>
        </w:rPr>
      </w:pPr>
      <w:r w:rsidRPr="00B90562">
        <w:rPr>
          <w:rFonts w:ascii="Times New Roman" w:hAnsi="Times New Roman" w:cs="Times New Roman"/>
          <w:noProof/>
          <w:szCs w:val="24"/>
        </w:rPr>
        <w:lastRenderedPageBreak/>
        <w:t>10</w:t>
      </w:r>
      <w:r w:rsidRPr="00B90562">
        <w:rPr>
          <w:rFonts w:ascii="Times New Roman" w:hAnsi="Times New Roman" w:cs="Times New Roman"/>
          <w:noProof/>
          <w:szCs w:val="24"/>
        </w:rPr>
        <w:tab/>
        <w:t xml:space="preserve">Neal B, Perkovic V, Mahaffey KW, </w:t>
      </w:r>
      <w:r w:rsidRPr="00B90562">
        <w:rPr>
          <w:rFonts w:ascii="Times New Roman" w:hAnsi="Times New Roman" w:cs="Times New Roman"/>
          <w:i/>
          <w:iCs/>
          <w:noProof/>
          <w:szCs w:val="24"/>
        </w:rPr>
        <w:t>et al.</w:t>
      </w:r>
      <w:r w:rsidRPr="00B90562">
        <w:rPr>
          <w:rFonts w:ascii="Times New Roman" w:hAnsi="Times New Roman" w:cs="Times New Roman"/>
          <w:noProof/>
          <w:szCs w:val="24"/>
        </w:rPr>
        <w:t xml:space="preserve"> Canagliflozin and Cardiovascular and Renal Events in Type 2 Diabetes. </w:t>
      </w:r>
      <w:r w:rsidRPr="0038652E">
        <w:rPr>
          <w:rFonts w:ascii="Times New Roman" w:hAnsi="Times New Roman" w:cs="Times New Roman"/>
          <w:i/>
          <w:iCs/>
          <w:noProof/>
          <w:szCs w:val="24"/>
          <w:lang w:val="sv-SE"/>
        </w:rPr>
        <w:t>N Engl J Med</w:t>
      </w:r>
      <w:r w:rsidRPr="0038652E">
        <w:rPr>
          <w:rFonts w:ascii="Times New Roman" w:hAnsi="Times New Roman" w:cs="Times New Roman"/>
          <w:noProof/>
          <w:szCs w:val="24"/>
          <w:lang w:val="sv-SE"/>
        </w:rPr>
        <w:t xml:space="preserve"> 2017; </w:t>
      </w:r>
      <w:r w:rsidRPr="0038652E">
        <w:rPr>
          <w:rFonts w:ascii="Times New Roman" w:hAnsi="Times New Roman" w:cs="Times New Roman"/>
          <w:b/>
          <w:bCs/>
          <w:noProof/>
          <w:szCs w:val="24"/>
          <w:lang w:val="sv-SE"/>
        </w:rPr>
        <w:t>377</w:t>
      </w:r>
      <w:r w:rsidRPr="0038652E">
        <w:rPr>
          <w:rFonts w:ascii="Times New Roman" w:hAnsi="Times New Roman" w:cs="Times New Roman"/>
          <w:noProof/>
          <w:szCs w:val="24"/>
          <w:lang w:val="sv-SE"/>
        </w:rPr>
        <w:t>: 644–57.</w:t>
      </w:r>
    </w:p>
    <w:p w14:paraId="5F526CA0" w14:textId="77777777" w:rsidR="00B90562" w:rsidRPr="0038652E" w:rsidRDefault="00B90562" w:rsidP="00B90562">
      <w:pPr>
        <w:widowControl w:val="0"/>
        <w:autoSpaceDE w:val="0"/>
        <w:autoSpaceDN w:val="0"/>
        <w:adjustRightInd w:val="0"/>
        <w:spacing w:line="240" w:lineRule="auto"/>
        <w:ind w:left="640" w:hanging="640"/>
        <w:rPr>
          <w:rFonts w:ascii="Times New Roman" w:hAnsi="Times New Roman" w:cs="Times New Roman"/>
          <w:noProof/>
          <w:szCs w:val="24"/>
          <w:lang w:val="sv-SE"/>
        </w:rPr>
      </w:pPr>
      <w:r w:rsidRPr="0038652E">
        <w:rPr>
          <w:rFonts w:ascii="Times New Roman" w:hAnsi="Times New Roman" w:cs="Times New Roman"/>
          <w:noProof/>
          <w:szCs w:val="24"/>
          <w:lang w:val="sv-SE"/>
        </w:rPr>
        <w:t>11</w:t>
      </w:r>
      <w:r w:rsidRPr="0038652E">
        <w:rPr>
          <w:rFonts w:ascii="Times New Roman" w:hAnsi="Times New Roman" w:cs="Times New Roman"/>
          <w:noProof/>
          <w:szCs w:val="24"/>
          <w:lang w:val="sv-SE"/>
        </w:rPr>
        <w:tab/>
        <w:t xml:space="preserve">Perkovic V, de Zeeuw D, Mahaffey KW, </w:t>
      </w:r>
      <w:r w:rsidRPr="0038652E">
        <w:rPr>
          <w:rFonts w:ascii="Times New Roman" w:hAnsi="Times New Roman" w:cs="Times New Roman"/>
          <w:i/>
          <w:iCs/>
          <w:noProof/>
          <w:szCs w:val="24"/>
          <w:lang w:val="sv-SE"/>
        </w:rPr>
        <w:t>et al.</w:t>
      </w:r>
      <w:r w:rsidRPr="0038652E">
        <w:rPr>
          <w:rFonts w:ascii="Times New Roman" w:hAnsi="Times New Roman" w:cs="Times New Roman"/>
          <w:noProof/>
          <w:szCs w:val="24"/>
          <w:lang w:val="sv-SE"/>
        </w:rPr>
        <w:t xml:space="preserve"> </w:t>
      </w:r>
      <w:r w:rsidRPr="00B90562">
        <w:rPr>
          <w:rFonts w:ascii="Times New Roman" w:hAnsi="Times New Roman" w:cs="Times New Roman"/>
          <w:noProof/>
          <w:szCs w:val="24"/>
        </w:rPr>
        <w:t xml:space="preserve">Canagliflozin and renal outcomes in type 2 diabetes: results from the CANVAS Program randomised clinical trials. </w:t>
      </w:r>
      <w:r w:rsidRPr="0038652E">
        <w:rPr>
          <w:rFonts w:ascii="Times New Roman" w:hAnsi="Times New Roman" w:cs="Times New Roman"/>
          <w:i/>
          <w:iCs/>
          <w:noProof/>
          <w:szCs w:val="24"/>
          <w:lang w:val="sv-SE"/>
        </w:rPr>
        <w:t>Lancet Diabetes Endocrinol</w:t>
      </w:r>
      <w:r w:rsidRPr="0038652E">
        <w:rPr>
          <w:rFonts w:ascii="Times New Roman" w:hAnsi="Times New Roman" w:cs="Times New Roman"/>
          <w:noProof/>
          <w:szCs w:val="24"/>
          <w:lang w:val="sv-SE"/>
        </w:rPr>
        <w:t xml:space="preserve"> 2018; </w:t>
      </w:r>
      <w:r w:rsidRPr="0038652E">
        <w:rPr>
          <w:rFonts w:ascii="Times New Roman" w:hAnsi="Times New Roman" w:cs="Times New Roman"/>
          <w:b/>
          <w:bCs/>
          <w:noProof/>
          <w:szCs w:val="24"/>
          <w:lang w:val="sv-SE"/>
        </w:rPr>
        <w:t>6</w:t>
      </w:r>
      <w:r w:rsidRPr="0038652E">
        <w:rPr>
          <w:rFonts w:ascii="Times New Roman" w:hAnsi="Times New Roman" w:cs="Times New Roman"/>
          <w:noProof/>
          <w:szCs w:val="24"/>
          <w:lang w:val="sv-SE"/>
        </w:rPr>
        <w:t>: 691–704.</w:t>
      </w:r>
    </w:p>
    <w:p w14:paraId="781E1BCD" w14:textId="77777777" w:rsidR="00B90562" w:rsidRPr="00B90562" w:rsidRDefault="00B90562" w:rsidP="00B90562">
      <w:pPr>
        <w:widowControl w:val="0"/>
        <w:autoSpaceDE w:val="0"/>
        <w:autoSpaceDN w:val="0"/>
        <w:adjustRightInd w:val="0"/>
        <w:spacing w:line="240" w:lineRule="auto"/>
        <w:ind w:left="640" w:hanging="640"/>
        <w:rPr>
          <w:rFonts w:ascii="Times New Roman" w:hAnsi="Times New Roman" w:cs="Times New Roman"/>
          <w:noProof/>
          <w:szCs w:val="24"/>
        </w:rPr>
      </w:pPr>
      <w:r w:rsidRPr="0038652E">
        <w:rPr>
          <w:rFonts w:ascii="Times New Roman" w:hAnsi="Times New Roman" w:cs="Times New Roman"/>
          <w:noProof/>
          <w:szCs w:val="24"/>
          <w:lang w:val="sv-SE"/>
        </w:rPr>
        <w:t>12</w:t>
      </w:r>
      <w:r w:rsidRPr="0038652E">
        <w:rPr>
          <w:rFonts w:ascii="Times New Roman" w:hAnsi="Times New Roman" w:cs="Times New Roman"/>
          <w:noProof/>
          <w:szCs w:val="24"/>
          <w:lang w:val="sv-SE"/>
        </w:rPr>
        <w:tab/>
        <w:t xml:space="preserve">Neuen BL, Ohkuma T, Neal B, </w:t>
      </w:r>
      <w:r w:rsidRPr="0038652E">
        <w:rPr>
          <w:rFonts w:ascii="Times New Roman" w:hAnsi="Times New Roman" w:cs="Times New Roman"/>
          <w:i/>
          <w:iCs/>
          <w:noProof/>
          <w:szCs w:val="24"/>
          <w:lang w:val="sv-SE"/>
        </w:rPr>
        <w:t>et al.</w:t>
      </w:r>
      <w:r w:rsidRPr="0038652E">
        <w:rPr>
          <w:rFonts w:ascii="Times New Roman" w:hAnsi="Times New Roman" w:cs="Times New Roman"/>
          <w:noProof/>
          <w:szCs w:val="24"/>
          <w:lang w:val="sv-SE"/>
        </w:rPr>
        <w:t xml:space="preserve"> </w:t>
      </w:r>
      <w:r w:rsidRPr="00B90562">
        <w:rPr>
          <w:rFonts w:ascii="Times New Roman" w:hAnsi="Times New Roman" w:cs="Times New Roman"/>
          <w:noProof/>
          <w:szCs w:val="24"/>
        </w:rPr>
        <w:t xml:space="preserve">Cardiovascular and Renal Outcomes With Canagliflozin According to Baseline Kidney Function. </w:t>
      </w:r>
      <w:r w:rsidRPr="00B90562">
        <w:rPr>
          <w:rFonts w:ascii="Times New Roman" w:hAnsi="Times New Roman" w:cs="Times New Roman"/>
          <w:i/>
          <w:iCs/>
          <w:noProof/>
          <w:szCs w:val="24"/>
        </w:rPr>
        <w:t>Circulation</w:t>
      </w:r>
      <w:r w:rsidRPr="00B90562">
        <w:rPr>
          <w:rFonts w:ascii="Times New Roman" w:hAnsi="Times New Roman" w:cs="Times New Roman"/>
          <w:noProof/>
          <w:szCs w:val="24"/>
        </w:rPr>
        <w:t xml:space="preserve"> 2018; </w:t>
      </w:r>
      <w:r w:rsidRPr="00B90562">
        <w:rPr>
          <w:rFonts w:ascii="Times New Roman" w:hAnsi="Times New Roman" w:cs="Times New Roman"/>
          <w:b/>
          <w:bCs/>
          <w:noProof/>
          <w:szCs w:val="24"/>
        </w:rPr>
        <w:t>138</w:t>
      </w:r>
      <w:r w:rsidRPr="00B90562">
        <w:rPr>
          <w:rFonts w:ascii="Times New Roman" w:hAnsi="Times New Roman" w:cs="Times New Roman"/>
          <w:noProof/>
          <w:szCs w:val="24"/>
        </w:rPr>
        <w:t>: 1537–50.</w:t>
      </w:r>
    </w:p>
    <w:p w14:paraId="361D73F8" w14:textId="6D8EB6F4" w:rsidR="00B90562" w:rsidRPr="0038652E" w:rsidRDefault="00B90562">
      <w:pPr>
        <w:widowControl w:val="0"/>
        <w:autoSpaceDE w:val="0"/>
        <w:autoSpaceDN w:val="0"/>
        <w:adjustRightInd w:val="0"/>
        <w:spacing w:line="240" w:lineRule="auto"/>
        <w:ind w:left="640" w:hanging="640"/>
        <w:rPr>
          <w:rFonts w:ascii="Times New Roman" w:hAnsi="Times New Roman" w:cs="Times New Roman"/>
          <w:noProof/>
          <w:szCs w:val="24"/>
          <w:lang w:val="sv-SE"/>
        </w:rPr>
      </w:pPr>
      <w:r w:rsidRPr="00B90562">
        <w:rPr>
          <w:rFonts w:ascii="Times New Roman" w:hAnsi="Times New Roman" w:cs="Times New Roman"/>
          <w:noProof/>
          <w:szCs w:val="24"/>
        </w:rPr>
        <w:t>13</w:t>
      </w:r>
      <w:r w:rsidRPr="00B90562">
        <w:rPr>
          <w:rFonts w:ascii="Times New Roman" w:hAnsi="Times New Roman" w:cs="Times New Roman"/>
          <w:noProof/>
          <w:szCs w:val="24"/>
        </w:rPr>
        <w:tab/>
        <w:t xml:space="preserve">Perkovic V, Jardine MJ, Neal B, </w:t>
      </w:r>
      <w:r w:rsidRPr="00B90562">
        <w:rPr>
          <w:rFonts w:ascii="Times New Roman" w:hAnsi="Times New Roman" w:cs="Times New Roman"/>
          <w:i/>
          <w:iCs/>
          <w:noProof/>
          <w:szCs w:val="24"/>
        </w:rPr>
        <w:t>et al.</w:t>
      </w:r>
      <w:r w:rsidRPr="00B90562">
        <w:rPr>
          <w:rFonts w:ascii="Times New Roman" w:hAnsi="Times New Roman" w:cs="Times New Roman"/>
          <w:noProof/>
          <w:szCs w:val="24"/>
        </w:rPr>
        <w:t xml:space="preserve"> Canagliflozin and Renal Outcomes in Type 2 Diabetes and Nephropathy. </w:t>
      </w:r>
      <w:r w:rsidRPr="0038652E">
        <w:rPr>
          <w:rFonts w:ascii="Times New Roman" w:hAnsi="Times New Roman" w:cs="Times New Roman"/>
          <w:i/>
          <w:iCs/>
          <w:noProof/>
          <w:szCs w:val="24"/>
          <w:lang w:val="sv-SE"/>
        </w:rPr>
        <w:t>N Engl J Med</w:t>
      </w:r>
      <w:r w:rsidRPr="0038652E">
        <w:rPr>
          <w:rFonts w:ascii="Times New Roman" w:hAnsi="Times New Roman" w:cs="Times New Roman"/>
          <w:noProof/>
          <w:szCs w:val="24"/>
          <w:lang w:val="sv-SE"/>
        </w:rPr>
        <w:t xml:space="preserve"> 2019; NEJMoa1811744.</w:t>
      </w:r>
    </w:p>
    <w:p w14:paraId="22F6CB89" w14:textId="77777777" w:rsidR="00B90562" w:rsidRPr="0038652E" w:rsidRDefault="00B90562" w:rsidP="00B90562">
      <w:pPr>
        <w:widowControl w:val="0"/>
        <w:autoSpaceDE w:val="0"/>
        <w:autoSpaceDN w:val="0"/>
        <w:adjustRightInd w:val="0"/>
        <w:spacing w:line="240" w:lineRule="auto"/>
        <w:ind w:left="640" w:hanging="640"/>
        <w:rPr>
          <w:rFonts w:ascii="Times New Roman" w:hAnsi="Times New Roman" w:cs="Times New Roman"/>
          <w:noProof/>
          <w:szCs w:val="24"/>
          <w:lang w:val="sv-SE"/>
        </w:rPr>
      </w:pPr>
      <w:r w:rsidRPr="0038652E">
        <w:rPr>
          <w:rFonts w:ascii="Times New Roman" w:hAnsi="Times New Roman" w:cs="Times New Roman"/>
          <w:noProof/>
          <w:szCs w:val="24"/>
          <w:lang w:val="sv-SE"/>
        </w:rPr>
        <w:t>14</w:t>
      </w:r>
      <w:r w:rsidRPr="0038652E">
        <w:rPr>
          <w:rFonts w:ascii="Times New Roman" w:hAnsi="Times New Roman" w:cs="Times New Roman"/>
          <w:noProof/>
          <w:szCs w:val="24"/>
          <w:lang w:val="sv-SE"/>
        </w:rPr>
        <w:tab/>
        <w:t xml:space="preserve">Wiviott SD, Raz I, Bonaca MP, </w:t>
      </w:r>
      <w:r w:rsidRPr="0038652E">
        <w:rPr>
          <w:rFonts w:ascii="Times New Roman" w:hAnsi="Times New Roman" w:cs="Times New Roman"/>
          <w:i/>
          <w:iCs/>
          <w:noProof/>
          <w:szCs w:val="24"/>
          <w:lang w:val="sv-SE"/>
        </w:rPr>
        <w:t>et al.</w:t>
      </w:r>
      <w:r w:rsidRPr="0038652E">
        <w:rPr>
          <w:rFonts w:ascii="Times New Roman" w:hAnsi="Times New Roman" w:cs="Times New Roman"/>
          <w:noProof/>
          <w:szCs w:val="24"/>
          <w:lang w:val="sv-SE"/>
        </w:rPr>
        <w:t xml:space="preserve"> </w:t>
      </w:r>
      <w:r w:rsidRPr="00B90562">
        <w:rPr>
          <w:rFonts w:ascii="Times New Roman" w:hAnsi="Times New Roman" w:cs="Times New Roman"/>
          <w:noProof/>
          <w:szCs w:val="24"/>
        </w:rPr>
        <w:t xml:space="preserve">Dapagliflozin and Cardiovascular Outcomes in Type 2 Diabetes. </w:t>
      </w:r>
      <w:r w:rsidRPr="0038652E">
        <w:rPr>
          <w:rFonts w:ascii="Times New Roman" w:hAnsi="Times New Roman" w:cs="Times New Roman"/>
          <w:i/>
          <w:iCs/>
          <w:noProof/>
          <w:szCs w:val="24"/>
          <w:lang w:val="sv-SE"/>
        </w:rPr>
        <w:t>N Engl J Med</w:t>
      </w:r>
      <w:r w:rsidRPr="0038652E">
        <w:rPr>
          <w:rFonts w:ascii="Times New Roman" w:hAnsi="Times New Roman" w:cs="Times New Roman"/>
          <w:noProof/>
          <w:szCs w:val="24"/>
          <w:lang w:val="sv-SE"/>
        </w:rPr>
        <w:t xml:space="preserve"> 2019; </w:t>
      </w:r>
      <w:r w:rsidRPr="0038652E">
        <w:rPr>
          <w:rFonts w:ascii="Times New Roman" w:hAnsi="Times New Roman" w:cs="Times New Roman"/>
          <w:b/>
          <w:bCs/>
          <w:noProof/>
          <w:szCs w:val="24"/>
          <w:lang w:val="sv-SE"/>
        </w:rPr>
        <w:t>380</w:t>
      </w:r>
      <w:r w:rsidRPr="0038652E">
        <w:rPr>
          <w:rFonts w:ascii="Times New Roman" w:hAnsi="Times New Roman" w:cs="Times New Roman"/>
          <w:noProof/>
          <w:szCs w:val="24"/>
          <w:lang w:val="sv-SE"/>
        </w:rPr>
        <w:t>: 347–57.</w:t>
      </w:r>
    </w:p>
    <w:p w14:paraId="70EB0375" w14:textId="77777777" w:rsidR="00B90562" w:rsidRPr="00B90562" w:rsidRDefault="00B90562" w:rsidP="00B90562">
      <w:pPr>
        <w:widowControl w:val="0"/>
        <w:autoSpaceDE w:val="0"/>
        <w:autoSpaceDN w:val="0"/>
        <w:adjustRightInd w:val="0"/>
        <w:spacing w:line="240" w:lineRule="auto"/>
        <w:ind w:left="640" w:hanging="640"/>
        <w:rPr>
          <w:rFonts w:ascii="Times New Roman" w:hAnsi="Times New Roman" w:cs="Times New Roman"/>
          <w:noProof/>
          <w:szCs w:val="24"/>
        </w:rPr>
      </w:pPr>
      <w:r w:rsidRPr="0038652E">
        <w:rPr>
          <w:rFonts w:ascii="Times New Roman" w:hAnsi="Times New Roman" w:cs="Times New Roman"/>
          <w:noProof/>
          <w:szCs w:val="24"/>
          <w:lang w:val="sv-SE"/>
        </w:rPr>
        <w:t>15</w:t>
      </w:r>
      <w:r w:rsidRPr="0038652E">
        <w:rPr>
          <w:rFonts w:ascii="Times New Roman" w:hAnsi="Times New Roman" w:cs="Times New Roman"/>
          <w:noProof/>
          <w:szCs w:val="24"/>
          <w:lang w:val="sv-SE"/>
        </w:rPr>
        <w:tab/>
        <w:t xml:space="preserve">Wiviott SD, Raz I, Bonaca MP, </w:t>
      </w:r>
      <w:r w:rsidRPr="0038652E">
        <w:rPr>
          <w:rFonts w:ascii="Times New Roman" w:hAnsi="Times New Roman" w:cs="Times New Roman"/>
          <w:i/>
          <w:iCs/>
          <w:noProof/>
          <w:szCs w:val="24"/>
          <w:lang w:val="sv-SE"/>
        </w:rPr>
        <w:t>et al.</w:t>
      </w:r>
      <w:r w:rsidRPr="0038652E">
        <w:rPr>
          <w:rFonts w:ascii="Times New Roman" w:hAnsi="Times New Roman" w:cs="Times New Roman"/>
          <w:noProof/>
          <w:szCs w:val="24"/>
          <w:lang w:val="sv-SE"/>
        </w:rPr>
        <w:t xml:space="preserve"> </w:t>
      </w:r>
      <w:r w:rsidRPr="00B90562">
        <w:rPr>
          <w:rFonts w:ascii="Times New Roman" w:hAnsi="Times New Roman" w:cs="Times New Roman"/>
          <w:noProof/>
          <w:szCs w:val="24"/>
        </w:rPr>
        <w:t xml:space="preserve">The design and rationale for the Dapagliflozin Effect on Cardiovascular Events (DECLARE)–TIMI 58 Trial. </w:t>
      </w:r>
      <w:r w:rsidRPr="00B90562">
        <w:rPr>
          <w:rFonts w:ascii="Times New Roman" w:hAnsi="Times New Roman" w:cs="Times New Roman"/>
          <w:i/>
          <w:iCs/>
          <w:noProof/>
          <w:szCs w:val="24"/>
        </w:rPr>
        <w:t>Am Heart J</w:t>
      </w:r>
      <w:r w:rsidRPr="00B90562">
        <w:rPr>
          <w:rFonts w:ascii="Times New Roman" w:hAnsi="Times New Roman" w:cs="Times New Roman"/>
          <w:noProof/>
          <w:szCs w:val="24"/>
        </w:rPr>
        <w:t xml:space="preserve"> 2018; </w:t>
      </w:r>
      <w:r w:rsidRPr="00B90562">
        <w:rPr>
          <w:rFonts w:ascii="Times New Roman" w:hAnsi="Times New Roman" w:cs="Times New Roman"/>
          <w:b/>
          <w:bCs/>
          <w:noProof/>
          <w:szCs w:val="24"/>
        </w:rPr>
        <w:t>200</w:t>
      </w:r>
      <w:r w:rsidRPr="00B90562">
        <w:rPr>
          <w:rFonts w:ascii="Times New Roman" w:hAnsi="Times New Roman" w:cs="Times New Roman"/>
          <w:noProof/>
          <w:szCs w:val="24"/>
        </w:rPr>
        <w:t>. DOI:10.1016/j.ahj.2018.01.012.</w:t>
      </w:r>
    </w:p>
    <w:p w14:paraId="02F0A4A8" w14:textId="77777777" w:rsidR="00B90562" w:rsidRPr="0038652E" w:rsidRDefault="00B90562" w:rsidP="00B90562">
      <w:pPr>
        <w:widowControl w:val="0"/>
        <w:autoSpaceDE w:val="0"/>
        <w:autoSpaceDN w:val="0"/>
        <w:adjustRightInd w:val="0"/>
        <w:spacing w:line="240" w:lineRule="auto"/>
        <w:ind w:left="640" w:hanging="640"/>
        <w:rPr>
          <w:rFonts w:ascii="Times New Roman" w:hAnsi="Times New Roman" w:cs="Times New Roman"/>
          <w:noProof/>
          <w:szCs w:val="24"/>
          <w:lang w:val="sv-SE"/>
        </w:rPr>
      </w:pPr>
      <w:r w:rsidRPr="00B90562">
        <w:rPr>
          <w:rFonts w:ascii="Times New Roman" w:hAnsi="Times New Roman" w:cs="Times New Roman"/>
          <w:noProof/>
          <w:szCs w:val="24"/>
        </w:rPr>
        <w:t>16</w:t>
      </w:r>
      <w:r w:rsidRPr="00B90562">
        <w:rPr>
          <w:rFonts w:ascii="Times New Roman" w:hAnsi="Times New Roman" w:cs="Times New Roman"/>
          <w:noProof/>
          <w:szCs w:val="24"/>
        </w:rPr>
        <w:tab/>
        <w:t xml:space="preserve">Raz I, Mosenzon O, Bonaca MP, </w:t>
      </w:r>
      <w:r w:rsidRPr="00B90562">
        <w:rPr>
          <w:rFonts w:ascii="Times New Roman" w:hAnsi="Times New Roman" w:cs="Times New Roman"/>
          <w:i/>
          <w:iCs/>
          <w:noProof/>
          <w:szCs w:val="24"/>
        </w:rPr>
        <w:t>et al.</w:t>
      </w:r>
      <w:r w:rsidRPr="00B90562">
        <w:rPr>
          <w:rFonts w:ascii="Times New Roman" w:hAnsi="Times New Roman" w:cs="Times New Roman"/>
          <w:noProof/>
          <w:szCs w:val="24"/>
        </w:rPr>
        <w:t xml:space="preserve"> DECLARE-TIMI 58: Participants’ baseline characteristics. </w:t>
      </w:r>
      <w:r w:rsidRPr="0038652E">
        <w:rPr>
          <w:rFonts w:ascii="Times New Roman" w:hAnsi="Times New Roman" w:cs="Times New Roman"/>
          <w:i/>
          <w:iCs/>
          <w:noProof/>
          <w:szCs w:val="24"/>
          <w:lang w:val="sv-SE"/>
        </w:rPr>
        <w:t>Diabetes, Obes Metab</w:t>
      </w:r>
      <w:r w:rsidRPr="0038652E">
        <w:rPr>
          <w:rFonts w:ascii="Times New Roman" w:hAnsi="Times New Roman" w:cs="Times New Roman"/>
          <w:noProof/>
          <w:szCs w:val="24"/>
          <w:lang w:val="sv-SE"/>
        </w:rPr>
        <w:t xml:space="preserve"> 2018; </w:t>
      </w:r>
      <w:r w:rsidRPr="0038652E">
        <w:rPr>
          <w:rFonts w:ascii="Times New Roman" w:hAnsi="Times New Roman" w:cs="Times New Roman"/>
          <w:b/>
          <w:bCs/>
          <w:noProof/>
          <w:szCs w:val="24"/>
          <w:lang w:val="sv-SE"/>
        </w:rPr>
        <w:t>20</w:t>
      </w:r>
      <w:r w:rsidRPr="0038652E">
        <w:rPr>
          <w:rFonts w:ascii="Times New Roman" w:hAnsi="Times New Roman" w:cs="Times New Roman"/>
          <w:noProof/>
          <w:szCs w:val="24"/>
          <w:lang w:val="sv-SE"/>
        </w:rPr>
        <w:t>: 1102–10.</w:t>
      </w:r>
    </w:p>
    <w:p w14:paraId="64E96BF7" w14:textId="77777777" w:rsidR="00B90562" w:rsidRPr="00B90562" w:rsidRDefault="00B90562" w:rsidP="00B90562">
      <w:pPr>
        <w:widowControl w:val="0"/>
        <w:autoSpaceDE w:val="0"/>
        <w:autoSpaceDN w:val="0"/>
        <w:adjustRightInd w:val="0"/>
        <w:spacing w:line="240" w:lineRule="auto"/>
        <w:ind w:left="640" w:hanging="640"/>
        <w:rPr>
          <w:rFonts w:ascii="Times New Roman" w:hAnsi="Times New Roman" w:cs="Times New Roman"/>
          <w:noProof/>
          <w:szCs w:val="24"/>
        </w:rPr>
      </w:pPr>
      <w:r w:rsidRPr="0038652E">
        <w:rPr>
          <w:rFonts w:ascii="Times New Roman" w:hAnsi="Times New Roman" w:cs="Times New Roman"/>
          <w:noProof/>
          <w:szCs w:val="24"/>
          <w:lang w:val="sv-SE"/>
        </w:rPr>
        <w:t>17</w:t>
      </w:r>
      <w:r w:rsidRPr="0038652E">
        <w:rPr>
          <w:rFonts w:ascii="Times New Roman" w:hAnsi="Times New Roman" w:cs="Times New Roman"/>
          <w:noProof/>
          <w:szCs w:val="24"/>
          <w:lang w:val="sv-SE"/>
        </w:rPr>
        <w:tab/>
        <w:t xml:space="preserve">Schwandt A, Denkinger M, Fasching P, </w:t>
      </w:r>
      <w:r w:rsidRPr="0038652E">
        <w:rPr>
          <w:rFonts w:ascii="Times New Roman" w:hAnsi="Times New Roman" w:cs="Times New Roman"/>
          <w:i/>
          <w:iCs/>
          <w:noProof/>
          <w:szCs w:val="24"/>
          <w:lang w:val="sv-SE"/>
        </w:rPr>
        <w:t>et al.</w:t>
      </w:r>
      <w:r w:rsidRPr="0038652E">
        <w:rPr>
          <w:rFonts w:ascii="Times New Roman" w:hAnsi="Times New Roman" w:cs="Times New Roman"/>
          <w:noProof/>
          <w:szCs w:val="24"/>
          <w:lang w:val="sv-SE"/>
        </w:rPr>
        <w:t xml:space="preserve"> </w:t>
      </w:r>
      <w:r w:rsidRPr="00B90562">
        <w:rPr>
          <w:rFonts w:ascii="Times New Roman" w:hAnsi="Times New Roman" w:cs="Times New Roman"/>
          <w:noProof/>
          <w:szCs w:val="24"/>
        </w:rPr>
        <w:t xml:space="preserve">Comparison of MDRD, CKD-EPI, and Cockcroft-Gault equation in relation to measured glomerular filtration rate among a large cohort with diabetes. </w:t>
      </w:r>
      <w:r w:rsidRPr="00B90562">
        <w:rPr>
          <w:rFonts w:ascii="Times New Roman" w:hAnsi="Times New Roman" w:cs="Times New Roman"/>
          <w:i/>
          <w:iCs/>
          <w:noProof/>
          <w:szCs w:val="24"/>
        </w:rPr>
        <w:t>J Diabetes Complications</w:t>
      </w:r>
      <w:r w:rsidRPr="00B90562">
        <w:rPr>
          <w:rFonts w:ascii="Times New Roman" w:hAnsi="Times New Roman" w:cs="Times New Roman"/>
          <w:noProof/>
          <w:szCs w:val="24"/>
        </w:rPr>
        <w:t xml:space="preserve"> 2017; </w:t>
      </w:r>
      <w:r w:rsidRPr="00B90562">
        <w:rPr>
          <w:rFonts w:ascii="Times New Roman" w:hAnsi="Times New Roman" w:cs="Times New Roman"/>
          <w:b/>
          <w:bCs/>
          <w:noProof/>
          <w:szCs w:val="24"/>
        </w:rPr>
        <w:t>31</w:t>
      </w:r>
      <w:r w:rsidRPr="00B90562">
        <w:rPr>
          <w:rFonts w:ascii="Times New Roman" w:hAnsi="Times New Roman" w:cs="Times New Roman"/>
          <w:noProof/>
          <w:szCs w:val="24"/>
        </w:rPr>
        <w:t>: 1376–83.</w:t>
      </w:r>
    </w:p>
    <w:p w14:paraId="69DFBFA4" w14:textId="77777777" w:rsidR="00B90562" w:rsidRPr="0038652E" w:rsidRDefault="00B90562" w:rsidP="00B90562">
      <w:pPr>
        <w:widowControl w:val="0"/>
        <w:autoSpaceDE w:val="0"/>
        <w:autoSpaceDN w:val="0"/>
        <w:adjustRightInd w:val="0"/>
        <w:spacing w:line="240" w:lineRule="auto"/>
        <w:ind w:left="640" w:hanging="640"/>
        <w:rPr>
          <w:rFonts w:ascii="Times New Roman" w:hAnsi="Times New Roman" w:cs="Times New Roman"/>
          <w:noProof/>
          <w:szCs w:val="24"/>
          <w:lang w:val="sv-SE"/>
        </w:rPr>
      </w:pPr>
      <w:r w:rsidRPr="00B90562">
        <w:rPr>
          <w:rFonts w:ascii="Times New Roman" w:hAnsi="Times New Roman" w:cs="Times New Roman"/>
          <w:noProof/>
          <w:szCs w:val="24"/>
        </w:rPr>
        <w:t>18</w:t>
      </w:r>
      <w:r w:rsidRPr="00B90562">
        <w:rPr>
          <w:rFonts w:ascii="Times New Roman" w:hAnsi="Times New Roman" w:cs="Times New Roman"/>
          <w:noProof/>
          <w:szCs w:val="24"/>
        </w:rPr>
        <w:tab/>
        <w:t xml:space="preserve">Levey AS, Stevens LA, Schmid CH, </w:t>
      </w:r>
      <w:r w:rsidRPr="00B90562">
        <w:rPr>
          <w:rFonts w:ascii="Times New Roman" w:hAnsi="Times New Roman" w:cs="Times New Roman"/>
          <w:i/>
          <w:iCs/>
          <w:noProof/>
          <w:szCs w:val="24"/>
        </w:rPr>
        <w:t>et al.</w:t>
      </w:r>
      <w:r w:rsidRPr="00B90562">
        <w:rPr>
          <w:rFonts w:ascii="Times New Roman" w:hAnsi="Times New Roman" w:cs="Times New Roman"/>
          <w:noProof/>
          <w:szCs w:val="24"/>
        </w:rPr>
        <w:t xml:space="preserve"> A new equation to estimate glomerular filtration rate. </w:t>
      </w:r>
      <w:r w:rsidRPr="0038652E">
        <w:rPr>
          <w:rFonts w:ascii="Times New Roman" w:hAnsi="Times New Roman" w:cs="Times New Roman"/>
          <w:i/>
          <w:iCs/>
          <w:noProof/>
          <w:szCs w:val="24"/>
          <w:lang w:val="sv-SE"/>
        </w:rPr>
        <w:t>Ann Intern Med</w:t>
      </w:r>
      <w:r w:rsidRPr="0038652E">
        <w:rPr>
          <w:rFonts w:ascii="Times New Roman" w:hAnsi="Times New Roman" w:cs="Times New Roman"/>
          <w:noProof/>
          <w:szCs w:val="24"/>
          <w:lang w:val="sv-SE"/>
        </w:rPr>
        <w:t xml:space="preserve"> 2009; </w:t>
      </w:r>
      <w:r w:rsidRPr="0038652E">
        <w:rPr>
          <w:rFonts w:ascii="Times New Roman" w:hAnsi="Times New Roman" w:cs="Times New Roman"/>
          <w:b/>
          <w:bCs/>
          <w:noProof/>
          <w:szCs w:val="24"/>
          <w:lang w:val="sv-SE"/>
        </w:rPr>
        <w:t>150</w:t>
      </w:r>
      <w:r w:rsidRPr="0038652E">
        <w:rPr>
          <w:rFonts w:ascii="Times New Roman" w:hAnsi="Times New Roman" w:cs="Times New Roman"/>
          <w:noProof/>
          <w:szCs w:val="24"/>
          <w:lang w:val="sv-SE"/>
        </w:rPr>
        <w:t>: 604–12.</w:t>
      </w:r>
    </w:p>
    <w:p w14:paraId="47C7F069" w14:textId="77777777" w:rsidR="00B90562" w:rsidRPr="00B90562" w:rsidRDefault="00B90562" w:rsidP="00B90562">
      <w:pPr>
        <w:widowControl w:val="0"/>
        <w:autoSpaceDE w:val="0"/>
        <w:autoSpaceDN w:val="0"/>
        <w:adjustRightInd w:val="0"/>
        <w:spacing w:line="240" w:lineRule="auto"/>
        <w:ind w:left="640" w:hanging="640"/>
        <w:rPr>
          <w:rFonts w:ascii="Times New Roman" w:hAnsi="Times New Roman" w:cs="Times New Roman"/>
          <w:noProof/>
          <w:szCs w:val="24"/>
        </w:rPr>
      </w:pPr>
      <w:r w:rsidRPr="0038652E">
        <w:rPr>
          <w:rFonts w:ascii="Times New Roman" w:hAnsi="Times New Roman" w:cs="Times New Roman"/>
          <w:noProof/>
          <w:szCs w:val="24"/>
          <w:lang w:val="sv-SE"/>
        </w:rPr>
        <w:t>19</w:t>
      </w:r>
      <w:r w:rsidRPr="0038652E">
        <w:rPr>
          <w:rFonts w:ascii="Times New Roman" w:hAnsi="Times New Roman" w:cs="Times New Roman"/>
          <w:noProof/>
          <w:szCs w:val="24"/>
          <w:lang w:val="sv-SE"/>
        </w:rPr>
        <w:tab/>
        <w:t xml:space="preserve">Ninomiya T, Perkovic V, de Galan BE, </w:t>
      </w:r>
      <w:r w:rsidRPr="0038652E">
        <w:rPr>
          <w:rFonts w:ascii="Times New Roman" w:hAnsi="Times New Roman" w:cs="Times New Roman"/>
          <w:i/>
          <w:iCs/>
          <w:noProof/>
          <w:szCs w:val="24"/>
          <w:lang w:val="sv-SE"/>
        </w:rPr>
        <w:t>et al.</w:t>
      </w:r>
      <w:r w:rsidRPr="0038652E">
        <w:rPr>
          <w:rFonts w:ascii="Times New Roman" w:hAnsi="Times New Roman" w:cs="Times New Roman"/>
          <w:noProof/>
          <w:szCs w:val="24"/>
          <w:lang w:val="sv-SE"/>
        </w:rPr>
        <w:t xml:space="preserve"> </w:t>
      </w:r>
      <w:r w:rsidRPr="00B90562">
        <w:rPr>
          <w:rFonts w:ascii="Times New Roman" w:hAnsi="Times New Roman" w:cs="Times New Roman"/>
          <w:noProof/>
          <w:szCs w:val="24"/>
        </w:rPr>
        <w:t xml:space="preserve">Albuminuria and Kidney Function Independently Predict Cardiovascular and Renal Outcomes in Diabetes. </w:t>
      </w:r>
      <w:r w:rsidRPr="00B90562">
        <w:rPr>
          <w:rFonts w:ascii="Times New Roman" w:hAnsi="Times New Roman" w:cs="Times New Roman"/>
          <w:i/>
          <w:iCs/>
          <w:noProof/>
          <w:szCs w:val="24"/>
        </w:rPr>
        <w:t>J Am Soc Nephrol</w:t>
      </w:r>
      <w:r w:rsidRPr="00B90562">
        <w:rPr>
          <w:rFonts w:ascii="Times New Roman" w:hAnsi="Times New Roman" w:cs="Times New Roman"/>
          <w:noProof/>
          <w:szCs w:val="24"/>
        </w:rPr>
        <w:t xml:space="preserve"> 2009; </w:t>
      </w:r>
      <w:r w:rsidRPr="00B90562">
        <w:rPr>
          <w:rFonts w:ascii="Times New Roman" w:hAnsi="Times New Roman" w:cs="Times New Roman"/>
          <w:b/>
          <w:bCs/>
          <w:noProof/>
          <w:szCs w:val="24"/>
        </w:rPr>
        <w:t>20</w:t>
      </w:r>
      <w:r w:rsidRPr="00B90562">
        <w:rPr>
          <w:rFonts w:ascii="Times New Roman" w:hAnsi="Times New Roman" w:cs="Times New Roman"/>
          <w:noProof/>
          <w:szCs w:val="24"/>
        </w:rPr>
        <w:t>: 1813–21.</w:t>
      </w:r>
    </w:p>
    <w:p w14:paraId="5C5ED352" w14:textId="77777777" w:rsidR="00B90562" w:rsidRPr="00B90562" w:rsidRDefault="00B90562" w:rsidP="00B90562">
      <w:pPr>
        <w:widowControl w:val="0"/>
        <w:autoSpaceDE w:val="0"/>
        <w:autoSpaceDN w:val="0"/>
        <w:adjustRightInd w:val="0"/>
        <w:spacing w:line="240" w:lineRule="auto"/>
        <w:ind w:left="640" w:hanging="640"/>
        <w:rPr>
          <w:rFonts w:ascii="Times New Roman" w:hAnsi="Times New Roman" w:cs="Times New Roman"/>
          <w:noProof/>
          <w:szCs w:val="24"/>
        </w:rPr>
      </w:pPr>
      <w:r w:rsidRPr="00B90562">
        <w:rPr>
          <w:rFonts w:ascii="Times New Roman" w:hAnsi="Times New Roman" w:cs="Times New Roman"/>
          <w:noProof/>
          <w:szCs w:val="24"/>
        </w:rPr>
        <w:t>20</w:t>
      </w:r>
      <w:r w:rsidRPr="00B90562">
        <w:rPr>
          <w:rFonts w:ascii="Times New Roman" w:hAnsi="Times New Roman" w:cs="Times New Roman"/>
          <w:noProof/>
          <w:szCs w:val="24"/>
        </w:rPr>
        <w:tab/>
        <w:t xml:space="preserve">Gerstein HC, Mann JF, Yi Q, </w:t>
      </w:r>
      <w:r w:rsidRPr="00B90562">
        <w:rPr>
          <w:rFonts w:ascii="Times New Roman" w:hAnsi="Times New Roman" w:cs="Times New Roman"/>
          <w:i/>
          <w:iCs/>
          <w:noProof/>
          <w:szCs w:val="24"/>
        </w:rPr>
        <w:t>et al.</w:t>
      </w:r>
      <w:r w:rsidRPr="00B90562">
        <w:rPr>
          <w:rFonts w:ascii="Times New Roman" w:hAnsi="Times New Roman" w:cs="Times New Roman"/>
          <w:noProof/>
          <w:szCs w:val="24"/>
        </w:rPr>
        <w:t xml:space="preserve"> Albuminuria and risk of cardiovascular events, death, and heart failure in diabetic and nondiabetic individuals. </w:t>
      </w:r>
      <w:r w:rsidRPr="00B90562">
        <w:rPr>
          <w:rFonts w:ascii="Times New Roman" w:hAnsi="Times New Roman" w:cs="Times New Roman"/>
          <w:i/>
          <w:iCs/>
          <w:noProof/>
          <w:szCs w:val="24"/>
        </w:rPr>
        <w:t>JAMA</w:t>
      </w:r>
      <w:r w:rsidRPr="00B90562">
        <w:rPr>
          <w:rFonts w:ascii="Times New Roman" w:hAnsi="Times New Roman" w:cs="Times New Roman"/>
          <w:noProof/>
          <w:szCs w:val="24"/>
        </w:rPr>
        <w:t xml:space="preserve"> 2001; </w:t>
      </w:r>
      <w:r w:rsidRPr="00B90562">
        <w:rPr>
          <w:rFonts w:ascii="Times New Roman" w:hAnsi="Times New Roman" w:cs="Times New Roman"/>
          <w:b/>
          <w:bCs/>
          <w:noProof/>
          <w:szCs w:val="24"/>
        </w:rPr>
        <w:t>286</w:t>
      </w:r>
      <w:r w:rsidRPr="00B90562">
        <w:rPr>
          <w:rFonts w:ascii="Times New Roman" w:hAnsi="Times New Roman" w:cs="Times New Roman"/>
          <w:noProof/>
          <w:szCs w:val="24"/>
        </w:rPr>
        <w:t>: 421–6.</w:t>
      </w:r>
    </w:p>
    <w:p w14:paraId="3CDDCF33" w14:textId="77777777" w:rsidR="00B90562" w:rsidRPr="00B90562" w:rsidRDefault="00B90562" w:rsidP="00B90562">
      <w:pPr>
        <w:widowControl w:val="0"/>
        <w:autoSpaceDE w:val="0"/>
        <w:autoSpaceDN w:val="0"/>
        <w:adjustRightInd w:val="0"/>
        <w:spacing w:line="240" w:lineRule="auto"/>
        <w:ind w:left="640" w:hanging="640"/>
        <w:rPr>
          <w:rFonts w:ascii="Times New Roman" w:hAnsi="Times New Roman" w:cs="Times New Roman"/>
          <w:noProof/>
          <w:szCs w:val="24"/>
        </w:rPr>
      </w:pPr>
      <w:r w:rsidRPr="00B90562">
        <w:rPr>
          <w:rFonts w:ascii="Times New Roman" w:hAnsi="Times New Roman" w:cs="Times New Roman"/>
          <w:noProof/>
          <w:szCs w:val="24"/>
        </w:rPr>
        <w:t>21</w:t>
      </w:r>
      <w:r w:rsidRPr="00B90562">
        <w:rPr>
          <w:rFonts w:ascii="Times New Roman" w:hAnsi="Times New Roman" w:cs="Times New Roman"/>
          <w:noProof/>
          <w:szCs w:val="24"/>
        </w:rPr>
        <w:tab/>
        <w:t xml:space="preserve">Hollenberg NK. Urinary albumin excretion predicts cardiovascular and non-cardiovascular mortality in general population. </w:t>
      </w:r>
      <w:r w:rsidRPr="00B90562">
        <w:rPr>
          <w:rFonts w:ascii="Times New Roman" w:hAnsi="Times New Roman" w:cs="Times New Roman"/>
          <w:i/>
          <w:iCs/>
          <w:noProof/>
          <w:szCs w:val="24"/>
        </w:rPr>
        <w:t>Curr Hypertens Rep</w:t>
      </w:r>
      <w:r w:rsidRPr="00B90562">
        <w:rPr>
          <w:rFonts w:ascii="Times New Roman" w:hAnsi="Times New Roman" w:cs="Times New Roman"/>
          <w:noProof/>
          <w:szCs w:val="24"/>
        </w:rPr>
        <w:t xml:space="preserve"> 2003; </w:t>
      </w:r>
      <w:r w:rsidRPr="00B90562">
        <w:rPr>
          <w:rFonts w:ascii="Times New Roman" w:hAnsi="Times New Roman" w:cs="Times New Roman"/>
          <w:b/>
          <w:bCs/>
          <w:noProof/>
          <w:szCs w:val="24"/>
        </w:rPr>
        <w:t>5</w:t>
      </w:r>
      <w:r w:rsidRPr="00B90562">
        <w:rPr>
          <w:rFonts w:ascii="Times New Roman" w:hAnsi="Times New Roman" w:cs="Times New Roman"/>
          <w:noProof/>
          <w:szCs w:val="24"/>
        </w:rPr>
        <w:t>: 356–7.</w:t>
      </w:r>
    </w:p>
    <w:p w14:paraId="2462AC46" w14:textId="77777777" w:rsidR="00B90562" w:rsidRPr="00B90562" w:rsidRDefault="00B90562" w:rsidP="00B90562">
      <w:pPr>
        <w:widowControl w:val="0"/>
        <w:autoSpaceDE w:val="0"/>
        <w:autoSpaceDN w:val="0"/>
        <w:adjustRightInd w:val="0"/>
        <w:spacing w:line="240" w:lineRule="auto"/>
        <w:ind w:left="640" w:hanging="640"/>
        <w:rPr>
          <w:rFonts w:ascii="Times New Roman" w:hAnsi="Times New Roman" w:cs="Times New Roman"/>
          <w:noProof/>
          <w:szCs w:val="24"/>
        </w:rPr>
      </w:pPr>
      <w:r w:rsidRPr="00B90562">
        <w:rPr>
          <w:rFonts w:ascii="Times New Roman" w:hAnsi="Times New Roman" w:cs="Times New Roman"/>
          <w:noProof/>
          <w:szCs w:val="24"/>
        </w:rPr>
        <w:t>22</w:t>
      </w:r>
      <w:r w:rsidRPr="00B90562">
        <w:rPr>
          <w:rFonts w:ascii="Times New Roman" w:hAnsi="Times New Roman" w:cs="Times New Roman"/>
          <w:noProof/>
          <w:szCs w:val="24"/>
        </w:rPr>
        <w:tab/>
        <w:t xml:space="preserve">Scirica BM, Mosenzon O, Bhatt DL, </w:t>
      </w:r>
      <w:r w:rsidRPr="00B90562">
        <w:rPr>
          <w:rFonts w:ascii="Times New Roman" w:hAnsi="Times New Roman" w:cs="Times New Roman"/>
          <w:i/>
          <w:iCs/>
          <w:noProof/>
          <w:szCs w:val="24"/>
        </w:rPr>
        <w:t>et al.</w:t>
      </w:r>
      <w:r w:rsidRPr="00B90562">
        <w:rPr>
          <w:rFonts w:ascii="Times New Roman" w:hAnsi="Times New Roman" w:cs="Times New Roman"/>
          <w:noProof/>
          <w:szCs w:val="24"/>
        </w:rPr>
        <w:t xml:space="preserve"> Cardiovascular Outcomes According to Urinary Albumin and Kidney Disease in Patients With Type 2 Diabetes at High Cardiovascular Risk. </w:t>
      </w:r>
      <w:r w:rsidRPr="00B90562">
        <w:rPr>
          <w:rFonts w:ascii="Times New Roman" w:hAnsi="Times New Roman" w:cs="Times New Roman"/>
          <w:i/>
          <w:iCs/>
          <w:noProof/>
          <w:szCs w:val="24"/>
        </w:rPr>
        <w:t>JAMA Cardiol</w:t>
      </w:r>
      <w:r w:rsidRPr="00B90562">
        <w:rPr>
          <w:rFonts w:ascii="Times New Roman" w:hAnsi="Times New Roman" w:cs="Times New Roman"/>
          <w:noProof/>
          <w:szCs w:val="24"/>
        </w:rPr>
        <w:t xml:space="preserve"> 2018; </w:t>
      </w:r>
      <w:r w:rsidRPr="00B90562">
        <w:rPr>
          <w:rFonts w:ascii="Times New Roman" w:hAnsi="Times New Roman" w:cs="Times New Roman"/>
          <w:b/>
          <w:bCs/>
          <w:noProof/>
          <w:szCs w:val="24"/>
        </w:rPr>
        <w:t>3</w:t>
      </w:r>
      <w:r w:rsidRPr="00B90562">
        <w:rPr>
          <w:rFonts w:ascii="Times New Roman" w:hAnsi="Times New Roman" w:cs="Times New Roman"/>
          <w:noProof/>
          <w:szCs w:val="24"/>
        </w:rPr>
        <w:t>: 155.</w:t>
      </w:r>
    </w:p>
    <w:p w14:paraId="7877BD9C" w14:textId="77777777" w:rsidR="00B90562" w:rsidRPr="00B90562" w:rsidRDefault="00B90562" w:rsidP="00B90562">
      <w:pPr>
        <w:widowControl w:val="0"/>
        <w:autoSpaceDE w:val="0"/>
        <w:autoSpaceDN w:val="0"/>
        <w:adjustRightInd w:val="0"/>
        <w:spacing w:line="240" w:lineRule="auto"/>
        <w:ind w:left="640" w:hanging="640"/>
        <w:rPr>
          <w:rFonts w:ascii="Times New Roman" w:hAnsi="Times New Roman" w:cs="Times New Roman"/>
          <w:noProof/>
          <w:szCs w:val="24"/>
        </w:rPr>
      </w:pPr>
      <w:r w:rsidRPr="00B90562">
        <w:rPr>
          <w:rFonts w:ascii="Times New Roman" w:hAnsi="Times New Roman" w:cs="Times New Roman"/>
          <w:noProof/>
          <w:szCs w:val="24"/>
        </w:rPr>
        <w:t>23</w:t>
      </w:r>
      <w:r w:rsidRPr="00B90562">
        <w:rPr>
          <w:rFonts w:ascii="Times New Roman" w:hAnsi="Times New Roman" w:cs="Times New Roman"/>
          <w:noProof/>
          <w:szCs w:val="24"/>
        </w:rPr>
        <w:tab/>
        <w:t xml:space="preserve">Heerspink HJL, Kosiborod M, Inzucchi SE, Cherney DZI. Renoprotective effects of sodium-glucose cotransporter-2 inhibitors. </w:t>
      </w:r>
      <w:r w:rsidRPr="00B90562">
        <w:rPr>
          <w:rFonts w:ascii="Times New Roman" w:hAnsi="Times New Roman" w:cs="Times New Roman"/>
          <w:i/>
          <w:iCs/>
          <w:noProof/>
          <w:szCs w:val="24"/>
        </w:rPr>
        <w:t>Kidney Int</w:t>
      </w:r>
      <w:r w:rsidRPr="00B90562">
        <w:rPr>
          <w:rFonts w:ascii="Times New Roman" w:hAnsi="Times New Roman" w:cs="Times New Roman"/>
          <w:noProof/>
          <w:szCs w:val="24"/>
        </w:rPr>
        <w:t xml:space="preserve"> 2018; </w:t>
      </w:r>
      <w:r w:rsidRPr="00B90562">
        <w:rPr>
          <w:rFonts w:ascii="Times New Roman" w:hAnsi="Times New Roman" w:cs="Times New Roman"/>
          <w:b/>
          <w:bCs/>
          <w:noProof/>
          <w:szCs w:val="24"/>
        </w:rPr>
        <w:t>94</w:t>
      </w:r>
      <w:r w:rsidRPr="00B90562">
        <w:rPr>
          <w:rFonts w:ascii="Times New Roman" w:hAnsi="Times New Roman" w:cs="Times New Roman"/>
          <w:noProof/>
          <w:szCs w:val="24"/>
        </w:rPr>
        <w:t>: 26–39.</w:t>
      </w:r>
    </w:p>
    <w:p w14:paraId="24B2151E" w14:textId="77777777" w:rsidR="00B90562" w:rsidRPr="00B90562" w:rsidRDefault="00B90562" w:rsidP="00B90562">
      <w:pPr>
        <w:widowControl w:val="0"/>
        <w:autoSpaceDE w:val="0"/>
        <w:autoSpaceDN w:val="0"/>
        <w:adjustRightInd w:val="0"/>
        <w:spacing w:line="240" w:lineRule="auto"/>
        <w:ind w:left="640" w:hanging="640"/>
        <w:rPr>
          <w:rFonts w:ascii="Times New Roman" w:hAnsi="Times New Roman" w:cs="Times New Roman"/>
          <w:noProof/>
          <w:szCs w:val="24"/>
        </w:rPr>
      </w:pPr>
      <w:r w:rsidRPr="00B90562">
        <w:rPr>
          <w:rFonts w:ascii="Times New Roman" w:hAnsi="Times New Roman" w:cs="Times New Roman"/>
          <w:noProof/>
          <w:szCs w:val="24"/>
        </w:rPr>
        <w:t>24</w:t>
      </w:r>
      <w:r w:rsidRPr="00B90562">
        <w:rPr>
          <w:rFonts w:ascii="Times New Roman" w:hAnsi="Times New Roman" w:cs="Times New Roman"/>
          <w:noProof/>
          <w:szCs w:val="24"/>
        </w:rPr>
        <w:tab/>
        <w:t xml:space="preserve">de Albuquerque Rocha N, Neeland IJ, McCullough PA, Toto RD, McGuire DK. Effects of sodium glucose co-transporter 2 inhibitors on the kidney. </w:t>
      </w:r>
      <w:r w:rsidRPr="00B90562">
        <w:rPr>
          <w:rFonts w:ascii="Times New Roman" w:hAnsi="Times New Roman" w:cs="Times New Roman"/>
          <w:i/>
          <w:iCs/>
          <w:noProof/>
          <w:szCs w:val="24"/>
        </w:rPr>
        <w:t>Diabetes Vasc Dis Res</w:t>
      </w:r>
      <w:r w:rsidRPr="00B90562">
        <w:rPr>
          <w:rFonts w:ascii="Times New Roman" w:hAnsi="Times New Roman" w:cs="Times New Roman"/>
          <w:noProof/>
          <w:szCs w:val="24"/>
        </w:rPr>
        <w:t xml:space="preserve"> 2018; </w:t>
      </w:r>
      <w:r w:rsidRPr="00B90562">
        <w:rPr>
          <w:rFonts w:ascii="Times New Roman" w:hAnsi="Times New Roman" w:cs="Times New Roman"/>
          <w:b/>
          <w:bCs/>
          <w:noProof/>
          <w:szCs w:val="24"/>
        </w:rPr>
        <w:t>15</w:t>
      </w:r>
      <w:r w:rsidRPr="00B90562">
        <w:rPr>
          <w:rFonts w:ascii="Times New Roman" w:hAnsi="Times New Roman" w:cs="Times New Roman"/>
          <w:noProof/>
          <w:szCs w:val="24"/>
        </w:rPr>
        <w:t>: 375–86.</w:t>
      </w:r>
    </w:p>
    <w:p w14:paraId="5EE0D4B9" w14:textId="77777777" w:rsidR="00B90562" w:rsidRPr="00B90562" w:rsidRDefault="00B90562" w:rsidP="00B90562">
      <w:pPr>
        <w:widowControl w:val="0"/>
        <w:autoSpaceDE w:val="0"/>
        <w:autoSpaceDN w:val="0"/>
        <w:adjustRightInd w:val="0"/>
        <w:spacing w:line="240" w:lineRule="auto"/>
        <w:ind w:left="640" w:hanging="640"/>
        <w:rPr>
          <w:rFonts w:ascii="Times New Roman" w:hAnsi="Times New Roman" w:cs="Times New Roman"/>
          <w:noProof/>
          <w:szCs w:val="24"/>
        </w:rPr>
      </w:pPr>
      <w:r w:rsidRPr="00B90562">
        <w:rPr>
          <w:rFonts w:ascii="Times New Roman" w:hAnsi="Times New Roman" w:cs="Times New Roman"/>
          <w:noProof/>
          <w:szCs w:val="24"/>
        </w:rPr>
        <w:t>25</w:t>
      </w:r>
      <w:r w:rsidRPr="00B90562">
        <w:rPr>
          <w:rFonts w:ascii="Times New Roman" w:hAnsi="Times New Roman" w:cs="Times New Roman"/>
          <w:noProof/>
          <w:szCs w:val="24"/>
        </w:rPr>
        <w:tab/>
        <w:t xml:space="preserve">DeFronzo RA, Norton L, Abdul-Ghani M. Renal, metabolic and cardiovascular considerations of SGLT2 inhibition. </w:t>
      </w:r>
      <w:r w:rsidRPr="00B90562">
        <w:rPr>
          <w:rFonts w:ascii="Times New Roman" w:hAnsi="Times New Roman" w:cs="Times New Roman"/>
          <w:i/>
          <w:iCs/>
          <w:noProof/>
          <w:szCs w:val="24"/>
        </w:rPr>
        <w:t>Nat Rev Nephrol</w:t>
      </w:r>
      <w:r w:rsidRPr="00B90562">
        <w:rPr>
          <w:rFonts w:ascii="Times New Roman" w:hAnsi="Times New Roman" w:cs="Times New Roman"/>
          <w:noProof/>
          <w:szCs w:val="24"/>
        </w:rPr>
        <w:t xml:space="preserve"> 2017; </w:t>
      </w:r>
      <w:r w:rsidRPr="00B90562">
        <w:rPr>
          <w:rFonts w:ascii="Times New Roman" w:hAnsi="Times New Roman" w:cs="Times New Roman"/>
          <w:b/>
          <w:bCs/>
          <w:noProof/>
          <w:szCs w:val="24"/>
        </w:rPr>
        <w:t>13</w:t>
      </w:r>
      <w:r w:rsidRPr="00B90562">
        <w:rPr>
          <w:rFonts w:ascii="Times New Roman" w:hAnsi="Times New Roman" w:cs="Times New Roman"/>
          <w:noProof/>
          <w:szCs w:val="24"/>
        </w:rPr>
        <w:t>: 11–26.</w:t>
      </w:r>
    </w:p>
    <w:p w14:paraId="724D9937" w14:textId="77777777" w:rsidR="00B90562" w:rsidRPr="00B90562" w:rsidRDefault="00B90562" w:rsidP="00B90562">
      <w:pPr>
        <w:widowControl w:val="0"/>
        <w:autoSpaceDE w:val="0"/>
        <w:autoSpaceDN w:val="0"/>
        <w:adjustRightInd w:val="0"/>
        <w:spacing w:line="240" w:lineRule="auto"/>
        <w:ind w:left="640" w:hanging="640"/>
        <w:rPr>
          <w:rFonts w:ascii="Times New Roman" w:hAnsi="Times New Roman" w:cs="Times New Roman"/>
          <w:noProof/>
          <w:szCs w:val="24"/>
        </w:rPr>
      </w:pPr>
      <w:r w:rsidRPr="00B90562">
        <w:rPr>
          <w:rFonts w:ascii="Times New Roman" w:hAnsi="Times New Roman" w:cs="Times New Roman"/>
          <w:noProof/>
          <w:szCs w:val="24"/>
        </w:rPr>
        <w:t>26</w:t>
      </w:r>
      <w:r w:rsidRPr="00B90562">
        <w:rPr>
          <w:rFonts w:ascii="Times New Roman" w:hAnsi="Times New Roman" w:cs="Times New Roman"/>
          <w:noProof/>
          <w:szCs w:val="24"/>
        </w:rPr>
        <w:tab/>
        <w:t xml:space="preserve">Heerspink HJL, Perkins BA, Fitchett DH, Husain M, Cherney DZI. Sodium Glucose Cotransporter 2 Inhibitors in the Treatment of Diabetes Mellitus. </w:t>
      </w:r>
      <w:r w:rsidRPr="00B90562">
        <w:rPr>
          <w:rFonts w:ascii="Times New Roman" w:hAnsi="Times New Roman" w:cs="Times New Roman"/>
          <w:i/>
          <w:iCs/>
          <w:noProof/>
          <w:szCs w:val="24"/>
        </w:rPr>
        <w:t>Circulation</w:t>
      </w:r>
      <w:r w:rsidRPr="00B90562">
        <w:rPr>
          <w:rFonts w:ascii="Times New Roman" w:hAnsi="Times New Roman" w:cs="Times New Roman"/>
          <w:noProof/>
          <w:szCs w:val="24"/>
        </w:rPr>
        <w:t xml:space="preserve"> 2016; </w:t>
      </w:r>
      <w:r w:rsidRPr="00B90562">
        <w:rPr>
          <w:rFonts w:ascii="Times New Roman" w:hAnsi="Times New Roman" w:cs="Times New Roman"/>
          <w:b/>
          <w:bCs/>
          <w:noProof/>
          <w:szCs w:val="24"/>
        </w:rPr>
        <w:t>134</w:t>
      </w:r>
      <w:r w:rsidRPr="00B90562">
        <w:rPr>
          <w:rFonts w:ascii="Times New Roman" w:hAnsi="Times New Roman" w:cs="Times New Roman"/>
          <w:noProof/>
          <w:szCs w:val="24"/>
        </w:rPr>
        <w:t>: 752–72.</w:t>
      </w:r>
    </w:p>
    <w:p w14:paraId="25FBD548" w14:textId="77777777" w:rsidR="00B90562" w:rsidRPr="00B90562" w:rsidRDefault="00B90562" w:rsidP="00B90562">
      <w:pPr>
        <w:widowControl w:val="0"/>
        <w:autoSpaceDE w:val="0"/>
        <w:autoSpaceDN w:val="0"/>
        <w:adjustRightInd w:val="0"/>
        <w:spacing w:line="240" w:lineRule="auto"/>
        <w:ind w:left="640" w:hanging="640"/>
        <w:rPr>
          <w:rFonts w:ascii="Times New Roman" w:hAnsi="Times New Roman" w:cs="Times New Roman"/>
          <w:noProof/>
          <w:szCs w:val="24"/>
        </w:rPr>
      </w:pPr>
      <w:r w:rsidRPr="00B90562">
        <w:rPr>
          <w:rFonts w:ascii="Times New Roman" w:hAnsi="Times New Roman" w:cs="Times New Roman"/>
          <w:noProof/>
          <w:szCs w:val="24"/>
        </w:rPr>
        <w:t>27</w:t>
      </w:r>
      <w:r w:rsidRPr="00B90562">
        <w:rPr>
          <w:rFonts w:ascii="Times New Roman" w:hAnsi="Times New Roman" w:cs="Times New Roman"/>
          <w:noProof/>
          <w:szCs w:val="24"/>
        </w:rPr>
        <w:tab/>
        <w:t xml:space="preserve">Fioretto P, Zambon A, Rossato M, Busetto L, Vettor R. SGLT2 Inhibitors and the Diabetic Kidney. </w:t>
      </w:r>
      <w:r w:rsidRPr="00B90562">
        <w:rPr>
          <w:rFonts w:ascii="Times New Roman" w:hAnsi="Times New Roman" w:cs="Times New Roman"/>
          <w:i/>
          <w:iCs/>
          <w:noProof/>
          <w:szCs w:val="24"/>
        </w:rPr>
        <w:t>Diabetes Care</w:t>
      </w:r>
      <w:r w:rsidRPr="00B90562">
        <w:rPr>
          <w:rFonts w:ascii="Times New Roman" w:hAnsi="Times New Roman" w:cs="Times New Roman"/>
          <w:noProof/>
          <w:szCs w:val="24"/>
        </w:rPr>
        <w:t xml:space="preserve"> 2016; </w:t>
      </w:r>
      <w:r w:rsidRPr="00B90562">
        <w:rPr>
          <w:rFonts w:ascii="Times New Roman" w:hAnsi="Times New Roman" w:cs="Times New Roman"/>
          <w:b/>
          <w:bCs/>
          <w:noProof/>
          <w:szCs w:val="24"/>
        </w:rPr>
        <w:t>39</w:t>
      </w:r>
      <w:r w:rsidRPr="00B90562">
        <w:rPr>
          <w:rFonts w:ascii="Times New Roman" w:hAnsi="Times New Roman" w:cs="Times New Roman"/>
          <w:noProof/>
          <w:szCs w:val="24"/>
        </w:rPr>
        <w:t>: S165–71.</w:t>
      </w:r>
    </w:p>
    <w:p w14:paraId="49320033" w14:textId="77777777" w:rsidR="00B90562" w:rsidRPr="00B90562" w:rsidRDefault="00B90562" w:rsidP="00B90562">
      <w:pPr>
        <w:widowControl w:val="0"/>
        <w:autoSpaceDE w:val="0"/>
        <w:autoSpaceDN w:val="0"/>
        <w:adjustRightInd w:val="0"/>
        <w:spacing w:line="240" w:lineRule="auto"/>
        <w:ind w:left="640" w:hanging="640"/>
        <w:rPr>
          <w:rFonts w:ascii="Times New Roman" w:hAnsi="Times New Roman" w:cs="Times New Roman"/>
          <w:noProof/>
          <w:szCs w:val="24"/>
        </w:rPr>
      </w:pPr>
      <w:r w:rsidRPr="00B90562">
        <w:rPr>
          <w:rFonts w:ascii="Times New Roman" w:hAnsi="Times New Roman" w:cs="Times New Roman"/>
          <w:noProof/>
          <w:szCs w:val="24"/>
        </w:rPr>
        <w:lastRenderedPageBreak/>
        <w:t>28</w:t>
      </w:r>
      <w:r w:rsidRPr="00B90562">
        <w:rPr>
          <w:rFonts w:ascii="Times New Roman" w:hAnsi="Times New Roman" w:cs="Times New Roman"/>
          <w:noProof/>
          <w:szCs w:val="24"/>
        </w:rPr>
        <w:tab/>
        <w:t>Research C for DE and. Drug Safety and Availability - FDA Drug Safety Communication: FDA strengthens kidney warnings for diabetes medicines canagliflozin (Invokana, Invokamet) and dapagliflozin (Farxiga, Xigduo XR). https://www.fda.gov/drugs/drugsafety/ucm505860.htm (accessed April 1, 2019).</w:t>
      </w:r>
    </w:p>
    <w:p w14:paraId="1E3E8496" w14:textId="77777777" w:rsidR="00B90562" w:rsidRPr="00B90562" w:rsidRDefault="00B90562" w:rsidP="00B90562">
      <w:pPr>
        <w:widowControl w:val="0"/>
        <w:autoSpaceDE w:val="0"/>
        <w:autoSpaceDN w:val="0"/>
        <w:adjustRightInd w:val="0"/>
        <w:spacing w:line="240" w:lineRule="auto"/>
        <w:ind w:left="640" w:hanging="640"/>
        <w:rPr>
          <w:rFonts w:ascii="Times New Roman" w:hAnsi="Times New Roman" w:cs="Times New Roman"/>
          <w:noProof/>
          <w:szCs w:val="24"/>
        </w:rPr>
      </w:pPr>
      <w:r w:rsidRPr="00B90562">
        <w:rPr>
          <w:rFonts w:ascii="Times New Roman" w:hAnsi="Times New Roman" w:cs="Times New Roman"/>
          <w:noProof/>
          <w:szCs w:val="24"/>
        </w:rPr>
        <w:t>29</w:t>
      </w:r>
      <w:r w:rsidRPr="00B90562">
        <w:rPr>
          <w:rFonts w:ascii="Times New Roman" w:hAnsi="Times New Roman" w:cs="Times New Roman"/>
          <w:noProof/>
          <w:szCs w:val="24"/>
        </w:rPr>
        <w:tab/>
        <w:t xml:space="preserve">Fadini GP, Solini A, Manca ML, </w:t>
      </w:r>
      <w:r w:rsidRPr="00B90562">
        <w:rPr>
          <w:rFonts w:ascii="Times New Roman" w:hAnsi="Times New Roman" w:cs="Times New Roman"/>
          <w:i/>
          <w:iCs/>
          <w:noProof/>
          <w:szCs w:val="24"/>
        </w:rPr>
        <w:t>et al.</w:t>
      </w:r>
      <w:r w:rsidRPr="00B90562">
        <w:rPr>
          <w:rFonts w:ascii="Times New Roman" w:hAnsi="Times New Roman" w:cs="Times New Roman"/>
          <w:noProof/>
          <w:szCs w:val="24"/>
        </w:rPr>
        <w:t xml:space="preserve"> Effectiveness of dapagliflozin versus comparators on renal endpoints in the real world: A multicentre retrospective study. </w:t>
      </w:r>
      <w:r w:rsidRPr="00B90562">
        <w:rPr>
          <w:rFonts w:ascii="Times New Roman" w:hAnsi="Times New Roman" w:cs="Times New Roman"/>
          <w:i/>
          <w:iCs/>
          <w:noProof/>
          <w:szCs w:val="24"/>
        </w:rPr>
        <w:t>Diabetes, Obes Metab</w:t>
      </w:r>
      <w:r w:rsidRPr="00B90562">
        <w:rPr>
          <w:rFonts w:ascii="Times New Roman" w:hAnsi="Times New Roman" w:cs="Times New Roman"/>
          <w:noProof/>
          <w:szCs w:val="24"/>
        </w:rPr>
        <w:t xml:space="preserve"> 2019; </w:t>
      </w:r>
      <w:r w:rsidRPr="00B90562">
        <w:rPr>
          <w:rFonts w:ascii="Times New Roman" w:hAnsi="Times New Roman" w:cs="Times New Roman"/>
          <w:b/>
          <w:bCs/>
          <w:noProof/>
          <w:szCs w:val="24"/>
        </w:rPr>
        <w:t>21</w:t>
      </w:r>
      <w:r w:rsidRPr="00B90562">
        <w:rPr>
          <w:rFonts w:ascii="Times New Roman" w:hAnsi="Times New Roman" w:cs="Times New Roman"/>
          <w:noProof/>
          <w:szCs w:val="24"/>
        </w:rPr>
        <w:t>: 252–60.</w:t>
      </w:r>
    </w:p>
    <w:p w14:paraId="5F714316" w14:textId="77777777" w:rsidR="00B90562" w:rsidRPr="00B90562" w:rsidRDefault="00B90562" w:rsidP="00B90562">
      <w:pPr>
        <w:widowControl w:val="0"/>
        <w:autoSpaceDE w:val="0"/>
        <w:autoSpaceDN w:val="0"/>
        <w:adjustRightInd w:val="0"/>
        <w:spacing w:line="240" w:lineRule="auto"/>
        <w:ind w:left="640" w:hanging="640"/>
        <w:rPr>
          <w:rFonts w:ascii="Times New Roman" w:hAnsi="Times New Roman" w:cs="Times New Roman"/>
          <w:noProof/>
        </w:rPr>
      </w:pPr>
      <w:r w:rsidRPr="00B90562">
        <w:rPr>
          <w:rFonts w:ascii="Times New Roman" w:hAnsi="Times New Roman" w:cs="Times New Roman"/>
          <w:noProof/>
          <w:szCs w:val="24"/>
        </w:rPr>
        <w:t>30</w:t>
      </w:r>
      <w:r w:rsidRPr="00B90562">
        <w:rPr>
          <w:rFonts w:ascii="Times New Roman" w:hAnsi="Times New Roman" w:cs="Times New Roman"/>
          <w:noProof/>
          <w:szCs w:val="24"/>
        </w:rPr>
        <w:tab/>
        <w:t xml:space="preserve">Cahn A, Melzer-Cohen C, Pollack R, Chodick G, Shalev V. Acute renal outcomes with sodium-glucose co-transporter-2 inhibitors: Real-world data analysis. </w:t>
      </w:r>
      <w:r w:rsidRPr="00B90562">
        <w:rPr>
          <w:rFonts w:ascii="Times New Roman" w:hAnsi="Times New Roman" w:cs="Times New Roman"/>
          <w:i/>
          <w:iCs/>
          <w:noProof/>
          <w:szCs w:val="24"/>
        </w:rPr>
        <w:t>Diabetes, Obes Metab</w:t>
      </w:r>
      <w:r w:rsidRPr="00B90562">
        <w:rPr>
          <w:rFonts w:ascii="Times New Roman" w:hAnsi="Times New Roman" w:cs="Times New Roman"/>
          <w:noProof/>
          <w:szCs w:val="24"/>
        </w:rPr>
        <w:t xml:space="preserve"> 2019; </w:t>
      </w:r>
      <w:r w:rsidRPr="00B90562">
        <w:rPr>
          <w:rFonts w:ascii="Times New Roman" w:hAnsi="Times New Roman" w:cs="Times New Roman"/>
          <w:b/>
          <w:bCs/>
          <w:noProof/>
          <w:szCs w:val="24"/>
        </w:rPr>
        <w:t>21</w:t>
      </w:r>
      <w:r w:rsidRPr="00B90562">
        <w:rPr>
          <w:rFonts w:ascii="Times New Roman" w:hAnsi="Times New Roman" w:cs="Times New Roman"/>
          <w:noProof/>
          <w:szCs w:val="24"/>
        </w:rPr>
        <w:t>: 340–8.</w:t>
      </w:r>
    </w:p>
    <w:p w14:paraId="10F83F1F" w14:textId="77777777" w:rsidR="00EF60C6" w:rsidRDefault="00952B4B">
      <w:pPr>
        <w:rPr>
          <w:b/>
          <w:bCs/>
          <w:sz w:val="28"/>
          <w:szCs w:val="28"/>
        </w:rPr>
      </w:pPr>
      <w:r>
        <w:rPr>
          <w:rFonts w:asciiTheme="majorBidi" w:hAnsiTheme="majorBidi" w:cstheme="majorBidi"/>
          <w:color w:val="000000"/>
          <w:lang w:val="en-GB"/>
        </w:rPr>
        <w:fldChar w:fldCharType="end"/>
      </w:r>
    </w:p>
    <w:p w14:paraId="1E9A428F" w14:textId="4ABF6E30" w:rsidR="00517694" w:rsidRDefault="00517694" w:rsidP="003A503B">
      <w:pPr>
        <w:rPr>
          <w:b/>
          <w:bCs/>
          <w:sz w:val="28"/>
          <w:szCs w:val="28"/>
        </w:rPr>
      </w:pPr>
    </w:p>
    <w:p w14:paraId="2CF312BC" w14:textId="04229456" w:rsidR="00E65D3D" w:rsidRDefault="00E65D3D" w:rsidP="003A503B">
      <w:pPr>
        <w:rPr>
          <w:b/>
          <w:bCs/>
          <w:sz w:val="28"/>
          <w:szCs w:val="28"/>
        </w:rPr>
      </w:pPr>
    </w:p>
    <w:p w14:paraId="3DA15925" w14:textId="71E5B93B" w:rsidR="00E65D3D" w:rsidRDefault="00E65D3D" w:rsidP="003A503B">
      <w:pPr>
        <w:rPr>
          <w:b/>
          <w:bCs/>
          <w:sz w:val="28"/>
          <w:szCs w:val="28"/>
        </w:rPr>
      </w:pPr>
    </w:p>
    <w:p w14:paraId="1EF82791" w14:textId="58AB73E0" w:rsidR="003A503B" w:rsidRDefault="003A503B" w:rsidP="00853653">
      <w:pPr>
        <w:rPr>
          <w:b/>
          <w:bCs/>
          <w:sz w:val="28"/>
          <w:szCs w:val="28"/>
        </w:rPr>
      </w:pPr>
      <w:r>
        <w:rPr>
          <w:b/>
          <w:bCs/>
          <w:sz w:val="28"/>
          <w:szCs w:val="28"/>
        </w:rPr>
        <w:t xml:space="preserve">Tables and </w:t>
      </w:r>
      <w:r w:rsidR="00853653">
        <w:rPr>
          <w:b/>
          <w:bCs/>
          <w:sz w:val="28"/>
          <w:szCs w:val="28"/>
        </w:rPr>
        <w:t>Figures</w:t>
      </w:r>
      <w:r>
        <w:rPr>
          <w:b/>
          <w:bCs/>
          <w:sz w:val="28"/>
          <w:szCs w:val="28"/>
          <w:lang w:val="en-GB"/>
        </w:rPr>
        <w:t>:</w:t>
      </w:r>
      <w:r>
        <w:rPr>
          <w:b/>
          <w:bCs/>
          <w:sz w:val="28"/>
          <w:szCs w:val="28"/>
        </w:rPr>
        <w:t xml:space="preserve"> </w:t>
      </w:r>
    </w:p>
    <w:p w14:paraId="3112A152" w14:textId="77777777" w:rsidR="003A503B" w:rsidRDefault="003A503B" w:rsidP="003A503B">
      <w:pPr>
        <w:rPr>
          <w:b/>
          <w:bCs/>
          <w:lang w:bidi="he-IL"/>
        </w:rPr>
      </w:pPr>
      <w:r>
        <w:rPr>
          <w:b/>
          <w:bCs/>
        </w:rPr>
        <w:t>T</w:t>
      </w:r>
      <w:r>
        <w:rPr>
          <w:b/>
          <w:bCs/>
          <w:lang w:bidi="he-IL"/>
        </w:rPr>
        <w:t>able 1- Baseline characteristics according to eGFR categories at baseline</w:t>
      </w:r>
    </w:p>
    <w:tbl>
      <w:tblPr>
        <w:tblW w:w="9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1618"/>
        <w:gridCol w:w="1701"/>
        <w:gridCol w:w="1843"/>
        <w:gridCol w:w="1000"/>
      </w:tblGrid>
      <w:tr w:rsidR="003A503B" w14:paraId="14A5548B" w14:textId="77777777" w:rsidTr="003A503B">
        <w:trPr>
          <w:trHeight w:val="386"/>
        </w:trPr>
        <w:tc>
          <w:tcPr>
            <w:tcW w:w="3168" w:type="dxa"/>
            <w:tcBorders>
              <w:top w:val="single" w:sz="4" w:space="0" w:color="auto"/>
              <w:left w:val="single" w:sz="4" w:space="0" w:color="auto"/>
              <w:bottom w:val="single" w:sz="4" w:space="0" w:color="auto"/>
              <w:right w:val="single" w:sz="4" w:space="0" w:color="auto"/>
            </w:tcBorders>
            <w:vAlign w:val="center"/>
            <w:hideMark/>
          </w:tcPr>
          <w:p w14:paraId="32C390BF" w14:textId="77777777" w:rsidR="003A503B" w:rsidRDefault="003A503B">
            <w:pPr>
              <w:rPr>
                <w:b/>
                <w:bCs/>
                <w:lang w:bidi="he-IL"/>
              </w:rPr>
            </w:pPr>
          </w:p>
        </w:tc>
        <w:tc>
          <w:tcPr>
            <w:tcW w:w="1618"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hideMark/>
          </w:tcPr>
          <w:p w14:paraId="1394AD95" w14:textId="77777777" w:rsidR="003A503B" w:rsidRPr="0038652E" w:rsidRDefault="003A503B">
            <w:pPr>
              <w:spacing w:after="0"/>
              <w:jc w:val="center"/>
              <w:rPr>
                <w:rFonts w:ascii="Calibri" w:eastAsia="Times New Roman" w:hAnsi="Calibri" w:cs="Calibri"/>
                <w:b/>
                <w:bCs/>
                <w:i/>
                <w:iCs/>
                <w:color w:val="000000"/>
                <w:sz w:val="18"/>
                <w:szCs w:val="18"/>
                <w:u w:val="single"/>
                <w:lang w:val="sv-SE" w:bidi="he-IL"/>
              </w:rPr>
            </w:pPr>
            <w:r w:rsidRPr="0038652E">
              <w:rPr>
                <w:rFonts w:ascii="Calibri" w:eastAsia="Times New Roman" w:hAnsi="Calibri" w:cs="Calibri"/>
                <w:b/>
                <w:bCs/>
                <w:i/>
                <w:iCs/>
                <w:color w:val="000000"/>
                <w:sz w:val="18"/>
                <w:szCs w:val="18"/>
                <w:u w:val="single"/>
                <w:lang w:val="sv-SE" w:bidi="he-IL"/>
              </w:rPr>
              <w:t>eGFR* &gt;90 mL/min/1.73m</w:t>
            </w:r>
            <w:r w:rsidRPr="0038652E">
              <w:rPr>
                <w:rFonts w:ascii="Calibri" w:eastAsia="Times New Roman" w:hAnsi="Calibri" w:cs="Calibri"/>
                <w:b/>
                <w:bCs/>
                <w:i/>
                <w:iCs/>
                <w:color w:val="000000"/>
                <w:sz w:val="18"/>
                <w:szCs w:val="18"/>
                <w:u w:val="single"/>
                <w:vertAlign w:val="superscript"/>
                <w:lang w:val="sv-SE" w:bidi="he-IL"/>
              </w:rPr>
              <w:t>2</w:t>
            </w:r>
          </w:p>
          <w:p w14:paraId="49D3D777" w14:textId="77777777" w:rsidR="003A503B" w:rsidRPr="0038652E" w:rsidRDefault="003A503B">
            <w:pPr>
              <w:spacing w:after="0"/>
              <w:jc w:val="center"/>
              <w:rPr>
                <w:rFonts w:ascii="Calibri" w:eastAsia="Times New Roman" w:hAnsi="Calibri" w:cs="Calibri"/>
                <w:b/>
                <w:bCs/>
                <w:i/>
                <w:iCs/>
                <w:color w:val="000000"/>
                <w:sz w:val="18"/>
                <w:szCs w:val="18"/>
                <w:u w:val="single"/>
                <w:lang w:val="sv-SE" w:bidi="he-IL"/>
              </w:rPr>
            </w:pPr>
            <w:r w:rsidRPr="0038652E">
              <w:rPr>
                <w:rFonts w:ascii="Calibri" w:eastAsia="Times New Roman" w:hAnsi="Calibri" w:cs="Calibri"/>
                <w:b/>
                <w:bCs/>
                <w:i/>
                <w:iCs/>
                <w:color w:val="000000"/>
                <w:sz w:val="18"/>
                <w:szCs w:val="18"/>
                <w:u w:val="single"/>
                <w:lang w:val="sv-SE" w:bidi="he-IL"/>
              </w:rPr>
              <w:t>(N=8162)</w:t>
            </w:r>
          </w:p>
        </w:tc>
        <w:tc>
          <w:tcPr>
            <w:tcW w:w="1701" w:type="dxa"/>
            <w:tcBorders>
              <w:top w:val="single" w:sz="4" w:space="0" w:color="auto"/>
              <w:left w:val="single" w:sz="4" w:space="0" w:color="auto"/>
              <w:bottom w:val="single" w:sz="4" w:space="0" w:color="auto"/>
              <w:right w:val="single" w:sz="4" w:space="0" w:color="auto"/>
            </w:tcBorders>
            <w:shd w:val="clear" w:color="auto" w:fill="DCE6F1"/>
            <w:noWrap/>
            <w:vAlign w:val="center"/>
            <w:hideMark/>
          </w:tcPr>
          <w:p w14:paraId="5EFDBBC2" w14:textId="71A5AAE8" w:rsidR="003A503B" w:rsidRPr="0038652E" w:rsidRDefault="003A503B">
            <w:pPr>
              <w:spacing w:after="0"/>
              <w:jc w:val="center"/>
              <w:rPr>
                <w:rFonts w:ascii="Calibri" w:eastAsia="Times New Roman" w:hAnsi="Calibri" w:cs="Calibri"/>
                <w:b/>
                <w:bCs/>
                <w:i/>
                <w:iCs/>
                <w:color w:val="000000"/>
                <w:sz w:val="18"/>
                <w:szCs w:val="18"/>
                <w:u w:val="single"/>
                <w:lang w:val="sv-SE" w:bidi="he-IL"/>
              </w:rPr>
            </w:pPr>
            <w:r w:rsidRPr="0038652E">
              <w:rPr>
                <w:rFonts w:ascii="Calibri" w:eastAsia="Times New Roman" w:hAnsi="Calibri" w:cs="Calibri"/>
                <w:b/>
                <w:bCs/>
                <w:i/>
                <w:iCs/>
                <w:color w:val="000000"/>
                <w:sz w:val="18"/>
                <w:szCs w:val="18"/>
                <w:u w:val="single"/>
                <w:lang w:val="sv-SE" w:bidi="he-IL"/>
              </w:rPr>
              <w:t>eGFR* 60-</w:t>
            </w:r>
            <w:r w:rsidR="004E6F90" w:rsidRPr="0038652E">
              <w:rPr>
                <w:rFonts w:ascii="Calibri" w:eastAsia="Times New Roman" w:hAnsi="Calibri" w:cs="Calibri"/>
                <w:b/>
                <w:bCs/>
                <w:i/>
                <w:iCs/>
                <w:color w:val="000000"/>
                <w:sz w:val="18"/>
                <w:szCs w:val="18"/>
                <w:u w:val="single"/>
                <w:lang w:val="sv-SE" w:bidi="he-IL"/>
              </w:rPr>
              <w:t>&lt;</w:t>
            </w:r>
            <w:r w:rsidRPr="0038652E">
              <w:rPr>
                <w:rFonts w:ascii="Calibri" w:eastAsia="Times New Roman" w:hAnsi="Calibri" w:cs="Calibri"/>
                <w:b/>
                <w:bCs/>
                <w:i/>
                <w:iCs/>
                <w:color w:val="000000"/>
                <w:sz w:val="18"/>
                <w:szCs w:val="18"/>
                <w:u w:val="single"/>
                <w:lang w:val="sv-SE" w:bidi="he-IL"/>
              </w:rPr>
              <w:t>90 mL/min/1.73m</w:t>
            </w:r>
            <w:r w:rsidRPr="0038652E">
              <w:rPr>
                <w:rFonts w:ascii="Calibri" w:eastAsia="Times New Roman" w:hAnsi="Calibri" w:cs="Calibri"/>
                <w:b/>
                <w:bCs/>
                <w:i/>
                <w:iCs/>
                <w:color w:val="000000"/>
                <w:sz w:val="18"/>
                <w:szCs w:val="18"/>
                <w:u w:val="single"/>
                <w:vertAlign w:val="superscript"/>
                <w:lang w:val="sv-SE" w:bidi="he-IL"/>
              </w:rPr>
              <w:t>2</w:t>
            </w:r>
          </w:p>
          <w:p w14:paraId="4718DEE9" w14:textId="77777777" w:rsidR="003A503B" w:rsidRPr="0038652E" w:rsidRDefault="003A503B">
            <w:pPr>
              <w:spacing w:after="0" w:line="240" w:lineRule="auto"/>
              <w:jc w:val="center"/>
              <w:rPr>
                <w:rFonts w:ascii="Calibri" w:eastAsia="Times New Roman" w:hAnsi="Calibri" w:cs="Calibri"/>
                <w:b/>
                <w:bCs/>
                <w:color w:val="000000"/>
                <w:sz w:val="18"/>
                <w:szCs w:val="18"/>
                <w:lang w:val="sv-SE" w:bidi="he-IL"/>
              </w:rPr>
            </w:pPr>
            <w:r w:rsidRPr="0038652E">
              <w:rPr>
                <w:rFonts w:ascii="Calibri" w:eastAsia="Times New Roman" w:hAnsi="Calibri" w:cs="Calibri"/>
                <w:b/>
                <w:bCs/>
                <w:i/>
                <w:iCs/>
                <w:color w:val="000000"/>
                <w:sz w:val="18"/>
                <w:szCs w:val="18"/>
                <w:u w:val="single"/>
                <w:lang w:val="sv-SE" w:bidi="he-IL"/>
              </w:rPr>
              <w:t>(N=7731)</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02C7DE4" w14:textId="77777777" w:rsidR="003A503B" w:rsidRPr="0038652E" w:rsidRDefault="003A503B">
            <w:pPr>
              <w:spacing w:after="0"/>
              <w:jc w:val="center"/>
              <w:rPr>
                <w:rFonts w:ascii="Calibri" w:eastAsia="Times New Roman" w:hAnsi="Calibri" w:cs="Calibri"/>
                <w:b/>
                <w:bCs/>
                <w:i/>
                <w:iCs/>
                <w:color w:val="000000"/>
                <w:sz w:val="18"/>
                <w:szCs w:val="18"/>
                <w:u w:val="single"/>
                <w:lang w:val="sv-SE" w:bidi="he-IL"/>
              </w:rPr>
            </w:pPr>
            <w:r w:rsidRPr="0038652E">
              <w:rPr>
                <w:rFonts w:ascii="Calibri" w:eastAsia="Times New Roman" w:hAnsi="Calibri" w:cs="Calibri"/>
                <w:b/>
                <w:bCs/>
                <w:i/>
                <w:iCs/>
                <w:color w:val="000000"/>
                <w:sz w:val="18"/>
                <w:szCs w:val="18"/>
                <w:u w:val="single"/>
                <w:lang w:val="sv-SE" w:bidi="he-IL"/>
              </w:rPr>
              <w:t>eGFR* &lt;60 mL/min/1.73m</w:t>
            </w:r>
            <w:r w:rsidRPr="0038652E">
              <w:rPr>
                <w:rFonts w:ascii="Calibri" w:eastAsia="Times New Roman" w:hAnsi="Calibri" w:cs="Calibri"/>
                <w:b/>
                <w:bCs/>
                <w:i/>
                <w:iCs/>
                <w:color w:val="000000"/>
                <w:sz w:val="18"/>
                <w:szCs w:val="18"/>
                <w:u w:val="single"/>
                <w:vertAlign w:val="superscript"/>
                <w:lang w:val="sv-SE" w:bidi="he-IL"/>
              </w:rPr>
              <w:t>2</w:t>
            </w:r>
          </w:p>
          <w:p w14:paraId="65E66739" w14:textId="77777777" w:rsidR="003A503B" w:rsidRPr="0038652E" w:rsidRDefault="003A503B">
            <w:pPr>
              <w:spacing w:after="0"/>
              <w:jc w:val="center"/>
              <w:rPr>
                <w:rFonts w:ascii="Calibri" w:eastAsia="Times New Roman" w:hAnsi="Calibri" w:cs="Calibri"/>
                <w:b/>
                <w:bCs/>
                <w:i/>
                <w:iCs/>
                <w:color w:val="000000"/>
                <w:sz w:val="14"/>
                <w:szCs w:val="14"/>
                <w:u w:val="single"/>
                <w:lang w:val="sv-SE" w:bidi="he-IL"/>
              </w:rPr>
            </w:pPr>
            <w:r w:rsidRPr="0038652E">
              <w:rPr>
                <w:rFonts w:ascii="Calibri" w:eastAsia="Times New Roman" w:hAnsi="Calibri" w:cs="Calibri"/>
                <w:b/>
                <w:bCs/>
                <w:i/>
                <w:iCs/>
                <w:color w:val="000000"/>
                <w:sz w:val="18"/>
                <w:szCs w:val="18"/>
                <w:u w:val="single"/>
                <w:lang w:val="sv-SE" w:bidi="he-IL"/>
              </w:rPr>
              <w:t>(N=1265)</w:t>
            </w:r>
          </w:p>
        </w:tc>
        <w:tc>
          <w:tcPr>
            <w:tcW w:w="1000" w:type="dxa"/>
            <w:tcBorders>
              <w:top w:val="single" w:sz="4" w:space="0" w:color="auto"/>
              <w:left w:val="single" w:sz="4" w:space="0" w:color="auto"/>
              <w:bottom w:val="single" w:sz="4" w:space="0" w:color="auto"/>
              <w:right w:val="single" w:sz="4" w:space="0" w:color="auto"/>
            </w:tcBorders>
            <w:noWrap/>
            <w:vAlign w:val="center"/>
            <w:hideMark/>
          </w:tcPr>
          <w:p w14:paraId="5312D5EA" w14:textId="77777777" w:rsidR="003A503B" w:rsidRDefault="003A503B">
            <w:pPr>
              <w:spacing w:after="0" w:line="240" w:lineRule="auto"/>
              <w:jc w:val="center"/>
              <w:rPr>
                <w:rFonts w:ascii="Calibri" w:eastAsia="Times New Roman" w:hAnsi="Calibri" w:cs="Calibri"/>
                <w:b/>
                <w:bCs/>
                <w:color w:val="000000"/>
                <w:lang w:bidi="he-IL"/>
              </w:rPr>
            </w:pPr>
            <w:r>
              <w:rPr>
                <w:rFonts w:ascii="Calibri" w:eastAsia="Times New Roman" w:hAnsi="Calibri" w:cs="Calibri"/>
                <w:b/>
                <w:bCs/>
                <w:i/>
                <w:iCs/>
                <w:color w:val="000000"/>
                <w:sz w:val="18"/>
                <w:szCs w:val="18"/>
                <w:u w:val="single"/>
                <w:lang w:bidi="he-IL"/>
              </w:rPr>
              <w:t>P value**</w:t>
            </w:r>
          </w:p>
        </w:tc>
      </w:tr>
      <w:tr w:rsidR="003A503B" w14:paraId="16BBD25B" w14:textId="77777777" w:rsidTr="003A503B">
        <w:trPr>
          <w:trHeight w:val="288"/>
        </w:trPr>
        <w:tc>
          <w:tcPr>
            <w:tcW w:w="3168" w:type="dxa"/>
            <w:tcBorders>
              <w:top w:val="single" w:sz="4" w:space="0" w:color="auto"/>
              <w:left w:val="single" w:sz="4" w:space="0" w:color="auto"/>
              <w:bottom w:val="single" w:sz="4" w:space="0" w:color="auto"/>
              <w:right w:val="single" w:sz="4" w:space="0" w:color="auto"/>
            </w:tcBorders>
            <w:vAlign w:val="center"/>
            <w:hideMark/>
          </w:tcPr>
          <w:p w14:paraId="25A90681" w14:textId="77777777" w:rsidR="003A503B" w:rsidRDefault="003A503B">
            <w:pPr>
              <w:spacing w:after="0" w:line="240" w:lineRule="auto"/>
              <w:rPr>
                <w:rFonts w:ascii="Calibri" w:eastAsia="Times New Roman" w:hAnsi="Calibri" w:cs="Calibri"/>
                <w:b/>
                <w:bCs/>
                <w:color w:val="000000"/>
                <w:sz w:val="18"/>
                <w:szCs w:val="18"/>
                <w:lang w:bidi="he-IL"/>
              </w:rPr>
            </w:pPr>
            <w:r>
              <w:rPr>
                <w:rFonts w:ascii="Calibri" w:eastAsia="Times New Roman" w:hAnsi="Calibri" w:cs="Calibri"/>
                <w:b/>
                <w:bCs/>
                <w:color w:val="000000"/>
                <w:sz w:val="18"/>
                <w:szCs w:val="18"/>
                <w:lang w:bidi="he-IL"/>
              </w:rPr>
              <w:t>Male- n (%)</w:t>
            </w:r>
          </w:p>
        </w:tc>
        <w:tc>
          <w:tcPr>
            <w:tcW w:w="1618"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hideMark/>
          </w:tcPr>
          <w:p w14:paraId="606B4A91" w14:textId="77777777" w:rsidR="003A503B" w:rsidRDefault="003A503B">
            <w:pPr>
              <w:spacing w:after="0" w:line="240" w:lineRule="auto"/>
              <w:jc w:val="center"/>
              <w:rPr>
                <w:rFonts w:ascii="Calibri" w:eastAsia="Times New Roman" w:hAnsi="Calibri" w:cs="Calibri"/>
                <w:color w:val="000000"/>
                <w:sz w:val="18"/>
                <w:szCs w:val="18"/>
                <w:lang w:bidi="he-IL"/>
              </w:rPr>
            </w:pPr>
            <w:r>
              <w:rPr>
                <w:rFonts w:ascii="Calibri" w:eastAsia="Times New Roman" w:hAnsi="Calibri" w:cs="Calibri"/>
                <w:color w:val="000000"/>
                <w:sz w:val="18"/>
                <w:szCs w:val="18"/>
                <w:lang w:bidi="he-IL"/>
              </w:rPr>
              <w:t>5057 (62)</w:t>
            </w:r>
          </w:p>
        </w:tc>
        <w:tc>
          <w:tcPr>
            <w:tcW w:w="1701" w:type="dxa"/>
            <w:tcBorders>
              <w:top w:val="single" w:sz="4" w:space="0" w:color="auto"/>
              <w:left w:val="single" w:sz="4" w:space="0" w:color="auto"/>
              <w:bottom w:val="single" w:sz="4" w:space="0" w:color="auto"/>
              <w:right w:val="single" w:sz="4" w:space="0" w:color="auto"/>
            </w:tcBorders>
            <w:shd w:val="clear" w:color="auto" w:fill="DCE6F1"/>
            <w:vAlign w:val="center"/>
            <w:hideMark/>
          </w:tcPr>
          <w:p w14:paraId="0F18965D" w14:textId="77777777" w:rsidR="003A503B" w:rsidRDefault="003A503B">
            <w:pPr>
              <w:spacing w:after="0" w:line="240" w:lineRule="auto"/>
              <w:jc w:val="center"/>
              <w:rPr>
                <w:rFonts w:ascii="Calibri" w:eastAsia="Times New Roman" w:hAnsi="Calibri" w:cs="Calibri"/>
                <w:color w:val="000000"/>
                <w:sz w:val="18"/>
                <w:szCs w:val="18"/>
                <w:lang w:bidi="he-IL"/>
              </w:rPr>
            </w:pPr>
            <w:r>
              <w:rPr>
                <w:rFonts w:ascii="Calibri" w:eastAsia="Times New Roman" w:hAnsi="Calibri" w:cs="Calibri"/>
                <w:color w:val="000000"/>
                <w:sz w:val="18"/>
                <w:szCs w:val="18"/>
                <w:lang w:bidi="he-IL"/>
              </w:rPr>
              <w:t>4866 (62.9)</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D4D20A9" w14:textId="77777777" w:rsidR="003A503B" w:rsidRDefault="003A503B">
            <w:pPr>
              <w:spacing w:after="0" w:line="240" w:lineRule="auto"/>
              <w:jc w:val="center"/>
              <w:rPr>
                <w:rFonts w:ascii="Calibri" w:eastAsia="Times New Roman" w:hAnsi="Calibri" w:cs="Calibri"/>
                <w:color w:val="000000"/>
                <w:sz w:val="18"/>
                <w:szCs w:val="18"/>
                <w:lang w:bidi="he-IL"/>
              </w:rPr>
            </w:pPr>
            <w:r>
              <w:rPr>
                <w:rFonts w:ascii="Calibri" w:eastAsia="Times New Roman" w:hAnsi="Calibri" w:cs="Calibri"/>
                <w:color w:val="000000"/>
                <w:sz w:val="18"/>
                <w:szCs w:val="18"/>
                <w:lang w:bidi="he-IL"/>
              </w:rPr>
              <w:t>814 (64.3)</w:t>
            </w:r>
          </w:p>
        </w:tc>
        <w:tc>
          <w:tcPr>
            <w:tcW w:w="1000" w:type="dxa"/>
            <w:tcBorders>
              <w:top w:val="single" w:sz="4" w:space="0" w:color="auto"/>
              <w:left w:val="single" w:sz="4" w:space="0" w:color="auto"/>
              <w:bottom w:val="single" w:sz="4" w:space="0" w:color="auto"/>
              <w:right w:val="single" w:sz="4" w:space="0" w:color="auto"/>
            </w:tcBorders>
            <w:noWrap/>
            <w:vAlign w:val="center"/>
            <w:hideMark/>
          </w:tcPr>
          <w:p w14:paraId="52EADA0C" w14:textId="77777777" w:rsidR="003A503B" w:rsidRDefault="003A503B">
            <w:pPr>
              <w:spacing w:after="0" w:line="240" w:lineRule="auto"/>
              <w:jc w:val="center"/>
              <w:rPr>
                <w:rFonts w:ascii="Calibri" w:eastAsia="Times New Roman" w:hAnsi="Calibri" w:cs="Calibri"/>
                <w:color w:val="000000"/>
                <w:sz w:val="18"/>
                <w:szCs w:val="18"/>
                <w:lang w:bidi="he-IL"/>
              </w:rPr>
            </w:pPr>
            <w:r>
              <w:rPr>
                <w:rFonts w:ascii="Calibri" w:eastAsia="Times New Roman" w:hAnsi="Calibri" w:cs="Calibri"/>
                <w:color w:val="000000"/>
                <w:sz w:val="18"/>
                <w:szCs w:val="18"/>
                <w:lang w:bidi="he-IL"/>
              </w:rPr>
              <w:t>0.178</w:t>
            </w:r>
          </w:p>
        </w:tc>
      </w:tr>
      <w:tr w:rsidR="003A503B" w14:paraId="7A01092D" w14:textId="77777777" w:rsidTr="003A503B">
        <w:trPr>
          <w:trHeight w:val="288"/>
        </w:trPr>
        <w:tc>
          <w:tcPr>
            <w:tcW w:w="3168" w:type="dxa"/>
            <w:tcBorders>
              <w:top w:val="single" w:sz="4" w:space="0" w:color="auto"/>
              <w:left w:val="single" w:sz="4" w:space="0" w:color="auto"/>
              <w:bottom w:val="single" w:sz="4" w:space="0" w:color="auto"/>
              <w:right w:val="single" w:sz="4" w:space="0" w:color="auto"/>
            </w:tcBorders>
            <w:vAlign w:val="center"/>
            <w:hideMark/>
          </w:tcPr>
          <w:p w14:paraId="3E81B849" w14:textId="77777777" w:rsidR="003A503B" w:rsidRDefault="003A503B">
            <w:pPr>
              <w:spacing w:after="0" w:line="240" w:lineRule="auto"/>
              <w:rPr>
                <w:rFonts w:ascii="Calibri" w:eastAsia="Times New Roman" w:hAnsi="Calibri" w:cs="Calibri"/>
                <w:b/>
                <w:bCs/>
                <w:color w:val="000000"/>
                <w:sz w:val="18"/>
                <w:szCs w:val="18"/>
                <w:lang w:bidi="he-IL"/>
              </w:rPr>
            </w:pPr>
            <w:r>
              <w:rPr>
                <w:rFonts w:ascii="Calibri" w:eastAsia="Times New Roman" w:hAnsi="Calibri" w:cs="Calibri"/>
                <w:b/>
                <w:bCs/>
                <w:color w:val="000000"/>
                <w:sz w:val="18"/>
                <w:szCs w:val="18"/>
                <w:lang w:bidi="he-IL"/>
              </w:rPr>
              <w:t>Age- mean ±SD</w:t>
            </w:r>
          </w:p>
        </w:tc>
        <w:tc>
          <w:tcPr>
            <w:tcW w:w="1618"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hideMark/>
          </w:tcPr>
          <w:p w14:paraId="1187B073" w14:textId="77777777" w:rsidR="003A503B" w:rsidRDefault="003A503B">
            <w:pPr>
              <w:spacing w:after="0" w:line="240" w:lineRule="auto"/>
              <w:jc w:val="center"/>
              <w:rPr>
                <w:rFonts w:ascii="Calibri" w:eastAsia="Times New Roman" w:hAnsi="Calibri" w:cs="Calibri"/>
                <w:color w:val="000000"/>
                <w:sz w:val="18"/>
                <w:szCs w:val="18"/>
                <w:lang w:bidi="he-IL"/>
              </w:rPr>
            </w:pPr>
            <w:r>
              <w:rPr>
                <w:rFonts w:ascii="Calibri" w:eastAsia="Times New Roman" w:hAnsi="Calibri" w:cs="Calibri"/>
                <w:color w:val="000000"/>
                <w:sz w:val="18"/>
                <w:szCs w:val="18"/>
                <w:lang w:bidi="he-IL"/>
              </w:rPr>
              <w:t>61.2 ±6.1</w:t>
            </w:r>
          </w:p>
        </w:tc>
        <w:tc>
          <w:tcPr>
            <w:tcW w:w="1701" w:type="dxa"/>
            <w:tcBorders>
              <w:top w:val="single" w:sz="4" w:space="0" w:color="auto"/>
              <w:left w:val="single" w:sz="4" w:space="0" w:color="auto"/>
              <w:bottom w:val="single" w:sz="4" w:space="0" w:color="auto"/>
              <w:right w:val="single" w:sz="4" w:space="0" w:color="auto"/>
            </w:tcBorders>
            <w:shd w:val="clear" w:color="auto" w:fill="DCE6F1"/>
            <w:vAlign w:val="center"/>
            <w:hideMark/>
          </w:tcPr>
          <w:p w14:paraId="1D88DCC8" w14:textId="77777777" w:rsidR="003A503B" w:rsidRDefault="003A503B">
            <w:pPr>
              <w:spacing w:after="0" w:line="240" w:lineRule="auto"/>
              <w:jc w:val="center"/>
              <w:rPr>
                <w:rFonts w:ascii="Calibri" w:eastAsia="Times New Roman" w:hAnsi="Calibri" w:cs="Calibri"/>
                <w:color w:val="000000"/>
                <w:sz w:val="18"/>
                <w:szCs w:val="18"/>
                <w:lang w:bidi="he-IL"/>
              </w:rPr>
            </w:pPr>
            <w:r>
              <w:rPr>
                <w:rFonts w:ascii="Calibri" w:eastAsia="Times New Roman" w:hAnsi="Calibri" w:cs="Calibri"/>
                <w:color w:val="000000"/>
                <w:sz w:val="18"/>
                <w:szCs w:val="18"/>
                <w:lang w:bidi="he-IL"/>
              </w:rPr>
              <w:t>66.2 ±6.5</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68AB68E" w14:textId="77777777" w:rsidR="003A503B" w:rsidRDefault="003A503B">
            <w:pPr>
              <w:spacing w:after="0" w:line="240" w:lineRule="auto"/>
              <w:jc w:val="center"/>
              <w:rPr>
                <w:rFonts w:ascii="Calibri" w:eastAsia="Times New Roman" w:hAnsi="Calibri" w:cs="Calibri"/>
                <w:color w:val="000000"/>
                <w:sz w:val="18"/>
                <w:szCs w:val="18"/>
                <w:lang w:bidi="he-IL"/>
              </w:rPr>
            </w:pPr>
            <w:r>
              <w:rPr>
                <w:rFonts w:ascii="Calibri" w:eastAsia="Times New Roman" w:hAnsi="Calibri" w:cs="Calibri"/>
                <w:color w:val="000000"/>
                <w:sz w:val="18"/>
                <w:szCs w:val="18"/>
                <w:lang w:bidi="he-IL"/>
              </w:rPr>
              <w:t>67.3 ±6.6</w:t>
            </w:r>
          </w:p>
        </w:tc>
        <w:tc>
          <w:tcPr>
            <w:tcW w:w="1000" w:type="dxa"/>
            <w:tcBorders>
              <w:top w:val="single" w:sz="4" w:space="0" w:color="auto"/>
              <w:left w:val="single" w:sz="4" w:space="0" w:color="auto"/>
              <w:bottom w:val="single" w:sz="4" w:space="0" w:color="auto"/>
              <w:right w:val="single" w:sz="4" w:space="0" w:color="auto"/>
            </w:tcBorders>
            <w:noWrap/>
            <w:vAlign w:val="center"/>
            <w:hideMark/>
          </w:tcPr>
          <w:p w14:paraId="328A2D85" w14:textId="77777777" w:rsidR="003A503B" w:rsidRDefault="003A503B">
            <w:pPr>
              <w:spacing w:after="0" w:line="240" w:lineRule="auto"/>
              <w:jc w:val="center"/>
              <w:rPr>
                <w:rFonts w:ascii="Calibri" w:eastAsia="Times New Roman" w:hAnsi="Calibri" w:cs="Calibri"/>
                <w:color w:val="000000"/>
                <w:sz w:val="18"/>
                <w:szCs w:val="18"/>
                <w:lang w:bidi="he-IL"/>
              </w:rPr>
            </w:pPr>
            <w:r>
              <w:rPr>
                <w:rFonts w:ascii="Calibri" w:eastAsia="Times New Roman" w:hAnsi="Calibri" w:cs="Calibri"/>
                <w:color w:val="000000"/>
                <w:sz w:val="18"/>
                <w:szCs w:val="18"/>
                <w:lang w:bidi="he-IL"/>
              </w:rPr>
              <w:t>&lt;0.001</w:t>
            </w:r>
          </w:p>
        </w:tc>
      </w:tr>
      <w:tr w:rsidR="003A503B" w14:paraId="4DF94277" w14:textId="77777777" w:rsidTr="003A503B">
        <w:trPr>
          <w:trHeight w:val="288"/>
        </w:trPr>
        <w:tc>
          <w:tcPr>
            <w:tcW w:w="3168" w:type="dxa"/>
            <w:tcBorders>
              <w:top w:val="single" w:sz="4" w:space="0" w:color="auto"/>
              <w:left w:val="single" w:sz="4" w:space="0" w:color="auto"/>
              <w:bottom w:val="single" w:sz="4" w:space="0" w:color="auto"/>
              <w:right w:val="single" w:sz="4" w:space="0" w:color="auto"/>
            </w:tcBorders>
            <w:vAlign w:val="center"/>
            <w:hideMark/>
          </w:tcPr>
          <w:p w14:paraId="14C9F697" w14:textId="77777777" w:rsidR="003A503B" w:rsidRDefault="003A503B">
            <w:pPr>
              <w:spacing w:after="0" w:line="240" w:lineRule="auto"/>
              <w:rPr>
                <w:rFonts w:ascii="Calibri" w:eastAsia="Times New Roman" w:hAnsi="Calibri" w:cs="Calibri"/>
                <w:b/>
                <w:bCs/>
                <w:color w:val="000000"/>
                <w:sz w:val="18"/>
                <w:szCs w:val="18"/>
                <w:lang w:bidi="he-IL"/>
              </w:rPr>
            </w:pPr>
            <w:r>
              <w:rPr>
                <w:rFonts w:ascii="Calibri" w:eastAsia="Times New Roman" w:hAnsi="Calibri" w:cs="Calibri"/>
                <w:b/>
                <w:bCs/>
                <w:color w:val="000000"/>
                <w:sz w:val="18"/>
                <w:szCs w:val="18"/>
                <w:lang w:bidi="he-IL"/>
              </w:rPr>
              <w:t>Age &gt;= 75 years- n (%)</w:t>
            </w:r>
          </w:p>
        </w:tc>
        <w:tc>
          <w:tcPr>
            <w:tcW w:w="1618"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hideMark/>
          </w:tcPr>
          <w:p w14:paraId="2305C06B" w14:textId="77777777" w:rsidR="003A503B" w:rsidRDefault="003A503B">
            <w:pPr>
              <w:spacing w:after="0" w:line="240" w:lineRule="auto"/>
              <w:jc w:val="center"/>
              <w:rPr>
                <w:rFonts w:ascii="Calibri" w:eastAsia="Times New Roman" w:hAnsi="Calibri" w:cs="Calibri"/>
                <w:color w:val="000000"/>
                <w:sz w:val="18"/>
                <w:szCs w:val="18"/>
                <w:lang w:bidi="he-IL"/>
              </w:rPr>
            </w:pPr>
            <w:r>
              <w:rPr>
                <w:rFonts w:ascii="Calibri" w:eastAsia="Times New Roman" w:hAnsi="Calibri" w:cs="Calibri"/>
                <w:color w:val="000000"/>
                <w:sz w:val="18"/>
                <w:szCs w:val="18"/>
                <w:lang w:bidi="he-IL"/>
              </w:rPr>
              <w:t>95 (1.2)</w:t>
            </w:r>
          </w:p>
        </w:tc>
        <w:tc>
          <w:tcPr>
            <w:tcW w:w="1701" w:type="dxa"/>
            <w:tcBorders>
              <w:top w:val="single" w:sz="4" w:space="0" w:color="auto"/>
              <w:left w:val="single" w:sz="4" w:space="0" w:color="auto"/>
              <w:bottom w:val="single" w:sz="4" w:space="0" w:color="auto"/>
              <w:right w:val="single" w:sz="4" w:space="0" w:color="auto"/>
            </w:tcBorders>
            <w:shd w:val="clear" w:color="auto" w:fill="DCE6F1"/>
            <w:vAlign w:val="center"/>
            <w:hideMark/>
          </w:tcPr>
          <w:p w14:paraId="2EB3A03D" w14:textId="77777777" w:rsidR="003A503B" w:rsidRDefault="003A503B">
            <w:pPr>
              <w:spacing w:after="0" w:line="240" w:lineRule="auto"/>
              <w:jc w:val="center"/>
              <w:rPr>
                <w:rFonts w:ascii="Calibri" w:eastAsia="Times New Roman" w:hAnsi="Calibri" w:cs="Calibri"/>
                <w:color w:val="000000"/>
                <w:sz w:val="18"/>
                <w:szCs w:val="18"/>
                <w:lang w:bidi="he-IL"/>
              </w:rPr>
            </w:pPr>
            <w:r>
              <w:rPr>
                <w:rFonts w:ascii="Calibri" w:eastAsia="Times New Roman" w:hAnsi="Calibri" w:cs="Calibri"/>
                <w:color w:val="000000"/>
                <w:sz w:val="18"/>
                <w:szCs w:val="18"/>
                <w:lang w:bidi="he-IL"/>
              </w:rPr>
              <w:t>818 (10.6)</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C17160F" w14:textId="77777777" w:rsidR="003A503B" w:rsidRDefault="003A503B">
            <w:pPr>
              <w:spacing w:after="0" w:line="240" w:lineRule="auto"/>
              <w:jc w:val="center"/>
              <w:rPr>
                <w:rFonts w:ascii="Calibri" w:eastAsia="Times New Roman" w:hAnsi="Calibri" w:cs="Calibri"/>
                <w:color w:val="000000"/>
                <w:sz w:val="18"/>
                <w:szCs w:val="18"/>
                <w:lang w:bidi="he-IL"/>
              </w:rPr>
            </w:pPr>
            <w:r>
              <w:rPr>
                <w:rFonts w:ascii="Calibri" w:eastAsia="Times New Roman" w:hAnsi="Calibri" w:cs="Calibri"/>
                <w:color w:val="000000"/>
                <w:sz w:val="18"/>
                <w:szCs w:val="18"/>
                <w:lang w:bidi="he-IL"/>
              </w:rPr>
              <w:t>183 (14.5)</w:t>
            </w:r>
          </w:p>
        </w:tc>
        <w:tc>
          <w:tcPr>
            <w:tcW w:w="1000" w:type="dxa"/>
            <w:tcBorders>
              <w:top w:val="single" w:sz="4" w:space="0" w:color="auto"/>
              <w:left w:val="single" w:sz="4" w:space="0" w:color="auto"/>
              <w:bottom w:val="single" w:sz="4" w:space="0" w:color="auto"/>
              <w:right w:val="single" w:sz="4" w:space="0" w:color="auto"/>
            </w:tcBorders>
            <w:noWrap/>
            <w:vAlign w:val="center"/>
            <w:hideMark/>
          </w:tcPr>
          <w:p w14:paraId="5CB60561" w14:textId="77777777" w:rsidR="003A503B" w:rsidRDefault="003A503B">
            <w:pPr>
              <w:spacing w:after="0" w:line="240" w:lineRule="auto"/>
              <w:jc w:val="center"/>
              <w:rPr>
                <w:rFonts w:ascii="Calibri" w:eastAsia="Times New Roman" w:hAnsi="Calibri" w:cs="Calibri"/>
                <w:color w:val="000000"/>
                <w:sz w:val="18"/>
                <w:szCs w:val="18"/>
                <w:lang w:bidi="he-IL"/>
              </w:rPr>
            </w:pPr>
            <w:r>
              <w:rPr>
                <w:rFonts w:ascii="Calibri" w:eastAsia="Times New Roman" w:hAnsi="Calibri" w:cs="Calibri"/>
                <w:color w:val="000000"/>
                <w:sz w:val="18"/>
                <w:szCs w:val="18"/>
                <w:lang w:bidi="he-IL"/>
              </w:rPr>
              <w:t>&lt;0.001</w:t>
            </w:r>
          </w:p>
        </w:tc>
      </w:tr>
      <w:tr w:rsidR="003A503B" w14:paraId="07472597" w14:textId="77777777" w:rsidTr="003A503B">
        <w:trPr>
          <w:trHeight w:val="288"/>
        </w:trPr>
        <w:tc>
          <w:tcPr>
            <w:tcW w:w="3168" w:type="dxa"/>
            <w:tcBorders>
              <w:top w:val="single" w:sz="4" w:space="0" w:color="auto"/>
              <w:left w:val="single" w:sz="4" w:space="0" w:color="auto"/>
              <w:bottom w:val="single" w:sz="4" w:space="0" w:color="auto"/>
              <w:right w:val="single" w:sz="4" w:space="0" w:color="auto"/>
            </w:tcBorders>
            <w:vAlign w:val="center"/>
            <w:hideMark/>
          </w:tcPr>
          <w:p w14:paraId="3A2277DB" w14:textId="77777777" w:rsidR="003A503B" w:rsidRDefault="003A503B">
            <w:pPr>
              <w:spacing w:after="0" w:line="240" w:lineRule="auto"/>
              <w:rPr>
                <w:rFonts w:ascii="Calibri" w:eastAsia="Times New Roman" w:hAnsi="Calibri" w:cs="Calibri"/>
                <w:b/>
                <w:bCs/>
                <w:color w:val="000000"/>
                <w:sz w:val="18"/>
                <w:szCs w:val="18"/>
                <w:lang w:bidi="he-IL"/>
              </w:rPr>
            </w:pPr>
            <w:r>
              <w:rPr>
                <w:rFonts w:ascii="Calibri" w:eastAsia="Times New Roman" w:hAnsi="Calibri" w:cs="Calibri"/>
                <w:b/>
                <w:bCs/>
                <w:color w:val="000000"/>
                <w:sz w:val="18"/>
                <w:szCs w:val="18"/>
                <w:lang w:bidi="he-IL"/>
              </w:rPr>
              <w:t>BMI- mean ±SD</w:t>
            </w:r>
          </w:p>
        </w:tc>
        <w:tc>
          <w:tcPr>
            <w:tcW w:w="1618"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hideMark/>
          </w:tcPr>
          <w:p w14:paraId="575CD876" w14:textId="77777777" w:rsidR="003A503B" w:rsidRDefault="003A503B">
            <w:pPr>
              <w:spacing w:after="0" w:line="240" w:lineRule="auto"/>
              <w:jc w:val="center"/>
              <w:rPr>
                <w:rFonts w:ascii="Calibri" w:eastAsia="Times New Roman" w:hAnsi="Calibri" w:cs="Calibri"/>
                <w:color w:val="000000"/>
                <w:sz w:val="18"/>
                <w:szCs w:val="18"/>
                <w:lang w:bidi="he-IL"/>
              </w:rPr>
            </w:pPr>
            <w:r>
              <w:rPr>
                <w:rFonts w:ascii="Calibri" w:eastAsia="Times New Roman" w:hAnsi="Calibri" w:cs="Calibri"/>
                <w:color w:val="000000"/>
                <w:sz w:val="18"/>
                <w:szCs w:val="18"/>
                <w:lang w:bidi="he-IL"/>
              </w:rPr>
              <w:t>31.6 ±6.1</w:t>
            </w:r>
          </w:p>
        </w:tc>
        <w:tc>
          <w:tcPr>
            <w:tcW w:w="1701" w:type="dxa"/>
            <w:tcBorders>
              <w:top w:val="single" w:sz="4" w:space="0" w:color="auto"/>
              <w:left w:val="single" w:sz="4" w:space="0" w:color="auto"/>
              <w:bottom w:val="single" w:sz="4" w:space="0" w:color="auto"/>
              <w:right w:val="single" w:sz="4" w:space="0" w:color="auto"/>
            </w:tcBorders>
            <w:shd w:val="clear" w:color="auto" w:fill="DCE6F1"/>
            <w:vAlign w:val="center"/>
            <w:hideMark/>
          </w:tcPr>
          <w:p w14:paraId="1FE917C9" w14:textId="77777777" w:rsidR="003A503B" w:rsidRDefault="003A503B">
            <w:pPr>
              <w:spacing w:after="0" w:line="240" w:lineRule="auto"/>
              <w:jc w:val="center"/>
              <w:rPr>
                <w:rFonts w:ascii="Calibri" w:eastAsia="Times New Roman" w:hAnsi="Calibri" w:cs="Calibri"/>
                <w:color w:val="000000"/>
                <w:sz w:val="18"/>
                <w:szCs w:val="18"/>
                <w:lang w:bidi="he-IL"/>
              </w:rPr>
            </w:pPr>
            <w:r>
              <w:rPr>
                <w:rFonts w:ascii="Calibri" w:eastAsia="Times New Roman" w:hAnsi="Calibri" w:cs="Calibri"/>
                <w:color w:val="000000"/>
                <w:sz w:val="18"/>
                <w:szCs w:val="18"/>
                <w:lang w:bidi="he-IL"/>
              </w:rPr>
              <w:t>32.1 ±5.9</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C424998" w14:textId="77777777" w:rsidR="003A503B" w:rsidRDefault="003A503B">
            <w:pPr>
              <w:spacing w:after="0" w:line="240" w:lineRule="auto"/>
              <w:jc w:val="center"/>
              <w:rPr>
                <w:rFonts w:ascii="Calibri" w:eastAsia="Times New Roman" w:hAnsi="Calibri" w:cs="Calibri"/>
                <w:color w:val="000000"/>
                <w:sz w:val="18"/>
                <w:szCs w:val="18"/>
                <w:lang w:bidi="he-IL"/>
              </w:rPr>
            </w:pPr>
            <w:r>
              <w:rPr>
                <w:rFonts w:ascii="Calibri" w:eastAsia="Times New Roman" w:hAnsi="Calibri" w:cs="Calibri"/>
                <w:color w:val="000000"/>
                <w:sz w:val="18"/>
                <w:szCs w:val="18"/>
                <w:lang w:bidi="he-IL"/>
              </w:rPr>
              <w:t>34.5 ±6.0</w:t>
            </w:r>
          </w:p>
        </w:tc>
        <w:tc>
          <w:tcPr>
            <w:tcW w:w="1000" w:type="dxa"/>
            <w:tcBorders>
              <w:top w:val="single" w:sz="4" w:space="0" w:color="auto"/>
              <w:left w:val="single" w:sz="4" w:space="0" w:color="auto"/>
              <w:bottom w:val="single" w:sz="4" w:space="0" w:color="auto"/>
              <w:right w:val="single" w:sz="4" w:space="0" w:color="auto"/>
            </w:tcBorders>
            <w:noWrap/>
            <w:vAlign w:val="center"/>
            <w:hideMark/>
          </w:tcPr>
          <w:p w14:paraId="260E2250" w14:textId="77777777" w:rsidR="003A503B" w:rsidRDefault="003A503B">
            <w:pPr>
              <w:spacing w:after="0" w:line="240" w:lineRule="auto"/>
              <w:jc w:val="center"/>
              <w:rPr>
                <w:rFonts w:ascii="Calibri" w:eastAsia="Times New Roman" w:hAnsi="Calibri" w:cs="Calibri"/>
                <w:color w:val="000000"/>
                <w:sz w:val="18"/>
                <w:szCs w:val="18"/>
                <w:lang w:bidi="he-IL"/>
              </w:rPr>
            </w:pPr>
            <w:r>
              <w:rPr>
                <w:rFonts w:ascii="Calibri" w:eastAsia="Times New Roman" w:hAnsi="Calibri" w:cs="Calibri"/>
                <w:color w:val="000000"/>
                <w:sz w:val="18"/>
                <w:szCs w:val="18"/>
                <w:lang w:bidi="he-IL"/>
              </w:rPr>
              <w:t>&lt;0.001</w:t>
            </w:r>
          </w:p>
        </w:tc>
      </w:tr>
      <w:tr w:rsidR="00E15393" w14:paraId="6887ABAB" w14:textId="77777777" w:rsidTr="005865DB">
        <w:trPr>
          <w:trHeight w:val="288"/>
        </w:trPr>
        <w:tc>
          <w:tcPr>
            <w:tcW w:w="3168" w:type="dxa"/>
            <w:tcBorders>
              <w:top w:val="single" w:sz="4" w:space="0" w:color="auto"/>
              <w:left w:val="single" w:sz="4" w:space="0" w:color="auto"/>
              <w:bottom w:val="single" w:sz="4" w:space="0" w:color="auto"/>
              <w:right w:val="single" w:sz="4" w:space="0" w:color="auto"/>
            </w:tcBorders>
            <w:vAlign w:val="center"/>
          </w:tcPr>
          <w:p w14:paraId="24B83E51" w14:textId="18A2B1E4" w:rsidR="00E15393" w:rsidRDefault="001F3B9B" w:rsidP="00E15393">
            <w:pPr>
              <w:spacing w:after="0" w:line="240" w:lineRule="auto"/>
              <w:rPr>
                <w:rFonts w:ascii="Calibri" w:eastAsia="Times New Roman" w:hAnsi="Calibri" w:cs="Calibri"/>
                <w:b/>
                <w:bCs/>
                <w:color w:val="000000"/>
                <w:sz w:val="18"/>
                <w:szCs w:val="18"/>
                <w:lang w:bidi="he-IL"/>
              </w:rPr>
            </w:pPr>
            <w:r>
              <w:rPr>
                <w:rFonts w:ascii="Calibri" w:hAnsi="Calibri" w:cs="Calibri"/>
                <w:b/>
                <w:bCs/>
                <w:color w:val="000000"/>
                <w:sz w:val="18"/>
                <w:szCs w:val="18"/>
              </w:rPr>
              <w:t>Caucasian</w:t>
            </w:r>
            <w:r w:rsidR="00E15393" w:rsidRPr="00B30F55">
              <w:rPr>
                <w:rFonts w:ascii="Calibri" w:hAnsi="Calibri" w:cs="Calibri"/>
                <w:b/>
                <w:bCs/>
                <w:color w:val="000000"/>
                <w:sz w:val="18"/>
                <w:szCs w:val="18"/>
              </w:rPr>
              <w:t>- n(%)</w:t>
            </w:r>
          </w:p>
        </w:tc>
        <w:tc>
          <w:tcPr>
            <w:tcW w:w="1618"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tcPr>
          <w:p w14:paraId="4B3B7075" w14:textId="76E5DF04" w:rsidR="00E15393" w:rsidRDefault="00E15393" w:rsidP="00E15393">
            <w:pPr>
              <w:spacing w:after="0" w:line="240" w:lineRule="auto"/>
              <w:jc w:val="center"/>
              <w:rPr>
                <w:rFonts w:ascii="Calibri" w:eastAsia="Times New Roman" w:hAnsi="Calibri" w:cs="Calibri"/>
                <w:color w:val="000000"/>
                <w:sz w:val="18"/>
                <w:szCs w:val="18"/>
                <w:lang w:bidi="he-IL"/>
              </w:rPr>
            </w:pPr>
            <w:r>
              <w:rPr>
                <w:rFonts w:ascii="Calibri" w:hAnsi="Calibri" w:cs="Calibri"/>
                <w:color w:val="000000"/>
                <w:sz w:val="18"/>
                <w:szCs w:val="18"/>
              </w:rPr>
              <w:t>1088 (86)</w:t>
            </w:r>
          </w:p>
        </w:tc>
        <w:tc>
          <w:tcPr>
            <w:tcW w:w="1701" w:type="dxa"/>
            <w:tcBorders>
              <w:top w:val="single" w:sz="4" w:space="0" w:color="auto"/>
              <w:left w:val="single" w:sz="4" w:space="0" w:color="auto"/>
              <w:bottom w:val="single" w:sz="4" w:space="0" w:color="auto"/>
              <w:right w:val="single" w:sz="4" w:space="0" w:color="auto"/>
            </w:tcBorders>
            <w:shd w:val="clear" w:color="auto" w:fill="DCE6F1"/>
            <w:vAlign w:val="bottom"/>
          </w:tcPr>
          <w:p w14:paraId="425619D6" w14:textId="6BA9A259" w:rsidR="00E15393" w:rsidRDefault="00E15393" w:rsidP="00E15393">
            <w:pPr>
              <w:spacing w:after="0" w:line="240" w:lineRule="auto"/>
              <w:jc w:val="center"/>
              <w:rPr>
                <w:rFonts w:ascii="Calibri" w:eastAsia="Times New Roman" w:hAnsi="Calibri" w:cs="Calibri"/>
                <w:color w:val="000000"/>
                <w:sz w:val="18"/>
                <w:szCs w:val="18"/>
                <w:lang w:bidi="he-IL"/>
              </w:rPr>
            </w:pPr>
            <w:r>
              <w:rPr>
                <w:rFonts w:ascii="Calibri" w:hAnsi="Calibri" w:cs="Calibri"/>
                <w:color w:val="000000"/>
                <w:sz w:val="18"/>
                <w:szCs w:val="18"/>
              </w:rPr>
              <w:t>6313 (81.6)</w:t>
            </w:r>
          </w:p>
        </w:tc>
        <w:tc>
          <w:tcPr>
            <w:tcW w:w="1843" w:type="dxa"/>
            <w:tcBorders>
              <w:top w:val="single" w:sz="4" w:space="0" w:color="auto"/>
              <w:left w:val="single" w:sz="4" w:space="0" w:color="auto"/>
              <w:bottom w:val="single" w:sz="4" w:space="0" w:color="auto"/>
              <w:right w:val="single" w:sz="4" w:space="0" w:color="auto"/>
            </w:tcBorders>
            <w:vAlign w:val="bottom"/>
          </w:tcPr>
          <w:p w14:paraId="7C29FEB4" w14:textId="65C620F3" w:rsidR="00E15393" w:rsidRDefault="00E15393" w:rsidP="00E15393">
            <w:pPr>
              <w:spacing w:after="0" w:line="240" w:lineRule="auto"/>
              <w:jc w:val="center"/>
              <w:rPr>
                <w:rFonts w:ascii="Calibri" w:eastAsia="Times New Roman" w:hAnsi="Calibri" w:cs="Calibri"/>
                <w:color w:val="000000"/>
                <w:sz w:val="18"/>
                <w:szCs w:val="18"/>
                <w:lang w:bidi="he-IL"/>
              </w:rPr>
            </w:pPr>
            <w:r>
              <w:rPr>
                <w:rFonts w:ascii="Calibri" w:hAnsi="Calibri" w:cs="Calibri"/>
                <w:color w:val="000000"/>
                <w:sz w:val="18"/>
                <w:szCs w:val="18"/>
              </w:rPr>
              <w:t>6251 (76.6)</w:t>
            </w:r>
          </w:p>
        </w:tc>
        <w:tc>
          <w:tcPr>
            <w:tcW w:w="1000" w:type="dxa"/>
            <w:tcBorders>
              <w:top w:val="single" w:sz="4" w:space="0" w:color="auto"/>
              <w:left w:val="single" w:sz="4" w:space="0" w:color="auto"/>
              <w:bottom w:val="single" w:sz="4" w:space="0" w:color="auto"/>
              <w:right w:val="single" w:sz="4" w:space="0" w:color="auto"/>
            </w:tcBorders>
            <w:noWrap/>
            <w:vAlign w:val="bottom"/>
          </w:tcPr>
          <w:p w14:paraId="721D4908" w14:textId="7CEAE46A" w:rsidR="00E15393" w:rsidRDefault="00E15393" w:rsidP="00E15393">
            <w:pPr>
              <w:spacing w:after="0" w:line="240" w:lineRule="auto"/>
              <w:jc w:val="center"/>
              <w:rPr>
                <w:rFonts w:ascii="Calibri" w:eastAsia="Times New Roman" w:hAnsi="Calibri" w:cs="Calibri"/>
                <w:color w:val="000000"/>
                <w:sz w:val="18"/>
                <w:szCs w:val="18"/>
                <w:lang w:bidi="he-IL"/>
              </w:rPr>
            </w:pPr>
            <w:r>
              <w:rPr>
                <w:rFonts w:ascii="Calibri" w:hAnsi="Calibri" w:cs="Calibri"/>
                <w:color w:val="000000"/>
                <w:sz w:val="18"/>
                <w:szCs w:val="18"/>
              </w:rPr>
              <w:t>&lt;0.001</w:t>
            </w:r>
          </w:p>
        </w:tc>
      </w:tr>
      <w:tr w:rsidR="00E15393" w14:paraId="1C48277C" w14:textId="77777777" w:rsidTr="003A503B">
        <w:trPr>
          <w:trHeight w:val="288"/>
        </w:trPr>
        <w:tc>
          <w:tcPr>
            <w:tcW w:w="31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F79D31E" w14:textId="77777777" w:rsidR="00E15393" w:rsidRDefault="00E15393" w:rsidP="00E15393">
            <w:pPr>
              <w:spacing w:after="0" w:line="240" w:lineRule="auto"/>
              <w:rPr>
                <w:rFonts w:ascii="Calibri" w:eastAsia="Times New Roman" w:hAnsi="Calibri" w:cs="Calibri"/>
                <w:b/>
                <w:bCs/>
                <w:color w:val="000000"/>
                <w:sz w:val="18"/>
                <w:szCs w:val="18"/>
                <w:u w:val="single"/>
                <w:lang w:bidi="he-IL"/>
              </w:rPr>
            </w:pPr>
            <w:r>
              <w:rPr>
                <w:rFonts w:ascii="Calibri" w:eastAsia="Times New Roman" w:hAnsi="Calibri" w:cs="Calibri"/>
                <w:b/>
                <w:bCs/>
                <w:color w:val="000000"/>
                <w:sz w:val="18"/>
                <w:szCs w:val="18"/>
                <w:u w:val="single"/>
                <w:lang w:bidi="he-IL"/>
              </w:rPr>
              <w:t>Medical History:</w:t>
            </w:r>
          </w:p>
        </w:tc>
        <w:tc>
          <w:tcPr>
            <w:tcW w:w="1618"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tcPr>
          <w:p w14:paraId="0FA507C2" w14:textId="77777777" w:rsidR="00E15393" w:rsidRDefault="00E15393" w:rsidP="00E15393">
            <w:pPr>
              <w:spacing w:after="0" w:line="240" w:lineRule="auto"/>
              <w:jc w:val="center"/>
              <w:rPr>
                <w:rFonts w:ascii="Calibri" w:eastAsia="Times New Roman" w:hAnsi="Calibri" w:cs="Calibri"/>
                <w:color w:val="000000"/>
                <w:sz w:val="18"/>
                <w:szCs w:val="18"/>
                <w:lang w:bidi="he-IL"/>
              </w:rPr>
            </w:pPr>
          </w:p>
        </w:tc>
        <w:tc>
          <w:tcPr>
            <w:tcW w:w="1701" w:type="dxa"/>
            <w:tcBorders>
              <w:top w:val="single" w:sz="4" w:space="0" w:color="auto"/>
              <w:left w:val="single" w:sz="4" w:space="0" w:color="auto"/>
              <w:bottom w:val="single" w:sz="4" w:space="0" w:color="auto"/>
              <w:right w:val="single" w:sz="4" w:space="0" w:color="auto"/>
            </w:tcBorders>
            <w:shd w:val="clear" w:color="auto" w:fill="DCE6F1"/>
            <w:vAlign w:val="center"/>
          </w:tcPr>
          <w:p w14:paraId="4927597E" w14:textId="77777777" w:rsidR="00E15393" w:rsidRDefault="00E15393" w:rsidP="00E15393">
            <w:pPr>
              <w:spacing w:after="0" w:line="240" w:lineRule="auto"/>
              <w:jc w:val="center"/>
              <w:rPr>
                <w:rFonts w:ascii="Calibri" w:eastAsia="Times New Roman" w:hAnsi="Calibri" w:cs="Calibri"/>
                <w:color w:val="000000"/>
                <w:sz w:val="18"/>
                <w:szCs w:val="18"/>
                <w:lang w:bidi="he-IL"/>
              </w:rPr>
            </w:pPr>
          </w:p>
        </w:tc>
        <w:tc>
          <w:tcPr>
            <w:tcW w:w="1843" w:type="dxa"/>
            <w:tcBorders>
              <w:top w:val="single" w:sz="4" w:space="0" w:color="auto"/>
              <w:left w:val="single" w:sz="4" w:space="0" w:color="auto"/>
              <w:bottom w:val="single" w:sz="4" w:space="0" w:color="auto"/>
              <w:right w:val="single" w:sz="4" w:space="0" w:color="auto"/>
            </w:tcBorders>
            <w:vAlign w:val="center"/>
          </w:tcPr>
          <w:p w14:paraId="05A12393" w14:textId="77777777" w:rsidR="00E15393" w:rsidRDefault="00E15393" w:rsidP="00E15393">
            <w:pPr>
              <w:spacing w:after="0" w:line="240" w:lineRule="auto"/>
              <w:jc w:val="center"/>
              <w:rPr>
                <w:rFonts w:ascii="Calibri" w:eastAsia="Times New Roman" w:hAnsi="Calibri" w:cs="Calibri"/>
                <w:color w:val="000000"/>
                <w:sz w:val="18"/>
                <w:szCs w:val="18"/>
                <w:lang w:bidi="he-IL"/>
              </w:rPr>
            </w:pPr>
          </w:p>
        </w:tc>
        <w:tc>
          <w:tcPr>
            <w:tcW w:w="1000" w:type="dxa"/>
            <w:tcBorders>
              <w:top w:val="single" w:sz="4" w:space="0" w:color="auto"/>
              <w:left w:val="single" w:sz="4" w:space="0" w:color="auto"/>
              <w:bottom w:val="single" w:sz="4" w:space="0" w:color="auto"/>
              <w:right w:val="single" w:sz="4" w:space="0" w:color="auto"/>
            </w:tcBorders>
            <w:noWrap/>
            <w:vAlign w:val="center"/>
          </w:tcPr>
          <w:p w14:paraId="11DE67FE" w14:textId="77777777" w:rsidR="00E15393" w:rsidRDefault="00E15393" w:rsidP="00E15393">
            <w:pPr>
              <w:spacing w:after="0" w:line="240" w:lineRule="auto"/>
              <w:jc w:val="center"/>
              <w:rPr>
                <w:rFonts w:ascii="Calibri" w:eastAsia="Times New Roman" w:hAnsi="Calibri" w:cs="Calibri"/>
                <w:color w:val="000000"/>
                <w:sz w:val="18"/>
                <w:szCs w:val="18"/>
                <w:lang w:bidi="he-IL"/>
              </w:rPr>
            </w:pPr>
          </w:p>
        </w:tc>
      </w:tr>
      <w:tr w:rsidR="00E15393" w14:paraId="3BBECA17" w14:textId="77777777" w:rsidTr="003A503B">
        <w:trPr>
          <w:trHeight w:val="288"/>
        </w:trPr>
        <w:tc>
          <w:tcPr>
            <w:tcW w:w="3168" w:type="dxa"/>
            <w:tcBorders>
              <w:top w:val="single" w:sz="4" w:space="0" w:color="auto"/>
              <w:left w:val="single" w:sz="4" w:space="0" w:color="auto"/>
              <w:bottom w:val="single" w:sz="4" w:space="0" w:color="auto"/>
              <w:right w:val="single" w:sz="4" w:space="0" w:color="auto"/>
            </w:tcBorders>
            <w:vAlign w:val="center"/>
            <w:hideMark/>
          </w:tcPr>
          <w:p w14:paraId="171F79F8" w14:textId="77777777" w:rsidR="00E15393" w:rsidRDefault="00E15393" w:rsidP="00E15393">
            <w:pPr>
              <w:spacing w:after="0" w:line="240" w:lineRule="auto"/>
              <w:rPr>
                <w:rFonts w:ascii="Calibri" w:eastAsia="Times New Roman" w:hAnsi="Calibri" w:cs="Calibri"/>
                <w:b/>
                <w:bCs/>
                <w:color w:val="000000"/>
                <w:sz w:val="18"/>
                <w:szCs w:val="18"/>
                <w:lang w:bidi="he-IL"/>
              </w:rPr>
            </w:pPr>
            <w:r>
              <w:rPr>
                <w:rFonts w:ascii="Calibri" w:eastAsia="Times New Roman" w:hAnsi="Calibri" w:cs="Calibri"/>
                <w:b/>
                <w:bCs/>
                <w:color w:val="000000"/>
                <w:sz w:val="18"/>
                <w:szCs w:val="18"/>
                <w:lang w:bidi="he-IL"/>
              </w:rPr>
              <w:t>Duration of Type 2 Diabetes- mean ±SD</w:t>
            </w:r>
          </w:p>
        </w:tc>
        <w:tc>
          <w:tcPr>
            <w:tcW w:w="1618"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hideMark/>
          </w:tcPr>
          <w:p w14:paraId="2D96E23B" w14:textId="77777777" w:rsidR="00E15393" w:rsidRDefault="00E15393" w:rsidP="00E15393">
            <w:pPr>
              <w:spacing w:after="0" w:line="240" w:lineRule="auto"/>
              <w:jc w:val="center"/>
              <w:rPr>
                <w:rFonts w:ascii="Calibri" w:eastAsia="Times New Roman" w:hAnsi="Calibri" w:cs="Calibri"/>
                <w:color w:val="000000"/>
                <w:sz w:val="18"/>
                <w:szCs w:val="18"/>
                <w:lang w:bidi="he-IL"/>
              </w:rPr>
            </w:pPr>
            <w:r>
              <w:rPr>
                <w:rFonts w:ascii="Calibri" w:eastAsia="Times New Roman" w:hAnsi="Calibri" w:cs="Calibri"/>
                <w:color w:val="000000"/>
                <w:sz w:val="18"/>
                <w:szCs w:val="18"/>
                <w:lang w:bidi="he-IL"/>
              </w:rPr>
              <w:t>10.9 ±7.2</w:t>
            </w:r>
          </w:p>
        </w:tc>
        <w:tc>
          <w:tcPr>
            <w:tcW w:w="1701" w:type="dxa"/>
            <w:tcBorders>
              <w:top w:val="single" w:sz="4" w:space="0" w:color="auto"/>
              <w:left w:val="single" w:sz="4" w:space="0" w:color="auto"/>
              <w:bottom w:val="single" w:sz="4" w:space="0" w:color="auto"/>
              <w:right w:val="single" w:sz="4" w:space="0" w:color="auto"/>
            </w:tcBorders>
            <w:shd w:val="clear" w:color="auto" w:fill="DCE6F1"/>
            <w:vAlign w:val="center"/>
            <w:hideMark/>
          </w:tcPr>
          <w:p w14:paraId="1071C1AF" w14:textId="77777777" w:rsidR="00E15393" w:rsidRDefault="00E15393" w:rsidP="00E15393">
            <w:pPr>
              <w:spacing w:after="0" w:line="240" w:lineRule="auto"/>
              <w:jc w:val="center"/>
              <w:rPr>
                <w:rFonts w:ascii="Calibri" w:eastAsia="Times New Roman" w:hAnsi="Calibri" w:cs="Calibri"/>
                <w:color w:val="000000"/>
                <w:sz w:val="18"/>
                <w:szCs w:val="18"/>
                <w:lang w:bidi="he-IL"/>
              </w:rPr>
            </w:pPr>
            <w:r>
              <w:rPr>
                <w:rFonts w:ascii="Calibri" w:eastAsia="Times New Roman" w:hAnsi="Calibri" w:cs="Calibri"/>
                <w:color w:val="000000"/>
                <w:sz w:val="18"/>
                <w:szCs w:val="18"/>
                <w:lang w:bidi="he-IL"/>
              </w:rPr>
              <w:t>12.5 ±8.0</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7201EA7" w14:textId="77777777" w:rsidR="00E15393" w:rsidRDefault="00E15393" w:rsidP="00E15393">
            <w:pPr>
              <w:spacing w:after="0" w:line="240" w:lineRule="auto"/>
              <w:jc w:val="center"/>
              <w:rPr>
                <w:rFonts w:ascii="Calibri" w:eastAsia="Times New Roman" w:hAnsi="Calibri" w:cs="Calibri"/>
                <w:color w:val="000000"/>
                <w:sz w:val="18"/>
                <w:szCs w:val="18"/>
                <w:lang w:bidi="he-IL"/>
              </w:rPr>
            </w:pPr>
            <w:r>
              <w:rPr>
                <w:rFonts w:ascii="Calibri" w:eastAsia="Times New Roman" w:hAnsi="Calibri" w:cs="Calibri"/>
                <w:color w:val="000000"/>
                <w:sz w:val="18"/>
                <w:szCs w:val="18"/>
                <w:lang w:bidi="he-IL"/>
              </w:rPr>
              <w:t>14.5 ±8.9</w:t>
            </w:r>
          </w:p>
        </w:tc>
        <w:tc>
          <w:tcPr>
            <w:tcW w:w="1000" w:type="dxa"/>
            <w:tcBorders>
              <w:top w:val="single" w:sz="4" w:space="0" w:color="auto"/>
              <w:left w:val="single" w:sz="4" w:space="0" w:color="auto"/>
              <w:bottom w:val="single" w:sz="4" w:space="0" w:color="auto"/>
              <w:right w:val="single" w:sz="4" w:space="0" w:color="auto"/>
            </w:tcBorders>
            <w:noWrap/>
            <w:vAlign w:val="center"/>
            <w:hideMark/>
          </w:tcPr>
          <w:p w14:paraId="2644E2D5" w14:textId="77777777" w:rsidR="00E15393" w:rsidRDefault="00E15393" w:rsidP="00E15393">
            <w:pPr>
              <w:spacing w:after="0" w:line="240" w:lineRule="auto"/>
              <w:jc w:val="center"/>
              <w:rPr>
                <w:rFonts w:ascii="Calibri" w:eastAsia="Times New Roman" w:hAnsi="Calibri" w:cs="Calibri"/>
                <w:color w:val="000000"/>
                <w:sz w:val="18"/>
                <w:szCs w:val="18"/>
                <w:lang w:bidi="he-IL"/>
              </w:rPr>
            </w:pPr>
            <w:r>
              <w:rPr>
                <w:rFonts w:ascii="Calibri" w:eastAsia="Times New Roman" w:hAnsi="Calibri" w:cs="Calibri"/>
                <w:color w:val="000000"/>
                <w:sz w:val="18"/>
                <w:szCs w:val="18"/>
                <w:lang w:bidi="he-IL"/>
              </w:rPr>
              <w:t>&lt;0.001</w:t>
            </w:r>
          </w:p>
        </w:tc>
      </w:tr>
      <w:tr w:rsidR="00E15393" w14:paraId="1A10A929" w14:textId="77777777" w:rsidTr="003A503B">
        <w:trPr>
          <w:trHeight w:val="288"/>
        </w:trPr>
        <w:tc>
          <w:tcPr>
            <w:tcW w:w="3168" w:type="dxa"/>
            <w:tcBorders>
              <w:top w:val="single" w:sz="4" w:space="0" w:color="auto"/>
              <w:left w:val="single" w:sz="4" w:space="0" w:color="auto"/>
              <w:bottom w:val="single" w:sz="4" w:space="0" w:color="auto"/>
              <w:right w:val="single" w:sz="4" w:space="0" w:color="auto"/>
            </w:tcBorders>
            <w:vAlign w:val="center"/>
            <w:hideMark/>
          </w:tcPr>
          <w:p w14:paraId="215B9D7D" w14:textId="77777777" w:rsidR="00E15393" w:rsidRDefault="00E15393" w:rsidP="00E15393">
            <w:pPr>
              <w:spacing w:after="0" w:line="240" w:lineRule="auto"/>
              <w:rPr>
                <w:rFonts w:ascii="Calibri" w:eastAsia="Times New Roman" w:hAnsi="Calibri" w:cs="Calibri"/>
                <w:b/>
                <w:bCs/>
                <w:color w:val="000000"/>
                <w:sz w:val="18"/>
                <w:szCs w:val="18"/>
                <w:lang w:bidi="he-IL"/>
              </w:rPr>
            </w:pPr>
            <w:r>
              <w:rPr>
                <w:rFonts w:ascii="Calibri" w:eastAsia="Times New Roman" w:hAnsi="Calibri" w:cs="Calibri"/>
                <w:b/>
                <w:bCs/>
                <w:color w:val="000000"/>
                <w:sz w:val="18"/>
                <w:szCs w:val="18"/>
                <w:lang w:bidi="he-IL"/>
              </w:rPr>
              <w:t xml:space="preserve">Established </w:t>
            </w:r>
            <w:r>
              <w:rPr>
                <w:rFonts w:ascii="Calibri" w:eastAsia="Times New Roman" w:hAnsi="Calibri" w:cs="Calibri"/>
                <w:b/>
                <w:bCs/>
                <w:sz w:val="18"/>
                <w:szCs w:val="18"/>
                <w:lang w:bidi="he-IL"/>
              </w:rPr>
              <w:t>atherosclerotic cardiovascular</w:t>
            </w:r>
            <w:r>
              <w:rPr>
                <w:rFonts w:asciiTheme="majorBidi" w:hAnsiTheme="majorBidi" w:cstheme="majorBidi"/>
              </w:rPr>
              <w:t xml:space="preserve"> </w:t>
            </w:r>
            <w:r>
              <w:rPr>
                <w:rFonts w:ascii="Calibri" w:eastAsia="Times New Roman" w:hAnsi="Calibri" w:cs="Calibri"/>
                <w:b/>
                <w:bCs/>
                <w:color w:val="000000"/>
                <w:sz w:val="18"/>
                <w:szCs w:val="18"/>
                <w:lang w:bidi="he-IL"/>
              </w:rPr>
              <w:t>disease- n (%)</w:t>
            </w:r>
          </w:p>
        </w:tc>
        <w:tc>
          <w:tcPr>
            <w:tcW w:w="1618"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hideMark/>
          </w:tcPr>
          <w:p w14:paraId="52B582AD" w14:textId="77777777" w:rsidR="00E15393" w:rsidRDefault="00E15393" w:rsidP="00E15393">
            <w:pPr>
              <w:spacing w:after="0" w:line="240" w:lineRule="auto"/>
              <w:jc w:val="center"/>
              <w:rPr>
                <w:rFonts w:ascii="Calibri" w:eastAsia="Times New Roman" w:hAnsi="Calibri" w:cs="Calibri"/>
                <w:color w:val="000000"/>
                <w:sz w:val="18"/>
                <w:szCs w:val="18"/>
                <w:lang w:bidi="he-IL"/>
              </w:rPr>
            </w:pPr>
            <w:r>
              <w:rPr>
                <w:rFonts w:ascii="Calibri" w:eastAsia="Times New Roman" w:hAnsi="Calibri" w:cs="Calibri"/>
                <w:color w:val="000000"/>
                <w:sz w:val="18"/>
                <w:szCs w:val="18"/>
                <w:lang w:bidi="he-IL"/>
              </w:rPr>
              <w:t>3193 (39.1)</w:t>
            </w:r>
          </w:p>
        </w:tc>
        <w:tc>
          <w:tcPr>
            <w:tcW w:w="1701" w:type="dxa"/>
            <w:tcBorders>
              <w:top w:val="single" w:sz="4" w:space="0" w:color="auto"/>
              <w:left w:val="single" w:sz="4" w:space="0" w:color="auto"/>
              <w:bottom w:val="single" w:sz="4" w:space="0" w:color="auto"/>
              <w:right w:val="single" w:sz="4" w:space="0" w:color="auto"/>
            </w:tcBorders>
            <w:shd w:val="clear" w:color="auto" w:fill="DCE6F1"/>
            <w:vAlign w:val="center"/>
            <w:hideMark/>
          </w:tcPr>
          <w:p w14:paraId="1862FE84" w14:textId="77777777" w:rsidR="00E15393" w:rsidRDefault="00E15393" w:rsidP="00E15393">
            <w:pPr>
              <w:spacing w:after="0" w:line="240" w:lineRule="auto"/>
              <w:jc w:val="center"/>
              <w:rPr>
                <w:rFonts w:ascii="Calibri" w:eastAsia="Times New Roman" w:hAnsi="Calibri" w:cs="Calibri"/>
                <w:color w:val="000000"/>
                <w:sz w:val="18"/>
                <w:szCs w:val="18"/>
                <w:lang w:bidi="he-IL"/>
              </w:rPr>
            </w:pPr>
            <w:r>
              <w:rPr>
                <w:rFonts w:ascii="Calibri" w:eastAsia="Times New Roman" w:hAnsi="Calibri" w:cs="Calibri"/>
                <w:color w:val="000000"/>
                <w:sz w:val="18"/>
                <w:szCs w:val="18"/>
                <w:lang w:bidi="he-IL"/>
              </w:rPr>
              <w:t>3138 (40.6)</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8CAD55D" w14:textId="77777777" w:rsidR="00E15393" w:rsidRDefault="00E15393" w:rsidP="00E15393">
            <w:pPr>
              <w:spacing w:after="0" w:line="240" w:lineRule="auto"/>
              <w:jc w:val="center"/>
              <w:rPr>
                <w:rFonts w:ascii="Calibri" w:eastAsia="Times New Roman" w:hAnsi="Calibri" w:cs="Calibri"/>
                <w:color w:val="000000"/>
                <w:sz w:val="18"/>
                <w:szCs w:val="18"/>
                <w:lang w:bidi="he-IL"/>
              </w:rPr>
            </w:pPr>
            <w:r>
              <w:rPr>
                <w:rFonts w:ascii="Calibri" w:eastAsia="Times New Roman" w:hAnsi="Calibri" w:cs="Calibri"/>
                <w:color w:val="000000"/>
                <w:sz w:val="18"/>
                <w:szCs w:val="18"/>
                <w:lang w:bidi="he-IL"/>
              </w:rPr>
              <w:t>643 (50.8)</w:t>
            </w:r>
          </w:p>
        </w:tc>
        <w:tc>
          <w:tcPr>
            <w:tcW w:w="1000" w:type="dxa"/>
            <w:tcBorders>
              <w:top w:val="single" w:sz="4" w:space="0" w:color="auto"/>
              <w:left w:val="single" w:sz="4" w:space="0" w:color="auto"/>
              <w:bottom w:val="single" w:sz="4" w:space="0" w:color="auto"/>
              <w:right w:val="single" w:sz="4" w:space="0" w:color="auto"/>
            </w:tcBorders>
            <w:noWrap/>
            <w:vAlign w:val="center"/>
            <w:hideMark/>
          </w:tcPr>
          <w:p w14:paraId="0868083C" w14:textId="77777777" w:rsidR="00E15393" w:rsidRDefault="00E15393" w:rsidP="00E15393">
            <w:pPr>
              <w:spacing w:after="0" w:line="240" w:lineRule="auto"/>
              <w:jc w:val="center"/>
              <w:rPr>
                <w:rFonts w:ascii="Calibri" w:eastAsia="Times New Roman" w:hAnsi="Calibri" w:cs="Calibri"/>
                <w:color w:val="000000"/>
                <w:sz w:val="18"/>
                <w:szCs w:val="18"/>
                <w:lang w:bidi="he-IL"/>
              </w:rPr>
            </w:pPr>
            <w:r>
              <w:rPr>
                <w:rFonts w:ascii="Calibri" w:eastAsia="Times New Roman" w:hAnsi="Calibri" w:cs="Calibri"/>
                <w:color w:val="000000"/>
                <w:sz w:val="18"/>
                <w:szCs w:val="18"/>
                <w:lang w:bidi="he-IL"/>
              </w:rPr>
              <w:t>&lt;0.001</w:t>
            </w:r>
          </w:p>
        </w:tc>
      </w:tr>
      <w:tr w:rsidR="00E15393" w14:paraId="28F2064D" w14:textId="77777777" w:rsidTr="003A503B">
        <w:trPr>
          <w:trHeight w:val="288"/>
        </w:trPr>
        <w:tc>
          <w:tcPr>
            <w:tcW w:w="3168" w:type="dxa"/>
            <w:tcBorders>
              <w:top w:val="single" w:sz="4" w:space="0" w:color="auto"/>
              <w:left w:val="single" w:sz="4" w:space="0" w:color="auto"/>
              <w:bottom w:val="single" w:sz="4" w:space="0" w:color="auto"/>
              <w:right w:val="single" w:sz="4" w:space="0" w:color="auto"/>
            </w:tcBorders>
            <w:vAlign w:val="center"/>
            <w:hideMark/>
          </w:tcPr>
          <w:p w14:paraId="1E9A4D97" w14:textId="77777777" w:rsidR="00E15393" w:rsidRDefault="00E15393" w:rsidP="00E15393">
            <w:pPr>
              <w:spacing w:after="0" w:line="240" w:lineRule="auto"/>
              <w:rPr>
                <w:rFonts w:ascii="Calibri" w:eastAsia="Times New Roman" w:hAnsi="Calibri" w:cs="Calibri"/>
                <w:b/>
                <w:bCs/>
                <w:color w:val="000000"/>
                <w:sz w:val="18"/>
                <w:szCs w:val="18"/>
                <w:lang w:bidi="he-IL"/>
              </w:rPr>
            </w:pPr>
            <w:r>
              <w:rPr>
                <w:rFonts w:ascii="Calibri" w:eastAsia="Times New Roman" w:hAnsi="Calibri" w:cs="Calibri"/>
                <w:b/>
                <w:bCs/>
                <w:color w:val="000000"/>
                <w:sz w:val="18"/>
                <w:szCs w:val="18"/>
                <w:lang w:bidi="he-IL"/>
              </w:rPr>
              <w:t>History of CHF- n (%)</w:t>
            </w:r>
          </w:p>
        </w:tc>
        <w:tc>
          <w:tcPr>
            <w:tcW w:w="1618"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hideMark/>
          </w:tcPr>
          <w:p w14:paraId="209F5A5F" w14:textId="77777777" w:rsidR="00E15393" w:rsidRDefault="00E15393" w:rsidP="00E15393">
            <w:pPr>
              <w:spacing w:after="0" w:line="240" w:lineRule="auto"/>
              <w:jc w:val="center"/>
              <w:rPr>
                <w:rFonts w:ascii="Calibri" w:eastAsia="Times New Roman" w:hAnsi="Calibri" w:cs="Calibri"/>
                <w:color w:val="000000"/>
                <w:sz w:val="18"/>
                <w:szCs w:val="18"/>
                <w:lang w:bidi="he-IL"/>
              </w:rPr>
            </w:pPr>
            <w:r>
              <w:rPr>
                <w:rFonts w:ascii="Calibri" w:eastAsia="Times New Roman" w:hAnsi="Calibri" w:cs="Calibri"/>
                <w:color w:val="000000"/>
                <w:sz w:val="18"/>
                <w:szCs w:val="18"/>
                <w:lang w:bidi="he-IL"/>
              </w:rPr>
              <w:t>688 (8.4)</w:t>
            </w:r>
          </w:p>
        </w:tc>
        <w:tc>
          <w:tcPr>
            <w:tcW w:w="1701" w:type="dxa"/>
            <w:tcBorders>
              <w:top w:val="single" w:sz="4" w:space="0" w:color="auto"/>
              <w:left w:val="single" w:sz="4" w:space="0" w:color="auto"/>
              <w:bottom w:val="single" w:sz="4" w:space="0" w:color="auto"/>
              <w:right w:val="single" w:sz="4" w:space="0" w:color="auto"/>
            </w:tcBorders>
            <w:shd w:val="clear" w:color="auto" w:fill="DCE6F1"/>
            <w:vAlign w:val="center"/>
            <w:hideMark/>
          </w:tcPr>
          <w:p w14:paraId="1C5AB10D" w14:textId="77777777" w:rsidR="00E15393" w:rsidRDefault="00E15393" w:rsidP="00E15393">
            <w:pPr>
              <w:spacing w:after="0" w:line="240" w:lineRule="auto"/>
              <w:jc w:val="center"/>
              <w:rPr>
                <w:rFonts w:ascii="Calibri" w:eastAsia="Times New Roman" w:hAnsi="Calibri" w:cs="Calibri"/>
                <w:color w:val="000000"/>
                <w:sz w:val="18"/>
                <w:szCs w:val="18"/>
                <w:lang w:bidi="he-IL"/>
              </w:rPr>
            </w:pPr>
            <w:r>
              <w:rPr>
                <w:rFonts w:ascii="Calibri" w:eastAsia="Times New Roman" w:hAnsi="Calibri" w:cs="Calibri"/>
                <w:color w:val="000000"/>
                <w:sz w:val="18"/>
                <w:szCs w:val="18"/>
                <w:lang w:bidi="he-IL"/>
              </w:rPr>
              <w:t>809 (10.5)</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E46FE96" w14:textId="77777777" w:rsidR="00E15393" w:rsidRDefault="00E15393" w:rsidP="00E15393">
            <w:pPr>
              <w:spacing w:after="0" w:line="240" w:lineRule="auto"/>
              <w:jc w:val="center"/>
              <w:rPr>
                <w:rFonts w:ascii="Calibri" w:eastAsia="Times New Roman" w:hAnsi="Calibri" w:cs="Calibri"/>
                <w:color w:val="000000"/>
                <w:sz w:val="18"/>
                <w:szCs w:val="18"/>
                <w:lang w:bidi="he-IL"/>
              </w:rPr>
            </w:pPr>
            <w:r>
              <w:rPr>
                <w:rFonts w:ascii="Calibri" w:eastAsia="Times New Roman" w:hAnsi="Calibri" w:cs="Calibri"/>
                <w:color w:val="000000"/>
                <w:sz w:val="18"/>
                <w:szCs w:val="18"/>
                <w:lang w:bidi="he-IL"/>
              </w:rPr>
              <w:t>227 (17.9)</w:t>
            </w:r>
          </w:p>
        </w:tc>
        <w:tc>
          <w:tcPr>
            <w:tcW w:w="1000" w:type="dxa"/>
            <w:tcBorders>
              <w:top w:val="single" w:sz="4" w:space="0" w:color="auto"/>
              <w:left w:val="single" w:sz="4" w:space="0" w:color="auto"/>
              <w:bottom w:val="single" w:sz="4" w:space="0" w:color="auto"/>
              <w:right w:val="single" w:sz="4" w:space="0" w:color="auto"/>
            </w:tcBorders>
            <w:noWrap/>
            <w:vAlign w:val="center"/>
            <w:hideMark/>
          </w:tcPr>
          <w:p w14:paraId="64A1A98A" w14:textId="77777777" w:rsidR="00E15393" w:rsidRDefault="00E15393" w:rsidP="00E15393">
            <w:pPr>
              <w:spacing w:after="0" w:line="240" w:lineRule="auto"/>
              <w:jc w:val="center"/>
              <w:rPr>
                <w:rFonts w:ascii="Calibri" w:eastAsia="Times New Roman" w:hAnsi="Calibri" w:cs="Calibri"/>
                <w:color w:val="000000"/>
                <w:sz w:val="18"/>
                <w:szCs w:val="18"/>
                <w:lang w:bidi="he-IL"/>
              </w:rPr>
            </w:pPr>
            <w:r>
              <w:rPr>
                <w:rFonts w:ascii="Calibri" w:eastAsia="Times New Roman" w:hAnsi="Calibri" w:cs="Calibri"/>
                <w:color w:val="000000"/>
                <w:sz w:val="18"/>
                <w:szCs w:val="18"/>
                <w:lang w:bidi="he-IL"/>
              </w:rPr>
              <w:t>&lt;0.001</w:t>
            </w:r>
          </w:p>
        </w:tc>
      </w:tr>
      <w:tr w:rsidR="00E15393" w14:paraId="46C310A4" w14:textId="77777777" w:rsidTr="003A503B">
        <w:trPr>
          <w:trHeight w:val="288"/>
        </w:trPr>
        <w:tc>
          <w:tcPr>
            <w:tcW w:w="3168" w:type="dxa"/>
            <w:tcBorders>
              <w:top w:val="single" w:sz="4" w:space="0" w:color="auto"/>
              <w:left w:val="single" w:sz="4" w:space="0" w:color="auto"/>
              <w:bottom w:val="single" w:sz="4" w:space="0" w:color="auto"/>
              <w:right w:val="single" w:sz="4" w:space="0" w:color="auto"/>
            </w:tcBorders>
            <w:vAlign w:val="center"/>
            <w:hideMark/>
          </w:tcPr>
          <w:p w14:paraId="67E8726A" w14:textId="77777777" w:rsidR="00E15393" w:rsidRDefault="00E15393" w:rsidP="00E15393">
            <w:pPr>
              <w:spacing w:after="0" w:line="240" w:lineRule="auto"/>
              <w:rPr>
                <w:rFonts w:ascii="Calibri" w:eastAsia="Times New Roman" w:hAnsi="Calibri" w:cs="Calibri"/>
                <w:b/>
                <w:bCs/>
                <w:color w:val="000000"/>
                <w:sz w:val="18"/>
                <w:szCs w:val="18"/>
                <w:lang w:bidi="he-IL"/>
              </w:rPr>
            </w:pPr>
            <w:r>
              <w:rPr>
                <w:rFonts w:ascii="Calibri" w:eastAsia="Times New Roman" w:hAnsi="Calibri" w:cs="Calibri"/>
                <w:b/>
                <w:bCs/>
                <w:color w:val="000000"/>
                <w:sz w:val="18"/>
                <w:szCs w:val="18"/>
                <w:lang w:bidi="he-IL"/>
              </w:rPr>
              <w:t>History of Dyslipidemia - n (%)</w:t>
            </w:r>
          </w:p>
        </w:tc>
        <w:tc>
          <w:tcPr>
            <w:tcW w:w="1618"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hideMark/>
          </w:tcPr>
          <w:p w14:paraId="5B7A406C" w14:textId="77777777" w:rsidR="00E15393" w:rsidRDefault="00E15393" w:rsidP="00E15393">
            <w:pPr>
              <w:spacing w:after="0" w:line="240" w:lineRule="auto"/>
              <w:jc w:val="center"/>
              <w:rPr>
                <w:rFonts w:ascii="Calibri" w:eastAsia="Times New Roman" w:hAnsi="Calibri" w:cs="Calibri"/>
                <w:color w:val="000000"/>
                <w:sz w:val="18"/>
                <w:szCs w:val="18"/>
                <w:lang w:bidi="he-IL"/>
              </w:rPr>
            </w:pPr>
            <w:r>
              <w:rPr>
                <w:rFonts w:ascii="Calibri" w:eastAsia="Times New Roman" w:hAnsi="Calibri" w:cs="Calibri"/>
                <w:color w:val="000000"/>
                <w:sz w:val="18"/>
                <w:szCs w:val="18"/>
                <w:lang w:bidi="he-IL"/>
              </w:rPr>
              <w:t>6370 (78)</w:t>
            </w:r>
          </w:p>
        </w:tc>
        <w:tc>
          <w:tcPr>
            <w:tcW w:w="1701" w:type="dxa"/>
            <w:tcBorders>
              <w:top w:val="single" w:sz="4" w:space="0" w:color="auto"/>
              <w:left w:val="single" w:sz="4" w:space="0" w:color="auto"/>
              <w:bottom w:val="single" w:sz="4" w:space="0" w:color="auto"/>
              <w:right w:val="single" w:sz="4" w:space="0" w:color="auto"/>
            </w:tcBorders>
            <w:shd w:val="clear" w:color="auto" w:fill="DCE6F1"/>
            <w:vAlign w:val="center"/>
            <w:hideMark/>
          </w:tcPr>
          <w:p w14:paraId="7C0648FF" w14:textId="77777777" w:rsidR="00E15393" w:rsidRDefault="00E15393" w:rsidP="00E15393">
            <w:pPr>
              <w:spacing w:after="0" w:line="240" w:lineRule="auto"/>
              <w:jc w:val="center"/>
              <w:rPr>
                <w:rFonts w:ascii="Calibri" w:eastAsia="Times New Roman" w:hAnsi="Calibri" w:cs="Calibri"/>
                <w:color w:val="000000"/>
                <w:sz w:val="18"/>
                <w:szCs w:val="18"/>
                <w:lang w:bidi="he-IL"/>
              </w:rPr>
            </w:pPr>
            <w:r>
              <w:rPr>
                <w:rFonts w:ascii="Calibri" w:eastAsia="Times New Roman" w:hAnsi="Calibri" w:cs="Calibri"/>
                <w:color w:val="000000"/>
                <w:sz w:val="18"/>
                <w:szCs w:val="18"/>
                <w:lang w:bidi="he-IL"/>
              </w:rPr>
              <w:t>6327 (81.8)</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82B4FB5" w14:textId="77777777" w:rsidR="00E15393" w:rsidRDefault="00E15393" w:rsidP="00E15393">
            <w:pPr>
              <w:spacing w:after="0" w:line="240" w:lineRule="auto"/>
              <w:jc w:val="center"/>
              <w:rPr>
                <w:rFonts w:ascii="Calibri" w:eastAsia="Times New Roman" w:hAnsi="Calibri" w:cs="Calibri"/>
                <w:color w:val="000000"/>
                <w:sz w:val="18"/>
                <w:szCs w:val="18"/>
                <w:lang w:bidi="he-IL"/>
              </w:rPr>
            </w:pPr>
            <w:r>
              <w:rPr>
                <w:rFonts w:ascii="Calibri" w:eastAsia="Times New Roman" w:hAnsi="Calibri" w:cs="Calibri"/>
                <w:color w:val="000000"/>
                <w:sz w:val="18"/>
                <w:szCs w:val="18"/>
                <w:lang w:bidi="he-IL"/>
              </w:rPr>
              <w:t>1098 (86.8)</w:t>
            </w:r>
          </w:p>
        </w:tc>
        <w:tc>
          <w:tcPr>
            <w:tcW w:w="1000" w:type="dxa"/>
            <w:tcBorders>
              <w:top w:val="single" w:sz="4" w:space="0" w:color="auto"/>
              <w:left w:val="single" w:sz="4" w:space="0" w:color="auto"/>
              <w:bottom w:val="single" w:sz="4" w:space="0" w:color="auto"/>
              <w:right w:val="single" w:sz="4" w:space="0" w:color="auto"/>
            </w:tcBorders>
            <w:noWrap/>
            <w:vAlign w:val="center"/>
            <w:hideMark/>
          </w:tcPr>
          <w:p w14:paraId="509D89FA" w14:textId="77777777" w:rsidR="00E15393" w:rsidRDefault="00E15393" w:rsidP="00E15393">
            <w:pPr>
              <w:spacing w:after="0" w:line="240" w:lineRule="auto"/>
              <w:jc w:val="center"/>
              <w:rPr>
                <w:rFonts w:ascii="Calibri" w:eastAsia="Times New Roman" w:hAnsi="Calibri" w:cs="Calibri"/>
                <w:color w:val="000000"/>
                <w:sz w:val="18"/>
                <w:szCs w:val="18"/>
                <w:lang w:bidi="he-IL"/>
              </w:rPr>
            </w:pPr>
            <w:r>
              <w:rPr>
                <w:rFonts w:ascii="Calibri" w:eastAsia="Times New Roman" w:hAnsi="Calibri" w:cs="Calibri"/>
                <w:color w:val="000000"/>
                <w:sz w:val="18"/>
                <w:szCs w:val="18"/>
                <w:lang w:bidi="he-IL"/>
              </w:rPr>
              <w:t>&lt;0.001</w:t>
            </w:r>
          </w:p>
        </w:tc>
      </w:tr>
      <w:tr w:rsidR="00E15393" w14:paraId="4CD82B66" w14:textId="77777777" w:rsidTr="003A503B">
        <w:trPr>
          <w:trHeight w:val="288"/>
        </w:trPr>
        <w:tc>
          <w:tcPr>
            <w:tcW w:w="3168" w:type="dxa"/>
            <w:tcBorders>
              <w:top w:val="single" w:sz="4" w:space="0" w:color="auto"/>
              <w:left w:val="single" w:sz="4" w:space="0" w:color="auto"/>
              <w:bottom w:val="single" w:sz="4" w:space="0" w:color="auto"/>
              <w:right w:val="single" w:sz="4" w:space="0" w:color="auto"/>
            </w:tcBorders>
            <w:vAlign w:val="center"/>
            <w:hideMark/>
          </w:tcPr>
          <w:p w14:paraId="44622EBB" w14:textId="77777777" w:rsidR="00E15393" w:rsidRDefault="00E15393" w:rsidP="00E15393">
            <w:pPr>
              <w:spacing w:after="0" w:line="240" w:lineRule="auto"/>
              <w:rPr>
                <w:rFonts w:ascii="Calibri" w:eastAsia="Times New Roman" w:hAnsi="Calibri" w:cs="Calibri"/>
                <w:b/>
                <w:bCs/>
                <w:color w:val="000000"/>
                <w:sz w:val="18"/>
                <w:szCs w:val="18"/>
                <w:lang w:bidi="he-IL"/>
              </w:rPr>
            </w:pPr>
            <w:r>
              <w:rPr>
                <w:rFonts w:ascii="Calibri" w:eastAsia="Times New Roman" w:hAnsi="Calibri" w:cs="Calibri"/>
                <w:b/>
                <w:bCs/>
                <w:color w:val="000000"/>
                <w:sz w:val="18"/>
                <w:szCs w:val="18"/>
                <w:lang w:bidi="he-IL"/>
              </w:rPr>
              <w:t>History of HTN- n (%)</w:t>
            </w:r>
          </w:p>
        </w:tc>
        <w:tc>
          <w:tcPr>
            <w:tcW w:w="1618"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hideMark/>
          </w:tcPr>
          <w:p w14:paraId="05A79CE5" w14:textId="77777777" w:rsidR="00E15393" w:rsidRDefault="00E15393" w:rsidP="00E15393">
            <w:pPr>
              <w:spacing w:after="0" w:line="240" w:lineRule="auto"/>
              <w:jc w:val="center"/>
              <w:rPr>
                <w:rFonts w:ascii="Calibri" w:eastAsia="Times New Roman" w:hAnsi="Calibri" w:cs="Calibri"/>
                <w:color w:val="000000"/>
                <w:sz w:val="18"/>
                <w:szCs w:val="18"/>
                <w:lang w:bidi="he-IL"/>
              </w:rPr>
            </w:pPr>
            <w:r>
              <w:rPr>
                <w:rFonts w:ascii="Calibri" w:eastAsia="Times New Roman" w:hAnsi="Calibri" w:cs="Calibri"/>
                <w:color w:val="000000"/>
                <w:sz w:val="18"/>
                <w:szCs w:val="18"/>
                <w:lang w:bidi="he-IL"/>
              </w:rPr>
              <w:t>7133 (87.4)</w:t>
            </w:r>
          </w:p>
        </w:tc>
        <w:tc>
          <w:tcPr>
            <w:tcW w:w="1701" w:type="dxa"/>
            <w:tcBorders>
              <w:top w:val="single" w:sz="4" w:space="0" w:color="auto"/>
              <w:left w:val="single" w:sz="4" w:space="0" w:color="auto"/>
              <w:bottom w:val="single" w:sz="4" w:space="0" w:color="auto"/>
              <w:right w:val="single" w:sz="4" w:space="0" w:color="auto"/>
            </w:tcBorders>
            <w:shd w:val="clear" w:color="auto" w:fill="DCE6F1"/>
            <w:vAlign w:val="center"/>
            <w:hideMark/>
          </w:tcPr>
          <w:p w14:paraId="0A3AB252" w14:textId="77777777" w:rsidR="00E15393" w:rsidRDefault="00E15393" w:rsidP="00E15393">
            <w:pPr>
              <w:spacing w:after="0" w:line="240" w:lineRule="auto"/>
              <w:jc w:val="center"/>
              <w:rPr>
                <w:rFonts w:ascii="Calibri" w:eastAsia="Times New Roman" w:hAnsi="Calibri" w:cs="Calibri"/>
                <w:color w:val="000000"/>
                <w:sz w:val="18"/>
                <w:szCs w:val="18"/>
                <w:lang w:bidi="he-IL"/>
              </w:rPr>
            </w:pPr>
            <w:r>
              <w:rPr>
                <w:rFonts w:ascii="Calibri" w:eastAsia="Times New Roman" w:hAnsi="Calibri" w:cs="Calibri"/>
                <w:color w:val="000000"/>
                <w:sz w:val="18"/>
                <w:szCs w:val="18"/>
                <w:lang w:bidi="he-IL"/>
              </w:rPr>
              <w:t>7088 (91.7)</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8D79EF4" w14:textId="77777777" w:rsidR="00E15393" w:rsidRDefault="00E15393" w:rsidP="00E15393">
            <w:pPr>
              <w:spacing w:after="0" w:line="240" w:lineRule="auto"/>
              <w:jc w:val="center"/>
              <w:rPr>
                <w:rFonts w:ascii="Calibri" w:eastAsia="Times New Roman" w:hAnsi="Calibri" w:cs="Calibri"/>
                <w:color w:val="000000"/>
                <w:sz w:val="18"/>
                <w:szCs w:val="18"/>
                <w:lang w:bidi="he-IL"/>
              </w:rPr>
            </w:pPr>
            <w:r>
              <w:rPr>
                <w:rFonts w:ascii="Calibri" w:eastAsia="Times New Roman" w:hAnsi="Calibri" w:cs="Calibri"/>
                <w:color w:val="000000"/>
                <w:sz w:val="18"/>
                <w:szCs w:val="18"/>
                <w:lang w:bidi="he-IL"/>
              </w:rPr>
              <w:t>1205 (95.3)</w:t>
            </w:r>
          </w:p>
        </w:tc>
        <w:tc>
          <w:tcPr>
            <w:tcW w:w="1000" w:type="dxa"/>
            <w:tcBorders>
              <w:top w:val="single" w:sz="4" w:space="0" w:color="auto"/>
              <w:left w:val="single" w:sz="4" w:space="0" w:color="auto"/>
              <w:bottom w:val="single" w:sz="4" w:space="0" w:color="auto"/>
              <w:right w:val="single" w:sz="4" w:space="0" w:color="auto"/>
            </w:tcBorders>
            <w:noWrap/>
            <w:vAlign w:val="center"/>
            <w:hideMark/>
          </w:tcPr>
          <w:p w14:paraId="52F99BBB" w14:textId="77777777" w:rsidR="00E15393" w:rsidRDefault="00E15393" w:rsidP="00E15393">
            <w:pPr>
              <w:spacing w:after="0" w:line="240" w:lineRule="auto"/>
              <w:jc w:val="center"/>
              <w:rPr>
                <w:rFonts w:ascii="Calibri" w:eastAsia="Times New Roman" w:hAnsi="Calibri" w:cs="Calibri"/>
                <w:color w:val="000000"/>
                <w:sz w:val="18"/>
                <w:szCs w:val="18"/>
                <w:lang w:bidi="he-IL"/>
              </w:rPr>
            </w:pPr>
            <w:r>
              <w:rPr>
                <w:rFonts w:ascii="Calibri" w:eastAsia="Times New Roman" w:hAnsi="Calibri" w:cs="Calibri"/>
                <w:color w:val="000000"/>
                <w:sz w:val="18"/>
                <w:szCs w:val="18"/>
                <w:lang w:bidi="he-IL"/>
              </w:rPr>
              <w:t>&lt;0.001</w:t>
            </w:r>
          </w:p>
        </w:tc>
      </w:tr>
      <w:tr w:rsidR="00E15393" w14:paraId="452E7272" w14:textId="77777777" w:rsidTr="003A503B">
        <w:trPr>
          <w:trHeight w:val="288"/>
        </w:trPr>
        <w:tc>
          <w:tcPr>
            <w:tcW w:w="31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C05D96C" w14:textId="77777777" w:rsidR="00E15393" w:rsidRDefault="00E15393" w:rsidP="00E15393">
            <w:pPr>
              <w:spacing w:after="0" w:line="240" w:lineRule="auto"/>
              <w:rPr>
                <w:rFonts w:ascii="Calibri" w:eastAsia="Times New Roman" w:hAnsi="Calibri" w:cs="Calibri"/>
                <w:b/>
                <w:bCs/>
                <w:color w:val="000000"/>
                <w:sz w:val="18"/>
                <w:szCs w:val="18"/>
                <w:u w:val="single"/>
                <w:lang w:bidi="he-IL"/>
              </w:rPr>
            </w:pPr>
            <w:r>
              <w:rPr>
                <w:rFonts w:ascii="Calibri" w:eastAsia="Times New Roman" w:hAnsi="Calibri" w:cs="Calibri"/>
                <w:b/>
                <w:bCs/>
                <w:color w:val="000000"/>
                <w:sz w:val="18"/>
                <w:szCs w:val="18"/>
                <w:u w:val="single"/>
                <w:lang w:bidi="he-IL"/>
              </w:rPr>
              <w:t>Background medication:</w:t>
            </w:r>
          </w:p>
        </w:tc>
        <w:tc>
          <w:tcPr>
            <w:tcW w:w="1618"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tcPr>
          <w:p w14:paraId="2772D742" w14:textId="77777777" w:rsidR="00E15393" w:rsidRDefault="00E15393" w:rsidP="00E15393">
            <w:pPr>
              <w:spacing w:after="0" w:line="240" w:lineRule="auto"/>
              <w:jc w:val="center"/>
              <w:rPr>
                <w:rFonts w:ascii="Calibri" w:eastAsia="Times New Roman" w:hAnsi="Calibri" w:cs="Calibri"/>
                <w:color w:val="000000"/>
                <w:sz w:val="18"/>
                <w:szCs w:val="18"/>
                <w:lang w:bidi="he-IL"/>
              </w:rPr>
            </w:pPr>
          </w:p>
        </w:tc>
        <w:tc>
          <w:tcPr>
            <w:tcW w:w="1701" w:type="dxa"/>
            <w:tcBorders>
              <w:top w:val="single" w:sz="4" w:space="0" w:color="auto"/>
              <w:left w:val="single" w:sz="4" w:space="0" w:color="auto"/>
              <w:bottom w:val="single" w:sz="4" w:space="0" w:color="auto"/>
              <w:right w:val="single" w:sz="4" w:space="0" w:color="auto"/>
            </w:tcBorders>
            <w:shd w:val="clear" w:color="auto" w:fill="DCE6F1"/>
            <w:vAlign w:val="center"/>
            <w:hideMark/>
          </w:tcPr>
          <w:p w14:paraId="7BB8BC57" w14:textId="77777777" w:rsidR="00E15393" w:rsidRDefault="00E15393" w:rsidP="00E15393">
            <w:pPr>
              <w:rPr>
                <w:rFonts w:ascii="Calibri" w:eastAsia="Times New Roman" w:hAnsi="Calibri" w:cs="Calibri"/>
                <w:color w:val="000000"/>
                <w:sz w:val="18"/>
                <w:szCs w:val="18"/>
                <w:lang w:bidi="he-IL"/>
              </w:rPr>
            </w:pPr>
          </w:p>
        </w:tc>
        <w:tc>
          <w:tcPr>
            <w:tcW w:w="1843" w:type="dxa"/>
            <w:tcBorders>
              <w:top w:val="single" w:sz="4" w:space="0" w:color="auto"/>
              <w:left w:val="single" w:sz="4" w:space="0" w:color="auto"/>
              <w:bottom w:val="single" w:sz="4" w:space="0" w:color="auto"/>
              <w:right w:val="single" w:sz="4" w:space="0" w:color="auto"/>
            </w:tcBorders>
            <w:vAlign w:val="center"/>
          </w:tcPr>
          <w:p w14:paraId="791E4CBD" w14:textId="77777777" w:rsidR="00E15393" w:rsidRDefault="00E15393" w:rsidP="00E15393">
            <w:pPr>
              <w:spacing w:after="0" w:line="240" w:lineRule="auto"/>
              <w:jc w:val="center"/>
              <w:rPr>
                <w:rFonts w:ascii="Calibri" w:eastAsia="Times New Roman" w:hAnsi="Calibri" w:cs="Calibri"/>
                <w:color w:val="000000"/>
                <w:sz w:val="18"/>
                <w:szCs w:val="18"/>
                <w:lang w:bidi="he-IL"/>
              </w:rPr>
            </w:pPr>
          </w:p>
        </w:tc>
        <w:tc>
          <w:tcPr>
            <w:tcW w:w="1000" w:type="dxa"/>
            <w:tcBorders>
              <w:top w:val="single" w:sz="4" w:space="0" w:color="auto"/>
              <w:left w:val="single" w:sz="4" w:space="0" w:color="auto"/>
              <w:bottom w:val="single" w:sz="4" w:space="0" w:color="auto"/>
              <w:right w:val="single" w:sz="4" w:space="0" w:color="auto"/>
            </w:tcBorders>
            <w:noWrap/>
            <w:vAlign w:val="center"/>
            <w:hideMark/>
          </w:tcPr>
          <w:p w14:paraId="1A72E7AC" w14:textId="77777777" w:rsidR="00E15393" w:rsidRDefault="00E15393" w:rsidP="00E15393">
            <w:pPr>
              <w:rPr>
                <w:rFonts w:ascii="Calibri" w:eastAsia="Times New Roman" w:hAnsi="Calibri" w:cs="Calibri"/>
                <w:color w:val="000000"/>
                <w:sz w:val="18"/>
                <w:szCs w:val="18"/>
                <w:lang w:bidi="he-IL"/>
              </w:rPr>
            </w:pPr>
          </w:p>
        </w:tc>
      </w:tr>
      <w:tr w:rsidR="00E15393" w14:paraId="25CABFF2" w14:textId="77777777" w:rsidTr="003A503B">
        <w:trPr>
          <w:trHeight w:val="288"/>
        </w:trPr>
        <w:tc>
          <w:tcPr>
            <w:tcW w:w="31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1E96BC3" w14:textId="77777777" w:rsidR="00E15393" w:rsidRDefault="00E15393" w:rsidP="00E15393">
            <w:pPr>
              <w:spacing w:after="0" w:line="240" w:lineRule="auto"/>
              <w:rPr>
                <w:rFonts w:ascii="Calibri" w:eastAsia="Times New Roman" w:hAnsi="Calibri" w:cs="Calibri"/>
                <w:b/>
                <w:bCs/>
                <w:color w:val="000000"/>
                <w:sz w:val="18"/>
                <w:szCs w:val="18"/>
                <w:u w:val="single"/>
                <w:lang w:bidi="he-IL"/>
              </w:rPr>
            </w:pPr>
            <w:r>
              <w:rPr>
                <w:rFonts w:ascii="Calibri" w:eastAsia="Times New Roman" w:hAnsi="Calibri" w:cs="Calibri"/>
                <w:b/>
                <w:bCs/>
                <w:color w:val="000000"/>
                <w:sz w:val="18"/>
                <w:szCs w:val="18"/>
                <w:u w:val="single"/>
                <w:lang w:bidi="he-IL"/>
              </w:rPr>
              <w:t>CV medications:</w:t>
            </w:r>
          </w:p>
        </w:tc>
        <w:tc>
          <w:tcPr>
            <w:tcW w:w="1618"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tcPr>
          <w:p w14:paraId="12D7E458" w14:textId="77777777" w:rsidR="00E15393" w:rsidRDefault="00E15393" w:rsidP="00E15393">
            <w:pPr>
              <w:spacing w:after="0" w:line="240" w:lineRule="auto"/>
              <w:jc w:val="center"/>
              <w:rPr>
                <w:rFonts w:ascii="Calibri" w:eastAsia="Times New Roman" w:hAnsi="Calibri" w:cs="Calibri"/>
                <w:color w:val="000000"/>
                <w:sz w:val="18"/>
                <w:szCs w:val="18"/>
                <w:lang w:bidi="he-IL"/>
              </w:rPr>
            </w:pPr>
          </w:p>
        </w:tc>
        <w:tc>
          <w:tcPr>
            <w:tcW w:w="1701" w:type="dxa"/>
            <w:tcBorders>
              <w:top w:val="single" w:sz="4" w:space="0" w:color="auto"/>
              <w:left w:val="single" w:sz="4" w:space="0" w:color="auto"/>
              <w:bottom w:val="single" w:sz="4" w:space="0" w:color="auto"/>
              <w:right w:val="single" w:sz="4" w:space="0" w:color="auto"/>
            </w:tcBorders>
            <w:shd w:val="clear" w:color="auto" w:fill="DCE6F1"/>
            <w:vAlign w:val="center"/>
          </w:tcPr>
          <w:p w14:paraId="7F5FC8E6" w14:textId="77777777" w:rsidR="00E15393" w:rsidRDefault="00E15393" w:rsidP="00E15393">
            <w:pPr>
              <w:spacing w:after="0" w:line="240" w:lineRule="auto"/>
              <w:jc w:val="center"/>
              <w:rPr>
                <w:rFonts w:ascii="Calibri" w:eastAsia="Times New Roman" w:hAnsi="Calibri" w:cs="Calibri"/>
                <w:color w:val="000000"/>
                <w:sz w:val="18"/>
                <w:szCs w:val="18"/>
                <w:lang w:bidi="he-IL"/>
              </w:rPr>
            </w:pPr>
          </w:p>
        </w:tc>
        <w:tc>
          <w:tcPr>
            <w:tcW w:w="1843" w:type="dxa"/>
            <w:tcBorders>
              <w:top w:val="single" w:sz="4" w:space="0" w:color="auto"/>
              <w:left w:val="single" w:sz="4" w:space="0" w:color="auto"/>
              <w:bottom w:val="single" w:sz="4" w:space="0" w:color="auto"/>
              <w:right w:val="single" w:sz="4" w:space="0" w:color="auto"/>
            </w:tcBorders>
            <w:vAlign w:val="center"/>
          </w:tcPr>
          <w:p w14:paraId="18AB23F5" w14:textId="77777777" w:rsidR="00E15393" w:rsidRDefault="00E15393" w:rsidP="00E15393">
            <w:pPr>
              <w:spacing w:after="0" w:line="240" w:lineRule="auto"/>
              <w:jc w:val="center"/>
              <w:rPr>
                <w:rFonts w:ascii="Calibri" w:eastAsia="Times New Roman" w:hAnsi="Calibri" w:cs="Calibri"/>
                <w:color w:val="000000"/>
                <w:sz w:val="18"/>
                <w:szCs w:val="18"/>
                <w:lang w:bidi="he-IL"/>
              </w:rPr>
            </w:pPr>
          </w:p>
        </w:tc>
        <w:tc>
          <w:tcPr>
            <w:tcW w:w="1000" w:type="dxa"/>
            <w:tcBorders>
              <w:top w:val="single" w:sz="4" w:space="0" w:color="auto"/>
              <w:left w:val="single" w:sz="4" w:space="0" w:color="auto"/>
              <w:bottom w:val="single" w:sz="4" w:space="0" w:color="auto"/>
              <w:right w:val="single" w:sz="4" w:space="0" w:color="auto"/>
            </w:tcBorders>
            <w:noWrap/>
            <w:vAlign w:val="center"/>
          </w:tcPr>
          <w:p w14:paraId="788F1FFA" w14:textId="77777777" w:rsidR="00E15393" w:rsidRDefault="00E15393" w:rsidP="00E15393">
            <w:pPr>
              <w:spacing w:after="0" w:line="240" w:lineRule="auto"/>
              <w:jc w:val="center"/>
              <w:rPr>
                <w:rFonts w:ascii="Calibri" w:eastAsia="Times New Roman" w:hAnsi="Calibri" w:cs="Calibri"/>
                <w:color w:val="000000"/>
                <w:sz w:val="18"/>
                <w:szCs w:val="18"/>
                <w:lang w:bidi="he-IL"/>
              </w:rPr>
            </w:pPr>
          </w:p>
        </w:tc>
      </w:tr>
      <w:tr w:rsidR="00E15393" w14:paraId="74FBE481" w14:textId="77777777" w:rsidTr="003A503B">
        <w:trPr>
          <w:trHeight w:val="288"/>
        </w:trPr>
        <w:tc>
          <w:tcPr>
            <w:tcW w:w="3168" w:type="dxa"/>
            <w:tcBorders>
              <w:top w:val="single" w:sz="4" w:space="0" w:color="auto"/>
              <w:left w:val="single" w:sz="4" w:space="0" w:color="auto"/>
              <w:bottom w:val="single" w:sz="4" w:space="0" w:color="auto"/>
              <w:right w:val="single" w:sz="4" w:space="0" w:color="auto"/>
            </w:tcBorders>
            <w:vAlign w:val="center"/>
            <w:hideMark/>
          </w:tcPr>
          <w:p w14:paraId="05CA899A" w14:textId="77777777" w:rsidR="00E15393" w:rsidRDefault="00E15393" w:rsidP="00E15393">
            <w:pPr>
              <w:spacing w:after="0" w:line="240" w:lineRule="auto"/>
              <w:rPr>
                <w:rFonts w:ascii="Calibri" w:eastAsia="Times New Roman" w:hAnsi="Calibri" w:cs="Calibri"/>
                <w:b/>
                <w:bCs/>
                <w:color w:val="000000"/>
                <w:sz w:val="18"/>
                <w:szCs w:val="18"/>
                <w:lang w:bidi="he-IL"/>
              </w:rPr>
            </w:pPr>
            <w:r>
              <w:rPr>
                <w:rFonts w:ascii="Calibri" w:eastAsia="Times New Roman" w:hAnsi="Calibri" w:cs="Calibri"/>
                <w:b/>
                <w:bCs/>
                <w:color w:val="000000"/>
                <w:sz w:val="18"/>
                <w:szCs w:val="18"/>
                <w:lang w:bidi="he-IL"/>
              </w:rPr>
              <w:t>Antiplatelet use- n (%)</w:t>
            </w:r>
          </w:p>
        </w:tc>
        <w:tc>
          <w:tcPr>
            <w:tcW w:w="1618"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hideMark/>
          </w:tcPr>
          <w:p w14:paraId="460D860D" w14:textId="77777777" w:rsidR="00E15393" w:rsidRDefault="00E15393" w:rsidP="00E15393">
            <w:pPr>
              <w:spacing w:after="0" w:line="240" w:lineRule="auto"/>
              <w:jc w:val="center"/>
              <w:rPr>
                <w:rFonts w:ascii="Calibri" w:eastAsia="Times New Roman" w:hAnsi="Calibri" w:cs="Calibri"/>
                <w:color w:val="000000"/>
                <w:sz w:val="18"/>
                <w:szCs w:val="18"/>
                <w:lang w:bidi="he-IL"/>
              </w:rPr>
            </w:pPr>
            <w:r>
              <w:rPr>
                <w:rFonts w:ascii="Calibri" w:eastAsia="Times New Roman" w:hAnsi="Calibri" w:cs="Calibri"/>
                <w:color w:val="000000"/>
                <w:sz w:val="18"/>
                <w:szCs w:val="18"/>
                <w:lang w:bidi="he-IL"/>
              </w:rPr>
              <w:t>4813 (59)</w:t>
            </w:r>
          </w:p>
        </w:tc>
        <w:tc>
          <w:tcPr>
            <w:tcW w:w="1701" w:type="dxa"/>
            <w:tcBorders>
              <w:top w:val="single" w:sz="4" w:space="0" w:color="auto"/>
              <w:left w:val="single" w:sz="4" w:space="0" w:color="auto"/>
              <w:bottom w:val="single" w:sz="4" w:space="0" w:color="auto"/>
              <w:right w:val="single" w:sz="4" w:space="0" w:color="auto"/>
            </w:tcBorders>
            <w:shd w:val="clear" w:color="auto" w:fill="DCE6F1"/>
            <w:vAlign w:val="center"/>
            <w:hideMark/>
          </w:tcPr>
          <w:p w14:paraId="0FDC87E7" w14:textId="77777777" w:rsidR="00E15393" w:rsidRDefault="00E15393" w:rsidP="00E15393">
            <w:pPr>
              <w:spacing w:after="0" w:line="240" w:lineRule="auto"/>
              <w:jc w:val="center"/>
              <w:rPr>
                <w:rFonts w:ascii="Calibri" w:eastAsia="Times New Roman" w:hAnsi="Calibri" w:cs="Calibri"/>
                <w:color w:val="000000"/>
                <w:sz w:val="18"/>
                <w:szCs w:val="18"/>
                <w:lang w:bidi="he-IL"/>
              </w:rPr>
            </w:pPr>
            <w:r>
              <w:rPr>
                <w:rFonts w:ascii="Calibri" w:eastAsia="Times New Roman" w:hAnsi="Calibri" w:cs="Calibri"/>
                <w:color w:val="000000"/>
                <w:sz w:val="18"/>
                <w:szCs w:val="18"/>
                <w:lang w:bidi="he-IL"/>
              </w:rPr>
              <w:t>4790 (62)</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A5660F8" w14:textId="77777777" w:rsidR="00E15393" w:rsidRDefault="00E15393" w:rsidP="00E15393">
            <w:pPr>
              <w:spacing w:after="0" w:line="240" w:lineRule="auto"/>
              <w:jc w:val="center"/>
              <w:rPr>
                <w:rFonts w:ascii="Calibri" w:eastAsia="Times New Roman" w:hAnsi="Calibri" w:cs="Calibri"/>
                <w:color w:val="000000"/>
                <w:sz w:val="18"/>
                <w:szCs w:val="18"/>
                <w:lang w:bidi="he-IL"/>
              </w:rPr>
            </w:pPr>
            <w:r>
              <w:rPr>
                <w:rFonts w:ascii="Calibri" w:eastAsia="Times New Roman" w:hAnsi="Calibri" w:cs="Calibri"/>
                <w:color w:val="000000"/>
                <w:sz w:val="18"/>
                <w:szCs w:val="18"/>
                <w:lang w:bidi="he-IL"/>
              </w:rPr>
              <w:t>884 (69.9)</w:t>
            </w:r>
          </w:p>
        </w:tc>
        <w:tc>
          <w:tcPr>
            <w:tcW w:w="1000" w:type="dxa"/>
            <w:tcBorders>
              <w:top w:val="single" w:sz="4" w:space="0" w:color="auto"/>
              <w:left w:val="single" w:sz="4" w:space="0" w:color="auto"/>
              <w:bottom w:val="single" w:sz="4" w:space="0" w:color="auto"/>
              <w:right w:val="single" w:sz="4" w:space="0" w:color="auto"/>
            </w:tcBorders>
            <w:noWrap/>
            <w:vAlign w:val="center"/>
            <w:hideMark/>
          </w:tcPr>
          <w:p w14:paraId="7ED2B879" w14:textId="77777777" w:rsidR="00E15393" w:rsidRDefault="00E15393" w:rsidP="00E15393">
            <w:pPr>
              <w:spacing w:after="0" w:line="240" w:lineRule="auto"/>
              <w:jc w:val="center"/>
              <w:rPr>
                <w:rFonts w:ascii="Calibri" w:eastAsia="Times New Roman" w:hAnsi="Calibri" w:cs="Calibri"/>
                <w:color w:val="000000"/>
                <w:sz w:val="18"/>
                <w:szCs w:val="18"/>
                <w:lang w:bidi="he-IL"/>
              </w:rPr>
            </w:pPr>
            <w:r>
              <w:rPr>
                <w:rFonts w:ascii="Calibri" w:eastAsia="Times New Roman" w:hAnsi="Calibri" w:cs="Calibri"/>
                <w:color w:val="000000"/>
                <w:sz w:val="18"/>
                <w:szCs w:val="18"/>
                <w:lang w:bidi="he-IL"/>
              </w:rPr>
              <w:t>&lt;0.001</w:t>
            </w:r>
          </w:p>
        </w:tc>
      </w:tr>
      <w:tr w:rsidR="00E15393" w14:paraId="1F498700" w14:textId="77777777" w:rsidTr="003A503B">
        <w:trPr>
          <w:trHeight w:val="288"/>
        </w:trPr>
        <w:tc>
          <w:tcPr>
            <w:tcW w:w="3168" w:type="dxa"/>
            <w:tcBorders>
              <w:top w:val="single" w:sz="4" w:space="0" w:color="auto"/>
              <w:left w:val="single" w:sz="4" w:space="0" w:color="auto"/>
              <w:bottom w:val="single" w:sz="4" w:space="0" w:color="auto"/>
              <w:right w:val="single" w:sz="4" w:space="0" w:color="auto"/>
            </w:tcBorders>
            <w:vAlign w:val="center"/>
            <w:hideMark/>
          </w:tcPr>
          <w:p w14:paraId="7E7A0E17" w14:textId="3DB01B6E" w:rsidR="00E15393" w:rsidRDefault="00E15393" w:rsidP="00E15393">
            <w:pPr>
              <w:spacing w:after="0" w:line="240" w:lineRule="auto"/>
              <w:rPr>
                <w:rFonts w:ascii="Calibri" w:eastAsia="Times New Roman" w:hAnsi="Calibri" w:cs="Calibri"/>
                <w:b/>
                <w:bCs/>
                <w:color w:val="000000"/>
                <w:sz w:val="18"/>
                <w:szCs w:val="18"/>
                <w:lang w:bidi="he-IL"/>
              </w:rPr>
            </w:pPr>
            <w:r>
              <w:rPr>
                <w:rFonts w:ascii="Calibri" w:eastAsia="Times New Roman" w:hAnsi="Calibri" w:cs="Calibri"/>
                <w:b/>
                <w:bCs/>
                <w:color w:val="000000"/>
                <w:sz w:val="18"/>
                <w:szCs w:val="18"/>
                <w:lang w:bidi="he-IL"/>
              </w:rPr>
              <w:t>ACEi/ARB use- n (%)</w:t>
            </w:r>
          </w:p>
        </w:tc>
        <w:tc>
          <w:tcPr>
            <w:tcW w:w="1618"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hideMark/>
          </w:tcPr>
          <w:p w14:paraId="2B7B717B" w14:textId="77777777" w:rsidR="00E15393" w:rsidRDefault="00E15393" w:rsidP="00E15393">
            <w:pPr>
              <w:spacing w:after="0" w:line="240" w:lineRule="auto"/>
              <w:jc w:val="center"/>
              <w:rPr>
                <w:rFonts w:ascii="Calibri" w:eastAsia="Times New Roman" w:hAnsi="Calibri" w:cs="Calibri"/>
                <w:color w:val="000000"/>
                <w:sz w:val="18"/>
                <w:szCs w:val="18"/>
                <w:lang w:bidi="he-IL"/>
              </w:rPr>
            </w:pPr>
            <w:r>
              <w:rPr>
                <w:rFonts w:ascii="Calibri" w:eastAsia="Times New Roman" w:hAnsi="Calibri" w:cs="Calibri"/>
                <w:color w:val="000000"/>
                <w:sz w:val="18"/>
                <w:szCs w:val="18"/>
                <w:lang w:bidi="he-IL"/>
              </w:rPr>
              <w:t>6434 (78.8)</w:t>
            </w:r>
          </w:p>
        </w:tc>
        <w:tc>
          <w:tcPr>
            <w:tcW w:w="1701" w:type="dxa"/>
            <w:tcBorders>
              <w:top w:val="single" w:sz="4" w:space="0" w:color="auto"/>
              <w:left w:val="single" w:sz="4" w:space="0" w:color="auto"/>
              <w:bottom w:val="single" w:sz="4" w:space="0" w:color="auto"/>
              <w:right w:val="single" w:sz="4" w:space="0" w:color="auto"/>
            </w:tcBorders>
            <w:shd w:val="clear" w:color="auto" w:fill="DCE6F1"/>
            <w:vAlign w:val="center"/>
            <w:hideMark/>
          </w:tcPr>
          <w:p w14:paraId="39BD4F87" w14:textId="77777777" w:rsidR="00E15393" w:rsidRDefault="00E15393" w:rsidP="00E15393">
            <w:pPr>
              <w:spacing w:after="0" w:line="240" w:lineRule="auto"/>
              <w:jc w:val="center"/>
              <w:rPr>
                <w:rFonts w:ascii="Calibri" w:eastAsia="Times New Roman" w:hAnsi="Calibri" w:cs="Calibri"/>
                <w:color w:val="000000"/>
                <w:sz w:val="18"/>
                <w:szCs w:val="18"/>
                <w:lang w:bidi="he-IL"/>
              </w:rPr>
            </w:pPr>
            <w:r>
              <w:rPr>
                <w:rFonts w:ascii="Calibri" w:eastAsia="Times New Roman" w:hAnsi="Calibri" w:cs="Calibri"/>
                <w:color w:val="000000"/>
                <w:sz w:val="18"/>
                <w:szCs w:val="18"/>
                <w:lang w:bidi="he-IL"/>
              </w:rPr>
              <w:t>6418 (83)</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EA0D1B3" w14:textId="77777777" w:rsidR="00E15393" w:rsidRDefault="00E15393" w:rsidP="00E15393">
            <w:pPr>
              <w:spacing w:after="0" w:line="240" w:lineRule="auto"/>
              <w:jc w:val="center"/>
              <w:rPr>
                <w:rFonts w:ascii="Calibri" w:eastAsia="Times New Roman" w:hAnsi="Calibri" w:cs="Calibri"/>
                <w:color w:val="000000"/>
                <w:sz w:val="18"/>
                <w:szCs w:val="18"/>
                <w:lang w:bidi="he-IL"/>
              </w:rPr>
            </w:pPr>
            <w:r>
              <w:rPr>
                <w:rFonts w:ascii="Calibri" w:eastAsia="Times New Roman" w:hAnsi="Calibri" w:cs="Calibri"/>
                <w:color w:val="000000"/>
                <w:sz w:val="18"/>
                <w:szCs w:val="18"/>
                <w:lang w:bidi="he-IL"/>
              </w:rPr>
              <w:t>1097 (86.7)</w:t>
            </w:r>
          </w:p>
        </w:tc>
        <w:tc>
          <w:tcPr>
            <w:tcW w:w="1000" w:type="dxa"/>
            <w:tcBorders>
              <w:top w:val="single" w:sz="4" w:space="0" w:color="auto"/>
              <w:left w:val="single" w:sz="4" w:space="0" w:color="auto"/>
              <w:bottom w:val="single" w:sz="4" w:space="0" w:color="auto"/>
              <w:right w:val="single" w:sz="4" w:space="0" w:color="auto"/>
            </w:tcBorders>
            <w:noWrap/>
            <w:vAlign w:val="center"/>
            <w:hideMark/>
          </w:tcPr>
          <w:p w14:paraId="6A9989D4" w14:textId="77777777" w:rsidR="00E15393" w:rsidRDefault="00E15393" w:rsidP="00E15393">
            <w:pPr>
              <w:spacing w:after="0" w:line="240" w:lineRule="auto"/>
              <w:jc w:val="center"/>
              <w:rPr>
                <w:rFonts w:ascii="Calibri" w:eastAsia="Times New Roman" w:hAnsi="Calibri" w:cs="Calibri"/>
                <w:color w:val="000000"/>
                <w:sz w:val="18"/>
                <w:szCs w:val="18"/>
                <w:lang w:bidi="he-IL"/>
              </w:rPr>
            </w:pPr>
            <w:r>
              <w:rPr>
                <w:rFonts w:ascii="Calibri" w:eastAsia="Times New Roman" w:hAnsi="Calibri" w:cs="Calibri"/>
                <w:color w:val="000000"/>
                <w:sz w:val="18"/>
                <w:szCs w:val="18"/>
                <w:lang w:bidi="he-IL"/>
              </w:rPr>
              <w:t>&lt;0.001</w:t>
            </w:r>
          </w:p>
        </w:tc>
      </w:tr>
      <w:tr w:rsidR="00E15393" w14:paraId="3CEAC113" w14:textId="77777777" w:rsidTr="003A503B">
        <w:trPr>
          <w:trHeight w:val="288"/>
        </w:trPr>
        <w:tc>
          <w:tcPr>
            <w:tcW w:w="3168" w:type="dxa"/>
            <w:tcBorders>
              <w:top w:val="single" w:sz="4" w:space="0" w:color="auto"/>
              <w:left w:val="single" w:sz="4" w:space="0" w:color="auto"/>
              <w:bottom w:val="single" w:sz="4" w:space="0" w:color="auto"/>
              <w:right w:val="single" w:sz="4" w:space="0" w:color="auto"/>
            </w:tcBorders>
            <w:vAlign w:val="center"/>
            <w:hideMark/>
          </w:tcPr>
          <w:p w14:paraId="62CCBD93" w14:textId="77777777" w:rsidR="00E15393" w:rsidRDefault="00E15393" w:rsidP="00E15393">
            <w:pPr>
              <w:spacing w:after="0" w:line="240" w:lineRule="auto"/>
              <w:rPr>
                <w:rFonts w:ascii="Calibri" w:eastAsia="Times New Roman" w:hAnsi="Calibri" w:cs="Calibri"/>
                <w:b/>
                <w:bCs/>
                <w:color w:val="000000"/>
                <w:sz w:val="18"/>
                <w:szCs w:val="18"/>
                <w:lang w:bidi="he-IL"/>
              </w:rPr>
            </w:pPr>
            <w:r>
              <w:rPr>
                <w:rFonts w:ascii="Calibri" w:eastAsia="Times New Roman" w:hAnsi="Calibri" w:cs="Calibri"/>
                <w:b/>
                <w:bCs/>
                <w:color w:val="000000"/>
                <w:sz w:val="18"/>
                <w:szCs w:val="18"/>
                <w:lang w:bidi="he-IL"/>
              </w:rPr>
              <w:t>Beta-blocker use- n (%)</w:t>
            </w:r>
          </w:p>
        </w:tc>
        <w:tc>
          <w:tcPr>
            <w:tcW w:w="1618"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hideMark/>
          </w:tcPr>
          <w:p w14:paraId="6391A18B" w14:textId="77777777" w:rsidR="00E15393" w:rsidRDefault="00E15393" w:rsidP="00E15393">
            <w:pPr>
              <w:spacing w:after="0" w:line="240" w:lineRule="auto"/>
              <w:jc w:val="center"/>
              <w:rPr>
                <w:rFonts w:ascii="Calibri" w:eastAsia="Times New Roman" w:hAnsi="Calibri" w:cs="Calibri"/>
                <w:color w:val="000000"/>
                <w:sz w:val="18"/>
                <w:szCs w:val="18"/>
                <w:lang w:bidi="he-IL"/>
              </w:rPr>
            </w:pPr>
            <w:r>
              <w:rPr>
                <w:rFonts w:ascii="Calibri" w:eastAsia="Times New Roman" w:hAnsi="Calibri" w:cs="Calibri"/>
                <w:color w:val="000000"/>
                <w:sz w:val="18"/>
                <w:szCs w:val="18"/>
                <w:lang w:bidi="he-IL"/>
              </w:rPr>
              <w:t>3978 (48.7)</w:t>
            </w:r>
          </w:p>
        </w:tc>
        <w:tc>
          <w:tcPr>
            <w:tcW w:w="1701" w:type="dxa"/>
            <w:tcBorders>
              <w:top w:val="single" w:sz="4" w:space="0" w:color="auto"/>
              <w:left w:val="single" w:sz="4" w:space="0" w:color="auto"/>
              <w:bottom w:val="single" w:sz="4" w:space="0" w:color="auto"/>
              <w:right w:val="single" w:sz="4" w:space="0" w:color="auto"/>
            </w:tcBorders>
            <w:shd w:val="clear" w:color="auto" w:fill="DCE6F1"/>
            <w:vAlign w:val="center"/>
            <w:hideMark/>
          </w:tcPr>
          <w:p w14:paraId="64EF35F9" w14:textId="77777777" w:rsidR="00E15393" w:rsidRDefault="00E15393" w:rsidP="00E15393">
            <w:pPr>
              <w:spacing w:after="0" w:line="240" w:lineRule="auto"/>
              <w:jc w:val="center"/>
              <w:rPr>
                <w:rFonts w:ascii="Calibri" w:eastAsia="Times New Roman" w:hAnsi="Calibri" w:cs="Calibri"/>
                <w:color w:val="000000"/>
                <w:sz w:val="18"/>
                <w:szCs w:val="18"/>
                <w:lang w:bidi="he-IL"/>
              </w:rPr>
            </w:pPr>
            <w:r>
              <w:rPr>
                <w:rFonts w:ascii="Calibri" w:eastAsia="Times New Roman" w:hAnsi="Calibri" w:cs="Calibri"/>
                <w:color w:val="000000"/>
                <w:sz w:val="18"/>
                <w:szCs w:val="18"/>
                <w:lang w:bidi="he-IL"/>
              </w:rPr>
              <w:t>4235 (54.8)</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7F6818D" w14:textId="77777777" w:rsidR="00E15393" w:rsidRDefault="00E15393" w:rsidP="00E15393">
            <w:pPr>
              <w:spacing w:after="0" w:line="240" w:lineRule="auto"/>
              <w:jc w:val="center"/>
              <w:rPr>
                <w:rFonts w:ascii="Calibri" w:eastAsia="Times New Roman" w:hAnsi="Calibri" w:cs="Calibri"/>
                <w:color w:val="000000"/>
                <w:sz w:val="18"/>
                <w:szCs w:val="18"/>
                <w:lang w:bidi="he-IL"/>
              </w:rPr>
            </w:pPr>
            <w:r>
              <w:rPr>
                <w:rFonts w:ascii="Calibri" w:eastAsia="Times New Roman" w:hAnsi="Calibri" w:cs="Calibri"/>
                <w:color w:val="000000"/>
                <w:sz w:val="18"/>
                <w:szCs w:val="18"/>
                <w:lang w:bidi="he-IL"/>
              </w:rPr>
              <w:t>816 (64.5)</w:t>
            </w:r>
          </w:p>
        </w:tc>
        <w:tc>
          <w:tcPr>
            <w:tcW w:w="1000" w:type="dxa"/>
            <w:tcBorders>
              <w:top w:val="single" w:sz="4" w:space="0" w:color="auto"/>
              <w:left w:val="single" w:sz="4" w:space="0" w:color="auto"/>
              <w:bottom w:val="single" w:sz="4" w:space="0" w:color="auto"/>
              <w:right w:val="single" w:sz="4" w:space="0" w:color="auto"/>
            </w:tcBorders>
            <w:noWrap/>
            <w:vAlign w:val="center"/>
            <w:hideMark/>
          </w:tcPr>
          <w:p w14:paraId="56D4CDDF" w14:textId="77777777" w:rsidR="00E15393" w:rsidRDefault="00E15393" w:rsidP="00E15393">
            <w:pPr>
              <w:spacing w:after="0" w:line="240" w:lineRule="auto"/>
              <w:jc w:val="center"/>
              <w:rPr>
                <w:rFonts w:ascii="Calibri" w:eastAsia="Times New Roman" w:hAnsi="Calibri" w:cs="Calibri"/>
                <w:color w:val="000000"/>
                <w:sz w:val="18"/>
                <w:szCs w:val="18"/>
                <w:lang w:bidi="he-IL"/>
              </w:rPr>
            </w:pPr>
            <w:r>
              <w:rPr>
                <w:rFonts w:ascii="Calibri" w:eastAsia="Times New Roman" w:hAnsi="Calibri" w:cs="Calibri"/>
                <w:color w:val="000000"/>
                <w:sz w:val="18"/>
                <w:szCs w:val="18"/>
                <w:lang w:bidi="he-IL"/>
              </w:rPr>
              <w:t>&lt;0.001</w:t>
            </w:r>
          </w:p>
        </w:tc>
      </w:tr>
      <w:tr w:rsidR="00E15393" w14:paraId="6D6A2474" w14:textId="77777777" w:rsidTr="003A503B">
        <w:trPr>
          <w:trHeight w:val="288"/>
        </w:trPr>
        <w:tc>
          <w:tcPr>
            <w:tcW w:w="3168" w:type="dxa"/>
            <w:tcBorders>
              <w:top w:val="single" w:sz="4" w:space="0" w:color="auto"/>
              <w:left w:val="single" w:sz="4" w:space="0" w:color="auto"/>
              <w:bottom w:val="single" w:sz="4" w:space="0" w:color="auto"/>
              <w:right w:val="single" w:sz="4" w:space="0" w:color="auto"/>
            </w:tcBorders>
            <w:vAlign w:val="center"/>
            <w:hideMark/>
          </w:tcPr>
          <w:p w14:paraId="3C6A11FC" w14:textId="77777777" w:rsidR="00E15393" w:rsidRDefault="00E15393" w:rsidP="00E15393">
            <w:pPr>
              <w:spacing w:after="0" w:line="240" w:lineRule="auto"/>
              <w:rPr>
                <w:rFonts w:ascii="Calibri" w:eastAsia="Times New Roman" w:hAnsi="Calibri" w:cs="Calibri"/>
                <w:b/>
                <w:bCs/>
                <w:color w:val="000000"/>
                <w:sz w:val="18"/>
                <w:szCs w:val="18"/>
                <w:lang w:bidi="he-IL"/>
              </w:rPr>
            </w:pPr>
            <w:r>
              <w:rPr>
                <w:rFonts w:ascii="Calibri" w:eastAsia="Times New Roman" w:hAnsi="Calibri" w:cs="Calibri"/>
                <w:b/>
                <w:bCs/>
                <w:color w:val="000000"/>
                <w:sz w:val="18"/>
                <w:szCs w:val="18"/>
                <w:lang w:bidi="he-IL"/>
              </w:rPr>
              <w:t>Statin or Ezetimibe use- n (%)</w:t>
            </w:r>
          </w:p>
        </w:tc>
        <w:tc>
          <w:tcPr>
            <w:tcW w:w="1618"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hideMark/>
          </w:tcPr>
          <w:p w14:paraId="4C40B3D5" w14:textId="77777777" w:rsidR="00E15393" w:rsidRDefault="00E15393" w:rsidP="00E15393">
            <w:pPr>
              <w:spacing w:after="0" w:line="240" w:lineRule="auto"/>
              <w:jc w:val="center"/>
              <w:rPr>
                <w:rFonts w:ascii="Calibri" w:eastAsia="Times New Roman" w:hAnsi="Calibri" w:cs="Calibri"/>
                <w:color w:val="000000"/>
                <w:sz w:val="18"/>
                <w:szCs w:val="18"/>
                <w:lang w:bidi="he-IL"/>
              </w:rPr>
            </w:pPr>
            <w:r>
              <w:rPr>
                <w:rFonts w:ascii="Calibri" w:eastAsia="Times New Roman" w:hAnsi="Calibri" w:cs="Calibri"/>
                <w:color w:val="000000"/>
                <w:sz w:val="18"/>
                <w:szCs w:val="18"/>
                <w:lang w:bidi="he-IL"/>
              </w:rPr>
              <w:t>5934 (72.7)</w:t>
            </w:r>
          </w:p>
        </w:tc>
        <w:tc>
          <w:tcPr>
            <w:tcW w:w="1701" w:type="dxa"/>
            <w:tcBorders>
              <w:top w:val="single" w:sz="4" w:space="0" w:color="auto"/>
              <w:left w:val="single" w:sz="4" w:space="0" w:color="auto"/>
              <w:bottom w:val="single" w:sz="4" w:space="0" w:color="auto"/>
              <w:right w:val="single" w:sz="4" w:space="0" w:color="auto"/>
            </w:tcBorders>
            <w:shd w:val="clear" w:color="auto" w:fill="DCE6F1"/>
            <w:vAlign w:val="center"/>
            <w:hideMark/>
          </w:tcPr>
          <w:p w14:paraId="693FD090" w14:textId="77777777" w:rsidR="00E15393" w:rsidRDefault="00E15393" w:rsidP="00E15393">
            <w:pPr>
              <w:spacing w:after="0" w:line="240" w:lineRule="auto"/>
              <w:jc w:val="center"/>
              <w:rPr>
                <w:rFonts w:ascii="Calibri" w:eastAsia="Times New Roman" w:hAnsi="Calibri" w:cs="Calibri"/>
                <w:color w:val="000000"/>
                <w:sz w:val="18"/>
                <w:szCs w:val="18"/>
                <w:lang w:bidi="he-IL"/>
              </w:rPr>
            </w:pPr>
            <w:r>
              <w:rPr>
                <w:rFonts w:ascii="Calibri" w:eastAsia="Times New Roman" w:hAnsi="Calibri" w:cs="Calibri"/>
                <w:color w:val="000000"/>
                <w:sz w:val="18"/>
                <w:szCs w:val="18"/>
                <w:lang w:bidi="he-IL"/>
              </w:rPr>
              <w:t>5903 (76.3)</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0310A84" w14:textId="77777777" w:rsidR="00E15393" w:rsidRDefault="00E15393" w:rsidP="00E15393">
            <w:pPr>
              <w:spacing w:after="0" w:line="240" w:lineRule="auto"/>
              <w:jc w:val="center"/>
              <w:rPr>
                <w:rFonts w:ascii="Calibri" w:eastAsia="Times New Roman" w:hAnsi="Calibri" w:cs="Calibri"/>
                <w:color w:val="000000"/>
                <w:sz w:val="18"/>
                <w:szCs w:val="18"/>
                <w:lang w:bidi="he-IL"/>
              </w:rPr>
            </w:pPr>
            <w:r>
              <w:rPr>
                <w:rFonts w:ascii="Calibri" w:eastAsia="Times New Roman" w:hAnsi="Calibri" w:cs="Calibri"/>
                <w:color w:val="000000"/>
                <w:sz w:val="18"/>
                <w:szCs w:val="18"/>
                <w:lang w:bidi="he-IL"/>
              </w:rPr>
              <w:t>1031 (81.5)</w:t>
            </w:r>
          </w:p>
        </w:tc>
        <w:tc>
          <w:tcPr>
            <w:tcW w:w="1000" w:type="dxa"/>
            <w:tcBorders>
              <w:top w:val="single" w:sz="4" w:space="0" w:color="auto"/>
              <w:left w:val="single" w:sz="4" w:space="0" w:color="auto"/>
              <w:bottom w:val="single" w:sz="4" w:space="0" w:color="auto"/>
              <w:right w:val="single" w:sz="4" w:space="0" w:color="auto"/>
            </w:tcBorders>
            <w:noWrap/>
            <w:vAlign w:val="center"/>
            <w:hideMark/>
          </w:tcPr>
          <w:p w14:paraId="046D3A81" w14:textId="77777777" w:rsidR="00E15393" w:rsidRDefault="00E15393" w:rsidP="00E15393">
            <w:pPr>
              <w:spacing w:after="0" w:line="240" w:lineRule="auto"/>
              <w:jc w:val="center"/>
              <w:rPr>
                <w:rFonts w:ascii="Calibri" w:eastAsia="Times New Roman" w:hAnsi="Calibri" w:cs="Calibri"/>
                <w:color w:val="000000"/>
                <w:sz w:val="18"/>
                <w:szCs w:val="18"/>
                <w:lang w:bidi="he-IL"/>
              </w:rPr>
            </w:pPr>
            <w:r>
              <w:rPr>
                <w:rFonts w:ascii="Calibri" w:eastAsia="Times New Roman" w:hAnsi="Calibri" w:cs="Calibri"/>
                <w:color w:val="000000"/>
                <w:sz w:val="18"/>
                <w:szCs w:val="18"/>
                <w:lang w:bidi="he-IL"/>
              </w:rPr>
              <w:t>&lt;0.001</w:t>
            </w:r>
          </w:p>
        </w:tc>
      </w:tr>
      <w:tr w:rsidR="00E15393" w14:paraId="025B76F7" w14:textId="77777777" w:rsidTr="003A503B">
        <w:trPr>
          <w:trHeight w:val="288"/>
        </w:trPr>
        <w:tc>
          <w:tcPr>
            <w:tcW w:w="3168" w:type="dxa"/>
            <w:tcBorders>
              <w:top w:val="single" w:sz="4" w:space="0" w:color="auto"/>
              <w:left w:val="single" w:sz="4" w:space="0" w:color="auto"/>
              <w:bottom w:val="single" w:sz="4" w:space="0" w:color="auto"/>
              <w:right w:val="single" w:sz="4" w:space="0" w:color="auto"/>
            </w:tcBorders>
            <w:vAlign w:val="center"/>
            <w:hideMark/>
          </w:tcPr>
          <w:p w14:paraId="1C055BD2" w14:textId="77777777" w:rsidR="00E15393" w:rsidRDefault="00E15393" w:rsidP="00E15393">
            <w:pPr>
              <w:spacing w:after="0" w:line="240" w:lineRule="auto"/>
              <w:rPr>
                <w:rFonts w:ascii="Calibri" w:eastAsia="Times New Roman" w:hAnsi="Calibri" w:cs="Calibri"/>
                <w:b/>
                <w:bCs/>
                <w:color w:val="000000"/>
                <w:sz w:val="18"/>
                <w:szCs w:val="18"/>
                <w:lang w:bidi="he-IL"/>
              </w:rPr>
            </w:pPr>
            <w:r>
              <w:rPr>
                <w:rFonts w:ascii="Calibri" w:eastAsia="Times New Roman" w:hAnsi="Calibri" w:cs="Calibri"/>
                <w:b/>
                <w:bCs/>
                <w:color w:val="000000"/>
                <w:sz w:val="18"/>
                <w:szCs w:val="18"/>
                <w:lang w:bidi="he-IL"/>
              </w:rPr>
              <w:t>Diuretic use- n (%)</w:t>
            </w:r>
          </w:p>
        </w:tc>
        <w:tc>
          <w:tcPr>
            <w:tcW w:w="1618"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hideMark/>
          </w:tcPr>
          <w:p w14:paraId="14A04D80" w14:textId="77777777" w:rsidR="00E15393" w:rsidRDefault="00E15393" w:rsidP="00E15393">
            <w:pPr>
              <w:spacing w:after="0" w:line="240" w:lineRule="auto"/>
              <w:jc w:val="center"/>
              <w:rPr>
                <w:rFonts w:ascii="Calibri" w:eastAsia="Times New Roman" w:hAnsi="Calibri" w:cs="Calibri"/>
                <w:color w:val="000000"/>
                <w:sz w:val="18"/>
                <w:szCs w:val="18"/>
                <w:lang w:bidi="he-IL"/>
              </w:rPr>
            </w:pPr>
            <w:r>
              <w:rPr>
                <w:rFonts w:ascii="Calibri" w:eastAsia="Times New Roman" w:hAnsi="Calibri" w:cs="Calibri"/>
                <w:color w:val="000000"/>
                <w:sz w:val="18"/>
                <w:szCs w:val="18"/>
                <w:lang w:bidi="he-IL"/>
              </w:rPr>
              <w:t>2752 (33.7)</w:t>
            </w:r>
          </w:p>
        </w:tc>
        <w:tc>
          <w:tcPr>
            <w:tcW w:w="1701" w:type="dxa"/>
            <w:tcBorders>
              <w:top w:val="single" w:sz="4" w:space="0" w:color="auto"/>
              <w:left w:val="single" w:sz="4" w:space="0" w:color="auto"/>
              <w:bottom w:val="single" w:sz="4" w:space="0" w:color="auto"/>
              <w:right w:val="single" w:sz="4" w:space="0" w:color="auto"/>
            </w:tcBorders>
            <w:shd w:val="clear" w:color="auto" w:fill="DCE6F1"/>
            <w:vAlign w:val="center"/>
            <w:hideMark/>
          </w:tcPr>
          <w:p w14:paraId="64C9E28B" w14:textId="77777777" w:rsidR="00E15393" w:rsidRDefault="00E15393" w:rsidP="00E15393">
            <w:pPr>
              <w:spacing w:after="0" w:line="240" w:lineRule="auto"/>
              <w:jc w:val="center"/>
              <w:rPr>
                <w:rFonts w:ascii="Calibri" w:eastAsia="Times New Roman" w:hAnsi="Calibri" w:cs="Calibri"/>
                <w:color w:val="000000"/>
                <w:sz w:val="18"/>
                <w:szCs w:val="18"/>
                <w:lang w:bidi="he-IL"/>
              </w:rPr>
            </w:pPr>
            <w:r>
              <w:rPr>
                <w:rFonts w:ascii="Calibri" w:eastAsia="Times New Roman" w:hAnsi="Calibri" w:cs="Calibri"/>
                <w:color w:val="000000"/>
                <w:sz w:val="18"/>
                <w:szCs w:val="18"/>
                <w:lang w:bidi="he-IL"/>
              </w:rPr>
              <w:t>3442 (44.5)</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004CD6E" w14:textId="77777777" w:rsidR="00E15393" w:rsidRDefault="00E15393" w:rsidP="00E15393">
            <w:pPr>
              <w:spacing w:after="0" w:line="240" w:lineRule="auto"/>
              <w:jc w:val="center"/>
              <w:rPr>
                <w:rFonts w:ascii="Calibri" w:eastAsia="Times New Roman" w:hAnsi="Calibri" w:cs="Calibri"/>
                <w:color w:val="000000"/>
                <w:sz w:val="18"/>
                <w:szCs w:val="18"/>
                <w:lang w:bidi="he-IL"/>
              </w:rPr>
            </w:pPr>
            <w:r>
              <w:rPr>
                <w:rFonts w:ascii="Calibri" w:eastAsia="Times New Roman" w:hAnsi="Calibri" w:cs="Calibri"/>
                <w:color w:val="000000"/>
                <w:sz w:val="18"/>
                <w:szCs w:val="18"/>
                <w:lang w:bidi="he-IL"/>
              </w:rPr>
              <w:t>773 (61.1)</w:t>
            </w:r>
          </w:p>
        </w:tc>
        <w:tc>
          <w:tcPr>
            <w:tcW w:w="1000" w:type="dxa"/>
            <w:tcBorders>
              <w:top w:val="single" w:sz="4" w:space="0" w:color="auto"/>
              <w:left w:val="single" w:sz="4" w:space="0" w:color="auto"/>
              <w:bottom w:val="single" w:sz="4" w:space="0" w:color="auto"/>
              <w:right w:val="single" w:sz="4" w:space="0" w:color="auto"/>
            </w:tcBorders>
            <w:noWrap/>
            <w:vAlign w:val="center"/>
            <w:hideMark/>
          </w:tcPr>
          <w:p w14:paraId="4349D41F" w14:textId="77777777" w:rsidR="00E15393" w:rsidRDefault="00E15393" w:rsidP="00E15393">
            <w:pPr>
              <w:spacing w:after="0" w:line="240" w:lineRule="auto"/>
              <w:jc w:val="center"/>
              <w:rPr>
                <w:rFonts w:ascii="Calibri" w:eastAsia="Times New Roman" w:hAnsi="Calibri" w:cs="Calibri"/>
                <w:color w:val="000000"/>
                <w:sz w:val="18"/>
                <w:szCs w:val="18"/>
                <w:lang w:bidi="he-IL"/>
              </w:rPr>
            </w:pPr>
            <w:r>
              <w:rPr>
                <w:rFonts w:ascii="Calibri" w:eastAsia="Times New Roman" w:hAnsi="Calibri" w:cs="Calibri"/>
                <w:color w:val="000000"/>
                <w:sz w:val="18"/>
                <w:szCs w:val="18"/>
                <w:lang w:bidi="he-IL"/>
              </w:rPr>
              <w:t>&lt;0.001</w:t>
            </w:r>
          </w:p>
        </w:tc>
      </w:tr>
      <w:tr w:rsidR="00E15393" w14:paraId="2D689947" w14:textId="77777777" w:rsidTr="003A503B">
        <w:trPr>
          <w:trHeight w:val="288"/>
        </w:trPr>
        <w:tc>
          <w:tcPr>
            <w:tcW w:w="3168" w:type="dxa"/>
            <w:tcBorders>
              <w:top w:val="single" w:sz="4" w:space="0" w:color="auto"/>
              <w:left w:val="single" w:sz="4" w:space="0" w:color="auto"/>
              <w:bottom w:val="single" w:sz="4" w:space="0" w:color="auto"/>
              <w:right w:val="single" w:sz="4" w:space="0" w:color="auto"/>
            </w:tcBorders>
            <w:vAlign w:val="center"/>
            <w:hideMark/>
          </w:tcPr>
          <w:p w14:paraId="09EFA312" w14:textId="77777777" w:rsidR="00E15393" w:rsidRDefault="00E15393" w:rsidP="00E15393">
            <w:pPr>
              <w:spacing w:after="0" w:line="240" w:lineRule="auto"/>
              <w:rPr>
                <w:rFonts w:ascii="Calibri" w:eastAsia="Times New Roman" w:hAnsi="Calibri" w:cs="Calibri"/>
                <w:b/>
                <w:bCs/>
                <w:color w:val="000000"/>
                <w:sz w:val="18"/>
                <w:szCs w:val="18"/>
                <w:lang w:bidi="he-IL"/>
              </w:rPr>
            </w:pPr>
            <w:r>
              <w:rPr>
                <w:rFonts w:ascii="Calibri" w:eastAsia="Times New Roman" w:hAnsi="Calibri" w:cs="Calibri"/>
                <w:b/>
                <w:bCs/>
                <w:color w:val="000000"/>
                <w:sz w:val="18"/>
                <w:szCs w:val="18"/>
                <w:lang w:bidi="he-IL"/>
              </w:rPr>
              <w:t>Mineralocorticoid receptor antagonist (MRA) use- n (%)</w:t>
            </w:r>
          </w:p>
        </w:tc>
        <w:tc>
          <w:tcPr>
            <w:tcW w:w="1618"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hideMark/>
          </w:tcPr>
          <w:p w14:paraId="494FAC01" w14:textId="77777777" w:rsidR="00E15393" w:rsidRDefault="00E15393" w:rsidP="00E15393">
            <w:pPr>
              <w:spacing w:after="0" w:line="240" w:lineRule="auto"/>
              <w:jc w:val="center"/>
              <w:rPr>
                <w:rFonts w:ascii="Calibri" w:eastAsia="Times New Roman" w:hAnsi="Calibri" w:cs="Calibri"/>
                <w:color w:val="000000"/>
                <w:sz w:val="18"/>
                <w:szCs w:val="18"/>
                <w:lang w:bidi="he-IL"/>
              </w:rPr>
            </w:pPr>
            <w:r>
              <w:rPr>
                <w:rFonts w:ascii="Calibri" w:eastAsia="Times New Roman" w:hAnsi="Calibri" w:cs="Calibri"/>
                <w:color w:val="000000"/>
                <w:sz w:val="18"/>
                <w:szCs w:val="18"/>
                <w:lang w:bidi="he-IL"/>
              </w:rPr>
              <w:t>262 (3.2)</w:t>
            </w:r>
          </w:p>
        </w:tc>
        <w:tc>
          <w:tcPr>
            <w:tcW w:w="1701" w:type="dxa"/>
            <w:tcBorders>
              <w:top w:val="single" w:sz="4" w:space="0" w:color="auto"/>
              <w:left w:val="single" w:sz="4" w:space="0" w:color="auto"/>
              <w:bottom w:val="single" w:sz="4" w:space="0" w:color="auto"/>
              <w:right w:val="single" w:sz="4" w:space="0" w:color="auto"/>
            </w:tcBorders>
            <w:shd w:val="clear" w:color="auto" w:fill="DCE6F1"/>
            <w:vAlign w:val="center"/>
            <w:hideMark/>
          </w:tcPr>
          <w:p w14:paraId="10867142" w14:textId="77777777" w:rsidR="00E15393" w:rsidRDefault="00E15393" w:rsidP="00E15393">
            <w:pPr>
              <w:spacing w:after="0" w:line="240" w:lineRule="auto"/>
              <w:jc w:val="center"/>
              <w:rPr>
                <w:rFonts w:ascii="Calibri" w:eastAsia="Times New Roman" w:hAnsi="Calibri" w:cs="Calibri"/>
                <w:color w:val="000000"/>
                <w:sz w:val="18"/>
                <w:szCs w:val="18"/>
                <w:lang w:bidi="he-IL"/>
              </w:rPr>
            </w:pPr>
            <w:r>
              <w:rPr>
                <w:rFonts w:ascii="Calibri" w:eastAsia="Times New Roman" w:hAnsi="Calibri" w:cs="Calibri"/>
                <w:color w:val="000000"/>
                <w:sz w:val="18"/>
                <w:szCs w:val="18"/>
                <w:lang w:bidi="he-IL"/>
              </w:rPr>
              <w:t>386 (5)</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0B39F6F" w14:textId="77777777" w:rsidR="00E15393" w:rsidRDefault="00E15393" w:rsidP="00E15393">
            <w:pPr>
              <w:spacing w:after="0" w:line="240" w:lineRule="auto"/>
              <w:jc w:val="center"/>
              <w:rPr>
                <w:rFonts w:ascii="Calibri" w:eastAsia="Times New Roman" w:hAnsi="Calibri" w:cs="Calibri"/>
                <w:color w:val="000000"/>
                <w:sz w:val="18"/>
                <w:szCs w:val="18"/>
                <w:lang w:bidi="he-IL"/>
              </w:rPr>
            </w:pPr>
            <w:r>
              <w:rPr>
                <w:rFonts w:ascii="Calibri" w:eastAsia="Times New Roman" w:hAnsi="Calibri" w:cs="Calibri"/>
                <w:color w:val="000000"/>
                <w:sz w:val="18"/>
                <w:szCs w:val="18"/>
                <w:lang w:bidi="he-IL"/>
              </w:rPr>
              <w:t>114 (9)</w:t>
            </w:r>
          </w:p>
        </w:tc>
        <w:tc>
          <w:tcPr>
            <w:tcW w:w="1000" w:type="dxa"/>
            <w:tcBorders>
              <w:top w:val="single" w:sz="4" w:space="0" w:color="auto"/>
              <w:left w:val="single" w:sz="4" w:space="0" w:color="auto"/>
              <w:bottom w:val="single" w:sz="4" w:space="0" w:color="auto"/>
              <w:right w:val="single" w:sz="4" w:space="0" w:color="auto"/>
            </w:tcBorders>
            <w:noWrap/>
            <w:vAlign w:val="center"/>
            <w:hideMark/>
          </w:tcPr>
          <w:p w14:paraId="55F8307A" w14:textId="77777777" w:rsidR="00E15393" w:rsidRDefault="00E15393" w:rsidP="00E15393">
            <w:pPr>
              <w:spacing w:after="0" w:line="240" w:lineRule="auto"/>
              <w:jc w:val="center"/>
              <w:rPr>
                <w:rFonts w:ascii="Calibri" w:eastAsia="Times New Roman" w:hAnsi="Calibri" w:cs="Calibri"/>
                <w:color w:val="000000"/>
                <w:sz w:val="18"/>
                <w:szCs w:val="18"/>
                <w:lang w:bidi="he-IL"/>
              </w:rPr>
            </w:pPr>
            <w:r>
              <w:rPr>
                <w:rFonts w:ascii="Calibri" w:eastAsia="Times New Roman" w:hAnsi="Calibri" w:cs="Calibri"/>
                <w:color w:val="000000"/>
                <w:sz w:val="18"/>
                <w:szCs w:val="18"/>
                <w:lang w:bidi="he-IL"/>
              </w:rPr>
              <w:t>&lt;0.001</w:t>
            </w:r>
          </w:p>
        </w:tc>
      </w:tr>
      <w:tr w:rsidR="00E15393" w14:paraId="481156F7" w14:textId="77777777" w:rsidTr="003A503B">
        <w:trPr>
          <w:trHeight w:val="288"/>
        </w:trPr>
        <w:tc>
          <w:tcPr>
            <w:tcW w:w="31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0CD1448" w14:textId="77777777" w:rsidR="00E15393" w:rsidRPr="00545D51" w:rsidRDefault="00E15393" w:rsidP="00E15393">
            <w:pPr>
              <w:pStyle w:val="CommentText"/>
              <w:rPr>
                <w:b/>
                <w:bCs/>
                <w:sz w:val="18"/>
                <w:szCs w:val="18"/>
                <w:u w:val="single"/>
              </w:rPr>
            </w:pPr>
            <w:r w:rsidRPr="00545D51">
              <w:rPr>
                <w:rStyle w:val="CommentReference"/>
                <w:b/>
                <w:bCs/>
                <w:sz w:val="18"/>
                <w:szCs w:val="18"/>
                <w:u w:val="single"/>
              </w:rPr>
              <w:lastRenderedPageBreak/>
              <w:t>Glucose lowering agents</w:t>
            </w:r>
            <w:r w:rsidRPr="00545D51">
              <w:rPr>
                <w:rFonts w:ascii="Calibri" w:eastAsia="Times New Roman" w:hAnsi="Calibri" w:cs="Calibri"/>
                <w:b/>
                <w:bCs/>
                <w:color w:val="000000"/>
                <w:sz w:val="18"/>
                <w:szCs w:val="18"/>
                <w:u w:val="single"/>
                <w:lang w:bidi="he-IL"/>
              </w:rPr>
              <w:t>:</w:t>
            </w:r>
          </w:p>
        </w:tc>
        <w:tc>
          <w:tcPr>
            <w:tcW w:w="1618"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tcPr>
          <w:p w14:paraId="768FDFAD" w14:textId="77777777" w:rsidR="00E15393" w:rsidRDefault="00E15393" w:rsidP="00E15393">
            <w:pPr>
              <w:spacing w:after="0" w:line="240" w:lineRule="auto"/>
              <w:jc w:val="center"/>
              <w:rPr>
                <w:rFonts w:ascii="Calibri" w:eastAsia="Times New Roman" w:hAnsi="Calibri" w:cs="Calibri"/>
                <w:color w:val="000000"/>
                <w:sz w:val="18"/>
                <w:szCs w:val="18"/>
                <w:lang w:bidi="he-IL"/>
              </w:rPr>
            </w:pPr>
          </w:p>
        </w:tc>
        <w:tc>
          <w:tcPr>
            <w:tcW w:w="1701" w:type="dxa"/>
            <w:tcBorders>
              <w:top w:val="single" w:sz="4" w:space="0" w:color="auto"/>
              <w:left w:val="single" w:sz="4" w:space="0" w:color="auto"/>
              <w:bottom w:val="single" w:sz="4" w:space="0" w:color="auto"/>
              <w:right w:val="single" w:sz="4" w:space="0" w:color="auto"/>
            </w:tcBorders>
            <w:shd w:val="clear" w:color="auto" w:fill="DCE6F1"/>
            <w:vAlign w:val="center"/>
            <w:hideMark/>
          </w:tcPr>
          <w:p w14:paraId="0884E1AB" w14:textId="77777777" w:rsidR="00E15393" w:rsidRDefault="00E15393" w:rsidP="00E15393">
            <w:pPr>
              <w:rPr>
                <w:rFonts w:ascii="Calibri" w:eastAsia="Times New Roman" w:hAnsi="Calibri" w:cs="Calibri"/>
                <w:color w:val="000000"/>
                <w:sz w:val="18"/>
                <w:szCs w:val="18"/>
                <w:lang w:bidi="he-IL"/>
              </w:rPr>
            </w:pPr>
          </w:p>
        </w:tc>
        <w:tc>
          <w:tcPr>
            <w:tcW w:w="1843" w:type="dxa"/>
            <w:tcBorders>
              <w:top w:val="single" w:sz="4" w:space="0" w:color="auto"/>
              <w:left w:val="single" w:sz="4" w:space="0" w:color="auto"/>
              <w:bottom w:val="single" w:sz="4" w:space="0" w:color="auto"/>
              <w:right w:val="single" w:sz="4" w:space="0" w:color="auto"/>
            </w:tcBorders>
            <w:vAlign w:val="center"/>
          </w:tcPr>
          <w:p w14:paraId="6CD20D4C" w14:textId="77777777" w:rsidR="00E15393" w:rsidRDefault="00E15393" w:rsidP="00E15393">
            <w:pPr>
              <w:spacing w:after="0" w:line="240" w:lineRule="auto"/>
              <w:jc w:val="center"/>
              <w:rPr>
                <w:rFonts w:ascii="Calibri" w:eastAsia="Times New Roman" w:hAnsi="Calibri" w:cs="Calibri"/>
                <w:color w:val="000000"/>
                <w:sz w:val="18"/>
                <w:szCs w:val="18"/>
                <w:lang w:bidi="he-IL"/>
              </w:rPr>
            </w:pPr>
          </w:p>
        </w:tc>
        <w:tc>
          <w:tcPr>
            <w:tcW w:w="1000" w:type="dxa"/>
            <w:tcBorders>
              <w:top w:val="single" w:sz="4" w:space="0" w:color="auto"/>
              <w:left w:val="single" w:sz="4" w:space="0" w:color="auto"/>
              <w:bottom w:val="single" w:sz="4" w:space="0" w:color="auto"/>
              <w:right w:val="single" w:sz="4" w:space="0" w:color="auto"/>
            </w:tcBorders>
            <w:noWrap/>
            <w:vAlign w:val="center"/>
            <w:hideMark/>
          </w:tcPr>
          <w:p w14:paraId="515514F2" w14:textId="77777777" w:rsidR="00E15393" w:rsidRDefault="00E15393" w:rsidP="00E15393">
            <w:pPr>
              <w:rPr>
                <w:rFonts w:ascii="Calibri" w:eastAsia="Times New Roman" w:hAnsi="Calibri" w:cs="Calibri"/>
                <w:color w:val="000000"/>
                <w:sz w:val="18"/>
                <w:szCs w:val="18"/>
                <w:lang w:bidi="he-IL"/>
              </w:rPr>
            </w:pPr>
          </w:p>
        </w:tc>
      </w:tr>
      <w:tr w:rsidR="00E15393" w14:paraId="2E8B4E01" w14:textId="77777777" w:rsidTr="003A503B">
        <w:trPr>
          <w:trHeight w:val="288"/>
        </w:trPr>
        <w:tc>
          <w:tcPr>
            <w:tcW w:w="3168" w:type="dxa"/>
            <w:tcBorders>
              <w:top w:val="single" w:sz="4" w:space="0" w:color="auto"/>
              <w:left w:val="single" w:sz="4" w:space="0" w:color="auto"/>
              <w:bottom w:val="single" w:sz="4" w:space="0" w:color="auto"/>
              <w:right w:val="single" w:sz="4" w:space="0" w:color="auto"/>
            </w:tcBorders>
            <w:vAlign w:val="center"/>
            <w:hideMark/>
          </w:tcPr>
          <w:p w14:paraId="5C420D68" w14:textId="77777777" w:rsidR="00E15393" w:rsidRDefault="00E15393" w:rsidP="00E15393">
            <w:pPr>
              <w:spacing w:after="0" w:line="240" w:lineRule="auto"/>
              <w:rPr>
                <w:rFonts w:ascii="Calibri" w:eastAsia="Times New Roman" w:hAnsi="Calibri" w:cs="Calibri"/>
                <w:b/>
                <w:bCs/>
                <w:color w:val="000000"/>
                <w:sz w:val="18"/>
                <w:szCs w:val="18"/>
                <w:lang w:bidi="he-IL"/>
              </w:rPr>
            </w:pPr>
            <w:r>
              <w:rPr>
                <w:rFonts w:ascii="Calibri" w:eastAsia="Times New Roman" w:hAnsi="Calibri" w:cs="Calibri"/>
                <w:b/>
                <w:bCs/>
                <w:color w:val="000000"/>
                <w:sz w:val="18"/>
                <w:szCs w:val="18"/>
                <w:lang w:bidi="he-IL"/>
              </w:rPr>
              <w:t>Metformin use – n (%)</w:t>
            </w:r>
          </w:p>
        </w:tc>
        <w:tc>
          <w:tcPr>
            <w:tcW w:w="1618"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hideMark/>
          </w:tcPr>
          <w:p w14:paraId="6D093A27" w14:textId="77777777" w:rsidR="00E15393" w:rsidRDefault="00E15393" w:rsidP="00E15393">
            <w:pPr>
              <w:spacing w:after="0" w:line="240" w:lineRule="auto"/>
              <w:jc w:val="center"/>
              <w:rPr>
                <w:rFonts w:ascii="Calibri" w:eastAsia="Times New Roman" w:hAnsi="Calibri" w:cs="Calibri"/>
                <w:color w:val="000000"/>
                <w:sz w:val="18"/>
                <w:szCs w:val="18"/>
                <w:lang w:bidi="he-IL"/>
              </w:rPr>
            </w:pPr>
            <w:r>
              <w:rPr>
                <w:rFonts w:ascii="Calibri" w:eastAsia="Times New Roman" w:hAnsi="Calibri" w:cs="Calibri"/>
                <w:color w:val="000000"/>
                <w:sz w:val="18"/>
                <w:szCs w:val="18"/>
                <w:lang w:bidi="he-IL"/>
              </w:rPr>
              <w:t>6961 (85.3)</w:t>
            </w:r>
          </w:p>
        </w:tc>
        <w:tc>
          <w:tcPr>
            <w:tcW w:w="1701" w:type="dxa"/>
            <w:tcBorders>
              <w:top w:val="single" w:sz="4" w:space="0" w:color="auto"/>
              <w:left w:val="single" w:sz="4" w:space="0" w:color="auto"/>
              <w:bottom w:val="single" w:sz="4" w:space="0" w:color="auto"/>
              <w:right w:val="single" w:sz="4" w:space="0" w:color="auto"/>
            </w:tcBorders>
            <w:shd w:val="clear" w:color="auto" w:fill="DCE6F1"/>
            <w:vAlign w:val="center"/>
            <w:hideMark/>
          </w:tcPr>
          <w:p w14:paraId="1608CF2D" w14:textId="77777777" w:rsidR="00E15393" w:rsidRDefault="00E15393" w:rsidP="00E15393">
            <w:pPr>
              <w:spacing w:after="0" w:line="240" w:lineRule="auto"/>
              <w:jc w:val="center"/>
              <w:rPr>
                <w:rFonts w:ascii="Calibri" w:eastAsia="Times New Roman" w:hAnsi="Calibri" w:cs="Calibri"/>
                <w:color w:val="000000"/>
                <w:sz w:val="18"/>
                <w:szCs w:val="18"/>
                <w:lang w:bidi="he-IL"/>
              </w:rPr>
            </w:pPr>
            <w:r>
              <w:rPr>
                <w:rFonts w:ascii="Calibri" w:eastAsia="Times New Roman" w:hAnsi="Calibri" w:cs="Calibri"/>
                <w:color w:val="000000"/>
                <w:sz w:val="18"/>
                <w:szCs w:val="18"/>
                <w:lang w:bidi="he-IL"/>
              </w:rPr>
              <w:t>6263 (81)</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B009F20" w14:textId="77777777" w:rsidR="00E15393" w:rsidRDefault="00E15393" w:rsidP="00E15393">
            <w:pPr>
              <w:spacing w:after="0" w:line="240" w:lineRule="auto"/>
              <w:jc w:val="center"/>
              <w:rPr>
                <w:rFonts w:ascii="Calibri" w:eastAsia="Times New Roman" w:hAnsi="Calibri" w:cs="Calibri"/>
                <w:color w:val="000000"/>
                <w:sz w:val="18"/>
                <w:szCs w:val="18"/>
                <w:lang w:bidi="he-IL"/>
              </w:rPr>
            </w:pPr>
            <w:r>
              <w:rPr>
                <w:rFonts w:ascii="Calibri" w:eastAsia="Times New Roman" w:hAnsi="Calibri" w:cs="Calibri"/>
                <w:color w:val="000000"/>
                <w:sz w:val="18"/>
                <w:szCs w:val="18"/>
                <w:lang w:bidi="he-IL"/>
              </w:rPr>
              <w:t>843 (66.6)</w:t>
            </w:r>
          </w:p>
        </w:tc>
        <w:tc>
          <w:tcPr>
            <w:tcW w:w="1000" w:type="dxa"/>
            <w:tcBorders>
              <w:top w:val="single" w:sz="4" w:space="0" w:color="auto"/>
              <w:left w:val="single" w:sz="4" w:space="0" w:color="auto"/>
              <w:bottom w:val="single" w:sz="4" w:space="0" w:color="auto"/>
              <w:right w:val="single" w:sz="4" w:space="0" w:color="auto"/>
            </w:tcBorders>
            <w:noWrap/>
            <w:vAlign w:val="center"/>
            <w:hideMark/>
          </w:tcPr>
          <w:p w14:paraId="11E58E28" w14:textId="77777777" w:rsidR="00E15393" w:rsidRDefault="00E15393" w:rsidP="00E15393">
            <w:pPr>
              <w:spacing w:after="0" w:line="240" w:lineRule="auto"/>
              <w:jc w:val="center"/>
              <w:rPr>
                <w:rFonts w:ascii="Calibri" w:eastAsia="Times New Roman" w:hAnsi="Calibri" w:cs="Calibri"/>
                <w:color w:val="000000"/>
                <w:sz w:val="18"/>
                <w:szCs w:val="18"/>
                <w:lang w:bidi="he-IL"/>
              </w:rPr>
            </w:pPr>
            <w:r>
              <w:rPr>
                <w:rFonts w:ascii="Calibri" w:eastAsia="Times New Roman" w:hAnsi="Calibri" w:cs="Calibri"/>
                <w:color w:val="000000"/>
                <w:sz w:val="18"/>
                <w:szCs w:val="18"/>
                <w:lang w:bidi="he-IL"/>
              </w:rPr>
              <w:t>&lt;0.001</w:t>
            </w:r>
          </w:p>
        </w:tc>
      </w:tr>
      <w:tr w:rsidR="00E15393" w14:paraId="5974BCF2" w14:textId="77777777" w:rsidTr="003A503B">
        <w:trPr>
          <w:trHeight w:val="288"/>
        </w:trPr>
        <w:tc>
          <w:tcPr>
            <w:tcW w:w="3168" w:type="dxa"/>
            <w:tcBorders>
              <w:top w:val="single" w:sz="4" w:space="0" w:color="auto"/>
              <w:left w:val="single" w:sz="4" w:space="0" w:color="auto"/>
              <w:bottom w:val="single" w:sz="4" w:space="0" w:color="auto"/>
              <w:right w:val="single" w:sz="4" w:space="0" w:color="auto"/>
            </w:tcBorders>
            <w:vAlign w:val="center"/>
            <w:hideMark/>
          </w:tcPr>
          <w:p w14:paraId="313C3C0E" w14:textId="77777777" w:rsidR="00E15393" w:rsidRDefault="00E15393" w:rsidP="00E15393">
            <w:pPr>
              <w:spacing w:after="0" w:line="240" w:lineRule="auto"/>
              <w:rPr>
                <w:rFonts w:ascii="Calibri" w:eastAsia="Times New Roman" w:hAnsi="Calibri" w:cs="Calibri"/>
                <w:b/>
                <w:bCs/>
                <w:color w:val="000000"/>
                <w:sz w:val="18"/>
                <w:szCs w:val="18"/>
                <w:lang w:bidi="he-IL"/>
              </w:rPr>
            </w:pPr>
            <w:r>
              <w:rPr>
                <w:rFonts w:ascii="Calibri" w:eastAsia="Times New Roman" w:hAnsi="Calibri" w:cs="Calibri"/>
                <w:b/>
                <w:bCs/>
                <w:color w:val="000000"/>
                <w:sz w:val="18"/>
                <w:szCs w:val="18"/>
                <w:lang w:bidi="he-IL"/>
              </w:rPr>
              <w:t>Insulin use – n (%)</w:t>
            </w:r>
          </w:p>
        </w:tc>
        <w:tc>
          <w:tcPr>
            <w:tcW w:w="1618"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hideMark/>
          </w:tcPr>
          <w:p w14:paraId="6ED8A7B2" w14:textId="77777777" w:rsidR="00E15393" w:rsidRDefault="00E15393" w:rsidP="00E15393">
            <w:pPr>
              <w:spacing w:after="0" w:line="240" w:lineRule="auto"/>
              <w:jc w:val="center"/>
              <w:rPr>
                <w:rFonts w:ascii="Calibri" w:eastAsia="Times New Roman" w:hAnsi="Calibri" w:cs="Calibri"/>
                <w:color w:val="000000"/>
                <w:sz w:val="18"/>
                <w:szCs w:val="18"/>
                <w:lang w:bidi="he-IL"/>
              </w:rPr>
            </w:pPr>
            <w:r>
              <w:rPr>
                <w:rFonts w:ascii="Calibri" w:eastAsia="Times New Roman" w:hAnsi="Calibri" w:cs="Calibri"/>
                <w:color w:val="000000"/>
                <w:sz w:val="18"/>
                <w:szCs w:val="18"/>
                <w:lang w:bidi="he-IL"/>
              </w:rPr>
              <w:t>3018 (37)</w:t>
            </w:r>
          </w:p>
        </w:tc>
        <w:tc>
          <w:tcPr>
            <w:tcW w:w="1701" w:type="dxa"/>
            <w:tcBorders>
              <w:top w:val="single" w:sz="4" w:space="0" w:color="auto"/>
              <w:left w:val="single" w:sz="4" w:space="0" w:color="auto"/>
              <w:bottom w:val="single" w:sz="4" w:space="0" w:color="auto"/>
              <w:right w:val="single" w:sz="4" w:space="0" w:color="auto"/>
            </w:tcBorders>
            <w:shd w:val="clear" w:color="auto" w:fill="DCE6F1"/>
            <w:vAlign w:val="center"/>
            <w:hideMark/>
          </w:tcPr>
          <w:p w14:paraId="08A643DD" w14:textId="77777777" w:rsidR="00E15393" w:rsidRDefault="00E15393" w:rsidP="00E15393">
            <w:pPr>
              <w:spacing w:after="0" w:line="240" w:lineRule="auto"/>
              <w:jc w:val="center"/>
              <w:rPr>
                <w:rFonts w:ascii="Calibri" w:eastAsia="Times New Roman" w:hAnsi="Calibri" w:cs="Calibri"/>
                <w:color w:val="000000"/>
                <w:sz w:val="18"/>
                <w:szCs w:val="18"/>
                <w:lang w:bidi="he-IL"/>
              </w:rPr>
            </w:pPr>
            <w:r>
              <w:rPr>
                <w:rFonts w:ascii="Calibri" w:eastAsia="Times New Roman" w:hAnsi="Calibri" w:cs="Calibri"/>
                <w:color w:val="000000"/>
                <w:sz w:val="18"/>
                <w:szCs w:val="18"/>
                <w:lang w:bidi="he-IL"/>
              </w:rPr>
              <w:t>3284 (42.5)</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D8633D9" w14:textId="77777777" w:rsidR="00E15393" w:rsidRDefault="00E15393" w:rsidP="00E15393">
            <w:pPr>
              <w:spacing w:after="0" w:line="240" w:lineRule="auto"/>
              <w:jc w:val="center"/>
              <w:rPr>
                <w:rFonts w:ascii="Calibri" w:eastAsia="Times New Roman" w:hAnsi="Calibri" w:cs="Calibri"/>
                <w:color w:val="000000"/>
                <w:sz w:val="18"/>
                <w:szCs w:val="18"/>
                <w:lang w:bidi="he-IL"/>
              </w:rPr>
            </w:pPr>
            <w:r>
              <w:rPr>
                <w:rFonts w:ascii="Calibri" w:eastAsia="Times New Roman" w:hAnsi="Calibri" w:cs="Calibri"/>
                <w:color w:val="000000"/>
                <w:sz w:val="18"/>
                <w:szCs w:val="18"/>
                <w:lang w:bidi="he-IL"/>
              </w:rPr>
              <w:t>711 (56.2)</w:t>
            </w:r>
          </w:p>
        </w:tc>
        <w:tc>
          <w:tcPr>
            <w:tcW w:w="1000" w:type="dxa"/>
            <w:tcBorders>
              <w:top w:val="single" w:sz="4" w:space="0" w:color="auto"/>
              <w:left w:val="single" w:sz="4" w:space="0" w:color="auto"/>
              <w:bottom w:val="single" w:sz="4" w:space="0" w:color="auto"/>
              <w:right w:val="single" w:sz="4" w:space="0" w:color="auto"/>
            </w:tcBorders>
            <w:noWrap/>
            <w:vAlign w:val="center"/>
            <w:hideMark/>
          </w:tcPr>
          <w:p w14:paraId="507FFF5F" w14:textId="77777777" w:rsidR="00E15393" w:rsidRDefault="00E15393" w:rsidP="00E15393">
            <w:pPr>
              <w:spacing w:after="0" w:line="240" w:lineRule="auto"/>
              <w:jc w:val="center"/>
              <w:rPr>
                <w:rFonts w:ascii="Calibri" w:eastAsia="Times New Roman" w:hAnsi="Calibri" w:cs="Calibri"/>
                <w:color w:val="000000"/>
                <w:sz w:val="18"/>
                <w:szCs w:val="18"/>
                <w:lang w:bidi="he-IL"/>
              </w:rPr>
            </w:pPr>
            <w:r>
              <w:rPr>
                <w:rFonts w:ascii="Calibri" w:eastAsia="Times New Roman" w:hAnsi="Calibri" w:cs="Calibri"/>
                <w:color w:val="000000"/>
                <w:sz w:val="18"/>
                <w:szCs w:val="18"/>
                <w:lang w:bidi="he-IL"/>
              </w:rPr>
              <w:t>&lt;0.001</w:t>
            </w:r>
          </w:p>
        </w:tc>
      </w:tr>
      <w:tr w:rsidR="00E15393" w14:paraId="480B038B" w14:textId="77777777" w:rsidTr="003A503B">
        <w:trPr>
          <w:trHeight w:val="288"/>
        </w:trPr>
        <w:tc>
          <w:tcPr>
            <w:tcW w:w="3168" w:type="dxa"/>
            <w:tcBorders>
              <w:top w:val="single" w:sz="4" w:space="0" w:color="auto"/>
              <w:left w:val="single" w:sz="4" w:space="0" w:color="auto"/>
              <w:bottom w:val="single" w:sz="4" w:space="0" w:color="auto"/>
              <w:right w:val="single" w:sz="4" w:space="0" w:color="auto"/>
            </w:tcBorders>
            <w:vAlign w:val="center"/>
            <w:hideMark/>
          </w:tcPr>
          <w:p w14:paraId="6E817D28" w14:textId="77777777" w:rsidR="00E15393" w:rsidRDefault="00E15393" w:rsidP="00E15393">
            <w:pPr>
              <w:spacing w:after="0" w:line="240" w:lineRule="auto"/>
              <w:rPr>
                <w:rFonts w:ascii="Calibri" w:eastAsia="Times New Roman" w:hAnsi="Calibri" w:cs="Calibri"/>
                <w:b/>
                <w:bCs/>
                <w:color w:val="000000"/>
                <w:sz w:val="18"/>
                <w:szCs w:val="18"/>
                <w:lang w:bidi="he-IL"/>
              </w:rPr>
            </w:pPr>
            <w:r>
              <w:rPr>
                <w:rFonts w:ascii="Calibri" w:eastAsia="Times New Roman" w:hAnsi="Calibri" w:cs="Calibri"/>
                <w:b/>
                <w:bCs/>
                <w:color w:val="000000"/>
                <w:sz w:val="18"/>
                <w:szCs w:val="18"/>
                <w:lang w:bidi="he-IL"/>
              </w:rPr>
              <w:t>Sulfonylurea use- n (%)</w:t>
            </w:r>
          </w:p>
        </w:tc>
        <w:tc>
          <w:tcPr>
            <w:tcW w:w="1618"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hideMark/>
          </w:tcPr>
          <w:p w14:paraId="78AB6149" w14:textId="77777777" w:rsidR="00E15393" w:rsidRDefault="00E15393" w:rsidP="00E15393">
            <w:pPr>
              <w:spacing w:after="0" w:line="240" w:lineRule="auto"/>
              <w:jc w:val="center"/>
              <w:rPr>
                <w:rFonts w:ascii="Calibri" w:eastAsia="Times New Roman" w:hAnsi="Calibri" w:cs="Calibri"/>
                <w:color w:val="000000"/>
                <w:sz w:val="18"/>
                <w:szCs w:val="18"/>
                <w:lang w:bidi="he-IL"/>
              </w:rPr>
            </w:pPr>
            <w:r>
              <w:rPr>
                <w:rFonts w:ascii="Calibri" w:eastAsia="Times New Roman" w:hAnsi="Calibri" w:cs="Calibri"/>
                <w:color w:val="000000"/>
                <w:sz w:val="18"/>
                <w:szCs w:val="18"/>
                <w:lang w:bidi="he-IL"/>
              </w:rPr>
              <w:t>3671 (45)</w:t>
            </w:r>
          </w:p>
        </w:tc>
        <w:tc>
          <w:tcPr>
            <w:tcW w:w="1701" w:type="dxa"/>
            <w:tcBorders>
              <w:top w:val="single" w:sz="4" w:space="0" w:color="auto"/>
              <w:left w:val="single" w:sz="4" w:space="0" w:color="auto"/>
              <w:bottom w:val="single" w:sz="4" w:space="0" w:color="auto"/>
              <w:right w:val="single" w:sz="4" w:space="0" w:color="auto"/>
            </w:tcBorders>
            <w:shd w:val="clear" w:color="auto" w:fill="DCE6F1"/>
            <w:vAlign w:val="center"/>
            <w:hideMark/>
          </w:tcPr>
          <w:p w14:paraId="61C0342A" w14:textId="77777777" w:rsidR="00E15393" w:rsidRDefault="00E15393" w:rsidP="00E15393">
            <w:pPr>
              <w:spacing w:after="0" w:line="240" w:lineRule="auto"/>
              <w:jc w:val="center"/>
              <w:rPr>
                <w:rFonts w:ascii="Calibri" w:eastAsia="Times New Roman" w:hAnsi="Calibri" w:cs="Calibri"/>
                <w:color w:val="000000"/>
                <w:sz w:val="18"/>
                <w:szCs w:val="18"/>
                <w:lang w:bidi="he-IL"/>
              </w:rPr>
            </w:pPr>
            <w:r>
              <w:rPr>
                <w:rFonts w:ascii="Calibri" w:eastAsia="Times New Roman" w:hAnsi="Calibri" w:cs="Calibri"/>
                <w:color w:val="000000"/>
                <w:sz w:val="18"/>
                <w:szCs w:val="18"/>
                <w:lang w:bidi="he-IL"/>
              </w:rPr>
              <w:t>3205 (41.5)</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59E18D5" w14:textId="77777777" w:rsidR="00E15393" w:rsidRDefault="00E15393" w:rsidP="00E15393">
            <w:pPr>
              <w:spacing w:after="0" w:line="240" w:lineRule="auto"/>
              <w:jc w:val="center"/>
              <w:rPr>
                <w:rFonts w:ascii="Calibri" w:eastAsia="Times New Roman" w:hAnsi="Calibri" w:cs="Calibri"/>
                <w:color w:val="000000"/>
                <w:sz w:val="18"/>
                <w:szCs w:val="18"/>
                <w:lang w:bidi="he-IL"/>
              </w:rPr>
            </w:pPr>
            <w:r>
              <w:rPr>
                <w:rFonts w:ascii="Calibri" w:eastAsia="Times New Roman" w:hAnsi="Calibri" w:cs="Calibri"/>
                <w:color w:val="000000"/>
                <w:sz w:val="18"/>
                <w:szCs w:val="18"/>
                <w:lang w:bidi="he-IL"/>
              </w:rPr>
              <w:t>445 (35.2)</w:t>
            </w:r>
          </w:p>
        </w:tc>
        <w:tc>
          <w:tcPr>
            <w:tcW w:w="1000" w:type="dxa"/>
            <w:tcBorders>
              <w:top w:val="single" w:sz="4" w:space="0" w:color="auto"/>
              <w:left w:val="single" w:sz="4" w:space="0" w:color="auto"/>
              <w:bottom w:val="single" w:sz="4" w:space="0" w:color="auto"/>
              <w:right w:val="single" w:sz="4" w:space="0" w:color="auto"/>
            </w:tcBorders>
            <w:noWrap/>
            <w:vAlign w:val="center"/>
            <w:hideMark/>
          </w:tcPr>
          <w:p w14:paraId="3D2B7A99" w14:textId="77777777" w:rsidR="00E15393" w:rsidRDefault="00E15393" w:rsidP="00E15393">
            <w:pPr>
              <w:spacing w:after="0" w:line="240" w:lineRule="auto"/>
              <w:jc w:val="center"/>
              <w:rPr>
                <w:rFonts w:ascii="Calibri" w:eastAsia="Times New Roman" w:hAnsi="Calibri" w:cs="Calibri"/>
                <w:color w:val="000000"/>
                <w:sz w:val="18"/>
                <w:szCs w:val="18"/>
                <w:lang w:bidi="he-IL"/>
              </w:rPr>
            </w:pPr>
            <w:r>
              <w:rPr>
                <w:rFonts w:ascii="Calibri" w:eastAsia="Times New Roman" w:hAnsi="Calibri" w:cs="Calibri"/>
                <w:color w:val="000000"/>
                <w:sz w:val="18"/>
                <w:szCs w:val="18"/>
                <w:lang w:bidi="he-IL"/>
              </w:rPr>
              <w:t>&lt;0.001</w:t>
            </w:r>
          </w:p>
        </w:tc>
      </w:tr>
      <w:tr w:rsidR="00E15393" w14:paraId="1B0116B2" w14:textId="77777777" w:rsidTr="003A503B">
        <w:trPr>
          <w:trHeight w:val="288"/>
        </w:trPr>
        <w:tc>
          <w:tcPr>
            <w:tcW w:w="3168" w:type="dxa"/>
            <w:tcBorders>
              <w:top w:val="single" w:sz="4" w:space="0" w:color="auto"/>
              <w:left w:val="single" w:sz="4" w:space="0" w:color="auto"/>
              <w:bottom w:val="single" w:sz="4" w:space="0" w:color="auto"/>
              <w:right w:val="single" w:sz="4" w:space="0" w:color="auto"/>
            </w:tcBorders>
            <w:vAlign w:val="center"/>
            <w:hideMark/>
          </w:tcPr>
          <w:p w14:paraId="6993BBAB" w14:textId="77777777" w:rsidR="00E15393" w:rsidRDefault="00E15393" w:rsidP="00E15393">
            <w:pPr>
              <w:spacing w:after="0" w:line="240" w:lineRule="auto"/>
              <w:rPr>
                <w:rFonts w:ascii="Calibri" w:eastAsia="Times New Roman" w:hAnsi="Calibri" w:cs="Calibri"/>
                <w:b/>
                <w:bCs/>
                <w:color w:val="000000"/>
                <w:sz w:val="18"/>
                <w:szCs w:val="18"/>
                <w:lang w:bidi="he-IL"/>
              </w:rPr>
            </w:pPr>
            <w:r>
              <w:rPr>
                <w:rFonts w:ascii="Calibri" w:eastAsia="Times New Roman" w:hAnsi="Calibri" w:cs="Calibri"/>
                <w:b/>
                <w:bCs/>
                <w:color w:val="000000"/>
                <w:sz w:val="18"/>
                <w:szCs w:val="18"/>
                <w:lang w:bidi="he-IL"/>
              </w:rPr>
              <w:t>DPP4 inhibitor use- n (%)</w:t>
            </w:r>
          </w:p>
        </w:tc>
        <w:tc>
          <w:tcPr>
            <w:tcW w:w="1618"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hideMark/>
          </w:tcPr>
          <w:p w14:paraId="63937698" w14:textId="77777777" w:rsidR="00E15393" w:rsidRDefault="00E15393" w:rsidP="00E15393">
            <w:pPr>
              <w:spacing w:after="0" w:line="240" w:lineRule="auto"/>
              <w:jc w:val="center"/>
              <w:rPr>
                <w:rFonts w:ascii="Calibri" w:eastAsia="Times New Roman" w:hAnsi="Calibri" w:cs="Calibri"/>
                <w:color w:val="000000"/>
                <w:sz w:val="18"/>
                <w:szCs w:val="18"/>
                <w:lang w:bidi="he-IL"/>
              </w:rPr>
            </w:pPr>
            <w:r>
              <w:rPr>
                <w:rFonts w:ascii="Calibri" w:eastAsia="Times New Roman" w:hAnsi="Calibri" w:cs="Calibri"/>
                <w:color w:val="000000"/>
                <w:sz w:val="18"/>
                <w:szCs w:val="18"/>
                <w:lang w:bidi="he-IL"/>
              </w:rPr>
              <w:t>1366 (16.7)</w:t>
            </w:r>
          </w:p>
        </w:tc>
        <w:tc>
          <w:tcPr>
            <w:tcW w:w="1701" w:type="dxa"/>
            <w:tcBorders>
              <w:top w:val="single" w:sz="4" w:space="0" w:color="auto"/>
              <w:left w:val="single" w:sz="4" w:space="0" w:color="auto"/>
              <w:bottom w:val="single" w:sz="4" w:space="0" w:color="auto"/>
              <w:right w:val="single" w:sz="4" w:space="0" w:color="auto"/>
            </w:tcBorders>
            <w:shd w:val="clear" w:color="auto" w:fill="DCE6F1"/>
            <w:vAlign w:val="center"/>
            <w:hideMark/>
          </w:tcPr>
          <w:p w14:paraId="2B399F81" w14:textId="77777777" w:rsidR="00E15393" w:rsidRDefault="00E15393" w:rsidP="00E15393">
            <w:pPr>
              <w:spacing w:after="0" w:line="240" w:lineRule="auto"/>
              <w:jc w:val="center"/>
              <w:rPr>
                <w:rFonts w:ascii="Calibri" w:eastAsia="Times New Roman" w:hAnsi="Calibri" w:cs="Calibri"/>
                <w:color w:val="000000"/>
                <w:sz w:val="18"/>
                <w:szCs w:val="18"/>
                <w:lang w:bidi="he-IL"/>
              </w:rPr>
            </w:pPr>
            <w:r>
              <w:rPr>
                <w:rFonts w:ascii="Calibri" w:eastAsia="Times New Roman" w:hAnsi="Calibri" w:cs="Calibri"/>
                <w:color w:val="000000"/>
                <w:sz w:val="18"/>
                <w:szCs w:val="18"/>
                <w:lang w:bidi="he-IL"/>
              </w:rPr>
              <w:t>1331 (17.2)</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CA8DC1F" w14:textId="77777777" w:rsidR="00E15393" w:rsidRDefault="00E15393" w:rsidP="00E15393">
            <w:pPr>
              <w:spacing w:after="0" w:line="240" w:lineRule="auto"/>
              <w:jc w:val="center"/>
              <w:rPr>
                <w:rFonts w:ascii="Calibri" w:eastAsia="Times New Roman" w:hAnsi="Calibri" w:cs="Calibri"/>
                <w:color w:val="000000"/>
                <w:sz w:val="18"/>
                <w:szCs w:val="18"/>
                <w:lang w:bidi="he-IL"/>
              </w:rPr>
            </w:pPr>
            <w:r>
              <w:rPr>
                <w:rFonts w:ascii="Calibri" w:eastAsia="Times New Roman" w:hAnsi="Calibri" w:cs="Calibri"/>
                <w:color w:val="000000"/>
                <w:sz w:val="18"/>
                <w:szCs w:val="18"/>
                <w:lang w:bidi="he-IL"/>
              </w:rPr>
              <w:t>191 (15.1)</w:t>
            </w:r>
          </w:p>
        </w:tc>
        <w:tc>
          <w:tcPr>
            <w:tcW w:w="1000" w:type="dxa"/>
            <w:tcBorders>
              <w:top w:val="single" w:sz="4" w:space="0" w:color="auto"/>
              <w:left w:val="single" w:sz="4" w:space="0" w:color="auto"/>
              <w:bottom w:val="single" w:sz="4" w:space="0" w:color="auto"/>
              <w:right w:val="single" w:sz="4" w:space="0" w:color="auto"/>
            </w:tcBorders>
            <w:noWrap/>
            <w:vAlign w:val="center"/>
            <w:hideMark/>
          </w:tcPr>
          <w:p w14:paraId="55117D4F" w14:textId="77777777" w:rsidR="00E15393" w:rsidRDefault="00E15393" w:rsidP="00E15393">
            <w:pPr>
              <w:spacing w:after="0" w:line="240" w:lineRule="auto"/>
              <w:jc w:val="center"/>
              <w:rPr>
                <w:rFonts w:ascii="Calibri" w:eastAsia="Times New Roman" w:hAnsi="Calibri" w:cs="Calibri"/>
                <w:color w:val="000000"/>
                <w:sz w:val="18"/>
                <w:szCs w:val="18"/>
                <w:lang w:bidi="he-IL"/>
              </w:rPr>
            </w:pPr>
            <w:r>
              <w:rPr>
                <w:rFonts w:ascii="Calibri" w:eastAsia="Times New Roman" w:hAnsi="Calibri" w:cs="Calibri"/>
                <w:color w:val="000000"/>
                <w:sz w:val="18"/>
                <w:szCs w:val="18"/>
                <w:lang w:bidi="he-IL"/>
              </w:rPr>
              <w:t>0.167</w:t>
            </w:r>
          </w:p>
        </w:tc>
      </w:tr>
      <w:tr w:rsidR="00E15393" w14:paraId="2B4C20DB" w14:textId="77777777" w:rsidTr="003A503B">
        <w:trPr>
          <w:trHeight w:val="288"/>
        </w:trPr>
        <w:tc>
          <w:tcPr>
            <w:tcW w:w="3168" w:type="dxa"/>
            <w:tcBorders>
              <w:top w:val="single" w:sz="4" w:space="0" w:color="auto"/>
              <w:left w:val="single" w:sz="4" w:space="0" w:color="auto"/>
              <w:bottom w:val="single" w:sz="4" w:space="0" w:color="auto"/>
              <w:right w:val="single" w:sz="4" w:space="0" w:color="auto"/>
            </w:tcBorders>
            <w:vAlign w:val="center"/>
            <w:hideMark/>
          </w:tcPr>
          <w:p w14:paraId="13D059B9" w14:textId="77777777" w:rsidR="00E15393" w:rsidRDefault="00E15393" w:rsidP="00E15393">
            <w:pPr>
              <w:spacing w:after="0" w:line="240" w:lineRule="auto"/>
              <w:rPr>
                <w:rFonts w:ascii="Calibri" w:eastAsia="Times New Roman" w:hAnsi="Calibri" w:cs="Calibri"/>
                <w:b/>
                <w:bCs/>
                <w:color w:val="000000"/>
                <w:sz w:val="18"/>
                <w:szCs w:val="18"/>
                <w:lang w:bidi="he-IL"/>
              </w:rPr>
            </w:pPr>
            <w:r>
              <w:rPr>
                <w:rFonts w:ascii="Calibri" w:eastAsia="Times New Roman" w:hAnsi="Calibri" w:cs="Calibri"/>
                <w:b/>
                <w:bCs/>
                <w:color w:val="000000"/>
                <w:sz w:val="18"/>
                <w:szCs w:val="18"/>
                <w:lang w:bidi="he-IL"/>
              </w:rPr>
              <w:t>GLP1 Agonists use – n (%)</w:t>
            </w:r>
          </w:p>
        </w:tc>
        <w:tc>
          <w:tcPr>
            <w:tcW w:w="1618"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hideMark/>
          </w:tcPr>
          <w:p w14:paraId="3B0EC461" w14:textId="77777777" w:rsidR="00E15393" w:rsidRDefault="00E15393" w:rsidP="00E15393">
            <w:pPr>
              <w:spacing w:after="0" w:line="240" w:lineRule="auto"/>
              <w:jc w:val="center"/>
              <w:rPr>
                <w:rFonts w:ascii="Calibri" w:eastAsia="Times New Roman" w:hAnsi="Calibri" w:cs="Calibri"/>
                <w:color w:val="000000"/>
                <w:sz w:val="18"/>
                <w:szCs w:val="18"/>
                <w:lang w:bidi="he-IL"/>
              </w:rPr>
            </w:pPr>
            <w:r>
              <w:rPr>
                <w:rFonts w:ascii="Calibri" w:eastAsia="Times New Roman" w:hAnsi="Calibri" w:cs="Calibri"/>
                <w:color w:val="000000"/>
                <w:sz w:val="18"/>
                <w:szCs w:val="18"/>
                <w:lang w:bidi="he-IL"/>
              </w:rPr>
              <w:t>347 (4.3)</w:t>
            </w:r>
          </w:p>
        </w:tc>
        <w:tc>
          <w:tcPr>
            <w:tcW w:w="1701" w:type="dxa"/>
            <w:tcBorders>
              <w:top w:val="single" w:sz="4" w:space="0" w:color="auto"/>
              <w:left w:val="single" w:sz="4" w:space="0" w:color="auto"/>
              <w:bottom w:val="single" w:sz="4" w:space="0" w:color="auto"/>
              <w:right w:val="single" w:sz="4" w:space="0" w:color="auto"/>
            </w:tcBorders>
            <w:shd w:val="clear" w:color="auto" w:fill="DCE6F1"/>
            <w:vAlign w:val="center"/>
            <w:hideMark/>
          </w:tcPr>
          <w:p w14:paraId="4090A397" w14:textId="77777777" w:rsidR="00E15393" w:rsidRDefault="00E15393" w:rsidP="00E15393">
            <w:pPr>
              <w:spacing w:after="0" w:line="240" w:lineRule="auto"/>
              <w:jc w:val="center"/>
              <w:rPr>
                <w:rFonts w:ascii="Calibri" w:eastAsia="Times New Roman" w:hAnsi="Calibri" w:cs="Calibri"/>
                <w:color w:val="000000"/>
                <w:sz w:val="18"/>
                <w:szCs w:val="18"/>
                <w:lang w:bidi="he-IL"/>
              </w:rPr>
            </w:pPr>
            <w:r>
              <w:rPr>
                <w:rFonts w:ascii="Calibri" w:eastAsia="Times New Roman" w:hAnsi="Calibri" w:cs="Calibri"/>
                <w:color w:val="000000"/>
                <w:sz w:val="18"/>
                <w:szCs w:val="18"/>
                <w:lang w:bidi="he-IL"/>
              </w:rPr>
              <w:t>331 (4.3)</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7E0B658" w14:textId="77777777" w:rsidR="00E15393" w:rsidRDefault="00E15393" w:rsidP="00E15393">
            <w:pPr>
              <w:spacing w:after="0" w:line="240" w:lineRule="auto"/>
              <w:jc w:val="center"/>
              <w:rPr>
                <w:rFonts w:ascii="Calibri" w:eastAsia="Times New Roman" w:hAnsi="Calibri" w:cs="Calibri"/>
                <w:color w:val="000000"/>
                <w:sz w:val="18"/>
                <w:szCs w:val="18"/>
                <w:lang w:bidi="he-IL"/>
              </w:rPr>
            </w:pPr>
            <w:r>
              <w:rPr>
                <w:rFonts w:ascii="Calibri" w:eastAsia="Times New Roman" w:hAnsi="Calibri" w:cs="Calibri"/>
                <w:color w:val="000000"/>
                <w:sz w:val="18"/>
                <w:szCs w:val="18"/>
                <w:lang w:bidi="he-IL"/>
              </w:rPr>
              <w:t>72 (5.7)</w:t>
            </w:r>
          </w:p>
        </w:tc>
        <w:tc>
          <w:tcPr>
            <w:tcW w:w="1000" w:type="dxa"/>
            <w:tcBorders>
              <w:top w:val="single" w:sz="4" w:space="0" w:color="auto"/>
              <w:left w:val="single" w:sz="4" w:space="0" w:color="auto"/>
              <w:bottom w:val="single" w:sz="4" w:space="0" w:color="auto"/>
              <w:right w:val="single" w:sz="4" w:space="0" w:color="auto"/>
            </w:tcBorders>
            <w:noWrap/>
            <w:vAlign w:val="center"/>
            <w:hideMark/>
          </w:tcPr>
          <w:p w14:paraId="52C00351" w14:textId="77777777" w:rsidR="00E15393" w:rsidRDefault="00E15393" w:rsidP="00E15393">
            <w:pPr>
              <w:spacing w:after="0" w:line="240" w:lineRule="auto"/>
              <w:jc w:val="center"/>
              <w:rPr>
                <w:rFonts w:ascii="Calibri" w:eastAsia="Times New Roman" w:hAnsi="Calibri" w:cs="Calibri"/>
                <w:color w:val="000000"/>
                <w:sz w:val="18"/>
                <w:szCs w:val="18"/>
                <w:lang w:bidi="he-IL"/>
              </w:rPr>
            </w:pPr>
            <w:r>
              <w:rPr>
                <w:rFonts w:ascii="Calibri" w:eastAsia="Times New Roman" w:hAnsi="Calibri" w:cs="Calibri"/>
                <w:color w:val="000000"/>
                <w:sz w:val="18"/>
                <w:szCs w:val="18"/>
                <w:lang w:bidi="he-IL"/>
              </w:rPr>
              <w:t>0.058</w:t>
            </w:r>
          </w:p>
        </w:tc>
      </w:tr>
      <w:tr w:rsidR="00E15393" w14:paraId="33AA5CFC" w14:textId="77777777" w:rsidTr="003A503B">
        <w:trPr>
          <w:trHeight w:val="323"/>
        </w:trPr>
        <w:tc>
          <w:tcPr>
            <w:tcW w:w="31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29530A6" w14:textId="77777777" w:rsidR="00E15393" w:rsidRDefault="00E15393" w:rsidP="00E15393">
            <w:pPr>
              <w:spacing w:after="0" w:line="240" w:lineRule="auto"/>
              <w:rPr>
                <w:rFonts w:ascii="Calibri" w:eastAsia="Times New Roman" w:hAnsi="Calibri" w:cs="Calibri"/>
                <w:b/>
                <w:bCs/>
                <w:color w:val="000000"/>
                <w:sz w:val="18"/>
                <w:szCs w:val="18"/>
                <w:u w:val="single"/>
                <w:lang w:bidi="he-IL"/>
              </w:rPr>
            </w:pPr>
            <w:r>
              <w:rPr>
                <w:rFonts w:ascii="Calibri" w:eastAsia="Times New Roman" w:hAnsi="Calibri" w:cs="Calibri"/>
                <w:b/>
                <w:bCs/>
                <w:color w:val="000000"/>
                <w:sz w:val="18"/>
                <w:szCs w:val="18"/>
                <w:u w:val="single"/>
                <w:lang w:bidi="he-IL"/>
              </w:rPr>
              <w:t>Laboratory and Clinical Measurements:</w:t>
            </w:r>
          </w:p>
        </w:tc>
        <w:tc>
          <w:tcPr>
            <w:tcW w:w="1618"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tcPr>
          <w:p w14:paraId="507827E5" w14:textId="77777777" w:rsidR="00E15393" w:rsidRDefault="00E15393" w:rsidP="00E15393">
            <w:pPr>
              <w:spacing w:after="0" w:line="240" w:lineRule="auto"/>
              <w:jc w:val="center"/>
              <w:rPr>
                <w:rFonts w:ascii="Calibri" w:eastAsia="Times New Roman" w:hAnsi="Calibri" w:cs="Calibri"/>
                <w:color w:val="000000"/>
                <w:sz w:val="18"/>
                <w:szCs w:val="18"/>
                <w:lang w:bidi="he-IL"/>
              </w:rPr>
            </w:pPr>
          </w:p>
        </w:tc>
        <w:tc>
          <w:tcPr>
            <w:tcW w:w="1701" w:type="dxa"/>
            <w:tcBorders>
              <w:top w:val="single" w:sz="4" w:space="0" w:color="auto"/>
              <w:left w:val="single" w:sz="4" w:space="0" w:color="auto"/>
              <w:bottom w:val="single" w:sz="4" w:space="0" w:color="auto"/>
              <w:right w:val="single" w:sz="4" w:space="0" w:color="auto"/>
            </w:tcBorders>
            <w:shd w:val="clear" w:color="auto" w:fill="DCE6F1"/>
            <w:vAlign w:val="center"/>
          </w:tcPr>
          <w:p w14:paraId="2C9F62FF" w14:textId="77777777" w:rsidR="00E15393" w:rsidRDefault="00E15393" w:rsidP="00E15393">
            <w:pPr>
              <w:spacing w:after="0" w:line="240" w:lineRule="auto"/>
              <w:jc w:val="center"/>
              <w:rPr>
                <w:rFonts w:ascii="Calibri" w:eastAsia="Times New Roman" w:hAnsi="Calibri" w:cs="Calibri"/>
                <w:color w:val="000000"/>
                <w:sz w:val="18"/>
                <w:szCs w:val="18"/>
                <w:lang w:bidi="he-IL"/>
              </w:rPr>
            </w:pPr>
          </w:p>
        </w:tc>
        <w:tc>
          <w:tcPr>
            <w:tcW w:w="1843" w:type="dxa"/>
            <w:tcBorders>
              <w:top w:val="single" w:sz="4" w:space="0" w:color="auto"/>
              <w:left w:val="single" w:sz="4" w:space="0" w:color="auto"/>
              <w:bottom w:val="single" w:sz="4" w:space="0" w:color="auto"/>
              <w:right w:val="single" w:sz="4" w:space="0" w:color="auto"/>
            </w:tcBorders>
            <w:vAlign w:val="center"/>
          </w:tcPr>
          <w:p w14:paraId="79A58C34" w14:textId="77777777" w:rsidR="00E15393" w:rsidRDefault="00E15393" w:rsidP="00E15393">
            <w:pPr>
              <w:spacing w:after="0" w:line="240" w:lineRule="auto"/>
              <w:jc w:val="center"/>
              <w:rPr>
                <w:rFonts w:ascii="Calibri" w:eastAsia="Times New Roman" w:hAnsi="Calibri" w:cs="Calibri"/>
                <w:color w:val="000000"/>
                <w:sz w:val="18"/>
                <w:szCs w:val="18"/>
                <w:lang w:bidi="he-IL"/>
              </w:rPr>
            </w:pPr>
          </w:p>
        </w:tc>
        <w:tc>
          <w:tcPr>
            <w:tcW w:w="1000" w:type="dxa"/>
            <w:tcBorders>
              <w:top w:val="single" w:sz="4" w:space="0" w:color="auto"/>
              <w:left w:val="single" w:sz="4" w:space="0" w:color="auto"/>
              <w:bottom w:val="single" w:sz="4" w:space="0" w:color="auto"/>
              <w:right w:val="single" w:sz="4" w:space="0" w:color="auto"/>
            </w:tcBorders>
            <w:noWrap/>
            <w:vAlign w:val="center"/>
          </w:tcPr>
          <w:p w14:paraId="5F00903D" w14:textId="77777777" w:rsidR="00E15393" w:rsidRDefault="00E15393" w:rsidP="00E15393">
            <w:pPr>
              <w:spacing w:after="0" w:line="240" w:lineRule="auto"/>
              <w:jc w:val="center"/>
              <w:rPr>
                <w:rFonts w:ascii="Calibri" w:eastAsia="Times New Roman" w:hAnsi="Calibri" w:cs="Calibri"/>
                <w:color w:val="000000"/>
                <w:sz w:val="18"/>
                <w:szCs w:val="18"/>
                <w:lang w:bidi="he-IL"/>
              </w:rPr>
            </w:pPr>
          </w:p>
        </w:tc>
      </w:tr>
      <w:tr w:rsidR="00E15393" w14:paraId="450AC523" w14:textId="77777777" w:rsidTr="003A503B">
        <w:trPr>
          <w:trHeight w:val="314"/>
        </w:trPr>
        <w:tc>
          <w:tcPr>
            <w:tcW w:w="3168" w:type="dxa"/>
            <w:tcBorders>
              <w:top w:val="single" w:sz="4" w:space="0" w:color="auto"/>
              <w:left w:val="single" w:sz="4" w:space="0" w:color="auto"/>
              <w:bottom w:val="single" w:sz="4" w:space="0" w:color="auto"/>
              <w:right w:val="single" w:sz="4" w:space="0" w:color="auto"/>
            </w:tcBorders>
            <w:vAlign w:val="center"/>
            <w:hideMark/>
          </w:tcPr>
          <w:p w14:paraId="29BE0DCF" w14:textId="77777777" w:rsidR="00E15393" w:rsidRDefault="00E15393" w:rsidP="00E15393">
            <w:pPr>
              <w:spacing w:after="0" w:line="240" w:lineRule="auto"/>
              <w:rPr>
                <w:rFonts w:ascii="Calibri" w:eastAsia="Times New Roman" w:hAnsi="Calibri" w:cs="Calibri"/>
                <w:b/>
                <w:bCs/>
                <w:color w:val="000000"/>
                <w:sz w:val="18"/>
                <w:szCs w:val="18"/>
                <w:lang w:bidi="he-IL"/>
              </w:rPr>
            </w:pPr>
            <w:r>
              <w:rPr>
                <w:rFonts w:ascii="Calibri" w:eastAsia="Times New Roman" w:hAnsi="Calibri" w:cs="Calibri"/>
                <w:b/>
                <w:bCs/>
                <w:color w:val="000000"/>
                <w:sz w:val="18"/>
                <w:szCs w:val="18"/>
                <w:lang w:bidi="he-IL"/>
              </w:rPr>
              <w:t>Hemoglobin A1c (%)- mean ±SD</w:t>
            </w:r>
          </w:p>
        </w:tc>
        <w:tc>
          <w:tcPr>
            <w:tcW w:w="1618"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hideMark/>
          </w:tcPr>
          <w:p w14:paraId="7B248501" w14:textId="77777777" w:rsidR="00E15393" w:rsidRDefault="00E15393" w:rsidP="00E15393">
            <w:pPr>
              <w:spacing w:after="0" w:line="240" w:lineRule="auto"/>
              <w:jc w:val="center"/>
              <w:rPr>
                <w:rFonts w:ascii="Calibri" w:eastAsia="Times New Roman" w:hAnsi="Calibri" w:cs="Calibri"/>
                <w:color w:val="000000"/>
                <w:sz w:val="18"/>
                <w:szCs w:val="18"/>
                <w:lang w:bidi="he-IL"/>
              </w:rPr>
            </w:pPr>
            <w:r>
              <w:rPr>
                <w:rFonts w:ascii="Calibri" w:eastAsia="Times New Roman" w:hAnsi="Calibri" w:cs="Calibri"/>
                <w:color w:val="000000"/>
                <w:sz w:val="18"/>
                <w:szCs w:val="18"/>
                <w:lang w:bidi="he-IL"/>
              </w:rPr>
              <w:t>8.5 ±1.2</w:t>
            </w:r>
          </w:p>
        </w:tc>
        <w:tc>
          <w:tcPr>
            <w:tcW w:w="1701" w:type="dxa"/>
            <w:tcBorders>
              <w:top w:val="single" w:sz="4" w:space="0" w:color="auto"/>
              <w:left w:val="single" w:sz="4" w:space="0" w:color="auto"/>
              <w:bottom w:val="single" w:sz="4" w:space="0" w:color="auto"/>
              <w:right w:val="single" w:sz="4" w:space="0" w:color="auto"/>
            </w:tcBorders>
            <w:shd w:val="clear" w:color="auto" w:fill="DCE6F1"/>
            <w:vAlign w:val="center"/>
            <w:hideMark/>
          </w:tcPr>
          <w:p w14:paraId="430F6A27" w14:textId="77777777" w:rsidR="00E15393" w:rsidRDefault="00E15393" w:rsidP="00E15393">
            <w:pPr>
              <w:spacing w:after="0" w:line="240" w:lineRule="auto"/>
              <w:jc w:val="center"/>
              <w:rPr>
                <w:rFonts w:ascii="Calibri" w:eastAsia="Times New Roman" w:hAnsi="Calibri" w:cs="Calibri"/>
                <w:color w:val="000000"/>
                <w:sz w:val="18"/>
                <w:szCs w:val="18"/>
                <w:lang w:bidi="he-IL"/>
              </w:rPr>
            </w:pPr>
            <w:r>
              <w:rPr>
                <w:rFonts w:ascii="Calibri" w:eastAsia="Times New Roman" w:hAnsi="Calibri" w:cs="Calibri"/>
                <w:color w:val="000000"/>
                <w:sz w:val="18"/>
                <w:szCs w:val="18"/>
                <w:lang w:bidi="he-IL"/>
              </w:rPr>
              <w:t>8.1 ±1.1</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1683E7F" w14:textId="77777777" w:rsidR="00E15393" w:rsidRDefault="00E15393" w:rsidP="00E15393">
            <w:pPr>
              <w:spacing w:after="0" w:line="240" w:lineRule="auto"/>
              <w:jc w:val="center"/>
              <w:rPr>
                <w:rFonts w:ascii="Calibri" w:eastAsia="Times New Roman" w:hAnsi="Calibri" w:cs="Calibri"/>
                <w:color w:val="000000"/>
                <w:sz w:val="18"/>
                <w:szCs w:val="18"/>
                <w:lang w:bidi="he-IL"/>
              </w:rPr>
            </w:pPr>
            <w:r>
              <w:rPr>
                <w:rFonts w:ascii="Calibri" w:eastAsia="Times New Roman" w:hAnsi="Calibri" w:cs="Calibri"/>
                <w:color w:val="000000"/>
                <w:sz w:val="18"/>
                <w:szCs w:val="18"/>
                <w:lang w:bidi="he-IL"/>
              </w:rPr>
              <w:t>8.2 ±1.2</w:t>
            </w:r>
          </w:p>
        </w:tc>
        <w:tc>
          <w:tcPr>
            <w:tcW w:w="1000" w:type="dxa"/>
            <w:tcBorders>
              <w:top w:val="single" w:sz="4" w:space="0" w:color="auto"/>
              <w:left w:val="single" w:sz="4" w:space="0" w:color="auto"/>
              <w:bottom w:val="single" w:sz="4" w:space="0" w:color="auto"/>
              <w:right w:val="single" w:sz="4" w:space="0" w:color="auto"/>
            </w:tcBorders>
            <w:noWrap/>
            <w:vAlign w:val="center"/>
            <w:hideMark/>
          </w:tcPr>
          <w:p w14:paraId="5732704B" w14:textId="77777777" w:rsidR="00E15393" w:rsidRDefault="00E15393" w:rsidP="00E15393">
            <w:pPr>
              <w:spacing w:after="0" w:line="240" w:lineRule="auto"/>
              <w:jc w:val="center"/>
              <w:rPr>
                <w:rFonts w:ascii="Calibri" w:eastAsia="Times New Roman" w:hAnsi="Calibri" w:cs="Calibri"/>
                <w:color w:val="000000"/>
                <w:sz w:val="18"/>
                <w:szCs w:val="18"/>
                <w:lang w:bidi="he-IL"/>
              </w:rPr>
            </w:pPr>
            <w:r>
              <w:rPr>
                <w:rFonts w:ascii="Calibri" w:eastAsia="Times New Roman" w:hAnsi="Calibri" w:cs="Calibri"/>
                <w:color w:val="000000"/>
                <w:sz w:val="18"/>
                <w:szCs w:val="18"/>
                <w:lang w:bidi="he-IL"/>
              </w:rPr>
              <w:t>&lt;0.001</w:t>
            </w:r>
          </w:p>
        </w:tc>
      </w:tr>
      <w:tr w:rsidR="00E15393" w14:paraId="21F4D561" w14:textId="77777777" w:rsidTr="003A503B">
        <w:trPr>
          <w:trHeight w:val="179"/>
        </w:trPr>
        <w:tc>
          <w:tcPr>
            <w:tcW w:w="3168" w:type="dxa"/>
            <w:tcBorders>
              <w:top w:val="single" w:sz="4" w:space="0" w:color="auto"/>
              <w:left w:val="single" w:sz="4" w:space="0" w:color="auto"/>
              <w:bottom w:val="single" w:sz="4" w:space="0" w:color="auto"/>
              <w:right w:val="single" w:sz="4" w:space="0" w:color="auto"/>
            </w:tcBorders>
            <w:vAlign w:val="center"/>
            <w:hideMark/>
          </w:tcPr>
          <w:p w14:paraId="4939AC07" w14:textId="77777777" w:rsidR="00E15393" w:rsidRDefault="00E15393" w:rsidP="00E15393">
            <w:pPr>
              <w:spacing w:after="0" w:line="240" w:lineRule="auto"/>
              <w:rPr>
                <w:rFonts w:ascii="Calibri" w:eastAsia="Times New Roman" w:hAnsi="Calibri" w:cs="Calibri"/>
                <w:b/>
                <w:bCs/>
                <w:color w:val="000000"/>
                <w:sz w:val="18"/>
                <w:szCs w:val="18"/>
                <w:lang w:bidi="he-IL"/>
              </w:rPr>
            </w:pPr>
            <w:r>
              <w:rPr>
                <w:rFonts w:ascii="Calibri" w:eastAsia="Times New Roman" w:hAnsi="Calibri" w:cs="Calibri"/>
                <w:b/>
                <w:bCs/>
                <w:color w:val="000000"/>
                <w:sz w:val="18"/>
                <w:szCs w:val="18"/>
                <w:lang w:bidi="he-IL"/>
              </w:rPr>
              <w:t>eGFR by CKD-EPI (mL/min/1.73 m^2)- mean ±SD</w:t>
            </w:r>
          </w:p>
        </w:tc>
        <w:tc>
          <w:tcPr>
            <w:tcW w:w="1618"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hideMark/>
          </w:tcPr>
          <w:p w14:paraId="448959FD" w14:textId="77777777" w:rsidR="00E15393" w:rsidRDefault="00E15393" w:rsidP="00E15393">
            <w:pPr>
              <w:spacing w:after="0" w:line="240" w:lineRule="auto"/>
              <w:jc w:val="center"/>
              <w:rPr>
                <w:rFonts w:ascii="Calibri" w:eastAsia="Times New Roman" w:hAnsi="Calibri" w:cs="Calibri"/>
                <w:color w:val="000000"/>
                <w:sz w:val="18"/>
                <w:szCs w:val="18"/>
                <w:lang w:bidi="he-IL"/>
              </w:rPr>
            </w:pPr>
            <w:r>
              <w:rPr>
                <w:rFonts w:ascii="Calibri" w:eastAsia="Times New Roman" w:hAnsi="Calibri" w:cs="Calibri"/>
                <w:color w:val="000000"/>
                <w:sz w:val="18"/>
                <w:szCs w:val="18"/>
                <w:lang w:bidi="he-IL"/>
              </w:rPr>
              <w:t>98.3 ±6.5</w:t>
            </w:r>
          </w:p>
        </w:tc>
        <w:tc>
          <w:tcPr>
            <w:tcW w:w="1701" w:type="dxa"/>
            <w:tcBorders>
              <w:top w:val="single" w:sz="4" w:space="0" w:color="auto"/>
              <w:left w:val="single" w:sz="4" w:space="0" w:color="auto"/>
              <w:bottom w:val="single" w:sz="4" w:space="0" w:color="auto"/>
              <w:right w:val="single" w:sz="4" w:space="0" w:color="auto"/>
            </w:tcBorders>
            <w:shd w:val="clear" w:color="auto" w:fill="DCE6F1"/>
            <w:vAlign w:val="center"/>
            <w:hideMark/>
          </w:tcPr>
          <w:p w14:paraId="644E29C2" w14:textId="77777777" w:rsidR="00E15393" w:rsidRDefault="00E15393" w:rsidP="00E15393">
            <w:pPr>
              <w:spacing w:after="0" w:line="240" w:lineRule="auto"/>
              <w:jc w:val="center"/>
              <w:rPr>
                <w:rFonts w:ascii="Calibri" w:eastAsia="Times New Roman" w:hAnsi="Calibri" w:cs="Calibri"/>
                <w:color w:val="000000"/>
                <w:sz w:val="18"/>
                <w:szCs w:val="18"/>
                <w:lang w:bidi="he-IL"/>
              </w:rPr>
            </w:pPr>
            <w:r>
              <w:rPr>
                <w:rFonts w:ascii="Calibri" w:eastAsia="Times New Roman" w:hAnsi="Calibri" w:cs="Calibri"/>
                <w:color w:val="000000"/>
                <w:sz w:val="18"/>
                <w:szCs w:val="18"/>
                <w:lang w:bidi="he-IL"/>
              </w:rPr>
              <w:t>77.0 ±8.5</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5A4D211" w14:textId="77777777" w:rsidR="00E15393" w:rsidRDefault="00E15393" w:rsidP="00E15393">
            <w:pPr>
              <w:spacing w:after="0" w:line="240" w:lineRule="auto"/>
              <w:jc w:val="center"/>
              <w:rPr>
                <w:rFonts w:ascii="Calibri" w:eastAsia="Times New Roman" w:hAnsi="Calibri" w:cs="Calibri"/>
                <w:color w:val="000000"/>
                <w:sz w:val="18"/>
                <w:szCs w:val="18"/>
                <w:lang w:bidi="he-IL"/>
              </w:rPr>
            </w:pPr>
            <w:r>
              <w:rPr>
                <w:rFonts w:ascii="Calibri" w:eastAsia="Times New Roman" w:hAnsi="Calibri" w:cs="Calibri"/>
                <w:color w:val="000000"/>
                <w:sz w:val="18"/>
                <w:szCs w:val="18"/>
                <w:lang w:bidi="he-IL"/>
              </w:rPr>
              <w:t>51.4 ±7.2</w:t>
            </w:r>
          </w:p>
        </w:tc>
        <w:tc>
          <w:tcPr>
            <w:tcW w:w="1000" w:type="dxa"/>
            <w:tcBorders>
              <w:top w:val="single" w:sz="4" w:space="0" w:color="auto"/>
              <w:left w:val="single" w:sz="4" w:space="0" w:color="auto"/>
              <w:bottom w:val="single" w:sz="4" w:space="0" w:color="auto"/>
              <w:right w:val="single" w:sz="4" w:space="0" w:color="auto"/>
            </w:tcBorders>
            <w:noWrap/>
            <w:vAlign w:val="center"/>
            <w:hideMark/>
          </w:tcPr>
          <w:p w14:paraId="3F1BA0CE" w14:textId="77777777" w:rsidR="00E15393" w:rsidRDefault="00E15393" w:rsidP="00E15393">
            <w:pPr>
              <w:spacing w:after="0" w:line="240" w:lineRule="auto"/>
              <w:jc w:val="center"/>
              <w:rPr>
                <w:rFonts w:ascii="Calibri" w:eastAsia="Times New Roman" w:hAnsi="Calibri" w:cs="Calibri"/>
                <w:color w:val="000000"/>
                <w:sz w:val="18"/>
                <w:szCs w:val="18"/>
                <w:lang w:bidi="he-IL"/>
              </w:rPr>
            </w:pPr>
            <w:r>
              <w:rPr>
                <w:rFonts w:ascii="Calibri" w:eastAsia="Times New Roman" w:hAnsi="Calibri" w:cs="Calibri"/>
                <w:color w:val="000000"/>
                <w:sz w:val="18"/>
                <w:szCs w:val="18"/>
                <w:lang w:bidi="he-IL"/>
              </w:rPr>
              <w:t>&lt;0.001</w:t>
            </w:r>
          </w:p>
        </w:tc>
      </w:tr>
      <w:tr w:rsidR="00E15393" w14:paraId="14099FB6" w14:textId="77777777" w:rsidTr="003A503B">
        <w:trPr>
          <w:trHeight w:val="283"/>
        </w:trPr>
        <w:tc>
          <w:tcPr>
            <w:tcW w:w="3168" w:type="dxa"/>
            <w:tcBorders>
              <w:top w:val="single" w:sz="4" w:space="0" w:color="auto"/>
              <w:left w:val="single" w:sz="4" w:space="0" w:color="auto"/>
              <w:bottom w:val="single" w:sz="4" w:space="0" w:color="auto"/>
              <w:right w:val="single" w:sz="4" w:space="0" w:color="auto"/>
            </w:tcBorders>
            <w:vAlign w:val="center"/>
            <w:hideMark/>
          </w:tcPr>
          <w:p w14:paraId="56B19DFB" w14:textId="17FAA664" w:rsidR="00E15393" w:rsidRDefault="00E15393" w:rsidP="00E15393">
            <w:pPr>
              <w:spacing w:after="0" w:line="240" w:lineRule="auto"/>
              <w:rPr>
                <w:rFonts w:ascii="Calibri" w:eastAsia="Times New Roman" w:hAnsi="Calibri" w:cs="Calibri"/>
                <w:b/>
                <w:bCs/>
                <w:color w:val="000000"/>
                <w:sz w:val="18"/>
                <w:szCs w:val="18"/>
                <w:lang w:bidi="he-IL"/>
              </w:rPr>
            </w:pPr>
            <w:r>
              <w:rPr>
                <w:rFonts w:ascii="Calibri" w:eastAsia="Times New Roman" w:hAnsi="Calibri" w:cs="Calibri"/>
                <w:b/>
                <w:bCs/>
                <w:color w:val="000000"/>
                <w:sz w:val="18"/>
                <w:szCs w:val="18"/>
                <w:lang w:bidi="he-IL"/>
              </w:rPr>
              <w:t>UACR group- n (%)</w:t>
            </w:r>
          </w:p>
        </w:tc>
        <w:tc>
          <w:tcPr>
            <w:tcW w:w="1618"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tcPr>
          <w:p w14:paraId="7706821E" w14:textId="77777777" w:rsidR="00E15393" w:rsidRDefault="00E15393" w:rsidP="00E15393">
            <w:pPr>
              <w:spacing w:after="0" w:line="240" w:lineRule="auto"/>
              <w:jc w:val="center"/>
              <w:rPr>
                <w:rFonts w:ascii="Calibri" w:eastAsia="Times New Roman" w:hAnsi="Calibri" w:cs="Calibri"/>
                <w:color w:val="000000"/>
                <w:sz w:val="18"/>
                <w:szCs w:val="18"/>
                <w:lang w:bidi="he-IL"/>
              </w:rPr>
            </w:pPr>
          </w:p>
        </w:tc>
        <w:tc>
          <w:tcPr>
            <w:tcW w:w="1701" w:type="dxa"/>
            <w:tcBorders>
              <w:top w:val="single" w:sz="4" w:space="0" w:color="auto"/>
              <w:left w:val="single" w:sz="4" w:space="0" w:color="auto"/>
              <w:bottom w:val="single" w:sz="4" w:space="0" w:color="auto"/>
              <w:right w:val="single" w:sz="4" w:space="0" w:color="auto"/>
            </w:tcBorders>
            <w:shd w:val="clear" w:color="auto" w:fill="DCE6F1"/>
            <w:vAlign w:val="center"/>
            <w:hideMark/>
          </w:tcPr>
          <w:p w14:paraId="4FBAB43B" w14:textId="77777777" w:rsidR="00E15393" w:rsidRDefault="00E15393" w:rsidP="00E15393">
            <w:pPr>
              <w:rPr>
                <w:rFonts w:ascii="Calibri" w:eastAsia="Times New Roman" w:hAnsi="Calibri" w:cs="Calibri"/>
                <w:color w:val="000000"/>
                <w:sz w:val="18"/>
                <w:szCs w:val="18"/>
                <w:lang w:bidi="he-IL"/>
              </w:rPr>
            </w:pPr>
          </w:p>
        </w:tc>
        <w:tc>
          <w:tcPr>
            <w:tcW w:w="1843" w:type="dxa"/>
            <w:tcBorders>
              <w:top w:val="single" w:sz="4" w:space="0" w:color="auto"/>
              <w:left w:val="single" w:sz="4" w:space="0" w:color="auto"/>
              <w:bottom w:val="single" w:sz="4" w:space="0" w:color="auto"/>
              <w:right w:val="single" w:sz="4" w:space="0" w:color="auto"/>
            </w:tcBorders>
            <w:vAlign w:val="center"/>
          </w:tcPr>
          <w:p w14:paraId="48A114AC" w14:textId="77777777" w:rsidR="00E15393" w:rsidRDefault="00E15393" w:rsidP="00E15393">
            <w:pPr>
              <w:spacing w:after="0" w:line="240" w:lineRule="auto"/>
              <w:jc w:val="center"/>
              <w:rPr>
                <w:rFonts w:ascii="Calibri" w:eastAsia="Times New Roman" w:hAnsi="Calibri" w:cs="Calibri"/>
                <w:color w:val="000000"/>
                <w:sz w:val="18"/>
                <w:szCs w:val="18"/>
                <w:lang w:bidi="he-IL"/>
              </w:rPr>
            </w:pPr>
          </w:p>
        </w:tc>
        <w:tc>
          <w:tcPr>
            <w:tcW w:w="1000" w:type="dxa"/>
            <w:tcBorders>
              <w:top w:val="single" w:sz="4" w:space="0" w:color="auto"/>
              <w:left w:val="single" w:sz="4" w:space="0" w:color="auto"/>
              <w:bottom w:val="single" w:sz="4" w:space="0" w:color="auto"/>
              <w:right w:val="single" w:sz="4" w:space="0" w:color="auto"/>
            </w:tcBorders>
            <w:noWrap/>
            <w:vAlign w:val="center"/>
            <w:hideMark/>
          </w:tcPr>
          <w:p w14:paraId="66A2F122" w14:textId="77777777" w:rsidR="00E15393" w:rsidRDefault="00E15393" w:rsidP="00E15393">
            <w:pPr>
              <w:rPr>
                <w:rFonts w:ascii="Calibri" w:eastAsia="Times New Roman" w:hAnsi="Calibri" w:cs="Calibri"/>
                <w:color w:val="000000"/>
                <w:sz w:val="18"/>
                <w:szCs w:val="18"/>
                <w:lang w:bidi="he-IL"/>
              </w:rPr>
            </w:pPr>
          </w:p>
        </w:tc>
      </w:tr>
      <w:tr w:rsidR="00E15393" w14:paraId="21BB0711" w14:textId="77777777" w:rsidTr="003A503B">
        <w:trPr>
          <w:trHeight w:val="283"/>
        </w:trPr>
        <w:tc>
          <w:tcPr>
            <w:tcW w:w="3168" w:type="dxa"/>
            <w:tcBorders>
              <w:top w:val="single" w:sz="4" w:space="0" w:color="auto"/>
              <w:left w:val="single" w:sz="4" w:space="0" w:color="auto"/>
              <w:bottom w:val="single" w:sz="4" w:space="0" w:color="auto"/>
              <w:right w:val="single" w:sz="4" w:space="0" w:color="auto"/>
            </w:tcBorders>
            <w:vAlign w:val="center"/>
            <w:hideMark/>
          </w:tcPr>
          <w:p w14:paraId="5040D458" w14:textId="77777777" w:rsidR="00E15393" w:rsidRDefault="00E15393" w:rsidP="00E15393">
            <w:pPr>
              <w:spacing w:after="0" w:line="240" w:lineRule="auto"/>
              <w:rPr>
                <w:rFonts w:ascii="Calibri" w:eastAsia="Times New Roman" w:hAnsi="Calibri" w:cs="Calibri"/>
                <w:b/>
                <w:bCs/>
                <w:color w:val="000000"/>
                <w:sz w:val="18"/>
                <w:szCs w:val="18"/>
                <w:lang w:bidi="he-IL"/>
              </w:rPr>
            </w:pPr>
            <w:r>
              <w:rPr>
                <w:rFonts w:ascii="Calibri" w:eastAsia="Times New Roman" w:hAnsi="Calibri" w:cs="Calibri"/>
                <w:b/>
                <w:bCs/>
                <w:color w:val="000000"/>
                <w:sz w:val="18"/>
                <w:szCs w:val="18"/>
                <w:lang w:bidi="he-IL"/>
              </w:rPr>
              <w:t xml:space="preserve">  &lt;30 mg/g</w:t>
            </w:r>
          </w:p>
        </w:tc>
        <w:tc>
          <w:tcPr>
            <w:tcW w:w="1618"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hideMark/>
          </w:tcPr>
          <w:p w14:paraId="621F1BE4" w14:textId="77777777" w:rsidR="00E15393" w:rsidRDefault="00E15393" w:rsidP="00E15393">
            <w:pPr>
              <w:spacing w:after="0" w:line="240" w:lineRule="auto"/>
              <w:jc w:val="center"/>
              <w:rPr>
                <w:rFonts w:ascii="Calibri" w:eastAsia="Times New Roman" w:hAnsi="Calibri" w:cs="Calibri"/>
                <w:color w:val="000000"/>
                <w:sz w:val="18"/>
                <w:szCs w:val="18"/>
                <w:lang w:bidi="he-IL"/>
              </w:rPr>
            </w:pPr>
            <w:r>
              <w:rPr>
                <w:rFonts w:ascii="Calibri" w:eastAsia="Times New Roman" w:hAnsi="Calibri" w:cs="Calibri"/>
                <w:color w:val="000000"/>
                <w:sz w:val="18"/>
                <w:szCs w:val="18"/>
                <w:lang w:bidi="he-IL"/>
              </w:rPr>
              <w:t>5691 (70.9)</w:t>
            </w:r>
          </w:p>
        </w:tc>
        <w:tc>
          <w:tcPr>
            <w:tcW w:w="1701" w:type="dxa"/>
            <w:tcBorders>
              <w:top w:val="single" w:sz="4" w:space="0" w:color="auto"/>
              <w:left w:val="single" w:sz="4" w:space="0" w:color="auto"/>
              <w:bottom w:val="single" w:sz="4" w:space="0" w:color="auto"/>
              <w:right w:val="single" w:sz="4" w:space="0" w:color="auto"/>
            </w:tcBorders>
            <w:shd w:val="clear" w:color="auto" w:fill="DCE6F1"/>
            <w:vAlign w:val="center"/>
            <w:hideMark/>
          </w:tcPr>
          <w:p w14:paraId="5E7DF78E" w14:textId="77777777" w:rsidR="00E15393" w:rsidRDefault="00E15393" w:rsidP="00E15393">
            <w:pPr>
              <w:spacing w:after="0" w:line="240" w:lineRule="auto"/>
              <w:jc w:val="center"/>
              <w:rPr>
                <w:rFonts w:ascii="Calibri" w:eastAsia="Times New Roman" w:hAnsi="Calibri" w:cs="Calibri"/>
                <w:color w:val="000000"/>
                <w:sz w:val="18"/>
                <w:szCs w:val="18"/>
                <w:lang w:bidi="he-IL"/>
              </w:rPr>
            </w:pPr>
            <w:r>
              <w:rPr>
                <w:rFonts w:ascii="Calibri" w:eastAsia="Times New Roman" w:hAnsi="Calibri" w:cs="Calibri"/>
                <w:color w:val="000000"/>
                <w:sz w:val="18"/>
                <w:szCs w:val="18"/>
                <w:lang w:bidi="he-IL"/>
              </w:rPr>
              <w:t>5267 (69.5)</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18EFAD9" w14:textId="77777777" w:rsidR="00E15393" w:rsidRDefault="00E15393" w:rsidP="00E15393">
            <w:pPr>
              <w:spacing w:after="0" w:line="240" w:lineRule="auto"/>
              <w:jc w:val="center"/>
              <w:rPr>
                <w:rFonts w:ascii="Calibri" w:eastAsia="Times New Roman" w:hAnsi="Calibri" w:cs="Calibri"/>
                <w:color w:val="000000"/>
                <w:sz w:val="18"/>
                <w:szCs w:val="18"/>
                <w:lang w:bidi="he-IL"/>
              </w:rPr>
            </w:pPr>
            <w:r>
              <w:rPr>
                <w:rFonts w:ascii="Calibri" w:eastAsia="Times New Roman" w:hAnsi="Calibri" w:cs="Calibri"/>
                <w:color w:val="000000"/>
                <w:sz w:val="18"/>
                <w:szCs w:val="18"/>
                <w:lang w:bidi="he-IL"/>
              </w:rPr>
              <w:t>686 (55.6)</w:t>
            </w:r>
          </w:p>
        </w:tc>
        <w:tc>
          <w:tcPr>
            <w:tcW w:w="1000" w:type="dxa"/>
            <w:tcBorders>
              <w:top w:val="single" w:sz="4" w:space="0" w:color="auto"/>
              <w:left w:val="single" w:sz="4" w:space="0" w:color="auto"/>
              <w:bottom w:val="single" w:sz="4" w:space="0" w:color="auto"/>
              <w:right w:val="single" w:sz="4" w:space="0" w:color="auto"/>
            </w:tcBorders>
            <w:noWrap/>
            <w:vAlign w:val="center"/>
            <w:hideMark/>
          </w:tcPr>
          <w:p w14:paraId="053A1EC4" w14:textId="77777777" w:rsidR="00E15393" w:rsidRDefault="00E15393" w:rsidP="00E15393">
            <w:pPr>
              <w:spacing w:after="0" w:line="240" w:lineRule="auto"/>
              <w:jc w:val="center"/>
              <w:rPr>
                <w:rFonts w:ascii="Calibri" w:eastAsia="Times New Roman" w:hAnsi="Calibri" w:cs="Calibri"/>
                <w:color w:val="000000"/>
                <w:sz w:val="18"/>
                <w:szCs w:val="18"/>
                <w:lang w:bidi="he-IL"/>
              </w:rPr>
            </w:pPr>
            <w:r>
              <w:rPr>
                <w:rFonts w:ascii="Calibri" w:eastAsia="Times New Roman" w:hAnsi="Calibri" w:cs="Calibri"/>
                <w:color w:val="000000"/>
                <w:sz w:val="18"/>
                <w:szCs w:val="18"/>
                <w:lang w:bidi="he-IL"/>
              </w:rPr>
              <w:t>&lt;0.001</w:t>
            </w:r>
          </w:p>
        </w:tc>
      </w:tr>
      <w:tr w:rsidR="00E15393" w14:paraId="0B18CEE6" w14:textId="77777777" w:rsidTr="003A503B">
        <w:trPr>
          <w:trHeight w:val="283"/>
        </w:trPr>
        <w:tc>
          <w:tcPr>
            <w:tcW w:w="3168" w:type="dxa"/>
            <w:tcBorders>
              <w:top w:val="single" w:sz="4" w:space="0" w:color="auto"/>
              <w:left w:val="single" w:sz="4" w:space="0" w:color="auto"/>
              <w:bottom w:val="single" w:sz="4" w:space="0" w:color="auto"/>
              <w:right w:val="single" w:sz="4" w:space="0" w:color="auto"/>
            </w:tcBorders>
            <w:vAlign w:val="center"/>
            <w:hideMark/>
          </w:tcPr>
          <w:p w14:paraId="1F0AE40E" w14:textId="77777777" w:rsidR="00E15393" w:rsidRDefault="00E15393" w:rsidP="00E15393">
            <w:pPr>
              <w:spacing w:after="0" w:line="240" w:lineRule="auto"/>
              <w:rPr>
                <w:rFonts w:ascii="Calibri" w:eastAsia="Times New Roman" w:hAnsi="Calibri" w:cs="Calibri"/>
                <w:b/>
                <w:bCs/>
                <w:color w:val="000000"/>
                <w:sz w:val="18"/>
                <w:szCs w:val="18"/>
                <w:lang w:bidi="he-IL"/>
              </w:rPr>
            </w:pPr>
            <w:r>
              <w:rPr>
                <w:rFonts w:ascii="Calibri" w:eastAsia="Times New Roman" w:hAnsi="Calibri" w:cs="Calibri"/>
                <w:b/>
                <w:bCs/>
                <w:color w:val="000000"/>
                <w:sz w:val="18"/>
                <w:szCs w:val="18"/>
                <w:lang w:bidi="he-IL"/>
              </w:rPr>
              <w:t xml:space="preserve">  30 to 300 mg/g</w:t>
            </w:r>
          </w:p>
        </w:tc>
        <w:tc>
          <w:tcPr>
            <w:tcW w:w="1618"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hideMark/>
          </w:tcPr>
          <w:p w14:paraId="7FDBAE7F" w14:textId="77777777" w:rsidR="00E15393" w:rsidRDefault="00E15393" w:rsidP="00E15393">
            <w:pPr>
              <w:spacing w:after="0" w:line="240" w:lineRule="auto"/>
              <w:jc w:val="center"/>
              <w:rPr>
                <w:rFonts w:ascii="Calibri" w:eastAsia="Times New Roman" w:hAnsi="Calibri" w:cs="Calibri"/>
                <w:color w:val="000000"/>
                <w:sz w:val="18"/>
                <w:szCs w:val="18"/>
                <w:lang w:bidi="he-IL"/>
              </w:rPr>
            </w:pPr>
            <w:r>
              <w:rPr>
                <w:rFonts w:ascii="Calibri" w:eastAsia="Times New Roman" w:hAnsi="Calibri" w:cs="Calibri"/>
                <w:color w:val="000000"/>
                <w:sz w:val="18"/>
                <w:szCs w:val="18"/>
                <w:lang w:bidi="he-IL"/>
              </w:rPr>
              <w:t>1887 (23.5)</w:t>
            </w:r>
          </w:p>
        </w:tc>
        <w:tc>
          <w:tcPr>
            <w:tcW w:w="1701" w:type="dxa"/>
            <w:tcBorders>
              <w:top w:val="single" w:sz="4" w:space="0" w:color="auto"/>
              <w:left w:val="single" w:sz="4" w:space="0" w:color="auto"/>
              <w:bottom w:val="single" w:sz="4" w:space="0" w:color="auto"/>
              <w:right w:val="single" w:sz="4" w:space="0" w:color="auto"/>
            </w:tcBorders>
            <w:shd w:val="clear" w:color="auto" w:fill="DCE6F1"/>
            <w:vAlign w:val="center"/>
            <w:hideMark/>
          </w:tcPr>
          <w:p w14:paraId="29C22DEE" w14:textId="77777777" w:rsidR="00E15393" w:rsidRDefault="00E15393" w:rsidP="00E15393">
            <w:pPr>
              <w:spacing w:after="0" w:line="240" w:lineRule="auto"/>
              <w:jc w:val="center"/>
              <w:rPr>
                <w:rFonts w:ascii="Calibri" w:eastAsia="Times New Roman" w:hAnsi="Calibri" w:cs="Calibri"/>
                <w:color w:val="000000"/>
                <w:sz w:val="18"/>
                <w:szCs w:val="18"/>
                <w:lang w:bidi="he-IL"/>
              </w:rPr>
            </w:pPr>
            <w:r>
              <w:rPr>
                <w:rFonts w:ascii="Calibri" w:eastAsia="Times New Roman" w:hAnsi="Calibri" w:cs="Calibri"/>
                <w:color w:val="000000"/>
                <w:sz w:val="18"/>
                <w:szCs w:val="18"/>
                <w:lang w:bidi="he-IL"/>
              </w:rPr>
              <w:t>1761 (23.2)</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968DD9A" w14:textId="77777777" w:rsidR="00E15393" w:rsidRDefault="00E15393" w:rsidP="00E15393">
            <w:pPr>
              <w:spacing w:after="0" w:line="240" w:lineRule="auto"/>
              <w:jc w:val="center"/>
              <w:rPr>
                <w:rFonts w:ascii="Calibri" w:eastAsia="Times New Roman" w:hAnsi="Calibri" w:cs="Calibri"/>
                <w:color w:val="000000"/>
                <w:sz w:val="18"/>
                <w:szCs w:val="18"/>
                <w:lang w:bidi="he-IL"/>
              </w:rPr>
            </w:pPr>
            <w:r>
              <w:rPr>
                <w:rFonts w:ascii="Calibri" w:eastAsia="Times New Roman" w:hAnsi="Calibri" w:cs="Calibri"/>
                <w:color w:val="000000"/>
                <w:sz w:val="18"/>
                <w:szCs w:val="18"/>
                <w:lang w:bidi="he-IL"/>
              </w:rPr>
              <w:t>381 (30.9)</w:t>
            </w:r>
          </w:p>
        </w:tc>
        <w:tc>
          <w:tcPr>
            <w:tcW w:w="1000" w:type="dxa"/>
            <w:tcBorders>
              <w:top w:val="single" w:sz="4" w:space="0" w:color="auto"/>
              <w:left w:val="single" w:sz="4" w:space="0" w:color="auto"/>
              <w:bottom w:val="single" w:sz="4" w:space="0" w:color="auto"/>
              <w:right w:val="single" w:sz="4" w:space="0" w:color="auto"/>
            </w:tcBorders>
            <w:noWrap/>
            <w:vAlign w:val="center"/>
            <w:hideMark/>
          </w:tcPr>
          <w:p w14:paraId="670A2420" w14:textId="77777777" w:rsidR="00E15393" w:rsidRDefault="00E15393" w:rsidP="00E15393">
            <w:pPr>
              <w:rPr>
                <w:rFonts w:ascii="Calibri" w:eastAsia="Times New Roman" w:hAnsi="Calibri" w:cs="Calibri"/>
                <w:color w:val="000000"/>
                <w:sz w:val="18"/>
                <w:szCs w:val="18"/>
                <w:lang w:bidi="he-IL"/>
              </w:rPr>
            </w:pPr>
          </w:p>
        </w:tc>
      </w:tr>
      <w:tr w:rsidR="00E15393" w14:paraId="07F260EA" w14:textId="77777777" w:rsidTr="003A503B">
        <w:trPr>
          <w:trHeight w:val="283"/>
        </w:trPr>
        <w:tc>
          <w:tcPr>
            <w:tcW w:w="3168" w:type="dxa"/>
            <w:tcBorders>
              <w:top w:val="single" w:sz="4" w:space="0" w:color="auto"/>
              <w:left w:val="single" w:sz="4" w:space="0" w:color="auto"/>
              <w:bottom w:val="single" w:sz="4" w:space="0" w:color="auto"/>
              <w:right w:val="single" w:sz="4" w:space="0" w:color="auto"/>
            </w:tcBorders>
            <w:vAlign w:val="center"/>
            <w:hideMark/>
          </w:tcPr>
          <w:p w14:paraId="51C5F6EA" w14:textId="77777777" w:rsidR="00E15393" w:rsidRDefault="00E15393" w:rsidP="00E15393">
            <w:pPr>
              <w:spacing w:after="0" w:line="240" w:lineRule="auto"/>
              <w:rPr>
                <w:rFonts w:ascii="Calibri" w:eastAsia="Times New Roman" w:hAnsi="Calibri" w:cs="Calibri"/>
                <w:b/>
                <w:bCs/>
                <w:color w:val="000000"/>
                <w:sz w:val="18"/>
                <w:szCs w:val="18"/>
                <w:lang w:bidi="he-IL"/>
              </w:rPr>
            </w:pPr>
            <w:r>
              <w:rPr>
                <w:rFonts w:ascii="Calibri" w:eastAsia="Times New Roman" w:hAnsi="Calibri" w:cs="Calibri"/>
                <w:b/>
                <w:bCs/>
                <w:color w:val="000000"/>
                <w:sz w:val="18"/>
                <w:szCs w:val="18"/>
                <w:lang w:bidi="he-IL"/>
              </w:rPr>
              <w:t xml:space="preserve">  &gt; 300 mg/g</w:t>
            </w:r>
          </w:p>
        </w:tc>
        <w:tc>
          <w:tcPr>
            <w:tcW w:w="1618"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hideMark/>
          </w:tcPr>
          <w:p w14:paraId="329E530A" w14:textId="77777777" w:rsidR="00E15393" w:rsidRDefault="00E15393" w:rsidP="00E15393">
            <w:pPr>
              <w:spacing w:after="0" w:line="240" w:lineRule="auto"/>
              <w:jc w:val="center"/>
              <w:rPr>
                <w:rFonts w:ascii="Calibri" w:eastAsia="Times New Roman" w:hAnsi="Calibri" w:cs="Calibri"/>
                <w:color w:val="000000"/>
                <w:sz w:val="18"/>
                <w:szCs w:val="18"/>
                <w:lang w:bidi="he-IL"/>
              </w:rPr>
            </w:pPr>
            <w:r>
              <w:rPr>
                <w:rFonts w:ascii="Calibri" w:eastAsia="Times New Roman" w:hAnsi="Calibri" w:cs="Calibri"/>
                <w:color w:val="000000"/>
                <w:sz w:val="18"/>
                <w:szCs w:val="18"/>
                <w:lang w:bidi="he-IL"/>
              </w:rPr>
              <w:t>448 (5.6)</w:t>
            </w:r>
          </w:p>
        </w:tc>
        <w:tc>
          <w:tcPr>
            <w:tcW w:w="1701" w:type="dxa"/>
            <w:tcBorders>
              <w:top w:val="single" w:sz="4" w:space="0" w:color="auto"/>
              <w:left w:val="single" w:sz="4" w:space="0" w:color="auto"/>
              <w:bottom w:val="single" w:sz="4" w:space="0" w:color="auto"/>
              <w:right w:val="single" w:sz="4" w:space="0" w:color="auto"/>
            </w:tcBorders>
            <w:shd w:val="clear" w:color="auto" w:fill="DCE6F1"/>
            <w:vAlign w:val="center"/>
            <w:hideMark/>
          </w:tcPr>
          <w:p w14:paraId="7EE46CE9" w14:textId="77777777" w:rsidR="00E15393" w:rsidRDefault="00E15393" w:rsidP="00E15393">
            <w:pPr>
              <w:spacing w:after="0" w:line="240" w:lineRule="auto"/>
              <w:jc w:val="center"/>
              <w:rPr>
                <w:rFonts w:ascii="Calibri" w:eastAsia="Times New Roman" w:hAnsi="Calibri" w:cs="Calibri"/>
                <w:color w:val="000000"/>
                <w:sz w:val="18"/>
                <w:szCs w:val="18"/>
                <w:lang w:bidi="he-IL"/>
              </w:rPr>
            </w:pPr>
            <w:r>
              <w:rPr>
                <w:rFonts w:ascii="Calibri" w:eastAsia="Times New Roman" w:hAnsi="Calibri" w:cs="Calibri"/>
                <w:color w:val="000000"/>
                <w:sz w:val="18"/>
                <w:szCs w:val="18"/>
                <w:lang w:bidi="he-IL"/>
              </w:rPr>
              <w:t>554 (7.3)</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C333563" w14:textId="77777777" w:rsidR="00E15393" w:rsidRDefault="00E15393" w:rsidP="00E15393">
            <w:pPr>
              <w:spacing w:after="0" w:line="240" w:lineRule="auto"/>
              <w:jc w:val="center"/>
              <w:rPr>
                <w:rFonts w:ascii="Calibri" w:eastAsia="Times New Roman" w:hAnsi="Calibri" w:cs="Calibri"/>
                <w:color w:val="000000"/>
                <w:sz w:val="18"/>
                <w:szCs w:val="18"/>
                <w:lang w:bidi="he-IL"/>
              </w:rPr>
            </w:pPr>
            <w:r>
              <w:rPr>
                <w:rFonts w:ascii="Calibri" w:eastAsia="Times New Roman" w:hAnsi="Calibri" w:cs="Calibri"/>
                <w:color w:val="000000"/>
                <w:sz w:val="18"/>
                <w:szCs w:val="18"/>
                <w:lang w:bidi="he-IL"/>
              </w:rPr>
              <w:t>167 (13.5)</w:t>
            </w:r>
          </w:p>
        </w:tc>
        <w:tc>
          <w:tcPr>
            <w:tcW w:w="1000" w:type="dxa"/>
            <w:tcBorders>
              <w:top w:val="single" w:sz="4" w:space="0" w:color="auto"/>
              <w:left w:val="single" w:sz="4" w:space="0" w:color="auto"/>
              <w:bottom w:val="single" w:sz="4" w:space="0" w:color="auto"/>
              <w:right w:val="single" w:sz="4" w:space="0" w:color="auto"/>
            </w:tcBorders>
            <w:noWrap/>
            <w:vAlign w:val="center"/>
            <w:hideMark/>
          </w:tcPr>
          <w:p w14:paraId="7393CB7D" w14:textId="77777777" w:rsidR="00E15393" w:rsidRDefault="00E15393" w:rsidP="00E15393">
            <w:pPr>
              <w:rPr>
                <w:rFonts w:ascii="Calibri" w:eastAsia="Times New Roman" w:hAnsi="Calibri" w:cs="Calibri"/>
                <w:color w:val="000000"/>
                <w:sz w:val="18"/>
                <w:szCs w:val="18"/>
                <w:lang w:bidi="he-IL"/>
              </w:rPr>
            </w:pPr>
          </w:p>
        </w:tc>
      </w:tr>
      <w:tr w:rsidR="00E15393" w14:paraId="63827CBE" w14:textId="77777777" w:rsidTr="003A503B">
        <w:trPr>
          <w:trHeight w:val="283"/>
        </w:trPr>
        <w:tc>
          <w:tcPr>
            <w:tcW w:w="3168" w:type="dxa"/>
            <w:tcBorders>
              <w:top w:val="single" w:sz="4" w:space="0" w:color="auto"/>
              <w:left w:val="single" w:sz="4" w:space="0" w:color="auto"/>
              <w:bottom w:val="single" w:sz="4" w:space="0" w:color="auto"/>
              <w:right w:val="single" w:sz="4" w:space="0" w:color="auto"/>
            </w:tcBorders>
            <w:vAlign w:val="center"/>
            <w:hideMark/>
          </w:tcPr>
          <w:p w14:paraId="787CB710" w14:textId="77777777" w:rsidR="00E15393" w:rsidRDefault="00E15393" w:rsidP="00E15393">
            <w:pPr>
              <w:spacing w:after="0" w:line="240" w:lineRule="auto"/>
              <w:rPr>
                <w:rFonts w:ascii="Calibri" w:eastAsia="Times New Roman" w:hAnsi="Calibri" w:cs="Calibri"/>
                <w:b/>
                <w:bCs/>
                <w:color w:val="000000"/>
                <w:sz w:val="18"/>
                <w:szCs w:val="18"/>
                <w:lang w:bidi="he-IL"/>
              </w:rPr>
            </w:pPr>
            <w:r>
              <w:rPr>
                <w:rFonts w:ascii="Calibri" w:eastAsia="Times New Roman" w:hAnsi="Calibri" w:cs="Calibri"/>
                <w:b/>
                <w:bCs/>
                <w:color w:val="000000"/>
                <w:sz w:val="18"/>
                <w:szCs w:val="18"/>
                <w:lang w:bidi="he-IL"/>
              </w:rPr>
              <w:t>Systolic BP (mmHg)- mean ±SD</w:t>
            </w:r>
          </w:p>
        </w:tc>
        <w:tc>
          <w:tcPr>
            <w:tcW w:w="1618"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hideMark/>
          </w:tcPr>
          <w:p w14:paraId="6387DAA5" w14:textId="77777777" w:rsidR="00E15393" w:rsidRDefault="00E15393" w:rsidP="00E15393">
            <w:pPr>
              <w:spacing w:after="0" w:line="240" w:lineRule="auto"/>
              <w:jc w:val="center"/>
              <w:rPr>
                <w:rFonts w:ascii="Calibri" w:eastAsia="Times New Roman" w:hAnsi="Calibri" w:cs="Calibri"/>
                <w:color w:val="000000"/>
                <w:sz w:val="18"/>
                <w:szCs w:val="18"/>
                <w:lang w:bidi="he-IL"/>
              </w:rPr>
            </w:pPr>
            <w:r>
              <w:rPr>
                <w:rFonts w:ascii="Calibri" w:eastAsia="Times New Roman" w:hAnsi="Calibri" w:cs="Calibri"/>
                <w:color w:val="000000"/>
                <w:sz w:val="18"/>
                <w:szCs w:val="18"/>
                <w:lang w:bidi="he-IL"/>
              </w:rPr>
              <w:t>134.9 ±15.0</w:t>
            </w:r>
          </w:p>
        </w:tc>
        <w:tc>
          <w:tcPr>
            <w:tcW w:w="1701" w:type="dxa"/>
            <w:tcBorders>
              <w:top w:val="single" w:sz="4" w:space="0" w:color="auto"/>
              <w:left w:val="single" w:sz="4" w:space="0" w:color="auto"/>
              <w:bottom w:val="single" w:sz="4" w:space="0" w:color="auto"/>
              <w:right w:val="single" w:sz="4" w:space="0" w:color="auto"/>
            </w:tcBorders>
            <w:shd w:val="clear" w:color="auto" w:fill="DCE6F1"/>
            <w:vAlign w:val="center"/>
            <w:hideMark/>
          </w:tcPr>
          <w:p w14:paraId="6DDBD344" w14:textId="77777777" w:rsidR="00E15393" w:rsidRDefault="00E15393" w:rsidP="00E15393">
            <w:pPr>
              <w:spacing w:after="0" w:line="240" w:lineRule="auto"/>
              <w:jc w:val="center"/>
              <w:rPr>
                <w:rFonts w:ascii="Calibri" w:eastAsia="Times New Roman" w:hAnsi="Calibri" w:cs="Calibri"/>
                <w:color w:val="000000"/>
                <w:sz w:val="18"/>
                <w:szCs w:val="18"/>
                <w:lang w:bidi="he-IL"/>
              </w:rPr>
            </w:pPr>
            <w:r>
              <w:rPr>
                <w:rFonts w:ascii="Calibri" w:eastAsia="Times New Roman" w:hAnsi="Calibri" w:cs="Calibri"/>
                <w:color w:val="000000"/>
                <w:sz w:val="18"/>
                <w:szCs w:val="18"/>
                <w:lang w:bidi="he-IL"/>
              </w:rPr>
              <w:t>135.3 ±15.6</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544C40D" w14:textId="77777777" w:rsidR="00E15393" w:rsidRDefault="00E15393" w:rsidP="00E15393">
            <w:pPr>
              <w:spacing w:after="0" w:line="240" w:lineRule="auto"/>
              <w:jc w:val="center"/>
              <w:rPr>
                <w:rFonts w:ascii="Calibri" w:eastAsia="Times New Roman" w:hAnsi="Calibri" w:cs="Calibri"/>
                <w:color w:val="000000"/>
                <w:sz w:val="18"/>
                <w:szCs w:val="18"/>
                <w:lang w:bidi="he-IL"/>
              </w:rPr>
            </w:pPr>
            <w:r>
              <w:rPr>
                <w:rFonts w:ascii="Calibri" w:eastAsia="Times New Roman" w:hAnsi="Calibri" w:cs="Calibri"/>
                <w:color w:val="000000"/>
                <w:sz w:val="18"/>
                <w:szCs w:val="18"/>
                <w:lang w:bidi="he-IL"/>
              </w:rPr>
              <w:t>133.5 ±16.6</w:t>
            </w:r>
          </w:p>
        </w:tc>
        <w:tc>
          <w:tcPr>
            <w:tcW w:w="1000" w:type="dxa"/>
            <w:tcBorders>
              <w:top w:val="single" w:sz="4" w:space="0" w:color="auto"/>
              <w:left w:val="single" w:sz="4" w:space="0" w:color="auto"/>
              <w:bottom w:val="single" w:sz="4" w:space="0" w:color="auto"/>
              <w:right w:val="single" w:sz="4" w:space="0" w:color="auto"/>
            </w:tcBorders>
            <w:noWrap/>
            <w:vAlign w:val="center"/>
            <w:hideMark/>
          </w:tcPr>
          <w:p w14:paraId="5A21F35F" w14:textId="77777777" w:rsidR="00E15393" w:rsidRDefault="00E15393" w:rsidP="00E15393">
            <w:pPr>
              <w:spacing w:after="0" w:line="240" w:lineRule="auto"/>
              <w:jc w:val="center"/>
              <w:rPr>
                <w:rFonts w:ascii="Calibri" w:eastAsia="Times New Roman" w:hAnsi="Calibri" w:cs="Calibri"/>
                <w:color w:val="000000"/>
                <w:sz w:val="18"/>
                <w:szCs w:val="18"/>
                <w:lang w:bidi="he-IL"/>
              </w:rPr>
            </w:pPr>
            <w:r>
              <w:rPr>
                <w:rFonts w:ascii="Calibri" w:eastAsia="Times New Roman" w:hAnsi="Calibri" w:cs="Calibri"/>
                <w:color w:val="000000"/>
                <w:sz w:val="18"/>
                <w:szCs w:val="18"/>
                <w:lang w:bidi="he-IL"/>
              </w:rPr>
              <w:t>0.001</w:t>
            </w:r>
          </w:p>
        </w:tc>
      </w:tr>
      <w:tr w:rsidR="00E15393" w14:paraId="7A1FC6D3" w14:textId="77777777" w:rsidTr="003A503B">
        <w:trPr>
          <w:trHeight w:val="283"/>
        </w:trPr>
        <w:tc>
          <w:tcPr>
            <w:tcW w:w="3168" w:type="dxa"/>
            <w:tcBorders>
              <w:top w:val="single" w:sz="4" w:space="0" w:color="auto"/>
              <w:left w:val="single" w:sz="4" w:space="0" w:color="auto"/>
              <w:bottom w:val="single" w:sz="4" w:space="0" w:color="auto"/>
              <w:right w:val="single" w:sz="4" w:space="0" w:color="auto"/>
            </w:tcBorders>
            <w:vAlign w:val="center"/>
            <w:hideMark/>
          </w:tcPr>
          <w:p w14:paraId="1FF8812F" w14:textId="77777777" w:rsidR="00E15393" w:rsidRDefault="00E15393" w:rsidP="00E15393">
            <w:pPr>
              <w:spacing w:after="0" w:line="240" w:lineRule="auto"/>
              <w:rPr>
                <w:rFonts w:ascii="Calibri" w:eastAsia="Times New Roman" w:hAnsi="Calibri" w:cs="Calibri"/>
                <w:b/>
                <w:bCs/>
                <w:color w:val="000000"/>
                <w:sz w:val="18"/>
                <w:szCs w:val="18"/>
                <w:lang w:bidi="he-IL"/>
              </w:rPr>
            </w:pPr>
            <w:r>
              <w:rPr>
                <w:rFonts w:ascii="Calibri" w:eastAsia="Times New Roman" w:hAnsi="Calibri" w:cs="Calibri"/>
                <w:b/>
                <w:bCs/>
                <w:color w:val="000000"/>
                <w:sz w:val="18"/>
                <w:szCs w:val="18"/>
                <w:lang w:bidi="he-IL"/>
              </w:rPr>
              <w:t>Diastolic BP (mmHg)- mean ±SD</w:t>
            </w:r>
          </w:p>
        </w:tc>
        <w:tc>
          <w:tcPr>
            <w:tcW w:w="1618"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hideMark/>
          </w:tcPr>
          <w:p w14:paraId="1B809ABA" w14:textId="77777777" w:rsidR="00E15393" w:rsidRDefault="00E15393" w:rsidP="00E15393">
            <w:pPr>
              <w:spacing w:after="0" w:line="240" w:lineRule="auto"/>
              <w:jc w:val="center"/>
              <w:rPr>
                <w:rFonts w:ascii="Calibri" w:eastAsia="Times New Roman" w:hAnsi="Calibri" w:cs="Calibri"/>
                <w:color w:val="000000"/>
                <w:sz w:val="18"/>
                <w:szCs w:val="18"/>
                <w:lang w:bidi="he-IL"/>
              </w:rPr>
            </w:pPr>
            <w:r>
              <w:rPr>
                <w:rFonts w:ascii="Calibri" w:eastAsia="Times New Roman" w:hAnsi="Calibri" w:cs="Calibri"/>
                <w:color w:val="000000"/>
                <w:sz w:val="18"/>
                <w:szCs w:val="18"/>
                <w:lang w:bidi="he-IL"/>
              </w:rPr>
              <w:t>78.9 ±8.8</w:t>
            </w:r>
          </w:p>
        </w:tc>
        <w:tc>
          <w:tcPr>
            <w:tcW w:w="1701" w:type="dxa"/>
            <w:tcBorders>
              <w:top w:val="single" w:sz="4" w:space="0" w:color="auto"/>
              <w:left w:val="single" w:sz="4" w:space="0" w:color="auto"/>
              <w:bottom w:val="single" w:sz="4" w:space="0" w:color="auto"/>
              <w:right w:val="single" w:sz="4" w:space="0" w:color="auto"/>
            </w:tcBorders>
            <w:shd w:val="clear" w:color="auto" w:fill="DCE6F1"/>
            <w:vAlign w:val="center"/>
            <w:hideMark/>
          </w:tcPr>
          <w:p w14:paraId="2FBCA352" w14:textId="77777777" w:rsidR="00E15393" w:rsidRDefault="00E15393" w:rsidP="00E15393">
            <w:pPr>
              <w:spacing w:after="0" w:line="240" w:lineRule="auto"/>
              <w:jc w:val="center"/>
              <w:rPr>
                <w:rFonts w:ascii="Calibri" w:eastAsia="Times New Roman" w:hAnsi="Calibri" w:cs="Calibri"/>
                <w:color w:val="000000"/>
                <w:sz w:val="18"/>
                <w:szCs w:val="18"/>
                <w:lang w:bidi="he-IL"/>
              </w:rPr>
            </w:pPr>
            <w:r>
              <w:rPr>
                <w:rFonts w:ascii="Calibri" w:eastAsia="Times New Roman" w:hAnsi="Calibri" w:cs="Calibri"/>
                <w:color w:val="000000"/>
                <w:sz w:val="18"/>
                <w:szCs w:val="18"/>
                <w:lang w:bidi="he-IL"/>
              </w:rPr>
              <w:t>77.5 ±9.2</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2D23AC8" w14:textId="77777777" w:rsidR="00E15393" w:rsidRDefault="00E15393" w:rsidP="00E15393">
            <w:pPr>
              <w:spacing w:after="0" w:line="240" w:lineRule="auto"/>
              <w:jc w:val="center"/>
              <w:rPr>
                <w:rFonts w:ascii="Calibri" w:eastAsia="Times New Roman" w:hAnsi="Calibri" w:cs="Calibri"/>
                <w:color w:val="000000"/>
                <w:sz w:val="18"/>
                <w:szCs w:val="18"/>
                <w:lang w:bidi="he-IL"/>
              </w:rPr>
            </w:pPr>
            <w:r>
              <w:rPr>
                <w:rFonts w:ascii="Calibri" w:eastAsia="Times New Roman" w:hAnsi="Calibri" w:cs="Calibri"/>
                <w:color w:val="000000"/>
                <w:sz w:val="18"/>
                <w:szCs w:val="18"/>
                <w:lang w:bidi="he-IL"/>
              </w:rPr>
              <w:t>75.3 ±9.4</w:t>
            </w:r>
          </w:p>
        </w:tc>
        <w:tc>
          <w:tcPr>
            <w:tcW w:w="1000" w:type="dxa"/>
            <w:tcBorders>
              <w:top w:val="single" w:sz="4" w:space="0" w:color="auto"/>
              <w:left w:val="single" w:sz="4" w:space="0" w:color="auto"/>
              <w:bottom w:val="single" w:sz="4" w:space="0" w:color="auto"/>
              <w:right w:val="single" w:sz="4" w:space="0" w:color="auto"/>
            </w:tcBorders>
            <w:noWrap/>
            <w:vAlign w:val="center"/>
            <w:hideMark/>
          </w:tcPr>
          <w:p w14:paraId="0625FB21" w14:textId="77777777" w:rsidR="00E15393" w:rsidRDefault="00E15393" w:rsidP="00E15393">
            <w:pPr>
              <w:spacing w:after="0" w:line="240" w:lineRule="auto"/>
              <w:jc w:val="center"/>
              <w:rPr>
                <w:rFonts w:ascii="Calibri" w:eastAsia="Times New Roman" w:hAnsi="Calibri" w:cs="Calibri"/>
                <w:color w:val="000000"/>
                <w:sz w:val="18"/>
                <w:szCs w:val="18"/>
                <w:lang w:bidi="he-IL"/>
              </w:rPr>
            </w:pPr>
            <w:r>
              <w:rPr>
                <w:rFonts w:ascii="Calibri" w:eastAsia="Times New Roman" w:hAnsi="Calibri" w:cs="Calibri"/>
                <w:color w:val="000000"/>
                <w:sz w:val="18"/>
                <w:szCs w:val="18"/>
                <w:lang w:bidi="he-IL"/>
              </w:rPr>
              <w:t>&lt;0.001</w:t>
            </w:r>
          </w:p>
        </w:tc>
      </w:tr>
      <w:tr w:rsidR="00E15393" w14:paraId="572485D3" w14:textId="77777777" w:rsidTr="003A503B">
        <w:trPr>
          <w:trHeight w:val="283"/>
        </w:trPr>
        <w:tc>
          <w:tcPr>
            <w:tcW w:w="3168" w:type="dxa"/>
            <w:tcBorders>
              <w:top w:val="single" w:sz="4" w:space="0" w:color="auto"/>
              <w:left w:val="single" w:sz="4" w:space="0" w:color="auto"/>
              <w:bottom w:val="single" w:sz="4" w:space="0" w:color="auto"/>
              <w:right w:val="single" w:sz="4" w:space="0" w:color="auto"/>
            </w:tcBorders>
            <w:vAlign w:val="center"/>
            <w:hideMark/>
          </w:tcPr>
          <w:p w14:paraId="0CBECE0F" w14:textId="77777777" w:rsidR="00E15393" w:rsidRDefault="00E15393" w:rsidP="00E15393">
            <w:pPr>
              <w:spacing w:after="0" w:line="240" w:lineRule="auto"/>
              <w:rPr>
                <w:rFonts w:ascii="Calibri" w:eastAsia="Times New Roman" w:hAnsi="Calibri" w:cs="Calibri"/>
                <w:b/>
                <w:bCs/>
                <w:color w:val="000000"/>
                <w:sz w:val="18"/>
                <w:szCs w:val="18"/>
                <w:lang w:bidi="he-IL"/>
              </w:rPr>
            </w:pPr>
            <w:r>
              <w:rPr>
                <w:rFonts w:ascii="Calibri" w:eastAsia="Times New Roman" w:hAnsi="Calibri" w:cs="Calibri"/>
                <w:b/>
                <w:bCs/>
                <w:color w:val="000000"/>
                <w:sz w:val="18"/>
                <w:szCs w:val="18"/>
                <w:lang w:bidi="he-IL"/>
              </w:rPr>
              <w:t>LDL-C (mg/dL)- mean ±SD</w:t>
            </w:r>
          </w:p>
        </w:tc>
        <w:tc>
          <w:tcPr>
            <w:tcW w:w="1618"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hideMark/>
          </w:tcPr>
          <w:p w14:paraId="0EF3BC44" w14:textId="77777777" w:rsidR="00E15393" w:rsidRDefault="00E15393" w:rsidP="00E15393">
            <w:pPr>
              <w:spacing w:after="0" w:line="240" w:lineRule="auto"/>
              <w:jc w:val="center"/>
              <w:rPr>
                <w:rFonts w:ascii="Calibri" w:eastAsia="Times New Roman" w:hAnsi="Calibri" w:cs="Calibri"/>
                <w:color w:val="000000"/>
                <w:sz w:val="18"/>
                <w:szCs w:val="18"/>
                <w:lang w:bidi="he-IL"/>
              </w:rPr>
            </w:pPr>
            <w:r>
              <w:rPr>
                <w:rFonts w:ascii="Calibri" w:eastAsia="Times New Roman" w:hAnsi="Calibri" w:cs="Calibri"/>
                <w:color w:val="000000"/>
                <w:sz w:val="18"/>
                <w:szCs w:val="18"/>
                <w:lang w:bidi="he-IL"/>
              </w:rPr>
              <w:t>90.3 ±35.9</w:t>
            </w:r>
          </w:p>
        </w:tc>
        <w:tc>
          <w:tcPr>
            <w:tcW w:w="1701" w:type="dxa"/>
            <w:tcBorders>
              <w:top w:val="single" w:sz="4" w:space="0" w:color="auto"/>
              <w:left w:val="single" w:sz="4" w:space="0" w:color="auto"/>
              <w:bottom w:val="single" w:sz="4" w:space="0" w:color="auto"/>
              <w:right w:val="single" w:sz="4" w:space="0" w:color="auto"/>
            </w:tcBorders>
            <w:shd w:val="clear" w:color="auto" w:fill="DCE6F1"/>
            <w:vAlign w:val="center"/>
            <w:hideMark/>
          </w:tcPr>
          <w:p w14:paraId="378A33A0" w14:textId="77777777" w:rsidR="00E15393" w:rsidRDefault="00E15393" w:rsidP="00E15393">
            <w:pPr>
              <w:spacing w:after="0" w:line="240" w:lineRule="auto"/>
              <w:jc w:val="center"/>
              <w:rPr>
                <w:rFonts w:ascii="Calibri" w:eastAsia="Times New Roman" w:hAnsi="Calibri" w:cs="Calibri"/>
                <w:color w:val="000000"/>
                <w:sz w:val="18"/>
                <w:szCs w:val="18"/>
                <w:lang w:bidi="he-IL"/>
              </w:rPr>
            </w:pPr>
            <w:r>
              <w:rPr>
                <w:rFonts w:ascii="Calibri" w:eastAsia="Times New Roman" w:hAnsi="Calibri" w:cs="Calibri"/>
                <w:color w:val="000000"/>
                <w:sz w:val="18"/>
                <w:szCs w:val="18"/>
                <w:lang w:bidi="he-IL"/>
              </w:rPr>
              <w:t>85.4 ±34.5</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BEB606F" w14:textId="77777777" w:rsidR="00E15393" w:rsidRDefault="00E15393" w:rsidP="00E15393">
            <w:pPr>
              <w:spacing w:after="0" w:line="240" w:lineRule="auto"/>
              <w:jc w:val="center"/>
              <w:rPr>
                <w:rFonts w:ascii="Calibri" w:eastAsia="Times New Roman" w:hAnsi="Calibri" w:cs="Calibri"/>
                <w:color w:val="000000"/>
                <w:sz w:val="18"/>
                <w:szCs w:val="18"/>
                <w:lang w:bidi="he-IL"/>
              </w:rPr>
            </w:pPr>
            <w:r>
              <w:rPr>
                <w:rFonts w:ascii="Calibri" w:eastAsia="Times New Roman" w:hAnsi="Calibri" w:cs="Calibri"/>
                <w:color w:val="000000"/>
                <w:sz w:val="18"/>
                <w:szCs w:val="18"/>
                <w:lang w:bidi="he-IL"/>
              </w:rPr>
              <w:t>83.5 ±36.4</w:t>
            </w:r>
          </w:p>
        </w:tc>
        <w:tc>
          <w:tcPr>
            <w:tcW w:w="1000" w:type="dxa"/>
            <w:tcBorders>
              <w:top w:val="single" w:sz="4" w:space="0" w:color="auto"/>
              <w:left w:val="single" w:sz="4" w:space="0" w:color="auto"/>
              <w:bottom w:val="single" w:sz="4" w:space="0" w:color="auto"/>
              <w:right w:val="single" w:sz="4" w:space="0" w:color="auto"/>
            </w:tcBorders>
            <w:noWrap/>
            <w:vAlign w:val="center"/>
            <w:hideMark/>
          </w:tcPr>
          <w:p w14:paraId="1FDF5DF7" w14:textId="77777777" w:rsidR="00E15393" w:rsidRDefault="00E15393" w:rsidP="00E15393">
            <w:pPr>
              <w:spacing w:after="0" w:line="240" w:lineRule="auto"/>
              <w:jc w:val="center"/>
              <w:rPr>
                <w:rFonts w:ascii="Calibri" w:eastAsia="Times New Roman" w:hAnsi="Calibri" w:cs="Calibri"/>
                <w:color w:val="000000"/>
                <w:sz w:val="18"/>
                <w:szCs w:val="18"/>
                <w:lang w:bidi="he-IL"/>
              </w:rPr>
            </w:pPr>
            <w:r>
              <w:rPr>
                <w:rFonts w:ascii="Calibri" w:eastAsia="Times New Roman" w:hAnsi="Calibri" w:cs="Calibri"/>
                <w:color w:val="000000"/>
                <w:sz w:val="18"/>
                <w:szCs w:val="18"/>
                <w:lang w:bidi="he-IL"/>
              </w:rPr>
              <w:t>&lt;0.001</w:t>
            </w:r>
          </w:p>
        </w:tc>
      </w:tr>
      <w:tr w:rsidR="00E15393" w14:paraId="3D2BE915" w14:textId="77777777" w:rsidTr="003A503B">
        <w:trPr>
          <w:trHeight w:val="283"/>
        </w:trPr>
        <w:tc>
          <w:tcPr>
            <w:tcW w:w="3168" w:type="dxa"/>
            <w:tcBorders>
              <w:top w:val="single" w:sz="4" w:space="0" w:color="auto"/>
              <w:left w:val="single" w:sz="4" w:space="0" w:color="auto"/>
              <w:bottom w:val="single" w:sz="4" w:space="0" w:color="auto"/>
              <w:right w:val="single" w:sz="4" w:space="0" w:color="auto"/>
            </w:tcBorders>
            <w:vAlign w:val="center"/>
            <w:hideMark/>
          </w:tcPr>
          <w:p w14:paraId="2F2ED93A" w14:textId="77777777" w:rsidR="00E15393" w:rsidRDefault="00E15393" w:rsidP="00E15393">
            <w:pPr>
              <w:spacing w:after="0" w:line="240" w:lineRule="auto"/>
              <w:rPr>
                <w:rFonts w:ascii="Calibri" w:eastAsia="Times New Roman" w:hAnsi="Calibri" w:cs="Calibri"/>
                <w:b/>
                <w:bCs/>
                <w:color w:val="000000"/>
                <w:sz w:val="18"/>
                <w:szCs w:val="18"/>
                <w:lang w:bidi="he-IL"/>
              </w:rPr>
            </w:pPr>
            <w:r>
              <w:rPr>
                <w:rFonts w:ascii="Calibri" w:eastAsia="Times New Roman" w:hAnsi="Calibri" w:cs="Calibri"/>
                <w:b/>
                <w:bCs/>
                <w:color w:val="000000"/>
                <w:sz w:val="18"/>
                <w:szCs w:val="18"/>
                <w:lang w:bidi="he-IL"/>
              </w:rPr>
              <w:t>HDL-C (mg/dL)- mean ±SD</w:t>
            </w:r>
          </w:p>
        </w:tc>
        <w:tc>
          <w:tcPr>
            <w:tcW w:w="1618"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hideMark/>
          </w:tcPr>
          <w:p w14:paraId="33505D4A" w14:textId="77777777" w:rsidR="00E15393" w:rsidRDefault="00E15393" w:rsidP="00E15393">
            <w:pPr>
              <w:spacing w:after="0" w:line="240" w:lineRule="auto"/>
              <w:jc w:val="center"/>
              <w:rPr>
                <w:rFonts w:ascii="Calibri" w:eastAsia="Times New Roman" w:hAnsi="Calibri" w:cs="Calibri"/>
                <w:color w:val="000000"/>
                <w:sz w:val="18"/>
                <w:szCs w:val="18"/>
                <w:lang w:bidi="he-IL"/>
              </w:rPr>
            </w:pPr>
            <w:r>
              <w:rPr>
                <w:rFonts w:ascii="Calibri" w:eastAsia="Times New Roman" w:hAnsi="Calibri" w:cs="Calibri"/>
                <w:color w:val="000000"/>
                <w:sz w:val="18"/>
                <w:szCs w:val="18"/>
                <w:lang w:bidi="he-IL"/>
              </w:rPr>
              <w:t>47.4 ±13.1</w:t>
            </w:r>
          </w:p>
        </w:tc>
        <w:tc>
          <w:tcPr>
            <w:tcW w:w="1701" w:type="dxa"/>
            <w:tcBorders>
              <w:top w:val="single" w:sz="4" w:space="0" w:color="auto"/>
              <w:left w:val="single" w:sz="4" w:space="0" w:color="auto"/>
              <w:bottom w:val="single" w:sz="4" w:space="0" w:color="auto"/>
              <w:right w:val="single" w:sz="4" w:space="0" w:color="auto"/>
            </w:tcBorders>
            <w:shd w:val="clear" w:color="auto" w:fill="DCE6F1"/>
            <w:vAlign w:val="center"/>
            <w:hideMark/>
          </w:tcPr>
          <w:p w14:paraId="2D17A3D8" w14:textId="77777777" w:rsidR="00E15393" w:rsidRDefault="00E15393" w:rsidP="00E15393">
            <w:pPr>
              <w:spacing w:after="0" w:line="240" w:lineRule="auto"/>
              <w:jc w:val="center"/>
              <w:rPr>
                <w:rFonts w:ascii="Calibri" w:eastAsia="Times New Roman" w:hAnsi="Calibri" w:cs="Calibri"/>
                <w:color w:val="000000"/>
                <w:sz w:val="18"/>
                <w:szCs w:val="18"/>
                <w:lang w:bidi="he-IL"/>
              </w:rPr>
            </w:pPr>
            <w:r>
              <w:rPr>
                <w:rFonts w:ascii="Calibri" w:eastAsia="Times New Roman" w:hAnsi="Calibri" w:cs="Calibri"/>
                <w:color w:val="000000"/>
                <w:sz w:val="18"/>
                <w:szCs w:val="18"/>
                <w:lang w:bidi="he-IL"/>
              </w:rPr>
              <w:t>47.4 ±13.0</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EF565A3" w14:textId="77777777" w:rsidR="00E15393" w:rsidRDefault="00E15393" w:rsidP="00E15393">
            <w:pPr>
              <w:spacing w:after="0" w:line="240" w:lineRule="auto"/>
              <w:jc w:val="center"/>
              <w:rPr>
                <w:rFonts w:ascii="Calibri" w:eastAsia="Times New Roman" w:hAnsi="Calibri" w:cs="Calibri"/>
                <w:color w:val="000000"/>
                <w:sz w:val="18"/>
                <w:szCs w:val="18"/>
                <w:lang w:bidi="he-IL"/>
              </w:rPr>
            </w:pPr>
            <w:r>
              <w:rPr>
                <w:rFonts w:ascii="Calibri" w:eastAsia="Times New Roman" w:hAnsi="Calibri" w:cs="Calibri"/>
                <w:color w:val="000000"/>
                <w:sz w:val="18"/>
                <w:szCs w:val="18"/>
                <w:lang w:bidi="he-IL"/>
              </w:rPr>
              <w:t>44.2 ±12.0</w:t>
            </w:r>
          </w:p>
        </w:tc>
        <w:tc>
          <w:tcPr>
            <w:tcW w:w="1000" w:type="dxa"/>
            <w:tcBorders>
              <w:top w:val="single" w:sz="4" w:space="0" w:color="auto"/>
              <w:left w:val="single" w:sz="4" w:space="0" w:color="auto"/>
              <w:bottom w:val="single" w:sz="4" w:space="0" w:color="auto"/>
              <w:right w:val="single" w:sz="4" w:space="0" w:color="auto"/>
            </w:tcBorders>
            <w:noWrap/>
            <w:vAlign w:val="center"/>
            <w:hideMark/>
          </w:tcPr>
          <w:p w14:paraId="27492C0E" w14:textId="77777777" w:rsidR="00E15393" w:rsidRDefault="00E15393" w:rsidP="00E15393">
            <w:pPr>
              <w:spacing w:after="0" w:line="240" w:lineRule="auto"/>
              <w:jc w:val="center"/>
              <w:rPr>
                <w:rFonts w:ascii="Calibri" w:eastAsia="Times New Roman" w:hAnsi="Calibri" w:cs="Calibri"/>
                <w:color w:val="000000"/>
                <w:sz w:val="18"/>
                <w:szCs w:val="18"/>
                <w:lang w:bidi="he-IL"/>
              </w:rPr>
            </w:pPr>
            <w:r>
              <w:rPr>
                <w:rFonts w:ascii="Calibri" w:eastAsia="Times New Roman" w:hAnsi="Calibri" w:cs="Calibri"/>
                <w:color w:val="000000"/>
                <w:sz w:val="18"/>
                <w:szCs w:val="18"/>
                <w:lang w:bidi="he-IL"/>
              </w:rPr>
              <w:t>&lt;0.001</w:t>
            </w:r>
          </w:p>
        </w:tc>
      </w:tr>
      <w:tr w:rsidR="00E15393" w14:paraId="540C6157" w14:textId="77777777" w:rsidTr="003A503B">
        <w:trPr>
          <w:trHeight w:val="283"/>
        </w:trPr>
        <w:tc>
          <w:tcPr>
            <w:tcW w:w="3168" w:type="dxa"/>
            <w:tcBorders>
              <w:top w:val="single" w:sz="4" w:space="0" w:color="auto"/>
              <w:left w:val="single" w:sz="4" w:space="0" w:color="auto"/>
              <w:bottom w:val="single" w:sz="4" w:space="0" w:color="auto"/>
              <w:right w:val="single" w:sz="4" w:space="0" w:color="auto"/>
            </w:tcBorders>
            <w:vAlign w:val="center"/>
            <w:hideMark/>
          </w:tcPr>
          <w:p w14:paraId="589995DB" w14:textId="77777777" w:rsidR="00E15393" w:rsidRDefault="00E15393" w:rsidP="00E15393">
            <w:pPr>
              <w:spacing w:after="0" w:line="240" w:lineRule="auto"/>
              <w:rPr>
                <w:rFonts w:ascii="Calibri" w:eastAsia="Times New Roman" w:hAnsi="Calibri" w:cs="Calibri"/>
                <w:b/>
                <w:bCs/>
                <w:color w:val="000000"/>
                <w:sz w:val="18"/>
                <w:szCs w:val="18"/>
                <w:lang w:bidi="he-IL"/>
              </w:rPr>
            </w:pPr>
            <w:r>
              <w:rPr>
                <w:rFonts w:ascii="Calibri" w:eastAsia="Times New Roman" w:hAnsi="Calibri" w:cs="Calibri"/>
                <w:b/>
                <w:bCs/>
                <w:color w:val="000000"/>
                <w:sz w:val="18"/>
                <w:szCs w:val="18"/>
                <w:lang w:bidi="he-IL"/>
              </w:rPr>
              <w:t>Triglycerides (mg/dL)- mean ±SD</w:t>
            </w:r>
          </w:p>
        </w:tc>
        <w:tc>
          <w:tcPr>
            <w:tcW w:w="1618"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hideMark/>
          </w:tcPr>
          <w:p w14:paraId="1716DA7D" w14:textId="77777777" w:rsidR="00E15393" w:rsidRDefault="00E15393" w:rsidP="00E15393">
            <w:pPr>
              <w:spacing w:after="0" w:line="240" w:lineRule="auto"/>
              <w:jc w:val="center"/>
              <w:rPr>
                <w:rFonts w:ascii="Calibri" w:eastAsia="Times New Roman" w:hAnsi="Calibri" w:cs="Calibri"/>
                <w:color w:val="000000"/>
                <w:sz w:val="18"/>
                <w:szCs w:val="18"/>
                <w:lang w:bidi="he-IL"/>
              </w:rPr>
            </w:pPr>
            <w:r>
              <w:rPr>
                <w:rFonts w:ascii="Calibri" w:eastAsia="Times New Roman" w:hAnsi="Calibri" w:cs="Calibri"/>
                <w:color w:val="000000"/>
                <w:sz w:val="18"/>
                <w:szCs w:val="18"/>
                <w:lang w:bidi="he-IL"/>
              </w:rPr>
              <w:t>179.4 ±141.8</w:t>
            </w:r>
          </w:p>
        </w:tc>
        <w:tc>
          <w:tcPr>
            <w:tcW w:w="1701" w:type="dxa"/>
            <w:tcBorders>
              <w:top w:val="single" w:sz="4" w:space="0" w:color="auto"/>
              <w:left w:val="single" w:sz="4" w:space="0" w:color="auto"/>
              <w:bottom w:val="single" w:sz="4" w:space="0" w:color="auto"/>
              <w:right w:val="single" w:sz="4" w:space="0" w:color="auto"/>
            </w:tcBorders>
            <w:shd w:val="clear" w:color="auto" w:fill="DCE6F1"/>
            <w:vAlign w:val="center"/>
            <w:hideMark/>
          </w:tcPr>
          <w:p w14:paraId="62C89E69" w14:textId="77777777" w:rsidR="00E15393" w:rsidRDefault="00E15393" w:rsidP="00E15393">
            <w:pPr>
              <w:spacing w:after="0" w:line="240" w:lineRule="auto"/>
              <w:jc w:val="center"/>
              <w:rPr>
                <w:rFonts w:ascii="Calibri" w:eastAsia="Times New Roman" w:hAnsi="Calibri" w:cs="Calibri"/>
                <w:color w:val="000000"/>
                <w:sz w:val="18"/>
                <w:szCs w:val="18"/>
                <w:lang w:bidi="he-IL"/>
              </w:rPr>
            </w:pPr>
            <w:r>
              <w:rPr>
                <w:rFonts w:ascii="Calibri" w:eastAsia="Times New Roman" w:hAnsi="Calibri" w:cs="Calibri"/>
                <w:color w:val="000000"/>
                <w:sz w:val="18"/>
                <w:szCs w:val="18"/>
                <w:lang w:bidi="he-IL"/>
              </w:rPr>
              <w:t>173.9 ±121.7</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5721A68" w14:textId="77777777" w:rsidR="00E15393" w:rsidRDefault="00E15393" w:rsidP="00E15393">
            <w:pPr>
              <w:spacing w:after="0" w:line="240" w:lineRule="auto"/>
              <w:jc w:val="center"/>
              <w:rPr>
                <w:rFonts w:ascii="Calibri" w:eastAsia="Times New Roman" w:hAnsi="Calibri" w:cs="Calibri"/>
                <w:color w:val="000000"/>
                <w:sz w:val="18"/>
                <w:szCs w:val="18"/>
                <w:lang w:bidi="he-IL"/>
              </w:rPr>
            </w:pPr>
            <w:r>
              <w:rPr>
                <w:rFonts w:ascii="Calibri" w:eastAsia="Times New Roman" w:hAnsi="Calibri" w:cs="Calibri"/>
                <w:color w:val="000000"/>
                <w:sz w:val="18"/>
                <w:szCs w:val="18"/>
                <w:lang w:bidi="he-IL"/>
              </w:rPr>
              <w:t>197.4 ±155.3</w:t>
            </w:r>
          </w:p>
        </w:tc>
        <w:tc>
          <w:tcPr>
            <w:tcW w:w="1000" w:type="dxa"/>
            <w:tcBorders>
              <w:top w:val="single" w:sz="4" w:space="0" w:color="auto"/>
              <w:left w:val="single" w:sz="4" w:space="0" w:color="auto"/>
              <w:bottom w:val="single" w:sz="4" w:space="0" w:color="auto"/>
              <w:right w:val="single" w:sz="4" w:space="0" w:color="auto"/>
            </w:tcBorders>
            <w:noWrap/>
            <w:vAlign w:val="center"/>
            <w:hideMark/>
          </w:tcPr>
          <w:p w14:paraId="456BCFB6" w14:textId="77777777" w:rsidR="00E15393" w:rsidRDefault="00E15393" w:rsidP="00E15393">
            <w:pPr>
              <w:spacing w:after="0" w:line="240" w:lineRule="auto"/>
              <w:jc w:val="center"/>
              <w:rPr>
                <w:rFonts w:ascii="Calibri" w:eastAsia="Times New Roman" w:hAnsi="Calibri" w:cs="Calibri"/>
                <w:color w:val="000000"/>
                <w:sz w:val="18"/>
                <w:szCs w:val="18"/>
                <w:lang w:bidi="he-IL"/>
              </w:rPr>
            </w:pPr>
            <w:r>
              <w:rPr>
                <w:rFonts w:ascii="Calibri" w:eastAsia="Times New Roman" w:hAnsi="Calibri" w:cs="Calibri"/>
                <w:color w:val="000000"/>
                <w:sz w:val="18"/>
                <w:szCs w:val="18"/>
                <w:lang w:bidi="he-IL"/>
              </w:rPr>
              <w:t>&lt;0.001</w:t>
            </w:r>
          </w:p>
        </w:tc>
      </w:tr>
    </w:tbl>
    <w:p w14:paraId="79FF39D8" w14:textId="77777777" w:rsidR="003A503B" w:rsidRDefault="003A503B" w:rsidP="003A503B">
      <w:pPr>
        <w:spacing w:after="0"/>
      </w:pPr>
      <w:r>
        <w:t>*. eGFR calculated using CKD-EPI formula.</w:t>
      </w:r>
    </w:p>
    <w:p w14:paraId="4F5AFB3E" w14:textId="77777777" w:rsidR="003A503B" w:rsidRDefault="003A503B" w:rsidP="003A503B">
      <w:pPr>
        <w:spacing w:after="0"/>
      </w:pPr>
      <w:r>
        <w:t>**. P-values for continuous variables were calculated using Kruskal-Wallis test and for categorical variables using Chi-square test.</w:t>
      </w:r>
    </w:p>
    <w:p w14:paraId="70656964" w14:textId="77777777" w:rsidR="003A503B" w:rsidRDefault="003A503B" w:rsidP="003A503B">
      <w:pPr>
        <w:spacing w:after="0"/>
      </w:pPr>
      <w:r>
        <w:rPr>
          <w:vertAlign w:val="superscript"/>
        </w:rPr>
        <w:t>#</w:t>
      </w:r>
      <w:r>
        <w:t>. History of Dyslipidemia within last 12 months</w:t>
      </w:r>
    </w:p>
    <w:p w14:paraId="7D89026F" w14:textId="77777777" w:rsidR="003A503B" w:rsidRDefault="003A503B" w:rsidP="003A503B">
      <w:pPr>
        <w:spacing w:after="0"/>
      </w:pPr>
      <w:r>
        <w:rPr>
          <w:vertAlign w:val="superscript"/>
        </w:rPr>
        <w:t>##</w:t>
      </w:r>
      <w:r>
        <w:t>. History of HTN- vitals or therapy</w:t>
      </w:r>
    </w:p>
    <w:p w14:paraId="0C2F45C0" w14:textId="77777777" w:rsidR="003A503B" w:rsidRDefault="003A503B" w:rsidP="003A503B">
      <w:pPr>
        <w:rPr>
          <w:b/>
          <w:bCs/>
        </w:rPr>
      </w:pPr>
      <w:r>
        <w:rPr>
          <w:b/>
          <w:bCs/>
        </w:rPr>
        <w:br w:type="page"/>
      </w:r>
    </w:p>
    <w:p w14:paraId="0C93A01C" w14:textId="0D6D2688" w:rsidR="003A503B" w:rsidRDefault="00853653" w:rsidP="00F123E6">
      <w:pPr>
        <w:rPr>
          <w:b/>
          <w:bCs/>
        </w:rPr>
      </w:pPr>
      <w:r>
        <w:rPr>
          <w:b/>
          <w:bCs/>
        </w:rPr>
        <w:lastRenderedPageBreak/>
        <w:t>Figure</w:t>
      </w:r>
      <w:r w:rsidR="003A503B">
        <w:rPr>
          <w:b/>
          <w:bCs/>
        </w:rPr>
        <w:t xml:space="preserve"> 1. </w:t>
      </w:r>
      <w:r w:rsidR="003A503B">
        <w:t xml:space="preserve">Primary and secondary </w:t>
      </w:r>
      <w:r w:rsidR="00FC4EE9" w:rsidRPr="00FC4EE9">
        <w:rPr>
          <w:rStyle w:val="CommentReference"/>
          <w:sz w:val="24"/>
          <w:szCs w:val="24"/>
        </w:rPr>
        <w:t>composite</w:t>
      </w:r>
      <w:r w:rsidR="00FC4EE9" w:rsidRPr="00FC4EE9">
        <w:rPr>
          <w:sz w:val="36"/>
          <w:szCs w:val="36"/>
        </w:rPr>
        <w:t xml:space="preserve"> </w:t>
      </w:r>
      <w:r w:rsidR="003A503B">
        <w:t>renal outcome</w:t>
      </w:r>
      <w:r w:rsidR="00C57DFD">
        <w:t>s</w:t>
      </w:r>
      <w:r w:rsidR="003A503B">
        <w:t xml:space="preserve"> and their components</w:t>
      </w:r>
    </w:p>
    <w:p w14:paraId="1671FEFB" w14:textId="7E3BDA89" w:rsidR="003A503B" w:rsidRDefault="007F1E8A" w:rsidP="003A503B">
      <w:pPr>
        <w:rPr>
          <w:b/>
          <w:bCs/>
        </w:rPr>
      </w:pPr>
      <w:r>
        <w:rPr>
          <w:noProof/>
          <w:lang w:val="en-GB" w:eastAsia="en-GB"/>
        </w:rPr>
        <w:drawing>
          <wp:inline distT="0" distB="0" distL="0" distR="0" wp14:anchorId="593BA9A3" wp14:editId="4861157D">
            <wp:extent cx="6776085" cy="2891008"/>
            <wp:effectExtent l="0" t="0" r="5715" b="508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different outcomes (2) (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797497" cy="2900143"/>
                    </a:xfrm>
                    <a:prstGeom prst="rect">
                      <a:avLst/>
                    </a:prstGeom>
                  </pic:spPr>
                </pic:pic>
              </a:graphicData>
            </a:graphic>
          </wp:inline>
        </w:drawing>
      </w:r>
    </w:p>
    <w:p w14:paraId="2E4FAE7D" w14:textId="7EF79605" w:rsidR="003A503B" w:rsidRDefault="003A503B" w:rsidP="003A503B"/>
    <w:p w14:paraId="1090CD7B" w14:textId="77777777" w:rsidR="00733484" w:rsidRDefault="00733484" w:rsidP="00853653">
      <w:pPr>
        <w:rPr>
          <w:b/>
          <w:bCs/>
        </w:rPr>
      </w:pPr>
    </w:p>
    <w:p w14:paraId="743B3A3D" w14:textId="77777777" w:rsidR="00733484" w:rsidRDefault="00733484" w:rsidP="00853653">
      <w:pPr>
        <w:rPr>
          <w:b/>
          <w:bCs/>
        </w:rPr>
      </w:pPr>
    </w:p>
    <w:p w14:paraId="7DD33F53" w14:textId="77777777" w:rsidR="00733484" w:rsidRDefault="00733484" w:rsidP="00853653">
      <w:pPr>
        <w:rPr>
          <w:b/>
          <w:bCs/>
        </w:rPr>
      </w:pPr>
    </w:p>
    <w:p w14:paraId="7AA843C4" w14:textId="77777777" w:rsidR="00733484" w:rsidRDefault="00733484" w:rsidP="00853653">
      <w:pPr>
        <w:rPr>
          <w:b/>
          <w:bCs/>
        </w:rPr>
      </w:pPr>
    </w:p>
    <w:p w14:paraId="47A1ABF1" w14:textId="77777777" w:rsidR="00733484" w:rsidRDefault="00733484" w:rsidP="00853653">
      <w:pPr>
        <w:rPr>
          <w:b/>
          <w:bCs/>
        </w:rPr>
      </w:pPr>
    </w:p>
    <w:p w14:paraId="6C87857A" w14:textId="77777777" w:rsidR="00733484" w:rsidRDefault="00733484" w:rsidP="00853653">
      <w:pPr>
        <w:rPr>
          <w:b/>
          <w:bCs/>
        </w:rPr>
      </w:pPr>
    </w:p>
    <w:p w14:paraId="13E4139C" w14:textId="77777777" w:rsidR="00733484" w:rsidRDefault="00733484" w:rsidP="00853653">
      <w:pPr>
        <w:rPr>
          <w:b/>
          <w:bCs/>
        </w:rPr>
      </w:pPr>
    </w:p>
    <w:p w14:paraId="035EA305" w14:textId="77777777" w:rsidR="00733484" w:rsidRDefault="00733484" w:rsidP="00853653">
      <w:pPr>
        <w:rPr>
          <w:b/>
          <w:bCs/>
        </w:rPr>
      </w:pPr>
    </w:p>
    <w:p w14:paraId="5C3A6179" w14:textId="77777777" w:rsidR="00DC71FD" w:rsidRDefault="00DC71FD" w:rsidP="00853653">
      <w:pPr>
        <w:rPr>
          <w:b/>
          <w:bCs/>
        </w:rPr>
      </w:pPr>
    </w:p>
    <w:p w14:paraId="72F646B3" w14:textId="77777777" w:rsidR="00DC71FD" w:rsidRDefault="00DC71FD" w:rsidP="00853653">
      <w:pPr>
        <w:rPr>
          <w:b/>
          <w:bCs/>
        </w:rPr>
      </w:pPr>
    </w:p>
    <w:p w14:paraId="2DEAC8A3" w14:textId="77777777" w:rsidR="00DC71FD" w:rsidRDefault="00DC71FD" w:rsidP="00853653">
      <w:pPr>
        <w:rPr>
          <w:b/>
          <w:bCs/>
        </w:rPr>
      </w:pPr>
    </w:p>
    <w:p w14:paraId="193FD37D" w14:textId="77777777" w:rsidR="00DC71FD" w:rsidRDefault="00DC71FD" w:rsidP="00853653">
      <w:pPr>
        <w:rPr>
          <w:b/>
          <w:bCs/>
        </w:rPr>
      </w:pPr>
    </w:p>
    <w:p w14:paraId="7F0534CE" w14:textId="77777777" w:rsidR="00DC71FD" w:rsidRDefault="00DC71FD" w:rsidP="00853653">
      <w:pPr>
        <w:rPr>
          <w:b/>
          <w:bCs/>
        </w:rPr>
      </w:pPr>
    </w:p>
    <w:p w14:paraId="5BE2A4C2" w14:textId="77777777" w:rsidR="00DC71FD" w:rsidRDefault="00DC71FD" w:rsidP="00853653">
      <w:pPr>
        <w:rPr>
          <w:b/>
          <w:bCs/>
        </w:rPr>
      </w:pPr>
    </w:p>
    <w:p w14:paraId="07510A5E" w14:textId="77777777" w:rsidR="00DC71FD" w:rsidRDefault="00DC71FD" w:rsidP="00853653">
      <w:pPr>
        <w:rPr>
          <w:b/>
          <w:bCs/>
        </w:rPr>
      </w:pPr>
    </w:p>
    <w:p w14:paraId="41E5B9F1" w14:textId="2F6BF7CA" w:rsidR="003A503B" w:rsidRDefault="00853653" w:rsidP="00F123E6">
      <w:r>
        <w:rPr>
          <w:b/>
          <w:bCs/>
        </w:rPr>
        <w:lastRenderedPageBreak/>
        <w:t>Figure</w:t>
      </w:r>
      <w:r w:rsidR="003A503B">
        <w:rPr>
          <w:b/>
          <w:bCs/>
        </w:rPr>
        <w:t xml:space="preserve"> 2. Kaplan-Meier curves for main renal outcomes: </w:t>
      </w:r>
      <w:r w:rsidR="003A503B">
        <w:t>A. eGFR decrease &gt;=40% to&lt;60 mL/min per 1.73m</w:t>
      </w:r>
      <w:r w:rsidR="003A503B">
        <w:rPr>
          <w:vertAlign w:val="superscript"/>
        </w:rPr>
        <w:t>2</w:t>
      </w:r>
      <w:r w:rsidR="003A503B">
        <w:t>; ESRD; or renal or CV death. B. eGFR decrease &gt;=40% to&lt;60 mL/min per 1.73m</w:t>
      </w:r>
      <w:r w:rsidR="003A503B">
        <w:rPr>
          <w:vertAlign w:val="superscript"/>
        </w:rPr>
        <w:t>2</w:t>
      </w:r>
      <w:r w:rsidR="003A503B">
        <w:t>; ESRD; or renal death. C. eGFR decrease &gt;=40% to sustained eGFR &lt;60 mL/min per 1.73m</w:t>
      </w:r>
      <w:r w:rsidR="003A503B">
        <w:rPr>
          <w:vertAlign w:val="superscript"/>
        </w:rPr>
        <w:t>2</w:t>
      </w:r>
      <w:r w:rsidR="003A503B">
        <w:t xml:space="preserve"> </w:t>
      </w:r>
    </w:p>
    <w:p w14:paraId="251B25CC" w14:textId="4AD2F95B" w:rsidR="003A503B" w:rsidRDefault="003A503B" w:rsidP="003A503B">
      <w:r>
        <w:rPr>
          <w:noProof/>
          <w:lang w:val="en-GB" w:eastAsia="en-GB"/>
        </w:rPr>
        <mc:AlternateContent>
          <mc:Choice Requires="wps">
            <w:drawing>
              <wp:anchor distT="0" distB="0" distL="114300" distR="114300" simplePos="0" relativeHeight="251639808" behindDoc="0" locked="0" layoutInCell="1" allowOverlap="1" wp14:anchorId="0BC225FC" wp14:editId="3237DB49">
                <wp:simplePos x="0" y="0"/>
                <wp:positionH relativeFrom="column">
                  <wp:posOffset>3402330</wp:posOffset>
                </wp:positionH>
                <wp:positionV relativeFrom="paragraph">
                  <wp:posOffset>302260</wp:posOffset>
                </wp:positionV>
                <wp:extent cx="1082040" cy="358140"/>
                <wp:effectExtent l="0" t="0" r="0" b="3810"/>
                <wp:wrapNone/>
                <wp:docPr id="70" name="Text Box 70"/>
                <wp:cNvGraphicFramePr/>
                <a:graphic xmlns:a="http://schemas.openxmlformats.org/drawingml/2006/main">
                  <a:graphicData uri="http://schemas.microsoft.com/office/word/2010/wordprocessingShape">
                    <wps:wsp>
                      <wps:cNvSpPr txBox="1"/>
                      <wps:spPr>
                        <a:xfrm>
                          <a:off x="0" y="0"/>
                          <a:ext cx="1082040" cy="358140"/>
                        </a:xfrm>
                        <a:prstGeom prst="rect">
                          <a:avLst/>
                        </a:prstGeom>
                        <a:noFill/>
                        <a:ln w="6350">
                          <a:noFill/>
                        </a:ln>
                      </wps:spPr>
                      <wps:txbx>
                        <w:txbxContent>
                          <w:p w14:paraId="0EE0440E" w14:textId="77777777" w:rsidR="00251D48" w:rsidRDefault="00251D48" w:rsidP="003A503B">
                            <w:pPr>
                              <w:spacing w:after="0"/>
                              <w:jc w:val="center"/>
                              <w:rPr>
                                <w:sz w:val="16"/>
                                <w:szCs w:val="16"/>
                              </w:rPr>
                            </w:pPr>
                            <w:r>
                              <w:rPr>
                                <w:sz w:val="16"/>
                                <w:szCs w:val="16"/>
                              </w:rPr>
                              <w:t>HR=0.76 (0.67, 0.87)</w:t>
                            </w:r>
                          </w:p>
                          <w:p w14:paraId="4C9F8A74" w14:textId="77777777" w:rsidR="00251D48" w:rsidRDefault="00251D48" w:rsidP="003A503B">
                            <w:pPr>
                              <w:spacing w:after="0" w:line="276" w:lineRule="auto"/>
                              <w:jc w:val="center"/>
                              <w:rPr>
                                <w:sz w:val="16"/>
                                <w:szCs w:val="16"/>
                              </w:rPr>
                            </w:pPr>
                            <w:r>
                              <w:rPr>
                                <w:sz w:val="16"/>
                                <w:szCs w:val="16"/>
                              </w:rPr>
                              <w:t>P-Value&lt;0.001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C225FC" id="_x0000_t202" coordsize="21600,21600" o:spt="202" path="m,l,21600r21600,l21600,xe">
                <v:stroke joinstyle="miter"/>
                <v:path gradientshapeok="t" o:connecttype="rect"/>
              </v:shapetype>
              <v:shape id="Text Box 70" o:spid="_x0000_s1026" type="#_x0000_t202" style="position:absolute;margin-left:267.9pt;margin-top:23.8pt;width:85.2pt;height:28.2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" filled="f" stroked="f" strokeweight=".5pt">
                <v:textbox>
                  <w:txbxContent>
                    <w:p w14:paraId="0EE0440E" w14:textId="77777777" w:rsidR="00251D48" w:rsidRDefault="00251D48" w:rsidP="003A503B">
                      <w:pPr>
                        <w:spacing w:after="0"/>
                        <w:jc w:val="center"/>
                        <w:rPr>
                          <w:sz w:val="16"/>
                          <w:szCs w:val="16"/>
                        </w:rPr>
                      </w:pPr>
                      <w:r>
                        <w:rPr>
                          <w:sz w:val="16"/>
                          <w:szCs w:val="16"/>
                        </w:rPr>
                        <w:t>HR=0.76 (0.67, 0.87)</w:t>
                      </w:r>
                    </w:p>
                    <w:p w14:paraId="4C9F8A74" w14:textId="77777777" w:rsidR="00251D48" w:rsidRDefault="00251D48" w:rsidP="003A503B">
                      <w:pPr>
                        <w:spacing w:after="0" w:line="276" w:lineRule="auto"/>
                        <w:jc w:val="center"/>
                        <w:rPr>
                          <w:sz w:val="16"/>
                          <w:szCs w:val="16"/>
                        </w:rPr>
                      </w:pPr>
                      <w:r>
                        <w:rPr>
                          <w:sz w:val="16"/>
                          <w:szCs w:val="16"/>
                        </w:rPr>
                        <w:t>P-Value&lt;0.001</w:t>
                      </w:r>
                    </w:p>
                  </w:txbxContent>
                </v:textbox>
              </v:shape>
            </w:pict>
          </mc:Fallback>
        </mc:AlternateContent>
      </w:r>
    </w:p>
    <w:p w14:paraId="1D85D562" w14:textId="0C282AA6" w:rsidR="003A503B" w:rsidRDefault="003A503B" w:rsidP="003A503B">
      <w:r>
        <w:rPr>
          <w:noProof/>
          <w:lang w:val="en-GB" w:eastAsia="en-GB"/>
        </w:rPr>
        <mc:AlternateContent>
          <mc:Choice Requires="wps">
            <w:drawing>
              <wp:anchor distT="0" distB="0" distL="114300" distR="114300" simplePos="0" relativeHeight="251641856" behindDoc="0" locked="0" layoutInCell="1" allowOverlap="1" wp14:anchorId="52CE313F" wp14:editId="4B4420DE">
                <wp:simplePos x="0" y="0"/>
                <wp:positionH relativeFrom="column">
                  <wp:posOffset>3219450</wp:posOffset>
                </wp:positionH>
                <wp:positionV relativeFrom="paragraph">
                  <wp:posOffset>407670</wp:posOffset>
                </wp:positionV>
                <wp:extent cx="1082040" cy="358140"/>
                <wp:effectExtent l="0" t="0" r="0" b="3810"/>
                <wp:wrapNone/>
                <wp:docPr id="69" name="Text Box 69"/>
                <wp:cNvGraphicFramePr/>
                <a:graphic xmlns:a="http://schemas.openxmlformats.org/drawingml/2006/main">
                  <a:graphicData uri="http://schemas.microsoft.com/office/word/2010/wordprocessingShape">
                    <wps:wsp>
                      <wps:cNvSpPr txBox="1"/>
                      <wps:spPr>
                        <a:xfrm>
                          <a:off x="0" y="0"/>
                          <a:ext cx="1082040" cy="358140"/>
                        </a:xfrm>
                        <a:prstGeom prst="rect">
                          <a:avLst/>
                        </a:prstGeom>
                        <a:noFill/>
                        <a:ln w="6350">
                          <a:noFill/>
                        </a:ln>
                      </wps:spPr>
                      <wps:txbx>
                        <w:txbxContent>
                          <w:p w14:paraId="58B96781" w14:textId="77777777" w:rsidR="00251D48" w:rsidRDefault="00251D48" w:rsidP="003A503B">
                            <w:pPr>
                              <w:spacing w:after="0"/>
                              <w:jc w:val="center"/>
                              <w:rPr>
                                <w:sz w:val="16"/>
                                <w:szCs w:val="16"/>
                              </w:rPr>
                            </w:pPr>
                            <w:r>
                              <w:rPr>
                                <w:sz w:val="16"/>
                                <w:szCs w:val="16"/>
                              </w:rPr>
                              <w:t>HR=0.53 (0.43, 0.66)</w:t>
                            </w:r>
                          </w:p>
                          <w:p w14:paraId="5BC4992D" w14:textId="77777777" w:rsidR="00251D48" w:rsidRDefault="00251D48" w:rsidP="003A503B">
                            <w:pPr>
                              <w:spacing w:after="0" w:line="276" w:lineRule="auto"/>
                              <w:jc w:val="center"/>
                              <w:rPr>
                                <w:sz w:val="16"/>
                                <w:szCs w:val="16"/>
                              </w:rPr>
                            </w:pPr>
                            <w:r>
                              <w:rPr>
                                <w:sz w:val="16"/>
                                <w:szCs w:val="16"/>
                              </w:rPr>
                              <w:t>P-Value&lt;0.001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CE313F" id="Text Box 69" o:spid="_x0000_s1027" type="#_x0000_t202" style="position:absolute;margin-left:253.5pt;margin-top:32.1pt;width:85.2pt;height:28.2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" filled="f" stroked="f" strokeweight=".5pt">
                <v:textbox>
                  <w:txbxContent>
                    <w:p w14:paraId="58B96781" w14:textId="77777777" w:rsidR="00251D48" w:rsidRDefault="00251D48" w:rsidP="003A503B">
                      <w:pPr>
                        <w:spacing w:after="0"/>
                        <w:jc w:val="center"/>
                        <w:rPr>
                          <w:sz w:val="16"/>
                          <w:szCs w:val="16"/>
                        </w:rPr>
                      </w:pPr>
                      <w:r>
                        <w:rPr>
                          <w:sz w:val="16"/>
                          <w:szCs w:val="16"/>
                        </w:rPr>
                        <w:t>HR=0.53 (0.43, 0.66)</w:t>
                      </w:r>
                    </w:p>
                    <w:p w14:paraId="5BC4992D" w14:textId="77777777" w:rsidR="00251D48" w:rsidRDefault="00251D48" w:rsidP="003A503B">
                      <w:pPr>
                        <w:spacing w:after="0" w:line="276" w:lineRule="auto"/>
                        <w:jc w:val="center"/>
                        <w:rPr>
                          <w:sz w:val="16"/>
                          <w:szCs w:val="16"/>
                        </w:rPr>
                      </w:pPr>
                      <w:r>
                        <w:rPr>
                          <w:sz w:val="16"/>
                          <w:szCs w:val="16"/>
                        </w:rPr>
                        <w:t>P-Value&lt;0.001</w:t>
                      </w:r>
                    </w:p>
                  </w:txbxContent>
                </v:textbox>
              </v:shape>
            </w:pict>
          </mc:Fallback>
        </mc:AlternateContent>
      </w:r>
    </w:p>
    <w:p w14:paraId="3257D503" w14:textId="412929B2" w:rsidR="003A503B" w:rsidRDefault="003A503B" w:rsidP="003A503B"/>
    <w:p w14:paraId="6E93A7B5" w14:textId="77777777" w:rsidR="003A503B" w:rsidRDefault="003A503B" w:rsidP="003A503B"/>
    <w:p w14:paraId="3195BFDE" w14:textId="77777777" w:rsidR="003A503B" w:rsidRDefault="003A503B" w:rsidP="003A503B">
      <w:pPr>
        <w:rPr>
          <w:b/>
          <w:bCs/>
        </w:rPr>
      </w:pPr>
      <w:r>
        <w:rPr>
          <w:b/>
          <w:bCs/>
        </w:rPr>
        <w:br w:type="page"/>
      </w:r>
    </w:p>
    <w:p w14:paraId="2AB6AF1F" w14:textId="5EC4303D" w:rsidR="00864876" w:rsidRDefault="00864876" w:rsidP="00F123E6">
      <w:pPr>
        <w:rPr>
          <w:b/>
          <w:bCs/>
        </w:rPr>
      </w:pPr>
      <w:r>
        <w:rPr>
          <w:noProof/>
          <w:lang w:val="en-GB" w:eastAsia="en-GB"/>
        </w:rPr>
        <w:lastRenderedPageBreak/>
        <w:drawing>
          <wp:inline distT="0" distB="0" distL="0" distR="0" wp14:anchorId="277B715F" wp14:editId="5FC678D1">
            <wp:extent cx="5943600" cy="286550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2865505"/>
                    </a:xfrm>
                    <a:prstGeom prst="rect">
                      <a:avLst/>
                    </a:prstGeom>
                    <a:noFill/>
                  </pic:spPr>
                </pic:pic>
              </a:graphicData>
            </a:graphic>
          </wp:inline>
        </w:drawing>
      </w:r>
    </w:p>
    <w:p w14:paraId="46744F63" w14:textId="4791C72D" w:rsidR="00864876" w:rsidRDefault="00864876" w:rsidP="00F123E6">
      <w:pPr>
        <w:rPr>
          <w:b/>
          <w:bCs/>
        </w:rPr>
      </w:pPr>
      <w:r>
        <w:rPr>
          <w:noProof/>
          <w:lang w:val="en-GB" w:eastAsia="en-GB"/>
        </w:rPr>
        <w:drawing>
          <wp:inline distT="0" distB="0" distL="0" distR="0" wp14:anchorId="3E92D45A" wp14:editId="09F8E193">
            <wp:extent cx="5943600" cy="289767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2897673"/>
                    </a:xfrm>
                    <a:prstGeom prst="rect">
                      <a:avLst/>
                    </a:prstGeom>
                    <a:noFill/>
                  </pic:spPr>
                </pic:pic>
              </a:graphicData>
            </a:graphic>
          </wp:inline>
        </w:drawing>
      </w:r>
    </w:p>
    <w:p w14:paraId="06813DAD" w14:textId="20A78703" w:rsidR="00864876" w:rsidRDefault="00864876" w:rsidP="00F123E6">
      <w:pPr>
        <w:rPr>
          <w:b/>
          <w:bCs/>
        </w:rPr>
      </w:pPr>
    </w:p>
    <w:p w14:paraId="55F349C4" w14:textId="00508F4C" w:rsidR="00864876" w:rsidRDefault="00864876" w:rsidP="00F123E6">
      <w:pPr>
        <w:rPr>
          <w:b/>
          <w:bCs/>
        </w:rPr>
      </w:pPr>
    </w:p>
    <w:p w14:paraId="2D9609C9" w14:textId="14183560" w:rsidR="00864876" w:rsidRDefault="00864876" w:rsidP="00F123E6">
      <w:pPr>
        <w:rPr>
          <w:b/>
          <w:bCs/>
        </w:rPr>
      </w:pPr>
      <w:r>
        <w:rPr>
          <w:noProof/>
          <w:lang w:val="en-GB" w:eastAsia="en-GB"/>
        </w:rPr>
        <w:lastRenderedPageBreak/>
        <w:drawing>
          <wp:inline distT="0" distB="0" distL="0" distR="0" wp14:anchorId="7FC464AF" wp14:editId="33E65A1A">
            <wp:extent cx="5943600" cy="2933146"/>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3600" cy="2933146"/>
                    </a:xfrm>
                    <a:prstGeom prst="rect">
                      <a:avLst/>
                    </a:prstGeom>
                    <a:noFill/>
                  </pic:spPr>
                </pic:pic>
              </a:graphicData>
            </a:graphic>
          </wp:inline>
        </w:drawing>
      </w:r>
    </w:p>
    <w:p w14:paraId="451B9B33" w14:textId="77777777" w:rsidR="00864876" w:rsidRDefault="00864876" w:rsidP="00F123E6">
      <w:pPr>
        <w:rPr>
          <w:b/>
          <w:bCs/>
        </w:rPr>
      </w:pPr>
    </w:p>
    <w:p w14:paraId="244AE25F" w14:textId="77777777" w:rsidR="00864876" w:rsidRDefault="00864876" w:rsidP="00F123E6">
      <w:pPr>
        <w:rPr>
          <w:b/>
          <w:bCs/>
        </w:rPr>
      </w:pPr>
    </w:p>
    <w:p w14:paraId="58EE7DE4" w14:textId="08EDC27D" w:rsidR="003A503B" w:rsidRDefault="00853653" w:rsidP="00F123E6">
      <w:pPr>
        <w:rPr>
          <w:b/>
          <w:bCs/>
        </w:rPr>
      </w:pPr>
      <w:r>
        <w:rPr>
          <w:b/>
          <w:bCs/>
        </w:rPr>
        <w:t>Figure</w:t>
      </w:r>
      <w:r w:rsidR="003A503B">
        <w:rPr>
          <w:b/>
          <w:bCs/>
        </w:rPr>
        <w:t xml:space="preserve"> 3. Risk </w:t>
      </w:r>
      <w:r w:rsidR="00C57DFD">
        <w:rPr>
          <w:b/>
          <w:bCs/>
        </w:rPr>
        <w:t xml:space="preserve">comparison </w:t>
      </w:r>
      <w:r w:rsidR="003A503B">
        <w:rPr>
          <w:b/>
          <w:bCs/>
        </w:rPr>
        <w:t xml:space="preserve">by treatment allocation and subgroups of interest, for the combined </w:t>
      </w:r>
      <w:r w:rsidR="00D66C25">
        <w:rPr>
          <w:b/>
          <w:bCs/>
        </w:rPr>
        <w:t>Secondary</w:t>
      </w:r>
      <w:r w:rsidR="003A503B">
        <w:rPr>
          <w:b/>
          <w:bCs/>
        </w:rPr>
        <w:t>: eGFR decrease &gt;=40% to &lt;60</w:t>
      </w:r>
      <w:r w:rsidR="00D343EC">
        <w:rPr>
          <w:b/>
          <w:bCs/>
        </w:rPr>
        <w:t xml:space="preserve"> ml/min/1.73 m</w:t>
      </w:r>
      <w:r w:rsidR="00D343EC" w:rsidRPr="002118D7">
        <w:rPr>
          <w:b/>
          <w:bCs/>
          <w:vertAlign w:val="superscript"/>
        </w:rPr>
        <w:t>2</w:t>
      </w:r>
      <w:r w:rsidR="003A503B">
        <w:rPr>
          <w:b/>
          <w:bCs/>
        </w:rPr>
        <w:t>; ESRD; or renal death</w:t>
      </w:r>
    </w:p>
    <w:p w14:paraId="5EF14AEA" w14:textId="1BE540A0" w:rsidR="00D343EC" w:rsidRDefault="00D343EC" w:rsidP="00C57DFD">
      <w:pPr>
        <w:pStyle w:val="CommentText"/>
        <w:rPr>
          <w:b/>
          <w:bCs/>
        </w:rPr>
      </w:pPr>
      <w:r>
        <w:rPr>
          <w:b/>
          <w:bCs/>
          <w:noProof/>
          <w:lang w:val="en-GB" w:eastAsia="en-GB"/>
        </w:rPr>
        <w:lastRenderedPageBreak/>
        <w:drawing>
          <wp:inline distT="0" distB="0" distL="0" distR="0" wp14:anchorId="44ECEF79" wp14:editId="3D3FB914">
            <wp:extent cx="6710680" cy="4276414"/>
            <wp:effectExtent l="19050" t="19050" r="13970" b="1016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ECONDARY1 (1) (1).png"/>
                    <pic:cNvPicPr/>
                  </pic:nvPicPr>
                  <pic:blipFill>
                    <a:blip r:embed="rId13">
                      <a:extLst>
                        <a:ext uri="{28A0092B-C50C-407E-A947-70E740481C1C}">
                          <a14:useLocalDpi xmlns:a14="http://schemas.microsoft.com/office/drawing/2010/main" val="0"/>
                        </a:ext>
                      </a:extLst>
                    </a:blip>
                    <a:stretch>
                      <a:fillRect/>
                    </a:stretch>
                  </pic:blipFill>
                  <pic:spPr>
                    <a:xfrm>
                      <a:off x="0" y="0"/>
                      <a:ext cx="6733249" cy="4290796"/>
                    </a:xfrm>
                    <a:prstGeom prst="rect">
                      <a:avLst/>
                    </a:prstGeom>
                    <a:ln>
                      <a:solidFill>
                        <a:schemeClr val="tx1"/>
                      </a:solidFill>
                    </a:ln>
                  </pic:spPr>
                </pic:pic>
              </a:graphicData>
            </a:graphic>
          </wp:inline>
        </w:drawing>
      </w:r>
    </w:p>
    <w:p w14:paraId="1EC0A645" w14:textId="3F5F35A6" w:rsidR="003A503B" w:rsidRDefault="003A503B" w:rsidP="003A503B">
      <w:pPr>
        <w:rPr>
          <w:b/>
          <w:bCs/>
        </w:rPr>
      </w:pPr>
      <w:r>
        <w:rPr>
          <w:noProof/>
          <w:lang w:val="en-GB" w:eastAsia="en-GB"/>
        </w:rPr>
        <mc:AlternateContent>
          <mc:Choice Requires="wps">
            <w:drawing>
              <wp:anchor distT="0" distB="0" distL="114300" distR="114300" simplePos="0" relativeHeight="251643904" behindDoc="0" locked="0" layoutInCell="1" allowOverlap="1" wp14:anchorId="67FA66C9" wp14:editId="0C460C42">
                <wp:simplePos x="0" y="0"/>
                <wp:positionH relativeFrom="column">
                  <wp:posOffset>39370</wp:posOffset>
                </wp:positionH>
                <wp:positionV relativeFrom="paragraph">
                  <wp:posOffset>20320</wp:posOffset>
                </wp:positionV>
                <wp:extent cx="156845" cy="218440"/>
                <wp:effectExtent l="0" t="0" r="0" b="0"/>
                <wp:wrapNone/>
                <wp:docPr id="68" name="Text Box 68"/>
                <wp:cNvGraphicFramePr/>
                <a:graphic xmlns:a="http://schemas.openxmlformats.org/drawingml/2006/main">
                  <a:graphicData uri="http://schemas.microsoft.com/office/word/2010/wordprocessingShape">
                    <wps:wsp>
                      <wps:cNvSpPr txBox="1"/>
                      <wps:spPr>
                        <a:xfrm>
                          <a:off x="0" y="0"/>
                          <a:ext cx="156845" cy="2178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60A39F8" w14:textId="69F4040F" w:rsidR="00251D48" w:rsidRDefault="00251D48" w:rsidP="003A503B">
                            <w:pPr>
                              <w:rPr>
                                <w:rFonts w:asciiTheme="minorBidi" w:hAnsiTheme="minorBidi"/>
                                <w:sz w:val="20"/>
                                <w:szCs w:val="20"/>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7FA66C9" id="Text Box 68" o:spid="_x0000_s1028" type="#_x0000_t202" style="position:absolute;margin-left:3.1pt;margin-top:1.6pt;width:12.35pt;height:17.2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" fillcolor="white [3201]" stroked="f" strokeweight=".5pt">
                <v:textbox>
                  <w:txbxContent>
                    <w:p w14:paraId="360A39F8" w14:textId="69F4040F" w:rsidR="00251D48" w:rsidRDefault="00251D48" w:rsidP="003A503B">
                      <w:pPr>
                        <w:rPr>
                          <w:rFonts w:asciiTheme="minorBidi" w:hAnsiTheme="minorBidi"/>
                          <w:sz w:val="20"/>
                          <w:szCs w:val="20"/>
                        </w:rPr>
                      </w:pPr>
                    </w:p>
                  </w:txbxContent>
                </v:textbox>
              </v:shape>
            </w:pict>
          </mc:Fallback>
        </mc:AlternateContent>
      </w:r>
    </w:p>
    <w:p w14:paraId="5FB7614F" w14:textId="700EAF68" w:rsidR="003A503B" w:rsidRDefault="003A503B" w:rsidP="003A503B">
      <w:pPr>
        <w:rPr>
          <w:b/>
          <w:bCs/>
        </w:rPr>
      </w:pPr>
      <w:r>
        <w:rPr>
          <w:noProof/>
          <w:lang w:val="en-GB" w:eastAsia="en-GB"/>
        </w:rPr>
        <mc:AlternateContent>
          <mc:Choice Requires="wps">
            <w:drawing>
              <wp:anchor distT="0" distB="0" distL="114300" distR="114300" simplePos="0" relativeHeight="251650048" behindDoc="0" locked="0" layoutInCell="1" allowOverlap="1" wp14:anchorId="2DB1CC93" wp14:editId="1901DEC0">
                <wp:simplePos x="0" y="0"/>
                <wp:positionH relativeFrom="column">
                  <wp:posOffset>95885</wp:posOffset>
                </wp:positionH>
                <wp:positionV relativeFrom="paragraph">
                  <wp:posOffset>74930</wp:posOffset>
                </wp:positionV>
                <wp:extent cx="280035" cy="252730"/>
                <wp:effectExtent l="0" t="0" r="5715" b="0"/>
                <wp:wrapNone/>
                <wp:docPr id="67" name="Text Box 67"/>
                <wp:cNvGraphicFramePr/>
                <a:graphic xmlns:a="http://schemas.openxmlformats.org/drawingml/2006/main">
                  <a:graphicData uri="http://schemas.microsoft.com/office/word/2010/wordprocessingShape">
                    <wps:wsp>
                      <wps:cNvSpPr txBox="1"/>
                      <wps:spPr>
                        <a:xfrm>
                          <a:off x="0" y="0"/>
                          <a:ext cx="279400" cy="2520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7C75311" w14:textId="514CAA82" w:rsidR="00251D48" w:rsidRDefault="00251D48" w:rsidP="003A503B">
                            <w:pPr>
                              <w:rPr>
                                <w:rFonts w:asciiTheme="minorBidi" w:hAnsiTheme="minorBidi"/>
                                <w:sz w:val="20"/>
                                <w:szCs w:val="20"/>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B1CC93" id="Text Box 67" o:spid="_x0000_s1029" type="#_x0000_t202" style="position:absolute;margin-left:7.55pt;margin-top:5.9pt;width:22.05pt;height:19.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" fillcolor="white [3201]" stroked="f" strokeweight=".5pt">
                <v:textbox>
                  <w:txbxContent>
                    <w:p w14:paraId="67C75311" w14:textId="514CAA82" w:rsidR="00251D48" w:rsidRDefault="00251D48" w:rsidP="003A503B">
                      <w:pPr>
                        <w:rPr>
                          <w:rFonts w:asciiTheme="minorBidi" w:hAnsiTheme="minorBidi"/>
                          <w:sz w:val="20"/>
                          <w:szCs w:val="20"/>
                        </w:rPr>
                      </w:pPr>
                    </w:p>
                  </w:txbxContent>
                </v:textbox>
              </v:shape>
            </w:pict>
          </mc:Fallback>
        </mc:AlternateContent>
      </w:r>
    </w:p>
    <w:p w14:paraId="060B1639" w14:textId="77777777" w:rsidR="003A503B" w:rsidRDefault="003A503B" w:rsidP="003A503B">
      <w:pPr>
        <w:rPr>
          <w:b/>
          <w:bCs/>
        </w:rPr>
      </w:pPr>
    </w:p>
    <w:p w14:paraId="72603609" w14:textId="3D3999C2" w:rsidR="003A503B" w:rsidRDefault="003A503B" w:rsidP="003A503B">
      <w:pPr>
        <w:rPr>
          <w:b/>
          <w:bCs/>
        </w:rPr>
      </w:pPr>
      <w:r>
        <w:rPr>
          <w:noProof/>
          <w:lang w:val="en-GB" w:eastAsia="en-GB"/>
        </w:rPr>
        <mc:AlternateContent>
          <mc:Choice Requires="wps">
            <w:drawing>
              <wp:anchor distT="0" distB="0" distL="114300" distR="114300" simplePos="0" relativeHeight="251662336" behindDoc="0" locked="0" layoutInCell="1" allowOverlap="1" wp14:anchorId="4895D887" wp14:editId="37A08684">
                <wp:simplePos x="0" y="0"/>
                <wp:positionH relativeFrom="column">
                  <wp:posOffset>60960</wp:posOffset>
                </wp:positionH>
                <wp:positionV relativeFrom="paragraph">
                  <wp:posOffset>83820</wp:posOffset>
                </wp:positionV>
                <wp:extent cx="259080" cy="340995"/>
                <wp:effectExtent l="0" t="0" r="7620" b="1905"/>
                <wp:wrapNone/>
                <wp:docPr id="65" name="Text Box 65"/>
                <wp:cNvGraphicFramePr/>
                <a:graphic xmlns:a="http://schemas.openxmlformats.org/drawingml/2006/main">
                  <a:graphicData uri="http://schemas.microsoft.com/office/word/2010/wordprocessingShape">
                    <wps:wsp>
                      <wps:cNvSpPr txBox="1"/>
                      <wps:spPr>
                        <a:xfrm>
                          <a:off x="0" y="0"/>
                          <a:ext cx="259080" cy="3409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769060C" w14:textId="0ABA6F56" w:rsidR="00251D48" w:rsidRDefault="00251D48" w:rsidP="003A503B">
                            <w:pPr>
                              <w:rPr>
                                <w:rFonts w:asciiTheme="minorBidi" w:hAnsiTheme="minorBidi"/>
                                <w:sz w:val="20"/>
                                <w:szCs w:val="20"/>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95D887" id="Text Box 65" o:spid="_x0000_s1030" type="#_x0000_t202" style="position:absolute;margin-left:4.8pt;margin-top:6.6pt;width:20.4pt;height:26.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" fillcolor="white [3201]" stroked="f" strokeweight=".5pt">
                <v:textbox>
                  <w:txbxContent>
                    <w:p w14:paraId="1769060C" w14:textId="0ABA6F56" w:rsidR="00251D48" w:rsidRDefault="00251D48" w:rsidP="003A503B">
                      <w:pPr>
                        <w:rPr>
                          <w:rFonts w:asciiTheme="minorBidi" w:hAnsiTheme="minorBidi"/>
                          <w:sz w:val="20"/>
                          <w:szCs w:val="20"/>
                        </w:rPr>
                      </w:pPr>
                    </w:p>
                  </w:txbxContent>
                </v:textbox>
              </v:shape>
            </w:pict>
          </mc:Fallback>
        </mc:AlternateContent>
      </w:r>
    </w:p>
    <w:p w14:paraId="7005F359" w14:textId="77777777" w:rsidR="003A503B" w:rsidRDefault="003A503B" w:rsidP="003A503B">
      <w:pPr>
        <w:rPr>
          <w:b/>
          <w:bCs/>
        </w:rPr>
      </w:pPr>
    </w:p>
    <w:p w14:paraId="2F5595BE" w14:textId="77777777" w:rsidR="003A503B" w:rsidRDefault="003A503B" w:rsidP="003A503B">
      <w:pPr>
        <w:rPr>
          <w:b/>
          <w:bCs/>
        </w:rPr>
      </w:pPr>
      <w:r>
        <w:rPr>
          <w:b/>
          <w:bCs/>
        </w:rPr>
        <w:br w:type="page"/>
      </w:r>
    </w:p>
    <w:p w14:paraId="015E6FF8" w14:textId="401C306A" w:rsidR="003A503B" w:rsidRPr="0038652E" w:rsidRDefault="00853653" w:rsidP="004A2984">
      <w:pPr>
        <w:rPr>
          <w:rFonts w:ascii="Calibri" w:eastAsia="Times New Roman" w:hAnsi="Calibri" w:cs="Calibri"/>
          <w:color w:val="000000"/>
          <w:vertAlign w:val="superscript"/>
          <w:lang w:val="sv-SE" w:bidi="he-IL"/>
        </w:rPr>
      </w:pPr>
      <w:r>
        <w:rPr>
          <w:b/>
          <w:bCs/>
        </w:rPr>
        <w:lastRenderedPageBreak/>
        <w:t>Figure</w:t>
      </w:r>
      <w:r w:rsidR="003A503B">
        <w:rPr>
          <w:b/>
          <w:bCs/>
        </w:rPr>
        <w:t xml:space="preserve"> 4. Line graph for eGFR plotting model adjusted mean and CI 95% from repeated measures model, by eGFR categories at baseline.</w:t>
      </w:r>
      <w:r w:rsidR="003A503B">
        <w:t xml:space="preserve"> </w:t>
      </w:r>
      <w:r w:rsidR="003A503B" w:rsidRPr="0038652E">
        <w:rPr>
          <w:lang w:val="sv-SE"/>
        </w:rPr>
        <w:t>A. Overall Population B. eGFR&gt;</w:t>
      </w:r>
      <w:r w:rsidR="00FB10AF" w:rsidRPr="0038652E">
        <w:rPr>
          <w:lang w:val="sv-SE"/>
        </w:rPr>
        <w:t>=</w:t>
      </w:r>
      <w:r w:rsidR="003A503B" w:rsidRPr="0038652E">
        <w:rPr>
          <w:lang w:val="sv-SE"/>
        </w:rPr>
        <w:t xml:space="preserve">90 </w:t>
      </w:r>
      <w:r w:rsidR="003A503B" w:rsidRPr="0038652E">
        <w:rPr>
          <w:rFonts w:ascii="Calibri" w:eastAsia="Times New Roman" w:hAnsi="Calibri" w:cs="Calibri"/>
          <w:color w:val="000000"/>
          <w:lang w:val="sv-SE" w:bidi="he-IL"/>
        </w:rPr>
        <w:t>mL/min/1.73m</w:t>
      </w:r>
      <w:r w:rsidR="003A503B" w:rsidRPr="0038652E">
        <w:rPr>
          <w:rFonts w:ascii="Calibri" w:eastAsia="Times New Roman" w:hAnsi="Calibri" w:cs="Calibri"/>
          <w:color w:val="000000"/>
          <w:vertAlign w:val="superscript"/>
          <w:lang w:val="sv-SE" w:bidi="he-IL"/>
        </w:rPr>
        <w:t>2</w:t>
      </w:r>
      <w:r w:rsidR="003A503B" w:rsidRPr="0038652E">
        <w:rPr>
          <w:rFonts w:ascii="Calibri" w:eastAsia="Times New Roman" w:hAnsi="Calibri" w:cs="Calibri"/>
          <w:color w:val="000000"/>
          <w:lang w:val="sv-SE" w:bidi="he-IL"/>
        </w:rPr>
        <w:t xml:space="preserve"> C. </w:t>
      </w:r>
      <w:r w:rsidR="003A503B" w:rsidRPr="0038652E">
        <w:rPr>
          <w:lang w:val="sv-SE"/>
        </w:rPr>
        <w:t>eGFR 60-</w:t>
      </w:r>
      <w:r w:rsidR="004E6F90" w:rsidRPr="0038652E">
        <w:rPr>
          <w:lang w:val="sv-SE"/>
        </w:rPr>
        <w:t>&lt;90</w:t>
      </w:r>
      <w:r w:rsidR="00E03731" w:rsidRPr="0038652E">
        <w:rPr>
          <w:lang w:val="sv-SE"/>
        </w:rPr>
        <w:t xml:space="preserve"> </w:t>
      </w:r>
      <w:r w:rsidR="003A503B" w:rsidRPr="0038652E">
        <w:rPr>
          <w:rFonts w:ascii="Calibri" w:eastAsia="Times New Roman" w:hAnsi="Calibri" w:cs="Calibri"/>
          <w:color w:val="000000"/>
          <w:lang w:val="sv-SE" w:bidi="he-IL"/>
        </w:rPr>
        <w:t>mL/min/1.73m</w:t>
      </w:r>
      <w:r w:rsidR="003A503B" w:rsidRPr="0038652E">
        <w:rPr>
          <w:rFonts w:ascii="Calibri" w:eastAsia="Times New Roman" w:hAnsi="Calibri" w:cs="Calibri"/>
          <w:color w:val="000000"/>
          <w:vertAlign w:val="superscript"/>
          <w:lang w:val="sv-SE" w:bidi="he-IL"/>
        </w:rPr>
        <w:t>2</w:t>
      </w:r>
      <w:r w:rsidR="003A503B" w:rsidRPr="0038652E">
        <w:rPr>
          <w:rFonts w:ascii="Calibri" w:eastAsia="Times New Roman" w:hAnsi="Calibri" w:cs="Calibri"/>
          <w:color w:val="000000"/>
          <w:lang w:val="sv-SE" w:bidi="he-IL"/>
        </w:rPr>
        <w:t xml:space="preserve"> D. </w:t>
      </w:r>
      <w:r w:rsidR="003A503B" w:rsidRPr="0038652E">
        <w:rPr>
          <w:lang w:val="sv-SE"/>
        </w:rPr>
        <w:t xml:space="preserve">eGFR&lt;60 </w:t>
      </w:r>
      <w:r w:rsidR="003A503B" w:rsidRPr="0038652E">
        <w:rPr>
          <w:rFonts w:ascii="Calibri" w:eastAsia="Times New Roman" w:hAnsi="Calibri" w:cs="Calibri"/>
          <w:color w:val="000000"/>
          <w:lang w:val="sv-SE" w:bidi="he-IL"/>
        </w:rPr>
        <w:t>mL/min/1.73m</w:t>
      </w:r>
      <w:r w:rsidR="003A503B" w:rsidRPr="0038652E">
        <w:rPr>
          <w:rFonts w:ascii="Calibri" w:eastAsia="Times New Roman" w:hAnsi="Calibri" w:cs="Calibri"/>
          <w:color w:val="000000"/>
          <w:vertAlign w:val="superscript"/>
          <w:lang w:val="sv-SE" w:bidi="he-IL"/>
        </w:rPr>
        <w:t>2</w:t>
      </w:r>
    </w:p>
    <w:p w14:paraId="1EFA3DAF" w14:textId="77777777" w:rsidR="003A503B" w:rsidRPr="0038652E" w:rsidRDefault="003A503B" w:rsidP="003A503B">
      <w:pPr>
        <w:rPr>
          <w:lang w:val="sv-SE"/>
        </w:rPr>
      </w:pPr>
    </w:p>
    <w:p w14:paraId="011D2C16" w14:textId="722066C3" w:rsidR="003A503B" w:rsidRDefault="00D36C83" w:rsidP="003A503B">
      <w:r>
        <w:rPr>
          <w:noProof/>
          <w:lang w:val="en-GB" w:eastAsia="en-GB"/>
        </w:rPr>
        <mc:AlternateContent>
          <mc:Choice Requires="wps">
            <w:drawing>
              <wp:anchor distT="0" distB="0" distL="114300" distR="114300" simplePos="0" relativeHeight="251581952" behindDoc="0" locked="0" layoutInCell="1" allowOverlap="1" wp14:anchorId="1DF3C994" wp14:editId="09E7A043">
                <wp:simplePos x="0" y="0"/>
                <wp:positionH relativeFrom="column">
                  <wp:posOffset>1367790</wp:posOffset>
                </wp:positionH>
                <wp:positionV relativeFrom="paragraph">
                  <wp:posOffset>474345</wp:posOffset>
                </wp:positionV>
                <wp:extent cx="396240" cy="220980"/>
                <wp:effectExtent l="0" t="0" r="0" b="7620"/>
                <wp:wrapNone/>
                <wp:docPr id="62" name="Text Box 62"/>
                <wp:cNvGraphicFramePr/>
                <a:graphic xmlns:a="http://schemas.openxmlformats.org/drawingml/2006/main">
                  <a:graphicData uri="http://schemas.microsoft.com/office/word/2010/wordprocessingShape">
                    <wps:wsp>
                      <wps:cNvSpPr txBox="1"/>
                      <wps:spPr>
                        <a:xfrm>
                          <a:off x="0" y="0"/>
                          <a:ext cx="396240" cy="220980"/>
                        </a:xfrm>
                        <a:prstGeom prst="rect">
                          <a:avLst/>
                        </a:prstGeom>
                        <a:noFill/>
                        <a:ln w="6350">
                          <a:noFill/>
                        </a:ln>
                      </wps:spPr>
                      <wps:txbx>
                        <w:txbxContent>
                          <w:p w14:paraId="6058EA80" w14:textId="44CBFF6A" w:rsidR="00251D48" w:rsidRDefault="00251D48" w:rsidP="003A503B">
                            <w:pPr>
                              <w:rPr>
                                <w:sz w:val="18"/>
                                <w:szCs w:val="18"/>
                              </w:rPr>
                            </w:pPr>
                            <w:r>
                              <w:rPr>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F3C994" id="Text Box 62" o:spid="_x0000_s1031" type="#_x0000_t202" style="position:absolute;margin-left:107.7pt;margin-top:37.35pt;width:31.2pt;height:17.4pt;z-index:25158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" filled="f" stroked="f" strokeweight=".5pt">
                <v:textbox>
                  <w:txbxContent>
                    <w:p w14:paraId="6058EA80" w14:textId="44CBFF6A" w:rsidR="00251D48" w:rsidRDefault="00251D48" w:rsidP="003A503B">
                      <w:pPr>
                        <w:rPr>
                          <w:sz w:val="18"/>
                          <w:szCs w:val="18"/>
                        </w:rPr>
                      </w:pPr>
                      <w:r>
                        <w:rPr>
                          <w:sz w:val="18"/>
                          <w:szCs w:val="18"/>
                        </w:rPr>
                        <w:t>**</w:t>
                      </w:r>
                    </w:p>
                  </w:txbxContent>
                </v:textbox>
              </v:shape>
            </w:pict>
          </mc:Fallback>
        </mc:AlternateContent>
      </w:r>
      <w:r>
        <w:rPr>
          <w:noProof/>
          <w:lang w:val="en-GB" w:eastAsia="en-GB"/>
        </w:rPr>
        <mc:AlternateContent>
          <mc:Choice Requires="wps">
            <w:drawing>
              <wp:anchor distT="0" distB="0" distL="114300" distR="114300" simplePos="0" relativeHeight="251586048" behindDoc="0" locked="0" layoutInCell="1" allowOverlap="1" wp14:anchorId="1B6B84E5" wp14:editId="67744E81">
                <wp:simplePos x="0" y="0"/>
                <wp:positionH relativeFrom="column">
                  <wp:posOffset>1973580</wp:posOffset>
                </wp:positionH>
                <wp:positionV relativeFrom="paragraph">
                  <wp:posOffset>653415</wp:posOffset>
                </wp:positionV>
                <wp:extent cx="381000" cy="232410"/>
                <wp:effectExtent l="0" t="0" r="0" b="0"/>
                <wp:wrapNone/>
                <wp:docPr id="61" name="Text Box 61"/>
                <wp:cNvGraphicFramePr/>
                <a:graphic xmlns:a="http://schemas.openxmlformats.org/drawingml/2006/main">
                  <a:graphicData uri="http://schemas.microsoft.com/office/word/2010/wordprocessingShape">
                    <wps:wsp>
                      <wps:cNvSpPr txBox="1"/>
                      <wps:spPr>
                        <a:xfrm>
                          <a:off x="0" y="0"/>
                          <a:ext cx="381000" cy="232410"/>
                        </a:xfrm>
                        <a:prstGeom prst="rect">
                          <a:avLst/>
                        </a:prstGeom>
                        <a:noFill/>
                        <a:ln w="6350">
                          <a:noFill/>
                        </a:ln>
                      </wps:spPr>
                      <wps:txbx>
                        <w:txbxContent>
                          <w:p w14:paraId="1C60E506" w14:textId="77777777" w:rsidR="00251D48" w:rsidRDefault="00251D48" w:rsidP="003A503B">
                            <w:pPr>
                              <w:rPr>
                                <w:sz w:val="18"/>
                                <w:szCs w:val="18"/>
                              </w:rPr>
                            </w:pPr>
                            <w:r>
                              <w:rPr>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6B84E5" id="Text Box 61" o:spid="_x0000_s1032" type="#_x0000_t202" style="position:absolute;margin-left:155.4pt;margin-top:51.45pt;width:30pt;height:18.3pt;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" filled="f" stroked="f" strokeweight=".5pt">
                <v:textbox>
                  <w:txbxContent>
                    <w:p w14:paraId="1C60E506" w14:textId="77777777" w:rsidR="00251D48" w:rsidRDefault="00251D48" w:rsidP="003A503B">
                      <w:pPr>
                        <w:rPr>
                          <w:sz w:val="18"/>
                          <w:szCs w:val="18"/>
                        </w:rPr>
                      </w:pPr>
                      <w:r>
                        <w:rPr>
                          <w:sz w:val="18"/>
                          <w:szCs w:val="18"/>
                        </w:rPr>
                        <w:t>**</w:t>
                      </w:r>
                    </w:p>
                  </w:txbxContent>
                </v:textbox>
              </v:shape>
            </w:pict>
          </mc:Fallback>
        </mc:AlternateContent>
      </w:r>
      <w:r>
        <w:rPr>
          <w:noProof/>
          <w:lang w:val="en-GB" w:eastAsia="en-GB"/>
        </w:rPr>
        <w:drawing>
          <wp:inline distT="0" distB="0" distL="0" distR="0" wp14:anchorId="095D9041" wp14:editId="3CD5775D">
            <wp:extent cx="5955030" cy="3379470"/>
            <wp:effectExtent l="19050" t="19050" r="26670" b="1143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a:extLst>
                        <a:ext uri="{28A0092B-C50C-407E-A947-70E740481C1C}">
                          <a14:useLocalDpi xmlns:a14="http://schemas.microsoft.com/office/drawing/2010/main" val="0"/>
                        </a:ext>
                      </a:extLst>
                    </a:blip>
                    <a:srcRect t="3692"/>
                    <a:stretch/>
                  </pic:blipFill>
                  <pic:spPr bwMode="auto">
                    <a:xfrm>
                      <a:off x="0" y="0"/>
                      <a:ext cx="5986569" cy="3397368"/>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r>
        <w:rPr>
          <w:noProof/>
          <w:lang w:bidi="he-IL"/>
        </w:rPr>
        <w:t xml:space="preserve"> </w:t>
      </w:r>
      <w:r w:rsidR="003A503B">
        <w:rPr>
          <w:noProof/>
          <w:lang w:val="en-GB" w:eastAsia="en-GB"/>
        </w:rPr>
        <mc:AlternateContent>
          <mc:Choice Requires="wps">
            <w:drawing>
              <wp:anchor distT="0" distB="0" distL="114300" distR="114300" simplePos="0" relativeHeight="251590144" behindDoc="0" locked="0" layoutInCell="1" allowOverlap="1" wp14:anchorId="784FEAC7" wp14:editId="2CEEBEEB">
                <wp:simplePos x="0" y="0"/>
                <wp:positionH relativeFrom="column">
                  <wp:posOffset>4268470</wp:posOffset>
                </wp:positionH>
                <wp:positionV relativeFrom="paragraph">
                  <wp:posOffset>1083945</wp:posOffset>
                </wp:positionV>
                <wp:extent cx="342900" cy="205740"/>
                <wp:effectExtent l="0" t="0" r="0" b="3810"/>
                <wp:wrapNone/>
                <wp:docPr id="64" name="Text Box 64"/>
                <wp:cNvGraphicFramePr/>
                <a:graphic xmlns:a="http://schemas.openxmlformats.org/drawingml/2006/main">
                  <a:graphicData uri="http://schemas.microsoft.com/office/word/2010/wordprocessingShape">
                    <wps:wsp>
                      <wps:cNvSpPr txBox="1"/>
                      <wps:spPr>
                        <a:xfrm>
                          <a:off x="0" y="0"/>
                          <a:ext cx="342900" cy="205740"/>
                        </a:xfrm>
                        <a:prstGeom prst="rect">
                          <a:avLst/>
                        </a:prstGeom>
                        <a:noFill/>
                        <a:ln w="6350">
                          <a:noFill/>
                        </a:ln>
                      </wps:spPr>
                      <wps:txbx>
                        <w:txbxContent>
                          <w:p w14:paraId="7AA4C29E" w14:textId="77777777" w:rsidR="00251D48" w:rsidRDefault="00251D48" w:rsidP="003A503B">
                            <w:pPr>
                              <w:rPr>
                                <w:sz w:val="18"/>
                                <w:szCs w:val="18"/>
                              </w:rPr>
                            </w:pPr>
                            <w:r>
                              <w:rPr>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4FEAC7" id="Text Box 64" o:spid="_x0000_s1033" type="#_x0000_t202" style="position:absolute;margin-left:336.1pt;margin-top:85.35pt;width:27pt;height:16.2pt;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" filled="f" stroked="f" strokeweight=".5pt">
                <v:textbox>
                  <w:txbxContent>
                    <w:p w14:paraId="7AA4C29E" w14:textId="77777777" w:rsidR="00251D48" w:rsidRDefault="00251D48" w:rsidP="003A503B">
                      <w:pPr>
                        <w:rPr>
                          <w:sz w:val="18"/>
                          <w:szCs w:val="18"/>
                        </w:rPr>
                      </w:pPr>
                      <w:r>
                        <w:rPr>
                          <w:sz w:val="18"/>
                          <w:szCs w:val="18"/>
                        </w:rPr>
                        <w:t>**</w:t>
                      </w:r>
                    </w:p>
                  </w:txbxContent>
                </v:textbox>
              </v:shape>
            </w:pict>
          </mc:Fallback>
        </mc:AlternateContent>
      </w:r>
      <w:r w:rsidR="003A503B">
        <w:rPr>
          <w:noProof/>
          <w:lang w:val="en-GB" w:eastAsia="en-GB"/>
        </w:rPr>
        <mc:AlternateContent>
          <mc:Choice Requires="wps">
            <w:drawing>
              <wp:anchor distT="0" distB="0" distL="114300" distR="114300" simplePos="0" relativeHeight="251594240" behindDoc="0" locked="0" layoutInCell="1" allowOverlap="1" wp14:anchorId="5E1F0321" wp14:editId="3F150985">
                <wp:simplePos x="0" y="0"/>
                <wp:positionH relativeFrom="column">
                  <wp:posOffset>5464810</wp:posOffset>
                </wp:positionH>
                <wp:positionV relativeFrom="paragraph">
                  <wp:posOffset>1477010</wp:posOffset>
                </wp:positionV>
                <wp:extent cx="331470" cy="205740"/>
                <wp:effectExtent l="0" t="0" r="0" b="3810"/>
                <wp:wrapNone/>
                <wp:docPr id="63" name="Text Box 63"/>
                <wp:cNvGraphicFramePr/>
                <a:graphic xmlns:a="http://schemas.openxmlformats.org/drawingml/2006/main">
                  <a:graphicData uri="http://schemas.microsoft.com/office/word/2010/wordprocessingShape">
                    <wps:wsp>
                      <wps:cNvSpPr txBox="1"/>
                      <wps:spPr>
                        <a:xfrm>
                          <a:off x="0" y="0"/>
                          <a:ext cx="331470" cy="205740"/>
                        </a:xfrm>
                        <a:prstGeom prst="rect">
                          <a:avLst/>
                        </a:prstGeom>
                        <a:noFill/>
                        <a:ln w="6350">
                          <a:noFill/>
                        </a:ln>
                      </wps:spPr>
                      <wps:txbx>
                        <w:txbxContent>
                          <w:p w14:paraId="168FC720" w14:textId="77777777" w:rsidR="00251D48" w:rsidRDefault="00251D48" w:rsidP="003A503B">
                            <w:pPr>
                              <w:rPr>
                                <w:sz w:val="18"/>
                                <w:szCs w:val="18"/>
                              </w:rPr>
                            </w:pPr>
                            <w:r>
                              <w:rPr>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1F0321" id="Text Box 63" o:spid="_x0000_s1034" type="#_x0000_t202" style="position:absolute;margin-left:430.3pt;margin-top:116.3pt;width:26.1pt;height:16.2pt;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" filled="f" stroked="f" strokeweight=".5pt">
                <v:textbox>
                  <w:txbxContent>
                    <w:p w14:paraId="168FC720" w14:textId="77777777" w:rsidR="00251D48" w:rsidRDefault="00251D48" w:rsidP="003A503B">
                      <w:pPr>
                        <w:rPr>
                          <w:sz w:val="18"/>
                          <w:szCs w:val="18"/>
                        </w:rPr>
                      </w:pPr>
                      <w:r>
                        <w:rPr>
                          <w:sz w:val="18"/>
                          <w:szCs w:val="18"/>
                        </w:rPr>
                        <w:t>**</w:t>
                      </w:r>
                    </w:p>
                  </w:txbxContent>
                </v:textbox>
              </v:shape>
            </w:pict>
          </mc:Fallback>
        </mc:AlternateContent>
      </w:r>
      <w:r w:rsidR="003A503B">
        <w:rPr>
          <w:noProof/>
          <w:lang w:val="en-GB" w:eastAsia="en-GB"/>
        </w:rPr>
        <mc:AlternateContent>
          <mc:Choice Requires="wps">
            <w:drawing>
              <wp:anchor distT="0" distB="0" distL="114300" distR="114300" simplePos="0" relativeHeight="251691008" behindDoc="0" locked="0" layoutInCell="1" allowOverlap="1" wp14:anchorId="5D0D0320" wp14:editId="573DB771">
                <wp:simplePos x="0" y="0"/>
                <wp:positionH relativeFrom="column">
                  <wp:posOffset>93345</wp:posOffset>
                </wp:positionH>
                <wp:positionV relativeFrom="paragraph">
                  <wp:posOffset>102870</wp:posOffset>
                </wp:positionV>
                <wp:extent cx="236220" cy="247650"/>
                <wp:effectExtent l="0" t="0" r="0" b="0"/>
                <wp:wrapNone/>
                <wp:docPr id="60" name="Text Box 60"/>
                <wp:cNvGraphicFramePr/>
                <a:graphic xmlns:a="http://schemas.openxmlformats.org/drawingml/2006/main">
                  <a:graphicData uri="http://schemas.microsoft.com/office/word/2010/wordprocessingShape">
                    <wps:wsp>
                      <wps:cNvSpPr txBox="1"/>
                      <wps:spPr>
                        <a:xfrm>
                          <a:off x="0" y="0"/>
                          <a:ext cx="236220" cy="247650"/>
                        </a:xfrm>
                        <a:prstGeom prst="rect">
                          <a:avLst/>
                        </a:prstGeom>
                        <a:solidFill>
                          <a:schemeClr val="lt1"/>
                        </a:solidFill>
                        <a:ln w="6350">
                          <a:noFill/>
                        </a:ln>
                      </wps:spPr>
                      <wps:txbx>
                        <w:txbxContent>
                          <w:p w14:paraId="216FAF81" w14:textId="77777777" w:rsidR="00251D48" w:rsidRDefault="00251D48" w:rsidP="003A503B">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0D0320" id="Text Box 60" o:spid="_x0000_s1035" type="#_x0000_t202" style="position:absolute;margin-left:7.35pt;margin-top:8.1pt;width:18.6pt;height:19.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" fillcolor="white [3201]" stroked="f" strokeweight=".5pt">
                <v:textbox>
                  <w:txbxContent>
                    <w:p w14:paraId="216FAF81" w14:textId="77777777" w:rsidR="00251D48" w:rsidRDefault="00251D48" w:rsidP="003A503B">
                      <w:r>
                        <w:t>A</w:t>
                      </w:r>
                    </w:p>
                  </w:txbxContent>
                </v:textbox>
              </v:shape>
            </w:pict>
          </mc:Fallback>
        </mc:AlternateContent>
      </w:r>
    </w:p>
    <w:p w14:paraId="5730E7E0" w14:textId="391ECF49" w:rsidR="003A503B" w:rsidRDefault="00D36C83" w:rsidP="003A503B">
      <w:r>
        <w:rPr>
          <w:noProof/>
          <w:lang w:val="en-GB" w:eastAsia="en-GB"/>
        </w:rPr>
        <w:lastRenderedPageBreak/>
        <mc:AlternateContent>
          <mc:Choice Requires="wps">
            <w:drawing>
              <wp:anchor distT="0" distB="0" distL="114300" distR="114300" simplePos="0" relativeHeight="251637248" behindDoc="0" locked="0" layoutInCell="1" allowOverlap="1" wp14:anchorId="31990418" wp14:editId="4A2EFAF4">
                <wp:simplePos x="0" y="0"/>
                <wp:positionH relativeFrom="column">
                  <wp:posOffset>4309110</wp:posOffset>
                </wp:positionH>
                <wp:positionV relativeFrom="paragraph">
                  <wp:posOffset>1717040</wp:posOffset>
                </wp:positionV>
                <wp:extent cx="327660" cy="220980"/>
                <wp:effectExtent l="0" t="0" r="0" b="7620"/>
                <wp:wrapNone/>
                <wp:docPr id="58" name="Text Box 58"/>
                <wp:cNvGraphicFramePr/>
                <a:graphic xmlns:a="http://schemas.openxmlformats.org/drawingml/2006/main">
                  <a:graphicData uri="http://schemas.microsoft.com/office/word/2010/wordprocessingShape">
                    <wps:wsp>
                      <wps:cNvSpPr txBox="1"/>
                      <wps:spPr>
                        <a:xfrm flipH="1">
                          <a:off x="0" y="0"/>
                          <a:ext cx="327660" cy="220980"/>
                        </a:xfrm>
                        <a:prstGeom prst="rect">
                          <a:avLst/>
                        </a:prstGeom>
                        <a:noFill/>
                        <a:ln w="6350">
                          <a:noFill/>
                        </a:ln>
                      </wps:spPr>
                      <wps:txbx>
                        <w:txbxContent>
                          <w:p w14:paraId="13A1B519" w14:textId="77777777" w:rsidR="00251D48" w:rsidRDefault="00251D48" w:rsidP="003A503B">
                            <w:pPr>
                              <w:rPr>
                                <w:sz w:val="18"/>
                                <w:szCs w:val="18"/>
                              </w:rPr>
                            </w:pPr>
                            <w:r>
                              <w:rPr>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990418" id="Text Box 58" o:spid="_x0000_s1036" type="#_x0000_t202" style="position:absolute;margin-left:339.3pt;margin-top:135.2pt;width:25.8pt;height:17.4pt;flip:x;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" filled="f" stroked="f" strokeweight=".5pt">
                <v:textbox>
                  <w:txbxContent>
                    <w:p w14:paraId="13A1B519" w14:textId="77777777" w:rsidR="00251D48" w:rsidRDefault="00251D48" w:rsidP="003A503B">
                      <w:pPr>
                        <w:rPr>
                          <w:sz w:val="18"/>
                          <w:szCs w:val="18"/>
                        </w:rPr>
                      </w:pPr>
                      <w:r>
                        <w:rPr>
                          <w:sz w:val="18"/>
                          <w:szCs w:val="18"/>
                        </w:rPr>
                        <w:t>**</w:t>
                      </w:r>
                    </w:p>
                  </w:txbxContent>
                </v:textbox>
              </v:shape>
            </w:pict>
          </mc:Fallback>
        </mc:AlternateContent>
      </w:r>
      <w:r>
        <w:rPr>
          <w:noProof/>
          <w:lang w:val="en-GB" w:eastAsia="en-GB"/>
        </w:rPr>
        <mc:AlternateContent>
          <mc:Choice Requires="wps">
            <w:drawing>
              <wp:anchor distT="0" distB="0" distL="114300" distR="114300" simplePos="0" relativeHeight="251627008" behindDoc="0" locked="0" layoutInCell="1" allowOverlap="1" wp14:anchorId="3C904225" wp14:editId="36A7B5E7">
                <wp:simplePos x="0" y="0"/>
                <wp:positionH relativeFrom="column">
                  <wp:posOffset>1931670</wp:posOffset>
                </wp:positionH>
                <wp:positionV relativeFrom="paragraph">
                  <wp:posOffset>998220</wp:posOffset>
                </wp:positionV>
                <wp:extent cx="346710" cy="198120"/>
                <wp:effectExtent l="0" t="0" r="0" b="0"/>
                <wp:wrapNone/>
                <wp:docPr id="56" name="Text Box 56"/>
                <wp:cNvGraphicFramePr/>
                <a:graphic xmlns:a="http://schemas.openxmlformats.org/drawingml/2006/main">
                  <a:graphicData uri="http://schemas.microsoft.com/office/word/2010/wordprocessingShape">
                    <wps:wsp>
                      <wps:cNvSpPr txBox="1"/>
                      <wps:spPr>
                        <a:xfrm flipV="1">
                          <a:off x="0" y="0"/>
                          <a:ext cx="346710" cy="198120"/>
                        </a:xfrm>
                        <a:prstGeom prst="rect">
                          <a:avLst/>
                        </a:prstGeom>
                        <a:noFill/>
                        <a:ln w="6350">
                          <a:noFill/>
                        </a:ln>
                      </wps:spPr>
                      <wps:txbx>
                        <w:txbxContent>
                          <w:p w14:paraId="6CB8D35D" w14:textId="77777777" w:rsidR="00251D48" w:rsidRDefault="00251D48" w:rsidP="003A503B">
                            <w:pPr>
                              <w:rPr>
                                <w:sz w:val="18"/>
                                <w:szCs w:val="18"/>
                              </w:rPr>
                            </w:pPr>
                            <w:r>
                              <w:rPr>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904225" id="Text Box 56" o:spid="_x0000_s1037" type="#_x0000_t202" style="position:absolute;margin-left:152.1pt;margin-top:78.6pt;width:27.3pt;height:15.6pt;flip:y;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" filled="f" stroked="f" strokeweight=".5pt">
                <v:textbox>
                  <w:txbxContent>
                    <w:p w14:paraId="6CB8D35D" w14:textId="77777777" w:rsidR="00251D48" w:rsidRDefault="00251D48" w:rsidP="003A503B">
                      <w:pPr>
                        <w:rPr>
                          <w:sz w:val="18"/>
                          <w:szCs w:val="18"/>
                        </w:rPr>
                      </w:pPr>
                      <w:r>
                        <w:rPr>
                          <w:sz w:val="18"/>
                          <w:szCs w:val="18"/>
                        </w:rPr>
                        <w:t>**</w:t>
                      </w:r>
                    </w:p>
                  </w:txbxContent>
                </v:textbox>
              </v:shape>
            </w:pict>
          </mc:Fallback>
        </mc:AlternateContent>
      </w:r>
      <w:r>
        <w:rPr>
          <w:noProof/>
          <w:lang w:val="en-GB" w:eastAsia="en-GB"/>
        </w:rPr>
        <mc:AlternateContent>
          <mc:Choice Requires="wps">
            <w:drawing>
              <wp:anchor distT="0" distB="0" distL="114300" distR="114300" simplePos="0" relativeHeight="251614720" behindDoc="0" locked="0" layoutInCell="1" allowOverlap="1" wp14:anchorId="7726E5CF" wp14:editId="1DF2508C">
                <wp:simplePos x="0" y="0"/>
                <wp:positionH relativeFrom="column">
                  <wp:posOffset>1352550</wp:posOffset>
                </wp:positionH>
                <wp:positionV relativeFrom="paragraph">
                  <wp:posOffset>953770</wp:posOffset>
                </wp:positionV>
                <wp:extent cx="323850" cy="243840"/>
                <wp:effectExtent l="0" t="0" r="0" b="3810"/>
                <wp:wrapNone/>
                <wp:docPr id="55" name="Text Box 55"/>
                <wp:cNvGraphicFramePr/>
                <a:graphic xmlns:a="http://schemas.openxmlformats.org/drawingml/2006/main">
                  <a:graphicData uri="http://schemas.microsoft.com/office/word/2010/wordprocessingShape">
                    <wps:wsp>
                      <wps:cNvSpPr txBox="1"/>
                      <wps:spPr>
                        <a:xfrm>
                          <a:off x="0" y="0"/>
                          <a:ext cx="323850" cy="243840"/>
                        </a:xfrm>
                        <a:prstGeom prst="rect">
                          <a:avLst/>
                        </a:prstGeom>
                        <a:noFill/>
                        <a:ln w="6350">
                          <a:noFill/>
                        </a:ln>
                      </wps:spPr>
                      <wps:txbx>
                        <w:txbxContent>
                          <w:p w14:paraId="2EC51767" w14:textId="77777777" w:rsidR="00251D48" w:rsidRDefault="00251D48" w:rsidP="003A503B">
                            <w:pPr>
                              <w:rPr>
                                <w:sz w:val="18"/>
                                <w:szCs w:val="18"/>
                              </w:rPr>
                            </w:pPr>
                            <w:r>
                              <w:rPr>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26E5CF" id="Text Box 55" o:spid="_x0000_s1038" type="#_x0000_t202" style="position:absolute;margin-left:106.5pt;margin-top:75.1pt;width:25.5pt;height:19.2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" filled="f" stroked="f" strokeweight=".5pt">
                <v:textbox>
                  <w:txbxContent>
                    <w:p w14:paraId="2EC51767" w14:textId="77777777" w:rsidR="00251D48" w:rsidRDefault="00251D48" w:rsidP="003A503B">
                      <w:pPr>
                        <w:rPr>
                          <w:sz w:val="18"/>
                          <w:szCs w:val="18"/>
                        </w:rPr>
                      </w:pPr>
                      <w:r>
                        <w:rPr>
                          <w:sz w:val="18"/>
                          <w:szCs w:val="18"/>
                        </w:rPr>
                        <w:t>**</w:t>
                      </w:r>
                    </w:p>
                  </w:txbxContent>
                </v:textbox>
              </v:shape>
            </w:pict>
          </mc:Fallback>
        </mc:AlternateContent>
      </w:r>
      <w:r>
        <w:rPr>
          <w:noProof/>
          <w:lang w:val="en-GB" w:eastAsia="en-GB"/>
        </w:rPr>
        <mc:AlternateContent>
          <mc:Choice Requires="wps">
            <w:drawing>
              <wp:anchor distT="0" distB="0" distL="114300" distR="114300" simplePos="0" relativeHeight="251649536" behindDoc="0" locked="0" layoutInCell="1" allowOverlap="1" wp14:anchorId="451D1943" wp14:editId="71E852B4">
                <wp:simplePos x="0" y="0"/>
                <wp:positionH relativeFrom="column">
                  <wp:posOffset>5448300</wp:posOffset>
                </wp:positionH>
                <wp:positionV relativeFrom="paragraph">
                  <wp:posOffset>2088515</wp:posOffset>
                </wp:positionV>
                <wp:extent cx="327660" cy="220980"/>
                <wp:effectExtent l="0" t="0" r="0" b="7620"/>
                <wp:wrapNone/>
                <wp:docPr id="57" name="Text Box 57"/>
                <wp:cNvGraphicFramePr/>
                <a:graphic xmlns:a="http://schemas.openxmlformats.org/drawingml/2006/main">
                  <a:graphicData uri="http://schemas.microsoft.com/office/word/2010/wordprocessingShape">
                    <wps:wsp>
                      <wps:cNvSpPr txBox="1"/>
                      <wps:spPr>
                        <a:xfrm flipH="1">
                          <a:off x="0" y="0"/>
                          <a:ext cx="327660" cy="220980"/>
                        </a:xfrm>
                        <a:prstGeom prst="rect">
                          <a:avLst/>
                        </a:prstGeom>
                        <a:noFill/>
                        <a:ln w="6350">
                          <a:noFill/>
                        </a:ln>
                      </wps:spPr>
                      <wps:txbx>
                        <w:txbxContent>
                          <w:p w14:paraId="388307EA" w14:textId="77777777" w:rsidR="00251D48" w:rsidRDefault="00251D48" w:rsidP="003A503B">
                            <w:pPr>
                              <w:rPr>
                                <w:sz w:val="18"/>
                                <w:szCs w:val="18"/>
                              </w:rPr>
                            </w:pPr>
                            <w:r>
                              <w:rPr>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1D1943" id="Text Box 57" o:spid="_x0000_s1039" type="#_x0000_t202" style="position:absolute;margin-left:429pt;margin-top:164.45pt;width:25.8pt;height:17.4pt;flip:x;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" filled="f" stroked="f" strokeweight=".5pt">
                <v:textbox>
                  <w:txbxContent>
                    <w:p w14:paraId="388307EA" w14:textId="77777777" w:rsidR="00251D48" w:rsidRDefault="00251D48" w:rsidP="003A503B">
                      <w:pPr>
                        <w:rPr>
                          <w:sz w:val="18"/>
                          <w:szCs w:val="18"/>
                        </w:rPr>
                      </w:pPr>
                      <w:r>
                        <w:rPr>
                          <w:sz w:val="18"/>
                          <w:szCs w:val="18"/>
                        </w:rPr>
                        <w:t>**</w:t>
                      </w:r>
                    </w:p>
                  </w:txbxContent>
                </v:textbox>
              </v:shape>
            </w:pict>
          </mc:Fallback>
        </mc:AlternateContent>
      </w:r>
      <w:r w:rsidR="003A503B">
        <w:rPr>
          <w:noProof/>
          <w:lang w:val="en-GB" w:eastAsia="en-GB"/>
        </w:rPr>
        <mc:AlternateContent>
          <mc:Choice Requires="wps">
            <w:drawing>
              <wp:anchor distT="0" distB="0" distL="114300" distR="114300" simplePos="0" relativeHeight="251602432" behindDoc="0" locked="0" layoutInCell="1" allowOverlap="1" wp14:anchorId="52BAE47D" wp14:editId="2EE07030">
                <wp:simplePos x="0" y="0"/>
                <wp:positionH relativeFrom="column">
                  <wp:posOffset>91440</wp:posOffset>
                </wp:positionH>
                <wp:positionV relativeFrom="paragraph">
                  <wp:posOffset>201295</wp:posOffset>
                </wp:positionV>
                <wp:extent cx="228600" cy="228600"/>
                <wp:effectExtent l="0" t="0" r="0" b="0"/>
                <wp:wrapNone/>
                <wp:docPr id="59" name="Text Box 59"/>
                <wp:cNvGraphicFramePr/>
                <a:graphic xmlns:a="http://schemas.openxmlformats.org/drawingml/2006/main">
                  <a:graphicData uri="http://schemas.microsoft.com/office/word/2010/wordprocessingShape">
                    <wps:wsp>
                      <wps:cNvSpPr txBox="1"/>
                      <wps:spPr>
                        <a:xfrm>
                          <a:off x="0" y="0"/>
                          <a:ext cx="228600" cy="228600"/>
                        </a:xfrm>
                        <a:prstGeom prst="rect">
                          <a:avLst/>
                        </a:prstGeom>
                        <a:noFill/>
                        <a:ln w="6350">
                          <a:noFill/>
                        </a:ln>
                      </wps:spPr>
                      <wps:txbx>
                        <w:txbxContent>
                          <w:p w14:paraId="00D81BDA" w14:textId="77777777" w:rsidR="00251D48" w:rsidRDefault="00251D48" w:rsidP="003A503B">
                            <w: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2BAE47D" id="Text Box 59" o:spid="_x0000_s1040" type="#_x0000_t202" style="position:absolute;margin-left:7.2pt;margin-top:15.85pt;width:18pt;height:18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" filled="f" stroked="f" strokeweight=".5pt">
                <v:textbox>
                  <w:txbxContent>
                    <w:p w14:paraId="00D81BDA" w14:textId="77777777" w:rsidR="00251D48" w:rsidRDefault="00251D48" w:rsidP="003A503B">
                      <w:r>
                        <w:t>B</w:t>
                      </w:r>
                    </w:p>
                  </w:txbxContent>
                </v:textbox>
              </v:shape>
            </w:pict>
          </mc:Fallback>
        </mc:AlternateContent>
      </w:r>
      <w:r w:rsidR="003A503B">
        <w:rPr>
          <w:noProof/>
          <w:lang w:bidi="he-IL"/>
        </w:rPr>
        <w:t xml:space="preserve">  </w:t>
      </w:r>
      <w:r>
        <w:rPr>
          <w:noProof/>
          <w:lang w:val="en-GB" w:eastAsia="en-GB"/>
        </w:rPr>
        <w:drawing>
          <wp:inline distT="0" distB="0" distL="0" distR="0" wp14:anchorId="79597E22" wp14:editId="5DD3794A">
            <wp:extent cx="5943600" cy="3795395"/>
            <wp:effectExtent l="19050" t="19050" r="19050" b="146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5">
                      <a:extLst>
                        <a:ext uri="{28A0092B-C50C-407E-A947-70E740481C1C}">
                          <a14:useLocalDpi xmlns:a14="http://schemas.microsoft.com/office/drawing/2010/main" val="0"/>
                        </a:ext>
                      </a:extLst>
                    </a:blip>
                    <a:srcRect t="3557" b="673"/>
                    <a:stretch/>
                  </pic:blipFill>
                  <pic:spPr bwMode="auto">
                    <a:xfrm>
                      <a:off x="0" y="0"/>
                      <a:ext cx="5943600" cy="3795395"/>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0A3C4E17" w14:textId="77777777" w:rsidR="003A503B" w:rsidRDefault="003A503B" w:rsidP="003A503B"/>
    <w:p w14:paraId="496B62E4" w14:textId="4FDAD5E4" w:rsidR="003A503B" w:rsidRDefault="00D36C83" w:rsidP="00D36C83">
      <w:r>
        <w:rPr>
          <w:noProof/>
          <w:lang w:val="en-GB" w:eastAsia="en-GB"/>
        </w:rPr>
        <w:lastRenderedPageBreak/>
        <mc:AlternateContent>
          <mc:Choice Requires="wps">
            <w:drawing>
              <wp:anchor distT="0" distB="0" distL="114300" distR="114300" simplePos="0" relativeHeight="251657728" behindDoc="0" locked="0" layoutInCell="1" allowOverlap="1" wp14:anchorId="7C5E1A4F" wp14:editId="758F04B7">
                <wp:simplePos x="0" y="0"/>
                <wp:positionH relativeFrom="column">
                  <wp:posOffset>1398270</wp:posOffset>
                </wp:positionH>
                <wp:positionV relativeFrom="paragraph">
                  <wp:posOffset>529590</wp:posOffset>
                </wp:positionV>
                <wp:extent cx="323850" cy="243840"/>
                <wp:effectExtent l="0" t="0" r="0" b="3810"/>
                <wp:wrapNone/>
                <wp:docPr id="50" name="Text Box 50"/>
                <wp:cNvGraphicFramePr/>
                <a:graphic xmlns:a="http://schemas.openxmlformats.org/drawingml/2006/main">
                  <a:graphicData uri="http://schemas.microsoft.com/office/word/2010/wordprocessingShape">
                    <wps:wsp>
                      <wps:cNvSpPr txBox="1"/>
                      <wps:spPr>
                        <a:xfrm>
                          <a:off x="0" y="0"/>
                          <a:ext cx="323850" cy="243840"/>
                        </a:xfrm>
                        <a:prstGeom prst="rect">
                          <a:avLst/>
                        </a:prstGeom>
                        <a:noFill/>
                        <a:ln w="6350">
                          <a:noFill/>
                        </a:ln>
                      </wps:spPr>
                      <wps:txbx>
                        <w:txbxContent>
                          <w:p w14:paraId="185766F4" w14:textId="77777777" w:rsidR="00251D48" w:rsidRDefault="00251D48" w:rsidP="003A503B">
                            <w:pPr>
                              <w:rPr>
                                <w:sz w:val="18"/>
                                <w:szCs w:val="18"/>
                              </w:rPr>
                            </w:pPr>
                            <w:r>
                              <w:rPr>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5E1A4F" id="Text Box 50" o:spid="_x0000_s1041" type="#_x0000_t202" style="position:absolute;margin-left:110.1pt;margin-top:41.7pt;width:25.5pt;height:19.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" filled="f" stroked="f" strokeweight=".5pt">
                <v:textbox>
                  <w:txbxContent>
                    <w:p w14:paraId="185766F4" w14:textId="77777777" w:rsidR="00251D48" w:rsidRDefault="00251D48" w:rsidP="003A503B">
                      <w:pPr>
                        <w:rPr>
                          <w:sz w:val="18"/>
                          <w:szCs w:val="18"/>
                        </w:rPr>
                      </w:pPr>
                      <w:r>
                        <w:rPr>
                          <w:sz w:val="18"/>
                          <w:szCs w:val="18"/>
                        </w:rPr>
                        <w:t>**</w:t>
                      </w:r>
                    </w:p>
                  </w:txbxContent>
                </v:textbox>
              </v:shape>
            </w:pict>
          </mc:Fallback>
        </mc:AlternateContent>
      </w:r>
      <w:r>
        <w:rPr>
          <w:noProof/>
          <w:lang w:val="en-GB" w:eastAsia="en-GB"/>
        </w:rPr>
        <mc:AlternateContent>
          <mc:Choice Requires="wps">
            <w:drawing>
              <wp:anchor distT="0" distB="0" distL="114300" distR="114300" simplePos="0" relativeHeight="251667968" behindDoc="0" locked="0" layoutInCell="1" allowOverlap="1" wp14:anchorId="5554EFFA" wp14:editId="0611BB0E">
                <wp:simplePos x="0" y="0"/>
                <wp:positionH relativeFrom="column">
                  <wp:posOffset>2007870</wp:posOffset>
                </wp:positionH>
                <wp:positionV relativeFrom="paragraph">
                  <wp:posOffset>579120</wp:posOffset>
                </wp:positionV>
                <wp:extent cx="323850" cy="243840"/>
                <wp:effectExtent l="0" t="0" r="0" b="3810"/>
                <wp:wrapNone/>
                <wp:docPr id="51" name="Text Box 51"/>
                <wp:cNvGraphicFramePr/>
                <a:graphic xmlns:a="http://schemas.openxmlformats.org/drawingml/2006/main">
                  <a:graphicData uri="http://schemas.microsoft.com/office/word/2010/wordprocessingShape">
                    <wps:wsp>
                      <wps:cNvSpPr txBox="1"/>
                      <wps:spPr>
                        <a:xfrm>
                          <a:off x="0" y="0"/>
                          <a:ext cx="323850" cy="243840"/>
                        </a:xfrm>
                        <a:prstGeom prst="rect">
                          <a:avLst/>
                        </a:prstGeom>
                        <a:noFill/>
                        <a:ln w="6350">
                          <a:noFill/>
                        </a:ln>
                      </wps:spPr>
                      <wps:txbx>
                        <w:txbxContent>
                          <w:p w14:paraId="3C5D76AA" w14:textId="77777777" w:rsidR="00251D48" w:rsidRDefault="00251D48" w:rsidP="003A503B">
                            <w:pPr>
                              <w:rPr>
                                <w:sz w:val="18"/>
                                <w:szCs w:val="18"/>
                              </w:rPr>
                            </w:pPr>
                            <w:r>
                              <w:rPr>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54EFFA" id="Text Box 51" o:spid="_x0000_s1042" type="#_x0000_t202" style="position:absolute;margin-left:158.1pt;margin-top:45.6pt;width:25.5pt;height:19.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" filled="f" stroked="f" strokeweight=".5pt">
                <v:textbox>
                  <w:txbxContent>
                    <w:p w14:paraId="3C5D76AA" w14:textId="77777777" w:rsidR="00251D48" w:rsidRDefault="00251D48" w:rsidP="003A503B">
                      <w:pPr>
                        <w:rPr>
                          <w:sz w:val="18"/>
                          <w:szCs w:val="18"/>
                        </w:rPr>
                      </w:pPr>
                      <w:r>
                        <w:rPr>
                          <w:sz w:val="18"/>
                          <w:szCs w:val="18"/>
                        </w:rPr>
                        <w:t>**</w:t>
                      </w:r>
                    </w:p>
                  </w:txbxContent>
                </v:textbox>
              </v:shape>
            </w:pict>
          </mc:Fallback>
        </mc:AlternateContent>
      </w:r>
      <w:r>
        <w:rPr>
          <w:noProof/>
          <w:lang w:val="en-GB" w:eastAsia="en-GB"/>
        </w:rPr>
        <mc:AlternateContent>
          <mc:Choice Requires="wps">
            <w:drawing>
              <wp:anchor distT="0" distB="0" distL="114300" distR="114300" simplePos="0" relativeHeight="251726336" behindDoc="0" locked="0" layoutInCell="1" allowOverlap="1" wp14:anchorId="00C43CF1" wp14:editId="08C0D012">
                <wp:simplePos x="0" y="0"/>
                <wp:positionH relativeFrom="column">
                  <wp:posOffset>1325880</wp:posOffset>
                </wp:positionH>
                <wp:positionV relativeFrom="paragraph">
                  <wp:posOffset>5238115</wp:posOffset>
                </wp:positionV>
                <wp:extent cx="323850" cy="243840"/>
                <wp:effectExtent l="0" t="0" r="0" b="3810"/>
                <wp:wrapNone/>
                <wp:docPr id="47" name="Text Box 47"/>
                <wp:cNvGraphicFramePr/>
                <a:graphic xmlns:a="http://schemas.openxmlformats.org/drawingml/2006/main">
                  <a:graphicData uri="http://schemas.microsoft.com/office/word/2010/wordprocessingShape">
                    <wps:wsp>
                      <wps:cNvSpPr txBox="1"/>
                      <wps:spPr>
                        <a:xfrm>
                          <a:off x="0" y="0"/>
                          <a:ext cx="323850" cy="243840"/>
                        </a:xfrm>
                        <a:prstGeom prst="rect">
                          <a:avLst/>
                        </a:prstGeom>
                        <a:noFill/>
                        <a:ln w="6350">
                          <a:noFill/>
                        </a:ln>
                      </wps:spPr>
                      <wps:txbx>
                        <w:txbxContent>
                          <w:p w14:paraId="16877802" w14:textId="77777777" w:rsidR="00251D48" w:rsidRDefault="00251D48" w:rsidP="003A503B">
                            <w:pPr>
                              <w:rPr>
                                <w:sz w:val="18"/>
                                <w:szCs w:val="18"/>
                              </w:rPr>
                            </w:pPr>
                            <w:r>
                              <w:rPr>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C43CF1" id="Text Box 47" o:spid="_x0000_s1043" type="#_x0000_t202" style="position:absolute;margin-left:104.4pt;margin-top:412.45pt;width:25.5pt;height:19.2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" filled="f" stroked="f" strokeweight=".5pt">
                <v:textbox>
                  <w:txbxContent>
                    <w:p w14:paraId="16877802" w14:textId="77777777" w:rsidR="00251D48" w:rsidRDefault="00251D48" w:rsidP="003A503B">
                      <w:pPr>
                        <w:rPr>
                          <w:sz w:val="18"/>
                          <w:szCs w:val="18"/>
                        </w:rPr>
                      </w:pPr>
                      <w:r>
                        <w:rPr>
                          <w:sz w:val="18"/>
                          <w:szCs w:val="18"/>
                        </w:rPr>
                        <w:t>**</w:t>
                      </w:r>
                    </w:p>
                  </w:txbxContent>
                </v:textbox>
              </v:shape>
            </w:pict>
          </mc:Fallback>
        </mc:AlternateContent>
      </w:r>
      <w:r>
        <w:rPr>
          <w:noProof/>
          <w:lang w:val="en-GB" w:eastAsia="en-GB"/>
        </w:rPr>
        <mc:AlternateContent>
          <mc:Choice Requires="wps">
            <w:drawing>
              <wp:anchor distT="0" distB="0" distL="114300" distR="114300" simplePos="0" relativeHeight="251734528" behindDoc="0" locked="0" layoutInCell="1" allowOverlap="1" wp14:anchorId="69551ED2" wp14:editId="1265CF87">
                <wp:simplePos x="0" y="0"/>
                <wp:positionH relativeFrom="column">
                  <wp:posOffset>1946910</wp:posOffset>
                </wp:positionH>
                <wp:positionV relativeFrom="paragraph">
                  <wp:posOffset>5239385</wp:posOffset>
                </wp:positionV>
                <wp:extent cx="323850" cy="243840"/>
                <wp:effectExtent l="0" t="0" r="0" b="3810"/>
                <wp:wrapNone/>
                <wp:docPr id="48" name="Text Box 48"/>
                <wp:cNvGraphicFramePr/>
                <a:graphic xmlns:a="http://schemas.openxmlformats.org/drawingml/2006/main">
                  <a:graphicData uri="http://schemas.microsoft.com/office/word/2010/wordprocessingShape">
                    <wps:wsp>
                      <wps:cNvSpPr txBox="1"/>
                      <wps:spPr>
                        <a:xfrm>
                          <a:off x="0" y="0"/>
                          <a:ext cx="323850" cy="243840"/>
                        </a:xfrm>
                        <a:prstGeom prst="rect">
                          <a:avLst/>
                        </a:prstGeom>
                        <a:noFill/>
                        <a:ln w="6350">
                          <a:noFill/>
                        </a:ln>
                      </wps:spPr>
                      <wps:txbx>
                        <w:txbxContent>
                          <w:p w14:paraId="0B9DD2B0" w14:textId="77777777" w:rsidR="00251D48" w:rsidRDefault="00251D48" w:rsidP="003A503B">
                            <w:pPr>
                              <w:rPr>
                                <w:sz w:val="18"/>
                                <w:szCs w:val="18"/>
                              </w:rPr>
                            </w:pPr>
                            <w:r>
                              <w:rPr>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551ED2" id="Text Box 48" o:spid="_x0000_s1044" type="#_x0000_t202" style="position:absolute;margin-left:153.3pt;margin-top:412.55pt;width:25.5pt;height:19.2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" filled="f" stroked="f" strokeweight=".5pt">
                <v:textbox>
                  <w:txbxContent>
                    <w:p w14:paraId="0B9DD2B0" w14:textId="77777777" w:rsidR="00251D48" w:rsidRDefault="00251D48" w:rsidP="003A503B">
                      <w:pPr>
                        <w:rPr>
                          <w:sz w:val="18"/>
                          <w:szCs w:val="18"/>
                        </w:rPr>
                      </w:pPr>
                      <w:r>
                        <w:rPr>
                          <w:sz w:val="18"/>
                          <w:szCs w:val="18"/>
                        </w:rPr>
                        <w:t>*</w:t>
                      </w:r>
                    </w:p>
                  </w:txbxContent>
                </v:textbox>
              </v:shape>
            </w:pict>
          </mc:Fallback>
        </mc:AlternateContent>
      </w:r>
      <w:r>
        <w:rPr>
          <w:noProof/>
          <w:lang w:val="en-GB" w:eastAsia="en-GB"/>
        </w:rPr>
        <mc:AlternateContent>
          <mc:Choice Requires="wps">
            <w:drawing>
              <wp:anchor distT="0" distB="0" distL="114300" distR="114300" simplePos="0" relativeHeight="251720192" behindDoc="0" locked="0" layoutInCell="1" allowOverlap="1" wp14:anchorId="27C5BAFA" wp14:editId="08C73666">
                <wp:simplePos x="0" y="0"/>
                <wp:positionH relativeFrom="column">
                  <wp:posOffset>87630</wp:posOffset>
                </wp:positionH>
                <wp:positionV relativeFrom="paragraph">
                  <wp:posOffset>4133850</wp:posOffset>
                </wp:positionV>
                <wp:extent cx="323850" cy="255270"/>
                <wp:effectExtent l="0" t="0" r="0" b="0"/>
                <wp:wrapNone/>
                <wp:docPr id="49" name="Text Box 49"/>
                <wp:cNvGraphicFramePr/>
                <a:graphic xmlns:a="http://schemas.openxmlformats.org/drawingml/2006/main">
                  <a:graphicData uri="http://schemas.microsoft.com/office/word/2010/wordprocessingShape">
                    <wps:wsp>
                      <wps:cNvSpPr txBox="1"/>
                      <wps:spPr>
                        <a:xfrm>
                          <a:off x="0" y="0"/>
                          <a:ext cx="323850" cy="255270"/>
                        </a:xfrm>
                        <a:prstGeom prst="rect">
                          <a:avLst/>
                        </a:prstGeom>
                        <a:noFill/>
                        <a:ln w="6350">
                          <a:noFill/>
                        </a:ln>
                      </wps:spPr>
                      <wps:txbx>
                        <w:txbxContent>
                          <w:p w14:paraId="0C5793E8" w14:textId="77777777" w:rsidR="00251D48" w:rsidRDefault="00251D48" w:rsidP="003A503B">
                            <w:pPr>
                              <w:rPr>
                                <w:sz w:val="18"/>
                                <w:szCs w:val="18"/>
                              </w:rPr>
                            </w:pPr>
                            <w:r>
                              <w:rPr>
                                <w:sz w:val="18"/>
                                <w:szCs w:val="18"/>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C5BAFA" id="Text Box 49" o:spid="_x0000_s1045" type="#_x0000_t202" style="position:absolute;margin-left:6.9pt;margin-top:325.5pt;width:25.5pt;height:20.1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" filled="f" stroked="f" strokeweight=".5pt">
                <v:textbox>
                  <w:txbxContent>
                    <w:p w14:paraId="0C5793E8" w14:textId="77777777" w:rsidR="00251D48" w:rsidRDefault="00251D48" w:rsidP="003A503B">
                      <w:pPr>
                        <w:rPr>
                          <w:sz w:val="18"/>
                          <w:szCs w:val="18"/>
                        </w:rPr>
                      </w:pPr>
                      <w:r>
                        <w:rPr>
                          <w:sz w:val="18"/>
                          <w:szCs w:val="18"/>
                        </w:rPr>
                        <w:t>D</w:t>
                      </w:r>
                    </w:p>
                  </w:txbxContent>
                </v:textbox>
              </v:shape>
            </w:pict>
          </mc:Fallback>
        </mc:AlternateContent>
      </w:r>
      <w:r>
        <w:rPr>
          <w:noProof/>
          <w:lang w:val="en-GB" w:eastAsia="en-GB"/>
        </w:rPr>
        <mc:AlternateContent>
          <mc:Choice Requires="wps">
            <w:drawing>
              <wp:anchor distT="0" distB="0" distL="114300" distR="114300" simplePos="0" relativeHeight="251680256" behindDoc="0" locked="0" layoutInCell="1" allowOverlap="1" wp14:anchorId="0774AF6D" wp14:editId="69324684">
                <wp:simplePos x="0" y="0"/>
                <wp:positionH relativeFrom="column">
                  <wp:posOffset>4377690</wp:posOffset>
                </wp:positionH>
                <wp:positionV relativeFrom="paragraph">
                  <wp:posOffset>1154430</wp:posOffset>
                </wp:positionV>
                <wp:extent cx="323850" cy="243840"/>
                <wp:effectExtent l="0" t="0" r="0" b="3810"/>
                <wp:wrapNone/>
                <wp:docPr id="52" name="Text Box 52"/>
                <wp:cNvGraphicFramePr/>
                <a:graphic xmlns:a="http://schemas.openxmlformats.org/drawingml/2006/main">
                  <a:graphicData uri="http://schemas.microsoft.com/office/word/2010/wordprocessingShape">
                    <wps:wsp>
                      <wps:cNvSpPr txBox="1"/>
                      <wps:spPr>
                        <a:xfrm>
                          <a:off x="0" y="0"/>
                          <a:ext cx="323850" cy="243840"/>
                        </a:xfrm>
                        <a:prstGeom prst="rect">
                          <a:avLst/>
                        </a:prstGeom>
                        <a:noFill/>
                        <a:ln w="6350">
                          <a:noFill/>
                        </a:ln>
                      </wps:spPr>
                      <wps:txbx>
                        <w:txbxContent>
                          <w:p w14:paraId="1EF90701" w14:textId="77777777" w:rsidR="00251D48" w:rsidRDefault="00251D48" w:rsidP="003A503B">
                            <w:pPr>
                              <w:rPr>
                                <w:sz w:val="18"/>
                                <w:szCs w:val="18"/>
                              </w:rPr>
                            </w:pPr>
                            <w:r>
                              <w:rPr>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74AF6D" id="Text Box 52" o:spid="_x0000_s1046" type="#_x0000_t202" style="position:absolute;margin-left:344.7pt;margin-top:90.9pt;width:25.5pt;height:19.2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" filled="f" stroked="f" strokeweight=".5pt">
                <v:textbox>
                  <w:txbxContent>
                    <w:p w14:paraId="1EF90701" w14:textId="77777777" w:rsidR="00251D48" w:rsidRDefault="00251D48" w:rsidP="003A503B">
                      <w:pPr>
                        <w:rPr>
                          <w:sz w:val="18"/>
                          <w:szCs w:val="18"/>
                        </w:rPr>
                      </w:pPr>
                      <w:r>
                        <w:rPr>
                          <w:sz w:val="18"/>
                          <w:szCs w:val="18"/>
                        </w:rPr>
                        <w:t>**</w:t>
                      </w:r>
                    </w:p>
                  </w:txbxContent>
                </v:textbox>
              </v:shape>
            </w:pict>
          </mc:Fallback>
        </mc:AlternateContent>
      </w:r>
      <w:r>
        <w:rPr>
          <w:noProof/>
          <w:lang w:val="en-GB" w:eastAsia="en-GB"/>
        </w:rPr>
        <mc:AlternateContent>
          <mc:Choice Requires="wps">
            <w:drawing>
              <wp:anchor distT="0" distB="0" distL="114300" distR="114300" simplePos="0" relativeHeight="251694592" behindDoc="0" locked="0" layoutInCell="1" allowOverlap="1" wp14:anchorId="0ADD3951" wp14:editId="3497FBC8">
                <wp:simplePos x="0" y="0"/>
                <wp:positionH relativeFrom="column">
                  <wp:posOffset>5539740</wp:posOffset>
                </wp:positionH>
                <wp:positionV relativeFrom="paragraph">
                  <wp:posOffset>1760220</wp:posOffset>
                </wp:positionV>
                <wp:extent cx="323850" cy="194310"/>
                <wp:effectExtent l="0" t="0" r="0" b="0"/>
                <wp:wrapNone/>
                <wp:docPr id="53" name="Text Box 53"/>
                <wp:cNvGraphicFramePr/>
                <a:graphic xmlns:a="http://schemas.openxmlformats.org/drawingml/2006/main">
                  <a:graphicData uri="http://schemas.microsoft.com/office/word/2010/wordprocessingShape">
                    <wps:wsp>
                      <wps:cNvSpPr txBox="1"/>
                      <wps:spPr>
                        <a:xfrm>
                          <a:off x="0" y="0"/>
                          <a:ext cx="323850" cy="194310"/>
                        </a:xfrm>
                        <a:prstGeom prst="rect">
                          <a:avLst/>
                        </a:prstGeom>
                        <a:noFill/>
                        <a:ln w="6350">
                          <a:noFill/>
                        </a:ln>
                      </wps:spPr>
                      <wps:txbx>
                        <w:txbxContent>
                          <w:p w14:paraId="7BBD441D" w14:textId="77777777" w:rsidR="00251D48" w:rsidRDefault="00251D48" w:rsidP="003A503B">
                            <w:pPr>
                              <w:rPr>
                                <w:sz w:val="18"/>
                                <w:szCs w:val="18"/>
                              </w:rPr>
                            </w:pPr>
                            <w:r>
                              <w:rPr>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DD3951" id="Text Box 53" o:spid="_x0000_s1047" type="#_x0000_t202" style="position:absolute;margin-left:436.2pt;margin-top:138.6pt;width:25.5pt;height:15.3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" filled="f" stroked="f" strokeweight=".5pt">
                <v:textbox>
                  <w:txbxContent>
                    <w:p w14:paraId="7BBD441D" w14:textId="77777777" w:rsidR="00251D48" w:rsidRDefault="00251D48" w:rsidP="003A503B">
                      <w:pPr>
                        <w:rPr>
                          <w:sz w:val="18"/>
                          <w:szCs w:val="18"/>
                        </w:rPr>
                      </w:pPr>
                      <w:r>
                        <w:rPr>
                          <w:sz w:val="18"/>
                          <w:szCs w:val="18"/>
                        </w:rPr>
                        <w:t>**</w:t>
                      </w:r>
                    </w:p>
                  </w:txbxContent>
                </v:textbox>
              </v:shape>
            </w:pict>
          </mc:Fallback>
        </mc:AlternateContent>
      </w:r>
      <w:r>
        <w:rPr>
          <w:noProof/>
          <w:lang w:val="en-GB" w:eastAsia="en-GB"/>
        </w:rPr>
        <w:drawing>
          <wp:inline distT="0" distB="0" distL="0" distR="0" wp14:anchorId="03D3E769" wp14:editId="31F3F997">
            <wp:extent cx="5943600" cy="3810635"/>
            <wp:effectExtent l="19050" t="19050" r="19050" b="184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6">
                      <a:extLst>
                        <a:ext uri="{28A0092B-C50C-407E-A947-70E740481C1C}">
                          <a14:useLocalDpi xmlns:a14="http://schemas.microsoft.com/office/drawing/2010/main" val="0"/>
                        </a:ext>
                      </a:extLst>
                    </a:blip>
                    <a:srcRect l="-897" t="3846" r="897"/>
                    <a:stretch/>
                  </pic:blipFill>
                  <pic:spPr bwMode="auto">
                    <a:xfrm>
                      <a:off x="0" y="0"/>
                      <a:ext cx="5943600" cy="3810635"/>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r>
        <w:rPr>
          <w:noProof/>
          <w:lang w:bidi="he-IL"/>
        </w:rPr>
        <w:t xml:space="preserve"> </w:t>
      </w:r>
      <w:r w:rsidR="003A503B">
        <w:rPr>
          <w:noProof/>
          <w:lang w:val="en-GB" w:eastAsia="en-GB"/>
        </w:rPr>
        <mc:AlternateContent>
          <mc:Choice Requires="wps">
            <w:drawing>
              <wp:anchor distT="0" distB="0" distL="114300" distR="114300" simplePos="0" relativeHeight="251709952" behindDoc="0" locked="0" layoutInCell="1" allowOverlap="1" wp14:anchorId="211F579B" wp14:editId="7093489B">
                <wp:simplePos x="0" y="0"/>
                <wp:positionH relativeFrom="column">
                  <wp:posOffset>53340</wp:posOffset>
                </wp:positionH>
                <wp:positionV relativeFrom="paragraph">
                  <wp:posOffset>229235</wp:posOffset>
                </wp:positionV>
                <wp:extent cx="285750" cy="300990"/>
                <wp:effectExtent l="0" t="0" r="0" b="3810"/>
                <wp:wrapNone/>
                <wp:docPr id="54" name="Text Box 54"/>
                <wp:cNvGraphicFramePr/>
                <a:graphic xmlns:a="http://schemas.openxmlformats.org/drawingml/2006/main">
                  <a:graphicData uri="http://schemas.microsoft.com/office/word/2010/wordprocessingShape">
                    <wps:wsp>
                      <wps:cNvSpPr txBox="1"/>
                      <wps:spPr>
                        <a:xfrm>
                          <a:off x="0" y="0"/>
                          <a:ext cx="285750" cy="300990"/>
                        </a:xfrm>
                        <a:prstGeom prst="rect">
                          <a:avLst/>
                        </a:prstGeom>
                        <a:noFill/>
                        <a:ln w="6350">
                          <a:noFill/>
                        </a:ln>
                      </wps:spPr>
                      <wps:txbx>
                        <w:txbxContent>
                          <w:p w14:paraId="0A3831CD" w14:textId="77777777" w:rsidR="00251D48" w:rsidRDefault="00251D48" w:rsidP="003A503B">
                            <w:pPr>
                              <w:rPr>
                                <w:sz w:val="18"/>
                                <w:szCs w:val="18"/>
                              </w:rPr>
                            </w:pPr>
                            <w:r>
                              <w:rPr>
                                <w:sz w:val="18"/>
                                <w:szCs w:val="18"/>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1F579B" id="Text Box 54" o:spid="_x0000_s1048" type="#_x0000_t202" style="position:absolute;margin-left:4.2pt;margin-top:18.05pt;width:22.5pt;height:23.7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" filled="f" stroked="f" strokeweight=".5pt">
                <v:textbox>
                  <w:txbxContent>
                    <w:p w14:paraId="0A3831CD" w14:textId="77777777" w:rsidR="00251D48" w:rsidRDefault="00251D48" w:rsidP="003A503B">
                      <w:pPr>
                        <w:rPr>
                          <w:sz w:val="18"/>
                          <w:szCs w:val="18"/>
                        </w:rPr>
                      </w:pPr>
                      <w:r>
                        <w:rPr>
                          <w:sz w:val="18"/>
                          <w:szCs w:val="18"/>
                        </w:rPr>
                        <w:t>C</w:t>
                      </w:r>
                    </w:p>
                  </w:txbxContent>
                </v:textbox>
              </v:shape>
            </w:pict>
          </mc:Fallback>
        </mc:AlternateContent>
      </w:r>
      <w:r w:rsidRPr="00D36C83">
        <w:t xml:space="preserve"> </w:t>
      </w:r>
      <w:r>
        <w:rPr>
          <w:noProof/>
          <w:lang w:val="en-GB" w:eastAsia="en-GB"/>
        </w:rPr>
        <w:drawing>
          <wp:inline distT="0" distB="0" distL="0" distR="0" wp14:anchorId="18960504" wp14:editId="10138708">
            <wp:extent cx="5943600" cy="3810635"/>
            <wp:effectExtent l="19050" t="19050" r="19050" b="1841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7">
                      <a:extLst>
                        <a:ext uri="{28A0092B-C50C-407E-A947-70E740481C1C}">
                          <a14:useLocalDpi xmlns:a14="http://schemas.microsoft.com/office/drawing/2010/main" val="0"/>
                        </a:ext>
                      </a:extLst>
                    </a:blip>
                    <a:srcRect t="3846"/>
                    <a:stretch/>
                  </pic:blipFill>
                  <pic:spPr bwMode="auto">
                    <a:xfrm>
                      <a:off x="0" y="0"/>
                      <a:ext cx="5943600" cy="3810635"/>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p>
    <w:p w14:paraId="37BDA231" w14:textId="775EB0C5" w:rsidR="003A503B" w:rsidRDefault="003A503B" w:rsidP="003A503B">
      <w:r>
        <w:t>*. P&lt;0.05, **. P&lt;0.001</w:t>
      </w:r>
    </w:p>
    <w:p w14:paraId="06B07FD0" w14:textId="7844F9EA" w:rsidR="004A2984" w:rsidRDefault="004A2984" w:rsidP="004A2984">
      <w:r>
        <w:lastRenderedPageBreak/>
        <w:t xml:space="preserve">eGFR Means </w:t>
      </w:r>
      <w:r>
        <w:rPr>
          <w:color w:val="FF0000"/>
        </w:rPr>
        <w:t>were adjusted for the stratification variables</w:t>
      </w:r>
      <w:r w:rsidR="00DA0177">
        <w:rPr>
          <w:color w:val="FF0000"/>
        </w:rPr>
        <w:t xml:space="preserve"> of prevalent atherosclerotic cardiovascular disease and hematuria</w:t>
      </w:r>
      <w:r>
        <w:rPr>
          <w:color w:val="FF0000"/>
        </w:rPr>
        <w:t>.</w:t>
      </w:r>
    </w:p>
    <w:p w14:paraId="0103F1B8" w14:textId="763C2F27" w:rsidR="003A503B" w:rsidRDefault="003A503B" w:rsidP="00F123E6">
      <w:pPr>
        <w:rPr>
          <w:b/>
          <w:bCs/>
          <w:sz w:val="28"/>
          <w:szCs w:val="28"/>
        </w:rPr>
      </w:pPr>
      <w:r>
        <w:rPr>
          <w:b/>
          <w:bCs/>
          <w:sz w:val="28"/>
          <w:szCs w:val="28"/>
        </w:rPr>
        <w:t xml:space="preserve">APPENDIX- Tables and </w:t>
      </w:r>
      <w:r w:rsidR="00853653">
        <w:rPr>
          <w:b/>
          <w:bCs/>
          <w:sz w:val="28"/>
          <w:szCs w:val="28"/>
        </w:rPr>
        <w:t>Figure</w:t>
      </w:r>
      <w:r>
        <w:rPr>
          <w:b/>
          <w:bCs/>
          <w:sz w:val="28"/>
          <w:szCs w:val="28"/>
        </w:rPr>
        <w:t>s for DECLARE- renal manuscript</w:t>
      </w:r>
    </w:p>
    <w:p w14:paraId="0F5CD100" w14:textId="77777777" w:rsidR="003A503B" w:rsidRDefault="003A503B" w:rsidP="003A503B">
      <w:pPr>
        <w:rPr>
          <w:b/>
          <w:bCs/>
          <w:lang w:bidi="he-IL"/>
        </w:rPr>
      </w:pPr>
      <w:r>
        <w:rPr>
          <w:b/>
          <w:bCs/>
        </w:rPr>
        <w:t>T</w:t>
      </w:r>
      <w:r>
        <w:rPr>
          <w:b/>
          <w:bCs/>
          <w:lang w:bidi="he-IL"/>
        </w:rPr>
        <w:t>able S1- Baseline characteristics according to eGFR categories at baseline, by treatment allocation</w:t>
      </w:r>
    </w:p>
    <w:tbl>
      <w:tblPr>
        <w:tblW w:w="932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04"/>
        <w:gridCol w:w="1171"/>
        <w:gridCol w:w="1081"/>
        <w:gridCol w:w="1169"/>
        <w:gridCol w:w="1170"/>
        <w:gridCol w:w="1214"/>
        <w:gridCol w:w="1217"/>
      </w:tblGrid>
      <w:tr w:rsidR="00346FD2" w14:paraId="6E40FD32" w14:textId="77777777" w:rsidTr="00D36C83">
        <w:trPr>
          <w:trHeight w:val="288"/>
        </w:trPr>
        <w:tc>
          <w:tcPr>
            <w:tcW w:w="2304" w:type="dxa"/>
            <w:tcBorders>
              <w:top w:val="single" w:sz="4" w:space="0" w:color="auto"/>
              <w:left w:val="single" w:sz="4" w:space="0" w:color="auto"/>
              <w:bottom w:val="single" w:sz="4" w:space="0" w:color="auto"/>
              <w:right w:val="single" w:sz="4" w:space="0" w:color="auto"/>
            </w:tcBorders>
            <w:vAlign w:val="center"/>
          </w:tcPr>
          <w:p w14:paraId="2D54E5F6" w14:textId="77777777" w:rsidR="00346FD2" w:rsidRDefault="00346FD2" w:rsidP="00346FD2">
            <w:pPr>
              <w:rPr>
                <w:rFonts w:ascii="Calibri" w:eastAsia="Times New Roman" w:hAnsi="Calibri" w:cs="Calibri"/>
                <w:b/>
                <w:bCs/>
                <w:color w:val="000000"/>
                <w:sz w:val="18"/>
                <w:szCs w:val="18"/>
                <w:lang w:bidi="he-IL"/>
              </w:rPr>
            </w:pPr>
          </w:p>
        </w:tc>
        <w:tc>
          <w:tcPr>
            <w:tcW w:w="2252" w:type="dxa"/>
            <w:gridSpan w:val="2"/>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tcPr>
          <w:p w14:paraId="7851312D" w14:textId="6853E8DD" w:rsidR="00346FD2" w:rsidRDefault="00346FD2" w:rsidP="00346FD2">
            <w:pPr>
              <w:spacing w:after="0" w:line="240" w:lineRule="auto"/>
              <w:jc w:val="center"/>
              <w:rPr>
                <w:rFonts w:ascii="Calibri" w:eastAsia="Times New Roman" w:hAnsi="Calibri" w:cs="Calibri"/>
                <w:b/>
                <w:bCs/>
                <w:i/>
                <w:iCs/>
                <w:color w:val="000000"/>
                <w:sz w:val="18"/>
                <w:szCs w:val="18"/>
                <w:lang w:bidi="he-IL"/>
              </w:rPr>
            </w:pPr>
            <w:r>
              <w:rPr>
                <w:rFonts w:ascii="Calibri" w:eastAsia="Times New Roman" w:hAnsi="Calibri" w:cs="Calibri"/>
                <w:b/>
                <w:bCs/>
                <w:i/>
                <w:iCs/>
                <w:color w:val="000000"/>
                <w:sz w:val="18"/>
                <w:szCs w:val="18"/>
                <w:u w:val="single"/>
                <w:lang w:bidi="he-IL"/>
              </w:rPr>
              <w:t>eGFR* &gt;90 mL/min/1.73m</w:t>
            </w:r>
            <w:r>
              <w:rPr>
                <w:rFonts w:ascii="Calibri" w:eastAsia="Times New Roman" w:hAnsi="Calibri" w:cs="Calibri"/>
                <w:b/>
                <w:bCs/>
                <w:i/>
                <w:iCs/>
                <w:color w:val="000000"/>
                <w:sz w:val="18"/>
                <w:szCs w:val="18"/>
                <w:u w:val="single"/>
                <w:vertAlign w:val="superscript"/>
                <w:lang w:bidi="he-IL"/>
              </w:rPr>
              <w:t>2</w:t>
            </w:r>
          </w:p>
        </w:tc>
        <w:tc>
          <w:tcPr>
            <w:tcW w:w="2339" w:type="dxa"/>
            <w:gridSpan w:val="2"/>
            <w:tcBorders>
              <w:top w:val="single" w:sz="4" w:space="0" w:color="auto"/>
              <w:left w:val="single" w:sz="4" w:space="0" w:color="auto"/>
              <w:bottom w:val="single" w:sz="4" w:space="0" w:color="auto"/>
              <w:right w:val="single" w:sz="4" w:space="0" w:color="auto"/>
            </w:tcBorders>
            <w:shd w:val="clear" w:color="auto" w:fill="DCE6F1"/>
            <w:vAlign w:val="center"/>
          </w:tcPr>
          <w:p w14:paraId="66F5B99B" w14:textId="53B6CC02" w:rsidR="00346FD2" w:rsidRDefault="00346FD2" w:rsidP="00346FD2">
            <w:pPr>
              <w:spacing w:after="0" w:line="240" w:lineRule="auto"/>
              <w:jc w:val="center"/>
              <w:rPr>
                <w:rFonts w:ascii="Calibri" w:eastAsia="Times New Roman" w:hAnsi="Calibri" w:cs="Calibri"/>
                <w:b/>
                <w:bCs/>
                <w:i/>
                <w:iCs/>
                <w:color w:val="000000"/>
                <w:sz w:val="18"/>
                <w:szCs w:val="18"/>
                <w:lang w:bidi="he-IL"/>
              </w:rPr>
            </w:pPr>
            <w:r>
              <w:rPr>
                <w:rFonts w:ascii="Calibri" w:eastAsia="Times New Roman" w:hAnsi="Calibri" w:cs="Calibri"/>
                <w:b/>
                <w:bCs/>
                <w:i/>
                <w:iCs/>
                <w:color w:val="000000"/>
                <w:sz w:val="18"/>
                <w:szCs w:val="18"/>
                <w:u w:val="single"/>
                <w:lang w:bidi="he-IL"/>
              </w:rPr>
              <w:t>eGFR* 60-&lt;90 mL/min/1.73m</w:t>
            </w:r>
            <w:r>
              <w:rPr>
                <w:rFonts w:ascii="Calibri" w:eastAsia="Times New Roman" w:hAnsi="Calibri" w:cs="Calibri"/>
                <w:b/>
                <w:bCs/>
                <w:i/>
                <w:iCs/>
                <w:color w:val="000000"/>
                <w:sz w:val="18"/>
                <w:szCs w:val="18"/>
                <w:u w:val="single"/>
                <w:vertAlign w:val="superscript"/>
                <w:lang w:bidi="he-IL"/>
              </w:rPr>
              <w:t>2</w:t>
            </w:r>
          </w:p>
        </w:tc>
        <w:tc>
          <w:tcPr>
            <w:tcW w:w="2431" w:type="dxa"/>
            <w:gridSpan w:val="2"/>
            <w:tcBorders>
              <w:top w:val="single" w:sz="4" w:space="0" w:color="auto"/>
              <w:left w:val="single" w:sz="4" w:space="0" w:color="auto"/>
              <w:bottom w:val="single" w:sz="4" w:space="0" w:color="auto"/>
              <w:right w:val="single" w:sz="4" w:space="0" w:color="auto"/>
            </w:tcBorders>
            <w:vAlign w:val="center"/>
          </w:tcPr>
          <w:p w14:paraId="07CA2333" w14:textId="68EE0B86" w:rsidR="00346FD2" w:rsidRDefault="00346FD2" w:rsidP="00346FD2">
            <w:pPr>
              <w:spacing w:after="0" w:line="240" w:lineRule="auto"/>
              <w:jc w:val="center"/>
              <w:rPr>
                <w:rFonts w:ascii="Calibri" w:eastAsia="Times New Roman" w:hAnsi="Calibri" w:cs="Calibri"/>
                <w:b/>
                <w:bCs/>
                <w:i/>
                <w:iCs/>
                <w:color w:val="000000"/>
                <w:sz w:val="18"/>
                <w:szCs w:val="18"/>
                <w:lang w:bidi="he-IL"/>
              </w:rPr>
            </w:pPr>
            <w:r>
              <w:rPr>
                <w:rFonts w:ascii="Calibri" w:eastAsia="Times New Roman" w:hAnsi="Calibri" w:cs="Calibri"/>
                <w:b/>
                <w:bCs/>
                <w:i/>
                <w:iCs/>
                <w:color w:val="000000"/>
                <w:sz w:val="18"/>
                <w:szCs w:val="18"/>
                <w:u w:val="single"/>
                <w:lang w:bidi="he-IL"/>
              </w:rPr>
              <w:t>eGFR* &lt;60 mL/min/1.73m</w:t>
            </w:r>
            <w:r>
              <w:rPr>
                <w:rFonts w:ascii="Calibri" w:eastAsia="Times New Roman" w:hAnsi="Calibri" w:cs="Calibri"/>
                <w:b/>
                <w:bCs/>
                <w:i/>
                <w:iCs/>
                <w:color w:val="000000"/>
                <w:sz w:val="18"/>
                <w:szCs w:val="18"/>
                <w:u w:val="single"/>
                <w:vertAlign w:val="superscript"/>
                <w:lang w:bidi="he-IL"/>
              </w:rPr>
              <w:t>2</w:t>
            </w:r>
          </w:p>
        </w:tc>
      </w:tr>
      <w:tr w:rsidR="00346FD2" w14:paraId="1EB39CAB" w14:textId="77777777" w:rsidTr="00D36C83">
        <w:trPr>
          <w:trHeight w:val="288"/>
        </w:trPr>
        <w:tc>
          <w:tcPr>
            <w:tcW w:w="2304" w:type="dxa"/>
            <w:tcBorders>
              <w:top w:val="single" w:sz="4" w:space="0" w:color="auto"/>
              <w:left w:val="single" w:sz="4" w:space="0" w:color="auto"/>
              <w:bottom w:val="single" w:sz="4" w:space="0" w:color="auto"/>
              <w:right w:val="single" w:sz="4" w:space="0" w:color="auto"/>
            </w:tcBorders>
            <w:vAlign w:val="center"/>
            <w:hideMark/>
          </w:tcPr>
          <w:p w14:paraId="0CC451B6" w14:textId="77777777" w:rsidR="00346FD2" w:rsidRDefault="00346FD2" w:rsidP="00346FD2">
            <w:pPr>
              <w:rPr>
                <w:rFonts w:ascii="Calibri" w:eastAsia="Times New Roman" w:hAnsi="Calibri" w:cs="Calibri"/>
                <w:b/>
                <w:bCs/>
                <w:color w:val="000000"/>
                <w:sz w:val="18"/>
                <w:szCs w:val="18"/>
                <w:lang w:bidi="he-IL"/>
              </w:rPr>
            </w:pPr>
          </w:p>
        </w:tc>
        <w:tc>
          <w:tcPr>
            <w:tcW w:w="1171"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hideMark/>
          </w:tcPr>
          <w:p w14:paraId="627F6A56" w14:textId="77777777" w:rsidR="00346FD2" w:rsidRDefault="00346FD2" w:rsidP="00346FD2">
            <w:pPr>
              <w:spacing w:after="0" w:line="240" w:lineRule="auto"/>
              <w:jc w:val="center"/>
              <w:rPr>
                <w:rFonts w:ascii="Calibri" w:eastAsia="Times New Roman" w:hAnsi="Calibri" w:cs="Calibri"/>
                <w:b/>
                <w:bCs/>
                <w:i/>
                <w:iCs/>
                <w:color w:val="000000"/>
                <w:sz w:val="18"/>
                <w:szCs w:val="18"/>
                <w:lang w:bidi="he-IL"/>
              </w:rPr>
            </w:pPr>
            <w:r>
              <w:rPr>
                <w:rFonts w:ascii="Calibri" w:eastAsia="Times New Roman" w:hAnsi="Calibri" w:cs="Calibri"/>
                <w:b/>
                <w:bCs/>
                <w:i/>
                <w:iCs/>
                <w:color w:val="000000"/>
                <w:sz w:val="18"/>
                <w:szCs w:val="18"/>
                <w:lang w:bidi="he-IL"/>
              </w:rPr>
              <w:t>Dapagliflozin (N=4137)</w:t>
            </w:r>
          </w:p>
        </w:tc>
        <w:tc>
          <w:tcPr>
            <w:tcW w:w="1081"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hideMark/>
          </w:tcPr>
          <w:p w14:paraId="4D1F606C" w14:textId="77777777" w:rsidR="00346FD2" w:rsidRDefault="00346FD2" w:rsidP="00346FD2">
            <w:pPr>
              <w:spacing w:after="0" w:line="240" w:lineRule="auto"/>
              <w:jc w:val="center"/>
              <w:rPr>
                <w:rFonts w:ascii="Calibri" w:eastAsia="Times New Roman" w:hAnsi="Calibri" w:cs="Calibri"/>
                <w:b/>
                <w:bCs/>
                <w:i/>
                <w:iCs/>
                <w:color w:val="000000"/>
                <w:sz w:val="18"/>
                <w:szCs w:val="18"/>
                <w:lang w:bidi="he-IL"/>
              </w:rPr>
            </w:pPr>
            <w:r>
              <w:rPr>
                <w:rFonts w:ascii="Calibri" w:eastAsia="Times New Roman" w:hAnsi="Calibri" w:cs="Calibri"/>
                <w:b/>
                <w:bCs/>
                <w:i/>
                <w:iCs/>
                <w:color w:val="000000"/>
                <w:sz w:val="18"/>
                <w:szCs w:val="18"/>
                <w:lang w:bidi="he-IL"/>
              </w:rPr>
              <w:t>Placebo (N=4025)</w:t>
            </w:r>
          </w:p>
        </w:tc>
        <w:tc>
          <w:tcPr>
            <w:tcW w:w="1169" w:type="dxa"/>
            <w:tcBorders>
              <w:top w:val="single" w:sz="4" w:space="0" w:color="auto"/>
              <w:left w:val="single" w:sz="4" w:space="0" w:color="auto"/>
              <w:bottom w:val="single" w:sz="4" w:space="0" w:color="auto"/>
              <w:right w:val="single" w:sz="4" w:space="0" w:color="auto"/>
            </w:tcBorders>
            <w:shd w:val="clear" w:color="auto" w:fill="DCE6F1"/>
            <w:vAlign w:val="center"/>
            <w:hideMark/>
          </w:tcPr>
          <w:p w14:paraId="1F00A6B6" w14:textId="77777777" w:rsidR="00346FD2" w:rsidRDefault="00346FD2" w:rsidP="00346FD2">
            <w:pPr>
              <w:spacing w:after="0" w:line="240" w:lineRule="auto"/>
              <w:jc w:val="center"/>
              <w:rPr>
                <w:rFonts w:ascii="Calibri" w:eastAsia="Times New Roman" w:hAnsi="Calibri" w:cs="Calibri"/>
                <w:b/>
                <w:bCs/>
                <w:color w:val="000000"/>
                <w:sz w:val="18"/>
                <w:szCs w:val="18"/>
                <w:lang w:bidi="he-IL"/>
              </w:rPr>
            </w:pPr>
            <w:r>
              <w:rPr>
                <w:rFonts w:ascii="Calibri" w:eastAsia="Times New Roman" w:hAnsi="Calibri" w:cs="Calibri"/>
                <w:b/>
                <w:bCs/>
                <w:i/>
                <w:iCs/>
                <w:color w:val="000000"/>
                <w:sz w:val="18"/>
                <w:szCs w:val="18"/>
                <w:lang w:bidi="he-IL"/>
              </w:rPr>
              <w:t>Dapagliflozin (N=3838)</w:t>
            </w:r>
          </w:p>
        </w:tc>
        <w:tc>
          <w:tcPr>
            <w:tcW w:w="1170" w:type="dxa"/>
            <w:tcBorders>
              <w:top w:val="single" w:sz="4" w:space="0" w:color="auto"/>
              <w:left w:val="single" w:sz="4" w:space="0" w:color="auto"/>
              <w:bottom w:val="single" w:sz="4" w:space="0" w:color="auto"/>
              <w:right w:val="single" w:sz="4" w:space="0" w:color="auto"/>
            </w:tcBorders>
            <w:shd w:val="clear" w:color="auto" w:fill="DCE6F1"/>
            <w:vAlign w:val="center"/>
            <w:hideMark/>
          </w:tcPr>
          <w:p w14:paraId="7708493D" w14:textId="77777777" w:rsidR="00346FD2" w:rsidRDefault="00346FD2" w:rsidP="00346FD2">
            <w:pPr>
              <w:spacing w:after="0" w:line="240" w:lineRule="auto"/>
              <w:jc w:val="center"/>
              <w:rPr>
                <w:rFonts w:ascii="Calibri" w:eastAsia="Times New Roman" w:hAnsi="Calibri" w:cs="Calibri"/>
                <w:b/>
                <w:bCs/>
                <w:color w:val="000000"/>
                <w:sz w:val="18"/>
                <w:szCs w:val="18"/>
                <w:lang w:bidi="he-IL"/>
              </w:rPr>
            </w:pPr>
            <w:r>
              <w:rPr>
                <w:rFonts w:ascii="Calibri" w:eastAsia="Times New Roman" w:hAnsi="Calibri" w:cs="Calibri"/>
                <w:b/>
                <w:bCs/>
                <w:i/>
                <w:iCs/>
                <w:color w:val="000000"/>
                <w:sz w:val="18"/>
                <w:szCs w:val="18"/>
                <w:lang w:bidi="he-IL"/>
              </w:rPr>
              <w:t>Placebo (N=3894)</w:t>
            </w:r>
          </w:p>
        </w:tc>
        <w:tc>
          <w:tcPr>
            <w:tcW w:w="1214" w:type="dxa"/>
            <w:tcBorders>
              <w:top w:val="single" w:sz="4" w:space="0" w:color="auto"/>
              <w:left w:val="single" w:sz="4" w:space="0" w:color="auto"/>
              <w:bottom w:val="single" w:sz="4" w:space="0" w:color="auto"/>
              <w:right w:val="single" w:sz="4" w:space="0" w:color="auto"/>
            </w:tcBorders>
            <w:vAlign w:val="center"/>
            <w:hideMark/>
          </w:tcPr>
          <w:p w14:paraId="44A514D0" w14:textId="77777777" w:rsidR="00346FD2" w:rsidRDefault="00346FD2" w:rsidP="00346FD2">
            <w:pPr>
              <w:spacing w:after="0" w:line="240" w:lineRule="auto"/>
              <w:jc w:val="center"/>
              <w:rPr>
                <w:rFonts w:ascii="Calibri" w:eastAsia="Times New Roman" w:hAnsi="Calibri" w:cs="Calibri"/>
                <w:b/>
                <w:bCs/>
                <w:color w:val="000000"/>
                <w:sz w:val="18"/>
                <w:szCs w:val="18"/>
                <w:lang w:bidi="he-IL"/>
              </w:rPr>
            </w:pPr>
            <w:r>
              <w:rPr>
                <w:rFonts w:ascii="Calibri" w:eastAsia="Times New Roman" w:hAnsi="Calibri" w:cs="Calibri"/>
                <w:b/>
                <w:bCs/>
                <w:i/>
                <w:iCs/>
                <w:color w:val="000000"/>
                <w:sz w:val="18"/>
                <w:szCs w:val="18"/>
                <w:lang w:bidi="he-IL"/>
              </w:rPr>
              <w:t>Dapagliflozin (N=606)</w:t>
            </w:r>
          </w:p>
        </w:tc>
        <w:tc>
          <w:tcPr>
            <w:tcW w:w="1217" w:type="dxa"/>
            <w:tcBorders>
              <w:top w:val="single" w:sz="4" w:space="0" w:color="auto"/>
              <w:left w:val="single" w:sz="4" w:space="0" w:color="auto"/>
              <w:bottom w:val="single" w:sz="4" w:space="0" w:color="auto"/>
              <w:right w:val="single" w:sz="4" w:space="0" w:color="auto"/>
            </w:tcBorders>
            <w:vAlign w:val="center"/>
            <w:hideMark/>
          </w:tcPr>
          <w:p w14:paraId="0C1C4609" w14:textId="77777777" w:rsidR="00346FD2" w:rsidRDefault="00346FD2" w:rsidP="00346FD2">
            <w:pPr>
              <w:spacing w:after="0" w:line="240" w:lineRule="auto"/>
              <w:jc w:val="center"/>
              <w:rPr>
                <w:rFonts w:ascii="Calibri" w:eastAsia="Times New Roman" w:hAnsi="Calibri" w:cs="Calibri"/>
                <w:b/>
                <w:bCs/>
                <w:color w:val="000000"/>
                <w:sz w:val="18"/>
                <w:szCs w:val="18"/>
                <w:lang w:bidi="he-IL"/>
              </w:rPr>
            </w:pPr>
            <w:r>
              <w:rPr>
                <w:rFonts w:ascii="Calibri" w:eastAsia="Times New Roman" w:hAnsi="Calibri" w:cs="Calibri"/>
                <w:b/>
                <w:bCs/>
                <w:i/>
                <w:iCs/>
                <w:color w:val="000000"/>
                <w:sz w:val="18"/>
                <w:szCs w:val="18"/>
                <w:lang w:bidi="he-IL"/>
              </w:rPr>
              <w:t>Placebo (N=659)</w:t>
            </w:r>
          </w:p>
        </w:tc>
      </w:tr>
      <w:tr w:rsidR="00346FD2" w14:paraId="4C8B0BFF" w14:textId="77777777" w:rsidTr="00D36C83">
        <w:trPr>
          <w:trHeight w:val="288"/>
        </w:trPr>
        <w:tc>
          <w:tcPr>
            <w:tcW w:w="2304" w:type="dxa"/>
            <w:tcBorders>
              <w:top w:val="single" w:sz="4" w:space="0" w:color="auto"/>
              <w:left w:val="single" w:sz="4" w:space="0" w:color="auto"/>
              <w:bottom w:val="single" w:sz="4" w:space="0" w:color="auto"/>
              <w:right w:val="single" w:sz="4" w:space="0" w:color="auto"/>
            </w:tcBorders>
            <w:vAlign w:val="center"/>
            <w:hideMark/>
          </w:tcPr>
          <w:p w14:paraId="6B8E097C" w14:textId="77777777" w:rsidR="00346FD2" w:rsidRDefault="00346FD2" w:rsidP="00346FD2">
            <w:pPr>
              <w:spacing w:after="0" w:line="240" w:lineRule="auto"/>
              <w:rPr>
                <w:rFonts w:ascii="Calibri" w:eastAsia="Times New Roman" w:hAnsi="Calibri" w:cs="Calibri"/>
                <w:b/>
                <w:bCs/>
                <w:color w:val="000000"/>
                <w:sz w:val="18"/>
                <w:szCs w:val="18"/>
                <w:lang w:bidi="he-IL"/>
              </w:rPr>
            </w:pPr>
            <w:r>
              <w:rPr>
                <w:rFonts w:ascii="Calibri" w:eastAsia="Times New Roman" w:hAnsi="Calibri" w:cs="Calibri"/>
                <w:b/>
                <w:bCs/>
                <w:color w:val="000000"/>
                <w:sz w:val="18"/>
                <w:szCs w:val="18"/>
                <w:lang w:bidi="he-IL"/>
              </w:rPr>
              <w:t>Male- n (%)</w:t>
            </w:r>
          </w:p>
        </w:tc>
        <w:tc>
          <w:tcPr>
            <w:tcW w:w="1171"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hideMark/>
          </w:tcPr>
          <w:p w14:paraId="430ED12F" w14:textId="77777777" w:rsidR="00346FD2" w:rsidRDefault="00346FD2" w:rsidP="00346FD2">
            <w:pPr>
              <w:spacing w:after="0" w:line="240" w:lineRule="auto"/>
              <w:jc w:val="center"/>
              <w:rPr>
                <w:rFonts w:ascii="Calibri" w:eastAsia="Times New Roman" w:hAnsi="Calibri" w:cs="Calibri"/>
                <w:color w:val="000000"/>
                <w:sz w:val="18"/>
                <w:szCs w:val="18"/>
                <w:lang w:bidi="he-IL"/>
              </w:rPr>
            </w:pPr>
            <w:r>
              <w:rPr>
                <w:rFonts w:ascii="Calibri" w:eastAsia="Times New Roman" w:hAnsi="Calibri" w:cs="Calibri"/>
                <w:color w:val="000000"/>
                <w:sz w:val="18"/>
                <w:szCs w:val="18"/>
                <w:lang w:bidi="he-IL"/>
              </w:rPr>
              <w:t>2623 (63.4)</w:t>
            </w:r>
          </w:p>
        </w:tc>
        <w:tc>
          <w:tcPr>
            <w:tcW w:w="1081"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hideMark/>
          </w:tcPr>
          <w:p w14:paraId="2A7BCAB9" w14:textId="77777777" w:rsidR="00346FD2" w:rsidRDefault="00346FD2" w:rsidP="00346FD2">
            <w:pPr>
              <w:spacing w:after="0" w:line="240" w:lineRule="auto"/>
              <w:jc w:val="center"/>
              <w:rPr>
                <w:rFonts w:ascii="Calibri" w:eastAsia="Times New Roman" w:hAnsi="Calibri" w:cs="Calibri"/>
                <w:color w:val="000000"/>
                <w:sz w:val="18"/>
                <w:szCs w:val="18"/>
                <w:lang w:bidi="he-IL"/>
              </w:rPr>
            </w:pPr>
            <w:r>
              <w:rPr>
                <w:rFonts w:ascii="Calibri" w:eastAsia="Times New Roman" w:hAnsi="Calibri" w:cs="Calibri"/>
                <w:color w:val="000000"/>
                <w:sz w:val="18"/>
                <w:szCs w:val="18"/>
                <w:lang w:bidi="he-IL"/>
              </w:rPr>
              <w:t>2434 (60.5)</w:t>
            </w:r>
          </w:p>
        </w:tc>
        <w:tc>
          <w:tcPr>
            <w:tcW w:w="1169" w:type="dxa"/>
            <w:tcBorders>
              <w:top w:val="single" w:sz="4" w:space="0" w:color="auto"/>
              <w:left w:val="single" w:sz="4" w:space="0" w:color="auto"/>
              <w:bottom w:val="single" w:sz="4" w:space="0" w:color="auto"/>
              <w:right w:val="single" w:sz="4" w:space="0" w:color="auto"/>
            </w:tcBorders>
            <w:shd w:val="clear" w:color="auto" w:fill="DCE6F1"/>
            <w:noWrap/>
            <w:vAlign w:val="center"/>
            <w:hideMark/>
          </w:tcPr>
          <w:p w14:paraId="70346A18" w14:textId="77777777" w:rsidR="00346FD2" w:rsidRDefault="00346FD2" w:rsidP="00346FD2">
            <w:pPr>
              <w:spacing w:after="0" w:line="240" w:lineRule="auto"/>
              <w:jc w:val="center"/>
              <w:rPr>
                <w:rFonts w:ascii="Calibri" w:eastAsia="Times New Roman" w:hAnsi="Calibri" w:cs="Calibri"/>
                <w:color w:val="000000"/>
                <w:sz w:val="18"/>
                <w:szCs w:val="18"/>
                <w:lang w:bidi="he-IL"/>
              </w:rPr>
            </w:pPr>
            <w:r>
              <w:rPr>
                <w:rFonts w:ascii="Calibri" w:eastAsia="Times New Roman" w:hAnsi="Calibri" w:cs="Calibri"/>
                <w:color w:val="000000"/>
                <w:sz w:val="18"/>
                <w:szCs w:val="18"/>
                <w:lang w:bidi="he-IL"/>
              </w:rPr>
              <w:t>2402 (62.6)</w:t>
            </w:r>
          </w:p>
        </w:tc>
        <w:tc>
          <w:tcPr>
            <w:tcW w:w="1170" w:type="dxa"/>
            <w:tcBorders>
              <w:top w:val="single" w:sz="4" w:space="0" w:color="auto"/>
              <w:left w:val="single" w:sz="4" w:space="0" w:color="auto"/>
              <w:bottom w:val="single" w:sz="4" w:space="0" w:color="auto"/>
              <w:right w:val="single" w:sz="4" w:space="0" w:color="auto"/>
            </w:tcBorders>
            <w:shd w:val="clear" w:color="auto" w:fill="DCE6F1"/>
            <w:noWrap/>
            <w:vAlign w:val="center"/>
            <w:hideMark/>
          </w:tcPr>
          <w:p w14:paraId="25D711B5" w14:textId="77777777" w:rsidR="00346FD2" w:rsidRDefault="00346FD2" w:rsidP="00346FD2">
            <w:pPr>
              <w:spacing w:after="0" w:line="240" w:lineRule="auto"/>
              <w:jc w:val="center"/>
              <w:rPr>
                <w:rFonts w:ascii="Calibri" w:eastAsia="Times New Roman" w:hAnsi="Calibri" w:cs="Calibri"/>
                <w:color w:val="000000"/>
                <w:sz w:val="18"/>
                <w:szCs w:val="18"/>
                <w:lang w:bidi="he-IL"/>
              </w:rPr>
            </w:pPr>
            <w:r>
              <w:rPr>
                <w:rFonts w:ascii="Calibri" w:eastAsia="Times New Roman" w:hAnsi="Calibri" w:cs="Calibri"/>
                <w:color w:val="000000"/>
                <w:sz w:val="18"/>
                <w:szCs w:val="18"/>
                <w:lang w:bidi="he-IL"/>
              </w:rPr>
              <w:t>2464 (63.3)</w:t>
            </w:r>
          </w:p>
        </w:tc>
        <w:tc>
          <w:tcPr>
            <w:tcW w:w="1214" w:type="dxa"/>
            <w:tcBorders>
              <w:top w:val="single" w:sz="4" w:space="0" w:color="auto"/>
              <w:left w:val="single" w:sz="4" w:space="0" w:color="auto"/>
              <w:bottom w:val="single" w:sz="4" w:space="0" w:color="auto"/>
              <w:right w:val="single" w:sz="4" w:space="0" w:color="auto"/>
            </w:tcBorders>
            <w:noWrap/>
            <w:vAlign w:val="center"/>
            <w:hideMark/>
          </w:tcPr>
          <w:p w14:paraId="10D80B9F" w14:textId="77777777" w:rsidR="00346FD2" w:rsidRDefault="00346FD2" w:rsidP="00346FD2">
            <w:pPr>
              <w:spacing w:after="0" w:line="240" w:lineRule="auto"/>
              <w:jc w:val="center"/>
              <w:rPr>
                <w:rFonts w:ascii="Calibri" w:eastAsia="Times New Roman" w:hAnsi="Calibri" w:cs="Calibri"/>
                <w:color w:val="000000"/>
                <w:sz w:val="18"/>
                <w:szCs w:val="18"/>
                <w:lang w:bidi="he-IL"/>
              </w:rPr>
            </w:pPr>
            <w:r>
              <w:rPr>
                <w:rFonts w:ascii="Calibri" w:eastAsia="Times New Roman" w:hAnsi="Calibri" w:cs="Calibri"/>
                <w:color w:val="000000"/>
                <w:sz w:val="18"/>
                <w:szCs w:val="18"/>
                <w:lang w:bidi="he-IL"/>
              </w:rPr>
              <w:t>385 (63.5)</w:t>
            </w:r>
          </w:p>
        </w:tc>
        <w:tc>
          <w:tcPr>
            <w:tcW w:w="1217" w:type="dxa"/>
            <w:tcBorders>
              <w:top w:val="single" w:sz="4" w:space="0" w:color="auto"/>
              <w:left w:val="single" w:sz="4" w:space="0" w:color="auto"/>
              <w:bottom w:val="single" w:sz="4" w:space="0" w:color="auto"/>
              <w:right w:val="single" w:sz="4" w:space="0" w:color="auto"/>
            </w:tcBorders>
            <w:noWrap/>
            <w:vAlign w:val="center"/>
            <w:hideMark/>
          </w:tcPr>
          <w:p w14:paraId="4B429945" w14:textId="77777777" w:rsidR="00346FD2" w:rsidRDefault="00346FD2" w:rsidP="00346FD2">
            <w:pPr>
              <w:spacing w:after="0" w:line="240" w:lineRule="auto"/>
              <w:jc w:val="center"/>
              <w:rPr>
                <w:rFonts w:ascii="Calibri" w:eastAsia="Times New Roman" w:hAnsi="Calibri" w:cs="Calibri"/>
                <w:color w:val="000000"/>
                <w:sz w:val="18"/>
                <w:szCs w:val="18"/>
                <w:lang w:bidi="he-IL"/>
              </w:rPr>
            </w:pPr>
            <w:r>
              <w:rPr>
                <w:rFonts w:ascii="Calibri" w:eastAsia="Times New Roman" w:hAnsi="Calibri" w:cs="Calibri"/>
                <w:color w:val="000000"/>
                <w:sz w:val="18"/>
                <w:szCs w:val="18"/>
                <w:lang w:bidi="he-IL"/>
              </w:rPr>
              <w:t>429 (65.1)</w:t>
            </w:r>
          </w:p>
        </w:tc>
      </w:tr>
      <w:tr w:rsidR="00346FD2" w14:paraId="2706581C" w14:textId="77777777" w:rsidTr="00D36C83">
        <w:trPr>
          <w:trHeight w:val="288"/>
        </w:trPr>
        <w:tc>
          <w:tcPr>
            <w:tcW w:w="2304" w:type="dxa"/>
            <w:tcBorders>
              <w:top w:val="single" w:sz="4" w:space="0" w:color="auto"/>
              <w:left w:val="single" w:sz="4" w:space="0" w:color="auto"/>
              <w:bottom w:val="single" w:sz="4" w:space="0" w:color="auto"/>
              <w:right w:val="single" w:sz="4" w:space="0" w:color="auto"/>
            </w:tcBorders>
            <w:vAlign w:val="center"/>
            <w:hideMark/>
          </w:tcPr>
          <w:p w14:paraId="0D58164C" w14:textId="77777777" w:rsidR="00346FD2" w:rsidRDefault="00346FD2" w:rsidP="00346FD2">
            <w:pPr>
              <w:spacing w:after="0" w:line="240" w:lineRule="auto"/>
              <w:rPr>
                <w:rFonts w:ascii="Calibri" w:eastAsia="Times New Roman" w:hAnsi="Calibri" w:cs="Calibri"/>
                <w:b/>
                <w:bCs/>
                <w:color w:val="000000"/>
                <w:sz w:val="18"/>
                <w:szCs w:val="18"/>
                <w:lang w:bidi="he-IL"/>
              </w:rPr>
            </w:pPr>
            <w:r>
              <w:rPr>
                <w:rFonts w:ascii="Calibri" w:eastAsia="Times New Roman" w:hAnsi="Calibri" w:cs="Calibri"/>
                <w:b/>
                <w:bCs/>
                <w:color w:val="000000"/>
                <w:sz w:val="18"/>
                <w:szCs w:val="18"/>
                <w:lang w:bidi="he-IL"/>
              </w:rPr>
              <w:t>Age (years)- mean± SD</w:t>
            </w:r>
          </w:p>
        </w:tc>
        <w:tc>
          <w:tcPr>
            <w:tcW w:w="1171"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hideMark/>
          </w:tcPr>
          <w:p w14:paraId="075C213A" w14:textId="77777777" w:rsidR="00346FD2" w:rsidRDefault="00346FD2" w:rsidP="00346FD2">
            <w:pPr>
              <w:spacing w:after="0" w:line="240" w:lineRule="auto"/>
              <w:jc w:val="center"/>
              <w:rPr>
                <w:rFonts w:ascii="Calibri" w:eastAsia="Times New Roman" w:hAnsi="Calibri" w:cs="Calibri"/>
                <w:color w:val="000000"/>
                <w:sz w:val="18"/>
                <w:szCs w:val="18"/>
                <w:lang w:bidi="he-IL"/>
              </w:rPr>
            </w:pPr>
            <w:r>
              <w:rPr>
                <w:rFonts w:ascii="Calibri" w:eastAsia="Times New Roman" w:hAnsi="Calibri" w:cs="Calibri"/>
                <w:color w:val="000000"/>
                <w:sz w:val="18"/>
                <w:szCs w:val="18"/>
                <w:lang w:bidi="he-IL"/>
              </w:rPr>
              <w:t>61.3± 6.1</w:t>
            </w:r>
          </w:p>
        </w:tc>
        <w:tc>
          <w:tcPr>
            <w:tcW w:w="1081"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hideMark/>
          </w:tcPr>
          <w:p w14:paraId="747369B6" w14:textId="77777777" w:rsidR="00346FD2" w:rsidRDefault="00346FD2" w:rsidP="00346FD2">
            <w:pPr>
              <w:spacing w:after="0" w:line="240" w:lineRule="auto"/>
              <w:jc w:val="center"/>
              <w:rPr>
                <w:rFonts w:ascii="Calibri" w:eastAsia="Times New Roman" w:hAnsi="Calibri" w:cs="Calibri"/>
                <w:color w:val="000000"/>
                <w:sz w:val="18"/>
                <w:szCs w:val="18"/>
                <w:lang w:bidi="he-IL"/>
              </w:rPr>
            </w:pPr>
            <w:r>
              <w:rPr>
                <w:rFonts w:ascii="Calibri" w:eastAsia="Times New Roman" w:hAnsi="Calibri" w:cs="Calibri"/>
                <w:color w:val="000000"/>
                <w:sz w:val="18"/>
                <w:szCs w:val="18"/>
                <w:lang w:bidi="he-IL"/>
              </w:rPr>
              <w:t>61.2± 6.1</w:t>
            </w:r>
          </w:p>
        </w:tc>
        <w:tc>
          <w:tcPr>
            <w:tcW w:w="1169" w:type="dxa"/>
            <w:tcBorders>
              <w:top w:val="single" w:sz="4" w:space="0" w:color="auto"/>
              <w:left w:val="single" w:sz="4" w:space="0" w:color="auto"/>
              <w:bottom w:val="single" w:sz="4" w:space="0" w:color="auto"/>
              <w:right w:val="single" w:sz="4" w:space="0" w:color="auto"/>
            </w:tcBorders>
            <w:shd w:val="clear" w:color="auto" w:fill="DCE6F1"/>
            <w:noWrap/>
            <w:vAlign w:val="center"/>
            <w:hideMark/>
          </w:tcPr>
          <w:p w14:paraId="6ADF95F3" w14:textId="77777777" w:rsidR="00346FD2" w:rsidRDefault="00346FD2" w:rsidP="00346FD2">
            <w:pPr>
              <w:spacing w:after="0" w:line="240" w:lineRule="auto"/>
              <w:jc w:val="center"/>
              <w:rPr>
                <w:rFonts w:ascii="Calibri" w:eastAsia="Times New Roman" w:hAnsi="Calibri" w:cs="Calibri"/>
                <w:color w:val="000000"/>
                <w:sz w:val="18"/>
                <w:szCs w:val="18"/>
                <w:lang w:bidi="he-IL"/>
              </w:rPr>
            </w:pPr>
            <w:r>
              <w:rPr>
                <w:rFonts w:ascii="Calibri" w:eastAsia="Times New Roman" w:hAnsi="Calibri" w:cs="Calibri"/>
                <w:color w:val="000000"/>
                <w:sz w:val="18"/>
                <w:szCs w:val="18"/>
                <w:lang w:bidi="he-IL"/>
              </w:rPr>
              <w:t>66.2± 6.6</w:t>
            </w:r>
          </w:p>
        </w:tc>
        <w:tc>
          <w:tcPr>
            <w:tcW w:w="1170" w:type="dxa"/>
            <w:tcBorders>
              <w:top w:val="single" w:sz="4" w:space="0" w:color="auto"/>
              <w:left w:val="single" w:sz="4" w:space="0" w:color="auto"/>
              <w:bottom w:val="single" w:sz="4" w:space="0" w:color="auto"/>
              <w:right w:val="single" w:sz="4" w:space="0" w:color="auto"/>
            </w:tcBorders>
            <w:shd w:val="clear" w:color="auto" w:fill="DCE6F1"/>
            <w:noWrap/>
            <w:vAlign w:val="center"/>
            <w:hideMark/>
          </w:tcPr>
          <w:p w14:paraId="1E88894F" w14:textId="77777777" w:rsidR="00346FD2" w:rsidRDefault="00346FD2" w:rsidP="00346FD2">
            <w:pPr>
              <w:spacing w:after="0" w:line="240" w:lineRule="auto"/>
              <w:jc w:val="center"/>
              <w:rPr>
                <w:rFonts w:ascii="Calibri" w:eastAsia="Times New Roman" w:hAnsi="Calibri" w:cs="Calibri"/>
                <w:color w:val="000000"/>
                <w:sz w:val="18"/>
                <w:szCs w:val="18"/>
                <w:lang w:bidi="he-IL"/>
              </w:rPr>
            </w:pPr>
            <w:r>
              <w:rPr>
                <w:rFonts w:ascii="Calibri" w:eastAsia="Times New Roman" w:hAnsi="Calibri" w:cs="Calibri"/>
                <w:color w:val="000000"/>
                <w:sz w:val="18"/>
                <w:szCs w:val="18"/>
                <w:lang w:bidi="he-IL"/>
              </w:rPr>
              <w:t>66.3± 6.4</w:t>
            </w:r>
          </w:p>
        </w:tc>
        <w:tc>
          <w:tcPr>
            <w:tcW w:w="1214" w:type="dxa"/>
            <w:tcBorders>
              <w:top w:val="single" w:sz="4" w:space="0" w:color="auto"/>
              <w:left w:val="single" w:sz="4" w:space="0" w:color="auto"/>
              <w:bottom w:val="single" w:sz="4" w:space="0" w:color="auto"/>
              <w:right w:val="single" w:sz="4" w:space="0" w:color="auto"/>
            </w:tcBorders>
            <w:noWrap/>
            <w:vAlign w:val="center"/>
            <w:hideMark/>
          </w:tcPr>
          <w:p w14:paraId="17D4A05D" w14:textId="77777777" w:rsidR="00346FD2" w:rsidRDefault="00346FD2" w:rsidP="00346FD2">
            <w:pPr>
              <w:spacing w:after="0" w:line="240" w:lineRule="auto"/>
              <w:jc w:val="center"/>
              <w:rPr>
                <w:rFonts w:ascii="Calibri" w:eastAsia="Times New Roman" w:hAnsi="Calibri" w:cs="Calibri"/>
                <w:color w:val="000000"/>
                <w:sz w:val="18"/>
                <w:szCs w:val="18"/>
                <w:lang w:bidi="he-IL"/>
              </w:rPr>
            </w:pPr>
            <w:r>
              <w:rPr>
                <w:rFonts w:ascii="Calibri" w:eastAsia="Times New Roman" w:hAnsi="Calibri" w:cs="Calibri"/>
                <w:color w:val="000000"/>
                <w:sz w:val="18"/>
                <w:szCs w:val="18"/>
                <w:lang w:bidi="he-IL"/>
              </w:rPr>
              <w:t>67.5± 6.2</w:t>
            </w:r>
          </w:p>
        </w:tc>
        <w:tc>
          <w:tcPr>
            <w:tcW w:w="1217" w:type="dxa"/>
            <w:tcBorders>
              <w:top w:val="single" w:sz="4" w:space="0" w:color="auto"/>
              <w:left w:val="single" w:sz="4" w:space="0" w:color="auto"/>
              <w:bottom w:val="single" w:sz="4" w:space="0" w:color="auto"/>
              <w:right w:val="single" w:sz="4" w:space="0" w:color="auto"/>
            </w:tcBorders>
            <w:noWrap/>
            <w:vAlign w:val="center"/>
            <w:hideMark/>
          </w:tcPr>
          <w:p w14:paraId="5318CB0D" w14:textId="77777777" w:rsidR="00346FD2" w:rsidRDefault="00346FD2" w:rsidP="00346FD2">
            <w:pPr>
              <w:spacing w:after="0" w:line="240" w:lineRule="auto"/>
              <w:jc w:val="center"/>
              <w:rPr>
                <w:rFonts w:ascii="Calibri" w:eastAsia="Times New Roman" w:hAnsi="Calibri" w:cs="Calibri"/>
                <w:color w:val="000000"/>
                <w:sz w:val="18"/>
                <w:szCs w:val="18"/>
                <w:lang w:bidi="he-IL"/>
              </w:rPr>
            </w:pPr>
            <w:r>
              <w:rPr>
                <w:rFonts w:ascii="Calibri" w:eastAsia="Times New Roman" w:hAnsi="Calibri" w:cs="Calibri"/>
                <w:color w:val="000000"/>
                <w:sz w:val="18"/>
                <w:szCs w:val="18"/>
                <w:lang w:bidi="he-IL"/>
              </w:rPr>
              <w:t>67.1± 6.9</w:t>
            </w:r>
          </w:p>
        </w:tc>
      </w:tr>
      <w:tr w:rsidR="00346FD2" w14:paraId="4534975E" w14:textId="77777777" w:rsidTr="00D36C83">
        <w:trPr>
          <w:trHeight w:val="288"/>
        </w:trPr>
        <w:tc>
          <w:tcPr>
            <w:tcW w:w="2304" w:type="dxa"/>
            <w:tcBorders>
              <w:top w:val="single" w:sz="4" w:space="0" w:color="auto"/>
              <w:left w:val="single" w:sz="4" w:space="0" w:color="auto"/>
              <w:bottom w:val="single" w:sz="4" w:space="0" w:color="auto"/>
              <w:right w:val="single" w:sz="4" w:space="0" w:color="auto"/>
            </w:tcBorders>
            <w:vAlign w:val="center"/>
            <w:hideMark/>
          </w:tcPr>
          <w:p w14:paraId="37A87643" w14:textId="77777777" w:rsidR="00346FD2" w:rsidRDefault="00346FD2" w:rsidP="00346FD2">
            <w:pPr>
              <w:spacing w:after="0" w:line="240" w:lineRule="auto"/>
              <w:rPr>
                <w:rFonts w:ascii="Calibri" w:eastAsia="Times New Roman" w:hAnsi="Calibri" w:cs="Calibri"/>
                <w:b/>
                <w:bCs/>
                <w:color w:val="000000"/>
                <w:sz w:val="18"/>
                <w:szCs w:val="18"/>
                <w:lang w:bidi="he-IL"/>
              </w:rPr>
            </w:pPr>
            <w:r>
              <w:rPr>
                <w:rFonts w:ascii="Calibri" w:eastAsia="Times New Roman" w:hAnsi="Calibri" w:cs="Calibri"/>
                <w:b/>
                <w:bCs/>
                <w:color w:val="000000"/>
                <w:sz w:val="18"/>
                <w:szCs w:val="18"/>
                <w:lang w:bidi="he-IL"/>
              </w:rPr>
              <w:t>Age &gt;= 75 years- n (%)</w:t>
            </w:r>
          </w:p>
        </w:tc>
        <w:tc>
          <w:tcPr>
            <w:tcW w:w="1171"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hideMark/>
          </w:tcPr>
          <w:p w14:paraId="54CDBA4F" w14:textId="77777777" w:rsidR="00346FD2" w:rsidRDefault="00346FD2" w:rsidP="00346FD2">
            <w:pPr>
              <w:spacing w:after="0" w:line="240" w:lineRule="auto"/>
              <w:jc w:val="center"/>
              <w:rPr>
                <w:rFonts w:ascii="Calibri" w:eastAsia="Times New Roman" w:hAnsi="Calibri" w:cs="Calibri"/>
                <w:color w:val="000000"/>
                <w:sz w:val="18"/>
                <w:szCs w:val="18"/>
                <w:lang w:bidi="he-IL"/>
              </w:rPr>
            </w:pPr>
            <w:r>
              <w:rPr>
                <w:rFonts w:ascii="Calibri" w:eastAsia="Times New Roman" w:hAnsi="Calibri" w:cs="Calibri"/>
                <w:color w:val="000000"/>
                <w:sz w:val="18"/>
                <w:szCs w:val="18"/>
                <w:lang w:bidi="he-IL"/>
              </w:rPr>
              <w:t>50 (1.2)</w:t>
            </w:r>
          </w:p>
        </w:tc>
        <w:tc>
          <w:tcPr>
            <w:tcW w:w="1081"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hideMark/>
          </w:tcPr>
          <w:p w14:paraId="73715DF6" w14:textId="77777777" w:rsidR="00346FD2" w:rsidRDefault="00346FD2" w:rsidP="00346FD2">
            <w:pPr>
              <w:spacing w:after="0" w:line="240" w:lineRule="auto"/>
              <w:jc w:val="center"/>
              <w:rPr>
                <w:rFonts w:ascii="Calibri" w:eastAsia="Times New Roman" w:hAnsi="Calibri" w:cs="Calibri"/>
                <w:color w:val="000000"/>
                <w:sz w:val="18"/>
                <w:szCs w:val="18"/>
                <w:lang w:bidi="he-IL"/>
              </w:rPr>
            </w:pPr>
            <w:r>
              <w:rPr>
                <w:rFonts w:ascii="Calibri" w:eastAsia="Times New Roman" w:hAnsi="Calibri" w:cs="Calibri"/>
                <w:color w:val="000000"/>
                <w:sz w:val="18"/>
                <w:szCs w:val="18"/>
                <w:lang w:bidi="he-IL"/>
              </w:rPr>
              <w:t>45 (1.1)</w:t>
            </w:r>
          </w:p>
        </w:tc>
        <w:tc>
          <w:tcPr>
            <w:tcW w:w="1169" w:type="dxa"/>
            <w:tcBorders>
              <w:top w:val="single" w:sz="4" w:space="0" w:color="auto"/>
              <w:left w:val="single" w:sz="4" w:space="0" w:color="auto"/>
              <w:bottom w:val="single" w:sz="4" w:space="0" w:color="auto"/>
              <w:right w:val="single" w:sz="4" w:space="0" w:color="auto"/>
            </w:tcBorders>
            <w:shd w:val="clear" w:color="auto" w:fill="DCE6F1"/>
            <w:noWrap/>
            <w:vAlign w:val="center"/>
            <w:hideMark/>
          </w:tcPr>
          <w:p w14:paraId="17831136" w14:textId="77777777" w:rsidR="00346FD2" w:rsidRDefault="00346FD2" w:rsidP="00346FD2">
            <w:pPr>
              <w:spacing w:after="0" w:line="240" w:lineRule="auto"/>
              <w:jc w:val="center"/>
              <w:rPr>
                <w:rFonts w:ascii="Calibri" w:eastAsia="Times New Roman" w:hAnsi="Calibri" w:cs="Calibri"/>
                <w:color w:val="000000"/>
                <w:sz w:val="18"/>
                <w:szCs w:val="18"/>
                <w:lang w:bidi="he-IL"/>
              </w:rPr>
            </w:pPr>
            <w:r>
              <w:rPr>
                <w:rFonts w:ascii="Calibri" w:eastAsia="Times New Roman" w:hAnsi="Calibri" w:cs="Calibri"/>
                <w:color w:val="000000"/>
                <w:sz w:val="18"/>
                <w:szCs w:val="18"/>
                <w:lang w:bidi="he-IL"/>
              </w:rPr>
              <w:t>398 (10.4)</w:t>
            </w:r>
          </w:p>
        </w:tc>
        <w:tc>
          <w:tcPr>
            <w:tcW w:w="1170" w:type="dxa"/>
            <w:tcBorders>
              <w:top w:val="single" w:sz="4" w:space="0" w:color="auto"/>
              <w:left w:val="single" w:sz="4" w:space="0" w:color="auto"/>
              <w:bottom w:val="single" w:sz="4" w:space="0" w:color="auto"/>
              <w:right w:val="single" w:sz="4" w:space="0" w:color="auto"/>
            </w:tcBorders>
            <w:shd w:val="clear" w:color="auto" w:fill="DCE6F1"/>
            <w:noWrap/>
            <w:vAlign w:val="center"/>
            <w:hideMark/>
          </w:tcPr>
          <w:p w14:paraId="1A380283" w14:textId="77777777" w:rsidR="00346FD2" w:rsidRDefault="00346FD2" w:rsidP="00346FD2">
            <w:pPr>
              <w:spacing w:after="0" w:line="240" w:lineRule="auto"/>
              <w:jc w:val="center"/>
              <w:rPr>
                <w:rFonts w:ascii="Calibri" w:eastAsia="Times New Roman" w:hAnsi="Calibri" w:cs="Calibri"/>
                <w:color w:val="000000"/>
                <w:sz w:val="18"/>
                <w:szCs w:val="18"/>
                <w:lang w:bidi="he-IL"/>
              </w:rPr>
            </w:pPr>
            <w:r>
              <w:rPr>
                <w:rFonts w:ascii="Calibri" w:eastAsia="Times New Roman" w:hAnsi="Calibri" w:cs="Calibri"/>
                <w:color w:val="000000"/>
                <w:sz w:val="18"/>
                <w:szCs w:val="18"/>
                <w:lang w:bidi="he-IL"/>
              </w:rPr>
              <w:t>420 (10.8)</w:t>
            </w:r>
          </w:p>
        </w:tc>
        <w:tc>
          <w:tcPr>
            <w:tcW w:w="1214" w:type="dxa"/>
            <w:tcBorders>
              <w:top w:val="single" w:sz="4" w:space="0" w:color="auto"/>
              <w:left w:val="single" w:sz="4" w:space="0" w:color="auto"/>
              <w:bottom w:val="single" w:sz="4" w:space="0" w:color="auto"/>
              <w:right w:val="single" w:sz="4" w:space="0" w:color="auto"/>
            </w:tcBorders>
            <w:noWrap/>
            <w:vAlign w:val="center"/>
            <w:hideMark/>
          </w:tcPr>
          <w:p w14:paraId="30138E85" w14:textId="77777777" w:rsidR="00346FD2" w:rsidRDefault="00346FD2" w:rsidP="00346FD2">
            <w:pPr>
              <w:spacing w:after="0" w:line="240" w:lineRule="auto"/>
              <w:jc w:val="center"/>
              <w:rPr>
                <w:rFonts w:ascii="Calibri" w:eastAsia="Times New Roman" w:hAnsi="Calibri" w:cs="Calibri"/>
                <w:color w:val="000000"/>
                <w:sz w:val="18"/>
                <w:szCs w:val="18"/>
                <w:lang w:bidi="he-IL"/>
              </w:rPr>
            </w:pPr>
            <w:r>
              <w:rPr>
                <w:rFonts w:ascii="Calibri" w:eastAsia="Times New Roman" w:hAnsi="Calibri" w:cs="Calibri"/>
                <w:color w:val="000000"/>
                <w:sz w:val="18"/>
                <w:szCs w:val="18"/>
                <w:lang w:bidi="he-IL"/>
              </w:rPr>
              <w:t>90 (14.9)</w:t>
            </w:r>
          </w:p>
        </w:tc>
        <w:tc>
          <w:tcPr>
            <w:tcW w:w="1217" w:type="dxa"/>
            <w:tcBorders>
              <w:top w:val="single" w:sz="4" w:space="0" w:color="auto"/>
              <w:left w:val="single" w:sz="4" w:space="0" w:color="auto"/>
              <w:bottom w:val="single" w:sz="4" w:space="0" w:color="auto"/>
              <w:right w:val="single" w:sz="4" w:space="0" w:color="auto"/>
            </w:tcBorders>
            <w:noWrap/>
            <w:vAlign w:val="center"/>
            <w:hideMark/>
          </w:tcPr>
          <w:p w14:paraId="794F6040" w14:textId="77777777" w:rsidR="00346FD2" w:rsidRDefault="00346FD2" w:rsidP="00346FD2">
            <w:pPr>
              <w:spacing w:after="0" w:line="240" w:lineRule="auto"/>
              <w:jc w:val="center"/>
              <w:rPr>
                <w:rFonts w:ascii="Calibri" w:eastAsia="Times New Roman" w:hAnsi="Calibri" w:cs="Calibri"/>
                <w:color w:val="000000"/>
                <w:sz w:val="18"/>
                <w:szCs w:val="18"/>
                <w:lang w:bidi="he-IL"/>
              </w:rPr>
            </w:pPr>
            <w:r>
              <w:rPr>
                <w:rFonts w:ascii="Calibri" w:eastAsia="Times New Roman" w:hAnsi="Calibri" w:cs="Calibri"/>
                <w:color w:val="000000"/>
                <w:sz w:val="18"/>
                <w:szCs w:val="18"/>
                <w:lang w:bidi="he-IL"/>
              </w:rPr>
              <w:t>93 (14.1)</w:t>
            </w:r>
          </w:p>
        </w:tc>
      </w:tr>
      <w:tr w:rsidR="00346FD2" w14:paraId="6CF0211A" w14:textId="77777777" w:rsidTr="00D36C83">
        <w:trPr>
          <w:trHeight w:val="288"/>
        </w:trPr>
        <w:tc>
          <w:tcPr>
            <w:tcW w:w="2304" w:type="dxa"/>
            <w:tcBorders>
              <w:top w:val="single" w:sz="4" w:space="0" w:color="auto"/>
              <w:left w:val="single" w:sz="4" w:space="0" w:color="auto"/>
              <w:bottom w:val="single" w:sz="4" w:space="0" w:color="auto"/>
              <w:right w:val="single" w:sz="4" w:space="0" w:color="auto"/>
            </w:tcBorders>
            <w:vAlign w:val="center"/>
            <w:hideMark/>
          </w:tcPr>
          <w:p w14:paraId="0FD55C8B" w14:textId="77777777" w:rsidR="00346FD2" w:rsidRDefault="00346FD2" w:rsidP="00346FD2">
            <w:pPr>
              <w:spacing w:after="0" w:line="240" w:lineRule="auto"/>
              <w:rPr>
                <w:rFonts w:ascii="Calibri" w:eastAsia="Times New Roman" w:hAnsi="Calibri" w:cs="Calibri"/>
                <w:b/>
                <w:bCs/>
                <w:color w:val="000000"/>
                <w:sz w:val="18"/>
                <w:szCs w:val="18"/>
                <w:lang w:bidi="he-IL"/>
              </w:rPr>
            </w:pPr>
            <w:r>
              <w:rPr>
                <w:rFonts w:ascii="Calibri" w:eastAsia="Times New Roman" w:hAnsi="Calibri" w:cs="Calibri"/>
                <w:b/>
                <w:bCs/>
                <w:color w:val="000000"/>
                <w:sz w:val="18"/>
                <w:szCs w:val="18"/>
                <w:lang w:bidi="he-IL"/>
              </w:rPr>
              <w:t>BMI (kg/m2)- mean± SD</w:t>
            </w:r>
          </w:p>
        </w:tc>
        <w:tc>
          <w:tcPr>
            <w:tcW w:w="1171"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hideMark/>
          </w:tcPr>
          <w:p w14:paraId="074C0A01" w14:textId="77777777" w:rsidR="00346FD2" w:rsidRDefault="00346FD2" w:rsidP="00346FD2">
            <w:pPr>
              <w:spacing w:after="0" w:line="240" w:lineRule="auto"/>
              <w:jc w:val="center"/>
              <w:rPr>
                <w:rFonts w:ascii="Calibri" w:eastAsia="Times New Roman" w:hAnsi="Calibri" w:cs="Calibri"/>
                <w:color w:val="000000"/>
                <w:sz w:val="18"/>
                <w:szCs w:val="18"/>
                <w:lang w:bidi="he-IL"/>
              </w:rPr>
            </w:pPr>
            <w:r>
              <w:rPr>
                <w:rFonts w:ascii="Calibri" w:eastAsia="Times New Roman" w:hAnsi="Calibri" w:cs="Calibri"/>
                <w:color w:val="000000"/>
                <w:sz w:val="18"/>
                <w:szCs w:val="18"/>
                <w:lang w:bidi="he-IL"/>
              </w:rPr>
              <w:t>31.6± 6.0</w:t>
            </w:r>
          </w:p>
        </w:tc>
        <w:tc>
          <w:tcPr>
            <w:tcW w:w="1081"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hideMark/>
          </w:tcPr>
          <w:p w14:paraId="0B28831C" w14:textId="77777777" w:rsidR="00346FD2" w:rsidRDefault="00346FD2" w:rsidP="00346FD2">
            <w:pPr>
              <w:spacing w:after="0" w:line="240" w:lineRule="auto"/>
              <w:jc w:val="center"/>
              <w:rPr>
                <w:rFonts w:ascii="Calibri" w:eastAsia="Times New Roman" w:hAnsi="Calibri" w:cs="Calibri"/>
                <w:color w:val="000000"/>
                <w:sz w:val="18"/>
                <w:szCs w:val="18"/>
                <w:lang w:bidi="he-IL"/>
              </w:rPr>
            </w:pPr>
            <w:r>
              <w:rPr>
                <w:rFonts w:ascii="Calibri" w:eastAsia="Times New Roman" w:hAnsi="Calibri" w:cs="Calibri"/>
                <w:color w:val="000000"/>
                <w:sz w:val="18"/>
                <w:szCs w:val="18"/>
                <w:lang w:bidi="he-IL"/>
              </w:rPr>
              <w:t>31.6± 6.1</w:t>
            </w:r>
          </w:p>
        </w:tc>
        <w:tc>
          <w:tcPr>
            <w:tcW w:w="1169" w:type="dxa"/>
            <w:tcBorders>
              <w:top w:val="single" w:sz="4" w:space="0" w:color="auto"/>
              <w:left w:val="single" w:sz="4" w:space="0" w:color="auto"/>
              <w:bottom w:val="single" w:sz="4" w:space="0" w:color="auto"/>
              <w:right w:val="single" w:sz="4" w:space="0" w:color="auto"/>
            </w:tcBorders>
            <w:shd w:val="clear" w:color="auto" w:fill="DCE6F1"/>
            <w:noWrap/>
            <w:vAlign w:val="center"/>
            <w:hideMark/>
          </w:tcPr>
          <w:p w14:paraId="5D22A313" w14:textId="77777777" w:rsidR="00346FD2" w:rsidRDefault="00346FD2" w:rsidP="00346FD2">
            <w:pPr>
              <w:spacing w:after="0" w:line="240" w:lineRule="auto"/>
              <w:jc w:val="center"/>
              <w:rPr>
                <w:rFonts w:ascii="Calibri" w:eastAsia="Times New Roman" w:hAnsi="Calibri" w:cs="Calibri"/>
                <w:color w:val="000000"/>
                <w:sz w:val="18"/>
                <w:szCs w:val="18"/>
                <w:lang w:bidi="he-IL"/>
              </w:rPr>
            </w:pPr>
            <w:r>
              <w:rPr>
                <w:rFonts w:ascii="Calibri" w:eastAsia="Times New Roman" w:hAnsi="Calibri" w:cs="Calibri"/>
                <w:color w:val="000000"/>
                <w:sz w:val="18"/>
                <w:szCs w:val="18"/>
                <w:lang w:bidi="he-IL"/>
              </w:rPr>
              <w:t>32.1± 5.9</w:t>
            </w:r>
          </w:p>
        </w:tc>
        <w:tc>
          <w:tcPr>
            <w:tcW w:w="1170" w:type="dxa"/>
            <w:tcBorders>
              <w:top w:val="single" w:sz="4" w:space="0" w:color="auto"/>
              <w:left w:val="single" w:sz="4" w:space="0" w:color="auto"/>
              <w:bottom w:val="single" w:sz="4" w:space="0" w:color="auto"/>
              <w:right w:val="single" w:sz="4" w:space="0" w:color="auto"/>
            </w:tcBorders>
            <w:shd w:val="clear" w:color="auto" w:fill="DCE6F1"/>
            <w:noWrap/>
            <w:vAlign w:val="center"/>
            <w:hideMark/>
          </w:tcPr>
          <w:p w14:paraId="14D70278" w14:textId="77777777" w:rsidR="00346FD2" w:rsidRDefault="00346FD2" w:rsidP="00346FD2">
            <w:pPr>
              <w:spacing w:after="0" w:line="240" w:lineRule="auto"/>
              <w:jc w:val="center"/>
              <w:rPr>
                <w:rFonts w:ascii="Calibri" w:eastAsia="Times New Roman" w:hAnsi="Calibri" w:cs="Calibri"/>
                <w:color w:val="000000"/>
                <w:sz w:val="18"/>
                <w:szCs w:val="18"/>
                <w:lang w:bidi="he-IL"/>
              </w:rPr>
            </w:pPr>
            <w:r>
              <w:rPr>
                <w:rFonts w:ascii="Calibri" w:eastAsia="Times New Roman" w:hAnsi="Calibri" w:cs="Calibri"/>
                <w:color w:val="000000"/>
                <w:sz w:val="18"/>
                <w:szCs w:val="18"/>
                <w:lang w:bidi="he-IL"/>
              </w:rPr>
              <w:t>32.1± 5.9</w:t>
            </w:r>
          </w:p>
        </w:tc>
        <w:tc>
          <w:tcPr>
            <w:tcW w:w="1214" w:type="dxa"/>
            <w:tcBorders>
              <w:top w:val="single" w:sz="4" w:space="0" w:color="auto"/>
              <w:left w:val="single" w:sz="4" w:space="0" w:color="auto"/>
              <w:bottom w:val="single" w:sz="4" w:space="0" w:color="auto"/>
              <w:right w:val="single" w:sz="4" w:space="0" w:color="auto"/>
            </w:tcBorders>
            <w:noWrap/>
            <w:vAlign w:val="center"/>
            <w:hideMark/>
          </w:tcPr>
          <w:p w14:paraId="1EA9D8FA" w14:textId="77777777" w:rsidR="00346FD2" w:rsidRDefault="00346FD2" w:rsidP="00346FD2">
            <w:pPr>
              <w:spacing w:after="0" w:line="240" w:lineRule="auto"/>
              <w:jc w:val="center"/>
              <w:rPr>
                <w:rFonts w:ascii="Calibri" w:eastAsia="Times New Roman" w:hAnsi="Calibri" w:cs="Calibri"/>
                <w:color w:val="000000"/>
                <w:sz w:val="18"/>
                <w:szCs w:val="18"/>
                <w:lang w:bidi="he-IL"/>
              </w:rPr>
            </w:pPr>
            <w:r>
              <w:rPr>
                <w:rFonts w:ascii="Calibri" w:eastAsia="Times New Roman" w:hAnsi="Calibri" w:cs="Calibri"/>
                <w:color w:val="000000"/>
                <w:sz w:val="18"/>
                <w:szCs w:val="18"/>
                <w:lang w:bidi="he-IL"/>
              </w:rPr>
              <w:t>34.6± 5.7</w:t>
            </w:r>
          </w:p>
        </w:tc>
        <w:tc>
          <w:tcPr>
            <w:tcW w:w="1217" w:type="dxa"/>
            <w:tcBorders>
              <w:top w:val="single" w:sz="4" w:space="0" w:color="auto"/>
              <w:left w:val="single" w:sz="4" w:space="0" w:color="auto"/>
              <w:bottom w:val="single" w:sz="4" w:space="0" w:color="auto"/>
              <w:right w:val="single" w:sz="4" w:space="0" w:color="auto"/>
            </w:tcBorders>
            <w:noWrap/>
            <w:vAlign w:val="center"/>
            <w:hideMark/>
          </w:tcPr>
          <w:p w14:paraId="74F59F39" w14:textId="77777777" w:rsidR="00346FD2" w:rsidRDefault="00346FD2" w:rsidP="00346FD2">
            <w:pPr>
              <w:spacing w:after="0" w:line="240" w:lineRule="auto"/>
              <w:jc w:val="center"/>
              <w:rPr>
                <w:rFonts w:ascii="Calibri" w:eastAsia="Times New Roman" w:hAnsi="Calibri" w:cs="Calibri"/>
                <w:color w:val="000000"/>
                <w:sz w:val="18"/>
                <w:szCs w:val="18"/>
                <w:lang w:bidi="he-IL"/>
              </w:rPr>
            </w:pPr>
            <w:r>
              <w:rPr>
                <w:rFonts w:ascii="Calibri" w:eastAsia="Times New Roman" w:hAnsi="Calibri" w:cs="Calibri"/>
                <w:color w:val="000000"/>
                <w:sz w:val="18"/>
                <w:szCs w:val="18"/>
                <w:lang w:bidi="he-IL"/>
              </w:rPr>
              <w:t>34.5± 6.3</w:t>
            </w:r>
          </w:p>
        </w:tc>
      </w:tr>
      <w:tr w:rsidR="00E15393" w14:paraId="7AD8AAD0" w14:textId="77777777" w:rsidTr="00D36C83">
        <w:trPr>
          <w:trHeight w:val="288"/>
        </w:trPr>
        <w:tc>
          <w:tcPr>
            <w:tcW w:w="2304" w:type="dxa"/>
            <w:tcBorders>
              <w:top w:val="single" w:sz="4" w:space="0" w:color="auto"/>
              <w:left w:val="single" w:sz="4" w:space="0" w:color="auto"/>
              <w:bottom w:val="single" w:sz="4" w:space="0" w:color="auto"/>
              <w:right w:val="single" w:sz="4" w:space="0" w:color="auto"/>
            </w:tcBorders>
            <w:vAlign w:val="center"/>
          </w:tcPr>
          <w:p w14:paraId="4D1CBA31" w14:textId="396C79CC" w:rsidR="00E15393" w:rsidRPr="00E15393" w:rsidRDefault="001F3B9B" w:rsidP="00E15393">
            <w:pPr>
              <w:spacing w:after="0" w:line="240" w:lineRule="auto"/>
              <w:rPr>
                <w:rFonts w:ascii="Calibri" w:eastAsia="Times New Roman" w:hAnsi="Calibri" w:cs="Calibri"/>
                <w:b/>
                <w:bCs/>
                <w:color w:val="000000"/>
                <w:sz w:val="18"/>
                <w:szCs w:val="18"/>
                <w:lang w:bidi="he-IL"/>
              </w:rPr>
            </w:pPr>
            <w:r>
              <w:rPr>
                <w:rFonts w:ascii="Calibri" w:hAnsi="Calibri" w:cs="Calibri"/>
                <w:b/>
                <w:bCs/>
                <w:color w:val="000000"/>
                <w:sz w:val="18"/>
                <w:szCs w:val="18"/>
              </w:rPr>
              <w:t>Caucasian</w:t>
            </w:r>
            <w:r w:rsidRPr="00E15393">
              <w:rPr>
                <w:rFonts w:ascii="Calibri" w:hAnsi="Calibri" w:cs="Calibri"/>
                <w:b/>
                <w:bCs/>
                <w:color w:val="000000"/>
                <w:sz w:val="18"/>
                <w:szCs w:val="18"/>
              </w:rPr>
              <w:t xml:space="preserve"> </w:t>
            </w:r>
            <w:r w:rsidR="00E15393" w:rsidRPr="00E15393">
              <w:rPr>
                <w:rFonts w:ascii="Calibri" w:hAnsi="Calibri" w:cs="Calibri"/>
                <w:b/>
                <w:bCs/>
                <w:color w:val="000000"/>
                <w:sz w:val="18"/>
                <w:szCs w:val="18"/>
              </w:rPr>
              <w:t>- n (%)</w:t>
            </w:r>
          </w:p>
        </w:tc>
        <w:tc>
          <w:tcPr>
            <w:tcW w:w="1171"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tcPr>
          <w:p w14:paraId="621FBF71" w14:textId="4152A73A" w:rsidR="00E15393" w:rsidRDefault="00E15393" w:rsidP="00E15393">
            <w:pPr>
              <w:spacing w:after="0" w:line="240" w:lineRule="auto"/>
              <w:jc w:val="center"/>
              <w:rPr>
                <w:rFonts w:ascii="Calibri" w:eastAsia="Times New Roman" w:hAnsi="Calibri" w:cs="Calibri"/>
                <w:color w:val="000000"/>
                <w:sz w:val="18"/>
                <w:szCs w:val="18"/>
                <w:lang w:bidi="he-IL"/>
              </w:rPr>
            </w:pPr>
            <w:r>
              <w:rPr>
                <w:rFonts w:ascii="Calibri" w:hAnsi="Calibri" w:cs="Calibri"/>
                <w:color w:val="000000"/>
                <w:sz w:val="18"/>
                <w:szCs w:val="18"/>
              </w:rPr>
              <w:t>522 (86.1)</w:t>
            </w:r>
          </w:p>
        </w:tc>
        <w:tc>
          <w:tcPr>
            <w:tcW w:w="1081"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tcPr>
          <w:p w14:paraId="7700437D" w14:textId="1AE628A6" w:rsidR="00E15393" w:rsidRDefault="00E15393" w:rsidP="00E15393">
            <w:pPr>
              <w:spacing w:after="0" w:line="240" w:lineRule="auto"/>
              <w:jc w:val="center"/>
              <w:rPr>
                <w:rFonts w:ascii="Calibri" w:eastAsia="Times New Roman" w:hAnsi="Calibri" w:cs="Calibri"/>
                <w:color w:val="000000"/>
                <w:sz w:val="18"/>
                <w:szCs w:val="18"/>
                <w:lang w:bidi="he-IL"/>
              </w:rPr>
            </w:pPr>
            <w:r>
              <w:rPr>
                <w:rFonts w:ascii="Calibri" w:hAnsi="Calibri" w:cs="Calibri"/>
                <w:color w:val="000000"/>
                <w:sz w:val="18"/>
                <w:szCs w:val="18"/>
              </w:rPr>
              <w:t>566 (85.9)</w:t>
            </w:r>
          </w:p>
        </w:tc>
        <w:tc>
          <w:tcPr>
            <w:tcW w:w="1169" w:type="dxa"/>
            <w:tcBorders>
              <w:top w:val="single" w:sz="4" w:space="0" w:color="auto"/>
              <w:left w:val="single" w:sz="4" w:space="0" w:color="auto"/>
              <w:bottom w:val="single" w:sz="4" w:space="0" w:color="auto"/>
              <w:right w:val="single" w:sz="4" w:space="0" w:color="auto"/>
            </w:tcBorders>
            <w:shd w:val="clear" w:color="auto" w:fill="DCE6F1"/>
            <w:noWrap/>
            <w:vAlign w:val="center"/>
          </w:tcPr>
          <w:p w14:paraId="602A12C3" w14:textId="3134A072" w:rsidR="00E15393" w:rsidRDefault="00E15393" w:rsidP="00E15393">
            <w:pPr>
              <w:spacing w:after="0" w:line="240" w:lineRule="auto"/>
              <w:jc w:val="center"/>
              <w:rPr>
                <w:rFonts w:ascii="Calibri" w:eastAsia="Times New Roman" w:hAnsi="Calibri" w:cs="Calibri"/>
                <w:color w:val="000000"/>
                <w:sz w:val="18"/>
                <w:szCs w:val="18"/>
                <w:lang w:bidi="he-IL"/>
              </w:rPr>
            </w:pPr>
            <w:r>
              <w:rPr>
                <w:rFonts w:ascii="Calibri" w:hAnsi="Calibri" w:cs="Calibri"/>
                <w:color w:val="000000"/>
                <w:sz w:val="18"/>
                <w:szCs w:val="18"/>
              </w:rPr>
              <w:t>3124 (81.4)</w:t>
            </w:r>
          </w:p>
        </w:tc>
        <w:tc>
          <w:tcPr>
            <w:tcW w:w="1170" w:type="dxa"/>
            <w:tcBorders>
              <w:top w:val="single" w:sz="4" w:space="0" w:color="auto"/>
              <w:left w:val="single" w:sz="4" w:space="0" w:color="auto"/>
              <w:bottom w:val="single" w:sz="4" w:space="0" w:color="auto"/>
              <w:right w:val="single" w:sz="4" w:space="0" w:color="auto"/>
            </w:tcBorders>
            <w:shd w:val="clear" w:color="auto" w:fill="DCE6F1"/>
            <w:noWrap/>
            <w:vAlign w:val="center"/>
          </w:tcPr>
          <w:p w14:paraId="491EA286" w14:textId="4AFC1493" w:rsidR="00E15393" w:rsidRDefault="00E15393" w:rsidP="00E15393">
            <w:pPr>
              <w:spacing w:after="0" w:line="240" w:lineRule="auto"/>
              <w:jc w:val="center"/>
              <w:rPr>
                <w:rFonts w:ascii="Calibri" w:eastAsia="Times New Roman" w:hAnsi="Calibri" w:cs="Calibri"/>
                <w:color w:val="000000"/>
                <w:sz w:val="18"/>
                <w:szCs w:val="18"/>
                <w:lang w:bidi="he-IL"/>
              </w:rPr>
            </w:pPr>
            <w:r>
              <w:rPr>
                <w:rFonts w:ascii="Calibri" w:hAnsi="Calibri" w:cs="Calibri"/>
                <w:color w:val="000000"/>
                <w:sz w:val="18"/>
                <w:szCs w:val="18"/>
              </w:rPr>
              <w:t>3189 (81.9)</w:t>
            </w:r>
          </w:p>
        </w:tc>
        <w:tc>
          <w:tcPr>
            <w:tcW w:w="1214" w:type="dxa"/>
            <w:tcBorders>
              <w:top w:val="single" w:sz="4" w:space="0" w:color="auto"/>
              <w:left w:val="single" w:sz="4" w:space="0" w:color="auto"/>
              <w:bottom w:val="single" w:sz="4" w:space="0" w:color="auto"/>
              <w:right w:val="single" w:sz="4" w:space="0" w:color="auto"/>
            </w:tcBorders>
            <w:noWrap/>
            <w:vAlign w:val="center"/>
          </w:tcPr>
          <w:p w14:paraId="374DC6CC" w14:textId="4DD82555" w:rsidR="00E15393" w:rsidRDefault="00E15393" w:rsidP="00E15393">
            <w:pPr>
              <w:spacing w:after="0" w:line="240" w:lineRule="auto"/>
              <w:jc w:val="center"/>
              <w:rPr>
                <w:rFonts w:ascii="Calibri" w:eastAsia="Times New Roman" w:hAnsi="Calibri" w:cs="Calibri"/>
                <w:color w:val="000000"/>
                <w:sz w:val="18"/>
                <w:szCs w:val="18"/>
                <w:lang w:bidi="he-IL"/>
              </w:rPr>
            </w:pPr>
            <w:r>
              <w:rPr>
                <w:rFonts w:ascii="Calibri" w:hAnsi="Calibri" w:cs="Calibri"/>
                <w:color w:val="000000"/>
                <w:sz w:val="18"/>
                <w:szCs w:val="18"/>
              </w:rPr>
              <w:t>3196 (77.3)</w:t>
            </w:r>
          </w:p>
        </w:tc>
        <w:tc>
          <w:tcPr>
            <w:tcW w:w="1217" w:type="dxa"/>
            <w:tcBorders>
              <w:top w:val="single" w:sz="4" w:space="0" w:color="auto"/>
              <w:left w:val="single" w:sz="4" w:space="0" w:color="auto"/>
              <w:bottom w:val="single" w:sz="4" w:space="0" w:color="auto"/>
              <w:right w:val="single" w:sz="4" w:space="0" w:color="auto"/>
            </w:tcBorders>
            <w:noWrap/>
            <w:vAlign w:val="center"/>
          </w:tcPr>
          <w:p w14:paraId="3DD04AF7" w14:textId="781D1726" w:rsidR="00E15393" w:rsidRDefault="00E15393" w:rsidP="00E15393">
            <w:pPr>
              <w:spacing w:after="0" w:line="240" w:lineRule="auto"/>
              <w:jc w:val="center"/>
              <w:rPr>
                <w:rFonts w:ascii="Calibri" w:eastAsia="Times New Roman" w:hAnsi="Calibri" w:cs="Calibri"/>
                <w:color w:val="000000"/>
                <w:sz w:val="18"/>
                <w:szCs w:val="18"/>
                <w:lang w:bidi="he-IL"/>
              </w:rPr>
            </w:pPr>
            <w:r>
              <w:rPr>
                <w:rFonts w:ascii="Calibri" w:hAnsi="Calibri" w:cs="Calibri"/>
                <w:color w:val="000000"/>
                <w:sz w:val="18"/>
                <w:szCs w:val="18"/>
              </w:rPr>
              <w:t>3055 (75.9)</w:t>
            </w:r>
          </w:p>
        </w:tc>
      </w:tr>
      <w:tr w:rsidR="00E15393" w14:paraId="662AF5AB" w14:textId="77777777" w:rsidTr="00D36C83">
        <w:trPr>
          <w:trHeight w:val="305"/>
        </w:trPr>
        <w:tc>
          <w:tcPr>
            <w:tcW w:w="230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0DCDE286" w14:textId="77777777" w:rsidR="00E15393" w:rsidRDefault="00E15393" w:rsidP="00E15393">
            <w:pPr>
              <w:spacing w:after="0" w:line="240" w:lineRule="auto"/>
              <w:rPr>
                <w:rFonts w:ascii="Calibri" w:eastAsia="Times New Roman" w:hAnsi="Calibri" w:cs="Calibri"/>
                <w:b/>
                <w:bCs/>
                <w:color w:val="000000"/>
                <w:sz w:val="18"/>
                <w:szCs w:val="18"/>
                <w:lang w:bidi="he-IL"/>
              </w:rPr>
            </w:pPr>
            <w:r>
              <w:rPr>
                <w:rFonts w:ascii="Calibri" w:eastAsia="Times New Roman" w:hAnsi="Calibri" w:cs="Calibri"/>
                <w:b/>
                <w:bCs/>
                <w:color w:val="000000"/>
                <w:sz w:val="18"/>
                <w:szCs w:val="18"/>
                <w:u w:val="single"/>
                <w:lang w:bidi="he-IL"/>
              </w:rPr>
              <w:t>Medical History:</w:t>
            </w:r>
          </w:p>
        </w:tc>
        <w:tc>
          <w:tcPr>
            <w:tcW w:w="1171"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tcPr>
          <w:p w14:paraId="2E77D9CD" w14:textId="77777777" w:rsidR="00E15393" w:rsidRDefault="00E15393" w:rsidP="00E15393">
            <w:pPr>
              <w:spacing w:after="0" w:line="240" w:lineRule="auto"/>
              <w:jc w:val="center"/>
              <w:rPr>
                <w:rFonts w:ascii="Calibri" w:eastAsia="Times New Roman" w:hAnsi="Calibri" w:cs="Calibri"/>
                <w:color w:val="000000"/>
                <w:sz w:val="18"/>
                <w:szCs w:val="18"/>
                <w:lang w:bidi="he-IL"/>
              </w:rPr>
            </w:pPr>
          </w:p>
        </w:tc>
        <w:tc>
          <w:tcPr>
            <w:tcW w:w="1081"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tcPr>
          <w:p w14:paraId="46EB689F" w14:textId="77777777" w:rsidR="00E15393" w:rsidRDefault="00E15393" w:rsidP="00E15393">
            <w:pPr>
              <w:spacing w:after="0" w:line="240" w:lineRule="auto"/>
              <w:jc w:val="center"/>
              <w:rPr>
                <w:rFonts w:ascii="Calibri" w:eastAsia="Times New Roman" w:hAnsi="Calibri" w:cs="Calibri"/>
                <w:color w:val="000000"/>
                <w:sz w:val="18"/>
                <w:szCs w:val="18"/>
                <w:lang w:bidi="he-IL"/>
              </w:rPr>
            </w:pPr>
          </w:p>
        </w:tc>
        <w:tc>
          <w:tcPr>
            <w:tcW w:w="1169" w:type="dxa"/>
            <w:tcBorders>
              <w:top w:val="single" w:sz="4" w:space="0" w:color="auto"/>
              <w:left w:val="single" w:sz="4" w:space="0" w:color="auto"/>
              <w:bottom w:val="single" w:sz="4" w:space="0" w:color="auto"/>
              <w:right w:val="single" w:sz="4" w:space="0" w:color="auto"/>
            </w:tcBorders>
            <w:shd w:val="clear" w:color="auto" w:fill="DCE6F1"/>
            <w:noWrap/>
            <w:vAlign w:val="center"/>
          </w:tcPr>
          <w:p w14:paraId="7E6EF7BB" w14:textId="77777777" w:rsidR="00E15393" w:rsidRDefault="00E15393" w:rsidP="00E15393">
            <w:pPr>
              <w:spacing w:after="0" w:line="240" w:lineRule="auto"/>
              <w:jc w:val="center"/>
              <w:rPr>
                <w:rFonts w:ascii="Calibri" w:eastAsia="Times New Roman" w:hAnsi="Calibri" w:cs="Calibri"/>
                <w:color w:val="000000"/>
                <w:sz w:val="18"/>
                <w:szCs w:val="18"/>
                <w:lang w:bidi="he-IL"/>
              </w:rPr>
            </w:pPr>
          </w:p>
        </w:tc>
        <w:tc>
          <w:tcPr>
            <w:tcW w:w="1170" w:type="dxa"/>
            <w:tcBorders>
              <w:top w:val="single" w:sz="4" w:space="0" w:color="auto"/>
              <w:left w:val="single" w:sz="4" w:space="0" w:color="auto"/>
              <w:bottom w:val="single" w:sz="4" w:space="0" w:color="auto"/>
              <w:right w:val="single" w:sz="4" w:space="0" w:color="auto"/>
            </w:tcBorders>
            <w:shd w:val="clear" w:color="auto" w:fill="DCE6F1"/>
            <w:noWrap/>
            <w:vAlign w:val="center"/>
          </w:tcPr>
          <w:p w14:paraId="0222CBC8" w14:textId="77777777" w:rsidR="00E15393" w:rsidRDefault="00E15393" w:rsidP="00E15393">
            <w:pPr>
              <w:spacing w:after="0" w:line="240" w:lineRule="auto"/>
              <w:jc w:val="center"/>
              <w:rPr>
                <w:rFonts w:ascii="Calibri" w:eastAsia="Times New Roman" w:hAnsi="Calibri" w:cs="Calibri"/>
                <w:color w:val="000000"/>
                <w:sz w:val="18"/>
                <w:szCs w:val="18"/>
                <w:lang w:bidi="he-IL"/>
              </w:rPr>
            </w:pPr>
          </w:p>
        </w:tc>
        <w:tc>
          <w:tcPr>
            <w:tcW w:w="1214" w:type="dxa"/>
            <w:tcBorders>
              <w:top w:val="single" w:sz="4" w:space="0" w:color="auto"/>
              <w:left w:val="single" w:sz="4" w:space="0" w:color="auto"/>
              <w:bottom w:val="single" w:sz="4" w:space="0" w:color="auto"/>
              <w:right w:val="single" w:sz="4" w:space="0" w:color="auto"/>
            </w:tcBorders>
            <w:noWrap/>
            <w:vAlign w:val="center"/>
          </w:tcPr>
          <w:p w14:paraId="1EE3A4B4" w14:textId="77777777" w:rsidR="00E15393" w:rsidRDefault="00E15393" w:rsidP="00E15393">
            <w:pPr>
              <w:spacing w:after="0" w:line="240" w:lineRule="auto"/>
              <w:jc w:val="center"/>
              <w:rPr>
                <w:rFonts w:ascii="Calibri" w:eastAsia="Times New Roman" w:hAnsi="Calibri" w:cs="Calibri"/>
                <w:color w:val="000000"/>
                <w:sz w:val="18"/>
                <w:szCs w:val="18"/>
                <w:lang w:bidi="he-IL"/>
              </w:rPr>
            </w:pPr>
          </w:p>
        </w:tc>
        <w:tc>
          <w:tcPr>
            <w:tcW w:w="1217" w:type="dxa"/>
            <w:tcBorders>
              <w:top w:val="single" w:sz="4" w:space="0" w:color="auto"/>
              <w:left w:val="single" w:sz="4" w:space="0" w:color="auto"/>
              <w:bottom w:val="single" w:sz="4" w:space="0" w:color="auto"/>
              <w:right w:val="single" w:sz="4" w:space="0" w:color="auto"/>
            </w:tcBorders>
            <w:noWrap/>
            <w:vAlign w:val="center"/>
          </w:tcPr>
          <w:p w14:paraId="1E3256F7" w14:textId="77777777" w:rsidR="00E15393" w:rsidRDefault="00E15393" w:rsidP="00E15393">
            <w:pPr>
              <w:spacing w:after="0" w:line="240" w:lineRule="auto"/>
              <w:jc w:val="center"/>
              <w:rPr>
                <w:rFonts w:ascii="Calibri" w:eastAsia="Times New Roman" w:hAnsi="Calibri" w:cs="Calibri"/>
                <w:color w:val="000000"/>
                <w:sz w:val="18"/>
                <w:szCs w:val="18"/>
                <w:lang w:bidi="he-IL"/>
              </w:rPr>
            </w:pPr>
          </w:p>
        </w:tc>
      </w:tr>
      <w:tr w:rsidR="00E15393" w14:paraId="77113E07" w14:textId="77777777" w:rsidTr="00D36C83">
        <w:trPr>
          <w:trHeight w:val="305"/>
        </w:trPr>
        <w:tc>
          <w:tcPr>
            <w:tcW w:w="2304" w:type="dxa"/>
            <w:tcBorders>
              <w:top w:val="single" w:sz="4" w:space="0" w:color="auto"/>
              <w:left w:val="single" w:sz="4" w:space="0" w:color="auto"/>
              <w:bottom w:val="single" w:sz="4" w:space="0" w:color="auto"/>
              <w:right w:val="single" w:sz="4" w:space="0" w:color="auto"/>
            </w:tcBorders>
            <w:vAlign w:val="center"/>
            <w:hideMark/>
          </w:tcPr>
          <w:p w14:paraId="191F9EF7" w14:textId="77777777" w:rsidR="00E15393" w:rsidRDefault="00E15393" w:rsidP="00E15393">
            <w:pPr>
              <w:spacing w:after="0" w:line="240" w:lineRule="auto"/>
              <w:rPr>
                <w:rFonts w:ascii="Calibri" w:eastAsia="Times New Roman" w:hAnsi="Calibri" w:cs="Calibri"/>
                <w:b/>
                <w:bCs/>
                <w:color w:val="000000"/>
                <w:sz w:val="18"/>
                <w:szCs w:val="18"/>
                <w:lang w:bidi="he-IL"/>
              </w:rPr>
            </w:pPr>
            <w:r>
              <w:rPr>
                <w:rFonts w:ascii="Calibri" w:eastAsia="Times New Roman" w:hAnsi="Calibri" w:cs="Calibri"/>
                <w:b/>
                <w:bCs/>
                <w:color w:val="000000"/>
                <w:sz w:val="18"/>
                <w:szCs w:val="18"/>
                <w:lang w:bidi="he-IL"/>
              </w:rPr>
              <w:t>Duration of diabetes at randomization (years)- mean± SD</w:t>
            </w:r>
          </w:p>
        </w:tc>
        <w:tc>
          <w:tcPr>
            <w:tcW w:w="1171"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hideMark/>
          </w:tcPr>
          <w:p w14:paraId="6D2232DC" w14:textId="77777777" w:rsidR="00E15393" w:rsidRDefault="00E15393" w:rsidP="00E15393">
            <w:pPr>
              <w:spacing w:after="0" w:line="240" w:lineRule="auto"/>
              <w:jc w:val="center"/>
              <w:rPr>
                <w:rFonts w:ascii="Calibri" w:eastAsia="Times New Roman" w:hAnsi="Calibri" w:cs="Calibri"/>
                <w:color w:val="000000"/>
                <w:sz w:val="18"/>
                <w:szCs w:val="18"/>
                <w:lang w:bidi="he-IL"/>
              </w:rPr>
            </w:pPr>
            <w:r>
              <w:rPr>
                <w:rFonts w:ascii="Calibri" w:eastAsia="Times New Roman" w:hAnsi="Calibri" w:cs="Calibri"/>
                <w:color w:val="000000"/>
                <w:sz w:val="18"/>
                <w:szCs w:val="18"/>
                <w:lang w:bidi="he-IL"/>
              </w:rPr>
              <w:t>11.0± 7.1</w:t>
            </w:r>
          </w:p>
        </w:tc>
        <w:tc>
          <w:tcPr>
            <w:tcW w:w="1081"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hideMark/>
          </w:tcPr>
          <w:p w14:paraId="5406068D" w14:textId="77777777" w:rsidR="00E15393" w:rsidRDefault="00E15393" w:rsidP="00E15393">
            <w:pPr>
              <w:spacing w:after="0" w:line="240" w:lineRule="auto"/>
              <w:jc w:val="center"/>
              <w:rPr>
                <w:rFonts w:ascii="Calibri" w:eastAsia="Times New Roman" w:hAnsi="Calibri" w:cs="Calibri"/>
                <w:color w:val="000000"/>
                <w:sz w:val="18"/>
                <w:szCs w:val="18"/>
                <w:lang w:bidi="he-IL"/>
              </w:rPr>
            </w:pPr>
            <w:r>
              <w:rPr>
                <w:rFonts w:ascii="Calibri" w:eastAsia="Times New Roman" w:hAnsi="Calibri" w:cs="Calibri"/>
                <w:color w:val="000000"/>
                <w:sz w:val="18"/>
                <w:szCs w:val="18"/>
                <w:lang w:bidi="he-IL"/>
              </w:rPr>
              <w:t>10.8± 7.3</w:t>
            </w:r>
          </w:p>
        </w:tc>
        <w:tc>
          <w:tcPr>
            <w:tcW w:w="1169" w:type="dxa"/>
            <w:tcBorders>
              <w:top w:val="single" w:sz="4" w:space="0" w:color="auto"/>
              <w:left w:val="single" w:sz="4" w:space="0" w:color="auto"/>
              <w:bottom w:val="single" w:sz="4" w:space="0" w:color="auto"/>
              <w:right w:val="single" w:sz="4" w:space="0" w:color="auto"/>
            </w:tcBorders>
            <w:shd w:val="clear" w:color="auto" w:fill="DCE6F1"/>
            <w:noWrap/>
            <w:vAlign w:val="center"/>
            <w:hideMark/>
          </w:tcPr>
          <w:p w14:paraId="6681A01A" w14:textId="77777777" w:rsidR="00E15393" w:rsidRDefault="00E15393" w:rsidP="00E15393">
            <w:pPr>
              <w:spacing w:after="0" w:line="240" w:lineRule="auto"/>
              <w:jc w:val="center"/>
              <w:rPr>
                <w:rFonts w:ascii="Calibri" w:eastAsia="Times New Roman" w:hAnsi="Calibri" w:cs="Calibri"/>
                <w:color w:val="000000"/>
                <w:sz w:val="18"/>
                <w:szCs w:val="18"/>
                <w:lang w:bidi="he-IL"/>
              </w:rPr>
            </w:pPr>
            <w:r>
              <w:rPr>
                <w:rFonts w:ascii="Calibri" w:eastAsia="Times New Roman" w:hAnsi="Calibri" w:cs="Calibri"/>
                <w:color w:val="000000"/>
                <w:sz w:val="18"/>
                <w:szCs w:val="18"/>
                <w:lang w:bidi="he-IL"/>
              </w:rPr>
              <w:t>12.5± 7.9</w:t>
            </w:r>
          </w:p>
        </w:tc>
        <w:tc>
          <w:tcPr>
            <w:tcW w:w="1170" w:type="dxa"/>
            <w:tcBorders>
              <w:top w:val="single" w:sz="4" w:space="0" w:color="auto"/>
              <w:left w:val="single" w:sz="4" w:space="0" w:color="auto"/>
              <w:bottom w:val="single" w:sz="4" w:space="0" w:color="auto"/>
              <w:right w:val="single" w:sz="4" w:space="0" w:color="auto"/>
            </w:tcBorders>
            <w:shd w:val="clear" w:color="auto" w:fill="DCE6F1"/>
            <w:noWrap/>
            <w:vAlign w:val="center"/>
            <w:hideMark/>
          </w:tcPr>
          <w:p w14:paraId="15E80580" w14:textId="77777777" w:rsidR="00E15393" w:rsidRDefault="00E15393" w:rsidP="00E15393">
            <w:pPr>
              <w:spacing w:after="0" w:line="240" w:lineRule="auto"/>
              <w:jc w:val="center"/>
              <w:rPr>
                <w:rFonts w:ascii="Calibri" w:eastAsia="Times New Roman" w:hAnsi="Calibri" w:cs="Calibri"/>
                <w:color w:val="000000"/>
                <w:sz w:val="18"/>
                <w:szCs w:val="18"/>
                <w:lang w:bidi="he-IL"/>
              </w:rPr>
            </w:pPr>
            <w:r>
              <w:rPr>
                <w:rFonts w:ascii="Calibri" w:eastAsia="Times New Roman" w:hAnsi="Calibri" w:cs="Calibri"/>
                <w:color w:val="000000"/>
                <w:sz w:val="18"/>
                <w:szCs w:val="18"/>
                <w:lang w:bidi="he-IL"/>
              </w:rPr>
              <w:t>12.6± 8.2</w:t>
            </w:r>
          </w:p>
        </w:tc>
        <w:tc>
          <w:tcPr>
            <w:tcW w:w="1214" w:type="dxa"/>
            <w:tcBorders>
              <w:top w:val="single" w:sz="4" w:space="0" w:color="auto"/>
              <w:left w:val="single" w:sz="4" w:space="0" w:color="auto"/>
              <w:bottom w:val="single" w:sz="4" w:space="0" w:color="auto"/>
              <w:right w:val="single" w:sz="4" w:space="0" w:color="auto"/>
            </w:tcBorders>
            <w:noWrap/>
            <w:vAlign w:val="center"/>
            <w:hideMark/>
          </w:tcPr>
          <w:p w14:paraId="6D79B66D" w14:textId="77777777" w:rsidR="00E15393" w:rsidRDefault="00E15393" w:rsidP="00E15393">
            <w:pPr>
              <w:spacing w:after="0" w:line="240" w:lineRule="auto"/>
              <w:jc w:val="center"/>
              <w:rPr>
                <w:rFonts w:ascii="Calibri" w:eastAsia="Times New Roman" w:hAnsi="Calibri" w:cs="Calibri"/>
                <w:color w:val="000000"/>
                <w:sz w:val="18"/>
                <w:szCs w:val="18"/>
                <w:lang w:bidi="he-IL"/>
              </w:rPr>
            </w:pPr>
            <w:r>
              <w:rPr>
                <w:rFonts w:ascii="Calibri" w:eastAsia="Times New Roman" w:hAnsi="Calibri" w:cs="Calibri"/>
                <w:color w:val="000000"/>
                <w:sz w:val="18"/>
                <w:szCs w:val="18"/>
                <w:lang w:bidi="he-IL"/>
              </w:rPr>
              <w:t>14.3± 9</w:t>
            </w:r>
          </w:p>
        </w:tc>
        <w:tc>
          <w:tcPr>
            <w:tcW w:w="1217" w:type="dxa"/>
            <w:tcBorders>
              <w:top w:val="single" w:sz="4" w:space="0" w:color="auto"/>
              <w:left w:val="single" w:sz="4" w:space="0" w:color="auto"/>
              <w:bottom w:val="single" w:sz="4" w:space="0" w:color="auto"/>
              <w:right w:val="single" w:sz="4" w:space="0" w:color="auto"/>
            </w:tcBorders>
            <w:noWrap/>
            <w:vAlign w:val="center"/>
            <w:hideMark/>
          </w:tcPr>
          <w:p w14:paraId="7158676F" w14:textId="77777777" w:rsidR="00E15393" w:rsidRDefault="00E15393" w:rsidP="00E15393">
            <w:pPr>
              <w:spacing w:after="0" w:line="240" w:lineRule="auto"/>
              <w:jc w:val="center"/>
              <w:rPr>
                <w:rFonts w:ascii="Calibri" w:eastAsia="Times New Roman" w:hAnsi="Calibri" w:cs="Calibri"/>
                <w:color w:val="000000"/>
                <w:sz w:val="18"/>
                <w:szCs w:val="18"/>
                <w:lang w:bidi="he-IL"/>
              </w:rPr>
            </w:pPr>
            <w:r>
              <w:rPr>
                <w:rFonts w:ascii="Calibri" w:eastAsia="Times New Roman" w:hAnsi="Calibri" w:cs="Calibri"/>
                <w:color w:val="000000"/>
                <w:sz w:val="18"/>
                <w:szCs w:val="18"/>
                <w:lang w:bidi="he-IL"/>
              </w:rPr>
              <w:t>14.7± 8.8</w:t>
            </w:r>
          </w:p>
        </w:tc>
      </w:tr>
      <w:tr w:rsidR="00E15393" w14:paraId="3C58ACFD" w14:textId="77777777" w:rsidTr="00D36C83">
        <w:trPr>
          <w:trHeight w:val="288"/>
        </w:trPr>
        <w:tc>
          <w:tcPr>
            <w:tcW w:w="2304" w:type="dxa"/>
            <w:tcBorders>
              <w:top w:val="single" w:sz="4" w:space="0" w:color="auto"/>
              <w:left w:val="single" w:sz="4" w:space="0" w:color="auto"/>
              <w:bottom w:val="single" w:sz="4" w:space="0" w:color="auto"/>
              <w:right w:val="single" w:sz="4" w:space="0" w:color="auto"/>
            </w:tcBorders>
            <w:vAlign w:val="center"/>
            <w:hideMark/>
          </w:tcPr>
          <w:p w14:paraId="78F75590" w14:textId="23064394" w:rsidR="00E15393" w:rsidRDefault="00E15393" w:rsidP="00E15393">
            <w:pPr>
              <w:spacing w:after="0" w:line="240" w:lineRule="auto"/>
              <w:rPr>
                <w:rFonts w:ascii="Calibri" w:eastAsia="Times New Roman" w:hAnsi="Calibri" w:cs="Calibri"/>
                <w:b/>
                <w:bCs/>
                <w:color w:val="000000"/>
                <w:sz w:val="18"/>
                <w:szCs w:val="18"/>
                <w:lang w:bidi="he-IL"/>
              </w:rPr>
            </w:pPr>
            <w:r>
              <w:rPr>
                <w:rFonts w:ascii="Calibri" w:eastAsia="Times New Roman" w:hAnsi="Calibri" w:cs="Calibri"/>
                <w:b/>
                <w:bCs/>
                <w:color w:val="000000"/>
                <w:sz w:val="18"/>
                <w:szCs w:val="18"/>
                <w:lang w:bidi="he-IL"/>
              </w:rPr>
              <w:t xml:space="preserve">Established </w:t>
            </w:r>
            <w:r>
              <w:rPr>
                <w:rFonts w:ascii="Calibri" w:eastAsia="Times New Roman" w:hAnsi="Calibri" w:cs="Calibri"/>
                <w:b/>
                <w:bCs/>
                <w:sz w:val="18"/>
                <w:szCs w:val="18"/>
                <w:lang w:bidi="he-IL"/>
              </w:rPr>
              <w:t>atherosclerotic cardiovascular</w:t>
            </w:r>
            <w:r>
              <w:rPr>
                <w:rFonts w:ascii="Calibri" w:eastAsia="Times New Roman" w:hAnsi="Calibri" w:cs="Calibri"/>
                <w:b/>
                <w:bCs/>
                <w:color w:val="000000"/>
                <w:sz w:val="18"/>
                <w:szCs w:val="18"/>
                <w:lang w:bidi="he-IL"/>
              </w:rPr>
              <w:t xml:space="preserve"> disease- n (%)</w:t>
            </w:r>
          </w:p>
        </w:tc>
        <w:tc>
          <w:tcPr>
            <w:tcW w:w="1171"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hideMark/>
          </w:tcPr>
          <w:p w14:paraId="439A6A0D" w14:textId="77777777" w:rsidR="00E15393" w:rsidRDefault="00E15393" w:rsidP="00E15393">
            <w:pPr>
              <w:spacing w:after="0" w:line="240" w:lineRule="auto"/>
              <w:jc w:val="center"/>
              <w:rPr>
                <w:rFonts w:ascii="Calibri" w:eastAsia="Times New Roman" w:hAnsi="Calibri" w:cs="Calibri"/>
                <w:color w:val="000000"/>
                <w:sz w:val="18"/>
                <w:szCs w:val="18"/>
                <w:lang w:bidi="he-IL"/>
              </w:rPr>
            </w:pPr>
            <w:r>
              <w:rPr>
                <w:rFonts w:ascii="Calibri" w:eastAsia="Times New Roman" w:hAnsi="Calibri" w:cs="Calibri"/>
                <w:color w:val="000000"/>
                <w:sz w:val="18"/>
                <w:szCs w:val="18"/>
                <w:lang w:bidi="he-IL"/>
              </w:rPr>
              <w:t>1636 (39.5)</w:t>
            </w:r>
          </w:p>
        </w:tc>
        <w:tc>
          <w:tcPr>
            <w:tcW w:w="1081"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hideMark/>
          </w:tcPr>
          <w:p w14:paraId="15E34E91" w14:textId="77777777" w:rsidR="00E15393" w:rsidRDefault="00E15393" w:rsidP="00E15393">
            <w:pPr>
              <w:spacing w:after="0" w:line="240" w:lineRule="auto"/>
              <w:jc w:val="center"/>
              <w:rPr>
                <w:rFonts w:ascii="Calibri" w:eastAsia="Times New Roman" w:hAnsi="Calibri" w:cs="Calibri"/>
                <w:color w:val="000000"/>
                <w:sz w:val="18"/>
                <w:szCs w:val="18"/>
                <w:lang w:bidi="he-IL"/>
              </w:rPr>
            </w:pPr>
            <w:r>
              <w:rPr>
                <w:rFonts w:ascii="Calibri" w:eastAsia="Times New Roman" w:hAnsi="Calibri" w:cs="Calibri"/>
                <w:color w:val="000000"/>
                <w:sz w:val="18"/>
                <w:szCs w:val="18"/>
                <w:lang w:bidi="he-IL"/>
              </w:rPr>
              <w:t>1557 (38.7)</w:t>
            </w:r>
          </w:p>
        </w:tc>
        <w:tc>
          <w:tcPr>
            <w:tcW w:w="1169" w:type="dxa"/>
            <w:tcBorders>
              <w:top w:val="single" w:sz="4" w:space="0" w:color="auto"/>
              <w:left w:val="single" w:sz="4" w:space="0" w:color="auto"/>
              <w:bottom w:val="single" w:sz="4" w:space="0" w:color="auto"/>
              <w:right w:val="single" w:sz="4" w:space="0" w:color="auto"/>
            </w:tcBorders>
            <w:shd w:val="clear" w:color="auto" w:fill="DCE6F1"/>
            <w:noWrap/>
            <w:vAlign w:val="center"/>
            <w:hideMark/>
          </w:tcPr>
          <w:p w14:paraId="43BD8BF0" w14:textId="77777777" w:rsidR="00E15393" w:rsidRDefault="00E15393" w:rsidP="00E15393">
            <w:pPr>
              <w:spacing w:after="0" w:line="240" w:lineRule="auto"/>
              <w:jc w:val="center"/>
              <w:rPr>
                <w:rFonts w:ascii="Calibri" w:eastAsia="Times New Roman" w:hAnsi="Calibri" w:cs="Calibri"/>
                <w:color w:val="000000"/>
                <w:sz w:val="18"/>
                <w:szCs w:val="18"/>
                <w:lang w:bidi="he-IL"/>
              </w:rPr>
            </w:pPr>
            <w:r>
              <w:rPr>
                <w:rFonts w:ascii="Calibri" w:eastAsia="Times New Roman" w:hAnsi="Calibri" w:cs="Calibri"/>
                <w:color w:val="000000"/>
                <w:sz w:val="18"/>
                <w:szCs w:val="18"/>
                <w:lang w:bidi="he-IL"/>
              </w:rPr>
              <w:t>1557 (40.6)</w:t>
            </w:r>
          </w:p>
        </w:tc>
        <w:tc>
          <w:tcPr>
            <w:tcW w:w="1170" w:type="dxa"/>
            <w:tcBorders>
              <w:top w:val="single" w:sz="4" w:space="0" w:color="auto"/>
              <w:left w:val="single" w:sz="4" w:space="0" w:color="auto"/>
              <w:bottom w:val="single" w:sz="4" w:space="0" w:color="auto"/>
              <w:right w:val="single" w:sz="4" w:space="0" w:color="auto"/>
            </w:tcBorders>
            <w:shd w:val="clear" w:color="auto" w:fill="DCE6F1"/>
            <w:noWrap/>
            <w:vAlign w:val="center"/>
            <w:hideMark/>
          </w:tcPr>
          <w:p w14:paraId="59AE4469" w14:textId="77777777" w:rsidR="00E15393" w:rsidRDefault="00E15393" w:rsidP="00E15393">
            <w:pPr>
              <w:spacing w:after="0" w:line="240" w:lineRule="auto"/>
              <w:jc w:val="center"/>
              <w:rPr>
                <w:rFonts w:ascii="Calibri" w:eastAsia="Times New Roman" w:hAnsi="Calibri" w:cs="Calibri"/>
                <w:color w:val="000000"/>
                <w:sz w:val="18"/>
                <w:szCs w:val="18"/>
                <w:lang w:bidi="he-IL"/>
              </w:rPr>
            </w:pPr>
            <w:r>
              <w:rPr>
                <w:rFonts w:ascii="Calibri" w:eastAsia="Times New Roman" w:hAnsi="Calibri" w:cs="Calibri"/>
                <w:color w:val="000000"/>
                <w:sz w:val="18"/>
                <w:szCs w:val="18"/>
                <w:lang w:bidi="he-IL"/>
              </w:rPr>
              <w:t>1581 (40.6)</w:t>
            </w:r>
          </w:p>
        </w:tc>
        <w:tc>
          <w:tcPr>
            <w:tcW w:w="1214" w:type="dxa"/>
            <w:tcBorders>
              <w:top w:val="single" w:sz="4" w:space="0" w:color="auto"/>
              <w:left w:val="single" w:sz="4" w:space="0" w:color="auto"/>
              <w:bottom w:val="single" w:sz="4" w:space="0" w:color="auto"/>
              <w:right w:val="single" w:sz="4" w:space="0" w:color="auto"/>
            </w:tcBorders>
            <w:noWrap/>
            <w:vAlign w:val="center"/>
            <w:hideMark/>
          </w:tcPr>
          <w:p w14:paraId="045D7052" w14:textId="77777777" w:rsidR="00E15393" w:rsidRDefault="00E15393" w:rsidP="00E15393">
            <w:pPr>
              <w:spacing w:after="0" w:line="240" w:lineRule="auto"/>
              <w:jc w:val="center"/>
              <w:rPr>
                <w:rFonts w:ascii="Calibri" w:eastAsia="Times New Roman" w:hAnsi="Calibri" w:cs="Calibri"/>
                <w:color w:val="000000"/>
                <w:sz w:val="18"/>
                <w:szCs w:val="18"/>
                <w:lang w:bidi="he-IL"/>
              </w:rPr>
            </w:pPr>
            <w:r>
              <w:rPr>
                <w:rFonts w:ascii="Calibri" w:eastAsia="Times New Roman" w:hAnsi="Calibri" w:cs="Calibri"/>
                <w:color w:val="000000"/>
                <w:sz w:val="18"/>
                <w:szCs w:val="18"/>
                <w:lang w:bidi="he-IL"/>
              </w:rPr>
              <w:t>281 (46.4)</w:t>
            </w:r>
          </w:p>
        </w:tc>
        <w:tc>
          <w:tcPr>
            <w:tcW w:w="1217" w:type="dxa"/>
            <w:tcBorders>
              <w:top w:val="single" w:sz="4" w:space="0" w:color="auto"/>
              <w:left w:val="single" w:sz="4" w:space="0" w:color="auto"/>
              <w:bottom w:val="single" w:sz="4" w:space="0" w:color="auto"/>
              <w:right w:val="single" w:sz="4" w:space="0" w:color="auto"/>
            </w:tcBorders>
            <w:noWrap/>
            <w:vAlign w:val="center"/>
            <w:hideMark/>
          </w:tcPr>
          <w:p w14:paraId="0FAAB450" w14:textId="77777777" w:rsidR="00E15393" w:rsidRDefault="00E15393" w:rsidP="00E15393">
            <w:pPr>
              <w:spacing w:after="0" w:line="240" w:lineRule="auto"/>
              <w:jc w:val="center"/>
              <w:rPr>
                <w:rFonts w:ascii="Calibri" w:eastAsia="Times New Roman" w:hAnsi="Calibri" w:cs="Calibri"/>
                <w:color w:val="000000"/>
                <w:sz w:val="18"/>
                <w:szCs w:val="18"/>
                <w:lang w:bidi="he-IL"/>
              </w:rPr>
            </w:pPr>
            <w:r>
              <w:rPr>
                <w:rFonts w:ascii="Calibri" w:eastAsia="Times New Roman" w:hAnsi="Calibri" w:cs="Calibri"/>
                <w:color w:val="000000"/>
                <w:sz w:val="18"/>
                <w:szCs w:val="18"/>
                <w:lang w:bidi="he-IL"/>
              </w:rPr>
              <w:t>362 (54.9)</w:t>
            </w:r>
          </w:p>
        </w:tc>
      </w:tr>
      <w:tr w:rsidR="00E15393" w14:paraId="780DBF91" w14:textId="77777777" w:rsidTr="00D36C83">
        <w:trPr>
          <w:trHeight w:val="288"/>
        </w:trPr>
        <w:tc>
          <w:tcPr>
            <w:tcW w:w="2304" w:type="dxa"/>
            <w:tcBorders>
              <w:top w:val="single" w:sz="4" w:space="0" w:color="auto"/>
              <w:left w:val="single" w:sz="4" w:space="0" w:color="auto"/>
              <w:bottom w:val="single" w:sz="4" w:space="0" w:color="auto"/>
              <w:right w:val="single" w:sz="4" w:space="0" w:color="auto"/>
            </w:tcBorders>
            <w:vAlign w:val="center"/>
            <w:hideMark/>
          </w:tcPr>
          <w:p w14:paraId="7ABF2B78" w14:textId="77777777" w:rsidR="00E15393" w:rsidRDefault="00E15393" w:rsidP="00E15393">
            <w:pPr>
              <w:spacing w:after="0" w:line="240" w:lineRule="auto"/>
              <w:rPr>
                <w:rFonts w:ascii="Calibri" w:eastAsia="Times New Roman" w:hAnsi="Calibri" w:cs="Calibri"/>
                <w:b/>
                <w:bCs/>
                <w:color w:val="000000"/>
                <w:sz w:val="18"/>
                <w:szCs w:val="18"/>
                <w:lang w:bidi="he-IL"/>
              </w:rPr>
            </w:pPr>
            <w:r>
              <w:rPr>
                <w:rFonts w:ascii="Calibri" w:eastAsia="Times New Roman" w:hAnsi="Calibri" w:cs="Calibri"/>
                <w:b/>
                <w:bCs/>
                <w:color w:val="000000"/>
                <w:sz w:val="18"/>
                <w:szCs w:val="18"/>
                <w:lang w:bidi="he-IL"/>
              </w:rPr>
              <w:t>History of CHF- n (%)</w:t>
            </w:r>
          </w:p>
        </w:tc>
        <w:tc>
          <w:tcPr>
            <w:tcW w:w="1171"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hideMark/>
          </w:tcPr>
          <w:p w14:paraId="12F39421" w14:textId="77777777" w:rsidR="00E15393" w:rsidRDefault="00E15393" w:rsidP="00E15393">
            <w:pPr>
              <w:spacing w:after="0" w:line="240" w:lineRule="auto"/>
              <w:jc w:val="center"/>
              <w:rPr>
                <w:rFonts w:ascii="Calibri" w:eastAsia="Times New Roman" w:hAnsi="Calibri" w:cs="Calibri"/>
                <w:color w:val="000000"/>
                <w:sz w:val="18"/>
                <w:szCs w:val="18"/>
                <w:lang w:bidi="he-IL"/>
              </w:rPr>
            </w:pPr>
            <w:r>
              <w:rPr>
                <w:rFonts w:ascii="Calibri" w:eastAsia="Times New Roman" w:hAnsi="Calibri" w:cs="Calibri"/>
                <w:color w:val="000000"/>
                <w:sz w:val="18"/>
                <w:szCs w:val="18"/>
                <w:lang w:bidi="he-IL"/>
              </w:rPr>
              <w:t>338 (8.2)</w:t>
            </w:r>
          </w:p>
        </w:tc>
        <w:tc>
          <w:tcPr>
            <w:tcW w:w="1081"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hideMark/>
          </w:tcPr>
          <w:p w14:paraId="25868171" w14:textId="77777777" w:rsidR="00E15393" w:rsidRDefault="00E15393" w:rsidP="00E15393">
            <w:pPr>
              <w:spacing w:after="0" w:line="240" w:lineRule="auto"/>
              <w:jc w:val="center"/>
              <w:rPr>
                <w:rFonts w:ascii="Calibri" w:eastAsia="Times New Roman" w:hAnsi="Calibri" w:cs="Calibri"/>
                <w:color w:val="000000"/>
                <w:sz w:val="18"/>
                <w:szCs w:val="18"/>
                <w:lang w:bidi="he-IL"/>
              </w:rPr>
            </w:pPr>
            <w:r>
              <w:rPr>
                <w:rFonts w:ascii="Calibri" w:eastAsia="Times New Roman" w:hAnsi="Calibri" w:cs="Calibri"/>
                <w:color w:val="000000"/>
                <w:sz w:val="18"/>
                <w:szCs w:val="18"/>
                <w:lang w:bidi="he-IL"/>
              </w:rPr>
              <w:t>350 (8.7)</w:t>
            </w:r>
          </w:p>
        </w:tc>
        <w:tc>
          <w:tcPr>
            <w:tcW w:w="1169" w:type="dxa"/>
            <w:tcBorders>
              <w:top w:val="single" w:sz="4" w:space="0" w:color="auto"/>
              <w:left w:val="single" w:sz="4" w:space="0" w:color="auto"/>
              <w:bottom w:val="single" w:sz="4" w:space="0" w:color="auto"/>
              <w:right w:val="single" w:sz="4" w:space="0" w:color="auto"/>
            </w:tcBorders>
            <w:shd w:val="clear" w:color="auto" w:fill="DCE6F1"/>
            <w:noWrap/>
            <w:vAlign w:val="center"/>
            <w:hideMark/>
          </w:tcPr>
          <w:p w14:paraId="63079351" w14:textId="77777777" w:rsidR="00E15393" w:rsidRDefault="00E15393" w:rsidP="00E15393">
            <w:pPr>
              <w:spacing w:after="0" w:line="240" w:lineRule="auto"/>
              <w:jc w:val="center"/>
              <w:rPr>
                <w:rFonts w:ascii="Calibri" w:eastAsia="Times New Roman" w:hAnsi="Calibri" w:cs="Calibri"/>
                <w:color w:val="000000"/>
                <w:sz w:val="18"/>
                <w:szCs w:val="18"/>
                <w:lang w:bidi="he-IL"/>
              </w:rPr>
            </w:pPr>
            <w:r>
              <w:rPr>
                <w:rFonts w:ascii="Calibri" w:eastAsia="Times New Roman" w:hAnsi="Calibri" w:cs="Calibri"/>
                <w:color w:val="000000"/>
                <w:sz w:val="18"/>
                <w:szCs w:val="18"/>
                <w:lang w:bidi="he-IL"/>
              </w:rPr>
              <w:t>413 (10.8)</w:t>
            </w:r>
          </w:p>
        </w:tc>
        <w:tc>
          <w:tcPr>
            <w:tcW w:w="1170" w:type="dxa"/>
            <w:tcBorders>
              <w:top w:val="single" w:sz="4" w:space="0" w:color="auto"/>
              <w:left w:val="single" w:sz="4" w:space="0" w:color="auto"/>
              <w:bottom w:val="single" w:sz="4" w:space="0" w:color="auto"/>
              <w:right w:val="single" w:sz="4" w:space="0" w:color="auto"/>
            </w:tcBorders>
            <w:shd w:val="clear" w:color="auto" w:fill="DCE6F1"/>
            <w:noWrap/>
            <w:vAlign w:val="center"/>
            <w:hideMark/>
          </w:tcPr>
          <w:p w14:paraId="34AB83D0" w14:textId="77777777" w:rsidR="00E15393" w:rsidRDefault="00E15393" w:rsidP="00E15393">
            <w:pPr>
              <w:spacing w:after="0" w:line="240" w:lineRule="auto"/>
              <w:jc w:val="center"/>
              <w:rPr>
                <w:rFonts w:ascii="Calibri" w:eastAsia="Times New Roman" w:hAnsi="Calibri" w:cs="Calibri"/>
                <w:color w:val="000000"/>
                <w:sz w:val="18"/>
                <w:szCs w:val="18"/>
                <w:lang w:bidi="he-IL"/>
              </w:rPr>
            </w:pPr>
            <w:r>
              <w:rPr>
                <w:rFonts w:ascii="Calibri" w:eastAsia="Times New Roman" w:hAnsi="Calibri" w:cs="Calibri"/>
                <w:color w:val="000000"/>
                <w:sz w:val="18"/>
                <w:szCs w:val="18"/>
                <w:lang w:bidi="he-IL"/>
              </w:rPr>
              <w:t>396 (10.2)</w:t>
            </w:r>
          </w:p>
        </w:tc>
        <w:tc>
          <w:tcPr>
            <w:tcW w:w="1214" w:type="dxa"/>
            <w:tcBorders>
              <w:top w:val="single" w:sz="4" w:space="0" w:color="auto"/>
              <w:left w:val="single" w:sz="4" w:space="0" w:color="auto"/>
              <w:bottom w:val="single" w:sz="4" w:space="0" w:color="auto"/>
              <w:right w:val="single" w:sz="4" w:space="0" w:color="auto"/>
            </w:tcBorders>
            <w:noWrap/>
            <w:vAlign w:val="center"/>
            <w:hideMark/>
          </w:tcPr>
          <w:p w14:paraId="35F49E3C" w14:textId="77777777" w:rsidR="00E15393" w:rsidRDefault="00E15393" w:rsidP="00E15393">
            <w:pPr>
              <w:spacing w:after="0" w:line="240" w:lineRule="auto"/>
              <w:jc w:val="center"/>
              <w:rPr>
                <w:rFonts w:ascii="Calibri" w:eastAsia="Times New Roman" w:hAnsi="Calibri" w:cs="Calibri"/>
                <w:color w:val="000000"/>
                <w:sz w:val="18"/>
                <w:szCs w:val="18"/>
                <w:lang w:bidi="he-IL"/>
              </w:rPr>
            </w:pPr>
            <w:r>
              <w:rPr>
                <w:rFonts w:ascii="Calibri" w:eastAsia="Times New Roman" w:hAnsi="Calibri" w:cs="Calibri"/>
                <w:color w:val="000000"/>
                <w:sz w:val="18"/>
                <w:szCs w:val="18"/>
                <w:lang w:bidi="he-IL"/>
              </w:rPr>
              <w:t>101 (16.7)</w:t>
            </w:r>
          </w:p>
        </w:tc>
        <w:tc>
          <w:tcPr>
            <w:tcW w:w="1217" w:type="dxa"/>
            <w:tcBorders>
              <w:top w:val="single" w:sz="4" w:space="0" w:color="auto"/>
              <w:left w:val="single" w:sz="4" w:space="0" w:color="auto"/>
              <w:bottom w:val="single" w:sz="4" w:space="0" w:color="auto"/>
              <w:right w:val="single" w:sz="4" w:space="0" w:color="auto"/>
            </w:tcBorders>
            <w:noWrap/>
            <w:vAlign w:val="center"/>
            <w:hideMark/>
          </w:tcPr>
          <w:p w14:paraId="0467364C" w14:textId="77777777" w:rsidR="00E15393" w:rsidRDefault="00E15393" w:rsidP="00E15393">
            <w:pPr>
              <w:spacing w:after="0" w:line="240" w:lineRule="auto"/>
              <w:jc w:val="center"/>
              <w:rPr>
                <w:rFonts w:ascii="Calibri" w:eastAsia="Times New Roman" w:hAnsi="Calibri" w:cs="Calibri"/>
                <w:color w:val="000000"/>
                <w:sz w:val="18"/>
                <w:szCs w:val="18"/>
                <w:lang w:bidi="he-IL"/>
              </w:rPr>
            </w:pPr>
            <w:r>
              <w:rPr>
                <w:rFonts w:ascii="Calibri" w:eastAsia="Times New Roman" w:hAnsi="Calibri" w:cs="Calibri"/>
                <w:color w:val="000000"/>
                <w:sz w:val="18"/>
                <w:szCs w:val="18"/>
                <w:lang w:bidi="he-IL"/>
              </w:rPr>
              <w:t>126 (19.1)</w:t>
            </w:r>
          </w:p>
        </w:tc>
      </w:tr>
      <w:tr w:rsidR="00E15393" w14:paraId="69237887" w14:textId="77777777" w:rsidTr="00D36C83">
        <w:trPr>
          <w:trHeight w:val="288"/>
        </w:trPr>
        <w:tc>
          <w:tcPr>
            <w:tcW w:w="2304" w:type="dxa"/>
            <w:tcBorders>
              <w:top w:val="single" w:sz="4" w:space="0" w:color="auto"/>
              <w:left w:val="single" w:sz="4" w:space="0" w:color="auto"/>
              <w:bottom w:val="single" w:sz="4" w:space="0" w:color="auto"/>
              <w:right w:val="single" w:sz="4" w:space="0" w:color="auto"/>
            </w:tcBorders>
            <w:vAlign w:val="center"/>
            <w:hideMark/>
          </w:tcPr>
          <w:p w14:paraId="51F44FA4" w14:textId="77777777" w:rsidR="00E15393" w:rsidRDefault="00E15393" w:rsidP="00E15393">
            <w:pPr>
              <w:spacing w:after="0" w:line="240" w:lineRule="auto"/>
              <w:rPr>
                <w:rFonts w:ascii="Calibri" w:eastAsia="Times New Roman" w:hAnsi="Calibri" w:cs="Calibri"/>
                <w:b/>
                <w:bCs/>
                <w:color w:val="000000"/>
                <w:sz w:val="18"/>
                <w:szCs w:val="18"/>
                <w:lang w:bidi="he-IL"/>
              </w:rPr>
            </w:pPr>
            <w:r>
              <w:rPr>
                <w:rFonts w:ascii="Calibri" w:eastAsia="Times New Roman" w:hAnsi="Calibri" w:cs="Calibri"/>
                <w:b/>
                <w:bCs/>
                <w:color w:val="000000"/>
                <w:sz w:val="18"/>
                <w:szCs w:val="18"/>
                <w:lang w:bidi="he-IL"/>
              </w:rPr>
              <w:t>History of Dyslipidemia</w:t>
            </w:r>
            <w:r>
              <w:rPr>
                <w:rFonts w:ascii="Calibri" w:eastAsia="Times New Roman" w:hAnsi="Calibri" w:cs="Calibri"/>
                <w:b/>
                <w:bCs/>
                <w:color w:val="000000"/>
                <w:sz w:val="18"/>
                <w:szCs w:val="18"/>
                <w:vertAlign w:val="superscript"/>
                <w:lang w:bidi="he-IL"/>
              </w:rPr>
              <w:t>#</w:t>
            </w:r>
            <w:r>
              <w:rPr>
                <w:rFonts w:ascii="Calibri" w:eastAsia="Times New Roman" w:hAnsi="Calibri" w:cs="Calibri"/>
                <w:b/>
                <w:bCs/>
                <w:color w:val="000000"/>
                <w:sz w:val="18"/>
                <w:szCs w:val="18"/>
                <w:lang w:bidi="he-IL"/>
              </w:rPr>
              <w:t xml:space="preserve"> - n (%)</w:t>
            </w:r>
          </w:p>
        </w:tc>
        <w:tc>
          <w:tcPr>
            <w:tcW w:w="1171"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hideMark/>
          </w:tcPr>
          <w:p w14:paraId="24A0219E" w14:textId="77777777" w:rsidR="00E15393" w:rsidRDefault="00E15393" w:rsidP="00E15393">
            <w:pPr>
              <w:spacing w:after="0" w:line="240" w:lineRule="auto"/>
              <w:jc w:val="center"/>
              <w:rPr>
                <w:rFonts w:ascii="Calibri" w:eastAsia="Times New Roman" w:hAnsi="Calibri" w:cs="Calibri"/>
                <w:color w:val="000000"/>
                <w:sz w:val="18"/>
                <w:szCs w:val="18"/>
                <w:lang w:bidi="he-IL"/>
              </w:rPr>
            </w:pPr>
            <w:r>
              <w:rPr>
                <w:rFonts w:ascii="Calibri" w:eastAsia="Times New Roman" w:hAnsi="Calibri" w:cs="Calibri"/>
                <w:color w:val="000000"/>
                <w:sz w:val="18"/>
                <w:szCs w:val="18"/>
                <w:lang w:bidi="he-IL"/>
              </w:rPr>
              <w:t>3223 (77.9)</w:t>
            </w:r>
          </w:p>
        </w:tc>
        <w:tc>
          <w:tcPr>
            <w:tcW w:w="1081"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hideMark/>
          </w:tcPr>
          <w:p w14:paraId="2E36787A" w14:textId="77777777" w:rsidR="00E15393" w:rsidRDefault="00E15393" w:rsidP="00E15393">
            <w:pPr>
              <w:spacing w:after="0" w:line="240" w:lineRule="auto"/>
              <w:jc w:val="center"/>
              <w:rPr>
                <w:rFonts w:ascii="Calibri" w:eastAsia="Times New Roman" w:hAnsi="Calibri" w:cs="Calibri"/>
                <w:color w:val="000000"/>
                <w:sz w:val="18"/>
                <w:szCs w:val="18"/>
                <w:lang w:bidi="he-IL"/>
              </w:rPr>
            </w:pPr>
            <w:r>
              <w:rPr>
                <w:rFonts w:ascii="Calibri" w:eastAsia="Times New Roman" w:hAnsi="Calibri" w:cs="Calibri"/>
                <w:color w:val="000000"/>
                <w:sz w:val="18"/>
                <w:szCs w:val="18"/>
                <w:lang w:bidi="he-IL"/>
              </w:rPr>
              <w:t>3147 (78.2)</w:t>
            </w:r>
          </w:p>
        </w:tc>
        <w:tc>
          <w:tcPr>
            <w:tcW w:w="1169" w:type="dxa"/>
            <w:tcBorders>
              <w:top w:val="single" w:sz="4" w:space="0" w:color="auto"/>
              <w:left w:val="single" w:sz="4" w:space="0" w:color="auto"/>
              <w:bottom w:val="single" w:sz="4" w:space="0" w:color="auto"/>
              <w:right w:val="single" w:sz="4" w:space="0" w:color="auto"/>
            </w:tcBorders>
            <w:shd w:val="clear" w:color="auto" w:fill="DCE6F1"/>
            <w:noWrap/>
            <w:vAlign w:val="center"/>
            <w:hideMark/>
          </w:tcPr>
          <w:p w14:paraId="179778F0" w14:textId="77777777" w:rsidR="00E15393" w:rsidRDefault="00E15393" w:rsidP="00E15393">
            <w:pPr>
              <w:spacing w:after="0" w:line="240" w:lineRule="auto"/>
              <w:jc w:val="center"/>
              <w:rPr>
                <w:rFonts w:ascii="Calibri" w:eastAsia="Times New Roman" w:hAnsi="Calibri" w:cs="Calibri"/>
                <w:color w:val="000000"/>
                <w:sz w:val="18"/>
                <w:szCs w:val="18"/>
                <w:lang w:bidi="he-IL"/>
              </w:rPr>
            </w:pPr>
            <w:r>
              <w:rPr>
                <w:rFonts w:ascii="Calibri" w:eastAsia="Times New Roman" w:hAnsi="Calibri" w:cs="Calibri"/>
                <w:color w:val="000000"/>
                <w:sz w:val="18"/>
                <w:szCs w:val="18"/>
                <w:lang w:bidi="he-IL"/>
              </w:rPr>
              <w:t>3142 (81.9)</w:t>
            </w:r>
          </w:p>
        </w:tc>
        <w:tc>
          <w:tcPr>
            <w:tcW w:w="1170" w:type="dxa"/>
            <w:tcBorders>
              <w:top w:val="single" w:sz="4" w:space="0" w:color="auto"/>
              <w:left w:val="single" w:sz="4" w:space="0" w:color="auto"/>
              <w:bottom w:val="single" w:sz="4" w:space="0" w:color="auto"/>
              <w:right w:val="single" w:sz="4" w:space="0" w:color="auto"/>
            </w:tcBorders>
            <w:shd w:val="clear" w:color="auto" w:fill="DCE6F1"/>
            <w:noWrap/>
            <w:vAlign w:val="center"/>
            <w:hideMark/>
          </w:tcPr>
          <w:p w14:paraId="290748F5" w14:textId="77777777" w:rsidR="00E15393" w:rsidRDefault="00E15393" w:rsidP="00E15393">
            <w:pPr>
              <w:spacing w:after="0" w:line="240" w:lineRule="auto"/>
              <w:jc w:val="center"/>
              <w:rPr>
                <w:rFonts w:ascii="Calibri" w:eastAsia="Times New Roman" w:hAnsi="Calibri" w:cs="Calibri"/>
                <w:color w:val="000000"/>
                <w:sz w:val="18"/>
                <w:szCs w:val="18"/>
                <w:lang w:bidi="he-IL"/>
              </w:rPr>
            </w:pPr>
            <w:r>
              <w:rPr>
                <w:rFonts w:ascii="Calibri" w:eastAsia="Times New Roman" w:hAnsi="Calibri" w:cs="Calibri"/>
                <w:color w:val="000000"/>
                <w:sz w:val="18"/>
                <w:szCs w:val="18"/>
                <w:lang w:bidi="he-IL"/>
              </w:rPr>
              <w:t>3185 (81.8)</w:t>
            </w:r>
          </w:p>
        </w:tc>
        <w:tc>
          <w:tcPr>
            <w:tcW w:w="1214" w:type="dxa"/>
            <w:tcBorders>
              <w:top w:val="single" w:sz="4" w:space="0" w:color="auto"/>
              <w:left w:val="single" w:sz="4" w:space="0" w:color="auto"/>
              <w:bottom w:val="single" w:sz="4" w:space="0" w:color="auto"/>
              <w:right w:val="single" w:sz="4" w:space="0" w:color="auto"/>
            </w:tcBorders>
            <w:noWrap/>
            <w:vAlign w:val="center"/>
            <w:hideMark/>
          </w:tcPr>
          <w:p w14:paraId="26B0252B" w14:textId="77777777" w:rsidR="00E15393" w:rsidRDefault="00E15393" w:rsidP="00E15393">
            <w:pPr>
              <w:spacing w:after="0" w:line="240" w:lineRule="auto"/>
              <w:jc w:val="center"/>
              <w:rPr>
                <w:rFonts w:ascii="Calibri" w:eastAsia="Times New Roman" w:hAnsi="Calibri" w:cs="Calibri"/>
                <w:color w:val="000000"/>
                <w:sz w:val="18"/>
                <w:szCs w:val="18"/>
                <w:lang w:bidi="he-IL"/>
              </w:rPr>
            </w:pPr>
            <w:r>
              <w:rPr>
                <w:rFonts w:ascii="Calibri" w:eastAsia="Times New Roman" w:hAnsi="Calibri" w:cs="Calibri"/>
                <w:color w:val="000000"/>
                <w:sz w:val="18"/>
                <w:szCs w:val="18"/>
                <w:lang w:bidi="he-IL"/>
              </w:rPr>
              <w:t>519 (85.6)</w:t>
            </w:r>
          </w:p>
        </w:tc>
        <w:tc>
          <w:tcPr>
            <w:tcW w:w="1217" w:type="dxa"/>
            <w:tcBorders>
              <w:top w:val="single" w:sz="4" w:space="0" w:color="auto"/>
              <w:left w:val="single" w:sz="4" w:space="0" w:color="auto"/>
              <w:bottom w:val="single" w:sz="4" w:space="0" w:color="auto"/>
              <w:right w:val="single" w:sz="4" w:space="0" w:color="auto"/>
            </w:tcBorders>
            <w:noWrap/>
            <w:vAlign w:val="center"/>
            <w:hideMark/>
          </w:tcPr>
          <w:p w14:paraId="4E8EA9F4" w14:textId="77777777" w:rsidR="00E15393" w:rsidRDefault="00E15393" w:rsidP="00E15393">
            <w:pPr>
              <w:spacing w:after="0" w:line="240" w:lineRule="auto"/>
              <w:jc w:val="center"/>
              <w:rPr>
                <w:rFonts w:ascii="Calibri" w:eastAsia="Times New Roman" w:hAnsi="Calibri" w:cs="Calibri"/>
                <w:color w:val="000000"/>
                <w:sz w:val="18"/>
                <w:szCs w:val="18"/>
                <w:lang w:bidi="he-IL"/>
              </w:rPr>
            </w:pPr>
            <w:r>
              <w:rPr>
                <w:rFonts w:ascii="Calibri" w:eastAsia="Times New Roman" w:hAnsi="Calibri" w:cs="Calibri"/>
                <w:color w:val="000000"/>
                <w:sz w:val="18"/>
                <w:szCs w:val="18"/>
                <w:lang w:bidi="he-IL"/>
              </w:rPr>
              <w:t>579 (87.9)</w:t>
            </w:r>
          </w:p>
        </w:tc>
      </w:tr>
      <w:tr w:rsidR="00E15393" w14:paraId="02567621" w14:textId="77777777" w:rsidTr="00D36C83">
        <w:trPr>
          <w:trHeight w:val="288"/>
        </w:trPr>
        <w:tc>
          <w:tcPr>
            <w:tcW w:w="2304" w:type="dxa"/>
            <w:tcBorders>
              <w:top w:val="single" w:sz="4" w:space="0" w:color="auto"/>
              <w:left w:val="single" w:sz="4" w:space="0" w:color="auto"/>
              <w:bottom w:val="single" w:sz="4" w:space="0" w:color="auto"/>
              <w:right w:val="single" w:sz="4" w:space="0" w:color="auto"/>
            </w:tcBorders>
            <w:vAlign w:val="center"/>
            <w:hideMark/>
          </w:tcPr>
          <w:p w14:paraId="10D3B7D3" w14:textId="77777777" w:rsidR="00E15393" w:rsidRDefault="00E15393" w:rsidP="00E15393">
            <w:pPr>
              <w:spacing w:after="0" w:line="240" w:lineRule="auto"/>
              <w:rPr>
                <w:rFonts w:ascii="Calibri" w:eastAsia="Times New Roman" w:hAnsi="Calibri" w:cs="Calibri"/>
                <w:b/>
                <w:bCs/>
                <w:color w:val="000000"/>
                <w:sz w:val="18"/>
                <w:szCs w:val="18"/>
                <w:lang w:bidi="he-IL"/>
              </w:rPr>
            </w:pPr>
            <w:r>
              <w:rPr>
                <w:rFonts w:ascii="Calibri" w:eastAsia="Times New Roman" w:hAnsi="Calibri" w:cs="Calibri"/>
                <w:b/>
                <w:bCs/>
                <w:color w:val="000000"/>
                <w:sz w:val="18"/>
                <w:szCs w:val="18"/>
                <w:lang w:bidi="he-IL"/>
              </w:rPr>
              <w:t>History of HTN</w:t>
            </w:r>
            <w:r>
              <w:rPr>
                <w:rFonts w:ascii="Calibri" w:eastAsia="Times New Roman" w:hAnsi="Calibri" w:cs="Calibri"/>
                <w:b/>
                <w:bCs/>
                <w:color w:val="000000"/>
                <w:sz w:val="18"/>
                <w:szCs w:val="18"/>
                <w:vertAlign w:val="superscript"/>
                <w:lang w:bidi="he-IL"/>
              </w:rPr>
              <w:t>##</w:t>
            </w:r>
            <w:r>
              <w:rPr>
                <w:rFonts w:ascii="Calibri" w:eastAsia="Times New Roman" w:hAnsi="Calibri" w:cs="Calibri"/>
                <w:b/>
                <w:bCs/>
                <w:color w:val="000000"/>
                <w:sz w:val="18"/>
                <w:szCs w:val="18"/>
                <w:lang w:bidi="he-IL"/>
              </w:rPr>
              <w:t xml:space="preserve"> -n (%)</w:t>
            </w:r>
          </w:p>
        </w:tc>
        <w:tc>
          <w:tcPr>
            <w:tcW w:w="1171"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hideMark/>
          </w:tcPr>
          <w:p w14:paraId="253FD8E5" w14:textId="77777777" w:rsidR="00E15393" w:rsidRDefault="00E15393" w:rsidP="00E15393">
            <w:pPr>
              <w:spacing w:after="0" w:line="240" w:lineRule="auto"/>
              <w:jc w:val="center"/>
              <w:rPr>
                <w:rFonts w:ascii="Calibri" w:eastAsia="Times New Roman" w:hAnsi="Calibri" w:cs="Calibri"/>
                <w:color w:val="000000"/>
                <w:sz w:val="18"/>
                <w:szCs w:val="18"/>
                <w:lang w:bidi="he-IL"/>
              </w:rPr>
            </w:pPr>
            <w:r>
              <w:rPr>
                <w:rFonts w:ascii="Calibri" w:eastAsia="Times New Roman" w:hAnsi="Calibri" w:cs="Calibri"/>
                <w:color w:val="000000"/>
                <w:sz w:val="18"/>
                <w:szCs w:val="18"/>
                <w:lang w:bidi="he-IL"/>
              </w:rPr>
              <w:t>3629 (87.7)</w:t>
            </w:r>
          </w:p>
        </w:tc>
        <w:tc>
          <w:tcPr>
            <w:tcW w:w="1081"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hideMark/>
          </w:tcPr>
          <w:p w14:paraId="1D70885C" w14:textId="77777777" w:rsidR="00E15393" w:rsidRDefault="00E15393" w:rsidP="00E15393">
            <w:pPr>
              <w:spacing w:after="0" w:line="240" w:lineRule="auto"/>
              <w:jc w:val="center"/>
              <w:rPr>
                <w:rFonts w:ascii="Calibri" w:eastAsia="Times New Roman" w:hAnsi="Calibri" w:cs="Calibri"/>
                <w:color w:val="000000"/>
                <w:sz w:val="18"/>
                <w:szCs w:val="18"/>
                <w:lang w:bidi="he-IL"/>
              </w:rPr>
            </w:pPr>
            <w:r>
              <w:rPr>
                <w:rFonts w:ascii="Calibri" w:eastAsia="Times New Roman" w:hAnsi="Calibri" w:cs="Calibri"/>
                <w:color w:val="000000"/>
                <w:sz w:val="18"/>
                <w:szCs w:val="18"/>
                <w:lang w:bidi="he-IL"/>
              </w:rPr>
              <w:t>3504 (87.1)</w:t>
            </w:r>
          </w:p>
        </w:tc>
        <w:tc>
          <w:tcPr>
            <w:tcW w:w="1169" w:type="dxa"/>
            <w:tcBorders>
              <w:top w:val="single" w:sz="4" w:space="0" w:color="auto"/>
              <w:left w:val="single" w:sz="4" w:space="0" w:color="auto"/>
              <w:bottom w:val="single" w:sz="4" w:space="0" w:color="auto"/>
              <w:right w:val="single" w:sz="4" w:space="0" w:color="auto"/>
            </w:tcBorders>
            <w:shd w:val="clear" w:color="auto" w:fill="DCE6F1"/>
            <w:noWrap/>
            <w:vAlign w:val="center"/>
            <w:hideMark/>
          </w:tcPr>
          <w:p w14:paraId="0CAE3515" w14:textId="77777777" w:rsidR="00E15393" w:rsidRDefault="00E15393" w:rsidP="00E15393">
            <w:pPr>
              <w:spacing w:after="0" w:line="240" w:lineRule="auto"/>
              <w:jc w:val="center"/>
              <w:rPr>
                <w:rFonts w:ascii="Calibri" w:eastAsia="Times New Roman" w:hAnsi="Calibri" w:cs="Calibri"/>
                <w:color w:val="000000"/>
                <w:sz w:val="18"/>
                <w:szCs w:val="18"/>
                <w:lang w:bidi="he-IL"/>
              </w:rPr>
            </w:pPr>
            <w:r>
              <w:rPr>
                <w:rFonts w:ascii="Calibri" w:eastAsia="Times New Roman" w:hAnsi="Calibri" w:cs="Calibri"/>
                <w:color w:val="000000"/>
                <w:sz w:val="18"/>
                <w:szCs w:val="18"/>
                <w:lang w:bidi="he-IL"/>
              </w:rPr>
              <w:t>3560 (92.8)</w:t>
            </w:r>
          </w:p>
        </w:tc>
        <w:tc>
          <w:tcPr>
            <w:tcW w:w="1170" w:type="dxa"/>
            <w:tcBorders>
              <w:top w:val="single" w:sz="4" w:space="0" w:color="auto"/>
              <w:left w:val="single" w:sz="4" w:space="0" w:color="auto"/>
              <w:bottom w:val="single" w:sz="4" w:space="0" w:color="auto"/>
              <w:right w:val="single" w:sz="4" w:space="0" w:color="auto"/>
            </w:tcBorders>
            <w:shd w:val="clear" w:color="auto" w:fill="DCE6F1"/>
            <w:noWrap/>
            <w:vAlign w:val="center"/>
            <w:hideMark/>
          </w:tcPr>
          <w:p w14:paraId="12372293" w14:textId="77777777" w:rsidR="00E15393" w:rsidRDefault="00E15393" w:rsidP="00E15393">
            <w:pPr>
              <w:spacing w:after="0" w:line="240" w:lineRule="auto"/>
              <w:jc w:val="center"/>
              <w:rPr>
                <w:rFonts w:ascii="Calibri" w:eastAsia="Times New Roman" w:hAnsi="Calibri" w:cs="Calibri"/>
                <w:color w:val="000000"/>
                <w:sz w:val="18"/>
                <w:szCs w:val="18"/>
                <w:lang w:bidi="he-IL"/>
              </w:rPr>
            </w:pPr>
            <w:r>
              <w:rPr>
                <w:rFonts w:ascii="Calibri" w:eastAsia="Times New Roman" w:hAnsi="Calibri" w:cs="Calibri"/>
                <w:color w:val="000000"/>
                <w:sz w:val="18"/>
                <w:szCs w:val="18"/>
                <w:lang w:bidi="he-IL"/>
              </w:rPr>
              <w:t>3528 (90.6)</w:t>
            </w:r>
          </w:p>
        </w:tc>
        <w:tc>
          <w:tcPr>
            <w:tcW w:w="1214" w:type="dxa"/>
            <w:tcBorders>
              <w:top w:val="single" w:sz="4" w:space="0" w:color="auto"/>
              <w:left w:val="single" w:sz="4" w:space="0" w:color="auto"/>
              <w:bottom w:val="single" w:sz="4" w:space="0" w:color="auto"/>
              <w:right w:val="single" w:sz="4" w:space="0" w:color="auto"/>
            </w:tcBorders>
            <w:noWrap/>
            <w:vAlign w:val="center"/>
            <w:hideMark/>
          </w:tcPr>
          <w:p w14:paraId="0150F4DF" w14:textId="77777777" w:rsidR="00E15393" w:rsidRDefault="00E15393" w:rsidP="00E15393">
            <w:pPr>
              <w:spacing w:after="0" w:line="240" w:lineRule="auto"/>
              <w:jc w:val="center"/>
              <w:rPr>
                <w:rFonts w:ascii="Calibri" w:eastAsia="Times New Roman" w:hAnsi="Calibri" w:cs="Calibri"/>
                <w:color w:val="000000"/>
                <w:sz w:val="18"/>
                <w:szCs w:val="18"/>
                <w:lang w:bidi="he-IL"/>
              </w:rPr>
            </w:pPr>
            <w:r>
              <w:rPr>
                <w:rFonts w:ascii="Calibri" w:eastAsia="Times New Roman" w:hAnsi="Calibri" w:cs="Calibri"/>
                <w:color w:val="000000"/>
                <w:sz w:val="18"/>
                <w:szCs w:val="18"/>
                <w:lang w:bidi="he-IL"/>
              </w:rPr>
              <w:t>579 (95.5)</w:t>
            </w:r>
          </w:p>
        </w:tc>
        <w:tc>
          <w:tcPr>
            <w:tcW w:w="1217" w:type="dxa"/>
            <w:tcBorders>
              <w:top w:val="single" w:sz="4" w:space="0" w:color="auto"/>
              <w:left w:val="single" w:sz="4" w:space="0" w:color="auto"/>
              <w:bottom w:val="single" w:sz="4" w:space="0" w:color="auto"/>
              <w:right w:val="single" w:sz="4" w:space="0" w:color="auto"/>
            </w:tcBorders>
            <w:noWrap/>
            <w:vAlign w:val="center"/>
            <w:hideMark/>
          </w:tcPr>
          <w:p w14:paraId="19CEBB39" w14:textId="77777777" w:rsidR="00E15393" w:rsidRDefault="00E15393" w:rsidP="00E15393">
            <w:pPr>
              <w:spacing w:after="0" w:line="240" w:lineRule="auto"/>
              <w:jc w:val="center"/>
              <w:rPr>
                <w:rFonts w:ascii="Calibri" w:eastAsia="Times New Roman" w:hAnsi="Calibri" w:cs="Calibri"/>
                <w:color w:val="000000"/>
                <w:sz w:val="18"/>
                <w:szCs w:val="18"/>
                <w:lang w:bidi="he-IL"/>
              </w:rPr>
            </w:pPr>
            <w:r>
              <w:rPr>
                <w:rFonts w:ascii="Calibri" w:eastAsia="Times New Roman" w:hAnsi="Calibri" w:cs="Calibri"/>
                <w:color w:val="000000"/>
                <w:sz w:val="18"/>
                <w:szCs w:val="18"/>
                <w:lang w:bidi="he-IL"/>
              </w:rPr>
              <w:t>626 (95)</w:t>
            </w:r>
          </w:p>
        </w:tc>
      </w:tr>
      <w:tr w:rsidR="00E15393" w14:paraId="32FF2FB2" w14:textId="77777777" w:rsidTr="00D36C83">
        <w:trPr>
          <w:trHeight w:val="296"/>
        </w:trPr>
        <w:tc>
          <w:tcPr>
            <w:tcW w:w="230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58E6C311" w14:textId="77777777" w:rsidR="00E15393" w:rsidRDefault="00E15393" w:rsidP="00E15393">
            <w:pPr>
              <w:spacing w:after="0" w:line="240" w:lineRule="auto"/>
              <w:rPr>
                <w:rFonts w:ascii="Calibri" w:eastAsia="Times New Roman" w:hAnsi="Calibri" w:cs="Calibri"/>
                <w:b/>
                <w:bCs/>
                <w:color w:val="000000"/>
                <w:sz w:val="18"/>
                <w:szCs w:val="18"/>
                <w:u w:val="single"/>
                <w:lang w:bidi="he-IL"/>
              </w:rPr>
            </w:pPr>
            <w:r>
              <w:rPr>
                <w:rFonts w:ascii="Calibri" w:eastAsia="Times New Roman" w:hAnsi="Calibri" w:cs="Calibri"/>
                <w:b/>
                <w:bCs/>
                <w:color w:val="000000"/>
                <w:sz w:val="18"/>
                <w:szCs w:val="18"/>
                <w:u w:val="single"/>
                <w:lang w:bidi="he-IL"/>
              </w:rPr>
              <w:t>Background Medication:</w:t>
            </w:r>
          </w:p>
        </w:tc>
        <w:tc>
          <w:tcPr>
            <w:tcW w:w="1171"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tcPr>
          <w:p w14:paraId="27D65B4A" w14:textId="77777777" w:rsidR="00E15393" w:rsidRDefault="00E15393" w:rsidP="00E15393">
            <w:pPr>
              <w:spacing w:after="0" w:line="240" w:lineRule="auto"/>
              <w:jc w:val="center"/>
              <w:rPr>
                <w:rFonts w:ascii="Calibri" w:eastAsia="Times New Roman" w:hAnsi="Calibri" w:cs="Calibri"/>
                <w:color w:val="000000"/>
                <w:sz w:val="18"/>
                <w:szCs w:val="18"/>
                <w:lang w:bidi="he-IL"/>
              </w:rPr>
            </w:pPr>
          </w:p>
        </w:tc>
        <w:tc>
          <w:tcPr>
            <w:tcW w:w="1081"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tcPr>
          <w:p w14:paraId="6578DFE0" w14:textId="77777777" w:rsidR="00E15393" w:rsidRDefault="00E15393" w:rsidP="00E15393">
            <w:pPr>
              <w:spacing w:after="0" w:line="240" w:lineRule="auto"/>
              <w:jc w:val="center"/>
              <w:rPr>
                <w:rFonts w:ascii="Calibri" w:eastAsia="Times New Roman" w:hAnsi="Calibri" w:cs="Calibri"/>
                <w:color w:val="000000"/>
                <w:sz w:val="18"/>
                <w:szCs w:val="18"/>
                <w:lang w:bidi="he-IL"/>
              </w:rPr>
            </w:pPr>
          </w:p>
        </w:tc>
        <w:tc>
          <w:tcPr>
            <w:tcW w:w="1169" w:type="dxa"/>
            <w:tcBorders>
              <w:top w:val="single" w:sz="4" w:space="0" w:color="auto"/>
              <w:left w:val="single" w:sz="4" w:space="0" w:color="auto"/>
              <w:bottom w:val="single" w:sz="4" w:space="0" w:color="auto"/>
              <w:right w:val="single" w:sz="4" w:space="0" w:color="auto"/>
            </w:tcBorders>
            <w:shd w:val="clear" w:color="auto" w:fill="DCE6F1"/>
            <w:noWrap/>
            <w:vAlign w:val="center"/>
          </w:tcPr>
          <w:p w14:paraId="2BC21E99" w14:textId="77777777" w:rsidR="00E15393" w:rsidRDefault="00E15393" w:rsidP="00E15393">
            <w:pPr>
              <w:spacing w:after="0" w:line="240" w:lineRule="auto"/>
              <w:jc w:val="center"/>
              <w:rPr>
                <w:rFonts w:ascii="Calibri" w:eastAsia="Times New Roman" w:hAnsi="Calibri" w:cs="Calibri"/>
                <w:color w:val="000000"/>
                <w:sz w:val="18"/>
                <w:szCs w:val="18"/>
                <w:lang w:bidi="he-IL"/>
              </w:rPr>
            </w:pPr>
          </w:p>
        </w:tc>
        <w:tc>
          <w:tcPr>
            <w:tcW w:w="1170" w:type="dxa"/>
            <w:tcBorders>
              <w:top w:val="single" w:sz="4" w:space="0" w:color="auto"/>
              <w:left w:val="single" w:sz="4" w:space="0" w:color="auto"/>
              <w:bottom w:val="single" w:sz="4" w:space="0" w:color="auto"/>
              <w:right w:val="single" w:sz="4" w:space="0" w:color="auto"/>
            </w:tcBorders>
            <w:shd w:val="clear" w:color="auto" w:fill="DCE6F1"/>
            <w:noWrap/>
            <w:vAlign w:val="center"/>
          </w:tcPr>
          <w:p w14:paraId="511C9C09" w14:textId="77777777" w:rsidR="00E15393" w:rsidRDefault="00E15393" w:rsidP="00E15393">
            <w:pPr>
              <w:spacing w:after="0" w:line="240" w:lineRule="auto"/>
              <w:jc w:val="center"/>
              <w:rPr>
                <w:rFonts w:ascii="Calibri" w:eastAsia="Times New Roman" w:hAnsi="Calibri" w:cs="Calibri"/>
                <w:color w:val="000000"/>
                <w:sz w:val="18"/>
                <w:szCs w:val="18"/>
                <w:lang w:bidi="he-IL"/>
              </w:rPr>
            </w:pPr>
          </w:p>
        </w:tc>
        <w:tc>
          <w:tcPr>
            <w:tcW w:w="1214" w:type="dxa"/>
            <w:tcBorders>
              <w:top w:val="single" w:sz="4" w:space="0" w:color="auto"/>
              <w:left w:val="single" w:sz="4" w:space="0" w:color="auto"/>
              <w:bottom w:val="single" w:sz="4" w:space="0" w:color="auto"/>
              <w:right w:val="single" w:sz="4" w:space="0" w:color="auto"/>
            </w:tcBorders>
            <w:noWrap/>
            <w:vAlign w:val="center"/>
          </w:tcPr>
          <w:p w14:paraId="41257C09" w14:textId="77777777" w:rsidR="00E15393" w:rsidRDefault="00E15393" w:rsidP="00E15393">
            <w:pPr>
              <w:spacing w:after="0" w:line="240" w:lineRule="auto"/>
              <w:jc w:val="center"/>
              <w:rPr>
                <w:rFonts w:ascii="Calibri" w:eastAsia="Times New Roman" w:hAnsi="Calibri" w:cs="Calibri"/>
                <w:color w:val="000000"/>
                <w:sz w:val="18"/>
                <w:szCs w:val="18"/>
                <w:lang w:bidi="he-IL"/>
              </w:rPr>
            </w:pPr>
          </w:p>
        </w:tc>
        <w:tc>
          <w:tcPr>
            <w:tcW w:w="1217" w:type="dxa"/>
            <w:tcBorders>
              <w:top w:val="single" w:sz="4" w:space="0" w:color="auto"/>
              <w:left w:val="single" w:sz="4" w:space="0" w:color="auto"/>
              <w:bottom w:val="single" w:sz="4" w:space="0" w:color="auto"/>
              <w:right w:val="single" w:sz="4" w:space="0" w:color="auto"/>
            </w:tcBorders>
            <w:noWrap/>
            <w:vAlign w:val="center"/>
          </w:tcPr>
          <w:p w14:paraId="56144FAB" w14:textId="77777777" w:rsidR="00E15393" w:rsidRDefault="00E15393" w:rsidP="00E15393">
            <w:pPr>
              <w:spacing w:after="0" w:line="240" w:lineRule="auto"/>
              <w:jc w:val="center"/>
              <w:rPr>
                <w:rFonts w:ascii="Calibri" w:eastAsia="Times New Roman" w:hAnsi="Calibri" w:cs="Calibri"/>
                <w:color w:val="000000"/>
                <w:sz w:val="18"/>
                <w:szCs w:val="18"/>
                <w:lang w:bidi="he-IL"/>
              </w:rPr>
            </w:pPr>
          </w:p>
        </w:tc>
      </w:tr>
      <w:tr w:rsidR="00E15393" w14:paraId="411A4717" w14:textId="77777777" w:rsidTr="00D36C83">
        <w:trPr>
          <w:trHeight w:val="296"/>
        </w:trPr>
        <w:tc>
          <w:tcPr>
            <w:tcW w:w="230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02D593F6" w14:textId="77777777" w:rsidR="00E15393" w:rsidRDefault="00E15393" w:rsidP="00E15393">
            <w:pPr>
              <w:spacing w:after="0" w:line="240" w:lineRule="auto"/>
              <w:rPr>
                <w:rFonts w:ascii="Calibri" w:eastAsia="Times New Roman" w:hAnsi="Calibri" w:cs="Calibri"/>
                <w:b/>
                <w:bCs/>
                <w:color w:val="000000"/>
                <w:sz w:val="18"/>
                <w:szCs w:val="18"/>
                <w:u w:val="single"/>
                <w:lang w:bidi="he-IL"/>
              </w:rPr>
            </w:pPr>
            <w:r>
              <w:rPr>
                <w:rFonts w:ascii="Calibri" w:eastAsia="Times New Roman" w:hAnsi="Calibri" w:cs="Calibri"/>
                <w:b/>
                <w:bCs/>
                <w:color w:val="000000"/>
                <w:sz w:val="18"/>
                <w:szCs w:val="18"/>
                <w:u w:val="single"/>
                <w:lang w:bidi="he-IL"/>
              </w:rPr>
              <w:t>CV Medications:</w:t>
            </w:r>
          </w:p>
        </w:tc>
        <w:tc>
          <w:tcPr>
            <w:tcW w:w="1171"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tcPr>
          <w:p w14:paraId="569A051B" w14:textId="77777777" w:rsidR="00E15393" w:rsidRDefault="00E15393" w:rsidP="00E15393">
            <w:pPr>
              <w:spacing w:after="0" w:line="240" w:lineRule="auto"/>
              <w:jc w:val="center"/>
              <w:rPr>
                <w:rFonts w:ascii="Calibri" w:eastAsia="Times New Roman" w:hAnsi="Calibri" w:cs="Calibri"/>
                <w:color w:val="000000"/>
                <w:sz w:val="18"/>
                <w:szCs w:val="18"/>
                <w:lang w:bidi="he-IL"/>
              </w:rPr>
            </w:pPr>
          </w:p>
        </w:tc>
        <w:tc>
          <w:tcPr>
            <w:tcW w:w="1081"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tcPr>
          <w:p w14:paraId="6DC2B440" w14:textId="77777777" w:rsidR="00E15393" w:rsidRDefault="00E15393" w:rsidP="00E15393">
            <w:pPr>
              <w:spacing w:after="0" w:line="240" w:lineRule="auto"/>
              <w:jc w:val="center"/>
              <w:rPr>
                <w:rFonts w:ascii="Calibri" w:eastAsia="Times New Roman" w:hAnsi="Calibri" w:cs="Calibri"/>
                <w:color w:val="000000"/>
                <w:sz w:val="18"/>
                <w:szCs w:val="18"/>
                <w:lang w:bidi="he-IL"/>
              </w:rPr>
            </w:pPr>
          </w:p>
        </w:tc>
        <w:tc>
          <w:tcPr>
            <w:tcW w:w="1169" w:type="dxa"/>
            <w:tcBorders>
              <w:top w:val="single" w:sz="4" w:space="0" w:color="auto"/>
              <w:left w:val="single" w:sz="4" w:space="0" w:color="auto"/>
              <w:bottom w:val="single" w:sz="4" w:space="0" w:color="auto"/>
              <w:right w:val="single" w:sz="4" w:space="0" w:color="auto"/>
            </w:tcBorders>
            <w:shd w:val="clear" w:color="auto" w:fill="DCE6F1"/>
            <w:noWrap/>
            <w:vAlign w:val="center"/>
          </w:tcPr>
          <w:p w14:paraId="030DBF16" w14:textId="77777777" w:rsidR="00E15393" w:rsidRDefault="00E15393" w:rsidP="00E15393">
            <w:pPr>
              <w:spacing w:after="0" w:line="240" w:lineRule="auto"/>
              <w:jc w:val="center"/>
              <w:rPr>
                <w:rFonts w:ascii="Calibri" w:eastAsia="Times New Roman" w:hAnsi="Calibri" w:cs="Calibri"/>
                <w:color w:val="000000"/>
                <w:sz w:val="18"/>
                <w:szCs w:val="18"/>
                <w:lang w:bidi="he-IL"/>
              </w:rPr>
            </w:pPr>
          </w:p>
        </w:tc>
        <w:tc>
          <w:tcPr>
            <w:tcW w:w="1170" w:type="dxa"/>
            <w:tcBorders>
              <w:top w:val="single" w:sz="4" w:space="0" w:color="auto"/>
              <w:left w:val="single" w:sz="4" w:space="0" w:color="auto"/>
              <w:bottom w:val="single" w:sz="4" w:space="0" w:color="auto"/>
              <w:right w:val="single" w:sz="4" w:space="0" w:color="auto"/>
            </w:tcBorders>
            <w:shd w:val="clear" w:color="auto" w:fill="DCE6F1"/>
            <w:noWrap/>
            <w:vAlign w:val="center"/>
          </w:tcPr>
          <w:p w14:paraId="416852A9" w14:textId="77777777" w:rsidR="00E15393" w:rsidRDefault="00E15393" w:rsidP="00E15393">
            <w:pPr>
              <w:spacing w:after="0" w:line="240" w:lineRule="auto"/>
              <w:jc w:val="center"/>
              <w:rPr>
                <w:rFonts w:ascii="Calibri" w:eastAsia="Times New Roman" w:hAnsi="Calibri" w:cs="Calibri"/>
                <w:color w:val="000000"/>
                <w:sz w:val="18"/>
                <w:szCs w:val="18"/>
                <w:lang w:bidi="he-IL"/>
              </w:rPr>
            </w:pPr>
          </w:p>
        </w:tc>
        <w:tc>
          <w:tcPr>
            <w:tcW w:w="1214" w:type="dxa"/>
            <w:tcBorders>
              <w:top w:val="single" w:sz="4" w:space="0" w:color="auto"/>
              <w:left w:val="single" w:sz="4" w:space="0" w:color="auto"/>
              <w:bottom w:val="single" w:sz="4" w:space="0" w:color="auto"/>
              <w:right w:val="single" w:sz="4" w:space="0" w:color="auto"/>
            </w:tcBorders>
            <w:noWrap/>
            <w:vAlign w:val="center"/>
          </w:tcPr>
          <w:p w14:paraId="2CFB452B" w14:textId="77777777" w:rsidR="00E15393" w:rsidRDefault="00E15393" w:rsidP="00E15393">
            <w:pPr>
              <w:spacing w:after="0" w:line="240" w:lineRule="auto"/>
              <w:jc w:val="center"/>
              <w:rPr>
                <w:rFonts w:ascii="Calibri" w:eastAsia="Times New Roman" w:hAnsi="Calibri" w:cs="Calibri"/>
                <w:color w:val="000000"/>
                <w:sz w:val="18"/>
                <w:szCs w:val="18"/>
                <w:lang w:bidi="he-IL"/>
              </w:rPr>
            </w:pPr>
          </w:p>
        </w:tc>
        <w:tc>
          <w:tcPr>
            <w:tcW w:w="1217" w:type="dxa"/>
            <w:tcBorders>
              <w:top w:val="single" w:sz="4" w:space="0" w:color="auto"/>
              <w:left w:val="single" w:sz="4" w:space="0" w:color="auto"/>
              <w:bottom w:val="single" w:sz="4" w:space="0" w:color="auto"/>
              <w:right w:val="single" w:sz="4" w:space="0" w:color="auto"/>
            </w:tcBorders>
            <w:noWrap/>
            <w:vAlign w:val="center"/>
          </w:tcPr>
          <w:p w14:paraId="3E994575" w14:textId="77777777" w:rsidR="00E15393" w:rsidRDefault="00E15393" w:rsidP="00E15393">
            <w:pPr>
              <w:spacing w:after="0" w:line="240" w:lineRule="auto"/>
              <w:jc w:val="center"/>
              <w:rPr>
                <w:rFonts w:ascii="Calibri" w:eastAsia="Times New Roman" w:hAnsi="Calibri" w:cs="Calibri"/>
                <w:color w:val="000000"/>
                <w:sz w:val="18"/>
                <w:szCs w:val="18"/>
                <w:lang w:bidi="he-IL"/>
              </w:rPr>
            </w:pPr>
          </w:p>
        </w:tc>
      </w:tr>
      <w:tr w:rsidR="00E15393" w14:paraId="4C79F8EB" w14:textId="77777777" w:rsidTr="00D36C83">
        <w:trPr>
          <w:trHeight w:val="296"/>
        </w:trPr>
        <w:tc>
          <w:tcPr>
            <w:tcW w:w="2304" w:type="dxa"/>
            <w:tcBorders>
              <w:top w:val="single" w:sz="4" w:space="0" w:color="auto"/>
              <w:left w:val="single" w:sz="4" w:space="0" w:color="auto"/>
              <w:bottom w:val="single" w:sz="4" w:space="0" w:color="auto"/>
              <w:right w:val="single" w:sz="4" w:space="0" w:color="auto"/>
            </w:tcBorders>
            <w:vAlign w:val="center"/>
            <w:hideMark/>
          </w:tcPr>
          <w:p w14:paraId="13BADC5F" w14:textId="77777777" w:rsidR="00E15393" w:rsidRDefault="00E15393" w:rsidP="00E15393">
            <w:pPr>
              <w:spacing w:after="0" w:line="240" w:lineRule="auto"/>
              <w:rPr>
                <w:rFonts w:ascii="Calibri" w:eastAsia="Times New Roman" w:hAnsi="Calibri" w:cs="Calibri"/>
                <w:b/>
                <w:bCs/>
                <w:color w:val="000000"/>
                <w:sz w:val="18"/>
                <w:szCs w:val="18"/>
                <w:lang w:bidi="he-IL"/>
              </w:rPr>
            </w:pPr>
            <w:r>
              <w:rPr>
                <w:rFonts w:ascii="Calibri" w:eastAsia="Times New Roman" w:hAnsi="Calibri" w:cs="Calibri"/>
                <w:b/>
                <w:bCs/>
                <w:color w:val="000000"/>
                <w:sz w:val="18"/>
                <w:szCs w:val="18"/>
                <w:lang w:bidi="he-IL"/>
              </w:rPr>
              <w:t>Antiplatelet use at baseline- n (%)</w:t>
            </w:r>
          </w:p>
        </w:tc>
        <w:tc>
          <w:tcPr>
            <w:tcW w:w="1171"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hideMark/>
          </w:tcPr>
          <w:p w14:paraId="02A4DE3D" w14:textId="77777777" w:rsidR="00E15393" w:rsidRDefault="00E15393" w:rsidP="00E15393">
            <w:pPr>
              <w:spacing w:after="0" w:line="240" w:lineRule="auto"/>
              <w:jc w:val="center"/>
              <w:rPr>
                <w:rFonts w:ascii="Calibri" w:eastAsia="Times New Roman" w:hAnsi="Calibri" w:cs="Calibri"/>
                <w:color w:val="000000"/>
                <w:sz w:val="18"/>
                <w:szCs w:val="18"/>
                <w:lang w:bidi="he-IL"/>
              </w:rPr>
            </w:pPr>
            <w:r>
              <w:rPr>
                <w:rFonts w:ascii="Calibri" w:eastAsia="Times New Roman" w:hAnsi="Calibri" w:cs="Calibri"/>
                <w:color w:val="000000"/>
                <w:sz w:val="18"/>
                <w:szCs w:val="18"/>
                <w:lang w:bidi="he-IL"/>
              </w:rPr>
              <w:t>2429 (58.7)</w:t>
            </w:r>
          </w:p>
        </w:tc>
        <w:tc>
          <w:tcPr>
            <w:tcW w:w="1081"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hideMark/>
          </w:tcPr>
          <w:p w14:paraId="09EE86B5" w14:textId="77777777" w:rsidR="00E15393" w:rsidRDefault="00E15393" w:rsidP="00E15393">
            <w:pPr>
              <w:spacing w:after="0" w:line="240" w:lineRule="auto"/>
              <w:jc w:val="center"/>
              <w:rPr>
                <w:rFonts w:ascii="Calibri" w:eastAsia="Times New Roman" w:hAnsi="Calibri" w:cs="Calibri"/>
                <w:color w:val="000000"/>
                <w:sz w:val="18"/>
                <w:szCs w:val="18"/>
                <w:lang w:bidi="he-IL"/>
              </w:rPr>
            </w:pPr>
            <w:r>
              <w:rPr>
                <w:rFonts w:ascii="Calibri" w:eastAsia="Times New Roman" w:hAnsi="Calibri" w:cs="Calibri"/>
                <w:color w:val="000000"/>
                <w:sz w:val="18"/>
                <w:szCs w:val="18"/>
                <w:lang w:bidi="he-IL"/>
              </w:rPr>
              <w:t>2384 (59.2)</w:t>
            </w:r>
          </w:p>
        </w:tc>
        <w:tc>
          <w:tcPr>
            <w:tcW w:w="1169" w:type="dxa"/>
            <w:tcBorders>
              <w:top w:val="single" w:sz="4" w:space="0" w:color="auto"/>
              <w:left w:val="single" w:sz="4" w:space="0" w:color="auto"/>
              <w:bottom w:val="single" w:sz="4" w:space="0" w:color="auto"/>
              <w:right w:val="single" w:sz="4" w:space="0" w:color="auto"/>
            </w:tcBorders>
            <w:shd w:val="clear" w:color="auto" w:fill="DCE6F1"/>
            <w:noWrap/>
            <w:vAlign w:val="center"/>
            <w:hideMark/>
          </w:tcPr>
          <w:p w14:paraId="3FBBAC9E" w14:textId="77777777" w:rsidR="00E15393" w:rsidRDefault="00E15393" w:rsidP="00E15393">
            <w:pPr>
              <w:spacing w:after="0" w:line="240" w:lineRule="auto"/>
              <w:jc w:val="center"/>
              <w:rPr>
                <w:rFonts w:ascii="Calibri" w:eastAsia="Times New Roman" w:hAnsi="Calibri" w:cs="Calibri"/>
                <w:color w:val="000000"/>
                <w:sz w:val="18"/>
                <w:szCs w:val="18"/>
                <w:lang w:bidi="he-IL"/>
              </w:rPr>
            </w:pPr>
            <w:r>
              <w:rPr>
                <w:rFonts w:ascii="Calibri" w:eastAsia="Times New Roman" w:hAnsi="Calibri" w:cs="Calibri"/>
                <w:color w:val="000000"/>
                <w:sz w:val="18"/>
                <w:szCs w:val="18"/>
                <w:lang w:bidi="he-IL"/>
              </w:rPr>
              <w:t>2402 (62.6)</w:t>
            </w:r>
          </w:p>
        </w:tc>
        <w:tc>
          <w:tcPr>
            <w:tcW w:w="1170" w:type="dxa"/>
            <w:tcBorders>
              <w:top w:val="single" w:sz="4" w:space="0" w:color="auto"/>
              <w:left w:val="single" w:sz="4" w:space="0" w:color="auto"/>
              <w:bottom w:val="single" w:sz="4" w:space="0" w:color="auto"/>
              <w:right w:val="single" w:sz="4" w:space="0" w:color="auto"/>
            </w:tcBorders>
            <w:shd w:val="clear" w:color="auto" w:fill="DCE6F1"/>
            <w:noWrap/>
            <w:vAlign w:val="center"/>
            <w:hideMark/>
          </w:tcPr>
          <w:p w14:paraId="1DDA0CA5" w14:textId="77777777" w:rsidR="00E15393" w:rsidRDefault="00E15393" w:rsidP="00E15393">
            <w:pPr>
              <w:spacing w:after="0" w:line="240" w:lineRule="auto"/>
              <w:jc w:val="center"/>
              <w:rPr>
                <w:rFonts w:ascii="Calibri" w:eastAsia="Times New Roman" w:hAnsi="Calibri" w:cs="Calibri"/>
                <w:color w:val="000000"/>
                <w:sz w:val="18"/>
                <w:szCs w:val="18"/>
                <w:lang w:bidi="he-IL"/>
              </w:rPr>
            </w:pPr>
            <w:r>
              <w:rPr>
                <w:rFonts w:ascii="Calibri" w:eastAsia="Times New Roman" w:hAnsi="Calibri" w:cs="Calibri"/>
                <w:color w:val="000000"/>
                <w:sz w:val="18"/>
                <w:szCs w:val="18"/>
                <w:lang w:bidi="he-IL"/>
              </w:rPr>
              <w:t>2388 (61.3)</w:t>
            </w:r>
          </w:p>
        </w:tc>
        <w:tc>
          <w:tcPr>
            <w:tcW w:w="1214" w:type="dxa"/>
            <w:tcBorders>
              <w:top w:val="single" w:sz="4" w:space="0" w:color="auto"/>
              <w:left w:val="single" w:sz="4" w:space="0" w:color="auto"/>
              <w:bottom w:val="single" w:sz="4" w:space="0" w:color="auto"/>
              <w:right w:val="single" w:sz="4" w:space="0" w:color="auto"/>
            </w:tcBorders>
            <w:noWrap/>
            <w:vAlign w:val="center"/>
            <w:hideMark/>
          </w:tcPr>
          <w:p w14:paraId="656E79FB" w14:textId="77777777" w:rsidR="00E15393" w:rsidRDefault="00E15393" w:rsidP="00E15393">
            <w:pPr>
              <w:spacing w:after="0" w:line="240" w:lineRule="auto"/>
              <w:jc w:val="center"/>
              <w:rPr>
                <w:rFonts w:ascii="Calibri" w:eastAsia="Times New Roman" w:hAnsi="Calibri" w:cs="Calibri"/>
                <w:color w:val="000000"/>
                <w:sz w:val="18"/>
                <w:szCs w:val="18"/>
                <w:lang w:bidi="he-IL"/>
              </w:rPr>
            </w:pPr>
            <w:r>
              <w:rPr>
                <w:rFonts w:ascii="Calibri" w:eastAsia="Times New Roman" w:hAnsi="Calibri" w:cs="Calibri"/>
                <w:color w:val="000000"/>
                <w:sz w:val="18"/>
                <w:szCs w:val="18"/>
                <w:lang w:bidi="he-IL"/>
              </w:rPr>
              <w:t>414 (68.3)</w:t>
            </w:r>
          </w:p>
        </w:tc>
        <w:tc>
          <w:tcPr>
            <w:tcW w:w="1217" w:type="dxa"/>
            <w:tcBorders>
              <w:top w:val="single" w:sz="4" w:space="0" w:color="auto"/>
              <w:left w:val="single" w:sz="4" w:space="0" w:color="auto"/>
              <w:bottom w:val="single" w:sz="4" w:space="0" w:color="auto"/>
              <w:right w:val="single" w:sz="4" w:space="0" w:color="auto"/>
            </w:tcBorders>
            <w:noWrap/>
            <w:vAlign w:val="center"/>
            <w:hideMark/>
          </w:tcPr>
          <w:p w14:paraId="5A4A7A2F" w14:textId="77777777" w:rsidR="00E15393" w:rsidRDefault="00E15393" w:rsidP="00E15393">
            <w:pPr>
              <w:spacing w:after="0" w:line="240" w:lineRule="auto"/>
              <w:jc w:val="center"/>
              <w:rPr>
                <w:rFonts w:ascii="Calibri" w:eastAsia="Times New Roman" w:hAnsi="Calibri" w:cs="Calibri"/>
                <w:color w:val="000000"/>
                <w:sz w:val="18"/>
                <w:szCs w:val="18"/>
                <w:lang w:bidi="he-IL"/>
              </w:rPr>
            </w:pPr>
            <w:r>
              <w:rPr>
                <w:rFonts w:ascii="Calibri" w:eastAsia="Times New Roman" w:hAnsi="Calibri" w:cs="Calibri"/>
                <w:color w:val="000000"/>
                <w:sz w:val="18"/>
                <w:szCs w:val="18"/>
                <w:lang w:bidi="he-IL"/>
              </w:rPr>
              <w:t>470 (71.3)</w:t>
            </w:r>
          </w:p>
        </w:tc>
      </w:tr>
      <w:tr w:rsidR="00E15393" w14:paraId="07FD9CB9" w14:textId="77777777" w:rsidTr="00D36C83">
        <w:trPr>
          <w:trHeight w:val="296"/>
        </w:trPr>
        <w:tc>
          <w:tcPr>
            <w:tcW w:w="2304" w:type="dxa"/>
            <w:tcBorders>
              <w:top w:val="single" w:sz="4" w:space="0" w:color="auto"/>
              <w:left w:val="single" w:sz="4" w:space="0" w:color="auto"/>
              <w:bottom w:val="single" w:sz="4" w:space="0" w:color="auto"/>
              <w:right w:val="single" w:sz="4" w:space="0" w:color="auto"/>
            </w:tcBorders>
            <w:vAlign w:val="center"/>
            <w:hideMark/>
          </w:tcPr>
          <w:p w14:paraId="3A9A9459" w14:textId="5BB3EC1B" w:rsidR="00E15393" w:rsidRDefault="00E15393" w:rsidP="00E15393">
            <w:pPr>
              <w:spacing w:after="0" w:line="240" w:lineRule="auto"/>
              <w:rPr>
                <w:rFonts w:ascii="Calibri" w:eastAsia="Times New Roman" w:hAnsi="Calibri" w:cs="Calibri"/>
                <w:b/>
                <w:bCs/>
                <w:color w:val="000000"/>
                <w:sz w:val="18"/>
                <w:szCs w:val="18"/>
                <w:lang w:bidi="he-IL"/>
              </w:rPr>
            </w:pPr>
            <w:r>
              <w:rPr>
                <w:rFonts w:ascii="Calibri" w:eastAsia="Times New Roman" w:hAnsi="Calibri" w:cs="Calibri"/>
                <w:b/>
                <w:bCs/>
                <w:color w:val="000000"/>
                <w:sz w:val="18"/>
                <w:szCs w:val="18"/>
                <w:lang w:bidi="he-IL"/>
              </w:rPr>
              <w:t>ACEi/ARB use at baseline- n (%)</w:t>
            </w:r>
          </w:p>
        </w:tc>
        <w:tc>
          <w:tcPr>
            <w:tcW w:w="1171"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hideMark/>
          </w:tcPr>
          <w:p w14:paraId="5739EC61" w14:textId="77777777" w:rsidR="00E15393" w:rsidRDefault="00E15393" w:rsidP="00E15393">
            <w:pPr>
              <w:spacing w:after="0" w:line="240" w:lineRule="auto"/>
              <w:jc w:val="center"/>
              <w:rPr>
                <w:rFonts w:ascii="Calibri" w:eastAsia="Times New Roman" w:hAnsi="Calibri" w:cs="Calibri"/>
                <w:color w:val="000000"/>
                <w:sz w:val="18"/>
                <w:szCs w:val="18"/>
                <w:lang w:bidi="he-IL"/>
              </w:rPr>
            </w:pPr>
            <w:r>
              <w:rPr>
                <w:rFonts w:ascii="Calibri" w:eastAsia="Times New Roman" w:hAnsi="Calibri" w:cs="Calibri"/>
                <w:color w:val="000000"/>
                <w:sz w:val="18"/>
                <w:szCs w:val="18"/>
                <w:lang w:bidi="he-IL"/>
              </w:rPr>
              <w:t>3238 (78.3)</w:t>
            </w:r>
          </w:p>
        </w:tc>
        <w:tc>
          <w:tcPr>
            <w:tcW w:w="1081"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hideMark/>
          </w:tcPr>
          <w:p w14:paraId="642E1B1B" w14:textId="77777777" w:rsidR="00E15393" w:rsidRDefault="00E15393" w:rsidP="00E15393">
            <w:pPr>
              <w:spacing w:after="0" w:line="240" w:lineRule="auto"/>
              <w:jc w:val="center"/>
              <w:rPr>
                <w:rFonts w:ascii="Calibri" w:eastAsia="Times New Roman" w:hAnsi="Calibri" w:cs="Calibri"/>
                <w:color w:val="000000"/>
                <w:sz w:val="18"/>
                <w:szCs w:val="18"/>
                <w:lang w:bidi="he-IL"/>
              </w:rPr>
            </w:pPr>
            <w:r>
              <w:rPr>
                <w:rFonts w:ascii="Calibri" w:eastAsia="Times New Roman" w:hAnsi="Calibri" w:cs="Calibri"/>
                <w:color w:val="000000"/>
                <w:sz w:val="18"/>
                <w:szCs w:val="18"/>
                <w:lang w:bidi="he-IL"/>
              </w:rPr>
              <w:t>3196 (79.4)</w:t>
            </w:r>
          </w:p>
        </w:tc>
        <w:tc>
          <w:tcPr>
            <w:tcW w:w="1169" w:type="dxa"/>
            <w:tcBorders>
              <w:top w:val="single" w:sz="4" w:space="0" w:color="auto"/>
              <w:left w:val="single" w:sz="4" w:space="0" w:color="auto"/>
              <w:bottom w:val="single" w:sz="4" w:space="0" w:color="auto"/>
              <w:right w:val="single" w:sz="4" w:space="0" w:color="auto"/>
            </w:tcBorders>
            <w:shd w:val="clear" w:color="auto" w:fill="DCE6F1"/>
            <w:noWrap/>
            <w:vAlign w:val="center"/>
            <w:hideMark/>
          </w:tcPr>
          <w:p w14:paraId="4A54CB5F" w14:textId="77777777" w:rsidR="00E15393" w:rsidRDefault="00E15393" w:rsidP="00E15393">
            <w:pPr>
              <w:spacing w:after="0" w:line="240" w:lineRule="auto"/>
              <w:jc w:val="center"/>
              <w:rPr>
                <w:rFonts w:ascii="Calibri" w:eastAsia="Times New Roman" w:hAnsi="Calibri" w:cs="Calibri"/>
                <w:color w:val="000000"/>
                <w:sz w:val="18"/>
                <w:szCs w:val="18"/>
                <w:lang w:bidi="he-IL"/>
              </w:rPr>
            </w:pPr>
            <w:r>
              <w:rPr>
                <w:rFonts w:ascii="Calibri" w:eastAsia="Times New Roman" w:hAnsi="Calibri" w:cs="Calibri"/>
                <w:color w:val="000000"/>
                <w:sz w:val="18"/>
                <w:szCs w:val="18"/>
                <w:lang w:bidi="he-IL"/>
              </w:rPr>
              <w:t>3209 (83.6)</w:t>
            </w:r>
          </w:p>
        </w:tc>
        <w:tc>
          <w:tcPr>
            <w:tcW w:w="1170" w:type="dxa"/>
            <w:tcBorders>
              <w:top w:val="single" w:sz="4" w:space="0" w:color="auto"/>
              <w:left w:val="single" w:sz="4" w:space="0" w:color="auto"/>
              <w:bottom w:val="single" w:sz="4" w:space="0" w:color="auto"/>
              <w:right w:val="single" w:sz="4" w:space="0" w:color="auto"/>
            </w:tcBorders>
            <w:shd w:val="clear" w:color="auto" w:fill="DCE6F1"/>
            <w:noWrap/>
            <w:vAlign w:val="center"/>
            <w:hideMark/>
          </w:tcPr>
          <w:p w14:paraId="320ADC3F" w14:textId="77777777" w:rsidR="00E15393" w:rsidRDefault="00E15393" w:rsidP="00E15393">
            <w:pPr>
              <w:spacing w:after="0" w:line="240" w:lineRule="auto"/>
              <w:jc w:val="center"/>
              <w:rPr>
                <w:rFonts w:ascii="Calibri" w:eastAsia="Times New Roman" w:hAnsi="Calibri" w:cs="Calibri"/>
                <w:color w:val="000000"/>
                <w:sz w:val="18"/>
                <w:szCs w:val="18"/>
                <w:lang w:bidi="he-IL"/>
              </w:rPr>
            </w:pPr>
            <w:r>
              <w:rPr>
                <w:rFonts w:ascii="Calibri" w:eastAsia="Times New Roman" w:hAnsi="Calibri" w:cs="Calibri"/>
                <w:color w:val="000000"/>
                <w:sz w:val="18"/>
                <w:szCs w:val="18"/>
                <w:lang w:bidi="he-IL"/>
              </w:rPr>
              <w:t>3209 (82.4)</w:t>
            </w:r>
          </w:p>
        </w:tc>
        <w:tc>
          <w:tcPr>
            <w:tcW w:w="1214" w:type="dxa"/>
            <w:tcBorders>
              <w:top w:val="single" w:sz="4" w:space="0" w:color="auto"/>
              <w:left w:val="single" w:sz="4" w:space="0" w:color="auto"/>
              <w:bottom w:val="single" w:sz="4" w:space="0" w:color="auto"/>
              <w:right w:val="single" w:sz="4" w:space="0" w:color="auto"/>
            </w:tcBorders>
            <w:noWrap/>
            <w:vAlign w:val="center"/>
            <w:hideMark/>
          </w:tcPr>
          <w:p w14:paraId="314D907B" w14:textId="77777777" w:rsidR="00E15393" w:rsidRDefault="00E15393" w:rsidP="00E15393">
            <w:pPr>
              <w:spacing w:after="0" w:line="240" w:lineRule="auto"/>
              <w:jc w:val="center"/>
              <w:rPr>
                <w:rFonts w:ascii="Calibri" w:eastAsia="Times New Roman" w:hAnsi="Calibri" w:cs="Calibri"/>
                <w:color w:val="000000"/>
                <w:sz w:val="18"/>
                <w:szCs w:val="18"/>
                <w:lang w:bidi="he-IL"/>
              </w:rPr>
            </w:pPr>
            <w:r>
              <w:rPr>
                <w:rFonts w:ascii="Calibri" w:eastAsia="Times New Roman" w:hAnsi="Calibri" w:cs="Calibri"/>
                <w:color w:val="000000"/>
                <w:sz w:val="18"/>
                <w:szCs w:val="18"/>
                <w:lang w:bidi="he-IL"/>
              </w:rPr>
              <w:t>529 (87.3)</w:t>
            </w:r>
          </w:p>
        </w:tc>
        <w:tc>
          <w:tcPr>
            <w:tcW w:w="1217" w:type="dxa"/>
            <w:tcBorders>
              <w:top w:val="single" w:sz="4" w:space="0" w:color="auto"/>
              <w:left w:val="single" w:sz="4" w:space="0" w:color="auto"/>
              <w:bottom w:val="single" w:sz="4" w:space="0" w:color="auto"/>
              <w:right w:val="single" w:sz="4" w:space="0" w:color="auto"/>
            </w:tcBorders>
            <w:noWrap/>
            <w:vAlign w:val="center"/>
            <w:hideMark/>
          </w:tcPr>
          <w:p w14:paraId="07AC8904" w14:textId="77777777" w:rsidR="00E15393" w:rsidRDefault="00E15393" w:rsidP="00E15393">
            <w:pPr>
              <w:spacing w:after="0" w:line="240" w:lineRule="auto"/>
              <w:jc w:val="center"/>
              <w:rPr>
                <w:rFonts w:ascii="Calibri" w:eastAsia="Times New Roman" w:hAnsi="Calibri" w:cs="Calibri"/>
                <w:color w:val="000000"/>
                <w:sz w:val="18"/>
                <w:szCs w:val="18"/>
                <w:lang w:bidi="he-IL"/>
              </w:rPr>
            </w:pPr>
            <w:r>
              <w:rPr>
                <w:rFonts w:ascii="Calibri" w:eastAsia="Times New Roman" w:hAnsi="Calibri" w:cs="Calibri"/>
                <w:color w:val="000000"/>
                <w:sz w:val="18"/>
                <w:szCs w:val="18"/>
                <w:lang w:bidi="he-IL"/>
              </w:rPr>
              <w:t>568 (86.2)</w:t>
            </w:r>
          </w:p>
        </w:tc>
      </w:tr>
      <w:tr w:rsidR="00E15393" w14:paraId="608E70C5" w14:textId="77777777" w:rsidTr="00D36C83">
        <w:trPr>
          <w:trHeight w:val="296"/>
        </w:trPr>
        <w:tc>
          <w:tcPr>
            <w:tcW w:w="2304" w:type="dxa"/>
            <w:tcBorders>
              <w:top w:val="single" w:sz="4" w:space="0" w:color="auto"/>
              <w:left w:val="single" w:sz="4" w:space="0" w:color="auto"/>
              <w:bottom w:val="single" w:sz="4" w:space="0" w:color="auto"/>
              <w:right w:val="single" w:sz="4" w:space="0" w:color="auto"/>
            </w:tcBorders>
            <w:vAlign w:val="center"/>
            <w:hideMark/>
          </w:tcPr>
          <w:p w14:paraId="27720C3F" w14:textId="77777777" w:rsidR="00E15393" w:rsidRDefault="00E15393" w:rsidP="00E15393">
            <w:pPr>
              <w:spacing w:after="0" w:line="240" w:lineRule="auto"/>
              <w:rPr>
                <w:rFonts w:ascii="Calibri" w:eastAsia="Times New Roman" w:hAnsi="Calibri" w:cs="Calibri"/>
                <w:b/>
                <w:bCs/>
                <w:color w:val="000000"/>
                <w:sz w:val="18"/>
                <w:szCs w:val="18"/>
                <w:lang w:bidi="he-IL"/>
              </w:rPr>
            </w:pPr>
            <w:r>
              <w:rPr>
                <w:rFonts w:ascii="Calibri" w:eastAsia="Times New Roman" w:hAnsi="Calibri" w:cs="Calibri"/>
                <w:b/>
                <w:bCs/>
                <w:color w:val="000000"/>
                <w:sz w:val="18"/>
                <w:szCs w:val="18"/>
                <w:lang w:bidi="he-IL"/>
              </w:rPr>
              <w:t>Beta-blocker use at baseline- n (%)</w:t>
            </w:r>
          </w:p>
        </w:tc>
        <w:tc>
          <w:tcPr>
            <w:tcW w:w="1171"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hideMark/>
          </w:tcPr>
          <w:p w14:paraId="5D4CA437" w14:textId="77777777" w:rsidR="00E15393" w:rsidRDefault="00E15393" w:rsidP="00E15393">
            <w:pPr>
              <w:spacing w:after="0" w:line="240" w:lineRule="auto"/>
              <w:jc w:val="center"/>
              <w:rPr>
                <w:rFonts w:ascii="Calibri" w:eastAsia="Times New Roman" w:hAnsi="Calibri" w:cs="Calibri"/>
                <w:color w:val="000000"/>
                <w:sz w:val="18"/>
                <w:szCs w:val="18"/>
                <w:lang w:bidi="he-IL"/>
              </w:rPr>
            </w:pPr>
            <w:r>
              <w:rPr>
                <w:rFonts w:ascii="Calibri" w:eastAsia="Times New Roman" w:hAnsi="Calibri" w:cs="Calibri"/>
                <w:color w:val="000000"/>
                <w:sz w:val="18"/>
                <w:szCs w:val="18"/>
                <w:lang w:bidi="he-IL"/>
              </w:rPr>
              <w:t>2014 (48.7)</w:t>
            </w:r>
          </w:p>
        </w:tc>
        <w:tc>
          <w:tcPr>
            <w:tcW w:w="1081"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hideMark/>
          </w:tcPr>
          <w:p w14:paraId="6044B393" w14:textId="77777777" w:rsidR="00E15393" w:rsidRDefault="00E15393" w:rsidP="00E15393">
            <w:pPr>
              <w:spacing w:after="0" w:line="240" w:lineRule="auto"/>
              <w:jc w:val="center"/>
              <w:rPr>
                <w:rFonts w:ascii="Calibri" w:eastAsia="Times New Roman" w:hAnsi="Calibri" w:cs="Calibri"/>
                <w:color w:val="000000"/>
                <w:sz w:val="18"/>
                <w:szCs w:val="18"/>
                <w:lang w:bidi="he-IL"/>
              </w:rPr>
            </w:pPr>
            <w:r>
              <w:rPr>
                <w:rFonts w:ascii="Calibri" w:eastAsia="Times New Roman" w:hAnsi="Calibri" w:cs="Calibri"/>
                <w:color w:val="000000"/>
                <w:sz w:val="18"/>
                <w:szCs w:val="18"/>
                <w:lang w:bidi="he-IL"/>
              </w:rPr>
              <w:t>1964 (48.8)</w:t>
            </w:r>
          </w:p>
        </w:tc>
        <w:tc>
          <w:tcPr>
            <w:tcW w:w="1169" w:type="dxa"/>
            <w:tcBorders>
              <w:top w:val="single" w:sz="4" w:space="0" w:color="auto"/>
              <w:left w:val="single" w:sz="4" w:space="0" w:color="auto"/>
              <w:bottom w:val="single" w:sz="4" w:space="0" w:color="auto"/>
              <w:right w:val="single" w:sz="4" w:space="0" w:color="auto"/>
            </w:tcBorders>
            <w:shd w:val="clear" w:color="auto" w:fill="DCE6F1"/>
            <w:noWrap/>
            <w:vAlign w:val="center"/>
            <w:hideMark/>
          </w:tcPr>
          <w:p w14:paraId="7FC0BE5F" w14:textId="77777777" w:rsidR="00E15393" w:rsidRDefault="00E15393" w:rsidP="00E15393">
            <w:pPr>
              <w:spacing w:after="0" w:line="240" w:lineRule="auto"/>
              <w:jc w:val="center"/>
              <w:rPr>
                <w:rFonts w:ascii="Calibri" w:eastAsia="Times New Roman" w:hAnsi="Calibri" w:cs="Calibri"/>
                <w:color w:val="000000"/>
                <w:sz w:val="18"/>
                <w:szCs w:val="18"/>
                <w:lang w:bidi="he-IL"/>
              </w:rPr>
            </w:pPr>
            <w:r>
              <w:rPr>
                <w:rFonts w:ascii="Calibri" w:eastAsia="Times New Roman" w:hAnsi="Calibri" w:cs="Calibri"/>
                <w:color w:val="000000"/>
                <w:sz w:val="18"/>
                <w:szCs w:val="18"/>
                <w:lang w:bidi="he-IL"/>
              </w:rPr>
              <w:t>2104 (54.8)</w:t>
            </w:r>
          </w:p>
        </w:tc>
        <w:tc>
          <w:tcPr>
            <w:tcW w:w="1170" w:type="dxa"/>
            <w:tcBorders>
              <w:top w:val="single" w:sz="4" w:space="0" w:color="auto"/>
              <w:left w:val="single" w:sz="4" w:space="0" w:color="auto"/>
              <w:bottom w:val="single" w:sz="4" w:space="0" w:color="auto"/>
              <w:right w:val="single" w:sz="4" w:space="0" w:color="auto"/>
            </w:tcBorders>
            <w:shd w:val="clear" w:color="auto" w:fill="DCE6F1"/>
            <w:noWrap/>
            <w:vAlign w:val="center"/>
            <w:hideMark/>
          </w:tcPr>
          <w:p w14:paraId="205448A3" w14:textId="77777777" w:rsidR="00E15393" w:rsidRDefault="00E15393" w:rsidP="00E15393">
            <w:pPr>
              <w:spacing w:after="0" w:line="240" w:lineRule="auto"/>
              <w:jc w:val="center"/>
              <w:rPr>
                <w:rFonts w:ascii="Calibri" w:eastAsia="Times New Roman" w:hAnsi="Calibri" w:cs="Calibri"/>
                <w:color w:val="000000"/>
                <w:sz w:val="18"/>
                <w:szCs w:val="18"/>
                <w:lang w:bidi="he-IL"/>
              </w:rPr>
            </w:pPr>
            <w:r>
              <w:rPr>
                <w:rFonts w:ascii="Calibri" w:eastAsia="Times New Roman" w:hAnsi="Calibri" w:cs="Calibri"/>
                <w:color w:val="000000"/>
                <w:sz w:val="18"/>
                <w:szCs w:val="18"/>
                <w:lang w:bidi="he-IL"/>
              </w:rPr>
              <w:t>2131 (54.7)</w:t>
            </w:r>
          </w:p>
        </w:tc>
        <w:tc>
          <w:tcPr>
            <w:tcW w:w="1214" w:type="dxa"/>
            <w:tcBorders>
              <w:top w:val="single" w:sz="4" w:space="0" w:color="auto"/>
              <w:left w:val="single" w:sz="4" w:space="0" w:color="auto"/>
              <w:bottom w:val="single" w:sz="4" w:space="0" w:color="auto"/>
              <w:right w:val="single" w:sz="4" w:space="0" w:color="auto"/>
            </w:tcBorders>
            <w:noWrap/>
            <w:vAlign w:val="center"/>
            <w:hideMark/>
          </w:tcPr>
          <w:p w14:paraId="4E8776A9" w14:textId="77777777" w:rsidR="00E15393" w:rsidRDefault="00E15393" w:rsidP="00E15393">
            <w:pPr>
              <w:spacing w:after="0" w:line="240" w:lineRule="auto"/>
              <w:jc w:val="center"/>
              <w:rPr>
                <w:rFonts w:ascii="Calibri" w:eastAsia="Times New Roman" w:hAnsi="Calibri" w:cs="Calibri"/>
                <w:color w:val="000000"/>
                <w:sz w:val="18"/>
                <w:szCs w:val="18"/>
                <w:lang w:bidi="he-IL"/>
              </w:rPr>
            </w:pPr>
            <w:r>
              <w:rPr>
                <w:rFonts w:ascii="Calibri" w:eastAsia="Times New Roman" w:hAnsi="Calibri" w:cs="Calibri"/>
                <w:color w:val="000000"/>
                <w:sz w:val="18"/>
                <w:szCs w:val="18"/>
                <w:lang w:bidi="he-IL"/>
              </w:rPr>
              <w:t>379 (62.5)</w:t>
            </w:r>
          </w:p>
        </w:tc>
        <w:tc>
          <w:tcPr>
            <w:tcW w:w="1217" w:type="dxa"/>
            <w:tcBorders>
              <w:top w:val="single" w:sz="4" w:space="0" w:color="auto"/>
              <w:left w:val="single" w:sz="4" w:space="0" w:color="auto"/>
              <w:bottom w:val="single" w:sz="4" w:space="0" w:color="auto"/>
              <w:right w:val="single" w:sz="4" w:space="0" w:color="auto"/>
            </w:tcBorders>
            <w:noWrap/>
            <w:vAlign w:val="center"/>
            <w:hideMark/>
          </w:tcPr>
          <w:p w14:paraId="3DE014FA" w14:textId="77777777" w:rsidR="00E15393" w:rsidRDefault="00E15393" w:rsidP="00E15393">
            <w:pPr>
              <w:spacing w:after="0" w:line="240" w:lineRule="auto"/>
              <w:jc w:val="center"/>
              <w:rPr>
                <w:rFonts w:ascii="Calibri" w:eastAsia="Times New Roman" w:hAnsi="Calibri" w:cs="Calibri"/>
                <w:color w:val="000000"/>
                <w:sz w:val="18"/>
                <w:szCs w:val="18"/>
                <w:lang w:bidi="he-IL"/>
              </w:rPr>
            </w:pPr>
            <w:r>
              <w:rPr>
                <w:rFonts w:ascii="Calibri" w:eastAsia="Times New Roman" w:hAnsi="Calibri" w:cs="Calibri"/>
                <w:color w:val="000000"/>
                <w:sz w:val="18"/>
                <w:szCs w:val="18"/>
                <w:lang w:bidi="he-IL"/>
              </w:rPr>
              <w:t>437 (66.3)</w:t>
            </w:r>
          </w:p>
        </w:tc>
      </w:tr>
      <w:tr w:rsidR="00E15393" w14:paraId="4A2E5BBC" w14:textId="77777777" w:rsidTr="00D36C83">
        <w:trPr>
          <w:trHeight w:val="296"/>
        </w:trPr>
        <w:tc>
          <w:tcPr>
            <w:tcW w:w="2304" w:type="dxa"/>
            <w:tcBorders>
              <w:top w:val="single" w:sz="4" w:space="0" w:color="auto"/>
              <w:left w:val="single" w:sz="4" w:space="0" w:color="auto"/>
              <w:bottom w:val="single" w:sz="4" w:space="0" w:color="auto"/>
              <w:right w:val="single" w:sz="4" w:space="0" w:color="auto"/>
            </w:tcBorders>
            <w:vAlign w:val="center"/>
            <w:hideMark/>
          </w:tcPr>
          <w:p w14:paraId="29147EDC" w14:textId="77777777" w:rsidR="00E15393" w:rsidRDefault="00E15393" w:rsidP="00E15393">
            <w:pPr>
              <w:spacing w:after="0" w:line="240" w:lineRule="auto"/>
              <w:rPr>
                <w:rFonts w:ascii="Calibri" w:eastAsia="Times New Roman" w:hAnsi="Calibri" w:cs="Calibri"/>
                <w:b/>
                <w:bCs/>
                <w:color w:val="000000"/>
                <w:sz w:val="18"/>
                <w:szCs w:val="18"/>
                <w:lang w:bidi="he-IL"/>
              </w:rPr>
            </w:pPr>
            <w:r>
              <w:rPr>
                <w:rFonts w:ascii="Calibri" w:eastAsia="Times New Roman" w:hAnsi="Calibri" w:cs="Calibri"/>
                <w:b/>
                <w:bCs/>
                <w:color w:val="000000"/>
                <w:sz w:val="18"/>
                <w:szCs w:val="18"/>
                <w:lang w:bidi="he-IL"/>
              </w:rPr>
              <w:t>Statin or Ezetimibe use at baseline- n (%)</w:t>
            </w:r>
          </w:p>
        </w:tc>
        <w:tc>
          <w:tcPr>
            <w:tcW w:w="1171"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hideMark/>
          </w:tcPr>
          <w:p w14:paraId="12539478" w14:textId="77777777" w:rsidR="00E15393" w:rsidRDefault="00E15393" w:rsidP="00E15393">
            <w:pPr>
              <w:spacing w:after="0" w:line="240" w:lineRule="auto"/>
              <w:jc w:val="center"/>
              <w:rPr>
                <w:rFonts w:ascii="Calibri" w:eastAsia="Times New Roman" w:hAnsi="Calibri" w:cs="Calibri"/>
                <w:color w:val="000000"/>
                <w:sz w:val="18"/>
                <w:szCs w:val="18"/>
                <w:lang w:bidi="he-IL"/>
              </w:rPr>
            </w:pPr>
            <w:r>
              <w:rPr>
                <w:rFonts w:ascii="Calibri" w:eastAsia="Times New Roman" w:hAnsi="Calibri" w:cs="Calibri"/>
                <w:color w:val="000000"/>
                <w:sz w:val="18"/>
                <w:szCs w:val="18"/>
                <w:lang w:bidi="he-IL"/>
              </w:rPr>
              <w:t>2998 (72.5)</w:t>
            </w:r>
          </w:p>
        </w:tc>
        <w:tc>
          <w:tcPr>
            <w:tcW w:w="1081"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hideMark/>
          </w:tcPr>
          <w:p w14:paraId="2B736B34" w14:textId="77777777" w:rsidR="00E15393" w:rsidRDefault="00E15393" w:rsidP="00E15393">
            <w:pPr>
              <w:spacing w:after="0" w:line="240" w:lineRule="auto"/>
              <w:jc w:val="center"/>
              <w:rPr>
                <w:rFonts w:ascii="Calibri" w:eastAsia="Times New Roman" w:hAnsi="Calibri" w:cs="Calibri"/>
                <w:color w:val="000000"/>
                <w:sz w:val="18"/>
                <w:szCs w:val="18"/>
                <w:lang w:bidi="he-IL"/>
              </w:rPr>
            </w:pPr>
            <w:r>
              <w:rPr>
                <w:rFonts w:ascii="Calibri" w:eastAsia="Times New Roman" w:hAnsi="Calibri" w:cs="Calibri"/>
                <w:color w:val="000000"/>
                <w:sz w:val="18"/>
                <w:szCs w:val="18"/>
                <w:lang w:bidi="he-IL"/>
              </w:rPr>
              <w:t>2936 (72.9)</w:t>
            </w:r>
          </w:p>
        </w:tc>
        <w:tc>
          <w:tcPr>
            <w:tcW w:w="1169" w:type="dxa"/>
            <w:tcBorders>
              <w:top w:val="single" w:sz="4" w:space="0" w:color="auto"/>
              <w:left w:val="single" w:sz="4" w:space="0" w:color="auto"/>
              <w:bottom w:val="single" w:sz="4" w:space="0" w:color="auto"/>
              <w:right w:val="single" w:sz="4" w:space="0" w:color="auto"/>
            </w:tcBorders>
            <w:shd w:val="clear" w:color="auto" w:fill="DCE6F1"/>
            <w:noWrap/>
            <w:vAlign w:val="center"/>
            <w:hideMark/>
          </w:tcPr>
          <w:p w14:paraId="28FAC17D" w14:textId="77777777" w:rsidR="00E15393" w:rsidRDefault="00E15393" w:rsidP="00E15393">
            <w:pPr>
              <w:spacing w:after="0" w:line="240" w:lineRule="auto"/>
              <w:jc w:val="center"/>
              <w:rPr>
                <w:rFonts w:ascii="Calibri" w:eastAsia="Times New Roman" w:hAnsi="Calibri" w:cs="Calibri"/>
                <w:color w:val="000000"/>
                <w:sz w:val="18"/>
                <w:szCs w:val="18"/>
                <w:lang w:bidi="he-IL"/>
              </w:rPr>
            </w:pPr>
            <w:r>
              <w:rPr>
                <w:rFonts w:ascii="Calibri" w:eastAsia="Times New Roman" w:hAnsi="Calibri" w:cs="Calibri"/>
                <w:color w:val="000000"/>
                <w:sz w:val="18"/>
                <w:szCs w:val="18"/>
                <w:lang w:bidi="he-IL"/>
              </w:rPr>
              <w:t>2944 (76.7)</w:t>
            </w:r>
          </w:p>
        </w:tc>
        <w:tc>
          <w:tcPr>
            <w:tcW w:w="1170" w:type="dxa"/>
            <w:tcBorders>
              <w:top w:val="single" w:sz="4" w:space="0" w:color="auto"/>
              <w:left w:val="single" w:sz="4" w:space="0" w:color="auto"/>
              <w:bottom w:val="single" w:sz="4" w:space="0" w:color="auto"/>
              <w:right w:val="single" w:sz="4" w:space="0" w:color="auto"/>
            </w:tcBorders>
            <w:shd w:val="clear" w:color="auto" w:fill="DCE6F1"/>
            <w:noWrap/>
            <w:vAlign w:val="center"/>
            <w:hideMark/>
          </w:tcPr>
          <w:p w14:paraId="36DDA5AA" w14:textId="77777777" w:rsidR="00E15393" w:rsidRDefault="00E15393" w:rsidP="00E15393">
            <w:pPr>
              <w:spacing w:after="0" w:line="240" w:lineRule="auto"/>
              <w:jc w:val="center"/>
              <w:rPr>
                <w:rFonts w:ascii="Calibri" w:eastAsia="Times New Roman" w:hAnsi="Calibri" w:cs="Calibri"/>
                <w:color w:val="000000"/>
                <w:sz w:val="18"/>
                <w:szCs w:val="18"/>
                <w:lang w:bidi="he-IL"/>
              </w:rPr>
            </w:pPr>
            <w:r>
              <w:rPr>
                <w:rFonts w:ascii="Calibri" w:eastAsia="Times New Roman" w:hAnsi="Calibri" w:cs="Calibri"/>
                <w:color w:val="000000"/>
                <w:sz w:val="18"/>
                <w:szCs w:val="18"/>
                <w:lang w:bidi="he-IL"/>
              </w:rPr>
              <w:t>2959 (76)</w:t>
            </w:r>
          </w:p>
        </w:tc>
        <w:tc>
          <w:tcPr>
            <w:tcW w:w="1214" w:type="dxa"/>
            <w:tcBorders>
              <w:top w:val="single" w:sz="4" w:space="0" w:color="auto"/>
              <w:left w:val="single" w:sz="4" w:space="0" w:color="auto"/>
              <w:bottom w:val="single" w:sz="4" w:space="0" w:color="auto"/>
              <w:right w:val="single" w:sz="4" w:space="0" w:color="auto"/>
            </w:tcBorders>
            <w:noWrap/>
            <w:vAlign w:val="center"/>
            <w:hideMark/>
          </w:tcPr>
          <w:p w14:paraId="7609437D" w14:textId="77777777" w:rsidR="00E15393" w:rsidRDefault="00E15393" w:rsidP="00E15393">
            <w:pPr>
              <w:spacing w:after="0" w:line="240" w:lineRule="auto"/>
              <w:jc w:val="center"/>
              <w:rPr>
                <w:rFonts w:ascii="Calibri" w:eastAsia="Times New Roman" w:hAnsi="Calibri" w:cs="Calibri"/>
                <w:color w:val="000000"/>
                <w:sz w:val="18"/>
                <w:szCs w:val="18"/>
                <w:lang w:bidi="he-IL"/>
              </w:rPr>
            </w:pPr>
            <w:r>
              <w:rPr>
                <w:rFonts w:ascii="Calibri" w:eastAsia="Times New Roman" w:hAnsi="Calibri" w:cs="Calibri"/>
                <w:color w:val="000000"/>
                <w:sz w:val="18"/>
                <w:szCs w:val="18"/>
                <w:lang w:bidi="he-IL"/>
              </w:rPr>
              <w:t>490 (80.9)</w:t>
            </w:r>
          </w:p>
        </w:tc>
        <w:tc>
          <w:tcPr>
            <w:tcW w:w="1217" w:type="dxa"/>
            <w:tcBorders>
              <w:top w:val="single" w:sz="4" w:space="0" w:color="auto"/>
              <w:left w:val="single" w:sz="4" w:space="0" w:color="auto"/>
              <w:bottom w:val="single" w:sz="4" w:space="0" w:color="auto"/>
              <w:right w:val="single" w:sz="4" w:space="0" w:color="auto"/>
            </w:tcBorders>
            <w:noWrap/>
            <w:vAlign w:val="center"/>
            <w:hideMark/>
          </w:tcPr>
          <w:p w14:paraId="5C6F14DC" w14:textId="77777777" w:rsidR="00E15393" w:rsidRDefault="00E15393" w:rsidP="00E15393">
            <w:pPr>
              <w:spacing w:after="0" w:line="240" w:lineRule="auto"/>
              <w:jc w:val="center"/>
              <w:rPr>
                <w:rFonts w:ascii="Calibri" w:eastAsia="Times New Roman" w:hAnsi="Calibri" w:cs="Calibri"/>
                <w:color w:val="000000"/>
                <w:sz w:val="18"/>
                <w:szCs w:val="18"/>
                <w:lang w:bidi="he-IL"/>
              </w:rPr>
            </w:pPr>
            <w:r>
              <w:rPr>
                <w:rFonts w:ascii="Calibri" w:eastAsia="Times New Roman" w:hAnsi="Calibri" w:cs="Calibri"/>
                <w:color w:val="000000"/>
                <w:sz w:val="18"/>
                <w:szCs w:val="18"/>
                <w:lang w:bidi="he-IL"/>
              </w:rPr>
              <w:t>541 (82.1)</w:t>
            </w:r>
          </w:p>
        </w:tc>
      </w:tr>
      <w:tr w:rsidR="00E15393" w14:paraId="0163513C" w14:textId="77777777" w:rsidTr="00D36C83">
        <w:trPr>
          <w:trHeight w:val="296"/>
        </w:trPr>
        <w:tc>
          <w:tcPr>
            <w:tcW w:w="2304" w:type="dxa"/>
            <w:tcBorders>
              <w:top w:val="single" w:sz="4" w:space="0" w:color="auto"/>
              <w:left w:val="single" w:sz="4" w:space="0" w:color="auto"/>
              <w:bottom w:val="single" w:sz="4" w:space="0" w:color="auto"/>
              <w:right w:val="single" w:sz="4" w:space="0" w:color="auto"/>
            </w:tcBorders>
            <w:vAlign w:val="center"/>
            <w:hideMark/>
          </w:tcPr>
          <w:p w14:paraId="6F8210A3" w14:textId="77777777" w:rsidR="00E15393" w:rsidRDefault="00E15393" w:rsidP="00E15393">
            <w:pPr>
              <w:spacing w:after="0" w:line="240" w:lineRule="auto"/>
              <w:rPr>
                <w:rFonts w:ascii="Calibri" w:eastAsia="Times New Roman" w:hAnsi="Calibri" w:cs="Calibri"/>
                <w:b/>
                <w:bCs/>
                <w:color w:val="000000"/>
                <w:sz w:val="18"/>
                <w:szCs w:val="18"/>
                <w:lang w:bidi="he-IL"/>
              </w:rPr>
            </w:pPr>
            <w:r>
              <w:rPr>
                <w:rFonts w:ascii="Calibri" w:eastAsia="Times New Roman" w:hAnsi="Calibri" w:cs="Calibri"/>
                <w:b/>
                <w:bCs/>
                <w:color w:val="000000"/>
                <w:sz w:val="18"/>
                <w:szCs w:val="18"/>
                <w:lang w:bidi="he-IL"/>
              </w:rPr>
              <w:t>Diuretic use at baseline- n (%)</w:t>
            </w:r>
          </w:p>
        </w:tc>
        <w:tc>
          <w:tcPr>
            <w:tcW w:w="1171"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hideMark/>
          </w:tcPr>
          <w:p w14:paraId="6BC53925" w14:textId="77777777" w:rsidR="00E15393" w:rsidRDefault="00E15393" w:rsidP="00E15393">
            <w:pPr>
              <w:spacing w:after="0" w:line="240" w:lineRule="auto"/>
              <w:jc w:val="center"/>
              <w:rPr>
                <w:rFonts w:ascii="Calibri" w:eastAsia="Times New Roman" w:hAnsi="Calibri" w:cs="Calibri"/>
                <w:color w:val="000000"/>
                <w:sz w:val="18"/>
                <w:szCs w:val="18"/>
                <w:lang w:bidi="he-IL"/>
              </w:rPr>
            </w:pPr>
            <w:r>
              <w:rPr>
                <w:rFonts w:ascii="Calibri" w:eastAsia="Times New Roman" w:hAnsi="Calibri" w:cs="Calibri"/>
                <w:color w:val="000000"/>
                <w:sz w:val="18"/>
                <w:szCs w:val="18"/>
                <w:lang w:bidi="he-IL"/>
              </w:rPr>
              <w:t>1405 (34)</w:t>
            </w:r>
          </w:p>
        </w:tc>
        <w:tc>
          <w:tcPr>
            <w:tcW w:w="1081"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hideMark/>
          </w:tcPr>
          <w:p w14:paraId="082E2B11" w14:textId="77777777" w:rsidR="00E15393" w:rsidRDefault="00E15393" w:rsidP="00E15393">
            <w:pPr>
              <w:spacing w:after="0" w:line="240" w:lineRule="auto"/>
              <w:jc w:val="center"/>
              <w:rPr>
                <w:rFonts w:ascii="Calibri" w:eastAsia="Times New Roman" w:hAnsi="Calibri" w:cs="Calibri"/>
                <w:color w:val="000000"/>
                <w:sz w:val="18"/>
                <w:szCs w:val="18"/>
                <w:lang w:bidi="he-IL"/>
              </w:rPr>
            </w:pPr>
            <w:r>
              <w:rPr>
                <w:rFonts w:ascii="Calibri" w:eastAsia="Times New Roman" w:hAnsi="Calibri" w:cs="Calibri"/>
                <w:color w:val="000000"/>
                <w:sz w:val="18"/>
                <w:szCs w:val="18"/>
                <w:lang w:bidi="he-IL"/>
              </w:rPr>
              <w:t>1347 (33.5)</w:t>
            </w:r>
          </w:p>
        </w:tc>
        <w:tc>
          <w:tcPr>
            <w:tcW w:w="1169" w:type="dxa"/>
            <w:tcBorders>
              <w:top w:val="single" w:sz="4" w:space="0" w:color="auto"/>
              <w:left w:val="single" w:sz="4" w:space="0" w:color="auto"/>
              <w:bottom w:val="single" w:sz="4" w:space="0" w:color="auto"/>
              <w:right w:val="single" w:sz="4" w:space="0" w:color="auto"/>
            </w:tcBorders>
            <w:shd w:val="clear" w:color="auto" w:fill="DCE6F1"/>
            <w:noWrap/>
            <w:vAlign w:val="center"/>
            <w:hideMark/>
          </w:tcPr>
          <w:p w14:paraId="4CC5DEC9" w14:textId="77777777" w:rsidR="00E15393" w:rsidRDefault="00E15393" w:rsidP="00E15393">
            <w:pPr>
              <w:spacing w:after="0" w:line="240" w:lineRule="auto"/>
              <w:jc w:val="center"/>
              <w:rPr>
                <w:rFonts w:ascii="Calibri" w:eastAsia="Times New Roman" w:hAnsi="Calibri" w:cs="Calibri"/>
                <w:color w:val="000000"/>
                <w:sz w:val="18"/>
                <w:szCs w:val="18"/>
                <w:lang w:bidi="he-IL"/>
              </w:rPr>
            </w:pPr>
            <w:r>
              <w:rPr>
                <w:rFonts w:ascii="Calibri" w:eastAsia="Times New Roman" w:hAnsi="Calibri" w:cs="Calibri"/>
                <w:color w:val="000000"/>
                <w:sz w:val="18"/>
                <w:szCs w:val="18"/>
                <w:lang w:bidi="he-IL"/>
              </w:rPr>
              <w:t>1705 (44.4)</w:t>
            </w:r>
          </w:p>
        </w:tc>
        <w:tc>
          <w:tcPr>
            <w:tcW w:w="1170" w:type="dxa"/>
            <w:tcBorders>
              <w:top w:val="single" w:sz="4" w:space="0" w:color="auto"/>
              <w:left w:val="single" w:sz="4" w:space="0" w:color="auto"/>
              <w:bottom w:val="single" w:sz="4" w:space="0" w:color="auto"/>
              <w:right w:val="single" w:sz="4" w:space="0" w:color="auto"/>
            </w:tcBorders>
            <w:shd w:val="clear" w:color="auto" w:fill="DCE6F1"/>
            <w:noWrap/>
            <w:vAlign w:val="center"/>
            <w:hideMark/>
          </w:tcPr>
          <w:p w14:paraId="5E009677" w14:textId="77777777" w:rsidR="00E15393" w:rsidRDefault="00E15393" w:rsidP="00E15393">
            <w:pPr>
              <w:spacing w:after="0" w:line="240" w:lineRule="auto"/>
              <w:jc w:val="center"/>
              <w:rPr>
                <w:rFonts w:ascii="Calibri" w:eastAsia="Times New Roman" w:hAnsi="Calibri" w:cs="Calibri"/>
                <w:color w:val="000000"/>
                <w:sz w:val="18"/>
                <w:szCs w:val="18"/>
                <w:lang w:bidi="he-IL"/>
              </w:rPr>
            </w:pPr>
            <w:r>
              <w:rPr>
                <w:rFonts w:ascii="Calibri" w:eastAsia="Times New Roman" w:hAnsi="Calibri" w:cs="Calibri"/>
                <w:color w:val="000000"/>
                <w:sz w:val="18"/>
                <w:szCs w:val="18"/>
                <w:lang w:bidi="he-IL"/>
              </w:rPr>
              <w:t>1737 (44.6)</w:t>
            </w:r>
          </w:p>
        </w:tc>
        <w:tc>
          <w:tcPr>
            <w:tcW w:w="1214" w:type="dxa"/>
            <w:tcBorders>
              <w:top w:val="single" w:sz="4" w:space="0" w:color="auto"/>
              <w:left w:val="single" w:sz="4" w:space="0" w:color="auto"/>
              <w:bottom w:val="single" w:sz="4" w:space="0" w:color="auto"/>
              <w:right w:val="single" w:sz="4" w:space="0" w:color="auto"/>
            </w:tcBorders>
            <w:noWrap/>
            <w:vAlign w:val="center"/>
            <w:hideMark/>
          </w:tcPr>
          <w:p w14:paraId="2CEF5FDB" w14:textId="77777777" w:rsidR="00E15393" w:rsidRDefault="00E15393" w:rsidP="00E15393">
            <w:pPr>
              <w:spacing w:after="0" w:line="240" w:lineRule="auto"/>
              <w:jc w:val="center"/>
              <w:rPr>
                <w:rFonts w:ascii="Calibri" w:eastAsia="Times New Roman" w:hAnsi="Calibri" w:cs="Calibri"/>
                <w:color w:val="000000"/>
                <w:sz w:val="18"/>
                <w:szCs w:val="18"/>
                <w:lang w:bidi="he-IL"/>
              </w:rPr>
            </w:pPr>
            <w:r>
              <w:rPr>
                <w:rFonts w:ascii="Calibri" w:eastAsia="Times New Roman" w:hAnsi="Calibri" w:cs="Calibri"/>
                <w:color w:val="000000"/>
                <w:sz w:val="18"/>
                <w:szCs w:val="18"/>
                <w:lang w:bidi="he-IL"/>
              </w:rPr>
              <w:t>378 (62.4)</w:t>
            </w:r>
          </w:p>
        </w:tc>
        <w:tc>
          <w:tcPr>
            <w:tcW w:w="1217" w:type="dxa"/>
            <w:tcBorders>
              <w:top w:val="single" w:sz="4" w:space="0" w:color="auto"/>
              <w:left w:val="single" w:sz="4" w:space="0" w:color="auto"/>
              <w:bottom w:val="single" w:sz="4" w:space="0" w:color="auto"/>
              <w:right w:val="single" w:sz="4" w:space="0" w:color="auto"/>
            </w:tcBorders>
            <w:noWrap/>
            <w:vAlign w:val="center"/>
            <w:hideMark/>
          </w:tcPr>
          <w:p w14:paraId="763D1F2F" w14:textId="77777777" w:rsidR="00E15393" w:rsidRDefault="00E15393" w:rsidP="00E15393">
            <w:pPr>
              <w:spacing w:after="0" w:line="240" w:lineRule="auto"/>
              <w:jc w:val="center"/>
              <w:rPr>
                <w:rFonts w:ascii="Calibri" w:eastAsia="Times New Roman" w:hAnsi="Calibri" w:cs="Calibri"/>
                <w:color w:val="000000"/>
                <w:sz w:val="18"/>
                <w:szCs w:val="18"/>
                <w:lang w:bidi="he-IL"/>
              </w:rPr>
            </w:pPr>
            <w:r>
              <w:rPr>
                <w:rFonts w:ascii="Calibri" w:eastAsia="Times New Roman" w:hAnsi="Calibri" w:cs="Calibri"/>
                <w:color w:val="000000"/>
                <w:sz w:val="18"/>
                <w:szCs w:val="18"/>
                <w:lang w:bidi="he-IL"/>
              </w:rPr>
              <w:t>395 (59.9)</w:t>
            </w:r>
          </w:p>
        </w:tc>
      </w:tr>
      <w:tr w:rsidR="00E15393" w14:paraId="3934FCAB" w14:textId="77777777" w:rsidTr="00D36C83">
        <w:trPr>
          <w:trHeight w:val="296"/>
        </w:trPr>
        <w:tc>
          <w:tcPr>
            <w:tcW w:w="2304" w:type="dxa"/>
            <w:tcBorders>
              <w:top w:val="single" w:sz="4" w:space="0" w:color="auto"/>
              <w:left w:val="single" w:sz="4" w:space="0" w:color="auto"/>
              <w:bottom w:val="single" w:sz="4" w:space="0" w:color="auto"/>
              <w:right w:val="single" w:sz="4" w:space="0" w:color="auto"/>
            </w:tcBorders>
            <w:vAlign w:val="center"/>
            <w:hideMark/>
          </w:tcPr>
          <w:p w14:paraId="331E6178" w14:textId="77777777" w:rsidR="00E15393" w:rsidRDefault="00E15393" w:rsidP="00E15393">
            <w:pPr>
              <w:spacing w:after="0" w:line="240" w:lineRule="auto"/>
              <w:rPr>
                <w:rFonts w:ascii="Calibri" w:eastAsia="Times New Roman" w:hAnsi="Calibri" w:cs="Calibri"/>
                <w:b/>
                <w:bCs/>
                <w:color w:val="000000"/>
                <w:sz w:val="18"/>
                <w:szCs w:val="18"/>
                <w:lang w:bidi="he-IL"/>
              </w:rPr>
            </w:pPr>
            <w:r>
              <w:rPr>
                <w:rFonts w:ascii="Calibri" w:eastAsia="Times New Roman" w:hAnsi="Calibri" w:cs="Calibri"/>
                <w:b/>
                <w:bCs/>
                <w:color w:val="000000"/>
                <w:sz w:val="18"/>
                <w:szCs w:val="18"/>
                <w:lang w:bidi="he-IL"/>
              </w:rPr>
              <w:t>Mineralocorticoid receptor antagonist (MRA) use at baseline- n (%)</w:t>
            </w:r>
          </w:p>
        </w:tc>
        <w:tc>
          <w:tcPr>
            <w:tcW w:w="1171"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hideMark/>
          </w:tcPr>
          <w:p w14:paraId="2F8E0A58" w14:textId="77777777" w:rsidR="00E15393" w:rsidRDefault="00E15393" w:rsidP="00E15393">
            <w:pPr>
              <w:spacing w:after="0" w:line="240" w:lineRule="auto"/>
              <w:jc w:val="center"/>
              <w:rPr>
                <w:rFonts w:ascii="Calibri" w:eastAsia="Times New Roman" w:hAnsi="Calibri" w:cs="Calibri"/>
                <w:color w:val="000000"/>
                <w:sz w:val="18"/>
                <w:szCs w:val="18"/>
                <w:lang w:bidi="he-IL"/>
              </w:rPr>
            </w:pPr>
            <w:r>
              <w:rPr>
                <w:rFonts w:ascii="Calibri" w:eastAsia="Times New Roman" w:hAnsi="Calibri" w:cs="Calibri"/>
                <w:color w:val="000000"/>
                <w:sz w:val="18"/>
                <w:szCs w:val="18"/>
                <w:lang w:bidi="he-IL"/>
              </w:rPr>
              <w:t>130 (3.1)</w:t>
            </w:r>
          </w:p>
        </w:tc>
        <w:tc>
          <w:tcPr>
            <w:tcW w:w="1081"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hideMark/>
          </w:tcPr>
          <w:p w14:paraId="772F8BF6" w14:textId="77777777" w:rsidR="00E15393" w:rsidRDefault="00E15393" w:rsidP="00E15393">
            <w:pPr>
              <w:spacing w:after="0" w:line="240" w:lineRule="auto"/>
              <w:jc w:val="center"/>
              <w:rPr>
                <w:rFonts w:ascii="Calibri" w:eastAsia="Times New Roman" w:hAnsi="Calibri" w:cs="Calibri"/>
                <w:color w:val="000000"/>
                <w:sz w:val="18"/>
                <w:szCs w:val="18"/>
                <w:lang w:bidi="he-IL"/>
              </w:rPr>
            </w:pPr>
            <w:r>
              <w:rPr>
                <w:rFonts w:ascii="Calibri" w:eastAsia="Times New Roman" w:hAnsi="Calibri" w:cs="Calibri"/>
                <w:color w:val="000000"/>
                <w:sz w:val="18"/>
                <w:szCs w:val="18"/>
                <w:lang w:bidi="he-IL"/>
              </w:rPr>
              <w:t>132 (3.3)</w:t>
            </w:r>
          </w:p>
        </w:tc>
        <w:tc>
          <w:tcPr>
            <w:tcW w:w="1169" w:type="dxa"/>
            <w:tcBorders>
              <w:top w:val="single" w:sz="4" w:space="0" w:color="auto"/>
              <w:left w:val="single" w:sz="4" w:space="0" w:color="auto"/>
              <w:bottom w:val="single" w:sz="4" w:space="0" w:color="auto"/>
              <w:right w:val="single" w:sz="4" w:space="0" w:color="auto"/>
            </w:tcBorders>
            <w:shd w:val="clear" w:color="auto" w:fill="DCE6F1"/>
            <w:noWrap/>
            <w:vAlign w:val="center"/>
            <w:hideMark/>
          </w:tcPr>
          <w:p w14:paraId="43A579F2" w14:textId="77777777" w:rsidR="00E15393" w:rsidRDefault="00E15393" w:rsidP="00E15393">
            <w:pPr>
              <w:spacing w:after="0" w:line="240" w:lineRule="auto"/>
              <w:jc w:val="center"/>
              <w:rPr>
                <w:rFonts w:ascii="Calibri" w:eastAsia="Times New Roman" w:hAnsi="Calibri" w:cs="Calibri"/>
                <w:color w:val="000000"/>
                <w:sz w:val="18"/>
                <w:szCs w:val="18"/>
                <w:lang w:bidi="he-IL"/>
              </w:rPr>
            </w:pPr>
            <w:r>
              <w:rPr>
                <w:rFonts w:ascii="Calibri" w:eastAsia="Times New Roman" w:hAnsi="Calibri" w:cs="Calibri"/>
                <w:color w:val="000000"/>
                <w:sz w:val="18"/>
                <w:szCs w:val="18"/>
                <w:lang w:bidi="he-IL"/>
              </w:rPr>
              <w:t>189 (4.9)</w:t>
            </w:r>
          </w:p>
        </w:tc>
        <w:tc>
          <w:tcPr>
            <w:tcW w:w="1170" w:type="dxa"/>
            <w:tcBorders>
              <w:top w:val="single" w:sz="4" w:space="0" w:color="auto"/>
              <w:left w:val="single" w:sz="4" w:space="0" w:color="auto"/>
              <w:bottom w:val="single" w:sz="4" w:space="0" w:color="auto"/>
              <w:right w:val="single" w:sz="4" w:space="0" w:color="auto"/>
            </w:tcBorders>
            <w:shd w:val="clear" w:color="auto" w:fill="DCE6F1"/>
            <w:noWrap/>
            <w:vAlign w:val="center"/>
            <w:hideMark/>
          </w:tcPr>
          <w:p w14:paraId="3E44086A" w14:textId="77777777" w:rsidR="00E15393" w:rsidRDefault="00E15393" w:rsidP="00E15393">
            <w:pPr>
              <w:spacing w:after="0" w:line="240" w:lineRule="auto"/>
              <w:jc w:val="center"/>
              <w:rPr>
                <w:rFonts w:ascii="Calibri" w:eastAsia="Times New Roman" w:hAnsi="Calibri" w:cs="Calibri"/>
                <w:color w:val="000000"/>
                <w:sz w:val="18"/>
                <w:szCs w:val="18"/>
                <w:lang w:bidi="he-IL"/>
              </w:rPr>
            </w:pPr>
            <w:r>
              <w:rPr>
                <w:rFonts w:ascii="Calibri" w:eastAsia="Times New Roman" w:hAnsi="Calibri" w:cs="Calibri"/>
                <w:color w:val="000000"/>
                <w:sz w:val="18"/>
                <w:szCs w:val="18"/>
                <w:lang w:bidi="he-IL"/>
              </w:rPr>
              <w:t>197 (5.1)</w:t>
            </w:r>
          </w:p>
        </w:tc>
        <w:tc>
          <w:tcPr>
            <w:tcW w:w="1214" w:type="dxa"/>
            <w:tcBorders>
              <w:top w:val="single" w:sz="4" w:space="0" w:color="auto"/>
              <w:left w:val="single" w:sz="4" w:space="0" w:color="auto"/>
              <w:bottom w:val="single" w:sz="4" w:space="0" w:color="auto"/>
              <w:right w:val="single" w:sz="4" w:space="0" w:color="auto"/>
            </w:tcBorders>
            <w:noWrap/>
            <w:vAlign w:val="center"/>
            <w:hideMark/>
          </w:tcPr>
          <w:p w14:paraId="4C29AE7F" w14:textId="77777777" w:rsidR="00E15393" w:rsidRDefault="00E15393" w:rsidP="00E15393">
            <w:pPr>
              <w:spacing w:after="0" w:line="240" w:lineRule="auto"/>
              <w:jc w:val="center"/>
              <w:rPr>
                <w:rFonts w:ascii="Calibri" w:eastAsia="Times New Roman" w:hAnsi="Calibri" w:cs="Calibri"/>
                <w:color w:val="000000"/>
                <w:sz w:val="18"/>
                <w:szCs w:val="18"/>
                <w:lang w:bidi="he-IL"/>
              </w:rPr>
            </w:pPr>
            <w:r>
              <w:rPr>
                <w:rFonts w:ascii="Calibri" w:eastAsia="Times New Roman" w:hAnsi="Calibri" w:cs="Calibri"/>
                <w:color w:val="000000"/>
                <w:sz w:val="18"/>
                <w:szCs w:val="18"/>
                <w:lang w:bidi="he-IL"/>
              </w:rPr>
              <w:t>48 (7.9)</w:t>
            </w:r>
          </w:p>
        </w:tc>
        <w:tc>
          <w:tcPr>
            <w:tcW w:w="1217" w:type="dxa"/>
            <w:tcBorders>
              <w:top w:val="single" w:sz="4" w:space="0" w:color="auto"/>
              <w:left w:val="single" w:sz="4" w:space="0" w:color="auto"/>
              <w:bottom w:val="single" w:sz="4" w:space="0" w:color="auto"/>
              <w:right w:val="single" w:sz="4" w:space="0" w:color="auto"/>
            </w:tcBorders>
            <w:noWrap/>
            <w:vAlign w:val="center"/>
            <w:hideMark/>
          </w:tcPr>
          <w:p w14:paraId="76182563" w14:textId="77777777" w:rsidR="00E15393" w:rsidRDefault="00E15393" w:rsidP="00E15393">
            <w:pPr>
              <w:spacing w:after="0" w:line="240" w:lineRule="auto"/>
              <w:jc w:val="center"/>
              <w:rPr>
                <w:rFonts w:ascii="Calibri" w:eastAsia="Times New Roman" w:hAnsi="Calibri" w:cs="Calibri"/>
                <w:color w:val="000000"/>
                <w:sz w:val="18"/>
                <w:szCs w:val="18"/>
                <w:lang w:bidi="he-IL"/>
              </w:rPr>
            </w:pPr>
            <w:r>
              <w:rPr>
                <w:rFonts w:ascii="Calibri" w:eastAsia="Times New Roman" w:hAnsi="Calibri" w:cs="Calibri"/>
                <w:color w:val="000000"/>
                <w:sz w:val="18"/>
                <w:szCs w:val="18"/>
                <w:lang w:bidi="he-IL"/>
              </w:rPr>
              <w:t>66 (10)</w:t>
            </w:r>
          </w:p>
        </w:tc>
      </w:tr>
      <w:tr w:rsidR="00E15393" w14:paraId="258CD690" w14:textId="77777777" w:rsidTr="00D36C83">
        <w:trPr>
          <w:trHeight w:val="296"/>
        </w:trPr>
        <w:tc>
          <w:tcPr>
            <w:tcW w:w="230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40CDF7A6" w14:textId="77777777" w:rsidR="00E15393" w:rsidRDefault="00E15393" w:rsidP="00E15393">
            <w:pPr>
              <w:spacing w:after="0" w:line="240" w:lineRule="auto"/>
              <w:rPr>
                <w:rFonts w:ascii="Calibri" w:eastAsia="Times New Roman" w:hAnsi="Calibri" w:cs="Calibri"/>
                <w:b/>
                <w:bCs/>
                <w:color w:val="000000"/>
                <w:sz w:val="18"/>
                <w:szCs w:val="18"/>
                <w:lang w:bidi="he-IL"/>
              </w:rPr>
            </w:pPr>
            <w:r>
              <w:rPr>
                <w:rFonts w:ascii="Calibri" w:eastAsia="Times New Roman" w:hAnsi="Calibri" w:cs="Calibri"/>
                <w:b/>
                <w:bCs/>
                <w:color w:val="000000"/>
                <w:sz w:val="18"/>
                <w:szCs w:val="18"/>
                <w:u w:val="single"/>
                <w:lang w:bidi="he-IL"/>
              </w:rPr>
              <w:t>GLA Medications:</w:t>
            </w:r>
          </w:p>
        </w:tc>
        <w:tc>
          <w:tcPr>
            <w:tcW w:w="1171"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tcPr>
          <w:p w14:paraId="38A278BE" w14:textId="77777777" w:rsidR="00E15393" w:rsidRDefault="00E15393" w:rsidP="00E15393">
            <w:pPr>
              <w:spacing w:after="0" w:line="240" w:lineRule="auto"/>
              <w:jc w:val="center"/>
              <w:rPr>
                <w:rFonts w:ascii="Calibri" w:eastAsia="Times New Roman" w:hAnsi="Calibri" w:cs="Calibri"/>
                <w:color w:val="000000"/>
                <w:sz w:val="18"/>
                <w:szCs w:val="18"/>
                <w:lang w:bidi="he-IL"/>
              </w:rPr>
            </w:pPr>
          </w:p>
        </w:tc>
        <w:tc>
          <w:tcPr>
            <w:tcW w:w="1081"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tcPr>
          <w:p w14:paraId="4BFED7E8" w14:textId="77777777" w:rsidR="00E15393" w:rsidRDefault="00E15393" w:rsidP="00E15393">
            <w:pPr>
              <w:spacing w:after="0" w:line="240" w:lineRule="auto"/>
              <w:jc w:val="center"/>
              <w:rPr>
                <w:rFonts w:ascii="Calibri" w:eastAsia="Times New Roman" w:hAnsi="Calibri" w:cs="Calibri"/>
                <w:color w:val="000000"/>
                <w:sz w:val="18"/>
                <w:szCs w:val="18"/>
                <w:lang w:bidi="he-IL"/>
              </w:rPr>
            </w:pPr>
          </w:p>
        </w:tc>
        <w:tc>
          <w:tcPr>
            <w:tcW w:w="1169" w:type="dxa"/>
            <w:tcBorders>
              <w:top w:val="single" w:sz="4" w:space="0" w:color="auto"/>
              <w:left w:val="single" w:sz="4" w:space="0" w:color="auto"/>
              <w:bottom w:val="single" w:sz="4" w:space="0" w:color="auto"/>
              <w:right w:val="single" w:sz="4" w:space="0" w:color="auto"/>
            </w:tcBorders>
            <w:shd w:val="clear" w:color="auto" w:fill="DCE6F1"/>
            <w:noWrap/>
            <w:vAlign w:val="center"/>
          </w:tcPr>
          <w:p w14:paraId="44AC770E" w14:textId="77777777" w:rsidR="00E15393" w:rsidRDefault="00E15393" w:rsidP="00E15393">
            <w:pPr>
              <w:spacing w:after="0" w:line="240" w:lineRule="auto"/>
              <w:jc w:val="center"/>
              <w:rPr>
                <w:rFonts w:ascii="Calibri" w:eastAsia="Times New Roman" w:hAnsi="Calibri" w:cs="Calibri"/>
                <w:color w:val="000000"/>
                <w:sz w:val="18"/>
                <w:szCs w:val="18"/>
                <w:lang w:bidi="he-IL"/>
              </w:rPr>
            </w:pPr>
          </w:p>
        </w:tc>
        <w:tc>
          <w:tcPr>
            <w:tcW w:w="1170" w:type="dxa"/>
            <w:tcBorders>
              <w:top w:val="single" w:sz="4" w:space="0" w:color="auto"/>
              <w:left w:val="single" w:sz="4" w:space="0" w:color="auto"/>
              <w:bottom w:val="single" w:sz="4" w:space="0" w:color="auto"/>
              <w:right w:val="single" w:sz="4" w:space="0" w:color="auto"/>
            </w:tcBorders>
            <w:shd w:val="clear" w:color="auto" w:fill="DCE6F1"/>
            <w:noWrap/>
            <w:vAlign w:val="center"/>
          </w:tcPr>
          <w:p w14:paraId="2760369E" w14:textId="77777777" w:rsidR="00E15393" w:rsidRDefault="00E15393" w:rsidP="00E15393">
            <w:pPr>
              <w:spacing w:after="0" w:line="240" w:lineRule="auto"/>
              <w:jc w:val="center"/>
              <w:rPr>
                <w:rFonts w:ascii="Calibri" w:eastAsia="Times New Roman" w:hAnsi="Calibri" w:cs="Calibri"/>
                <w:color w:val="000000"/>
                <w:sz w:val="18"/>
                <w:szCs w:val="18"/>
                <w:lang w:bidi="he-IL"/>
              </w:rPr>
            </w:pPr>
          </w:p>
        </w:tc>
        <w:tc>
          <w:tcPr>
            <w:tcW w:w="1214" w:type="dxa"/>
            <w:tcBorders>
              <w:top w:val="single" w:sz="4" w:space="0" w:color="auto"/>
              <w:left w:val="single" w:sz="4" w:space="0" w:color="auto"/>
              <w:bottom w:val="single" w:sz="4" w:space="0" w:color="auto"/>
              <w:right w:val="single" w:sz="4" w:space="0" w:color="auto"/>
            </w:tcBorders>
            <w:noWrap/>
            <w:vAlign w:val="center"/>
          </w:tcPr>
          <w:p w14:paraId="1EFB9046" w14:textId="77777777" w:rsidR="00E15393" w:rsidRDefault="00E15393" w:rsidP="00E15393">
            <w:pPr>
              <w:spacing w:after="0" w:line="240" w:lineRule="auto"/>
              <w:jc w:val="center"/>
              <w:rPr>
                <w:rFonts w:ascii="Calibri" w:eastAsia="Times New Roman" w:hAnsi="Calibri" w:cs="Calibri"/>
                <w:color w:val="000000"/>
                <w:sz w:val="18"/>
                <w:szCs w:val="18"/>
                <w:lang w:bidi="he-IL"/>
              </w:rPr>
            </w:pPr>
          </w:p>
        </w:tc>
        <w:tc>
          <w:tcPr>
            <w:tcW w:w="1217" w:type="dxa"/>
            <w:tcBorders>
              <w:top w:val="single" w:sz="4" w:space="0" w:color="auto"/>
              <w:left w:val="single" w:sz="4" w:space="0" w:color="auto"/>
              <w:bottom w:val="single" w:sz="4" w:space="0" w:color="auto"/>
              <w:right w:val="single" w:sz="4" w:space="0" w:color="auto"/>
            </w:tcBorders>
            <w:noWrap/>
            <w:vAlign w:val="center"/>
          </w:tcPr>
          <w:p w14:paraId="33DAA0C0" w14:textId="77777777" w:rsidR="00E15393" w:rsidRDefault="00E15393" w:rsidP="00E15393">
            <w:pPr>
              <w:spacing w:after="0" w:line="240" w:lineRule="auto"/>
              <w:jc w:val="center"/>
              <w:rPr>
                <w:rFonts w:ascii="Calibri" w:eastAsia="Times New Roman" w:hAnsi="Calibri" w:cs="Calibri"/>
                <w:color w:val="000000"/>
                <w:sz w:val="18"/>
                <w:szCs w:val="18"/>
                <w:lang w:bidi="he-IL"/>
              </w:rPr>
            </w:pPr>
          </w:p>
        </w:tc>
      </w:tr>
      <w:tr w:rsidR="00E15393" w14:paraId="2B1D5001" w14:textId="77777777" w:rsidTr="00D36C83">
        <w:trPr>
          <w:trHeight w:val="296"/>
        </w:trPr>
        <w:tc>
          <w:tcPr>
            <w:tcW w:w="2304" w:type="dxa"/>
            <w:tcBorders>
              <w:top w:val="single" w:sz="4" w:space="0" w:color="auto"/>
              <w:left w:val="single" w:sz="4" w:space="0" w:color="auto"/>
              <w:bottom w:val="single" w:sz="4" w:space="0" w:color="auto"/>
              <w:right w:val="single" w:sz="4" w:space="0" w:color="auto"/>
            </w:tcBorders>
            <w:vAlign w:val="center"/>
            <w:hideMark/>
          </w:tcPr>
          <w:p w14:paraId="2710264F" w14:textId="77777777" w:rsidR="00E15393" w:rsidRDefault="00E15393" w:rsidP="00E15393">
            <w:pPr>
              <w:spacing w:after="0" w:line="240" w:lineRule="auto"/>
              <w:rPr>
                <w:rFonts w:ascii="Calibri" w:eastAsia="Times New Roman" w:hAnsi="Calibri" w:cs="Calibri"/>
                <w:b/>
                <w:bCs/>
                <w:color w:val="000000"/>
                <w:sz w:val="18"/>
                <w:szCs w:val="18"/>
                <w:lang w:bidi="he-IL"/>
              </w:rPr>
            </w:pPr>
            <w:r>
              <w:rPr>
                <w:rFonts w:ascii="Calibri" w:eastAsia="Times New Roman" w:hAnsi="Calibri" w:cs="Calibri"/>
                <w:b/>
                <w:bCs/>
                <w:color w:val="000000"/>
                <w:sz w:val="18"/>
                <w:szCs w:val="18"/>
                <w:lang w:bidi="he-IL"/>
              </w:rPr>
              <w:t>Metformin use at baseline- n (%)</w:t>
            </w:r>
          </w:p>
        </w:tc>
        <w:tc>
          <w:tcPr>
            <w:tcW w:w="1171"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hideMark/>
          </w:tcPr>
          <w:p w14:paraId="319A6FEE" w14:textId="77777777" w:rsidR="00E15393" w:rsidRDefault="00E15393" w:rsidP="00E15393">
            <w:pPr>
              <w:spacing w:after="0" w:line="240" w:lineRule="auto"/>
              <w:jc w:val="center"/>
              <w:rPr>
                <w:rFonts w:ascii="Calibri" w:eastAsia="Times New Roman" w:hAnsi="Calibri" w:cs="Calibri"/>
                <w:color w:val="000000"/>
                <w:sz w:val="18"/>
                <w:szCs w:val="18"/>
                <w:lang w:bidi="he-IL"/>
              </w:rPr>
            </w:pPr>
            <w:r>
              <w:rPr>
                <w:rFonts w:ascii="Calibri" w:eastAsia="Times New Roman" w:hAnsi="Calibri" w:cs="Calibri"/>
                <w:color w:val="000000"/>
                <w:sz w:val="18"/>
                <w:szCs w:val="18"/>
                <w:lang w:bidi="he-IL"/>
              </w:rPr>
              <w:t>3526 (85.2)</w:t>
            </w:r>
          </w:p>
        </w:tc>
        <w:tc>
          <w:tcPr>
            <w:tcW w:w="1081"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hideMark/>
          </w:tcPr>
          <w:p w14:paraId="0CC4BF07" w14:textId="77777777" w:rsidR="00E15393" w:rsidRDefault="00E15393" w:rsidP="00E15393">
            <w:pPr>
              <w:spacing w:after="0" w:line="240" w:lineRule="auto"/>
              <w:jc w:val="center"/>
              <w:rPr>
                <w:rFonts w:ascii="Calibri" w:eastAsia="Times New Roman" w:hAnsi="Calibri" w:cs="Calibri"/>
                <w:color w:val="000000"/>
                <w:sz w:val="18"/>
                <w:szCs w:val="18"/>
                <w:lang w:bidi="he-IL"/>
              </w:rPr>
            </w:pPr>
            <w:r>
              <w:rPr>
                <w:rFonts w:ascii="Calibri" w:eastAsia="Times New Roman" w:hAnsi="Calibri" w:cs="Calibri"/>
                <w:color w:val="000000"/>
                <w:sz w:val="18"/>
                <w:szCs w:val="18"/>
                <w:lang w:bidi="he-IL"/>
              </w:rPr>
              <w:t>3435 (85.3)</w:t>
            </w:r>
          </w:p>
        </w:tc>
        <w:tc>
          <w:tcPr>
            <w:tcW w:w="1169" w:type="dxa"/>
            <w:tcBorders>
              <w:top w:val="single" w:sz="4" w:space="0" w:color="auto"/>
              <w:left w:val="single" w:sz="4" w:space="0" w:color="auto"/>
              <w:bottom w:val="single" w:sz="4" w:space="0" w:color="auto"/>
              <w:right w:val="single" w:sz="4" w:space="0" w:color="auto"/>
            </w:tcBorders>
            <w:shd w:val="clear" w:color="auto" w:fill="DCE6F1"/>
            <w:noWrap/>
            <w:vAlign w:val="center"/>
            <w:hideMark/>
          </w:tcPr>
          <w:p w14:paraId="41AA6CC2" w14:textId="77777777" w:rsidR="00E15393" w:rsidRDefault="00E15393" w:rsidP="00E15393">
            <w:pPr>
              <w:spacing w:after="0" w:line="240" w:lineRule="auto"/>
              <w:jc w:val="center"/>
              <w:rPr>
                <w:rFonts w:ascii="Calibri" w:eastAsia="Times New Roman" w:hAnsi="Calibri" w:cs="Calibri"/>
                <w:color w:val="000000"/>
                <w:sz w:val="18"/>
                <w:szCs w:val="18"/>
                <w:lang w:bidi="he-IL"/>
              </w:rPr>
            </w:pPr>
            <w:r>
              <w:rPr>
                <w:rFonts w:ascii="Calibri" w:eastAsia="Times New Roman" w:hAnsi="Calibri" w:cs="Calibri"/>
                <w:color w:val="000000"/>
                <w:sz w:val="18"/>
                <w:szCs w:val="18"/>
                <w:lang w:bidi="he-IL"/>
              </w:rPr>
              <w:t>3096 (80.7)</w:t>
            </w:r>
          </w:p>
        </w:tc>
        <w:tc>
          <w:tcPr>
            <w:tcW w:w="1170" w:type="dxa"/>
            <w:tcBorders>
              <w:top w:val="single" w:sz="4" w:space="0" w:color="auto"/>
              <w:left w:val="single" w:sz="4" w:space="0" w:color="auto"/>
              <w:bottom w:val="single" w:sz="4" w:space="0" w:color="auto"/>
              <w:right w:val="single" w:sz="4" w:space="0" w:color="auto"/>
            </w:tcBorders>
            <w:shd w:val="clear" w:color="auto" w:fill="DCE6F1"/>
            <w:noWrap/>
            <w:vAlign w:val="center"/>
            <w:hideMark/>
          </w:tcPr>
          <w:p w14:paraId="421B167C" w14:textId="77777777" w:rsidR="00E15393" w:rsidRDefault="00E15393" w:rsidP="00E15393">
            <w:pPr>
              <w:spacing w:after="0" w:line="240" w:lineRule="auto"/>
              <w:jc w:val="center"/>
              <w:rPr>
                <w:rFonts w:ascii="Calibri" w:eastAsia="Times New Roman" w:hAnsi="Calibri" w:cs="Calibri"/>
                <w:color w:val="000000"/>
                <w:sz w:val="18"/>
                <w:szCs w:val="18"/>
                <w:lang w:bidi="he-IL"/>
              </w:rPr>
            </w:pPr>
            <w:r>
              <w:rPr>
                <w:rFonts w:ascii="Calibri" w:eastAsia="Times New Roman" w:hAnsi="Calibri" w:cs="Calibri"/>
                <w:color w:val="000000"/>
                <w:sz w:val="18"/>
                <w:szCs w:val="18"/>
                <w:lang w:bidi="he-IL"/>
              </w:rPr>
              <w:t>3167 (81.3)</w:t>
            </w:r>
          </w:p>
        </w:tc>
        <w:tc>
          <w:tcPr>
            <w:tcW w:w="1214" w:type="dxa"/>
            <w:tcBorders>
              <w:top w:val="single" w:sz="4" w:space="0" w:color="auto"/>
              <w:left w:val="single" w:sz="4" w:space="0" w:color="auto"/>
              <w:bottom w:val="single" w:sz="4" w:space="0" w:color="auto"/>
              <w:right w:val="single" w:sz="4" w:space="0" w:color="auto"/>
            </w:tcBorders>
            <w:noWrap/>
            <w:vAlign w:val="center"/>
            <w:hideMark/>
          </w:tcPr>
          <w:p w14:paraId="6DE38F7E" w14:textId="77777777" w:rsidR="00E15393" w:rsidRDefault="00E15393" w:rsidP="00E15393">
            <w:pPr>
              <w:spacing w:after="0" w:line="240" w:lineRule="auto"/>
              <w:jc w:val="center"/>
              <w:rPr>
                <w:rFonts w:ascii="Calibri" w:eastAsia="Times New Roman" w:hAnsi="Calibri" w:cs="Calibri"/>
                <w:color w:val="000000"/>
                <w:sz w:val="18"/>
                <w:szCs w:val="18"/>
                <w:lang w:bidi="he-IL"/>
              </w:rPr>
            </w:pPr>
            <w:r>
              <w:rPr>
                <w:rFonts w:ascii="Calibri" w:eastAsia="Times New Roman" w:hAnsi="Calibri" w:cs="Calibri"/>
                <w:color w:val="000000"/>
                <w:sz w:val="18"/>
                <w:szCs w:val="18"/>
                <w:lang w:bidi="he-IL"/>
              </w:rPr>
              <w:t>397 (65.5)</w:t>
            </w:r>
          </w:p>
        </w:tc>
        <w:tc>
          <w:tcPr>
            <w:tcW w:w="1217" w:type="dxa"/>
            <w:tcBorders>
              <w:top w:val="single" w:sz="4" w:space="0" w:color="auto"/>
              <w:left w:val="single" w:sz="4" w:space="0" w:color="auto"/>
              <w:bottom w:val="single" w:sz="4" w:space="0" w:color="auto"/>
              <w:right w:val="single" w:sz="4" w:space="0" w:color="auto"/>
            </w:tcBorders>
            <w:noWrap/>
            <w:vAlign w:val="center"/>
            <w:hideMark/>
          </w:tcPr>
          <w:p w14:paraId="4E04BCEC" w14:textId="77777777" w:rsidR="00E15393" w:rsidRDefault="00E15393" w:rsidP="00E15393">
            <w:pPr>
              <w:spacing w:after="0" w:line="240" w:lineRule="auto"/>
              <w:jc w:val="center"/>
              <w:rPr>
                <w:rFonts w:ascii="Calibri" w:eastAsia="Times New Roman" w:hAnsi="Calibri" w:cs="Calibri"/>
                <w:color w:val="000000"/>
                <w:sz w:val="18"/>
                <w:szCs w:val="18"/>
                <w:lang w:bidi="he-IL"/>
              </w:rPr>
            </w:pPr>
            <w:r>
              <w:rPr>
                <w:rFonts w:ascii="Calibri" w:eastAsia="Times New Roman" w:hAnsi="Calibri" w:cs="Calibri"/>
                <w:color w:val="000000"/>
                <w:sz w:val="18"/>
                <w:szCs w:val="18"/>
                <w:lang w:bidi="he-IL"/>
              </w:rPr>
              <w:t>446 (67.7)</w:t>
            </w:r>
          </w:p>
        </w:tc>
      </w:tr>
      <w:tr w:rsidR="00E15393" w14:paraId="16CAE636" w14:textId="77777777" w:rsidTr="00D36C83">
        <w:trPr>
          <w:trHeight w:val="296"/>
        </w:trPr>
        <w:tc>
          <w:tcPr>
            <w:tcW w:w="2304" w:type="dxa"/>
            <w:tcBorders>
              <w:top w:val="single" w:sz="4" w:space="0" w:color="auto"/>
              <w:left w:val="single" w:sz="4" w:space="0" w:color="auto"/>
              <w:bottom w:val="single" w:sz="4" w:space="0" w:color="auto"/>
              <w:right w:val="single" w:sz="4" w:space="0" w:color="auto"/>
            </w:tcBorders>
            <w:vAlign w:val="center"/>
            <w:hideMark/>
          </w:tcPr>
          <w:p w14:paraId="1E92F72E" w14:textId="77777777" w:rsidR="00E15393" w:rsidRDefault="00E15393" w:rsidP="00E15393">
            <w:pPr>
              <w:spacing w:after="0" w:line="240" w:lineRule="auto"/>
              <w:rPr>
                <w:rFonts w:ascii="Calibri" w:eastAsia="Times New Roman" w:hAnsi="Calibri" w:cs="Calibri"/>
                <w:b/>
                <w:bCs/>
                <w:color w:val="000000"/>
                <w:sz w:val="18"/>
                <w:szCs w:val="18"/>
                <w:lang w:bidi="he-IL"/>
              </w:rPr>
            </w:pPr>
            <w:r>
              <w:rPr>
                <w:rFonts w:ascii="Calibri" w:eastAsia="Times New Roman" w:hAnsi="Calibri" w:cs="Calibri"/>
                <w:b/>
                <w:bCs/>
                <w:color w:val="000000"/>
                <w:sz w:val="18"/>
                <w:szCs w:val="18"/>
                <w:lang w:bidi="he-IL"/>
              </w:rPr>
              <w:t>Insulin use at baseline- n (%)</w:t>
            </w:r>
          </w:p>
        </w:tc>
        <w:tc>
          <w:tcPr>
            <w:tcW w:w="1171"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hideMark/>
          </w:tcPr>
          <w:p w14:paraId="072157C3" w14:textId="77777777" w:rsidR="00E15393" w:rsidRDefault="00E15393" w:rsidP="00E15393">
            <w:pPr>
              <w:spacing w:after="0" w:line="240" w:lineRule="auto"/>
              <w:jc w:val="center"/>
              <w:rPr>
                <w:rFonts w:ascii="Calibri" w:eastAsia="Times New Roman" w:hAnsi="Calibri" w:cs="Calibri"/>
                <w:color w:val="000000"/>
                <w:sz w:val="18"/>
                <w:szCs w:val="18"/>
                <w:lang w:bidi="he-IL"/>
              </w:rPr>
            </w:pPr>
            <w:r>
              <w:rPr>
                <w:rFonts w:ascii="Calibri" w:eastAsia="Times New Roman" w:hAnsi="Calibri" w:cs="Calibri"/>
                <w:color w:val="000000"/>
                <w:sz w:val="18"/>
                <w:szCs w:val="18"/>
                <w:lang w:bidi="he-IL"/>
              </w:rPr>
              <w:t>1557 (37.6)</w:t>
            </w:r>
          </w:p>
        </w:tc>
        <w:tc>
          <w:tcPr>
            <w:tcW w:w="1081"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hideMark/>
          </w:tcPr>
          <w:p w14:paraId="25308239" w14:textId="77777777" w:rsidR="00E15393" w:rsidRDefault="00E15393" w:rsidP="00E15393">
            <w:pPr>
              <w:spacing w:after="0" w:line="240" w:lineRule="auto"/>
              <w:jc w:val="center"/>
              <w:rPr>
                <w:rFonts w:ascii="Calibri" w:eastAsia="Times New Roman" w:hAnsi="Calibri" w:cs="Calibri"/>
                <w:color w:val="000000"/>
                <w:sz w:val="18"/>
                <w:szCs w:val="18"/>
                <w:lang w:bidi="he-IL"/>
              </w:rPr>
            </w:pPr>
            <w:r>
              <w:rPr>
                <w:rFonts w:ascii="Calibri" w:eastAsia="Times New Roman" w:hAnsi="Calibri" w:cs="Calibri"/>
                <w:color w:val="000000"/>
                <w:sz w:val="18"/>
                <w:szCs w:val="18"/>
                <w:lang w:bidi="he-IL"/>
              </w:rPr>
              <w:t>1461 (36.3)</w:t>
            </w:r>
          </w:p>
        </w:tc>
        <w:tc>
          <w:tcPr>
            <w:tcW w:w="1169" w:type="dxa"/>
            <w:tcBorders>
              <w:top w:val="single" w:sz="4" w:space="0" w:color="auto"/>
              <w:left w:val="single" w:sz="4" w:space="0" w:color="auto"/>
              <w:bottom w:val="single" w:sz="4" w:space="0" w:color="auto"/>
              <w:right w:val="single" w:sz="4" w:space="0" w:color="auto"/>
            </w:tcBorders>
            <w:shd w:val="clear" w:color="auto" w:fill="DCE6F1"/>
            <w:noWrap/>
            <w:vAlign w:val="center"/>
            <w:hideMark/>
          </w:tcPr>
          <w:p w14:paraId="1C9077E9" w14:textId="77777777" w:rsidR="00E15393" w:rsidRDefault="00E15393" w:rsidP="00E15393">
            <w:pPr>
              <w:spacing w:after="0" w:line="240" w:lineRule="auto"/>
              <w:jc w:val="center"/>
              <w:rPr>
                <w:rFonts w:ascii="Calibri" w:eastAsia="Times New Roman" w:hAnsi="Calibri" w:cs="Calibri"/>
                <w:color w:val="000000"/>
                <w:sz w:val="18"/>
                <w:szCs w:val="18"/>
                <w:lang w:bidi="he-IL"/>
              </w:rPr>
            </w:pPr>
            <w:r>
              <w:rPr>
                <w:rFonts w:ascii="Calibri" w:eastAsia="Times New Roman" w:hAnsi="Calibri" w:cs="Calibri"/>
                <w:color w:val="000000"/>
                <w:sz w:val="18"/>
                <w:szCs w:val="18"/>
                <w:lang w:bidi="he-IL"/>
              </w:rPr>
              <w:t>1660 (43.3)</w:t>
            </w:r>
          </w:p>
        </w:tc>
        <w:tc>
          <w:tcPr>
            <w:tcW w:w="1170" w:type="dxa"/>
            <w:tcBorders>
              <w:top w:val="single" w:sz="4" w:space="0" w:color="auto"/>
              <w:left w:val="single" w:sz="4" w:space="0" w:color="auto"/>
              <w:bottom w:val="single" w:sz="4" w:space="0" w:color="auto"/>
              <w:right w:val="single" w:sz="4" w:space="0" w:color="auto"/>
            </w:tcBorders>
            <w:shd w:val="clear" w:color="auto" w:fill="DCE6F1"/>
            <w:noWrap/>
            <w:vAlign w:val="center"/>
            <w:hideMark/>
          </w:tcPr>
          <w:p w14:paraId="6D54DA64" w14:textId="77777777" w:rsidR="00E15393" w:rsidRDefault="00E15393" w:rsidP="00E15393">
            <w:pPr>
              <w:spacing w:after="0" w:line="240" w:lineRule="auto"/>
              <w:jc w:val="center"/>
              <w:rPr>
                <w:rFonts w:ascii="Calibri" w:eastAsia="Times New Roman" w:hAnsi="Calibri" w:cs="Calibri"/>
                <w:color w:val="000000"/>
                <w:sz w:val="18"/>
                <w:szCs w:val="18"/>
                <w:lang w:bidi="he-IL"/>
              </w:rPr>
            </w:pPr>
            <w:r>
              <w:rPr>
                <w:rFonts w:ascii="Calibri" w:eastAsia="Times New Roman" w:hAnsi="Calibri" w:cs="Calibri"/>
                <w:color w:val="000000"/>
                <w:sz w:val="18"/>
                <w:szCs w:val="18"/>
                <w:lang w:bidi="he-IL"/>
              </w:rPr>
              <w:t>1624 (41.7)</w:t>
            </w:r>
          </w:p>
        </w:tc>
        <w:tc>
          <w:tcPr>
            <w:tcW w:w="1214" w:type="dxa"/>
            <w:tcBorders>
              <w:top w:val="single" w:sz="4" w:space="0" w:color="auto"/>
              <w:left w:val="single" w:sz="4" w:space="0" w:color="auto"/>
              <w:bottom w:val="single" w:sz="4" w:space="0" w:color="auto"/>
              <w:right w:val="single" w:sz="4" w:space="0" w:color="auto"/>
            </w:tcBorders>
            <w:noWrap/>
            <w:vAlign w:val="center"/>
            <w:hideMark/>
          </w:tcPr>
          <w:p w14:paraId="3D8CF16E" w14:textId="77777777" w:rsidR="00E15393" w:rsidRDefault="00E15393" w:rsidP="00E15393">
            <w:pPr>
              <w:spacing w:after="0" w:line="240" w:lineRule="auto"/>
              <w:jc w:val="center"/>
              <w:rPr>
                <w:rFonts w:ascii="Calibri" w:eastAsia="Times New Roman" w:hAnsi="Calibri" w:cs="Calibri"/>
                <w:color w:val="000000"/>
                <w:sz w:val="18"/>
                <w:szCs w:val="18"/>
                <w:lang w:bidi="he-IL"/>
              </w:rPr>
            </w:pPr>
            <w:r>
              <w:rPr>
                <w:rFonts w:ascii="Calibri" w:eastAsia="Times New Roman" w:hAnsi="Calibri" w:cs="Calibri"/>
                <w:color w:val="000000"/>
                <w:sz w:val="18"/>
                <w:szCs w:val="18"/>
                <w:lang w:bidi="he-IL"/>
              </w:rPr>
              <w:t>350 (57.8)</w:t>
            </w:r>
          </w:p>
        </w:tc>
        <w:tc>
          <w:tcPr>
            <w:tcW w:w="1217" w:type="dxa"/>
            <w:tcBorders>
              <w:top w:val="single" w:sz="4" w:space="0" w:color="auto"/>
              <w:left w:val="single" w:sz="4" w:space="0" w:color="auto"/>
              <w:bottom w:val="single" w:sz="4" w:space="0" w:color="auto"/>
              <w:right w:val="single" w:sz="4" w:space="0" w:color="auto"/>
            </w:tcBorders>
            <w:noWrap/>
            <w:vAlign w:val="center"/>
            <w:hideMark/>
          </w:tcPr>
          <w:p w14:paraId="6316E499" w14:textId="77777777" w:rsidR="00E15393" w:rsidRDefault="00E15393" w:rsidP="00E15393">
            <w:pPr>
              <w:spacing w:after="0" w:line="240" w:lineRule="auto"/>
              <w:jc w:val="center"/>
              <w:rPr>
                <w:rFonts w:ascii="Calibri" w:eastAsia="Times New Roman" w:hAnsi="Calibri" w:cs="Calibri"/>
                <w:color w:val="000000"/>
                <w:sz w:val="18"/>
                <w:szCs w:val="18"/>
                <w:lang w:bidi="he-IL"/>
              </w:rPr>
            </w:pPr>
            <w:r>
              <w:rPr>
                <w:rFonts w:ascii="Calibri" w:eastAsia="Times New Roman" w:hAnsi="Calibri" w:cs="Calibri"/>
                <w:color w:val="000000"/>
                <w:sz w:val="18"/>
                <w:szCs w:val="18"/>
                <w:lang w:bidi="he-IL"/>
              </w:rPr>
              <w:t>361 (54.8)</w:t>
            </w:r>
          </w:p>
        </w:tc>
      </w:tr>
      <w:tr w:rsidR="00E15393" w14:paraId="7A371F16" w14:textId="77777777" w:rsidTr="00D36C83">
        <w:trPr>
          <w:trHeight w:val="296"/>
        </w:trPr>
        <w:tc>
          <w:tcPr>
            <w:tcW w:w="2304" w:type="dxa"/>
            <w:tcBorders>
              <w:top w:val="single" w:sz="4" w:space="0" w:color="auto"/>
              <w:left w:val="single" w:sz="4" w:space="0" w:color="auto"/>
              <w:bottom w:val="single" w:sz="4" w:space="0" w:color="auto"/>
              <w:right w:val="single" w:sz="4" w:space="0" w:color="auto"/>
            </w:tcBorders>
            <w:vAlign w:val="center"/>
            <w:hideMark/>
          </w:tcPr>
          <w:p w14:paraId="00EE567A" w14:textId="77777777" w:rsidR="00E15393" w:rsidRDefault="00E15393" w:rsidP="00E15393">
            <w:pPr>
              <w:spacing w:after="0" w:line="240" w:lineRule="auto"/>
              <w:rPr>
                <w:rFonts w:ascii="Calibri" w:eastAsia="Times New Roman" w:hAnsi="Calibri" w:cs="Calibri"/>
                <w:b/>
                <w:bCs/>
                <w:color w:val="000000"/>
                <w:sz w:val="18"/>
                <w:szCs w:val="18"/>
                <w:lang w:bidi="he-IL"/>
              </w:rPr>
            </w:pPr>
            <w:r>
              <w:rPr>
                <w:rFonts w:ascii="Calibri" w:eastAsia="Times New Roman" w:hAnsi="Calibri" w:cs="Calibri"/>
                <w:b/>
                <w:bCs/>
                <w:color w:val="000000"/>
                <w:sz w:val="18"/>
                <w:szCs w:val="18"/>
                <w:lang w:bidi="he-IL"/>
              </w:rPr>
              <w:t>Sulfonylurea use at baseline- n (%)</w:t>
            </w:r>
          </w:p>
        </w:tc>
        <w:tc>
          <w:tcPr>
            <w:tcW w:w="1171"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hideMark/>
          </w:tcPr>
          <w:p w14:paraId="52783249" w14:textId="77777777" w:rsidR="00E15393" w:rsidRDefault="00E15393" w:rsidP="00E15393">
            <w:pPr>
              <w:spacing w:after="0" w:line="240" w:lineRule="auto"/>
              <w:jc w:val="center"/>
              <w:rPr>
                <w:rFonts w:ascii="Calibri" w:eastAsia="Times New Roman" w:hAnsi="Calibri" w:cs="Calibri"/>
                <w:color w:val="000000"/>
                <w:sz w:val="18"/>
                <w:szCs w:val="18"/>
                <w:lang w:bidi="he-IL"/>
              </w:rPr>
            </w:pPr>
            <w:r>
              <w:rPr>
                <w:rFonts w:ascii="Calibri" w:eastAsia="Times New Roman" w:hAnsi="Calibri" w:cs="Calibri"/>
                <w:color w:val="000000"/>
                <w:sz w:val="18"/>
                <w:szCs w:val="18"/>
                <w:lang w:bidi="he-IL"/>
              </w:rPr>
              <w:t>1834 (44.3)</w:t>
            </w:r>
          </w:p>
        </w:tc>
        <w:tc>
          <w:tcPr>
            <w:tcW w:w="1081"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hideMark/>
          </w:tcPr>
          <w:p w14:paraId="682DEDBF" w14:textId="77777777" w:rsidR="00E15393" w:rsidRDefault="00E15393" w:rsidP="00E15393">
            <w:pPr>
              <w:spacing w:after="0" w:line="240" w:lineRule="auto"/>
              <w:jc w:val="center"/>
              <w:rPr>
                <w:rFonts w:ascii="Calibri" w:eastAsia="Times New Roman" w:hAnsi="Calibri" w:cs="Calibri"/>
                <w:color w:val="000000"/>
                <w:sz w:val="18"/>
                <w:szCs w:val="18"/>
                <w:lang w:bidi="he-IL"/>
              </w:rPr>
            </w:pPr>
            <w:r>
              <w:rPr>
                <w:rFonts w:ascii="Calibri" w:eastAsia="Times New Roman" w:hAnsi="Calibri" w:cs="Calibri"/>
                <w:color w:val="000000"/>
                <w:sz w:val="18"/>
                <w:szCs w:val="18"/>
                <w:lang w:bidi="he-IL"/>
              </w:rPr>
              <w:t>1837 (45.6)</w:t>
            </w:r>
          </w:p>
        </w:tc>
        <w:tc>
          <w:tcPr>
            <w:tcW w:w="1169" w:type="dxa"/>
            <w:tcBorders>
              <w:top w:val="single" w:sz="4" w:space="0" w:color="auto"/>
              <w:left w:val="single" w:sz="4" w:space="0" w:color="auto"/>
              <w:bottom w:val="single" w:sz="4" w:space="0" w:color="auto"/>
              <w:right w:val="single" w:sz="4" w:space="0" w:color="auto"/>
            </w:tcBorders>
            <w:shd w:val="clear" w:color="auto" w:fill="DCE6F1"/>
            <w:noWrap/>
            <w:vAlign w:val="center"/>
            <w:hideMark/>
          </w:tcPr>
          <w:p w14:paraId="29E7D871" w14:textId="77777777" w:rsidR="00E15393" w:rsidRDefault="00E15393" w:rsidP="00E15393">
            <w:pPr>
              <w:spacing w:after="0" w:line="240" w:lineRule="auto"/>
              <w:jc w:val="center"/>
              <w:rPr>
                <w:rFonts w:ascii="Calibri" w:eastAsia="Times New Roman" w:hAnsi="Calibri" w:cs="Calibri"/>
                <w:color w:val="000000"/>
                <w:sz w:val="18"/>
                <w:szCs w:val="18"/>
                <w:lang w:bidi="he-IL"/>
              </w:rPr>
            </w:pPr>
            <w:r>
              <w:rPr>
                <w:rFonts w:ascii="Calibri" w:eastAsia="Times New Roman" w:hAnsi="Calibri" w:cs="Calibri"/>
                <w:color w:val="000000"/>
                <w:sz w:val="18"/>
                <w:szCs w:val="18"/>
                <w:lang w:bidi="he-IL"/>
              </w:rPr>
              <w:t>1571 (40.9)</w:t>
            </w:r>
          </w:p>
        </w:tc>
        <w:tc>
          <w:tcPr>
            <w:tcW w:w="1170" w:type="dxa"/>
            <w:tcBorders>
              <w:top w:val="single" w:sz="4" w:space="0" w:color="auto"/>
              <w:left w:val="single" w:sz="4" w:space="0" w:color="auto"/>
              <w:bottom w:val="single" w:sz="4" w:space="0" w:color="auto"/>
              <w:right w:val="single" w:sz="4" w:space="0" w:color="auto"/>
            </w:tcBorders>
            <w:shd w:val="clear" w:color="auto" w:fill="DCE6F1"/>
            <w:noWrap/>
            <w:vAlign w:val="center"/>
            <w:hideMark/>
          </w:tcPr>
          <w:p w14:paraId="3E671F3F" w14:textId="77777777" w:rsidR="00E15393" w:rsidRDefault="00E15393" w:rsidP="00E15393">
            <w:pPr>
              <w:spacing w:after="0" w:line="240" w:lineRule="auto"/>
              <w:jc w:val="center"/>
              <w:rPr>
                <w:rFonts w:ascii="Calibri" w:eastAsia="Times New Roman" w:hAnsi="Calibri" w:cs="Calibri"/>
                <w:color w:val="000000"/>
                <w:sz w:val="18"/>
                <w:szCs w:val="18"/>
                <w:lang w:bidi="he-IL"/>
              </w:rPr>
            </w:pPr>
            <w:r>
              <w:rPr>
                <w:rFonts w:ascii="Calibri" w:eastAsia="Times New Roman" w:hAnsi="Calibri" w:cs="Calibri"/>
                <w:color w:val="000000"/>
                <w:sz w:val="18"/>
                <w:szCs w:val="18"/>
                <w:lang w:bidi="he-IL"/>
              </w:rPr>
              <w:t>1634 (42)</w:t>
            </w:r>
          </w:p>
        </w:tc>
        <w:tc>
          <w:tcPr>
            <w:tcW w:w="1214" w:type="dxa"/>
            <w:tcBorders>
              <w:top w:val="single" w:sz="4" w:space="0" w:color="auto"/>
              <w:left w:val="single" w:sz="4" w:space="0" w:color="auto"/>
              <w:bottom w:val="single" w:sz="4" w:space="0" w:color="auto"/>
              <w:right w:val="single" w:sz="4" w:space="0" w:color="auto"/>
            </w:tcBorders>
            <w:noWrap/>
            <w:vAlign w:val="center"/>
            <w:hideMark/>
          </w:tcPr>
          <w:p w14:paraId="046B1AFC" w14:textId="77777777" w:rsidR="00E15393" w:rsidRDefault="00E15393" w:rsidP="00E15393">
            <w:pPr>
              <w:spacing w:after="0" w:line="240" w:lineRule="auto"/>
              <w:jc w:val="center"/>
              <w:rPr>
                <w:rFonts w:ascii="Calibri" w:eastAsia="Times New Roman" w:hAnsi="Calibri" w:cs="Calibri"/>
                <w:color w:val="000000"/>
                <w:sz w:val="18"/>
                <w:szCs w:val="18"/>
                <w:lang w:bidi="he-IL"/>
              </w:rPr>
            </w:pPr>
            <w:r>
              <w:rPr>
                <w:rFonts w:ascii="Calibri" w:eastAsia="Times New Roman" w:hAnsi="Calibri" w:cs="Calibri"/>
                <w:color w:val="000000"/>
                <w:sz w:val="18"/>
                <w:szCs w:val="18"/>
                <w:lang w:bidi="he-IL"/>
              </w:rPr>
              <w:t>209 (34.5)</w:t>
            </w:r>
          </w:p>
        </w:tc>
        <w:tc>
          <w:tcPr>
            <w:tcW w:w="1217" w:type="dxa"/>
            <w:tcBorders>
              <w:top w:val="single" w:sz="4" w:space="0" w:color="auto"/>
              <w:left w:val="single" w:sz="4" w:space="0" w:color="auto"/>
              <w:bottom w:val="single" w:sz="4" w:space="0" w:color="auto"/>
              <w:right w:val="single" w:sz="4" w:space="0" w:color="auto"/>
            </w:tcBorders>
            <w:noWrap/>
            <w:vAlign w:val="center"/>
            <w:hideMark/>
          </w:tcPr>
          <w:p w14:paraId="1BF6F503" w14:textId="77777777" w:rsidR="00E15393" w:rsidRDefault="00E15393" w:rsidP="00E15393">
            <w:pPr>
              <w:spacing w:after="0" w:line="240" w:lineRule="auto"/>
              <w:jc w:val="center"/>
              <w:rPr>
                <w:rFonts w:ascii="Calibri" w:eastAsia="Times New Roman" w:hAnsi="Calibri" w:cs="Calibri"/>
                <w:color w:val="000000"/>
                <w:sz w:val="18"/>
                <w:szCs w:val="18"/>
                <w:lang w:bidi="he-IL"/>
              </w:rPr>
            </w:pPr>
            <w:r>
              <w:rPr>
                <w:rFonts w:ascii="Calibri" w:eastAsia="Times New Roman" w:hAnsi="Calibri" w:cs="Calibri"/>
                <w:color w:val="000000"/>
                <w:sz w:val="18"/>
                <w:szCs w:val="18"/>
                <w:lang w:bidi="he-IL"/>
              </w:rPr>
              <w:t>236 (35.8)</w:t>
            </w:r>
          </w:p>
        </w:tc>
      </w:tr>
      <w:tr w:rsidR="00E15393" w14:paraId="7066DFA4" w14:textId="77777777" w:rsidTr="00D36C83">
        <w:trPr>
          <w:trHeight w:val="296"/>
        </w:trPr>
        <w:tc>
          <w:tcPr>
            <w:tcW w:w="2304" w:type="dxa"/>
            <w:tcBorders>
              <w:top w:val="single" w:sz="4" w:space="0" w:color="auto"/>
              <w:left w:val="single" w:sz="4" w:space="0" w:color="auto"/>
              <w:bottom w:val="single" w:sz="4" w:space="0" w:color="auto"/>
              <w:right w:val="single" w:sz="4" w:space="0" w:color="auto"/>
            </w:tcBorders>
            <w:vAlign w:val="center"/>
            <w:hideMark/>
          </w:tcPr>
          <w:p w14:paraId="2FB0993C" w14:textId="77777777" w:rsidR="00E15393" w:rsidRDefault="00E15393" w:rsidP="00E15393">
            <w:pPr>
              <w:spacing w:after="0" w:line="240" w:lineRule="auto"/>
              <w:rPr>
                <w:rFonts w:ascii="Calibri" w:eastAsia="Times New Roman" w:hAnsi="Calibri" w:cs="Calibri"/>
                <w:b/>
                <w:bCs/>
                <w:color w:val="000000"/>
                <w:sz w:val="18"/>
                <w:szCs w:val="18"/>
                <w:lang w:bidi="he-IL"/>
              </w:rPr>
            </w:pPr>
            <w:r>
              <w:rPr>
                <w:rFonts w:ascii="Calibri" w:eastAsia="Times New Roman" w:hAnsi="Calibri" w:cs="Calibri"/>
                <w:b/>
                <w:bCs/>
                <w:color w:val="000000"/>
                <w:sz w:val="18"/>
                <w:szCs w:val="18"/>
                <w:lang w:bidi="he-IL"/>
              </w:rPr>
              <w:t>DPP4 inhibitor use at baseline- n (%)</w:t>
            </w:r>
          </w:p>
        </w:tc>
        <w:tc>
          <w:tcPr>
            <w:tcW w:w="1171"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hideMark/>
          </w:tcPr>
          <w:p w14:paraId="24F37195" w14:textId="77777777" w:rsidR="00E15393" w:rsidRDefault="00E15393" w:rsidP="00E15393">
            <w:pPr>
              <w:spacing w:after="0" w:line="240" w:lineRule="auto"/>
              <w:jc w:val="center"/>
              <w:rPr>
                <w:rFonts w:ascii="Calibri" w:eastAsia="Times New Roman" w:hAnsi="Calibri" w:cs="Calibri"/>
                <w:color w:val="000000"/>
                <w:sz w:val="18"/>
                <w:szCs w:val="18"/>
                <w:lang w:bidi="he-IL"/>
              </w:rPr>
            </w:pPr>
            <w:r>
              <w:rPr>
                <w:rFonts w:ascii="Calibri" w:eastAsia="Times New Roman" w:hAnsi="Calibri" w:cs="Calibri"/>
                <w:color w:val="000000"/>
                <w:sz w:val="18"/>
                <w:szCs w:val="18"/>
                <w:lang w:bidi="he-IL"/>
              </w:rPr>
              <w:t>687 (16.6)</w:t>
            </w:r>
          </w:p>
        </w:tc>
        <w:tc>
          <w:tcPr>
            <w:tcW w:w="1081"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hideMark/>
          </w:tcPr>
          <w:p w14:paraId="2A59325A" w14:textId="77777777" w:rsidR="00E15393" w:rsidRDefault="00E15393" w:rsidP="00E15393">
            <w:pPr>
              <w:spacing w:after="0" w:line="240" w:lineRule="auto"/>
              <w:jc w:val="center"/>
              <w:rPr>
                <w:rFonts w:ascii="Calibri" w:eastAsia="Times New Roman" w:hAnsi="Calibri" w:cs="Calibri"/>
                <w:color w:val="000000"/>
                <w:sz w:val="18"/>
                <w:szCs w:val="18"/>
                <w:lang w:bidi="he-IL"/>
              </w:rPr>
            </w:pPr>
            <w:r>
              <w:rPr>
                <w:rFonts w:ascii="Calibri" w:eastAsia="Times New Roman" w:hAnsi="Calibri" w:cs="Calibri"/>
                <w:color w:val="000000"/>
                <w:sz w:val="18"/>
                <w:szCs w:val="18"/>
                <w:lang w:bidi="he-IL"/>
              </w:rPr>
              <w:t>679 (16.9)</w:t>
            </w:r>
          </w:p>
        </w:tc>
        <w:tc>
          <w:tcPr>
            <w:tcW w:w="1169" w:type="dxa"/>
            <w:tcBorders>
              <w:top w:val="single" w:sz="4" w:space="0" w:color="auto"/>
              <w:left w:val="single" w:sz="4" w:space="0" w:color="auto"/>
              <w:bottom w:val="single" w:sz="4" w:space="0" w:color="auto"/>
              <w:right w:val="single" w:sz="4" w:space="0" w:color="auto"/>
            </w:tcBorders>
            <w:shd w:val="clear" w:color="auto" w:fill="DCE6F1"/>
            <w:noWrap/>
            <w:vAlign w:val="center"/>
            <w:hideMark/>
          </w:tcPr>
          <w:p w14:paraId="43D3602B" w14:textId="77777777" w:rsidR="00E15393" w:rsidRDefault="00E15393" w:rsidP="00E15393">
            <w:pPr>
              <w:spacing w:after="0" w:line="240" w:lineRule="auto"/>
              <w:jc w:val="center"/>
              <w:rPr>
                <w:rFonts w:ascii="Calibri" w:eastAsia="Times New Roman" w:hAnsi="Calibri" w:cs="Calibri"/>
                <w:color w:val="000000"/>
                <w:sz w:val="18"/>
                <w:szCs w:val="18"/>
                <w:lang w:bidi="he-IL"/>
              </w:rPr>
            </w:pPr>
            <w:r>
              <w:rPr>
                <w:rFonts w:ascii="Calibri" w:eastAsia="Times New Roman" w:hAnsi="Calibri" w:cs="Calibri"/>
                <w:color w:val="000000"/>
                <w:sz w:val="18"/>
                <w:szCs w:val="18"/>
                <w:lang w:bidi="he-IL"/>
              </w:rPr>
              <w:t>651 (17)</w:t>
            </w:r>
          </w:p>
        </w:tc>
        <w:tc>
          <w:tcPr>
            <w:tcW w:w="1170" w:type="dxa"/>
            <w:tcBorders>
              <w:top w:val="single" w:sz="4" w:space="0" w:color="auto"/>
              <w:left w:val="single" w:sz="4" w:space="0" w:color="auto"/>
              <w:bottom w:val="single" w:sz="4" w:space="0" w:color="auto"/>
              <w:right w:val="single" w:sz="4" w:space="0" w:color="auto"/>
            </w:tcBorders>
            <w:shd w:val="clear" w:color="auto" w:fill="DCE6F1"/>
            <w:noWrap/>
            <w:vAlign w:val="center"/>
            <w:hideMark/>
          </w:tcPr>
          <w:p w14:paraId="1F1D1B21" w14:textId="77777777" w:rsidR="00E15393" w:rsidRDefault="00E15393" w:rsidP="00E15393">
            <w:pPr>
              <w:spacing w:after="0" w:line="240" w:lineRule="auto"/>
              <w:jc w:val="center"/>
              <w:rPr>
                <w:rFonts w:ascii="Calibri" w:eastAsia="Times New Roman" w:hAnsi="Calibri" w:cs="Calibri"/>
                <w:color w:val="000000"/>
                <w:sz w:val="18"/>
                <w:szCs w:val="18"/>
                <w:lang w:bidi="he-IL"/>
              </w:rPr>
            </w:pPr>
            <w:r>
              <w:rPr>
                <w:rFonts w:ascii="Calibri" w:eastAsia="Times New Roman" w:hAnsi="Calibri" w:cs="Calibri"/>
                <w:color w:val="000000"/>
                <w:sz w:val="18"/>
                <w:szCs w:val="18"/>
                <w:lang w:bidi="he-IL"/>
              </w:rPr>
              <w:t>680 (17.5)</w:t>
            </w:r>
          </w:p>
        </w:tc>
        <w:tc>
          <w:tcPr>
            <w:tcW w:w="1214" w:type="dxa"/>
            <w:tcBorders>
              <w:top w:val="single" w:sz="4" w:space="0" w:color="auto"/>
              <w:left w:val="single" w:sz="4" w:space="0" w:color="auto"/>
              <w:bottom w:val="single" w:sz="4" w:space="0" w:color="auto"/>
              <w:right w:val="single" w:sz="4" w:space="0" w:color="auto"/>
            </w:tcBorders>
            <w:noWrap/>
            <w:vAlign w:val="center"/>
            <w:hideMark/>
          </w:tcPr>
          <w:p w14:paraId="1FE59E5C" w14:textId="77777777" w:rsidR="00E15393" w:rsidRDefault="00E15393" w:rsidP="00E15393">
            <w:pPr>
              <w:spacing w:after="0" w:line="240" w:lineRule="auto"/>
              <w:jc w:val="center"/>
              <w:rPr>
                <w:rFonts w:ascii="Calibri" w:eastAsia="Times New Roman" w:hAnsi="Calibri" w:cs="Calibri"/>
                <w:color w:val="000000"/>
                <w:sz w:val="18"/>
                <w:szCs w:val="18"/>
                <w:lang w:bidi="he-IL"/>
              </w:rPr>
            </w:pPr>
            <w:r>
              <w:rPr>
                <w:rFonts w:ascii="Calibri" w:eastAsia="Times New Roman" w:hAnsi="Calibri" w:cs="Calibri"/>
                <w:color w:val="000000"/>
                <w:sz w:val="18"/>
                <w:szCs w:val="18"/>
                <w:lang w:bidi="he-IL"/>
              </w:rPr>
              <w:t>80 (13.2)</w:t>
            </w:r>
          </w:p>
        </w:tc>
        <w:tc>
          <w:tcPr>
            <w:tcW w:w="1217" w:type="dxa"/>
            <w:tcBorders>
              <w:top w:val="single" w:sz="4" w:space="0" w:color="auto"/>
              <w:left w:val="single" w:sz="4" w:space="0" w:color="auto"/>
              <w:bottom w:val="single" w:sz="4" w:space="0" w:color="auto"/>
              <w:right w:val="single" w:sz="4" w:space="0" w:color="auto"/>
            </w:tcBorders>
            <w:noWrap/>
            <w:vAlign w:val="center"/>
            <w:hideMark/>
          </w:tcPr>
          <w:p w14:paraId="46F8F8B4" w14:textId="77777777" w:rsidR="00E15393" w:rsidRDefault="00E15393" w:rsidP="00E15393">
            <w:pPr>
              <w:spacing w:after="0" w:line="240" w:lineRule="auto"/>
              <w:jc w:val="center"/>
              <w:rPr>
                <w:rFonts w:ascii="Calibri" w:eastAsia="Times New Roman" w:hAnsi="Calibri" w:cs="Calibri"/>
                <w:color w:val="000000"/>
                <w:sz w:val="18"/>
                <w:szCs w:val="18"/>
                <w:lang w:bidi="he-IL"/>
              </w:rPr>
            </w:pPr>
            <w:r>
              <w:rPr>
                <w:rFonts w:ascii="Calibri" w:eastAsia="Times New Roman" w:hAnsi="Calibri" w:cs="Calibri"/>
                <w:color w:val="000000"/>
                <w:sz w:val="18"/>
                <w:szCs w:val="18"/>
                <w:lang w:bidi="he-IL"/>
              </w:rPr>
              <w:t>111 (16.8)</w:t>
            </w:r>
          </w:p>
        </w:tc>
      </w:tr>
      <w:tr w:rsidR="00E15393" w14:paraId="6314B9F8" w14:textId="77777777" w:rsidTr="00D36C83">
        <w:trPr>
          <w:trHeight w:val="296"/>
        </w:trPr>
        <w:tc>
          <w:tcPr>
            <w:tcW w:w="2304" w:type="dxa"/>
            <w:tcBorders>
              <w:top w:val="single" w:sz="4" w:space="0" w:color="auto"/>
              <w:left w:val="single" w:sz="4" w:space="0" w:color="auto"/>
              <w:bottom w:val="single" w:sz="4" w:space="0" w:color="auto"/>
              <w:right w:val="single" w:sz="4" w:space="0" w:color="auto"/>
            </w:tcBorders>
            <w:vAlign w:val="center"/>
            <w:hideMark/>
          </w:tcPr>
          <w:p w14:paraId="359E8519" w14:textId="77777777" w:rsidR="00E15393" w:rsidRDefault="00E15393" w:rsidP="00E15393">
            <w:pPr>
              <w:spacing w:after="0" w:line="240" w:lineRule="auto"/>
              <w:rPr>
                <w:rFonts w:ascii="Calibri" w:eastAsia="Times New Roman" w:hAnsi="Calibri" w:cs="Calibri"/>
                <w:b/>
                <w:bCs/>
                <w:color w:val="000000"/>
                <w:sz w:val="18"/>
                <w:szCs w:val="18"/>
                <w:lang w:bidi="he-IL"/>
              </w:rPr>
            </w:pPr>
            <w:r>
              <w:rPr>
                <w:rFonts w:ascii="Calibri" w:eastAsia="Times New Roman" w:hAnsi="Calibri" w:cs="Calibri"/>
                <w:b/>
                <w:bCs/>
                <w:color w:val="000000"/>
                <w:sz w:val="18"/>
                <w:szCs w:val="18"/>
                <w:lang w:bidi="he-IL"/>
              </w:rPr>
              <w:t>GLP1 Agonists use at baseline- n (%)</w:t>
            </w:r>
          </w:p>
        </w:tc>
        <w:tc>
          <w:tcPr>
            <w:tcW w:w="1171"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hideMark/>
          </w:tcPr>
          <w:p w14:paraId="1D64E6ED" w14:textId="77777777" w:rsidR="00E15393" w:rsidRDefault="00E15393" w:rsidP="00E15393">
            <w:pPr>
              <w:spacing w:after="0" w:line="240" w:lineRule="auto"/>
              <w:jc w:val="center"/>
              <w:rPr>
                <w:rFonts w:ascii="Calibri" w:eastAsia="Times New Roman" w:hAnsi="Calibri" w:cs="Calibri"/>
                <w:color w:val="000000"/>
                <w:sz w:val="18"/>
                <w:szCs w:val="18"/>
                <w:lang w:bidi="he-IL"/>
              </w:rPr>
            </w:pPr>
            <w:r>
              <w:rPr>
                <w:rFonts w:ascii="Calibri" w:eastAsia="Times New Roman" w:hAnsi="Calibri" w:cs="Calibri"/>
                <w:color w:val="000000"/>
                <w:sz w:val="18"/>
                <w:szCs w:val="18"/>
                <w:lang w:bidi="he-IL"/>
              </w:rPr>
              <w:t>185 (4.5)</w:t>
            </w:r>
          </w:p>
        </w:tc>
        <w:tc>
          <w:tcPr>
            <w:tcW w:w="1081"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hideMark/>
          </w:tcPr>
          <w:p w14:paraId="42FBD994" w14:textId="77777777" w:rsidR="00E15393" w:rsidRDefault="00E15393" w:rsidP="00E15393">
            <w:pPr>
              <w:spacing w:after="0" w:line="240" w:lineRule="auto"/>
              <w:jc w:val="center"/>
              <w:rPr>
                <w:rFonts w:ascii="Calibri" w:eastAsia="Times New Roman" w:hAnsi="Calibri" w:cs="Calibri"/>
                <w:color w:val="000000"/>
                <w:sz w:val="18"/>
                <w:szCs w:val="18"/>
                <w:lang w:bidi="he-IL"/>
              </w:rPr>
            </w:pPr>
            <w:r>
              <w:rPr>
                <w:rFonts w:ascii="Calibri" w:eastAsia="Times New Roman" w:hAnsi="Calibri" w:cs="Calibri"/>
                <w:color w:val="000000"/>
                <w:sz w:val="18"/>
                <w:szCs w:val="18"/>
                <w:lang w:bidi="he-IL"/>
              </w:rPr>
              <w:t>162 (4)</w:t>
            </w:r>
          </w:p>
        </w:tc>
        <w:tc>
          <w:tcPr>
            <w:tcW w:w="1169" w:type="dxa"/>
            <w:tcBorders>
              <w:top w:val="single" w:sz="4" w:space="0" w:color="auto"/>
              <w:left w:val="single" w:sz="4" w:space="0" w:color="auto"/>
              <w:bottom w:val="single" w:sz="4" w:space="0" w:color="auto"/>
              <w:right w:val="single" w:sz="4" w:space="0" w:color="auto"/>
            </w:tcBorders>
            <w:shd w:val="clear" w:color="auto" w:fill="DCE6F1"/>
            <w:noWrap/>
            <w:vAlign w:val="center"/>
            <w:hideMark/>
          </w:tcPr>
          <w:p w14:paraId="197DA51A" w14:textId="77777777" w:rsidR="00E15393" w:rsidRDefault="00E15393" w:rsidP="00E15393">
            <w:pPr>
              <w:spacing w:after="0" w:line="240" w:lineRule="auto"/>
              <w:jc w:val="center"/>
              <w:rPr>
                <w:rFonts w:ascii="Calibri" w:eastAsia="Times New Roman" w:hAnsi="Calibri" w:cs="Calibri"/>
                <w:color w:val="000000"/>
                <w:sz w:val="18"/>
                <w:szCs w:val="18"/>
                <w:lang w:bidi="he-IL"/>
              </w:rPr>
            </w:pPr>
            <w:r>
              <w:rPr>
                <w:rFonts w:ascii="Calibri" w:eastAsia="Times New Roman" w:hAnsi="Calibri" w:cs="Calibri"/>
                <w:color w:val="000000"/>
                <w:sz w:val="18"/>
                <w:szCs w:val="18"/>
                <w:lang w:bidi="he-IL"/>
              </w:rPr>
              <w:t>170 (4.4)</w:t>
            </w:r>
          </w:p>
        </w:tc>
        <w:tc>
          <w:tcPr>
            <w:tcW w:w="1170" w:type="dxa"/>
            <w:tcBorders>
              <w:top w:val="single" w:sz="4" w:space="0" w:color="auto"/>
              <w:left w:val="single" w:sz="4" w:space="0" w:color="auto"/>
              <w:bottom w:val="single" w:sz="4" w:space="0" w:color="auto"/>
              <w:right w:val="single" w:sz="4" w:space="0" w:color="auto"/>
            </w:tcBorders>
            <w:shd w:val="clear" w:color="auto" w:fill="DCE6F1"/>
            <w:noWrap/>
            <w:vAlign w:val="center"/>
            <w:hideMark/>
          </w:tcPr>
          <w:p w14:paraId="0433959D" w14:textId="77777777" w:rsidR="00E15393" w:rsidRDefault="00E15393" w:rsidP="00E15393">
            <w:pPr>
              <w:spacing w:after="0" w:line="240" w:lineRule="auto"/>
              <w:jc w:val="center"/>
              <w:rPr>
                <w:rFonts w:ascii="Calibri" w:eastAsia="Times New Roman" w:hAnsi="Calibri" w:cs="Calibri"/>
                <w:color w:val="000000"/>
                <w:sz w:val="18"/>
                <w:szCs w:val="18"/>
                <w:lang w:bidi="he-IL"/>
              </w:rPr>
            </w:pPr>
            <w:r>
              <w:rPr>
                <w:rFonts w:ascii="Calibri" w:eastAsia="Times New Roman" w:hAnsi="Calibri" w:cs="Calibri"/>
                <w:color w:val="000000"/>
                <w:sz w:val="18"/>
                <w:szCs w:val="18"/>
                <w:lang w:bidi="he-IL"/>
              </w:rPr>
              <w:t>161 (4.1)</w:t>
            </w:r>
          </w:p>
        </w:tc>
        <w:tc>
          <w:tcPr>
            <w:tcW w:w="1214" w:type="dxa"/>
            <w:tcBorders>
              <w:top w:val="single" w:sz="4" w:space="0" w:color="auto"/>
              <w:left w:val="single" w:sz="4" w:space="0" w:color="auto"/>
              <w:bottom w:val="single" w:sz="4" w:space="0" w:color="auto"/>
              <w:right w:val="single" w:sz="4" w:space="0" w:color="auto"/>
            </w:tcBorders>
            <w:noWrap/>
            <w:vAlign w:val="center"/>
            <w:hideMark/>
          </w:tcPr>
          <w:p w14:paraId="651B9A1D" w14:textId="77777777" w:rsidR="00E15393" w:rsidRDefault="00E15393" w:rsidP="00E15393">
            <w:pPr>
              <w:spacing w:after="0" w:line="240" w:lineRule="auto"/>
              <w:jc w:val="center"/>
              <w:rPr>
                <w:rFonts w:ascii="Calibri" w:eastAsia="Times New Roman" w:hAnsi="Calibri" w:cs="Calibri"/>
                <w:color w:val="000000"/>
                <w:sz w:val="18"/>
                <w:szCs w:val="18"/>
                <w:lang w:bidi="he-IL"/>
              </w:rPr>
            </w:pPr>
            <w:r>
              <w:rPr>
                <w:rFonts w:ascii="Calibri" w:eastAsia="Times New Roman" w:hAnsi="Calibri" w:cs="Calibri"/>
                <w:color w:val="000000"/>
                <w:sz w:val="18"/>
                <w:szCs w:val="18"/>
                <w:lang w:bidi="he-IL"/>
              </w:rPr>
              <w:t>42 (6.9)</w:t>
            </w:r>
          </w:p>
        </w:tc>
        <w:tc>
          <w:tcPr>
            <w:tcW w:w="1217" w:type="dxa"/>
            <w:tcBorders>
              <w:top w:val="single" w:sz="4" w:space="0" w:color="auto"/>
              <w:left w:val="single" w:sz="4" w:space="0" w:color="auto"/>
              <w:bottom w:val="single" w:sz="4" w:space="0" w:color="auto"/>
              <w:right w:val="single" w:sz="4" w:space="0" w:color="auto"/>
            </w:tcBorders>
            <w:noWrap/>
            <w:vAlign w:val="center"/>
            <w:hideMark/>
          </w:tcPr>
          <w:p w14:paraId="6EF42CD7" w14:textId="77777777" w:rsidR="00E15393" w:rsidRDefault="00E15393" w:rsidP="00E15393">
            <w:pPr>
              <w:spacing w:after="0" w:line="240" w:lineRule="auto"/>
              <w:jc w:val="center"/>
              <w:rPr>
                <w:rFonts w:ascii="Calibri" w:eastAsia="Times New Roman" w:hAnsi="Calibri" w:cs="Calibri"/>
                <w:color w:val="000000"/>
                <w:sz w:val="18"/>
                <w:szCs w:val="18"/>
                <w:lang w:bidi="he-IL"/>
              </w:rPr>
            </w:pPr>
            <w:r>
              <w:rPr>
                <w:rFonts w:ascii="Calibri" w:eastAsia="Times New Roman" w:hAnsi="Calibri" w:cs="Calibri"/>
                <w:color w:val="000000"/>
                <w:sz w:val="18"/>
                <w:szCs w:val="18"/>
                <w:lang w:bidi="he-IL"/>
              </w:rPr>
              <w:t>30 (4.6)</w:t>
            </w:r>
          </w:p>
        </w:tc>
      </w:tr>
      <w:tr w:rsidR="00E15393" w14:paraId="793B20F6" w14:textId="77777777" w:rsidTr="00D36C83">
        <w:trPr>
          <w:trHeight w:val="296"/>
        </w:trPr>
        <w:tc>
          <w:tcPr>
            <w:tcW w:w="230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2D2F3843" w14:textId="77777777" w:rsidR="00E15393" w:rsidRDefault="00E15393" w:rsidP="00E15393">
            <w:pPr>
              <w:spacing w:after="0" w:line="240" w:lineRule="auto"/>
              <w:rPr>
                <w:rFonts w:ascii="Calibri" w:eastAsia="Times New Roman" w:hAnsi="Calibri" w:cs="Calibri"/>
                <w:b/>
                <w:bCs/>
                <w:color w:val="000000"/>
                <w:sz w:val="18"/>
                <w:szCs w:val="18"/>
                <w:u w:val="single"/>
                <w:lang w:bidi="he-IL"/>
              </w:rPr>
            </w:pPr>
            <w:r>
              <w:rPr>
                <w:rFonts w:ascii="Calibri" w:eastAsia="Times New Roman" w:hAnsi="Calibri" w:cs="Calibri"/>
                <w:b/>
                <w:bCs/>
                <w:color w:val="000000"/>
                <w:sz w:val="18"/>
                <w:szCs w:val="18"/>
                <w:u w:val="single"/>
                <w:lang w:bidi="he-IL"/>
              </w:rPr>
              <w:lastRenderedPageBreak/>
              <w:t>Laboratory and Clinical Measurements:</w:t>
            </w:r>
          </w:p>
        </w:tc>
        <w:tc>
          <w:tcPr>
            <w:tcW w:w="1171"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tcPr>
          <w:p w14:paraId="078E1BAA" w14:textId="77777777" w:rsidR="00E15393" w:rsidRDefault="00E15393" w:rsidP="00E15393">
            <w:pPr>
              <w:spacing w:after="0" w:line="240" w:lineRule="auto"/>
              <w:jc w:val="center"/>
              <w:rPr>
                <w:rFonts w:ascii="Calibri" w:eastAsia="Times New Roman" w:hAnsi="Calibri" w:cs="Calibri"/>
                <w:color w:val="000000"/>
                <w:sz w:val="18"/>
                <w:szCs w:val="18"/>
                <w:lang w:bidi="he-IL"/>
              </w:rPr>
            </w:pPr>
          </w:p>
        </w:tc>
        <w:tc>
          <w:tcPr>
            <w:tcW w:w="1081"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tcPr>
          <w:p w14:paraId="71C7FA82" w14:textId="77777777" w:rsidR="00E15393" w:rsidRDefault="00E15393" w:rsidP="00E15393">
            <w:pPr>
              <w:spacing w:after="0" w:line="240" w:lineRule="auto"/>
              <w:jc w:val="center"/>
              <w:rPr>
                <w:rFonts w:ascii="Calibri" w:eastAsia="Times New Roman" w:hAnsi="Calibri" w:cs="Calibri"/>
                <w:color w:val="000000"/>
                <w:sz w:val="18"/>
                <w:szCs w:val="18"/>
                <w:lang w:bidi="he-IL"/>
              </w:rPr>
            </w:pPr>
          </w:p>
        </w:tc>
        <w:tc>
          <w:tcPr>
            <w:tcW w:w="1169" w:type="dxa"/>
            <w:tcBorders>
              <w:top w:val="single" w:sz="4" w:space="0" w:color="auto"/>
              <w:left w:val="single" w:sz="4" w:space="0" w:color="auto"/>
              <w:bottom w:val="single" w:sz="4" w:space="0" w:color="auto"/>
              <w:right w:val="single" w:sz="4" w:space="0" w:color="auto"/>
            </w:tcBorders>
            <w:shd w:val="clear" w:color="auto" w:fill="DCE6F1"/>
            <w:noWrap/>
            <w:vAlign w:val="center"/>
          </w:tcPr>
          <w:p w14:paraId="45826093" w14:textId="77777777" w:rsidR="00E15393" w:rsidRDefault="00E15393" w:rsidP="00E15393">
            <w:pPr>
              <w:spacing w:after="0" w:line="240" w:lineRule="auto"/>
              <w:jc w:val="center"/>
              <w:rPr>
                <w:rFonts w:ascii="Calibri" w:eastAsia="Times New Roman" w:hAnsi="Calibri" w:cs="Calibri"/>
                <w:color w:val="000000"/>
                <w:sz w:val="18"/>
                <w:szCs w:val="18"/>
                <w:lang w:bidi="he-IL"/>
              </w:rPr>
            </w:pPr>
          </w:p>
        </w:tc>
        <w:tc>
          <w:tcPr>
            <w:tcW w:w="1170" w:type="dxa"/>
            <w:tcBorders>
              <w:top w:val="single" w:sz="4" w:space="0" w:color="auto"/>
              <w:left w:val="single" w:sz="4" w:space="0" w:color="auto"/>
              <w:bottom w:val="single" w:sz="4" w:space="0" w:color="auto"/>
              <w:right w:val="single" w:sz="4" w:space="0" w:color="auto"/>
            </w:tcBorders>
            <w:shd w:val="clear" w:color="auto" w:fill="DCE6F1"/>
            <w:noWrap/>
            <w:vAlign w:val="center"/>
          </w:tcPr>
          <w:p w14:paraId="35BFB3FB" w14:textId="77777777" w:rsidR="00E15393" w:rsidRDefault="00E15393" w:rsidP="00E15393">
            <w:pPr>
              <w:spacing w:after="0" w:line="240" w:lineRule="auto"/>
              <w:jc w:val="center"/>
              <w:rPr>
                <w:rFonts w:ascii="Calibri" w:eastAsia="Times New Roman" w:hAnsi="Calibri" w:cs="Calibri"/>
                <w:color w:val="000000"/>
                <w:sz w:val="18"/>
                <w:szCs w:val="18"/>
                <w:lang w:bidi="he-IL"/>
              </w:rPr>
            </w:pPr>
          </w:p>
        </w:tc>
        <w:tc>
          <w:tcPr>
            <w:tcW w:w="1214" w:type="dxa"/>
            <w:tcBorders>
              <w:top w:val="single" w:sz="4" w:space="0" w:color="auto"/>
              <w:left w:val="single" w:sz="4" w:space="0" w:color="auto"/>
              <w:bottom w:val="single" w:sz="4" w:space="0" w:color="auto"/>
              <w:right w:val="single" w:sz="4" w:space="0" w:color="auto"/>
            </w:tcBorders>
            <w:noWrap/>
            <w:vAlign w:val="center"/>
          </w:tcPr>
          <w:p w14:paraId="3FA0D5E8" w14:textId="77777777" w:rsidR="00E15393" w:rsidRDefault="00E15393" w:rsidP="00E15393">
            <w:pPr>
              <w:spacing w:after="0" w:line="240" w:lineRule="auto"/>
              <w:jc w:val="center"/>
              <w:rPr>
                <w:rFonts w:ascii="Calibri" w:eastAsia="Times New Roman" w:hAnsi="Calibri" w:cs="Calibri"/>
                <w:color w:val="000000"/>
                <w:sz w:val="18"/>
                <w:szCs w:val="18"/>
                <w:lang w:bidi="he-IL"/>
              </w:rPr>
            </w:pPr>
          </w:p>
        </w:tc>
        <w:tc>
          <w:tcPr>
            <w:tcW w:w="1217" w:type="dxa"/>
            <w:tcBorders>
              <w:top w:val="single" w:sz="4" w:space="0" w:color="auto"/>
              <w:left w:val="single" w:sz="4" w:space="0" w:color="auto"/>
              <w:bottom w:val="single" w:sz="4" w:space="0" w:color="auto"/>
              <w:right w:val="single" w:sz="4" w:space="0" w:color="auto"/>
            </w:tcBorders>
            <w:noWrap/>
            <w:vAlign w:val="center"/>
          </w:tcPr>
          <w:p w14:paraId="183AFDED" w14:textId="77777777" w:rsidR="00E15393" w:rsidRDefault="00E15393" w:rsidP="00E15393">
            <w:pPr>
              <w:spacing w:after="0" w:line="240" w:lineRule="auto"/>
              <w:jc w:val="center"/>
              <w:rPr>
                <w:rFonts w:ascii="Calibri" w:eastAsia="Times New Roman" w:hAnsi="Calibri" w:cs="Calibri"/>
                <w:color w:val="000000"/>
                <w:sz w:val="18"/>
                <w:szCs w:val="18"/>
                <w:lang w:bidi="he-IL"/>
              </w:rPr>
            </w:pPr>
          </w:p>
        </w:tc>
      </w:tr>
      <w:tr w:rsidR="00E15393" w14:paraId="593E9313" w14:textId="77777777" w:rsidTr="00D36C83">
        <w:trPr>
          <w:trHeight w:val="296"/>
        </w:trPr>
        <w:tc>
          <w:tcPr>
            <w:tcW w:w="2304" w:type="dxa"/>
            <w:tcBorders>
              <w:top w:val="single" w:sz="4" w:space="0" w:color="auto"/>
              <w:left w:val="single" w:sz="4" w:space="0" w:color="auto"/>
              <w:bottom w:val="single" w:sz="4" w:space="0" w:color="auto"/>
              <w:right w:val="single" w:sz="4" w:space="0" w:color="auto"/>
            </w:tcBorders>
            <w:vAlign w:val="center"/>
            <w:hideMark/>
          </w:tcPr>
          <w:p w14:paraId="6C6C6BF5" w14:textId="77777777" w:rsidR="00E15393" w:rsidRDefault="00E15393" w:rsidP="00E15393">
            <w:pPr>
              <w:spacing w:after="0" w:line="240" w:lineRule="auto"/>
              <w:rPr>
                <w:rFonts w:ascii="Calibri" w:eastAsia="Times New Roman" w:hAnsi="Calibri" w:cs="Calibri"/>
                <w:b/>
                <w:bCs/>
                <w:color w:val="000000"/>
                <w:sz w:val="18"/>
                <w:szCs w:val="18"/>
                <w:lang w:bidi="he-IL"/>
              </w:rPr>
            </w:pPr>
            <w:r>
              <w:rPr>
                <w:rFonts w:ascii="Calibri" w:eastAsia="Times New Roman" w:hAnsi="Calibri" w:cs="Calibri"/>
                <w:b/>
                <w:bCs/>
                <w:color w:val="000000"/>
                <w:sz w:val="18"/>
                <w:szCs w:val="18"/>
                <w:lang w:bidi="he-IL"/>
              </w:rPr>
              <w:t>Hemoglobin A1c (%)- mean± SD</w:t>
            </w:r>
          </w:p>
        </w:tc>
        <w:tc>
          <w:tcPr>
            <w:tcW w:w="1171"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hideMark/>
          </w:tcPr>
          <w:p w14:paraId="16769A1B" w14:textId="77777777" w:rsidR="00E15393" w:rsidRDefault="00E15393" w:rsidP="00E15393">
            <w:pPr>
              <w:spacing w:after="0" w:line="240" w:lineRule="auto"/>
              <w:jc w:val="center"/>
              <w:rPr>
                <w:rFonts w:ascii="Calibri" w:eastAsia="Times New Roman" w:hAnsi="Calibri" w:cs="Calibri"/>
                <w:color w:val="000000"/>
                <w:sz w:val="18"/>
                <w:szCs w:val="18"/>
                <w:lang w:bidi="he-IL"/>
              </w:rPr>
            </w:pPr>
            <w:r>
              <w:rPr>
                <w:rFonts w:ascii="Calibri" w:eastAsia="Times New Roman" w:hAnsi="Calibri" w:cs="Calibri"/>
                <w:color w:val="000000"/>
                <w:sz w:val="18"/>
                <w:szCs w:val="18"/>
                <w:lang w:bidi="he-IL"/>
              </w:rPr>
              <w:t>8.5± 1.3</w:t>
            </w:r>
          </w:p>
        </w:tc>
        <w:tc>
          <w:tcPr>
            <w:tcW w:w="1081"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hideMark/>
          </w:tcPr>
          <w:p w14:paraId="5F02BA46" w14:textId="77777777" w:rsidR="00E15393" w:rsidRDefault="00E15393" w:rsidP="00E15393">
            <w:pPr>
              <w:spacing w:after="0" w:line="240" w:lineRule="auto"/>
              <w:jc w:val="center"/>
              <w:rPr>
                <w:rFonts w:ascii="Calibri" w:eastAsia="Times New Roman" w:hAnsi="Calibri" w:cs="Calibri"/>
                <w:color w:val="000000"/>
                <w:sz w:val="18"/>
                <w:szCs w:val="18"/>
                <w:lang w:bidi="he-IL"/>
              </w:rPr>
            </w:pPr>
            <w:r>
              <w:rPr>
                <w:rFonts w:ascii="Calibri" w:eastAsia="Times New Roman" w:hAnsi="Calibri" w:cs="Calibri"/>
                <w:color w:val="000000"/>
                <w:sz w:val="18"/>
                <w:szCs w:val="18"/>
                <w:lang w:bidi="he-IL"/>
              </w:rPr>
              <w:t>8.4± 1.2</w:t>
            </w:r>
          </w:p>
        </w:tc>
        <w:tc>
          <w:tcPr>
            <w:tcW w:w="1169" w:type="dxa"/>
            <w:tcBorders>
              <w:top w:val="single" w:sz="4" w:space="0" w:color="auto"/>
              <w:left w:val="single" w:sz="4" w:space="0" w:color="auto"/>
              <w:bottom w:val="single" w:sz="4" w:space="0" w:color="auto"/>
              <w:right w:val="single" w:sz="4" w:space="0" w:color="auto"/>
            </w:tcBorders>
            <w:shd w:val="clear" w:color="auto" w:fill="DCE6F1"/>
            <w:noWrap/>
            <w:vAlign w:val="center"/>
            <w:hideMark/>
          </w:tcPr>
          <w:p w14:paraId="4F4D4712" w14:textId="77777777" w:rsidR="00E15393" w:rsidRDefault="00E15393" w:rsidP="00E15393">
            <w:pPr>
              <w:spacing w:after="0" w:line="240" w:lineRule="auto"/>
              <w:jc w:val="center"/>
              <w:rPr>
                <w:rFonts w:ascii="Calibri" w:eastAsia="Times New Roman" w:hAnsi="Calibri" w:cs="Calibri"/>
                <w:color w:val="000000"/>
                <w:sz w:val="18"/>
                <w:szCs w:val="18"/>
                <w:lang w:bidi="he-IL"/>
              </w:rPr>
            </w:pPr>
            <w:r>
              <w:rPr>
                <w:rFonts w:ascii="Calibri" w:eastAsia="Times New Roman" w:hAnsi="Calibri" w:cs="Calibri"/>
                <w:color w:val="000000"/>
                <w:sz w:val="18"/>
                <w:szCs w:val="18"/>
                <w:lang w:bidi="he-IL"/>
              </w:rPr>
              <w:t>8.1± 1.2</w:t>
            </w:r>
          </w:p>
        </w:tc>
        <w:tc>
          <w:tcPr>
            <w:tcW w:w="1170" w:type="dxa"/>
            <w:tcBorders>
              <w:top w:val="single" w:sz="4" w:space="0" w:color="auto"/>
              <w:left w:val="single" w:sz="4" w:space="0" w:color="auto"/>
              <w:bottom w:val="single" w:sz="4" w:space="0" w:color="auto"/>
              <w:right w:val="single" w:sz="4" w:space="0" w:color="auto"/>
            </w:tcBorders>
            <w:shd w:val="clear" w:color="auto" w:fill="DCE6F1"/>
            <w:noWrap/>
            <w:vAlign w:val="center"/>
            <w:hideMark/>
          </w:tcPr>
          <w:p w14:paraId="62AC525B" w14:textId="77777777" w:rsidR="00E15393" w:rsidRDefault="00E15393" w:rsidP="00E15393">
            <w:pPr>
              <w:spacing w:after="0" w:line="240" w:lineRule="auto"/>
              <w:jc w:val="center"/>
              <w:rPr>
                <w:rFonts w:ascii="Calibri" w:eastAsia="Times New Roman" w:hAnsi="Calibri" w:cs="Calibri"/>
                <w:color w:val="000000"/>
                <w:sz w:val="18"/>
                <w:szCs w:val="18"/>
                <w:lang w:bidi="he-IL"/>
              </w:rPr>
            </w:pPr>
            <w:r>
              <w:rPr>
                <w:rFonts w:ascii="Calibri" w:eastAsia="Times New Roman" w:hAnsi="Calibri" w:cs="Calibri"/>
                <w:color w:val="000000"/>
                <w:sz w:val="18"/>
                <w:szCs w:val="18"/>
                <w:lang w:bidi="he-IL"/>
              </w:rPr>
              <w:t>8.1± 1.1</w:t>
            </w:r>
          </w:p>
        </w:tc>
        <w:tc>
          <w:tcPr>
            <w:tcW w:w="1214" w:type="dxa"/>
            <w:tcBorders>
              <w:top w:val="single" w:sz="4" w:space="0" w:color="auto"/>
              <w:left w:val="single" w:sz="4" w:space="0" w:color="auto"/>
              <w:bottom w:val="single" w:sz="4" w:space="0" w:color="auto"/>
              <w:right w:val="single" w:sz="4" w:space="0" w:color="auto"/>
            </w:tcBorders>
            <w:noWrap/>
            <w:vAlign w:val="center"/>
            <w:hideMark/>
          </w:tcPr>
          <w:p w14:paraId="45990E5C" w14:textId="77777777" w:rsidR="00E15393" w:rsidRDefault="00E15393" w:rsidP="00E15393">
            <w:pPr>
              <w:spacing w:after="0" w:line="240" w:lineRule="auto"/>
              <w:jc w:val="center"/>
              <w:rPr>
                <w:rFonts w:ascii="Calibri" w:eastAsia="Times New Roman" w:hAnsi="Calibri" w:cs="Calibri"/>
                <w:color w:val="000000"/>
                <w:sz w:val="18"/>
                <w:szCs w:val="18"/>
                <w:lang w:bidi="he-IL"/>
              </w:rPr>
            </w:pPr>
            <w:r>
              <w:rPr>
                <w:rFonts w:ascii="Calibri" w:eastAsia="Times New Roman" w:hAnsi="Calibri" w:cs="Calibri"/>
                <w:color w:val="000000"/>
                <w:sz w:val="18"/>
                <w:szCs w:val="18"/>
                <w:lang w:bidi="he-IL"/>
              </w:rPr>
              <w:t>8.2± 1.2</w:t>
            </w:r>
          </w:p>
        </w:tc>
        <w:tc>
          <w:tcPr>
            <w:tcW w:w="1217" w:type="dxa"/>
            <w:tcBorders>
              <w:top w:val="single" w:sz="4" w:space="0" w:color="auto"/>
              <w:left w:val="single" w:sz="4" w:space="0" w:color="auto"/>
              <w:bottom w:val="single" w:sz="4" w:space="0" w:color="auto"/>
              <w:right w:val="single" w:sz="4" w:space="0" w:color="auto"/>
            </w:tcBorders>
            <w:noWrap/>
            <w:vAlign w:val="center"/>
            <w:hideMark/>
          </w:tcPr>
          <w:p w14:paraId="1BC8BAE9" w14:textId="77777777" w:rsidR="00E15393" w:rsidRDefault="00E15393" w:rsidP="00E15393">
            <w:pPr>
              <w:spacing w:after="0" w:line="240" w:lineRule="auto"/>
              <w:jc w:val="center"/>
              <w:rPr>
                <w:rFonts w:ascii="Calibri" w:eastAsia="Times New Roman" w:hAnsi="Calibri" w:cs="Calibri"/>
                <w:color w:val="000000"/>
                <w:sz w:val="18"/>
                <w:szCs w:val="18"/>
                <w:lang w:bidi="he-IL"/>
              </w:rPr>
            </w:pPr>
            <w:r>
              <w:rPr>
                <w:rFonts w:ascii="Calibri" w:eastAsia="Times New Roman" w:hAnsi="Calibri" w:cs="Calibri"/>
                <w:color w:val="000000"/>
                <w:sz w:val="18"/>
                <w:szCs w:val="18"/>
                <w:lang w:bidi="he-IL"/>
              </w:rPr>
              <w:t>8.3± 1.2</w:t>
            </w:r>
          </w:p>
        </w:tc>
      </w:tr>
      <w:tr w:rsidR="00E15393" w14:paraId="6BDB4B10" w14:textId="77777777" w:rsidTr="00D36C83">
        <w:trPr>
          <w:trHeight w:val="264"/>
        </w:trPr>
        <w:tc>
          <w:tcPr>
            <w:tcW w:w="2304" w:type="dxa"/>
            <w:tcBorders>
              <w:top w:val="single" w:sz="4" w:space="0" w:color="auto"/>
              <w:left w:val="single" w:sz="4" w:space="0" w:color="auto"/>
              <w:bottom w:val="single" w:sz="4" w:space="0" w:color="auto"/>
              <w:right w:val="single" w:sz="4" w:space="0" w:color="auto"/>
            </w:tcBorders>
            <w:vAlign w:val="center"/>
            <w:hideMark/>
          </w:tcPr>
          <w:p w14:paraId="7E20A044" w14:textId="77777777" w:rsidR="00E15393" w:rsidRDefault="00E15393" w:rsidP="00E15393">
            <w:pPr>
              <w:spacing w:after="0" w:line="240" w:lineRule="auto"/>
              <w:rPr>
                <w:rFonts w:ascii="Calibri" w:eastAsia="Times New Roman" w:hAnsi="Calibri" w:cs="Calibri"/>
                <w:b/>
                <w:bCs/>
                <w:color w:val="000000"/>
                <w:sz w:val="18"/>
                <w:szCs w:val="18"/>
                <w:lang w:bidi="he-IL"/>
              </w:rPr>
            </w:pPr>
            <w:r>
              <w:rPr>
                <w:rFonts w:ascii="Calibri" w:eastAsia="Times New Roman" w:hAnsi="Calibri" w:cs="Calibri"/>
                <w:b/>
                <w:bCs/>
                <w:color w:val="000000"/>
                <w:sz w:val="18"/>
                <w:szCs w:val="18"/>
                <w:lang w:bidi="he-IL"/>
              </w:rPr>
              <w:t>eGFR by CKD-EPI (mL/min/1.73 m^2)</w:t>
            </w:r>
          </w:p>
        </w:tc>
        <w:tc>
          <w:tcPr>
            <w:tcW w:w="1171"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hideMark/>
          </w:tcPr>
          <w:p w14:paraId="44B15C25" w14:textId="77777777" w:rsidR="00E15393" w:rsidRDefault="00E15393" w:rsidP="00E15393">
            <w:pPr>
              <w:spacing w:after="0" w:line="240" w:lineRule="auto"/>
              <w:jc w:val="center"/>
              <w:rPr>
                <w:rFonts w:ascii="Calibri" w:eastAsia="Times New Roman" w:hAnsi="Calibri" w:cs="Calibri"/>
                <w:color w:val="000000"/>
                <w:sz w:val="18"/>
                <w:szCs w:val="18"/>
                <w:lang w:bidi="he-IL"/>
              </w:rPr>
            </w:pPr>
            <w:r>
              <w:rPr>
                <w:rFonts w:ascii="Calibri" w:eastAsia="Times New Roman" w:hAnsi="Calibri" w:cs="Calibri"/>
                <w:color w:val="000000"/>
                <w:sz w:val="18"/>
                <w:szCs w:val="18"/>
                <w:lang w:bidi="he-IL"/>
              </w:rPr>
              <w:t>98.2± 6.5</w:t>
            </w:r>
          </w:p>
        </w:tc>
        <w:tc>
          <w:tcPr>
            <w:tcW w:w="1081"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hideMark/>
          </w:tcPr>
          <w:p w14:paraId="6328D2A1" w14:textId="77777777" w:rsidR="00E15393" w:rsidRDefault="00E15393" w:rsidP="00E15393">
            <w:pPr>
              <w:spacing w:after="0" w:line="240" w:lineRule="auto"/>
              <w:jc w:val="center"/>
              <w:rPr>
                <w:rFonts w:ascii="Calibri" w:eastAsia="Times New Roman" w:hAnsi="Calibri" w:cs="Calibri"/>
                <w:color w:val="000000"/>
                <w:sz w:val="18"/>
                <w:szCs w:val="18"/>
                <w:lang w:bidi="he-IL"/>
              </w:rPr>
            </w:pPr>
            <w:r>
              <w:rPr>
                <w:rFonts w:ascii="Calibri" w:eastAsia="Times New Roman" w:hAnsi="Calibri" w:cs="Calibri"/>
                <w:color w:val="000000"/>
                <w:sz w:val="18"/>
                <w:szCs w:val="18"/>
                <w:lang w:bidi="he-IL"/>
              </w:rPr>
              <w:t>98.4± 6.5</w:t>
            </w:r>
          </w:p>
        </w:tc>
        <w:tc>
          <w:tcPr>
            <w:tcW w:w="1169" w:type="dxa"/>
            <w:tcBorders>
              <w:top w:val="single" w:sz="4" w:space="0" w:color="auto"/>
              <w:left w:val="single" w:sz="4" w:space="0" w:color="auto"/>
              <w:bottom w:val="single" w:sz="4" w:space="0" w:color="auto"/>
              <w:right w:val="single" w:sz="4" w:space="0" w:color="auto"/>
            </w:tcBorders>
            <w:shd w:val="clear" w:color="auto" w:fill="DCE6F1"/>
            <w:noWrap/>
            <w:vAlign w:val="center"/>
            <w:hideMark/>
          </w:tcPr>
          <w:p w14:paraId="210E7870" w14:textId="77777777" w:rsidR="00E15393" w:rsidRDefault="00E15393" w:rsidP="00E15393">
            <w:pPr>
              <w:spacing w:after="0" w:line="240" w:lineRule="auto"/>
              <w:jc w:val="center"/>
              <w:rPr>
                <w:rFonts w:ascii="Calibri" w:eastAsia="Times New Roman" w:hAnsi="Calibri" w:cs="Calibri"/>
                <w:color w:val="000000"/>
                <w:sz w:val="18"/>
                <w:szCs w:val="18"/>
                <w:lang w:bidi="he-IL"/>
              </w:rPr>
            </w:pPr>
            <w:r>
              <w:rPr>
                <w:rFonts w:ascii="Calibri" w:eastAsia="Times New Roman" w:hAnsi="Calibri" w:cs="Calibri"/>
                <w:color w:val="000000"/>
                <w:sz w:val="18"/>
                <w:szCs w:val="18"/>
                <w:lang w:bidi="he-IL"/>
              </w:rPr>
              <w:t>77.0± 8.4</w:t>
            </w:r>
          </w:p>
        </w:tc>
        <w:tc>
          <w:tcPr>
            <w:tcW w:w="1170" w:type="dxa"/>
            <w:tcBorders>
              <w:top w:val="single" w:sz="4" w:space="0" w:color="auto"/>
              <w:left w:val="single" w:sz="4" w:space="0" w:color="auto"/>
              <w:bottom w:val="single" w:sz="4" w:space="0" w:color="auto"/>
              <w:right w:val="single" w:sz="4" w:space="0" w:color="auto"/>
            </w:tcBorders>
            <w:shd w:val="clear" w:color="auto" w:fill="DCE6F1"/>
            <w:noWrap/>
            <w:vAlign w:val="center"/>
            <w:hideMark/>
          </w:tcPr>
          <w:p w14:paraId="432F35A8" w14:textId="77777777" w:rsidR="00E15393" w:rsidRDefault="00E15393" w:rsidP="00E15393">
            <w:pPr>
              <w:spacing w:after="0" w:line="240" w:lineRule="auto"/>
              <w:jc w:val="center"/>
              <w:rPr>
                <w:rFonts w:ascii="Calibri" w:eastAsia="Times New Roman" w:hAnsi="Calibri" w:cs="Calibri"/>
                <w:color w:val="000000"/>
                <w:sz w:val="18"/>
                <w:szCs w:val="18"/>
                <w:lang w:bidi="he-IL"/>
              </w:rPr>
            </w:pPr>
            <w:r>
              <w:rPr>
                <w:rFonts w:ascii="Calibri" w:eastAsia="Times New Roman" w:hAnsi="Calibri" w:cs="Calibri"/>
                <w:color w:val="000000"/>
                <w:sz w:val="18"/>
                <w:szCs w:val="18"/>
                <w:lang w:bidi="he-IL"/>
              </w:rPr>
              <w:t>77.0± 8.5</w:t>
            </w:r>
          </w:p>
        </w:tc>
        <w:tc>
          <w:tcPr>
            <w:tcW w:w="1214" w:type="dxa"/>
            <w:tcBorders>
              <w:top w:val="single" w:sz="4" w:space="0" w:color="auto"/>
              <w:left w:val="single" w:sz="4" w:space="0" w:color="auto"/>
              <w:bottom w:val="single" w:sz="4" w:space="0" w:color="auto"/>
              <w:right w:val="single" w:sz="4" w:space="0" w:color="auto"/>
            </w:tcBorders>
            <w:noWrap/>
            <w:vAlign w:val="center"/>
            <w:hideMark/>
          </w:tcPr>
          <w:p w14:paraId="41F748FA" w14:textId="77777777" w:rsidR="00E15393" w:rsidRDefault="00E15393" w:rsidP="00E15393">
            <w:pPr>
              <w:spacing w:after="0" w:line="240" w:lineRule="auto"/>
              <w:jc w:val="center"/>
              <w:rPr>
                <w:rFonts w:ascii="Calibri" w:eastAsia="Times New Roman" w:hAnsi="Calibri" w:cs="Calibri"/>
                <w:color w:val="000000"/>
                <w:sz w:val="18"/>
                <w:szCs w:val="18"/>
                <w:lang w:bidi="he-IL"/>
              </w:rPr>
            </w:pPr>
            <w:r>
              <w:rPr>
                <w:rFonts w:ascii="Calibri" w:eastAsia="Times New Roman" w:hAnsi="Calibri" w:cs="Calibri"/>
                <w:color w:val="000000"/>
                <w:sz w:val="18"/>
                <w:szCs w:val="18"/>
                <w:lang w:bidi="he-IL"/>
              </w:rPr>
              <w:t>51.1± 7.7</w:t>
            </w:r>
          </w:p>
        </w:tc>
        <w:tc>
          <w:tcPr>
            <w:tcW w:w="1217" w:type="dxa"/>
            <w:tcBorders>
              <w:top w:val="single" w:sz="4" w:space="0" w:color="auto"/>
              <w:left w:val="single" w:sz="4" w:space="0" w:color="auto"/>
              <w:bottom w:val="single" w:sz="4" w:space="0" w:color="auto"/>
              <w:right w:val="single" w:sz="4" w:space="0" w:color="auto"/>
            </w:tcBorders>
            <w:noWrap/>
            <w:vAlign w:val="center"/>
            <w:hideMark/>
          </w:tcPr>
          <w:p w14:paraId="46B77B0F" w14:textId="77777777" w:rsidR="00E15393" w:rsidRDefault="00E15393" w:rsidP="00E15393">
            <w:pPr>
              <w:spacing w:after="0" w:line="240" w:lineRule="auto"/>
              <w:jc w:val="center"/>
              <w:rPr>
                <w:rFonts w:ascii="Calibri" w:eastAsia="Times New Roman" w:hAnsi="Calibri" w:cs="Calibri"/>
                <w:color w:val="000000"/>
                <w:sz w:val="18"/>
                <w:szCs w:val="18"/>
                <w:lang w:bidi="he-IL"/>
              </w:rPr>
            </w:pPr>
            <w:r>
              <w:rPr>
                <w:rFonts w:ascii="Calibri" w:eastAsia="Times New Roman" w:hAnsi="Calibri" w:cs="Calibri"/>
                <w:color w:val="000000"/>
                <w:sz w:val="18"/>
                <w:szCs w:val="18"/>
                <w:lang w:bidi="he-IL"/>
              </w:rPr>
              <w:t>51.6± 6.8</w:t>
            </w:r>
          </w:p>
        </w:tc>
      </w:tr>
      <w:tr w:rsidR="00E15393" w14:paraId="34A0471B" w14:textId="77777777" w:rsidTr="00D36C83">
        <w:trPr>
          <w:trHeight w:val="288"/>
        </w:trPr>
        <w:tc>
          <w:tcPr>
            <w:tcW w:w="2304" w:type="dxa"/>
            <w:tcBorders>
              <w:top w:val="single" w:sz="4" w:space="0" w:color="auto"/>
              <w:left w:val="single" w:sz="4" w:space="0" w:color="auto"/>
              <w:bottom w:val="single" w:sz="4" w:space="0" w:color="auto"/>
              <w:right w:val="single" w:sz="4" w:space="0" w:color="auto"/>
            </w:tcBorders>
            <w:vAlign w:val="center"/>
            <w:hideMark/>
          </w:tcPr>
          <w:p w14:paraId="4890DFCB" w14:textId="0289FC3C" w:rsidR="00E15393" w:rsidRDefault="00E15393" w:rsidP="00E15393">
            <w:pPr>
              <w:spacing w:after="0" w:line="240" w:lineRule="auto"/>
              <w:rPr>
                <w:rFonts w:ascii="Calibri" w:eastAsia="Times New Roman" w:hAnsi="Calibri" w:cs="Calibri"/>
                <w:b/>
                <w:bCs/>
                <w:color w:val="000000"/>
                <w:sz w:val="18"/>
                <w:szCs w:val="18"/>
                <w:lang w:bidi="he-IL"/>
              </w:rPr>
            </w:pPr>
            <w:r>
              <w:rPr>
                <w:rFonts w:ascii="Calibri" w:eastAsia="Times New Roman" w:hAnsi="Calibri" w:cs="Calibri"/>
                <w:b/>
                <w:bCs/>
                <w:color w:val="000000"/>
                <w:sz w:val="18"/>
                <w:szCs w:val="18"/>
                <w:lang w:bidi="he-IL"/>
              </w:rPr>
              <w:t>UACR group- n (%)</w:t>
            </w:r>
          </w:p>
        </w:tc>
        <w:tc>
          <w:tcPr>
            <w:tcW w:w="1171"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tcPr>
          <w:p w14:paraId="78E6474F" w14:textId="77777777" w:rsidR="00E15393" w:rsidRDefault="00E15393" w:rsidP="00E15393">
            <w:pPr>
              <w:spacing w:after="0" w:line="240" w:lineRule="auto"/>
              <w:jc w:val="center"/>
              <w:rPr>
                <w:rFonts w:ascii="Times New Roman" w:eastAsia="Times New Roman" w:hAnsi="Times New Roman" w:cs="Times New Roman"/>
                <w:sz w:val="20"/>
                <w:szCs w:val="20"/>
                <w:lang w:bidi="he-IL"/>
              </w:rPr>
            </w:pPr>
          </w:p>
        </w:tc>
        <w:tc>
          <w:tcPr>
            <w:tcW w:w="1081"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tcPr>
          <w:p w14:paraId="354AAD5E" w14:textId="77777777" w:rsidR="00E15393" w:rsidRDefault="00E15393" w:rsidP="00E15393">
            <w:pPr>
              <w:spacing w:after="0" w:line="240" w:lineRule="auto"/>
              <w:jc w:val="center"/>
              <w:rPr>
                <w:rFonts w:ascii="Times New Roman" w:eastAsia="Times New Roman" w:hAnsi="Times New Roman" w:cs="Times New Roman"/>
                <w:sz w:val="20"/>
                <w:szCs w:val="20"/>
                <w:lang w:bidi="he-IL"/>
              </w:rPr>
            </w:pPr>
          </w:p>
        </w:tc>
        <w:tc>
          <w:tcPr>
            <w:tcW w:w="1169" w:type="dxa"/>
            <w:tcBorders>
              <w:top w:val="single" w:sz="4" w:space="0" w:color="auto"/>
              <w:left w:val="single" w:sz="4" w:space="0" w:color="auto"/>
              <w:bottom w:val="single" w:sz="4" w:space="0" w:color="auto"/>
              <w:right w:val="single" w:sz="4" w:space="0" w:color="auto"/>
            </w:tcBorders>
            <w:shd w:val="clear" w:color="auto" w:fill="DCE6F1"/>
            <w:noWrap/>
            <w:vAlign w:val="center"/>
            <w:hideMark/>
          </w:tcPr>
          <w:p w14:paraId="7D637F83" w14:textId="77777777" w:rsidR="00E15393" w:rsidRDefault="00E15393" w:rsidP="00E15393">
            <w:pPr>
              <w:rPr>
                <w:rFonts w:ascii="Times New Roman" w:eastAsia="Times New Roman" w:hAnsi="Times New Roman" w:cs="Times New Roman"/>
                <w:sz w:val="20"/>
                <w:szCs w:val="20"/>
                <w:lang w:bidi="he-IL"/>
              </w:rPr>
            </w:pPr>
          </w:p>
        </w:tc>
        <w:tc>
          <w:tcPr>
            <w:tcW w:w="1170" w:type="dxa"/>
            <w:tcBorders>
              <w:top w:val="single" w:sz="4" w:space="0" w:color="auto"/>
              <w:left w:val="single" w:sz="4" w:space="0" w:color="auto"/>
              <w:bottom w:val="single" w:sz="4" w:space="0" w:color="auto"/>
              <w:right w:val="single" w:sz="4" w:space="0" w:color="auto"/>
            </w:tcBorders>
            <w:shd w:val="clear" w:color="auto" w:fill="DCE6F1"/>
            <w:noWrap/>
            <w:vAlign w:val="center"/>
            <w:hideMark/>
          </w:tcPr>
          <w:p w14:paraId="6D1FCC22" w14:textId="77777777" w:rsidR="00E15393" w:rsidRDefault="00E15393" w:rsidP="00E15393">
            <w:pPr>
              <w:spacing w:after="0"/>
              <w:rPr>
                <w:sz w:val="20"/>
                <w:szCs w:val="20"/>
                <w:lang w:bidi="he-IL"/>
              </w:rPr>
            </w:pPr>
          </w:p>
        </w:tc>
        <w:tc>
          <w:tcPr>
            <w:tcW w:w="1214" w:type="dxa"/>
            <w:tcBorders>
              <w:top w:val="single" w:sz="4" w:space="0" w:color="auto"/>
              <w:left w:val="single" w:sz="4" w:space="0" w:color="auto"/>
              <w:bottom w:val="single" w:sz="4" w:space="0" w:color="auto"/>
              <w:right w:val="single" w:sz="4" w:space="0" w:color="auto"/>
            </w:tcBorders>
            <w:noWrap/>
            <w:vAlign w:val="center"/>
          </w:tcPr>
          <w:p w14:paraId="797C587D" w14:textId="77777777" w:rsidR="00E15393" w:rsidRDefault="00E15393" w:rsidP="00E15393">
            <w:pPr>
              <w:spacing w:after="0" w:line="240" w:lineRule="auto"/>
              <w:jc w:val="center"/>
              <w:rPr>
                <w:rFonts w:ascii="Calibri" w:eastAsia="Times New Roman" w:hAnsi="Calibri" w:cs="Calibri"/>
                <w:color w:val="000000"/>
                <w:sz w:val="18"/>
                <w:szCs w:val="18"/>
                <w:lang w:bidi="he-IL"/>
              </w:rPr>
            </w:pPr>
          </w:p>
        </w:tc>
        <w:tc>
          <w:tcPr>
            <w:tcW w:w="1217" w:type="dxa"/>
            <w:tcBorders>
              <w:top w:val="single" w:sz="4" w:space="0" w:color="auto"/>
              <w:left w:val="single" w:sz="4" w:space="0" w:color="auto"/>
              <w:bottom w:val="single" w:sz="4" w:space="0" w:color="auto"/>
              <w:right w:val="single" w:sz="4" w:space="0" w:color="auto"/>
            </w:tcBorders>
            <w:noWrap/>
            <w:vAlign w:val="center"/>
          </w:tcPr>
          <w:p w14:paraId="325BA946" w14:textId="77777777" w:rsidR="00E15393" w:rsidRDefault="00E15393" w:rsidP="00E15393">
            <w:pPr>
              <w:spacing w:after="0" w:line="240" w:lineRule="auto"/>
              <w:jc w:val="center"/>
              <w:rPr>
                <w:rFonts w:ascii="Calibri" w:eastAsia="Times New Roman" w:hAnsi="Calibri" w:cs="Calibri"/>
                <w:color w:val="000000"/>
                <w:sz w:val="18"/>
                <w:szCs w:val="18"/>
                <w:lang w:bidi="he-IL"/>
              </w:rPr>
            </w:pPr>
          </w:p>
        </w:tc>
      </w:tr>
      <w:tr w:rsidR="00E15393" w14:paraId="7EAEDCAD" w14:textId="77777777" w:rsidTr="00D36C83">
        <w:trPr>
          <w:trHeight w:val="288"/>
        </w:trPr>
        <w:tc>
          <w:tcPr>
            <w:tcW w:w="2304" w:type="dxa"/>
            <w:tcBorders>
              <w:top w:val="single" w:sz="4" w:space="0" w:color="auto"/>
              <w:left w:val="single" w:sz="4" w:space="0" w:color="auto"/>
              <w:bottom w:val="single" w:sz="4" w:space="0" w:color="auto"/>
              <w:right w:val="single" w:sz="4" w:space="0" w:color="auto"/>
            </w:tcBorders>
            <w:vAlign w:val="center"/>
            <w:hideMark/>
          </w:tcPr>
          <w:p w14:paraId="03D49395" w14:textId="77777777" w:rsidR="00E15393" w:rsidRDefault="00E15393" w:rsidP="00E15393">
            <w:pPr>
              <w:spacing w:after="0" w:line="240" w:lineRule="auto"/>
              <w:rPr>
                <w:rFonts w:ascii="Calibri" w:eastAsia="Times New Roman" w:hAnsi="Calibri" w:cs="Calibri"/>
                <w:b/>
                <w:bCs/>
                <w:color w:val="000000"/>
                <w:sz w:val="18"/>
                <w:szCs w:val="18"/>
                <w:lang w:bidi="he-IL"/>
              </w:rPr>
            </w:pPr>
            <w:r>
              <w:rPr>
                <w:rFonts w:ascii="Calibri" w:eastAsia="Times New Roman" w:hAnsi="Calibri" w:cs="Calibri"/>
                <w:b/>
                <w:bCs/>
                <w:color w:val="000000"/>
                <w:sz w:val="18"/>
                <w:szCs w:val="18"/>
                <w:lang w:bidi="he-IL"/>
              </w:rPr>
              <w:t>&lt;30 mg/g</w:t>
            </w:r>
          </w:p>
        </w:tc>
        <w:tc>
          <w:tcPr>
            <w:tcW w:w="1171"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hideMark/>
          </w:tcPr>
          <w:p w14:paraId="0D2E5FA9" w14:textId="77777777" w:rsidR="00E15393" w:rsidRDefault="00E15393" w:rsidP="00E15393">
            <w:pPr>
              <w:spacing w:after="0" w:line="240" w:lineRule="auto"/>
              <w:jc w:val="center"/>
              <w:rPr>
                <w:rFonts w:ascii="Calibri" w:eastAsia="Times New Roman" w:hAnsi="Calibri" w:cs="Calibri"/>
                <w:color w:val="000000"/>
                <w:sz w:val="18"/>
                <w:szCs w:val="18"/>
                <w:lang w:bidi="he-IL"/>
              </w:rPr>
            </w:pPr>
            <w:r>
              <w:rPr>
                <w:rFonts w:ascii="Calibri" w:eastAsia="Times New Roman" w:hAnsi="Calibri" w:cs="Calibri"/>
                <w:color w:val="000000"/>
                <w:sz w:val="18"/>
                <w:szCs w:val="18"/>
                <w:lang w:bidi="he-IL"/>
              </w:rPr>
              <w:t>2864 (70.4)</w:t>
            </w:r>
          </w:p>
        </w:tc>
        <w:tc>
          <w:tcPr>
            <w:tcW w:w="1081"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hideMark/>
          </w:tcPr>
          <w:p w14:paraId="47188BC8" w14:textId="77777777" w:rsidR="00E15393" w:rsidRDefault="00E15393" w:rsidP="00E15393">
            <w:pPr>
              <w:spacing w:after="0" w:line="240" w:lineRule="auto"/>
              <w:jc w:val="center"/>
              <w:rPr>
                <w:rFonts w:ascii="Calibri" w:eastAsia="Times New Roman" w:hAnsi="Calibri" w:cs="Calibri"/>
                <w:color w:val="000000"/>
                <w:sz w:val="18"/>
                <w:szCs w:val="18"/>
                <w:lang w:bidi="he-IL"/>
              </w:rPr>
            </w:pPr>
            <w:r>
              <w:rPr>
                <w:rFonts w:ascii="Calibri" w:eastAsia="Times New Roman" w:hAnsi="Calibri" w:cs="Calibri"/>
                <w:color w:val="000000"/>
                <w:sz w:val="18"/>
                <w:szCs w:val="18"/>
                <w:lang w:bidi="he-IL"/>
              </w:rPr>
              <w:t>2827 (71.4)</w:t>
            </w:r>
          </w:p>
        </w:tc>
        <w:tc>
          <w:tcPr>
            <w:tcW w:w="1169" w:type="dxa"/>
            <w:tcBorders>
              <w:top w:val="single" w:sz="4" w:space="0" w:color="auto"/>
              <w:left w:val="single" w:sz="4" w:space="0" w:color="auto"/>
              <w:bottom w:val="single" w:sz="4" w:space="0" w:color="auto"/>
              <w:right w:val="single" w:sz="4" w:space="0" w:color="auto"/>
            </w:tcBorders>
            <w:shd w:val="clear" w:color="auto" w:fill="DCE6F1"/>
            <w:noWrap/>
            <w:vAlign w:val="center"/>
            <w:hideMark/>
          </w:tcPr>
          <w:p w14:paraId="7A46FC23" w14:textId="77777777" w:rsidR="00E15393" w:rsidRDefault="00E15393" w:rsidP="00E15393">
            <w:pPr>
              <w:spacing w:after="0" w:line="240" w:lineRule="auto"/>
              <w:jc w:val="center"/>
              <w:rPr>
                <w:rFonts w:ascii="Calibri" w:eastAsia="Times New Roman" w:hAnsi="Calibri" w:cs="Calibri"/>
                <w:color w:val="000000"/>
                <w:sz w:val="18"/>
                <w:szCs w:val="18"/>
                <w:lang w:bidi="he-IL"/>
              </w:rPr>
            </w:pPr>
            <w:r>
              <w:rPr>
                <w:rFonts w:ascii="Calibri" w:eastAsia="Times New Roman" w:hAnsi="Calibri" w:cs="Calibri"/>
                <w:color w:val="000000"/>
                <w:sz w:val="18"/>
                <w:szCs w:val="18"/>
                <w:lang w:bidi="he-IL"/>
              </w:rPr>
              <w:t>2621 (69.5)</w:t>
            </w:r>
          </w:p>
        </w:tc>
        <w:tc>
          <w:tcPr>
            <w:tcW w:w="1170" w:type="dxa"/>
            <w:tcBorders>
              <w:top w:val="single" w:sz="4" w:space="0" w:color="auto"/>
              <w:left w:val="single" w:sz="4" w:space="0" w:color="auto"/>
              <w:bottom w:val="single" w:sz="4" w:space="0" w:color="auto"/>
              <w:right w:val="single" w:sz="4" w:space="0" w:color="auto"/>
            </w:tcBorders>
            <w:shd w:val="clear" w:color="auto" w:fill="DCE6F1"/>
            <w:noWrap/>
            <w:vAlign w:val="center"/>
            <w:hideMark/>
          </w:tcPr>
          <w:p w14:paraId="1043B232" w14:textId="77777777" w:rsidR="00E15393" w:rsidRDefault="00E15393" w:rsidP="00E15393">
            <w:pPr>
              <w:spacing w:after="0" w:line="240" w:lineRule="auto"/>
              <w:jc w:val="center"/>
              <w:rPr>
                <w:rFonts w:ascii="Calibri" w:eastAsia="Times New Roman" w:hAnsi="Calibri" w:cs="Calibri"/>
                <w:color w:val="000000"/>
                <w:sz w:val="18"/>
                <w:szCs w:val="18"/>
                <w:lang w:bidi="he-IL"/>
              </w:rPr>
            </w:pPr>
            <w:r>
              <w:rPr>
                <w:rFonts w:ascii="Calibri" w:eastAsia="Times New Roman" w:hAnsi="Calibri" w:cs="Calibri"/>
                <w:color w:val="000000"/>
                <w:sz w:val="18"/>
                <w:szCs w:val="18"/>
                <w:lang w:bidi="he-IL"/>
              </w:rPr>
              <w:t>2646 (69.4)</w:t>
            </w:r>
          </w:p>
        </w:tc>
        <w:tc>
          <w:tcPr>
            <w:tcW w:w="1214" w:type="dxa"/>
            <w:tcBorders>
              <w:top w:val="single" w:sz="4" w:space="0" w:color="auto"/>
              <w:left w:val="single" w:sz="4" w:space="0" w:color="auto"/>
              <w:bottom w:val="single" w:sz="4" w:space="0" w:color="auto"/>
              <w:right w:val="single" w:sz="4" w:space="0" w:color="auto"/>
            </w:tcBorders>
            <w:noWrap/>
            <w:vAlign w:val="center"/>
            <w:hideMark/>
          </w:tcPr>
          <w:p w14:paraId="7D71BE55" w14:textId="77777777" w:rsidR="00E15393" w:rsidRDefault="00E15393" w:rsidP="00E15393">
            <w:pPr>
              <w:spacing w:after="0" w:line="240" w:lineRule="auto"/>
              <w:jc w:val="center"/>
              <w:rPr>
                <w:rFonts w:ascii="Calibri" w:eastAsia="Times New Roman" w:hAnsi="Calibri" w:cs="Calibri"/>
                <w:color w:val="000000"/>
                <w:sz w:val="18"/>
                <w:szCs w:val="18"/>
                <w:lang w:bidi="he-IL"/>
              </w:rPr>
            </w:pPr>
            <w:r>
              <w:rPr>
                <w:rFonts w:ascii="Calibri" w:eastAsia="Times New Roman" w:hAnsi="Calibri" w:cs="Calibri"/>
                <w:color w:val="000000"/>
                <w:sz w:val="18"/>
                <w:szCs w:val="18"/>
                <w:lang w:bidi="he-IL"/>
              </w:rPr>
              <w:t>334 (56.7)</w:t>
            </w:r>
          </w:p>
        </w:tc>
        <w:tc>
          <w:tcPr>
            <w:tcW w:w="1217" w:type="dxa"/>
            <w:tcBorders>
              <w:top w:val="single" w:sz="4" w:space="0" w:color="auto"/>
              <w:left w:val="single" w:sz="4" w:space="0" w:color="auto"/>
              <w:bottom w:val="single" w:sz="4" w:space="0" w:color="auto"/>
              <w:right w:val="single" w:sz="4" w:space="0" w:color="auto"/>
            </w:tcBorders>
            <w:noWrap/>
            <w:vAlign w:val="center"/>
            <w:hideMark/>
          </w:tcPr>
          <w:p w14:paraId="0F9FD12C" w14:textId="77777777" w:rsidR="00E15393" w:rsidRDefault="00E15393" w:rsidP="00E15393">
            <w:pPr>
              <w:spacing w:after="0" w:line="240" w:lineRule="auto"/>
              <w:jc w:val="center"/>
              <w:rPr>
                <w:rFonts w:ascii="Calibri" w:eastAsia="Times New Roman" w:hAnsi="Calibri" w:cs="Calibri"/>
                <w:color w:val="000000"/>
                <w:sz w:val="18"/>
                <w:szCs w:val="18"/>
                <w:lang w:bidi="he-IL"/>
              </w:rPr>
            </w:pPr>
            <w:r>
              <w:rPr>
                <w:rFonts w:ascii="Calibri" w:eastAsia="Times New Roman" w:hAnsi="Calibri" w:cs="Calibri"/>
                <w:color w:val="000000"/>
                <w:sz w:val="18"/>
                <w:szCs w:val="18"/>
                <w:lang w:bidi="he-IL"/>
              </w:rPr>
              <w:t>352 (54.6)</w:t>
            </w:r>
          </w:p>
        </w:tc>
      </w:tr>
      <w:tr w:rsidR="00E15393" w14:paraId="2258BF8C" w14:textId="77777777" w:rsidTr="00D36C83">
        <w:trPr>
          <w:trHeight w:val="288"/>
        </w:trPr>
        <w:tc>
          <w:tcPr>
            <w:tcW w:w="2304" w:type="dxa"/>
            <w:tcBorders>
              <w:top w:val="single" w:sz="4" w:space="0" w:color="auto"/>
              <w:left w:val="single" w:sz="4" w:space="0" w:color="auto"/>
              <w:bottom w:val="single" w:sz="4" w:space="0" w:color="auto"/>
              <w:right w:val="single" w:sz="4" w:space="0" w:color="auto"/>
            </w:tcBorders>
            <w:vAlign w:val="center"/>
            <w:hideMark/>
          </w:tcPr>
          <w:p w14:paraId="1554C306" w14:textId="77777777" w:rsidR="00E15393" w:rsidRDefault="00E15393" w:rsidP="00E15393">
            <w:pPr>
              <w:spacing w:after="0" w:line="240" w:lineRule="auto"/>
              <w:rPr>
                <w:rFonts w:ascii="Calibri" w:eastAsia="Times New Roman" w:hAnsi="Calibri" w:cs="Calibri"/>
                <w:b/>
                <w:bCs/>
                <w:color w:val="000000"/>
                <w:sz w:val="18"/>
                <w:szCs w:val="18"/>
                <w:lang w:bidi="he-IL"/>
              </w:rPr>
            </w:pPr>
            <w:r>
              <w:rPr>
                <w:rFonts w:ascii="Calibri" w:eastAsia="Times New Roman" w:hAnsi="Calibri" w:cs="Calibri"/>
                <w:b/>
                <w:bCs/>
                <w:color w:val="000000"/>
                <w:sz w:val="18"/>
                <w:szCs w:val="18"/>
                <w:lang w:bidi="he-IL"/>
              </w:rPr>
              <w:t>30 to 300 mg/g</w:t>
            </w:r>
          </w:p>
        </w:tc>
        <w:tc>
          <w:tcPr>
            <w:tcW w:w="1171"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hideMark/>
          </w:tcPr>
          <w:p w14:paraId="6FCA8B07" w14:textId="77777777" w:rsidR="00E15393" w:rsidRDefault="00E15393" w:rsidP="00E15393">
            <w:pPr>
              <w:spacing w:after="0" w:line="240" w:lineRule="auto"/>
              <w:jc w:val="center"/>
              <w:rPr>
                <w:rFonts w:ascii="Calibri" w:eastAsia="Times New Roman" w:hAnsi="Calibri" w:cs="Calibri"/>
                <w:color w:val="000000"/>
                <w:sz w:val="18"/>
                <w:szCs w:val="18"/>
                <w:lang w:bidi="he-IL"/>
              </w:rPr>
            </w:pPr>
            <w:r>
              <w:rPr>
                <w:rFonts w:ascii="Calibri" w:eastAsia="Times New Roman" w:hAnsi="Calibri" w:cs="Calibri"/>
                <w:color w:val="000000"/>
                <w:sz w:val="18"/>
                <w:szCs w:val="18"/>
                <w:lang w:bidi="he-IL"/>
              </w:rPr>
              <w:t>968 (23.8)</w:t>
            </w:r>
          </w:p>
        </w:tc>
        <w:tc>
          <w:tcPr>
            <w:tcW w:w="1081"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hideMark/>
          </w:tcPr>
          <w:p w14:paraId="4844812E" w14:textId="77777777" w:rsidR="00E15393" w:rsidRDefault="00E15393" w:rsidP="00E15393">
            <w:pPr>
              <w:spacing w:after="0" w:line="240" w:lineRule="auto"/>
              <w:jc w:val="center"/>
              <w:rPr>
                <w:rFonts w:ascii="Calibri" w:eastAsia="Times New Roman" w:hAnsi="Calibri" w:cs="Calibri"/>
                <w:color w:val="000000"/>
                <w:sz w:val="18"/>
                <w:szCs w:val="18"/>
                <w:lang w:bidi="he-IL"/>
              </w:rPr>
            </w:pPr>
            <w:r>
              <w:rPr>
                <w:rFonts w:ascii="Calibri" w:eastAsia="Times New Roman" w:hAnsi="Calibri" w:cs="Calibri"/>
                <w:color w:val="000000"/>
                <w:sz w:val="18"/>
                <w:szCs w:val="18"/>
                <w:lang w:bidi="he-IL"/>
              </w:rPr>
              <w:t>919 (23.2)</w:t>
            </w:r>
          </w:p>
        </w:tc>
        <w:tc>
          <w:tcPr>
            <w:tcW w:w="1169" w:type="dxa"/>
            <w:tcBorders>
              <w:top w:val="single" w:sz="4" w:space="0" w:color="auto"/>
              <w:left w:val="single" w:sz="4" w:space="0" w:color="auto"/>
              <w:bottom w:val="single" w:sz="4" w:space="0" w:color="auto"/>
              <w:right w:val="single" w:sz="4" w:space="0" w:color="auto"/>
            </w:tcBorders>
            <w:shd w:val="clear" w:color="auto" w:fill="DCE6F1"/>
            <w:noWrap/>
            <w:vAlign w:val="center"/>
            <w:hideMark/>
          </w:tcPr>
          <w:p w14:paraId="7090B5FE" w14:textId="77777777" w:rsidR="00E15393" w:rsidRDefault="00E15393" w:rsidP="00E15393">
            <w:pPr>
              <w:spacing w:after="0" w:line="240" w:lineRule="auto"/>
              <w:jc w:val="center"/>
              <w:rPr>
                <w:rFonts w:ascii="Calibri" w:eastAsia="Times New Roman" w:hAnsi="Calibri" w:cs="Calibri"/>
                <w:color w:val="000000"/>
                <w:sz w:val="18"/>
                <w:szCs w:val="18"/>
                <w:lang w:bidi="he-IL"/>
              </w:rPr>
            </w:pPr>
            <w:r>
              <w:rPr>
                <w:rFonts w:ascii="Calibri" w:eastAsia="Times New Roman" w:hAnsi="Calibri" w:cs="Calibri"/>
                <w:color w:val="000000"/>
                <w:sz w:val="18"/>
                <w:szCs w:val="18"/>
                <w:lang w:bidi="he-IL"/>
              </w:rPr>
              <w:t>873 (23.2)</w:t>
            </w:r>
          </w:p>
        </w:tc>
        <w:tc>
          <w:tcPr>
            <w:tcW w:w="1170" w:type="dxa"/>
            <w:tcBorders>
              <w:top w:val="single" w:sz="4" w:space="0" w:color="auto"/>
              <w:left w:val="single" w:sz="4" w:space="0" w:color="auto"/>
              <w:bottom w:val="single" w:sz="4" w:space="0" w:color="auto"/>
              <w:right w:val="single" w:sz="4" w:space="0" w:color="auto"/>
            </w:tcBorders>
            <w:shd w:val="clear" w:color="auto" w:fill="DCE6F1"/>
            <w:noWrap/>
            <w:vAlign w:val="center"/>
            <w:hideMark/>
          </w:tcPr>
          <w:p w14:paraId="7AA2D585" w14:textId="77777777" w:rsidR="00E15393" w:rsidRDefault="00E15393" w:rsidP="00E15393">
            <w:pPr>
              <w:spacing w:after="0" w:line="240" w:lineRule="auto"/>
              <w:jc w:val="center"/>
              <w:rPr>
                <w:rFonts w:ascii="Calibri" w:eastAsia="Times New Roman" w:hAnsi="Calibri" w:cs="Calibri"/>
                <w:color w:val="000000"/>
                <w:sz w:val="18"/>
                <w:szCs w:val="18"/>
                <w:lang w:bidi="he-IL"/>
              </w:rPr>
            </w:pPr>
            <w:r>
              <w:rPr>
                <w:rFonts w:ascii="Calibri" w:eastAsia="Times New Roman" w:hAnsi="Calibri" w:cs="Calibri"/>
                <w:color w:val="000000"/>
                <w:sz w:val="18"/>
                <w:szCs w:val="18"/>
                <w:lang w:bidi="he-IL"/>
              </w:rPr>
              <w:t>888 (23.3)</w:t>
            </w:r>
          </w:p>
        </w:tc>
        <w:tc>
          <w:tcPr>
            <w:tcW w:w="1214" w:type="dxa"/>
            <w:tcBorders>
              <w:top w:val="single" w:sz="4" w:space="0" w:color="auto"/>
              <w:left w:val="single" w:sz="4" w:space="0" w:color="auto"/>
              <w:bottom w:val="single" w:sz="4" w:space="0" w:color="auto"/>
              <w:right w:val="single" w:sz="4" w:space="0" w:color="auto"/>
            </w:tcBorders>
            <w:noWrap/>
            <w:vAlign w:val="center"/>
            <w:hideMark/>
          </w:tcPr>
          <w:p w14:paraId="43354DB4" w14:textId="77777777" w:rsidR="00E15393" w:rsidRDefault="00E15393" w:rsidP="00E15393">
            <w:pPr>
              <w:spacing w:after="0" w:line="240" w:lineRule="auto"/>
              <w:jc w:val="center"/>
              <w:rPr>
                <w:rFonts w:ascii="Calibri" w:eastAsia="Times New Roman" w:hAnsi="Calibri" w:cs="Calibri"/>
                <w:color w:val="000000"/>
                <w:sz w:val="18"/>
                <w:szCs w:val="18"/>
                <w:lang w:bidi="he-IL"/>
              </w:rPr>
            </w:pPr>
            <w:r>
              <w:rPr>
                <w:rFonts w:ascii="Calibri" w:eastAsia="Times New Roman" w:hAnsi="Calibri" w:cs="Calibri"/>
                <w:color w:val="000000"/>
                <w:sz w:val="18"/>
                <w:szCs w:val="18"/>
                <w:lang w:bidi="he-IL"/>
              </w:rPr>
              <w:t>175 (29.7)</w:t>
            </w:r>
          </w:p>
        </w:tc>
        <w:tc>
          <w:tcPr>
            <w:tcW w:w="1217" w:type="dxa"/>
            <w:tcBorders>
              <w:top w:val="single" w:sz="4" w:space="0" w:color="auto"/>
              <w:left w:val="single" w:sz="4" w:space="0" w:color="auto"/>
              <w:bottom w:val="single" w:sz="4" w:space="0" w:color="auto"/>
              <w:right w:val="single" w:sz="4" w:space="0" w:color="auto"/>
            </w:tcBorders>
            <w:noWrap/>
            <w:vAlign w:val="center"/>
            <w:hideMark/>
          </w:tcPr>
          <w:p w14:paraId="6EF2D7B1" w14:textId="77777777" w:rsidR="00E15393" w:rsidRDefault="00E15393" w:rsidP="00E15393">
            <w:pPr>
              <w:spacing w:after="0" w:line="240" w:lineRule="auto"/>
              <w:jc w:val="center"/>
              <w:rPr>
                <w:rFonts w:ascii="Calibri" w:eastAsia="Times New Roman" w:hAnsi="Calibri" w:cs="Calibri"/>
                <w:color w:val="000000"/>
                <w:sz w:val="18"/>
                <w:szCs w:val="18"/>
                <w:lang w:bidi="he-IL"/>
              </w:rPr>
            </w:pPr>
            <w:r>
              <w:rPr>
                <w:rFonts w:ascii="Calibri" w:eastAsia="Times New Roman" w:hAnsi="Calibri" w:cs="Calibri"/>
                <w:color w:val="000000"/>
                <w:sz w:val="18"/>
                <w:szCs w:val="18"/>
                <w:lang w:bidi="he-IL"/>
              </w:rPr>
              <w:t>206 (31.9)</w:t>
            </w:r>
          </w:p>
        </w:tc>
      </w:tr>
      <w:tr w:rsidR="00E15393" w14:paraId="7A3B179D" w14:textId="77777777" w:rsidTr="00D36C83">
        <w:trPr>
          <w:trHeight w:val="288"/>
        </w:trPr>
        <w:tc>
          <w:tcPr>
            <w:tcW w:w="2304" w:type="dxa"/>
            <w:tcBorders>
              <w:top w:val="single" w:sz="4" w:space="0" w:color="auto"/>
              <w:left w:val="single" w:sz="4" w:space="0" w:color="auto"/>
              <w:bottom w:val="single" w:sz="4" w:space="0" w:color="auto"/>
              <w:right w:val="single" w:sz="4" w:space="0" w:color="auto"/>
            </w:tcBorders>
            <w:vAlign w:val="center"/>
            <w:hideMark/>
          </w:tcPr>
          <w:p w14:paraId="41B91FB9" w14:textId="77777777" w:rsidR="00E15393" w:rsidRDefault="00E15393" w:rsidP="00E15393">
            <w:pPr>
              <w:spacing w:after="0" w:line="240" w:lineRule="auto"/>
              <w:rPr>
                <w:rFonts w:ascii="Calibri" w:eastAsia="Times New Roman" w:hAnsi="Calibri" w:cs="Calibri"/>
                <w:b/>
                <w:bCs/>
                <w:color w:val="000000"/>
                <w:sz w:val="18"/>
                <w:szCs w:val="18"/>
                <w:lang w:bidi="he-IL"/>
              </w:rPr>
            </w:pPr>
            <w:r>
              <w:rPr>
                <w:rFonts w:ascii="Calibri" w:eastAsia="Times New Roman" w:hAnsi="Calibri" w:cs="Calibri"/>
                <w:b/>
                <w:bCs/>
                <w:color w:val="000000"/>
                <w:sz w:val="18"/>
                <w:szCs w:val="18"/>
                <w:lang w:bidi="he-IL"/>
              </w:rPr>
              <w:t>&gt; 300 mg/g</w:t>
            </w:r>
          </w:p>
        </w:tc>
        <w:tc>
          <w:tcPr>
            <w:tcW w:w="1171"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hideMark/>
          </w:tcPr>
          <w:p w14:paraId="7602C915" w14:textId="77777777" w:rsidR="00E15393" w:rsidRDefault="00E15393" w:rsidP="00E15393">
            <w:pPr>
              <w:spacing w:after="0" w:line="240" w:lineRule="auto"/>
              <w:jc w:val="center"/>
              <w:rPr>
                <w:rFonts w:ascii="Calibri" w:eastAsia="Times New Roman" w:hAnsi="Calibri" w:cs="Calibri"/>
                <w:color w:val="000000"/>
                <w:sz w:val="18"/>
                <w:szCs w:val="18"/>
                <w:lang w:bidi="he-IL"/>
              </w:rPr>
            </w:pPr>
            <w:r>
              <w:rPr>
                <w:rFonts w:ascii="Calibri" w:eastAsia="Times New Roman" w:hAnsi="Calibri" w:cs="Calibri"/>
                <w:color w:val="000000"/>
                <w:sz w:val="18"/>
                <w:szCs w:val="18"/>
                <w:lang w:bidi="he-IL"/>
              </w:rPr>
              <w:t>237 (5.8)</w:t>
            </w:r>
          </w:p>
        </w:tc>
        <w:tc>
          <w:tcPr>
            <w:tcW w:w="1081"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hideMark/>
          </w:tcPr>
          <w:p w14:paraId="63E91267" w14:textId="77777777" w:rsidR="00E15393" w:rsidRDefault="00E15393" w:rsidP="00E15393">
            <w:pPr>
              <w:spacing w:after="0" w:line="240" w:lineRule="auto"/>
              <w:jc w:val="center"/>
              <w:rPr>
                <w:rFonts w:ascii="Calibri" w:eastAsia="Times New Roman" w:hAnsi="Calibri" w:cs="Calibri"/>
                <w:color w:val="000000"/>
                <w:sz w:val="18"/>
                <w:szCs w:val="18"/>
                <w:lang w:bidi="he-IL"/>
              </w:rPr>
            </w:pPr>
            <w:r>
              <w:rPr>
                <w:rFonts w:ascii="Calibri" w:eastAsia="Times New Roman" w:hAnsi="Calibri" w:cs="Calibri"/>
                <w:color w:val="000000"/>
                <w:sz w:val="18"/>
                <w:szCs w:val="18"/>
                <w:lang w:bidi="he-IL"/>
              </w:rPr>
              <w:t>211 (5.3)</w:t>
            </w:r>
          </w:p>
        </w:tc>
        <w:tc>
          <w:tcPr>
            <w:tcW w:w="1169" w:type="dxa"/>
            <w:tcBorders>
              <w:top w:val="single" w:sz="4" w:space="0" w:color="auto"/>
              <w:left w:val="single" w:sz="4" w:space="0" w:color="auto"/>
              <w:bottom w:val="single" w:sz="4" w:space="0" w:color="auto"/>
              <w:right w:val="single" w:sz="4" w:space="0" w:color="auto"/>
            </w:tcBorders>
            <w:shd w:val="clear" w:color="auto" w:fill="DCE6F1"/>
            <w:noWrap/>
            <w:vAlign w:val="center"/>
            <w:hideMark/>
          </w:tcPr>
          <w:p w14:paraId="1CC976A1" w14:textId="77777777" w:rsidR="00E15393" w:rsidRDefault="00E15393" w:rsidP="00E15393">
            <w:pPr>
              <w:spacing w:after="0" w:line="240" w:lineRule="auto"/>
              <w:jc w:val="center"/>
              <w:rPr>
                <w:rFonts w:ascii="Calibri" w:eastAsia="Times New Roman" w:hAnsi="Calibri" w:cs="Calibri"/>
                <w:color w:val="000000"/>
                <w:sz w:val="18"/>
                <w:szCs w:val="18"/>
                <w:lang w:bidi="he-IL"/>
              </w:rPr>
            </w:pPr>
            <w:r>
              <w:rPr>
                <w:rFonts w:ascii="Calibri" w:eastAsia="Times New Roman" w:hAnsi="Calibri" w:cs="Calibri"/>
                <w:color w:val="000000"/>
                <w:sz w:val="18"/>
                <w:szCs w:val="18"/>
                <w:lang w:bidi="he-IL"/>
              </w:rPr>
              <w:t>277 (7.3)</w:t>
            </w:r>
          </w:p>
        </w:tc>
        <w:tc>
          <w:tcPr>
            <w:tcW w:w="1170" w:type="dxa"/>
            <w:tcBorders>
              <w:top w:val="single" w:sz="4" w:space="0" w:color="auto"/>
              <w:left w:val="single" w:sz="4" w:space="0" w:color="auto"/>
              <w:bottom w:val="single" w:sz="4" w:space="0" w:color="auto"/>
              <w:right w:val="single" w:sz="4" w:space="0" w:color="auto"/>
            </w:tcBorders>
            <w:shd w:val="clear" w:color="auto" w:fill="DCE6F1"/>
            <w:noWrap/>
            <w:vAlign w:val="center"/>
            <w:hideMark/>
          </w:tcPr>
          <w:p w14:paraId="77D8C18C" w14:textId="77777777" w:rsidR="00E15393" w:rsidRDefault="00E15393" w:rsidP="00E15393">
            <w:pPr>
              <w:spacing w:after="0" w:line="240" w:lineRule="auto"/>
              <w:jc w:val="center"/>
              <w:rPr>
                <w:rFonts w:ascii="Calibri" w:eastAsia="Times New Roman" w:hAnsi="Calibri" w:cs="Calibri"/>
                <w:color w:val="000000"/>
                <w:sz w:val="18"/>
                <w:szCs w:val="18"/>
                <w:lang w:bidi="he-IL"/>
              </w:rPr>
            </w:pPr>
            <w:r>
              <w:rPr>
                <w:rFonts w:ascii="Calibri" w:eastAsia="Times New Roman" w:hAnsi="Calibri" w:cs="Calibri"/>
                <w:color w:val="000000"/>
                <w:sz w:val="18"/>
                <w:szCs w:val="18"/>
                <w:lang w:bidi="he-IL"/>
              </w:rPr>
              <w:t>277 (7.3)</w:t>
            </w:r>
          </w:p>
        </w:tc>
        <w:tc>
          <w:tcPr>
            <w:tcW w:w="1214" w:type="dxa"/>
            <w:tcBorders>
              <w:top w:val="single" w:sz="4" w:space="0" w:color="auto"/>
              <w:left w:val="single" w:sz="4" w:space="0" w:color="auto"/>
              <w:bottom w:val="single" w:sz="4" w:space="0" w:color="auto"/>
              <w:right w:val="single" w:sz="4" w:space="0" w:color="auto"/>
            </w:tcBorders>
            <w:noWrap/>
            <w:vAlign w:val="center"/>
            <w:hideMark/>
          </w:tcPr>
          <w:p w14:paraId="1DDAAC38" w14:textId="77777777" w:rsidR="00E15393" w:rsidRDefault="00E15393" w:rsidP="00E15393">
            <w:pPr>
              <w:spacing w:after="0" w:line="240" w:lineRule="auto"/>
              <w:jc w:val="center"/>
              <w:rPr>
                <w:rFonts w:ascii="Calibri" w:eastAsia="Times New Roman" w:hAnsi="Calibri" w:cs="Calibri"/>
                <w:color w:val="000000"/>
                <w:sz w:val="18"/>
                <w:szCs w:val="18"/>
                <w:lang w:bidi="he-IL"/>
              </w:rPr>
            </w:pPr>
            <w:r>
              <w:rPr>
                <w:rFonts w:ascii="Calibri" w:eastAsia="Times New Roman" w:hAnsi="Calibri" w:cs="Calibri"/>
                <w:color w:val="000000"/>
                <w:sz w:val="18"/>
                <w:szCs w:val="18"/>
                <w:lang w:bidi="he-IL"/>
              </w:rPr>
              <w:t>80 (13.6)</w:t>
            </w:r>
          </w:p>
        </w:tc>
        <w:tc>
          <w:tcPr>
            <w:tcW w:w="1217" w:type="dxa"/>
            <w:tcBorders>
              <w:top w:val="single" w:sz="4" w:space="0" w:color="auto"/>
              <w:left w:val="single" w:sz="4" w:space="0" w:color="auto"/>
              <w:bottom w:val="single" w:sz="4" w:space="0" w:color="auto"/>
              <w:right w:val="single" w:sz="4" w:space="0" w:color="auto"/>
            </w:tcBorders>
            <w:noWrap/>
            <w:vAlign w:val="center"/>
            <w:hideMark/>
          </w:tcPr>
          <w:p w14:paraId="690D9757" w14:textId="77777777" w:rsidR="00E15393" w:rsidRDefault="00E15393" w:rsidP="00E15393">
            <w:pPr>
              <w:spacing w:after="0" w:line="240" w:lineRule="auto"/>
              <w:jc w:val="center"/>
              <w:rPr>
                <w:rFonts w:ascii="Calibri" w:eastAsia="Times New Roman" w:hAnsi="Calibri" w:cs="Calibri"/>
                <w:color w:val="000000"/>
                <w:sz w:val="18"/>
                <w:szCs w:val="18"/>
                <w:lang w:bidi="he-IL"/>
              </w:rPr>
            </w:pPr>
            <w:r>
              <w:rPr>
                <w:rFonts w:ascii="Calibri" w:eastAsia="Times New Roman" w:hAnsi="Calibri" w:cs="Calibri"/>
                <w:color w:val="000000"/>
                <w:sz w:val="18"/>
                <w:szCs w:val="18"/>
                <w:lang w:bidi="he-IL"/>
              </w:rPr>
              <w:t>87 (13.5)</w:t>
            </w:r>
          </w:p>
        </w:tc>
      </w:tr>
      <w:tr w:rsidR="00E15393" w14:paraId="568D7131" w14:textId="77777777" w:rsidTr="00D36C83">
        <w:trPr>
          <w:trHeight w:val="288"/>
        </w:trPr>
        <w:tc>
          <w:tcPr>
            <w:tcW w:w="2304" w:type="dxa"/>
            <w:tcBorders>
              <w:top w:val="single" w:sz="4" w:space="0" w:color="auto"/>
              <w:left w:val="single" w:sz="4" w:space="0" w:color="auto"/>
              <w:bottom w:val="single" w:sz="4" w:space="0" w:color="auto"/>
              <w:right w:val="single" w:sz="4" w:space="0" w:color="auto"/>
            </w:tcBorders>
            <w:vAlign w:val="center"/>
            <w:hideMark/>
          </w:tcPr>
          <w:p w14:paraId="4805E83B" w14:textId="77777777" w:rsidR="00E15393" w:rsidRDefault="00E15393" w:rsidP="00E15393">
            <w:pPr>
              <w:spacing w:after="0" w:line="240" w:lineRule="auto"/>
              <w:rPr>
                <w:rFonts w:ascii="Calibri" w:eastAsia="Times New Roman" w:hAnsi="Calibri" w:cs="Calibri"/>
                <w:b/>
                <w:bCs/>
                <w:color w:val="000000"/>
                <w:sz w:val="18"/>
                <w:szCs w:val="18"/>
                <w:lang w:bidi="he-IL"/>
              </w:rPr>
            </w:pPr>
            <w:r>
              <w:rPr>
                <w:rFonts w:ascii="Calibri" w:eastAsia="Times New Roman" w:hAnsi="Calibri" w:cs="Calibri"/>
                <w:b/>
                <w:bCs/>
                <w:color w:val="000000"/>
                <w:sz w:val="18"/>
                <w:szCs w:val="18"/>
                <w:lang w:bidi="he-IL"/>
              </w:rPr>
              <w:t>Systolic BP (mmHg)- mean± SD</w:t>
            </w:r>
          </w:p>
        </w:tc>
        <w:tc>
          <w:tcPr>
            <w:tcW w:w="1171"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hideMark/>
          </w:tcPr>
          <w:p w14:paraId="25AB0590" w14:textId="77777777" w:rsidR="00E15393" w:rsidRDefault="00E15393" w:rsidP="00E15393">
            <w:pPr>
              <w:spacing w:after="0" w:line="240" w:lineRule="auto"/>
              <w:jc w:val="center"/>
              <w:rPr>
                <w:rFonts w:ascii="Calibri" w:eastAsia="Times New Roman" w:hAnsi="Calibri" w:cs="Calibri"/>
                <w:color w:val="000000"/>
                <w:sz w:val="18"/>
                <w:szCs w:val="18"/>
                <w:lang w:bidi="he-IL"/>
              </w:rPr>
            </w:pPr>
            <w:r>
              <w:rPr>
                <w:rFonts w:ascii="Calibri" w:eastAsia="Times New Roman" w:hAnsi="Calibri" w:cs="Calibri"/>
                <w:color w:val="000000"/>
                <w:sz w:val="18"/>
                <w:szCs w:val="18"/>
                <w:lang w:bidi="he-IL"/>
              </w:rPr>
              <w:t>135.1± 15.1</w:t>
            </w:r>
          </w:p>
        </w:tc>
        <w:tc>
          <w:tcPr>
            <w:tcW w:w="1081"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hideMark/>
          </w:tcPr>
          <w:p w14:paraId="2D012EE5" w14:textId="77777777" w:rsidR="00E15393" w:rsidRDefault="00E15393" w:rsidP="00E15393">
            <w:pPr>
              <w:spacing w:after="0" w:line="240" w:lineRule="auto"/>
              <w:jc w:val="center"/>
              <w:rPr>
                <w:rFonts w:ascii="Calibri" w:eastAsia="Times New Roman" w:hAnsi="Calibri" w:cs="Calibri"/>
                <w:color w:val="000000"/>
                <w:sz w:val="18"/>
                <w:szCs w:val="18"/>
                <w:lang w:bidi="he-IL"/>
              </w:rPr>
            </w:pPr>
            <w:r>
              <w:rPr>
                <w:rFonts w:ascii="Calibri" w:eastAsia="Times New Roman" w:hAnsi="Calibri" w:cs="Calibri"/>
                <w:color w:val="000000"/>
                <w:sz w:val="18"/>
                <w:szCs w:val="18"/>
                <w:lang w:bidi="he-IL"/>
              </w:rPr>
              <w:t>134.7± 15.0</w:t>
            </w:r>
          </w:p>
        </w:tc>
        <w:tc>
          <w:tcPr>
            <w:tcW w:w="1169" w:type="dxa"/>
            <w:tcBorders>
              <w:top w:val="single" w:sz="4" w:space="0" w:color="auto"/>
              <w:left w:val="single" w:sz="4" w:space="0" w:color="auto"/>
              <w:bottom w:val="single" w:sz="4" w:space="0" w:color="auto"/>
              <w:right w:val="single" w:sz="4" w:space="0" w:color="auto"/>
            </w:tcBorders>
            <w:shd w:val="clear" w:color="auto" w:fill="DCE6F1"/>
            <w:noWrap/>
            <w:vAlign w:val="center"/>
            <w:hideMark/>
          </w:tcPr>
          <w:p w14:paraId="7ED82B38" w14:textId="77777777" w:rsidR="00E15393" w:rsidRDefault="00E15393" w:rsidP="00E15393">
            <w:pPr>
              <w:spacing w:after="0" w:line="240" w:lineRule="auto"/>
              <w:jc w:val="center"/>
              <w:rPr>
                <w:rFonts w:ascii="Calibri" w:eastAsia="Times New Roman" w:hAnsi="Calibri" w:cs="Calibri"/>
                <w:color w:val="000000"/>
                <w:sz w:val="18"/>
                <w:szCs w:val="18"/>
                <w:lang w:bidi="he-IL"/>
              </w:rPr>
            </w:pPr>
            <w:r>
              <w:rPr>
                <w:rFonts w:ascii="Calibri" w:eastAsia="Times New Roman" w:hAnsi="Calibri" w:cs="Calibri"/>
                <w:color w:val="000000"/>
                <w:sz w:val="18"/>
                <w:szCs w:val="18"/>
                <w:lang w:bidi="he-IL"/>
              </w:rPr>
              <w:t>135.4± 15.4</w:t>
            </w:r>
          </w:p>
        </w:tc>
        <w:tc>
          <w:tcPr>
            <w:tcW w:w="1170" w:type="dxa"/>
            <w:tcBorders>
              <w:top w:val="single" w:sz="4" w:space="0" w:color="auto"/>
              <w:left w:val="single" w:sz="4" w:space="0" w:color="auto"/>
              <w:bottom w:val="single" w:sz="4" w:space="0" w:color="auto"/>
              <w:right w:val="single" w:sz="4" w:space="0" w:color="auto"/>
            </w:tcBorders>
            <w:shd w:val="clear" w:color="auto" w:fill="DCE6F1"/>
            <w:noWrap/>
            <w:vAlign w:val="center"/>
            <w:hideMark/>
          </w:tcPr>
          <w:p w14:paraId="45FEF35D" w14:textId="77777777" w:rsidR="00E15393" w:rsidRDefault="00E15393" w:rsidP="00E15393">
            <w:pPr>
              <w:spacing w:after="0" w:line="240" w:lineRule="auto"/>
              <w:jc w:val="center"/>
              <w:rPr>
                <w:rFonts w:ascii="Calibri" w:eastAsia="Times New Roman" w:hAnsi="Calibri" w:cs="Calibri"/>
                <w:color w:val="000000"/>
                <w:sz w:val="18"/>
                <w:szCs w:val="18"/>
                <w:lang w:bidi="he-IL"/>
              </w:rPr>
            </w:pPr>
            <w:r>
              <w:rPr>
                <w:rFonts w:ascii="Calibri" w:eastAsia="Times New Roman" w:hAnsi="Calibri" w:cs="Calibri"/>
                <w:color w:val="000000"/>
                <w:sz w:val="18"/>
                <w:szCs w:val="18"/>
                <w:lang w:bidi="he-IL"/>
              </w:rPr>
              <w:t>135.2± 15.8</w:t>
            </w:r>
          </w:p>
        </w:tc>
        <w:tc>
          <w:tcPr>
            <w:tcW w:w="1214" w:type="dxa"/>
            <w:tcBorders>
              <w:top w:val="single" w:sz="4" w:space="0" w:color="auto"/>
              <w:left w:val="single" w:sz="4" w:space="0" w:color="auto"/>
              <w:bottom w:val="single" w:sz="4" w:space="0" w:color="auto"/>
              <w:right w:val="single" w:sz="4" w:space="0" w:color="auto"/>
            </w:tcBorders>
            <w:noWrap/>
            <w:vAlign w:val="center"/>
            <w:hideMark/>
          </w:tcPr>
          <w:p w14:paraId="66BA3948" w14:textId="77777777" w:rsidR="00E15393" w:rsidRDefault="00E15393" w:rsidP="00E15393">
            <w:pPr>
              <w:spacing w:after="0" w:line="240" w:lineRule="auto"/>
              <w:jc w:val="center"/>
              <w:rPr>
                <w:rFonts w:ascii="Calibri" w:eastAsia="Times New Roman" w:hAnsi="Calibri" w:cs="Calibri"/>
                <w:color w:val="000000"/>
                <w:sz w:val="18"/>
                <w:szCs w:val="18"/>
                <w:lang w:bidi="he-IL"/>
              </w:rPr>
            </w:pPr>
            <w:r>
              <w:rPr>
                <w:rFonts w:ascii="Calibri" w:eastAsia="Times New Roman" w:hAnsi="Calibri" w:cs="Calibri"/>
                <w:color w:val="000000"/>
                <w:sz w:val="18"/>
                <w:szCs w:val="18"/>
                <w:lang w:bidi="he-IL"/>
              </w:rPr>
              <w:t>133.9± 16.4</w:t>
            </w:r>
          </w:p>
        </w:tc>
        <w:tc>
          <w:tcPr>
            <w:tcW w:w="1217" w:type="dxa"/>
            <w:tcBorders>
              <w:top w:val="single" w:sz="4" w:space="0" w:color="auto"/>
              <w:left w:val="single" w:sz="4" w:space="0" w:color="auto"/>
              <w:bottom w:val="single" w:sz="4" w:space="0" w:color="auto"/>
              <w:right w:val="single" w:sz="4" w:space="0" w:color="auto"/>
            </w:tcBorders>
            <w:noWrap/>
            <w:vAlign w:val="center"/>
            <w:hideMark/>
          </w:tcPr>
          <w:p w14:paraId="11346B6E" w14:textId="77777777" w:rsidR="00E15393" w:rsidRDefault="00E15393" w:rsidP="00E15393">
            <w:pPr>
              <w:spacing w:after="0" w:line="240" w:lineRule="auto"/>
              <w:jc w:val="center"/>
              <w:rPr>
                <w:rFonts w:ascii="Calibri" w:eastAsia="Times New Roman" w:hAnsi="Calibri" w:cs="Calibri"/>
                <w:color w:val="000000"/>
                <w:sz w:val="18"/>
                <w:szCs w:val="18"/>
                <w:lang w:bidi="he-IL"/>
              </w:rPr>
            </w:pPr>
            <w:r>
              <w:rPr>
                <w:rFonts w:ascii="Calibri" w:eastAsia="Times New Roman" w:hAnsi="Calibri" w:cs="Calibri"/>
                <w:color w:val="000000"/>
                <w:sz w:val="18"/>
                <w:szCs w:val="18"/>
                <w:lang w:bidi="he-IL"/>
              </w:rPr>
              <w:t>133.2± 16.7</w:t>
            </w:r>
          </w:p>
        </w:tc>
      </w:tr>
      <w:tr w:rsidR="00E15393" w14:paraId="52AFCD4E" w14:textId="77777777" w:rsidTr="00D36C83">
        <w:trPr>
          <w:trHeight w:val="269"/>
        </w:trPr>
        <w:tc>
          <w:tcPr>
            <w:tcW w:w="2304" w:type="dxa"/>
            <w:tcBorders>
              <w:top w:val="single" w:sz="4" w:space="0" w:color="auto"/>
              <w:left w:val="single" w:sz="4" w:space="0" w:color="auto"/>
              <w:bottom w:val="single" w:sz="4" w:space="0" w:color="auto"/>
              <w:right w:val="single" w:sz="4" w:space="0" w:color="auto"/>
            </w:tcBorders>
            <w:vAlign w:val="center"/>
            <w:hideMark/>
          </w:tcPr>
          <w:p w14:paraId="0B3C4277" w14:textId="77777777" w:rsidR="00E15393" w:rsidRDefault="00E15393" w:rsidP="00E15393">
            <w:pPr>
              <w:spacing w:after="0" w:line="240" w:lineRule="auto"/>
              <w:rPr>
                <w:rFonts w:ascii="Calibri" w:eastAsia="Times New Roman" w:hAnsi="Calibri" w:cs="Calibri"/>
                <w:b/>
                <w:bCs/>
                <w:color w:val="000000"/>
                <w:sz w:val="18"/>
                <w:szCs w:val="18"/>
                <w:lang w:bidi="he-IL"/>
              </w:rPr>
            </w:pPr>
            <w:r>
              <w:rPr>
                <w:rFonts w:ascii="Calibri" w:eastAsia="Times New Roman" w:hAnsi="Calibri" w:cs="Calibri"/>
                <w:b/>
                <w:bCs/>
                <w:color w:val="000000"/>
                <w:sz w:val="18"/>
                <w:szCs w:val="18"/>
                <w:lang w:bidi="he-IL"/>
              </w:rPr>
              <w:t>Diastolic BP (mmHg)- mean± SD</w:t>
            </w:r>
          </w:p>
        </w:tc>
        <w:tc>
          <w:tcPr>
            <w:tcW w:w="1171"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hideMark/>
          </w:tcPr>
          <w:p w14:paraId="21CE84A8" w14:textId="77777777" w:rsidR="00E15393" w:rsidRDefault="00E15393" w:rsidP="00E15393">
            <w:pPr>
              <w:spacing w:after="0" w:line="240" w:lineRule="auto"/>
              <w:jc w:val="center"/>
              <w:rPr>
                <w:rFonts w:ascii="Calibri" w:eastAsia="Times New Roman" w:hAnsi="Calibri" w:cs="Calibri"/>
                <w:color w:val="000000"/>
                <w:sz w:val="18"/>
                <w:szCs w:val="18"/>
                <w:lang w:bidi="he-IL"/>
              </w:rPr>
            </w:pPr>
            <w:r>
              <w:rPr>
                <w:rFonts w:ascii="Calibri" w:eastAsia="Times New Roman" w:hAnsi="Calibri" w:cs="Calibri"/>
                <w:color w:val="000000"/>
                <w:sz w:val="18"/>
                <w:szCs w:val="18"/>
                <w:lang w:bidi="he-IL"/>
              </w:rPr>
              <w:t>78.9± 8.7</w:t>
            </w:r>
          </w:p>
        </w:tc>
        <w:tc>
          <w:tcPr>
            <w:tcW w:w="1081"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hideMark/>
          </w:tcPr>
          <w:p w14:paraId="0AC3E811" w14:textId="77777777" w:rsidR="00E15393" w:rsidRDefault="00E15393" w:rsidP="00E15393">
            <w:pPr>
              <w:spacing w:after="0" w:line="240" w:lineRule="auto"/>
              <w:jc w:val="center"/>
              <w:rPr>
                <w:rFonts w:ascii="Calibri" w:eastAsia="Times New Roman" w:hAnsi="Calibri" w:cs="Calibri"/>
                <w:color w:val="000000"/>
                <w:sz w:val="18"/>
                <w:szCs w:val="18"/>
                <w:lang w:bidi="he-IL"/>
              </w:rPr>
            </w:pPr>
            <w:r>
              <w:rPr>
                <w:rFonts w:ascii="Calibri" w:eastAsia="Times New Roman" w:hAnsi="Calibri" w:cs="Calibri"/>
                <w:color w:val="000000"/>
                <w:sz w:val="18"/>
                <w:szCs w:val="18"/>
                <w:lang w:bidi="he-IL"/>
              </w:rPr>
              <w:t>78.8± 8.9</w:t>
            </w:r>
          </w:p>
        </w:tc>
        <w:tc>
          <w:tcPr>
            <w:tcW w:w="1169" w:type="dxa"/>
            <w:tcBorders>
              <w:top w:val="single" w:sz="4" w:space="0" w:color="auto"/>
              <w:left w:val="single" w:sz="4" w:space="0" w:color="auto"/>
              <w:bottom w:val="single" w:sz="4" w:space="0" w:color="auto"/>
              <w:right w:val="single" w:sz="4" w:space="0" w:color="auto"/>
            </w:tcBorders>
            <w:shd w:val="clear" w:color="auto" w:fill="DCE6F1"/>
            <w:noWrap/>
            <w:vAlign w:val="center"/>
            <w:hideMark/>
          </w:tcPr>
          <w:p w14:paraId="62425668" w14:textId="77777777" w:rsidR="00E15393" w:rsidRDefault="00E15393" w:rsidP="00E15393">
            <w:pPr>
              <w:spacing w:after="0" w:line="240" w:lineRule="auto"/>
              <w:jc w:val="center"/>
              <w:rPr>
                <w:rFonts w:ascii="Calibri" w:eastAsia="Times New Roman" w:hAnsi="Calibri" w:cs="Calibri"/>
                <w:color w:val="000000"/>
                <w:sz w:val="18"/>
                <w:szCs w:val="18"/>
                <w:lang w:bidi="he-IL"/>
              </w:rPr>
            </w:pPr>
            <w:r>
              <w:rPr>
                <w:rFonts w:ascii="Calibri" w:eastAsia="Times New Roman" w:hAnsi="Calibri" w:cs="Calibri"/>
                <w:color w:val="000000"/>
                <w:sz w:val="18"/>
                <w:szCs w:val="18"/>
                <w:lang w:bidi="he-IL"/>
              </w:rPr>
              <w:t>77.5± 9.2</w:t>
            </w:r>
          </w:p>
        </w:tc>
        <w:tc>
          <w:tcPr>
            <w:tcW w:w="1170" w:type="dxa"/>
            <w:tcBorders>
              <w:top w:val="single" w:sz="4" w:space="0" w:color="auto"/>
              <w:left w:val="single" w:sz="4" w:space="0" w:color="auto"/>
              <w:bottom w:val="single" w:sz="4" w:space="0" w:color="auto"/>
              <w:right w:val="single" w:sz="4" w:space="0" w:color="auto"/>
            </w:tcBorders>
            <w:shd w:val="clear" w:color="auto" w:fill="DCE6F1"/>
            <w:noWrap/>
            <w:vAlign w:val="center"/>
            <w:hideMark/>
          </w:tcPr>
          <w:p w14:paraId="25F9B710" w14:textId="77777777" w:rsidR="00E15393" w:rsidRDefault="00E15393" w:rsidP="00E15393">
            <w:pPr>
              <w:spacing w:after="0" w:line="240" w:lineRule="auto"/>
              <w:jc w:val="center"/>
              <w:rPr>
                <w:rFonts w:ascii="Calibri" w:eastAsia="Times New Roman" w:hAnsi="Calibri" w:cs="Calibri"/>
                <w:color w:val="000000"/>
                <w:sz w:val="18"/>
                <w:szCs w:val="18"/>
                <w:lang w:bidi="he-IL"/>
              </w:rPr>
            </w:pPr>
            <w:r>
              <w:rPr>
                <w:rFonts w:ascii="Calibri" w:eastAsia="Times New Roman" w:hAnsi="Calibri" w:cs="Calibri"/>
                <w:color w:val="000000"/>
                <w:sz w:val="18"/>
                <w:szCs w:val="18"/>
                <w:lang w:bidi="he-IL"/>
              </w:rPr>
              <w:t>77.5± 9.2</w:t>
            </w:r>
          </w:p>
        </w:tc>
        <w:tc>
          <w:tcPr>
            <w:tcW w:w="1214" w:type="dxa"/>
            <w:tcBorders>
              <w:top w:val="single" w:sz="4" w:space="0" w:color="auto"/>
              <w:left w:val="single" w:sz="4" w:space="0" w:color="auto"/>
              <w:bottom w:val="single" w:sz="4" w:space="0" w:color="auto"/>
              <w:right w:val="single" w:sz="4" w:space="0" w:color="auto"/>
            </w:tcBorders>
            <w:noWrap/>
            <w:vAlign w:val="center"/>
            <w:hideMark/>
          </w:tcPr>
          <w:p w14:paraId="67555FEF" w14:textId="77777777" w:rsidR="00E15393" w:rsidRDefault="00E15393" w:rsidP="00E15393">
            <w:pPr>
              <w:spacing w:after="0" w:line="240" w:lineRule="auto"/>
              <w:jc w:val="center"/>
              <w:rPr>
                <w:rFonts w:ascii="Calibri" w:eastAsia="Times New Roman" w:hAnsi="Calibri" w:cs="Calibri"/>
                <w:color w:val="000000"/>
                <w:sz w:val="18"/>
                <w:szCs w:val="18"/>
                <w:lang w:bidi="he-IL"/>
              </w:rPr>
            </w:pPr>
            <w:r>
              <w:rPr>
                <w:rFonts w:ascii="Calibri" w:eastAsia="Times New Roman" w:hAnsi="Calibri" w:cs="Calibri"/>
                <w:color w:val="000000"/>
                <w:sz w:val="18"/>
                <w:szCs w:val="18"/>
                <w:lang w:bidi="he-IL"/>
              </w:rPr>
              <w:t>75.4± 9.3</w:t>
            </w:r>
          </w:p>
        </w:tc>
        <w:tc>
          <w:tcPr>
            <w:tcW w:w="1217" w:type="dxa"/>
            <w:tcBorders>
              <w:top w:val="single" w:sz="4" w:space="0" w:color="auto"/>
              <w:left w:val="single" w:sz="4" w:space="0" w:color="auto"/>
              <w:bottom w:val="single" w:sz="4" w:space="0" w:color="auto"/>
              <w:right w:val="single" w:sz="4" w:space="0" w:color="auto"/>
            </w:tcBorders>
            <w:noWrap/>
            <w:vAlign w:val="center"/>
            <w:hideMark/>
          </w:tcPr>
          <w:p w14:paraId="514E5154" w14:textId="77777777" w:rsidR="00E15393" w:rsidRDefault="00E15393" w:rsidP="00E15393">
            <w:pPr>
              <w:spacing w:after="0" w:line="240" w:lineRule="auto"/>
              <w:jc w:val="center"/>
              <w:rPr>
                <w:rFonts w:ascii="Calibri" w:eastAsia="Times New Roman" w:hAnsi="Calibri" w:cs="Calibri"/>
                <w:color w:val="000000"/>
                <w:sz w:val="18"/>
                <w:szCs w:val="18"/>
                <w:lang w:bidi="he-IL"/>
              </w:rPr>
            </w:pPr>
            <w:r>
              <w:rPr>
                <w:rFonts w:ascii="Calibri" w:eastAsia="Times New Roman" w:hAnsi="Calibri" w:cs="Calibri"/>
                <w:color w:val="000000"/>
                <w:sz w:val="18"/>
                <w:szCs w:val="18"/>
                <w:lang w:bidi="he-IL"/>
              </w:rPr>
              <w:t>75.3± 9.6</w:t>
            </w:r>
          </w:p>
        </w:tc>
      </w:tr>
      <w:tr w:rsidR="00E15393" w14:paraId="7435FADD" w14:textId="77777777" w:rsidTr="00D36C83">
        <w:trPr>
          <w:trHeight w:val="288"/>
        </w:trPr>
        <w:tc>
          <w:tcPr>
            <w:tcW w:w="2304" w:type="dxa"/>
            <w:tcBorders>
              <w:top w:val="single" w:sz="4" w:space="0" w:color="auto"/>
              <w:left w:val="single" w:sz="4" w:space="0" w:color="auto"/>
              <w:bottom w:val="single" w:sz="4" w:space="0" w:color="auto"/>
              <w:right w:val="single" w:sz="4" w:space="0" w:color="auto"/>
            </w:tcBorders>
            <w:vAlign w:val="center"/>
            <w:hideMark/>
          </w:tcPr>
          <w:p w14:paraId="45CE59BE" w14:textId="77777777" w:rsidR="00E15393" w:rsidRDefault="00E15393" w:rsidP="00E15393">
            <w:pPr>
              <w:spacing w:after="0" w:line="240" w:lineRule="auto"/>
              <w:rPr>
                <w:rFonts w:ascii="Calibri" w:eastAsia="Times New Roman" w:hAnsi="Calibri" w:cs="Calibri"/>
                <w:b/>
                <w:bCs/>
                <w:color w:val="000000"/>
                <w:sz w:val="18"/>
                <w:szCs w:val="18"/>
                <w:lang w:bidi="he-IL"/>
              </w:rPr>
            </w:pPr>
            <w:r>
              <w:rPr>
                <w:rFonts w:ascii="Calibri" w:eastAsia="Times New Roman" w:hAnsi="Calibri" w:cs="Calibri"/>
                <w:b/>
                <w:bCs/>
                <w:color w:val="000000"/>
                <w:sz w:val="18"/>
                <w:szCs w:val="18"/>
                <w:lang w:bidi="he-IL"/>
              </w:rPr>
              <w:t>LDL-C (mg/dL)- mean± SD</w:t>
            </w:r>
          </w:p>
        </w:tc>
        <w:tc>
          <w:tcPr>
            <w:tcW w:w="1171"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hideMark/>
          </w:tcPr>
          <w:p w14:paraId="1855A3F8" w14:textId="77777777" w:rsidR="00E15393" w:rsidRDefault="00E15393" w:rsidP="00E15393">
            <w:pPr>
              <w:spacing w:after="0" w:line="240" w:lineRule="auto"/>
              <w:jc w:val="center"/>
              <w:rPr>
                <w:rFonts w:ascii="Calibri" w:eastAsia="Times New Roman" w:hAnsi="Calibri" w:cs="Calibri"/>
                <w:color w:val="000000"/>
                <w:sz w:val="18"/>
                <w:szCs w:val="18"/>
                <w:lang w:bidi="he-IL"/>
              </w:rPr>
            </w:pPr>
            <w:r>
              <w:rPr>
                <w:rFonts w:ascii="Calibri" w:eastAsia="Times New Roman" w:hAnsi="Calibri" w:cs="Calibri"/>
                <w:color w:val="000000"/>
                <w:sz w:val="18"/>
                <w:szCs w:val="18"/>
                <w:lang w:bidi="he-IL"/>
              </w:rPr>
              <w:t>89.9± 35.6</w:t>
            </w:r>
          </w:p>
        </w:tc>
        <w:tc>
          <w:tcPr>
            <w:tcW w:w="1081"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hideMark/>
          </w:tcPr>
          <w:p w14:paraId="288021AF" w14:textId="77777777" w:rsidR="00E15393" w:rsidRDefault="00E15393" w:rsidP="00E15393">
            <w:pPr>
              <w:spacing w:after="0" w:line="240" w:lineRule="auto"/>
              <w:jc w:val="center"/>
              <w:rPr>
                <w:rFonts w:ascii="Calibri" w:eastAsia="Times New Roman" w:hAnsi="Calibri" w:cs="Calibri"/>
                <w:color w:val="000000"/>
                <w:sz w:val="18"/>
                <w:szCs w:val="18"/>
                <w:lang w:bidi="he-IL"/>
              </w:rPr>
            </w:pPr>
            <w:r>
              <w:rPr>
                <w:rFonts w:ascii="Calibri" w:eastAsia="Times New Roman" w:hAnsi="Calibri" w:cs="Calibri"/>
                <w:color w:val="000000"/>
                <w:sz w:val="18"/>
                <w:szCs w:val="18"/>
                <w:lang w:bidi="he-IL"/>
              </w:rPr>
              <w:t>90.7± 36.2</w:t>
            </w:r>
          </w:p>
        </w:tc>
        <w:tc>
          <w:tcPr>
            <w:tcW w:w="1169" w:type="dxa"/>
            <w:tcBorders>
              <w:top w:val="single" w:sz="4" w:space="0" w:color="auto"/>
              <w:left w:val="single" w:sz="4" w:space="0" w:color="auto"/>
              <w:bottom w:val="single" w:sz="4" w:space="0" w:color="auto"/>
              <w:right w:val="single" w:sz="4" w:space="0" w:color="auto"/>
            </w:tcBorders>
            <w:shd w:val="clear" w:color="auto" w:fill="DCE6F1"/>
            <w:noWrap/>
            <w:vAlign w:val="center"/>
            <w:hideMark/>
          </w:tcPr>
          <w:p w14:paraId="46A4E05F" w14:textId="77777777" w:rsidR="00E15393" w:rsidRDefault="00E15393" w:rsidP="00E15393">
            <w:pPr>
              <w:spacing w:after="0" w:line="240" w:lineRule="auto"/>
              <w:jc w:val="center"/>
              <w:rPr>
                <w:rFonts w:ascii="Calibri" w:eastAsia="Times New Roman" w:hAnsi="Calibri" w:cs="Calibri"/>
                <w:color w:val="000000"/>
                <w:sz w:val="18"/>
                <w:szCs w:val="18"/>
                <w:lang w:bidi="he-IL"/>
              </w:rPr>
            </w:pPr>
            <w:r>
              <w:rPr>
                <w:rFonts w:ascii="Calibri" w:eastAsia="Times New Roman" w:hAnsi="Calibri" w:cs="Calibri"/>
                <w:color w:val="000000"/>
                <w:sz w:val="18"/>
                <w:szCs w:val="18"/>
                <w:lang w:bidi="he-IL"/>
              </w:rPr>
              <w:t>85.4± 34.3</w:t>
            </w:r>
          </w:p>
        </w:tc>
        <w:tc>
          <w:tcPr>
            <w:tcW w:w="1170" w:type="dxa"/>
            <w:tcBorders>
              <w:top w:val="single" w:sz="4" w:space="0" w:color="auto"/>
              <w:left w:val="single" w:sz="4" w:space="0" w:color="auto"/>
              <w:bottom w:val="single" w:sz="4" w:space="0" w:color="auto"/>
              <w:right w:val="single" w:sz="4" w:space="0" w:color="auto"/>
            </w:tcBorders>
            <w:shd w:val="clear" w:color="auto" w:fill="DCE6F1"/>
            <w:noWrap/>
            <w:vAlign w:val="center"/>
            <w:hideMark/>
          </w:tcPr>
          <w:p w14:paraId="3E4085F0" w14:textId="77777777" w:rsidR="00E15393" w:rsidRDefault="00E15393" w:rsidP="00E15393">
            <w:pPr>
              <w:spacing w:after="0" w:line="240" w:lineRule="auto"/>
              <w:jc w:val="center"/>
              <w:rPr>
                <w:rFonts w:ascii="Calibri" w:eastAsia="Times New Roman" w:hAnsi="Calibri" w:cs="Calibri"/>
                <w:color w:val="000000"/>
                <w:sz w:val="18"/>
                <w:szCs w:val="18"/>
                <w:lang w:bidi="he-IL"/>
              </w:rPr>
            </w:pPr>
            <w:r>
              <w:rPr>
                <w:rFonts w:ascii="Calibri" w:eastAsia="Times New Roman" w:hAnsi="Calibri" w:cs="Calibri"/>
                <w:color w:val="000000"/>
                <w:sz w:val="18"/>
                <w:szCs w:val="18"/>
                <w:lang w:bidi="he-IL"/>
              </w:rPr>
              <w:t>85.3± 34.7</w:t>
            </w:r>
          </w:p>
        </w:tc>
        <w:tc>
          <w:tcPr>
            <w:tcW w:w="1214" w:type="dxa"/>
            <w:tcBorders>
              <w:top w:val="single" w:sz="4" w:space="0" w:color="auto"/>
              <w:left w:val="single" w:sz="4" w:space="0" w:color="auto"/>
              <w:bottom w:val="single" w:sz="4" w:space="0" w:color="auto"/>
              <w:right w:val="single" w:sz="4" w:space="0" w:color="auto"/>
            </w:tcBorders>
            <w:noWrap/>
            <w:vAlign w:val="center"/>
            <w:hideMark/>
          </w:tcPr>
          <w:p w14:paraId="762DF4CB" w14:textId="77777777" w:rsidR="00E15393" w:rsidRDefault="00E15393" w:rsidP="00E15393">
            <w:pPr>
              <w:spacing w:after="0" w:line="240" w:lineRule="auto"/>
              <w:jc w:val="center"/>
              <w:rPr>
                <w:rFonts w:ascii="Calibri" w:eastAsia="Times New Roman" w:hAnsi="Calibri" w:cs="Calibri"/>
                <w:color w:val="000000"/>
                <w:sz w:val="18"/>
                <w:szCs w:val="18"/>
                <w:lang w:bidi="he-IL"/>
              </w:rPr>
            </w:pPr>
            <w:r>
              <w:rPr>
                <w:rFonts w:ascii="Calibri" w:eastAsia="Times New Roman" w:hAnsi="Calibri" w:cs="Calibri"/>
                <w:color w:val="000000"/>
                <w:sz w:val="18"/>
                <w:szCs w:val="18"/>
                <w:lang w:bidi="he-IL"/>
              </w:rPr>
              <w:t>83.8± 36.4</w:t>
            </w:r>
          </w:p>
        </w:tc>
        <w:tc>
          <w:tcPr>
            <w:tcW w:w="1217" w:type="dxa"/>
            <w:tcBorders>
              <w:top w:val="single" w:sz="4" w:space="0" w:color="auto"/>
              <w:left w:val="single" w:sz="4" w:space="0" w:color="auto"/>
              <w:bottom w:val="single" w:sz="4" w:space="0" w:color="auto"/>
              <w:right w:val="single" w:sz="4" w:space="0" w:color="auto"/>
            </w:tcBorders>
            <w:noWrap/>
            <w:vAlign w:val="center"/>
            <w:hideMark/>
          </w:tcPr>
          <w:p w14:paraId="5C150588" w14:textId="77777777" w:rsidR="00E15393" w:rsidRDefault="00E15393" w:rsidP="00E15393">
            <w:pPr>
              <w:spacing w:after="0" w:line="240" w:lineRule="auto"/>
              <w:jc w:val="center"/>
              <w:rPr>
                <w:rFonts w:ascii="Calibri" w:eastAsia="Times New Roman" w:hAnsi="Calibri" w:cs="Calibri"/>
                <w:color w:val="000000"/>
                <w:sz w:val="18"/>
                <w:szCs w:val="18"/>
                <w:lang w:bidi="he-IL"/>
              </w:rPr>
            </w:pPr>
            <w:r>
              <w:rPr>
                <w:rFonts w:ascii="Calibri" w:eastAsia="Times New Roman" w:hAnsi="Calibri" w:cs="Calibri"/>
                <w:color w:val="000000"/>
                <w:sz w:val="18"/>
                <w:szCs w:val="18"/>
                <w:lang w:bidi="he-IL"/>
              </w:rPr>
              <w:t>83.2± 36.5</w:t>
            </w:r>
          </w:p>
        </w:tc>
      </w:tr>
      <w:tr w:rsidR="00E15393" w14:paraId="62879D3F" w14:textId="77777777" w:rsidTr="00D36C83">
        <w:trPr>
          <w:trHeight w:val="288"/>
        </w:trPr>
        <w:tc>
          <w:tcPr>
            <w:tcW w:w="2304" w:type="dxa"/>
            <w:tcBorders>
              <w:top w:val="single" w:sz="4" w:space="0" w:color="auto"/>
              <w:left w:val="single" w:sz="4" w:space="0" w:color="auto"/>
              <w:bottom w:val="single" w:sz="4" w:space="0" w:color="auto"/>
              <w:right w:val="single" w:sz="4" w:space="0" w:color="auto"/>
            </w:tcBorders>
            <w:vAlign w:val="center"/>
            <w:hideMark/>
          </w:tcPr>
          <w:p w14:paraId="55E5D729" w14:textId="77777777" w:rsidR="00E15393" w:rsidRDefault="00E15393" w:rsidP="00E15393">
            <w:pPr>
              <w:spacing w:after="0" w:line="240" w:lineRule="auto"/>
              <w:rPr>
                <w:rFonts w:ascii="Calibri" w:eastAsia="Times New Roman" w:hAnsi="Calibri" w:cs="Calibri"/>
                <w:b/>
                <w:bCs/>
                <w:color w:val="000000"/>
                <w:sz w:val="18"/>
                <w:szCs w:val="18"/>
                <w:lang w:bidi="he-IL"/>
              </w:rPr>
            </w:pPr>
            <w:r>
              <w:rPr>
                <w:rFonts w:ascii="Calibri" w:eastAsia="Times New Roman" w:hAnsi="Calibri" w:cs="Calibri"/>
                <w:b/>
                <w:bCs/>
                <w:color w:val="000000"/>
                <w:sz w:val="18"/>
                <w:szCs w:val="18"/>
                <w:lang w:bidi="he-IL"/>
              </w:rPr>
              <w:t>HDL-C (mg/dL)- mean± SD</w:t>
            </w:r>
          </w:p>
        </w:tc>
        <w:tc>
          <w:tcPr>
            <w:tcW w:w="1171"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hideMark/>
          </w:tcPr>
          <w:p w14:paraId="6D7C28DE" w14:textId="77777777" w:rsidR="00E15393" w:rsidRDefault="00E15393" w:rsidP="00E15393">
            <w:pPr>
              <w:spacing w:after="0" w:line="240" w:lineRule="auto"/>
              <w:jc w:val="center"/>
              <w:rPr>
                <w:rFonts w:ascii="Calibri" w:eastAsia="Times New Roman" w:hAnsi="Calibri" w:cs="Calibri"/>
                <w:color w:val="000000"/>
                <w:sz w:val="18"/>
                <w:szCs w:val="18"/>
                <w:lang w:bidi="he-IL"/>
              </w:rPr>
            </w:pPr>
            <w:r>
              <w:rPr>
                <w:rFonts w:ascii="Calibri" w:eastAsia="Times New Roman" w:hAnsi="Calibri" w:cs="Calibri"/>
                <w:color w:val="000000"/>
                <w:sz w:val="18"/>
                <w:szCs w:val="18"/>
                <w:lang w:bidi="he-IL"/>
              </w:rPr>
              <w:t>47.3± 13.1</w:t>
            </w:r>
          </w:p>
        </w:tc>
        <w:tc>
          <w:tcPr>
            <w:tcW w:w="1081"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hideMark/>
          </w:tcPr>
          <w:p w14:paraId="4F38B8D8" w14:textId="77777777" w:rsidR="00E15393" w:rsidRDefault="00E15393" w:rsidP="00E15393">
            <w:pPr>
              <w:spacing w:after="0" w:line="240" w:lineRule="auto"/>
              <w:jc w:val="center"/>
              <w:rPr>
                <w:rFonts w:ascii="Calibri" w:eastAsia="Times New Roman" w:hAnsi="Calibri" w:cs="Calibri"/>
                <w:color w:val="000000"/>
                <w:sz w:val="18"/>
                <w:szCs w:val="18"/>
                <w:lang w:bidi="he-IL"/>
              </w:rPr>
            </w:pPr>
            <w:r>
              <w:rPr>
                <w:rFonts w:ascii="Calibri" w:eastAsia="Times New Roman" w:hAnsi="Calibri" w:cs="Calibri"/>
                <w:color w:val="000000"/>
                <w:sz w:val="18"/>
                <w:szCs w:val="18"/>
                <w:lang w:bidi="he-IL"/>
              </w:rPr>
              <w:t>47.5± 13.1</w:t>
            </w:r>
          </w:p>
        </w:tc>
        <w:tc>
          <w:tcPr>
            <w:tcW w:w="1169" w:type="dxa"/>
            <w:tcBorders>
              <w:top w:val="single" w:sz="4" w:space="0" w:color="auto"/>
              <w:left w:val="single" w:sz="4" w:space="0" w:color="auto"/>
              <w:bottom w:val="single" w:sz="4" w:space="0" w:color="auto"/>
              <w:right w:val="single" w:sz="4" w:space="0" w:color="auto"/>
            </w:tcBorders>
            <w:shd w:val="clear" w:color="auto" w:fill="DCE6F1"/>
            <w:noWrap/>
            <w:vAlign w:val="center"/>
            <w:hideMark/>
          </w:tcPr>
          <w:p w14:paraId="0DDFE53C" w14:textId="77777777" w:rsidR="00E15393" w:rsidRDefault="00E15393" w:rsidP="00E15393">
            <w:pPr>
              <w:spacing w:after="0" w:line="240" w:lineRule="auto"/>
              <w:jc w:val="center"/>
              <w:rPr>
                <w:rFonts w:ascii="Calibri" w:eastAsia="Times New Roman" w:hAnsi="Calibri" w:cs="Calibri"/>
                <w:color w:val="000000"/>
                <w:sz w:val="18"/>
                <w:szCs w:val="18"/>
                <w:lang w:bidi="he-IL"/>
              </w:rPr>
            </w:pPr>
            <w:r>
              <w:rPr>
                <w:rFonts w:ascii="Calibri" w:eastAsia="Times New Roman" w:hAnsi="Calibri" w:cs="Calibri"/>
                <w:color w:val="000000"/>
                <w:sz w:val="18"/>
                <w:szCs w:val="18"/>
                <w:lang w:bidi="he-IL"/>
              </w:rPr>
              <w:t>47.5± 12.9</w:t>
            </w:r>
          </w:p>
        </w:tc>
        <w:tc>
          <w:tcPr>
            <w:tcW w:w="1170" w:type="dxa"/>
            <w:tcBorders>
              <w:top w:val="single" w:sz="4" w:space="0" w:color="auto"/>
              <w:left w:val="single" w:sz="4" w:space="0" w:color="auto"/>
              <w:bottom w:val="single" w:sz="4" w:space="0" w:color="auto"/>
              <w:right w:val="single" w:sz="4" w:space="0" w:color="auto"/>
            </w:tcBorders>
            <w:shd w:val="clear" w:color="auto" w:fill="DCE6F1"/>
            <w:noWrap/>
            <w:vAlign w:val="center"/>
            <w:hideMark/>
          </w:tcPr>
          <w:p w14:paraId="6169E5B8" w14:textId="77777777" w:rsidR="00E15393" w:rsidRDefault="00E15393" w:rsidP="00E15393">
            <w:pPr>
              <w:spacing w:after="0" w:line="240" w:lineRule="auto"/>
              <w:jc w:val="center"/>
              <w:rPr>
                <w:rFonts w:ascii="Calibri" w:eastAsia="Times New Roman" w:hAnsi="Calibri" w:cs="Calibri"/>
                <w:color w:val="000000"/>
                <w:sz w:val="18"/>
                <w:szCs w:val="18"/>
                <w:lang w:bidi="he-IL"/>
              </w:rPr>
            </w:pPr>
            <w:r>
              <w:rPr>
                <w:rFonts w:ascii="Calibri" w:eastAsia="Times New Roman" w:hAnsi="Calibri" w:cs="Calibri"/>
                <w:color w:val="000000"/>
                <w:sz w:val="18"/>
                <w:szCs w:val="18"/>
                <w:lang w:bidi="he-IL"/>
              </w:rPr>
              <w:t>47.3± 13.1</w:t>
            </w:r>
          </w:p>
        </w:tc>
        <w:tc>
          <w:tcPr>
            <w:tcW w:w="1214" w:type="dxa"/>
            <w:tcBorders>
              <w:top w:val="single" w:sz="4" w:space="0" w:color="auto"/>
              <w:left w:val="single" w:sz="4" w:space="0" w:color="auto"/>
              <w:bottom w:val="single" w:sz="4" w:space="0" w:color="auto"/>
              <w:right w:val="single" w:sz="4" w:space="0" w:color="auto"/>
            </w:tcBorders>
            <w:noWrap/>
            <w:vAlign w:val="center"/>
            <w:hideMark/>
          </w:tcPr>
          <w:p w14:paraId="7EE5EACD" w14:textId="77777777" w:rsidR="00E15393" w:rsidRDefault="00E15393" w:rsidP="00E15393">
            <w:pPr>
              <w:spacing w:after="0" w:line="240" w:lineRule="auto"/>
              <w:jc w:val="center"/>
              <w:rPr>
                <w:rFonts w:ascii="Calibri" w:eastAsia="Times New Roman" w:hAnsi="Calibri" w:cs="Calibri"/>
                <w:color w:val="000000"/>
                <w:sz w:val="18"/>
                <w:szCs w:val="18"/>
                <w:lang w:bidi="he-IL"/>
              </w:rPr>
            </w:pPr>
            <w:r>
              <w:rPr>
                <w:rFonts w:ascii="Calibri" w:eastAsia="Times New Roman" w:hAnsi="Calibri" w:cs="Calibri"/>
                <w:color w:val="000000"/>
                <w:sz w:val="18"/>
                <w:szCs w:val="18"/>
                <w:lang w:bidi="he-IL"/>
              </w:rPr>
              <w:t>43.9± 11.1</w:t>
            </w:r>
          </w:p>
        </w:tc>
        <w:tc>
          <w:tcPr>
            <w:tcW w:w="1217" w:type="dxa"/>
            <w:tcBorders>
              <w:top w:val="single" w:sz="4" w:space="0" w:color="auto"/>
              <w:left w:val="single" w:sz="4" w:space="0" w:color="auto"/>
              <w:bottom w:val="single" w:sz="4" w:space="0" w:color="auto"/>
              <w:right w:val="single" w:sz="4" w:space="0" w:color="auto"/>
            </w:tcBorders>
            <w:noWrap/>
            <w:vAlign w:val="center"/>
            <w:hideMark/>
          </w:tcPr>
          <w:p w14:paraId="556DC04B" w14:textId="77777777" w:rsidR="00E15393" w:rsidRDefault="00E15393" w:rsidP="00E15393">
            <w:pPr>
              <w:spacing w:after="0" w:line="240" w:lineRule="auto"/>
              <w:jc w:val="center"/>
              <w:rPr>
                <w:rFonts w:ascii="Calibri" w:eastAsia="Times New Roman" w:hAnsi="Calibri" w:cs="Calibri"/>
                <w:color w:val="000000"/>
                <w:sz w:val="18"/>
                <w:szCs w:val="18"/>
                <w:lang w:bidi="he-IL"/>
              </w:rPr>
            </w:pPr>
            <w:r>
              <w:rPr>
                <w:rFonts w:ascii="Calibri" w:eastAsia="Times New Roman" w:hAnsi="Calibri" w:cs="Calibri"/>
                <w:color w:val="000000"/>
                <w:sz w:val="18"/>
                <w:szCs w:val="18"/>
                <w:lang w:bidi="he-IL"/>
              </w:rPr>
              <w:t>44.5± 12.8</w:t>
            </w:r>
          </w:p>
        </w:tc>
      </w:tr>
      <w:tr w:rsidR="00E15393" w14:paraId="1B0E20D1" w14:textId="77777777" w:rsidTr="00D36C83">
        <w:trPr>
          <w:trHeight w:val="288"/>
        </w:trPr>
        <w:tc>
          <w:tcPr>
            <w:tcW w:w="2304" w:type="dxa"/>
            <w:tcBorders>
              <w:top w:val="single" w:sz="4" w:space="0" w:color="auto"/>
              <w:left w:val="single" w:sz="4" w:space="0" w:color="auto"/>
              <w:bottom w:val="single" w:sz="4" w:space="0" w:color="auto"/>
              <w:right w:val="single" w:sz="4" w:space="0" w:color="auto"/>
            </w:tcBorders>
            <w:vAlign w:val="center"/>
            <w:hideMark/>
          </w:tcPr>
          <w:p w14:paraId="07A85C1F" w14:textId="77777777" w:rsidR="00E15393" w:rsidRDefault="00E15393" w:rsidP="00E15393">
            <w:pPr>
              <w:spacing w:after="0" w:line="240" w:lineRule="auto"/>
              <w:rPr>
                <w:rFonts w:ascii="Calibri" w:eastAsia="Times New Roman" w:hAnsi="Calibri" w:cs="Calibri"/>
                <w:b/>
                <w:bCs/>
                <w:color w:val="000000"/>
                <w:sz w:val="18"/>
                <w:szCs w:val="18"/>
                <w:lang w:bidi="he-IL"/>
              </w:rPr>
            </w:pPr>
            <w:r>
              <w:rPr>
                <w:rFonts w:ascii="Calibri" w:eastAsia="Times New Roman" w:hAnsi="Calibri" w:cs="Calibri"/>
                <w:b/>
                <w:bCs/>
                <w:color w:val="000000"/>
                <w:sz w:val="18"/>
                <w:szCs w:val="18"/>
                <w:lang w:bidi="he-IL"/>
              </w:rPr>
              <w:t>Triglycerides (mg/dL)- mean± SD</w:t>
            </w:r>
          </w:p>
        </w:tc>
        <w:tc>
          <w:tcPr>
            <w:tcW w:w="1171"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hideMark/>
          </w:tcPr>
          <w:p w14:paraId="60E2C9C2" w14:textId="77777777" w:rsidR="00E15393" w:rsidRDefault="00E15393" w:rsidP="00E15393">
            <w:pPr>
              <w:spacing w:after="0" w:line="240" w:lineRule="auto"/>
              <w:jc w:val="center"/>
              <w:rPr>
                <w:rFonts w:ascii="Calibri" w:eastAsia="Times New Roman" w:hAnsi="Calibri" w:cs="Calibri"/>
                <w:color w:val="000000"/>
                <w:sz w:val="18"/>
                <w:szCs w:val="18"/>
                <w:lang w:bidi="he-IL"/>
              </w:rPr>
            </w:pPr>
            <w:r>
              <w:rPr>
                <w:rFonts w:ascii="Calibri" w:eastAsia="Times New Roman" w:hAnsi="Calibri" w:cs="Calibri"/>
                <w:color w:val="000000"/>
                <w:sz w:val="18"/>
                <w:szCs w:val="18"/>
                <w:lang w:bidi="he-IL"/>
              </w:rPr>
              <w:t>181.5± 147.7</w:t>
            </w:r>
          </w:p>
        </w:tc>
        <w:tc>
          <w:tcPr>
            <w:tcW w:w="1081"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hideMark/>
          </w:tcPr>
          <w:p w14:paraId="7762EFAA" w14:textId="77777777" w:rsidR="00E15393" w:rsidRDefault="00E15393" w:rsidP="00E15393">
            <w:pPr>
              <w:spacing w:after="0" w:line="240" w:lineRule="auto"/>
              <w:jc w:val="center"/>
              <w:rPr>
                <w:rFonts w:ascii="Calibri" w:eastAsia="Times New Roman" w:hAnsi="Calibri" w:cs="Calibri"/>
                <w:color w:val="000000"/>
                <w:sz w:val="18"/>
                <w:szCs w:val="18"/>
                <w:lang w:bidi="he-IL"/>
              </w:rPr>
            </w:pPr>
            <w:r>
              <w:rPr>
                <w:rFonts w:ascii="Calibri" w:eastAsia="Times New Roman" w:hAnsi="Calibri" w:cs="Calibri"/>
                <w:color w:val="000000"/>
                <w:sz w:val="18"/>
                <w:szCs w:val="18"/>
                <w:lang w:bidi="he-IL"/>
              </w:rPr>
              <w:t>177.1± 135.3</w:t>
            </w:r>
          </w:p>
        </w:tc>
        <w:tc>
          <w:tcPr>
            <w:tcW w:w="1169" w:type="dxa"/>
            <w:tcBorders>
              <w:top w:val="single" w:sz="4" w:space="0" w:color="auto"/>
              <w:left w:val="single" w:sz="4" w:space="0" w:color="auto"/>
              <w:bottom w:val="single" w:sz="4" w:space="0" w:color="auto"/>
              <w:right w:val="single" w:sz="4" w:space="0" w:color="auto"/>
            </w:tcBorders>
            <w:shd w:val="clear" w:color="auto" w:fill="DCE6F1"/>
            <w:noWrap/>
            <w:vAlign w:val="center"/>
            <w:hideMark/>
          </w:tcPr>
          <w:p w14:paraId="450EB8E0" w14:textId="77777777" w:rsidR="00E15393" w:rsidRDefault="00E15393" w:rsidP="00E15393">
            <w:pPr>
              <w:spacing w:after="0" w:line="240" w:lineRule="auto"/>
              <w:jc w:val="center"/>
              <w:rPr>
                <w:rFonts w:ascii="Calibri" w:eastAsia="Times New Roman" w:hAnsi="Calibri" w:cs="Calibri"/>
                <w:color w:val="000000"/>
                <w:sz w:val="18"/>
                <w:szCs w:val="18"/>
                <w:lang w:bidi="he-IL"/>
              </w:rPr>
            </w:pPr>
            <w:r>
              <w:rPr>
                <w:rFonts w:ascii="Calibri" w:eastAsia="Times New Roman" w:hAnsi="Calibri" w:cs="Calibri"/>
                <w:color w:val="000000"/>
                <w:sz w:val="18"/>
                <w:szCs w:val="18"/>
                <w:lang w:bidi="he-IL"/>
              </w:rPr>
              <w:t>172.0± 118.8</w:t>
            </w:r>
          </w:p>
        </w:tc>
        <w:tc>
          <w:tcPr>
            <w:tcW w:w="1170" w:type="dxa"/>
            <w:tcBorders>
              <w:top w:val="single" w:sz="4" w:space="0" w:color="auto"/>
              <w:left w:val="single" w:sz="4" w:space="0" w:color="auto"/>
              <w:bottom w:val="single" w:sz="4" w:space="0" w:color="auto"/>
              <w:right w:val="single" w:sz="4" w:space="0" w:color="auto"/>
            </w:tcBorders>
            <w:shd w:val="clear" w:color="auto" w:fill="DCE6F1"/>
            <w:noWrap/>
            <w:vAlign w:val="center"/>
            <w:hideMark/>
          </w:tcPr>
          <w:p w14:paraId="60D755B8" w14:textId="77777777" w:rsidR="00E15393" w:rsidRDefault="00E15393" w:rsidP="00E15393">
            <w:pPr>
              <w:spacing w:after="0" w:line="240" w:lineRule="auto"/>
              <w:jc w:val="center"/>
              <w:rPr>
                <w:rFonts w:ascii="Calibri" w:eastAsia="Times New Roman" w:hAnsi="Calibri" w:cs="Calibri"/>
                <w:color w:val="000000"/>
                <w:sz w:val="18"/>
                <w:szCs w:val="18"/>
                <w:lang w:bidi="he-IL"/>
              </w:rPr>
            </w:pPr>
            <w:r>
              <w:rPr>
                <w:rFonts w:ascii="Calibri" w:eastAsia="Times New Roman" w:hAnsi="Calibri" w:cs="Calibri"/>
                <w:color w:val="000000"/>
                <w:sz w:val="18"/>
                <w:szCs w:val="18"/>
                <w:lang w:bidi="he-IL"/>
              </w:rPr>
              <w:t>175.8± 124.6</w:t>
            </w:r>
          </w:p>
        </w:tc>
        <w:tc>
          <w:tcPr>
            <w:tcW w:w="1214" w:type="dxa"/>
            <w:tcBorders>
              <w:top w:val="single" w:sz="4" w:space="0" w:color="auto"/>
              <w:left w:val="single" w:sz="4" w:space="0" w:color="auto"/>
              <w:bottom w:val="single" w:sz="4" w:space="0" w:color="auto"/>
              <w:right w:val="single" w:sz="4" w:space="0" w:color="auto"/>
            </w:tcBorders>
            <w:noWrap/>
            <w:vAlign w:val="center"/>
            <w:hideMark/>
          </w:tcPr>
          <w:p w14:paraId="6A71190D" w14:textId="77777777" w:rsidR="00E15393" w:rsidRDefault="00E15393" w:rsidP="00E15393">
            <w:pPr>
              <w:spacing w:after="0" w:line="240" w:lineRule="auto"/>
              <w:jc w:val="center"/>
              <w:rPr>
                <w:rFonts w:ascii="Calibri" w:eastAsia="Times New Roman" w:hAnsi="Calibri" w:cs="Calibri"/>
                <w:color w:val="000000"/>
                <w:sz w:val="18"/>
                <w:szCs w:val="18"/>
                <w:lang w:bidi="he-IL"/>
              </w:rPr>
            </w:pPr>
            <w:r>
              <w:rPr>
                <w:rFonts w:ascii="Calibri" w:eastAsia="Times New Roman" w:hAnsi="Calibri" w:cs="Calibri"/>
                <w:color w:val="000000"/>
                <w:sz w:val="18"/>
                <w:szCs w:val="18"/>
                <w:lang w:bidi="he-IL"/>
              </w:rPr>
              <w:t>196.3± 154.7</w:t>
            </w:r>
          </w:p>
        </w:tc>
        <w:tc>
          <w:tcPr>
            <w:tcW w:w="1217" w:type="dxa"/>
            <w:tcBorders>
              <w:top w:val="single" w:sz="4" w:space="0" w:color="auto"/>
              <w:left w:val="single" w:sz="4" w:space="0" w:color="auto"/>
              <w:bottom w:val="single" w:sz="4" w:space="0" w:color="auto"/>
              <w:right w:val="single" w:sz="4" w:space="0" w:color="auto"/>
            </w:tcBorders>
            <w:noWrap/>
            <w:vAlign w:val="center"/>
            <w:hideMark/>
          </w:tcPr>
          <w:p w14:paraId="0FDAE5C3" w14:textId="77777777" w:rsidR="00E15393" w:rsidRDefault="00E15393" w:rsidP="00E15393">
            <w:pPr>
              <w:spacing w:after="0" w:line="240" w:lineRule="auto"/>
              <w:jc w:val="center"/>
              <w:rPr>
                <w:rFonts w:ascii="Calibri" w:eastAsia="Times New Roman" w:hAnsi="Calibri" w:cs="Calibri"/>
                <w:color w:val="000000"/>
                <w:sz w:val="18"/>
                <w:szCs w:val="18"/>
                <w:lang w:bidi="he-IL"/>
              </w:rPr>
            </w:pPr>
            <w:r>
              <w:rPr>
                <w:rFonts w:ascii="Calibri" w:eastAsia="Times New Roman" w:hAnsi="Calibri" w:cs="Calibri"/>
                <w:color w:val="000000"/>
                <w:sz w:val="18"/>
                <w:szCs w:val="18"/>
                <w:lang w:bidi="he-IL"/>
              </w:rPr>
              <w:t>198.5± 156.0</w:t>
            </w:r>
          </w:p>
        </w:tc>
      </w:tr>
    </w:tbl>
    <w:p w14:paraId="080DAEC5" w14:textId="77777777" w:rsidR="003A503B" w:rsidRDefault="003A503B" w:rsidP="003A503B">
      <w:pPr>
        <w:spacing w:after="0"/>
      </w:pPr>
      <w:r>
        <w:t>*. eGFR calculated using CKD-EPI formula.</w:t>
      </w:r>
    </w:p>
    <w:p w14:paraId="7EE32A13" w14:textId="77777777" w:rsidR="003A503B" w:rsidRDefault="003A503B" w:rsidP="003A503B">
      <w:pPr>
        <w:spacing w:after="0"/>
      </w:pPr>
      <w:r>
        <w:t>#. History of Dyslipidemia within last 12 months</w:t>
      </w:r>
    </w:p>
    <w:p w14:paraId="6BD217F5" w14:textId="77777777" w:rsidR="003A503B" w:rsidRDefault="003A503B" w:rsidP="003A503B">
      <w:pPr>
        <w:spacing w:after="0"/>
      </w:pPr>
      <w:r>
        <w:t>##. History of HTN- vitals or therapy</w:t>
      </w:r>
    </w:p>
    <w:p w14:paraId="75EDF1FC" w14:textId="77777777" w:rsidR="003A503B" w:rsidRDefault="003A503B" w:rsidP="003A503B">
      <w:pPr>
        <w:rPr>
          <w:b/>
          <w:bCs/>
          <w:lang w:bidi="he-IL"/>
        </w:rPr>
      </w:pPr>
    </w:p>
    <w:p w14:paraId="4469449C" w14:textId="77777777" w:rsidR="003A503B" w:rsidRDefault="003A503B" w:rsidP="003A503B">
      <w:r>
        <w:br w:type="page"/>
      </w:r>
    </w:p>
    <w:p w14:paraId="1579FC73" w14:textId="77777777" w:rsidR="003A503B" w:rsidRDefault="003A503B" w:rsidP="003A503B">
      <w:pPr>
        <w:spacing w:after="0"/>
        <w:sectPr w:rsidR="003A503B" w:rsidSect="00ED49B4">
          <w:footerReference w:type="default" r:id="rId18"/>
          <w:pgSz w:w="12240" w:h="15840"/>
          <w:pgMar w:top="1440" w:right="1440" w:bottom="1440" w:left="1440" w:header="720" w:footer="720" w:gutter="0"/>
          <w:lnNumType w:countBy="1"/>
          <w:cols w:space="720"/>
          <w:docGrid w:linePitch="299"/>
        </w:sectPr>
      </w:pPr>
    </w:p>
    <w:p w14:paraId="03D69136" w14:textId="10BB3B7D" w:rsidR="003A503B" w:rsidRDefault="00853653" w:rsidP="00F123E6">
      <w:pPr>
        <w:rPr>
          <w:b/>
          <w:bCs/>
        </w:rPr>
      </w:pPr>
      <w:r>
        <w:rPr>
          <w:b/>
          <w:bCs/>
        </w:rPr>
        <w:lastRenderedPageBreak/>
        <w:t>Figure</w:t>
      </w:r>
      <w:r w:rsidR="003A503B">
        <w:rPr>
          <w:b/>
          <w:bCs/>
        </w:rPr>
        <w:t xml:space="preserve"> S1. Risk Comparison by treatment allocation a</w:t>
      </w:r>
      <w:r w:rsidR="003B215C">
        <w:rPr>
          <w:b/>
          <w:bCs/>
        </w:rPr>
        <w:t>n</w:t>
      </w:r>
      <w:r w:rsidR="003A503B">
        <w:rPr>
          <w:b/>
          <w:bCs/>
        </w:rPr>
        <w:t xml:space="preserve">d subgroups of interest, for the combined </w:t>
      </w:r>
      <w:r w:rsidR="00D66C25">
        <w:rPr>
          <w:b/>
          <w:bCs/>
        </w:rPr>
        <w:t xml:space="preserve">Primary </w:t>
      </w:r>
      <w:r w:rsidR="003A503B">
        <w:rPr>
          <w:b/>
          <w:bCs/>
        </w:rPr>
        <w:t xml:space="preserve">Renal Outcome: </w:t>
      </w:r>
      <w:bookmarkStart w:id="9" w:name="_Hlk534190002"/>
      <w:r w:rsidR="003A503B">
        <w:rPr>
          <w:b/>
          <w:bCs/>
        </w:rPr>
        <w:t>eGFR decrease &gt;=40% to&lt;60; ESRD; or renal or CV death</w:t>
      </w:r>
      <w:bookmarkEnd w:id="9"/>
    </w:p>
    <w:p w14:paraId="598D7864" w14:textId="77777777" w:rsidR="003A503B" w:rsidRDefault="003A503B" w:rsidP="003A503B">
      <w:pPr>
        <w:pStyle w:val="CommentText"/>
        <w:rPr>
          <w:b/>
          <w:bCs/>
        </w:rPr>
      </w:pPr>
      <w:r>
        <w:rPr>
          <w:b/>
          <w:bCs/>
        </w:rPr>
        <w:t>A- Demographic</w:t>
      </w:r>
      <w:r w:rsidR="00B37926">
        <w:rPr>
          <w:b/>
          <w:bCs/>
        </w:rPr>
        <w:t>s</w:t>
      </w:r>
      <w:r>
        <w:rPr>
          <w:b/>
          <w:bCs/>
        </w:rPr>
        <w:t>, B- Medical history, C- Background medication, D- Laboratory Measurements</w:t>
      </w:r>
    </w:p>
    <w:p w14:paraId="235081E0" w14:textId="77777777" w:rsidR="003A503B" w:rsidRDefault="003A503B" w:rsidP="003A503B">
      <w:pPr>
        <w:rPr>
          <w:b/>
          <w:bCs/>
        </w:rPr>
      </w:pPr>
    </w:p>
    <w:p w14:paraId="62933747" w14:textId="77777777" w:rsidR="003A503B" w:rsidRDefault="003A503B" w:rsidP="003A503B">
      <w:r>
        <w:rPr>
          <w:noProof/>
          <w:lang w:val="en-GB" w:eastAsia="en-GB"/>
        </w:rPr>
        <mc:AlternateContent>
          <mc:Choice Requires="wps">
            <w:drawing>
              <wp:anchor distT="0" distB="0" distL="114300" distR="114300" simplePos="0" relativeHeight="251652096" behindDoc="0" locked="0" layoutInCell="1" allowOverlap="1" wp14:anchorId="12554B3A" wp14:editId="6D33AA10">
                <wp:simplePos x="0" y="0"/>
                <wp:positionH relativeFrom="column">
                  <wp:posOffset>68580</wp:posOffset>
                </wp:positionH>
                <wp:positionV relativeFrom="paragraph">
                  <wp:posOffset>37465</wp:posOffset>
                </wp:positionV>
                <wp:extent cx="313690" cy="225425"/>
                <wp:effectExtent l="0" t="0" r="0" b="3175"/>
                <wp:wrapNone/>
                <wp:docPr id="46" name="Text Box 46"/>
                <wp:cNvGraphicFramePr/>
                <a:graphic xmlns:a="http://schemas.openxmlformats.org/drawingml/2006/main">
                  <a:graphicData uri="http://schemas.microsoft.com/office/word/2010/wordprocessingShape">
                    <wps:wsp>
                      <wps:cNvSpPr txBox="1"/>
                      <wps:spPr>
                        <a:xfrm>
                          <a:off x="0" y="0"/>
                          <a:ext cx="313690" cy="2247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CBC66C9" w14:textId="77777777" w:rsidR="00251D48" w:rsidRDefault="00251D48" w:rsidP="003A503B">
                            <w:pPr>
                              <w:rPr>
                                <w:rFonts w:asciiTheme="minorBidi" w:hAnsiTheme="minorBidi"/>
                                <w:sz w:val="20"/>
                                <w:szCs w:val="20"/>
                              </w:rPr>
                            </w:pPr>
                            <w:r>
                              <w:rPr>
                                <w:rFonts w:asciiTheme="minorBidi" w:hAnsiTheme="minorBidi"/>
                                <w:sz w:val="20"/>
                                <w:szCs w:val="20"/>
                              </w:rPr>
                              <w:t>A</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2554B3A" id="Text Box 46" o:spid="_x0000_s1049" type="#_x0000_t202" style="position:absolute;margin-left:5.4pt;margin-top:2.95pt;width:24.7pt;height:17.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" fillcolor="white [3201]" stroked="f" strokeweight=".5pt">
                <v:textbox>
                  <w:txbxContent>
                    <w:p w14:paraId="1CBC66C9" w14:textId="77777777" w:rsidR="00251D48" w:rsidRDefault="00251D48" w:rsidP="003A503B">
                      <w:pPr>
                        <w:rPr>
                          <w:rFonts w:asciiTheme="minorBidi" w:hAnsiTheme="minorBidi"/>
                          <w:sz w:val="20"/>
                          <w:szCs w:val="20"/>
                        </w:rPr>
                      </w:pPr>
                      <w:r>
                        <w:rPr>
                          <w:rFonts w:asciiTheme="minorBidi" w:hAnsiTheme="minorBidi"/>
                          <w:sz w:val="20"/>
                          <w:szCs w:val="20"/>
                        </w:rPr>
                        <w:t>A</w:t>
                      </w:r>
                    </w:p>
                  </w:txbxContent>
                </v:textbox>
              </v:shape>
            </w:pict>
          </mc:Fallback>
        </mc:AlternateContent>
      </w:r>
      <w:r>
        <w:rPr>
          <w:noProof/>
          <w:lang w:val="en-GB" w:eastAsia="en-GB"/>
        </w:rPr>
        <w:drawing>
          <wp:inline distT="0" distB="0" distL="0" distR="0" wp14:anchorId="72101847" wp14:editId="6E804E5B">
            <wp:extent cx="5943600" cy="4358640"/>
            <wp:effectExtent l="19050" t="19050" r="19050" b="22860"/>
            <wp:docPr id="4" name="Picture 4" descr="outcome2 subgrou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outcome2 subgroup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943600" cy="4358640"/>
                    </a:xfrm>
                    <a:prstGeom prst="rect">
                      <a:avLst/>
                    </a:prstGeom>
                    <a:noFill/>
                    <a:ln w="9525" cmpd="sng">
                      <a:solidFill>
                        <a:srgbClr val="000000"/>
                      </a:solidFill>
                      <a:miter lim="800000"/>
                      <a:headEnd/>
                      <a:tailEnd/>
                    </a:ln>
                    <a:effectLst/>
                  </pic:spPr>
                </pic:pic>
              </a:graphicData>
            </a:graphic>
          </wp:inline>
        </w:drawing>
      </w:r>
    </w:p>
    <w:p w14:paraId="44BC94E1" w14:textId="77777777" w:rsidR="003A503B" w:rsidRDefault="003A503B" w:rsidP="003A503B">
      <w:r>
        <w:rPr>
          <w:noProof/>
          <w:lang w:val="en-GB" w:eastAsia="en-GB"/>
        </w:rPr>
        <w:lastRenderedPageBreak/>
        <mc:AlternateContent>
          <mc:Choice Requires="wps">
            <w:drawing>
              <wp:anchor distT="0" distB="0" distL="114300" distR="114300" simplePos="0" relativeHeight="251656192" behindDoc="0" locked="0" layoutInCell="1" allowOverlap="1" wp14:anchorId="4B4AEEEC" wp14:editId="14BCA2F0">
                <wp:simplePos x="0" y="0"/>
                <wp:positionH relativeFrom="column">
                  <wp:posOffset>102870</wp:posOffset>
                </wp:positionH>
                <wp:positionV relativeFrom="paragraph">
                  <wp:posOffset>128905</wp:posOffset>
                </wp:positionV>
                <wp:extent cx="245745" cy="245745"/>
                <wp:effectExtent l="0" t="0" r="1905" b="1905"/>
                <wp:wrapNone/>
                <wp:docPr id="45" name="Text Box 45"/>
                <wp:cNvGraphicFramePr/>
                <a:graphic xmlns:a="http://schemas.openxmlformats.org/drawingml/2006/main">
                  <a:graphicData uri="http://schemas.microsoft.com/office/word/2010/wordprocessingShape">
                    <wps:wsp>
                      <wps:cNvSpPr txBox="1"/>
                      <wps:spPr>
                        <a:xfrm>
                          <a:off x="0" y="0"/>
                          <a:ext cx="245110" cy="2451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5DABC66" w14:textId="77777777" w:rsidR="00251D48" w:rsidRDefault="00251D48" w:rsidP="003A503B">
                            <w:pPr>
                              <w:rPr>
                                <w:rFonts w:asciiTheme="minorBidi" w:hAnsiTheme="minorBidi"/>
                                <w:sz w:val="20"/>
                                <w:szCs w:val="20"/>
                              </w:rPr>
                            </w:pPr>
                            <w:r>
                              <w:rPr>
                                <w:rFonts w:asciiTheme="minorBidi" w:hAnsiTheme="minorBidi"/>
                                <w:sz w:val="20"/>
                                <w:szCs w:val="20"/>
                              </w:rPr>
                              <w:t>B</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B4AEEEC" id="Text Box 45" o:spid="_x0000_s1050" type="#_x0000_t202" style="position:absolute;margin-left:8.1pt;margin-top:10.15pt;width:19.35pt;height:19.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" fillcolor="white [3201]" stroked="f" strokeweight=".5pt">
                <v:textbox>
                  <w:txbxContent>
                    <w:p w14:paraId="15DABC66" w14:textId="77777777" w:rsidR="00251D48" w:rsidRDefault="00251D48" w:rsidP="003A503B">
                      <w:pPr>
                        <w:rPr>
                          <w:rFonts w:asciiTheme="minorBidi" w:hAnsiTheme="minorBidi"/>
                          <w:sz w:val="20"/>
                          <w:szCs w:val="20"/>
                        </w:rPr>
                      </w:pPr>
                      <w:r>
                        <w:rPr>
                          <w:rFonts w:asciiTheme="minorBidi" w:hAnsiTheme="minorBidi"/>
                          <w:sz w:val="20"/>
                          <w:szCs w:val="20"/>
                        </w:rPr>
                        <w:t>B</w:t>
                      </w:r>
                    </w:p>
                  </w:txbxContent>
                </v:textbox>
              </v:shape>
            </w:pict>
          </mc:Fallback>
        </mc:AlternateContent>
      </w:r>
      <w:r>
        <w:rPr>
          <w:noProof/>
          <w:lang w:val="en-GB" w:eastAsia="en-GB"/>
        </w:rPr>
        <w:drawing>
          <wp:inline distT="0" distB="0" distL="0" distR="0" wp14:anchorId="23C38471" wp14:editId="1EBC9FD2">
            <wp:extent cx="5943600" cy="4358640"/>
            <wp:effectExtent l="19050" t="19050" r="19050" b="22860"/>
            <wp:docPr id="3" name="Picture 3" descr="outcome2 subgroup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outcome2 subgroup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943600" cy="4358640"/>
                    </a:xfrm>
                    <a:prstGeom prst="rect">
                      <a:avLst/>
                    </a:prstGeom>
                    <a:noFill/>
                    <a:ln w="9525" cmpd="sng">
                      <a:solidFill>
                        <a:srgbClr val="000000"/>
                      </a:solidFill>
                      <a:miter lim="800000"/>
                      <a:headEnd/>
                      <a:tailEnd/>
                    </a:ln>
                    <a:effectLst/>
                  </pic:spPr>
                </pic:pic>
              </a:graphicData>
            </a:graphic>
          </wp:inline>
        </w:drawing>
      </w:r>
    </w:p>
    <w:p w14:paraId="11A85FC5" w14:textId="77777777" w:rsidR="003A503B" w:rsidRDefault="003A503B" w:rsidP="003A503B">
      <w:r>
        <w:rPr>
          <w:noProof/>
          <w:lang w:val="en-GB" w:eastAsia="en-GB"/>
        </w:rPr>
        <w:lastRenderedPageBreak/>
        <mc:AlternateContent>
          <mc:Choice Requires="wps">
            <w:drawing>
              <wp:anchor distT="0" distB="0" distL="114300" distR="114300" simplePos="0" relativeHeight="251658240" behindDoc="0" locked="0" layoutInCell="1" allowOverlap="1" wp14:anchorId="454BFAAE" wp14:editId="0EDCB251">
                <wp:simplePos x="0" y="0"/>
                <wp:positionH relativeFrom="column">
                  <wp:posOffset>123190</wp:posOffset>
                </wp:positionH>
                <wp:positionV relativeFrom="paragraph">
                  <wp:posOffset>87630</wp:posOffset>
                </wp:positionV>
                <wp:extent cx="225425" cy="238760"/>
                <wp:effectExtent l="0" t="0" r="3175" b="8890"/>
                <wp:wrapNone/>
                <wp:docPr id="44" name="Text Box 44"/>
                <wp:cNvGraphicFramePr/>
                <a:graphic xmlns:a="http://schemas.openxmlformats.org/drawingml/2006/main">
                  <a:graphicData uri="http://schemas.microsoft.com/office/word/2010/wordprocessingShape">
                    <wps:wsp>
                      <wps:cNvSpPr txBox="1"/>
                      <wps:spPr>
                        <a:xfrm>
                          <a:off x="0" y="0"/>
                          <a:ext cx="224790" cy="2387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606A908" w14:textId="77777777" w:rsidR="00251D48" w:rsidRDefault="00251D48" w:rsidP="003A503B">
                            <w:pPr>
                              <w:rPr>
                                <w:rFonts w:asciiTheme="minorBidi" w:hAnsiTheme="minorBidi"/>
                                <w:sz w:val="20"/>
                                <w:szCs w:val="20"/>
                              </w:rPr>
                            </w:pPr>
                            <w:r>
                              <w:rPr>
                                <w:rFonts w:asciiTheme="minorBidi" w:hAnsiTheme="minorBidi"/>
                                <w:sz w:val="20"/>
                                <w:szCs w:val="20"/>
                              </w:rPr>
                              <w:t>C</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54BFAAE" id="Text Box 44" o:spid="_x0000_s1051" type="#_x0000_t202" style="position:absolute;margin-left:9.7pt;margin-top:6.9pt;width:17.75pt;height:1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" fillcolor="white [3201]" stroked="f" strokeweight=".5pt">
                <v:textbox>
                  <w:txbxContent>
                    <w:p w14:paraId="0606A908" w14:textId="77777777" w:rsidR="00251D48" w:rsidRDefault="00251D48" w:rsidP="003A503B">
                      <w:pPr>
                        <w:rPr>
                          <w:rFonts w:asciiTheme="minorBidi" w:hAnsiTheme="minorBidi"/>
                          <w:sz w:val="20"/>
                          <w:szCs w:val="20"/>
                        </w:rPr>
                      </w:pPr>
                      <w:r>
                        <w:rPr>
                          <w:rFonts w:asciiTheme="minorBidi" w:hAnsiTheme="minorBidi"/>
                          <w:sz w:val="20"/>
                          <w:szCs w:val="20"/>
                        </w:rPr>
                        <w:t>C</w:t>
                      </w:r>
                    </w:p>
                  </w:txbxContent>
                </v:textbox>
              </v:shape>
            </w:pict>
          </mc:Fallback>
        </mc:AlternateContent>
      </w:r>
      <w:r>
        <w:rPr>
          <w:noProof/>
          <w:lang w:val="en-GB" w:eastAsia="en-GB"/>
        </w:rPr>
        <w:drawing>
          <wp:inline distT="0" distB="0" distL="0" distR="0" wp14:anchorId="43B17D61" wp14:editId="0B23D5AC">
            <wp:extent cx="5943600" cy="4114800"/>
            <wp:effectExtent l="19050" t="19050" r="19050" b="19050"/>
            <wp:docPr id="2" name="Picture 2" descr="outcome2 subgroup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outcome2 subgroup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3600" cy="4114800"/>
                    </a:xfrm>
                    <a:prstGeom prst="rect">
                      <a:avLst/>
                    </a:prstGeom>
                    <a:noFill/>
                    <a:ln w="9525" cmpd="sng">
                      <a:solidFill>
                        <a:srgbClr val="000000"/>
                      </a:solidFill>
                      <a:miter lim="800000"/>
                      <a:headEnd/>
                      <a:tailEnd/>
                    </a:ln>
                    <a:effectLst/>
                  </pic:spPr>
                </pic:pic>
              </a:graphicData>
            </a:graphic>
          </wp:inline>
        </w:drawing>
      </w:r>
    </w:p>
    <w:p w14:paraId="036ECEDA" w14:textId="77777777" w:rsidR="003A503B" w:rsidRDefault="003A503B" w:rsidP="003A503B">
      <w:r>
        <w:rPr>
          <w:noProof/>
          <w:lang w:val="en-GB" w:eastAsia="en-GB"/>
        </w:rPr>
        <w:lastRenderedPageBreak/>
        <mc:AlternateContent>
          <mc:Choice Requires="wps">
            <w:drawing>
              <wp:anchor distT="0" distB="0" distL="114300" distR="114300" simplePos="0" relativeHeight="251654144" behindDoc="0" locked="0" layoutInCell="1" allowOverlap="1" wp14:anchorId="78C8DC61" wp14:editId="4CBB7E95">
                <wp:simplePos x="0" y="0"/>
                <wp:positionH relativeFrom="column">
                  <wp:posOffset>102870</wp:posOffset>
                </wp:positionH>
                <wp:positionV relativeFrom="paragraph">
                  <wp:posOffset>53975</wp:posOffset>
                </wp:positionV>
                <wp:extent cx="252730" cy="225425"/>
                <wp:effectExtent l="0" t="0" r="0" b="3175"/>
                <wp:wrapNone/>
                <wp:docPr id="43" name="Text Box 43"/>
                <wp:cNvGraphicFramePr/>
                <a:graphic xmlns:a="http://schemas.openxmlformats.org/drawingml/2006/main">
                  <a:graphicData uri="http://schemas.microsoft.com/office/word/2010/wordprocessingShape">
                    <wps:wsp>
                      <wps:cNvSpPr txBox="1"/>
                      <wps:spPr>
                        <a:xfrm>
                          <a:off x="0" y="0"/>
                          <a:ext cx="252095" cy="2247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DA1D0E2" w14:textId="77777777" w:rsidR="00251D48" w:rsidRDefault="00251D48" w:rsidP="003A503B">
                            <w:pPr>
                              <w:rPr>
                                <w:rFonts w:asciiTheme="minorBidi" w:hAnsiTheme="minorBidi"/>
                                <w:sz w:val="20"/>
                                <w:szCs w:val="20"/>
                              </w:rPr>
                            </w:pPr>
                            <w:r>
                              <w:rPr>
                                <w:rFonts w:asciiTheme="minorBidi" w:hAnsiTheme="minorBidi"/>
                                <w:sz w:val="20"/>
                                <w:szCs w:val="20"/>
                              </w:rPr>
                              <w:t>D</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8C8DC61" id="Text Box 43" o:spid="_x0000_s1052" type="#_x0000_t202" style="position:absolute;margin-left:8.1pt;margin-top:4.25pt;width:19.9pt;height:17.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" fillcolor="white [3201]" stroked="f" strokeweight=".5pt">
                <v:textbox>
                  <w:txbxContent>
                    <w:p w14:paraId="3DA1D0E2" w14:textId="77777777" w:rsidR="00251D48" w:rsidRDefault="00251D48" w:rsidP="003A503B">
                      <w:pPr>
                        <w:rPr>
                          <w:rFonts w:asciiTheme="minorBidi" w:hAnsiTheme="minorBidi"/>
                          <w:sz w:val="20"/>
                          <w:szCs w:val="20"/>
                        </w:rPr>
                      </w:pPr>
                      <w:r>
                        <w:rPr>
                          <w:rFonts w:asciiTheme="minorBidi" w:hAnsiTheme="minorBidi"/>
                          <w:sz w:val="20"/>
                          <w:szCs w:val="20"/>
                        </w:rPr>
                        <w:t>D</w:t>
                      </w:r>
                    </w:p>
                  </w:txbxContent>
                </v:textbox>
              </v:shape>
            </w:pict>
          </mc:Fallback>
        </mc:AlternateContent>
      </w:r>
      <w:r>
        <w:rPr>
          <w:noProof/>
          <w:lang w:val="en-GB" w:eastAsia="en-GB"/>
        </w:rPr>
        <w:drawing>
          <wp:inline distT="0" distB="0" distL="0" distR="0" wp14:anchorId="4FF3F205" wp14:editId="5C988620">
            <wp:extent cx="5943600" cy="4358640"/>
            <wp:effectExtent l="19050" t="19050" r="19050" b="22860"/>
            <wp:docPr id="1" name="Picture 1" descr="outcome2 subgrou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outcome2 subgroup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943600" cy="4358640"/>
                    </a:xfrm>
                    <a:prstGeom prst="rect">
                      <a:avLst/>
                    </a:prstGeom>
                    <a:noFill/>
                    <a:ln w="9525" cmpd="sng">
                      <a:solidFill>
                        <a:srgbClr val="000000"/>
                      </a:solidFill>
                      <a:miter lim="800000"/>
                      <a:headEnd/>
                      <a:tailEnd/>
                    </a:ln>
                    <a:effectLst/>
                  </pic:spPr>
                </pic:pic>
              </a:graphicData>
            </a:graphic>
          </wp:inline>
        </w:drawing>
      </w:r>
    </w:p>
    <w:p w14:paraId="4D024335" w14:textId="77777777" w:rsidR="00EF60C6" w:rsidRDefault="00EF60C6">
      <w:pPr>
        <w:rPr>
          <w:b/>
          <w:bCs/>
          <w:sz w:val="28"/>
          <w:szCs w:val="28"/>
        </w:rPr>
      </w:pPr>
    </w:p>
    <w:p w14:paraId="6AD92311" w14:textId="77777777" w:rsidR="00EF60C6" w:rsidRDefault="00EF60C6">
      <w:pPr>
        <w:rPr>
          <w:b/>
          <w:bCs/>
          <w:sz w:val="28"/>
          <w:szCs w:val="28"/>
        </w:rPr>
      </w:pPr>
    </w:p>
    <w:bookmarkEnd w:id="0"/>
    <w:p w14:paraId="272322B6" w14:textId="77777777" w:rsidR="00AD3F4F" w:rsidRDefault="00AD3F4F" w:rsidP="00AD3F4F">
      <w:pPr>
        <w:rPr>
          <w:b/>
          <w:bCs/>
          <w:sz w:val="28"/>
          <w:szCs w:val="28"/>
        </w:rPr>
      </w:pPr>
    </w:p>
    <w:sectPr w:rsidR="00AD3F4F" w:rsidSect="00A939DC">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7D95018" w16cid:durableId="207AF34E"/>
  <w16cid:commentId w16cid:paraId="2C0718BB" w16cid:durableId="207B352A"/>
  <w16cid:commentId w16cid:paraId="7B8B6546" w16cid:durableId="207ADD7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00C092" w14:textId="77777777" w:rsidR="00251D48" w:rsidRDefault="00251D48" w:rsidP="00CB1386">
      <w:pPr>
        <w:spacing w:after="0" w:line="240" w:lineRule="auto"/>
      </w:pPr>
      <w:r>
        <w:separator/>
      </w:r>
    </w:p>
  </w:endnote>
  <w:endnote w:type="continuationSeparator" w:id="0">
    <w:p w14:paraId="4F312845" w14:textId="77777777" w:rsidR="00251D48" w:rsidRDefault="00251D48" w:rsidP="00CB13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w:panose1 w:val="02040604050505020304"/>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TimesNewRomanPSMT">
    <w:altName w:val="MS Mincho"/>
    <w:panose1 w:val="00000000000000000000"/>
    <w:charset w:val="80"/>
    <w:family w:val="auto"/>
    <w:notTrueType/>
    <w:pitch w:val="default"/>
    <w:sig w:usb0="00000000" w:usb1="08070000" w:usb2="00000010" w:usb3="00000000" w:csb0="00020000" w:csb1="00000000"/>
  </w:font>
  <w:font w:name="AdvOT1ef757c0">
    <w:altName w:val="Arial"/>
    <w:panose1 w:val="00000000000000000000"/>
    <w:charset w:val="B1"/>
    <w:family w:val="auto"/>
    <w:notTrueType/>
    <w:pitch w:val="default"/>
    <w:sig w:usb0="00000801" w:usb1="00000000" w:usb2="00000000" w:usb3="00000000" w:csb0="0000002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8409720"/>
      <w:docPartObj>
        <w:docPartGallery w:val="Page Numbers (Bottom of Page)"/>
        <w:docPartUnique/>
      </w:docPartObj>
    </w:sdtPr>
    <w:sdtEndPr>
      <w:rPr>
        <w:noProof/>
      </w:rPr>
    </w:sdtEndPr>
    <w:sdtContent>
      <w:p w14:paraId="165964E7" w14:textId="277736C8" w:rsidR="00251D48" w:rsidRDefault="00251D48">
        <w:pPr>
          <w:pStyle w:val="Footer"/>
          <w:jc w:val="center"/>
        </w:pPr>
        <w:r>
          <w:fldChar w:fldCharType="begin"/>
        </w:r>
        <w:r>
          <w:instrText xml:space="preserve"> PAGE   \* MERGEFORMAT </w:instrText>
        </w:r>
        <w:r>
          <w:fldChar w:fldCharType="separate"/>
        </w:r>
        <w:r w:rsidR="00172EA4">
          <w:rPr>
            <w:noProof/>
          </w:rPr>
          <w:t>1</w:t>
        </w:r>
        <w:r>
          <w:rPr>
            <w:noProof/>
          </w:rPr>
          <w:fldChar w:fldCharType="end"/>
        </w:r>
      </w:p>
    </w:sdtContent>
  </w:sdt>
  <w:p w14:paraId="69FF7BA3" w14:textId="77777777" w:rsidR="00251D48" w:rsidRDefault="00251D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848013" w14:textId="77777777" w:rsidR="00251D48" w:rsidRDefault="00251D48" w:rsidP="00CB1386">
      <w:pPr>
        <w:spacing w:after="0" w:line="240" w:lineRule="auto"/>
      </w:pPr>
      <w:r>
        <w:separator/>
      </w:r>
    </w:p>
  </w:footnote>
  <w:footnote w:type="continuationSeparator" w:id="0">
    <w:p w14:paraId="181EE5B2" w14:textId="77777777" w:rsidR="00251D48" w:rsidRDefault="00251D48" w:rsidP="00CB13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C5BC9"/>
    <w:multiLevelType w:val="hybridMultilevel"/>
    <w:tmpl w:val="C4962CAA"/>
    <w:lvl w:ilvl="0" w:tplc="0A6C50A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EE228F"/>
    <w:multiLevelType w:val="hybridMultilevel"/>
    <w:tmpl w:val="8AA2DCFC"/>
    <w:lvl w:ilvl="0" w:tplc="23026E5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3F41CEE"/>
    <w:multiLevelType w:val="hybridMultilevel"/>
    <w:tmpl w:val="049E814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77624F19"/>
    <w:multiLevelType w:val="hybridMultilevel"/>
    <w:tmpl w:val="446446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9143C3E"/>
    <w:multiLevelType w:val="hybridMultilevel"/>
    <w:tmpl w:val="56A45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E34587B"/>
    <w:multiLevelType w:val="hybridMultilevel"/>
    <w:tmpl w:val="A0705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DisplayPageBoundaries/>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QzMTcxMLI0NTUyt7RQ0lEKTi0uzszPAykwrAUAb5FsgiwAAAA="/>
  </w:docVars>
  <w:rsids>
    <w:rsidRoot w:val="00AA6AF7"/>
    <w:rsid w:val="0000072F"/>
    <w:rsid w:val="00000DFA"/>
    <w:rsid w:val="00004D40"/>
    <w:rsid w:val="00005A68"/>
    <w:rsid w:val="000103F4"/>
    <w:rsid w:val="000142B8"/>
    <w:rsid w:val="00015902"/>
    <w:rsid w:val="000207B1"/>
    <w:rsid w:val="00022D02"/>
    <w:rsid w:val="00024B83"/>
    <w:rsid w:val="00031583"/>
    <w:rsid w:val="000322DD"/>
    <w:rsid w:val="00032611"/>
    <w:rsid w:val="00033021"/>
    <w:rsid w:val="0003395A"/>
    <w:rsid w:val="00034F01"/>
    <w:rsid w:val="000353BD"/>
    <w:rsid w:val="00035EDC"/>
    <w:rsid w:val="00043F6A"/>
    <w:rsid w:val="000474F6"/>
    <w:rsid w:val="000501D7"/>
    <w:rsid w:val="00051A5A"/>
    <w:rsid w:val="0005226E"/>
    <w:rsid w:val="00053465"/>
    <w:rsid w:val="00055593"/>
    <w:rsid w:val="000557DC"/>
    <w:rsid w:val="00056147"/>
    <w:rsid w:val="00056F2A"/>
    <w:rsid w:val="00061198"/>
    <w:rsid w:val="00061F17"/>
    <w:rsid w:val="00062B73"/>
    <w:rsid w:val="00065668"/>
    <w:rsid w:val="000677AA"/>
    <w:rsid w:val="0007058F"/>
    <w:rsid w:val="00071194"/>
    <w:rsid w:val="000715D4"/>
    <w:rsid w:val="00072F05"/>
    <w:rsid w:val="0007522E"/>
    <w:rsid w:val="00080804"/>
    <w:rsid w:val="00081ACA"/>
    <w:rsid w:val="00082121"/>
    <w:rsid w:val="00084191"/>
    <w:rsid w:val="00085CBF"/>
    <w:rsid w:val="0008695B"/>
    <w:rsid w:val="00087672"/>
    <w:rsid w:val="00087CF7"/>
    <w:rsid w:val="00092236"/>
    <w:rsid w:val="00093131"/>
    <w:rsid w:val="00093CEF"/>
    <w:rsid w:val="00097044"/>
    <w:rsid w:val="000A116A"/>
    <w:rsid w:val="000A1AB9"/>
    <w:rsid w:val="000A2FB7"/>
    <w:rsid w:val="000A3511"/>
    <w:rsid w:val="000A3E5B"/>
    <w:rsid w:val="000A426A"/>
    <w:rsid w:val="000A5CF7"/>
    <w:rsid w:val="000A6070"/>
    <w:rsid w:val="000A672B"/>
    <w:rsid w:val="000A70F8"/>
    <w:rsid w:val="000A77F9"/>
    <w:rsid w:val="000B01C8"/>
    <w:rsid w:val="000B0831"/>
    <w:rsid w:val="000B4199"/>
    <w:rsid w:val="000B4DED"/>
    <w:rsid w:val="000B4EDC"/>
    <w:rsid w:val="000B675B"/>
    <w:rsid w:val="000C0F14"/>
    <w:rsid w:val="000C2D65"/>
    <w:rsid w:val="000C3EC8"/>
    <w:rsid w:val="000C4CB6"/>
    <w:rsid w:val="000C54B5"/>
    <w:rsid w:val="000C5823"/>
    <w:rsid w:val="000C5EAA"/>
    <w:rsid w:val="000D1899"/>
    <w:rsid w:val="000D55AE"/>
    <w:rsid w:val="000D5C8C"/>
    <w:rsid w:val="000E37FE"/>
    <w:rsid w:val="000E42DA"/>
    <w:rsid w:val="000E630E"/>
    <w:rsid w:val="000E6504"/>
    <w:rsid w:val="000F201B"/>
    <w:rsid w:val="000F3956"/>
    <w:rsid w:val="000F5221"/>
    <w:rsid w:val="000F61B7"/>
    <w:rsid w:val="000F69D7"/>
    <w:rsid w:val="000F754C"/>
    <w:rsid w:val="000F767D"/>
    <w:rsid w:val="00101611"/>
    <w:rsid w:val="001070EE"/>
    <w:rsid w:val="001112CD"/>
    <w:rsid w:val="0011307B"/>
    <w:rsid w:val="00113727"/>
    <w:rsid w:val="001150C9"/>
    <w:rsid w:val="00117FD4"/>
    <w:rsid w:val="00121AA3"/>
    <w:rsid w:val="00131A9B"/>
    <w:rsid w:val="001341B1"/>
    <w:rsid w:val="0013518A"/>
    <w:rsid w:val="0013539D"/>
    <w:rsid w:val="001360A8"/>
    <w:rsid w:val="001361F2"/>
    <w:rsid w:val="00136960"/>
    <w:rsid w:val="00137D2A"/>
    <w:rsid w:val="00137EC8"/>
    <w:rsid w:val="001408A6"/>
    <w:rsid w:val="00142B1D"/>
    <w:rsid w:val="0014398F"/>
    <w:rsid w:val="001443E9"/>
    <w:rsid w:val="00145F77"/>
    <w:rsid w:val="001524BE"/>
    <w:rsid w:val="00152AC8"/>
    <w:rsid w:val="00152B28"/>
    <w:rsid w:val="00153DFA"/>
    <w:rsid w:val="00160659"/>
    <w:rsid w:val="0016120D"/>
    <w:rsid w:val="001612C8"/>
    <w:rsid w:val="0016134B"/>
    <w:rsid w:val="00163DA1"/>
    <w:rsid w:val="0016481D"/>
    <w:rsid w:val="00165773"/>
    <w:rsid w:val="00167833"/>
    <w:rsid w:val="00170157"/>
    <w:rsid w:val="00172574"/>
    <w:rsid w:val="00172EA4"/>
    <w:rsid w:val="00177348"/>
    <w:rsid w:val="00182EB7"/>
    <w:rsid w:val="00184EAD"/>
    <w:rsid w:val="00186487"/>
    <w:rsid w:val="001907E8"/>
    <w:rsid w:val="00191910"/>
    <w:rsid w:val="001919B6"/>
    <w:rsid w:val="00194E1C"/>
    <w:rsid w:val="00194F04"/>
    <w:rsid w:val="001958D5"/>
    <w:rsid w:val="00197056"/>
    <w:rsid w:val="00197C4C"/>
    <w:rsid w:val="001A08BE"/>
    <w:rsid w:val="001A0EB5"/>
    <w:rsid w:val="001B1B66"/>
    <w:rsid w:val="001B2FF3"/>
    <w:rsid w:val="001B3B1D"/>
    <w:rsid w:val="001B56D9"/>
    <w:rsid w:val="001B61F0"/>
    <w:rsid w:val="001B62D6"/>
    <w:rsid w:val="001B68DA"/>
    <w:rsid w:val="001B7894"/>
    <w:rsid w:val="001B7CBD"/>
    <w:rsid w:val="001C3893"/>
    <w:rsid w:val="001C4078"/>
    <w:rsid w:val="001D0471"/>
    <w:rsid w:val="001D1188"/>
    <w:rsid w:val="001D40A9"/>
    <w:rsid w:val="001E0B3D"/>
    <w:rsid w:val="001E3A0F"/>
    <w:rsid w:val="001E60A7"/>
    <w:rsid w:val="001E6F07"/>
    <w:rsid w:val="001F244B"/>
    <w:rsid w:val="001F28C1"/>
    <w:rsid w:val="001F2D23"/>
    <w:rsid w:val="001F30AE"/>
    <w:rsid w:val="001F37E2"/>
    <w:rsid w:val="001F3894"/>
    <w:rsid w:val="001F3B9B"/>
    <w:rsid w:val="001F59EA"/>
    <w:rsid w:val="001F615A"/>
    <w:rsid w:val="00206100"/>
    <w:rsid w:val="002118D7"/>
    <w:rsid w:val="002136DB"/>
    <w:rsid w:val="00214496"/>
    <w:rsid w:val="0022036D"/>
    <w:rsid w:val="00222747"/>
    <w:rsid w:val="00222D6F"/>
    <w:rsid w:val="00223768"/>
    <w:rsid w:val="00226177"/>
    <w:rsid w:val="00226350"/>
    <w:rsid w:val="0022644E"/>
    <w:rsid w:val="00226521"/>
    <w:rsid w:val="00226ADA"/>
    <w:rsid w:val="0023189E"/>
    <w:rsid w:val="00233329"/>
    <w:rsid w:val="00234E3F"/>
    <w:rsid w:val="00236185"/>
    <w:rsid w:val="00237152"/>
    <w:rsid w:val="00237346"/>
    <w:rsid w:val="002404B4"/>
    <w:rsid w:val="00241492"/>
    <w:rsid w:val="00241FA2"/>
    <w:rsid w:val="002438BC"/>
    <w:rsid w:val="00244CB5"/>
    <w:rsid w:val="00244FFA"/>
    <w:rsid w:val="00251965"/>
    <w:rsid w:val="00251D48"/>
    <w:rsid w:val="00253689"/>
    <w:rsid w:val="00257688"/>
    <w:rsid w:val="00260654"/>
    <w:rsid w:val="00260700"/>
    <w:rsid w:val="0026657A"/>
    <w:rsid w:val="0027261E"/>
    <w:rsid w:val="0027446D"/>
    <w:rsid w:val="00274FB5"/>
    <w:rsid w:val="002834A5"/>
    <w:rsid w:val="00283647"/>
    <w:rsid w:val="00283C30"/>
    <w:rsid w:val="00283ED4"/>
    <w:rsid w:val="00286FA6"/>
    <w:rsid w:val="00287AF7"/>
    <w:rsid w:val="00287B10"/>
    <w:rsid w:val="002905A8"/>
    <w:rsid w:val="00292671"/>
    <w:rsid w:val="002960BC"/>
    <w:rsid w:val="00297A60"/>
    <w:rsid w:val="002A3B8C"/>
    <w:rsid w:val="002A566B"/>
    <w:rsid w:val="002A58CC"/>
    <w:rsid w:val="002A621E"/>
    <w:rsid w:val="002B3603"/>
    <w:rsid w:val="002B634F"/>
    <w:rsid w:val="002B69E1"/>
    <w:rsid w:val="002B7576"/>
    <w:rsid w:val="002C08AD"/>
    <w:rsid w:val="002C23B6"/>
    <w:rsid w:val="002C2742"/>
    <w:rsid w:val="002C3A41"/>
    <w:rsid w:val="002C59DB"/>
    <w:rsid w:val="002C7E22"/>
    <w:rsid w:val="002D0127"/>
    <w:rsid w:val="002D1416"/>
    <w:rsid w:val="002D1BF5"/>
    <w:rsid w:val="002D7E04"/>
    <w:rsid w:val="002E0720"/>
    <w:rsid w:val="002E109B"/>
    <w:rsid w:val="002E1CE0"/>
    <w:rsid w:val="002E2B3D"/>
    <w:rsid w:val="002E2EF9"/>
    <w:rsid w:val="002E4B52"/>
    <w:rsid w:val="002E4DF4"/>
    <w:rsid w:val="002E6360"/>
    <w:rsid w:val="002F08CE"/>
    <w:rsid w:val="002F29CD"/>
    <w:rsid w:val="002F6E06"/>
    <w:rsid w:val="002F7BEE"/>
    <w:rsid w:val="003014BB"/>
    <w:rsid w:val="003034A4"/>
    <w:rsid w:val="00306590"/>
    <w:rsid w:val="0031099C"/>
    <w:rsid w:val="00312D02"/>
    <w:rsid w:val="00320441"/>
    <w:rsid w:val="00324011"/>
    <w:rsid w:val="003258BD"/>
    <w:rsid w:val="00326CD0"/>
    <w:rsid w:val="00331AF9"/>
    <w:rsid w:val="0033739D"/>
    <w:rsid w:val="003400C1"/>
    <w:rsid w:val="003412AC"/>
    <w:rsid w:val="00341BE1"/>
    <w:rsid w:val="00343A02"/>
    <w:rsid w:val="00344512"/>
    <w:rsid w:val="0034688A"/>
    <w:rsid w:val="00346B34"/>
    <w:rsid w:val="00346FD2"/>
    <w:rsid w:val="00347E9D"/>
    <w:rsid w:val="0035023B"/>
    <w:rsid w:val="003554FC"/>
    <w:rsid w:val="0035623E"/>
    <w:rsid w:val="00356544"/>
    <w:rsid w:val="00362564"/>
    <w:rsid w:val="00363693"/>
    <w:rsid w:val="00366BA9"/>
    <w:rsid w:val="00371FF6"/>
    <w:rsid w:val="00380655"/>
    <w:rsid w:val="003810AF"/>
    <w:rsid w:val="003816C9"/>
    <w:rsid w:val="003825CA"/>
    <w:rsid w:val="0038652E"/>
    <w:rsid w:val="00390F0D"/>
    <w:rsid w:val="00391F22"/>
    <w:rsid w:val="003927B7"/>
    <w:rsid w:val="003933C1"/>
    <w:rsid w:val="00394448"/>
    <w:rsid w:val="00396BB1"/>
    <w:rsid w:val="003970B6"/>
    <w:rsid w:val="0039774F"/>
    <w:rsid w:val="003977BC"/>
    <w:rsid w:val="003A0C95"/>
    <w:rsid w:val="003A0FD5"/>
    <w:rsid w:val="003A1400"/>
    <w:rsid w:val="003A1F8B"/>
    <w:rsid w:val="003A284E"/>
    <w:rsid w:val="003A2C91"/>
    <w:rsid w:val="003A3046"/>
    <w:rsid w:val="003A503B"/>
    <w:rsid w:val="003A64E0"/>
    <w:rsid w:val="003B215C"/>
    <w:rsid w:val="003B4334"/>
    <w:rsid w:val="003B51BE"/>
    <w:rsid w:val="003B52EF"/>
    <w:rsid w:val="003C20D9"/>
    <w:rsid w:val="003C32F3"/>
    <w:rsid w:val="003C4A02"/>
    <w:rsid w:val="003C6905"/>
    <w:rsid w:val="003C7976"/>
    <w:rsid w:val="003D2721"/>
    <w:rsid w:val="003D492C"/>
    <w:rsid w:val="003D5D4C"/>
    <w:rsid w:val="003D636D"/>
    <w:rsid w:val="003D73AE"/>
    <w:rsid w:val="003D7C17"/>
    <w:rsid w:val="003E025F"/>
    <w:rsid w:val="003E11E3"/>
    <w:rsid w:val="003E2480"/>
    <w:rsid w:val="003E2A81"/>
    <w:rsid w:val="003E3268"/>
    <w:rsid w:val="003E3CB2"/>
    <w:rsid w:val="003E689D"/>
    <w:rsid w:val="003E6B32"/>
    <w:rsid w:val="003E7B54"/>
    <w:rsid w:val="003F2D01"/>
    <w:rsid w:val="003F2E18"/>
    <w:rsid w:val="003F49B3"/>
    <w:rsid w:val="003F4CAD"/>
    <w:rsid w:val="003F55D8"/>
    <w:rsid w:val="003F5A03"/>
    <w:rsid w:val="00401A69"/>
    <w:rsid w:val="00403EF7"/>
    <w:rsid w:val="00407E04"/>
    <w:rsid w:val="0041475D"/>
    <w:rsid w:val="004166BE"/>
    <w:rsid w:val="00417B52"/>
    <w:rsid w:val="00420838"/>
    <w:rsid w:val="0042098C"/>
    <w:rsid w:val="00420D89"/>
    <w:rsid w:val="004226C1"/>
    <w:rsid w:val="004248C5"/>
    <w:rsid w:val="00430B62"/>
    <w:rsid w:val="0043645B"/>
    <w:rsid w:val="004369EC"/>
    <w:rsid w:val="0044366D"/>
    <w:rsid w:val="00443735"/>
    <w:rsid w:val="00445E1A"/>
    <w:rsid w:val="00446F61"/>
    <w:rsid w:val="0045024A"/>
    <w:rsid w:val="0045207A"/>
    <w:rsid w:val="004526CD"/>
    <w:rsid w:val="004610DD"/>
    <w:rsid w:val="00461812"/>
    <w:rsid w:val="0046212B"/>
    <w:rsid w:val="00470B63"/>
    <w:rsid w:val="004726A5"/>
    <w:rsid w:val="004729ED"/>
    <w:rsid w:val="00472E71"/>
    <w:rsid w:val="00474E9C"/>
    <w:rsid w:val="004802A3"/>
    <w:rsid w:val="00483716"/>
    <w:rsid w:val="00483CC3"/>
    <w:rsid w:val="004906AC"/>
    <w:rsid w:val="0049127E"/>
    <w:rsid w:val="00491B82"/>
    <w:rsid w:val="00491CBF"/>
    <w:rsid w:val="00493AB4"/>
    <w:rsid w:val="00493EDF"/>
    <w:rsid w:val="004A20A0"/>
    <w:rsid w:val="004A2984"/>
    <w:rsid w:val="004B0D3C"/>
    <w:rsid w:val="004B24F1"/>
    <w:rsid w:val="004B2BA2"/>
    <w:rsid w:val="004B3606"/>
    <w:rsid w:val="004B67E1"/>
    <w:rsid w:val="004C6A42"/>
    <w:rsid w:val="004C767F"/>
    <w:rsid w:val="004D106D"/>
    <w:rsid w:val="004D1E70"/>
    <w:rsid w:val="004D3549"/>
    <w:rsid w:val="004E4325"/>
    <w:rsid w:val="004E4599"/>
    <w:rsid w:val="004E4B79"/>
    <w:rsid w:val="004E6818"/>
    <w:rsid w:val="004E6F90"/>
    <w:rsid w:val="004E7082"/>
    <w:rsid w:val="004F3254"/>
    <w:rsid w:val="004F4685"/>
    <w:rsid w:val="004F54D7"/>
    <w:rsid w:val="004F7BA5"/>
    <w:rsid w:val="0050051A"/>
    <w:rsid w:val="005011A5"/>
    <w:rsid w:val="00505A1F"/>
    <w:rsid w:val="0050690B"/>
    <w:rsid w:val="00510156"/>
    <w:rsid w:val="00513958"/>
    <w:rsid w:val="0051546D"/>
    <w:rsid w:val="00517694"/>
    <w:rsid w:val="005234DF"/>
    <w:rsid w:val="00525CA1"/>
    <w:rsid w:val="0052664B"/>
    <w:rsid w:val="00527163"/>
    <w:rsid w:val="00530921"/>
    <w:rsid w:val="00532958"/>
    <w:rsid w:val="00532AF6"/>
    <w:rsid w:val="00532C2F"/>
    <w:rsid w:val="00534DE5"/>
    <w:rsid w:val="00536CB1"/>
    <w:rsid w:val="00536FCE"/>
    <w:rsid w:val="00537675"/>
    <w:rsid w:val="00537FA9"/>
    <w:rsid w:val="00542EFB"/>
    <w:rsid w:val="00545CCB"/>
    <w:rsid w:val="00545D51"/>
    <w:rsid w:val="005473F1"/>
    <w:rsid w:val="005501AA"/>
    <w:rsid w:val="00551623"/>
    <w:rsid w:val="005573B8"/>
    <w:rsid w:val="00560662"/>
    <w:rsid w:val="00561050"/>
    <w:rsid w:val="005616DB"/>
    <w:rsid w:val="00561C29"/>
    <w:rsid w:val="00561FF6"/>
    <w:rsid w:val="00562868"/>
    <w:rsid w:val="00567A92"/>
    <w:rsid w:val="0057403C"/>
    <w:rsid w:val="005749AC"/>
    <w:rsid w:val="0058489D"/>
    <w:rsid w:val="005865DB"/>
    <w:rsid w:val="0058699A"/>
    <w:rsid w:val="00592684"/>
    <w:rsid w:val="005979ED"/>
    <w:rsid w:val="00597EF3"/>
    <w:rsid w:val="005A1215"/>
    <w:rsid w:val="005A63AA"/>
    <w:rsid w:val="005A6C99"/>
    <w:rsid w:val="005A6EEC"/>
    <w:rsid w:val="005B00C9"/>
    <w:rsid w:val="005B117A"/>
    <w:rsid w:val="005B1A91"/>
    <w:rsid w:val="005C3005"/>
    <w:rsid w:val="005C310E"/>
    <w:rsid w:val="005C4934"/>
    <w:rsid w:val="005C7D38"/>
    <w:rsid w:val="005D0EFF"/>
    <w:rsid w:val="005D13D5"/>
    <w:rsid w:val="005D477E"/>
    <w:rsid w:val="005D68A0"/>
    <w:rsid w:val="005D7269"/>
    <w:rsid w:val="005E38CA"/>
    <w:rsid w:val="005E4047"/>
    <w:rsid w:val="005E6FFD"/>
    <w:rsid w:val="005E7156"/>
    <w:rsid w:val="005F301E"/>
    <w:rsid w:val="005F3959"/>
    <w:rsid w:val="005F594C"/>
    <w:rsid w:val="005F6F5A"/>
    <w:rsid w:val="005F7BDE"/>
    <w:rsid w:val="00600C07"/>
    <w:rsid w:val="00601717"/>
    <w:rsid w:val="00603A23"/>
    <w:rsid w:val="0060454B"/>
    <w:rsid w:val="00605A9F"/>
    <w:rsid w:val="00606327"/>
    <w:rsid w:val="00610DDD"/>
    <w:rsid w:val="006128E0"/>
    <w:rsid w:val="006153AA"/>
    <w:rsid w:val="006156C4"/>
    <w:rsid w:val="0061570B"/>
    <w:rsid w:val="00620052"/>
    <w:rsid w:val="00620FF2"/>
    <w:rsid w:val="00621725"/>
    <w:rsid w:val="00622B5F"/>
    <w:rsid w:val="00623334"/>
    <w:rsid w:val="00630D06"/>
    <w:rsid w:val="00631765"/>
    <w:rsid w:val="00631DDC"/>
    <w:rsid w:val="00631EA7"/>
    <w:rsid w:val="00632814"/>
    <w:rsid w:val="0063513B"/>
    <w:rsid w:val="00635DE7"/>
    <w:rsid w:val="006362EB"/>
    <w:rsid w:val="0064152E"/>
    <w:rsid w:val="006436C1"/>
    <w:rsid w:val="00654FCC"/>
    <w:rsid w:val="00657D94"/>
    <w:rsid w:val="00660D0F"/>
    <w:rsid w:val="00666663"/>
    <w:rsid w:val="00666817"/>
    <w:rsid w:val="00667B97"/>
    <w:rsid w:val="00670AF4"/>
    <w:rsid w:val="00670EE5"/>
    <w:rsid w:val="00675C8B"/>
    <w:rsid w:val="00676B0E"/>
    <w:rsid w:val="00676B20"/>
    <w:rsid w:val="00676BA4"/>
    <w:rsid w:val="0068235D"/>
    <w:rsid w:val="006833A0"/>
    <w:rsid w:val="0068368B"/>
    <w:rsid w:val="00684120"/>
    <w:rsid w:val="006912AF"/>
    <w:rsid w:val="0069247C"/>
    <w:rsid w:val="006940A9"/>
    <w:rsid w:val="006948C8"/>
    <w:rsid w:val="006A03CB"/>
    <w:rsid w:val="006A2D4D"/>
    <w:rsid w:val="006A36ED"/>
    <w:rsid w:val="006A6472"/>
    <w:rsid w:val="006B07FD"/>
    <w:rsid w:val="006B3098"/>
    <w:rsid w:val="006B3114"/>
    <w:rsid w:val="006B3126"/>
    <w:rsid w:val="006B6899"/>
    <w:rsid w:val="006C04E2"/>
    <w:rsid w:val="006C0EFB"/>
    <w:rsid w:val="006C159B"/>
    <w:rsid w:val="006C18AF"/>
    <w:rsid w:val="006C1E09"/>
    <w:rsid w:val="006C2F7F"/>
    <w:rsid w:val="006C45DE"/>
    <w:rsid w:val="006D0F61"/>
    <w:rsid w:val="006D1BCC"/>
    <w:rsid w:val="006D24F8"/>
    <w:rsid w:val="006D3672"/>
    <w:rsid w:val="006E16B7"/>
    <w:rsid w:val="006E2AC0"/>
    <w:rsid w:val="006E32C2"/>
    <w:rsid w:val="006E48D4"/>
    <w:rsid w:val="006E66CD"/>
    <w:rsid w:val="006F139D"/>
    <w:rsid w:val="006F422A"/>
    <w:rsid w:val="006F4BC4"/>
    <w:rsid w:val="006F5F2F"/>
    <w:rsid w:val="006F7844"/>
    <w:rsid w:val="006F7EF3"/>
    <w:rsid w:val="00702C2B"/>
    <w:rsid w:val="0070413A"/>
    <w:rsid w:val="00706A0B"/>
    <w:rsid w:val="00711FBF"/>
    <w:rsid w:val="0072092C"/>
    <w:rsid w:val="00720C7C"/>
    <w:rsid w:val="007216AD"/>
    <w:rsid w:val="00721709"/>
    <w:rsid w:val="00723D39"/>
    <w:rsid w:val="00726D47"/>
    <w:rsid w:val="00730526"/>
    <w:rsid w:val="00731CC6"/>
    <w:rsid w:val="007320AF"/>
    <w:rsid w:val="00733484"/>
    <w:rsid w:val="00735F84"/>
    <w:rsid w:val="00740AE2"/>
    <w:rsid w:val="007418F4"/>
    <w:rsid w:val="00743A8A"/>
    <w:rsid w:val="007450FC"/>
    <w:rsid w:val="007451C7"/>
    <w:rsid w:val="007460A5"/>
    <w:rsid w:val="00747D49"/>
    <w:rsid w:val="0075143F"/>
    <w:rsid w:val="0075192E"/>
    <w:rsid w:val="007556E4"/>
    <w:rsid w:val="0075581D"/>
    <w:rsid w:val="0075707D"/>
    <w:rsid w:val="007616B3"/>
    <w:rsid w:val="00763F18"/>
    <w:rsid w:val="00764D5D"/>
    <w:rsid w:val="00773269"/>
    <w:rsid w:val="00774545"/>
    <w:rsid w:val="007775CA"/>
    <w:rsid w:val="00782B4E"/>
    <w:rsid w:val="00784767"/>
    <w:rsid w:val="00786B7D"/>
    <w:rsid w:val="00786FD4"/>
    <w:rsid w:val="00787213"/>
    <w:rsid w:val="0078779F"/>
    <w:rsid w:val="00795538"/>
    <w:rsid w:val="007959D5"/>
    <w:rsid w:val="00797F59"/>
    <w:rsid w:val="007A272A"/>
    <w:rsid w:val="007A50E8"/>
    <w:rsid w:val="007A5930"/>
    <w:rsid w:val="007B1748"/>
    <w:rsid w:val="007B221F"/>
    <w:rsid w:val="007B2979"/>
    <w:rsid w:val="007B2993"/>
    <w:rsid w:val="007B36E7"/>
    <w:rsid w:val="007B6053"/>
    <w:rsid w:val="007B6DCB"/>
    <w:rsid w:val="007B76E8"/>
    <w:rsid w:val="007C0F35"/>
    <w:rsid w:val="007C1362"/>
    <w:rsid w:val="007C2FDF"/>
    <w:rsid w:val="007C3264"/>
    <w:rsid w:val="007C493C"/>
    <w:rsid w:val="007C53C4"/>
    <w:rsid w:val="007C61EB"/>
    <w:rsid w:val="007D0E03"/>
    <w:rsid w:val="007D1136"/>
    <w:rsid w:val="007D1B5A"/>
    <w:rsid w:val="007E096D"/>
    <w:rsid w:val="007E45B9"/>
    <w:rsid w:val="007E6A12"/>
    <w:rsid w:val="007F029E"/>
    <w:rsid w:val="007F0655"/>
    <w:rsid w:val="007F1E8A"/>
    <w:rsid w:val="007F1EE4"/>
    <w:rsid w:val="007F3A12"/>
    <w:rsid w:val="007F3EE9"/>
    <w:rsid w:val="007F4772"/>
    <w:rsid w:val="008000E0"/>
    <w:rsid w:val="00804140"/>
    <w:rsid w:val="00804BE4"/>
    <w:rsid w:val="00804FA6"/>
    <w:rsid w:val="0080657C"/>
    <w:rsid w:val="008077DB"/>
    <w:rsid w:val="00807FF0"/>
    <w:rsid w:val="00811228"/>
    <w:rsid w:val="008129B1"/>
    <w:rsid w:val="0081385A"/>
    <w:rsid w:val="008147F1"/>
    <w:rsid w:val="00816EFB"/>
    <w:rsid w:val="00816FA8"/>
    <w:rsid w:val="008173EF"/>
    <w:rsid w:val="00820927"/>
    <w:rsid w:val="00821C0B"/>
    <w:rsid w:val="00824656"/>
    <w:rsid w:val="00825609"/>
    <w:rsid w:val="008265C1"/>
    <w:rsid w:val="00832B00"/>
    <w:rsid w:val="00834228"/>
    <w:rsid w:val="00835907"/>
    <w:rsid w:val="008445F6"/>
    <w:rsid w:val="00846306"/>
    <w:rsid w:val="00846D2D"/>
    <w:rsid w:val="008479BC"/>
    <w:rsid w:val="008502E3"/>
    <w:rsid w:val="008508A8"/>
    <w:rsid w:val="00852B29"/>
    <w:rsid w:val="00853653"/>
    <w:rsid w:val="00853C9F"/>
    <w:rsid w:val="00854399"/>
    <w:rsid w:val="00854F1E"/>
    <w:rsid w:val="008553BA"/>
    <w:rsid w:val="00862E53"/>
    <w:rsid w:val="00864876"/>
    <w:rsid w:val="00865FCE"/>
    <w:rsid w:val="00870CBC"/>
    <w:rsid w:val="00871B64"/>
    <w:rsid w:val="008752E0"/>
    <w:rsid w:val="00875F4C"/>
    <w:rsid w:val="008804EA"/>
    <w:rsid w:val="00880A9C"/>
    <w:rsid w:val="00883E27"/>
    <w:rsid w:val="00885D04"/>
    <w:rsid w:val="00886005"/>
    <w:rsid w:val="00886809"/>
    <w:rsid w:val="00892576"/>
    <w:rsid w:val="008928E6"/>
    <w:rsid w:val="00894D4A"/>
    <w:rsid w:val="008A0029"/>
    <w:rsid w:val="008A1DBB"/>
    <w:rsid w:val="008A1FAC"/>
    <w:rsid w:val="008A4F5D"/>
    <w:rsid w:val="008A5AA1"/>
    <w:rsid w:val="008A5C96"/>
    <w:rsid w:val="008A756C"/>
    <w:rsid w:val="008A7A5F"/>
    <w:rsid w:val="008B07F4"/>
    <w:rsid w:val="008B0ACF"/>
    <w:rsid w:val="008B19C2"/>
    <w:rsid w:val="008B4A35"/>
    <w:rsid w:val="008B634E"/>
    <w:rsid w:val="008C0D31"/>
    <w:rsid w:val="008C1AA1"/>
    <w:rsid w:val="008C39F0"/>
    <w:rsid w:val="008C7201"/>
    <w:rsid w:val="008C7495"/>
    <w:rsid w:val="008D0091"/>
    <w:rsid w:val="008D5E1F"/>
    <w:rsid w:val="008D5F5A"/>
    <w:rsid w:val="008D79E4"/>
    <w:rsid w:val="008D7AA8"/>
    <w:rsid w:val="008E13AF"/>
    <w:rsid w:val="008E2084"/>
    <w:rsid w:val="008E38EB"/>
    <w:rsid w:val="008E4739"/>
    <w:rsid w:val="008E5D85"/>
    <w:rsid w:val="008E7DAB"/>
    <w:rsid w:val="008F12B6"/>
    <w:rsid w:val="008F45F8"/>
    <w:rsid w:val="008F4F84"/>
    <w:rsid w:val="008F5289"/>
    <w:rsid w:val="008F6CD5"/>
    <w:rsid w:val="0090013F"/>
    <w:rsid w:val="009005F3"/>
    <w:rsid w:val="00901001"/>
    <w:rsid w:val="00901888"/>
    <w:rsid w:val="00902069"/>
    <w:rsid w:val="00907F9A"/>
    <w:rsid w:val="00912D65"/>
    <w:rsid w:val="00914CA2"/>
    <w:rsid w:val="009152B0"/>
    <w:rsid w:val="00916ABF"/>
    <w:rsid w:val="009173EB"/>
    <w:rsid w:val="00921572"/>
    <w:rsid w:val="00921FA6"/>
    <w:rsid w:val="009223BE"/>
    <w:rsid w:val="0092267B"/>
    <w:rsid w:val="009257A9"/>
    <w:rsid w:val="00932BD1"/>
    <w:rsid w:val="0093386A"/>
    <w:rsid w:val="0093613F"/>
    <w:rsid w:val="00937A87"/>
    <w:rsid w:val="009402BD"/>
    <w:rsid w:val="009405A4"/>
    <w:rsid w:val="00941548"/>
    <w:rsid w:val="00941862"/>
    <w:rsid w:val="00946F8C"/>
    <w:rsid w:val="009508E7"/>
    <w:rsid w:val="009514FB"/>
    <w:rsid w:val="00952B4B"/>
    <w:rsid w:val="00953021"/>
    <w:rsid w:val="00954AB1"/>
    <w:rsid w:val="0095742B"/>
    <w:rsid w:val="00960758"/>
    <w:rsid w:val="00961CEA"/>
    <w:rsid w:val="00962A4E"/>
    <w:rsid w:val="00962EC3"/>
    <w:rsid w:val="0097028B"/>
    <w:rsid w:val="0097184E"/>
    <w:rsid w:val="0097257D"/>
    <w:rsid w:val="00975978"/>
    <w:rsid w:val="0097613A"/>
    <w:rsid w:val="009765A0"/>
    <w:rsid w:val="009775DD"/>
    <w:rsid w:val="00982855"/>
    <w:rsid w:val="00984AF5"/>
    <w:rsid w:val="0098526E"/>
    <w:rsid w:val="00987F25"/>
    <w:rsid w:val="0099254F"/>
    <w:rsid w:val="00992AF0"/>
    <w:rsid w:val="00994C59"/>
    <w:rsid w:val="00994E3F"/>
    <w:rsid w:val="0099553C"/>
    <w:rsid w:val="009A0834"/>
    <w:rsid w:val="009A25BA"/>
    <w:rsid w:val="009A2B03"/>
    <w:rsid w:val="009B178B"/>
    <w:rsid w:val="009B34E3"/>
    <w:rsid w:val="009C1B42"/>
    <w:rsid w:val="009C208C"/>
    <w:rsid w:val="009D209B"/>
    <w:rsid w:val="009D2E2B"/>
    <w:rsid w:val="009D337C"/>
    <w:rsid w:val="009D4AD1"/>
    <w:rsid w:val="009D6330"/>
    <w:rsid w:val="009D6332"/>
    <w:rsid w:val="009D6C64"/>
    <w:rsid w:val="009D7523"/>
    <w:rsid w:val="009D787B"/>
    <w:rsid w:val="009E0593"/>
    <w:rsid w:val="009E1714"/>
    <w:rsid w:val="009E4510"/>
    <w:rsid w:val="009E79BD"/>
    <w:rsid w:val="009F26A3"/>
    <w:rsid w:val="009F3661"/>
    <w:rsid w:val="009F4957"/>
    <w:rsid w:val="009F4F9E"/>
    <w:rsid w:val="009F6970"/>
    <w:rsid w:val="009F6B66"/>
    <w:rsid w:val="009F6DEF"/>
    <w:rsid w:val="00A0099E"/>
    <w:rsid w:val="00A028A9"/>
    <w:rsid w:val="00A03CCE"/>
    <w:rsid w:val="00A03FBE"/>
    <w:rsid w:val="00A04059"/>
    <w:rsid w:val="00A040D3"/>
    <w:rsid w:val="00A052E2"/>
    <w:rsid w:val="00A0677F"/>
    <w:rsid w:val="00A128F6"/>
    <w:rsid w:val="00A13C3E"/>
    <w:rsid w:val="00A14E6B"/>
    <w:rsid w:val="00A17038"/>
    <w:rsid w:val="00A170FE"/>
    <w:rsid w:val="00A20743"/>
    <w:rsid w:val="00A20830"/>
    <w:rsid w:val="00A20A2B"/>
    <w:rsid w:val="00A22C9C"/>
    <w:rsid w:val="00A23D28"/>
    <w:rsid w:val="00A24A25"/>
    <w:rsid w:val="00A311E7"/>
    <w:rsid w:val="00A32CBB"/>
    <w:rsid w:val="00A4046E"/>
    <w:rsid w:val="00A414B6"/>
    <w:rsid w:val="00A42675"/>
    <w:rsid w:val="00A460CC"/>
    <w:rsid w:val="00A5447F"/>
    <w:rsid w:val="00A55771"/>
    <w:rsid w:val="00A56708"/>
    <w:rsid w:val="00A62509"/>
    <w:rsid w:val="00A633FB"/>
    <w:rsid w:val="00A6371B"/>
    <w:rsid w:val="00A64575"/>
    <w:rsid w:val="00A64984"/>
    <w:rsid w:val="00A72056"/>
    <w:rsid w:val="00A727D3"/>
    <w:rsid w:val="00A74C86"/>
    <w:rsid w:val="00A754C2"/>
    <w:rsid w:val="00A75F7D"/>
    <w:rsid w:val="00A8023C"/>
    <w:rsid w:val="00A8053C"/>
    <w:rsid w:val="00A83781"/>
    <w:rsid w:val="00A862A9"/>
    <w:rsid w:val="00A90B68"/>
    <w:rsid w:val="00A91137"/>
    <w:rsid w:val="00A939DC"/>
    <w:rsid w:val="00A955E3"/>
    <w:rsid w:val="00A95884"/>
    <w:rsid w:val="00A96DF1"/>
    <w:rsid w:val="00AA0063"/>
    <w:rsid w:val="00AA1573"/>
    <w:rsid w:val="00AA241D"/>
    <w:rsid w:val="00AA30A0"/>
    <w:rsid w:val="00AA5952"/>
    <w:rsid w:val="00AA660B"/>
    <w:rsid w:val="00AA6AF7"/>
    <w:rsid w:val="00AB2C4C"/>
    <w:rsid w:val="00AB45D0"/>
    <w:rsid w:val="00AB481E"/>
    <w:rsid w:val="00AB4EDA"/>
    <w:rsid w:val="00AB56A0"/>
    <w:rsid w:val="00AC05D2"/>
    <w:rsid w:val="00AC0F44"/>
    <w:rsid w:val="00AC1272"/>
    <w:rsid w:val="00AC1875"/>
    <w:rsid w:val="00AC2AE6"/>
    <w:rsid w:val="00AC388C"/>
    <w:rsid w:val="00AC3C2B"/>
    <w:rsid w:val="00AC42E6"/>
    <w:rsid w:val="00AC4B53"/>
    <w:rsid w:val="00AC55C4"/>
    <w:rsid w:val="00AD2798"/>
    <w:rsid w:val="00AD3980"/>
    <w:rsid w:val="00AD3F4F"/>
    <w:rsid w:val="00AE10C1"/>
    <w:rsid w:val="00AE219B"/>
    <w:rsid w:val="00AE310E"/>
    <w:rsid w:val="00AE5D7E"/>
    <w:rsid w:val="00AE753D"/>
    <w:rsid w:val="00AF0B5E"/>
    <w:rsid w:val="00AF2689"/>
    <w:rsid w:val="00AF2C3B"/>
    <w:rsid w:val="00AF4455"/>
    <w:rsid w:val="00AF629F"/>
    <w:rsid w:val="00AF7024"/>
    <w:rsid w:val="00B02BAD"/>
    <w:rsid w:val="00B036B5"/>
    <w:rsid w:val="00B043CE"/>
    <w:rsid w:val="00B078AB"/>
    <w:rsid w:val="00B11E8B"/>
    <w:rsid w:val="00B11F8C"/>
    <w:rsid w:val="00B13914"/>
    <w:rsid w:val="00B14802"/>
    <w:rsid w:val="00B212F9"/>
    <w:rsid w:val="00B2308D"/>
    <w:rsid w:val="00B240F9"/>
    <w:rsid w:val="00B248A5"/>
    <w:rsid w:val="00B26150"/>
    <w:rsid w:val="00B30F55"/>
    <w:rsid w:val="00B31F2D"/>
    <w:rsid w:val="00B32D1C"/>
    <w:rsid w:val="00B364F7"/>
    <w:rsid w:val="00B3716F"/>
    <w:rsid w:val="00B37926"/>
    <w:rsid w:val="00B37967"/>
    <w:rsid w:val="00B37BB5"/>
    <w:rsid w:val="00B423EC"/>
    <w:rsid w:val="00B43CA7"/>
    <w:rsid w:val="00B456DC"/>
    <w:rsid w:val="00B4609C"/>
    <w:rsid w:val="00B46800"/>
    <w:rsid w:val="00B52696"/>
    <w:rsid w:val="00B544CF"/>
    <w:rsid w:val="00B554D0"/>
    <w:rsid w:val="00B56629"/>
    <w:rsid w:val="00B6090E"/>
    <w:rsid w:val="00B65489"/>
    <w:rsid w:val="00B65E7F"/>
    <w:rsid w:val="00B663F6"/>
    <w:rsid w:val="00B6780A"/>
    <w:rsid w:val="00B67C35"/>
    <w:rsid w:val="00B71598"/>
    <w:rsid w:val="00B716F0"/>
    <w:rsid w:val="00B73B7A"/>
    <w:rsid w:val="00B77035"/>
    <w:rsid w:val="00B7751B"/>
    <w:rsid w:val="00B826A9"/>
    <w:rsid w:val="00B8301C"/>
    <w:rsid w:val="00B86A7F"/>
    <w:rsid w:val="00B87A32"/>
    <w:rsid w:val="00B87FD9"/>
    <w:rsid w:val="00B90562"/>
    <w:rsid w:val="00B90FA2"/>
    <w:rsid w:val="00B91ECB"/>
    <w:rsid w:val="00B927AB"/>
    <w:rsid w:val="00B971F0"/>
    <w:rsid w:val="00BA1F10"/>
    <w:rsid w:val="00BA1F63"/>
    <w:rsid w:val="00BB074A"/>
    <w:rsid w:val="00BB2BFC"/>
    <w:rsid w:val="00BB2EFE"/>
    <w:rsid w:val="00BB7289"/>
    <w:rsid w:val="00BC02F3"/>
    <w:rsid w:val="00BC19C6"/>
    <w:rsid w:val="00BC2921"/>
    <w:rsid w:val="00BC5697"/>
    <w:rsid w:val="00BC6F3C"/>
    <w:rsid w:val="00BD0091"/>
    <w:rsid w:val="00BD1356"/>
    <w:rsid w:val="00BD344D"/>
    <w:rsid w:val="00BD459D"/>
    <w:rsid w:val="00BD7C1B"/>
    <w:rsid w:val="00BE043D"/>
    <w:rsid w:val="00BE18A1"/>
    <w:rsid w:val="00BE43D3"/>
    <w:rsid w:val="00BE4767"/>
    <w:rsid w:val="00BF38BD"/>
    <w:rsid w:val="00C00554"/>
    <w:rsid w:val="00C028CC"/>
    <w:rsid w:val="00C02EF6"/>
    <w:rsid w:val="00C06CE1"/>
    <w:rsid w:val="00C10213"/>
    <w:rsid w:val="00C11D20"/>
    <w:rsid w:val="00C162EE"/>
    <w:rsid w:val="00C16AF3"/>
    <w:rsid w:val="00C22B1D"/>
    <w:rsid w:val="00C23463"/>
    <w:rsid w:val="00C23650"/>
    <w:rsid w:val="00C2460C"/>
    <w:rsid w:val="00C252C3"/>
    <w:rsid w:val="00C2554F"/>
    <w:rsid w:val="00C2563B"/>
    <w:rsid w:val="00C2779E"/>
    <w:rsid w:val="00C30481"/>
    <w:rsid w:val="00C317CC"/>
    <w:rsid w:val="00C31A3C"/>
    <w:rsid w:val="00C31D74"/>
    <w:rsid w:val="00C32B30"/>
    <w:rsid w:val="00C35108"/>
    <w:rsid w:val="00C40158"/>
    <w:rsid w:val="00C419AB"/>
    <w:rsid w:val="00C44D75"/>
    <w:rsid w:val="00C468C9"/>
    <w:rsid w:val="00C4716F"/>
    <w:rsid w:val="00C50B7C"/>
    <w:rsid w:val="00C51788"/>
    <w:rsid w:val="00C53C87"/>
    <w:rsid w:val="00C55D7F"/>
    <w:rsid w:val="00C56D32"/>
    <w:rsid w:val="00C57DFD"/>
    <w:rsid w:val="00C603CE"/>
    <w:rsid w:val="00C604F4"/>
    <w:rsid w:val="00C658A4"/>
    <w:rsid w:val="00C70F39"/>
    <w:rsid w:val="00C71843"/>
    <w:rsid w:val="00C726C0"/>
    <w:rsid w:val="00C74733"/>
    <w:rsid w:val="00C76A19"/>
    <w:rsid w:val="00C77349"/>
    <w:rsid w:val="00C779DD"/>
    <w:rsid w:val="00C80C92"/>
    <w:rsid w:val="00C87B0C"/>
    <w:rsid w:val="00C90552"/>
    <w:rsid w:val="00C90C67"/>
    <w:rsid w:val="00C9196A"/>
    <w:rsid w:val="00C9635C"/>
    <w:rsid w:val="00C97BA4"/>
    <w:rsid w:val="00CA330E"/>
    <w:rsid w:val="00CA4F97"/>
    <w:rsid w:val="00CA6695"/>
    <w:rsid w:val="00CB0575"/>
    <w:rsid w:val="00CB1386"/>
    <w:rsid w:val="00CB1415"/>
    <w:rsid w:val="00CB1624"/>
    <w:rsid w:val="00CB479D"/>
    <w:rsid w:val="00CB6550"/>
    <w:rsid w:val="00CC07E2"/>
    <w:rsid w:val="00CC54DF"/>
    <w:rsid w:val="00CC5C13"/>
    <w:rsid w:val="00CD14A2"/>
    <w:rsid w:val="00CD21BE"/>
    <w:rsid w:val="00CD5088"/>
    <w:rsid w:val="00CD7626"/>
    <w:rsid w:val="00CE44A5"/>
    <w:rsid w:val="00CE4A73"/>
    <w:rsid w:val="00CF170C"/>
    <w:rsid w:val="00CF3DDA"/>
    <w:rsid w:val="00D016ED"/>
    <w:rsid w:val="00D01B1D"/>
    <w:rsid w:val="00D0234C"/>
    <w:rsid w:val="00D03B5E"/>
    <w:rsid w:val="00D04CEF"/>
    <w:rsid w:val="00D1079E"/>
    <w:rsid w:val="00D10983"/>
    <w:rsid w:val="00D112B4"/>
    <w:rsid w:val="00D11B23"/>
    <w:rsid w:val="00D15AB9"/>
    <w:rsid w:val="00D20E63"/>
    <w:rsid w:val="00D21752"/>
    <w:rsid w:val="00D219B4"/>
    <w:rsid w:val="00D21F92"/>
    <w:rsid w:val="00D2432C"/>
    <w:rsid w:val="00D24548"/>
    <w:rsid w:val="00D24863"/>
    <w:rsid w:val="00D24AC5"/>
    <w:rsid w:val="00D24F93"/>
    <w:rsid w:val="00D250AC"/>
    <w:rsid w:val="00D25193"/>
    <w:rsid w:val="00D30478"/>
    <w:rsid w:val="00D30D49"/>
    <w:rsid w:val="00D311FE"/>
    <w:rsid w:val="00D32EA1"/>
    <w:rsid w:val="00D334BA"/>
    <w:rsid w:val="00D343EC"/>
    <w:rsid w:val="00D36565"/>
    <w:rsid w:val="00D36C83"/>
    <w:rsid w:val="00D377FE"/>
    <w:rsid w:val="00D4468E"/>
    <w:rsid w:val="00D44A7A"/>
    <w:rsid w:val="00D473B8"/>
    <w:rsid w:val="00D47897"/>
    <w:rsid w:val="00D47941"/>
    <w:rsid w:val="00D50870"/>
    <w:rsid w:val="00D5194B"/>
    <w:rsid w:val="00D52C0D"/>
    <w:rsid w:val="00D532C2"/>
    <w:rsid w:val="00D55EB4"/>
    <w:rsid w:val="00D62334"/>
    <w:rsid w:val="00D6418E"/>
    <w:rsid w:val="00D64513"/>
    <w:rsid w:val="00D657E0"/>
    <w:rsid w:val="00D66344"/>
    <w:rsid w:val="00D66C25"/>
    <w:rsid w:val="00D71A5E"/>
    <w:rsid w:val="00D71B38"/>
    <w:rsid w:val="00D76101"/>
    <w:rsid w:val="00D80178"/>
    <w:rsid w:val="00D80A57"/>
    <w:rsid w:val="00D81867"/>
    <w:rsid w:val="00D81935"/>
    <w:rsid w:val="00D81E23"/>
    <w:rsid w:val="00D826B7"/>
    <w:rsid w:val="00D843D4"/>
    <w:rsid w:val="00D8471A"/>
    <w:rsid w:val="00D84B06"/>
    <w:rsid w:val="00D874B7"/>
    <w:rsid w:val="00D914D5"/>
    <w:rsid w:val="00D91880"/>
    <w:rsid w:val="00D91B06"/>
    <w:rsid w:val="00D9271F"/>
    <w:rsid w:val="00D946E2"/>
    <w:rsid w:val="00DA0177"/>
    <w:rsid w:val="00DA0C32"/>
    <w:rsid w:val="00DA4FFF"/>
    <w:rsid w:val="00DA5947"/>
    <w:rsid w:val="00DB0AA9"/>
    <w:rsid w:val="00DB178A"/>
    <w:rsid w:val="00DB6C32"/>
    <w:rsid w:val="00DC0814"/>
    <w:rsid w:val="00DC11BF"/>
    <w:rsid w:val="00DC3C4E"/>
    <w:rsid w:val="00DC44DF"/>
    <w:rsid w:val="00DC69AE"/>
    <w:rsid w:val="00DC71FD"/>
    <w:rsid w:val="00DC7472"/>
    <w:rsid w:val="00DC7F02"/>
    <w:rsid w:val="00DD0692"/>
    <w:rsid w:val="00DD37E0"/>
    <w:rsid w:val="00DD3803"/>
    <w:rsid w:val="00DD47E8"/>
    <w:rsid w:val="00DD4C20"/>
    <w:rsid w:val="00DD510F"/>
    <w:rsid w:val="00DD51CB"/>
    <w:rsid w:val="00DD620F"/>
    <w:rsid w:val="00DE213C"/>
    <w:rsid w:val="00DE453E"/>
    <w:rsid w:val="00DE65BB"/>
    <w:rsid w:val="00DE6661"/>
    <w:rsid w:val="00DF2265"/>
    <w:rsid w:val="00DF3803"/>
    <w:rsid w:val="00DF3CEF"/>
    <w:rsid w:val="00DF5576"/>
    <w:rsid w:val="00DF5CAA"/>
    <w:rsid w:val="00E03731"/>
    <w:rsid w:val="00E0523E"/>
    <w:rsid w:val="00E07F9D"/>
    <w:rsid w:val="00E10542"/>
    <w:rsid w:val="00E1157F"/>
    <w:rsid w:val="00E135EA"/>
    <w:rsid w:val="00E15393"/>
    <w:rsid w:val="00E1671D"/>
    <w:rsid w:val="00E16D0F"/>
    <w:rsid w:val="00E17C53"/>
    <w:rsid w:val="00E21188"/>
    <w:rsid w:val="00E21A75"/>
    <w:rsid w:val="00E2345F"/>
    <w:rsid w:val="00E264B4"/>
    <w:rsid w:val="00E27942"/>
    <w:rsid w:val="00E401C7"/>
    <w:rsid w:val="00E403BD"/>
    <w:rsid w:val="00E42A97"/>
    <w:rsid w:val="00E45F22"/>
    <w:rsid w:val="00E471D5"/>
    <w:rsid w:val="00E4788D"/>
    <w:rsid w:val="00E5090A"/>
    <w:rsid w:val="00E5137F"/>
    <w:rsid w:val="00E5262F"/>
    <w:rsid w:val="00E52C92"/>
    <w:rsid w:val="00E53422"/>
    <w:rsid w:val="00E53C15"/>
    <w:rsid w:val="00E550B6"/>
    <w:rsid w:val="00E575C1"/>
    <w:rsid w:val="00E60603"/>
    <w:rsid w:val="00E60D95"/>
    <w:rsid w:val="00E6522A"/>
    <w:rsid w:val="00E65D3D"/>
    <w:rsid w:val="00E67271"/>
    <w:rsid w:val="00E72381"/>
    <w:rsid w:val="00E771DB"/>
    <w:rsid w:val="00E814F9"/>
    <w:rsid w:val="00E81DC7"/>
    <w:rsid w:val="00E8407F"/>
    <w:rsid w:val="00E85390"/>
    <w:rsid w:val="00E9081C"/>
    <w:rsid w:val="00E97699"/>
    <w:rsid w:val="00E97CEA"/>
    <w:rsid w:val="00EA1032"/>
    <w:rsid w:val="00EA16EA"/>
    <w:rsid w:val="00EA2874"/>
    <w:rsid w:val="00EA36DA"/>
    <w:rsid w:val="00EA5686"/>
    <w:rsid w:val="00EB108F"/>
    <w:rsid w:val="00EB1F22"/>
    <w:rsid w:val="00EB3457"/>
    <w:rsid w:val="00EB5D6F"/>
    <w:rsid w:val="00EB67A0"/>
    <w:rsid w:val="00EB6841"/>
    <w:rsid w:val="00EB6AD0"/>
    <w:rsid w:val="00EC0562"/>
    <w:rsid w:val="00EC11B2"/>
    <w:rsid w:val="00EC3484"/>
    <w:rsid w:val="00EC3C0A"/>
    <w:rsid w:val="00EC42ED"/>
    <w:rsid w:val="00EC64E3"/>
    <w:rsid w:val="00EC7362"/>
    <w:rsid w:val="00ED149C"/>
    <w:rsid w:val="00ED1DCA"/>
    <w:rsid w:val="00ED3078"/>
    <w:rsid w:val="00ED428F"/>
    <w:rsid w:val="00ED4647"/>
    <w:rsid w:val="00ED49B4"/>
    <w:rsid w:val="00ED5023"/>
    <w:rsid w:val="00ED6583"/>
    <w:rsid w:val="00ED745A"/>
    <w:rsid w:val="00EE1747"/>
    <w:rsid w:val="00EE2B8F"/>
    <w:rsid w:val="00EE4C7D"/>
    <w:rsid w:val="00EE7831"/>
    <w:rsid w:val="00EF250A"/>
    <w:rsid w:val="00EF3CFE"/>
    <w:rsid w:val="00EF60C6"/>
    <w:rsid w:val="00EF74F6"/>
    <w:rsid w:val="00F0270B"/>
    <w:rsid w:val="00F0539C"/>
    <w:rsid w:val="00F123E6"/>
    <w:rsid w:val="00F13BC2"/>
    <w:rsid w:val="00F153E7"/>
    <w:rsid w:val="00F174CA"/>
    <w:rsid w:val="00F21D1E"/>
    <w:rsid w:val="00F228DE"/>
    <w:rsid w:val="00F27359"/>
    <w:rsid w:val="00F276AB"/>
    <w:rsid w:val="00F31A4A"/>
    <w:rsid w:val="00F332E1"/>
    <w:rsid w:val="00F3563A"/>
    <w:rsid w:val="00F37FB8"/>
    <w:rsid w:val="00F40129"/>
    <w:rsid w:val="00F42BAE"/>
    <w:rsid w:val="00F447A3"/>
    <w:rsid w:val="00F47C30"/>
    <w:rsid w:val="00F50B3D"/>
    <w:rsid w:val="00F513EB"/>
    <w:rsid w:val="00F51BC7"/>
    <w:rsid w:val="00F52E49"/>
    <w:rsid w:val="00F542E8"/>
    <w:rsid w:val="00F5631D"/>
    <w:rsid w:val="00F57BCF"/>
    <w:rsid w:val="00F636BA"/>
    <w:rsid w:val="00F666C8"/>
    <w:rsid w:val="00F66C40"/>
    <w:rsid w:val="00F6756A"/>
    <w:rsid w:val="00F73C06"/>
    <w:rsid w:val="00F73DA8"/>
    <w:rsid w:val="00F75EDB"/>
    <w:rsid w:val="00F76B12"/>
    <w:rsid w:val="00F7742E"/>
    <w:rsid w:val="00F82158"/>
    <w:rsid w:val="00F82811"/>
    <w:rsid w:val="00F830B8"/>
    <w:rsid w:val="00F9153E"/>
    <w:rsid w:val="00F918DD"/>
    <w:rsid w:val="00F92168"/>
    <w:rsid w:val="00F92A05"/>
    <w:rsid w:val="00F95D12"/>
    <w:rsid w:val="00F966FE"/>
    <w:rsid w:val="00F96FA5"/>
    <w:rsid w:val="00F9713C"/>
    <w:rsid w:val="00FA2CBC"/>
    <w:rsid w:val="00FA48DC"/>
    <w:rsid w:val="00FA5715"/>
    <w:rsid w:val="00FB0D50"/>
    <w:rsid w:val="00FB0E38"/>
    <w:rsid w:val="00FB10AF"/>
    <w:rsid w:val="00FB5F18"/>
    <w:rsid w:val="00FC49DE"/>
    <w:rsid w:val="00FC4EE9"/>
    <w:rsid w:val="00FC5CAC"/>
    <w:rsid w:val="00FC6FA0"/>
    <w:rsid w:val="00FC75AE"/>
    <w:rsid w:val="00FD30CD"/>
    <w:rsid w:val="00FD3A61"/>
    <w:rsid w:val="00FD505A"/>
    <w:rsid w:val="00FD644C"/>
    <w:rsid w:val="00FE0338"/>
    <w:rsid w:val="00FE0568"/>
    <w:rsid w:val="00FE08A5"/>
    <w:rsid w:val="00FE6F32"/>
    <w:rsid w:val="00FE7207"/>
    <w:rsid w:val="00FE78B7"/>
    <w:rsid w:val="00FF1F22"/>
    <w:rsid w:val="00FF2914"/>
    <w:rsid w:val="00FF2E4C"/>
    <w:rsid w:val="00FF4428"/>
    <w:rsid w:val="00FF71B8"/>
    <w:rsid w:val="00FF7850"/>
    <w:rsid w:val="00FF7DA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B852F2C"/>
  <w15:docId w15:val="{01CDCD4C-B515-4610-9F65-D82A1F543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AC55C4"/>
    <w:pPr>
      <w:keepNext/>
      <w:keepLines/>
      <w:spacing w:before="240" w:after="40" w:line="240" w:lineRule="auto"/>
      <w:jc w:val="both"/>
      <w:outlineLvl w:val="1"/>
    </w:pPr>
    <w:rPr>
      <w:rFonts w:eastAsiaTheme="majorEastAsia" w:cstheme="majorBidi"/>
      <w:b/>
      <w:sz w:val="26"/>
      <w:szCs w:val="26"/>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C55C4"/>
    <w:rPr>
      <w:rFonts w:eastAsiaTheme="majorEastAsia" w:cstheme="majorBidi"/>
      <w:b/>
      <w:sz w:val="26"/>
      <w:szCs w:val="26"/>
      <w:lang w:val="en-AU"/>
    </w:rPr>
  </w:style>
  <w:style w:type="character" w:styleId="CommentReference">
    <w:name w:val="annotation reference"/>
    <w:basedOn w:val="DefaultParagraphFont"/>
    <w:uiPriority w:val="99"/>
    <w:semiHidden/>
    <w:unhideWhenUsed/>
    <w:rsid w:val="006E16B7"/>
    <w:rPr>
      <w:sz w:val="16"/>
      <w:szCs w:val="16"/>
    </w:rPr>
  </w:style>
  <w:style w:type="paragraph" w:styleId="CommentText">
    <w:name w:val="annotation text"/>
    <w:basedOn w:val="Normal"/>
    <w:link w:val="CommentTextChar"/>
    <w:uiPriority w:val="99"/>
    <w:unhideWhenUsed/>
    <w:rsid w:val="006E16B7"/>
    <w:pPr>
      <w:spacing w:line="240" w:lineRule="auto"/>
    </w:pPr>
    <w:rPr>
      <w:sz w:val="20"/>
      <w:szCs w:val="20"/>
    </w:rPr>
  </w:style>
  <w:style w:type="character" w:customStyle="1" w:styleId="CommentTextChar">
    <w:name w:val="Comment Text Char"/>
    <w:basedOn w:val="DefaultParagraphFont"/>
    <w:link w:val="CommentText"/>
    <w:uiPriority w:val="99"/>
    <w:rsid w:val="006E16B7"/>
    <w:rPr>
      <w:sz w:val="20"/>
      <w:szCs w:val="20"/>
    </w:rPr>
  </w:style>
  <w:style w:type="paragraph" w:styleId="CommentSubject">
    <w:name w:val="annotation subject"/>
    <w:basedOn w:val="CommentText"/>
    <w:next w:val="CommentText"/>
    <w:link w:val="CommentSubjectChar"/>
    <w:uiPriority w:val="99"/>
    <w:semiHidden/>
    <w:unhideWhenUsed/>
    <w:rsid w:val="006E16B7"/>
    <w:rPr>
      <w:b/>
      <w:bCs/>
    </w:rPr>
  </w:style>
  <w:style w:type="character" w:customStyle="1" w:styleId="CommentSubjectChar">
    <w:name w:val="Comment Subject Char"/>
    <w:basedOn w:val="CommentTextChar"/>
    <w:link w:val="CommentSubject"/>
    <w:uiPriority w:val="99"/>
    <w:semiHidden/>
    <w:rsid w:val="006E16B7"/>
    <w:rPr>
      <w:b/>
      <w:bCs/>
      <w:sz w:val="20"/>
      <w:szCs w:val="20"/>
    </w:rPr>
  </w:style>
  <w:style w:type="paragraph" w:styleId="BalloonText">
    <w:name w:val="Balloon Text"/>
    <w:basedOn w:val="Normal"/>
    <w:link w:val="BalloonTextChar"/>
    <w:uiPriority w:val="99"/>
    <w:semiHidden/>
    <w:unhideWhenUsed/>
    <w:rsid w:val="006E16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16B7"/>
    <w:rPr>
      <w:rFonts w:ascii="Segoe UI" w:hAnsi="Segoe UI" w:cs="Segoe UI"/>
      <w:sz w:val="18"/>
      <w:szCs w:val="18"/>
    </w:rPr>
  </w:style>
  <w:style w:type="paragraph" w:styleId="ListParagraph">
    <w:name w:val="List Paragraph"/>
    <w:basedOn w:val="Normal"/>
    <w:uiPriority w:val="34"/>
    <w:qFormat/>
    <w:rsid w:val="006E16B7"/>
    <w:pPr>
      <w:ind w:left="720"/>
      <w:contextualSpacing/>
    </w:pPr>
  </w:style>
  <w:style w:type="paragraph" w:styleId="Revision">
    <w:name w:val="Revision"/>
    <w:hidden/>
    <w:uiPriority w:val="99"/>
    <w:semiHidden/>
    <w:rsid w:val="000A6070"/>
    <w:pPr>
      <w:spacing w:after="0" w:line="240" w:lineRule="auto"/>
    </w:pPr>
  </w:style>
  <w:style w:type="paragraph" w:styleId="NormalWeb">
    <w:name w:val="Normal (Web)"/>
    <w:basedOn w:val="Normal"/>
    <w:uiPriority w:val="99"/>
    <w:semiHidden/>
    <w:unhideWhenUsed/>
    <w:rsid w:val="00E97CEA"/>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Title1">
    <w:name w:val="Title1"/>
    <w:basedOn w:val="Normal"/>
    <w:rsid w:val="0081385A"/>
    <w:pPr>
      <w:spacing w:before="100" w:beforeAutospacing="1" w:after="100" w:afterAutospacing="1" w:line="240" w:lineRule="auto"/>
    </w:pPr>
    <w:rPr>
      <w:rFonts w:ascii="Times New Roman" w:eastAsia="Times New Roman" w:hAnsi="Times New Roman" w:cs="Times New Roman"/>
      <w:sz w:val="24"/>
      <w:szCs w:val="24"/>
      <w:lang w:bidi="he-IL"/>
    </w:rPr>
  </w:style>
  <w:style w:type="character" w:styleId="Hyperlink">
    <w:name w:val="Hyperlink"/>
    <w:basedOn w:val="DefaultParagraphFont"/>
    <w:uiPriority w:val="99"/>
    <w:unhideWhenUsed/>
    <w:rsid w:val="0081385A"/>
    <w:rPr>
      <w:color w:val="0000FF"/>
      <w:u w:val="single"/>
    </w:rPr>
  </w:style>
  <w:style w:type="paragraph" w:customStyle="1" w:styleId="desc">
    <w:name w:val="desc"/>
    <w:basedOn w:val="Normal"/>
    <w:rsid w:val="0081385A"/>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details">
    <w:name w:val="details"/>
    <w:basedOn w:val="Normal"/>
    <w:rsid w:val="0081385A"/>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jrnl">
    <w:name w:val="jrnl"/>
    <w:basedOn w:val="DefaultParagraphFont"/>
    <w:rsid w:val="0081385A"/>
  </w:style>
  <w:style w:type="paragraph" w:customStyle="1" w:styleId="Title2">
    <w:name w:val="Title2"/>
    <w:basedOn w:val="Normal"/>
    <w:rsid w:val="000677AA"/>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EndNoteBibliography">
    <w:name w:val="EndNote Bibliography"/>
    <w:basedOn w:val="Normal"/>
    <w:link w:val="EndNoteBibliography0"/>
    <w:rsid w:val="00065668"/>
    <w:pPr>
      <w:widowControl w:val="0"/>
      <w:spacing w:after="0" w:line="240" w:lineRule="auto"/>
      <w:jc w:val="both"/>
    </w:pPr>
    <w:rPr>
      <w:rFonts w:ascii="Century" w:eastAsiaTheme="minorEastAsia" w:hAnsi="Century" w:cstheme="majorBidi"/>
      <w:noProof/>
      <w:kern w:val="2"/>
      <w:sz w:val="20"/>
      <w:szCs w:val="26"/>
      <w:lang w:val="en-AU" w:eastAsia="ja-JP"/>
    </w:rPr>
  </w:style>
  <w:style w:type="character" w:customStyle="1" w:styleId="EndNoteBibliography0">
    <w:name w:val="EndNote Bibliography (文字)"/>
    <w:basedOn w:val="Heading2Char"/>
    <w:link w:val="EndNoteBibliography"/>
    <w:rsid w:val="00065668"/>
    <w:rPr>
      <w:rFonts w:ascii="Century" w:eastAsiaTheme="minorEastAsia" w:hAnsi="Century" w:cstheme="majorBidi"/>
      <w:b w:val="0"/>
      <w:noProof/>
      <w:kern w:val="2"/>
      <w:sz w:val="20"/>
      <w:szCs w:val="26"/>
      <w:lang w:val="en-AU" w:eastAsia="ja-JP"/>
    </w:rPr>
  </w:style>
  <w:style w:type="paragraph" w:styleId="Header">
    <w:name w:val="header"/>
    <w:basedOn w:val="Normal"/>
    <w:link w:val="HeaderChar"/>
    <w:uiPriority w:val="99"/>
    <w:unhideWhenUsed/>
    <w:rsid w:val="00CB1386"/>
    <w:pPr>
      <w:tabs>
        <w:tab w:val="center" w:pos="4153"/>
        <w:tab w:val="right" w:pos="8306"/>
      </w:tabs>
      <w:spacing w:after="0" w:line="240" w:lineRule="auto"/>
    </w:pPr>
  </w:style>
  <w:style w:type="character" w:customStyle="1" w:styleId="HeaderChar">
    <w:name w:val="Header Char"/>
    <w:basedOn w:val="DefaultParagraphFont"/>
    <w:link w:val="Header"/>
    <w:uiPriority w:val="99"/>
    <w:rsid w:val="00CB1386"/>
  </w:style>
  <w:style w:type="paragraph" w:styleId="Footer">
    <w:name w:val="footer"/>
    <w:basedOn w:val="Normal"/>
    <w:link w:val="FooterChar"/>
    <w:uiPriority w:val="99"/>
    <w:unhideWhenUsed/>
    <w:rsid w:val="00CB1386"/>
    <w:pPr>
      <w:tabs>
        <w:tab w:val="center" w:pos="4153"/>
        <w:tab w:val="right" w:pos="8306"/>
      </w:tabs>
      <w:spacing w:after="0" w:line="240" w:lineRule="auto"/>
    </w:pPr>
  </w:style>
  <w:style w:type="character" w:customStyle="1" w:styleId="FooterChar">
    <w:name w:val="Footer Char"/>
    <w:basedOn w:val="DefaultParagraphFont"/>
    <w:link w:val="Footer"/>
    <w:uiPriority w:val="99"/>
    <w:rsid w:val="00CB1386"/>
  </w:style>
  <w:style w:type="paragraph" w:customStyle="1" w:styleId="msonormal0">
    <w:name w:val="msonormal"/>
    <w:basedOn w:val="Normal"/>
    <w:uiPriority w:val="99"/>
    <w:semiHidden/>
    <w:rsid w:val="003A503B"/>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Title3">
    <w:name w:val="Title3"/>
    <w:basedOn w:val="Normal"/>
    <w:rsid w:val="00DE65BB"/>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gmail-msocommenttext">
    <w:name w:val="gmail-msocommenttext"/>
    <w:basedOn w:val="Normal"/>
    <w:rsid w:val="007C2FDF"/>
    <w:pPr>
      <w:spacing w:before="100" w:beforeAutospacing="1" w:after="100" w:afterAutospacing="1" w:line="240" w:lineRule="auto"/>
    </w:pPr>
    <w:rPr>
      <w:rFonts w:ascii="Times New Roman" w:hAnsi="Times New Roman" w:cs="Times New Roman"/>
      <w:sz w:val="24"/>
      <w:szCs w:val="24"/>
      <w:lang w:bidi="he-IL"/>
    </w:rPr>
  </w:style>
  <w:style w:type="character" w:customStyle="1" w:styleId="a1">
    <w:name w:val="a1"/>
    <w:basedOn w:val="DefaultParagraphFont"/>
    <w:rsid w:val="00C2563B"/>
  </w:style>
  <w:style w:type="character" w:styleId="LineNumber">
    <w:name w:val="line number"/>
    <w:basedOn w:val="DefaultParagraphFont"/>
    <w:uiPriority w:val="99"/>
    <w:semiHidden/>
    <w:unhideWhenUsed/>
    <w:rsid w:val="00ED49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15237">
      <w:bodyDiv w:val="1"/>
      <w:marLeft w:val="0"/>
      <w:marRight w:val="0"/>
      <w:marTop w:val="0"/>
      <w:marBottom w:val="0"/>
      <w:divBdr>
        <w:top w:val="none" w:sz="0" w:space="0" w:color="auto"/>
        <w:left w:val="none" w:sz="0" w:space="0" w:color="auto"/>
        <w:bottom w:val="none" w:sz="0" w:space="0" w:color="auto"/>
        <w:right w:val="none" w:sz="0" w:space="0" w:color="auto"/>
      </w:divBdr>
      <w:divsChild>
        <w:div w:id="2018652117">
          <w:marLeft w:val="420"/>
          <w:marRight w:val="0"/>
          <w:marTop w:val="0"/>
          <w:marBottom w:val="0"/>
          <w:divBdr>
            <w:top w:val="none" w:sz="0" w:space="0" w:color="auto"/>
            <w:left w:val="none" w:sz="0" w:space="0" w:color="auto"/>
            <w:bottom w:val="none" w:sz="0" w:space="0" w:color="auto"/>
            <w:right w:val="none" w:sz="0" w:space="0" w:color="auto"/>
          </w:divBdr>
          <w:divsChild>
            <w:div w:id="748575430">
              <w:marLeft w:val="0"/>
              <w:marRight w:val="0"/>
              <w:marTop w:val="27"/>
              <w:marBottom w:val="27"/>
              <w:divBdr>
                <w:top w:val="none" w:sz="0" w:space="0" w:color="auto"/>
                <w:left w:val="none" w:sz="0" w:space="0" w:color="auto"/>
                <w:bottom w:val="none" w:sz="0" w:space="0" w:color="auto"/>
                <w:right w:val="none" w:sz="0" w:space="0" w:color="auto"/>
              </w:divBdr>
            </w:div>
          </w:divsChild>
        </w:div>
      </w:divsChild>
    </w:div>
    <w:div w:id="156113432">
      <w:bodyDiv w:val="1"/>
      <w:marLeft w:val="0"/>
      <w:marRight w:val="0"/>
      <w:marTop w:val="0"/>
      <w:marBottom w:val="0"/>
      <w:divBdr>
        <w:top w:val="none" w:sz="0" w:space="0" w:color="auto"/>
        <w:left w:val="none" w:sz="0" w:space="0" w:color="auto"/>
        <w:bottom w:val="none" w:sz="0" w:space="0" w:color="auto"/>
        <w:right w:val="none" w:sz="0" w:space="0" w:color="auto"/>
      </w:divBdr>
    </w:div>
    <w:div w:id="182476081">
      <w:bodyDiv w:val="1"/>
      <w:marLeft w:val="0"/>
      <w:marRight w:val="0"/>
      <w:marTop w:val="0"/>
      <w:marBottom w:val="0"/>
      <w:divBdr>
        <w:top w:val="none" w:sz="0" w:space="0" w:color="auto"/>
        <w:left w:val="none" w:sz="0" w:space="0" w:color="auto"/>
        <w:bottom w:val="none" w:sz="0" w:space="0" w:color="auto"/>
        <w:right w:val="none" w:sz="0" w:space="0" w:color="auto"/>
      </w:divBdr>
    </w:div>
    <w:div w:id="202063968">
      <w:bodyDiv w:val="1"/>
      <w:marLeft w:val="0"/>
      <w:marRight w:val="0"/>
      <w:marTop w:val="0"/>
      <w:marBottom w:val="0"/>
      <w:divBdr>
        <w:top w:val="none" w:sz="0" w:space="0" w:color="auto"/>
        <w:left w:val="none" w:sz="0" w:space="0" w:color="auto"/>
        <w:bottom w:val="none" w:sz="0" w:space="0" w:color="auto"/>
        <w:right w:val="none" w:sz="0" w:space="0" w:color="auto"/>
      </w:divBdr>
    </w:div>
    <w:div w:id="253320394">
      <w:bodyDiv w:val="1"/>
      <w:marLeft w:val="0"/>
      <w:marRight w:val="0"/>
      <w:marTop w:val="0"/>
      <w:marBottom w:val="0"/>
      <w:divBdr>
        <w:top w:val="none" w:sz="0" w:space="0" w:color="auto"/>
        <w:left w:val="none" w:sz="0" w:space="0" w:color="auto"/>
        <w:bottom w:val="none" w:sz="0" w:space="0" w:color="auto"/>
        <w:right w:val="none" w:sz="0" w:space="0" w:color="auto"/>
      </w:divBdr>
    </w:div>
    <w:div w:id="281697101">
      <w:bodyDiv w:val="1"/>
      <w:marLeft w:val="0"/>
      <w:marRight w:val="0"/>
      <w:marTop w:val="0"/>
      <w:marBottom w:val="0"/>
      <w:divBdr>
        <w:top w:val="none" w:sz="0" w:space="0" w:color="auto"/>
        <w:left w:val="none" w:sz="0" w:space="0" w:color="auto"/>
        <w:bottom w:val="none" w:sz="0" w:space="0" w:color="auto"/>
        <w:right w:val="none" w:sz="0" w:space="0" w:color="auto"/>
      </w:divBdr>
    </w:div>
    <w:div w:id="297495885">
      <w:bodyDiv w:val="1"/>
      <w:marLeft w:val="0"/>
      <w:marRight w:val="0"/>
      <w:marTop w:val="0"/>
      <w:marBottom w:val="0"/>
      <w:divBdr>
        <w:top w:val="none" w:sz="0" w:space="0" w:color="auto"/>
        <w:left w:val="none" w:sz="0" w:space="0" w:color="auto"/>
        <w:bottom w:val="none" w:sz="0" w:space="0" w:color="auto"/>
        <w:right w:val="none" w:sz="0" w:space="0" w:color="auto"/>
      </w:divBdr>
      <w:divsChild>
        <w:div w:id="955067465">
          <w:marLeft w:val="0"/>
          <w:marRight w:val="0"/>
          <w:marTop w:val="27"/>
          <w:marBottom w:val="27"/>
          <w:divBdr>
            <w:top w:val="none" w:sz="0" w:space="0" w:color="auto"/>
            <w:left w:val="none" w:sz="0" w:space="0" w:color="auto"/>
            <w:bottom w:val="none" w:sz="0" w:space="0" w:color="auto"/>
            <w:right w:val="none" w:sz="0" w:space="0" w:color="auto"/>
          </w:divBdr>
        </w:div>
      </w:divsChild>
    </w:div>
    <w:div w:id="491676620">
      <w:bodyDiv w:val="1"/>
      <w:marLeft w:val="0"/>
      <w:marRight w:val="0"/>
      <w:marTop w:val="0"/>
      <w:marBottom w:val="0"/>
      <w:divBdr>
        <w:top w:val="none" w:sz="0" w:space="0" w:color="auto"/>
        <w:left w:val="none" w:sz="0" w:space="0" w:color="auto"/>
        <w:bottom w:val="none" w:sz="0" w:space="0" w:color="auto"/>
        <w:right w:val="none" w:sz="0" w:space="0" w:color="auto"/>
      </w:divBdr>
      <w:divsChild>
        <w:div w:id="1281106492">
          <w:marLeft w:val="0"/>
          <w:marRight w:val="0"/>
          <w:marTop w:val="27"/>
          <w:marBottom w:val="27"/>
          <w:divBdr>
            <w:top w:val="none" w:sz="0" w:space="0" w:color="auto"/>
            <w:left w:val="none" w:sz="0" w:space="0" w:color="auto"/>
            <w:bottom w:val="none" w:sz="0" w:space="0" w:color="auto"/>
            <w:right w:val="none" w:sz="0" w:space="0" w:color="auto"/>
          </w:divBdr>
        </w:div>
        <w:div w:id="1911845440">
          <w:marLeft w:val="0"/>
          <w:marRight w:val="0"/>
          <w:marTop w:val="0"/>
          <w:marBottom w:val="0"/>
          <w:divBdr>
            <w:top w:val="none" w:sz="0" w:space="0" w:color="auto"/>
            <w:left w:val="none" w:sz="0" w:space="0" w:color="auto"/>
            <w:bottom w:val="none" w:sz="0" w:space="0" w:color="auto"/>
            <w:right w:val="none" w:sz="0" w:space="0" w:color="auto"/>
          </w:divBdr>
        </w:div>
      </w:divsChild>
    </w:div>
    <w:div w:id="494881699">
      <w:bodyDiv w:val="1"/>
      <w:marLeft w:val="0"/>
      <w:marRight w:val="0"/>
      <w:marTop w:val="0"/>
      <w:marBottom w:val="0"/>
      <w:divBdr>
        <w:top w:val="none" w:sz="0" w:space="0" w:color="auto"/>
        <w:left w:val="none" w:sz="0" w:space="0" w:color="auto"/>
        <w:bottom w:val="none" w:sz="0" w:space="0" w:color="auto"/>
        <w:right w:val="none" w:sz="0" w:space="0" w:color="auto"/>
      </w:divBdr>
      <w:divsChild>
        <w:div w:id="748383927">
          <w:marLeft w:val="0"/>
          <w:marRight w:val="95"/>
          <w:marTop w:val="0"/>
          <w:marBottom w:val="0"/>
          <w:divBdr>
            <w:top w:val="none" w:sz="0" w:space="0" w:color="auto"/>
            <w:left w:val="none" w:sz="0" w:space="0" w:color="auto"/>
            <w:bottom w:val="none" w:sz="0" w:space="0" w:color="auto"/>
            <w:right w:val="none" w:sz="0" w:space="0" w:color="auto"/>
          </w:divBdr>
        </w:div>
      </w:divsChild>
    </w:div>
    <w:div w:id="551042467">
      <w:bodyDiv w:val="1"/>
      <w:marLeft w:val="0"/>
      <w:marRight w:val="0"/>
      <w:marTop w:val="0"/>
      <w:marBottom w:val="0"/>
      <w:divBdr>
        <w:top w:val="none" w:sz="0" w:space="0" w:color="auto"/>
        <w:left w:val="none" w:sz="0" w:space="0" w:color="auto"/>
        <w:bottom w:val="none" w:sz="0" w:space="0" w:color="auto"/>
        <w:right w:val="none" w:sz="0" w:space="0" w:color="auto"/>
      </w:divBdr>
    </w:div>
    <w:div w:id="683675221">
      <w:bodyDiv w:val="1"/>
      <w:marLeft w:val="0"/>
      <w:marRight w:val="0"/>
      <w:marTop w:val="0"/>
      <w:marBottom w:val="0"/>
      <w:divBdr>
        <w:top w:val="none" w:sz="0" w:space="0" w:color="auto"/>
        <w:left w:val="none" w:sz="0" w:space="0" w:color="auto"/>
        <w:bottom w:val="none" w:sz="0" w:space="0" w:color="auto"/>
        <w:right w:val="none" w:sz="0" w:space="0" w:color="auto"/>
      </w:divBdr>
    </w:div>
    <w:div w:id="700252343">
      <w:bodyDiv w:val="1"/>
      <w:marLeft w:val="0"/>
      <w:marRight w:val="0"/>
      <w:marTop w:val="0"/>
      <w:marBottom w:val="0"/>
      <w:divBdr>
        <w:top w:val="none" w:sz="0" w:space="0" w:color="auto"/>
        <w:left w:val="none" w:sz="0" w:space="0" w:color="auto"/>
        <w:bottom w:val="none" w:sz="0" w:space="0" w:color="auto"/>
        <w:right w:val="none" w:sz="0" w:space="0" w:color="auto"/>
      </w:divBdr>
      <w:divsChild>
        <w:div w:id="1031035061">
          <w:marLeft w:val="0"/>
          <w:marRight w:val="0"/>
          <w:marTop w:val="27"/>
          <w:marBottom w:val="27"/>
          <w:divBdr>
            <w:top w:val="none" w:sz="0" w:space="0" w:color="auto"/>
            <w:left w:val="none" w:sz="0" w:space="0" w:color="auto"/>
            <w:bottom w:val="none" w:sz="0" w:space="0" w:color="auto"/>
            <w:right w:val="none" w:sz="0" w:space="0" w:color="auto"/>
          </w:divBdr>
        </w:div>
      </w:divsChild>
    </w:div>
    <w:div w:id="732889626">
      <w:bodyDiv w:val="1"/>
      <w:marLeft w:val="0"/>
      <w:marRight w:val="0"/>
      <w:marTop w:val="0"/>
      <w:marBottom w:val="0"/>
      <w:divBdr>
        <w:top w:val="none" w:sz="0" w:space="0" w:color="auto"/>
        <w:left w:val="none" w:sz="0" w:space="0" w:color="auto"/>
        <w:bottom w:val="none" w:sz="0" w:space="0" w:color="auto"/>
        <w:right w:val="none" w:sz="0" w:space="0" w:color="auto"/>
      </w:divBdr>
    </w:div>
    <w:div w:id="835074070">
      <w:bodyDiv w:val="1"/>
      <w:marLeft w:val="0"/>
      <w:marRight w:val="0"/>
      <w:marTop w:val="0"/>
      <w:marBottom w:val="0"/>
      <w:divBdr>
        <w:top w:val="none" w:sz="0" w:space="0" w:color="auto"/>
        <w:left w:val="none" w:sz="0" w:space="0" w:color="auto"/>
        <w:bottom w:val="none" w:sz="0" w:space="0" w:color="auto"/>
        <w:right w:val="none" w:sz="0" w:space="0" w:color="auto"/>
      </w:divBdr>
    </w:div>
    <w:div w:id="845631642">
      <w:bodyDiv w:val="1"/>
      <w:marLeft w:val="0"/>
      <w:marRight w:val="0"/>
      <w:marTop w:val="0"/>
      <w:marBottom w:val="0"/>
      <w:divBdr>
        <w:top w:val="none" w:sz="0" w:space="0" w:color="auto"/>
        <w:left w:val="none" w:sz="0" w:space="0" w:color="auto"/>
        <w:bottom w:val="none" w:sz="0" w:space="0" w:color="auto"/>
        <w:right w:val="none" w:sz="0" w:space="0" w:color="auto"/>
      </w:divBdr>
    </w:div>
    <w:div w:id="1137381607">
      <w:bodyDiv w:val="1"/>
      <w:marLeft w:val="0"/>
      <w:marRight w:val="0"/>
      <w:marTop w:val="0"/>
      <w:marBottom w:val="0"/>
      <w:divBdr>
        <w:top w:val="none" w:sz="0" w:space="0" w:color="auto"/>
        <w:left w:val="none" w:sz="0" w:space="0" w:color="auto"/>
        <w:bottom w:val="none" w:sz="0" w:space="0" w:color="auto"/>
        <w:right w:val="none" w:sz="0" w:space="0" w:color="auto"/>
      </w:divBdr>
    </w:div>
    <w:div w:id="1140998534">
      <w:bodyDiv w:val="1"/>
      <w:marLeft w:val="0"/>
      <w:marRight w:val="0"/>
      <w:marTop w:val="0"/>
      <w:marBottom w:val="0"/>
      <w:divBdr>
        <w:top w:val="none" w:sz="0" w:space="0" w:color="auto"/>
        <w:left w:val="none" w:sz="0" w:space="0" w:color="auto"/>
        <w:bottom w:val="none" w:sz="0" w:space="0" w:color="auto"/>
        <w:right w:val="none" w:sz="0" w:space="0" w:color="auto"/>
      </w:divBdr>
    </w:div>
    <w:div w:id="1306350418">
      <w:bodyDiv w:val="1"/>
      <w:marLeft w:val="0"/>
      <w:marRight w:val="0"/>
      <w:marTop w:val="0"/>
      <w:marBottom w:val="0"/>
      <w:divBdr>
        <w:top w:val="none" w:sz="0" w:space="0" w:color="auto"/>
        <w:left w:val="none" w:sz="0" w:space="0" w:color="auto"/>
        <w:bottom w:val="none" w:sz="0" w:space="0" w:color="auto"/>
        <w:right w:val="none" w:sz="0" w:space="0" w:color="auto"/>
      </w:divBdr>
    </w:div>
    <w:div w:id="1341154780">
      <w:bodyDiv w:val="1"/>
      <w:marLeft w:val="0"/>
      <w:marRight w:val="0"/>
      <w:marTop w:val="0"/>
      <w:marBottom w:val="0"/>
      <w:divBdr>
        <w:top w:val="none" w:sz="0" w:space="0" w:color="auto"/>
        <w:left w:val="none" w:sz="0" w:space="0" w:color="auto"/>
        <w:bottom w:val="none" w:sz="0" w:space="0" w:color="auto"/>
        <w:right w:val="none" w:sz="0" w:space="0" w:color="auto"/>
      </w:divBdr>
      <w:divsChild>
        <w:div w:id="930746448">
          <w:marLeft w:val="0"/>
          <w:marRight w:val="0"/>
          <w:marTop w:val="27"/>
          <w:marBottom w:val="27"/>
          <w:divBdr>
            <w:top w:val="none" w:sz="0" w:space="0" w:color="auto"/>
            <w:left w:val="none" w:sz="0" w:space="0" w:color="auto"/>
            <w:bottom w:val="none" w:sz="0" w:space="0" w:color="auto"/>
            <w:right w:val="none" w:sz="0" w:space="0" w:color="auto"/>
          </w:divBdr>
        </w:div>
      </w:divsChild>
    </w:div>
    <w:div w:id="1385376368">
      <w:bodyDiv w:val="1"/>
      <w:marLeft w:val="0"/>
      <w:marRight w:val="0"/>
      <w:marTop w:val="0"/>
      <w:marBottom w:val="0"/>
      <w:divBdr>
        <w:top w:val="none" w:sz="0" w:space="0" w:color="auto"/>
        <w:left w:val="none" w:sz="0" w:space="0" w:color="auto"/>
        <w:bottom w:val="none" w:sz="0" w:space="0" w:color="auto"/>
        <w:right w:val="none" w:sz="0" w:space="0" w:color="auto"/>
      </w:divBdr>
    </w:div>
    <w:div w:id="1386249158">
      <w:bodyDiv w:val="1"/>
      <w:marLeft w:val="0"/>
      <w:marRight w:val="0"/>
      <w:marTop w:val="0"/>
      <w:marBottom w:val="0"/>
      <w:divBdr>
        <w:top w:val="none" w:sz="0" w:space="0" w:color="auto"/>
        <w:left w:val="none" w:sz="0" w:space="0" w:color="auto"/>
        <w:bottom w:val="none" w:sz="0" w:space="0" w:color="auto"/>
        <w:right w:val="none" w:sz="0" w:space="0" w:color="auto"/>
      </w:divBdr>
    </w:div>
    <w:div w:id="1455099578">
      <w:bodyDiv w:val="1"/>
      <w:marLeft w:val="0"/>
      <w:marRight w:val="0"/>
      <w:marTop w:val="0"/>
      <w:marBottom w:val="0"/>
      <w:divBdr>
        <w:top w:val="none" w:sz="0" w:space="0" w:color="auto"/>
        <w:left w:val="none" w:sz="0" w:space="0" w:color="auto"/>
        <w:bottom w:val="none" w:sz="0" w:space="0" w:color="auto"/>
        <w:right w:val="none" w:sz="0" w:space="0" w:color="auto"/>
      </w:divBdr>
    </w:div>
    <w:div w:id="1500541441">
      <w:bodyDiv w:val="1"/>
      <w:marLeft w:val="0"/>
      <w:marRight w:val="0"/>
      <w:marTop w:val="0"/>
      <w:marBottom w:val="0"/>
      <w:divBdr>
        <w:top w:val="none" w:sz="0" w:space="0" w:color="auto"/>
        <w:left w:val="none" w:sz="0" w:space="0" w:color="auto"/>
        <w:bottom w:val="none" w:sz="0" w:space="0" w:color="auto"/>
        <w:right w:val="none" w:sz="0" w:space="0" w:color="auto"/>
      </w:divBdr>
    </w:div>
    <w:div w:id="1560821175">
      <w:bodyDiv w:val="1"/>
      <w:marLeft w:val="0"/>
      <w:marRight w:val="0"/>
      <w:marTop w:val="0"/>
      <w:marBottom w:val="0"/>
      <w:divBdr>
        <w:top w:val="none" w:sz="0" w:space="0" w:color="auto"/>
        <w:left w:val="none" w:sz="0" w:space="0" w:color="auto"/>
        <w:bottom w:val="none" w:sz="0" w:space="0" w:color="auto"/>
        <w:right w:val="none" w:sz="0" w:space="0" w:color="auto"/>
      </w:divBdr>
      <w:divsChild>
        <w:div w:id="1839996666">
          <w:marLeft w:val="0"/>
          <w:marRight w:val="0"/>
          <w:marTop w:val="27"/>
          <w:marBottom w:val="27"/>
          <w:divBdr>
            <w:top w:val="none" w:sz="0" w:space="0" w:color="auto"/>
            <w:left w:val="none" w:sz="0" w:space="0" w:color="auto"/>
            <w:bottom w:val="none" w:sz="0" w:space="0" w:color="auto"/>
            <w:right w:val="none" w:sz="0" w:space="0" w:color="auto"/>
          </w:divBdr>
        </w:div>
      </w:divsChild>
    </w:div>
    <w:div w:id="1637831135">
      <w:bodyDiv w:val="1"/>
      <w:marLeft w:val="0"/>
      <w:marRight w:val="0"/>
      <w:marTop w:val="0"/>
      <w:marBottom w:val="0"/>
      <w:divBdr>
        <w:top w:val="none" w:sz="0" w:space="0" w:color="auto"/>
        <w:left w:val="none" w:sz="0" w:space="0" w:color="auto"/>
        <w:bottom w:val="none" w:sz="0" w:space="0" w:color="auto"/>
        <w:right w:val="none" w:sz="0" w:space="0" w:color="auto"/>
      </w:divBdr>
    </w:div>
    <w:div w:id="1651715387">
      <w:bodyDiv w:val="1"/>
      <w:marLeft w:val="0"/>
      <w:marRight w:val="0"/>
      <w:marTop w:val="0"/>
      <w:marBottom w:val="0"/>
      <w:divBdr>
        <w:top w:val="none" w:sz="0" w:space="0" w:color="auto"/>
        <w:left w:val="none" w:sz="0" w:space="0" w:color="auto"/>
        <w:bottom w:val="none" w:sz="0" w:space="0" w:color="auto"/>
        <w:right w:val="none" w:sz="0" w:space="0" w:color="auto"/>
      </w:divBdr>
      <w:divsChild>
        <w:div w:id="85656302">
          <w:marLeft w:val="420"/>
          <w:marRight w:val="0"/>
          <w:marTop w:val="0"/>
          <w:marBottom w:val="0"/>
          <w:divBdr>
            <w:top w:val="none" w:sz="0" w:space="0" w:color="auto"/>
            <w:left w:val="none" w:sz="0" w:space="0" w:color="auto"/>
            <w:bottom w:val="none" w:sz="0" w:space="0" w:color="auto"/>
            <w:right w:val="none" w:sz="0" w:space="0" w:color="auto"/>
          </w:divBdr>
          <w:divsChild>
            <w:div w:id="799760949">
              <w:marLeft w:val="0"/>
              <w:marRight w:val="0"/>
              <w:marTop w:val="27"/>
              <w:marBottom w:val="27"/>
              <w:divBdr>
                <w:top w:val="none" w:sz="0" w:space="0" w:color="auto"/>
                <w:left w:val="none" w:sz="0" w:space="0" w:color="auto"/>
                <w:bottom w:val="none" w:sz="0" w:space="0" w:color="auto"/>
                <w:right w:val="none" w:sz="0" w:space="0" w:color="auto"/>
              </w:divBdr>
            </w:div>
            <w:div w:id="1835684319">
              <w:marLeft w:val="0"/>
              <w:marRight w:val="0"/>
              <w:marTop w:val="0"/>
              <w:marBottom w:val="0"/>
              <w:divBdr>
                <w:top w:val="none" w:sz="0" w:space="0" w:color="auto"/>
                <w:left w:val="none" w:sz="0" w:space="0" w:color="auto"/>
                <w:bottom w:val="none" w:sz="0" w:space="0" w:color="auto"/>
                <w:right w:val="none" w:sz="0" w:space="0" w:color="auto"/>
              </w:divBdr>
              <w:divsChild>
                <w:div w:id="58788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824367">
      <w:bodyDiv w:val="1"/>
      <w:marLeft w:val="0"/>
      <w:marRight w:val="0"/>
      <w:marTop w:val="0"/>
      <w:marBottom w:val="0"/>
      <w:divBdr>
        <w:top w:val="none" w:sz="0" w:space="0" w:color="auto"/>
        <w:left w:val="none" w:sz="0" w:space="0" w:color="auto"/>
        <w:bottom w:val="none" w:sz="0" w:space="0" w:color="auto"/>
        <w:right w:val="none" w:sz="0" w:space="0" w:color="auto"/>
      </w:divBdr>
    </w:div>
    <w:div w:id="1757289996">
      <w:bodyDiv w:val="1"/>
      <w:marLeft w:val="0"/>
      <w:marRight w:val="0"/>
      <w:marTop w:val="0"/>
      <w:marBottom w:val="0"/>
      <w:divBdr>
        <w:top w:val="none" w:sz="0" w:space="0" w:color="auto"/>
        <w:left w:val="none" w:sz="0" w:space="0" w:color="auto"/>
        <w:bottom w:val="none" w:sz="0" w:space="0" w:color="auto"/>
        <w:right w:val="none" w:sz="0" w:space="0" w:color="auto"/>
      </w:divBdr>
    </w:div>
    <w:div w:id="1812282723">
      <w:bodyDiv w:val="1"/>
      <w:marLeft w:val="0"/>
      <w:marRight w:val="0"/>
      <w:marTop w:val="0"/>
      <w:marBottom w:val="0"/>
      <w:divBdr>
        <w:top w:val="none" w:sz="0" w:space="0" w:color="auto"/>
        <w:left w:val="none" w:sz="0" w:space="0" w:color="auto"/>
        <w:bottom w:val="none" w:sz="0" w:space="0" w:color="auto"/>
        <w:right w:val="none" w:sz="0" w:space="0" w:color="auto"/>
      </w:divBdr>
    </w:div>
    <w:div w:id="1842429503">
      <w:bodyDiv w:val="1"/>
      <w:marLeft w:val="0"/>
      <w:marRight w:val="0"/>
      <w:marTop w:val="0"/>
      <w:marBottom w:val="0"/>
      <w:divBdr>
        <w:top w:val="none" w:sz="0" w:space="0" w:color="auto"/>
        <w:left w:val="none" w:sz="0" w:space="0" w:color="auto"/>
        <w:bottom w:val="none" w:sz="0" w:space="0" w:color="auto"/>
        <w:right w:val="none" w:sz="0" w:space="0" w:color="auto"/>
      </w:divBdr>
    </w:div>
    <w:div w:id="1972203726">
      <w:bodyDiv w:val="1"/>
      <w:marLeft w:val="0"/>
      <w:marRight w:val="0"/>
      <w:marTop w:val="0"/>
      <w:marBottom w:val="0"/>
      <w:divBdr>
        <w:top w:val="none" w:sz="0" w:space="0" w:color="auto"/>
        <w:left w:val="none" w:sz="0" w:space="0" w:color="auto"/>
        <w:bottom w:val="none" w:sz="0" w:space="0" w:color="auto"/>
        <w:right w:val="none" w:sz="0" w:space="0" w:color="auto"/>
      </w:divBdr>
      <w:divsChild>
        <w:div w:id="1899776141">
          <w:marLeft w:val="0"/>
          <w:marRight w:val="0"/>
          <w:marTop w:val="27"/>
          <w:marBottom w:val="27"/>
          <w:divBdr>
            <w:top w:val="none" w:sz="0" w:space="0" w:color="auto"/>
            <w:left w:val="none" w:sz="0" w:space="0" w:color="auto"/>
            <w:bottom w:val="none" w:sz="0" w:space="0" w:color="auto"/>
            <w:right w:val="none" w:sz="0" w:space="0" w:color="auto"/>
          </w:divBdr>
        </w:div>
      </w:divsChild>
    </w:div>
    <w:div w:id="2052878446">
      <w:bodyDiv w:val="1"/>
      <w:marLeft w:val="0"/>
      <w:marRight w:val="0"/>
      <w:marTop w:val="0"/>
      <w:marBottom w:val="0"/>
      <w:divBdr>
        <w:top w:val="none" w:sz="0" w:space="0" w:color="auto"/>
        <w:left w:val="none" w:sz="0" w:space="0" w:color="auto"/>
        <w:bottom w:val="none" w:sz="0" w:space="0" w:color="auto"/>
        <w:right w:val="none" w:sz="0" w:space="0" w:color="auto"/>
      </w:divBdr>
      <w:divsChild>
        <w:div w:id="1207598232">
          <w:marLeft w:val="0"/>
          <w:marRight w:val="0"/>
          <w:marTop w:val="0"/>
          <w:marBottom w:val="0"/>
          <w:divBdr>
            <w:top w:val="none" w:sz="0" w:space="0" w:color="auto"/>
            <w:left w:val="none" w:sz="0" w:space="0" w:color="auto"/>
            <w:bottom w:val="none" w:sz="0" w:space="0" w:color="auto"/>
            <w:right w:val="none" w:sz="0" w:space="0" w:color="auto"/>
          </w:divBdr>
        </w:div>
        <w:div w:id="2083680159">
          <w:marLeft w:val="0"/>
          <w:marRight w:val="0"/>
          <w:marTop w:val="27"/>
          <w:marBottom w:val="27"/>
          <w:divBdr>
            <w:top w:val="none" w:sz="0" w:space="0" w:color="auto"/>
            <w:left w:val="none" w:sz="0" w:space="0" w:color="auto"/>
            <w:bottom w:val="none" w:sz="0" w:space="0" w:color="auto"/>
            <w:right w:val="none" w:sz="0" w:space="0" w:color="auto"/>
          </w:divBdr>
        </w:div>
      </w:divsChild>
    </w:div>
    <w:div w:id="2140679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linicaltrials.gov/show/NCT01730534" TargetMode="External"/><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0.png"/><Relationship Id="rId31" Type="http://schemas.microsoft.com/office/2016/09/relationships/commentsIds" Target="commentsIds.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82E213-374A-49C2-9106-367E552F1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38</Pages>
  <Words>33226</Words>
  <Characters>189390</Characters>
  <Application>Microsoft Office Word</Application>
  <DocSecurity>0</DocSecurity>
  <Lines>1578</Lines>
  <Paragraphs>444</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Hewlett-Packard Company</Company>
  <LinksUpToDate>false</LinksUpToDate>
  <CharactersWithSpaces>222172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A&amp;I-Statisticians</dc:creator>
  <cp:lastModifiedBy>Wilding, John</cp:lastModifiedBy>
  <cp:revision>2</cp:revision>
  <dcterms:created xsi:type="dcterms:W3CDTF">2019-10-07T08:28:00Z</dcterms:created>
  <dcterms:modified xsi:type="dcterms:W3CDTF">2019-10-07T08:28:00Z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http://www.zotero.org/styles/circulation</vt:lpwstr>
  </property>
  <property fmtid="{D5CDD505-2E9C-101B-9397-08002B2CF9AE}" pid="13" name="Mendeley Recent Style Name 5_1">
    <vt:lpwstr>Circulation</vt:lpwstr>
  </property>
  <property fmtid="{D5CDD505-2E9C-101B-9397-08002B2CF9AE}" pid="14" name="Mendeley Recent Style Id 6_1">
    <vt:lpwstr>http://www.zotero.org/styles/harvard-cite-them-right</vt:lpwstr>
  </property>
  <property fmtid="{D5CDD505-2E9C-101B-9397-08002B2CF9AE}" pid="15" name="Mendeley Recent Style Name 6_1">
    <vt:lpwstr>Cite Them Right 10th edition - Harvard</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http://www.zotero.org/styles/the-lancet</vt:lpwstr>
  </property>
  <property fmtid="{D5CDD505-2E9C-101B-9397-08002B2CF9AE}" pid="21" name="Mendeley Recent Style Name 9_1">
    <vt:lpwstr>The Lancet</vt:lpwstr>
  </property>
  <property fmtid="{D5CDD505-2E9C-101B-9397-08002B2CF9AE}" pid="22" name="Mendeley Document_1">
    <vt:lpwstr>True</vt:lpwstr>
  </property>
  <property fmtid="{D5CDD505-2E9C-101B-9397-08002B2CF9AE}" pid="23" name="Mendeley Unique User Id_1">
    <vt:lpwstr>26ed3d39-d22b-3989-932a-5f0008514a09</vt:lpwstr>
  </property>
  <property fmtid="{D5CDD505-2E9C-101B-9397-08002B2CF9AE}" pid="24" name="Mendeley Citation Style_1">
    <vt:lpwstr>http://www.zotero.org/styles/the-lancet</vt:lpwstr>
  </property>
</Properties>
</file>