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712" w:rsidRPr="00BC5DAC" w:rsidRDefault="00D40712" w:rsidP="00D40712">
      <w:pPr>
        <w:jc w:val="center"/>
        <w:rPr>
          <w:b/>
        </w:rPr>
      </w:pPr>
      <w:bookmarkStart w:id="0" w:name="_GoBack"/>
      <w:bookmarkEnd w:id="0"/>
      <w:r w:rsidRPr="00BC5DAC">
        <w:rPr>
          <w:b/>
        </w:rPr>
        <w:t>JOURNAL OF RHEUMATOLOGY</w:t>
      </w:r>
    </w:p>
    <w:p w:rsidR="00D40712" w:rsidRPr="00BC5DAC" w:rsidRDefault="00D40712" w:rsidP="00D40712">
      <w:pPr>
        <w:jc w:val="center"/>
        <w:rPr>
          <w:b/>
        </w:rPr>
      </w:pPr>
    </w:p>
    <w:p w:rsidR="00D40712" w:rsidRPr="00BC5DAC" w:rsidRDefault="00D40712" w:rsidP="00D40712">
      <w:pPr>
        <w:jc w:val="center"/>
        <w:rPr>
          <w:b/>
        </w:rPr>
      </w:pPr>
      <w:r w:rsidRPr="00BC5DAC">
        <w:rPr>
          <w:b/>
        </w:rPr>
        <w:t>TITLE PAGE</w:t>
      </w:r>
    </w:p>
    <w:p w:rsidR="00D40712" w:rsidRDefault="00D40712" w:rsidP="00D40712">
      <w:pPr>
        <w:rPr>
          <w:b/>
        </w:rPr>
      </w:pPr>
    </w:p>
    <w:p w:rsidR="00D40712" w:rsidRDefault="00D40712" w:rsidP="00D40712">
      <w:pPr>
        <w:jc w:val="both"/>
        <w:rPr>
          <w:b/>
        </w:rPr>
      </w:pPr>
      <w:r w:rsidRPr="00531A74">
        <w:rPr>
          <w:b/>
        </w:rPr>
        <w:t>Title:</w:t>
      </w:r>
      <w:r>
        <w:t xml:space="preserve"> Uptake of the OMERACT</w:t>
      </w:r>
      <w:r w:rsidR="00B07848">
        <w:t>-OARSI</w:t>
      </w:r>
      <w:r>
        <w:t xml:space="preserve"> Hip and Knee Osteoarthritis Core Outcome Set: review of randomised controlled trials from 1997 to 2017.</w:t>
      </w:r>
    </w:p>
    <w:p w:rsidR="00FB5E9B" w:rsidRDefault="00D40712" w:rsidP="00D40712">
      <w:pPr>
        <w:jc w:val="both"/>
      </w:pPr>
      <w:r w:rsidRPr="00B46863">
        <w:rPr>
          <w:b/>
        </w:rPr>
        <w:t>Authors:</w:t>
      </w:r>
      <w:r>
        <w:t xml:space="preserve"> </w:t>
      </w:r>
    </w:p>
    <w:p w:rsidR="00FB5E9B" w:rsidRDefault="00FB5E9B" w:rsidP="00FB5E9B">
      <w:pPr>
        <w:pStyle w:val="NoSpacing"/>
        <w:rPr>
          <w:rFonts w:cstheme="minorHAnsi"/>
          <w:b/>
          <w:vertAlign w:val="superscript"/>
        </w:rPr>
      </w:pPr>
      <w:r>
        <w:rPr>
          <w:rFonts w:cstheme="minorHAnsi"/>
          <w:b/>
        </w:rPr>
        <w:t>Toby O Smith PhD</w:t>
      </w:r>
    </w:p>
    <w:p w:rsidR="00FB5E9B" w:rsidRDefault="00FB5E9B" w:rsidP="00FB5E9B">
      <w:pPr>
        <w:pStyle w:val="NoSpacing"/>
        <w:rPr>
          <w:rFonts w:cstheme="minorHAnsi"/>
          <w:color w:val="000000" w:themeColor="text1"/>
        </w:rPr>
      </w:pPr>
      <w:r>
        <w:rPr>
          <w:rFonts w:cstheme="minorHAnsi"/>
          <w:color w:val="000000" w:themeColor="text1"/>
        </w:rPr>
        <w:t>Senior Researcher in Rehabilitation</w:t>
      </w:r>
    </w:p>
    <w:p w:rsidR="00FB5E9B" w:rsidRDefault="00FB5E9B" w:rsidP="00FB5E9B">
      <w:pPr>
        <w:pStyle w:val="NoSpacing"/>
        <w:rPr>
          <w:rFonts w:cstheme="minorHAnsi"/>
        </w:rPr>
      </w:pPr>
      <w:r>
        <w:rPr>
          <w:rFonts w:cstheme="minorHAnsi"/>
          <w:color w:val="000000" w:themeColor="text1"/>
        </w:rPr>
        <w:t>Nuffield Department of Orthopaedics, Rheumatology and Musculoskeletal Sciences, University of Oxford, Oxford, UK</w:t>
      </w:r>
      <w:r>
        <w:rPr>
          <w:rFonts w:cstheme="minorHAnsi"/>
        </w:rPr>
        <w:t xml:space="preserve">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Michael Mansfield MSc</w:t>
      </w:r>
    </w:p>
    <w:p w:rsidR="00FB5E9B" w:rsidRDefault="00FB5E9B" w:rsidP="00FB5E9B">
      <w:pPr>
        <w:pStyle w:val="NoSpacing"/>
        <w:rPr>
          <w:rFonts w:cstheme="minorHAnsi"/>
        </w:rPr>
      </w:pPr>
      <w:r>
        <w:rPr>
          <w:rFonts w:cstheme="minorHAnsi"/>
        </w:rPr>
        <w:t>Senior Lecturer in Physiotherapy</w:t>
      </w:r>
    </w:p>
    <w:p w:rsidR="00FB5E9B" w:rsidRDefault="00FB5E9B" w:rsidP="00FB5E9B">
      <w:pPr>
        <w:pStyle w:val="NoSpacing"/>
        <w:rPr>
          <w:rFonts w:cstheme="minorHAnsi"/>
        </w:rPr>
      </w:pPr>
      <w:r>
        <w:rPr>
          <w:rFonts w:cstheme="minorHAnsi"/>
        </w:rPr>
        <w:t>School of Health and Social Care, London South Bank University, London, UK</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Gillian A Hawker PhD</w:t>
      </w:r>
    </w:p>
    <w:p w:rsidR="00FB5E9B" w:rsidRDefault="00FB5E9B" w:rsidP="00FB5E9B">
      <w:pPr>
        <w:pStyle w:val="NoSpacing"/>
        <w:rPr>
          <w:rFonts w:cstheme="minorHAnsi"/>
          <w:color w:val="000000"/>
        </w:rPr>
      </w:pPr>
      <w:r>
        <w:rPr>
          <w:rFonts w:cstheme="minorHAnsi"/>
          <w:color w:val="000000"/>
        </w:rPr>
        <w:t>Professor of Medicine</w:t>
      </w:r>
    </w:p>
    <w:p w:rsidR="00FB5E9B" w:rsidRDefault="00FB5E9B" w:rsidP="00FB5E9B">
      <w:pPr>
        <w:pStyle w:val="NoSpacing"/>
        <w:rPr>
          <w:rFonts w:cstheme="minorHAnsi"/>
        </w:rPr>
      </w:pPr>
      <w:r>
        <w:rPr>
          <w:rFonts w:cstheme="minorHAnsi"/>
          <w:color w:val="000000"/>
        </w:rPr>
        <w:t>Department of Medicine, Faculty of Medicine, and Institute of Health Policy, Management, and Evaluation, Dalla Lana School of Public Health, University of Toronto, Toronto, Canada</w:t>
      </w:r>
      <w:r>
        <w:rPr>
          <w:rFonts w:cstheme="minorHAnsi"/>
        </w:rPr>
        <w:t xml:space="preserve">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David J Hunter PhD</w:t>
      </w:r>
    </w:p>
    <w:p w:rsidR="00FB5E9B" w:rsidRDefault="00FB5E9B" w:rsidP="00FB5E9B">
      <w:pPr>
        <w:pStyle w:val="NoSpacing"/>
      </w:pPr>
      <w:r>
        <w:rPr>
          <w:rFonts w:cstheme="minorHAnsi"/>
        </w:rPr>
        <w:t>Florance and Cope Chair of Rheumatology</w:t>
      </w:r>
      <w:r>
        <w:t xml:space="preserve"> Chair of Institute of Bone and Joint Research Professor of Medicine</w:t>
      </w:r>
    </w:p>
    <w:p w:rsidR="00FB5E9B" w:rsidRDefault="00FB5E9B" w:rsidP="00FB5E9B">
      <w:pPr>
        <w:pStyle w:val="NoSpacing"/>
        <w:rPr>
          <w:rFonts w:cstheme="minorHAnsi"/>
        </w:rPr>
      </w:pPr>
      <w:r>
        <w:rPr>
          <w:rFonts w:cstheme="minorHAnsi"/>
        </w:rPr>
        <w:t xml:space="preserve">Institute of Bone and Joint Research, Florance and Cope Professorial Dept of Rheumatology, School of Medicine, University of Sydney and Royal North Shore Hospital, Sydney, Australia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Lyn M March PhD</w:t>
      </w:r>
    </w:p>
    <w:p w:rsidR="00FB5E9B" w:rsidRDefault="00FB5E9B" w:rsidP="00FB5E9B">
      <w:pPr>
        <w:pStyle w:val="NoSpacing"/>
      </w:pPr>
      <w:r>
        <w:rPr>
          <w:rFonts w:cstheme="minorHAnsi"/>
        </w:rPr>
        <w:t>Liggins Professor of Rheumatology and Musculosketal Epidemiology</w:t>
      </w:r>
      <w:r>
        <w:t xml:space="preserve"> Medicine</w:t>
      </w:r>
    </w:p>
    <w:p w:rsidR="00FB5E9B" w:rsidRDefault="00FB5E9B" w:rsidP="00FB5E9B">
      <w:pPr>
        <w:pStyle w:val="NoSpacing"/>
        <w:rPr>
          <w:rFonts w:cstheme="minorHAnsi"/>
        </w:rPr>
      </w:pPr>
      <w:r>
        <w:rPr>
          <w:rFonts w:cstheme="minorHAnsi"/>
        </w:rPr>
        <w:t xml:space="preserve">Institute of Bone and Joint Research, Florance and Cope Professorial Dept of Rheumatology, School of Medicine, University of Sydney and Royal North Shore Hospital, Sydney, Australia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Maarten Boers PhD</w:t>
      </w:r>
    </w:p>
    <w:p w:rsidR="00FB5E9B" w:rsidRDefault="00FB5E9B" w:rsidP="00FB5E9B">
      <w:pPr>
        <w:pStyle w:val="NoSpacing"/>
      </w:pPr>
      <w:r>
        <w:rPr>
          <w:rFonts w:cstheme="minorHAnsi"/>
        </w:rPr>
        <w:t>Professor of Clinical Epidemiology</w:t>
      </w:r>
    </w:p>
    <w:p w:rsidR="00FB5E9B" w:rsidRDefault="00FB5E9B" w:rsidP="00FB5E9B">
      <w:pPr>
        <w:pStyle w:val="NoSpacing"/>
        <w:rPr>
          <w:rFonts w:cstheme="minorHAnsi"/>
        </w:rPr>
      </w:pPr>
      <w:r>
        <w:rPr>
          <w:rFonts w:cstheme="minorHAnsi"/>
        </w:rPr>
        <w:t xml:space="preserve">Department of Epidemiology and Biostatistics, Amsterdam University Medical Centers, location VUmc, Amsterdam, The Netherlands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Beverley J Shea PhD</w:t>
      </w:r>
    </w:p>
    <w:p w:rsidR="00FB5E9B" w:rsidRDefault="00FB5E9B" w:rsidP="00FB5E9B">
      <w:pPr>
        <w:pStyle w:val="NoSpacing"/>
        <w:rPr>
          <w:rFonts w:cstheme="minorHAnsi"/>
        </w:rPr>
      </w:pPr>
      <w:r>
        <w:rPr>
          <w:rFonts w:cstheme="minorHAnsi"/>
        </w:rPr>
        <w:t>Adjunct Professor</w:t>
      </w:r>
    </w:p>
    <w:p w:rsidR="00FB5E9B" w:rsidRDefault="00FB5E9B" w:rsidP="00FB5E9B">
      <w:pPr>
        <w:pStyle w:val="NoSpacing"/>
        <w:rPr>
          <w:rFonts w:cstheme="minorHAnsi"/>
        </w:rPr>
      </w:pPr>
      <w:r>
        <w:rPr>
          <w:rFonts w:cstheme="minorHAnsi"/>
        </w:rPr>
        <w:t>Ottawa Hospital Research Institute, Ottawa, Canada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Robin Christensen PhD</w:t>
      </w:r>
    </w:p>
    <w:p w:rsidR="00FB5E9B" w:rsidRDefault="00FB5E9B" w:rsidP="00FB5E9B">
      <w:pPr>
        <w:pStyle w:val="NoSpacing"/>
      </w:pPr>
      <w:r>
        <w:rPr>
          <w:rFonts w:cstheme="minorHAnsi"/>
        </w:rPr>
        <w:t>Professor of Biostatistics and Clinical Epidemiology</w:t>
      </w:r>
    </w:p>
    <w:p w:rsidR="00FB5E9B" w:rsidRDefault="00FB5E9B" w:rsidP="00FB5E9B">
      <w:pPr>
        <w:pStyle w:val="NoSpacing"/>
        <w:rPr>
          <w:rFonts w:cstheme="minorHAnsi"/>
        </w:rPr>
      </w:pPr>
      <w:r>
        <w:rPr>
          <w:rFonts w:cstheme="minorHAnsi"/>
        </w:rPr>
        <w:t>Musculoskeletal Statistics Unit, the Parker Institute, Bispebjerg and Frederiksberg Hospital &amp; Department of Rheumatology, Odense University Hospital, Denmark</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Francis Guillemin PhD</w:t>
      </w:r>
    </w:p>
    <w:p w:rsidR="00FB5E9B" w:rsidRDefault="00FB5E9B" w:rsidP="00FB5E9B">
      <w:pPr>
        <w:pStyle w:val="NoSpacing"/>
        <w:rPr>
          <w:rFonts w:cstheme="minorHAnsi"/>
        </w:rPr>
      </w:pPr>
      <w:r>
        <w:rPr>
          <w:rFonts w:cstheme="minorHAnsi"/>
        </w:rPr>
        <w:lastRenderedPageBreak/>
        <w:t xml:space="preserve">Professor of Epidemiology &amp; Public Health </w:t>
      </w:r>
    </w:p>
    <w:p w:rsidR="00FB5E9B" w:rsidRDefault="00FB5E9B" w:rsidP="00FB5E9B">
      <w:pPr>
        <w:pStyle w:val="NoSpacing"/>
        <w:rPr>
          <w:rFonts w:cstheme="minorHAnsi"/>
        </w:rPr>
      </w:pPr>
      <w:r>
        <w:rPr>
          <w:rFonts w:cstheme="minorHAnsi"/>
        </w:rPr>
        <w:t>Université de Lorraine, APEMAC, Nancy, France</w:t>
      </w:r>
    </w:p>
    <w:p w:rsidR="00FB5E9B" w:rsidRDefault="00FB5E9B" w:rsidP="00FB5E9B">
      <w:pPr>
        <w:jc w:val="both"/>
        <w:rPr>
          <w:rFonts w:cstheme="minorHAnsi"/>
        </w:rPr>
      </w:pPr>
    </w:p>
    <w:p w:rsidR="00FB5E9B" w:rsidRDefault="00FB5E9B" w:rsidP="00FB5E9B">
      <w:pPr>
        <w:pStyle w:val="NoSpacing"/>
        <w:rPr>
          <w:rFonts w:cstheme="minorHAnsi"/>
          <w:b/>
        </w:rPr>
      </w:pPr>
      <w:r>
        <w:rPr>
          <w:rFonts w:cstheme="minorHAnsi"/>
          <w:b/>
        </w:rPr>
        <w:t>Caroline B Terwee PhD</w:t>
      </w:r>
    </w:p>
    <w:p w:rsidR="00FB5E9B" w:rsidRDefault="00FB5E9B" w:rsidP="00FB5E9B">
      <w:pPr>
        <w:pStyle w:val="NoSpacing"/>
      </w:pPr>
      <w:r>
        <w:rPr>
          <w:rFonts w:cstheme="minorHAnsi"/>
        </w:rPr>
        <w:t>Associate Professor in Clinimetrics</w:t>
      </w:r>
      <w:r>
        <w:t xml:space="preserve"> </w:t>
      </w:r>
    </w:p>
    <w:p w:rsidR="00FB5E9B" w:rsidRDefault="00FB5E9B" w:rsidP="00FB5E9B">
      <w:pPr>
        <w:pStyle w:val="NoSpacing"/>
        <w:rPr>
          <w:rFonts w:cstheme="minorHAnsi"/>
        </w:rPr>
      </w:pPr>
      <w:r>
        <w:rPr>
          <w:rFonts w:cstheme="minorHAnsi"/>
        </w:rPr>
        <w:t>Department of Epidemiology and Biostatistics, Amsterdam University Medical Centers, location VUmc, Amsterdam, The Netherlands.</w:t>
      </w:r>
    </w:p>
    <w:p w:rsidR="00FB5E9B" w:rsidRDefault="00FB5E9B" w:rsidP="00FB5E9B">
      <w:pPr>
        <w:pStyle w:val="NoSpacing"/>
        <w:rPr>
          <w:rFonts w:cstheme="minorHAnsi"/>
          <w:b/>
        </w:rPr>
      </w:pPr>
    </w:p>
    <w:p w:rsidR="00FB5E9B" w:rsidRDefault="00FB5E9B" w:rsidP="00FB5E9B">
      <w:pPr>
        <w:pStyle w:val="NoSpacing"/>
        <w:rPr>
          <w:rFonts w:cstheme="minorHAnsi"/>
          <w:b/>
        </w:rPr>
      </w:pPr>
      <w:r>
        <w:rPr>
          <w:rFonts w:cstheme="minorHAnsi"/>
          <w:b/>
        </w:rPr>
        <w:t xml:space="preserve">Paula R Williamson PhD </w:t>
      </w:r>
    </w:p>
    <w:p w:rsidR="00FB5E9B" w:rsidRDefault="00FB5E9B" w:rsidP="00FB5E9B">
      <w:pPr>
        <w:pStyle w:val="NoSpacing"/>
        <w:rPr>
          <w:rFonts w:cstheme="minorHAnsi"/>
        </w:rPr>
      </w:pPr>
      <w:r>
        <w:rPr>
          <w:rFonts w:cstheme="minorHAnsi"/>
        </w:rPr>
        <w:t>Professor of Medical Statistics</w:t>
      </w:r>
    </w:p>
    <w:p w:rsidR="00FB5E9B" w:rsidRDefault="00FB5E9B" w:rsidP="00FB5E9B">
      <w:pPr>
        <w:pStyle w:val="NoSpacing"/>
        <w:rPr>
          <w:rFonts w:cstheme="minorHAnsi"/>
        </w:rPr>
      </w:pPr>
      <w:r>
        <w:rPr>
          <w:rFonts w:cstheme="minorHAnsi"/>
        </w:rPr>
        <w:t xml:space="preserve">Institute of Translational Medicine, University of Liverpool, Liverpool, UK </w:t>
      </w:r>
    </w:p>
    <w:p w:rsidR="00FB5E9B" w:rsidRDefault="00FB5E9B" w:rsidP="00FB5E9B">
      <w:pPr>
        <w:pStyle w:val="NoSpacing"/>
        <w:rPr>
          <w:rFonts w:cstheme="minorHAnsi"/>
          <w:b/>
        </w:rPr>
      </w:pPr>
    </w:p>
    <w:p w:rsidR="00FB5E9B" w:rsidRDefault="00FB5E9B" w:rsidP="00FB5E9B">
      <w:pPr>
        <w:pStyle w:val="NoSpacing"/>
        <w:rPr>
          <w:rFonts w:cstheme="minorHAnsi"/>
          <w:b/>
        </w:rPr>
      </w:pPr>
      <w:r>
        <w:rPr>
          <w:rFonts w:cstheme="minorHAnsi"/>
          <w:b/>
        </w:rPr>
        <w:t>Ewa M Roos PhD</w:t>
      </w:r>
    </w:p>
    <w:p w:rsidR="00FB5E9B" w:rsidRDefault="00FB5E9B" w:rsidP="00FB5E9B">
      <w:pPr>
        <w:pStyle w:val="NoSpacing"/>
      </w:pPr>
      <w:r>
        <w:rPr>
          <w:rFonts w:cstheme="minorHAnsi"/>
        </w:rPr>
        <w:t>Professor, Head of Research Unit</w:t>
      </w:r>
      <w:r>
        <w:t xml:space="preserve"> </w:t>
      </w:r>
    </w:p>
    <w:p w:rsidR="00FB5E9B" w:rsidRDefault="00FB5E9B" w:rsidP="00FB5E9B">
      <w:pPr>
        <w:pStyle w:val="NoSpacing"/>
        <w:rPr>
          <w:rFonts w:cstheme="minorHAnsi"/>
        </w:rPr>
      </w:pPr>
      <w:r>
        <w:rPr>
          <w:rFonts w:cstheme="minorHAnsi"/>
        </w:rPr>
        <w:t>Center for Muscle and Joint Health, Department of Sports Science and Clinical Biomechanics, University of Southern Denmark, Odense, Denmark</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Richard F Loeser MD</w:t>
      </w:r>
    </w:p>
    <w:p w:rsidR="00FB5E9B" w:rsidRDefault="00FB5E9B" w:rsidP="00FB5E9B">
      <w:pPr>
        <w:pStyle w:val="NoSpacing"/>
      </w:pPr>
      <w:r>
        <w:rPr>
          <w:rFonts w:cstheme="minorHAnsi"/>
        </w:rPr>
        <w:t>Herman and Louise Smith Distinguished Professor of Medicine, Division of Rheumatology, Allergy &amp; Immunology</w:t>
      </w:r>
    </w:p>
    <w:p w:rsidR="00FB5E9B" w:rsidRDefault="00FB5E9B" w:rsidP="00FB5E9B">
      <w:pPr>
        <w:pStyle w:val="NoSpacing"/>
        <w:rPr>
          <w:rFonts w:cstheme="minorHAnsi"/>
        </w:rPr>
      </w:pPr>
      <w:r>
        <w:rPr>
          <w:rFonts w:cstheme="minorHAnsi"/>
        </w:rPr>
        <w:t>Division of Rheumatology, Allergy and Immunology, Thurston Arthritis Research Center, University of North Carolina, Chapel Hill, USA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Thomas J Schnitzer PhD</w:t>
      </w:r>
    </w:p>
    <w:p w:rsidR="00FB5E9B" w:rsidRDefault="00FB5E9B" w:rsidP="00FB5E9B">
      <w:pPr>
        <w:pStyle w:val="NoSpacing"/>
      </w:pPr>
      <w:r>
        <w:rPr>
          <w:rFonts w:cstheme="minorHAnsi"/>
        </w:rPr>
        <w:t xml:space="preserve">Professor of </w:t>
      </w:r>
      <w:r w:rsidRPr="00FB5E9B">
        <w:t>Physical Medicine and Rehabilitation, Anesthesiology and Medicine (Rheumatology)</w:t>
      </w:r>
    </w:p>
    <w:p w:rsidR="00FB5E9B" w:rsidRDefault="00FB5E9B" w:rsidP="00FB5E9B">
      <w:pPr>
        <w:pStyle w:val="NoSpacing"/>
        <w:rPr>
          <w:rFonts w:cstheme="minorHAnsi"/>
        </w:rPr>
      </w:pPr>
      <w:r>
        <w:rPr>
          <w:rFonts w:cstheme="minorHAnsi"/>
        </w:rPr>
        <w:t>Northwestern University Feinberg School of Medicine, Department of Physical Medicine and Rehabilitation, Chicago, USA</w:t>
      </w:r>
    </w:p>
    <w:p w:rsidR="00FB5E9B" w:rsidRDefault="00FB5E9B" w:rsidP="00FB5E9B">
      <w:pPr>
        <w:pStyle w:val="NoSpacing"/>
        <w:rPr>
          <w:rFonts w:cstheme="minorHAnsi"/>
          <w:color w:val="000000"/>
        </w:rPr>
      </w:pPr>
    </w:p>
    <w:p w:rsidR="00FB5E9B" w:rsidRDefault="00FB5E9B" w:rsidP="00FB5E9B">
      <w:pPr>
        <w:pStyle w:val="NoSpacing"/>
        <w:rPr>
          <w:rFonts w:cstheme="minorHAnsi"/>
          <w:b/>
        </w:rPr>
      </w:pPr>
      <w:r>
        <w:rPr>
          <w:rFonts w:cstheme="minorHAnsi"/>
          <w:b/>
        </w:rPr>
        <w:t>Margreet Kloppenburg PhD</w:t>
      </w:r>
    </w:p>
    <w:p w:rsidR="00FB5E9B" w:rsidRDefault="00FB5E9B" w:rsidP="00FB5E9B">
      <w:pPr>
        <w:pStyle w:val="NoSpacing"/>
        <w:rPr>
          <w:rFonts w:cstheme="minorHAnsi"/>
        </w:rPr>
      </w:pPr>
      <w:r>
        <w:rPr>
          <w:rFonts w:cstheme="minorHAnsi"/>
        </w:rPr>
        <w:t>Professor in Rheumatology</w:t>
      </w:r>
    </w:p>
    <w:p w:rsidR="00FB5E9B" w:rsidRDefault="00FB5E9B" w:rsidP="00FB5E9B">
      <w:pPr>
        <w:pStyle w:val="NoSpacing"/>
        <w:rPr>
          <w:rFonts w:cstheme="minorHAnsi"/>
        </w:rPr>
      </w:pPr>
      <w:r>
        <w:rPr>
          <w:rFonts w:cstheme="minorHAnsi"/>
        </w:rPr>
        <w:t>Departments of Rheumatology and Clinical Epidemiology, Leiden University Medical Centre, Leiden, Netherlands</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Tuhina Neogi PhD</w:t>
      </w:r>
    </w:p>
    <w:p w:rsidR="00FB5E9B" w:rsidRDefault="00FB5E9B" w:rsidP="00FB5E9B">
      <w:pPr>
        <w:pStyle w:val="NoSpacing"/>
        <w:rPr>
          <w:rFonts w:cstheme="minorHAnsi"/>
        </w:rPr>
      </w:pPr>
      <w:r>
        <w:rPr>
          <w:rFonts w:cstheme="minorHAnsi"/>
        </w:rPr>
        <w:t>Professor, Epidemiology</w:t>
      </w:r>
    </w:p>
    <w:p w:rsidR="00FB5E9B" w:rsidRDefault="00FB5E9B" w:rsidP="00FB5E9B">
      <w:pPr>
        <w:pStyle w:val="NoSpacing"/>
        <w:rPr>
          <w:rFonts w:cstheme="minorHAnsi"/>
        </w:rPr>
      </w:pPr>
      <w:r>
        <w:rPr>
          <w:rFonts w:cstheme="minorHAnsi"/>
        </w:rPr>
        <w:t>Sections of Clinical Epidemiology and Rheumatology, Boston University School of Medicine, Boston, USA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Christoph H Ladel PhD</w:t>
      </w:r>
    </w:p>
    <w:p w:rsidR="00FB5E9B" w:rsidRDefault="00FB5E9B" w:rsidP="00FB5E9B">
      <w:pPr>
        <w:pStyle w:val="NoSpacing"/>
        <w:rPr>
          <w:rFonts w:cstheme="minorHAnsi"/>
        </w:rPr>
      </w:pPr>
      <w:r>
        <w:rPr>
          <w:rFonts w:cstheme="minorHAnsi"/>
        </w:rPr>
        <w:t>Clinical Biomarker &amp; Diagnostics Lead</w:t>
      </w:r>
    </w:p>
    <w:p w:rsidR="00FB5E9B" w:rsidRDefault="00FB5E9B" w:rsidP="00FB5E9B">
      <w:pPr>
        <w:pStyle w:val="NoSpacing"/>
        <w:rPr>
          <w:rFonts w:cstheme="minorHAnsi"/>
        </w:rPr>
      </w:pPr>
      <w:r>
        <w:rPr>
          <w:rFonts w:cstheme="minorHAnsi"/>
        </w:rPr>
        <w:t>Merck Biopharma, Merck KGaA, Darmstadt, Germany</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Gurdyal Kalsi MD</w:t>
      </w:r>
    </w:p>
    <w:p w:rsidR="00FB5E9B" w:rsidRDefault="00FB5E9B" w:rsidP="00FB5E9B">
      <w:pPr>
        <w:pStyle w:val="NoSpacing"/>
      </w:pPr>
      <w:r>
        <w:rPr>
          <w:rFonts w:cstheme="minorHAnsi"/>
        </w:rPr>
        <w:t>Chief Medical Officer, Senior Vice President of Clinical Development and Regulatory and Medical Affairs</w:t>
      </w:r>
    </w:p>
    <w:p w:rsidR="00FB5E9B" w:rsidRDefault="00FB5E9B" w:rsidP="00FB5E9B">
      <w:pPr>
        <w:pStyle w:val="NoSpacing"/>
        <w:rPr>
          <w:rFonts w:cstheme="minorHAnsi"/>
        </w:rPr>
      </w:pPr>
      <w:r>
        <w:rPr>
          <w:rFonts w:cstheme="minorHAnsi"/>
        </w:rPr>
        <w:t>TissueGene, Inc., Rockville, MD, USA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Ulrike Kaiser PhD</w:t>
      </w:r>
    </w:p>
    <w:p w:rsidR="00FB5E9B" w:rsidRDefault="00FB5E9B" w:rsidP="00FB5E9B">
      <w:pPr>
        <w:pStyle w:val="NoSpacing"/>
      </w:pPr>
      <w:r>
        <w:rPr>
          <w:rFonts w:cstheme="minorHAnsi"/>
        </w:rPr>
        <w:t>Principal Investigator</w:t>
      </w:r>
    </w:p>
    <w:p w:rsidR="00FB5E9B" w:rsidRDefault="00FB5E9B" w:rsidP="00FB5E9B">
      <w:pPr>
        <w:pStyle w:val="NoSpacing"/>
        <w:rPr>
          <w:rFonts w:cstheme="minorHAnsi"/>
        </w:rPr>
      </w:pPr>
      <w:r>
        <w:rPr>
          <w:rFonts w:cstheme="minorHAnsi"/>
        </w:rPr>
        <w:t>University Pain Centre, University Hospital Carl Gustav Carus Dresden, Germany</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lastRenderedPageBreak/>
        <w:t>Thomas Buttel MSc</w:t>
      </w:r>
    </w:p>
    <w:p w:rsidR="00FB5E9B" w:rsidRDefault="00FB5E9B" w:rsidP="00FB5E9B">
      <w:pPr>
        <w:pStyle w:val="NoSpacing"/>
        <w:rPr>
          <w:rFonts w:cstheme="minorHAnsi"/>
        </w:rPr>
      </w:pPr>
      <w:r>
        <w:rPr>
          <w:rFonts w:cstheme="minorHAnsi"/>
        </w:rPr>
        <w:t>Psychologist</w:t>
      </w:r>
    </w:p>
    <w:p w:rsidR="00FB5E9B" w:rsidRDefault="00FB5E9B" w:rsidP="00FB5E9B">
      <w:pPr>
        <w:pStyle w:val="NoSpacing"/>
        <w:rPr>
          <w:rFonts w:cstheme="minorHAnsi"/>
        </w:rPr>
      </w:pPr>
      <w:r>
        <w:rPr>
          <w:rFonts w:cstheme="minorHAnsi"/>
        </w:rPr>
        <w:t xml:space="preserve">Inner West Psychology, Sydney, Australia &amp; Institute of Bone and Joint Research, Florance and Cope Professorial Dept of Rheumatology, School of Medicine, University of Sydney and Royal North Shore Hospital, Sydney, Australia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Anne E Ashford PhD</w:t>
      </w:r>
    </w:p>
    <w:p w:rsidR="00FB5E9B" w:rsidRDefault="00FB5E9B" w:rsidP="00FB5E9B">
      <w:pPr>
        <w:pStyle w:val="NoSpacing"/>
        <w:rPr>
          <w:rFonts w:cstheme="minorHAnsi"/>
        </w:rPr>
      </w:pPr>
      <w:r>
        <w:rPr>
          <w:rStyle w:val="apple-style-span"/>
          <w:rFonts w:cstheme="minorHAnsi"/>
        </w:rPr>
        <w:t>Emeritius Professor</w:t>
      </w:r>
    </w:p>
    <w:p w:rsidR="00FB5E9B" w:rsidRDefault="00FB5E9B" w:rsidP="00FB5E9B">
      <w:pPr>
        <w:pStyle w:val="NoSpacing"/>
      </w:pPr>
      <w:r>
        <w:t xml:space="preserve">School of Biological, Earth and Environmental Sciences, UNSW, Sydney, Australia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Ali Mobasheri DPhil</w:t>
      </w:r>
    </w:p>
    <w:p w:rsidR="00FB5E9B" w:rsidRDefault="00FB5E9B" w:rsidP="00FB5E9B">
      <w:pPr>
        <w:pStyle w:val="NoSpacing"/>
        <w:rPr>
          <w:rFonts w:cstheme="minorHAnsi"/>
        </w:rPr>
      </w:pPr>
      <w:r>
        <w:rPr>
          <w:rFonts w:cstheme="minorHAnsi"/>
        </w:rPr>
        <w:t>Professor of Musculoskeletal Physiology</w:t>
      </w:r>
    </w:p>
    <w:p w:rsidR="00FB5E9B" w:rsidRDefault="00FB5E9B" w:rsidP="00FB5E9B">
      <w:pPr>
        <w:pStyle w:val="NoSpacing"/>
        <w:rPr>
          <w:rFonts w:cstheme="minorHAnsi"/>
        </w:rPr>
      </w:pPr>
      <w:r>
        <w:rPr>
          <w:rFonts w:cstheme="minorHAnsi"/>
        </w:rPr>
        <w:t>Faculty of Health and Medical Sciences, University of Surrey, Guildford, UK &amp; Department of Regenerative Medicine, State Research Institute Centre for Innovative Medicine, Vilnius, Lithuania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Nigel K Arden MD</w:t>
      </w:r>
    </w:p>
    <w:p w:rsidR="00FB5E9B" w:rsidRDefault="00FB5E9B" w:rsidP="00FB5E9B">
      <w:pPr>
        <w:pStyle w:val="NoSpacing"/>
        <w:rPr>
          <w:rFonts w:cstheme="minorHAnsi"/>
        </w:rPr>
      </w:pPr>
      <w:r>
        <w:rPr>
          <w:rFonts w:cstheme="minorHAnsi"/>
        </w:rPr>
        <w:t>Professor in Rheumatic Diseases</w:t>
      </w:r>
    </w:p>
    <w:p w:rsidR="00FB5E9B" w:rsidRDefault="00FB5E9B" w:rsidP="00FB5E9B">
      <w:pPr>
        <w:pStyle w:val="NoSpacing"/>
        <w:rPr>
          <w:rFonts w:cstheme="minorHAnsi"/>
        </w:rPr>
      </w:pPr>
      <w:r>
        <w:rPr>
          <w:rFonts w:cstheme="minorHAnsi"/>
        </w:rPr>
        <w:t xml:space="preserve">Nuffield Department of Orthopaedics, Rheumatology and Musculoskeletal Sciences, University of Oxford, Oxford, UK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Alan Tennant PhD</w:t>
      </w:r>
    </w:p>
    <w:p w:rsidR="00FB5E9B" w:rsidRDefault="00FB5E9B" w:rsidP="00FB5E9B">
      <w:pPr>
        <w:pStyle w:val="NoSpacing"/>
      </w:pPr>
      <w:r>
        <w:rPr>
          <w:rFonts w:cstheme="minorHAnsi"/>
        </w:rPr>
        <w:t>Permanent Visiting Professor</w:t>
      </w:r>
      <w:r>
        <w:t xml:space="preserve"> </w:t>
      </w:r>
    </w:p>
    <w:p w:rsidR="00FB5E9B" w:rsidRDefault="00FB5E9B" w:rsidP="00FB5E9B">
      <w:pPr>
        <w:pStyle w:val="NoSpacing"/>
        <w:rPr>
          <w:rFonts w:cstheme="minorHAnsi"/>
        </w:rPr>
      </w:pPr>
      <w:r>
        <w:rPr>
          <w:rFonts w:cstheme="minorHAnsi"/>
        </w:rPr>
        <w:t xml:space="preserve">Faculty of Humanities and Social Sciences, University of Lucerne, Lucerne, Switzerland </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Marc C Hochberg MD</w:t>
      </w:r>
    </w:p>
    <w:p w:rsidR="00FB5E9B" w:rsidRDefault="00FB5E9B" w:rsidP="00FB5E9B">
      <w:pPr>
        <w:pStyle w:val="NoSpacing"/>
      </w:pPr>
      <w:r>
        <w:rPr>
          <w:rFonts w:cstheme="minorHAnsi"/>
          <w:color w:val="000000"/>
        </w:rPr>
        <w:t>Professor of Medicine and Epidemiology and Public Health</w:t>
      </w:r>
    </w:p>
    <w:p w:rsidR="00FB5E9B" w:rsidRDefault="00FB5E9B" w:rsidP="00FB5E9B">
      <w:pPr>
        <w:pStyle w:val="NoSpacing"/>
        <w:rPr>
          <w:rFonts w:cstheme="minorHAnsi"/>
          <w:color w:val="000000"/>
        </w:rPr>
      </w:pPr>
      <w:r>
        <w:rPr>
          <w:rFonts w:cstheme="minorHAnsi"/>
          <w:color w:val="000000"/>
        </w:rPr>
        <w:t>Division of Rheumatology and Clinical Immunology, Department of Medicine and Division of Gerontology, Department of Epidemiology and Public Health, University of Maryland School of Medicine, Baltimore, USA</w:t>
      </w:r>
    </w:p>
    <w:p w:rsidR="00FB5E9B" w:rsidRDefault="00FB5E9B" w:rsidP="00FB5E9B">
      <w:pPr>
        <w:pStyle w:val="NoSpacing"/>
        <w:rPr>
          <w:rFonts w:cstheme="minorHAnsi"/>
          <w:color w:val="000000"/>
        </w:rPr>
      </w:pPr>
    </w:p>
    <w:p w:rsidR="00FB5E9B" w:rsidRDefault="00FB5E9B" w:rsidP="00FB5E9B">
      <w:pPr>
        <w:pStyle w:val="NoSpacing"/>
        <w:rPr>
          <w:rFonts w:cstheme="minorHAnsi"/>
          <w:b/>
        </w:rPr>
      </w:pPr>
      <w:r>
        <w:rPr>
          <w:rFonts w:cstheme="minorHAnsi"/>
          <w:b/>
        </w:rPr>
        <w:t>Maarten de Wit PhD</w:t>
      </w:r>
    </w:p>
    <w:p w:rsidR="00FB5E9B" w:rsidRDefault="00FB5E9B" w:rsidP="00FB5E9B">
      <w:pPr>
        <w:pStyle w:val="NoSpacing"/>
        <w:rPr>
          <w:rFonts w:cstheme="minorHAnsi"/>
        </w:rPr>
      </w:pPr>
      <w:r>
        <w:rPr>
          <w:rFonts w:cstheme="minorHAnsi"/>
        </w:rPr>
        <w:t>Visiting Fellow</w:t>
      </w:r>
    </w:p>
    <w:p w:rsidR="00FB5E9B" w:rsidRDefault="00FB5E9B" w:rsidP="00FB5E9B">
      <w:pPr>
        <w:pStyle w:val="NoSpacing"/>
        <w:rPr>
          <w:rFonts w:cstheme="minorHAnsi"/>
        </w:rPr>
      </w:pPr>
      <w:r>
        <w:rPr>
          <w:rFonts w:cstheme="minorHAnsi"/>
          <w:color w:val="000000"/>
        </w:rPr>
        <w:t>Amsterdam University Medical Centre, Dept. Medical Humanities, Amsterdam Public Health (APH), Amsterdam, Netherlands</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Peter S Tugwell PhD</w:t>
      </w:r>
    </w:p>
    <w:p w:rsidR="00FB5E9B" w:rsidRDefault="00FB5E9B" w:rsidP="00FB5E9B">
      <w:pPr>
        <w:pStyle w:val="NoSpacing"/>
        <w:rPr>
          <w:rFonts w:cstheme="minorHAnsi"/>
        </w:rPr>
      </w:pPr>
      <w:r>
        <w:rPr>
          <w:rFonts w:cstheme="minorHAnsi"/>
          <w:color w:val="353535"/>
        </w:rPr>
        <w:t>Professor of Medicine and Epidemiology &amp; Community Medicine</w:t>
      </w:r>
    </w:p>
    <w:p w:rsidR="00FB5E9B" w:rsidRDefault="00FB5E9B" w:rsidP="00FB5E9B">
      <w:pPr>
        <w:pStyle w:val="NoSpacing"/>
        <w:rPr>
          <w:rFonts w:cstheme="minorHAnsi"/>
          <w:color w:val="000000"/>
        </w:rPr>
      </w:pPr>
      <w:r>
        <w:rPr>
          <w:rFonts w:cstheme="minorHAnsi"/>
          <w:color w:val="000000"/>
        </w:rPr>
        <w:t>Faculty of Medicine, University of Ottawa, Ottawa, Canada</w:t>
      </w:r>
    </w:p>
    <w:p w:rsidR="00FB5E9B" w:rsidRDefault="00FB5E9B" w:rsidP="00FB5E9B">
      <w:pPr>
        <w:pStyle w:val="NoSpacing"/>
        <w:rPr>
          <w:rFonts w:cstheme="minorHAnsi"/>
        </w:rPr>
      </w:pPr>
    </w:p>
    <w:p w:rsidR="00FB5E9B" w:rsidRDefault="00FB5E9B" w:rsidP="00FB5E9B">
      <w:pPr>
        <w:pStyle w:val="NoSpacing"/>
        <w:rPr>
          <w:rFonts w:cstheme="minorHAnsi"/>
          <w:b/>
        </w:rPr>
      </w:pPr>
      <w:r>
        <w:rPr>
          <w:rFonts w:cstheme="minorHAnsi"/>
          <w:b/>
        </w:rPr>
        <w:t>Philip G Conaghan PhD</w:t>
      </w:r>
    </w:p>
    <w:p w:rsidR="00FB5E9B" w:rsidRDefault="00FB5E9B" w:rsidP="00FB5E9B">
      <w:pPr>
        <w:pStyle w:val="NoSpacing"/>
        <w:rPr>
          <w:rFonts w:cstheme="minorHAnsi"/>
          <w:color w:val="000000"/>
        </w:rPr>
      </w:pPr>
      <w:r>
        <w:rPr>
          <w:rFonts w:cstheme="minorHAnsi"/>
          <w:color w:val="000000"/>
        </w:rPr>
        <w:t>Professor of Musculoskeletal Medicine</w:t>
      </w:r>
    </w:p>
    <w:p w:rsidR="00FB5E9B" w:rsidRDefault="00FB5E9B" w:rsidP="00FB5E9B">
      <w:pPr>
        <w:pStyle w:val="NoSpacing"/>
        <w:rPr>
          <w:rFonts w:cstheme="minorHAnsi"/>
          <w:b/>
        </w:rPr>
      </w:pPr>
      <w:r>
        <w:rPr>
          <w:rFonts w:cstheme="minorHAnsi"/>
          <w:color w:val="000000"/>
        </w:rPr>
        <w:t>Leeds Institute of Rheumatic and Musculoskeletal Medicine, University of Leeds, &amp; NIHR Leeds Biomedical Research Centre, Leeds, UK</w:t>
      </w:r>
    </w:p>
    <w:p w:rsidR="00D40712" w:rsidRPr="00EC55FC" w:rsidRDefault="00D40712" w:rsidP="00B30227">
      <w:pPr>
        <w:pStyle w:val="NoSpacing"/>
        <w:ind w:left="720" w:hanging="720"/>
      </w:pPr>
    </w:p>
    <w:p w:rsidR="00D40712" w:rsidRDefault="00D40712" w:rsidP="00D40712">
      <w:pPr>
        <w:spacing w:line="240" w:lineRule="auto"/>
        <w:jc w:val="both"/>
        <w:rPr>
          <w:rFonts w:cstheme="minorHAnsi"/>
          <w:b/>
        </w:rPr>
      </w:pPr>
      <w:r>
        <w:rPr>
          <w:rFonts w:cstheme="minorHAnsi"/>
          <w:b/>
        </w:rPr>
        <w:t xml:space="preserve">Corresponding Author: </w:t>
      </w:r>
      <w:r w:rsidRPr="000A3DD8">
        <w:rPr>
          <w:rFonts w:cs="Calibri"/>
        </w:rPr>
        <w:t>Professor Philip Conaghan, Leeds Institute of Rheumatic and Musculoskeletal Medicine, Chapel Allerton Hospital, Chapeltown Road, Leeds, LS4 7SA, United Kingdom</w:t>
      </w:r>
      <w:r>
        <w:rPr>
          <w:rFonts w:cs="Calibri"/>
        </w:rPr>
        <w:t xml:space="preserve">. Email: </w:t>
      </w:r>
      <w:hyperlink r:id="rId7" w:history="1">
        <w:r>
          <w:rPr>
            <w:rStyle w:val="Hyperlink"/>
            <w:rFonts w:cs="Calibri"/>
          </w:rPr>
          <w:t>p.conaghan@leeds.ac.uk</w:t>
        </w:r>
      </w:hyperlink>
      <w:r>
        <w:rPr>
          <w:rFonts w:cs="Calibri"/>
        </w:rPr>
        <w:t xml:space="preserve"> </w:t>
      </w:r>
      <w:r>
        <w:rPr>
          <w:rFonts w:cstheme="minorHAnsi"/>
          <w:b/>
        </w:rPr>
        <w:br w:type="page"/>
      </w:r>
    </w:p>
    <w:p w:rsidR="00D40712" w:rsidRDefault="00D40712" w:rsidP="00D40712">
      <w:pPr>
        <w:spacing w:line="360" w:lineRule="auto"/>
        <w:rPr>
          <w:rFonts w:cstheme="minorHAnsi"/>
          <w:b/>
        </w:rPr>
      </w:pPr>
      <w:r>
        <w:rPr>
          <w:rFonts w:cstheme="minorHAnsi"/>
          <w:b/>
        </w:rPr>
        <w:lastRenderedPageBreak/>
        <w:t>ABSTRACT</w:t>
      </w:r>
    </w:p>
    <w:p w:rsidR="00D40712" w:rsidRDefault="00D40712" w:rsidP="00D40712">
      <w:pPr>
        <w:spacing w:line="360" w:lineRule="auto"/>
        <w:rPr>
          <w:rFonts w:cstheme="minorHAnsi"/>
          <w:b/>
        </w:rPr>
      </w:pPr>
    </w:p>
    <w:p w:rsidR="00D40712" w:rsidRPr="00A63707" w:rsidRDefault="00D40712" w:rsidP="00D40712">
      <w:pPr>
        <w:spacing w:line="360" w:lineRule="auto"/>
        <w:jc w:val="both"/>
        <w:rPr>
          <w:rFonts w:cstheme="minorHAnsi"/>
        </w:rPr>
      </w:pPr>
      <w:r>
        <w:rPr>
          <w:rFonts w:cstheme="minorHAnsi"/>
          <w:b/>
        </w:rPr>
        <w:t xml:space="preserve">Objective: </w:t>
      </w:r>
      <w:r w:rsidRPr="00A63707">
        <w:rPr>
          <w:rFonts w:cstheme="minorHAnsi"/>
        </w:rPr>
        <w:t>To assess the uptake of the OMERACT</w:t>
      </w:r>
      <w:r>
        <w:rPr>
          <w:rFonts w:cstheme="minorHAnsi"/>
        </w:rPr>
        <w:t>-OARSI</w:t>
      </w:r>
      <w:r w:rsidRPr="00A63707">
        <w:rPr>
          <w:rFonts w:cstheme="minorHAnsi"/>
        </w:rPr>
        <w:t xml:space="preserve"> </w:t>
      </w:r>
      <w:r>
        <w:rPr>
          <w:rFonts w:cstheme="minorHAnsi"/>
        </w:rPr>
        <w:t>core outcome set (COS)</w:t>
      </w:r>
      <w:r w:rsidRPr="00A63707">
        <w:rPr>
          <w:rFonts w:cstheme="minorHAnsi"/>
        </w:rPr>
        <w:t xml:space="preserve"> domains in hip and/or knee </w:t>
      </w:r>
      <w:r>
        <w:rPr>
          <w:rFonts w:cstheme="minorHAnsi"/>
        </w:rPr>
        <w:t>osteoarthritis (OA) trials</w:t>
      </w:r>
      <w:r w:rsidRPr="00A63707">
        <w:rPr>
          <w:rFonts w:cstheme="minorHAnsi"/>
        </w:rPr>
        <w:t xml:space="preserve">. </w:t>
      </w:r>
    </w:p>
    <w:p w:rsidR="00D40712" w:rsidRDefault="00D40712" w:rsidP="00D40712">
      <w:pPr>
        <w:spacing w:line="360" w:lineRule="auto"/>
        <w:jc w:val="both"/>
        <w:rPr>
          <w:rFonts w:cstheme="minorHAnsi"/>
          <w:b/>
        </w:rPr>
      </w:pPr>
      <w:r>
        <w:rPr>
          <w:rFonts w:cstheme="minorHAnsi"/>
          <w:b/>
        </w:rPr>
        <w:t xml:space="preserve">Methods: </w:t>
      </w:r>
      <w:r w:rsidRPr="007528F4">
        <w:rPr>
          <w:rFonts w:cstheme="minorHAnsi"/>
        </w:rPr>
        <w:t>382 t</w:t>
      </w:r>
      <w:r w:rsidRPr="0026679F">
        <w:rPr>
          <w:rFonts w:cstheme="minorHAnsi"/>
        </w:rPr>
        <w:t xml:space="preserve">rials </w:t>
      </w:r>
      <w:r>
        <w:rPr>
          <w:rFonts w:cstheme="minorHAnsi"/>
        </w:rPr>
        <w:t>of</w:t>
      </w:r>
      <w:r w:rsidRPr="0026679F">
        <w:rPr>
          <w:rFonts w:cstheme="minorHAnsi"/>
        </w:rPr>
        <w:t xml:space="preserve"> hip and/or knee </w:t>
      </w:r>
      <w:r>
        <w:rPr>
          <w:rFonts w:cstheme="minorHAnsi"/>
        </w:rPr>
        <w:t>OA</w:t>
      </w:r>
      <w:r w:rsidRPr="0026679F">
        <w:rPr>
          <w:rFonts w:cstheme="minorHAnsi"/>
        </w:rPr>
        <w:t xml:space="preserve"> were identified from the ClinicalTrial.gov registry</w:t>
      </w:r>
      <w:r>
        <w:rPr>
          <w:rFonts w:cstheme="minorHAnsi"/>
        </w:rPr>
        <w:t xml:space="preserve"> from 1997 to 2017</w:t>
      </w:r>
      <w:r w:rsidRPr="0026679F">
        <w:rPr>
          <w:rFonts w:cstheme="minorHAnsi"/>
        </w:rPr>
        <w:t xml:space="preserve">. Frequency of </w:t>
      </w:r>
      <w:r>
        <w:rPr>
          <w:rFonts w:cstheme="minorHAnsi"/>
        </w:rPr>
        <w:t>COS</w:t>
      </w:r>
      <w:r w:rsidRPr="0026679F">
        <w:rPr>
          <w:rFonts w:cstheme="minorHAnsi"/>
        </w:rPr>
        <w:t xml:space="preserve"> adoption was assessed by year and per 5-yearly phase. </w:t>
      </w:r>
    </w:p>
    <w:p w:rsidR="00D40712" w:rsidRPr="0026679F" w:rsidRDefault="00D40712" w:rsidP="00D40712">
      <w:pPr>
        <w:spacing w:line="360" w:lineRule="auto"/>
        <w:jc w:val="both"/>
      </w:pPr>
      <w:r>
        <w:rPr>
          <w:rFonts w:cstheme="minorHAnsi"/>
          <w:b/>
        </w:rPr>
        <w:t xml:space="preserve">Results: </w:t>
      </w:r>
      <w:r>
        <w:t xml:space="preserve">COS adoption decreased from 61% between 1997-2001 to 38% between 2012-2016. Pain (95%) and physical function (86%) were most consistently adopted. Patient global assessment (48%) was the principal missing domain. </w:t>
      </w:r>
    </w:p>
    <w:p w:rsidR="00D40712" w:rsidRDefault="00D40712" w:rsidP="00D40712">
      <w:pPr>
        <w:spacing w:line="360" w:lineRule="auto"/>
        <w:jc w:val="both"/>
        <w:rPr>
          <w:rFonts w:cstheme="minorHAnsi"/>
          <w:b/>
        </w:rPr>
      </w:pPr>
      <w:r>
        <w:rPr>
          <w:rFonts w:cstheme="minorHAnsi"/>
          <w:b/>
        </w:rPr>
        <w:t xml:space="preserve">Conclusion: </w:t>
      </w:r>
      <w:r w:rsidRPr="007528F4">
        <w:rPr>
          <w:rFonts w:cstheme="minorHAnsi"/>
        </w:rPr>
        <w:t>L</w:t>
      </w:r>
      <w:r>
        <w:rPr>
          <w:rFonts w:cstheme="minorHAnsi"/>
        </w:rPr>
        <w:t xml:space="preserve">imited adoption of the COS Domains indicates that further consideration to improve implementation is required to improved uptake. </w:t>
      </w:r>
    </w:p>
    <w:p w:rsidR="00D40712" w:rsidRDefault="00D40712" w:rsidP="00D40712">
      <w:pPr>
        <w:spacing w:line="360" w:lineRule="auto"/>
        <w:rPr>
          <w:rFonts w:cstheme="minorHAnsi"/>
          <w:b/>
        </w:rPr>
      </w:pPr>
    </w:p>
    <w:p w:rsidR="00D40712" w:rsidRDefault="00D40712" w:rsidP="00D40712">
      <w:pPr>
        <w:spacing w:line="360" w:lineRule="auto"/>
        <w:rPr>
          <w:rFonts w:cstheme="minorHAnsi"/>
          <w:b/>
        </w:rPr>
      </w:pPr>
      <w:r>
        <w:rPr>
          <w:rFonts w:cstheme="minorHAnsi"/>
          <w:b/>
        </w:rPr>
        <w:t xml:space="preserve">Keywords: </w:t>
      </w:r>
      <w:r w:rsidRPr="00FA64E5">
        <w:rPr>
          <w:rFonts w:cstheme="minorHAnsi"/>
        </w:rPr>
        <w:t>OMERACT; Core</w:t>
      </w:r>
      <w:r w:rsidRPr="00A63707">
        <w:rPr>
          <w:rFonts w:cstheme="minorHAnsi"/>
        </w:rPr>
        <w:t xml:space="preserve"> outcome set; </w:t>
      </w:r>
      <w:r>
        <w:rPr>
          <w:rFonts w:cstheme="minorHAnsi"/>
        </w:rPr>
        <w:t xml:space="preserve">domain; </w:t>
      </w:r>
      <w:r w:rsidRPr="00A63707">
        <w:rPr>
          <w:rFonts w:cstheme="minorHAnsi"/>
        </w:rPr>
        <w:t>adoption; trial registration</w:t>
      </w:r>
    </w:p>
    <w:p w:rsidR="00D40712" w:rsidRDefault="00D40712" w:rsidP="00D40712">
      <w:pPr>
        <w:spacing w:line="360" w:lineRule="auto"/>
        <w:rPr>
          <w:rFonts w:cstheme="minorHAnsi"/>
          <w:b/>
        </w:rPr>
      </w:pPr>
    </w:p>
    <w:p w:rsidR="00D40712" w:rsidRDefault="00D40712" w:rsidP="00D40712">
      <w:pPr>
        <w:spacing w:line="360" w:lineRule="auto"/>
        <w:rPr>
          <w:rFonts w:cstheme="minorHAnsi"/>
          <w:b/>
        </w:rPr>
      </w:pPr>
      <w:r>
        <w:rPr>
          <w:rFonts w:cstheme="minorHAnsi"/>
          <w:b/>
        </w:rPr>
        <w:t xml:space="preserve">Word Count: </w:t>
      </w:r>
      <w:r w:rsidRPr="009A2B75">
        <w:rPr>
          <w:rFonts w:cstheme="minorHAnsi"/>
        </w:rPr>
        <w:t>14</w:t>
      </w:r>
      <w:r>
        <w:rPr>
          <w:rFonts w:cstheme="minorHAnsi"/>
        </w:rPr>
        <w:t>98/1500</w:t>
      </w:r>
      <w:r w:rsidRPr="009A2B75">
        <w:rPr>
          <w:rFonts w:cstheme="minorHAnsi"/>
        </w:rPr>
        <w:t xml:space="preserve"> </w:t>
      </w:r>
      <w:r>
        <w:rPr>
          <w:rFonts w:cstheme="minorHAnsi"/>
          <w:b/>
        </w:rPr>
        <w:br w:type="page"/>
      </w:r>
    </w:p>
    <w:p w:rsidR="00D40712" w:rsidRPr="00271254" w:rsidRDefault="00D40712" w:rsidP="00D40712">
      <w:pPr>
        <w:spacing w:line="360" w:lineRule="auto"/>
        <w:rPr>
          <w:rFonts w:cstheme="minorHAnsi"/>
          <w:b/>
        </w:rPr>
      </w:pPr>
      <w:r w:rsidRPr="00271254">
        <w:rPr>
          <w:rFonts w:cstheme="minorHAnsi"/>
          <w:b/>
        </w:rPr>
        <w:lastRenderedPageBreak/>
        <w:t>INTRODUCTION</w:t>
      </w:r>
    </w:p>
    <w:p w:rsidR="00D40712" w:rsidRDefault="00D40712" w:rsidP="00D40712">
      <w:pPr>
        <w:spacing w:line="360" w:lineRule="auto"/>
        <w:jc w:val="both"/>
        <w:rPr>
          <w:rStyle w:val="authordegrees"/>
          <w:rFonts w:cstheme="minorHAnsi"/>
        </w:rPr>
      </w:pPr>
    </w:p>
    <w:p w:rsidR="00D40712" w:rsidRPr="00271254" w:rsidRDefault="00D40712" w:rsidP="00D40712">
      <w:pPr>
        <w:spacing w:line="360" w:lineRule="auto"/>
        <w:jc w:val="both"/>
        <w:rPr>
          <w:rStyle w:val="authordegrees"/>
          <w:rFonts w:cstheme="minorHAnsi"/>
        </w:rPr>
      </w:pPr>
      <w:r w:rsidRPr="00271254">
        <w:rPr>
          <w:rStyle w:val="authordegrees"/>
          <w:rFonts w:cstheme="minorHAnsi"/>
        </w:rPr>
        <w:t>Clinical trials seek to determine whether a treatment is effective and safe for patients by comparing their relative effects on outcomes chosen to identify benefit or harm</w:t>
      </w:r>
      <w:r>
        <w:rPr>
          <w:rStyle w:val="authordegrees"/>
          <w:rFonts w:cstheme="minorHAnsi"/>
        </w:rPr>
        <w:t>.</w:t>
      </w:r>
      <w:r w:rsidR="00B30227">
        <w:rPr>
          <w:rStyle w:val="authordegrees"/>
          <w:rFonts w:cstheme="minorHAnsi"/>
        </w:rPr>
        <w:t>(1)</w:t>
      </w:r>
      <w:r w:rsidRPr="00271254">
        <w:rPr>
          <w:rStyle w:val="authordegrees"/>
          <w:rFonts w:cstheme="minorHAnsi"/>
        </w:rPr>
        <w:t xml:space="preserve"> These can be used to make decisions on whether the treatment und</w:t>
      </w:r>
      <w:r>
        <w:rPr>
          <w:rStyle w:val="authordegrees"/>
          <w:rFonts w:cstheme="minorHAnsi"/>
        </w:rPr>
        <w:t xml:space="preserve">er </w:t>
      </w:r>
      <w:r w:rsidRPr="00271254">
        <w:rPr>
          <w:rStyle w:val="authordegrees"/>
          <w:rFonts w:cstheme="minorHAnsi"/>
        </w:rPr>
        <w:t>investigation should be recommended or not.</w:t>
      </w:r>
      <w:r w:rsidR="00B30227">
        <w:rPr>
          <w:rStyle w:val="authordegrees"/>
          <w:rFonts w:cstheme="minorHAnsi"/>
        </w:rPr>
        <w:t>(2)</w:t>
      </w:r>
      <w:r w:rsidRPr="00271254">
        <w:rPr>
          <w:rStyle w:val="authordegrees"/>
          <w:rFonts w:cstheme="minorHAnsi"/>
        </w:rPr>
        <w:t xml:space="preserve"> It is therefore essential that outcome</w:t>
      </w:r>
      <w:r>
        <w:rPr>
          <w:rStyle w:val="authordegrees"/>
          <w:rFonts w:cstheme="minorHAnsi"/>
        </w:rPr>
        <w:t>s</w:t>
      </w:r>
      <w:r w:rsidRPr="00271254">
        <w:rPr>
          <w:rStyle w:val="authordegrees"/>
          <w:rFonts w:cstheme="minorHAnsi"/>
        </w:rPr>
        <w:t xml:space="preserve"> reported in trials are those which are needed by decision-makers, and reflect meaningful </w:t>
      </w:r>
      <w:r>
        <w:rPr>
          <w:rStyle w:val="authordegrees"/>
          <w:rFonts w:cstheme="minorHAnsi"/>
        </w:rPr>
        <w:t>outcomes</w:t>
      </w:r>
      <w:r w:rsidRPr="00271254">
        <w:rPr>
          <w:rStyle w:val="authordegrees"/>
          <w:rFonts w:cstheme="minorHAnsi"/>
        </w:rPr>
        <w:t xml:space="preserve"> for patients, clinicians and all stakeholders involved in</w:t>
      </w:r>
      <w:r>
        <w:rPr>
          <w:rStyle w:val="authordegrees"/>
          <w:rFonts w:cstheme="minorHAnsi"/>
        </w:rPr>
        <w:t xml:space="preserve"> the care of these</w:t>
      </w:r>
      <w:r w:rsidRPr="00271254">
        <w:rPr>
          <w:rStyle w:val="authordegrees"/>
          <w:rFonts w:cstheme="minorHAnsi"/>
        </w:rPr>
        <w:t xml:space="preserve"> patient</w:t>
      </w:r>
      <w:r>
        <w:rPr>
          <w:rStyle w:val="authordegrees"/>
          <w:rFonts w:cstheme="minorHAnsi"/>
        </w:rPr>
        <w:t>s</w:t>
      </w:r>
      <w:r w:rsidRPr="00271254">
        <w:rPr>
          <w:rStyle w:val="authordegrees"/>
          <w:rFonts w:cstheme="minorHAnsi"/>
        </w:rPr>
        <w:t>.</w:t>
      </w:r>
      <w:r w:rsidR="00B30227">
        <w:rPr>
          <w:rStyle w:val="authordegrees"/>
          <w:rFonts w:cstheme="minorHAnsi"/>
        </w:rPr>
        <w:t>(3)</w:t>
      </w:r>
      <w:r w:rsidRPr="00D8350B">
        <w:rPr>
          <w:rStyle w:val="authordegrees"/>
          <w:rFonts w:cstheme="minorHAnsi"/>
          <w:vertAlign w:val="superscript"/>
        </w:rPr>
        <w:t xml:space="preserve"> </w:t>
      </w:r>
    </w:p>
    <w:p w:rsidR="00D40712" w:rsidRDefault="00D40712" w:rsidP="00D40712">
      <w:pPr>
        <w:spacing w:line="360" w:lineRule="auto"/>
        <w:jc w:val="both"/>
        <w:rPr>
          <w:rStyle w:val="authordegrees"/>
          <w:rFonts w:cstheme="minorHAnsi"/>
        </w:rPr>
      </w:pPr>
      <w:r>
        <w:rPr>
          <w:rStyle w:val="authordegrees"/>
          <w:rFonts w:cstheme="minorHAnsi"/>
        </w:rPr>
        <w:t>In 1997 OMERACT-OARSI</w:t>
      </w:r>
      <w:r w:rsidRPr="00271254">
        <w:rPr>
          <w:rStyle w:val="authordegrees"/>
          <w:rFonts w:cstheme="minorHAnsi"/>
        </w:rPr>
        <w:t xml:space="preserve"> </w:t>
      </w:r>
      <w:r>
        <w:rPr>
          <w:rStyle w:val="authordegrees"/>
          <w:rFonts w:cstheme="minorHAnsi"/>
        </w:rPr>
        <w:t>presented</w:t>
      </w:r>
      <w:r w:rsidRPr="00271254">
        <w:rPr>
          <w:rStyle w:val="authordegrees"/>
          <w:rFonts w:cstheme="minorHAnsi"/>
        </w:rPr>
        <w:t xml:space="preserve"> the </w:t>
      </w:r>
      <w:r>
        <w:rPr>
          <w:rStyle w:val="authordegrees"/>
          <w:rFonts w:cstheme="minorHAnsi"/>
        </w:rPr>
        <w:t>core outcome set (COS)</w:t>
      </w:r>
      <w:r w:rsidRPr="00271254">
        <w:rPr>
          <w:rStyle w:val="authordegrees"/>
          <w:rFonts w:cstheme="minorHAnsi"/>
        </w:rPr>
        <w:t xml:space="preserve"> </w:t>
      </w:r>
      <w:r>
        <w:rPr>
          <w:rStyle w:val="authordegrees"/>
          <w:rFonts w:cstheme="minorHAnsi"/>
        </w:rPr>
        <w:t>for people involved in trials with</w:t>
      </w:r>
      <w:r w:rsidRPr="00271254">
        <w:rPr>
          <w:rStyle w:val="authordegrees"/>
          <w:rFonts w:cstheme="minorHAnsi"/>
        </w:rPr>
        <w:t xml:space="preserve"> hip and knee </w:t>
      </w:r>
      <w:r>
        <w:rPr>
          <w:rStyle w:val="authordegrees"/>
          <w:rFonts w:cstheme="minorHAnsi"/>
        </w:rPr>
        <w:t>osteoarthritis (OA). They reported</w:t>
      </w:r>
      <w:r w:rsidRPr="00271254">
        <w:rPr>
          <w:rStyle w:val="authordegrees"/>
          <w:rFonts w:cstheme="minorHAnsi"/>
        </w:rPr>
        <w:t xml:space="preserve"> that four domains should be </w:t>
      </w:r>
      <w:r>
        <w:rPr>
          <w:rStyle w:val="authordegrees"/>
          <w:rFonts w:cstheme="minorHAnsi"/>
        </w:rPr>
        <w:t>measured and reported</w:t>
      </w:r>
      <w:r w:rsidRPr="00271254">
        <w:rPr>
          <w:rStyle w:val="authordegrees"/>
          <w:rFonts w:cstheme="minorHAnsi"/>
        </w:rPr>
        <w:t xml:space="preserve"> in </w:t>
      </w:r>
      <w:r>
        <w:rPr>
          <w:rStyle w:val="authordegrees"/>
          <w:rFonts w:cstheme="minorHAnsi"/>
        </w:rPr>
        <w:t xml:space="preserve">all </w:t>
      </w:r>
      <w:r w:rsidRPr="00271254">
        <w:rPr>
          <w:rStyle w:val="authordegrees"/>
          <w:rFonts w:cstheme="minorHAnsi"/>
        </w:rPr>
        <w:t>future clinical trials</w:t>
      </w:r>
      <w:r>
        <w:rPr>
          <w:rStyle w:val="authordegrees"/>
          <w:rFonts w:cstheme="minorHAnsi"/>
        </w:rPr>
        <w:t xml:space="preserve"> including patients with hip or knee OA.</w:t>
      </w:r>
      <w:r w:rsidR="00B30227">
        <w:rPr>
          <w:rStyle w:val="authordegrees"/>
          <w:rFonts w:cstheme="minorHAnsi"/>
        </w:rPr>
        <w:t>(4)</w:t>
      </w:r>
      <w:r w:rsidRPr="00271254">
        <w:rPr>
          <w:rStyle w:val="authordegrees"/>
          <w:rFonts w:cstheme="minorHAnsi"/>
        </w:rPr>
        <w:t xml:space="preserve"> These were: pain; physical function; patient global assessment; and </w:t>
      </w:r>
      <w:r>
        <w:rPr>
          <w:rStyle w:val="authordegrees"/>
          <w:rFonts w:cstheme="minorHAnsi"/>
        </w:rPr>
        <w:t xml:space="preserve">with an extra conditionally recommended domain </w:t>
      </w:r>
      <w:r w:rsidRPr="00271254">
        <w:rPr>
          <w:rStyle w:val="authordegrees"/>
          <w:rFonts w:cstheme="minorHAnsi"/>
        </w:rPr>
        <w:t>for studies with a follow-up period of a year or longer</w:t>
      </w:r>
      <w:r>
        <w:rPr>
          <w:rStyle w:val="authordegrees"/>
          <w:rFonts w:cstheme="minorHAnsi"/>
        </w:rPr>
        <w:t xml:space="preserve"> with putative structure-modifying OA drugs</w:t>
      </w:r>
      <w:r w:rsidRPr="00271254">
        <w:rPr>
          <w:rStyle w:val="authordegrees"/>
          <w:rFonts w:cstheme="minorHAnsi"/>
        </w:rPr>
        <w:t xml:space="preserve">, joint imaging (such as x-rays or MRI scans). </w:t>
      </w:r>
      <w:r>
        <w:rPr>
          <w:rStyle w:val="authordegrees"/>
          <w:rFonts w:cstheme="minorHAnsi"/>
        </w:rPr>
        <w:t xml:space="preserve">Whilst these recommendations have been in the public domain for 20 years, it remains unknown whether they have changed the selection of outcomes used in trials with this population during this period. </w:t>
      </w:r>
    </w:p>
    <w:p w:rsidR="00D40712" w:rsidRDefault="00D40712" w:rsidP="00D40712">
      <w:pPr>
        <w:spacing w:line="360" w:lineRule="auto"/>
        <w:rPr>
          <w:rStyle w:val="authordegrees"/>
        </w:rPr>
      </w:pPr>
      <w:r>
        <w:rPr>
          <w:rStyle w:val="authordegrees"/>
          <w:rFonts w:cstheme="minorHAnsi"/>
        </w:rPr>
        <w:t xml:space="preserve">The purpose of this study was to </w:t>
      </w:r>
      <w:r>
        <w:t>assess the uptake of a COS for hip and knee OA, and</w:t>
      </w:r>
      <w:r>
        <w:rPr>
          <w:rStyle w:val="authordegrees"/>
          <w:rFonts w:cstheme="minorHAnsi"/>
        </w:rPr>
        <w:t xml:space="preserve"> explore if specific study characteristics are associated with the failure of COS uptake.</w:t>
      </w:r>
    </w:p>
    <w:p w:rsidR="00D40712" w:rsidRDefault="00D40712" w:rsidP="00D40712">
      <w:pPr>
        <w:spacing w:line="360" w:lineRule="auto"/>
        <w:jc w:val="both"/>
        <w:rPr>
          <w:rStyle w:val="authordegrees"/>
          <w:rFonts w:cstheme="minorHAnsi"/>
        </w:rPr>
      </w:pPr>
    </w:p>
    <w:p w:rsidR="00D40712" w:rsidRDefault="00D40712" w:rsidP="00D40712">
      <w:pPr>
        <w:spacing w:line="360" w:lineRule="auto"/>
        <w:rPr>
          <w:rFonts w:cstheme="minorHAnsi"/>
          <w:b/>
        </w:rPr>
      </w:pPr>
    </w:p>
    <w:p w:rsidR="00D40712" w:rsidRPr="00271254" w:rsidRDefault="00D40712" w:rsidP="00D40712">
      <w:pPr>
        <w:spacing w:line="360" w:lineRule="auto"/>
        <w:rPr>
          <w:rFonts w:cstheme="minorHAnsi"/>
          <w:b/>
        </w:rPr>
      </w:pPr>
      <w:r w:rsidRPr="00271254">
        <w:rPr>
          <w:rFonts w:cstheme="minorHAnsi"/>
          <w:b/>
        </w:rPr>
        <w:t>M</w:t>
      </w:r>
      <w:r>
        <w:rPr>
          <w:rFonts w:cstheme="minorHAnsi"/>
          <w:b/>
        </w:rPr>
        <w:t>ETHODS</w:t>
      </w:r>
    </w:p>
    <w:p w:rsidR="00D40712" w:rsidRDefault="00D40712" w:rsidP="00D40712">
      <w:pPr>
        <w:spacing w:line="360" w:lineRule="auto"/>
        <w:jc w:val="both"/>
        <w:rPr>
          <w:rFonts w:cstheme="minorHAnsi"/>
        </w:rPr>
      </w:pPr>
    </w:p>
    <w:p w:rsidR="00D40712" w:rsidRDefault="00D40712" w:rsidP="00D40712">
      <w:pPr>
        <w:spacing w:line="360" w:lineRule="auto"/>
        <w:jc w:val="both"/>
      </w:pPr>
      <w:r>
        <w:rPr>
          <w:rFonts w:cstheme="minorHAnsi"/>
        </w:rPr>
        <w:t>We adopted Kirkham et al’s</w:t>
      </w:r>
      <w:r w:rsidR="00B30227">
        <w:rPr>
          <w:rFonts w:cstheme="minorHAnsi"/>
        </w:rPr>
        <w:t xml:space="preserve"> (5)</w:t>
      </w:r>
      <w:r>
        <w:rPr>
          <w:rStyle w:val="authordegrees"/>
          <w:rFonts w:cstheme="minorHAnsi"/>
          <w:vertAlign w:val="superscript"/>
        </w:rPr>
        <w:t xml:space="preserve"> </w:t>
      </w:r>
      <w:r>
        <w:rPr>
          <w:rFonts w:cstheme="minorHAnsi"/>
        </w:rPr>
        <w:t>recommendations on the assessment of COS uptake. Through this, we</w:t>
      </w:r>
      <w:r w:rsidRPr="00271254">
        <w:rPr>
          <w:rFonts w:cstheme="minorHAnsi"/>
        </w:rPr>
        <w:t xml:space="preserve"> searched the trials registry ClinicalTrials.gov on 6</w:t>
      </w:r>
      <w:r w:rsidRPr="00271254">
        <w:rPr>
          <w:rFonts w:cstheme="minorHAnsi"/>
          <w:vertAlign w:val="superscript"/>
        </w:rPr>
        <w:t>th</w:t>
      </w:r>
      <w:r w:rsidRPr="00271254">
        <w:rPr>
          <w:rFonts w:cstheme="minorHAnsi"/>
        </w:rPr>
        <w:t xml:space="preserve"> July 2017 to identify all phase 3 or 4</w:t>
      </w:r>
      <w:r>
        <w:rPr>
          <w:rFonts w:cstheme="minorHAnsi"/>
        </w:rPr>
        <w:t>,</w:t>
      </w:r>
      <w:r w:rsidRPr="00271254">
        <w:rPr>
          <w:rFonts w:cstheme="minorHAnsi"/>
        </w:rPr>
        <w:t xml:space="preserve"> drug or non-drug trials registered</w:t>
      </w:r>
      <w:r>
        <w:rPr>
          <w:rFonts w:cstheme="minorHAnsi"/>
        </w:rPr>
        <w:t xml:space="preserve"> from January 1997 to July 2017, recruiting people with</w:t>
      </w:r>
      <w:r w:rsidRPr="00271254">
        <w:rPr>
          <w:rFonts w:cstheme="minorHAnsi"/>
        </w:rPr>
        <w:t xml:space="preserve"> hip or knee </w:t>
      </w:r>
      <w:r>
        <w:rPr>
          <w:rFonts w:cstheme="minorHAnsi"/>
        </w:rPr>
        <w:t>OA</w:t>
      </w:r>
      <w:r w:rsidRPr="00271254">
        <w:rPr>
          <w:rFonts w:cstheme="minorHAnsi"/>
        </w:rPr>
        <w:t xml:space="preserve">. The following filters were applied to identify eligible trials: “conditions: osteoarthritis”, “study type: interventional studies”, and “phase: 3 and 4”. </w:t>
      </w:r>
      <w:r>
        <w:rPr>
          <w:rFonts w:cstheme="minorHAnsi"/>
        </w:rPr>
        <w:t>Only Phase 3 and 4 trials were included to reflect the Phase 3 and 4 recommendations made in the original OMERACT</w:t>
      </w:r>
      <w:r w:rsidR="00B61915">
        <w:rPr>
          <w:rStyle w:val="authordegrees"/>
          <w:rFonts w:cstheme="minorHAnsi"/>
        </w:rPr>
        <w:t>-OARSI</w:t>
      </w:r>
      <w:r>
        <w:rPr>
          <w:rFonts w:cstheme="minorHAnsi"/>
        </w:rPr>
        <w:t xml:space="preserve"> COS.</w:t>
      </w:r>
      <w:r w:rsidR="00B30227">
        <w:rPr>
          <w:rFonts w:cstheme="minorHAnsi"/>
        </w:rPr>
        <w:t>(4)</w:t>
      </w:r>
      <w:r>
        <w:rPr>
          <w:rFonts w:cstheme="minorHAnsi"/>
        </w:rPr>
        <w:t xml:space="preserve"> W</w:t>
      </w:r>
      <w:r>
        <w:t xml:space="preserve">e excluded trials </w:t>
      </w:r>
      <w:r>
        <w:lastRenderedPageBreak/>
        <w:t xml:space="preserve">which did not exclusively recruit people with OA, did not assess treatment benefit (i.e. effectiveness or efficacy) as endpoints (i.e. medication dosage or safety studies). We also excluded studies assessing outcomes following surgical intervention (principally joint replacement). </w:t>
      </w:r>
    </w:p>
    <w:p w:rsidR="00D40712" w:rsidRDefault="00D40712" w:rsidP="00D40712">
      <w:pPr>
        <w:spacing w:line="360" w:lineRule="auto"/>
        <w:jc w:val="both"/>
      </w:pPr>
      <w:r>
        <w:t>We extracted data on all planned trial outcomes and assessed whether the full OMERACT</w:t>
      </w:r>
      <w:r w:rsidR="00B61915">
        <w:rPr>
          <w:rStyle w:val="authordegrees"/>
          <w:rFonts w:cstheme="minorHAnsi"/>
        </w:rPr>
        <w:t>-OARSI</w:t>
      </w:r>
      <w:r>
        <w:t xml:space="preserve"> hip and knee OA COS was adopted.</w:t>
      </w:r>
      <w:r w:rsidR="00B30227">
        <w:t>(4)</w:t>
      </w:r>
      <w:r>
        <w:t xml:space="preserve"> These were the assessment of pain, physical function, patient global assessment and, with a conditional recommendation for trials with a 12 month or greater follow-up period and for putative structure modifying OA drugs, imaging outcomes. We also assessed the uptake of ‘strongly recommended’ domains including: health-related quality of life (HRQOL) and physician global assessment. We assessed the frequency of use of outcomes which were recommended as ‘optional’, including: stiffness, biologic markers, inflammation, performance-based function, flares, time to surgery, analgesic count. If a trial had registered a composite outcome, all individual outcomes were considered in the composite, even when not listed separately. </w:t>
      </w:r>
    </w:p>
    <w:p w:rsidR="00D40712" w:rsidRDefault="00D40712" w:rsidP="00D40712">
      <w:pPr>
        <w:spacing w:line="360" w:lineRule="auto"/>
        <w:jc w:val="both"/>
      </w:pPr>
      <w:r>
        <w:t xml:space="preserve">Data also collected included: year of trial registration, anatomic location of OA participants presented with (hip, knee or hip and/or knee), country of origin, sample size, duration of follow-up at end-point, the intervention type under investigation (drug or non-drug trial) and phase of the trial. </w:t>
      </w:r>
    </w:p>
    <w:p w:rsidR="00D40712" w:rsidRDefault="00D40712" w:rsidP="00D40712">
      <w:pPr>
        <w:spacing w:line="360" w:lineRule="auto"/>
        <w:jc w:val="both"/>
      </w:pPr>
      <w:r>
        <w:t>All 382 trial registrations were extracted by one reviewer (TS). An independent reviewer (MM) verified 10% of the data collected to ensure accuracy of extraction from the trial registry, following Kirkham et al’s</w:t>
      </w:r>
      <w:r w:rsidR="00B30227">
        <w:t xml:space="preserve"> (5)</w:t>
      </w:r>
      <w:r>
        <w:t xml:space="preserve"> approach. Disagreement between the reviewers was resolved through discussion. To assess the veracity of the ClinicalTrials.gov registry data, when a trial did not meet the full COS, with any of the core domains missing (n=230), the published full report was used to verify the data (n=74). When published reports were not available (n=156), the chief investigator or named contact on the trial registration was contacted via email to verify the data. Of these 14% (n=21) responded and provided additional data.</w:t>
      </w:r>
    </w:p>
    <w:p w:rsidR="00D40712" w:rsidRDefault="00D40712" w:rsidP="00D40712">
      <w:pPr>
        <w:spacing w:line="360" w:lineRule="auto"/>
        <w:jc w:val="both"/>
      </w:pPr>
    </w:p>
    <w:p w:rsidR="00D40712" w:rsidRPr="00D40712" w:rsidRDefault="00D40712" w:rsidP="00D40712">
      <w:pPr>
        <w:spacing w:line="360" w:lineRule="auto"/>
        <w:jc w:val="both"/>
        <w:rPr>
          <w:i/>
          <w:u w:val="single"/>
        </w:rPr>
      </w:pPr>
      <w:r w:rsidRPr="00531A74">
        <w:rPr>
          <w:i/>
          <w:u w:val="single"/>
        </w:rPr>
        <w:t>Data Analysis</w:t>
      </w:r>
    </w:p>
    <w:p w:rsidR="00D40712" w:rsidRDefault="00D40712" w:rsidP="00D40712">
      <w:pPr>
        <w:spacing w:line="360" w:lineRule="auto"/>
        <w:jc w:val="both"/>
      </w:pPr>
      <w:r>
        <w:t xml:space="preserve">We calculated the proportion of trials which reported each OA COS domain and the full domain set, and the percentage of core outcomes reported from the COS per year. These were assessed over the 20-year follow-up period to determine change over time. </w:t>
      </w:r>
    </w:p>
    <w:p w:rsidR="00D40712" w:rsidRDefault="00D40712" w:rsidP="00D40712">
      <w:pPr>
        <w:spacing w:line="360" w:lineRule="auto"/>
        <w:jc w:val="both"/>
      </w:pPr>
      <w:r>
        <w:t>Using a forced entry multivariate logistic regression model, we assessed the relationship between year of registration, sample size, country of origin, duration of follow-up interval, whether participants presented with isolated hip, isolated knee or hip and/or knee OA, phase of trial (Phase 3 or 4), whether it was a drug trial or non-drug trial and full COS domain uptake (yes/no).</w:t>
      </w:r>
      <w:r w:rsidR="00B61915">
        <w:t xml:space="preserve"> A forced entry method was </w:t>
      </w:r>
      <w:r w:rsidR="00B61915">
        <w:lastRenderedPageBreak/>
        <w:t>adopted to ensure that all variables were included in the model.</w:t>
      </w:r>
      <w:r>
        <w:t xml:space="preserve"> Data were presented as odds ratios (OR) with 95% confidence intervals (CI). A two-sided p-value &lt;0.05 was deemed as indicating statistical significance. Analyses were undertaken using Stata version 14.0 (StataCorp LLC, Texas, USA).</w:t>
      </w:r>
    </w:p>
    <w:p w:rsidR="00D40712" w:rsidRDefault="00D40712" w:rsidP="00D40712">
      <w:pPr>
        <w:spacing w:line="360" w:lineRule="auto"/>
        <w:rPr>
          <w:b/>
        </w:rPr>
      </w:pPr>
    </w:p>
    <w:p w:rsidR="00D40712" w:rsidRDefault="00D40712" w:rsidP="00D40712">
      <w:pPr>
        <w:spacing w:line="360" w:lineRule="auto"/>
        <w:rPr>
          <w:b/>
        </w:rPr>
      </w:pPr>
      <w:r w:rsidRPr="008F624B">
        <w:rPr>
          <w:b/>
        </w:rPr>
        <w:t>RESULTS</w:t>
      </w:r>
    </w:p>
    <w:p w:rsidR="00D40712" w:rsidRDefault="00D40712" w:rsidP="00D40712">
      <w:pPr>
        <w:spacing w:line="360" w:lineRule="auto"/>
        <w:rPr>
          <w:i/>
          <w:u w:val="single"/>
        </w:rPr>
      </w:pPr>
    </w:p>
    <w:p w:rsidR="00D40712" w:rsidRPr="00D8350B" w:rsidRDefault="00D40712" w:rsidP="00D40712">
      <w:pPr>
        <w:spacing w:line="360" w:lineRule="auto"/>
        <w:jc w:val="both"/>
        <w:rPr>
          <w:b/>
        </w:rPr>
      </w:pPr>
      <w:r>
        <w:t xml:space="preserve">In total, 382 Phase 3 or 4 trials registered in Clinicaltrials.gov were eligible for analysis. The eligibility assessment and reasons for exclusion of trials are presented </w:t>
      </w:r>
      <w:r w:rsidRPr="00D8350B">
        <w:t xml:space="preserve">in Figure 1. Trial characteristics are presented in Supplementary Table 1. </w:t>
      </w:r>
    </w:p>
    <w:p w:rsidR="00D40712" w:rsidRPr="00D8350B" w:rsidRDefault="00D40712" w:rsidP="00D40712">
      <w:pPr>
        <w:spacing w:line="360" w:lineRule="auto"/>
        <w:jc w:val="both"/>
      </w:pPr>
      <w:r>
        <w:t xml:space="preserve">The assessment of COS uptake is </w:t>
      </w:r>
      <w:r w:rsidRPr="00D8350B">
        <w:t>summarised in Table 1 and Figure 2. There</w:t>
      </w:r>
      <w:r>
        <w:t xml:space="preserve"> was a decrease in the adoption of the full COS from 61% between 1997 to 2001 to 38% between 2012 to 2016. The adoption of the full COS has largely plateaued between 2002 to 2017, within the ranges of 38% to </w:t>
      </w:r>
      <w:r w:rsidRPr="00D8350B">
        <w:t xml:space="preserve">54% (Table 1; Supplementary Table 2). Whilst trials have consistently assessed pain (over 90%; Table 1) and physical function (over 80%; Table 1), there has been greater variability for patient global assessment (67% to 38%). As Figure 2 illustrates, the assessment of patient global assessment was the principal domain for COS not being fully reported from 1997 to 2017. </w:t>
      </w:r>
    </w:p>
    <w:p w:rsidR="00D40712" w:rsidRDefault="00D40712" w:rsidP="00D40712">
      <w:pPr>
        <w:spacing w:line="360" w:lineRule="auto"/>
        <w:jc w:val="both"/>
      </w:pPr>
      <w:r>
        <w:t>On assessment of domains which were ‘recommended’ but not ‘essential’ by the 1997 OMERACT</w:t>
      </w:r>
      <w:r w:rsidR="00B61915">
        <w:rPr>
          <w:rStyle w:val="authordegrees"/>
          <w:rFonts w:cstheme="minorHAnsi"/>
        </w:rPr>
        <w:t>-OARSI</w:t>
      </w:r>
      <w:r>
        <w:t xml:space="preserve"> COS,</w:t>
      </w:r>
      <w:r w:rsidR="00B30227">
        <w:t>(4)</w:t>
      </w:r>
      <w:r>
        <w:t xml:space="preserve"> joint stiffness was most commonly assessed (58%) followed by HRQOL (26%) and analgesic consumption (27%). Least frequently assessed included swelling (7%), pain flares (2%) and time to surgery (3%) (</w:t>
      </w:r>
      <w:r w:rsidRPr="00D8350B">
        <w:t>Table 1).</w:t>
      </w:r>
    </w:p>
    <w:p w:rsidR="00D40712" w:rsidRPr="008F624B" w:rsidRDefault="00D40712" w:rsidP="00D40712">
      <w:pPr>
        <w:spacing w:line="360" w:lineRule="auto"/>
        <w:jc w:val="both"/>
      </w:pPr>
      <w:r>
        <w:t>On analysis of the factors which may be associated</w:t>
      </w:r>
      <w:r w:rsidR="00596FE8">
        <w:t xml:space="preserve"> with</w:t>
      </w:r>
      <w:r>
        <w:t xml:space="preserve"> a successful COS uptake, t</w:t>
      </w:r>
      <w:r w:rsidRPr="008B4358">
        <w:t xml:space="preserve">he phase of </w:t>
      </w:r>
      <w:r>
        <w:t xml:space="preserve">the </w:t>
      </w:r>
      <w:r w:rsidRPr="008B4358">
        <w:t>trial</w:t>
      </w:r>
      <w:r>
        <w:t xml:space="preserve"> </w:t>
      </w:r>
      <w:r w:rsidRPr="008B4358">
        <w:t xml:space="preserve">was a significant factor, where Phase 3 trials were over twice as likely to have reported a full </w:t>
      </w:r>
      <w:r>
        <w:t>COS</w:t>
      </w:r>
      <w:r w:rsidRPr="008B4358">
        <w:t>, compared to Phase 4 trials (OR</w:t>
      </w:r>
      <w:r>
        <w:t>: 2.32; 95% CI: 1.26 to 4.26;</w:t>
      </w:r>
      <w:r w:rsidRPr="008B4358">
        <w:t xml:space="preserve"> p=0.0</w:t>
      </w:r>
      <w:r>
        <w:t>1</w:t>
      </w:r>
      <w:r w:rsidRPr="008B4358">
        <w:t xml:space="preserve">). Drug trials were over three times as likely to have presented the full </w:t>
      </w:r>
      <w:r>
        <w:t>COS</w:t>
      </w:r>
      <w:r w:rsidRPr="008B4358">
        <w:t xml:space="preserve"> compared to non-drug trials (OR: 3.5</w:t>
      </w:r>
      <w:r>
        <w:t>7</w:t>
      </w:r>
      <w:r w:rsidRPr="008B4358">
        <w:t>; 95% CI: 1.1</w:t>
      </w:r>
      <w:r>
        <w:t>2</w:t>
      </w:r>
      <w:r w:rsidRPr="008B4358">
        <w:t xml:space="preserve"> to </w:t>
      </w:r>
      <w:r>
        <w:t>5</w:t>
      </w:r>
      <w:r w:rsidRPr="008B4358">
        <w:t>.</w:t>
      </w:r>
      <w:r>
        <w:t xml:space="preserve">37; p=0.03). </w:t>
      </w:r>
      <w:r w:rsidRPr="00B36680">
        <w:t xml:space="preserve"> </w:t>
      </w:r>
      <w:r>
        <w:t>The country of trial origin (p=0.99), year of registration (p=0.28), duration of the trial (p=0.07) and whether the trial recruited people with hip, knee or hip and knee OA (p=0.53) were not significant. Although statistically significant, there was no important difference in COS adoption based on sample size (OR: 1.00; 95% CI: 1.00 to 1.</w:t>
      </w:r>
      <w:r w:rsidRPr="008B4358">
        <w:t>00; p&lt;0.01</w:t>
      </w:r>
      <w:r>
        <w:t>).</w:t>
      </w:r>
    </w:p>
    <w:p w:rsidR="00D40712" w:rsidRDefault="00D40712" w:rsidP="00D40712">
      <w:pPr>
        <w:spacing w:line="360" w:lineRule="auto"/>
        <w:rPr>
          <w:b/>
        </w:rPr>
      </w:pPr>
    </w:p>
    <w:p w:rsidR="00D40712" w:rsidRDefault="00D40712" w:rsidP="00D40712">
      <w:pPr>
        <w:spacing w:line="360" w:lineRule="auto"/>
        <w:rPr>
          <w:b/>
        </w:rPr>
      </w:pPr>
    </w:p>
    <w:p w:rsidR="00D40712" w:rsidRDefault="00D40712" w:rsidP="00D40712">
      <w:pPr>
        <w:spacing w:line="360" w:lineRule="auto"/>
        <w:rPr>
          <w:b/>
        </w:rPr>
      </w:pPr>
    </w:p>
    <w:p w:rsidR="00D40712" w:rsidRPr="00271254" w:rsidRDefault="00D40712" w:rsidP="00D40712">
      <w:pPr>
        <w:spacing w:line="360" w:lineRule="auto"/>
        <w:rPr>
          <w:b/>
        </w:rPr>
      </w:pPr>
      <w:r w:rsidRPr="00271254">
        <w:rPr>
          <w:b/>
        </w:rPr>
        <w:t>DISCUSSION</w:t>
      </w:r>
    </w:p>
    <w:p w:rsidR="00D40712" w:rsidRDefault="00D40712" w:rsidP="00D40712">
      <w:pPr>
        <w:spacing w:line="360" w:lineRule="auto"/>
        <w:jc w:val="both"/>
        <w:rPr>
          <w:rStyle w:val="authordegrees"/>
          <w:rFonts w:cstheme="minorHAnsi"/>
        </w:rPr>
      </w:pPr>
    </w:p>
    <w:p w:rsidR="00D40712" w:rsidRPr="00D8350B" w:rsidRDefault="00D40712" w:rsidP="00D40712">
      <w:pPr>
        <w:spacing w:line="360" w:lineRule="auto"/>
        <w:jc w:val="both"/>
        <w:rPr>
          <w:rStyle w:val="authordegrees"/>
          <w:rFonts w:cstheme="minorHAnsi"/>
          <w:sz w:val="22"/>
          <w:szCs w:val="22"/>
        </w:rPr>
      </w:pPr>
      <w:r w:rsidRPr="00D8350B">
        <w:rPr>
          <w:rStyle w:val="authordegrees"/>
          <w:rFonts w:cstheme="minorHAnsi"/>
          <w:sz w:val="22"/>
          <w:szCs w:val="22"/>
        </w:rPr>
        <w:t>This study has demonstrated that there has been limited uptake of the full OMERACT</w:t>
      </w:r>
      <w:r w:rsidR="00B61915">
        <w:rPr>
          <w:rStyle w:val="authordegrees"/>
          <w:rFonts w:cstheme="minorHAnsi"/>
        </w:rPr>
        <w:t>-OARSI</w:t>
      </w:r>
      <w:r w:rsidRPr="00D8350B">
        <w:rPr>
          <w:rStyle w:val="authordegrees"/>
          <w:rFonts w:cstheme="minorHAnsi"/>
          <w:sz w:val="22"/>
          <w:szCs w:val="22"/>
        </w:rPr>
        <w:t xml:space="preserve"> COS domains in randomised controlled trials of hip and knee OA during the past 20 years. Whilst pain and physical function are consistently assessed, (over 90% and over 80% respectively), patient global assessment is less frequently evaluated and decreased from 67% to 38%, which is the principal reason for trials not satisfying the full COS uptake.</w:t>
      </w:r>
    </w:p>
    <w:p w:rsidR="00D40712" w:rsidRPr="00D8350B" w:rsidRDefault="00D40712" w:rsidP="00D40712">
      <w:pPr>
        <w:spacing w:line="360" w:lineRule="auto"/>
        <w:jc w:val="both"/>
        <w:rPr>
          <w:rStyle w:val="authordegrees"/>
          <w:rFonts w:cstheme="minorHAnsi"/>
          <w:sz w:val="22"/>
          <w:szCs w:val="22"/>
        </w:rPr>
      </w:pPr>
      <w:r w:rsidRPr="00D8350B">
        <w:rPr>
          <w:rStyle w:val="authordegrees"/>
          <w:rFonts w:cstheme="minorHAnsi"/>
          <w:sz w:val="22"/>
          <w:szCs w:val="22"/>
        </w:rPr>
        <w:t>Of the three (conditionally four) components required to satisfy the COS, patient global assessment was the principal missing domain for trials not satisfying the full COS. There has been concern that patient global assessment scores may be influenced by social desirability bias.</w:t>
      </w:r>
      <w:r w:rsidR="00B30227">
        <w:rPr>
          <w:rStyle w:val="authordegrees"/>
          <w:rFonts w:cstheme="minorHAnsi"/>
          <w:sz w:val="22"/>
          <w:szCs w:val="22"/>
        </w:rPr>
        <w:t>(6)</w:t>
      </w:r>
      <w:r w:rsidRPr="00D8350B">
        <w:rPr>
          <w:rStyle w:val="authordegrees"/>
          <w:rFonts w:cstheme="minorHAnsi"/>
          <w:sz w:val="22"/>
          <w:szCs w:val="22"/>
        </w:rPr>
        <w:t xml:space="preserve"> This may therefore be a reason for the reported lower adoption of patient global assessment measures. Nonetheless, OMERACT and others have highlighted the importance of patient-reported outcome measures to measure the patient’s overall perceptions</w:t>
      </w:r>
      <w:r w:rsidR="0097241E">
        <w:rPr>
          <w:rStyle w:val="authordegrees"/>
          <w:rFonts w:cstheme="minorHAnsi"/>
          <w:sz w:val="22"/>
          <w:szCs w:val="22"/>
        </w:rPr>
        <w:t xml:space="preserve"> of</w:t>
      </w:r>
      <w:r w:rsidRPr="00D8350B">
        <w:rPr>
          <w:rStyle w:val="authordegrees"/>
          <w:rFonts w:cstheme="minorHAnsi"/>
          <w:sz w:val="22"/>
          <w:szCs w:val="22"/>
        </w:rPr>
        <w:t xml:space="preserve"> their disease.</w:t>
      </w:r>
      <w:r w:rsidR="00B30227">
        <w:rPr>
          <w:rStyle w:val="authordegrees"/>
          <w:rFonts w:cstheme="minorHAnsi"/>
          <w:sz w:val="22"/>
          <w:szCs w:val="22"/>
        </w:rPr>
        <w:t>(7)</w:t>
      </w:r>
      <w:r w:rsidRPr="00D8350B">
        <w:rPr>
          <w:rStyle w:val="authordegrees"/>
          <w:rFonts w:cstheme="minorHAnsi"/>
          <w:sz w:val="22"/>
          <w:szCs w:val="22"/>
        </w:rPr>
        <w:t xml:space="preserve"> Accordingly, t</w:t>
      </w:r>
      <w:r w:rsidRPr="00D8350B">
        <w:rPr>
          <w:rFonts w:cstheme="minorHAnsi"/>
        </w:rPr>
        <w:t xml:space="preserve">he diminishing inclusion of patient global domain warrants an update of the COS to ensure its relevance for OA trials. </w:t>
      </w:r>
      <w:r w:rsidRPr="00D8350B">
        <w:rPr>
          <w:rFonts w:cstheme="minorHAnsi"/>
          <w:b/>
        </w:rPr>
        <w:t xml:space="preserve"> </w:t>
      </w:r>
    </w:p>
    <w:p w:rsidR="00D40712" w:rsidRPr="00D8350B" w:rsidRDefault="00D40712" w:rsidP="00D40712">
      <w:pPr>
        <w:spacing w:line="360" w:lineRule="auto"/>
        <w:jc w:val="both"/>
        <w:rPr>
          <w:rStyle w:val="authordegrees"/>
          <w:rFonts w:cstheme="minorHAnsi"/>
          <w:sz w:val="22"/>
          <w:szCs w:val="22"/>
        </w:rPr>
      </w:pPr>
      <w:r w:rsidRPr="00D8350B">
        <w:rPr>
          <w:rStyle w:val="authordegrees"/>
          <w:rFonts w:cstheme="minorHAnsi"/>
          <w:sz w:val="22"/>
          <w:szCs w:val="22"/>
        </w:rPr>
        <w:t>The results contrast with the Kirkham et al</w:t>
      </w:r>
      <w:r w:rsidR="00B30227">
        <w:rPr>
          <w:rStyle w:val="authordegrees"/>
          <w:rFonts w:cstheme="minorHAnsi"/>
          <w:sz w:val="22"/>
          <w:szCs w:val="22"/>
        </w:rPr>
        <w:t xml:space="preserve"> (8)</w:t>
      </w:r>
      <w:r w:rsidRPr="00D8350B">
        <w:rPr>
          <w:rStyle w:val="authordegrees"/>
          <w:rFonts w:cstheme="minorHAnsi"/>
          <w:sz w:val="22"/>
          <w:szCs w:val="22"/>
          <w:vertAlign w:val="superscript"/>
        </w:rPr>
        <w:t xml:space="preserve"> </w:t>
      </w:r>
      <w:r w:rsidRPr="00D8350B">
        <w:rPr>
          <w:rStyle w:val="authordegrees"/>
          <w:rFonts w:cstheme="minorHAnsi"/>
          <w:sz w:val="22"/>
          <w:szCs w:val="22"/>
        </w:rPr>
        <w:t>analysis of the uptake of the rheumatoid arthritis COS where uptake had increased within a 14-year period (from 2002) to 81% of eligible trials. This was attributed to the introduction of consistent guidance provided by regulatory authorities including the Food and Drug Administration (FDA)</w:t>
      </w:r>
      <w:r w:rsidR="00B30227">
        <w:rPr>
          <w:rStyle w:val="authordegrees"/>
          <w:rFonts w:cstheme="minorHAnsi"/>
          <w:sz w:val="22"/>
          <w:szCs w:val="22"/>
        </w:rPr>
        <w:t xml:space="preserve"> (9)</w:t>
      </w:r>
      <w:r w:rsidRPr="00D8350B">
        <w:rPr>
          <w:rStyle w:val="authordegrees"/>
          <w:rFonts w:cstheme="minorHAnsi"/>
          <w:sz w:val="22"/>
          <w:szCs w:val="22"/>
        </w:rPr>
        <w:t xml:space="preserve"> and European Medicines Agency (EMA).</w:t>
      </w:r>
      <w:r w:rsidR="00B30227">
        <w:rPr>
          <w:rStyle w:val="authordegrees"/>
          <w:rFonts w:cstheme="minorHAnsi"/>
          <w:sz w:val="22"/>
          <w:szCs w:val="22"/>
        </w:rPr>
        <w:t>(10)</w:t>
      </w:r>
      <w:r w:rsidRPr="00D8350B">
        <w:rPr>
          <w:rStyle w:val="authordegrees"/>
          <w:rFonts w:cstheme="minorHAnsi"/>
          <w:sz w:val="22"/>
          <w:szCs w:val="22"/>
        </w:rPr>
        <w:t xml:space="preserve"> There is less consistency around COS domains in OA.</w:t>
      </w:r>
      <w:r w:rsidR="00B30227">
        <w:rPr>
          <w:rStyle w:val="authordegrees"/>
          <w:rFonts w:cstheme="minorHAnsi"/>
          <w:sz w:val="22"/>
          <w:szCs w:val="22"/>
        </w:rPr>
        <w:t>(11)</w:t>
      </w:r>
      <w:r w:rsidRPr="00D8350B">
        <w:rPr>
          <w:rStyle w:val="authordegrees"/>
          <w:rFonts w:cstheme="minorHAnsi"/>
          <w:sz w:val="22"/>
          <w:szCs w:val="22"/>
        </w:rPr>
        <w:t xml:space="preserve"> The OARSI-FDA Disease State Working Group</w:t>
      </w:r>
      <w:r w:rsidR="00D8350B" w:rsidRPr="00D8350B">
        <w:rPr>
          <w:rStyle w:val="authordegrees"/>
          <w:rFonts w:cstheme="minorHAnsi"/>
          <w:sz w:val="22"/>
          <w:szCs w:val="22"/>
          <w:vertAlign w:val="superscript"/>
        </w:rPr>
        <w:t>12</w:t>
      </w:r>
      <w:r w:rsidRPr="00D8350B">
        <w:rPr>
          <w:rStyle w:val="authordegrees"/>
          <w:rFonts w:cstheme="minorHAnsi"/>
          <w:sz w:val="22"/>
          <w:szCs w:val="22"/>
        </w:rPr>
        <w:t xml:space="preserve"> recommended the assessment of pain, function, radiological measures and other wider patient experiences of illness including fatigue, mood, sleep and HRQOL.</w:t>
      </w:r>
      <w:r w:rsidR="00B30227">
        <w:rPr>
          <w:rStyle w:val="authordegrees"/>
          <w:rFonts w:cstheme="minorHAnsi"/>
          <w:sz w:val="22"/>
          <w:szCs w:val="22"/>
        </w:rPr>
        <w:t>(12)</w:t>
      </w:r>
      <w:r w:rsidRPr="00D8350B">
        <w:rPr>
          <w:rStyle w:val="authordegrees"/>
          <w:rFonts w:cstheme="minorHAnsi"/>
          <w:sz w:val="22"/>
          <w:szCs w:val="22"/>
        </w:rPr>
        <w:t xml:space="preserve"> The EMA guidelines recommend that pain, functional disability and structural damage should be assessed, but patient global assessment is recommended rather than mandatory.</w:t>
      </w:r>
      <w:r w:rsidR="00B30227">
        <w:rPr>
          <w:rStyle w:val="authordegrees"/>
          <w:rFonts w:cstheme="minorHAnsi"/>
          <w:sz w:val="22"/>
          <w:szCs w:val="22"/>
        </w:rPr>
        <w:t>(13)</w:t>
      </w:r>
      <w:r w:rsidRPr="00D8350B">
        <w:rPr>
          <w:rStyle w:val="authordegrees"/>
          <w:rFonts w:cstheme="minorHAnsi"/>
          <w:sz w:val="22"/>
          <w:szCs w:val="22"/>
        </w:rPr>
        <w:t xml:space="preserve"> Some of this discordance may account for lack of uptake, and therefore future work may be undertaken to standardise recommendations across regulatory authorities. </w:t>
      </w:r>
    </w:p>
    <w:p w:rsidR="00D40712" w:rsidRPr="00D8350B" w:rsidRDefault="00D40712" w:rsidP="00D40712">
      <w:pPr>
        <w:spacing w:line="360" w:lineRule="auto"/>
        <w:jc w:val="both"/>
        <w:rPr>
          <w:rStyle w:val="authordegrees"/>
          <w:rFonts w:cstheme="minorHAnsi"/>
          <w:sz w:val="22"/>
          <w:szCs w:val="22"/>
        </w:rPr>
      </w:pPr>
      <w:r w:rsidRPr="00D8350B">
        <w:rPr>
          <w:rStyle w:val="authordegrees"/>
          <w:rFonts w:cstheme="minorHAnsi"/>
          <w:sz w:val="22"/>
          <w:szCs w:val="22"/>
        </w:rPr>
        <w:t>Trials were evaluated using their ClinicalTrials.gov registration, as recommended by Kirkham et al</w:t>
      </w:r>
      <w:r w:rsidR="00B30227">
        <w:rPr>
          <w:rStyle w:val="authordegrees"/>
          <w:rFonts w:cstheme="minorHAnsi"/>
          <w:sz w:val="22"/>
          <w:szCs w:val="22"/>
        </w:rPr>
        <w:t xml:space="preserve"> (</w:t>
      </w:r>
      <w:r w:rsidR="00CE6DAA">
        <w:rPr>
          <w:rStyle w:val="authordegrees"/>
          <w:rFonts w:cstheme="minorHAnsi"/>
          <w:sz w:val="22"/>
          <w:szCs w:val="22"/>
        </w:rPr>
        <w:t>5</w:t>
      </w:r>
      <w:r w:rsidR="00B30227">
        <w:rPr>
          <w:rStyle w:val="authordegrees"/>
          <w:rFonts w:cstheme="minorHAnsi"/>
          <w:sz w:val="22"/>
          <w:szCs w:val="22"/>
        </w:rPr>
        <w:t>)</w:t>
      </w:r>
      <w:r w:rsidRPr="00D8350B">
        <w:rPr>
          <w:rStyle w:val="authordegrees"/>
          <w:rFonts w:cstheme="minorHAnsi"/>
          <w:sz w:val="22"/>
          <w:szCs w:val="22"/>
        </w:rPr>
        <w:t xml:space="preserve"> to provide a more efficient means of assessing COS uptake compared to reviewing final trial reports or publications.</w:t>
      </w:r>
      <w:r w:rsidR="00B30227">
        <w:rPr>
          <w:rStyle w:val="authordegrees"/>
          <w:rFonts w:cstheme="minorHAnsi"/>
          <w:sz w:val="22"/>
          <w:szCs w:val="22"/>
        </w:rPr>
        <w:t>(5,1</w:t>
      </w:r>
      <w:r w:rsidR="00CE6DAA">
        <w:rPr>
          <w:rStyle w:val="authordegrees"/>
          <w:rFonts w:cstheme="minorHAnsi"/>
          <w:sz w:val="22"/>
          <w:szCs w:val="22"/>
        </w:rPr>
        <w:t>4</w:t>
      </w:r>
      <w:r w:rsidR="00B30227">
        <w:rPr>
          <w:rStyle w:val="authordegrees"/>
          <w:rFonts w:cstheme="minorHAnsi"/>
          <w:sz w:val="22"/>
          <w:szCs w:val="22"/>
        </w:rPr>
        <w:t>)</w:t>
      </w:r>
      <w:r w:rsidRPr="00D8350B">
        <w:rPr>
          <w:rStyle w:val="authordegrees"/>
          <w:rFonts w:cstheme="minorHAnsi"/>
          <w:sz w:val="22"/>
          <w:szCs w:val="22"/>
        </w:rPr>
        <w:t xml:space="preserve"> However, a disadvantage to the adopted approach was that we did not review additional registries such as the World Health Organization International Clinical Trials Registry Platform (ICTRP) or the Netherlands Trial Registry. However, since ClinicalTrials.gov demonstrates </w:t>
      </w:r>
      <w:r w:rsidRPr="00D8350B">
        <w:rPr>
          <w:rStyle w:val="authordegrees"/>
          <w:rFonts w:cstheme="minorHAnsi"/>
          <w:sz w:val="22"/>
          <w:szCs w:val="22"/>
        </w:rPr>
        <w:lastRenderedPageBreak/>
        <w:t>international coverage (</w:t>
      </w:r>
      <w:r w:rsidR="0097241E">
        <w:rPr>
          <w:rStyle w:val="authordegrees"/>
          <w:rFonts w:cstheme="minorHAnsi"/>
          <w:sz w:val="22"/>
          <w:szCs w:val="22"/>
        </w:rPr>
        <w:t xml:space="preserve">Supplementary </w:t>
      </w:r>
      <w:r w:rsidRPr="00D8350B">
        <w:rPr>
          <w:rStyle w:val="authordegrees"/>
          <w:rFonts w:cstheme="minorHAnsi"/>
          <w:sz w:val="22"/>
          <w:szCs w:val="22"/>
        </w:rPr>
        <w:t xml:space="preserve">Table 1), we feel that the results were representative of trials on this population. </w:t>
      </w:r>
    </w:p>
    <w:p w:rsidR="00CD11CA" w:rsidRDefault="00CD11CA" w:rsidP="00D40712">
      <w:pPr>
        <w:spacing w:line="360" w:lineRule="auto"/>
        <w:jc w:val="both"/>
        <w:rPr>
          <w:b/>
        </w:rPr>
      </w:pPr>
    </w:p>
    <w:p w:rsidR="00D40712" w:rsidRDefault="00D40712" w:rsidP="00D40712">
      <w:pPr>
        <w:rPr>
          <w:b/>
        </w:rPr>
      </w:pPr>
      <w:r>
        <w:rPr>
          <w:b/>
        </w:rPr>
        <w:t>ACKNOWLEDGEMENTS &amp; DECLARATIONS</w:t>
      </w:r>
    </w:p>
    <w:p w:rsidR="00D40712" w:rsidRDefault="00D40712" w:rsidP="00D40712"/>
    <w:p w:rsidR="00D40712" w:rsidRDefault="00D40712" w:rsidP="00D40712">
      <w:r w:rsidRPr="00F8042E">
        <w:rPr>
          <w:b/>
        </w:rPr>
        <w:t>Acknowledgements:</w:t>
      </w:r>
      <w:r>
        <w:t xml:space="preserve"> None.</w:t>
      </w:r>
    </w:p>
    <w:p w:rsidR="00D40712" w:rsidRDefault="00D40712" w:rsidP="00D40712">
      <w:pPr>
        <w:rPr>
          <w:b/>
        </w:rPr>
      </w:pPr>
    </w:p>
    <w:p w:rsidR="00D40712" w:rsidRDefault="00D40712" w:rsidP="00D40712">
      <w:r w:rsidRPr="00F8042E">
        <w:rPr>
          <w:b/>
        </w:rPr>
        <w:t>Declarations:</w:t>
      </w:r>
      <w:r>
        <w:t xml:space="preserve"> </w:t>
      </w:r>
      <w:r w:rsidRPr="00E75319">
        <w:t>This work was presented as a poster presentation at the OMERACT2018 meeting, 14</w:t>
      </w:r>
      <w:r w:rsidRPr="00E75319">
        <w:rPr>
          <w:vertAlign w:val="superscript"/>
        </w:rPr>
        <w:t>th</w:t>
      </w:r>
      <w:r>
        <w:t xml:space="preserve"> to </w:t>
      </w:r>
      <w:r w:rsidRPr="00E75319">
        <w:t>18</w:t>
      </w:r>
      <w:r w:rsidRPr="00E75319">
        <w:rPr>
          <w:vertAlign w:val="superscript"/>
        </w:rPr>
        <w:t>th</w:t>
      </w:r>
      <w:r w:rsidRPr="00E75319">
        <w:t xml:space="preserve"> </w:t>
      </w:r>
      <w:r>
        <w:t xml:space="preserve">May </w:t>
      </w:r>
      <w:r w:rsidRPr="00E75319">
        <w:t>2018 at Terrigal, Australia.</w:t>
      </w:r>
    </w:p>
    <w:p w:rsidR="00D40712" w:rsidRDefault="00D40712" w:rsidP="00D40712">
      <w:pPr>
        <w:rPr>
          <w:b/>
        </w:rPr>
      </w:pPr>
    </w:p>
    <w:p w:rsidR="00D40712" w:rsidRPr="008452C8" w:rsidRDefault="00D40712" w:rsidP="00D40712">
      <w:pPr>
        <w:jc w:val="both"/>
      </w:pPr>
      <w:r w:rsidRPr="00E75319">
        <w:rPr>
          <w:b/>
        </w:rPr>
        <w:t>Funding:</w:t>
      </w:r>
      <w:r>
        <w:t xml:space="preserve"> </w:t>
      </w:r>
      <w:r w:rsidRPr="008452C8">
        <w:t xml:space="preserve">Dr Toby Smith was awarded an Arthritis Action grant and a EULAR OMERACT Educational Bursary to support the Fellow’s (TS) attendance at the OMERACT2018 meeting. </w:t>
      </w:r>
    </w:p>
    <w:p w:rsidR="00D40712" w:rsidRPr="008452C8" w:rsidRDefault="00D40712" w:rsidP="00D40712">
      <w:pPr>
        <w:jc w:val="both"/>
        <w:rPr>
          <w:rFonts w:ascii="Times New Roman" w:eastAsia="Times New Roman" w:hAnsi="Times New Roman" w:cs="Times New Roman"/>
          <w:lang w:eastAsia="en-GB"/>
        </w:rPr>
      </w:pPr>
      <w:r w:rsidRPr="008452C8">
        <w:rPr>
          <w:rFonts w:ascii="Calibri" w:eastAsia="Times New Roman" w:hAnsi="Calibri" w:cs="Calibri"/>
          <w:color w:val="000000"/>
          <w:lang w:eastAsia="en-GB"/>
        </w:rPr>
        <w:t>TS is supported by the National Institute for Health Research (NIHR) Biomedical Research Centre, Oxford and PGC is supported, in part, by the NIHR Leeds Biomedical Research Centre.</w:t>
      </w:r>
      <w:r w:rsidRPr="008452C8">
        <w:rPr>
          <w:rFonts w:ascii="Calibri" w:eastAsia="Times New Roman" w:hAnsi="Calibri" w:cs="Calibri"/>
          <w:color w:val="1F497D"/>
          <w:lang w:eastAsia="en-GB"/>
        </w:rPr>
        <w:t> </w:t>
      </w:r>
      <w:r w:rsidRPr="008452C8">
        <w:rPr>
          <w:rFonts w:ascii="Calibri" w:eastAsia="Times New Roman" w:hAnsi="Calibri" w:cs="Calibri"/>
          <w:color w:val="000000"/>
          <w:lang w:eastAsia="en-GB"/>
        </w:rPr>
        <w:t>The views expressed are those of the author(s) and not necessarily those of the NHS, the NIHR or the Department of Health </w:t>
      </w:r>
      <w:r w:rsidRPr="008452C8">
        <w:rPr>
          <w:rFonts w:ascii="Calibri" w:eastAsia="Times New Roman" w:hAnsi="Calibri" w:cs="Calibri"/>
          <w:color w:val="000000" w:themeColor="text1"/>
          <w:lang w:eastAsia="en-GB"/>
        </w:rPr>
        <w:t>and Social Care</w:t>
      </w:r>
      <w:r w:rsidRPr="008452C8">
        <w:rPr>
          <w:rFonts w:ascii="Calibri" w:eastAsia="Times New Roman" w:hAnsi="Calibri" w:cs="Calibri"/>
          <w:color w:val="000000"/>
          <w:lang w:eastAsia="en-GB"/>
        </w:rPr>
        <w:t>.</w:t>
      </w:r>
      <w:r>
        <w:rPr>
          <w:rFonts w:ascii="Calibri" w:eastAsia="Times New Roman" w:hAnsi="Calibri" w:cs="Calibri"/>
          <w:color w:val="000000"/>
          <w:lang w:eastAsia="en-GB"/>
        </w:rPr>
        <w:t xml:space="preserve"> T</w:t>
      </w:r>
      <w:r w:rsidRPr="009715A9">
        <w:rPr>
          <w:rFonts w:ascii="Calibri" w:eastAsia="Times New Roman" w:hAnsi="Calibri" w:cs="Calibri"/>
          <w:color w:val="000000"/>
          <w:lang w:eastAsia="en-GB"/>
        </w:rPr>
        <w:t>he Parker Institute, Bispebjerg and Frederiksberg Hospital (RC) is</w:t>
      </w:r>
      <w:r>
        <w:rPr>
          <w:rFonts w:ascii="Calibri" w:eastAsia="Times New Roman" w:hAnsi="Calibri" w:cs="Calibri"/>
          <w:color w:val="000000"/>
          <w:lang w:eastAsia="en-GB"/>
        </w:rPr>
        <w:t xml:space="preserve"> </w:t>
      </w:r>
      <w:r w:rsidRPr="009715A9">
        <w:rPr>
          <w:rFonts w:ascii="Calibri" w:eastAsia="Times New Roman" w:hAnsi="Calibri" w:cs="Calibri"/>
          <w:color w:val="000000"/>
          <w:lang w:eastAsia="en-GB"/>
        </w:rPr>
        <w:t>supported by a core grant from the Oak Foundation (OCAY-13-309)</w:t>
      </w:r>
      <w:r>
        <w:rPr>
          <w:rFonts w:ascii="Calibri" w:eastAsia="Times New Roman" w:hAnsi="Calibri" w:cs="Calibri"/>
          <w:color w:val="000000"/>
          <w:lang w:eastAsia="en-GB"/>
        </w:rPr>
        <w:t>.</w:t>
      </w:r>
    </w:p>
    <w:p w:rsidR="00D40712" w:rsidRDefault="00D40712" w:rsidP="00D40712">
      <w:pPr>
        <w:pStyle w:val="NoSpacing"/>
        <w:rPr>
          <w:b/>
        </w:rPr>
      </w:pPr>
    </w:p>
    <w:p w:rsidR="00D40712" w:rsidRDefault="00D40712" w:rsidP="00D40712">
      <w:pPr>
        <w:pStyle w:val="NoSpacing"/>
      </w:pPr>
      <w:r w:rsidRPr="009411A1">
        <w:rPr>
          <w:b/>
        </w:rPr>
        <w:t>Conflicts of Interest:</w:t>
      </w:r>
      <w:r>
        <w:t xml:space="preserve"> No author declares a conflict of interest in relation to this paper.</w:t>
      </w:r>
    </w:p>
    <w:p w:rsidR="00D40712" w:rsidRDefault="00D40712" w:rsidP="00D40712">
      <w:pPr>
        <w:pStyle w:val="NoSpacing"/>
      </w:pPr>
    </w:p>
    <w:p w:rsidR="00D40712" w:rsidRDefault="00D40712" w:rsidP="00D40712">
      <w:pPr>
        <w:pStyle w:val="NoSpacing"/>
        <w:rPr>
          <w:b/>
        </w:rPr>
      </w:pPr>
    </w:p>
    <w:p w:rsidR="00D40712" w:rsidRDefault="00D40712" w:rsidP="00D40712">
      <w:pPr>
        <w:pStyle w:val="NoSpacing"/>
        <w:rPr>
          <w:rFonts w:cs="Arial"/>
          <w:color w:val="000000"/>
          <w:lang w:val="en-US"/>
        </w:rPr>
      </w:pPr>
      <w:r w:rsidRPr="009411A1">
        <w:rPr>
          <w:b/>
        </w:rPr>
        <w:t>Ethical approval:</w:t>
      </w:r>
      <w:r>
        <w:t xml:space="preserve"> No ethical approval was sought for this study design. </w:t>
      </w:r>
      <w:r w:rsidRPr="004D42AD">
        <w:rPr>
          <w:rFonts w:cs="Arial"/>
          <w:color w:val="000000"/>
          <w:lang w:val="en-US"/>
        </w:rPr>
        <w:t xml:space="preserve"> </w:t>
      </w:r>
    </w:p>
    <w:p w:rsidR="00D40712" w:rsidRDefault="00D40712" w:rsidP="00D40712">
      <w:pPr>
        <w:pStyle w:val="NoSpacing"/>
        <w:rPr>
          <w:rFonts w:cs="Arial"/>
          <w:color w:val="000000"/>
          <w:lang w:val="en-US"/>
        </w:rPr>
      </w:pPr>
    </w:p>
    <w:p w:rsidR="00D40712" w:rsidRPr="00E75319" w:rsidRDefault="00D40712" w:rsidP="00D40712">
      <w:r w:rsidRPr="00E75319">
        <w:br w:type="page"/>
      </w:r>
    </w:p>
    <w:p w:rsidR="00D40712" w:rsidRDefault="00D40712" w:rsidP="00D40712">
      <w:pPr>
        <w:rPr>
          <w:b/>
        </w:rPr>
      </w:pPr>
      <w:r w:rsidRPr="00271254">
        <w:rPr>
          <w:b/>
        </w:rPr>
        <w:lastRenderedPageBreak/>
        <w:t>REFERENCES</w:t>
      </w:r>
    </w:p>
    <w:p w:rsidR="00D40712" w:rsidRDefault="00D40712" w:rsidP="00B30227">
      <w:pPr>
        <w:pStyle w:val="NoSpacing"/>
        <w:numPr>
          <w:ilvl w:val="0"/>
          <w:numId w:val="2"/>
        </w:numPr>
        <w:jc w:val="both"/>
      </w:pPr>
      <w:r w:rsidRPr="00CD11CA">
        <w:t>Gargon E, Gurung B, Medley N, A</w:t>
      </w:r>
      <w:r w:rsidR="00D8350B">
        <w:t>ltman DG, Blazeby JM, Clarke M, et al</w:t>
      </w:r>
      <w:r w:rsidRPr="00CD11CA">
        <w:t xml:space="preserve">. Choosing important health outcomes for comparative effectiveness research: a systematic review. PLoS One 2014;9:e99111. </w:t>
      </w:r>
    </w:p>
    <w:p w:rsidR="00D8350B" w:rsidRDefault="00D8350B" w:rsidP="00D8350B">
      <w:pPr>
        <w:pStyle w:val="NoSpacing"/>
        <w:jc w:val="both"/>
      </w:pPr>
    </w:p>
    <w:p w:rsidR="00D8350B" w:rsidRPr="00D8350B" w:rsidRDefault="00D8350B" w:rsidP="00B30227">
      <w:pPr>
        <w:pStyle w:val="NoSpacing"/>
        <w:numPr>
          <w:ilvl w:val="0"/>
          <w:numId w:val="2"/>
        </w:numPr>
        <w:jc w:val="both"/>
      </w:pPr>
      <w:r w:rsidRPr="00D8350B">
        <w:rPr>
          <w:rFonts w:cs="Segoe UI"/>
          <w:color w:val="212121"/>
          <w:shd w:val="clear" w:color="auto" w:fill="FFFFFF"/>
        </w:rPr>
        <w:t>Boers M, Kirwan JR, Tugwell P, Beaton D, Bingham CO III, Conaghan PG, et al. The OMERACT Handbook. [Internet. Accessed May 17, 2017.] Available from: </w:t>
      </w:r>
      <w:r w:rsidRPr="00D8350B">
        <w:rPr>
          <w:rFonts w:cs="Segoe UI"/>
          <w:shd w:val="clear" w:color="auto" w:fill="FFFFFF"/>
        </w:rPr>
        <w:t>www.omeract.org/pdf/OMERACT_Handbook.pdf</w:t>
      </w:r>
    </w:p>
    <w:p w:rsidR="00B30227" w:rsidRPr="00B30227" w:rsidRDefault="00B30227" w:rsidP="00B30227">
      <w:pPr>
        <w:pStyle w:val="NoSpacing"/>
        <w:ind w:left="720"/>
        <w:jc w:val="both"/>
      </w:pPr>
    </w:p>
    <w:p w:rsidR="00D8350B" w:rsidRPr="00D8350B" w:rsidRDefault="00D8350B" w:rsidP="00B30227">
      <w:pPr>
        <w:pStyle w:val="NoSpacing"/>
        <w:numPr>
          <w:ilvl w:val="0"/>
          <w:numId w:val="2"/>
        </w:numPr>
        <w:jc w:val="both"/>
      </w:pPr>
      <w:r w:rsidRPr="00D8350B">
        <w:rPr>
          <w:rFonts w:cs="Segoe UI"/>
          <w:color w:val="212121"/>
          <w:shd w:val="clear" w:color="auto" w:fill="FFFFFF"/>
        </w:rPr>
        <w:t>Boers M, Kirwan JR, Wells G, Beaton D, Gossec L, d’Agostino MA, et al. Developing core outcome measurement sets for clinical trials: OMERACT filter 2.0. J Clin Epidemiol 2014;67:745-53.</w:t>
      </w:r>
    </w:p>
    <w:p w:rsidR="00D40712" w:rsidRPr="00D8350B" w:rsidRDefault="00D40712" w:rsidP="00D40712">
      <w:pPr>
        <w:pStyle w:val="NoSpacing"/>
        <w:jc w:val="both"/>
      </w:pPr>
    </w:p>
    <w:p w:rsidR="00D40712" w:rsidRPr="00CD11CA" w:rsidRDefault="00D40712" w:rsidP="00B30227">
      <w:pPr>
        <w:pStyle w:val="NoSpacing"/>
        <w:numPr>
          <w:ilvl w:val="0"/>
          <w:numId w:val="2"/>
        </w:numPr>
        <w:jc w:val="both"/>
      </w:pPr>
      <w:r w:rsidRPr="00CD11CA">
        <w:t xml:space="preserve">Bellamy N, Kirwan J, Boers M, Brooks P, Strand V, Tugwell P, </w:t>
      </w:r>
      <w:r w:rsidR="00D8350B">
        <w:t>et al</w:t>
      </w:r>
      <w:r w:rsidRPr="00CD11CA">
        <w:t xml:space="preserve">. Recommendations for a core set of outcome measures for future phase III clinical trials in knee, hip, and hand osteoarthritis. Consensus development at OMERACT III. </w:t>
      </w:r>
      <w:r w:rsidRPr="00CD11CA">
        <w:rPr>
          <w:rStyle w:val="jrnl"/>
        </w:rPr>
        <w:t>J Rheumatol</w:t>
      </w:r>
      <w:r w:rsidRPr="00CD11CA">
        <w:t xml:space="preserve"> 1997;24:799-802</w:t>
      </w:r>
      <w:r w:rsidR="00D8350B">
        <w:t>.</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 xml:space="preserve">Kirkham JJ, Clarke M, Williamson PR. A methodological approach for assessing the uptake of core outcome sets using ClinicalTrials.gov: findings from a review of randomised controlled trials of rheumatoid arthritis. BMJ 2017;357:j2262. </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 xml:space="preserve">Rohekar G, Pope J. Test-retest reliability of </w:t>
      </w:r>
      <w:r w:rsidRPr="00CD11CA">
        <w:rPr>
          <w:rStyle w:val="highlight2"/>
        </w:rPr>
        <w:t>patient global</w:t>
      </w:r>
      <w:r w:rsidRPr="00CD11CA">
        <w:t xml:space="preserve"> assessment and physician global assessment in rheumatoid arthritis. J Rheumatol 2009;36:2178-82.</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Bijlsma JWJ</w:t>
      </w:r>
      <w:r w:rsidR="00D8350B">
        <w:t>.</w:t>
      </w:r>
      <w:r w:rsidRPr="00CD11CA">
        <w:t xml:space="preserve"> Patient centred outcomes in osteoarthritis. Ann Rheumat Dis 2005;64:1-2. </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Kirkham JJ</w:t>
      </w:r>
      <w:r w:rsidR="00D8350B">
        <w:t>,</w:t>
      </w:r>
      <w:r w:rsidRPr="00CD11CA">
        <w:t xml:space="preserve"> Boers M, Tugwell P, Clarke M, Williamson PR. Outcome measures in rheumatoid arthritis randomised trials over the last 50 years. Trials 2013;14:324.</w:t>
      </w:r>
    </w:p>
    <w:p w:rsidR="00D40712" w:rsidRPr="00CD11CA" w:rsidRDefault="00D40712" w:rsidP="00D40712">
      <w:pPr>
        <w:pStyle w:val="NoSpacing"/>
        <w:jc w:val="both"/>
        <w:rPr>
          <w:rStyle w:val="authordegrees"/>
          <w:sz w:val="22"/>
          <w:szCs w:val="22"/>
        </w:rPr>
      </w:pPr>
    </w:p>
    <w:p w:rsidR="00D40712" w:rsidRPr="00CD11CA" w:rsidRDefault="00D40712" w:rsidP="00B30227">
      <w:pPr>
        <w:pStyle w:val="NoSpacing"/>
        <w:numPr>
          <w:ilvl w:val="0"/>
          <w:numId w:val="2"/>
        </w:numPr>
        <w:jc w:val="both"/>
        <w:rPr>
          <w:rStyle w:val="authordegrees"/>
          <w:sz w:val="22"/>
          <w:szCs w:val="22"/>
        </w:rPr>
      </w:pPr>
      <w:r w:rsidRPr="00CD11CA">
        <w:rPr>
          <w:rStyle w:val="authordegrees"/>
          <w:sz w:val="22"/>
          <w:szCs w:val="22"/>
        </w:rPr>
        <w:t xml:space="preserve">US Department of Health and Human Services. Food and Drug Administration: Guidance for Industry Clinical Development Programs for Drugs, Devices and Biological Products for the Treatment of Rheumatoid Arthritis (RA). </w:t>
      </w:r>
      <w:r w:rsidR="00D8350B">
        <w:rPr>
          <w:rStyle w:val="authordegrees"/>
          <w:sz w:val="22"/>
          <w:szCs w:val="22"/>
        </w:rPr>
        <w:t>[Internet. Accessed July 10, 2017.]</w:t>
      </w:r>
      <w:r w:rsidRPr="00CD11CA">
        <w:rPr>
          <w:rStyle w:val="authordegrees"/>
          <w:sz w:val="22"/>
          <w:szCs w:val="22"/>
        </w:rPr>
        <w:t xml:space="preserve"> Available </w:t>
      </w:r>
      <w:r w:rsidR="00D8350B">
        <w:rPr>
          <w:rStyle w:val="authordegrees"/>
          <w:sz w:val="22"/>
          <w:szCs w:val="22"/>
        </w:rPr>
        <w:t>from</w:t>
      </w:r>
      <w:r w:rsidRPr="00CD11CA">
        <w:rPr>
          <w:rStyle w:val="authordegrees"/>
          <w:sz w:val="22"/>
          <w:szCs w:val="22"/>
        </w:rPr>
        <w:t>: https://www.fda.gov/downloads/Drugs/Guidances/ucm071579.pdf</w:t>
      </w:r>
    </w:p>
    <w:p w:rsidR="00D40712" w:rsidRPr="00CD11CA" w:rsidRDefault="00D40712" w:rsidP="00D40712">
      <w:pPr>
        <w:pStyle w:val="NoSpacing"/>
        <w:jc w:val="both"/>
        <w:rPr>
          <w:rStyle w:val="authordegrees"/>
          <w:sz w:val="22"/>
          <w:szCs w:val="22"/>
        </w:rPr>
      </w:pPr>
    </w:p>
    <w:p w:rsidR="00D40712" w:rsidRPr="00CD11CA" w:rsidRDefault="00D40712" w:rsidP="00B30227">
      <w:pPr>
        <w:pStyle w:val="NoSpacing"/>
        <w:numPr>
          <w:ilvl w:val="0"/>
          <w:numId w:val="2"/>
        </w:numPr>
        <w:jc w:val="both"/>
      </w:pPr>
      <w:r w:rsidRPr="00CD11CA">
        <w:rPr>
          <w:rStyle w:val="authordegrees"/>
          <w:sz w:val="22"/>
          <w:szCs w:val="22"/>
        </w:rPr>
        <w:t xml:space="preserve">European Agency for the evaluation of medicinal products. Unit for the evaluation of medicinal products for human use: Guidelines on clinical investigation of medicinal products other than NSAIDS for treatment of rheumatoid arthritis. </w:t>
      </w:r>
      <w:r w:rsidR="00262DE1">
        <w:rPr>
          <w:rStyle w:val="authordegrees"/>
          <w:sz w:val="22"/>
          <w:szCs w:val="22"/>
        </w:rPr>
        <w:t xml:space="preserve">[Internet. Accessed July 20, 2017.] </w:t>
      </w:r>
      <w:r w:rsidRPr="00CD11CA">
        <w:rPr>
          <w:rStyle w:val="authordegrees"/>
          <w:sz w:val="22"/>
          <w:szCs w:val="22"/>
        </w:rPr>
        <w:t xml:space="preserve">Available </w:t>
      </w:r>
      <w:r w:rsidR="00262DE1">
        <w:rPr>
          <w:rStyle w:val="authordegrees"/>
          <w:sz w:val="22"/>
          <w:szCs w:val="22"/>
        </w:rPr>
        <w:t>from</w:t>
      </w:r>
      <w:r w:rsidRPr="00CD11CA">
        <w:rPr>
          <w:rStyle w:val="authordegrees"/>
          <w:sz w:val="22"/>
          <w:szCs w:val="22"/>
        </w:rPr>
        <w:t>: http://www.ema.europa.eu/docs/en_GB/document_library/Scientific_guideline/2015/06/WC500187583.pdf</w:t>
      </w:r>
      <w:r w:rsidRPr="00CD11CA">
        <w:t xml:space="preserve"> Accessed on: 01 December 2017.</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 xml:space="preserve">Food and Drug Administration. 1999. Guidance for industry. Clinical development programs for drugs, devices and biological products intended for the treatment of osteoarthritis (OA). </w:t>
      </w:r>
      <w:r w:rsidR="00262DE1">
        <w:t xml:space="preserve">[Internet. Accessed December 1, 2017.] </w:t>
      </w:r>
      <w:r w:rsidRPr="00CD11CA">
        <w:t xml:space="preserve">Available </w:t>
      </w:r>
      <w:r w:rsidR="00262DE1">
        <w:t>from</w:t>
      </w:r>
      <w:r w:rsidRPr="00CD11CA">
        <w:t>: https://www.fda.gov/downloads/drugs/guidancecomplianceregulatoryinformation/guidances/ucm071577.pdf.</w:t>
      </w:r>
    </w:p>
    <w:p w:rsidR="00D40712" w:rsidRPr="00CD11CA" w:rsidRDefault="00D40712" w:rsidP="00D40712">
      <w:pPr>
        <w:pStyle w:val="NoSpacing"/>
        <w:jc w:val="both"/>
      </w:pPr>
    </w:p>
    <w:p w:rsidR="00D40712" w:rsidRPr="00CD11CA" w:rsidRDefault="00D40712" w:rsidP="00B30227">
      <w:pPr>
        <w:pStyle w:val="NoSpacing"/>
        <w:numPr>
          <w:ilvl w:val="0"/>
          <w:numId w:val="2"/>
        </w:numPr>
        <w:jc w:val="both"/>
      </w:pPr>
      <w:r w:rsidRPr="00CD11CA">
        <w:t xml:space="preserve">Lane NE, Brandt K, Hawker G, Peeva E, Schreyer E, Tsuji W, </w:t>
      </w:r>
      <w:r w:rsidR="00262DE1">
        <w:t>et al</w:t>
      </w:r>
      <w:r w:rsidRPr="00CD11CA">
        <w:t xml:space="preserve">. </w:t>
      </w:r>
      <w:r w:rsidRPr="00CD11CA">
        <w:rPr>
          <w:rStyle w:val="highlight2"/>
        </w:rPr>
        <w:t>OARSI-FDA</w:t>
      </w:r>
      <w:r w:rsidRPr="00CD11CA">
        <w:t xml:space="preserve"> </w:t>
      </w:r>
      <w:r w:rsidRPr="00CD11CA">
        <w:rPr>
          <w:rStyle w:val="highlight2"/>
        </w:rPr>
        <w:t>initiative</w:t>
      </w:r>
      <w:r w:rsidRPr="00CD11CA">
        <w:t xml:space="preserve">: </w:t>
      </w:r>
      <w:r w:rsidRPr="00CD11CA">
        <w:rPr>
          <w:rStyle w:val="highlight2"/>
        </w:rPr>
        <w:t>defining</w:t>
      </w:r>
      <w:r w:rsidRPr="00CD11CA">
        <w:t xml:space="preserve"> the </w:t>
      </w:r>
      <w:r w:rsidRPr="00CD11CA">
        <w:rPr>
          <w:rStyle w:val="highlight2"/>
        </w:rPr>
        <w:t>disease</w:t>
      </w:r>
      <w:r w:rsidRPr="00CD11CA">
        <w:t xml:space="preserve"> </w:t>
      </w:r>
      <w:r w:rsidRPr="00CD11CA">
        <w:rPr>
          <w:rStyle w:val="highlight2"/>
        </w:rPr>
        <w:t>state</w:t>
      </w:r>
      <w:r w:rsidRPr="00CD11CA">
        <w:t xml:space="preserve"> of </w:t>
      </w:r>
      <w:r w:rsidRPr="00CD11CA">
        <w:rPr>
          <w:rStyle w:val="highlight2"/>
        </w:rPr>
        <w:t>osteoarthritis</w:t>
      </w:r>
      <w:r w:rsidRPr="00CD11CA">
        <w:t xml:space="preserve">. </w:t>
      </w:r>
      <w:r w:rsidRPr="00CD11CA">
        <w:rPr>
          <w:rStyle w:val="highlight2"/>
        </w:rPr>
        <w:t>Osteoarthritis</w:t>
      </w:r>
      <w:r w:rsidRPr="00CD11CA">
        <w:t xml:space="preserve"> Cartilage 2011;19:478-82. </w:t>
      </w:r>
    </w:p>
    <w:p w:rsidR="00D40712" w:rsidRPr="00CD11CA" w:rsidRDefault="00D40712" w:rsidP="00D40712">
      <w:pPr>
        <w:pStyle w:val="NoSpacing"/>
        <w:jc w:val="both"/>
      </w:pPr>
    </w:p>
    <w:p w:rsidR="00D40712" w:rsidRDefault="00D40712" w:rsidP="00B30227">
      <w:pPr>
        <w:pStyle w:val="NoSpacing"/>
        <w:numPr>
          <w:ilvl w:val="0"/>
          <w:numId w:val="2"/>
        </w:numPr>
        <w:jc w:val="both"/>
      </w:pPr>
      <w:r w:rsidRPr="00CD11CA">
        <w:lastRenderedPageBreak/>
        <w:t>European Medicines Agency. 2010. Guideline on clinical investigation of medicinal products used in the treatment of osteoarthritis.</w:t>
      </w:r>
      <w:r w:rsidR="00262DE1">
        <w:t xml:space="preserve"> [Internet. Accessed December 1, 2017.]</w:t>
      </w:r>
      <w:r w:rsidRPr="00CD11CA">
        <w:t xml:space="preserve"> Available </w:t>
      </w:r>
      <w:r w:rsidR="00262DE1">
        <w:t>from</w:t>
      </w:r>
      <w:r w:rsidRPr="00CD11CA">
        <w:t xml:space="preserve">: http://www.ema.europa.eu/docs/en_GB/document_library/Scientific_guideline/2009/09/WC500003440.pdf. </w:t>
      </w:r>
    </w:p>
    <w:p w:rsidR="00D40712" w:rsidRDefault="00D40712" w:rsidP="00D40712">
      <w:pPr>
        <w:pStyle w:val="NoSpacing"/>
        <w:jc w:val="both"/>
      </w:pPr>
    </w:p>
    <w:p w:rsidR="00D40712" w:rsidRDefault="00D40712" w:rsidP="00B30227">
      <w:pPr>
        <w:pStyle w:val="NoSpacing"/>
        <w:numPr>
          <w:ilvl w:val="0"/>
          <w:numId w:val="2"/>
        </w:numPr>
        <w:jc w:val="both"/>
      </w:pPr>
      <w:r w:rsidRPr="0030162C">
        <w:rPr>
          <w:color w:val="000000"/>
        </w:rPr>
        <w:t>Barnes KL, Kirkham JJ, Clarke M, Williamson PR. Citation analysis did not provide a reliable assessment of core outcome set uptake. J Clin Epidemiol 2017;</w:t>
      </w:r>
      <w:r w:rsidRPr="0030162C">
        <w:rPr>
          <w:rFonts w:cs="Arial"/>
          <w:color w:val="000000"/>
          <w:shd w:val="clear" w:color="auto" w:fill="FFFFFF"/>
        </w:rPr>
        <w:t>86:</w:t>
      </w:r>
      <w:r w:rsidR="00262DE1">
        <w:rPr>
          <w:rFonts w:cs="Arial"/>
          <w:color w:val="000000"/>
          <w:shd w:val="clear" w:color="auto" w:fill="FFFFFF"/>
        </w:rPr>
        <w:t>153–</w:t>
      </w:r>
      <w:r>
        <w:rPr>
          <w:rFonts w:cs="Arial"/>
          <w:color w:val="000000"/>
          <w:shd w:val="clear" w:color="auto" w:fill="FFFFFF"/>
        </w:rPr>
        <w:t>9.</w:t>
      </w:r>
      <w:r>
        <w:t xml:space="preserve"> </w:t>
      </w:r>
    </w:p>
    <w:p w:rsidR="00B21C88" w:rsidRDefault="00B21C88" w:rsidP="00B21C88">
      <w:pPr>
        <w:pStyle w:val="ListParagraph"/>
      </w:pPr>
    </w:p>
    <w:p w:rsidR="00B21C88" w:rsidRDefault="00B21C88">
      <w:pPr>
        <w:spacing w:after="0" w:line="240" w:lineRule="auto"/>
      </w:pPr>
      <w:r>
        <w:br w:type="page"/>
      </w:r>
    </w:p>
    <w:p w:rsidR="00B21C88" w:rsidRPr="00B21C88" w:rsidRDefault="00B21C88" w:rsidP="00B21C88">
      <w:r w:rsidRPr="00B21C88">
        <w:rPr>
          <w:noProof/>
          <w:lang w:eastAsia="en-GB"/>
        </w:rPr>
        <w:lastRenderedPageBreak/>
        <mc:AlternateContent>
          <mc:Choice Requires="wps">
            <w:drawing>
              <wp:anchor distT="45720" distB="45720" distL="114300" distR="114300" simplePos="0" relativeHeight="251662336" behindDoc="0" locked="0" layoutInCell="1" allowOverlap="1" wp14:anchorId="251F7DB1" wp14:editId="4425B06A">
                <wp:simplePos x="0" y="0"/>
                <wp:positionH relativeFrom="column">
                  <wp:posOffset>3133725</wp:posOffset>
                </wp:positionH>
                <wp:positionV relativeFrom="paragraph">
                  <wp:posOffset>2352675</wp:posOffset>
                </wp:positionV>
                <wp:extent cx="3060065" cy="3219450"/>
                <wp:effectExtent l="0" t="0" r="13335" b="317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3219450"/>
                        </a:xfrm>
                        <a:prstGeom prst="rect">
                          <a:avLst/>
                        </a:prstGeom>
                        <a:solidFill>
                          <a:srgbClr val="FFFFFF"/>
                        </a:solidFill>
                        <a:ln w="9525">
                          <a:solidFill>
                            <a:srgbClr val="000000"/>
                          </a:solidFill>
                          <a:miter lim="800000"/>
                          <a:headEnd/>
                          <a:tailEnd/>
                        </a:ln>
                      </wps:spPr>
                      <wps:txbx>
                        <w:txbxContent>
                          <w:p w:rsidR="00B21C88" w:rsidRPr="0030162C" w:rsidRDefault="00B21C88" w:rsidP="00B21C88">
                            <w:pPr>
                              <w:jc w:val="center"/>
                              <w:rPr>
                                <w:u w:val="single"/>
                              </w:rPr>
                            </w:pPr>
                            <w:r w:rsidRPr="0030162C">
                              <w:rPr>
                                <w:u w:val="single"/>
                              </w:rPr>
                              <w:t>Reasons for non-eligible</w:t>
                            </w:r>
                          </w:p>
                          <w:p w:rsidR="00B21C88" w:rsidRDefault="00B21C88" w:rsidP="00B21C88">
                            <w:pPr>
                              <w:pStyle w:val="NoSpacing"/>
                              <w:numPr>
                                <w:ilvl w:val="0"/>
                                <w:numId w:val="3"/>
                              </w:numPr>
                            </w:pPr>
                            <w:r>
                              <w:t>Joint replacement trials (N=211)</w:t>
                            </w:r>
                          </w:p>
                          <w:p w:rsidR="00B21C88" w:rsidRDefault="00B21C88" w:rsidP="00B21C88">
                            <w:pPr>
                              <w:pStyle w:val="NoSpacing"/>
                              <w:numPr>
                                <w:ilvl w:val="0"/>
                                <w:numId w:val="3"/>
                              </w:numPr>
                            </w:pPr>
                            <w:r>
                              <w:t>Cohorts with mixed pathologies (i.e. OA, RA, AS, LBP, chronic pain) (N=53)</w:t>
                            </w:r>
                          </w:p>
                          <w:p w:rsidR="00B21C88" w:rsidRDefault="00B21C88" w:rsidP="00B21C88">
                            <w:pPr>
                              <w:pStyle w:val="NoSpacing"/>
                              <w:numPr>
                                <w:ilvl w:val="0"/>
                                <w:numId w:val="3"/>
                              </w:numPr>
                            </w:pPr>
                            <w:r>
                              <w:t>Surgical trials (non-arthroplasty) (N=33)</w:t>
                            </w:r>
                          </w:p>
                          <w:p w:rsidR="00B21C88" w:rsidRDefault="00B21C88" w:rsidP="00B21C88">
                            <w:pPr>
                              <w:pStyle w:val="NoSpacing"/>
                              <w:numPr>
                                <w:ilvl w:val="0"/>
                                <w:numId w:val="3"/>
                              </w:numPr>
                            </w:pPr>
                            <w:r>
                              <w:t>Trials on Hand OA (N=24)</w:t>
                            </w:r>
                          </w:p>
                          <w:p w:rsidR="00B21C88" w:rsidRDefault="00B21C88" w:rsidP="00B21C88">
                            <w:pPr>
                              <w:pStyle w:val="NoSpacing"/>
                              <w:numPr>
                                <w:ilvl w:val="0"/>
                                <w:numId w:val="3"/>
                              </w:numPr>
                            </w:pPr>
                            <w:r>
                              <w:t>Location of OA not clearly documented (N=14)</w:t>
                            </w:r>
                          </w:p>
                          <w:p w:rsidR="00B21C88" w:rsidRDefault="00B21C88" w:rsidP="00B21C88">
                            <w:pPr>
                              <w:pStyle w:val="NoSpacing"/>
                              <w:numPr>
                                <w:ilvl w:val="0"/>
                                <w:numId w:val="3"/>
                              </w:numPr>
                            </w:pPr>
                            <w:r>
                              <w:t>Trials on Shoulder Pain (N=7)</w:t>
                            </w:r>
                          </w:p>
                          <w:p w:rsidR="00B21C88" w:rsidRDefault="00B21C88" w:rsidP="00B21C88">
                            <w:pPr>
                              <w:pStyle w:val="NoSpacing"/>
                              <w:numPr>
                                <w:ilvl w:val="0"/>
                                <w:numId w:val="3"/>
                              </w:numPr>
                            </w:pPr>
                            <w:r>
                              <w:t>Trials on Foot and Ankle OA (N=7)</w:t>
                            </w:r>
                          </w:p>
                          <w:p w:rsidR="00B21C88" w:rsidRDefault="00B21C88" w:rsidP="00B21C88">
                            <w:pPr>
                              <w:pStyle w:val="NoSpacing"/>
                              <w:numPr>
                                <w:ilvl w:val="0"/>
                                <w:numId w:val="3"/>
                              </w:numPr>
                            </w:pPr>
                            <w:r>
                              <w:t>Trials on spinal OA (N=5)</w:t>
                            </w:r>
                          </w:p>
                          <w:p w:rsidR="00B21C88" w:rsidRDefault="00B21C88" w:rsidP="00B21C88">
                            <w:pPr>
                              <w:pStyle w:val="NoSpacing"/>
                              <w:numPr>
                                <w:ilvl w:val="0"/>
                                <w:numId w:val="3"/>
                              </w:numPr>
                            </w:pPr>
                            <w:r>
                              <w:t>Not OA trials on full assessment (N=2)</w:t>
                            </w:r>
                          </w:p>
                          <w:p w:rsidR="00B21C88" w:rsidRDefault="00B21C88" w:rsidP="00B21C88">
                            <w:pPr>
                              <w:pStyle w:val="NoSpacing"/>
                              <w:numPr>
                                <w:ilvl w:val="0"/>
                                <w:numId w:val="3"/>
                              </w:numPr>
                            </w:pPr>
                            <w:r>
                              <w:t>Diagnostic study, not interventional (N=1)</w:t>
                            </w:r>
                          </w:p>
                          <w:p w:rsidR="00B21C88" w:rsidRDefault="00B21C88" w:rsidP="00B21C88">
                            <w:pPr>
                              <w:pStyle w:val="NoSpacing"/>
                              <w:numPr>
                                <w:ilvl w:val="0"/>
                                <w:numId w:val="3"/>
                              </w:numPr>
                            </w:pPr>
                            <w:r>
                              <w:t>Trials on TMJ pain (N=1)</w:t>
                            </w:r>
                          </w:p>
                          <w:p w:rsidR="00B21C88" w:rsidRDefault="00B21C88" w:rsidP="00B21C88">
                            <w:pPr>
                              <w:pStyle w:val="NoSpacing"/>
                              <w:numPr>
                                <w:ilvl w:val="0"/>
                                <w:numId w:val="3"/>
                              </w:numPr>
                            </w:pPr>
                            <w:r>
                              <w:t>Solely safety trial, no symptom assessment (N=1)</w:t>
                            </w:r>
                          </w:p>
                          <w:p w:rsidR="00B21C88" w:rsidRDefault="00B21C88" w:rsidP="00B21C88">
                            <w:pPr>
                              <w:pStyle w:val="NoSpacing"/>
                              <w:numPr>
                                <w:ilvl w:val="0"/>
                                <w:numId w:val="3"/>
                              </w:numPr>
                            </w:pPr>
                            <w:r>
                              <w:t>Cohort solely with RA (N=1)</w:t>
                            </w: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F7DB1" id="_x0000_t202" coordsize="21600,21600" o:spt="202" path="m,l,21600r21600,l21600,xe">
                <v:stroke joinstyle="miter"/>
                <v:path gradientshapeok="t" o:connecttype="rect"/>
              </v:shapetype>
              <v:shape id="Text Box 3" o:spid="_x0000_s1026" type="#_x0000_t202" style="position:absolute;margin-left:246.75pt;margin-top:185.25pt;width:240.95pt;height:2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">
                <v:textbox>
                  <w:txbxContent>
                    <w:p w:rsidR="00B21C88" w:rsidRPr="0030162C" w:rsidRDefault="00B21C88" w:rsidP="00B21C88">
                      <w:pPr>
                        <w:jc w:val="center"/>
                        <w:rPr>
                          <w:u w:val="single"/>
                        </w:rPr>
                      </w:pPr>
                      <w:r w:rsidRPr="0030162C">
                        <w:rPr>
                          <w:u w:val="single"/>
                        </w:rPr>
                        <w:t>Reasons for non-eligible</w:t>
                      </w:r>
                    </w:p>
                    <w:p w:rsidR="00B21C88" w:rsidRDefault="00B21C88" w:rsidP="00B21C88">
                      <w:pPr>
                        <w:pStyle w:val="NoSpacing"/>
                        <w:numPr>
                          <w:ilvl w:val="0"/>
                          <w:numId w:val="3"/>
                        </w:numPr>
                      </w:pPr>
                      <w:r>
                        <w:t>Joint replacement trials (N=211)</w:t>
                      </w:r>
                    </w:p>
                    <w:p w:rsidR="00B21C88" w:rsidRDefault="00B21C88" w:rsidP="00B21C88">
                      <w:pPr>
                        <w:pStyle w:val="NoSpacing"/>
                        <w:numPr>
                          <w:ilvl w:val="0"/>
                          <w:numId w:val="3"/>
                        </w:numPr>
                      </w:pPr>
                      <w:r>
                        <w:t>Cohorts with mixed pathologies (i.e. OA, RA, AS, LBP, chronic pain) (N=53)</w:t>
                      </w:r>
                    </w:p>
                    <w:p w:rsidR="00B21C88" w:rsidRDefault="00B21C88" w:rsidP="00B21C88">
                      <w:pPr>
                        <w:pStyle w:val="NoSpacing"/>
                        <w:numPr>
                          <w:ilvl w:val="0"/>
                          <w:numId w:val="3"/>
                        </w:numPr>
                      </w:pPr>
                      <w:r>
                        <w:t>Surgical trials (non-arthroplasty) (N=33)</w:t>
                      </w:r>
                    </w:p>
                    <w:p w:rsidR="00B21C88" w:rsidRDefault="00B21C88" w:rsidP="00B21C88">
                      <w:pPr>
                        <w:pStyle w:val="NoSpacing"/>
                        <w:numPr>
                          <w:ilvl w:val="0"/>
                          <w:numId w:val="3"/>
                        </w:numPr>
                      </w:pPr>
                      <w:r>
                        <w:t>Trials on Hand OA (N=24)</w:t>
                      </w:r>
                    </w:p>
                    <w:p w:rsidR="00B21C88" w:rsidRDefault="00B21C88" w:rsidP="00B21C88">
                      <w:pPr>
                        <w:pStyle w:val="NoSpacing"/>
                        <w:numPr>
                          <w:ilvl w:val="0"/>
                          <w:numId w:val="3"/>
                        </w:numPr>
                      </w:pPr>
                      <w:r>
                        <w:t>Location of OA not clearly documented (N=14)</w:t>
                      </w:r>
                    </w:p>
                    <w:p w:rsidR="00B21C88" w:rsidRDefault="00B21C88" w:rsidP="00B21C88">
                      <w:pPr>
                        <w:pStyle w:val="NoSpacing"/>
                        <w:numPr>
                          <w:ilvl w:val="0"/>
                          <w:numId w:val="3"/>
                        </w:numPr>
                      </w:pPr>
                      <w:r>
                        <w:t>Trials on Shoulder Pain (N=7)</w:t>
                      </w:r>
                    </w:p>
                    <w:p w:rsidR="00B21C88" w:rsidRDefault="00B21C88" w:rsidP="00B21C88">
                      <w:pPr>
                        <w:pStyle w:val="NoSpacing"/>
                        <w:numPr>
                          <w:ilvl w:val="0"/>
                          <w:numId w:val="3"/>
                        </w:numPr>
                      </w:pPr>
                      <w:r>
                        <w:t>Trials on Foot and Ankle OA (N=7)</w:t>
                      </w:r>
                    </w:p>
                    <w:p w:rsidR="00B21C88" w:rsidRDefault="00B21C88" w:rsidP="00B21C88">
                      <w:pPr>
                        <w:pStyle w:val="NoSpacing"/>
                        <w:numPr>
                          <w:ilvl w:val="0"/>
                          <w:numId w:val="3"/>
                        </w:numPr>
                      </w:pPr>
                      <w:r>
                        <w:t>Trials on spinal OA (N=5)</w:t>
                      </w:r>
                    </w:p>
                    <w:p w:rsidR="00B21C88" w:rsidRDefault="00B21C88" w:rsidP="00B21C88">
                      <w:pPr>
                        <w:pStyle w:val="NoSpacing"/>
                        <w:numPr>
                          <w:ilvl w:val="0"/>
                          <w:numId w:val="3"/>
                        </w:numPr>
                      </w:pPr>
                      <w:r>
                        <w:t>Not OA trials on full assessment (N=2)</w:t>
                      </w:r>
                    </w:p>
                    <w:p w:rsidR="00B21C88" w:rsidRDefault="00B21C88" w:rsidP="00B21C88">
                      <w:pPr>
                        <w:pStyle w:val="NoSpacing"/>
                        <w:numPr>
                          <w:ilvl w:val="0"/>
                          <w:numId w:val="3"/>
                        </w:numPr>
                      </w:pPr>
                      <w:r>
                        <w:t>Diagnostic study, not interventional (N=1)</w:t>
                      </w:r>
                    </w:p>
                    <w:p w:rsidR="00B21C88" w:rsidRDefault="00B21C88" w:rsidP="00B21C88">
                      <w:pPr>
                        <w:pStyle w:val="NoSpacing"/>
                        <w:numPr>
                          <w:ilvl w:val="0"/>
                          <w:numId w:val="3"/>
                        </w:numPr>
                      </w:pPr>
                      <w:r>
                        <w:t>Trials on TMJ pain (N=1)</w:t>
                      </w:r>
                    </w:p>
                    <w:p w:rsidR="00B21C88" w:rsidRDefault="00B21C88" w:rsidP="00B21C88">
                      <w:pPr>
                        <w:pStyle w:val="NoSpacing"/>
                        <w:numPr>
                          <w:ilvl w:val="0"/>
                          <w:numId w:val="3"/>
                        </w:numPr>
                      </w:pPr>
                      <w:r>
                        <w:t>Solely safety trial, no symptom assessment (N=1)</w:t>
                      </w:r>
                    </w:p>
                    <w:p w:rsidR="00B21C88" w:rsidRDefault="00B21C88" w:rsidP="00B21C88">
                      <w:pPr>
                        <w:pStyle w:val="NoSpacing"/>
                        <w:numPr>
                          <w:ilvl w:val="0"/>
                          <w:numId w:val="3"/>
                        </w:numPr>
                      </w:pPr>
                      <w:r>
                        <w:t>Cohort solely with RA (N=1)</w:t>
                      </w: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p w:rsidR="00B21C88" w:rsidRDefault="00B21C88" w:rsidP="00B21C88">
                      <w:pPr>
                        <w:jc w:val="center"/>
                      </w:pPr>
                    </w:p>
                  </w:txbxContent>
                </v:textbox>
                <w10:wrap type="square"/>
              </v:shape>
            </w:pict>
          </mc:Fallback>
        </mc:AlternateContent>
      </w:r>
      <w:r w:rsidRPr="00B21C88">
        <w:rPr>
          <w:noProof/>
          <w:lang w:eastAsia="en-GB"/>
        </w:rPr>
        <mc:AlternateContent>
          <mc:Choice Requires="wps">
            <w:drawing>
              <wp:anchor distT="4294967295" distB="4294967295" distL="114300" distR="114300" simplePos="0" relativeHeight="251673600" behindDoc="0" locked="0" layoutInCell="1" allowOverlap="1" wp14:anchorId="74EDA66D" wp14:editId="5C168E38">
                <wp:simplePos x="0" y="0"/>
                <wp:positionH relativeFrom="column">
                  <wp:posOffset>1485900</wp:posOffset>
                </wp:positionH>
                <wp:positionV relativeFrom="paragraph">
                  <wp:posOffset>2647949</wp:posOffset>
                </wp:positionV>
                <wp:extent cx="1647825" cy="0"/>
                <wp:effectExtent l="0" t="76200" r="53975" b="1016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5F0F423" id="_x0000_t32" coordsize="21600,21600" o:spt="32" o:oned="t" path="m,l21600,21600e" filled="f">
                <v:path arrowok="t" fillok="f" o:connecttype="none"/>
                <o:lock v:ext="edit" shapetype="t"/>
              </v:shapetype>
              <v:shape id="Straight Arrow Connector 21" o:spid="_x0000_s1026" type="#_x0000_t32" style="position:absolute;margin-left:117pt;margin-top:208.5pt;width:129.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" strokecolor="windowText" strokeweight="1.5pt">
                <v:stroke endarrow="block" joinstyle="miter"/>
                <o:lock v:ext="edit" shapetype="f"/>
              </v:shape>
            </w:pict>
          </mc:Fallback>
        </mc:AlternateContent>
      </w:r>
      <w:r w:rsidRPr="00B21C88">
        <w:rPr>
          <w:noProof/>
          <w:lang w:eastAsia="en-GB"/>
        </w:rPr>
        <mc:AlternateContent>
          <mc:Choice Requires="wps">
            <w:drawing>
              <wp:anchor distT="4294967295" distB="4294967295" distL="114300" distR="114300" simplePos="0" relativeHeight="251672576" behindDoc="0" locked="0" layoutInCell="1" allowOverlap="1" wp14:anchorId="685AE677" wp14:editId="02484132">
                <wp:simplePos x="0" y="0"/>
                <wp:positionH relativeFrom="column">
                  <wp:posOffset>1457325</wp:posOffset>
                </wp:positionH>
                <wp:positionV relativeFrom="paragraph">
                  <wp:posOffset>1400174</wp:posOffset>
                </wp:positionV>
                <wp:extent cx="1647825" cy="0"/>
                <wp:effectExtent l="0" t="76200" r="53975" b="1016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73A667" id="Straight Arrow Connector 20" o:spid="_x0000_s1026" type="#_x0000_t32" style="position:absolute;margin-left:114.75pt;margin-top:110.25pt;width:129.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299" distR="114299" simplePos="0" relativeHeight="251665408" behindDoc="0" locked="0" layoutInCell="1" allowOverlap="1" wp14:anchorId="28F9C61A" wp14:editId="11318A00">
                <wp:simplePos x="0" y="0"/>
                <wp:positionH relativeFrom="column">
                  <wp:posOffset>1457324</wp:posOffset>
                </wp:positionH>
                <wp:positionV relativeFrom="paragraph">
                  <wp:posOffset>1181100</wp:posOffset>
                </wp:positionV>
                <wp:extent cx="0" cy="495300"/>
                <wp:effectExtent l="50800" t="0" r="76200" b="635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6BFDCE" id="Straight Arrow Connector 9" o:spid="_x0000_s1026" type="#_x0000_t32" style="position:absolute;margin-left:114.75pt;margin-top:93pt;width:0;height:3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299" distR="114299" simplePos="0" relativeHeight="251671552" behindDoc="0" locked="0" layoutInCell="1" allowOverlap="1" wp14:anchorId="3487CF1C" wp14:editId="592125FC">
                <wp:simplePos x="0" y="0"/>
                <wp:positionH relativeFrom="column">
                  <wp:posOffset>1476374</wp:posOffset>
                </wp:positionH>
                <wp:positionV relativeFrom="paragraph">
                  <wp:posOffset>6089650</wp:posOffset>
                </wp:positionV>
                <wp:extent cx="0" cy="244475"/>
                <wp:effectExtent l="50800" t="0" r="76200" b="857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900B5E" id="Straight Arrow Connector 19" o:spid="_x0000_s1026" type="#_x0000_t32" style="position:absolute;margin-left:116.25pt;margin-top:479.5pt;width:0;height:19.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299" distR="114299" simplePos="0" relativeHeight="251666432" behindDoc="0" locked="0" layoutInCell="1" allowOverlap="1" wp14:anchorId="67BB12F4" wp14:editId="0ED315C0">
                <wp:simplePos x="0" y="0"/>
                <wp:positionH relativeFrom="column">
                  <wp:posOffset>1485899</wp:posOffset>
                </wp:positionH>
                <wp:positionV relativeFrom="paragraph">
                  <wp:posOffset>2288540</wp:posOffset>
                </wp:positionV>
                <wp:extent cx="0" cy="3350260"/>
                <wp:effectExtent l="50800" t="0" r="76200" b="787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5026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A4F4E9" id="Straight Arrow Connector 11" o:spid="_x0000_s1026" type="#_x0000_t32" style="position:absolute;margin-left:117pt;margin-top:180.2pt;width:0;height:263.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300" distR="114300" simplePos="0" relativeHeight="251668480" behindDoc="0" locked="0" layoutInCell="1" allowOverlap="1" wp14:anchorId="52F62AEF" wp14:editId="48D9F7E7">
                <wp:simplePos x="0" y="0"/>
                <wp:positionH relativeFrom="column">
                  <wp:posOffset>1057275</wp:posOffset>
                </wp:positionH>
                <wp:positionV relativeFrom="paragraph">
                  <wp:posOffset>6334125</wp:posOffset>
                </wp:positionV>
                <wp:extent cx="9525" cy="152400"/>
                <wp:effectExtent l="50800" t="0" r="92075" b="762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1B448A" id="Straight Arrow Connector 13" o:spid="_x0000_s1026" type="#_x0000_t32" style="position:absolute;margin-left:83.25pt;margin-top:498.75pt;width:.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300" distR="114300" simplePos="0" relativeHeight="251669504" behindDoc="0" locked="0" layoutInCell="1" allowOverlap="1" wp14:anchorId="6D083407" wp14:editId="6EC0EBF3">
                <wp:simplePos x="0" y="0"/>
                <wp:positionH relativeFrom="column">
                  <wp:posOffset>3200400</wp:posOffset>
                </wp:positionH>
                <wp:positionV relativeFrom="paragraph">
                  <wp:posOffset>6343650</wp:posOffset>
                </wp:positionV>
                <wp:extent cx="9525" cy="152400"/>
                <wp:effectExtent l="50800" t="0" r="92075" b="762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581160" id="Straight Arrow Connector 16" o:spid="_x0000_s1026" type="#_x0000_t32" style="position:absolute;margin-left:252pt;margin-top:499.5pt;width:.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" strokecolor="windowText" strokeweight="1.5pt">
                <v:stroke endarrow="block" joinstyle="miter"/>
                <o:lock v:ext="edit" shapetype="f"/>
              </v:shape>
            </w:pict>
          </mc:Fallback>
        </mc:AlternateContent>
      </w:r>
      <w:r w:rsidRPr="00B21C88">
        <w:rPr>
          <w:noProof/>
          <w:lang w:eastAsia="en-GB"/>
        </w:rPr>
        <mc:AlternateContent>
          <mc:Choice Requires="wps">
            <w:drawing>
              <wp:anchor distT="0" distB="0" distL="114300" distR="114300" simplePos="0" relativeHeight="251667456" behindDoc="0" locked="0" layoutInCell="1" allowOverlap="1" wp14:anchorId="7A28A968" wp14:editId="04F7FCC9">
                <wp:simplePos x="0" y="0"/>
                <wp:positionH relativeFrom="column">
                  <wp:posOffset>1047750</wp:posOffset>
                </wp:positionH>
                <wp:positionV relativeFrom="paragraph">
                  <wp:posOffset>6324600</wp:posOffset>
                </wp:positionV>
                <wp:extent cx="4257675" cy="9525"/>
                <wp:effectExtent l="0" t="0" r="34925" b="412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7675" cy="95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660FD6"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498pt" to="417.75pt,4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" strokecolor="windowText" strokeweight="1.5pt">
                <v:stroke joinstyle="miter"/>
                <o:lock v:ext="edit" shapetype="f"/>
              </v:line>
            </w:pict>
          </mc:Fallback>
        </mc:AlternateContent>
      </w:r>
      <w:r w:rsidRPr="00B21C88">
        <w:rPr>
          <w:noProof/>
          <w:lang w:eastAsia="en-GB"/>
        </w:rPr>
        <mc:AlternateContent>
          <mc:Choice Requires="wps">
            <w:drawing>
              <wp:anchor distT="45720" distB="45720" distL="114300" distR="114300" simplePos="0" relativeHeight="251663360" behindDoc="0" locked="0" layoutInCell="1" allowOverlap="1" wp14:anchorId="38A96431" wp14:editId="557575FB">
                <wp:simplePos x="0" y="0"/>
                <wp:positionH relativeFrom="margin">
                  <wp:align>left</wp:align>
                </wp:positionH>
                <wp:positionV relativeFrom="paragraph">
                  <wp:posOffset>5648325</wp:posOffset>
                </wp:positionV>
                <wp:extent cx="2952750" cy="441325"/>
                <wp:effectExtent l="0" t="0" r="1905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41325"/>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Eligible trial registrations</w:t>
                            </w:r>
                          </w:p>
                          <w:p w:rsidR="00B21C88" w:rsidRDefault="00B21C88" w:rsidP="00B21C88">
                            <w:pPr>
                              <w:pStyle w:val="NoSpacing"/>
                              <w:jc w:val="center"/>
                            </w:pPr>
                            <w:r>
                              <w:t>(N=382)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96431" id="Text Box 2" o:spid="_x0000_s1027" type="#_x0000_t202" style="position:absolute;margin-left:0;margin-top:444.75pt;width:232.5pt;height:34.7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">
                <v:textbox style="mso-fit-shape-to-text:t">
                  <w:txbxContent>
                    <w:p w:rsidR="00B21C88" w:rsidRDefault="00B21C88" w:rsidP="00B21C88">
                      <w:pPr>
                        <w:pStyle w:val="NoSpacing"/>
                        <w:jc w:val="center"/>
                      </w:pPr>
                      <w:r>
                        <w:t>Eligible trial registrations</w:t>
                      </w:r>
                    </w:p>
                    <w:p w:rsidR="00B21C88" w:rsidRDefault="00B21C88" w:rsidP="00B21C88">
                      <w:pPr>
                        <w:pStyle w:val="NoSpacing"/>
                        <w:jc w:val="center"/>
                      </w:pPr>
                      <w:r>
                        <w:t>(N=382)</w:t>
                      </w:r>
                    </w:p>
                  </w:txbxContent>
                </v:textbox>
                <w10:wrap type="square" anchorx="margin"/>
              </v:shape>
            </w:pict>
          </mc:Fallback>
        </mc:AlternateContent>
      </w:r>
      <w:r w:rsidRPr="00B21C88">
        <w:rPr>
          <w:noProof/>
          <w:lang w:eastAsia="en-GB"/>
        </w:rPr>
        <mc:AlternateContent>
          <mc:Choice Requires="wps">
            <w:drawing>
              <wp:anchor distT="45720" distB="45720" distL="114300" distR="114300" simplePos="0" relativeHeight="251660288" behindDoc="0" locked="0" layoutInCell="1" allowOverlap="1" wp14:anchorId="163BF148" wp14:editId="14A41B7E">
                <wp:simplePos x="0" y="0"/>
                <wp:positionH relativeFrom="margin">
                  <wp:align>left</wp:align>
                </wp:positionH>
                <wp:positionV relativeFrom="paragraph">
                  <wp:posOffset>1676400</wp:posOffset>
                </wp:positionV>
                <wp:extent cx="2924175" cy="612140"/>
                <wp:effectExtent l="0" t="0" r="2222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12140"/>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 xml:space="preserve">All registrations relating to Phase 3 or 4 osteoarthritis intervention trials </w:t>
                            </w:r>
                          </w:p>
                          <w:p w:rsidR="00B21C88" w:rsidRDefault="00B21C88" w:rsidP="00B21C88">
                            <w:pPr>
                              <w:pStyle w:val="NoSpacing"/>
                              <w:jc w:val="center"/>
                            </w:pPr>
                            <w:r>
                              <w:t>(N=742)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3BF148" id="_x0000_s1028" type="#_x0000_t202" style="position:absolute;margin-left:0;margin-top:132pt;width:230.25pt;height:48.2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">
                <v:textbox style="mso-fit-shape-to-text:t">
                  <w:txbxContent>
                    <w:p w:rsidR="00B21C88" w:rsidRDefault="00B21C88" w:rsidP="00B21C88">
                      <w:pPr>
                        <w:pStyle w:val="NoSpacing"/>
                        <w:jc w:val="center"/>
                      </w:pPr>
                      <w:r>
                        <w:t xml:space="preserve">All registrations relating to Phase 3 or 4 osteoarthritis intervention trials </w:t>
                      </w:r>
                    </w:p>
                    <w:p w:rsidR="00B21C88" w:rsidRDefault="00B21C88" w:rsidP="00B21C88">
                      <w:pPr>
                        <w:pStyle w:val="NoSpacing"/>
                        <w:jc w:val="center"/>
                      </w:pPr>
                      <w:r>
                        <w:t>(N=742)</w:t>
                      </w:r>
                    </w:p>
                  </w:txbxContent>
                </v:textbox>
                <w10:wrap type="square" anchorx="margin"/>
              </v:shape>
            </w:pict>
          </mc:Fallback>
        </mc:AlternateContent>
      </w:r>
      <w:r w:rsidRPr="00B21C88">
        <w:rPr>
          <w:noProof/>
          <w:lang w:eastAsia="en-GB"/>
        </w:rPr>
        <mc:AlternateContent>
          <mc:Choice Requires="wps">
            <w:drawing>
              <wp:anchor distT="45720" distB="45720" distL="114300" distR="114300" simplePos="0" relativeHeight="251661312" behindDoc="0" locked="0" layoutInCell="1" allowOverlap="1" wp14:anchorId="76BF7D6C" wp14:editId="2B3B9178">
                <wp:simplePos x="0" y="0"/>
                <wp:positionH relativeFrom="column">
                  <wp:posOffset>3095625</wp:posOffset>
                </wp:positionH>
                <wp:positionV relativeFrom="paragraph">
                  <wp:posOffset>1190625</wp:posOffset>
                </wp:positionV>
                <wp:extent cx="3069590" cy="476250"/>
                <wp:effectExtent l="0" t="0" r="29210" b="317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476250"/>
                        </a:xfrm>
                        <a:prstGeom prst="rect">
                          <a:avLst/>
                        </a:prstGeom>
                        <a:solidFill>
                          <a:srgbClr val="FFFFFF"/>
                        </a:solidFill>
                        <a:ln w="9525">
                          <a:solidFill>
                            <a:srgbClr val="000000"/>
                          </a:solidFill>
                          <a:miter lim="800000"/>
                          <a:headEnd/>
                          <a:tailEnd/>
                        </a:ln>
                      </wps:spPr>
                      <wps:txbx>
                        <w:txbxContent>
                          <w:p w:rsidR="00B21C88" w:rsidRDefault="00B21C88" w:rsidP="00B21C88">
                            <w:pPr>
                              <w:jc w:val="center"/>
                            </w:pPr>
                            <w:r>
                              <w:t>Non-potentially eligible registrations (N=248,706)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F7D6C" id="_x0000_s1029" type="#_x0000_t202" style="position:absolute;margin-left:243.75pt;margin-top:93.75pt;width:241.7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">
                <v:textbox>
                  <w:txbxContent>
                    <w:p w:rsidR="00B21C88" w:rsidRDefault="00B21C88" w:rsidP="00B21C88">
                      <w:pPr>
                        <w:jc w:val="center"/>
                      </w:pPr>
                      <w:r>
                        <w:t>Non-potentially eligible registrations (N=248,706)</w:t>
                      </w:r>
                    </w:p>
                  </w:txbxContent>
                </v:textbox>
                <w10:wrap type="square"/>
              </v:shape>
            </w:pict>
          </mc:Fallback>
        </mc:AlternateContent>
      </w:r>
      <w:r w:rsidRPr="00B21C88">
        <w:rPr>
          <w:noProof/>
          <w:lang w:eastAsia="en-GB"/>
        </w:rPr>
        <mc:AlternateContent>
          <mc:Choice Requires="wps">
            <w:drawing>
              <wp:anchor distT="45720" distB="45720" distL="114300" distR="114300" simplePos="0" relativeHeight="251659264" behindDoc="0" locked="0" layoutInCell="1" allowOverlap="1" wp14:anchorId="27487E8A" wp14:editId="232B34B9">
                <wp:simplePos x="0" y="0"/>
                <wp:positionH relativeFrom="margin">
                  <wp:align>left</wp:align>
                </wp:positionH>
                <wp:positionV relativeFrom="paragraph">
                  <wp:posOffset>552450</wp:posOffset>
                </wp:positionV>
                <wp:extent cx="2895600" cy="61214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12140"/>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All registrations in ClinicalTrials.gov on point of assessment</w:t>
                            </w:r>
                          </w:p>
                          <w:p w:rsidR="00B21C88" w:rsidRDefault="00B21C88" w:rsidP="00B21C88">
                            <w:pPr>
                              <w:pStyle w:val="NoSpacing"/>
                              <w:jc w:val="center"/>
                            </w:pPr>
                            <w:r>
                              <w:t>(N=249,448)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87E8A" id="_x0000_s1030" type="#_x0000_t202" style="position:absolute;margin-left:0;margin-top:43.5pt;width:228pt;height:48.2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">
                <v:textbox style="mso-fit-shape-to-text:t">
                  <w:txbxContent>
                    <w:p w:rsidR="00B21C88" w:rsidRDefault="00B21C88" w:rsidP="00B21C88">
                      <w:pPr>
                        <w:pStyle w:val="NoSpacing"/>
                        <w:jc w:val="center"/>
                      </w:pPr>
                      <w:r>
                        <w:t>All registrations in ClinicalTrials.gov on point of assessment</w:t>
                      </w:r>
                    </w:p>
                    <w:p w:rsidR="00B21C88" w:rsidRDefault="00B21C88" w:rsidP="00B21C88">
                      <w:pPr>
                        <w:pStyle w:val="NoSpacing"/>
                        <w:jc w:val="center"/>
                      </w:pPr>
                      <w:r>
                        <w:t>(N=249,448)</w:t>
                      </w:r>
                    </w:p>
                  </w:txbxContent>
                </v:textbox>
                <w10:wrap type="square" anchorx="margin"/>
              </v:shape>
            </w:pict>
          </mc:Fallback>
        </mc:AlternateContent>
      </w:r>
      <w:r w:rsidRPr="00B21C88">
        <w:rPr>
          <w:b/>
        </w:rPr>
        <w:t>Figure 1:</w:t>
      </w:r>
      <w:r w:rsidRPr="00B21C88">
        <w:t xml:space="preserve"> Flow-chart of identification of trial registrations from ClinicalTrial.gov database</w:t>
      </w:r>
    </w:p>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p w:rsidR="00B21C88" w:rsidRPr="00B21C88" w:rsidRDefault="00B21C88" w:rsidP="00B21C88">
      <w:r w:rsidRPr="00B21C88">
        <w:rPr>
          <w:noProof/>
          <w:lang w:eastAsia="en-GB"/>
        </w:rPr>
        <mc:AlternateContent>
          <mc:Choice Requires="wps">
            <w:drawing>
              <wp:anchor distT="0" distB="0" distL="114300" distR="114300" simplePos="0" relativeHeight="251670528" behindDoc="0" locked="0" layoutInCell="1" allowOverlap="1" wp14:anchorId="4B9266B6" wp14:editId="4A7B3539">
                <wp:simplePos x="0" y="0"/>
                <wp:positionH relativeFrom="column">
                  <wp:posOffset>5299075</wp:posOffset>
                </wp:positionH>
                <wp:positionV relativeFrom="paragraph">
                  <wp:posOffset>113030</wp:posOffset>
                </wp:positionV>
                <wp:extent cx="9525" cy="152400"/>
                <wp:effectExtent l="76200" t="0" r="66675"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24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611CAC" id="Straight Arrow Connector 18" o:spid="_x0000_s1026" type="#_x0000_t32" style="position:absolute;margin-left:417.25pt;margin-top:8.9pt;width:.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" strokecolor="windowText" strokeweight="1.5pt">
                <v:stroke endarrow="block" joinstyle="miter"/>
                <o:lock v:ext="edit" shapetype="f"/>
              </v:shape>
            </w:pict>
          </mc:Fallback>
        </mc:AlternateContent>
      </w:r>
      <w:r w:rsidRPr="00B21C88">
        <w:rPr>
          <w:noProof/>
          <w:lang w:eastAsia="en-GB"/>
        </w:rPr>
        <mc:AlternateContent>
          <mc:Choice Requires="wps">
            <w:drawing>
              <wp:anchor distT="45720" distB="45720" distL="114300" distR="114300" simplePos="0" relativeHeight="251674624" behindDoc="0" locked="0" layoutInCell="1" allowOverlap="1" wp14:anchorId="73B5B521" wp14:editId="1CF2A2A2">
                <wp:simplePos x="0" y="0"/>
                <wp:positionH relativeFrom="margin">
                  <wp:posOffset>0</wp:posOffset>
                </wp:positionH>
                <wp:positionV relativeFrom="paragraph">
                  <wp:posOffset>276860</wp:posOffset>
                </wp:positionV>
                <wp:extent cx="2028825" cy="704850"/>
                <wp:effectExtent l="0" t="0" r="28575" b="317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04850"/>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Trial completed or terminated</w:t>
                            </w:r>
                          </w:p>
                          <w:p w:rsidR="00B21C88" w:rsidRDefault="00B21C88" w:rsidP="00B21C88">
                            <w:pPr>
                              <w:pStyle w:val="NoSpacing"/>
                              <w:jc w:val="center"/>
                            </w:pPr>
                            <w:r>
                              <w:t>(N=276)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5B521" id="_x0000_s1031" type="#_x0000_t202" style="position:absolute;margin-left:0;margin-top:21.8pt;width:159.75pt;height:5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">
                <v:textbox>
                  <w:txbxContent>
                    <w:p w:rsidR="00B21C88" w:rsidRDefault="00B21C88" w:rsidP="00B21C88">
                      <w:pPr>
                        <w:pStyle w:val="NoSpacing"/>
                        <w:jc w:val="center"/>
                      </w:pPr>
                      <w:r>
                        <w:t>Trial completed or terminated</w:t>
                      </w:r>
                    </w:p>
                    <w:p w:rsidR="00B21C88" w:rsidRDefault="00B21C88" w:rsidP="00B21C88">
                      <w:pPr>
                        <w:pStyle w:val="NoSpacing"/>
                        <w:jc w:val="center"/>
                      </w:pPr>
                      <w:r>
                        <w:t>(N=276)</w:t>
                      </w:r>
                    </w:p>
                  </w:txbxContent>
                </v:textbox>
                <w10:wrap type="square" anchorx="margin"/>
              </v:shape>
            </w:pict>
          </mc:Fallback>
        </mc:AlternateContent>
      </w:r>
      <w:r w:rsidRPr="00B21C88">
        <w:rPr>
          <w:noProof/>
          <w:lang w:eastAsia="en-GB"/>
        </w:rPr>
        <mc:AlternateContent>
          <mc:Choice Requires="wps">
            <w:drawing>
              <wp:anchor distT="45720" distB="45720" distL="114300" distR="114300" simplePos="0" relativeHeight="251664384" behindDoc="0" locked="0" layoutInCell="1" allowOverlap="1" wp14:anchorId="2355ED35" wp14:editId="3279C141">
                <wp:simplePos x="0" y="0"/>
                <wp:positionH relativeFrom="margin">
                  <wp:posOffset>2266315</wp:posOffset>
                </wp:positionH>
                <wp:positionV relativeFrom="paragraph">
                  <wp:posOffset>276860</wp:posOffset>
                </wp:positionV>
                <wp:extent cx="1866900" cy="704850"/>
                <wp:effectExtent l="0" t="0" r="38100" b="317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04850"/>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Trial ongoing, suspended or withdrawn</w:t>
                            </w:r>
                          </w:p>
                          <w:p w:rsidR="00B21C88" w:rsidRDefault="00B21C88" w:rsidP="00B21C88">
                            <w:pPr>
                              <w:pStyle w:val="NoSpacing"/>
                              <w:jc w:val="center"/>
                            </w:pPr>
                            <w:r>
                              <w:t>(N=69)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5ED35" id="_x0000_s1032" type="#_x0000_t202" style="position:absolute;margin-left:178.45pt;margin-top:21.8pt;width:147pt;height: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">
                <v:textbox>
                  <w:txbxContent>
                    <w:p w:rsidR="00B21C88" w:rsidRDefault="00B21C88" w:rsidP="00B21C88">
                      <w:pPr>
                        <w:pStyle w:val="NoSpacing"/>
                        <w:jc w:val="center"/>
                      </w:pPr>
                      <w:r>
                        <w:t>Trial ongoing, suspended or withdrawn</w:t>
                      </w:r>
                    </w:p>
                    <w:p w:rsidR="00B21C88" w:rsidRDefault="00B21C88" w:rsidP="00B21C88">
                      <w:pPr>
                        <w:pStyle w:val="NoSpacing"/>
                        <w:jc w:val="center"/>
                      </w:pPr>
                      <w:r>
                        <w:t>(N=69)</w:t>
                      </w:r>
                    </w:p>
                  </w:txbxContent>
                </v:textbox>
                <w10:wrap type="square" anchorx="margin"/>
              </v:shape>
            </w:pict>
          </mc:Fallback>
        </mc:AlternateContent>
      </w:r>
      <w:r w:rsidRPr="00B21C88">
        <w:rPr>
          <w:noProof/>
          <w:lang w:eastAsia="en-GB"/>
        </w:rPr>
        <mc:AlternateContent>
          <mc:Choice Requires="wps">
            <w:drawing>
              <wp:anchor distT="45720" distB="45720" distL="114300" distR="114300" simplePos="0" relativeHeight="251675648" behindDoc="0" locked="0" layoutInCell="1" allowOverlap="1" wp14:anchorId="03F79A88" wp14:editId="4CF0048F">
                <wp:simplePos x="0" y="0"/>
                <wp:positionH relativeFrom="margin">
                  <wp:posOffset>4377055</wp:posOffset>
                </wp:positionH>
                <wp:positionV relativeFrom="paragraph">
                  <wp:posOffset>276860</wp:posOffset>
                </wp:positionV>
                <wp:extent cx="1857375" cy="704850"/>
                <wp:effectExtent l="0" t="0" r="22225" b="317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04850"/>
                        </a:xfrm>
                        <a:prstGeom prst="rect">
                          <a:avLst/>
                        </a:prstGeom>
                        <a:solidFill>
                          <a:srgbClr val="FFFFFF"/>
                        </a:solidFill>
                        <a:ln w="9525">
                          <a:solidFill>
                            <a:srgbClr val="000000"/>
                          </a:solidFill>
                          <a:miter lim="800000"/>
                          <a:headEnd/>
                          <a:tailEnd/>
                        </a:ln>
                      </wps:spPr>
                      <wps:txbx>
                        <w:txbxContent>
                          <w:p w:rsidR="00B21C88" w:rsidRDefault="00B21C88" w:rsidP="00B21C88">
                            <w:pPr>
                              <w:pStyle w:val="NoSpacing"/>
                              <w:jc w:val="center"/>
                            </w:pPr>
                            <w:r>
                              <w:t>Trial of unknown status</w:t>
                            </w:r>
                          </w:p>
                          <w:p w:rsidR="00B21C88" w:rsidRDefault="00B21C88" w:rsidP="00B21C88">
                            <w:pPr>
                              <w:pStyle w:val="NoSpacing"/>
                              <w:jc w:val="center"/>
                            </w:pPr>
                            <w:r>
                              <w:t>(N=37)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79A88" id="_x0000_s1033" type="#_x0000_t202" style="position:absolute;margin-left:344.65pt;margin-top:21.8pt;width:146.25pt;height:5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">
                <v:textbox>
                  <w:txbxContent>
                    <w:p w:rsidR="00B21C88" w:rsidRDefault="00B21C88" w:rsidP="00B21C88">
                      <w:pPr>
                        <w:pStyle w:val="NoSpacing"/>
                        <w:jc w:val="center"/>
                      </w:pPr>
                      <w:r>
                        <w:t>Trial of unknown status</w:t>
                      </w:r>
                    </w:p>
                    <w:p w:rsidR="00B21C88" w:rsidRDefault="00B21C88" w:rsidP="00B21C88">
                      <w:pPr>
                        <w:pStyle w:val="NoSpacing"/>
                        <w:jc w:val="center"/>
                      </w:pPr>
                      <w:r>
                        <w:t>(N=37)</w:t>
                      </w:r>
                    </w:p>
                  </w:txbxContent>
                </v:textbox>
                <w10:wrap type="square" anchorx="margin"/>
              </v:shape>
            </w:pict>
          </mc:Fallback>
        </mc:AlternateContent>
      </w:r>
    </w:p>
    <w:p w:rsidR="00B21C88" w:rsidRPr="00B21C88" w:rsidRDefault="00B21C88" w:rsidP="00B21C88"/>
    <w:p w:rsidR="00B21C88" w:rsidRPr="00B21C88" w:rsidRDefault="00B21C88" w:rsidP="00B21C88"/>
    <w:p w:rsidR="00B21C88" w:rsidRPr="00B21C88" w:rsidRDefault="00B21C88" w:rsidP="00B21C88">
      <w:pPr>
        <w:spacing w:after="0" w:line="240" w:lineRule="auto"/>
      </w:pPr>
      <w:r w:rsidRPr="00B21C88">
        <w:br w:type="page"/>
      </w:r>
    </w:p>
    <w:p w:rsidR="00B21C88" w:rsidRPr="00B21C88" w:rsidRDefault="00B21C88" w:rsidP="00B21C88">
      <w:pPr>
        <w:rPr>
          <w:b/>
        </w:rPr>
        <w:sectPr w:rsidR="00B21C88" w:rsidRPr="00B21C88" w:rsidSect="00D1475B">
          <w:pgSz w:w="11900" w:h="16840"/>
          <w:pgMar w:top="1440" w:right="1440" w:bottom="1440" w:left="1440" w:header="708" w:footer="708" w:gutter="0"/>
          <w:cols w:space="708"/>
          <w:docGrid w:linePitch="360"/>
        </w:sectPr>
      </w:pPr>
    </w:p>
    <w:p w:rsidR="00B21C88" w:rsidRPr="00B21C88" w:rsidRDefault="00B21C88" w:rsidP="00B21C88">
      <w:r w:rsidRPr="00B21C88">
        <w:rPr>
          <w:b/>
        </w:rPr>
        <w:lastRenderedPageBreak/>
        <w:t>Figure 2:</w:t>
      </w:r>
      <w:r w:rsidRPr="00B21C88">
        <w:t xml:space="preserve"> Graph of uptake of core domain and individual domains for the osteoarthritis core outcome set from 1997 to 2017.</w:t>
      </w:r>
    </w:p>
    <w:p w:rsidR="00B21C88" w:rsidRPr="00B21C88" w:rsidRDefault="00B21C88" w:rsidP="00B21C88"/>
    <w:p w:rsidR="00B21C88" w:rsidRPr="00B21C88" w:rsidRDefault="00B21C88" w:rsidP="00B21C88">
      <w:pPr>
        <w:jc w:val="center"/>
      </w:pPr>
      <w:r w:rsidRPr="00B21C88">
        <w:rPr>
          <w:noProof/>
          <w:lang w:eastAsia="en-GB"/>
        </w:rPr>
        <w:drawing>
          <wp:inline distT="0" distB="0" distL="0" distR="0" wp14:anchorId="2EEBC1C9" wp14:editId="2575FBB6">
            <wp:extent cx="8858250" cy="4619625"/>
            <wp:effectExtent l="19050" t="19050" r="19050"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0" cy="4619625"/>
                    </a:xfrm>
                    <a:prstGeom prst="rect">
                      <a:avLst/>
                    </a:prstGeom>
                    <a:noFill/>
                    <a:ln>
                      <a:solidFill>
                        <a:sysClr val="windowText" lastClr="000000"/>
                      </a:solidFill>
                    </a:ln>
                  </pic:spPr>
                </pic:pic>
              </a:graphicData>
            </a:graphic>
          </wp:inline>
        </w:drawing>
      </w:r>
    </w:p>
    <w:p w:rsidR="00B21C88" w:rsidRPr="00B21C88" w:rsidRDefault="00B21C88" w:rsidP="00B21C88">
      <w:pPr>
        <w:rPr>
          <w:b/>
        </w:rPr>
        <w:sectPr w:rsidR="00B21C88" w:rsidRPr="00B21C88" w:rsidSect="001E4BDB">
          <w:pgSz w:w="16840" w:h="11900" w:orient="landscape"/>
          <w:pgMar w:top="1440" w:right="1440" w:bottom="1440" w:left="1440" w:header="709" w:footer="709" w:gutter="0"/>
          <w:cols w:space="708"/>
          <w:docGrid w:linePitch="360"/>
        </w:sectPr>
      </w:pPr>
    </w:p>
    <w:p w:rsidR="00B21C88" w:rsidRPr="00B21C88" w:rsidRDefault="00B21C88" w:rsidP="00B21C88">
      <w:r w:rsidRPr="00B21C88">
        <w:rPr>
          <w:b/>
        </w:rPr>
        <w:lastRenderedPageBreak/>
        <w:t>Table 1:</w:t>
      </w:r>
      <w:r w:rsidRPr="00B21C88">
        <w:t xml:space="preserve"> Percentage frequency of domains reported and complete adoption of the Core Outcome Set in included trial registrations. </w:t>
      </w:r>
    </w:p>
    <w:tbl>
      <w:tblPr>
        <w:tblStyle w:val="TableGrid"/>
        <w:tblW w:w="9498" w:type="dxa"/>
        <w:tblInd w:w="-284" w:type="dxa"/>
        <w:tblBorders>
          <w:left w:val="none" w:sz="0" w:space="0" w:color="auto"/>
          <w:right w:val="none" w:sz="0" w:space="0" w:color="auto"/>
        </w:tblBorders>
        <w:tblLook w:val="04A0" w:firstRow="1" w:lastRow="0" w:firstColumn="1" w:lastColumn="0" w:noHBand="0" w:noVBand="1"/>
      </w:tblPr>
      <w:tblGrid>
        <w:gridCol w:w="2334"/>
        <w:gridCol w:w="1243"/>
        <w:gridCol w:w="1205"/>
        <w:gridCol w:w="1210"/>
        <w:gridCol w:w="1223"/>
        <w:gridCol w:w="1245"/>
        <w:gridCol w:w="1038"/>
      </w:tblGrid>
      <w:tr w:rsidR="00B21C88" w:rsidRPr="00B21C88" w:rsidTr="005B5778">
        <w:tc>
          <w:tcPr>
            <w:tcW w:w="2363" w:type="dxa"/>
            <w:vMerge w:val="restart"/>
            <w:tcBorders>
              <w:top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Domain</w:t>
            </w:r>
          </w:p>
        </w:tc>
        <w:tc>
          <w:tcPr>
            <w:tcW w:w="1168" w:type="dxa"/>
            <w:vMerge w:val="restart"/>
            <w:tcBorders>
              <w:top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Percentage Total Frequency</w:t>
            </w:r>
          </w:p>
          <w:p w:rsidR="00B21C88" w:rsidRPr="00B21C88" w:rsidRDefault="00B21C88" w:rsidP="00B21C88">
            <w:pPr>
              <w:pStyle w:val="NoSpacing"/>
              <w:rPr>
                <w:b/>
              </w:rPr>
            </w:pPr>
            <w:r w:rsidRPr="00B21C88">
              <w:rPr>
                <w:b/>
              </w:rPr>
              <w:t>(N=382)</w:t>
            </w:r>
          </w:p>
        </w:tc>
        <w:tc>
          <w:tcPr>
            <w:tcW w:w="5967" w:type="dxa"/>
            <w:gridSpan w:val="5"/>
            <w:tcBorders>
              <w:top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Percentage Frequency by Year</w:t>
            </w:r>
          </w:p>
        </w:tc>
      </w:tr>
      <w:tr w:rsidR="00B21C88" w:rsidRPr="00B21C88" w:rsidTr="005B5778">
        <w:tc>
          <w:tcPr>
            <w:tcW w:w="2363" w:type="dxa"/>
            <w:vMerge/>
            <w:tcBorders>
              <w:bottom w:val="single" w:sz="12" w:space="0" w:color="auto"/>
            </w:tcBorders>
            <w:shd w:val="clear" w:color="auto" w:fill="BFBFBF" w:themeFill="background1" w:themeFillShade="BF"/>
          </w:tcPr>
          <w:p w:rsidR="00B21C88" w:rsidRPr="00B21C88" w:rsidRDefault="00B21C88" w:rsidP="00B21C88">
            <w:pPr>
              <w:pStyle w:val="NoSpacing"/>
              <w:rPr>
                <w:b/>
              </w:rPr>
            </w:pPr>
          </w:p>
        </w:tc>
        <w:tc>
          <w:tcPr>
            <w:tcW w:w="1168" w:type="dxa"/>
            <w:vMerge/>
            <w:tcBorders>
              <w:bottom w:val="single" w:sz="12" w:space="0" w:color="auto"/>
            </w:tcBorders>
            <w:shd w:val="clear" w:color="auto" w:fill="BFBFBF" w:themeFill="background1" w:themeFillShade="BF"/>
          </w:tcPr>
          <w:p w:rsidR="00B21C88" w:rsidRPr="00B21C88" w:rsidRDefault="00B21C88" w:rsidP="00B21C88">
            <w:pPr>
              <w:pStyle w:val="NoSpacing"/>
              <w:rPr>
                <w:b/>
              </w:rPr>
            </w:pPr>
          </w:p>
        </w:tc>
        <w:tc>
          <w:tcPr>
            <w:tcW w:w="1217" w:type="dxa"/>
            <w:tcBorders>
              <w:bottom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1997-2001</w:t>
            </w:r>
          </w:p>
          <w:p w:rsidR="00B21C88" w:rsidRPr="00B21C88" w:rsidRDefault="00B21C88" w:rsidP="00B21C88">
            <w:pPr>
              <w:pStyle w:val="NoSpacing"/>
              <w:rPr>
                <w:b/>
              </w:rPr>
            </w:pPr>
            <w:r w:rsidRPr="00B21C88">
              <w:rPr>
                <w:b/>
              </w:rPr>
              <w:t>(N=18)</w:t>
            </w:r>
          </w:p>
        </w:tc>
        <w:tc>
          <w:tcPr>
            <w:tcW w:w="1221" w:type="dxa"/>
            <w:tcBorders>
              <w:bottom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2002-2006</w:t>
            </w:r>
          </w:p>
          <w:p w:rsidR="00B21C88" w:rsidRPr="00B21C88" w:rsidRDefault="00B21C88" w:rsidP="00B21C88">
            <w:pPr>
              <w:pStyle w:val="NoSpacing"/>
              <w:rPr>
                <w:b/>
              </w:rPr>
            </w:pPr>
            <w:r w:rsidRPr="00B21C88">
              <w:rPr>
                <w:b/>
              </w:rPr>
              <w:t>(N=94)</w:t>
            </w:r>
          </w:p>
        </w:tc>
        <w:tc>
          <w:tcPr>
            <w:tcW w:w="1231" w:type="dxa"/>
            <w:tcBorders>
              <w:bottom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2007-2011</w:t>
            </w:r>
          </w:p>
          <w:p w:rsidR="00B21C88" w:rsidRPr="00B21C88" w:rsidRDefault="00B21C88" w:rsidP="00B21C88">
            <w:pPr>
              <w:pStyle w:val="NoSpacing"/>
              <w:rPr>
                <w:b/>
              </w:rPr>
            </w:pPr>
            <w:r w:rsidRPr="00B21C88">
              <w:rPr>
                <w:b/>
              </w:rPr>
              <w:t>(N=133)</w:t>
            </w:r>
          </w:p>
        </w:tc>
        <w:tc>
          <w:tcPr>
            <w:tcW w:w="1254" w:type="dxa"/>
            <w:tcBorders>
              <w:bottom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2012-2016</w:t>
            </w:r>
          </w:p>
          <w:p w:rsidR="00B21C88" w:rsidRPr="00B21C88" w:rsidRDefault="00B21C88" w:rsidP="00B21C88">
            <w:pPr>
              <w:pStyle w:val="NoSpacing"/>
              <w:rPr>
                <w:b/>
              </w:rPr>
            </w:pPr>
            <w:r w:rsidRPr="00B21C88">
              <w:rPr>
                <w:b/>
              </w:rPr>
              <w:t>(N=123)</w:t>
            </w:r>
          </w:p>
        </w:tc>
        <w:tc>
          <w:tcPr>
            <w:tcW w:w="1044" w:type="dxa"/>
            <w:tcBorders>
              <w:bottom w:val="single" w:sz="12" w:space="0" w:color="auto"/>
            </w:tcBorders>
            <w:shd w:val="clear" w:color="auto" w:fill="BFBFBF" w:themeFill="background1" w:themeFillShade="BF"/>
          </w:tcPr>
          <w:p w:rsidR="00B21C88" w:rsidRPr="00B21C88" w:rsidRDefault="00B21C88" w:rsidP="00B21C88">
            <w:pPr>
              <w:pStyle w:val="NoSpacing"/>
              <w:rPr>
                <w:b/>
              </w:rPr>
            </w:pPr>
            <w:r w:rsidRPr="00B21C88">
              <w:rPr>
                <w:b/>
              </w:rPr>
              <w:t>2017</w:t>
            </w:r>
          </w:p>
          <w:p w:rsidR="00B21C88" w:rsidRPr="00B21C88" w:rsidRDefault="00B21C88" w:rsidP="00B21C88">
            <w:pPr>
              <w:pStyle w:val="NoSpacing"/>
              <w:rPr>
                <w:b/>
              </w:rPr>
            </w:pPr>
            <w:r w:rsidRPr="00B21C88">
              <w:rPr>
                <w:b/>
              </w:rPr>
              <w:t>(N=14)</w:t>
            </w:r>
          </w:p>
        </w:tc>
      </w:tr>
      <w:tr w:rsidR="00B21C88" w:rsidRPr="00B21C88" w:rsidTr="005B5778">
        <w:tc>
          <w:tcPr>
            <w:tcW w:w="9498" w:type="dxa"/>
            <w:gridSpan w:val="7"/>
            <w:tcBorders>
              <w:top w:val="single" w:sz="12" w:space="0" w:color="auto"/>
              <w:bottom w:val="single" w:sz="12" w:space="0" w:color="auto"/>
            </w:tcBorders>
            <w:shd w:val="clear" w:color="auto" w:fill="D9D9D9" w:themeFill="background1" w:themeFillShade="D9"/>
          </w:tcPr>
          <w:p w:rsidR="00B21C88" w:rsidRPr="00B21C88" w:rsidRDefault="00B21C88" w:rsidP="00B21C88">
            <w:pPr>
              <w:pStyle w:val="NoSpacing"/>
            </w:pPr>
            <w:r w:rsidRPr="00B21C88">
              <w:t>Core Domain</w:t>
            </w:r>
          </w:p>
        </w:tc>
      </w:tr>
      <w:tr w:rsidR="00B21C88" w:rsidRPr="00B21C88" w:rsidTr="005B5778">
        <w:tc>
          <w:tcPr>
            <w:tcW w:w="2363" w:type="dxa"/>
            <w:tcBorders>
              <w:top w:val="single" w:sz="12" w:space="0" w:color="auto"/>
            </w:tcBorders>
          </w:tcPr>
          <w:p w:rsidR="00B21C88" w:rsidRPr="00B21C88" w:rsidRDefault="00B21C88" w:rsidP="00B21C88">
            <w:pPr>
              <w:pStyle w:val="NoSpacing"/>
            </w:pPr>
            <w:r w:rsidRPr="00B21C88">
              <w:t>Pain</w:t>
            </w:r>
          </w:p>
          <w:p w:rsidR="00B21C88" w:rsidRPr="00B21C88" w:rsidRDefault="00B21C88" w:rsidP="00B21C88">
            <w:pPr>
              <w:pStyle w:val="NoSpacing"/>
            </w:pPr>
          </w:p>
        </w:tc>
        <w:tc>
          <w:tcPr>
            <w:tcW w:w="1168" w:type="dxa"/>
            <w:tcBorders>
              <w:top w:val="single" w:sz="12" w:space="0" w:color="auto"/>
            </w:tcBorders>
          </w:tcPr>
          <w:p w:rsidR="00B21C88" w:rsidRPr="00B21C88" w:rsidRDefault="00B21C88" w:rsidP="00B21C88">
            <w:pPr>
              <w:pStyle w:val="NoSpacing"/>
            </w:pPr>
            <w:r w:rsidRPr="00B21C88">
              <w:t>94.8</w:t>
            </w:r>
          </w:p>
        </w:tc>
        <w:tc>
          <w:tcPr>
            <w:tcW w:w="1217" w:type="dxa"/>
            <w:tcBorders>
              <w:top w:val="single" w:sz="12" w:space="0" w:color="auto"/>
            </w:tcBorders>
          </w:tcPr>
          <w:p w:rsidR="00B21C88" w:rsidRPr="00B21C88" w:rsidRDefault="00B21C88" w:rsidP="00B21C88">
            <w:pPr>
              <w:pStyle w:val="NoSpacing"/>
            </w:pPr>
            <w:r w:rsidRPr="00B21C88">
              <w:t>100</w:t>
            </w:r>
          </w:p>
        </w:tc>
        <w:tc>
          <w:tcPr>
            <w:tcW w:w="1221" w:type="dxa"/>
            <w:tcBorders>
              <w:top w:val="single" w:sz="12" w:space="0" w:color="auto"/>
            </w:tcBorders>
          </w:tcPr>
          <w:p w:rsidR="00B21C88" w:rsidRPr="00B21C88" w:rsidRDefault="00B21C88" w:rsidP="00B21C88">
            <w:pPr>
              <w:pStyle w:val="NoSpacing"/>
            </w:pPr>
            <w:r w:rsidRPr="00B21C88">
              <w:t>91.5</w:t>
            </w:r>
          </w:p>
        </w:tc>
        <w:tc>
          <w:tcPr>
            <w:tcW w:w="1231" w:type="dxa"/>
            <w:tcBorders>
              <w:top w:val="single" w:sz="12" w:space="0" w:color="auto"/>
            </w:tcBorders>
          </w:tcPr>
          <w:p w:rsidR="00B21C88" w:rsidRPr="00B21C88" w:rsidRDefault="00B21C88" w:rsidP="00B21C88">
            <w:pPr>
              <w:pStyle w:val="NoSpacing"/>
            </w:pPr>
            <w:r w:rsidRPr="00B21C88">
              <w:t>96.9</w:t>
            </w:r>
          </w:p>
        </w:tc>
        <w:tc>
          <w:tcPr>
            <w:tcW w:w="1254" w:type="dxa"/>
            <w:tcBorders>
              <w:top w:val="single" w:sz="12" w:space="0" w:color="auto"/>
            </w:tcBorders>
          </w:tcPr>
          <w:p w:rsidR="00B21C88" w:rsidRPr="00B21C88" w:rsidRDefault="00B21C88" w:rsidP="00B21C88">
            <w:pPr>
              <w:pStyle w:val="NoSpacing"/>
            </w:pPr>
            <w:r w:rsidRPr="00B21C88">
              <w:t>94.4</w:t>
            </w:r>
          </w:p>
        </w:tc>
        <w:tc>
          <w:tcPr>
            <w:tcW w:w="1044" w:type="dxa"/>
            <w:tcBorders>
              <w:top w:val="single" w:sz="12" w:space="0" w:color="auto"/>
            </w:tcBorders>
          </w:tcPr>
          <w:p w:rsidR="00B21C88" w:rsidRPr="00B21C88" w:rsidRDefault="00B21C88" w:rsidP="00B21C88">
            <w:pPr>
              <w:pStyle w:val="NoSpacing"/>
              <w:rPr>
                <w:szCs w:val="16"/>
              </w:rPr>
            </w:pPr>
            <w:r w:rsidRPr="00B21C88">
              <w:rPr>
                <w:szCs w:val="16"/>
              </w:rPr>
              <w:t>92.9</w:t>
            </w:r>
          </w:p>
        </w:tc>
      </w:tr>
      <w:tr w:rsidR="00B21C88" w:rsidRPr="00B21C88" w:rsidTr="005B5778">
        <w:tc>
          <w:tcPr>
            <w:tcW w:w="2363" w:type="dxa"/>
          </w:tcPr>
          <w:p w:rsidR="00B21C88" w:rsidRPr="00B21C88" w:rsidRDefault="00B21C88" w:rsidP="00B21C88">
            <w:pPr>
              <w:pStyle w:val="NoSpacing"/>
            </w:pPr>
            <w:r w:rsidRPr="00B21C88">
              <w:t>Physical function</w:t>
            </w:r>
          </w:p>
          <w:p w:rsidR="00B21C88" w:rsidRPr="00B21C88" w:rsidRDefault="00B21C88" w:rsidP="00B21C88">
            <w:pPr>
              <w:pStyle w:val="NoSpacing"/>
            </w:pPr>
          </w:p>
        </w:tc>
        <w:tc>
          <w:tcPr>
            <w:tcW w:w="1168" w:type="dxa"/>
          </w:tcPr>
          <w:p w:rsidR="00B21C88" w:rsidRPr="00B21C88" w:rsidRDefault="00B21C88" w:rsidP="00B21C88">
            <w:pPr>
              <w:pStyle w:val="NoSpacing"/>
            </w:pPr>
            <w:r w:rsidRPr="00B21C88">
              <w:t>86.1</w:t>
            </w:r>
          </w:p>
        </w:tc>
        <w:tc>
          <w:tcPr>
            <w:tcW w:w="1217" w:type="dxa"/>
          </w:tcPr>
          <w:p w:rsidR="00B21C88" w:rsidRPr="00B21C88" w:rsidRDefault="00B21C88" w:rsidP="00B21C88">
            <w:pPr>
              <w:pStyle w:val="NoSpacing"/>
            </w:pPr>
            <w:r w:rsidRPr="00B21C88">
              <w:t>94.4</w:t>
            </w:r>
          </w:p>
        </w:tc>
        <w:tc>
          <w:tcPr>
            <w:tcW w:w="1221" w:type="dxa"/>
          </w:tcPr>
          <w:p w:rsidR="00B21C88" w:rsidRPr="00B21C88" w:rsidRDefault="00B21C88" w:rsidP="00B21C88">
            <w:pPr>
              <w:pStyle w:val="NoSpacing"/>
            </w:pPr>
            <w:r w:rsidRPr="00B21C88">
              <w:t>81.9</w:t>
            </w:r>
          </w:p>
        </w:tc>
        <w:tc>
          <w:tcPr>
            <w:tcW w:w="1231" w:type="dxa"/>
          </w:tcPr>
          <w:p w:rsidR="00B21C88" w:rsidRPr="00B21C88" w:rsidRDefault="00B21C88" w:rsidP="00B21C88">
            <w:pPr>
              <w:pStyle w:val="NoSpacing"/>
            </w:pPr>
            <w:r w:rsidRPr="00B21C88">
              <w:t>89.2</w:t>
            </w:r>
          </w:p>
        </w:tc>
        <w:tc>
          <w:tcPr>
            <w:tcW w:w="1254" w:type="dxa"/>
          </w:tcPr>
          <w:p w:rsidR="00B21C88" w:rsidRPr="00B21C88" w:rsidRDefault="00B21C88" w:rsidP="00B21C88">
            <w:pPr>
              <w:pStyle w:val="NoSpacing"/>
            </w:pPr>
            <w:r w:rsidRPr="00B21C88">
              <w:t>84.1</w:t>
            </w:r>
          </w:p>
        </w:tc>
        <w:tc>
          <w:tcPr>
            <w:tcW w:w="1044" w:type="dxa"/>
          </w:tcPr>
          <w:p w:rsidR="00B21C88" w:rsidRPr="00B21C88" w:rsidRDefault="00B21C88" w:rsidP="00B21C88">
            <w:pPr>
              <w:pStyle w:val="NoSpacing"/>
              <w:rPr>
                <w:szCs w:val="16"/>
              </w:rPr>
            </w:pPr>
            <w:r w:rsidRPr="00B21C88">
              <w:rPr>
                <w:szCs w:val="16"/>
              </w:rPr>
              <w:t>92.9</w:t>
            </w:r>
          </w:p>
        </w:tc>
      </w:tr>
      <w:tr w:rsidR="00B21C88" w:rsidRPr="00B21C88" w:rsidTr="005B5778">
        <w:tc>
          <w:tcPr>
            <w:tcW w:w="2363" w:type="dxa"/>
          </w:tcPr>
          <w:p w:rsidR="00B21C88" w:rsidRPr="00B21C88" w:rsidRDefault="00B21C88" w:rsidP="00B21C88">
            <w:pPr>
              <w:pStyle w:val="NoSpacing"/>
            </w:pPr>
            <w:r w:rsidRPr="00B21C88">
              <w:t>Patient global assessment</w:t>
            </w:r>
          </w:p>
        </w:tc>
        <w:tc>
          <w:tcPr>
            <w:tcW w:w="1168" w:type="dxa"/>
          </w:tcPr>
          <w:p w:rsidR="00B21C88" w:rsidRPr="00B21C88" w:rsidRDefault="00B21C88" w:rsidP="00B21C88">
            <w:pPr>
              <w:pStyle w:val="NoSpacing"/>
            </w:pPr>
            <w:r w:rsidRPr="00B21C88">
              <w:t>47.6</w:t>
            </w:r>
          </w:p>
        </w:tc>
        <w:tc>
          <w:tcPr>
            <w:tcW w:w="1217" w:type="dxa"/>
          </w:tcPr>
          <w:p w:rsidR="00B21C88" w:rsidRPr="00B21C88" w:rsidRDefault="00B21C88" w:rsidP="00B21C88">
            <w:pPr>
              <w:pStyle w:val="NoSpacing"/>
            </w:pPr>
            <w:r w:rsidRPr="00B21C88">
              <w:t>66.7</w:t>
            </w:r>
          </w:p>
        </w:tc>
        <w:tc>
          <w:tcPr>
            <w:tcW w:w="1221" w:type="dxa"/>
          </w:tcPr>
          <w:p w:rsidR="00B21C88" w:rsidRPr="00B21C88" w:rsidRDefault="00B21C88" w:rsidP="00B21C88">
            <w:pPr>
              <w:pStyle w:val="NoSpacing"/>
            </w:pPr>
            <w:r w:rsidRPr="00B21C88">
              <w:t>59.6</w:t>
            </w:r>
          </w:p>
        </w:tc>
        <w:tc>
          <w:tcPr>
            <w:tcW w:w="1231" w:type="dxa"/>
          </w:tcPr>
          <w:p w:rsidR="00B21C88" w:rsidRPr="00B21C88" w:rsidRDefault="00B21C88" w:rsidP="00B21C88">
            <w:pPr>
              <w:pStyle w:val="NoSpacing"/>
            </w:pPr>
            <w:r w:rsidRPr="00B21C88">
              <w:t>45.4</w:t>
            </w:r>
          </w:p>
        </w:tc>
        <w:tc>
          <w:tcPr>
            <w:tcW w:w="1254" w:type="dxa"/>
          </w:tcPr>
          <w:p w:rsidR="00B21C88" w:rsidRPr="00B21C88" w:rsidRDefault="00B21C88" w:rsidP="00B21C88">
            <w:pPr>
              <w:pStyle w:val="NoSpacing"/>
            </w:pPr>
            <w:r w:rsidRPr="00B21C88">
              <w:t>38.1</w:t>
            </w:r>
          </w:p>
        </w:tc>
        <w:tc>
          <w:tcPr>
            <w:tcW w:w="1044" w:type="dxa"/>
          </w:tcPr>
          <w:p w:rsidR="00B21C88" w:rsidRPr="00B21C88" w:rsidRDefault="00B21C88" w:rsidP="00B21C88">
            <w:pPr>
              <w:pStyle w:val="NoSpacing"/>
              <w:rPr>
                <w:szCs w:val="16"/>
              </w:rPr>
            </w:pPr>
            <w:r w:rsidRPr="00B21C88">
              <w:rPr>
                <w:szCs w:val="16"/>
              </w:rPr>
              <w:t>42.9</w:t>
            </w:r>
          </w:p>
        </w:tc>
      </w:tr>
      <w:tr w:rsidR="00B21C88" w:rsidRPr="00B21C88" w:rsidTr="005B5778">
        <w:tc>
          <w:tcPr>
            <w:tcW w:w="2363" w:type="dxa"/>
          </w:tcPr>
          <w:p w:rsidR="00B21C88" w:rsidRPr="00B21C88" w:rsidRDefault="00B21C88" w:rsidP="00B21C88">
            <w:pPr>
              <w:pStyle w:val="NoSpacing"/>
            </w:pPr>
            <w:r w:rsidRPr="00B21C88">
              <w:t>Imaging*</w:t>
            </w:r>
          </w:p>
        </w:tc>
        <w:tc>
          <w:tcPr>
            <w:tcW w:w="1168" w:type="dxa"/>
          </w:tcPr>
          <w:p w:rsidR="00B21C88" w:rsidRPr="00B21C88" w:rsidRDefault="00B21C88" w:rsidP="00B21C88">
            <w:pPr>
              <w:pStyle w:val="NoSpacing"/>
            </w:pPr>
            <w:r w:rsidRPr="00B21C88">
              <w:t>75.0</w:t>
            </w:r>
          </w:p>
          <w:p w:rsidR="00B21C88" w:rsidRPr="00B21C88" w:rsidRDefault="00B21C88" w:rsidP="00B21C88">
            <w:pPr>
              <w:pStyle w:val="NoSpacing"/>
            </w:pPr>
          </w:p>
        </w:tc>
        <w:tc>
          <w:tcPr>
            <w:tcW w:w="1217" w:type="dxa"/>
          </w:tcPr>
          <w:p w:rsidR="00B21C88" w:rsidRPr="00B21C88" w:rsidRDefault="00B21C88" w:rsidP="00B21C88">
            <w:pPr>
              <w:pStyle w:val="NoSpacing"/>
            </w:pPr>
            <w:r w:rsidRPr="00B21C88">
              <w:t>71.4</w:t>
            </w:r>
          </w:p>
        </w:tc>
        <w:tc>
          <w:tcPr>
            <w:tcW w:w="1221" w:type="dxa"/>
          </w:tcPr>
          <w:p w:rsidR="00B21C88" w:rsidRPr="00B21C88" w:rsidRDefault="00B21C88" w:rsidP="00B21C88">
            <w:pPr>
              <w:pStyle w:val="NoSpacing"/>
            </w:pPr>
            <w:r w:rsidRPr="00B21C88">
              <w:t>40.0</w:t>
            </w:r>
          </w:p>
        </w:tc>
        <w:tc>
          <w:tcPr>
            <w:tcW w:w="1231" w:type="dxa"/>
          </w:tcPr>
          <w:p w:rsidR="00B21C88" w:rsidRPr="00B21C88" w:rsidRDefault="00B21C88" w:rsidP="00B21C88">
            <w:pPr>
              <w:pStyle w:val="NoSpacing"/>
            </w:pPr>
            <w:r w:rsidRPr="00B21C88">
              <w:t>79.2</w:t>
            </w:r>
          </w:p>
        </w:tc>
        <w:tc>
          <w:tcPr>
            <w:tcW w:w="1254" w:type="dxa"/>
          </w:tcPr>
          <w:p w:rsidR="00B21C88" w:rsidRPr="00B21C88" w:rsidRDefault="00B21C88" w:rsidP="00B21C88">
            <w:pPr>
              <w:pStyle w:val="NoSpacing"/>
            </w:pPr>
            <w:r w:rsidRPr="00B21C88">
              <w:t>89.5</w:t>
            </w:r>
          </w:p>
        </w:tc>
        <w:tc>
          <w:tcPr>
            <w:tcW w:w="1044" w:type="dxa"/>
          </w:tcPr>
          <w:p w:rsidR="00B21C88" w:rsidRPr="00B21C88" w:rsidRDefault="00B21C88" w:rsidP="00B21C88">
            <w:pPr>
              <w:pStyle w:val="NoSpacing"/>
              <w:rPr>
                <w:szCs w:val="16"/>
              </w:rPr>
            </w:pPr>
            <w:r w:rsidRPr="00B21C88">
              <w:rPr>
                <w:szCs w:val="16"/>
              </w:rPr>
              <w:t>85.7</w:t>
            </w:r>
          </w:p>
        </w:tc>
      </w:tr>
      <w:tr w:rsidR="00B21C88" w:rsidRPr="00B21C88" w:rsidTr="005B5778">
        <w:tc>
          <w:tcPr>
            <w:tcW w:w="2363" w:type="dxa"/>
            <w:tcBorders>
              <w:bottom w:val="single" w:sz="12" w:space="0" w:color="auto"/>
            </w:tcBorders>
          </w:tcPr>
          <w:p w:rsidR="00B21C88" w:rsidRPr="00B21C88" w:rsidRDefault="00B21C88" w:rsidP="00B21C88">
            <w:pPr>
              <w:pStyle w:val="NoSpacing"/>
            </w:pPr>
            <w:r w:rsidRPr="00B21C88">
              <w:t>All core domains measured</w:t>
            </w:r>
          </w:p>
        </w:tc>
        <w:tc>
          <w:tcPr>
            <w:tcW w:w="1168" w:type="dxa"/>
            <w:tcBorders>
              <w:bottom w:val="single" w:sz="12" w:space="0" w:color="auto"/>
            </w:tcBorders>
          </w:tcPr>
          <w:p w:rsidR="00B21C88" w:rsidRPr="00B21C88" w:rsidRDefault="00B21C88" w:rsidP="00B21C88">
            <w:pPr>
              <w:pStyle w:val="NoSpacing"/>
            </w:pPr>
            <w:r w:rsidRPr="00B21C88">
              <w:t>45.3</w:t>
            </w:r>
          </w:p>
        </w:tc>
        <w:tc>
          <w:tcPr>
            <w:tcW w:w="1217" w:type="dxa"/>
            <w:tcBorders>
              <w:bottom w:val="single" w:sz="12" w:space="0" w:color="auto"/>
            </w:tcBorders>
          </w:tcPr>
          <w:p w:rsidR="00B21C88" w:rsidRPr="00B21C88" w:rsidRDefault="00B21C88" w:rsidP="00B21C88">
            <w:pPr>
              <w:pStyle w:val="NoSpacing"/>
            </w:pPr>
            <w:r w:rsidRPr="00B21C88">
              <w:t>61.1</w:t>
            </w:r>
          </w:p>
        </w:tc>
        <w:tc>
          <w:tcPr>
            <w:tcW w:w="1221" w:type="dxa"/>
            <w:tcBorders>
              <w:bottom w:val="single" w:sz="12" w:space="0" w:color="auto"/>
            </w:tcBorders>
          </w:tcPr>
          <w:p w:rsidR="00B21C88" w:rsidRPr="00B21C88" w:rsidRDefault="00B21C88" w:rsidP="00B21C88">
            <w:pPr>
              <w:pStyle w:val="NoSpacing"/>
            </w:pPr>
            <w:r w:rsidRPr="00B21C88">
              <w:t>54.3</w:t>
            </w:r>
          </w:p>
        </w:tc>
        <w:tc>
          <w:tcPr>
            <w:tcW w:w="1231" w:type="dxa"/>
            <w:tcBorders>
              <w:bottom w:val="single" w:sz="12" w:space="0" w:color="auto"/>
            </w:tcBorders>
          </w:tcPr>
          <w:p w:rsidR="00B21C88" w:rsidRPr="00B21C88" w:rsidRDefault="00B21C88" w:rsidP="00B21C88">
            <w:pPr>
              <w:pStyle w:val="NoSpacing"/>
            </w:pPr>
            <w:r w:rsidRPr="00B21C88">
              <w:t>43.1</w:t>
            </w:r>
          </w:p>
        </w:tc>
        <w:tc>
          <w:tcPr>
            <w:tcW w:w="1254" w:type="dxa"/>
            <w:tcBorders>
              <w:bottom w:val="single" w:sz="12" w:space="0" w:color="auto"/>
            </w:tcBorders>
          </w:tcPr>
          <w:p w:rsidR="00B21C88" w:rsidRPr="00B21C88" w:rsidRDefault="00B21C88" w:rsidP="00B21C88">
            <w:pPr>
              <w:pStyle w:val="NoSpacing"/>
            </w:pPr>
            <w:r w:rsidRPr="00B21C88">
              <w:t>38.1</w:t>
            </w:r>
          </w:p>
        </w:tc>
        <w:tc>
          <w:tcPr>
            <w:tcW w:w="1044" w:type="dxa"/>
            <w:tcBorders>
              <w:bottom w:val="single" w:sz="12" w:space="0" w:color="auto"/>
            </w:tcBorders>
          </w:tcPr>
          <w:p w:rsidR="00B21C88" w:rsidRPr="00B21C88" w:rsidRDefault="00B21C88" w:rsidP="00B21C88">
            <w:pPr>
              <w:pStyle w:val="NoSpacing"/>
              <w:rPr>
                <w:szCs w:val="16"/>
              </w:rPr>
            </w:pPr>
            <w:r w:rsidRPr="00B21C88">
              <w:rPr>
                <w:szCs w:val="16"/>
              </w:rPr>
              <w:t>50.0</w:t>
            </w:r>
          </w:p>
        </w:tc>
      </w:tr>
      <w:tr w:rsidR="00B21C88" w:rsidRPr="00B21C88" w:rsidTr="005B5778">
        <w:tc>
          <w:tcPr>
            <w:tcW w:w="9498" w:type="dxa"/>
            <w:gridSpan w:val="7"/>
            <w:tcBorders>
              <w:top w:val="single" w:sz="12" w:space="0" w:color="auto"/>
              <w:bottom w:val="single" w:sz="12" w:space="0" w:color="auto"/>
            </w:tcBorders>
            <w:shd w:val="clear" w:color="auto" w:fill="D9D9D9" w:themeFill="background1" w:themeFillShade="D9"/>
          </w:tcPr>
          <w:p w:rsidR="00B21C88" w:rsidRPr="00B21C88" w:rsidRDefault="00B21C88" w:rsidP="00B21C88">
            <w:pPr>
              <w:pStyle w:val="NoSpacing"/>
              <w:rPr>
                <w:szCs w:val="16"/>
              </w:rPr>
            </w:pPr>
            <w:r w:rsidRPr="00B21C88">
              <w:t>Recommended Domains</w:t>
            </w:r>
          </w:p>
        </w:tc>
      </w:tr>
      <w:tr w:rsidR="00B21C88" w:rsidRPr="00B21C88" w:rsidTr="005B5778">
        <w:tc>
          <w:tcPr>
            <w:tcW w:w="2363" w:type="dxa"/>
            <w:tcBorders>
              <w:top w:val="single" w:sz="12" w:space="0" w:color="auto"/>
            </w:tcBorders>
          </w:tcPr>
          <w:p w:rsidR="00B21C88" w:rsidRPr="00B21C88" w:rsidRDefault="00B21C88" w:rsidP="00B21C88">
            <w:pPr>
              <w:pStyle w:val="NoSpacing"/>
            </w:pPr>
            <w:r w:rsidRPr="00B21C88">
              <w:t>HRQOL</w:t>
            </w:r>
          </w:p>
          <w:p w:rsidR="00B21C88" w:rsidRPr="00B21C88" w:rsidRDefault="00B21C88" w:rsidP="00B21C88">
            <w:pPr>
              <w:pStyle w:val="NoSpacing"/>
            </w:pPr>
          </w:p>
        </w:tc>
        <w:tc>
          <w:tcPr>
            <w:tcW w:w="1168" w:type="dxa"/>
            <w:tcBorders>
              <w:top w:val="single" w:sz="12" w:space="0" w:color="auto"/>
            </w:tcBorders>
          </w:tcPr>
          <w:p w:rsidR="00B21C88" w:rsidRPr="00B21C88" w:rsidRDefault="00B21C88" w:rsidP="00B21C88">
            <w:pPr>
              <w:pStyle w:val="NoSpacing"/>
            </w:pPr>
            <w:r w:rsidRPr="00B21C88">
              <w:t>26.2</w:t>
            </w:r>
          </w:p>
        </w:tc>
        <w:tc>
          <w:tcPr>
            <w:tcW w:w="1217" w:type="dxa"/>
            <w:tcBorders>
              <w:top w:val="single" w:sz="12" w:space="0" w:color="auto"/>
            </w:tcBorders>
          </w:tcPr>
          <w:p w:rsidR="00B21C88" w:rsidRPr="00B21C88" w:rsidRDefault="00B21C88" w:rsidP="00B21C88">
            <w:pPr>
              <w:pStyle w:val="NoSpacing"/>
            </w:pPr>
            <w:r w:rsidRPr="00B21C88">
              <w:t>27.8</w:t>
            </w:r>
          </w:p>
        </w:tc>
        <w:tc>
          <w:tcPr>
            <w:tcW w:w="1221" w:type="dxa"/>
            <w:tcBorders>
              <w:top w:val="single" w:sz="12" w:space="0" w:color="auto"/>
            </w:tcBorders>
          </w:tcPr>
          <w:p w:rsidR="00B21C88" w:rsidRPr="00B21C88" w:rsidRDefault="00B21C88" w:rsidP="00B21C88">
            <w:pPr>
              <w:pStyle w:val="NoSpacing"/>
            </w:pPr>
            <w:r w:rsidRPr="00B21C88">
              <w:t>12.8</w:t>
            </w:r>
          </w:p>
        </w:tc>
        <w:tc>
          <w:tcPr>
            <w:tcW w:w="1231" w:type="dxa"/>
            <w:tcBorders>
              <w:top w:val="single" w:sz="12" w:space="0" w:color="auto"/>
            </w:tcBorders>
          </w:tcPr>
          <w:p w:rsidR="00B21C88" w:rsidRPr="00B21C88" w:rsidRDefault="00B21C88" w:rsidP="00B21C88">
            <w:pPr>
              <w:pStyle w:val="NoSpacing"/>
            </w:pPr>
            <w:r w:rsidRPr="00B21C88">
              <w:t>39.1</w:t>
            </w:r>
          </w:p>
        </w:tc>
        <w:tc>
          <w:tcPr>
            <w:tcW w:w="1254" w:type="dxa"/>
            <w:tcBorders>
              <w:top w:val="single" w:sz="12" w:space="0" w:color="auto"/>
            </w:tcBorders>
          </w:tcPr>
          <w:p w:rsidR="00B21C88" w:rsidRPr="00B21C88" w:rsidRDefault="00B21C88" w:rsidP="00B21C88">
            <w:pPr>
              <w:pStyle w:val="NoSpacing"/>
            </w:pPr>
            <w:r w:rsidRPr="00B21C88">
              <w:t>27.6</w:t>
            </w:r>
          </w:p>
        </w:tc>
        <w:tc>
          <w:tcPr>
            <w:tcW w:w="1044" w:type="dxa"/>
            <w:tcBorders>
              <w:top w:val="single" w:sz="12" w:space="0" w:color="auto"/>
            </w:tcBorders>
          </w:tcPr>
          <w:p w:rsidR="00B21C88" w:rsidRPr="00B21C88" w:rsidRDefault="00B21C88" w:rsidP="00B21C88">
            <w:pPr>
              <w:pStyle w:val="NoSpacing"/>
              <w:rPr>
                <w:szCs w:val="16"/>
              </w:rPr>
            </w:pPr>
            <w:r w:rsidRPr="00B21C88">
              <w:rPr>
                <w:szCs w:val="16"/>
              </w:rPr>
              <w:t>14.3</w:t>
            </w:r>
          </w:p>
        </w:tc>
      </w:tr>
      <w:tr w:rsidR="00B21C88" w:rsidRPr="00B21C88" w:rsidTr="005B5778">
        <w:tc>
          <w:tcPr>
            <w:tcW w:w="2363" w:type="dxa"/>
            <w:tcBorders>
              <w:bottom w:val="single" w:sz="12" w:space="0" w:color="auto"/>
            </w:tcBorders>
          </w:tcPr>
          <w:p w:rsidR="00B21C88" w:rsidRPr="00B21C88" w:rsidRDefault="00B21C88" w:rsidP="00B21C88">
            <w:pPr>
              <w:pStyle w:val="NoSpacing"/>
            </w:pPr>
            <w:r w:rsidRPr="00B21C88">
              <w:t>Clinician global assessment</w:t>
            </w:r>
          </w:p>
        </w:tc>
        <w:tc>
          <w:tcPr>
            <w:tcW w:w="1168" w:type="dxa"/>
            <w:tcBorders>
              <w:bottom w:val="single" w:sz="12" w:space="0" w:color="auto"/>
            </w:tcBorders>
          </w:tcPr>
          <w:p w:rsidR="00B21C88" w:rsidRPr="00B21C88" w:rsidRDefault="00B21C88" w:rsidP="00B21C88">
            <w:pPr>
              <w:pStyle w:val="NoSpacing"/>
            </w:pPr>
            <w:r w:rsidRPr="00B21C88">
              <w:t>23.0</w:t>
            </w:r>
          </w:p>
        </w:tc>
        <w:tc>
          <w:tcPr>
            <w:tcW w:w="1217" w:type="dxa"/>
            <w:tcBorders>
              <w:bottom w:val="single" w:sz="12" w:space="0" w:color="auto"/>
            </w:tcBorders>
          </w:tcPr>
          <w:p w:rsidR="00B21C88" w:rsidRPr="00B21C88" w:rsidRDefault="00B21C88" w:rsidP="00B21C88">
            <w:pPr>
              <w:pStyle w:val="NoSpacing"/>
            </w:pPr>
            <w:r w:rsidRPr="00B21C88">
              <w:t>44.4</w:t>
            </w:r>
          </w:p>
        </w:tc>
        <w:tc>
          <w:tcPr>
            <w:tcW w:w="1221" w:type="dxa"/>
            <w:tcBorders>
              <w:bottom w:val="single" w:sz="12" w:space="0" w:color="auto"/>
            </w:tcBorders>
          </w:tcPr>
          <w:p w:rsidR="00B21C88" w:rsidRPr="00B21C88" w:rsidRDefault="00B21C88" w:rsidP="00B21C88">
            <w:pPr>
              <w:pStyle w:val="NoSpacing"/>
            </w:pPr>
            <w:r w:rsidRPr="00B21C88">
              <w:t>36.2</w:t>
            </w:r>
          </w:p>
        </w:tc>
        <w:tc>
          <w:tcPr>
            <w:tcW w:w="1231" w:type="dxa"/>
            <w:tcBorders>
              <w:bottom w:val="single" w:sz="12" w:space="0" w:color="auto"/>
            </w:tcBorders>
          </w:tcPr>
          <w:p w:rsidR="00B21C88" w:rsidRPr="00B21C88" w:rsidRDefault="00B21C88" w:rsidP="00B21C88">
            <w:pPr>
              <w:pStyle w:val="NoSpacing"/>
            </w:pPr>
            <w:r w:rsidRPr="00B21C88">
              <w:t>16.5</w:t>
            </w:r>
          </w:p>
        </w:tc>
        <w:tc>
          <w:tcPr>
            <w:tcW w:w="1254" w:type="dxa"/>
            <w:tcBorders>
              <w:bottom w:val="single" w:sz="12" w:space="0" w:color="auto"/>
            </w:tcBorders>
          </w:tcPr>
          <w:p w:rsidR="00B21C88" w:rsidRPr="00B21C88" w:rsidRDefault="00B21C88" w:rsidP="00B21C88">
            <w:pPr>
              <w:pStyle w:val="NoSpacing"/>
            </w:pPr>
            <w:r w:rsidRPr="00B21C88">
              <w:t>20.3</w:t>
            </w:r>
          </w:p>
        </w:tc>
        <w:tc>
          <w:tcPr>
            <w:tcW w:w="1044" w:type="dxa"/>
            <w:tcBorders>
              <w:bottom w:val="single" w:sz="12" w:space="0" w:color="auto"/>
            </w:tcBorders>
          </w:tcPr>
          <w:p w:rsidR="00B21C88" w:rsidRPr="00B21C88" w:rsidRDefault="00B21C88" w:rsidP="00B21C88">
            <w:pPr>
              <w:pStyle w:val="NoSpacing"/>
              <w:rPr>
                <w:szCs w:val="16"/>
              </w:rPr>
            </w:pPr>
            <w:r w:rsidRPr="00B21C88">
              <w:rPr>
                <w:szCs w:val="16"/>
              </w:rPr>
              <w:t>14.3</w:t>
            </w:r>
          </w:p>
        </w:tc>
      </w:tr>
      <w:tr w:rsidR="00B21C88" w:rsidRPr="00B21C88" w:rsidTr="005B5778">
        <w:tc>
          <w:tcPr>
            <w:tcW w:w="9498" w:type="dxa"/>
            <w:gridSpan w:val="7"/>
            <w:tcBorders>
              <w:top w:val="single" w:sz="12" w:space="0" w:color="auto"/>
              <w:bottom w:val="single" w:sz="12" w:space="0" w:color="auto"/>
            </w:tcBorders>
            <w:shd w:val="clear" w:color="auto" w:fill="D9D9D9" w:themeFill="background1" w:themeFillShade="D9"/>
          </w:tcPr>
          <w:p w:rsidR="00B21C88" w:rsidRPr="00B21C88" w:rsidRDefault="00B21C88" w:rsidP="00B21C88">
            <w:pPr>
              <w:pStyle w:val="NoSpacing"/>
              <w:rPr>
                <w:szCs w:val="16"/>
              </w:rPr>
            </w:pPr>
            <w:r w:rsidRPr="00B21C88">
              <w:t>Optional Domains</w:t>
            </w:r>
          </w:p>
        </w:tc>
      </w:tr>
      <w:tr w:rsidR="00B21C88" w:rsidRPr="00B21C88" w:rsidTr="005B5778">
        <w:tc>
          <w:tcPr>
            <w:tcW w:w="2363" w:type="dxa"/>
            <w:tcBorders>
              <w:top w:val="single" w:sz="12" w:space="0" w:color="auto"/>
            </w:tcBorders>
          </w:tcPr>
          <w:p w:rsidR="00B21C88" w:rsidRPr="00B21C88" w:rsidRDefault="00B21C88" w:rsidP="00B21C88">
            <w:pPr>
              <w:pStyle w:val="NoSpacing"/>
            </w:pPr>
            <w:r w:rsidRPr="00B21C88">
              <w:t>Stiffness</w:t>
            </w:r>
          </w:p>
          <w:p w:rsidR="00B21C88" w:rsidRPr="00B21C88" w:rsidRDefault="00B21C88" w:rsidP="00B21C88">
            <w:pPr>
              <w:pStyle w:val="NoSpacing"/>
            </w:pPr>
          </w:p>
        </w:tc>
        <w:tc>
          <w:tcPr>
            <w:tcW w:w="1168" w:type="dxa"/>
            <w:tcBorders>
              <w:top w:val="single" w:sz="12" w:space="0" w:color="auto"/>
            </w:tcBorders>
          </w:tcPr>
          <w:p w:rsidR="00B21C88" w:rsidRPr="00B21C88" w:rsidRDefault="00B21C88" w:rsidP="00B21C88">
            <w:pPr>
              <w:pStyle w:val="NoSpacing"/>
            </w:pPr>
            <w:r w:rsidRPr="00B21C88">
              <w:t>58.1</w:t>
            </w:r>
          </w:p>
        </w:tc>
        <w:tc>
          <w:tcPr>
            <w:tcW w:w="1217" w:type="dxa"/>
            <w:tcBorders>
              <w:top w:val="single" w:sz="12" w:space="0" w:color="auto"/>
            </w:tcBorders>
          </w:tcPr>
          <w:p w:rsidR="00B21C88" w:rsidRPr="00B21C88" w:rsidRDefault="00B21C88" w:rsidP="00B21C88">
            <w:pPr>
              <w:pStyle w:val="NoSpacing"/>
            </w:pPr>
            <w:r w:rsidRPr="00B21C88">
              <w:t>66.7</w:t>
            </w:r>
          </w:p>
        </w:tc>
        <w:tc>
          <w:tcPr>
            <w:tcW w:w="1221" w:type="dxa"/>
            <w:tcBorders>
              <w:top w:val="single" w:sz="12" w:space="0" w:color="auto"/>
            </w:tcBorders>
          </w:tcPr>
          <w:p w:rsidR="00B21C88" w:rsidRPr="00B21C88" w:rsidRDefault="00B21C88" w:rsidP="00B21C88">
            <w:pPr>
              <w:pStyle w:val="NoSpacing"/>
            </w:pPr>
            <w:r w:rsidRPr="00B21C88">
              <w:t>58.5</w:t>
            </w:r>
          </w:p>
        </w:tc>
        <w:tc>
          <w:tcPr>
            <w:tcW w:w="1231" w:type="dxa"/>
            <w:tcBorders>
              <w:top w:val="single" w:sz="12" w:space="0" w:color="auto"/>
            </w:tcBorders>
          </w:tcPr>
          <w:p w:rsidR="00B21C88" w:rsidRPr="00B21C88" w:rsidRDefault="00B21C88" w:rsidP="00B21C88">
            <w:pPr>
              <w:pStyle w:val="NoSpacing"/>
            </w:pPr>
            <w:r w:rsidRPr="00B21C88">
              <w:t>64.7</w:t>
            </w:r>
          </w:p>
        </w:tc>
        <w:tc>
          <w:tcPr>
            <w:tcW w:w="1254" w:type="dxa"/>
            <w:tcBorders>
              <w:top w:val="single" w:sz="12" w:space="0" w:color="auto"/>
            </w:tcBorders>
          </w:tcPr>
          <w:p w:rsidR="00B21C88" w:rsidRPr="00B21C88" w:rsidRDefault="00B21C88" w:rsidP="00B21C88">
            <w:pPr>
              <w:pStyle w:val="NoSpacing"/>
            </w:pPr>
            <w:r w:rsidRPr="00B21C88">
              <w:t>52.0</w:t>
            </w:r>
          </w:p>
        </w:tc>
        <w:tc>
          <w:tcPr>
            <w:tcW w:w="1044" w:type="dxa"/>
            <w:tcBorders>
              <w:top w:val="single" w:sz="12" w:space="0" w:color="auto"/>
            </w:tcBorders>
          </w:tcPr>
          <w:p w:rsidR="00B21C88" w:rsidRPr="00B21C88" w:rsidRDefault="00B21C88" w:rsidP="00B21C88">
            <w:pPr>
              <w:pStyle w:val="NoSpacing"/>
              <w:rPr>
                <w:szCs w:val="16"/>
              </w:rPr>
            </w:pPr>
            <w:r w:rsidRPr="00B21C88">
              <w:rPr>
                <w:szCs w:val="16"/>
              </w:rPr>
              <w:t>35.7</w:t>
            </w:r>
          </w:p>
        </w:tc>
      </w:tr>
      <w:tr w:rsidR="00B21C88" w:rsidRPr="00B21C88" w:rsidTr="005B5778">
        <w:tc>
          <w:tcPr>
            <w:tcW w:w="2363" w:type="dxa"/>
          </w:tcPr>
          <w:p w:rsidR="00B21C88" w:rsidRPr="00B21C88" w:rsidRDefault="00B21C88" w:rsidP="00B21C88">
            <w:pPr>
              <w:pStyle w:val="NoSpacing"/>
            </w:pPr>
            <w:r w:rsidRPr="00B21C88">
              <w:t>Biological markers (i.e. relevant blood tests)</w:t>
            </w:r>
          </w:p>
        </w:tc>
        <w:tc>
          <w:tcPr>
            <w:tcW w:w="1168" w:type="dxa"/>
          </w:tcPr>
          <w:p w:rsidR="00B21C88" w:rsidRPr="00B21C88" w:rsidRDefault="00B21C88" w:rsidP="00B21C88">
            <w:pPr>
              <w:pStyle w:val="NoSpacing"/>
            </w:pPr>
            <w:r w:rsidRPr="00B21C88">
              <w:t>18.8</w:t>
            </w:r>
          </w:p>
        </w:tc>
        <w:tc>
          <w:tcPr>
            <w:tcW w:w="1217" w:type="dxa"/>
          </w:tcPr>
          <w:p w:rsidR="00B21C88" w:rsidRPr="00B21C88" w:rsidRDefault="00B21C88" w:rsidP="00B21C88">
            <w:pPr>
              <w:pStyle w:val="NoSpacing"/>
            </w:pPr>
            <w:r w:rsidRPr="00B21C88">
              <w:t>22.2</w:t>
            </w:r>
          </w:p>
        </w:tc>
        <w:tc>
          <w:tcPr>
            <w:tcW w:w="1221" w:type="dxa"/>
          </w:tcPr>
          <w:p w:rsidR="00B21C88" w:rsidRPr="00B21C88" w:rsidRDefault="00B21C88" w:rsidP="00B21C88">
            <w:pPr>
              <w:pStyle w:val="NoSpacing"/>
            </w:pPr>
            <w:r w:rsidRPr="00B21C88">
              <w:t>17.0</w:t>
            </w:r>
          </w:p>
        </w:tc>
        <w:tc>
          <w:tcPr>
            <w:tcW w:w="1231" w:type="dxa"/>
          </w:tcPr>
          <w:p w:rsidR="00B21C88" w:rsidRPr="00B21C88" w:rsidRDefault="00B21C88" w:rsidP="00B21C88">
            <w:pPr>
              <w:pStyle w:val="NoSpacing"/>
            </w:pPr>
            <w:r w:rsidRPr="00B21C88">
              <w:t>23.3</w:t>
            </w:r>
          </w:p>
        </w:tc>
        <w:tc>
          <w:tcPr>
            <w:tcW w:w="1254" w:type="dxa"/>
          </w:tcPr>
          <w:p w:rsidR="00B21C88" w:rsidRPr="00B21C88" w:rsidRDefault="00B21C88" w:rsidP="00B21C88">
            <w:pPr>
              <w:pStyle w:val="NoSpacing"/>
            </w:pPr>
            <w:r w:rsidRPr="00B21C88">
              <w:t>15.4</w:t>
            </w:r>
          </w:p>
        </w:tc>
        <w:tc>
          <w:tcPr>
            <w:tcW w:w="1044" w:type="dxa"/>
          </w:tcPr>
          <w:p w:rsidR="00B21C88" w:rsidRPr="00B21C88" w:rsidRDefault="00B21C88" w:rsidP="00B21C88">
            <w:pPr>
              <w:pStyle w:val="NoSpacing"/>
              <w:rPr>
                <w:szCs w:val="16"/>
              </w:rPr>
            </w:pPr>
            <w:r w:rsidRPr="00B21C88">
              <w:rPr>
                <w:szCs w:val="16"/>
              </w:rPr>
              <w:t>7.1</w:t>
            </w:r>
          </w:p>
        </w:tc>
      </w:tr>
      <w:tr w:rsidR="00B21C88" w:rsidRPr="00B21C88" w:rsidTr="005B5778">
        <w:tc>
          <w:tcPr>
            <w:tcW w:w="2363" w:type="dxa"/>
          </w:tcPr>
          <w:p w:rsidR="00B21C88" w:rsidRPr="00B21C88" w:rsidRDefault="00B21C88" w:rsidP="00B21C88">
            <w:pPr>
              <w:pStyle w:val="NoSpacing"/>
            </w:pPr>
            <w:r w:rsidRPr="00B21C88">
              <w:t>Swelling</w:t>
            </w:r>
          </w:p>
          <w:p w:rsidR="00B21C88" w:rsidRPr="00B21C88" w:rsidRDefault="00B21C88" w:rsidP="00B21C88">
            <w:pPr>
              <w:pStyle w:val="NoSpacing"/>
            </w:pPr>
          </w:p>
        </w:tc>
        <w:tc>
          <w:tcPr>
            <w:tcW w:w="1168" w:type="dxa"/>
          </w:tcPr>
          <w:p w:rsidR="00B21C88" w:rsidRPr="00B21C88" w:rsidRDefault="00B21C88" w:rsidP="00B21C88">
            <w:pPr>
              <w:pStyle w:val="NoSpacing"/>
            </w:pPr>
            <w:r w:rsidRPr="00B21C88">
              <w:t>7.1</w:t>
            </w:r>
          </w:p>
        </w:tc>
        <w:tc>
          <w:tcPr>
            <w:tcW w:w="1217" w:type="dxa"/>
          </w:tcPr>
          <w:p w:rsidR="00B21C88" w:rsidRPr="00B21C88" w:rsidRDefault="00B21C88" w:rsidP="00B21C88">
            <w:pPr>
              <w:pStyle w:val="NoSpacing"/>
            </w:pPr>
            <w:r w:rsidRPr="00B21C88">
              <w:t>16.7</w:t>
            </w:r>
          </w:p>
        </w:tc>
        <w:tc>
          <w:tcPr>
            <w:tcW w:w="1221" w:type="dxa"/>
          </w:tcPr>
          <w:p w:rsidR="00B21C88" w:rsidRPr="00B21C88" w:rsidRDefault="00B21C88" w:rsidP="00B21C88">
            <w:pPr>
              <w:pStyle w:val="NoSpacing"/>
            </w:pPr>
            <w:r w:rsidRPr="00B21C88">
              <w:t>3.2</w:t>
            </w:r>
          </w:p>
        </w:tc>
        <w:tc>
          <w:tcPr>
            <w:tcW w:w="1231" w:type="dxa"/>
          </w:tcPr>
          <w:p w:rsidR="00B21C88" w:rsidRPr="00B21C88" w:rsidRDefault="00B21C88" w:rsidP="00B21C88">
            <w:pPr>
              <w:pStyle w:val="NoSpacing"/>
            </w:pPr>
            <w:r w:rsidRPr="00B21C88">
              <w:t>6.8</w:t>
            </w:r>
          </w:p>
        </w:tc>
        <w:tc>
          <w:tcPr>
            <w:tcW w:w="1254" w:type="dxa"/>
          </w:tcPr>
          <w:p w:rsidR="00B21C88" w:rsidRPr="00B21C88" w:rsidRDefault="00B21C88" w:rsidP="00B21C88">
            <w:pPr>
              <w:pStyle w:val="NoSpacing"/>
            </w:pPr>
            <w:r w:rsidRPr="00B21C88">
              <w:t>8.1</w:t>
            </w:r>
          </w:p>
        </w:tc>
        <w:tc>
          <w:tcPr>
            <w:tcW w:w="1044" w:type="dxa"/>
          </w:tcPr>
          <w:p w:rsidR="00B21C88" w:rsidRPr="00B21C88" w:rsidRDefault="00B21C88" w:rsidP="00B21C88">
            <w:pPr>
              <w:pStyle w:val="NoSpacing"/>
              <w:rPr>
                <w:szCs w:val="16"/>
              </w:rPr>
            </w:pPr>
            <w:r w:rsidRPr="00B21C88">
              <w:rPr>
                <w:szCs w:val="16"/>
              </w:rPr>
              <w:t>7.1</w:t>
            </w:r>
          </w:p>
        </w:tc>
      </w:tr>
      <w:tr w:rsidR="00B21C88" w:rsidRPr="00B21C88" w:rsidTr="005B5778">
        <w:tc>
          <w:tcPr>
            <w:tcW w:w="2363" w:type="dxa"/>
          </w:tcPr>
          <w:p w:rsidR="00B21C88" w:rsidRPr="00B21C88" w:rsidRDefault="00B21C88" w:rsidP="00B21C88">
            <w:pPr>
              <w:pStyle w:val="NoSpacing"/>
            </w:pPr>
            <w:r w:rsidRPr="00B21C88">
              <w:t>Performance Assessment</w:t>
            </w:r>
          </w:p>
        </w:tc>
        <w:tc>
          <w:tcPr>
            <w:tcW w:w="1168" w:type="dxa"/>
          </w:tcPr>
          <w:p w:rsidR="00B21C88" w:rsidRPr="00B21C88" w:rsidRDefault="00B21C88" w:rsidP="00B21C88">
            <w:pPr>
              <w:pStyle w:val="NoSpacing"/>
            </w:pPr>
            <w:r w:rsidRPr="00B21C88">
              <w:t>14.7</w:t>
            </w:r>
          </w:p>
        </w:tc>
        <w:tc>
          <w:tcPr>
            <w:tcW w:w="1217" w:type="dxa"/>
          </w:tcPr>
          <w:p w:rsidR="00B21C88" w:rsidRPr="00B21C88" w:rsidRDefault="00B21C88" w:rsidP="00B21C88">
            <w:pPr>
              <w:pStyle w:val="NoSpacing"/>
            </w:pPr>
            <w:r w:rsidRPr="00B21C88">
              <w:t>27.8</w:t>
            </w:r>
          </w:p>
        </w:tc>
        <w:tc>
          <w:tcPr>
            <w:tcW w:w="1221" w:type="dxa"/>
          </w:tcPr>
          <w:p w:rsidR="00B21C88" w:rsidRPr="00B21C88" w:rsidRDefault="00B21C88" w:rsidP="00B21C88">
            <w:pPr>
              <w:pStyle w:val="NoSpacing"/>
            </w:pPr>
            <w:r w:rsidRPr="00B21C88">
              <w:t>11.7</w:t>
            </w:r>
          </w:p>
        </w:tc>
        <w:tc>
          <w:tcPr>
            <w:tcW w:w="1231" w:type="dxa"/>
          </w:tcPr>
          <w:p w:rsidR="00B21C88" w:rsidRPr="00B21C88" w:rsidRDefault="00B21C88" w:rsidP="00B21C88">
            <w:pPr>
              <w:pStyle w:val="NoSpacing"/>
            </w:pPr>
            <w:r w:rsidRPr="00B21C88">
              <w:t>15.0</w:t>
            </w:r>
          </w:p>
        </w:tc>
        <w:tc>
          <w:tcPr>
            <w:tcW w:w="1254" w:type="dxa"/>
          </w:tcPr>
          <w:p w:rsidR="00B21C88" w:rsidRPr="00B21C88" w:rsidRDefault="00B21C88" w:rsidP="00B21C88">
            <w:pPr>
              <w:pStyle w:val="NoSpacing"/>
            </w:pPr>
            <w:r w:rsidRPr="00B21C88">
              <w:t>16.3</w:t>
            </w:r>
          </w:p>
        </w:tc>
        <w:tc>
          <w:tcPr>
            <w:tcW w:w="1044" w:type="dxa"/>
          </w:tcPr>
          <w:p w:rsidR="00B21C88" w:rsidRPr="00B21C88" w:rsidRDefault="00B21C88" w:rsidP="00B21C88">
            <w:pPr>
              <w:pStyle w:val="NoSpacing"/>
              <w:rPr>
                <w:szCs w:val="16"/>
              </w:rPr>
            </w:pPr>
            <w:r w:rsidRPr="00B21C88">
              <w:rPr>
                <w:szCs w:val="16"/>
              </w:rPr>
              <w:t>7.1</w:t>
            </w:r>
          </w:p>
        </w:tc>
      </w:tr>
      <w:tr w:rsidR="00B21C88" w:rsidRPr="00B21C88" w:rsidTr="005B5778">
        <w:tc>
          <w:tcPr>
            <w:tcW w:w="2363" w:type="dxa"/>
          </w:tcPr>
          <w:p w:rsidR="00B21C88" w:rsidRPr="00B21C88" w:rsidRDefault="00B21C88" w:rsidP="00B21C88">
            <w:pPr>
              <w:pStyle w:val="NoSpacing"/>
            </w:pPr>
            <w:r w:rsidRPr="00B21C88">
              <w:t>Pain flares</w:t>
            </w:r>
          </w:p>
          <w:p w:rsidR="00B21C88" w:rsidRPr="00B21C88" w:rsidRDefault="00B21C88" w:rsidP="00B21C88">
            <w:pPr>
              <w:pStyle w:val="NoSpacing"/>
            </w:pPr>
          </w:p>
        </w:tc>
        <w:tc>
          <w:tcPr>
            <w:tcW w:w="1168" w:type="dxa"/>
          </w:tcPr>
          <w:p w:rsidR="00B21C88" w:rsidRPr="00B21C88" w:rsidRDefault="00B21C88" w:rsidP="00B21C88">
            <w:pPr>
              <w:pStyle w:val="NoSpacing"/>
            </w:pPr>
            <w:r w:rsidRPr="00B21C88">
              <w:t>1.6</w:t>
            </w:r>
          </w:p>
        </w:tc>
        <w:tc>
          <w:tcPr>
            <w:tcW w:w="1217" w:type="dxa"/>
          </w:tcPr>
          <w:p w:rsidR="00B21C88" w:rsidRPr="00B21C88" w:rsidRDefault="00B21C88" w:rsidP="00B21C88">
            <w:pPr>
              <w:pStyle w:val="NoSpacing"/>
            </w:pPr>
            <w:r w:rsidRPr="00B21C88">
              <w:t>5.6</w:t>
            </w:r>
          </w:p>
        </w:tc>
        <w:tc>
          <w:tcPr>
            <w:tcW w:w="1221" w:type="dxa"/>
          </w:tcPr>
          <w:p w:rsidR="00B21C88" w:rsidRPr="00B21C88" w:rsidRDefault="00B21C88" w:rsidP="00B21C88">
            <w:pPr>
              <w:pStyle w:val="NoSpacing"/>
            </w:pPr>
            <w:r w:rsidRPr="00B21C88">
              <w:t>3.2</w:t>
            </w:r>
          </w:p>
        </w:tc>
        <w:tc>
          <w:tcPr>
            <w:tcW w:w="1231" w:type="dxa"/>
          </w:tcPr>
          <w:p w:rsidR="00B21C88" w:rsidRPr="00B21C88" w:rsidRDefault="00B21C88" w:rsidP="00B21C88">
            <w:pPr>
              <w:pStyle w:val="NoSpacing"/>
            </w:pPr>
            <w:r w:rsidRPr="00B21C88">
              <w:t>1.5</w:t>
            </w:r>
          </w:p>
        </w:tc>
        <w:tc>
          <w:tcPr>
            <w:tcW w:w="1254" w:type="dxa"/>
          </w:tcPr>
          <w:p w:rsidR="00B21C88" w:rsidRPr="00B21C88" w:rsidRDefault="00B21C88" w:rsidP="00B21C88">
            <w:pPr>
              <w:pStyle w:val="NoSpacing"/>
            </w:pPr>
            <w:r w:rsidRPr="00B21C88">
              <w:t>0.8</w:t>
            </w:r>
          </w:p>
        </w:tc>
        <w:tc>
          <w:tcPr>
            <w:tcW w:w="1044" w:type="dxa"/>
          </w:tcPr>
          <w:p w:rsidR="00B21C88" w:rsidRPr="00B21C88" w:rsidRDefault="00B21C88" w:rsidP="00B21C88">
            <w:pPr>
              <w:pStyle w:val="NoSpacing"/>
              <w:rPr>
                <w:szCs w:val="16"/>
              </w:rPr>
            </w:pPr>
            <w:r w:rsidRPr="00B21C88">
              <w:rPr>
                <w:szCs w:val="16"/>
              </w:rPr>
              <w:t>0.0</w:t>
            </w:r>
          </w:p>
        </w:tc>
      </w:tr>
      <w:tr w:rsidR="00B21C88" w:rsidRPr="00B21C88" w:rsidTr="005B5778">
        <w:tc>
          <w:tcPr>
            <w:tcW w:w="2363" w:type="dxa"/>
            <w:tcBorders>
              <w:bottom w:val="single" w:sz="4" w:space="0" w:color="auto"/>
            </w:tcBorders>
          </w:tcPr>
          <w:p w:rsidR="00B21C88" w:rsidRPr="00B21C88" w:rsidRDefault="00B21C88" w:rsidP="00B21C88">
            <w:pPr>
              <w:pStyle w:val="NoSpacing"/>
            </w:pPr>
            <w:r w:rsidRPr="00B21C88">
              <w:t>Time to surgery</w:t>
            </w:r>
          </w:p>
          <w:p w:rsidR="00B21C88" w:rsidRPr="00B21C88" w:rsidRDefault="00B21C88" w:rsidP="00B21C88">
            <w:pPr>
              <w:pStyle w:val="NoSpacing"/>
            </w:pPr>
          </w:p>
        </w:tc>
        <w:tc>
          <w:tcPr>
            <w:tcW w:w="1168" w:type="dxa"/>
            <w:tcBorders>
              <w:bottom w:val="single" w:sz="4" w:space="0" w:color="auto"/>
            </w:tcBorders>
          </w:tcPr>
          <w:p w:rsidR="00B21C88" w:rsidRPr="00B21C88" w:rsidRDefault="00B21C88" w:rsidP="00B21C88">
            <w:pPr>
              <w:pStyle w:val="NoSpacing"/>
            </w:pPr>
            <w:r w:rsidRPr="00B21C88">
              <w:t>2.6</w:t>
            </w:r>
          </w:p>
        </w:tc>
        <w:tc>
          <w:tcPr>
            <w:tcW w:w="1217" w:type="dxa"/>
            <w:tcBorders>
              <w:bottom w:val="single" w:sz="4" w:space="0" w:color="auto"/>
            </w:tcBorders>
          </w:tcPr>
          <w:p w:rsidR="00B21C88" w:rsidRPr="00B21C88" w:rsidRDefault="00B21C88" w:rsidP="00B21C88">
            <w:pPr>
              <w:pStyle w:val="NoSpacing"/>
            </w:pPr>
            <w:r w:rsidRPr="00B21C88">
              <w:t>16.7</w:t>
            </w:r>
          </w:p>
        </w:tc>
        <w:tc>
          <w:tcPr>
            <w:tcW w:w="1221" w:type="dxa"/>
            <w:tcBorders>
              <w:bottom w:val="single" w:sz="4" w:space="0" w:color="auto"/>
            </w:tcBorders>
          </w:tcPr>
          <w:p w:rsidR="00B21C88" w:rsidRPr="00B21C88" w:rsidRDefault="00B21C88" w:rsidP="00B21C88">
            <w:pPr>
              <w:pStyle w:val="NoSpacing"/>
            </w:pPr>
            <w:r w:rsidRPr="00B21C88">
              <w:t>0.0</w:t>
            </w:r>
          </w:p>
        </w:tc>
        <w:tc>
          <w:tcPr>
            <w:tcW w:w="1231" w:type="dxa"/>
            <w:tcBorders>
              <w:bottom w:val="single" w:sz="4" w:space="0" w:color="auto"/>
            </w:tcBorders>
          </w:tcPr>
          <w:p w:rsidR="00B21C88" w:rsidRPr="00B21C88" w:rsidRDefault="00B21C88" w:rsidP="00B21C88">
            <w:pPr>
              <w:pStyle w:val="NoSpacing"/>
            </w:pPr>
            <w:r w:rsidRPr="00B21C88">
              <w:t>0.0</w:t>
            </w:r>
          </w:p>
        </w:tc>
        <w:tc>
          <w:tcPr>
            <w:tcW w:w="1254" w:type="dxa"/>
            <w:tcBorders>
              <w:bottom w:val="single" w:sz="4" w:space="0" w:color="auto"/>
            </w:tcBorders>
          </w:tcPr>
          <w:p w:rsidR="00B21C88" w:rsidRPr="00B21C88" w:rsidRDefault="00B21C88" w:rsidP="00B21C88">
            <w:pPr>
              <w:pStyle w:val="NoSpacing"/>
            </w:pPr>
            <w:r w:rsidRPr="00B21C88">
              <w:t>4.1</w:t>
            </w:r>
          </w:p>
        </w:tc>
        <w:tc>
          <w:tcPr>
            <w:tcW w:w="1044" w:type="dxa"/>
            <w:tcBorders>
              <w:bottom w:val="single" w:sz="4" w:space="0" w:color="auto"/>
            </w:tcBorders>
          </w:tcPr>
          <w:p w:rsidR="00B21C88" w:rsidRPr="00B21C88" w:rsidRDefault="00B21C88" w:rsidP="00B21C88">
            <w:pPr>
              <w:pStyle w:val="NoSpacing"/>
              <w:rPr>
                <w:szCs w:val="16"/>
              </w:rPr>
            </w:pPr>
            <w:r w:rsidRPr="00B21C88">
              <w:rPr>
                <w:szCs w:val="16"/>
              </w:rPr>
              <w:t>7.1</w:t>
            </w:r>
          </w:p>
        </w:tc>
      </w:tr>
      <w:tr w:rsidR="00B21C88" w:rsidRPr="00B21C88" w:rsidTr="005B5778">
        <w:tc>
          <w:tcPr>
            <w:tcW w:w="2363" w:type="dxa"/>
            <w:tcBorders>
              <w:bottom w:val="single" w:sz="12" w:space="0" w:color="auto"/>
            </w:tcBorders>
          </w:tcPr>
          <w:p w:rsidR="00B21C88" w:rsidRPr="00B21C88" w:rsidRDefault="00B21C88" w:rsidP="00B21C88">
            <w:pPr>
              <w:pStyle w:val="NoSpacing"/>
            </w:pPr>
            <w:r w:rsidRPr="00B21C88">
              <w:t>Analgesic consumption</w:t>
            </w:r>
          </w:p>
          <w:p w:rsidR="00B21C88" w:rsidRPr="00B21C88" w:rsidRDefault="00B21C88" w:rsidP="00B21C88">
            <w:pPr>
              <w:pStyle w:val="NoSpacing"/>
            </w:pPr>
          </w:p>
        </w:tc>
        <w:tc>
          <w:tcPr>
            <w:tcW w:w="1168" w:type="dxa"/>
            <w:tcBorders>
              <w:bottom w:val="single" w:sz="12" w:space="0" w:color="auto"/>
            </w:tcBorders>
          </w:tcPr>
          <w:p w:rsidR="00B21C88" w:rsidRPr="00B21C88" w:rsidRDefault="00B21C88" w:rsidP="00B21C88">
            <w:pPr>
              <w:pStyle w:val="NoSpacing"/>
            </w:pPr>
            <w:r w:rsidRPr="00B21C88">
              <w:t>27.0</w:t>
            </w:r>
          </w:p>
        </w:tc>
        <w:tc>
          <w:tcPr>
            <w:tcW w:w="1217" w:type="dxa"/>
            <w:tcBorders>
              <w:bottom w:val="single" w:sz="12" w:space="0" w:color="auto"/>
            </w:tcBorders>
          </w:tcPr>
          <w:p w:rsidR="00B21C88" w:rsidRPr="00B21C88" w:rsidRDefault="00B21C88" w:rsidP="00B21C88">
            <w:pPr>
              <w:pStyle w:val="NoSpacing"/>
            </w:pPr>
            <w:r w:rsidRPr="00B21C88">
              <w:t>50.0</w:t>
            </w:r>
          </w:p>
        </w:tc>
        <w:tc>
          <w:tcPr>
            <w:tcW w:w="1221" w:type="dxa"/>
            <w:tcBorders>
              <w:bottom w:val="single" w:sz="12" w:space="0" w:color="auto"/>
            </w:tcBorders>
          </w:tcPr>
          <w:p w:rsidR="00B21C88" w:rsidRPr="00B21C88" w:rsidRDefault="00B21C88" w:rsidP="00B21C88">
            <w:pPr>
              <w:pStyle w:val="NoSpacing"/>
            </w:pPr>
            <w:r w:rsidRPr="00B21C88">
              <w:t>29.8</w:t>
            </w:r>
          </w:p>
        </w:tc>
        <w:tc>
          <w:tcPr>
            <w:tcW w:w="1231" w:type="dxa"/>
            <w:tcBorders>
              <w:bottom w:val="single" w:sz="12" w:space="0" w:color="auto"/>
            </w:tcBorders>
          </w:tcPr>
          <w:p w:rsidR="00B21C88" w:rsidRPr="00B21C88" w:rsidRDefault="00B21C88" w:rsidP="00B21C88">
            <w:pPr>
              <w:pStyle w:val="NoSpacing"/>
            </w:pPr>
            <w:r w:rsidRPr="00B21C88">
              <w:t>24.8</w:t>
            </w:r>
          </w:p>
        </w:tc>
        <w:tc>
          <w:tcPr>
            <w:tcW w:w="1254" w:type="dxa"/>
            <w:tcBorders>
              <w:bottom w:val="single" w:sz="12" w:space="0" w:color="auto"/>
            </w:tcBorders>
          </w:tcPr>
          <w:p w:rsidR="00B21C88" w:rsidRPr="00B21C88" w:rsidRDefault="00B21C88" w:rsidP="00B21C88">
            <w:pPr>
              <w:pStyle w:val="NoSpacing"/>
            </w:pPr>
            <w:r w:rsidRPr="00B21C88">
              <w:t>22.8</w:t>
            </w:r>
          </w:p>
        </w:tc>
        <w:tc>
          <w:tcPr>
            <w:tcW w:w="1044" w:type="dxa"/>
            <w:tcBorders>
              <w:bottom w:val="single" w:sz="12" w:space="0" w:color="auto"/>
            </w:tcBorders>
          </w:tcPr>
          <w:p w:rsidR="00B21C88" w:rsidRPr="00B21C88" w:rsidRDefault="00B21C88" w:rsidP="00B21C88">
            <w:pPr>
              <w:pStyle w:val="NoSpacing"/>
              <w:rPr>
                <w:szCs w:val="16"/>
              </w:rPr>
            </w:pPr>
            <w:r w:rsidRPr="00B21C88">
              <w:rPr>
                <w:szCs w:val="16"/>
              </w:rPr>
              <w:t>21.4</w:t>
            </w:r>
          </w:p>
        </w:tc>
      </w:tr>
    </w:tbl>
    <w:p w:rsidR="00B21C88" w:rsidRPr="00B21C88" w:rsidRDefault="00B21C88" w:rsidP="00B21C88">
      <w:r w:rsidRPr="00B21C88">
        <w:t>* Imaging is a required core outcome set domain for trials of 12 month or greater follow-up in trials of structure modifying osteoarthritis drugs (Total N=68).</w:t>
      </w:r>
    </w:p>
    <w:p w:rsidR="00B21C88" w:rsidRPr="00B21C88" w:rsidRDefault="00B21C88" w:rsidP="00B21C88"/>
    <w:p w:rsidR="00B21C88" w:rsidRPr="00B21C88" w:rsidRDefault="00B21C88" w:rsidP="00B21C88">
      <w:pPr>
        <w:spacing w:after="0" w:line="240" w:lineRule="auto"/>
      </w:pPr>
      <w:r w:rsidRPr="00B21C88">
        <w:br w:type="page"/>
      </w:r>
    </w:p>
    <w:p w:rsidR="00B21C88" w:rsidRPr="00B21C88" w:rsidRDefault="00B21C88" w:rsidP="00B21C88">
      <w:r w:rsidRPr="00B21C88">
        <w:rPr>
          <w:b/>
        </w:rPr>
        <w:lastRenderedPageBreak/>
        <w:t>APPENDIX: Supplementary Table 1:</w:t>
      </w:r>
      <w:r w:rsidRPr="00B21C88">
        <w:t xml:space="preserve"> Characteristics of included trials registered on ClinicalTrials.gov</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402"/>
        <w:gridCol w:w="2127"/>
      </w:tblGrid>
      <w:tr w:rsidR="00B21C88" w:rsidRPr="00B21C88" w:rsidTr="005B5778">
        <w:trPr>
          <w:jc w:val="center"/>
        </w:trPr>
        <w:tc>
          <w:tcPr>
            <w:tcW w:w="3402" w:type="dxa"/>
            <w:tcBorders>
              <w:top w:val="single" w:sz="12" w:space="0" w:color="auto"/>
              <w:bottom w:val="single" w:sz="12" w:space="0" w:color="auto"/>
            </w:tcBorders>
            <w:shd w:val="clear" w:color="auto" w:fill="BFBFBF" w:themeFill="background1" w:themeFillShade="BF"/>
          </w:tcPr>
          <w:p w:rsidR="00B21C88" w:rsidRPr="00B21C88" w:rsidRDefault="00B21C88" w:rsidP="00B21C88">
            <w:pPr>
              <w:spacing w:after="0" w:line="240" w:lineRule="auto"/>
              <w:rPr>
                <w:b/>
              </w:rPr>
            </w:pPr>
            <w:r w:rsidRPr="00B21C88">
              <w:rPr>
                <w:b/>
              </w:rPr>
              <w:t>Characteristic</w:t>
            </w:r>
          </w:p>
        </w:tc>
        <w:tc>
          <w:tcPr>
            <w:tcW w:w="2127" w:type="dxa"/>
            <w:tcBorders>
              <w:top w:val="single" w:sz="12" w:space="0" w:color="auto"/>
              <w:bottom w:val="single" w:sz="12" w:space="0" w:color="auto"/>
            </w:tcBorders>
            <w:shd w:val="clear" w:color="auto" w:fill="BFBFBF" w:themeFill="background1" w:themeFillShade="BF"/>
          </w:tcPr>
          <w:p w:rsidR="00B21C88" w:rsidRPr="00B21C88" w:rsidRDefault="00B21C88" w:rsidP="00B21C88">
            <w:pPr>
              <w:spacing w:after="0" w:line="240" w:lineRule="auto"/>
              <w:rPr>
                <w:b/>
              </w:rPr>
            </w:pPr>
            <w:r w:rsidRPr="00B21C88">
              <w:rPr>
                <w:b/>
              </w:rPr>
              <w:t>Number (%) of trials (N=382)</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Location of Osteoarthritis</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Hip</w:t>
            </w:r>
          </w:p>
        </w:tc>
        <w:tc>
          <w:tcPr>
            <w:tcW w:w="2127" w:type="dxa"/>
            <w:tcBorders>
              <w:top w:val="single" w:sz="12" w:space="0" w:color="auto"/>
            </w:tcBorders>
          </w:tcPr>
          <w:p w:rsidR="00B21C88" w:rsidRPr="00B21C88" w:rsidRDefault="00B21C88" w:rsidP="00B21C88">
            <w:pPr>
              <w:spacing w:after="0" w:line="240" w:lineRule="auto"/>
            </w:pPr>
            <w:r w:rsidRPr="00B21C88">
              <w:t>17 (4.5)</w:t>
            </w:r>
          </w:p>
        </w:tc>
      </w:tr>
      <w:tr w:rsidR="00B21C88" w:rsidRPr="00B21C88" w:rsidTr="005B5778">
        <w:trPr>
          <w:jc w:val="center"/>
        </w:trPr>
        <w:tc>
          <w:tcPr>
            <w:tcW w:w="3402" w:type="dxa"/>
          </w:tcPr>
          <w:p w:rsidR="00B21C88" w:rsidRPr="00B21C88" w:rsidRDefault="00B21C88" w:rsidP="00B21C88">
            <w:pPr>
              <w:spacing w:after="0" w:line="240" w:lineRule="auto"/>
            </w:pPr>
            <w:r w:rsidRPr="00B21C88">
              <w:t>Knee</w:t>
            </w:r>
          </w:p>
        </w:tc>
        <w:tc>
          <w:tcPr>
            <w:tcW w:w="2127" w:type="dxa"/>
          </w:tcPr>
          <w:p w:rsidR="00B21C88" w:rsidRPr="00B21C88" w:rsidRDefault="00B21C88" w:rsidP="00B21C88">
            <w:pPr>
              <w:spacing w:after="0" w:line="240" w:lineRule="auto"/>
            </w:pPr>
            <w:r w:rsidRPr="00B21C88">
              <w:t>299 (78.3)</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Hip and Knee</w:t>
            </w:r>
          </w:p>
        </w:tc>
        <w:tc>
          <w:tcPr>
            <w:tcW w:w="2127" w:type="dxa"/>
            <w:tcBorders>
              <w:bottom w:val="single" w:sz="12" w:space="0" w:color="auto"/>
            </w:tcBorders>
          </w:tcPr>
          <w:p w:rsidR="00B21C88" w:rsidRPr="00B21C88" w:rsidRDefault="00B21C88" w:rsidP="00B21C88">
            <w:pPr>
              <w:spacing w:after="0" w:line="240" w:lineRule="auto"/>
            </w:pPr>
            <w:r w:rsidRPr="00B21C88">
              <w:t>66 (17.3)</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Trial Phase</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3</w:t>
            </w:r>
          </w:p>
        </w:tc>
        <w:tc>
          <w:tcPr>
            <w:tcW w:w="2127" w:type="dxa"/>
            <w:tcBorders>
              <w:top w:val="single" w:sz="12" w:space="0" w:color="auto"/>
            </w:tcBorders>
          </w:tcPr>
          <w:p w:rsidR="00B21C88" w:rsidRPr="00B21C88" w:rsidRDefault="00B21C88" w:rsidP="00B21C88">
            <w:pPr>
              <w:spacing w:after="0" w:line="240" w:lineRule="auto"/>
            </w:pPr>
            <w:r w:rsidRPr="00B21C88">
              <w:t>253 (66.2)</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4</w:t>
            </w:r>
          </w:p>
        </w:tc>
        <w:tc>
          <w:tcPr>
            <w:tcW w:w="2127" w:type="dxa"/>
            <w:tcBorders>
              <w:bottom w:val="single" w:sz="12" w:space="0" w:color="auto"/>
            </w:tcBorders>
          </w:tcPr>
          <w:p w:rsidR="00B21C88" w:rsidRPr="00B21C88" w:rsidRDefault="00B21C88" w:rsidP="00B21C88">
            <w:pPr>
              <w:spacing w:after="0" w:line="240" w:lineRule="auto"/>
            </w:pPr>
            <w:r w:rsidRPr="00B21C88">
              <w:t>129 (33.8)</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Intervention Type</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Drug Trial</w:t>
            </w:r>
          </w:p>
        </w:tc>
        <w:tc>
          <w:tcPr>
            <w:tcW w:w="2127" w:type="dxa"/>
            <w:tcBorders>
              <w:top w:val="single" w:sz="12" w:space="0" w:color="auto"/>
            </w:tcBorders>
          </w:tcPr>
          <w:p w:rsidR="00B21C88" w:rsidRPr="00B21C88" w:rsidRDefault="00B21C88" w:rsidP="00B21C88">
            <w:pPr>
              <w:spacing w:after="0" w:line="240" w:lineRule="auto"/>
            </w:pPr>
            <w:r w:rsidRPr="00B21C88">
              <w:t>348 (91.1)</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Non-Drug Trial</w:t>
            </w:r>
          </w:p>
        </w:tc>
        <w:tc>
          <w:tcPr>
            <w:tcW w:w="2127" w:type="dxa"/>
            <w:tcBorders>
              <w:bottom w:val="single" w:sz="12" w:space="0" w:color="auto"/>
            </w:tcBorders>
          </w:tcPr>
          <w:p w:rsidR="00B21C88" w:rsidRPr="00B21C88" w:rsidRDefault="00B21C88" w:rsidP="00B21C88">
            <w:pPr>
              <w:spacing w:after="0" w:line="240" w:lineRule="auto"/>
            </w:pPr>
            <w:r w:rsidRPr="00B21C88">
              <w:t>34 (8.9)</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Trial duration</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Mean duration (weeks; SD)</w:t>
            </w:r>
          </w:p>
        </w:tc>
        <w:tc>
          <w:tcPr>
            <w:tcW w:w="2127" w:type="dxa"/>
            <w:tcBorders>
              <w:top w:val="single" w:sz="12" w:space="0" w:color="auto"/>
            </w:tcBorders>
          </w:tcPr>
          <w:p w:rsidR="00B21C88" w:rsidRPr="00B21C88" w:rsidRDefault="00B21C88" w:rsidP="00B21C88">
            <w:pPr>
              <w:spacing w:after="0" w:line="240" w:lineRule="auto"/>
            </w:pPr>
            <w:r w:rsidRPr="00B21C88">
              <w:t>27.2 (46.0)</w:t>
            </w:r>
          </w:p>
        </w:tc>
      </w:tr>
      <w:tr w:rsidR="00B21C88" w:rsidRPr="00B21C88" w:rsidTr="005B5778">
        <w:trPr>
          <w:jc w:val="center"/>
        </w:trPr>
        <w:tc>
          <w:tcPr>
            <w:tcW w:w="3402" w:type="dxa"/>
          </w:tcPr>
          <w:p w:rsidR="00B21C88" w:rsidRPr="00B21C88" w:rsidRDefault="00B21C88" w:rsidP="00B21C88">
            <w:pPr>
              <w:spacing w:after="0" w:line="240" w:lineRule="auto"/>
            </w:pPr>
            <w:r w:rsidRPr="00B21C88">
              <w:t>&lt;6 months</w:t>
            </w:r>
          </w:p>
        </w:tc>
        <w:tc>
          <w:tcPr>
            <w:tcW w:w="2127" w:type="dxa"/>
          </w:tcPr>
          <w:p w:rsidR="00B21C88" w:rsidRPr="00B21C88" w:rsidRDefault="00B21C88" w:rsidP="00B21C88">
            <w:pPr>
              <w:spacing w:after="0" w:line="240" w:lineRule="auto"/>
            </w:pPr>
            <w:r w:rsidRPr="00B21C88">
              <w:t>254 (66.5)</w:t>
            </w:r>
          </w:p>
        </w:tc>
      </w:tr>
      <w:tr w:rsidR="00B21C88" w:rsidRPr="00B21C88" w:rsidTr="005B5778">
        <w:trPr>
          <w:jc w:val="center"/>
        </w:trPr>
        <w:tc>
          <w:tcPr>
            <w:tcW w:w="3402" w:type="dxa"/>
          </w:tcPr>
          <w:p w:rsidR="00B21C88" w:rsidRPr="00B21C88" w:rsidRDefault="00B21C88" w:rsidP="00B21C88">
            <w:pPr>
              <w:spacing w:after="0" w:line="240" w:lineRule="auto"/>
            </w:pPr>
            <w:r w:rsidRPr="00B21C88">
              <w:t>6-12 months</w:t>
            </w:r>
          </w:p>
        </w:tc>
        <w:tc>
          <w:tcPr>
            <w:tcW w:w="2127" w:type="dxa"/>
          </w:tcPr>
          <w:p w:rsidR="00B21C88" w:rsidRPr="00B21C88" w:rsidRDefault="00B21C88" w:rsidP="00B21C88">
            <w:pPr>
              <w:spacing w:after="0" w:line="240" w:lineRule="auto"/>
            </w:pPr>
            <w:r w:rsidRPr="00B21C88">
              <w:t>95 (24.9)</w:t>
            </w:r>
          </w:p>
        </w:tc>
      </w:tr>
      <w:tr w:rsidR="00B21C88" w:rsidRPr="00B21C88" w:rsidTr="005B5778">
        <w:trPr>
          <w:jc w:val="center"/>
        </w:trPr>
        <w:tc>
          <w:tcPr>
            <w:tcW w:w="3402" w:type="dxa"/>
          </w:tcPr>
          <w:p w:rsidR="00B21C88" w:rsidRPr="00B21C88" w:rsidRDefault="00B21C88" w:rsidP="00B21C88">
            <w:pPr>
              <w:spacing w:after="0" w:line="240" w:lineRule="auto"/>
            </w:pPr>
            <w:r w:rsidRPr="00B21C88">
              <w:t>&gt;12 months</w:t>
            </w:r>
          </w:p>
        </w:tc>
        <w:tc>
          <w:tcPr>
            <w:tcW w:w="2127" w:type="dxa"/>
          </w:tcPr>
          <w:p w:rsidR="00B21C88" w:rsidRPr="00B21C88" w:rsidRDefault="00B21C88" w:rsidP="00B21C88">
            <w:pPr>
              <w:spacing w:after="0" w:line="240" w:lineRule="auto"/>
            </w:pPr>
            <w:r w:rsidRPr="00B21C88">
              <w:t>29 (7.6)</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Not documented</w:t>
            </w:r>
          </w:p>
        </w:tc>
        <w:tc>
          <w:tcPr>
            <w:tcW w:w="2127" w:type="dxa"/>
            <w:tcBorders>
              <w:bottom w:val="single" w:sz="12" w:space="0" w:color="auto"/>
            </w:tcBorders>
          </w:tcPr>
          <w:p w:rsidR="00B21C88" w:rsidRPr="00B21C88" w:rsidRDefault="00B21C88" w:rsidP="00B21C88">
            <w:pPr>
              <w:spacing w:after="0" w:line="240" w:lineRule="auto"/>
            </w:pPr>
            <w:r w:rsidRPr="00B21C88">
              <w:t>4 (1.0)</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Planned sample size</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Mean sample size</w:t>
            </w:r>
          </w:p>
        </w:tc>
        <w:tc>
          <w:tcPr>
            <w:tcW w:w="2127" w:type="dxa"/>
            <w:tcBorders>
              <w:top w:val="single" w:sz="12" w:space="0" w:color="auto"/>
            </w:tcBorders>
          </w:tcPr>
          <w:p w:rsidR="00B21C88" w:rsidRPr="00B21C88" w:rsidRDefault="00B21C88" w:rsidP="00B21C88">
            <w:pPr>
              <w:spacing w:after="0" w:line="240" w:lineRule="auto"/>
            </w:pPr>
            <w:r w:rsidRPr="00B21C88">
              <w:t>359.5 (537.1)</w:t>
            </w:r>
          </w:p>
        </w:tc>
      </w:tr>
      <w:tr w:rsidR="00B21C88" w:rsidRPr="00B21C88" w:rsidTr="005B5778">
        <w:trPr>
          <w:jc w:val="center"/>
        </w:trPr>
        <w:tc>
          <w:tcPr>
            <w:tcW w:w="3402" w:type="dxa"/>
          </w:tcPr>
          <w:p w:rsidR="00B21C88" w:rsidRPr="00B21C88" w:rsidRDefault="00B21C88" w:rsidP="00B21C88">
            <w:pPr>
              <w:spacing w:after="0" w:line="240" w:lineRule="auto"/>
            </w:pPr>
            <w:r w:rsidRPr="00B21C88">
              <w:t>&lt;100</w:t>
            </w:r>
          </w:p>
        </w:tc>
        <w:tc>
          <w:tcPr>
            <w:tcW w:w="2127" w:type="dxa"/>
          </w:tcPr>
          <w:p w:rsidR="00B21C88" w:rsidRPr="00B21C88" w:rsidRDefault="00B21C88" w:rsidP="00B21C88">
            <w:pPr>
              <w:spacing w:after="0" w:line="240" w:lineRule="auto"/>
            </w:pPr>
            <w:r w:rsidRPr="00B21C88">
              <w:t>100 (26.2)</w:t>
            </w:r>
          </w:p>
        </w:tc>
      </w:tr>
      <w:tr w:rsidR="00B21C88" w:rsidRPr="00B21C88" w:rsidTr="005B5778">
        <w:trPr>
          <w:jc w:val="center"/>
        </w:trPr>
        <w:tc>
          <w:tcPr>
            <w:tcW w:w="3402" w:type="dxa"/>
          </w:tcPr>
          <w:p w:rsidR="00B21C88" w:rsidRPr="00B21C88" w:rsidRDefault="00B21C88" w:rsidP="00B21C88">
            <w:pPr>
              <w:spacing w:after="0" w:line="240" w:lineRule="auto"/>
            </w:pPr>
            <w:r w:rsidRPr="00B21C88">
              <w:t>100-500</w:t>
            </w:r>
          </w:p>
        </w:tc>
        <w:tc>
          <w:tcPr>
            <w:tcW w:w="2127" w:type="dxa"/>
          </w:tcPr>
          <w:p w:rsidR="00B21C88" w:rsidRPr="00B21C88" w:rsidRDefault="00B21C88" w:rsidP="00B21C88">
            <w:pPr>
              <w:spacing w:after="0" w:line="240" w:lineRule="auto"/>
            </w:pPr>
            <w:r w:rsidRPr="00B21C88">
              <w:t>194 (50.8)</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&gt;500</w:t>
            </w:r>
          </w:p>
        </w:tc>
        <w:tc>
          <w:tcPr>
            <w:tcW w:w="2127" w:type="dxa"/>
            <w:tcBorders>
              <w:bottom w:val="single" w:sz="12" w:space="0" w:color="auto"/>
            </w:tcBorders>
          </w:tcPr>
          <w:p w:rsidR="00B21C88" w:rsidRPr="00B21C88" w:rsidRDefault="00B21C88" w:rsidP="00B21C88">
            <w:pPr>
              <w:spacing w:after="0" w:line="240" w:lineRule="auto"/>
            </w:pPr>
            <w:r w:rsidRPr="00B21C88">
              <w:t>88 (23.0)</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Trial status</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Complete</w:t>
            </w:r>
          </w:p>
        </w:tc>
        <w:tc>
          <w:tcPr>
            <w:tcW w:w="2127" w:type="dxa"/>
            <w:tcBorders>
              <w:top w:val="single" w:sz="12" w:space="0" w:color="auto"/>
            </w:tcBorders>
          </w:tcPr>
          <w:p w:rsidR="00B21C88" w:rsidRPr="00B21C88" w:rsidRDefault="00B21C88" w:rsidP="00B21C88">
            <w:pPr>
              <w:spacing w:after="0" w:line="240" w:lineRule="auto"/>
            </w:pPr>
            <w:r w:rsidRPr="00B21C88">
              <w:t>259 (67.8)</w:t>
            </w:r>
          </w:p>
        </w:tc>
      </w:tr>
      <w:tr w:rsidR="00B21C88" w:rsidRPr="00B21C88" w:rsidTr="005B5778">
        <w:trPr>
          <w:jc w:val="center"/>
        </w:trPr>
        <w:tc>
          <w:tcPr>
            <w:tcW w:w="3402" w:type="dxa"/>
          </w:tcPr>
          <w:p w:rsidR="00B21C88" w:rsidRPr="00B21C88" w:rsidRDefault="00B21C88" w:rsidP="00B21C88">
            <w:pPr>
              <w:spacing w:after="0" w:line="240" w:lineRule="auto"/>
            </w:pPr>
            <w:r w:rsidRPr="00B21C88">
              <w:t>Recruiting</w:t>
            </w:r>
          </w:p>
        </w:tc>
        <w:tc>
          <w:tcPr>
            <w:tcW w:w="2127" w:type="dxa"/>
          </w:tcPr>
          <w:p w:rsidR="00B21C88" w:rsidRPr="00B21C88" w:rsidRDefault="00B21C88" w:rsidP="00B21C88">
            <w:pPr>
              <w:spacing w:after="0" w:line="240" w:lineRule="auto"/>
            </w:pPr>
            <w:r w:rsidRPr="00B21C88">
              <w:t>42 (11.0)</w:t>
            </w:r>
          </w:p>
        </w:tc>
      </w:tr>
      <w:tr w:rsidR="00B21C88" w:rsidRPr="00B21C88" w:rsidTr="005B5778">
        <w:trPr>
          <w:jc w:val="center"/>
        </w:trPr>
        <w:tc>
          <w:tcPr>
            <w:tcW w:w="3402" w:type="dxa"/>
          </w:tcPr>
          <w:p w:rsidR="00B21C88" w:rsidRPr="00B21C88" w:rsidRDefault="00B21C88" w:rsidP="00B21C88">
            <w:pPr>
              <w:spacing w:after="0" w:line="240" w:lineRule="auto"/>
            </w:pPr>
            <w:r w:rsidRPr="00B21C88">
              <w:t>Terminated</w:t>
            </w:r>
          </w:p>
        </w:tc>
        <w:tc>
          <w:tcPr>
            <w:tcW w:w="2127" w:type="dxa"/>
          </w:tcPr>
          <w:p w:rsidR="00B21C88" w:rsidRPr="00B21C88" w:rsidRDefault="00B21C88" w:rsidP="00B21C88">
            <w:pPr>
              <w:spacing w:after="0" w:line="240" w:lineRule="auto"/>
            </w:pPr>
            <w:r w:rsidRPr="00B21C88">
              <w:t>17 (4.5)</w:t>
            </w:r>
          </w:p>
        </w:tc>
      </w:tr>
      <w:tr w:rsidR="00B21C88" w:rsidRPr="00B21C88" w:rsidTr="005B5778">
        <w:trPr>
          <w:jc w:val="center"/>
        </w:trPr>
        <w:tc>
          <w:tcPr>
            <w:tcW w:w="3402" w:type="dxa"/>
          </w:tcPr>
          <w:p w:rsidR="00B21C88" w:rsidRPr="00B21C88" w:rsidRDefault="00B21C88" w:rsidP="00B21C88">
            <w:pPr>
              <w:spacing w:after="0" w:line="240" w:lineRule="auto"/>
            </w:pPr>
            <w:r w:rsidRPr="00B21C88">
              <w:t>Not yet recruiting</w:t>
            </w:r>
          </w:p>
        </w:tc>
        <w:tc>
          <w:tcPr>
            <w:tcW w:w="2127" w:type="dxa"/>
          </w:tcPr>
          <w:p w:rsidR="00B21C88" w:rsidRPr="00B21C88" w:rsidRDefault="00B21C88" w:rsidP="00B21C88">
            <w:pPr>
              <w:spacing w:after="0" w:line="240" w:lineRule="auto"/>
            </w:pPr>
            <w:r w:rsidRPr="00B21C88">
              <w:t>11 (2.9)</w:t>
            </w:r>
          </w:p>
        </w:tc>
      </w:tr>
      <w:tr w:rsidR="00B21C88" w:rsidRPr="00B21C88" w:rsidTr="005B5778">
        <w:trPr>
          <w:jc w:val="center"/>
        </w:trPr>
        <w:tc>
          <w:tcPr>
            <w:tcW w:w="3402" w:type="dxa"/>
          </w:tcPr>
          <w:p w:rsidR="00B21C88" w:rsidRPr="00B21C88" w:rsidRDefault="00B21C88" w:rsidP="00B21C88">
            <w:pPr>
              <w:spacing w:after="0" w:line="240" w:lineRule="auto"/>
            </w:pPr>
            <w:r w:rsidRPr="00B21C88">
              <w:t>Active, not recruiting</w:t>
            </w:r>
          </w:p>
        </w:tc>
        <w:tc>
          <w:tcPr>
            <w:tcW w:w="2127" w:type="dxa"/>
          </w:tcPr>
          <w:p w:rsidR="00B21C88" w:rsidRPr="00B21C88" w:rsidRDefault="00B21C88" w:rsidP="00B21C88">
            <w:pPr>
              <w:spacing w:after="0" w:line="240" w:lineRule="auto"/>
            </w:pPr>
            <w:r w:rsidRPr="00B21C88">
              <w:t>7 (1.8)</w:t>
            </w:r>
          </w:p>
        </w:tc>
      </w:tr>
      <w:tr w:rsidR="00B21C88" w:rsidRPr="00B21C88" w:rsidTr="005B5778">
        <w:trPr>
          <w:jc w:val="center"/>
        </w:trPr>
        <w:tc>
          <w:tcPr>
            <w:tcW w:w="3402" w:type="dxa"/>
          </w:tcPr>
          <w:p w:rsidR="00B21C88" w:rsidRPr="00B21C88" w:rsidRDefault="00B21C88" w:rsidP="00B21C88">
            <w:pPr>
              <w:spacing w:after="0" w:line="240" w:lineRule="auto"/>
            </w:pPr>
            <w:r w:rsidRPr="00B21C88">
              <w:t>Withdrawn</w:t>
            </w:r>
          </w:p>
        </w:tc>
        <w:tc>
          <w:tcPr>
            <w:tcW w:w="2127" w:type="dxa"/>
          </w:tcPr>
          <w:p w:rsidR="00B21C88" w:rsidRPr="00B21C88" w:rsidRDefault="00B21C88" w:rsidP="00B21C88">
            <w:pPr>
              <w:spacing w:after="0" w:line="240" w:lineRule="auto"/>
            </w:pPr>
            <w:r w:rsidRPr="00B21C88">
              <w:t>7 (1.8)</w:t>
            </w:r>
          </w:p>
        </w:tc>
      </w:tr>
      <w:tr w:rsidR="00B21C88" w:rsidRPr="00B21C88" w:rsidTr="005B5778">
        <w:trPr>
          <w:jc w:val="center"/>
        </w:trPr>
        <w:tc>
          <w:tcPr>
            <w:tcW w:w="3402" w:type="dxa"/>
          </w:tcPr>
          <w:p w:rsidR="00B21C88" w:rsidRPr="00B21C88" w:rsidRDefault="00B21C88" w:rsidP="00B21C88">
            <w:pPr>
              <w:spacing w:after="0" w:line="240" w:lineRule="auto"/>
            </w:pPr>
            <w:r w:rsidRPr="00B21C88">
              <w:t>Enrolling by invitation</w:t>
            </w:r>
          </w:p>
        </w:tc>
        <w:tc>
          <w:tcPr>
            <w:tcW w:w="2127" w:type="dxa"/>
          </w:tcPr>
          <w:p w:rsidR="00B21C88" w:rsidRPr="00B21C88" w:rsidRDefault="00B21C88" w:rsidP="00B21C88">
            <w:pPr>
              <w:spacing w:after="0" w:line="240" w:lineRule="auto"/>
            </w:pPr>
            <w:r w:rsidRPr="00B21C88">
              <w:t>2 (0.5)</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Unknown status</w:t>
            </w:r>
          </w:p>
        </w:tc>
        <w:tc>
          <w:tcPr>
            <w:tcW w:w="2127" w:type="dxa"/>
            <w:tcBorders>
              <w:bottom w:val="single" w:sz="12" w:space="0" w:color="auto"/>
            </w:tcBorders>
          </w:tcPr>
          <w:p w:rsidR="00B21C88" w:rsidRPr="00B21C88" w:rsidRDefault="00B21C88" w:rsidP="00B21C88">
            <w:pPr>
              <w:spacing w:after="0" w:line="240" w:lineRule="auto"/>
            </w:pPr>
            <w:r w:rsidRPr="00B21C88">
              <w:t>37 (9.7)</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Principal continent of registration</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Europe</w:t>
            </w:r>
          </w:p>
        </w:tc>
        <w:tc>
          <w:tcPr>
            <w:tcW w:w="2127" w:type="dxa"/>
            <w:tcBorders>
              <w:top w:val="single" w:sz="12" w:space="0" w:color="auto"/>
            </w:tcBorders>
          </w:tcPr>
          <w:p w:rsidR="00B21C88" w:rsidRPr="00B21C88" w:rsidRDefault="00B21C88" w:rsidP="00B21C88">
            <w:pPr>
              <w:spacing w:after="0" w:line="240" w:lineRule="auto"/>
            </w:pPr>
            <w:r w:rsidRPr="00B21C88">
              <w:t>95 (24.9)</w:t>
            </w:r>
          </w:p>
        </w:tc>
      </w:tr>
      <w:tr w:rsidR="00B21C88" w:rsidRPr="00B21C88" w:rsidTr="005B5778">
        <w:trPr>
          <w:jc w:val="center"/>
        </w:trPr>
        <w:tc>
          <w:tcPr>
            <w:tcW w:w="3402" w:type="dxa"/>
          </w:tcPr>
          <w:p w:rsidR="00B21C88" w:rsidRPr="00B21C88" w:rsidRDefault="00B21C88" w:rsidP="00B21C88">
            <w:pPr>
              <w:spacing w:after="0" w:line="240" w:lineRule="auto"/>
            </w:pPr>
            <w:r w:rsidRPr="00B21C88">
              <w:t>Asia</w:t>
            </w:r>
          </w:p>
        </w:tc>
        <w:tc>
          <w:tcPr>
            <w:tcW w:w="2127" w:type="dxa"/>
          </w:tcPr>
          <w:p w:rsidR="00B21C88" w:rsidRPr="00B21C88" w:rsidRDefault="00B21C88" w:rsidP="00B21C88">
            <w:pPr>
              <w:spacing w:after="0" w:line="240" w:lineRule="auto"/>
            </w:pPr>
            <w:r w:rsidRPr="00B21C88">
              <w:t>80 (20.9)</w:t>
            </w:r>
          </w:p>
        </w:tc>
      </w:tr>
      <w:tr w:rsidR="00B21C88" w:rsidRPr="00B21C88" w:rsidTr="005B5778">
        <w:trPr>
          <w:jc w:val="center"/>
        </w:trPr>
        <w:tc>
          <w:tcPr>
            <w:tcW w:w="3402" w:type="dxa"/>
          </w:tcPr>
          <w:p w:rsidR="00B21C88" w:rsidRPr="00B21C88" w:rsidRDefault="00B21C88" w:rsidP="00B21C88">
            <w:pPr>
              <w:spacing w:after="0" w:line="240" w:lineRule="auto"/>
            </w:pPr>
            <w:r w:rsidRPr="00B21C88">
              <w:t>North America</w:t>
            </w:r>
          </w:p>
        </w:tc>
        <w:tc>
          <w:tcPr>
            <w:tcW w:w="2127" w:type="dxa"/>
          </w:tcPr>
          <w:p w:rsidR="00B21C88" w:rsidRPr="00B21C88" w:rsidRDefault="00B21C88" w:rsidP="00B21C88">
            <w:pPr>
              <w:spacing w:after="0" w:line="240" w:lineRule="auto"/>
            </w:pPr>
            <w:r w:rsidRPr="00B21C88">
              <w:t>177 (46.3)</w:t>
            </w:r>
          </w:p>
        </w:tc>
      </w:tr>
      <w:tr w:rsidR="00B21C88" w:rsidRPr="00B21C88" w:rsidTr="005B5778">
        <w:trPr>
          <w:jc w:val="center"/>
        </w:trPr>
        <w:tc>
          <w:tcPr>
            <w:tcW w:w="3402" w:type="dxa"/>
          </w:tcPr>
          <w:p w:rsidR="00B21C88" w:rsidRPr="00B21C88" w:rsidRDefault="00B21C88" w:rsidP="00B21C88">
            <w:pPr>
              <w:spacing w:after="0" w:line="240" w:lineRule="auto"/>
            </w:pPr>
            <w:r w:rsidRPr="00B21C88">
              <w:t>South America</w:t>
            </w:r>
          </w:p>
        </w:tc>
        <w:tc>
          <w:tcPr>
            <w:tcW w:w="2127" w:type="dxa"/>
          </w:tcPr>
          <w:p w:rsidR="00B21C88" w:rsidRPr="00B21C88" w:rsidRDefault="00B21C88" w:rsidP="00B21C88">
            <w:pPr>
              <w:spacing w:after="0" w:line="240" w:lineRule="auto"/>
            </w:pPr>
            <w:r w:rsidRPr="00B21C88">
              <w:t>22 (5.8)</w:t>
            </w:r>
          </w:p>
        </w:tc>
      </w:tr>
      <w:tr w:rsidR="00B21C88" w:rsidRPr="00B21C88" w:rsidTr="005B5778">
        <w:trPr>
          <w:jc w:val="center"/>
        </w:trPr>
        <w:tc>
          <w:tcPr>
            <w:tcW w:w="3402" w:type="dxa"/>
          </w:tcPr>
          <w:p w:rsidR="00B21C88" w:rsidRPr="00B21C88" w:rsidRDefault="00B21C88" w:rsidP="00B21C88">
            <w:pPr>
              <w:spacing w:after="0" w:line="240" w:lineRule="auto"/>
            </w:pPr>
            <w:r w:rsidRPr="00B21C88">
              <w:t>Australasia</w:t>
            </w:r>
          </w:p>
        </w:tc>
        <w:tc>
          <w:tcPr>
            <w:tcW w:w="2127" w:type="dxa"/>
          </w:tcPr>
          <w:p w:rsidR="00B21C88" w:rsidRPr="00B21C88" w:rsidRDefault="00B21C88" w:rsidP="00B21C88">
            <w:pPr>
              <w:spacing w:after="0" w:line="240" w:lineRule="auto"/>
            </w:pPr>
            <w:r w:rsidRPr="00B21C88">
              <w:t>8 (2.1)</w:t>
            </w:r>
          </w:p>
        </w:tc>
      </w:tr>
      <w:tr w:rsidR="00B21C88" w:rsidRPr="00B21C88" w:rsidTr="005B5778">
        <w:trPr>
          <w:jc w:val="center"/>
        </w:trPr>
        <w:tc>
          <w:tcPr>
            <w:tcW w:w="3402" w:type="dxa"/>
          </w:tcPr>
          <w:p w:rsidR="00B21C88" w:rsidRPr="00B21C88" w:rsidRDefault="00B21C88" w:rsidP="00B21C88">
            <w:pPr>
              <w:spacing w:after="0" w:line="240" w:lineRule="auto"/>
            </w:pPr>
            <w:r w:rsidRPr="00B21C88">
              <w:t>Africa</w:t>
            </w:r>
          </w:p>
        </w:tc>
        <w:tc>
          <w:tcPr>
            <w:tcW w:w="2127" w:type="dxa"/>
          </w:tcPr>
          <w:p w:rsidR="00B21C88" w:rsidRPr="00B21C88" w:rsidRDefault="00B21C88" w:rsidP="00B21C88">
            <w:pPr>
              <w:spacing w:after="0" w:line="240" w:lineRule="auto"/>
            </w:pPr>
            <w:r w:rsidRPr="00B21C88">
              <w:t>0 (0.0)</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Antarctica</w:t>
            </w:r>
          </w:p>
        </w:tc>
        <w:tc>
          <w:tcPr>
            <w:tcW w:w="2127" w:type="dxa"/>
            <w:tcBorders>
              <w:bottom w:val="single" w:sz="12" w:space="0" w:color="auto"/>
            </w:tcBorders>
          </w:tcPr>
          <w:p w:rsidR="00B21C88" w:rsidRPr="00B21C88" w:rsidRDefault="00B21C88" w:rsidP="00B21C88">
            <w:pPr>
              <w:spacing w:after="0" w:line="240" w:lineRule="auto"/>
            </w:pPr>
            <w:r w:rsidRPr="00B21C88">
              <w:t>0 (0.0)</w:t>
            </w:r>
          </w:p>
        </w:tc>
      </w:tr>
      <w:tr w:rsidR="00B21C88" w:rsidRPr="00B21C88" w:rsidTr="005B5778">
        <w:trPr>
          <w:jc w:val="center"/>
        </w:trPr>
        <w:tc>
          <w:tcPr>
            <w:tcW w:w="3402"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r w:rsidRPr="00B21C88">
              <w:t>Year of Registration</w:t>
            </w:r>
          </w:p>
        </w:tc>
        <w:tc>
          <w:tcPr>
            <w:tcW w:w="2127" w:type="dxa"/>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pPr>
          </w:p>
        </w:tc>
      </w:tr>
      <w:tr w:rsidR="00B21C88" w:rsidRPr="00B21C88" w:rsidTr="005B5778">
        <w:trPr>
          <w:jc w:val="center"/>
        </w:trPr>
        <w:tc>
          <w:tcPr>
            <w:tcW w:w="3402" w:type="dxa"/>
            <w:tcBorders>
              <w:top w:val="single" w:sz="12" w:space="0" w:color="auto"/>
            </w:tcBorders>
          </w:tcPr>
          <w:p w:rsidR="00B21C88" w:rsidRPr="00B21C88" w:rsidRDefault="00B21C88" w:rsidP="00B21C88">
            <w:pPr>
              <w:spacing w:after="0" w:line="240" w:lineRule="auto"/>
            </w:pPr>
            <w:r w:rsidRPr="00B21C88">
              <w:t>1997-2001</w:t>
            </w:r>
          </w:p>
        </w:tc>
        <w:tc>
          <w:tcPr>
            <w:tcW w:w="2127" w:type="dxa"/>
            <w:tcBorders>
              <w:top w:val="single" w:sz="12" w:space="0" w:color="auto"/>
            </w:tcBorders>
          </w:tcPr>
          <w:p w:rsidR="00B21C88" w:rsidRPr="00B21C88" w:rsidRDefault="00B21C88" w:rsidP="00B21C88">
            <w:pPr>
              <w:spacing w:after="0" w:line="240" w:lineRule="auto"/>
            </w:pPr>
            <w:r w:rsidRPr="00B21C88">
              <w:t>18 (4.7)</w:t>
            </w:r>
          </w:p>
        </w:tc>
      </w:tr>
      <w:tr w:rsidR="00B21C88" w:rsidRPr="00B21C88" w:rsidTr="005B5778">
        <w:trPr>
          <w:jc w:val="center"/>
        </w:trPr>
        <w:tc>
          <w:tcPr>
            <w:tcW w:w="3402" w:type="dxa"/>
          </w:tcPr>
          <w:p w:rsidR="00B21C88" w:rsidRPr="00B21C88" w:rsidRDefault="00B21C88" w:rsidP="00B21C88">
            <w:pPr>
              <w:spacing w:after="0" w:line="240" w:lineRule="auto"/>
            </w:pPr>
            <w:r w:rsidRPr="00B21C88">
              <w:t>2002-2006</w:t>
            </w:r>
          </w:p>
        </w:tc>
        <w:tc>
          <w:tcPr>
            <w:tcW w:w="2127" w:type="dxa"/>
          </w:tcPr>
          <w:p w:rsidR="00B21C88" w:rsidRPr="00B21C88" w:rsidRDefault="00B21C88" w:rsidP="00B21C88">
            <w:pPr>
              <w:spacing w:after="0" w:line="240" w:lineRule="auto"/>
            </w:pPr>
            <w:r w:rsidRPr="00B21C88">
              <w:t>94 (24.6)</w:t>
            </w:r>
          </w:p>
        </w:tc>
      </w:tr>
      <w:tr w:rsidR="00B21C88" w:rsidRPr="00B21C88" w:rsidTr="005B5778">
        <w:trPr>
          <w:jc w:val="center"/>
        </w:trPr>
        <w:tc>
          <w:tcPr>
            <w:tcW w:w="3402" w:type="dxa"/>
          </w:tcPr>
          <w:p w:rsidR="00B21C88" w:rsidRPr="00B21C88" w:rsidRDefault="00B21C88" w:rsidP="00B21C88">
            <w:pPr>
              <w:spacing w:after="0" w:line="240" w:lineRule="auto"/>
            </w:pPr>
            <w:r w:rsidRPr="00B21C88">
              <w:t>2007-2011</w:t>
            </w:r>
          </w:p>
        </w:tc>
        <w:tc>
          <w:tcPr>
            <w:tcW w:w="2127" w:type="dxa"/>
          </w:tcPr>
          <w:p w:rsidR="00B21C88" w:rsidRPr="00B21C88" w:rsidRDefault="00B21C88" w:rsidP="00B21C88">
            <w:pPr>
              <w:spacing w:after="0" w:line="240" w:lineRule="auto"/>
            </w:pPr>
            <w:r w:rsidRPr="00B21C88">
              <w:t>130 (34.0)</w:t>
            </w:r>
          </w:p>
        </w:tc>
      </w:tr>
      <w:tr w:rsidR="00B21C88" w:rsidRPr="00B21C88" w:rsidTr="005B5778">
        <w:trPr>
          <w:jc w:val="center"/>
        </w:trPr>
        <w:tc>
          <w:tcPr>
            <w:tcW w:w="3402" w:type="dxa"/>
            <w:tcBorders>
              <w:bottom w:val="single" w:sz="4" w:space="0" w:color="auto"/>
            </w:tcBorders>
          </w:tcPr>
          <w:p w:rsidR="00B21C88" w:rsidRPr="00B21C88" w:rsidRDefault="00B21C88" w:rsidP="00B21C88">
            <w:pPr>
              <w:spacing w:after="0" w:line="240" w:lineRule="auto"/>
            </w:pPr>
            <w:r w:rsidRPr="00B21C88">
              <w:t>2012-2016</w:t>
            </w:r>
          </w:p>
        </w:tc>
        <w:tc>
          <w:tcPr>
            <w:tcW w:w="2127" w:type="dxa"/>
            <w:tcBorders>
              <w:bottom w:val="single" w:sz="4" w:space="0" w:color="auto"/>
            </w:tcBorders>
          </w:tcPr>
          <w:p w:rsidR="00B21C88" w:rsidRPr="00B21C88" w:rsidRDefault="00B21C88" w:rsidP="00B21C88">
            <w:pPr>
              <w:spacing w:after="0" w:line="240" w:lineRule="auto"/>
            </w:pPr>
            <w:r w:rsidRPr="00B21C88">
              <w:t>126 (33.0)</w:t>
            </w:r>
          </w:p>
        </w:tc>
      </w:tr>
      <w:tr w:rsidR="00B21C88" w:rsidRPr="00B21C88" w:rsidTr="005B5778">
        <w:trPr>
          <w:jc w:val="center"/>
        </w:trPr>
        <w:tc>
          <w:tcPr>
            <w:tcW w:w="3402" w:type="dxa"/>
            <w:tcBorders>
              <w:bottom w:val="single" w:sz="12" w:space="0" w:color="auto"/>
            </w:tcBorders>
          </w:tcPr>
          <w:p w:rsidR="00B21C88" w:rsidRPr="00B21C88" w:rsidRDefault="00B21C88" w:rsidP="00B21C88">
            <w:pPr>
              <w:spacing w:after="0" w:line="240" w:lineRule="auto"/>
            </w:pPr>
            <w:r w:rsidRPr="00B21C88">
              <w:t>2017</w:t>
            </w:r>
          </w:p>
        </w:tc>
        <w:tc>
          <w:tcPr>
            <w:tcW w:w="2127" w:type="dxa"/>
            <w:tcBorders>
              <w:bottom w:val="single" w:sz="12" w:space="0" w:color="auto"/>
            </w:tcBorders>
          </w:tcPr>
          <w:p w:rsidR="00B21C88" w:rsidRPr="00B21C88" w:rsidRDefault="00B21C88" w:rsidP="00B21C88">
            <w:pPr>
              <w:spacing w:after="0" w:line="240" w:lineRule="auto"/>
            </w:pPr>
            <w:r w:rsidRPr="00B21C88">
              <w:t>14 (3.7)</w:t>
            </w:r>
          </w:p>
        </w:tc>
      </w:tr>
    </w:tbl>
    <w:p w:rsidR="00B21C88" w:rsidRPr="00B21C88" w:rsidRDefault="00B21C88" w:rsidP="00B21C88">
      <w:pPr>
        <w:spacing w:after="0" w:line="240" w:lineRule="auto"/>
        <w:sectPr w:rsidR="00B21C88" w:rsidRPr="00B21C88" w:rsidSect="001E4BDB">
          <w:pgSz w:w="11900" w:h="16840"/>
          <w:pgMar w:top="1440" w:right="1440" w:bottom="1440" w:left="1440" w:header="709" w:footer="709" w:gutter="0"/>
          <w:cols w:space="708"/>
          <w:docGrid w:linePitch="360"/>
        </w:sectPr>
      </w:pPr>
      <w:r w:rsidRPr="00B21C88">
        <w:br w:type="page"/>
      </w:r>
    </w:p>
    <w:p w:rsidR="00B21C88" w:rsidRPr="00B21C88" w:rsidRDefault="00B21C88" w:rsidP="00B21C88">
      <w:r w:rsidRPr="00B21C88">
        <w:rPr>
          <w:b/>
        </w:rPr>
        <w:lastRenderedPageBreak/>
        <w:t>APPENDIX: Supplementary Table 2</w:t>
      </w:r>
      <w:r w:rsidRPr="00B21C88">
        <w:t xml:space="preserve">: Frequency of domains reported and complete adoption of the Core Outcome Set in included trial registrations by year. </w:t>
      </w:r>
    </w:p>
    <w:tbl>
      <w:tblPr>
        <w:tblStyle w:val="TableGrid"/>
        <w:tblW w:w="13608" w:type="dxa"/>
        <w:tblBorders>
          <w:left w:val="none" w:sz="0" w:space="0" w:color="auto"/>
          <w:right w:val="none" w:sz="0" w:space="0" w:color="auto"/>
        </w:tblBorders>
        <w:tblLayout w:type="fixed"/>
        <w:tblLook w:val="04A0" w:firstRow="1" w:lastRow="0" w:firstColumn="1" w:lastColumn="0" w:noHBand="0" w:noVBand="1"/>
      </w:tblPr>
      <w:tblGrid>
        <w:gridCol w:w="1338"/>
        <w:gridCol w:w="585"/>
        <w:gridCol w:w="604"/>
        <w:gridCol w:w="604"/>
        <w:gridCol w:w="604"/>
        <w:gridCol w:w="604"/>
        <w:gridCol w:w="623"/>
        <w:gridCol w:w="575"/>
        <w:gridCol w:w="599"/>
        <w:gridCol w:w="599"/>
        <w:gridCol w:w="599"/>
        <w:gridCol w:w="599"/>
        <w:gridCol w:w="572"/>
        <w:gridCol w:w="567"/>
        <w:gridCol w:w="567"/>
        <w:gridCol w:w="567"/>
        <w:gridCol w:w="567"/>
        <w:gridCol w:w="567"/>
        <w:gridCol w:w="567"/>
        <w:gridCol w:w="567"/>
        <w:gridCol w:w="567"/>
        <w:gridCol w:w="567"/>
      </w:tblGrid>
      <w:tr w:rsidR="00B21C88" w:rsidRPr="00B21C88" w:rsidTr="005B5778">
        <w:tc>
          <w:tcPr>
            <w:tcW w:w="1338" w:type="dxa"/>
            <w:vMerge w:val="restart"/>
            <w:tcBorders>
              <w:top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Domain</w:t>
            </w:r>
          </w:p>
        </w:tc>
        <w:tc>
          <w:tcPr>
            <w:tcW w:w="12270" w:type="dxa"/>
            <w:gridSpan w:val="21"/>
            <w:tcBorders>
              <w:top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Frequency (%)</w:t>
            </w:r>
          </w:p>
        </w:tc>
      </w:tr>
      <w:tr w:rsidR="00B21C88" w:rsidRPr="00B21C88" w:rsidTr="005B5778">
        <w:tc>
          <w:tcPr>
            <w:tcW w:w="1338" w:type="dxa"/>
            <w:vMerge/>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p>
        </w:tc>
        <w:tc>
          <w:tcPr>
            <w:tcW w:w="585"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1997</w:t>
            </w:r>
          </w:p>
          <w:p w:rsidR="00B21C88" w:rsidRPr="00B21C88" w:rsidRDefault="00B21C88" w:rsidP="00B21C88">
            <w:pPr>
              <w:spacing w:after="0" w:line="240" w:lineRule="auto"/>
              <w:rPr>
                <w:sz w:val="12"/>
                <w:szCs w:val="12"/>
              </w:rPr>
            </w:pPr>
            <w:r w:rsidRPr="00B21C88">
              <w:rPr>
                <w:sz w:val="12"/>
                <w:szCs w:val="12"/>
              </w:rPr>
              <w:t>N=3</w:t>
            </w:r>
          </w:p>
        </w:tc>
        <w:tc>
          <w:tcPr>
            <w:tcW w:w="604"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1998</w:t>
            </w:r>
          </w:p>
          <w:p w:rsidR="00B21C88" w:rsidRPr="00B21C88" w:rsidRDefault="00B21C88" w:rsidP="00B21C88">
            <w:pPr>
              <w:spacing w:after="0" w:line="240" w:lineRule="auto"/>
              <w:rPr>
                <w:sz w:val="12"/>
                <w:szCs w:val="12"/>
              </w:rPr>
            </w:pPr>
            <w:r w:rsidRPr="00B21C88">
              <w:rPr>
                <w:sz w:val="12"/>
                <w:szCs w:val="12"/>
              </w:rPr>
              <w:t>N=3</w:t>
            </w:r>
          </w:p>
        </w:tc>
        <w:tc>
          <w:tcPr>
            <w:tcW w:w="604"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1999</w:t>
            </w:r>
          </w:p>
          <w:p w:rsidR="00B21C88" w:rsidRPr="00B21C88" w:rsidRDefault="00B21C88" w:rsidP="00B21C88">
            <w:pPr>
              <w:spacing w:after="0" w:line="240" w:lineRule="auto"/>
              <w:rPr>
                <w:sz w:val="12"/>
                <w:szCs w:val="12"/>
              </w:rPr>
            </w:pPr>
            <w:r w:rsidRPr="00B21C88">
              <w:rPr>
                <w:sz w:val="12"/>
                <w:szCs w:val="12"/>
              </w:rPr>
              <w:t>(N=7)</w:t>
            </w:r>
          </w:p>
        </w:tc>
        <w:tc>
          <w:tcPr>
            <w:tcW w:w="604"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2000</w:t>
            </w:r>
          </w:p>
          <w:p w:rsidR="00B21C88" w:rsidRPr="00B21C88" w:rsidRDefault="00B21C88" w:rsidP="00B21C88">
            <w:pPr>
              <w:spacing w:after="0" w:line="240" w:lineRule="auto"/>
              <w:rPr>
                <w:sz w:val="12"/>
                <w:szCs w:val="12"/>
              </w:rPr>
            </w:pPr>
            <w:r w:rsidRPr="00B21C88">
              <w:rPr>
                <w:sz w:val="12"/>
                <w:szCs w:val="12"/>
              </w:rPr>
              <w:t>(N=4)</w:t>
            </w:r>
          </w:p>
        </w:tc>
        <w:tc>
          <w:tcPr>
            <w:tcW w:w="604"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2001</w:t>
            </w:r>
          </w:p>
          <w:p w:rsidR="00B21C88" w:rsidRPr="00B21C88" w:rsidRDefault="00B21C88" w:rsidP="00B21C88">
            <w:pPr>
              <w:spacing w:after="0" w:line="240" w:lineRule="auto"/>
              <w:rPr>
                <w:sz w:val="12"/>
                <w:szCs w:val="12"/>
              </w:rPr>
            </w:pPr>
            <w:r w:rsidRPr="00B21C88">
              <w:rPr>
                <w:sz w:val="12"/>
                <w:szCs w:val="12"/>
              </w:rPr>
              <w:t>(N=1)</w:t>
            </w:r>
          </w:p>
        </w:tc>
        <w:tc>
          <w:tcPr>
            <w:tcW w:w="623"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2002</w:t>
            </w:r>
          </w:p>
          <w:p w:rsidR="00B21C88" w:rsidRPr="00B21C88" w:rsidRDefault="00B21C88" w:rsidP="00B21C88">
            <w:pPr>
              <w:spacing w:after="0" w:line="240" w:lineRule="auto"/>
              <w:rPr>
                <w:sz w:val="12"/>
                <w:szCs w:val="12"/>
              </w:rPr>
            </w:pPr>
            <w:r w:rsidRPr="00B21C88">
              <w:rPr>
                <w:sz w:val="12"/>
                <w:szCs w:val="12"/>
              </w:rPr>
              <w:t>(N=10)</w:t>
            </w:r>
          </w:p>
        </w:tc>
        <w:tc>
          <w:tcPr>
            <w:tcW w:w="575"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2003</w:t>
            </w:r>
          </w:p>
          <w:p w:rsidR="00B21C88" w:rsidRPr="00B21C88" w:rsidRDefault="00B21C88" w:rsidP="00B21C88">
            <w:pPr>
              <w:spacing w:after="0" w:line="240" w:lineRule="auto"/>
              <w:rPr>
                <w:sz w:val="12"/>
                <w:szCs w:val="12"/>
              </w:rPr>
            </w:pPr>
            <w:r w:rsidRPr="00B21C88">
              <w:rPr>
                <w:sz w:val="12"/>
                <w:szCs w:val="12"/>
              </w:rPr>
              <w:t>(N=28)</w:t>
            </w:r>
          </w:p>
        </w:tc>
        <w:tc>
          <w:tcPr>
            <w:tcW w:w="599"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2004</w:t>
            </w:r>
          </w:p>
          <w:p w:rsidR="00B21C88" w:rsidRPr="00B21C88" w:rsidRDefault="00B21C88" w:rsidP="00B21C88">
            <w:pPr>
              <w:spacing w:after="0" w:line="240" w:lineRule="auto"/>
              <w:rPr>
                <w:sz w:val="12"/>
                <w:szCs w:val="12"/>
              </w:rPr>
            </w:pPr>
            <w:r w:rsidRPr="00B21C88">
              <w:rPr>
                <w:sz w:val="12"/>
                <w:szCs w:val="12"/>
              </w:rPr>
              <w:t>(N=20)</w:t>
            </w:r>
          </w:p>
        </w:tc>
        <w:tc>
          <w:tcPr>
            <w:tcW w:w="599"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2005</w:t>
            </w:r>
          </w:p>
          <w:p w:rsidR="00B21C88" w:rsidRPr="00B21C88" w:rsidRDefault="00B21C88" w:rsidP="00B21C88">
            <w:pPr>
              <w:spacing w:after="0" w:line="240" w:lineRule="auto"/>
              <w:rPr>
                <w:sz w:val="12"/>
                <w:szCs w:val="12"/>
              </w:rPr>
            </w:pPr>
            <w:r w:rsidRPr="00B21C88">
              <w:rPr>
                <w:sz w:val="12"/>
                <w:szCs w:val="12"/>
              </w:rPr>
              <w:t>(N=19)</w:t>
            </w:r>
          </w:p>
        </w:tc>
        <w:tc>
          <w:tcPr>
            <w:tcW w:w="599"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2006 (N=17)</w:t>
            </w:r>
          </w:p>
        </w:tc>
        <w:tc>
          <w:tcPr>
            <w:tcW w:w="599"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2007</w:t>
            </w:r>
          </w:p>
          <w:p w:rsidR="00B21C88" w:rsidRPr="00B21C88" w:rsidRDefault="00B21C88" w:rsidP="00B21C88">
            <w:pPr>
              <w:spacing w:after="0" w:line="240" w:lineRule="auto"/>
              <w:rPr>
                <w:sz w:val="12"/>
                <w:szCs w:val="12"/>
              </w:rPr>
            </w:pPr>
            <w:r w:rsidRPr="00B21C88">
              <w:rPr>
                <w:sz w:val="12"/>
                <w:szCs w:val="12"/>
              </w:rPr>
              <w:t>(N=32)</w:t>
            </w:r>
          </w:p>
        </w:tc>
        <w:tc>
          <w:tcPr>
            <w:tcW w:w="572"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2008</w:t>
            </w:r>
          </w:p>
          <w:p w:rsidR="00B21C88" w:rsidRPr="00B21C88" w:rsidRDefault="00B21C88" w:rsidP="00B21C88">
            <w:pPr>
              <w:spacing w:after="0" w:line="240" w:lineRule="auto"/>
              <w:rPr>
                <w:sz w:val="12"/>
                <w:szCs w:val="12"/>
              </w:rPr>
            </w:pPr>
            <w:r w:rsidRPr="00B21C88">
              <w:rPr>
                <w:sz w:val="12"/>
                <w:szCs w:val="12"/>
              </w:rPr>
              <w:t>(N=24)</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2009</w:t>
            </w:r>
          </w:p>
          <w:p w:rsidR="00B21C88" w:rsidRPr="00B21C88" w:rsidRDefault="00B21C88" w:rsidP="00B21C88">
            <w:pPr>
              <w:spacing w:after="0" w:line="240" w:lineRule="auto"/>
              <w:rPr>
                <w:sz w:val="12"/>
                <w:szCs w:val="12"/>
              </w:rPr>
            </w:pPr>
            <w:r w:rsidRPr="00B21C88">
              <w:rPr>
                <w:sz w:val="12"/>
                <w:szCs w:val="12"/>
              </w:rPr>
              <w:t>(N=25)</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2010</w:t>
            </w:r>
          </w:p>
          <w:p w:rsidR="00B21C88" w:rsidRPr="00B21C88" w:rsidRDefault="00B21C88" w:rsidP="00B21C88">
            <w:pPr>
              <w:spacing w:after="0" w:line="240" w:lineRule="auto"/>
              <w:rPr>
                <w:sz w:val="12"/>
                <w:szCs w:val="12"/>
              </w:rPr>
            </w:pPr>
            <w:r w:rsidRPr="00B21C88">
              <w:rPr>
                <w:sz w:val="12"/>
                <w:szCs w:val="12"/>
              </w:rPr>
              <w:t>(N=22)</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2011</w:t>
            </w:r>
          </w:p>
          <w:p w:rsidR="00B21C88" w:rsidRPr="00B21C88" w:rsidRDefault="00B21C88" w:rsidP="00B21C88">
            <w:pPr>
              <w:spacing w:after="0" w:line="240" w:lineRule="auto"/>
              <w:rPr>
                <w:sz w:val="12"/>
                <w:szCs w:val="12"/>
              </w:rPr>
            </w:pPr>
            <w:r w:rsidRPr="00B21C88">
              <w:rPr>
                <w:sz w:val="12"/>
                <w:szCs w:val="12"/>
              </w:rPr>
              <w:t>(N=27)</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2012</w:t>
            </w:r>
          </w:p>
          <w:p w:rsidR="00B21C88" w:rsidRPr="00B21C88" w:rsidRDefault="00B21C88" w:rsidP="00B21C88">
            <w:pPr>
              <w:spacing w:after="0" w:line="240" w:lineRule="auto"/>
              <w:rPr>
                <w:sz w:val="12"/>
                <w:szCs w:val="12"/>
              </w:rPr>
            </w:pPr>
            <w:r w:rsidRPr="00B21C88">
              <w:rPr>
                <w:sz w:val="12"/>
                <w:szCs w:val="12"/>
              </w:rPr>
              <w:t>(N=16)</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2013</w:t>
            </w:r>
          </w:p>
          <w:p w:rsidR="00B21C88" w:rsidRPr="00B21C88" w:rsidRDefault="00B21C88" w:rsidP="00B21C88">
            <w:pPr>
              <w:spacing w:after="0" w:line="240" w:lineRule="auto"/>
              <w:rPr>
                <w:sz w:val="12"/>
                <w:szCs w:val="12"/>
              </w:rPr>
            </w:pPr>
            <w:r w:rsidRPr="00B21C88">
              <w:rPr>
                <w:sz w:val="12"/>
                <w:szCs w:val="12"/>
              </w:rPr>
              <w:t>(N=29)</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2014</w:t>
            </w:r>
          </w:p>
          <w:p w:rsidR="00B21C88" w:rsidRPr="00B21C88" w:rsidRDefault="00B21C88" w:rsidP="00B21C88">
            <w:pPr>
              <w:spacing w:after="0" w:line="240" w:lineRule="auto"/>
              <w:rPr>
                <w:sz w:val="12"/>
                <w:szCs w:val="12"/>
              </w:rPr>
            </w:pPr>
            <w:r w:rsidRPr="00B21C88">
              <w:rPr>
                <w:sz w:val="12"/>
                <w:szCs w:val="12"/>
              </w:rPr>
              <w:t>(N=24)</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2015</w:t>
            </w:r>
          </w:p>
          <w:p w:rsidR="00B21C88" w:rsidRPr="00B21C88" w:rsidRDefault="00B21C88" w:rsidP="00B21C88">
            <w:pPr>
              <w:spacing w:after="0" w:line="240" w:lineRule="auto"/>
              <w:rPr>
                <w:sz w:val="12"/>
                <w:szCs w:val="12"/>
              </w:rPr>
            </w:pPr>
            <w:r w:rsidRPr="00B21C88">
              <w:rPr>
                <w:sz w:val="12"/>
                <w:szCs w:val="12"/>
              </w:rPr>
              <w:t>(N=27)</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2016</w:t>
            </w:r>
          </w:p>
          <w:p w:rsidR="00B21C88" w:rsidRPr="00B21C88" w:rsidRDefault="00B21C88" w:rsidP="00B21C88">
            <w:pPr>
              <w:spacing w:after="0" w:line="240" w:lineRule="auto"/>
              <w:rPr>
                <w:sz w:val="12"/>
                <w:szCs w:val="12"/>
              </w:rPr>
            </w:pPr>
            <w:r w:rsidRPr="00B21C88">
              <w:rPr>
                <w:sz w:val="12"/>
                <w:szCs w:val="12"/>
              </w:rPr>
              <w:t>(N=30)</w:t>
            </w:r>
          </w:p>
        </w:tc>
        <w:tc>
          <w:tcPr>
            <w:tcW w:w="567" w:type="dxa"/>
            <w:tcBorders>
              <w:bottom w:val="single" w:sz="12" w:space="0" w:color="auto"/>
            </w:tcBorders>
            <w:shd w:val="clear" w:color="auto" w:fill="BFBFBF" w:themeFill="background1" w:themeFillShade="BF"/>
          </w:tcPr>
          <w:p w:rsidR="00B21C88" w:rsidRPr="00B21C88" w:rsidRDefault="00B21C88" w:rsidP="00B21C88">
            <w:pPr>
              <w:spacing w:after="0" w:line="240" w:lineRule="auto"/>
              <w:rPr>
                <w:sz w:val="12"/>
                <w:szCs w:val="12"/>
              </w:rPr>
            </w:pPr>
            <w:r w:rsidRPr="00B21C88">
              <w:rPr>
                <w:sz w:val="12"/>
                <w:szCs w:val="12"/>
              </w:rPr>
              <w:t>2017</w:t>
            </w:r>
          </w:p>
          <w:p w:rsidR="00B21C88" w:rsidRPr="00B21C88" w:rsidRDefault="00B21C88" w:rsidP="00B21C88">
            <w:pPr>
              <w:spacing w:after="0" w:line="240" w:lineRule="auto"/>
              <w:rPr>
                <w:sz w:val="12"/>
                <w:szCs w:val="12"/>
              </w:rPr>
            </w:pPr>
            <w:r w:rsidRPr="00B21C88">
              <w:rPr>
                <w:sz w:val="12"/>
                <w:szCs w:val="12"/>
              </w:rPr>
              <w:t>(N=14)</w:t>
            </w:r>
          </w:p>
        </w:tc>
      </w:tr>
      <w:tr w:rsidR="00B21C88" w:rsidRPr="00B21C88" w:rsidTr="005B5778">
        <w:tc>
          <w:tcPr>
            <w:tcW w:w="13608" w:type="dxa"/>
            <w:gridSpan w:val="22"/>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rPr>
                <w:sz w:val="12"/>
                <w:szCs w:val="12"/>
              </w:rPr>
            </w:pPr>
            <w:r w:rsidRPr="00B21C88">
              <w:rPr>
                <w:sz w:val="12"/>
                <w:szCs w:val="12"/>
              </w:rPr>
              <w:t>Core Domain</w:t>
            </w:r>
          </w:p>
        </w:tc>
      </w:tr>
      <w:tr w:rsidR="00B21C88" w:rsidRPr="00B21C88" w:rsidTr="005B5778">
        <w:trPr>
          <w:trHeight w:val="204"/>
        </w:trPr>
        <w:tc>
          <w:tcPr>
            <w:tcW w:w="1338"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Pain</w:t>
            </w:r>
          </w:p>
        </w:tc>
        <w:tc>
          <w:tcPr>
            <w:tcW w:w="58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3 (100)</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3 (100)</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(100)</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4 (100)</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 (100)</w:t>
            </w:r>
          </w:p>
        </w:tc>
        <w:tc>
          <w:tcPr>
            <w:tcW w:w="623"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10 (100)</w:t>
            </w:r>
          </w:p>
        </w:tc>
        <w:tc>
          <w:tcPr>
            <w:tcW w:w="57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26 (93)</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19 (95)</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18 (95)</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13 (77)</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30 (94)</w:t>
            </w:r>
          </w:p>
        </w:tc>
        <w:tc>
          <w:tcPr>
            <w:tcW w:w="572"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24 (100)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23 (92)</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22 (100)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27 (100)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16 (100)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27 (93)</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22 (92)</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27 (100)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27 (90)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13 (93)</w:t>
            </w:r>
          </w:p>
        </w:tc>
      </w:tr>
      <w:tr w:rsidR="00B21C88" w:rsidRPr="00B21C88" w:rsidTr="005B5778">
        <w:trPr>
          <w:trHeight w:val="180"/>
        </w:trPr>
        <w:tc>
          <w:tcPr>
            <w:tcW w:w="1338" w:type="dxa"/>
          </w:tcPr>
          <w:p w:rsidR="00B21C88" w:rsidRPr="00B21C88" w:rsidRDefault="00B21C88" w:rsidP="00B21C88">
            <w:pPr>
              <w:spacing w:after="0" w:line="240" w:lineRule="auto"/>
              <w:rPr>
                <w:sz w:val="12"/>
                <w:szCs w:val="12"/>
              </w:rPr>
            </w:pPr>
            <w:r w:rsidRPr="00B21C88">
              <w:rPr>
                <w:sz w:val="12"/>
                <w:szCs w:val="12"/>
              </w:rPr>
              <w:t>Physical function</w:t>
            </w:r>
          </w:p>
        </w:tc>
        <w:tc>
          <w:tcPr>
            <w:tcW w:w="585" w:type="dxa"/>
          </w:tcPr>
          <w:p w:rsidR="00B21C88" w:rsidRPr="00B21C88" w:rsidRDefault="00B21C88" w:rsidP="00B21C88">
            <w:pPr>
              <w:spacing w:after="0" w:line="240" w:lineRule="auto"/>
              <w:rPr>
                <w:sz w:val="12"/>
                <w:szCs w:val="12"/>
              </w:rPr>
            </w:pPr>
            <w:r w:rsidRPr="00B21C88">
              <w:rPr>
                <w:sz w:val="12"/>
                <w:szCs w:val="12"/>
              </w:rPr>
              <w:t>3 (100)</w:t>
            </w:r>
          </w:p>
        </w:tc>
        <w:tc>
          <w:tcPr>
            <w:tcW w:w="604" w:type="dxa"/>
          </w:tcPr>
          <w:p w:rsidR="00B21C88" w:rsidRPr="00B21C88" w:rsidRDefault="00B21C88" w:rsidP="00B21C88">
            <w:pPr>
              <w:spacing w:after="0" w:line="240" w:lineRule="auto"/>
              <w:rPr>
                <w:sz w:val="12"/>
                <w:szCs w:val="12"/>
              </w:rPr>
            </w:pPr>
            <w:r w:rsidRPr="00B21C88">
              <w:rPr>
                <w:sz w:val="12"/>
                <w:szCs w:val="12"/>
              </w:rPr>
              <w:t>3 (100)</w:t>
            </w:r>
          </w:p>
        </w:tc>
        <w:tc>
          <w:tcPr>
            <w:tcW w:w="604" w:type="dxa"/>
          </w:tcPr>
          <w:p w:rsidR="00B21C88" w:rsidRPr="00B21C88" w:rsidRDefault="00B21C88" w:rsidP="00B21C88">
            <w:pPr>
              <w:spacing w:after="0" w:line="240" w:lineRule="auto"/>
              <w:rPr>
                <w:sz w:val="12"/>
                <w:szCs w:val="12"/>
              </w:rPr>
            </w:pPr>
            <w:r w:rsidRPr="00B21C88">
              <w:rPr>
                <w:sz w:val="12"/>
                <w:szCs w:val="12"/>
              </w:rPr>
              <w:t>6 (86)</w:t>
            </w:r>
          </w:p>
        </w:tc>
        <w:tc>
          <w:tcPr>
            <w:tcW w:w="604" w:type="dxa"/>
          </w:tcPr>
          <w:p w:rsidR="00B21C88" w:rsidRPr="00B21C88" w:rsidRDefault="00B21C88" w:rsidP="00B21C88">
            <w:pPr>
              <w:spacing w:after="0" w:line="240" w:lineRule="auto"/>
              <w:rPr>
                <w:sz w:val="12"/>
                <w:szCs w:val="12"/>
              </w:rPr>
            </w:pPr>
            <w:r w:rsidRPr="00B21C88">
              <w:rPr>
                <w:sz w:val="12"/>
                <w:szCs w:val="12"/>
              </w:rPr>
              <w:t>4 (100)</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9 (90)</w:t>
            </w:r>
          </w:p>
        </w:tc>
        <w:tc>
          <w:tcPr>
            <w:tcW w:w="575" w:type="dxa"/>
          </w:tcPr>
          <w:p w:rsidR="00B21C88" w:rsidRPr="00B21C88" w:rsidRDefault="00B21C88" w:rsidP="00B21C88">
            <w:pPr>
              <w:spacing w:after="0" w:line="240" w:lineRule="auto"/>
              <w:rPr>
                <w:sz w:val="12"/>
                <w:szCs w:val="12"/>
              </w:rPr>
            </w:pPr>
            <w:r w:rsidRPr="00B21C88">
              <w:rPr>
                <w:sz w:val="12"/>
                <w:szCs w:val="12"/>
              </w:rPr>
              <w:t>23 (82)</w:t>
            </w:r>
          </w:p>
        </w:tc>
        <w:tc>
          <w:tcPr>
            <w:tcW w:w="599" w:type="dxa"/>
          </w:tcPr>
          <w:p w:rsidR="00B21C88" w:rsidRPr="00B21C88" w:rsidRDefault="00B21C88" w:rsidP="00B21C88">
            <w:pPr>
              <w:spacing w:after="0" w:line="240" w:lineRule="auto"/>
              <w:rPr>
                <w:sz w:val="12"/>
                <w:szCs w:val="12"/>
              </w:rPr>
            </w:pPr>
            <w:r w:rsidRPr="00B21C88">
              <w:rPr>
                <w:sz w:val="12"/>
                <w:szCs w:val="12"/>
              </w:rPr>
              <w:t>15 (75)</w:t>
            </w:r>
          </w:p>
        </w:tc>
        <w:tc>
          <w:tcPr>
            <w:tcW w:w="599" w:type="dxa"/>
          </w:tcPr>
          <w:p w:rsidR="00B21C88" w:rsidRPr="00B21C88" w:rsidRDefault="00B21C88" w:rsidP="00B21C88">
            <w:pPr>
              <w:spacing w:after="0" w:line="240" w:lineRule="auto"/>
              <w:rPr>
                <w:sz w:val="12"/>
                <w:szCs w:val="12"/>
              </w:rPr>
            </w:pPr>
            <w:r w:rsidRPr="00B21C88">
              <w:rPr>
                <w:sz w:val="12"/>
                <w:szCs w:val="12"/>
              </w:rPr>
              <w:t>17 (90)</w:t>
            </w:r>
          </w:p>
        </w:tc>
        <w:tc>
          <w:tcPr>
            <w:tcW w:w="599" w:type="dxa"/>
          </w:tcPr>
          <w:p w:rsidR="00B21C88" w:rsidRPr="00B21C88" w:rsidRDefault="00B21C88" w:rsidP="00B21C88">
            <w:pPr>
              <w:spacing w:after="0" w:line="240" w:lineRule="auto"/>
              <w:rPr>
                <w:sz w:val="12"/>
                <w:szCs w:val="12"/>
              </w:rPr>
            </w:pPr>
            <w:r w:rsidRPr="00B21C88">
              <w:rPr>
                <w:sz w:val="12"/>
                <w:szCs w:val="12"/>
              </w:rPr>
              <w:t>13 (77)</w:t>
            </w:r>
          </w:p>
        </w:tc>
        <w:tc>
          <w:tcPr>
            <w:tcW w:w="599" w:type="dxa"/>
          </w:tcPr>
          <w:p w:rsidR="00B21C88" w:rsidRPr="00B21C88" w:rsidRDefault="00B21C88" w:rsidP="00B21C88">
            <w:pPr>
              <w:spacing w:after="0" w:line="240" w:lineRule="auto"/>
              <w:rPr>
                <w:sz w:val="12"/>
                <w:szCs w:val="12"/>
              </w:rPr>
            </w:pPr>
            <w:r w:rsidRPr="00B21C88">
              <w:rPr>
                <w:sz w:val="12"/>
                <w:szCs w:val="12"/>
              </w:rPr>
              <w:t>27 (84)</w:t>
            </w:r>
          </w:p>
        </w:tc>
        <w:tc>
          <w:tcPr>
            <w:tcW w:w="572" w:type="dxa"/>
          </w:tcPr>
          <w:p w:rsidR="00B21C88" w:rsidRPr="00B21C88" w:rsidRDefault="00B21C88" w:rsidP="00B21C88">
            <w:pPr>
              <w:spacing w:after="0" w:line="240" w:lineRule="auto"/>
              <w:rPr>
                <w:sz w:val="12"/>
                <w:szCs w:val="12"/>
              </w:rPr>
            </w:pPr>
            <w:r w:rsidRPr="00B21C88">
              <w:rPr>
                <w:sz w:val="12"/>
                <w:szCs w:val="12"/>
              </w:rPr>
              <w:t>23 (96)</w:t>
            </w:r>
          </w:p>
        </w:tc>
        <w:tc>
          <w:tcPr>
            <w:tcW w:w="567" w:type="dxa"/>
          </w:tcPr>
          <w:p w:rsidR="00B21C88" w:rsidRPr="00B21C88" w:rsidRDefault="00B21C88" w:rsidP="00B21C88">
            <w:pPr>
              <w:spacing w:after="0" w:line="240" w:lineRule="auto"/>
              <w:rPr>
                <w:sz w:val="12"/>
                <w:szCs w:val="12"/>
              </w:rPr>
            </w:pPr>
            <w:r w:rsidRPr="00B21C88">
              <w:rPr>
                <w:sz w:val="12"/>
                <w:szCs w:val="12"/>
              </w:rPr>
              <w:t>23 (92)</w:t>
            </w:r>
          </w:p>
        </w:tc>
        <w:tc>
          <w:tcPr>
            <w:tcW w:w="567" w:type="dxa"/>
          </w:tcPr>
          <w:p w:rsidR="00B21C88" w:rsidRPr="00B21C88" w:rsidRDefault="00B21C88" w:rsidP="00B21C88">
            <w:pPr>
              <w:spacing w:after="0" w:line="240" w:lineRule="auto"/>
              <w:rPr>
                <w:sz w:val="12"/>
                <w:szCs w:val="12"/>
              </w:rPr>
            </w:pPr>
            <w:r w:rsidRPr="00B21C88">
              <w:rPr>
                <w:sz w:val="12"/>
                <w:szCs w:val="12"/>
              </w:rPr>
              <w:t>21 (95)</w:t>
            </w:r>
          </w:p>
        </w:tc>
        <w:tc>
          <w:tcPr>
            <w:tcW w:w="567" w:type="dxa"/>
          </w:tcPr>
          <w:p w:rsidR="00B21C88" w:rsidRPr="00B21C88" w:rsidRDefault="00B21C88" w:rsidP="00B21C88">
            <w:pPr>
              <w:spacing w:after="0" w:line="240" w:lineRule="auto"/>
              <w:rPr>
                <w:sz w:val="12"/>
                <w:szCs w:val="12"/>
              </w:rPr>
            </w:pPr>
            <w:r w:rsidRPr="00B21C88">
              <w:rPr>
                <w:sz w:val="12"/>
                <w:szCs w:val="12"/>
              </w:rPr>
              <w:t>22 (81)</w:t>
            </w:r>
          </w:p>
        </w:tc>
        <w:tc>
          <w:tcPr>
            <w:tcW w:w="567" w:type="dxa"/>
          </w:tcPr>
          <w:p w:rsidR="00B21C88" w:rsidRPr="00B21C88" w:rsidRDefault="00B21C88" w:rsidP="00B21C88">
            <w:pPr>
              <w:spacing w:after="0" w:line="240" w:lineRule="auto"/>
              <w:rPr>
                <w:sz w:val="12"/>
                <w:szCs w:val="12"/>
              </w:rPr>
            </w:pPr>
            <w:r w:rsidRPr="00B21C88">
              <w:rPr>
                <w:sz w:val="12"/>
                <w:szCs w:val="12"/>
              </w:rPr>
              <w:t>15 (94)</w:t>
            </w:r>
          </w:p>
        </w:tc>
        <w:tc>
          <w:tcPr>
            <w:tcW w:w="567" w:type="dxa"/>
          </w:tcPr>
          <w:p w:rsidR="00B21C88" w:rsidRPr="00B21C88" w:rsidRDefault="00B21C88" w:rsidP="00B21C88">
            <w:pPr>
              <w:spacing w:after="0" w:line="240" w:lineRule="auto"/>
              <w:rPr>
                <w:sz w:val="12"/>
                <w:szCs w:val="12"/>
              </w:rPr>
            </w:pPr>
            <w:r w:rsidRPr="00B21C88">
              <w:rPr>
                <w:sz w:val="12"/>
                <w:szCs w:val="12"/>
              </w:rPr>
              <w:t>25 (86)</w:t>
            </w:r>
          </w:p>
        </w:tc>
        <w:tc>
          <w:tcPr>
            <w:tcW w:w="567" w:type="dxa"/>
          </w:tcPr>
          <w:p w:rsidR="00B21C88" w:rsidRPr="00B21C88" w:rsidRDefault="00B21C88" w:rsidP="00B21C88">
            <w:pPr>
              <w:spacing w:after="0" w:line="240" w:lineRule="auto"/>
              <w:rPr>
                <w:sz w:val="12"/>
                <w:szCs w:val="12"/>
              </w:rPr>
            </w:pPr>
            <w:r w:rsidRPr="00B21C88">
              <w:rPr>
                <w:sz w:val="12"/>
                <w:szCs w:val="12"/>
              </w:rPr>
              <w:t>18 (75)</w:t>
            </w:r>
          </w:p>
        </w:tc>
        <w:tc>
          <w:tcPr>
            <w:tcW w:w="567" w:type="dxa"/>
          </w:tcPr>
          <w:p w:rsidR="00B21C88" w:rsidRPr="00B21C88" w:rsidRDefault="00B21C88" w:rsidP="00B21C88">
            <w:pPr>
              <w:spacing w:after="0" w:line="240" w:lineRule="auto"/>
              <w:rPr>
                <w:sz w:val="12"/>
                <w:szCs w:val="12"/>
              </w:rPr>
            </w:pPr>
            <w:r w:rsidRPr="00B21C88">
              <w:rPr>
                <w:sz w:val="12"/>
                <w:szCs w:val="12"/>
              </w:rPr>
              <w:t>26 (96)</w:t>
            </w:r>
          </w:p>
        </w:tc>
        <w:tc>
          <w:tcPr>
            <w:tcW w:w="567" w:type="dxa"/>
          </w:tcPr>
          <w:p w:rsidR="00B21C88" w:rsidRPr="00B21C88" w:rsidRDefault="00B21C88" w:rsidP="00B21C88">
            <w:pPr>
              <w:spacing w:after="0" w:line="240" w:lineRule="auto"/>
              <w:rPr>
                <w:sz w:val="12"/>
                <w:szCs w:val="12"/>
              </w:rPr>
            </w:pPr>
            <w:r w:rsidRPr="00B21C88">
              <w:rPr>
                <w:sz w:val="12"/>
                <w:szCs w:val="12"/>
              </w:rPr>
              <w:t>22 (73)</w:t>
            </w:r>
          </w:p>
        </w:tc>
        <w:tc>
          <w:tcPr>
            <w:tcW w:w="567" w:type="dxa"/>
          </w:tcPr>
          <w:p w:rsidR="00B21C88" w:rsidRPr="00B21C88" w:rsidRDefault="00B21C88" w:rsidP="00B21C88">
            <w:pPr>
              <w:spacing w:after="0" w:line="240" w:lineRule="auto"/>
              <w:rPr>
                <w:sz w:val="12"/>
                <w:szCs w:val="12"/>
              </w:rPr>
            </w:pPr>
            <w:r w:rsidRPr="00B21C88">
              <w:rPr>
                <w:sz w:val="12"/>
                <w:szCs w:val="12"/>
              </w:rPr>
              <w:t>13 (93)</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Patient global assessment</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2 (67)</w:t>
            </w:r>
          </w:p>
        </w:tc>
        <w:tc>
          <w:tcPr>
            <w:tcW w:w="604" w:type="dxa"/>
          </w:tcPr>
          <w:p w:rsidR="00B21C88" w:rsidRPr="00B21C88" w:rsidRDefault="00B21C88" w:rsidP="00B21C88">
            <w:pPr>
              <w:spacing w:after="0" w:line="240" w:lineRule="auto"/>
              <w:rPr>
                <w:sz w:val="12"/>
                <w:szCs w:val="12"/>
              </w:rPr>
            </w:pPr>
            <w:r w:rsidRPr="00B21C88">
              <w:rPr>
                <w:sz w:val="12"/>
                <w:szCs w:val="12"/>
              </w:rPr>
              <w:t>5 (71)</w:t>
            </w:r>
          </w:p>
        </w:tc>
        <w:tc>
          <w:tcPr>
            <w:tcW w:w="604" w:type="dxa"/>
          </w:tcPr>
          <w:p w:rsidR="00B21C88" w:rsidRPr="00B21C88" w:rsidRDefault="00B21C88" w:rsidP="00B21C88">
            <w:pPr>
              <w:spacing w:after="0" w:line="240" w:lineRule="auto"/>
              <w:rPr>
                <w:sz w:val="12"/>
                <w:szCs w:val="12"/>
              </w:rPr>
            </w:pPr>
            <w:r w:rsidRPr="00B21C88">
              <w:rPr>
                <w:sz w:val="12"/>
                <w:szCs w:val="12"/>
              </w:rPr>
              <w:t>4 (100)</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7 (70)</w:t>
            </w:r>
          </w:p>
        </w:tc>
        <w:tc>
          <w:tcPr>
            <w:tcW w:w="575" w:type="dxa"/>
          </w:tcPr>
          <w:p w:rsidR="00B21C88" w:rsidRPr="00B21C88" w:rsidRDefault="00B21C88" w:rsidP="00B21C88">
            <w:pPr>
              <w:spacing w:after="0" w:line="240" w:lineRule="auto"/>
              <w:rPr>
                <w:sz w:val="12"/>
                <w:szCs w:val="12"/>
              </w:rPr>
            </w:pPr>
            <w:r w:rsidRPr="00B21C88">
              <w:rPr>
                <w:sz w:val="12"/>
                <w:szCs w:val="12"/>
              </w:rPr>
              <w:t>20 (71)</w:t>
            </w:r>
          </w:p>
        </w:tc>
        <w:tc>
          <w:tcPr>
            <w:tcW w:w="599" w:type="dxa"/>
          </w:tcPr>
          <w:p w:rsidR="00B21C88" w:rsidRPr="00B21C88" w:rsidRDefault="00B21C88" w:rsidP="00B21C88">
            <w:pPr>
              <w:spacing w:after="0" w:line="240" w:lineRule="auto"/>
              <w:rPr>
                <w:sz w:val="12"/>
                <w:szCs w:val="12"/>
              </w:rPr>
            </w:pPr>
            <w:r w:rsidRPr="00B21C88">
              <w:rPr>
                <w:sz w:val="12"/>
                <w:szCs w:val="12"/>
              </w:rPr>
              <w:t>11 (55)</w:t>
            </w:r>
          </w:p>
        </w:tc>
        <w:tc>
          <w:tcPr>
            <w:tcW w:w="599" w:type="dxa"/>
          </w:tcPr>
          <w:p w:rsidR="00B21C88" w:rsidRPr="00B21C88" w:rsidRDefault="00B21C88" w:rsidP="00B21C88">
            <w:pPr>
              <w:spacing w:after="0" w:line="240" w:lineRule="auto"/>
              <w:rPr>
                <w:sz w:val="12"/>
                <w:szCs w:val="12"/>
              </w:rPr>
            </w:pPr>
            <w:r w:rsidRPr="00B21C88">
              <w:rPr>
                <w:sz w:val="12"/>
                <w:szCs w:val="12"/>
              </w:rPr>
              <w:t>11 (58)</w:t>
            </w:r>
          </w:p>
        </w:tc>
        <w:tc>
          <w:tcPr>
            <w:tcW w:w="599" w:type="dxa"/>
          </w:tcPr>
          <w:p w:rsidR="00B21C88" w:rsidRPr="00B21C88" w:rsidRDefault="00B21C88" w:rsidP="00B21C88">
            <w:pPr>
              <w:spacing w:after="0" w:line="240" w:lineRule="auto"/>
              <w:rPr>
                <w:sz w:val="12"/>
                <w:szCs w:val="12"/>
              </w:rPr>
            </w:pPr>
            <w:r w:rsidRPr="00B21C88">
              <w:rPr>
                <w:sz w:val="12"/>
                <w:szCs w:val="12"/>
              </w:rPr>
              <w:t>7 (41)</w:t>
            </w:r>
          </w:p>
        </w:tc>
        <w:tc>
          <w:tcPr>
            <w:tcW w:w="599" w:type="dxa"/>
          </w:tcPr>
          <w:p w:rsidR="00B21C88" w:rsidRPr="00B21C88" w:rsidRDefault="00B21C88" w:rsidP="00B21C88">
            <w:pPr>
              <w:spacing w:after="0" w:line="240" w:lineRule="auto"/>
              <w:rPr>
                <w:sz w:val="12"/>
                <w:szCs w:val="12"/>
              </w:rPr>
            </w:pPr>
            <w:r w:rsidRPr="00B21C88">
              <w:rPr>
                <w:sz w:val="12"/>
                <w:szCs w:val="12"/>
              </w:rPr>
              <w:t>17 (53)</w:t>
            </w:r>
          </w:p>
        </w:tc>
        <w:tc>
          <w:tcPr>
            <w:tcW w:w="572" w:type="dxa"/>
          </w:tcPr>
          <w:p w:rsidR="00B21C88" w:rsidRPr="00B21C88" w:rsidRDefault="00B21C88" w:rsidP="00B21C88">
            <w:pPr>
              <w:spacing w:after="0" w:line="240" w:lineRule="auto"/>
              <w:rPr>
                <w:sz w:val="12"/>
                <w:szCs w:val="12"/>
              </w:rPr>
            </w:pPr>
            <w:r w:rsidRPr="00B21C88">
              <w:rPr>
                <w:sz w:val="12"/>
                <w:szCs w:val="12"/>
              </w:rPr>
              <w:t>8 (33)</w:t>
            </w:r>
          </w:p>
        </w:tc>
        <w:tc>
          <w:tcPr>
            <w:tcW w:w="567" w:type="dxa"/>
          </w:tcPr>
          <w:p w:rsidR="00B21C88" w:rsidRPr="00B21C88" w:rsidRDefault="00B21C88" w:rsidP="00B21C88">
            <w:pPr>
              <w:spacing w:after="0" w:line="240" w:lineRule="auto"/>
              <w:rPr>
                <w:sz w:val="12"/>
                <w:szCs w:val="12"/>
              </w:rPr>
            </w:pPr>
            <w:r w:rsidRPr="00B21C88">
              <w:rPr>
                <w:sz w:val="12"/>
                <w:szCs w:val="12"/>
              </w:rPr>
              <w:t>16 (64)</w:t>
            </w:r>
          </w:p>
        </w:tc>
        <w:tc>
          <w:tcPr>
            <w:tcW w:w="567" w:type="dxa"/>
          </w:tcPr>
          <w:p w:rsidR="00B21C88" w:rsidRPr="00B21C88" w:rsidRDefault="00B21C88" w:rsidP="00B21C88">
            <w:pPr>
              <w:spacing w:after="0" w:line="240" w:lineRule="auto"/>
              <w:rPr>
                <w:sz w:val="12"/>
                <w:szCs w:val="12"/>
              </w:rPr>
            </w:pPr>
            <w:r w:rsidRPr="00B21C88">
              <w:rPr>
                <w:sz w:val="12"/>
                <w:szCs w:val="12"/>
              </w:rPr>
              <w:t>8 (36)</w:t>
            </w:r>
          </w:p>
        </w:tc>
        <w:tc>
          <w:tcPr>
            <w:tcW w:w="567" w:type="dxa"/>
          </w:tcPr>
          <w:p w:rsidR="00B21C88" w:rsidRPr="00B21C88" w:rsidRDefault="00B21C88" w:rsidP="00B21C88">
            <w:pPr>
              <w:spacing w:after="0" w:line="240" w:lineRule="auto"/>
              <w:rPr>
                <w:sz w:val="12"/>
                <w:szCs w:val="12"/>
              </w:rPr>
            </w:pPr>
            <w:r w:rsidRPr="00B21C88">
              <w:rPr>
                <w:sz w:val="12"/>
                <w:szCs w:val="12"/>
              </w:rPr>
              <w:t>10 (37)</w:t>
            </w:r>
          </w:p>
        </w:tc>
        <w:tc>
          <w:tcPr>
            <w:tcW w:w="567" w:type="dxa"/>
          </w:tcPr>
          <w:p w:rsidR="00B21C88" w:rsidRPr="00B21C88" w:rsidRDefault="00B21C88" w:rsidP="00B21C88">
            <w:pPr>
              <w:spacing w:after="0" w:line="240" w:lineRule="auto"/>
              <w:rPr>
                <w:sz w:val="12"/>
                <w:szCs w:val="12"/>
              </w:rPr>
            </w:pPr>
            <w:r w:rsidRPr="00B21C88">
              <w:rPr>
                <w:sz w:val="12"/>
                <w:szCs w:val="12"/>
              </w:rPr>
              <w:t>5 (31)</w:t>
            </w:r>
          </w:p>
        </w:tc>
        <w:tc>
          <w:tcPr>
            <w:tcW w:w="567" w:type="dxa"/>
          </w:tcPr>
          <w:p w:rsidR="00B21C88" w:rsidRPr="00B21C88" w:rsidRDefault="00B21C88" w:rsidP="00B21C88">
            <w:pPr>
              <w:spacing w:after="0" w:line="240" w:lineRule="auto"/>
              <w:rPr>
                <w:sz w:val="12"/>
                <w:szCs w:val="12"/>
              </w:rPr>
            </w:pPr>
            <w:r w:rsidRPr="00B21C88">
              <w:rPr>
                <w:sz w:val="12"/>
                <w:szCs w:val="12"/>
              </w:rPr>
              <w:t>12 (41)</w:t>
            </w:r>
          </w:p>
        </w:tc>
        <w:tc>
          <w:tcPr>
            <w:tcW w:w="567" w:type="dxa"/>
          </w:tcPr>
          <w:p w:rsidR="00B21C88" w:rsidRPr="00B21C88" w:rsidRDefault="00B21C88" w:rsidP="00B21C88">
            <w:pPr>
              <w:spacing w:after="0" w:line="240" w:lineRule="auto"/>
              <w:rPr>
                <w:sz w:val="12"/>
                <w:szCs w:val="12"/>
              </w:rPr>
            </w:pPr>
            <w:r w:rsidRPr="00B21C88">
              <w:rPr>
                <w:sz w:val="12"/>
                <w:szCs w:val="12"/>
              </w:rPr>
              <w:t>11 (46)</w:t>
            </w:r>
          </w:p>
        </w:tc>
        <w:tc>
          <w:tcPr>
            <w:tcW w:w="567" w:type="dxa"/>
          </w:tcPr>
          <w:p w:rsidR="00B21C88" w:rsidRPr="00B21C88" w:rsidRDefault="00B21C88" w:rsidP="00B21C88">
            <w:pPr>
              <w:spacing w:after="0" w:line="240" w:lineRule="auto"/>
              <w:rPr>
                <w:sz w:val="12"/>
                <w:szCs w:val="12"/>
              </w:rPr>
            </w:pPr>
            <w:r w:rsidRPr="00B21C88">
              <w:rPr>
                <w:sz w:val="12"/>
                <w:szCs w:val="12"/>
              </w:rPr>
              <w:t>12 (44)</w:t>
            </w:r>
          </w:p>
        </w:tc>
        <w:tc>
          <w:tcPr>
            <w:tcW w:w="567" w:type="dxa"/>
          </w:tcPr>
          <w:p w:rsidR="00B21C88" w:rsidRPr="00B21C88" w:rsidRDefault="00B21C88" w:rsidP="00B21C88">
            <w:pPr>
              <w:spacing w:after="0" w:line="240" w:lineRule="auto"/>
              <w:rPr>
                <w:sz w:val="12"/>
                <w:szCs w:val="12"/>
              </w:rPr>
            </w:pPr>
            <w:r w:rsidRPr="00B21C88">
              <w:rPr>
                <w:sz w:val="12"/>
                <w:szCs w:val="12"/>
              </w:rPr>
              <w:t>8 (27)</w:t>
            </w:r>
          </w:p>
        </w:tc>
        <w:tc>
          <w:tcPr>
            <w:tcW w:w="567" w:type="dxa"/>
          </w:tcPr>
          <w:p w:rsidR="00B21C88" w:rsidRPr="00B21C88" w:rsidRDefault="00B21C88" w:rsidP="00B21C88">
            <w:pPr>
              <w:spacing w:after="0" w:line="240" w:lineRule="auto"/>
              <w:rPr>
                <w:sz w:val="12"/>
                <w:szCs w:val="12"/>
              </w:rPr>
            </w:pPr>
            <w:r w:rsidRPr="00B21C88">
              <w:rPr>
                <w:sz w:val="12"/>
                <w:szCs w:val="12"/>
              </w:rPr>
              <w:t>6 (43)</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Imaging*</w:t>
            </w:r>
          </w:p>
        </w:tc>
        <w:tc>
          <w:tcPr>
            <w:tcW w:w="585" w:type="dxa"/>
          </w:tcPr>
          <w:p w:rsidR="00B21C88" w:rsidRPr="00B21C88" w:rsidRDefault="00B21C88" w:rsidP="00B21C88">
            <w:pPr>
              <w:spacing w:after="0" w:line="240" w:lineRule="auto"/>
              <w:rPr>
                <w:sz w:val="12"/>
                <w:szCs w:val="12"/>
              </w:rPr>
            </w:pPr>
            <w:r w:rsidRPr="00B21C88">
              <w:rPr>
                <w:sz w:val="12"/>
                <w:szCs w:val="12"/>
              </w:rPr>
              <w:t>3 (100)</w:t>
            </w:r>
          </w:p>
        </w:tc>
        <w:tc>
          <w:tcPr>
            <w:tcW w:w="604" w:type="dxa"/>
          </w:tcPr>
          <w:p w:rsidR="00B21C88" w:rsidRPr="00B21C88" w:rsidRDefault="00B21C88" w:rsidP="00B21C88">
            <w:pPr>
              <w:spacing w:after="0" w:line="240" w:lineRule="auto"/>
              <w:rPr>
                <w:sz w:val="12"/>
                <w:szCs w:val="12"/>
              </w:rPr>
            </w:pPr>
            <w:r w:rsidRPr="00B21C88">
              <w:rPr>
                <w:sz w:val="12"/>
                <w:szCs w:val="12"/>
              </w:rPr>
              <w:t>N/A</w:t>
            </w:r>
          </w:p>
        </w:tc>
        <w:tc>
          <w:tcPr>
            <w:tcW w:w="604" w:type="dxa"/>
          </w:tcPr>
          <w:p w:rsidR="00B21C88" w:rsidRPr="00B21C88" w:rsidRDefault="00B21C88" w:rsidP="00B21C88">
            <w:pPr>
              <w:spacing w:after="0" w:line="240" w:lineRule="auto"/>
              <w:rPr>
                <w:sz w:val="12"/>
                <w:szCs w:val="12"/>
              </w:rPr>
            </w:pPr>
            <w:r w:rsidRPr="00B21C88">
              <w:rPr>
                <w:sz w:val="12"/>
                <w:szCs w:val="12"/>
              </w:rPr>
              <w:t>2 (100)</w:t>
            </w:r>
          </w:p>
        </w:tc>
        <w:tc>
          <w:tcPr>
            <w:tcW w:w="604" w:type="dxa"/>
          </w:tcPr>
          <w:p w:rsidR="00B21C88" w:rsidRPr="00B21C88" w:rsidRDefault="00B21C88" w:rsidP="00B21C88">
            <w:pPr>
              <w:spacing w:after="0" w:line="240" w:lineRule="auto"/>
              <w:rPr>
                <w:sz w:val="12"/>
                <w:szCs w:val="12"/>
              </w:rPr>
            </w:pPr>
            <w:r w:rsidRPr="00B21C88">
              <w:rPr>
                <w:sz w:val="12"/>
                <w:szCs w:val="12"/>
              </w:rPr>
              <w:t>N/A</w:t>
            </w:r>
          </w:p>
        </w:tc>
        <w:tc>
          <w:tcPr>
            <w:tcW w:w="604" w:type="dxa"/>
          </w:tcPr>
          <w:p w:rsidR="00B21C88" w:rsidRPr="00B21C88" w:rsidRDefault="00B21C88" w:rsidP="00B21C88">
            <w:pPr>
              <w:spacing w:after="0" w:line="240" w:lineRule="auto"/>
              <w:rPr>
                <w:sz w:val="12"/>
                <w:szCs w:val="12"/>
              </w:rPr>
            </w:pPr>
            <w:r w:rsidRPr="00B21C88">
              <w:rPr>
                <w:sz w:val="12"/>
                <w:szCs w:val="12"/>
              </w:rPr>
              <w:t>N/A</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2 (67)</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2 (100)</w:t>
            </w:r>
          </w:p>
        </w:tc>
        <w:tc>
          <w:tcPr>
            <w:tcW w:w="599" w:type="dxa"/>
          </w:tcPr>
          <w:p w:rsidR="00B21C88" w:rsidRPr="00B21C88" w:rsidRDefault="00B21C88" w:rsidP="00B21C88">
            <w:pPr>
              <w:spacing w:after="0" w:line="240" w:lineRule="auto"/>
              <w:rPr>
                <w:sz w:val="12"/>
                <w:szCs w:val="12"/>
              </w:rPr>
            </w:pPr>
            <w:r w:rsidRPr="00B21C88">
              <w:rPr>
                <w:sz w:val="12"/>
                <w:szCs w:val="12"/>
              </w:rPr>
              <w:t>4 (100)</w:t>
            </w:r>
          </w:p>
        </w:tc>
        <w:tc>
          <w:tcPr>
            <w:tcW w:w="572" w:type="dxa"/>
          </w:tcPr>
          <w:p w:rsidR="00B21C88" w:rsidRPr="00B21C88" w:rsidRDefault="00B21C88" w:rsidP="00B21C88">
            <w:pPr>
              <w:spacing w:after="0" w:line="240" w:lineRule="auto"/>
              <w:rPr>
                <w:sz w:val="12"/>
                <w:szCs w:val="12"/>
              </w:rPr>
            </w:pPr>
            <w:r w:rsidRPr="00B21C88">
              <w:rPr>
                <w:sz w:val="12"/>
                <w:szCs w:val="12"/>
              </w:rPr>
              <w:t>5 (71)</w:t>
            </w:r>
          </w:p>
        </w:tc>
        <w:tc>
          <w:tcPr>
            <w:tcW w:w="567" w:type="dxa"/>
          </w:tcPr>
          <w:p w:rsidR="00B21C88" w:rsidRPr="00B21C88" w:rsidRDefault="00B21C88" w:rsidP="00B21C88">
            <w:pPr>
              <w:spacing w:after="0" w:line="240" w:lineRule="auto"/>
              <w:rPr>
                <w:sz w:val="12"/>
                <w:szCs w:val="12"/>
              </w:rPr>
            </w:pPr>
            <w:r w:rsidRPr="00B21C88">
              <w:rPr>
                <w:sz w:val="12"/>
                <w:szCs w:val="12"/>
              </w:rPr>
              <w:t>1 (33)</w:t>
            </w:r>
          </w:p>
        </w:tc>
        <w:tc>
          <w:tcPr>
            <w:tcW w:w="567" w:type="dxa"/>
          </w:tcPr>
          <w:p w:rsidR="00B21C88" w:rsidRPr="00B21C88" w:rsidRDefault="00B21C88" w:rsidP="00B21C88">
            <w:pPr>
              <w:spacing w:after="0" w:line="240" w:lineRule="auto"/>
              <w:rPr>
                <w:sz w:val="12"/>
                <w:szCs w:val="12"/>
              </w:rPr>
            </w:pPr>
            <w:r w:rsidRPr="00B21C88">
              <w:rPr>
                <w:sz w:val="12"/>
                <w:szCs w:val="12"/>
              </w:rPr>
              <w:t>3 (43)</w:t>
            </w:r>
          </w:p>
        </w:tc>
        <w:tc>
          <w:tcPr>
            <w:tcW w:w="567" w:type="dxa"/>
          </w:tcPr>
          <w:p w:rsidR="00B21C88" w:rsidRPr="00B21C88" w:rsidRDefault="00B21C88" w:rsidP="00B21C88">
            <w:pPr>
              <w:spacing w:after="0" w:line="240" w:lineRule="auto"/>
              <w:rPr>
                <w:sz w:val="12"/>
                <w:szCs w:val="12"/>
              </w:rPr>
            </w:pPr>
            <w:r w:rsidRPr="00B21C88">
              <w:rPr>
                <w:sz w:val="12"/>
                <w:szCs w:val="12"/>
              </w:rPr>
              <w:t>2 (33)</w:t>
            </w:r>
          </w:p>
        </w:tc>
        <w:tc>
          <w:tcPr>
            <w:tcW w:w="567" w:type="dxa"/>
          </w:tcPr>
          <w:p w:rsidR="00B21C88" w:rsidRPr="00B21C88" w:rsidRDefault="00B21C88" w:rsidP="00B21C88">
            <w:pPr>
              <w:spacing w:after="0" w:line="240" w:lineRule="auto"/>
              <w:rPr>
                <w:sz w:val="12"/>
                <w:szCs w:val="12"/>
              </w:rPr>
            </w:pPr>
            <w:r w:rsidRPr="00B21C88">
              <w:rPr>
                <w:sz w:val="12"/>
                <w:szCs w:val="12"/>
              </w:rPr>
              <w:t>1 (33)</w:t>
            </w:r>
          </w:p>
        </w:tc>
        <w:tc>
          <w:tcPr>
            <w:tcW w:w="567" w:type="dxa"/>
          </w:tcPr>
          <w:p w:rsidR="00B21C88" w:rsidRPr="00B21C88" w:rsidRDefault="00B21C88" w:rsidP="00B21C88">
            <w:pPr>
              <w:spacing w:after="0" w:line="240" w:lineRule="auto"/>
              <w:rPr>
                <w:sz w:val="12"/>
                <w:szCs w:val="12"/>
              </w:rPr>
            </w:pPr>
            <w:r w:rsidRPr="00B21C88">
              <w:rPr>
                <w:sz w:val="12"/>
                <w:szCs w:val="12"/>
              </w:rPr>
              <w:t>1 (25)</w:t>
            </w:r>
          </w:p>
        </w:tc>
        <w:tc>
          <w:tcPr>
            <w:tcW w:w="567" w:type="dxa"/>
          </w:tcPr>
          <w:p w:rsidR="00B21C88" w:rsidRPr="00B21C88" w:rsidRDefault="00B21C88" w:rsidP="00B21C88">
            <w:pPr>
              <w:spacing w:after="0" w:line="240" w:lineRule="auto"/>
              <w:rPr>
                <w:sz w:val="12"/>
                <w:szCs w:val="12"/>
              </w:rPr>
            </w:pPr>
            <w:r w:rsidRPr="00B21C88">
              <w:rPr>
                <w:sz w:val="12"/>
                <w:szCs w:val="12"/>
              </w:rPr>
              <w:t>1 (100)</w:t>
            </w:r>
          </w:p>
        </w:tc>
        <w:tc>
          <w:tcPr>
            <w:tcW w:w="567" w:type="dxa"/>
          </w:tcPr>
          <w:p w:rsidR="00B21C88" w:rsidRPr="00B21C88" w:rsidRDefault="00B21C88" w:rsidP="00B21C88">
            <w:pPr>
              <w:spacing w:after="0" w:line="240" w:lineRule="auto"/>
              <w:rPr>
                <w:sz w:val="12"/>
                <w:szCs w:val="12"/>
              </w:rPr>
            </w:pPr>
            <w:r w:rsidRPr="00B21C88">
              <w:rPr>
                <w:sz w:val="12"/>
                <w:szCs w:val="12"/>
              </w:rPr>
              <w:t>1 (33)</w:t>
            </w:r>
          </w:p>
        </w:tc>
        <w:tc>
          <w:tcPr>
            <w:tcW w:w="567" w:type="dxa"/>
          </w:tcPr>
          <w:p w:rsidR="00B21C88" w:rsidRPr="00B21C88" w:rsidRDefault="00B21C88" w:rsidP="00B21C88">
            <w:pPr>
              <w:spacing w:after="0" w:line="240" w:lineRule="auto"/>
              <w:rPr>
                <w:sz w:val="12"/>
                <w:szCs w:val="12"/>
              </w:rPr>
            </w:pPr>
            <w:r w:rsidRPr="00B21C88">
              <w:rPr>
                <w:sz w:val="12"/>
                <w:szCs w:val="12"/>
              </w:rPr>
              <w:t>4 (57)</w:t>
            </w:r>
          </w:p>
        </w:tc>
        <w:tc>
          <w:tcPr>
            <w:tcW w:w="567" w:type="dxa"/>
          </w:tcPr>
          <w:p w:rsidR="00B21C88" w:rsidRPr="00B21C88" w:rsidRDefault="00B21C88" w:rsidP="00B21C88">
            <w:pPr>
              <w:spacing w:after="0" w:line="240" w:lineRule="auto"/>
              <w:rPr>
                <w:sz w:val="12"/>
                <w:szCs w:val="12"/>
              </w:rPr>
            </w:pPr>
            <w:r w:rsidRPr="00B21C88">
              <w:rPr>
                <w:sz w:val="12"/>
                <w:szCs w:val="12"/>
              </w:rPr>
              <w:t>6 (86)</w:t>
            </w:r>
          </w:p>
        </w:tc>
      </w:tr>
      <w:tr w:rsidR="00B21C88" w:rsidRPr="00B21C88" w:rsidTr="005B5778">
        <w:tc>
          <w:tcPr>
            <w:tcW w:w="1338"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All core domains measured*</w:t>
            </w:r>
          </w:p>
        </w:tc>
        <w:tc>
          <w:tcPr>
            <w:tcW w:w="585"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3 (100)</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2 (67)</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4 (57)</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4 (100)</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 (100)</w:t>
            </w:r>
          </w:p>
        </w:tc>
        <w:tc>
          <w:tcPr>
            <w:tcW w:w="623"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(70)</w:t>
            </w:r>
          </w:p>
        </w:tc>
        <w:tc>
          <w:tcPr>
            <w:tcW w:w="575"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16 (57)</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10 (50)</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11 (58)</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(41)</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16 (50)</w:t>
            </w:r>
          </w:p>
        </w:tc>
        <w:tc>
          <w:tcPr>
            <w:tcW w:w="572"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8 (33)</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16 (64)</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(32)</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9 (33)</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5 (31)</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12 (41)</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10 (42)</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12 (44)</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9 (30)</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(50)</w:t>
            </w:r>
          </w:p>
        </w:tc>
      </w:tr>
      <w:tr w:rsidR="00B21C88" w:rsidRPr="00B21C88" w:rsidTr="005B5778">
        <w:tc>
          <w:tcPr>
            <w:tcW w:w="13608" w:type="dxa"/>
            <w:gridSpan w:val="22"/>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rPr>
                <w:sz w:val="12"/>
                <w:szCs w:val="12"/>
              </w:rPr>
            </w:pPr>
            <w:r w:rsidRPr="00B21C88">
              <w:rPr>
                <w:sz w:val="12"/>
                <w:szCs w:val="12"/>
              </w:rPr>
              <w:t>Recommended Domains</w:t>
            </w:r>
          </w:p>
        </w:tc>
      </w:tr>
      <w:tr w:rsidR="00B21C88" w:rsidRPr="00B21C88" w:rsidTr="005B5778">
        <w:tc>
          <w:tcPr>
            <w:tcW w:w="1338"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HRQOL</w:t>
            </w:r>
          </w:p>
        </w:tc>
        <w:tc>
          <w:tcPr>
            <w:tcW w:w="58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1(33)</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 (67)</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 (14)</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 (25)</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0 (0)</w:t>
            </w:r>
          </w:p>
        </w:tc>
        <w:tc>
          <w:tcPr>
            <w:tcW w:w="623"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 (10)</w:t>
            </w:r>
          </w:p>
        </w:tc>
        <w:tc>
          <w:tcPr>
            <w:tcW w:w="57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3 (11)</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0 (0)</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4 (21)</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4 (24)</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(22)</w:t>
            </w:r>
          </w:p>
        </w:tc>
        <w:tc>
          <w:tcPr>
            <w:tcW w:w="572"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12 (50)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11 (44)</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(32)</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11 (41)</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5 (31)</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(24)</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(29)</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6 (22)</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8 (27)</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 (14)</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Clinician global assessment</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5 (71)</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2 (20)</w:t>
            </w:r>
          </w:p>
        </w:tc>
        <w:tc>
          <w:tcPr>
            <w:tcW w:w="575" w:type="dxa"/>
          </w:tcPr>
          <w:p w:rsidR="00B21C88" w:rsidRPr="00B21C88" w:rsidRDefault="00B21C88" w:rsidP="00B21C88">
            <w:pPr>
              <w:spacing w:after="0" w:line="240" w:lineRule="auto"/>
              <w:rPr>
                <w:sz w:val="12"/>
                <w:szCs w:val="12"/>
              </w:rPr>
            </w:pPr>
            <w:r w:rsidRPr="00B21C88">
              <w:rPr>
                <w:sz w:val="12"/>
                <w:szCs w:val="12"/>
              </w:rPr>
              <w:t>13 (46)</w:t>
            </w:r>
          </w:p>
        </w:tc>
        <w:tc>
          <w:tcPr>
            <w:tcW w:w="599" w:type="dxa"/>
          </w:tcPr>
          <w:p w:rsidR="00B21C88" w:rsidRPr="00B21C88" w:rsidRDefault="00B21C88" w:rsidP="00B21C88">
            <w:pPr>
              <w:spacing w:after="0" w:line="240" w:lineRule="auto"/>
              <w:rPr>
                <w:sz w:val="12"/>
                <w:szCs w:val="12"/>
              </w:rPr>
            </w:pPr>
            <w:r w:rsidRPr="00B21C88">
              <w:rPr>
                <w:sz w:val="12"/>
                <w:szCs w:val="12"/>
              </w:rPr>
              <w:t>8 (29)</w:t>
            </w:r>
          </w:p>
        </w:tc>
        <w:tc>
          <w:tcPr>
            <w:tcW w:w="599" w:type="dxa"/>
          </w:tcPr>
          <w:p w:rsidR="00B21C88" w:rsidRPr="00B21C88" w:rsidRDefault="00B21C88" w:rsidP="00B21C88">
            <w:pPr>
              <w:spacing w:after="0" w:line="240" w:lineRule="auto"/>
              <w:rPr>
                <w:sz w:val="12"/>
                <w:szCs w:val="12"/>
              </w:rPr>
            </w:pPr>
            <w:r w:rsidRPr="00B21C88">
              <w:rPr>
                <w:sz w:val="12"/>
                <w:szCs w:val="12"/>
              </w:rPr>
              <w:t>7 (37)</w:t>
            </w:r>
          </w:p>
        </w:tc>
        <w:tc>
          <w:tcPr>
            <w:tcW w:w="599" w:type="dxa"/>
          </w:tcPr>
          <w:p w:rsidR="00B21C88" w:rsidRPr="00B21C88" w:rsidRDefault="00B21C88" w:rsidP="00B21C88">
            <w:pPr>
              <w:spacing w:after="0" w:line="240" w:lineRule="auto"/>
              <w:rPr>
                <w:sz w:val="12"/>
                <w:szCs w:val="12"/>
              </w:rPr>
            </w:pPr>
            <w:r w:rsidRPr="00B21C88">
              <w:rPr>
                <w:sz w:val="12"/>
                <w:szCs w:val="12"/>
              </w:rPr>
              <w:t>4 (24)</w:t>
            </w:r>
          </w:p>
        </w:tc>
        <w:tc>
          <w:tcPr>
            <w:tcW w:w="599" w:type="dxa"/>
          </w:tcPr>
          <w:p w:rsidR="00B21C88" w:rsidRPr="00B21C88" w:rsidRDefault="00B21C88" w:rsidP="00B21C88">
            <w:pPr>
              <w:spacing w:after="0" w:line="240" w:lineRule="auto"/>
              <w:rPr>
                <w:sz w:val="12"/>
                <w:szCs w:val="12"/>
              </w:rPr>
            </w:pPr>
            <w:r w:rsidRPr="00B21C88">
              <w:rPr>
                <w:sz w:val="12"/>
                <w:szCs w:val="12"/>
              </w:rPr>
              <w:t>6 (19)</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5 (20)</w:t>
            </w:r>
          </w:p>
        </w:tc>
        <w:tc>
          <w:tcPr>
            <w:tcW w:w="567" w:type="dxa"/>
          </w:tcPr>
          <w:p w:rsidR="00B21C88" w:rsidRPr="00B21C88" w:rsidRDefault="00B21C88" w:rsidP="00B21C88">
            <w:pPr>
              <w:spacing w:after="0" w:line="240" w:lineRule="auto"/>
              <w:rPr>
                <w:sz w:val="12"/>
                <w:szCs w:val="12"/>
              </w:rPr>
            </w:pPr>
            <w:r w:rsidRPr="00B21C88">
              <w:rPr>
                <w:sz w:val="12"/>
                <w:szCs w:val="12"/>
              </w:rPr>
              <w:t>5 (23)</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6 (38)</w:t>
            </w:r>
          </w:p>
        </w:tc>
        <w:tc>
          <w:tcPr>
            <w:tcW w:w="567" w:type="dxa"/>
          </w:tcPr>
          <w:p w:rsidR="00B21C88" w:rsidRPr="00B21C88" w:rsidRDefault="00B21C88" w:rsidP="00B21C88">
            <w:pPr>
              <w:spacing w:after="0" w:line="240" w:lineRule="auto"/>
              <w:rPr>
                <w:sz w:val="12"/>
                <w:szCs w:val="12"/>
              </w:rPr>
            </w:pPr>
            <w:r w:rsidRPr="00B21C88">
              <w:rPr>
                <w:sz w:val="12"/>
                <w:szCs w:val="12"/>
              </w:rPr>
              <w:t>5 (17)</w:t>
            </w:r>
          </w:p>
        </w:tc>
        <w:tc>
          <w:tcPr>
            <w:tcW w:w="567" w:type="dxa"/>
          </w:tcPr>
          <w:p w:rsidR="00B21C88" w:rsidRPr="00B21C88" w:rsidRDefault="00B21C88" w:rsidP="00B21C88">
            <w:pPr>
              <w:spacing w:after="0" w:line="240" w:lineRule="auto"/>
              <w:rPr>
                <w:sz w:val="12"/>
                <w:szCs w:val="12"/>
              </w:rPr>
            </w:pPr>
            <w:r w:rsidRPr="00B21C88">
              <w:rPr>
                <w:sz w:val="12"/>
                <w:szCs w:val="12"/>
              </w:rPr>
              <w:t>5 (21)</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4 (13)</w:t>
            </w:r>
          </w:p>
        </w:tc>
        <w:tc>
          <w:tcPr>
            <w:tcW w:w="567" w:type="dxa"/>
          </w:tcPr>
          <w:p w:rsidR="00B21C88" w:rsidRPr="00B21C88" w:rsidRDefault="00B21C88" w:rsidP="00B21C88">
            <w:pPr>
              <w:spacing w:after="0" w:line="240" w:lineRule="auto"/>
              <w:rPr>
                <w:sz w:val="12"/>
                <w:szCs w:val="12"/>
              </w:rPr>
            </w:pPr>
            <w:r w:rsidRPr="00B21C88">
              <w:rPr>
                <w:sz w:val="12"/>
                <w:szCs w:val="12"/>
              </w:rPr>
              <w:t>2 (14)</w:t>
            </w:r>
          </w:p>
        </w:tc>
      </w:tr>
      <w:tr w:rsidR="00B21C88" w:rsidRPr="00B21C88" w:rsidTr="005B5778">
        <w:tc>
          <w:tcPr>
            <w:tcW w:w="13608" w:type="dxa"/>
            <w:gridSpan w:val="22"/>
          </w:tcPr>
          <w:p w:rsidR="00B21C88" w:rsidRPr="00B21C88" w:rsidRDefault="00B21C88" w:rsidP="00B21C88">
            <w:pPr>
              <w:spacing w:after="0" w:line="240" w:lineRule="auto"/>
              <w:rPr>
                <w:sz w:val="12"/>
                <w:szCs w:val="12"/>
              </w:rPr>
            </w:pPr>
            <w:r w:rsidRPr="00B21C88">
              <w:rPr>
                <w:sz w:val="12"/>
                <w:szCs w:val="12"/>
              </w:rPr>
              <w:t>Optional Domains</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Stiffness</w:t>
            </w:r>
          </w:p>
        </w:tc>
        <w:tc>
          <w:tcPr>
            <w:tcW w:w="585" w:type="dxa"/>
          </w:tcPr>
          <w:p w:rsidR="00B21C88" w:rsidRPr="00B21C88" w:rsidRDefault="00B21C88" w:rsidP="00B21C88">
            <w:pPr>
              <w:spacing w:after="0" w:line="240" w:lineRule="auto"/>
              <w:rPr>
                <w:sz w:val="12"/>
                <w:szCs w:val="12"/>
              </w:rPr>
            </w:pPr>
            <w:r w:rsidRPr="00B21C88">
              <w:rPr>
                <w:sz w:val="12"/>
                <w:szCs w:val="12"/>
              </w:rPr>
              <w:t>1(33)</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5 (71)</w:t>
            </w:r>
          </w:p>
        </w:tc>
        <w:tc>
          <w:tcPr>
            <w:tcW w:w="604" w:type="dxa"/>
          </w:tcPr>
          <w:p w:rsidR="00B21C88" w:rsidRPr="00B21C88" w:rsidRDefault="00B21C88" w:rsidP="00B21C88">
            <w:pPr>
              <w:spacing w:after="0" w:line="240" w:lineRule="auto"/>
              <w:rPr>
                <w:sz w:val="12"/>
                <w:szCs w:val="12"/>
              </w:rPr>
            </w:pPr>
            <w:r w:rsidRPr="00B21C88">
              <w:rPr>
                <w:sz w:val="12"/>
                <w:szCs w:val="12"/>
              </w:rPr>
              <w:t>4 (100)</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8 (80)</w:t>
            </w:r>
          </w:p>
        </w:tc>
        <w:tc>
          <w:tcPr>
            <w:tcW w:w="575" w:type="dxa"/>
          </w:tcPr>
          <w:p w:rsidR="00B21C88" w:rsidRPr="00B21C88" w:rsidRDefault="00B21C88" w:rsidP="00B21C88">
            <w:pPr>
              <w:spacing w:after="0" w:line="240" w:lineRule="auto"/>
              <w:rPr>
                <w:sz w:val="12"/>
                <w:szCs w:val="12"/>
              </w:rPr>
            </w:pPr>
            <w:r w:rsidRPr="00B21C88">
              <w:rPr>
                <w:sz w:val="12"/>
                <w:szCs w:val="12"/>
              </w:rPr>
              <w:t>16 (57)</w:t>
            </w:r>
          </w:p>
        </w:tc>
        <w:tc>
          <w:tcPr>
            <w:tcW w:w="599" w:type="dxa"/>
          </w:tcPr>
          <w:p w:rsidR="00B21C88" w:rsidRPr="00B21C88" w:rsidRDefault="00B21C88" w:rsidP="00B21C88">
            <w:pPr>
              <w:spacing w:after="0" w:line="240" w:lineRule="auto"/>
              <w:rPr>
                <w:sz w:val="12"/>
                <w:szCs w:val="12"/>
              </w:rPr>
            </w:pPr>
            <w:r w:rsidRPr="00B21C88">
              <w:rPr>
                <w:sz w:val="12"/>
                <w:szCs w:val="12"/>
              </w:rPr>
              <w:t>14 (50)</w:t>
            </w:r>
          </w:p>
        </w:tc>
        <w:tc>
          <w:tcPr>
            <w:tcW w:w="599" w:type="dxa"/>
          </w:tcPr>
          <w:p w:rsidR="00B21C88" w:rsidRPr="00B21C88" w:rsidRDefault="00B21C88" w:rsidP="00B21C88">
            <w:pPr>
              <w:spacing w:after="0" w:line="240" w:lineRule="auto"/>
              <w:rPr>
                <w:sz w:val="12"/>
                <w:szCs w:val="12"/>
              </w:rPr>
            </w:pPr>
            <w:r w:rsidRPr="00B21C88">
              <w:rPr>
                <w:sz w:val="12"/>
                <w:szCs w:val="12"/>
              </w:rPr>
              <w:t>10 (53)</w:t>
            </w:r>
          </w:p>
        </w:tc>
        <w:tc>
          <w:tcPr>
            <w:tcW w:w="599" w:type="dxa"/>
          </w:tcPr>
          <w:p w:rsidR="00B21C88" w:rsidRPr="00B21C88" w:rsidRDefault="00B21C88" w:rsidP="00B21C88">
            <w:pPr>
              <w:spacing w:after="0" w:line="240" w:lineRule="auto"/>
              <w:rPr>
                <w:sz w:val="12"/>
                <w:szCs w:val="12"/>
              </w:rPr>
            </w:pPr>
            <w:r w:rsidRPr="00B21C88">
              <w:rPr>
                <w:sz w:val="12"/>
                <w:szCs w:val="12"/>
              </w:rPr>
              <w:t>7 (41)</w:t>
            </w:r>
          </w:p>
        </w:tc>
        <w:tc>
          <w:tcPr>
            <w:tcW w:w="599" w:type="dxa"/>
          </w:tcPr>
          <w:p w:rsidR="00B21C88" w:rsidRPr="00B21C88" w:rsidRDefault="00B21C88" w:rsidP="00B21C88">
            <w:pPr>
              <w:spacing w:after="0" w:line="240" w:lineRule="auto"/>
              <w:rPr>
                <w:sz w:val="12"/>
                <w:szCs w:val="12"/>
              </w:rPr>
            </w:pPr>
            <w:r w:rsidRPr="00B21C88">
              <w:rPr>
                <w:sz w:val="12"/>
                <w:szCs w:val="12"/>
              </w:rPr>
              <w:t>22 (69)</w:t>
            </w:r>
          </w:p>
        </w:tc>
        <w:tc>
          <w:tcPr>
            <w:tcW w:w="572" w:type="dxa"/>
          </w:tcPr>
          <w:p w:rsidR="00B21C88" w:rsidRPr="00B21C88" w:rsidRDefault="00B21C88" w:rsidP="00B21C88">
            <w:pPr>
              <w:spacing w:after="0" w:line="240" w:lineRule="auto"/>
              <w:rPr>
                <w:sz w:val="12"/>
                <w:szCs w:val="12"/>
              </w:rPr>
            </w:pPr>
            <w:r w:rsidRPr="00B21C88">
              <w:rPr>
                <w:sz w:val="12"/>
                <w:szCs w:val="12"/>
              </w:rPr>
              <w:t>17 (71)</w:t>
            </w:r>
          </w:p>
        </w:tc>
        <w:tc>
          <w:tcPr>
            <w:tcW w:w="567" w:type="dxa"/>
          </w:tcPr>
          <w:p w:rsidR="00B21C88" w:rsidRPr="00B21C88" w:rsidRDefault="00B21C88" w:rsidP="00B21C88">
            <w:pPr>
              <w:spacing w:after="0" w:line="240" w:lineRule="auto"/>
              <w:rPr>
                <w:sz w:val="12"/>
                <w:szCs w:val="12"/>
              </w:rPr>
            </w:pPr>
            <w:r w:rsidRPr="00B21C88">
              <w:rPr>
                <w:sz w:val="12"/>
                <w:szCs w:val="12"/>
              </w:rPr>
              <w:t>18 (72)</w:t>
            </w:r>
          </w:p>
        </w:tc>
        <w:tc>
          <w:tcPr>
            <w:tcW w:w="567" w:type="dxa"/>
          </w:tcPr>
          <w:p w:rsidR="00B21C88" w:rsidRPr="00B21C88" w:rsidRDefault="00B21C88" w:rsidP="00B21C88">
            <w:pPr>
              <w:spacing w:after="0" w:line="240" w:lineRule="auto"/>
              <w:rPr>
                <w:sz w:val="12"/>
                <w:szCs w:val="12"/>
              </w:rPr>
            </w:pPr>
            <w:r w:rsidRPr="00B21C88">
              <w:rPr>
                <w:sz w:val="12"/>
                <w:szCs w:val="12"/>
              </w:rPr>
              <w:t>13 (59)</w:t>
            </w:r>
          </w:p>
        </w:tc>
        <w:tc>
          <w:tcPr>
            <w:tcW w:w="567" w:type="dxa"/>
          </w:tcPr>
          <w:p w:rsidR="00B21C88" w:rsidRPr="00B21C88" w:rsidRDefault="00B21C88" w:rsidP="00B21C88">
            <w:pPr>
              <w:spacing w:after="0" w:line="240" w:lineRule="auto"/>
              <w:rPr>
                <w:sz w:val="12"/>
                <w:szCs w:val="12"/>
              </w:rPr>
            </w:pPr>
            <w:r w:rsidRPr="00B21C88">
              <w:rPr>
                <w:sz w:val="12"/>
                <w:szCs w:val="12"/>
              </w:rPr>
              <w:t>11 (41)</w:t>
            </w:r>
          </w:p>
        </w:tc>
        <w:tc>
          <w:tcPr>
            <w:tcW w:w="567" w:type="dxa"/>
          </w:tcPr>
          <w:p w:rsidR="00B21C88" w:rsidRPr="00B21C88" w:rsidRDefault="00B21C88" w:rsidP="00B21C88">
            <w:pPr>
              <w:spacing w:after="0" w:line="240" w:lineRule="auto"/>
              <w:rPr>
                <w:sz w:val="12"/>
                <w:szCs w:val="12"/>
              </w:rPr>
            </w:pPr>
            <w:r w:rsidRPr="00B21C88">
              <w:rPr>
                <w:sz w:val="12"/>
                <w:szCs w:val="12"/>
              </w:rPr>
              <w:t>9 (56)</w:t>
            </w:r>
          </w:p>
        </w:tc>
        <w:tc>
          <w:tcPr>
            <w:tcW w:w="567" w:type="dxa"/>
          </w:tcPr>
          <w:p w:rsidR="00B21C88" w:rsidRPr="00B21C88" w:rsidRDefault="00B21C88" w:rsidP="00B21C88">
            <w:pPr>
              <w:spacing w:after="0" w:line="240" w:lineRule="auto"/>
              <w:rPr>
                <w:sz w:val="12"/>
                <w:szCs w:val="12"/>
              </w:rPr>
            </w:pPr>
            <w:r w:rsidRPr="00B21C88">
              <w:rPr>
                <w:sz w:val="12"/>
                <w:szCs w:val="12"/>
              </w:rPr>
              <w:t>16 (55)</w:t>
            </w:r>
          </w:p>
        </w:tc>
        <w:tc>
          <w:tcPr>
            <w:tcW w:w="567" w:type="dxa"/>
          </w:tcPr>
          <w:p w:rsidR="00B21C88" w:rsidRPr="00B21C88" w:rsidRDefault="00B21C88" w:rsidP="00B21C88">
            <w:pPr>
              <w:spacing w:after="0" w:line="240" w:lineRule="auto"/>
              <w:rPr>
                <w:sz w:val="12"/>
                <w:szCs w:val="12"/>
              </w:rPr>
            </w:pPr>
            <w:r w:rsidRPr="00B21C88">
              <w:rPr>
                <w:sz w:val="12"/>
                <w:szCs w:val="12"/>
              </w:rPr>
              <w:t>12 (50)</w:t>
            </w:r>
          </w:p>
        </w:tc>
        <w:tc>
          <w:tcPr>
            <w:tcW w:w="567" w:type="dxa"/>
          </w:tcPr>
          <w:p w:rsidR="00B21C88" w:rsidRPr="00B21C88" w:rsidRDefault="00B21C88" w:rsidP="00B21C88">
            <w:pPr>
              <w:spacing w:after="0" w:line="240" w:lineRule="auto"/>
              <w:rPr>
                <w:sz w:val="12"/>
                <w:szCs w:val="12"/>
              </w:rPr>
            </w:pPr>
            <w:r w:rsidRPr="00B21C88">
              <w:rPr>
                <w:sz w:val="12"/>
                <w:szCs w:val="12"/>
              </w:rPr>
              <w:t>17 (63)</w:t>
            </w:r>
          </w:p>
        </w:tc>
        <w:tc>
          <w:tcPr>
            <w:tcW w:w="567" w:type="dxa"/>
          </w:tcPr>
          <w:p w:rsidR="00B21C88" w:rsidRPr="00B21C88" w:rsidRDefault="00B21C88" w:rsidP="00B21C88">
            <w:pPr>
              <w:spacing w:after="0" w:line="240" w:lineRule="auto"/>
              <w:rPr>
                <w:sz w:val="12"/>
                <w:szCs w:val="12"/>
              </w:rPr>
            </w:pPr>
            <w:r w:rsidRPr="00B21C88">
              <w:rPr>
                <w:sz w:val="12"/>
                <w:szCs w:val="12"/>
              </w:rPr>
              <w:t>15 (50)</w:t>
            </w:r>
          </w:p>
        </w:tc>
        <w:tc>
          <w:tcPr>
            <w:tcW w:w="567" w:type="dxa"/>
          </w:tcPr>
          <w:p w:rsidR="00B21C88" w:rsidRPr="00B21C88" w:rsidRDefault="00B21C88" w:rsidP="00B21C88">
            <w:pPr>
              <w:spacing w:after="0" w:line="240" w:lineRule="auto"/>
              <w:rPr>
                <w:sz w:val="12"/>
                <w:szCs w:val="12"/>
              </w:rPr>
            </w:pPr>
            <w:r w:rsidRPr="00B21C88">
              <w:rPr>
                <w:sz w:val="12"/>
                <w:szCs w:val="12"/>
              </w:rPr>
              <w:t>5 (36)</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Biological markers (i.e. relevant blood tests)</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8 (29)</w:t>
            </w:r>
          </w:p>
        </w:tc>
        <w:tc>
          <w:tcPr>
            <w:tcW w:w="599" w:type="dxa"/>
          </w:tcPr>
          <w:p w:rsidR="00B21C88" w:rsidRPr="00B21C88" w:rsidRDefault="00B21C88" w:rsidP="00B21C88">
            <w:pPr>
              <w:spacing w:after="0" w:line="240" w:lineRule="auto"/>
              <w:rPr>
                <w:sz w:val="12"/>
                <w:szCs w:val="12"/>
              </w:rPr>
            </w:pPr>
            <w:r w:rsidRPr="00B21C88">
              <w:rPr>
                <w:sz w:val="12"/>
                <w:szCs w:val="12"/>
              </w:rPr>
              <w:t>3 (11)</w:t>
            </w:r>
          </w:p>
        </w:tc>
        <w:tc>
          <w:tcPr>
            <w:tcW w:w="599" w:type="dxa"/>
          </w:tcPr>
          <w:p w:rsidR="00B21C88" w:rsidRPr="00B21C88" w:rsidRDefault="00B21C88" w:rsidP="00B21C88">
            <w:pPr>
              <w:spacing w:after="0" w:line="240" w:lineRule="auto"/>
              <w:rPr>
                <w:sz w:val="12"/>
                <w:szCs w:val="12"/>
              </w:rPr>
            </w:pPr>
            <w:r w:rsidRPr="00B21C88">
              <w:rPr>
                <w:sz w:val="12"/>
                <w:szCs w:val="12"/>
              </w:rPr>
              <w:t>2 (11)</w:t>
            </w:r>
          </w:p>
        </w:tc>
        <w:tc>
          <w:tcPr>
            <w:tcW w:w="599" w:type="dxa"/>
          </w:tcPr>
          <w:p w:rsidR="00B21C88" w:rsidRPr="00B21C88" w:rsidRDefault="00B21C88" w:rsidP="00B21C88">
            <w:pPr>
              <w:spacing w:after="0" w:line="240" w:lineRule="auto"/>
              <w:rPr>
                <w:sz w:val="12"/>
                <w:szCs w:val="12"/>
              </w:rPr>
            </w:pPr>
            <w:r w:rsidRPr="00B21C88">
              <w:rPr>
                <w:sz w:val="12"/>
                <w:szCs w:val="12"/>
              </w:rPr>
              <w:t>2 (12)</w:t>
            </w:r>
          </w:p>
        </w:tc>
        <w:tc>
          <w:tcPr>
            <w:tcW w:w="599" w:type="dxa"/>
          </w:tcPr>
          <w:p w:rsidR="00B21C88" w:rsidRPr="00B21C88" w:rsidRDefault="00B21C88" w:rsidP="00B21C88">
            <w:pPr>
              <w:spacing w:after="0" w:line="240" w:lineRule="auto"/>
              <w:rPr>
                <w:sz w:val="12"/>
                <w:szCs w:val="12"/>
              </w:rPr>
            </w:pPr>
            <w:r w:rsidRPr="00B21C88">
              <w:rPr>
                <w:sz w:val="12"/>
                <w:szCs w:val="12"/>
              </w:rPr>
              <w:t>6 (19)</w:t>
            </w:r>
          </w:p>
        </w:tc>
        <w:tc>
          <w:tcPr>
            <w:tcW w:w="572" w:type="dxa"/>
          </w:tcPr>
          <w:p w:rsidR="00B21C88" w:rsidRPr="00B21C88" w:rsidRDefault="00B21C88" w:rsidP="00B21C88">
            <w:pPr>
              <w:spacing w:after="0" w:line="240" w:lineRule="auto"/>
              <w:rPr>
                <w:sz w:val="12"/>
                <w:szCs w:val="12"/>
              </w:rPr>
            </w:pPr>
            <w:r w:rsidRPr="00B21C88">
              <w:rPr>
                <w:sz w:val="12"/>
                <w:szCs w:val="12"/>
              </w:rPr>
              <w:t>6 (25)</w:t>
            </w:r>
          </w:p>
        </w:tc>
        <w:tc>
          <w:tcPr>
            <w:tcW w:w="567" w:type="dxa"/>
          </w:tcPr>
          <w:p w:rsidR="00B21C88" w:rsidRPr="00B21C88" w:rsidRDefault="00B21C88" w:rsidP="00B21C88">
            <w:pPr>
              <w:spacing w:after="0" w:line="240" w:lineRule="auto"/>
              <w:rPr>
                <w:sz w:val="12"/>
                <w:szCs w:val="12"/>
              </w:rPr>
            </w:pPr>
            <w:r w:rsidRPr="00B21C88">
              <w:rPr>
                <w:sz w:val="12"/>
                <w:szCs w:val="12"/>
              </w:rPr>
              <w:t>7 (28)</w:t>
            </w:r>
          </w:p>
        </w:tc>
        <w:tc>
          <w:tcPr>
            <w:tcW w:w="567" w:type="dxa"/>
          </w:tcPr>
          <w:p w:rsidR="00B21C88" w:rsidRPr="00B21C88" w:rsidRDefault="00B21C88" w:rsidP="00B21C88">
            <w:pPr>
              <w:spacing w:after="0" w:line="240" w:lineRule="auto"/>
              <w:rPr>
                <w:sz w:val="12"/>
                <w:szCs w:val="12"/>
              </w:rPr>
            </w:pPr>
            <w:r w:rsidRPr="00B21C88">
              <w:rPr>
                <w:sz w:val="12"/>
                <w:szCs w:val="12"/>
              </w:rPr>
              <w:t>6 (27)</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1 (6)</w:t>
            </w:r>
          </w:p>
        </w:tc>
        <w:tc>
          <w:tcPr>
            <w:tcW w:w="567" w:type="dxa"/>
          </w:tcPr>
          <w:p w:rsidR="00B21C88" w:rsidRPr="00B21C88" w:rsidRDefault="00B21C88" w:rsidP="00B21C88">
            <w:pPr>
              <w:spacing w:after="0" w:line="240" w:lineRule="auto"/>
              <w:rPr>
                <w:sz w:val="12"/>
                <w:szCs w:val="12"/>
              </w:rPr>
            </w:pPr>
            <w:r w:rsidRPr="00B21C88">
              <w:rPr>
                <w:sz w:val="12"/>
                <w:szCs w:val="12"/>
              </w:rPr>
              <w:t>5 (17)</w:t>
            </w:r>
          </w:p>
        </w:tc>
        <w:tc>
          <w:tcPr>
            <w:tcW w:w="567" w:type="dxa"/>
          </w:tcPr>
          <w:p w:rsidR="00B21C88" w:rsidRPr="00B21C88" w:rsidRDefault="00B21C88" w:rsidP="00B21C88">
            <w:pPr>
              <w:spacing w:after="0" w:line="240" w:lineRule="auto"/>
              <w:rPr>
                <w:sz w:val="12"/>
                <w:szCs w:val="12"/>
              </w:rPr>
            </w:pPr>
            <w:r w:rsidRPr="00B21C88">
              <w:rPr>
                <w:sz w:val="12"/>
                <w:szCs w:val="12"/>
              </w:rPr>
              <w:t>3 (3)</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7 (23)</w:t>
            </w:r>
          </w:p>
        </w:tc>
        <w:tc>
          <w:tcPr>
            <w:tcW w:w="567" w:type="dxa"/>
          </w:tcPr>
          <w:p w:rsidR="00B21C88" w:rsidRPr="00B21C88" w:rsidRDefault="00B21C88" w:rsidP="00B21C88">
            <w:pPr>
              <w:spacing w:after="0" w:line="240" w:lineRule="auto"/>
              <w:rPr>
                <w:sz w:val="12"/>
                <w:szCs w:val="12"/>
              </w:rPr>
            </w:pPr>
            <w:r w:rsidRPr="00B21C88">
              <w:rPr>
                <w:sz w:val="12"/>
                <w:szCs w:val="12"/>
              </w:rPr>
              <w:t>1 (7)</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Swelling</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1 (5)</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(3)</w:t>
            </w:r>
          </w:p>
        </w:tc>
        <w:tc>
          <w:tcPr>
            <w:tcW w:w="572" w:type="dxa"/>
          </w:tcPr>
          <w:p w:rsidR="00B21C88" w:rsidRPr="00B21C88" w:rsidRDefault="00B21C88" w:rsidP="00B21C88">
            <w:pPr>
              <w:spacing w:after="0" w:line="240" w:lineRule="auto"/>
              <w:rPr>
                <w:sz w:val="12"/>
                <w:szCs w:val="12"/>
              </w:rPr>
            </w:pPr>
            <w:r w:rsidRPr="00B21C88">
              <w:rPr>
                <w:sz w:val="12"/>
                <w:szCs w:val="12"/>
              </w:rPr>
              <w:t>4 (17)</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2 (9)</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2 (8)</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4 (13)</w:t>
            </w:r>
          </w:p>
        </w:tc>
        <w:tc>
          <w:tcPr>
            <w:tcW w:w="567" w:type="dxa"/>
          </w:tcPr>
          <w:p w:rsidR="00B21C88" w:rsidRPr="00B21C88" w:rsidRDefault="00B21C88" w:rsidP="00B21C88">
            <w:pPr>
              <w:spacing w:after="0" w:line="240" w:lineRule="auto"/>
              <w:rPr>
                <w:sz w:val="12"/>
                <w:szCs w:val="12"/>
              </w:rPr>
            </w:pPr>
            <w:r w:rsidRPr="00B21C88">
              <w:rPr>
                <w:sz w:val="12"/>
                <w:szCs w:val="12"/>
              </w:rPr>
              <w:t>1 (7)</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Performance Assessment</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2 (29)</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2 (20)</w:t>
            </w:r>
          </w:p>
        </w:tc>
        <w:tc>
          <w:tcPr>
            <w:tcW w:w="575"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3 (11)</w:t>
            </w:r>
          </w:p>
        </w:tc>
        <w:tc>
          <w:tcPr>
            <w:tcW w:w="599" w:type="dxa"/>
          </w:tcPr>
          <w:p w:rsidR="00B21C88" w:rsidRPr="00B21C88" w:rsidRDefault="00B21C88" w:rsidP="00B21C88">
            <w:pPr>
              <w:spacing w:after="0" w:line="240" w:lineRule="auto"/>
              <w:rPr>
                <w:sz w:val="12"/>
                <w:szCs w:val="12"/>
              </w:rPr>
            </w:pPr>
            <w:r w:rsidRPr="00B21C88">
              <w:rPr>
                <w:sz w:val="12"/>
                <w:szCs w:val="12"/>
              </w:rPr>
              <w:t>5 (26)</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7 (22)</w:t>
            </w:r>
          </w:p>
        </w:tc>
        <w:tc>
          <w:tcPr>
            <w:tcW w:w="572" w:type="dxa"/>
          </w:tcPr>
          <w:p w:rsidR="00B21C88" w:rsidRPr="00B21C88" w:rsidRDefault="00B21C88" w:rsidP="00B21C88">
            <w:pPr>
              <w:spacing w:after="0" w:line="240" w:lineRule="auto"/>
              <w:rPr>
                <w:sz w:val="12"/>
                <w:szCs w:val="12"/>
              </w:rPr>
            </w:pPr>
            <w:r w:rsidRPr="00B21C88">
              <w:rPr>
                <w:sz w:val="12"/>
                <w:szCs w:val="12"/>
              </w:rPr>
              <w:t>5 (21)</w:t>
            </w:r>
          </w:p>
        </w:tc>
        <w:tc>
          <w:tcPr>
            <w:tcW w:w="567" w:type="dxa"/>
          </w:tcPr>
          <w:p w:rsidR="00B21C88" w:rsidRPr="00B21C88" w:rsidRDefault="00B21C88" w:rsidP="00B21C88">
            <w:pPr>
              <w:spacing w:after="0" w:line="240" w:lineRule="auto"/>
              <w:rPr>
                <w:sz w:val="12"/>
                <w:szCs w:val="12"/>
              </w:rPr>
            </w:pPr>
            <w:r w:rsidRPr="00B21C88">
              <w:rPr>
                <w:sz w:val="12"/>
                <w:szCs w:val="12"/>
              </w:rPr>
              <w:t>3 (12)</w:t>
            </w:r>
          </w:p>
        </w:tc>
        <w:tc>
          <w:tcPr>
            <w:tcW w:w="567" w:type="dxa"/>
          </w:tcPr>
          <w:p w:rsidR="00B21C88" w:rsidRPr="00B21C88" w:rsidRDefault="00B21C88" w:rsidP="00B21C88">
            <w:pPr>
              <w:spacing w:after="0" w:line="240" w:lineRule="auto"/>
              <w:rPr>
                <w:sz w:val="12"/>
                <w:szCs w:val="12"/>
              </w:rPr>
            </w:pPr>
            <w:r w:rsidRPr="00B21C88">
              <w:rPr>
                <w:sz w:val="12"/>
                <w:szCs w:val="12"/>
              </w:rPr>
              <w:t>3 (14)</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3 (19)</w:t>
            </w:r>
          </w:p>
        </w:tc>
        <w:tc>
          <w:tcPr>
            <w:tcW w:w="567" w:type="dxa"/>
          </w:tcPr>
          <w:p w:rsidR="00B21C88" w:rsidRPr="00B21C88" w:rsidRDefault="00B21C88" w:rsidP="00B21C88">
            <w:pPr>
              <w:spacing w:after="0" w:line="240" w:lineRule="auto"/>
              <w:rPr>
                <w:sz w:val="12"/>
                <w:szCs w:val="12"/>
              </w:rPr>
            </w:pPr>
            <w:r w:rsidRPr="00B21C88">
              <w:rPr>
                <w:sz w:val="12"/>
                <w:szCs w:val="12"/>
              </w:rPr>
              <w:t>7 (24)</w:t>
            </w:r>
          </w:p>
        </w:tc>
        <w:tc>
          <w:tcPr>
            <w:tcW w:w="567" w:type="dxa"/>
          </w:tcPr>
          <w:p w:rsidR="00B21C88" w:rsidRPr="00B21C88" w:rsidRDefault="00B21C88" w:rsidP="00B21C88">
            <w:pPr>
              <w:spacing w:after="0" w:line="240" w:lineRule="auto"/>
              <w:rPr>
                <w:sz w:val="12"/>
                <w:szCs w:val="12"/>
              </w:rPr>
            </w:pPr>
            <w:r w:rsidRPr="00B21C88">
              <w:rPr>
                <w:sz w:val="12"/>
                <w:szCs w:val="12"/>
              </w:rPr>
              <w:t>3 (13)</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4 (13)</w:t>
            </w:r>
          </w:p>
        </w:tc>
        <w:tc>
          <w:tcPr>
            <w:tcW w:w="567" w:type="dxa"/>
          </w:tcPr>
          <w:p w:rsidR="00B21C88" w:rsidRPr="00B21C88" w:rsidRDefault="00B21C88" w:rsidP="00B21C88">
            <w:pPr>
              <w:spacing w:after="0" w:line="240" w:lineRule="auto"/>
              <w:rPr>
                <w:sz w:val="12"/>
                <w:szCs w:val="12"/>
              </w:rPr>
            </w:pPr>
            <w:r w:rsidRPr="00B21C88">
              <w:rPr>
                <w:sz w:val="12"/>
                <w:szCs w:val="12"/>
              </w:rPr>
              <w:t>1 (7)</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Pain flares</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2 (11)</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(3)</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Time to surgery</w:t>
            </w:r>
          </w:p>
        </w:tc>
        <w:tc>
          <w:tcPr>
            <w:tcW w:w="585" w:type="dxa"/>
          </w:tcPr>
          <w:p w:rsidR="00B21C88" w:rsidRPr="00B21C88" w:rsidRDefault="00B21C88" w:rsidP="00B21C88">
            <w:pPr>
              <w:spacing w:after="0" w:line="240" w:lineRule="auto"/>
              <w:rPr>
                <w:sz w:val="12"/>
                <w:szCs w:val="12"/>
              </w:rPr>
            </w:pPr>
            <w:r w:rsidRPr="00B21C88">
              <w:rPr>
                <w:sz w:val="12"/>
                <w:szCs w:val="12"/>
              </w:rPr>
              <w:t>2(67)</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3 (10)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1 (7)</w:t>
            </w:r>
          </w:p>
        </w:tc>
      </w:tr>
      <w:tr w:rsidR="00B21C88" w:rsidRPr="00B21C88" w:rsidTr="005B5778">
        <w:tc>
          <w:tcPr>
            <w:tcW w:w="1338"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Analgesic consumption</w:t>
            </w:r>
          </w:p>
        </w:tc>
        <w:tc>
          <w:tcPr>
            <w:tcW w:w="585"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2(67)</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 (33)</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3 (43)</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2 (50)</w:t>
            </w:r>
          </w:p>
        </w:tc>
        <w:tc>
          <w:tcPr>
            <w:tcW w:w="604"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1 (100)</w:t>
            </w:r>
          </w:p>
        </w:tc>
        <w:tc>
          <w:tcPr>
            <w:tcW w:w="623"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3 (30)</w:t>
            </w:r>
          </w:p>
        </w:tc>
        <w:tc>
          <w:tcPr>
            <w:tcW w:w="575"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(25)</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6 (21)</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6 (32)</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6 (35)</w:t>
            </w:r>
          </w:p>
        </w:tc>
        <w:tc>
          <w:tcPr>
            <w:tcW w:w="599"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9 (28)</w:t>
            </w:r>
          </w:p>
        </w:tc>
        <w:tc>
          <w:tcPr>
            <w:tcW w:w="572"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6 (25)</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5 (20)</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6 (27)</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8 (30)</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4 (25)</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9 (31)</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4 (17)</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5 (19)</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7 (23)</w:t>
            </w:r>
          </w:p>
        </w:tc>
        <w:tc>
          <w:tcPr>
            <w:tcW w:w="567" w:type="dxa"/>
            <w:tcBorders>
              <w:bottom w:val="single" w:sz="12" w:space="0" w:color="auto"/>
            </w:tcBorders>
          </w:tcPr>
          <w:p w:rsidR="00B21C88" w:rsidRPr="00B21C88" w:rsidRDefault="00B21C88" w:rsidP="00B21C88">
            <w:pPr>
              <w:spacing w:after="0" w:line="240" w:lineRule="auto"/>
              <w:rPr>
                <w:sz w:val="12"/>
                <w:szCs w:val="12"/>
              </w:rPr>
            </w:pPr>
            <w:r w:rsidRPr="00B21C88">
              <w:rPr>
                <w:sz w:val="12"/>
                <w:szCs w:val="12"/>
              </w:rPr>
              <w:t>3 (21)</w:t>
            </w:r>
          </w:p>
        </w:tc>
      </w:tr>
      <w:tr w:rsidR="00B21C88" w:rsidRPr="00B21C88" w:rsidTr="005B5778">
        <w:tc>
          <w:tcPr>
            <w:tcW w:w="13608" w:type="dxa"/>
            <w:gridSpan w:val="22"/>
            <w:tcBorders>
              <w:top w:val="single" w:sz="12" w:space="0" w:color="auto"/>
              <w:bottom w:val="single" w:sz="12" w:space="0" w:color="auto"/>
            </w:tcBorders>
            <w:shd w:val="clear" w:color="auto" w:fill="D9D9D9" w:themeFill="background1" w:themeFillShade="D9"/>
          </w:tcPr>
          <w:p w:rsidR="00B21C88" w:rsidRPr="00B21C88" w:rsidRDefault="00B21C88" w:rsidP="00B21C88">
            <w:pPr>
              <w:spacing w:after="0" w:line="240" w:lineRule="auto"/>
              <w:rPr>
                <w:sz w:val="12"/>
                <w:szCs w:val="12"/>
              </w:rPr>
            </w:pPr>
            <w:r w:rsidRPr="00B21C88">
              <w:rPr>
                <w:sz w:val="12"/>
                <w:szCs w:val="12"/>
              </w:rPr>
              <w:t>Non-Recommended Domains</w:t>
            </w:r>
          </w:p>
        </w:tc>
      </w:tr>
      <w:tr w:rsidR="00B21C88" w:rsidRPr="00B21C88" w:rsidTr="005B5778">
        <w:trPr>
          <w:trHeight w:val="181"/>
        </w:trPr>
        <w:tc>
          <w:tcPr>
            <w:tcW w:w="1338"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Adverse events</w:t>
            </w:r>
          </w:p>
        </w:tc>
        <w:tc>
          <w:tcPr>
            <w:tcW w:w="58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1(33)</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 (67)</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2 (29)</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3 (75)</w:t>
            </w:r>
          </w:p>
        </w:tc>
        <w:tc>
          <w:tcPr>
            <w:tcW w:w="604"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 (100)</w:t>
            </w:r>
          </w:p>
        </w:tc>
        <w:tc>
          <w:tcPr>
            <w:tcW w:w="623"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(70)</w:t>
            </w:r>
          </w:p>
        </w:tc>
        <w:tc>
          <w:tcPr>
            <w:tcW w:w="575"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14 (50)</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10 (36)</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5 (26)</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4 (24)</w:t>
            </w:r>
          </w:p>
        </w:tc>
        <w:tc>
          <w:tcPr>
            <w:tcW w:w="599"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11 (34)</w:t>
            </w:r>
          </w:p>
        </w:tc>
        <w:tc>
          <w:tcPr>
            <w:tcW w:w="572"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15 (63)</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15 (60)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10 (46)</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8 (30)</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(44)</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14 (48)</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9 (38)</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12 (44)</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11 (37)</w:t>
            </w:r>
          </w:p>
        </w:tc>
        <w:tc>
          <w:tcPr>
            <w:tcW w:w="567" w:type="dxa"/>
            <w:tcBorders>
              <w:top w:val="single" w:sz="12" w:space="0" w:color="auto"/>
            </w:tcBorders>
          </w:tcPr>
          <w:p w:rsidR="00B21C88" w:rsidRPr="00B21C88" w:rsidRDefault="00B21C88" w:rsidP="00B21C88">
            <w:pPr>
              <w:spacing w:after="0" w:line="240" w:lineRule="auto"/>
              <w:rPr>
                <w:sz w:val="12"/>
                <w:szCs w:val="12"/>
              </w:rPr>
            </w:pPr>
            <w:r w:rsidRPr="00B21C88">
              <w:rPr>
                <w:sz w:val="12"/>
                <w:szCs w:val="12"/>
              </w:rPr>
              <w:t>7 (50)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Treatment adherence</w:t>
            </w:r>
          </w:p>
        </w:tc>
        <w:tc>
          <w:tcPr>
            <w:tcW w:w="585" w:type="dxa"/>
          </w:tcPr>
          <w:p w:rsidR="00B21C88" w:rsidRPr="00B21C88" w:rsidRDefault="00B21C88" w:rsidP="00B21C88">
            <w:pPr>
              <w:spacing w:after="0" w:line="240" w:lineRule="auto"/>
              <w:rPr>
                <w:sz w:val="12"/>
                <w:szCs w:val="12"/>
              </w:rPr>
            </w:pPr>
            <w:r w:rsidRPr="00B21C88">
              <w:rPr>
                <w:sz w:val="12"/>
                <w:szCs w:val="12"/>
              </w:rPr>
              <w:t>1(33)</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2 (29)</w:t>
            </w:r>
          </w:p>
        </w:tc>
        <w:tc>
          <w:tcPr>
            <w:tcW w:w="604" w:type="dxa"/>
          </w:tcPr>
          <w:p w:rsidR="00B21C88" w:rsidRPr="00B21C88" w:rsidRDefault="00B21C88" w:rsidP="00B21C88">
            <w:pPr>
              <w:spacing w:after="0" w:line="240" w:lineRule="auto"/>
              <w:rPr>
                <w:sz w:val="12"/>
                <w:szCs w:val="12"/>
              </w:rPr>
            </w:pPr>
            <w:r w:rsidRPr="00B21C88">
              <w:rPr>
                <w:sz w:val="12"/>
                <w:szCs w:val="12"/>
              </w:rPr>
              <w:t>2 (50)</w:t>
            </w:r>
          </w:p>
        </w:tc>
        <w:tc>
          <w:tcPr>
            <w:tcW w:w="604" w:type="dxa"/>
          </w:tcPr>
          <w:p w:rsidR="00B21C88" w:rsidRPr="00B21C88" w:rsidRDefault="00B21C88" w:rsidP="00B21C88">
            <w:pPr>
              <w:spacing w:after="0" w:line="240" w:lineRule="auto"/>
              <w:rPr>
                <w:sz w:val="12"/>
                <w:szCs w:val="12"/>
              </w:rPr>
            </w:pPr>
            <w:r w:rsidRPr="00B21C88">
              <w:rPr>
                <w:sz w:val="12"/>
                <w:szCs w:val="12"/>
              </w:rPr>
              <w:t>1 (100)</w:t>
            </w:r>
          </w:p>
        </w:tc>
        <w:tc>
          <w:tcPr>
            <w:tcW w:w="623" w:type="dxa"/>
          </w:tcPr>
          <w:p w:rsidR="00B21C88" w:rsidRPr="00B21C88" w:rsidRDefault="00B21C88" w:rsidP="00B21C88">
            <w:pPr>
              <w:spacing w:after="0" w:line="240" w:lineRule="auto"/>
              <w:rPr>
                <w:sz w:val="12"/>
                <w:szCs w:val="12"/>
              </w:rPr>
            </w:pPr>
            <w:r w:rsidRPr="00B21C88">
              <w:rPr>
                <w:sz w:val="12"/>
                <w:szCs w:val="12"/>
              </w:rPr>
              <w:t>2 (20)</w:t>
            </w:r>
          </w:p>
        </w:tc>
        <w:tc>
          <w:tcPr>
            <w:tcW w:w="575" w:type="dxa"/>
          </w:tcPr>
          <w:p w:rsidR="00B21C88" w:rsidRPr="00B21C88" w:rsidRDefault="00B21C88" w:rsidP="00B21C88">
            <w:pPr>
              <w:spacing w:after="0" w:line="240" w:lineRule="auto"/>
              <w:rPr>
                <w:sz w:val="12"/>
                <w:szCs w:val="12"/>
              </w:rPr>
            </w:pPr>
            <w:r w:rsidRPr="00B21C88">
              <w:rPr>
                <w:sz w:val="12"/>
                <w:szCs w:val="12"/>
              </w:rPr>
              <w:t>9 (32)</w:t>
            </w:r>
          </w:p>
        </w:tc>
        <w:tc>
          <w:tcPr>
            <w:tcW w:w="599" w:type="dxa"/>
          </w:tcPr>
          <w:p w:rsidR="00B21C88" w:rsidRPr="00B21C88" w:rsidRDefault="00B21C88" w:rsidP="00B21C88">
            <w:pPr>
              <w:spacing w:after="0" w:line="240" w:lineRule="auto"/>
              <w:rPr>
                <w:sz w:val="12"/>
                <w:szCs w:val="12"/>
              </w:rPr>
            </w:pPr>
            <w:r w:rsidRPr="00B21C88">
              <w:rPr>
                <w:sz w:val="12"/>
                <w:szCs w:val="12"/>
              </w:rPr>
              <w:t>6 (21)</w:t>
            </w:r>
          </w:p>
        </w:tc>
        <w:tc>
          <w:tcPr>
            <w:tcW w:w="599" w:type="dxa"/>
          </w:tcPr>
          <w:p w:rsidR="00B21C88" w:rsidRPr="00B21C88" w:rsidRDefault="00B21C88" w:rsidP="00B21C88">
            <w:pPr>
              <w:spacing w:after="0" w:line="240" w:lineRule="auto"/>
              <w:rPr>
                <w:sz w:val="12"/>
                <w:szCs w:val="12"/>
              </w:rPr>
            </w:pPr>
            <w:r w:rsidRPr="00B21C88">
              <w:rPr>
                <w:sz w:val="12"/>
                <w:szCs w:val="12"/>
              </w:rPr>
              <w:t>5 (26)</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5 (16)</w:t>
            </w:r>
          </w:p>
        </w:tc>
        <w:tc>
          <w:tcPr>
            <w:tcW w:w="572" w:type="dxa"/>
          </w:tcPr>
          <w:p w:rsidR="00B21C88" w:rsidRPr="00B21C88" w:rsidRDefault="00B21C88" w:rsidP="00B21C88">
            <w:pPr>
              <w:spacing w:after="0" w:line="240" w:lineRule="auto"/>
              <w:rPr>
                <w:sz w:val="12"/>
                <w:szCs w:val="12"/>
              </w:rPr>
            </w:pPr>
            <w:r w:rsidRPr="00B21C88">
              <w:rPr>
                <w:sz w:val="12"/>
                <w:szCs w:val="12"/>
              </w:rPr>
              <w:t>9 (38)</w:t>
            </w:r>
          </w:p>
        </w:tc>
        <w:tc>
          <w:tcPr>
            <w:tcW w:w="567" w:type="dxa"/>
          </w:tcPr>
          <w:p w:rsidR="00B21C88" w:rsidRPr="00B21C88" w:rsidRDefault="00B21C88" w:rsidP="00B21C88">
            <w:pPr>
              <w:spacing w:after="0" w:line="240" w:lineRule="auto"/>
              <w:rPr>
                <w:sz w:val="12"/>
                <w:szCs w:val="12"/>
              </w:rPr>
            </w:pPr>
            <w:r w:rsidRPr="00B21C88">
              <w:rPr>
                <w:sz w:val="12"/>
                <w:szCs w:val="12"/>
              </w:rPr>
              <w:t>7 (28)</w:t>
            </w:r>
          </w:p>
        </w:tc>
        <w:tc>
          <w:tcPr>
            <w:tcW w:w="567" w:type="dxa"/>
          </w:tcPr>
          <w:p w:rsidR="00B21C88" w:rsidRPr="00B21C88" w:rsidRDefault="00B21C88" w:rsidP="00B21C88">
            <w:pPr>
              <w:spacing w:after="0" w:line="240" w:lineRule="auto"/>
              <w:rPr>
                <w:sz w:val="12"/>
                <w:szCs w:val="12"/>
              </w:rPr>
            </w:pPr>
            <w:r w:rsidRPr="00B21C88">
              <w:rPr>
                <w:sz w:val="12"/>
                <w:szCs w:val="12"/>
              </w:rPr>
              <w:t>4 (18)</w:t>
            </w:r>
          </w:p>
        </w:tc>
        <w:tc>
          <w:tcPr>
            <w:tcW w:w="567" w:type="dxa"/>
          </w:tcPr>
          <w:p w:rsidR="00B21C88" w:rsidRPr="00B21C88" w:rsidRDefault="00B21C88" w:rsidP="00B21C88">
            <w:pPr>
              <w:spacing w:after="0" w:line="240" w:lineRule="auto"/>
              <w:rPr>
                <w:sz w:val="12"/>
                <w:szCs w:val="12"/>
              </w:rPr>
            </w:pPr>
            <w:r w:rsidRPr="00B21C88">
              <w:rPr>
                <w:sz w:val="12"/>
                <w:szCs w:val="12"/>
              </w:rPr>
              <w:t>4 (15)</w:t>
            </w:r>
          </w:p>
        </w:tc>
        <w:tc>
          <w:tcPr>
            <w:tcW w:w="567" w:type="dxa"/>
          </w:tcPr>
          <w:p w:rsidR="00B21C88" w:rsidRPr="00B21C88" w:rsidRDefault="00B21C88" w:rsidP="00B21C88">
            <w:pPr>
              <w:spacing w:after="0" w:line="240" w:lineRule="auto"/>
              <w:rPr>
                <w:sz w:val="12"/>
                <w:szCs w:val="12"/>
              </w:rPr>
            </w:pPr>
            <w:r w:rsidRPr="00B21C88">
              <w:rPr>
                <w:sz w:val="12"/>
                <w:szCs w:val="12"/>
              </w:rPr>
              <w:t>2 (13)</w:t>
            </w:r>
          </w:p>
        </w:tc>
        <w:tc>
          <w:tcPr>
            <w:tcW w:w="567" w:type="dxa"/>
          </w:tcPr>
          <w:p w:rsidR="00B21C88" w:rsidRPr="00B21C88" w:rsidRDefault="00B21C88" w:rsidP="00B21C88">
            <w:pPr>
              <w:spacing w:after="0" w:line="240" w:lineRule="auto"/>
              <w:rPr>
                <w:sz w:val="12"/>
                <w:szCs w:val="12"/>
              </w:rPr>
            </w:pPr>
            <w:r w:rsidRPr="00B21C88">
              <w:rPr>
                <w:sz w:val="12"/>
                <w:szCs w:val="12"/>
              </w:rPr>
              <w:t>7 (24)</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4 (13)</w:t>
            </w:r>
          </w:p>
        </w:tc>
        <w:tc>
          <w:tcPr>
            <w:tcW w:w="567" w:type="dxa"/>
          </w:tcPr>
          <w:p w:rsidR="00B21C88" w:rsidRPr="00B21C88" w:rsidRDefault="00B21C88" w:rsidP="00B21C88">
            <w:pPr>
              <w:spacing w:after="0" w:line="240" w:lineRule="auto"/>
              <w:rPr>
                <w:sz w:val="12"/>
                <w:szCs w:val="12"/>
              </w:rPr>
            </w:pPr>
            <w:r w:rsidRPr="00B21C88">
              <w:rPr>
                <w:sz w:val="12"/>
                <w:szCs w:val="12"/>
              </w:rPr>
              <w:t>2 (14)</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Physical examination</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8 (29)</w:t>
            </w:r>
          </w:p>
        </w:tc>
        <w:tc>
          <w:tcPr>
            <w:tcW w:w="599" w:type="dxa"/>
          </w:tcPr>
          <w:p w:rsidR="00B21C88" w:rsidRPr="00B21C88" w:rsidRDefault="00B21C88" w:rsidP="00B21C88">
            <w:pPr>
              <w:spacing w:after="0" w:line="240" w:lineRule="auto"/>
              <w:rPr>
                <w:sz w:val="12"/>
                <w:szCs w:val="12"/>
              </w:rPr>
            </w:pPr>
            <w:r w:rsidRPr="00B21C88">
              <w:rPr>
                <w:sz w:val="12"/>
                <w:szCs w:val="12"/>
              </w:rPr>
              <w:t>3 (11)</w:t>
            </w:r>
          </w:p>
        </w:tc>
        <w:tc>
          <w:tcPr>
            <w:tcW w:w="599" w:type="dxa"/>
          </w:tcPr>
          <w:p w:rsidR="00B21C88" w:rsidRPr="00B21C88" w:rsidRDefault="00B21C88" w:rsidP="00B21C88">
            <w:pPr>
              <w:spacing w:after="0" w:line="240" w:lineRule="auto"/>
              <w:rPr>
                <w:sz w:val="12"/>
                <w:szCs w:val="12"/>
              </w:rPr>
            </w:pPr>
            <w:r w:rsidRPr="00B21C88">
              <w:rPr>
                <w:sz w:val="12"/>
                <w:szCs w:val="12"/>
              </w:rPr>
              <w:t>1 (5)</w:t>
            </w:r>
          </w:p>
        </w:tc>
        <w:tc>
          <w:tcPr>
            <w:tcW w:w="599" w:type="dxa"/>
          </w:tcPr>
          <w:p w:rsidR="00B21C88" w:rsidRPr="00B21C88" w:rsidRDefault="00B21C88" w:rsidP="00B21C88">
            <w:pPr>
              <w:spacing w:after="0" w:line="240" w:lineRule="auto"/>
              <w:rPr>
                <w:sz w:val="12"/>
                <w:szCs w:val="12"/>
              </w:rPr>
            </w:pPr>
            <w:r w:rsidRPr="00B21C88">
              <w:rPr>
                <w:sz w:val="12"/>
                <w:szCs w:val="12"/>
              </w:rPr>
              <w:t>4 (24)</w:t>
            </w:r>
          </w:p>
        </w:tc>
        <w:tc>
          <w:tcPr>
            <w:tcW w:w="599" w:type="dxa"/>
          </w:tcPr>
          <w:p w:rsidR="00B21C88" w:rsidRPr="00B21C88" w:rsidRDefault="00B21C88" w:rsidP="00B21C88">
            <w:pPr>
              <w:spacing w:after="0" w:line="240" w:lineRule="auto"/>
              <w:rPr>
                <w:sz w:val="12"/>
                <w:szCs w:val="12"/>
              </w:rPr>
            </w:pPr>
            <w:r w:rsidRPr="00B21C88">
              <w:rPr>
                <w:sz w:val="12"/>
                <w:szCs w:val="12"/>
              </w:rPr>
              <w:t>1 (3)</w:t>
            </w:r>
          </w:p>
        </w:tc>
        <w:tc>
          <w:tcPr>
            <w:tcW w:w="572" w:type="dxa"/>
          </w:tcPr>
          <w:p w:rsidR="00B21C88" w:rsidRPr="00B21C88" w:rsidRDefault="00B21C88" w:rsidP="00B21C88">
            <w:pPr>
              <w:spacing w:after="0" w:line="240" w:lineRule="auto"/>
              <w:rPr>
                <w:sz w:val="12"/>
                <w:szCs w:val="12"/>
              </w:rPr>
            </w:pPr>
            <w:r w:rsidRPr="00B21C88">
              <w:rPr>
                <w:sz w:val="12"/>
                <w:szCs w:val="12"/>
              </w:rPr>
              <w:t>7 (29)</w:t>
            </w:r>
          </w:p>
        </w:tc>
        <w:tc>
          <w:tcPr>
            <w:tcW w:w="567" w:type="dxa"/>
          </w:tcPr>
          <w:p w:rsidR="00B21C88" w:rsidRPr="00B21C88" w:rsidRDefault="00B21C88" w:rsidP="00B21C88">
            <w:pPr>
              <w:spacing w:after="0" w:line="240" w:lineRule="auto"/>
              <w:rPr>
                <w:sz w:val="12"/>
                <w:szCs w:val="12"/>
              </w:rPr>
            </w:pPr>
            <w:r w:rsidRPr="00B21C88">
              <w:rPr>
                <w:sz w:val="12"/>
                <w:szCs w:val="12"/>
              </w:rPr>
              <w:t>6 (24)</w:t>
            </w:r>
          </w:p>
        </w:tc>
        <w:tc>
          <w:tcPr>
            <w:tcW w:w="567" w:type="dxa"/>
          </w:tcPr>
          <w:p w:rsidR="00B21C88" w:rsidRPr="00B21C88" w:rsidRDefault="00B21C88" w:rsidP="00B21C88">
            <w:pPr>
              <w:spacing w:after="0" w:line="240" w:lineRule="auto"/>
              <w:rPr>
                <w:sz w:val="12"/>
                <w:szCs w:val="12"/>
              </w:rPr>
            </w:pPr>
            <w:r w:rsidRPr="00B21C88">
              <w:rPr>
                <w:sz w:val="12"/>
                <w:szCs w:val="12"/>
              </w:rPr>
              <w:t>8 (36)</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1 (6)</w:t>
            </w:r>
          </w:p>
        </w:tc>
        <w:tc>
          <w:tcPr>
            <w:tcW w:w="567" w:type="dxa"/>
          </w:tcPr>
          <w:p w:rsidR="00B21C88" w:rsidRPr="00B21C88" w:rsidRDefault="00B21C88" w:rsidP="00B21C88">
            <w:pPr>
              <w:spacing w:after="0" w:line="240" w:lineRule="auto"/>
              <w:rPr>
                <w:sz w:val="12"/>
                <w:szCs w:val="12"/>
              </w:rPr>
            </w:pPr>
            <w:r w:rsidRPr="00B21C88">
              <w:rPr>
                <w:sz w:val="12"/>
                <w:szCs w:val="12"/>
              </w:rPr>
              <w:t>3 (10)</w:t>
            </w:r>
          </w:p>
        </w:tc>
        <w:tc>
          <w:tcPr>
            <w:tcW w:w="567" w:type="dxa"/>
          </w:tcPr>
          <w:p w:rsidR="00B21C88" w:rsidRPr="00B21C88" w:rsidRDefault="00B21C88" w:rsidP="00B21C88">
            <w:pPr>
              <w:spacing w:after="0" w:line="240" w:lineRule="auto"/>
              <w:rPr>
                <w:sz w:val="12"/>
                <w:szCs w:val="12"/>
              </w:rPr>
            </w:pPr>
            <w:r w:rsidRPr="00B21C88">
              <w:rPr>
                <w:sz w:val="12"/>
                <w:szCs w:val="12"/>
              </w:rPr>
              <w:t>5 (21)</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5 (17)</w:t>
            </w:r>
          </w:p>
        </w:tc>
        <w:tc>
          <w:tcPr>
            <w:tcW w:w="567" w:type="dxa"/>
          </w:tcPr>
          <w:p w:rsidR="00B21C88" w:rsidRPr="00B21C88" w:rsidRDefault="00B21C88" w:rsidP="00B21C88">
            <w:pPr>
              <w:spacing w:after="0" w:line="240" w:lineRule="auto"/>
              <w:rPr>
                <w:sz w:val="12"/>
                <w:szCs w:val="12"/>
              </w:rPr>
            </w:pPr>
            <w:r w:rsidRPr="00B21C88">
              <w:rPr>
                <w:sz w:val="12"/>
                <w:szCs w:val="12"/>
              </w:rPr>
              <w:t>3 (21)</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Vital signs (e.g. BP/HR)</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8 (29)</w:t>
            </w:r>
          </w:p>
        </w:tc>
        <w:tc>
          <w:tcPr>
            <w:tcW w:w="599" w:type="dxa"/>
          </w:tcPr>
          <w:p w:rsidR="00B21C88" w:rsidRPr="00B21C88" w:rsidRDefault="00B21C88" w:rsidP="00B21C88">
            <w:pPr>
              <w:spacing w:after="0" w:line="240" w:lineRule="auto"/>
              <w:rPr>
                <w:sz w:val="12"/>
                <w:szCs w:val="12"/>
              </w:rPr>
            </w:pPr>
            <w:r w:rsidRPr="00B21C88">
              <w:rPr>
                <w:sz w:val="12"/>
                <w:szCs w:val="12"/>
              </w:rPr>
              <w:t>2 (7)</w:t>
            </w:r>
          </w:p>
        </w:tc>
        <w:tc>
          <w:tcPr>
            <w:tcW w:w="599" w:type="dxa"/>
          </w:tcPr>
          <w:p w:rsidR="00B21C88" w:rsidRPr="00B21C88" w:rsidRDefault="00B21C88" w:rsidP="00B21C88">
            <w:pPr>
              <w:spacing w:after="0" w:line="240" w:lineRule="auto"/>
              <w:rPr>
                <w:sz w:val="12"/>
                <w:szCs w:val="12"/>
              </w:rPr>
            </w:pPr>
            <w:r w:rsidRPr="00B21C88">
              <w:rPr>
                <w:sz w:val="12"/>
                <w:szCs w:val="12"/>
              </w:rPr>
              <w:t>4 (21)</w:t>
            </w:r>
          </w:p>
        </w:tc>
        <w:tc>
          <w:tcPr>
            <w:tcW w:w="599" w:type="dxa"/>
          </w:tcPr>
          <w:p w:rsidR="00B21C88" w:rsidRPr="00B21C88" w:rsidRDefault="00B21C88" w:rsidP="00B21C88">
            <w:pPr>
              <w:spacing w:after="0" w:line="240" w:lineRule="auto"/>
              <w:rPr>
                <w:sz w:val="12"/>
                <w:szCs w:val="12"/>
              </w:rPr>
            </w:pPr>
            <w:r w:rsidRPr="00B21C88">
              <w:rPr>
                <w:sz w:val="12"/>
                <w:szCs w:val="12"/>
              </w:rPr>
              <w:t>3 (18)</w:t>
            </w:r>
          </w:p>
        </w:tc>
        <w:tc>
          <w:tcPr>
            <w:tcW w:w="599" w:type="dxa"/>
          </w:tcPr>
          <w:p w:rsidR="00B21C88" w:rsidRPr="00B21C88" w:rsidRDefault="00B21C88" w:rsidP="00B21C88">
            <w:pPr>
              <w:spacing w:after="0" w:line="240" w:lineRule="auto"/>
              <w:rPr>
                <w:sz w:val="12"/>
                <w:szCs w:val="12"/>
              </w:rPr>
            </w:pPr>
            <w:r w:rsidRPr="00B21C88">
              <w:rPr>
                <w:sz w:val="12"/>
                <w:szCs w:val="12"/>
              </w:rPr>
              <w:t>1 (3)</w:t>
            </w:r>
          </w:p>
        </w:tc>
        <w:tc>
          <w:tcPr>
            <w:tcW w:w="572" w:type="dxa"/>
          </w:tcPr>
          <w:p w:rsidR="00B21C88" w:rsidRPr="00B21C88" w:rsidRDefault="00B21C88" w:rsidP="00B21C88">
            <w:pPr>
              <w:spacing w:after="0" w:line="240" w:lineRule="auto"/>
              <w:rPr>
                <w:sz w:val="12"/>
                <w:szCs w:val="12"/>
              </w:rPr>
            </w:pPr>
            <w:r w:rsidRPr="00B21C88">
              <w:rPr>
                <w:sz w:val="12"/>
                <w:szCs w:val="12"/>
              </w:rPr>
              <w:t>4 (17)</w:t>
            </w:r>
          </w:p>
        </w:tc>
        <w:tc>
          <w:tcPr>
            <w:tcW w:w="567" w:type="dxa"/>
          </w:tcPr>
          <w:p w:rsidR="00B21C88" w:rsidRPr="00B21C88" w:rsidRDefault="00B21C88" w:rsidP="00B21C88">
            <w:pPr>
              <w:spacing w:after="0" w:line="240" w:lineRule="auto"/>
              <w:rPr>
                <w:sz w:val="12"/>
                <w:szCs w:val="12"/>
              </w:rPr>
            </w:pPr>
            <w:r w:rsidRPr="00B21C88">
              <w:rPr>
                <w:sz w:val="12"/>
                <w:szCs w:val="12"/>
              </w:rPr>
              <w:t>7 (28)</w:t>
            </w:r>
          </w:p>
        </w:tc>
        <w:tc>
          <w:tcPr>
            <w:tcW w:w="567" w:type="dxa"/>
          </w:tcPr>
          <w:p w:rsidR="00B21C88" w:rsidRPr="00B21C88" w:rsidRDefault="00B21C88" w:rsidP="00B21C88">
            <w:pPr>
              <w:spacing w:after="0" w:line="240" w:lineRule="auto"/>
              <w:rPr>
                <w:sz w:val="12"/>
                <w:szCs w:val="12"/>
              </w:rPr>
            </w:pPr>
            <w:r w:rsidRPr="00B21C88">
              <w:rPr>
                <w:sz w:val="12"/>
                <w:szCs w:val="12"/>
              </w:rPr>
              <w:t>5 (23)</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2 (13)</w:t>
            </w:r>
          </w:p>
        </w:tc>
        <w:tc>
          <w:tcPr>
            <w:tcW w:w="567" w:type="dxa"/>
          </w:tcPr>
          <w:p w:rsidR="00B21C88" w:rsidRPr="00B21C88" w:rsidRDefault="00B21C88" w:rsidP="00B21C88">
            <w:pPr>
              <w:spacing w:after="0" w:line="240" w:lineRule="auto"/>
              <w:rPr>
                <w:sz w:val="12"/>
                <w:szCs w:val="12"/>
              </w:rPr>
            </w:pPr>
            <w:r w:rsidRPr="00B21C88">
              <w:rPr>
                <w:sz w:val="12"/>
                <w:szCs w:val="12"/>
              </w:rPr>
              <w:t>3 (10)</w:t>
            </w:r>
          </w:p>
        </w:tc>
        <w:tc>
          <w:tcPr>
            <w:tcW w:w="567" w:type="dxa"/>
          </w:tcPr>
          <w:p w:rsidR="00B21C88" w:rsidRPr="00B21C88" w:rsidRDefault="00B21C88" w:rsidP="00B21C88">
            <w:pPr>
              <w:spacing w:after="0" w:line="240" w:lineRule="auto"/>
              <w:rPr>
                <w:sz w:val="12"/>
                <w:szCs w:val="12"/>
              </w:rPr>
            </w:pPr>
            <w:r w:rsidRPr="00B21C88">
              <w:rPr>
                <w:sz w:val="12"/>
                <w:szCs w:val="12"/>
              </w:rPr>
              <w:t>2 (8)</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4 (13)</w:t>
            </w:r>
          </w:p>
        </w:tc>
        <w:tc>
          <w:tcPr>
            <w:tcW w:w="567" w:type="dxa"/>
          </w:tcPr>
          <w:p w:rsidR="00B21C88" w:rsidRPr="00B21C88" w:rsidRDefault="00B21C88" w:rsidP="00B21C88">
            <w:pPr>
              <w:spacing w:after="0" w:line="240" w:lineRule="auto"/>
              <w:rPr>
                <w:sz w:val="12"/>
                <w:szCs w:val="12"/>
              </w:rPr>
            </w:pPr>
            <w:r w:rsidRPr="00B21C88">
              <w:rPr>
                <w:sz w:val="12"/>
                <w:szCs w:val="12"/>
              </w:rPr>
              <w:t>1 (7)</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Work productivity</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1 (3)</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(3)</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1 (3)</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Treatment response</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3 (11)</w:t>
            </w:r>
          </w:p>
        </w:tc>
        <w:tc>
          <w:tcPr>
            <w:tcW w:w="599" w:type="dxa"/>
          </w:tcPr>
          <w:p w:rsidR="00B21C88" w:rsidRPr="00B21C88" w:rsidRDefault="00B21C88" w:rsidP="00B21C88">
            <w:pPr>
              <w:spacing w:after="0" w:line="240" w:lineRule="auto"/>
              <w:rPr>
                <w:sz w:val="12"/>
                <w:szCs w:val="12"/>
              </w:rPr>
            </w:pPr>
            <w:r w:rsidRPr="00B21C88">
              <w:rPr>
                <w:sz w:val="12"/>
                <w:szCs w:val="12"/>
              </w:rPr>
              <w:t>5 (18)</w:t>
            </w:r>
          </w:p>
        </w:tc>
        <w:tc>
          <w:tcPr>
            <w:tcW w:w="599" w:type="dxa"/>
          </w:tcPr>
          <w:p w:rsidR="00B21C88" w:rsidRPr="00B21C88" w:rsidRDefault="00B21C88" w:rsidP="00B21C88">
            <w:pPr>
              <w:spacing w:after="0" w:line="240" w:lineRule="auto"/>
              <w:rPr>
                <w:sz w:val="12"/>
                <w:szCs w:val="12"/>
              </w:rPr>
            </w:pPr>
            <w:r w:rsidRPr="00B21C88">
              <w:rPr>
                <w:sz w:val="12"/>
                <w:szCs w:val="12"/>
              </w:rPr>
              <w:t>4 (21)</w:t>
            </w:r>
          </w:p>
        </w:tc>
        <w:tc>
          <w:tcPr>
            <w:tcW w:w="599" w:type="dxa"/>
          </w:tcPr>
          <w:p w:rsidR="00B21C88" w:rsidRPr="00B21C88" w:rsidRDefault="00B21C88" w:rsidP="00B21C88">
            <w:pPr>
              <w:spacing w:after="0" w:line="240" w:lineRule="auto"/>
              <w:rPr>
                <w:sz w:val="12"/>
                <w:szCs w:val="12"/>
              </w:rPr>
            </w:pPr>
            <w:r w:rsidRPr="00B21C88">
              <w:rPr>
                <w:sz w:val="12"/>
                <w:szCs w:val="12"/>
              </w:rPr>
              <w:t>2 (12)</w:t>
            </w:r>
          </w:p>
        </w:tc>
        <w:tc>
          <w:tcPr>
            <w:tcW w:w="599" w:type="dxa"/>
          </w:tcPr>
          <w:p w:rsidR="00B21C88" w:rsidRPr="00B21C88" w:rsidRDefault="00B21C88" w:rsidP="00B21C88">
            <w:pPr>
              <w:spacing w:after="0" w:line="240" w:lineRule="auto"/>
              <w:rPr>
                <w:sz w:val="12"/>
                <w:szCs w:val="12"/>
              </w:rPr>
            </w:pPr>
            <w:r w:rsidRPr="00B21C88">
              <w:rPr>
                <w:sz w:val="12"/>
                <w:szCs w:val="12"/>
              </w:rPr>
              <w:t>6 (19)</w:t>
            </w:r>
          </w:p>
        </w:tc>
        <w:tc>
          <w:tcPr>
            <w:tcW w:w="572" w:type="dxa"/>
          </w:tcPr>
          <w:p w:rsidR="00B21C88" w:rsidRPr="00B21C88" w:rsidRDefault="00B21C88" w:rsidP="00B21C88">
            <w:pPr>
              <w:spacing w:after="0" w:line="240" w:lineRule="auto"/>
              <w:rPr>
                <w:sz w:val="12"/>
                <w:szCs w:val="12"/>
              </w:rPr>
            </w:pPr>
            <w:r w:rsidRPr="00B21C88">
              <w:rPr>
                <w:sz w:val="12"/>
                <w:szCs w:val="12"/>
              </w:rPr>
              <w:t>2 (8)</w:t>
            </w:r>
          </w:p>
        </w:tc>
        <w:tc>
          <w:tcPr>
            <w:tcW w:w="567" w:type="dxa"/>
          </w:tcPr>
          <w:p w:rsidR="00B21C88" w:rsidRPr="00B21C88" w:rsidRDefault="00B21C88" w:rsidP="00B21C88">
            <w:pPr>
              <w:spacing w:after="0" w:line="240" w:lineRule="auto"/>
              <w:rPr>
                <w:sz w:val="12"/>
                <w:szCs w:val="12"/>
              </w:rPr>
            </w:pPr>
            <w:r w:rsidRPr="00B21C88">
              <w:rPr>
                <w:sz w:val="12"/>
                <w:szCs w:val="12"/>
              </w:rPr>
              <w:t>7 (28)</w:t>
            </w:r>
          </w:p>
        </w:tc>
        <w:tc>
          <w:tcPr>
            <w:tcW w:w="567" w:type="dxa"/>
          </w:tcPr>
          <w:p w:rsidR="00B21C88" w:rsidRPr="00B21C88" w:rsidRDefault="00B21C88" w:rsidP="00B21C88">
            <w:pPr>
              <w:spacing w:after="0" w:line="240" w:lineRule="auto"/>
              <w:rPr>
                <w:sz w:val="12"/>
                <w:szCs w:val="12"/>
              </w:rPr>
            </w:pPr>
            <w:r w:rsidRPr="00B21C88">
              <w:rPr>
                <w:sz w:val="12"/>
                <w:szCs w:val="12"/>
              </w:rPr>
              <w:t>5 (23)</w:t>
            </w:r>
          </w:p>
        </w:tc>
        <w:tc>
          <w:tcPr>
            <w:tcW w:w="567" w:type="dxa"/>
          </w:tcPr>
          <w:p w:rsidR="00B21C88" w:rsidRPr="00B21C88" w:rsidRDefault="00B21C88" w:rsidP="00B21C88">
            <w:pPr>
              <w:spacing w:after="0" w:line="240" w:lineRule="auto"/>
              <w:rPr>
                <w:sz w:val="12"/>
                <w:szCs w:val="12"/>
              </w:rPr>
            </w:pPr>
            <w:r w:rsidRPr="00B21C88">
              <w:rPr>
                <w:sz w:val="12"/>
                <w:szCs w:val="12"/>
              </w:rPr>
              <w:t>4 (15)</w:t>
            </w:r>
          </w:p>
        </w:tc>
        <w:tc>
          <w:tcPr>
            <w:tcW w:w="567" w:type="dxa"/>
          </w:tcPr>
          <w:p w:rsidR="00B21C88" w:rsidRPr="00B21C88" w:rsidRDefault="00B21C88" w:rsidP="00B21C88">
            <w:pPr>
              <w:spacing w:after="0" w:line="240" w:lineRule="auto"/>
              <w:rPr>
                <w:sz w:val="12"/>
                <w:szCs w:val="12"/>
              </w:rPr>
            </w:pPr>
            <w:r w:rsidRPr="00B21C88">
              <w:rPr>
                <w:sz w:val="12"/>
                <w:szCs w:val="12"/>
              </w:rPr>
              <w:t>1 (6)</w:t>
            </w:r>
          </w:p>
        </w:tc>
        <w:tc>
          <w:tcPr>
            <w:tcW w:w="567" w:type="dxa"/>
          </w:tcPr>
          <w:p w:rsidR="00B21C88" w:rsidRPr="00B21C88" w:rsidRDefault="00B21C88" w:rsidP="00B21C88">
            <w:pPr>
              <w:spacing w:after="0" w:line="240" w:lineRule="auto"/>
              <w:rPr>
                <w:sz w:val="12"/>
                <w:szCs w:val="12"/>
              </w:rPr>
            </w:pPr>
            <w:r w:rsidRPr="00B21C88">
              <w:rPr>
                <w:sz w:val="12"/>
                <w:szCs w:val="12"/>
              </w:rPr>
              <w:t>5 (17)</w:t>
            </w:r>
          </w:p>
        </w:tc>
        <w:tc>
          <w:tcPr>
            <w:tcW w:w="567" w:type="dxa"/>
          </w:tcPr>
          <w:p w:rsidR="00B21C88" w:rsidRPr="00B21C88" w:rsidRDefault="00B21C88" w:rsidP="00B21C88">
            <w:pPr>
              <w:spacing w:after="0" w:line="240" w:lineRule="auto"/>
              <w:rPr>
                <w:sz w:val="12"/>
                <w:szCs w:val="12"/>
              </w:rPr>
            </w:pPr>
            <w:r w:rsidRPr="00B21C88">
              <w:rPr>
                <w:sz w:val="12"/>
                <w:szCs w:val="12"/>
              </w:rPr>
              <w:t>3 (13)</w:t>
            </w:r>
          </w:p>
        </w:tc>
        <w:tc>
          <w:tcPr>
            <w:tcW w:w="567" w:type="dxa"/>
          </w:tcPr>
          <w:p w:rsidR="00B21C88" w:rsidRPr="00B21C88" w:rsidRDefault="00B21C88" w:rsidP="00B21C88">
            <w:pPr>
              <w:spacing w:after="0" w:line="240" w:lineRule="auto"/>
              <w:rPr>
                <w:sz w:val="12"/>
                <w:szCs w:val="12"/>
              </w:rPr>
            </w:pPr>
            <w:r w:rsidRPr="00B21C88">
              <w:rPr>
                <w:sz w:val="12"/>
                <w:szCs w:val="12"/>
              </w:rPr>
              <w:t>5 (19)</w:t>
            </w:r>
          </w:p>
        </w:tc>
        <w:tc>
          <w:tcPr>
            <w:tcW w:w="567" w:type="dxa"/>
          </w:tcPr>
          <w:p w:rsidR="00B21C88" w:rsidRPr="00B21C88" w:rsidRDefault="00B21C88" w:rsidP="00B21C88">
            <w:pPr>
              <w:spacing w:after="0" w:line="240" w:lineRule="auto"/>
              <w:rPr>
                <w:sz w:val="12"/>
                <w:szCs w:val="12"/>
              </w:rPr>
            </w:pPr>
            <w:r w:rsidRPr="00B21C88">
              <w:rPr>
                <w:sz w:val="12"/>
                <w:szCs w:val="12"/>
              </w:rPr>
              <w:t>5 (17)</w:t>
            </w:r>
          </w:p>
        </w:tc>
        <w:tc>
          <w:tcPr>
            <w:tcW w:w="567" w:type="dxa"/>
          </w:tcPr>
          <w:p w:rsidR="00B21C88" w:rsidRPr="00B21C88" w:rsidRDefault="00B21C88" w:rsidP="00B21C88">
            <w:pPr>
              <w:spacing w:after="0" w:line="240" w:lineRule="auto"/>
              <w:rPr>
                <w:sz w:val="12"/>
                <w:szCs w:val="12"/>
              </w:rPr>
            </w:pPr>
            <w:r w:rsidRPr="00B21C88">
              <w:rPr>
                <w:sz w:val="12"/>
                <w:szCs w:val="12"/>
              </w:rPr>
              <w:t>5 (36)</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Sleep</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2 (20)</w:t>
            </w:r>
          </w:p>
        </w:tc>
        <w:tc>
          <w:tcPr>
            <w:tcW w:w="575" w:type="dxa"/>
          </w:tcPr>
          <w:p w:rsidR="00B21C88" w:rsidRPr="00B21C88" w:rsidRDefault="00B21C88" w:rsidP="00B21C88">
            <w:pPr>
              <w:spacing w:after="0" w:line="240" w:lineRule="auto"/>
              <w:rPr>
                <w:sz w:val="12"/>
                <w:szCs w:val="12"/>
              </w:rPr>
            </w:pPr>
            <w:r w:rsidRPr="00B21C88">
              <w:rPr>
                <w:sz w:val="12"/>
                <w:szCs w:val="12"/>
              </w:rPr>
              <w:t>5 (18)</w:t>
            </w:r>
          </w:p>
        </w:tc>
        <w:tc>
          <w:tcPr>
            <w:tcW w:w="599"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4 (24)</w:t>
            </w:r>
          </w:p>
        </w:tc>
        <w:tc>
          <w:tcPr>
            <w:tcW w:w="599" w:type="dxa"/>
          </w:tcPr>
          <w:p w:rsidR="00B21C88" w:rsidRPr="00B21C88" w:rsidRDefault="00B21C88" w:rsidP="00B21C88">
            <w:pPr>
              <w:spacing w:after="0" w:line="240" w:lineRule="auto"/>
              <w:rPr>
                <w:sz w:val="12"/>
                <w:szCs w:val="12"/>
              </w:rPr>
            </w:pPr>
            <w:r w:rsidRPr="00B21C88">
              <w:rPr>
                <w:sz w:val="12"/>
                <w:szCs w:val="12"/>
              </w:rPr>
              <w:t>3 (9)</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4 (15)</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Mood and mental wellbeing</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1 (25)</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2 (7)</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2 (6)</w:t>
            </w:r>
          </w:p>
        </w:tc>
        <w:tc>
          <w:tcPr>
            <w:tcW w:w="572" w:type="dxa"/>
          </w:tcPr>
          <w:p w:rsidR="00B21C88" w:rsidRPr="00B21C88" w:rsidRDefault="00B21C88" w:rsidP="00B21C88">
            <w:pPr>
              <w:spacing w:after="0" w:line="240" w:lineRule="auto"/>
              <w:rPr>
                <w:sz w:val="12"/>
                <w:szCs w:val="12"/>
              </w:rPr>
            </w:pPr>
            <w:r w:rsidRPr="00B21C88">
              <w:rPr>
                <w:sz w:val="12"/>
                <w:szCs w:val="12"/>
              </w:rPr>
              <w:t>3 (13)</w:t>
            </w:r>
          </w:p>
        </w:tc>
        <w:tc>
          <w:tcPr>
            <w:tcW w:w="567" w:type="dxa"/>
          </w:tcPr>
          <w:p w:rsidR="00B21C88" w:rsidRPr="00B21C88" w:rsidRDefault="00B21C88" w:rsidP="00B21C88">
            <w:pPr>
              <w:spacing w:after="0" w:line="240" w:lineRule="auto"/>
              <w:rPr>
                <w:sz w:val="12"/>
                <w:szCs w:val="12"/>
              </w:rPr>
            </w:pPr>
            <w:r w:rsidRPr="00B21C88">
              <w:rPr>
                <w:sz w:val="12"/>
                <w:szCs w:val="12"/>
              </w:rPr>
              <w:t>5 (20)</w:t>
            </w:r>
          </w:p>
        </w:tc>
        <w:tc>
          <w:tcPr>
            <w:tcW w:w="567" w:type="dxa"/>
          </w:tcPr>
          <w:p w:rsidR="00B21C88" w:rsidRPr="00B21C88" w:rsidRDefault="00B21C88" w:rsidP="00B21C88">
            <w:pPr>
              <w:spacing w:after="0" w:line="240" w:lineRule="auto"/>
              <w:rPr>
                <w:sz w:val="12"/>
                <w:szCs w:val="12"/>
              </w:rPr>
            </w:pPr>
            <w:r w:rsidRPr="00B21C88">
              <w:rPr>
                <w:sz w:val="12"/>
                <w:szCs w:val="12"/>
              </w:rPr>
              <w:t>1 (5)</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2 (13)</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Cost and economic evaluation</w:t>
            </w:r>
          </w:p>
        </w:tc>
        <w:tc>
          <w:tcPr>
            <w:tcW w:w="585"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1 (33)</w:t>
            </w:r>
          </w:p>
        </w:tc>
        <w:tc>
          <w:tcPr>
            <w:tcW w:w="604" w:type="dxa"/>
          </w:tcPr>
          <w:p w:rsidR="00B21C88" w:rsidRPr="00B21C88" w:rsidRDefault="00B21C88" w:rsidP="00B21C88">
            <w:pPr>
              <w:spacing w:after="0" w:line="240" w:lineRule="auto"/>
              <w:rPr>
                <w:sz w:val="12"/>
                <w:szCs w:val="12"/>
              </w:rPr>
            </w:pPr>
            <w:r w:rsidRPr="00B21C88">
              <w:rPr>
                <w:sz w:val="12"/>
                <w:szCs w:val="12"/>
              </w:rPr>
              <w:t>2 (29)</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1 (3)</w:t>
            </w:r>
          </w:p>
        </w:tc>
        <w:tc>
          <w:tcPr>
            <w:tcW w:w="572" w:type="dxa"/>
          </w:tcPr>
          <w:p w:rsidR="00B21C88" w:rsidRPr="00B21C88" w:rsidRDefault="00B21C88" w:rsidP="00B21C88">
            <w:pPr>
              <w:spacing w:after="0" w:line="240" w:lineRule="auto"/>
              <w:rPr>
                <w:sz w:val="12"/>
                <w:szCs w:val="12"/>
              </w:rPr>
            </w:pPr>
            <w:r w:rsidRPr="00B21C88">
              <w:rPr>
                <w:sz w:val="12"/>
                <w:szCs w:val="12"/>
              </w:rPr>
              <w:t>2 (8)</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(5)</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1 (3)</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Biomechanical / kinematic assessment</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3 (13)</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(6)</w:t>
            </w:r>
          </w:p>
        </w:tc>
        <w:tc>
          <w:tcPr>
            <w:tcW w:w="567" w:type="dxa"/>
          </w:tcPr>
          <w:p w:rsidR="00B21C88" w:rsidRPr="00B21C88" w:rsidRDefault="00B21C88" w:rsidP="00B21C88">
            <w:pPr>
              <w:spacing w:after="0" w:line="240" w:lineRule="auto"/>
              <w:rPr>
                <w:sz w:val="12"/>
                <w:szCs w:val="12"/>
              </w:rPr>
            </w:pPr>
            <w:r w:rsidRPr="00B21C88">
              <w:rPr>
                <w:sz w:val="12"/>
                <w:szCs w:val="12"/>
              </w:rPr>
              <w:t>2 (7)</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Patient reported health status</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1 (14)</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1 (10)</w:t>
            </w:r>
          </w:p>
        </w:tc>
        <w:tc>
          <w:tcPr>
            <w:tcW w:w="575" w:type="dxa"/>
          </w:tcPr>
          <w:p w:rsidR="00B21C88" w:rsidRPr="00B21C88" w:rsidRDefault="00B21C88" w:rsidP="00B21C88">
            <w:pPr>
              <w:spacing w:after="0" w:line="240" w:lineRule="auto"/>
              <w:rPr>
                <w:sz w:val="12"/>
                <w:szCs w:val="12"/>
              </w:rPr>
            </w:pPr>
            <w:r w:rsidRPr="00B21C88">
              <w:rPr>
                <w:sz w:val="12"/>
                <w:szCs w:val="12"/>
              </w:rPr>
              <w:t>1 (4)</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(5)</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Falls</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Fatigue</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(5)</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1 (6)</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Cognitive function</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Time to treatment response (pain)</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(5)</w:t>
            </w:r>
          </w:p>
        </w:tc>
        <w:tc>
          <w:tcPr>
            <w:tcW w:w="599" w:type="dxa"/>
          </w:tcPr>
          <w:p w:rsidR="00B21C88" w:rsidRPr="00B21C88" w:rsidRDefault="00B21C88" w:rsidP="00B21C88">
            <w:pPr>
              <w:spacing w:after="0" w:line="240" w:lineRule="auto"/>
              <w:rPr>
                <w:sz w:val="12"/>
                <w:szCs w:val="12"/>
              </w:rPr>
            </w:pPr>
            <w:r w:rsidRPr="00B21C88">
              <w:rPr>
                <w:sz w:val="12"/>
                <w:szCs w:val="12"/>
              </w:rPr>
              <w:t>1 (5)</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Patient preference (to other treatment)</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1 (6)</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r w:rsidR="00B21C88" w:rsidRPr="00B21C88" w:rsidTr="005B5778">
        <w:tc>
          <w:tcPr>
            <w:tcW w:w="1338" w:type="dxa"/>
          </w:tcPr>
          <w:p w:rsidR="00B21C88" w:rsidRPr="00B21C88" w:rsidRDefault="00B21C88" w:rsidP="00B21C88">
            <w:pPr>
              <w:spacing w:after="0" w:line="240" w:lineRule="auto"/>
              <w:rPr>
                <w:sz w:val="12"/>
                <w:szCs w:val="12"/>
              </w:rPr>
            </w:pPr>
            <w:r w:rsidRPr="00B21C88">
              <w:rPr>
                <w:sz w:val="12"/>
                <w:szCs w:val="12"/>
              </w:rPr>
              <w:t>Coping and self-efficacy</w:t>
            </w:r>
          </w:p>
        </w:tc>
        <w:tc>
          <w:tcPr>
            <w:tcW w:w="585"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04" w:type="dxa"/>
          </w:tcPr>
          <w:p w:rsidR="00B21C88" w:rsidRPr="00B21C88" w:rsidRDefault="00B21C88" w:rsidP="00B21C88">
            <w:pPr>
              <w:spacing w:after="0" w:line="240" w:lineRule="auto"/>
              <w:rPr>
                <w:sz w:val="12"/>
                <w:szCs w:val="12"/>
              </w:rPr>
            </w:pPr>
            <w:r w:rsidRPr="00B21C88">
              <w:rPr>
                <w:sz w:val="12"/>
                <w:szCs w:val="12"/>
              </w:rPr>
              <w:t>0 (0.0)</w:t>
            </w:r>
          </w:p>
        </w:tc>
        <w:tc>
          <w:tcPr>
            <w:tcW w:w="604" w:type="dxa"/>
          </w:tcPr>
          <w:p w:rsidR="00B21C88" w:rsidRPr="00B21C88" w:rsidRDefault="00B21C88" w:rsidP="00B21C88">
            <w:pPr>
              <w:spacing w:after="0" w:line="240" w:lineRule="auto"/>
              <w:rPr>
                <w:sz w:val="12"/>
                <w:szCs w:val="12"/>
              </w:rPr>
            </w:pPr>
            <w:r w:rsidRPr="00B21C88">
              <w:rPr>
                <w:sz w:val="12"/>
                <w:szCs w:val="12"/>
              </w:rPr>
              <w:t>0 (0)</w:t>
            </w:r>
          </w:p>
        </w:tc>
        <w:tc>
          <w:tcPr>
            <w:tcW w:w="623" w:type="dxa"/>
          </w:tcPr>
          <w:p w:rsidR="00B21C88" w:rsidRPr="00B21C88" w:rsidRDefault="00B21C88" w:rsidP="00B21C88">
            <w:pPr>
              <w:spacing w:after="0" w:line="240" w:lineRule="auto"/>
              <w:rPr>
                <w:sz w:val="12"/>
                <w:szCs w:val="12"/>
              </w:rPr>
            </w:pPr>
            <w:r w:rsidRPr="00B21C88">
              <w:rPr>
                <w:sz w:val="12"/>
                <w:szCs w:val="12"/>
              </w:rPr>
              <w:t>0 (0)</w:t>
            </w:r>
          </w:p>
        </w:tc>
        <w:tc>
          <w:tcPr>
            <w:tcW w:w="575"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99" w:type="dxa"/>
          </w:tcPr>
          <w:p w:rsidR="00B21C88" w:rsidRPr="00B21C88" w:rsidRDefault="00B21C88" w:rsidP="00B21C88">
            <w:pPr>
              <w:spacing w:after="0" w:line="240" w:lineRule="auto"/>
              <w:rPr>
                <w:sz w:val="12"/>
                <w:szCs w:val="12"/>
              </w:rPr>
            </w:pPr>
            <w:r w:rsidRPr="00B21C88">
              <w:rPr>
                <w:sz w:val="12"/>
                <w:szCs w:val="12"/>
              </w:rPr>
              <w:t>0 (0)</w:t>
            </w:r>
          </w:p>
        </w:tc>
        <w:tc>
          <w:tcPr>
            <w:tcW w:w="572" w:type="dxa"/>
          </w:tcPr>
          <w:p w:rsidR="00B21C88" w:rsidRPr="00B21C88" w:rsidRDefault="00B21C88" w:rsidP="00B21C88">
            <w:pPr>
              <w:spacing w:after="0" w:line="240" w:lineRule="auto"/>
              <w:rPr>
                <w:sz w:val="12"/>
                <w:szCs w:val="12"/>
              </w:rPr>
            </w:pPr>
            <w:r w:rsidRPr="00B21C88">
              <w:rPr>
                <w:sz w:val="12"/>
                <w:szCs w:val="12"/>
              </w:rPr>
              <w:t>1 (4)</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c>
          <w:tcPr>
            <w:tcW w:w="567" w:type="dxa"/>
          </w:tcPr>
          <w:p w:rsidR="00B21C88" w:rsidRPr="00B21C88" w:rsidRDefault="00B21C88" w:rsidP="00B21C88">
            <w:pPr>
              <w:spacing w:after="0" w:line="240" w:lineRule="auto"/>
              <w:rPr>
                <w:sz w:val="12"/>
                <w:szCs w:val="12"/>
              </w:rPr>
            </w:pPr>
            <w:r w:rsidRPr="00B21C88">
              <w:rPr>
                <w:sz w:val="12"/>
                <w:szCs w:val="12"/>
              </w:rPr>
              <w:t>0 (0)</w:t>
            </w:r>
          </w:p>
        </w:tc>
      </w:tr>
    </w:tbl>
    <w:p w:rsidR="00B21C88" w:rsidRDefault="00B21C88" w:rsidP="00B21C88">
      <w:r w:rsidRPr="00B21C88">
        <w:rPr>
          <w:sz w:val="16"/>
        </w:rPr>
        <w:t>N/A – not applicable as respective trials did not met the threshold to require an imaging outcome in accordance with OMERACT recommendations (Bellamy, 1997).</w:t>
      </w:r>
    </w:p>
    <w:sectPr w:rsidR="00B21C88" w:rsidSect="00B21C88">
      <w:footerReference w:type="even" r:id="rId9"/>
      <w:footerReference w:type="default" r:id="rId10"/>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D32" w:rsidRDefault="00811D32">
      <w:pPr>
        <w:spacing w:after="0" w:line="240" w:lineRule="auto"/>
      </w:pPr>
      <w:r>
        <w:separator/>
      </w:r>
    </w:p>
  </w:endnote>
  <w:endnote w:type="continuationSeparator" w:id="0">
    <w:p w:rsidR="00811D32" w:rsidRDefault="0081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09D" w:rsidRDefault="00CD11CA" w:rsidP="00A35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09D" w:rsidRDefault="00811D32" w:rsidP="00A63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09D" w:rsidRDefault="00CD11CA" w:rsidP="00A35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E9B">
      <w:rPr>
        <w:rStyle w:val="PageNumber"/>
        <w:noProof/>
      </w:rPr>
      <w:t>16</w:t>
    </w:r>
    <w:r>
      <w:rPr>
        <w:rStyle w:val="PageNumber"/>
      </w:rPr>
      <w:fldChar w:fldCharType="end"/>
    </w:r>
  </w:p>
  <w:p w:rsidR="0026009D" w:rsidRDefault="00811D32" w:rsidP="00A637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D32" w:rsidRDefault="00811D32">
      <w:pPr>
        <w:spacing w:after="0" w:line="240" w:lineRule="auto"/>
      </w:pPr>
      <w:r>
        <w:separator/>
      </w:r>
    </w:p>
  </w:footnote>
  <w:footnote w:type="continuationSeparator" w:id="0">
    <w:p w:rsidR="00811D32" w:rsidRDefault="00811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2641"/>
    <w:multiLevelType w:val="hybridMultilevel"/>
    <w:tmpl w:val="06EA8078"/>
    <w:lvl w:ilvl="0" w:tplc="295C130C">
      <w:start w:val="20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C3421"/>
    <w:multiLevelType w:val="hybridMultilevel"/>
    <w:tmpl w:val="DA14B1D2"/>
    <w:lvl w:ilvl="0" w:tplc="D10A17B4">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D2706"/>
    <w:multiLevelType w:val="hybridMultilevel"/>
    <w:tmpl w:val="EF400A52"/>
    <w:lvl w:ilvl="0" w:tplc="1F6CC5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04693"/>
    <w:multiLevelType w:val="hybridMultilevel"/>
    <w:tmpl w:val="743E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14047"/>
    <w:multiLevelType w:val="hybridMultilevel"/>
    <w:tmpl w:val="2F460468"/>
    <w:lvl w:ilvl="0" w:tplc="E88E34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330231"/>
    <w:multiLevelType w:val="hybridMultilevel"/>
    <w:tmpl w:val="6DE41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746D7E"/>
    <w:multiLevelType w:val="hybridMultilevel"/>
    <w:tmpl w:val="764A7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422613"/>
    <w:multiLevelType w:val="hybridMultilevel"/>
    <w:tmpl w:val="E352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314FB"/>
    <w:multiLevelType w:val="hybridMultilevel"/>
    <w:tmpl w:val="42AE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12"/>
    <w:rsid w:val="00262DE1"/>
    <w:rsid w:val="0031222A"/>
    <w:rsid w:val="00596FE8"/>
    <w:rsid w:val="00811D32"/>
    <w:rsid w:val="0097241E"/>
    <w:rsid w:val="009B7A98"/>
    <w:rsid w:val="00AF3B34"/>
    <w:rsid w:val="00B07848"/>
    <w:rsid w:val="00B21C88"/>
    <w:rsid w:val="00B30227"/>
    <w:rsid w:val="00B61915"/>
    <w:rsid w:val="00CA760B"/>
    <w:rsid w:val="00CD11CA"/>
    <w:rsid w:val="00CE6DAA"/>
    <w:rsid w:val="00D1475B"/>
    <w:rsid w:val="00D40712"/>
    <w:rsid w:val="00D8350B"/>
    <w:rsid w:val="00D9261F"/>
    <w:rsid w:val="00E7008A"/>
    <w:rsid w:val="00F73915"/>
    <w:rsid w:val="00FB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F3ADA-8854-D14F-A5E5-19E596F1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12"/>
    <w:pPr>
      <w:spacing w:after="160" w:line="259" w:lineRule="auto"/>
    </w:pPr>
    <w:rPr>
      <w:sz w:val="22"/>
      <w:szCs w:val="22"/>
    </w:rPr>
  </w:style>
  <w:style w:type="paragraph" w:styleId="Heading1">
    <w:name w:val="heading 1"/>
    <w:basedOn w:val="Normal"/>
    <w:link w:val="Heading1Char"/>
    <w:uiPriority w:val="9"/>
    <w:qFormat/>
    <w:rsid w:val="00B21C88"/>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712"/>
    <w:rPr>
      <w:sz w:val="22"/>
      <w:szCs w:val="22"/>
    </w:rPr>
  </w:style>
  <w:style w:type="character" w:styleId="Hyperlink">
    <w:name w:val="Hyperlink"/>
    <w:uiPriority w:val="99"/>
    <w:rsid w:val="00D40712"/>
    <w:rPr>
      <w:color w:val="0000FF"/>
      <w:u w:val="single"/>
    </w:rPr>
  </w:style>
  <w:style w:type="character" w:customStyle="1" w:styleId="authordegrees">
    <w:name w:val="authordegrees"/>
    <w:rsid w:val="00D40712"/>
    <w:rPr>
      <w:sz w:val="24"/>
      <w:szCs w:val="24"/>
      <w:bdr w:val="none" w:sz="0" w:space="0" w:color="auto" w:frame="1"/>
      <w:vertAlign w:val="baseline"/>
    </w:rPr>
  </w:style>
  <w:style w:type="character" w:customStyle="1" w:styleId="highlight2">
    <w:name w:val="highlight2"/>
    <w:rsid w:val="00D40712"/>
  </w:style>
  <w:style w:type="character" w:customStyle="1" w:styleId="jrnl">
    <w:name w:val="jrnl"/>
    <w:rsid w:val="00D40712"/>
  </w:style>
  <w:style w:type="paragraph" w:styleId="Footer">
    <w:name w:val="footer"/>
    <w:basedOn w:val="Normal"/>
    <w:link w:val="FooterChar"/>
    <w:uiPriority w:val="99"/>
    <w:unhideWhenUsed/>
    <w:rsid w:val="00D40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712"/>
    <w:rPr>
      <w:sz w:val="22"/>
      <w:szCs w:val="22"/>
    </w:rPr>
  </w:style>
  <w:style w:type="character" w:styleId="PageNumber">
    <w:name w:val="page number"/>
    <w:basedOn w:val="DefaultParagraphFont"/>
    <w:uiPriority w:val="99"/>
    <w:semiHidden/>
    <w:unhideWhenUsed/>
    <w:rsid w:val="00D40712"/>
  </w:style>
  <w:style w:type="paragraph" w:styleId="NormalWeb">
    <w:name w:val="Normal (Web)"/>
    <w:basedOn w:val="Normal"/>
    <w:uiPriority w:val="99"/>
    <w:semiHidden/>
    <w:unhideWhenUsed/>
    <w:rsid w:val="00B30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1C88"/>
    <w:pPr>
      <w:ind w:left="720"/>
      <w:contextualSpacing/>
    </w:pPr>
  </w:style>
  <w:style w:type="paragraph" w:styleId="BalloonText">
    <w:name w:val="Balloon Text"/>
    <w:basedOn w:val="Normal"/>
    <w:link w:val="BalloonTextChar"/>
    <w:uiPriority w:val="99"/>
    <w:semiHidden/>
    <w:unhideWhenUsed/>
    <w:rsid w:val="00B21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88"/>
    <w:rPr>
      <w:rFonts w:ascii="Segoe UI" w:hAnsi="Segoe UI" w:cs="Segoe UI"/>
      <w:sz w:val="18"/>
      <w:szCs w:val="18"/>
    </w:rPr>
  </w:style>
  <w:style w:type="character" w:customStyle="1" w:styleId="Heading1Char">
    <w:name w:val="Heading 1 Char"/>
    <w:basedOn w:val="DefaultParagraphFont"/>
    <w:link w:val="Heading1"/>
    <w:uiPriority w:val="9"/>
    <w:rsid w:val="00B21C88"/>
    <w:rPr>
      <w:rFonts w:ascii="Times New Roman" w:hAnsi="Times New Roman" w:cs="Times New Roman"/>
      <w:b/>
      <w:bCs/>
      <w:kern w:val="36"/>
      <w:sz w:val="48"/>
      <w:szCs w:val="48"/>
      <w:lang w:eastAsia="en-GB"/>
    </w:rPr>
  </w:style>
  <w:style w:type="table" w:styleId="TableGrid">
    <w:name w:val="Table Grid"/>
    <w:basedOn w:val="TableNormal"/>
    <w:uiPriority w:val="39"/>
    <w:rsid w:val="00B21C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21C88"/>
  </w:style>
  <w:style w:type="character" w:styleId="CommentReference">
    <w:name w:val="annotation reference"/>
    <w:basedOn w:val="DefaultParagraphFont"/>
    <w:uiPriority w:val="99"/>
    <w:semiHidden/>
    <w:unhideWhenUsed/>
    <w:rsid w:val="00B21C88"/>
    <w:rPr>
      <w:sz w:val="16"/>
      <w:szCs w:val="16"/>
    </w:rPr>
  </w:style>
  <w:style w:type="paragraph" w:styleId="CommentText">
    <w:name w:val="annotation text"/>
    <w:basedOn w:val="Normal"/>
    <w:link w:val="CommentTextChar"/>
    <w:uiPriority w:val="99"/>
    <w:unhideWhenUsed/>
    <w:rsid w:val="00B21C88"/>
    <w:pPr>
      <w:spacing w:line="240" w:lineRule="auto"/>
    </w:pPr>
    <w:rPr>
      <w:sz w:val="20"/>
      <w:szCs w:val="20"/>
    </w:rPr>
  </w:style>
  <w:style w:type="character" w:customStyle="1" w:styleId="CommentTextChar">
    <w:name w:val="Comment Text Char"/>
    <w:basedOn w:val="DefaultParagraphFont"/>
    <w:link w:val="CommentText"/>
    <w:uiPriority w:val="99"/>
    <w:rsid w:val="00B21C88"/>
    <w:rPr>
      <w:sz w:val="20"/>
      <w:szCs w:val="20"/>
    </w:rPr>
  </w:style>
  <w:style w:type="paragraph" w:styleId="CommentSubject">
    <w:name w:val="annotation subject"/>
    <w:basedOn w:val="CommentText"/>
    <w:next w:val="CommentText"/>
    <w:link w:val="CommentSubjectChar"/>
    <w:uiPriority w:val="99"/>
    <w:semiHidden/>
    <w:unhideWhenUsed/>
    <w:rsid w:val="00B21C88"/>
    <w:rPr>
      <w:b/>
      <w:bCs/>
    </w:rPr>
  </w:style>
  <w:style w:type="character" w:customStyle="1" w:styleId="CommentSubjectChar">
    <w:name w:val="Comment Subject Char"/>
    <w:basedOn w:val="CommentTextChar"/>
    <w:link w:val="CommentSubject"/>
    <w:uiPriority w:val="99"/>
    <w:semiHidden/>
    <w:rsid w:val="00B21C88"/>
    <w:rPr>
      <w:b/>
      <w:bCs/>
      <w:sz w:val="20"/>
      <w:szCs w:val="20"/>
    </w:rPr>
  </w:style>
  <w:style w:type="character" w:customStyle="1" w:styleId="apple-converted-space">
    <w:name w:val="apple-converted-space"/>
    <w:basedOn w:val="DefaultParagraphFont"/>
    <w:rsid w:val="00B21C88"/>
  </w:style>
  <w:style w:type="paragraph" w:styleId="Header">
    <w:name w:val="header"/>
    <w:basedOn w:val="Normal"/>
    <w:link w:val="HeaderChar"/>
    <w:uiPriority w:val="99"/>
    <w:unhideWhenUsed/>
    <w:rsid w:val="00B21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88"/>
    <w:rPr>
      <w:sz w:val="22"/>
      <w:szCs w:val="22"/>
    </w:rPr>
  </w:style>
  <w:style w:type="character" w:customStyle="1" w:styleId="highwire-citation-author4">
    <w:name w:val="highwire-citation-author4"/>
    <w:basedOn w:val="DefaultParagraphFont"/>
    <w:rsid w:val="00B21C88"/>
  </w:style>
  <w:style w:type="character" w:customStyle="1" w:styleId="nlm-surname">
    <w:name w:val="nlm-surname"/>
    <w:basedOn w:val="DefaultParagraphFont"/>
    <w:rsid w:val="00B21C88"/>
  </w:style>
  <w:style w:type="character" w:customStyle="1" w:styleId="highwire-cite-metadata-journal2">
    <w:name w:val="highwire-cite-metadata-journal2"/>
    <w:basedOn w:val="DefaultParagraphFont"/>
    <w:rsid w:val="00B21C88"/>
  </w:style>
  <w:style w:type="character" w:customStyle="1" w:styleId="highwire-cite-metadata-year">
    <w:name w:val="highwire-cite-metadata-year"/>
    <w:basedOn w:val="DefaultParagraphFont"/>
    <w:rsid w:val="00B21C88"/>
  </w:style>
  <w:style w:type="character" w:customStyle="1" w:styleId="highwire-cite-metadata-volume2">
    <w:name w:val="highwire-cite-metadata-volume2"/>
    <w:basedOn w:val="DefaultParagraphFont"/>
    <w:rsid w:val="00B21C88"/>
  </w:style>
  <w:style w:type="character" w:customStyle="1" w:styleId="highwire-cite-metadata-pages">
    <w:name w:val="highwire-cite-metadata-pages"/>
    <w:basedOn w:val="DefaultParagraphFont"/>
    <w:rsid w:val="00B21C88"/>
  </w:style>
  <w:style w:type="paragraph" w:styleId="Revision">
    <w:name w:val="Revision"/>
    <w:hidden/>
    <w:uiPriority w:val="99"/>
    <w:semiHidden/>
    <w:rsid w:val="00B21C88"/>
    <w:rPr>
      <w:sz w:val="22"/>
      <w:szCs w:val="22"/>
    </w:rPr>
  </w:style>
  <w:style w:type="character" w:styleId="FollowedHyperlink">
    <w:name w:val="FollowedHyperlink"/>
    <w:basedOn w:val="DefaultParagraphFont"/>
    <w:uiPriority w:val="99"/>
    <w:semiHidden/>
    <w:unhideWhenUsed/>
    <w:rsid w:val="00B21C88"/>
    <w:rPr>
      <w:color w:val="954F72" w:themeColor="followedHyperlink"/>
      <w:u w:val="single"/>
    </w:rPr>
  </w:style>
  <w:style w:type="character" w:customStyle="1" w:styleId="apple-style-span">
    <w:name w:val="apple-style-span"/>
    <w:basedOn w:val="DefaultParagraphFont"/>
    <w:rsid w:val="00FB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4478">
      <w:bodyDiv w:val="1"/>
      <w:marLeft w:val="0"/>
      <w:marRight w:val="0"/>
      <w:marTop w:val="0"/>
      <w:marBottom w:val="0"/>
      <w:divBdr>
        <w:top w:val="none" w:sz="0" w:space="0" w:color="auto"/>
        <w:left w:val="none" w:sz="0" w:space="0" w:color="auto"/>
        <w:bottom w:val="none" w:sz="0" w:space="0" w:color="auto"/>
        <w:right w:val="none" w:sz="0" w:space="0" w:color="auto"/>
      </w:divBdr>
    </w:div>
    <w:div w:id="11407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congahan@leed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Smith (HSC - Staff)</dc:creator>
  <cp:keywords/>
  <dc:description/>
  <cp:lastModifiedBy>Toby Smith</cp:lastModifiedBy>
  <cp:revision>2</cp:revision>
  <dcterms:created xsi:type="dcterms:W3CDTF">2019-10-25T13:21:00Z</dcterms:created>
  <dcterms:modified xsi:type="dcterms:W3CDTF">2019-10-25T13:21:00Z</dcterms:modified>
</cp:coreProperties>
</file>