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3786" w14:textId="23E0ED71" w:rsidR="001B0AE1" w:rsidRDefault="001E4C05" w:rsidP="00BD4B36">
      <w:pPr>
        <w:spacing w:line="480" w:lineRule="auto"/>
        <w:jc w:val="both"/>
        <w:rPr>
          <w:b/>
          <w:bCs/>
          <w:lang w:val="en-GB"/>
        </w:rPr>
      </w:pPr>
      <w:bookmarkStart w:id="0" w:name="_GoBack"/>
      <w:bookmarkEnd w:id="0"/>
      <w:r w:rsidRPr="00C94A15">
        <w:rPr>
          <w:b/>
          <w:bCs/>
          <w:lang w:val="en-GB"/>
        </w:rPr>
        <w:t>T</w:t>
      </w:r>
      <w:r w:rsidR="00C21C9A" w:rsidRPr="00C94A15">
        <w:rPr>
          <w:b/>
          <w:bCs/>
          <w:lang w:val="en-GB"/>
        </w:rPr>
        <w:t xml:space="preserve">he </w:t>
      </w:r>
      <w:r w:rsidR="007A373C" w:rsidRPr="00C94A15">
        <w:rPr>
          <w:b/>
          <w:bCs/>
          <w:lang w:val="en-GB"/>
        </w:rPr>
        <w:t xml:space="preserve">Characteristics </w:t>
      </w:r>
      <w:r w:rsidR="001B0AE1" w:rsidRPr="00C94A15">
        <w:rPr>
          <w:b/>
          <w:bCs/>
          <w:lang w:val="en-GB"/>
        </w:rPr>
        <w:t>o</w:t>
      </w:r>
      <w:r w:rsidR="00C25B5B" w:rsidRPr="00C94A15">
        <w:rPr>
          <w:b/>
          <w:bCs/>
          <w:lang w:val="en-GB"/>
        </w:rPr>
        <w:t>f</w:t>
      </w:r>
      <w:r w:rsidR="001B0AE1" w:rsidRPr="00C94A15">
        <w:rPr>
          <w:b/>
          <w:bCs/>
          <w:lang w:val="en-GB"/>
        </w:rPr>
        <w:t xml:space="preserve"> Intellectual Property Rights </w:t>
      </w:r>
      <w:r w:rsidR="007A373C" w:rsidRPr="00C94A15">
        <w:rPr>
          <w:b/>
          <w:bCs/>
          <w:lang w:val="en-GB"/>
        </w:rPr>
        <w:t>Regimes</w:t>
      </w:r>
      <w:r w:rsidRPr="00C94A15">
        <w:rPr>
          <w:b/>
          <w:bCs/>
          <w:lang w:val="en-GB"/>
        </w:rPr>
        <w:t xml:space="preserve">: How Formal and Informal Institutions Affect Outward FDI Location </w:t>
      </w:r>
    </w:p>
    <w:p w14:paraId="22F94170" w14:textId="16443932" w:rsidR="003F7C71" w:rsidRDefault="00BF071A" w:rsidP="00BD4B36">
      <w:pPr>
        <w:spacing w:line="480" w:lineRule="auto"/>
        <w:jc w:val="both"/>
        <w:rPr>
          <w:b/>
          <w:bCs/>
          <w:lang w:val="en-GB"/>
        </w:rPr>
      </w:pPr>
      <w:r w:rsidRPr="00BF071A">
        <w:rPr>
          <w:b/>
          <w:bCs/>
          <w:lang w:val="en-GB"/>
        </w:rPr>
        <w:t>Nikolaos Papageorgiadis,</w:t>
      </w:r>
      <w:r w:rsidR="003F7C71">
        <w:rPr>
          <w:b/>
          <w:bCs/>
          <w:lang w:val="en-GB"/>
        </w:rPr>
        <w:t xml:space="preserve"> </w:t>
      </w:r>
      <w:r w:rsidR="003F7C71" w:rsidRPr="00BF071A">
        <w:rPr>
          <w:b/>
          <w:bCs/>
          <w:lang w:val="en-GB"/>
        </w:rPr>
        <w:t>University of Liverpool &amp; Uppsala University, University of Liverpool Management School</w:t>
      </w:r>
    </w:p>
    <w:p w14:paraId="7385B265" w14:textId="3A2A3BDD" w:rsidR="003F7C71" w:rsidRDefault="00BF071A" w:rsidP="00BD4B36">
      <w:pPr>
        <w:spacing w:line="480" w:lineRule="auto"/>
        <w:jc w:val="both"/>
        <w:rPr>
          <w:b/>
          <w:bCs/>
          <w:lang w:val="en-GB"/>
        </w:rPr>
      </w:pPr>
      <w:r w:rsidRPr="00BF071A">
        <w:rPr>
          <w:b/>
          <w:bCs/>
          <w:lang w:val="en-GB"/>
        </w:rPr>
        <w:t xml:space="preserve">Frank McDonald, </w:t>
      </w:r>
      <w:r w:rsidR="00300D43" w:rsidRPr="00300D43">
        <w:rPr>
          <w:b/>
          <w:bCs/>
          <w:lang w:val="en-GB"/>
        </w:rPr>
        <w:t>CIBUL, Leeds University Business School</w:t>
      </w:r>
    </w:p>
    <w:p w14:paraId="2BA80429" w14:textId="32D039CB" w:rsidR="00300D43" w:rsidRDefault="00BF071A" w:rsidP="00BD4B36">
      <w:pPr>
        <w:spacing w:line="480" w:lineRule="auto"/>
        <w:jc w:val="both"/>
        <w:rPr>
          <w:b/>
          <w:bCs/>
          <w:lang w:val="en-GB"/>
        </w:rPr>
      </w:pPr>
      <w:r w:rsidRPr="00BF071A">
        <w:rPr>
          <w:b/>
          <w:bCs/>
          <w:lang w:val="en-GB"/>
        </w:rPr>
        <w:t>Chengang Wang</w:t>
      </w:r>
      <w:r w:rsidR="007E123E">
        <w:rPr>
          <w:b/>
          <w:bCs/>
          <w:lang w:val="en-GB"/>
        </w:rPr>
        <w:t>,</w:t>
      </w:r>
      <w:r w:rsidRPr="00BF071A">
        <w:rPr>
          <w:b/>
          <w:bCs/>
          <w:lang w:val="en-GB"/>
        </w:rPr>
        <w:t xml:space="preserve"> </w:t>
      </w:r>
      <w:r w:rsidR="007E123E" w:rsidRPr="007E123E">
        <w:rPr>
          <w:b/>
          <w:bCs/>
          <w:lang w:val="en-GB"/>
        </w:rPr>
        <w:t>University of Bradford School of Management</w:t>
      </w:r>
    </w:p>
    <w:p w14:paraId="23ED1A0A" w14:textId="16B7F179" w:rsidR="00492AB9" w:rsidRDefault="00BF071A" w:rsidP="00BD4B36">
      <w:pPr>
        <w:spacing w:line="480" w:lineRule="auto"/>
        <w:jc w:val="both"/>
        <w:rPr>
          <w:b/>
          <w:bCs/>
          <w:lang w:val="en-GB"/>
        </w:rPr>
      </w:pPr>
      <w:r w:rsidRPr="00BF071A">
        <w:rPr>
          <w:b/>
          <w:bCs/>
          <w:lang w:val="en-GB"/>
        </w:rPr>
        <w:t>Palitha Konar</w:t>
      </w:r>
      <w:r w:rsidR="00300D43">
        <w:rPr>
          <w:b/>
          <w:bCs/>
          <w:lang w:val="en-GB"/>
        </w:rPr>
        <w:t>a</w:t>
      </w:r>
      <w:r w:rsidR="00E156CD">
        <w:rPr>
          <w:b/>
          <w:bCs/>
          <w:lang w:val="en-GB"/>
        </w:rPr>
        <w:t xml:space="preserve">, </w:t>
      </w:r>
      <w:r w:rsidR="007E123E" w:rsidRPr="007E123E">
        <w:rPr>
          <w:b/>
          <w:bCs/>
          <w:lang w:val="en-GB"/>
        </w:rPr>
        <w:t>University of Sussex Business School</w:t>
      </w:r>
    </w:p>
    <w:p w14:paraId="29B7680E" w14:textId="62955554" w:rsidR="007E123E" w:rsidRPr="00C94A15" w:rsidRDefault="00EE34F6" w:rsidP="003A0E46">
      <w:pPr>
        <w:spacing w:line="480" w:lineRule="auto"/>
        <w:rPr>
          <w:b/>
          <w:bCs/>
          <w:lang w:val="en-GB"/>
        </w:rPr>
      </w:pPr>
      <w:r>
        <w:rPr>
          <w:b/>
          <w:bCs/>
          <w:lang w:val="en-GB"/>
        </w:rPr>
        <w:t xml:space="preserve">Accepted for publication in International Business Review, </w:t>
      </w:r>
      <w:r w:rsidR="003A0E46">
        <w:rPr>
          <w:b/>
          <w:bCs/>
          <w:lang w:val="en-GB"/>
        </w:rPr>
        <w:t xml:space="preserve">DOI </w:t>
      </w:r>
      <w:r w:rsidR="00202C8C" w:rsidRPr="00202C8C">
        <w:rPr>
          <w:b/>
          <w:bCs/>
          <w:lang w:val="en-GB"/>
        </w:rPr>
        <w:t>10.1016/j.ibusrev.2019.101620</w:t>
      </w:r>
    </w:p>
    <w:p w14:paraId="24DCE553" w14:textId="77777777" w:rsidR="00654949" w:rsidRPr="00C94A15" w:rsidRDefault="00C814D8" w:rsidP="00BD4B36">
      <w:pPr>
        <w:spacing w:line="480" w:lineRule="auto"/>
        <w:jc w:val="both"/>
        <w:rPr>
          <w:lang w:val="en-GB"/>
        </w:rPr>
      </w:pPr>
      <w:r w:rsidRPr="00C94A15">
        <w:rPr>
          <w:b/>
          <w:lang w:val="en-GB"/>
        </w:rPr>
        <w:t>Abstract</w:t>
      </w:r>
      <w:r w:rsidR="00650990" w:rsidRPr="00C94A15">
        <w:rPr>
          <w:lang w:val="en-GB"/>
        </w:rPr>
        <w:t xml:space="preserve"> </w:t>
      </w:r>
      <w:r w:rsidR="00B84335" w:rsidRPr="00C94A15">
        <w:rPr>
          <w:lang w:val="en-GB"/>
        </w:rPr>
        <w:t xml:space="preserve"> </w:t>
      </w:r>
    </w:p>
    <w:p w14:paraId="72032D77" w14:textId="409CC533" w:rsidR="00AF374E" w:rsidRDefault="004A6AF0" w:rsidP="00AF374E">
      <w:pPr>
        <w:spacing w:line="480" w:lineRule="auto"/>
        <w:jc w:val="both"/>
      </w:pPr>
      <w:r w:rsidRPr="00C94A15">
        <w:rPr>
          <w:lang w:val="en-GB"/>
        </w:rPr>
        <w:t xml:space="preserve">This study examines the institutional arrangements </w:t>
      </w:r>
      <w:r w:rsidR="008C2FFF" w:rsidRPr="00C94A15">
        <w:rPr>
          <w:lang w:val="en-GB"/>
        </w:rPr>
        <w:t xml:space="preserve">that </w:t>
      </w:r>
      <w:r w:rsidR="008F5C7F" w:rsidRPr="00C94A15">
        <w:rPr>
          <w:lang w:val="en-GB"/>
        </w:rPr>
        <w:t xml:space="preserve">define </w:t>
      </w:r>
      <w:r w:rsidR="00617C2F" w:rsidRPr="00C94A15">
        <w:rPr>
          <w:lang w:val="en-GB"/>
        </w:rPr>
        <w:t xml:space="preserve">the </w:t>
      </w:r>
      <w:r w:rsidR="00D66C3F" w:rsidRPr="00C94A15">
        <w:rPr>
          <w:lang w:val="en-GB"/>
        </w:rPr>
        <w:t xml:space="preserve">characteristics </w:t>
      </w:r>
      <w:r w:rsidR="00617C2F" w:rsidRPr="00C94A15">
        <w:rPr>
          <w:lang w:val="en-GB"/>
        </w:rPr>
        <w:t xml:space="preserve">of </w:t>
      </w:r>
      <w:r w:rsidR="00F131DB" w:rsidRPr="00C94A15">
        <w:rPr>
          <w:lang w:val="en-GB"/>
        </w:rPr>
        <w:t xml:space="preserve">national </w:t>
      </w:r>
      <w:r w:rsidR="00617C2F" w:rsidRPr="00C94A15">
        <w:rPr>
          <w:lang w:val="en-GB"/>
        </w:rPr>
        <w:t xml:space="preserve">legal systems </w:t>
      </w:r>
      <w:r w:rsidR="00EB6913" w:rsidRPr="00C94A15">
        <w:rPr>
          <w:lang w:val="en-GB"/>
        </w:rPr>
        <w:t xml:space="preserve">that </w:t>
      </w:r>
      <w:r w:rsidR="00EC5620">
        <w:rPr>
          <w:lang w:val="en-GB"/>
        </w:rPr>
        <w:t xml:space="preserve">are </w:t>
      </w:r>
      <w:r w:rsidR="00EB6913" w:rsidRPr="00C94A15">
        <w:rPr>
          <w:lang w:val="en-GB"/>
        </w:rPr>
        <w:t xml:space="preserve">used </w:t>
      </w:r>
      <w:r w:rsidRPr="00C94A15">
        <w:rPr>
          <w:lang w:val="en-GB"/>
        </w:rPr>
        <w:t>to protect intellectual property</w:t>
      </w:r>
      <w:r w:rsidR="008B0AB8" w:rsidRPr="00C94A15">
        <w:rPr>
          <w:lang w:val="en-GB"/>
        </w:rPr>
        <w:t xml:space="preserve"> (IP)</w:t>
      </w:r>
      <w:r w:rsidRPr="00C94A15">
        <w:rPr>
          <w:lang w:val="en-GB"/>
        </w:rPr>
        <w:t xml:space="preserve"> </w:t>
      </w:r>
      <w:r w:rsidR="00790A73" w:rsidRPr="00C94A15">
        <w:rPr>
          <w:lang w:val="en-GB"/>
        </w:rPr>
        <w:t xml:space="preserve">assets </w:t>
      </w:r>
      <w:r w:rsidRPr="00C94A15">
        <w:rPr>
          <w:lang w:val="en-GB"/>
        </w:rPr>
        <w:t xml:space="preserve">embedded in outward FDI. </w:t>
      </w:r>
      <w:r w:rsidR="00BF17C6">
        <w:rPr>
          <w:lang w:val="en-GB"/>
        </w:rPr>
        <w:t xml:space="preserve">The focus of the study is on how </w:t>
      </w:r>
      <w:r w:rsidR="004614E5">
        <w:rPr>
          <w:lang w:val="en-GB"/>
        </w:rPr>
        <w:t xml:space="preserve">the </w:t>
      </w:r>
      <w:r w:rsidR="00BF17C6">
        <w:rPr>
          <w:lang w:val="en-GB"/>
        </w:rPr>
        <w:t xml:space="preserve">institutional underpinnings of IPR regimes </w:t>
      </w:r>
      <w:r w:rsidR="00A400FE">
        <w:rPr>
          <w:lang w:val="en-GB"/>
        </w:rPr>
        <w:t>affect the costs and risk of using legal a</w:t>
      </w:r>
      <w:r w:rsidR="007A661A">
        <w:rPr>
          <w:lang w:val="en-GB"/>
        </w:rPr>
        <w:t>renas</w:t>
      </w:r>
      <w:r w:rsidR="00A400FE">
        <w:rPr>
          <w:lang w:val="en-GB"/>
        </w:rPr>
        <w:t xml:space="preserve"> to </w:t>
      </w:r>
      <w:r w:rsidR="004614E5">
        <w:rPr>
          <w:lang w:val="en-GB"/>
        </w:rPr>
        <w:t xml:space="preserve">enable effective use of IP assets. </w:t>
      </w:r>
      <w:r w:rsidR="00A400FE">
        <w:rPr>
          <w:lang w:val="en-GB"/>
        </w:rPr>
        <w:t xml:space="preserve"> </w:t>
      </w:r>
      <w:r w:rsidR="00747A08">
        <w:rPr>
          <w:lang w:val="en-GB"/>
        </w:rPr>
        <w:t>F</w:t>
      </w:r>
      <w:r w:rsidR="008B0AB8" w:rsidRPr="00C94A15">
        <w:rPr>
          <w:lang w:val="en-GB"/>
        </w:rPr>
        <w:t>ollow</w:t>
      </w:r>
      <w:r w:rsidR="00747A08">
        <w:rPr>
          <w:lang w:val="en-GB"/>
        </w:rPr>
        <w:t>ing</w:t>
      </w:r>
      <w:r w:rsidR="008B0AB8" w:rsidRPr="00C94A15">
        <w:rPr>
          <w:lang w:val="en-GB"/>
        </w:rPr>
        <w:t xml:space="preserve"> a</w:t>
      </w:r>
      <w:r w:rsidR="00213799">
        <w:rPr>
          <w:lang w:val="en-GB"/>
        </w:rPr>
        <w:t xml:space="preserve"> </w:t>
      </w:r>
      <w:r w:rsidRPr="00C94A15">
        <w:rPr>
          <w:lang w:val="en-GB"/>
        </w:rPr>
        <w:t>property rights approach</w:t>
      </w:r>
      <w:r w:rsidR="002E5983" w:rsidRPr="00C94A15">
        <w:rPr>
          <w:lang w:val="en-GB"/>
        </w:rPr>
        <w:t xml:space="preserve"> </w:t>
      </w:r>
      <w:r w:rsidR="0052703A">
        <w:rPr>
          <w:lang w:val="en-GB"/>
        </w:rPr>
        <w:t xml:space="preserve">it is </w:t>
      </w:r>
      <w:r w:rsidR="008B0AB8" w:rsidRPr="00C94A15">
        <w:rPr>
          <w:lang w:val="en-GB"/>
        </w:rPr>
        <w:t>postulate</w:t>
      </w:r>
      <w:r w:rsidR="0052703A">
        <w:rPr>
          <w:lang w:val="en-GB"/>
        </w:rPr>
        <w:t>d</w:t>
      </w:r>
      <w:r w:rsidR="00191349" w:rsidRPr="00C94A15">
        <w:rPr>
          <w:lang w:val="en-GB"/>
        </w:rPr>
        <w:t xml:space="preserve"> that</w:t>
      </w:r>
      <w:r w:rsidRPr="00C94A15">
        <w:rPr>
          <w:lang w:val="en-GB"/>
        </w:rPr>
        <w:t xml:space="preserve"> formal and informal institutional arrangements </w:t>
      </w:r>
      <w:r w:rsidR="007B0CEA" w:rsidRPr="00C94A15">
        <w:rPr>
          <w:lang w:val="en-GB"/>
        </w:rPr>
        <w:t xml:space="preserve">influence how </w:t>
      </w:r>
      <w:r w:rsidR="008B0AB8" w:rsidRPr="00C94A15">
        <w:rPr>
          <w:lang w:val="en-GB"/>
        </w:rPr>
        <w:t>IP</w:t>
      </w:r>
      <w:r w:rsidR="002B0873" w:rsidRPr="00C94A15">
        <w:rPr>
          <w:lang w:val="en-GB"/>
        </w:rPr>
        <w:t xml:space="preserve"> regimes</w:t>
      </w:r>
      <w:r w:rsidR="00414B06" w:rsidRPr="00C94A15">
        <w:rPr>
          <w:lang w:val="en-GB"/>
        </w:rPr>
        <w:t xml:space="preserve"> affect </w:t>
      </w:r>
      <w:r w:rsidR="00232767" w:rsidRPr="00C94A15">
        <w:rPr>
          <w:lang w:val="en-GB"/>
        </w:rPr>
        <w:t>the</w:t>
      </w:r>
      <w:r w:rsidR="00790A73" w:rsidRPr="00C94A15">
        <w:rPr>
          <w:lang w:val="en-GB"/>
        </w:rPr>
        <w:t xml:space="preserve"> </w:t>
      </w:r>
      <w:r w:rsidR="00C4535B" w:rsidRPr="00C94A15">
        <w:rPr>
          <w:lang w:val="en-GB"/>
        </w:rPr>
        <w:t xml:space="preserve">transaction </w:t>
      </w:r>
      <w:r w:rsidR="005E6B4F">
        <w:rPr>
          <w:lang w:val="en-GB"/>
        </w:rPr>
        <w:t xml:space="preserve">costs and risk </w:t>
      </w:r>
      <w:r w:rsidR="00790A73" w:rsidRPr="00C94A15">
        <w:rPr>
          <w:lang w:val="en-GB"/>
        </w:rPr>
        <w:t xml:space="preserve">associated with converting ownership rights </w:t>
      </w:r>
      <w:r w:rsidR="004E0645" w:rsidRPr="00C94A15">
        <w:rPr>
          <w:lang w:val="en-GB"/>
        </w:rPr>
        <w:t xml:space="preserve">over IP </w:t>
      </w:r>
      <w:r w:rsidR="00790A73" w:rsidRPr="00C94A15">
        <w:rPr>
          <w:lang w:val="en-GB"/>
        </w:rPr>
        <w:t>into economic right</w:t>
      </w:r>
      <w:r w:rsidR="00CB17C6">
        <w:rPr>
          <w:lang w:val="en-GB"/>
        </w:rPr>
        <w:t>s</w:t>
      </w:r>
      <w:r w:rsidR="00790A73" w:rsidRPr="00C94A15">
        <w:rPr>
          <w:lang w:val="en-GB"/>
        </w:rPr>
        <w:t xml:space="preserve">. </w:t>
      </w:r>
      <w:r w:rsidR="002C03FB" w:rsidRPr="002C03FB">
        <w:rPr>
          <w:lang w:val="en-GB"/>
        </w:rPr>
        <w:t>I</w:t>
      </w:r>
      <w:r w:rsidR="00A80000">
        <w:t>nformal institutions</w:t>
      </w:r>
      <w:r w:rsidR="00747A08">
        <w:t xml:space="preserve"> are considered</w:t>
      </w:r>
      <w:r w:rsidR="0052703A">
        <w:t xml:space="preserve"> </w:t>
      </w:r>
      <w:r w:rsidR="00C0548D">
        <w:t xml:space="preserve">to </w:t>
      </w:r>
      <w:r w:rsidR="00A80000">
        <w:t>affect the behavio</w:t>
      </w:r>
      <w:r w:rsidR="00991F8E">
        <w:t>u</w:t>
      </w:r>
      <w:r w:rsidR="00A80000">
        <w:t xml:space="preserve">r of agents involved in enforcing </w:t>
      </w:r>
      <w:r w:rsidR="00904520">
        <w:t xml:space="preserve">legal </w:t>
      </w:r>
      <w:r w:rsidR="00A80000">
        <w:t>rights</w:t>
      </w:r>
      <w:r w:rsidR="004739CC">
        <w:t xml:space="preserve">. This </w:t>
      </w:r>
      <w:r w:rsidR="000A5ED2">
        <w:t xml:space="preserve">behaviour </w:t>
      </w:r>
      <w:r w:rsidR="004739CC">
        <w:t>i</w:t>
      </w:r>
      <w:r w:rsidR="005255EA">
        <w:t xml:space="preserve">nfluences how IP law is implemented </w:t>
      </w:r>
      <w:r w:rsidR="00940B38">
        <w:t>in legal arenas and thereby</w:t>
      </w:r>
      <w:r w:rsidR="00940B38" w:rsidRPr="00940B38">
        <w:t xml:space="preserve"> </w:t>
      </w:r>
      <w:r w:rsidR="00940B38">
        <w:t xml:space="preserve">impacts on the </w:t>
      </w:r>
      <w:r w:rsidR="00904520">
        <w:t>efficacy of IPR regimes</w:t>
      </w:r>
      <w:r w:rsidR="00DC047B">
        <w:t xml:space="preserve"> to help secure economic rights </w:t>
      </w:r>
      <w:r w:rsidR="00C9667A">
        <w:t>from the use of IP assets</w:t>
      </w:r>
      <w:r w:rsidR="00A80000">
        <w:t xml:space="preserve">. </w:t>
      </w:r>
      <w:r w:rsidR="007D7D68">
        <w:t>Using</w:t>
      </w:r>
      <w:r w:rsidR="008B0AB8" w:rsidRPr="00C94A15">
        <w:rPr>
          <w:lang w:val="en-GB"/>
        </w:rPr>
        <w:t xml:space="preserve"> </w:t>
      </w:r>
      <w:r w:rsidR="00100F41" w:rsidRPr="00C94A15">
        <w:rPr>
          <w:lang w:val="en-GB"/>
        </w:rPr>
        <w:t>data on</w:t>
      </w:r>
      <w:r w:rsidR="00790A73" w:rsidRPr="00C94A15">
        <w:rPr>
          <w:lang w:val="en-GB"/>
        </w:rPr>
        <w:t xml:space="preserve"> outward FDI from the USA</w:t>
      </w:r>
      <w:r w:rsidR="008B0AB8" w:rsidRPr="00C94A15">
        <w:rPr>
          <w:lang w:val="en-GB"/>
        </w:rPr>
        <w:t xml:space="preserve"> to 42 host countries </w:t>
      </w:r>
      <w:r w:rsidR="002C03FB">
        <w:rPr>
          <w:lang w:val="en-GB"/>
        </w:rPr>
        <w:t xml:space="preserve">the results </w:t>
      </w:r>
      <w:r w:rsidR="00790A73" w:rsidRPr="00C94A15">
        <w:rPr>
          <w:lang w:val="en-GB"/>
        </w:rPr>
        <w:t xml:space="preserve">find </w:t>
      </w:r>
      <w:r w:rsidR="008B0AB8" w:rsidRPr="00C94A15">
        <w:rPr>
          <w:lang w:val="en-GB"/>
        </w:rPr>
        <w:t xml:space="preserve">that the strength of </w:t>
      </w:r>
      <w:r w:rsidR="00790A73" w:rsidRPr="00C94A15">
        <w:rPr>
          <w:lang w:val="en-GB"/>
        </w:rPr>
        <w:t>informal institutio</w:t>
      </w:r>
      <w:r w:rsidR="008B0AB8" w:rsidRPr="00C94A15">
        <w:rPr>
          <w:lang w:val="en-GB"/>
        </w:rPr>
        <w:t xml:space="preserve">ns connected to the enforcement of IP in a country </w:t>
      </w:r>
      <w:r w:rsidR="00AF374E">
        <w:t xml:space="preserve">directly affects outcomes and </w:t>
      </w:r>
      <w:r w:rsidR="008B0AB8" w:rsidRPr="00C94A15">
        <w:rPr>
          <w:lang w:val="en-GB"/>
        </w:rPr>
        <w:t>positively moderate</w:t>
      </w:r>
      <w:r w:rsidR="00787A4A" w:rsidRPr="00C94A15">
        <w:rPr>
          <w:lang w:val="en-GB"/>
        </w:rPr>
        <w:t>s</w:t>
      </w:r>
      <w:r w:rsidR="008B0AB8" w:rsidRPr="00C94A15">
        <w:rPr>
          <w:lang w:val="en-GB"/>
        </w:rPr>
        <w:t xml:space="preserve"> the effect of formal legal aspects of IP law on FDI flows. </w:t>
      </w:r>
      <w:r w:rsidR="00AF374E">
        <w:t>The results highlight the importance of informal institutional aspects connected to the behavio</w:t>
      </w:r>
      <w:r w:rsidR="003515EC">
        <w:t>u</w:t>
      </w:r>
      <w:r w:rsidR="00AF374E">
        <w:t>r of enforcement agents when using national legal systems to protect IP rights in cross-frontier transactions.</w:t>
      </w:r>
    </w:p>
    <w:p w14:paraId="49566C3B" w14:textId="67F66164" w:rsidR="004A6AF0" w:rsidRPr="00AF374E" w:rsidRDefault="004A6AF0" w:rsidP="00BD4B36">
      <w:pPr>
        <w:spacing w:line="480" w:lineRule="auto"/>
        <w:jc w:val="both"/>
      </w:pPr>
    </w:p>
    <w:p w14:paraId="1382ED6D" w14:textId="77777777" w:rsidR="00EB241D" w:rsidRPr="00C94A15" w:rsidRDefault="00EB241D" w:rsidP="00BD4B36">
      <w:pPr>
        <w:spacing w:line="480" w:lineRule="auto"/>
        <w:jc w:val="both"/>
        <w:rPr>
          <w:rFonts w:eastAsia="Calibri"/>
          <w:bdr w:val="none" w:sz="0" w:space="0" w:color="auto"/>
          <w:lang w:val="en-GB"/>
        </w:rPr>
      </w:pPr>
    </w:p>
    <w:p w14:paraId="20DB27D8" w14:textId="77777777" w:rsidR="00377D83" w:rsidRPr="00C94A15" w:rsidRDefault="00377D83" w:rsidP="00BD4B36">
      <w:pPr>
        <w:spacing w:line="480" w:lineRule="auto"/>
        <w:jc w:val="both"/>
        <w:rPr>
          <w:b/>
          <w:lang w:val="en-GB"/>
        </w:rPr>
      </w:pPr>
      <w:r w:rsidRPr="00C94A15">
        <w:rPr>
          <w:b/>
          <w:lang w:val="en-GB"/>
        </w:rPr>
        <w:t xml:space="preserve">Keywords: </w:t>
      </w:r>
    </w:p>
    <w:p w14:paraId="12945A9F" w14:textId="77777777" w:rsidR="006E5405" w:rsidRPr="00C94A15" w:rsidRDefault="00A03AE4" w:rsidP="00BD4B36">
      <w:pPr>
        <w:spacing w:line="480" w:lineRule="auto"/>
        <w:rPr>
          <w:rFonts w:eastAsia="Calibri"/>
          <w:bdr w:val="none" w:sz="0" w:space="0" w:color="auto"/>
          <w:lang w:val="en-GB"/>
        </w:rPr>
        <w:sectPr w:rsidR="006E5405" w:rsidRPr="00C94A15" w:rsidSect="006E540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418" w:bottom="1418" w:left="1418" w:header="709" w:footer="1134" w:gutter="0"/>
          <w:pgNumType w:start="1"/>
          <w:cols w:space="708"/>
          <w:titlePg/>
          <w:docGrid w:linePitch="360"/>
        </w:sectPr>
      </w:pPr>
      <w:r w:rsidRPr="00C94A15">
        <w:rPr>
          <w:rFonts w:eastAsia="Calibri"/>
          <w:bdr w:val="none" w:sz="0" w:space="0" w:color="auto"/>
          <w:lang w:val="en-GB"/>
        </w:rPr>
        <w:t xml:space="preserve">Economic </w:t>
      </w:r>
      <w:r w:rsidR="00895086" w:rsidRPr="00C94A15">
        <w:rPr>
          <w:rFonts w:eastAsia="Calibri"/>
          <w:bdr w:val="none" w:sz="0" w:space="0" w:color="auto"/>
          <w:lang w:val="en-GB"/>
        </w:rPr>
        <w:t>R</w:t>
      </w:r>
      <w:r w:rsidRPr="00C94A15">
        <w:rPr>
          <w:rFonts w:eastAsia="Calibri"/>
          <w:bdr w:val="none" w:sz="0" w:space="0" w:color="auto"/>
          <w:lang w:val="en-GB"/>
        </w:rPr>
        <w:t>ights,</w:t>
      </w:r>
      <w:r w:rsidR="00895086" w:rsidRPr="00C94A15">
        <w:rPr>
          <w:rFonts w:eastAsia="Calibri"/>
          <w:bdr w:val="none" w:sz="0" w:space="0" w:color="auto"/>
          <w:lang w:val="en-GB"/>
        </w:rPr>
        <w:t xml:space="preserve"> </w:t>
      </w:r>
      <w:r w:rsidR="00F65E3B" w:rsidRPr="00C94A15">
        <w:rPr>
          <w:rFonts w:eastAsia="Calibri"/>
          <w:bdr w:val="none" w:sz="0" w:space="0" w:color="auto"/>
          <w:lang w:val="en-GB"/>
        </w:rPr>
        <w:t>Intellectual P</w:t>
      </w:r>
      <w:r w:rsidR="00377D83" w:rsidRPr="00C94A15">
        <w:rPr>
          <w:rFonts w:eastAsia="Calibri"/>
          <w:bdr w:val="none" w:sz="0" w:space="0" w:color="auto"/>
          <w:lang w:val="en-GB"/>
        </w:rPr>
        <w:t>roperty,</w:t>
      </w:r>
      <w:r w:rsidR="00895086" w:rsidRPr="00C94A15">
        <w:rPr>
          <w:rFonts w:eastAsia="Calibri"/>
          <w:bdr w:val="none" w:sz="0" w:space="0" w:color="auto"/>
          <w:lang w:val="en-GB"/>
        </w:rPr>
        <w:t xml:space="preserve"> Formal &amp; Informal Institutions</w:t>
      </w:r>
      <w:r w:rsidR="009263C5" w:rsidRPr="00C94A15">
        <w:rPr>
          <w:rFonts w:eastAsia="Calibri"/>
          <w:bdr w:val="none" w:sz="0" w:space="0" w:color="auto"/>
          <w:lang w:val="en-GB"/>
        </w:rPr>
        <w:t>, Legal</w:t>
      </w:r>
      <w:r w:rsidR="004A6AF0" w:rsidRPr="00C94A15">
        <w:rPr>
          <w:rFonts w:eastAsia="Calibri"/>
          <w:bdr w:val="none" w:sz="0" w:space="0" w:color="auto"/>
          <w:lang w:val="en-GB"/>
        </w:rPr>
        <w:t xml:space="preserve"> Arrangements</w:t>
      </w:r>
      <w:r w:rsidR="009263C5" w:rsidRPr="00C94A15">
        <w:rPr>
          <w:rFonts w:eastAsia="Calibri"/>
          <w:bdr w:val="none" w:sz="0" w:space="0" w:color="auto"/>
          <w:lang w:val="en-GB"/>
        </w:rPr>
        <w:t>, FDI</w:t>
      </w:r>
      <w:r w:rsidR="00377D83" w:rsidRPr="00C94A15">
        <w:rPr>
          <w:rFonts w:eastAsia="Calibri"/>
          <w:bdr w:val="none" w:sz="0" w:space="0" w:color="auto"/>
          <w:lang w:val="en-GB"/>
        </w:rPr>
        <w:t xml:space="preserve"> </w:t>
      </w:r>
      <w:r w:rsidR="00CB18BE" w:rsidRPr="00C94A15">
        <w:rPr>
          <w:rFonts w:eastAsia="Calibri"/>
          <w:bdr w:val="none" w:sz="0" w:space="0" w:color="auto"/>
          <w:lang w:val="en-GB"/>
        </w:rPr>
        <w:br w:type="page"/>
      </w:r>
    </w:p>
    <w:p w14:paraId="60652E5F" w14:textId="1D0C7431" w:rsidR="001E4C05" w:rsidRPr="00C94A15" w:rsidRDefault="001E4C05" w:rsidP="001E4C05">
      <w:pPr>
        <w:spacing w:line="480" w:lineRule="auto"/>
        <w:jc w:val="both"/>
        <w:rPr>
          <w:b/>
          <w:bCs/>
          <w:lang w:val="en-GB"/>
        </w:rPr>
      </w:pPr>
      <w:r w:rsidRPr="00C94A15">
        <w:rPr>
          <w:b/>
          <w:bCs/>
          <w:lang w:val="en-GB"/>
        </w:rPr>
        <w:lastRenderedPageBreak/>
        <w:t xml:space="preserve">The </w:t>
      </w:r>
      <w:r w:rsidR="00E465AB" w:rsidRPr="00C94A15">
        <w:rPr>
          <w:b/>
          <w:bCs/>
          <w:lang w:val="en-GB"/>
        </w:rPr>
        <w:t xml:space="preserve">Characteristics </w:t>
      </w:r>
      <w:r w:rsidRPr="00C94A15">
        <w:rPr>
          <w:b/>
          <w:bCs/>
          <w:lang w:val="en-GB"/>
        </w:rPr>
        <w:t xml:space="preserve">of Intellectual Property Rights </w:t>
      </w:r>
      <w:r w:rsidR="007A373C" w:rsidRPr="00C94A15">
        <w:rPr>
          <w:b/>
          <w:bCs/>
          <w:lang w:val="en-GB"/>
        </w:rPr>
        <w:t>Regimes</w:t>
      </w:r>
      <w:r w:rsidRPr="00C94A15">
        <w:rPr>
          <w:b/>
          <w:bCs/>
          <w:lang w:val="en-GB"/>
        </w:rPr>
        <w:t xml:space="preserve">: How Formal and Informal Institutions Affect Outward FDI Location </w:t>
      </w:r>
    </w:p>
    <w:p w14:paraId="24B0DD96" w14:textId="77777777" w:rsidR="0047305F" w:rsidRPr="00C94A15" w:rsidRDefault="00377D83"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b/>
          <w:lang w:val="en-GB"/>
        </w:rPr>
      </w:pPr>
      <w:r w:rsidRPr="00C94A15">
        <w:rPr>
          <w:rFonts w:eastAsia="Calibri"/>
          <w:b/>
          <w:bdr w:val="none" w:sz="0" w:space="0" w:color="auto"/>
          <w:lang w:val="en-GB"/>
        </w:rPr>
        <w:t xml:space="preserve">1. </w:t>
      </w:r>
      <w:r w:rsidRPr="00C94A15">
        <w:rPr>
          <w:rFonts w:eastAsia="Calibri"/>
          <w:b/>
          <w:bdr w:val="none" w:sz="0" w:space="0" w:color="auto"/>
          <w:lang w:val="en-GB"/>
        </w:rPr>
        <w:tab/>
      </w:r>
      <w:r w:rsidR="00202A8B" w:rsidRPr="00C94A15">
        <w:rPr>
          <w:rFonts w:eastAsia="Calibri"/>
          <w:b/>
          <w:bdr w:val="none" w:sz="0" w:space="0" w:color="auto"/>
          <w:lang w:val="en-GB"/>
        </w:rPr>
        <w:t>Introduction</w:t>
      </w:r>
    </w:p>
    <w:p w14:paraId="2D25EF26" w14:textId="1DFE782A" w:rsidR="00C55B64" w:rsidRDefault="0037554F" w:rsidP="006462DC">
      <w:pPr>
        <w:spacing w:line="480" w:lineRule="auto"/>
        <w:jc w:val="both"/>
        <w:rPr>
          <w:lang w:val="en-GB"/>
        </w:rPr>
      </w:pPr>
      <w:r w:rsidRPr="00C94A15">
        <w:rPr>
          <w:lang w:val="en-GB"/>
        </w:rPr>
        <w:t xml:space="preserve">Most of the </w:t>
      </w:r>
      <w:r w:rsidR="00890F0A" w:rsidRPr="00C94A15">
        <w:rPr>
          <w:lang w:val="en-GB"/>
        </w:rPr>
        <w:t xml:space="preserve">literature </w:t>
      </w:r>
      <w:r w:rsidR="00E9169C" w:rsidRPr="00C94A15">
        <w:rPr>
          <w:lang w:val="en-GB"/>
        </w:rPr>
        <w:t xml:space="preserve">that examines how </w:t>
      </w:r>
      <w:r w:rsidR="00890F0A" w:rsidRPr="00C94A15">
        <w:rPr>
          <w:lang w:val="en-GB"/>
        </w:rPr>
        <w:t xml:space="preserve">intellectual property rights (IPR) </w:t>
      </w:r>
      <w:r w:rsidR="00C9036F" w:rsidRPr="00C94A15">
        <w:rPr>
          <w:lang w:val="en-GB"/>
        </w:rPr>
        <w:t xml:space="preserve">regimes </w:t>
      </w:r>
      <w:r w:rsidR="00890F0A" w:rsidRPr="00C94A15">
        <w:rPr>
          <w:lang w:val="en-GB"/>
        </w:rPr>
        <w:t>affect foreign direct investment (FDI) focus</w:t>
      </w:r>
      <w:r w:rsidR="00E9169C" w:rsidRPr="00C94A15">
        <w:rPr>
          <w:lang w:val="en-GB"/>
        </w:rPr>
        <w:t>es</w:t>
      </w:r>
      <w:r w:rsidRPr="00C94A15">
        <w:rPr>
          <w:lang w:val="en-GB"/>
        </w:rPr>
        <w:t xml:space="preserve"> on the </w:t>
      </w:r>
      <w:r w:rsidR="00890F0A" w:rsidRPr="00C94A15">
        <w:rPr>
          <w:lang w:val="en-GB"/>
        </w:rPr>
        <w:t xml:space="preserve">influence of </w:t>
      </w:r>
      <w:r w:rsidR="00E9169C" w:rsidRPr="00C94A15">
        <w:rPr>
          <w:lang w:val="en-GB"/>
        </w:rPr>
        <w:t xml:space="preserve">intellectual property (IP) law </w:t>
      </w:r>
      <w:r w:rsidR="00890F0A" w:rsidRPr="00C94A15">
        <w:rPr>
          <w:lang w:val="en-GB"/>
        </w:rPr>
        <w:t xml:space="preserve">on </w:t>
      </w:r>
      <w:r w:rsidR="00E9169C" w:rsidRPr="00C94A15">
        <w:rPr>
          <w:lang w:val="en-GB"/>
        </w:rPr>
        <w:t xml:space="preserve">such investments </w:t>
      </w:r>
      <w:r w:rsidRPr="00C94A15">
        <w:rPr>
          <w:lang w:val="en-GB"/>
        </w:rPr>
        <w:t>(Branstetter et al., 2007; Khoury &amp; Peng, 2011; Nunnenkamp &amp; Spatz, 2004; Smarzynska-Javorcik, 2004). This literature</w:t>
      </w:r>
      <w:r w:rsidR="008C1E9C" w:rsidRPr="00C94A15">
        <w:rPr>
          <w:lang w:val="en-GB"/>
        </w:rPr>
        <w:t>,</w:t>
      </w:r>
      <w:r w:rsidRPr="00C94A15">
        <w:rPr>
          <w:lang w:val="en-GB"/>
        </w:rPr>
        <w:t xml:space="preserve"> </w:t>
      </w:r>
      <w:r w:rsidR="00C54D56" w:rsidRPr="00C94A15">
        <w:rPr>
          <w:lang w:val="en-GB"/>
        </w:rPr>
        <w:t>either explicitly or implicitly</w:t>
      </w:r>
      <w:r w:rsidR="008C1E9C" w:rsidRPr="00C94A15">
        <w:rPr>
          <w:lang w:val="en-GB"/>
        </w:rPr>
        <w:t>,</w:t>
      </w:r>
      <w:r w:rsidR="00C54D56" w:rsidRPr="00C94A15">
        <w:rPr>
          <w:lang w:val="en-GB"/>
        </w:rPr>
        <w:t xml:space="preserve"> </w:t>
      </w:r>
      <w:r w:rsidRPr="00C94A15">
        <w:rPr>
          <w:lang w:val="en-GB"/>
        </w:rPr>
        <w:t xml:space="preserve">postulates that comprehensive and </w:t>
      </w:r>
      <w:r w:rsidR="008A113D" w:rsidRPr="00C94A15">
        <w:rPr>
          <w:lang w:val="en-GB"/>
        </w:rPr>
        <w:t xml:space="preserve">well-specified </w:t>
      </w:r>
      <w:r w:rsidRPr="00C94A15">
        <w:rPr>
          <w:lang w:val="en-GB"/>
        </w:rPr>
        <w:t>IP</w:t>
      </w:r>
      <w:r w:rsidR="008732CE" w:rsidRPr="00C94A15">
        <w:rPr>
          <w:lang w:val="en-GB"/>
        </w:rPr>
        <w:t xml:space="preserve"> law</w:t>
      </w:r>
      <w:r w:rsidRPr="00C94A15">
        <w:rPr>
          <w:lang w:val="en-GB"/>
        </w:rPr>
        <w:t xml:space="preserve"> </w:t>
      </w:r>
      <w:r w:rsidR="008A113D" w:rsidRPr="00C94A15">
        <w:rPr>
          <w:lang w:val="en-GB"/>
        </w:rPr>
        <w:t xml:space="preserve">facilitates </w:t>
      </w:r>
      <w:r w:rsidR="008732CE" w:rsidRPr="00C94A15">
        <w:rPr>
          <w:lang w:val="en-GB"/>
        </w:rPr>
        <w:t>outward FDI</w:t>
      </w:r>
      <w:r w:rsidRPr="00C94A15">
        <w:rPr>
          <w:lang w:val="en-GB"/>
        </w:rPr>
        <w:t xml:space="preserve">. This expectation </w:t>
      </w:r>
      <w:r w:rsidR="008A113D" w:rsidRPr="00C94A15">
        <w:rPr>
          <w:lang w:val="en-GB"/>
        </w:rPr>
        <w:t>stems</w:t>
      </w:r>
      <w:r w:rsidRPr="00C94A15">
        <w:rPr>
          <w:lang w:val="en-GB"/>
        </w:rPr>
        <w:t xml:space="preserve"> from</w:t>
      </w:r>
      <w:r w:rsidR="00300E92">
        <w:rPr>
          <w:lang w:val="en-GB"/>
        </w:rPr>
        <w:t xml:space="preserve"> the economics of </w:t>
      </w:r>
      <w:r w:rsidR="008A113D" w:rsidRPr="00C94A15">
        <w:rPr>
          <w:lang w:val="en-GB"/>
        </w:rPr>
        <w:t xml:space="preserve">property rights </w:t>
      </w:r>
      <w:r w:rsidR="00BA7E99" w:rsidRPr="00C94A15">
        <w:rPr>
          <w:lang w:val="en-GB"/>
        </w:rPr>
        <w:t>approach that highlight</w:t>
      </w:r>
      <w:r w:rsidR="00FF1E1F">
        <w:rPr>
          <w:lang w:val="en-GB"/>
        </w:rPr>
        <w:t>s</w:t>
      </w:r>
      <w:r w:rsidR="00BA7E99" w:rsidRPr="00C94A15">
        <w:rPr>
          <w:lang w:val="en-GB"/>
        </w:rPr>
        <w:t xml:space="preserve"> </w:t>
      </w:r>
      <w:r w:rsidR="002530A6">
        <w:rPr>
          <w:lang w:val="en-GB"/>
        </w:rPr>
        <w:t xml:space="preserve">how </w:t>
      </w:r>
      <w:r w:rsidR="00195DD7" w:rsidRPr="00C94A15">
        <w:rPr>
          <w:lang w:val="en-GB"/>
        </w:rPr>
        <w:t>clear and legally binding</w:t>
      </w:r>
      <w:r w:rsidR="000D763B" w:rsidRPr="00C94A15">
        <w:rPr>
          <w:lang w:val="en-GB"/>
        </w:rPr>
        <w:t xml:space="preserve"> </w:t>
      </w:r>
      <w:r w:rsidR="002530A6">
        <w:rPr>
          <w:lang w:val="en-GB"/>
        </w:rPr>
        <w:t xml:space="preserve">property </w:t>
      </w:r>
      <w:r w:rsidR="000D763B" w:rsidRPr="00C94A15">
        <w:rPr>
          <w:lang w:val="en-GB"/>
        </w:rPr>
        <w:t xml:space="preserve">rights </w:t>
      </w:r>
      <w:r w:rsidR="002530A6">
        <w:rPr>
          <w:lang w:val="en-GB"/>
        </w:rPr>
        <w:t xml:space="preserve">are necessary for </w:t>
      </w:r>
      <w:r w:rsidR="00F37835">
        <w:rPr>
          <w:lang w:val="en-GB"/>
        </w:rPr>
        <w:t xml:space="preserve">efficient </w:t>
      </w:r>
      <w:r w:rsidR="0051648A" w:rsidRPr="00C94A15">
        <w:rPr>
          <w:lang w:val="en-GB"/>
        </w:rPr>
        <w:t xml:space="preserve">economic </w:t>
      </w:r>
      <w:r w:rsidR="004C3446" w:rsidRPr="00C94A15">
        <w:rPr>
          <w:lang w:val="en-GB"/>
        </w:rPr>
        <w:t>transactions</w:t>
      </w:r>
      <w:r w:rsidR="00F37835">
        <w:rPr>
          <w:lang w:val="en-GB"/>
        </w:rPr>
        <w:t xml:space="preserve"> </w:t>
      </w:r>
      <w:r w:rsidRPr="00C94A15">
        <w:rPr>
          <w:lang w:val="en-GB"/>
        </w:rPr>
        <w:t xml:space="preserve">(Hart &amp; Moore, 1990; Grossman &amp; Hart, 1986; Williamson, 1992). This </w:t>
      </w:r>
      <w:r w:rsidR="004D3001" w:rsidRPr="00C94A15">
        <w:rPr>
          <w:lang w:val="en-GB"/>
        </w:rPr>
        <w:t>approach</w:t>
      </w:r>
      <w:r w:rsidR="00FF7FA0" w:rsidRPr="00C94A15">
        <w:rPr>
          <w:lang w:val="en-GB"/>
        </w:rPr>
        <w:t xml:space="preserve"> </w:t>
      </w:r>
      <w:r w:rsidR="00C658EE">
        <w:rPr>
          <w:lang w:val="en-GB"/>
        </w:rPr>
        <w:t>postulates</w:t>
      </w:r>
      <w:r w:rsidR="007E2736" w:rsidRPr="00C94A15" w:rsidDel="007E2736">
        <w:rPr>
          <w:lang w:val="en-GB"/>
        </w:rPr>
        <w:t xml:space="preserve"> </w:t>
      </w:r>
      <w:r w:rsidR="007A373C" w:rsidRPr="00C94A15">
        <w:rPr>
          <w:lang w:val="en-GB"/>
        </w:rPr>
        <w:t xml:space="preserve">that </w:t>
      </w:r>
      <w:r w:rsidR="00BD36F7" w:rsidRPr="00C94A15">
        <w:rPr>
          <w:lang w:val="en-GB"/>
        </w:rPr>
        <w:t xml:space="preserve">low transaction </w:t>
      </w:r>
      <w:r w:rsidR="005E6B4F">
        <w:rPr>
          <w:lang w:val="en-GB"/>
        </w:rPr>
        <w:t xml:space="preserve">costs and risk </w:t>
      </w:r>
      <w:r w:rsidR="00C9036F" w:rsidRPr="001D77AF">
        <w:rPr>
          <w:lang w:val="en-GB"/>
        </w:rPr>
        <w:t xml:space="preserve">should prevail </w:t>
      </w:r>
      <w:r w:rsidR="005C4B6D" w:rsidRPr="001D77AF">
        <w:rPr>
          <w:lang w:val="en-GB"/>
        </w:rPr>
        <w:t xml:space="preserve">when </w:t>
      </w:r>
      <w:r w:rsidR="007A373C" w:rsidRPr="001D77AF">
        <w:rPr>
          <w:lang w:val="en-GB"/>
        </w:rPr>
        <w:t>extract</w:t>
      </w:r>
      <w:r w:rsidR="00BD36F7" w:rsidRPr="001D77AF">
        <w:rPr>
          <w:lang w:val="en-GB"/>
        </w:rPr>
        <w:t>ing</w:t>
      </w:r>
      <w:r w:rsidR="007A373C" w:rsidRPr="001D77AF">
        <w:rPr>
          <w:lang w:val="en-GB"/>
        </w:rPr>
        <w:t xml:space="preserve"> economic value (economic rights)</w:t>
      </w:r>
      <w:r w:rsidR="008732CE" w:rsidRPr="001D77AF">
        <w:rPr>
          <w:lang w:val="en-GB"/>
        </w:rPr>
        <w:t xml:space="preserve"> from assets</w:t>
      </w:r>
      <w:r w:rsidR="009C2F11">
        <w:rPr>
          <w:lang w:val="en-GB"/>
        </w:rPr>
        <w:t xml:space="preserve"> </w:t>
      </w:r>
      <w:r w:rsidR="00C658EE">
        <w:rPr>
          <w:lang w:val="en-GB"/>
        </w:rPr>
        <w:t xml:space="preserve">when </w:t>
      </w:r>
      <w:r w:rsidR="008732CE" w:rsidRPr="001D77AF">
        <w:rPr>
          <w:lang w:val="en-GB"/>
        </w:rPr>
        <w:t xml:space="preserve">property rights </w:t>
      </w:r>
      <w:r w:rsidR="00961EF0" w:rsidRPr="001D77AF">
        <w:rPr>
          <w:lang w:val="en-GB"/>
        </w:rPr>
        <w:t>law is</w:t>
      </w:r>
      <w:r w:rsidR="007A373C" w:rsidRPr="001D77AF">
        <w:rPr>
          <w:lang w:val="en-GB"/>
        </w:rPr>
        <w:t xml:space="preserve"> </w:t>
      </w:r>
      <w:r w:rsidR="009C28BA" w:rsidRPr="001D77AF">
        <w:rPr>
          <w:lang w:val="en-GB"/>
        </w:rPr>
        <w:t>well specified</w:t>
      </w:r>
      <w:r w:rsidR="00961EF0" w:rsidRPr="001D77AF">
        <w:rPr>
          <w:lang w:val="en-GB"/>
        </w:rPr>
        <w:t>, comprehensive</w:t>
      </w:r>
      <w:r w:rsidR="00A66021" w:rsidRPr="001D77AF">
        <w:rPr>
          <w:lang w:val="en-GB"/>
        </w:rPr>
        <w:t>,</w:t>
      </w:r>
      <w:r w:rsidR="00814B54" w:rsidRPr="001D77AF">
        <w:rPr>
          <w:lang w:val="en-GB"/>
        </w:rPr>
        <w:t xml:space="preserve"> and</w:t>
      </w:r>
      <w:r w:rsidR="00A66021" w:rsidRPr="001D77AF">
        <w:rPr>
          <w:lang w:val="en-GB"/>
        </w:rPr>
        <w:t xml:space="preserve"> </w:t>
      </w:r>
      <w:r w:rsidR="00961EF0" w:rsidRPr="001D77AF">
        <w:rPr>
          <w:lang w:val="en-GB"/>
        </w:rPr>
        <w:t>coherent</w:t>
      </w:r>
      <w:r w:rsidR="007A373C" w:rsidRPr="001D77AF">
        <w:rPr>
          <w:lang w:val="en-GB"/>
        </w:rPr>
        <w:t xml:space="preserve"> and </w:t>
      </w:r>
      <w:r w:rsidR="008732CE" w:rsidRPr="001D77AF">
        <w:rPr>
          <w:lang w:val="en-GB"/>
        </w:rPr>
        <w:t xml:space="preserve">can be effectively </w:t>
      </w:r>
      <w:r w:rsidR="00BE5A88">
        <w:rPr>
          <w:lang w:val="en-GB"/>
        </w:rPr>
        <w:t xml:space="preserve">enforced </w:t>
      </w:r>
      <w:r w:rsidR="008732CE" w:rsidRPr="001D77AF">
        <w:rPr>
          <w:lang w:val="en-GB"/>
        </w:rPr>
        <w:t>(Barzel, 1997</w:t>
      </w:r>
      <w:r w:rsidR="005C4B6D" w:rsidRPr="001D77AF">
        <w:rPr>
          <w:lang w:val="en-GB"/>
        </w:rPr>
        <w:t>)</w:t>
      </w:r>
      <w:r w:rsidR="008A113D" w:rsidRPr="001D77AF">
        <w:rPr>
          <w:lang w:val="en-GB"/>
        </w:rPr>
        <w:t>.</w:t>
      </w:r>
      <w:r w:rsidR="00E97406" w:rsidRPr="001D77AF">
        <w:rPr>
          <w:lang w:val="en-GB"/>
        </w:rPr>
        <w:t xml:space="preserve"> </w:t>
      </w:r>
      <w:r w:rsidR="00F55E7A" w:rsidRPr="001D77AF">
        <w:rPr>
          <w:lang w:val="en-GB"/>
        </w:rPr>
        <w:t>The p</w:t>
      </w:r>
      <w:r w:rsidR="00DA1CF7" w:rsidRPr="001D77AF">
        <w:rPr>
          <w:lang w:val="en-GB"/>
        </w:rPr>
        <w:t xml:space="preserve">roperty rights </w:t>
      </w:r>
      <w:r w:rsidR="00F55E7A" w:rsidRPr="001D77AF">
        <w:rPr>
          <w:lang w:val="en-GB"/>
        </w:rPr>
        <w:t>approach</w:t>
      </w:r>
      <w:r w:rsidR="00E97406" w:rsidRPr="001D77AF">
        <w:rPr>
          <w:lang w:val="en-GB"/>
        </w:rPr>
        <w:t xml:space="preserve"> </w:t>
      </w:r>
      <w:r w:rsidRPr="001D77AF">
        <w:rPr>
          <w:lang w:val="en-GB"/>
        </w:rPr>
        <w:t>implies</w:t>
      </w:r>
      <w:r w:rsidR="00E97406" w:rsidRPr="001D77AF">
        <w:rPr>
          <w:lang w:val="en-GB"/>
        </w:rPr>
        <w:t xml:space="preserve"> </w:t>
      </w:r>
      <w:r w:rsidRPr="001D77AF">
        <w:rPr>
          <w:lang w:val="en-GB"/>
        </w:rPr>
        <w:t xml:space="preserve">that </w:t>
      </w:r>
      <w:r w:rsidR="008732CE" w:rsidRPr="001D77AF">
        <w:rPr>
          <w:lang w:val="en-GB"/>
        </w:rPr>
        <w:t xml:space="preserve">the </w:t>
      </w:r>
      <w:r w:rsidR="00582E10" w:rsidRPr="001D77AF">
        <w:rPr>
          <w:lang w:val="en-GB"/>
        </w:rPr>
        <w:t xml:space="preserve">substantial </w:t>
      </w:r>
      <w:r w:rsidR="00B84335" w:rsidRPr="001D77AF">
        <w:rPr>
          <w:lang w:val="en-GB"/>
        </w:rPr>
        <w:t>improvement</w:t>
      </w:r>
      <w:r w:rsidR="00C9036F" w:rsidRPr="001D77AF">
        <w:rPr>
          <w:lang w:val="en-GB"/>
        </w:rPr>
        <w:t>s</w:t>
      </w:r>
      <w:r w:rsidR="00B84335" w:rsidRPr="001D77AF">
        <w:rPr>
          <w:lang w:val="en-GB"/>
        </w:rPr>
        <w:t xml:space="preserve"> in </w:t>
      </w:r>
      <w:r w:rsidR="000D4D6C">
        <w:rPr>
          <w:lang w:val="en-GB"/>
        </w:rPr>
        <w:t xml:space="preserve">formal </w:t>
      </w:r>
      <w:r w:rsidR="00214BEE" w:rsidRPr="001D77AF">
        <w:rPr>
          <w:lang w:val="en-GB"/>
        </w:rPr>
        <w:t xml:space="preserve">legal </w:t>
      </w:r>
      <w:r w:rsidR="00E35881" w:rsidRPr="001D77AF">
        <w:rPr>
          <w:lang w:val="en-GB"/>
        </w:rPr>
        <w:t xml:space="preserve">institutional </w:t>
      </w:r>
      <w:r w:rsidR="00BF0AF7" w:rsidRPr="001D77AF">
        <w:rPr>
          <w:lang w:val="en-GB"/>
        </w:rPr>
        <w:t>frameworks</w:t>
      </w:r>
      <w:r w:rsidR="00E9169C" w:rsidRPr="001D77AF">
        <w:rPr>
          <w:lang w:val="en-GB"/>
        </w:rPr>
        <w:t xml:space="preserve"> </w:t>
      </w:r>
      <w:r w:rsidR="00B84335" w:rsidRPr="001D77AF">
        <w:rPr>
          <w:lang w:val="en-GB"/>
        </w:rPr>
        <w:t xml:space="preserve">accomplished by </w:t>
      </w:r>
      <w:r w:rsidR="00CA6CD2" w:rsidRPr="001D77AF">
        <w:rPr>
          <w:lang w:val="en-GB"/>
        </w:rPr>
        <w:t xml:space="preserve">the implementation of </w:t>
      </w:r>
      <w:r w:rsidR="00CD252A" w:rsidRPr="001D77AF">
        <w:rPr>
          <w:lang w:val="en-GB"/>
        </w:rPr>
        <w:t>Trade</w:t>
      </w:r>
      <w:r w:rsidR="009A3360">
        <w:rPr>
          <w:lang w:val="en-GB"/>
        </w:rPr>
        <w:t>-</w:t>
      </w:r>
      <w:r w:rsidR="00CD252A" w:rsidRPr="001D77AF">
        <w:rPr>
          <w:lang w:val="en-GB"/>
        </w:rPr>
        <w:t xml:space="preserve">Related Aspects of </w:t>
      </w:r>
      <w:r w:rsidR="008949A0" w:rsidRPr="001D77AF">
        <w:rPr>
          <w:lang w:val="en-GB"/>
        </w:rPr>
        <w:t>I</w:t>
      </w:r>
      <w:r w:rsidR="008949A0">
        <w:rPr>
          <w:lang w:val="en-GB"/>
        </w:rPr>
        <w:t xml:space="preserve">ntellectual </w:t>
      </w:r>
      <w:r w:rsidR="00CD252A" w:rsidRPr="001D77AF">
        <w:rPr>
          <w:lang w:val="en-GB"/>
        </w:rPr>
        <w:t>P</w:t>
      </w:r>
      <w:r w:rsidR="008949A0">
        <w:rPr>
          <w:lang w:val="en-GB"/>
        </w:rPr>
        <w:t>roperty Rights</w:t>
      </w:r>
      <w:r w:rsidR="00CD252A" w:rsidRPr="001D77AF">
        <w:rPr>
          <w:lang w:val="en-GB"/>
        </w:rPr>
        <w:t xml:space="preserve"> (</w:t>
      </w:r>
      <w:r w:rsidR="00B84335" w:rsidRPr="001D77AF">
        <w:rPr>
          <w:lang w:val="en-GB"/>
        </w:rPr>
        <w:t>TRIPS</w:t>
      </w:r>
      <w:r w:rsidR="00CD252A" w:rsidRPr="001D77AF">
        <w:rPr>
          <w:lang w:val="en-GB"/>
        </w:rPr>
        <w:t>)</w:t>
      </w:r>
      <w:r w:rsidR="00B84335" w:rsidRPr="001D77AF">
        <w:rPr>
          <w:lang w:val="en-GB"/>
        </w:rPr>
        <w:t xml:space="preserve"> </w:t>
      </w:r>
      <w:r w:rsidRPr="001D77AF">
        <w:rPr>
          <w:lang w:val="en-GB"/>
        </w:rPr>
        <w:t xml:space="preserve">should have </w:t>
      </w:r>
      <w:r w:rsidR="00C9036F" w:rsidRPr="001D77AF">
        <w:rPr>
          <w:lang w:val="en-GB"/>
        </w:rPr>
        <w:t xml:space="preserve">significantly </w:t>
      </w:r>
      <w:r w:rsidR="00157F4D" w:rsidRPr="001D77AF">
        <w:rPr>
          <w:lang w:val="en-GB"/>
        </w:rPr>
        <w:t xml:space="preserve">improved the quality of IPR regimes and thereby </w:t>
      </w:r>
      <w:r w:rsidR="003150E5">
        <w:rPr>
          <w:lang w:val="en-GB"/>
        </w:rPr>
        <w:t xml:space="preserve">reduced </w:t>
      </w:r>
      <w:r w:rsidR="00214BEE" w:rsidRPr="001D77AF">
        <w:rPr>
          <w:lang w:val="en-GB"/>
        </w:rPr>
        <w:t xml:space="preserve">the transaction </w:t>
      </w:r>
      <w:r w:rsidR="005E6B4F">
        <w:rPr>
          <w:lang w:val="en-GB"/>
        </w:rPr>
        <w:t xml:space="preserve">costs and risk </w:t>
      </w:r>
      <w:r w:rsidRPr="001D77AF">
        <w:rPr>
          <w:lang w:val="en-GB"/>
        </w:rPr>
        <w:t>of</w:t>
      </w:r>
      <w:r w:rsidR="00C9036F" w:rsidRPr="001D77AF">
        <w:rPr>
          <w:lang w:val="en-GB"/>
        </w:rPr>
        <w:t xml:space="preserve"> </w:t>
      </w:r>
      <w:r w:rsidR="00E9169C" w:rsidRPr="001D77AF">
        <w:rPr>
          <w:lang w:val="en-GB"/>
        </w:rPr>
        <w:t xml:space="preserve">using legal </w:t>
      </w:r>
      <w:r w:rsidR="003C0324" w:rsidRPr="001D77AF">
        <w:rPr>
          <w:lang w:val="en-GB"/>
        </w:rPr>
        <w:t xml:space="preserve">systems </w:t>
      </w:r>
      <w:r w:rsidR="00E9169C" w:rsidRPr="001D77AF">
        <w:rPr>
          <w:lang w:val="en-GB"/>
        </w:rPr>
        <w:t xml:space="preserve">to protect </w:t>
      </w:r>
      <w:r w:rsidR="000E7B55" w:rsidRPr="001D77AF">
        <w:rPr>
          <w:lang w:val="en-GB"/>
        </w:rPr>
        <w:t>IP</w:t>
      </w:r>
      <w:r w:rsidR="00687E8E">
        <w:rPr>
          <w:lang w:val="en-GB"/>
        </w:rPr>
        <w:t xml:space="preserve"> assets</w:t>
      </w:r>
      <w:r w:rsidR="00B84335" w:rsidRPr="001D77AF">
        <w:rPr>
          <w:lang w:val="en-GB"/>
        </w:rPr>
        <w:t>. Th</w:t>
      </w:r>
      <w:r w:rsidR="00C9036F" w:rsidRPr="001D77AF">
        <w:rPr>
          <w:lang w:val="en-GB"/>
        </w:rPr>
        <w:t>e implementation of TRIPS</w:t>
      </w:r>
      <w:r w:rsidR="00B84335" w:rsidRPr="001D77AF">
        <w:rPr>
          <w:lang w:val="en-GB"/>
        </w:rPr>
        <w:t xml:space="preserve"> should </w:t>
      </w:r>
      <w:r w:rsidR="00C9036F" w:rsidRPr="001D77AF">
        <w:rPr>
          <w:lang w:val="en-GB"/>
        </w:rPr>
        <w:t xml:space="preserve">therefore </w:t>
      </w:r>
      <w:r w:rsidR="00B84335" w:rsidRPr="001D77AF">
        <w:rPr>
          <w:lang w:val="en-GB"/>
        </w:rPr>
        <w:t xml:space="preserve">have </w:t>
      </w:r>
      <w:r w:rsidR="00F549BE" w:rsidRPr="001D77AF">
        <w:rPr>
          <w:lang w:val="en-GB"/>
        </w:rPr>
        <w:t xml:space="preserve">significantly reduced </w:t>
      </w:r>
      <w:r w:rsidR="00B84335" w:rsidRPr="001D77AF">
        <w:rPr>
          <w:lang w:val="en-GB"/>
        </w:rPr>
        <w:t xml:space="preserve">obstacles to outward FDI stemming from problems with </w:t>
      </w:r>
      <w:r w:rsidR="00E9169C" w:rsidRPr="001D77AF">
        <w:rPr>
          <w:lang w:val="en-GB"/>
        </w:rPr>
        <w:t xml:space="preserve">the </w:t>
      </w:r>
      <w:r w:rsidR="00B84335" w:rsidRPr="001D77AF">
        <w:rPr>
          <w:lang w:val="en-GB"/>
        </w:rPr>
        <w:t>legal frameworks</w:t>
      </w:r>
      <w:r w:rsidR="00A616A3" w:rsidRPr="001D77AF">
        <w:rPr>
          <w:lang w:val="en-GB"/>
        </w:rPr>
        <w:t xml:space="preserve"> </w:t>
      </w:r>
      <w:r w:rsidR="00353FFA" w:rsidRPr="001D77AF">
        <w:rPr>
          <w:lang w:val="en-GB"/>
        </w:rPr>
        <w:t xml:space="preserve">involved in </w:t>
      </w:r>
      <w:r w:rsidR="00B67F4B" w:rsidRPr="001D77AF">
        <w:rPr>
          <w:lang w:val="en-GB"/>
        </w:rPr>
        <w:t xml:space="preserve">the </w:t>
      </w:r>
      <w:r w:rsidR="00E9169C" w:rsidRPr="001D77AF">
        <w:rPr>
          <w:lang w:val="en-GB"/>
        </w:rPr>
        <w:t xml:space="preserve">protection of </w:t>
      </w:r>
      <w:r w:rsidR="00A616A3" w:rsidRPr="001D77AF">
        <w:rPr>
          <w:lang w:val="en-GB"/>
        </w:rPr>
        <w:t>IPR</w:t>
      </w:r>
      <w:r w:rsidR="00127365" w:rsidRPr="001D77AF">
        <w:rPr>
          <w:lang w:val="en-GB"/>
        </w:rPr>
        <w:t>.</w:t>
      </w:r>
      <w:r w:rsidR="008A113D" w:rsidRPr="001D77AF">
        <w:rPr>
          <w:lang w:val="en-GB"/>
        </w:rPr>
        <w:t xml:space="preserve"> </w:t>
      </w:r>
      <w:r w:rsidR="00B84335" w:rsidRPr="001D77AF">
        <w:rPr>
          <w:lang w:val="en-GB"/>
        </w:rPr>
        <w:t xml:space="preserve">There remain however many complaints of continuing difficulties </w:t>
      </w:r>
      <w:r w:rsidR="00A01A09" w:rsidRPr="001D77AF">
        <w:rPr>
          <w:lang w:val="en-GB"/>
        </w:rPr>
        <w:t xml:space="preserve">in </w:t>
      </w:r>
      <w:r w:rsidR="00B84335" w:rsidRPr="001D77AF">
        <w:rPr>
          <w:lang w:val="en-GB"/>
        </w:rPr>
        <w:t>protecting IP</w:t>
      </w:r>
      <w:r w:rsidR="005A7A49" w:rsidRPr="001D77AF">
        <w:rPr>
          <w:lang w:val="en-GB"/>
        </w:rPr>
        <w:t xml:space="preserve"> assets associated with</w:t>
      </w:r>
      <w:r w:rsidR="00BF0AF7" w:rsidRPr="001D77AF">
        <w:rPr>
          <w:lang w:val="en-GB"/>
        </w:rPr>
        <w:t xml:space="preserve"> deficiencies in </w:t>
      </w:r>
      <w:r w:rsidR="00E35881" w:rsidRPr="001D77AF">
        <w:rPr>
          <w:lang w:val="en-GB"/>
        </w:rPr>
        <w:t xml:space="preserve">the </w:t>
      </w:r>
      <w:r w:rsidR="00C9036F" w:rsidRPr="001D77AF">
        <w:rPr>
          <w:lang w:val="en-GB"/>
        </w:rPr>
        <w:t xml:space="preserve">legal </w:t>
      </w:r>
      <w:r w:rsidR="00B67F4B" w:rsidRPr="001D77AF">
        <w:rPr>
          <w:lang w:val="en-GB"/>
        </w:rPr>
        <w:t xml:space="preserve">institutional </w:t>
      </w:r>
      <w:r w:rsidR="00C9036F" w:rsidRPr="001D77AF">
        <w:rPr>
          <w:lang w:val="en-GB"/>
        </w:rPr>
        <w:t>frameworks</w:t>
      </w:r>
      <w:r w:rsidR="00E9169C" w:rsidRPr="001D77AF">
        <w:rPr>
          <w:lang w:val="en-GB"/>
        </w:rPr>
        <w:t xml:space="preserve"> </w:t>
      </w:r>
      <w:r w:rsidR="00A01A09" w:rsidRPr="001D77AF">
        <w:rPr>
          <w:lang w:val="en-GB"/>
        </w:rPr>
        <w:t xml:space="preserve">that </w:t>
      </w:r>
      <w:r w:rsidR="00E9169C" w:rsidRPr="001D77AF">
        <w:rPr>
          <w:lang w:val="en-GB"/>
        </w:rPr>
        <w:t>underpin</w:t>
      </w:r>
      <w:r w:rsidR="00A01A09" w:rsidRPr="001D77AF">
        <w:rPr>
          <w:lang w:val="en-GB"/>
        </w:rPr>
        <w:t xml:space="preserve"> </w:t>
      </w:r>
      <w:r w:rsidR="00E9169C" w:rsidRPr="001D77AF">
        <w:rPr>
          <w:lang w:val="en-GB"/>
        </w:rPr>
        <w:t xml:space="preserve">IPR regimes </w:t>
      </w:r>
      <w:r w:rsidR="00B84335" w:rsidRPr="001D77AF">
        <w:rPr>
          <w:lang w:val="en-GB"/>
        </w:rPr>
        <w:t>(Brander et al., 2017</w:t>
      </w:r>
      <w:r w:rsidR="00A01A09" w:rsidRPr="00BF4784">
        <w:rPr>
          <w:lang w:val="en-GB"/>
        </w:rPr>
        <w:t xml:space="preserve">; </w:t>
      </w:r>
      <w:r w:rsidR="00B84335" w:rsidRPr="001D77AF">
        <w:rPr>
          <w:lang w:val="en-GB"/>
        </w:rPr>
        <w:t xml:space="preserve">USCC, 2015). </w:t>
      </w:r>
      <w:r w:rsidR="00C031E5">
        <w:rPr>
          <w:lang w:val="en-GB"/>
        </w:rPr>
        <w:t>These d</w:t>
      </w:r>
      <w:r w:rsidR="00B84335" w:rsidRPr="001D77AF">
        <w:rPr>
          <w:lang w:val="en-GB"/>
        </w:rPr>
        <w:t xml:space="preserve">ifficulties sour trade and investment relationships between countries (Office of the United States Trade Representative, 2017) and present </w:t>
      </w:r>
      <w:r w:rsidR="008A4FD9" w:rsidRPr="001D77AF">
        <w:rPr>
          <w:lang w:val="en-GB"/>
        </w:rPr>
        <w:t xml:space="preserve">firms </w:t>
      </w:r>
      <w:r w:rsidR="00B84335" w:rsidRPr="001D77AF">
        <w:rPr>
          <w:lang w:val="en-GB"/>
        </w:rPr>
        <w:t xml:space="preserve">with serious strategic and operational problems </w:t>
      </w:r>
      <w:r w:rsidR="008A4FD9" w:rsidRPr="001D77AF">
        <w:rPr>
          <w:lang w:val="en-GB"/>
        </w:rPr>
        <w:t>in their cr</w:t>
      </w:r>
      <w:r w:rsidR="004142C4" w:rsidRPr="001D77AF">
        <w:rPr>
          <w:lang w:val="en-GB"/>
        </w:rPr>
        <w:t>o</w:t>
      </w:r>
      <w:r w:rsidR="008A4FD9" w:rsidRPr="001D77AF">
        <w:rPr>
          <w:lang w:val="en-GB"/>
        </w:rPr>
        <w:t>ss-frontier</w:t>
      </w:r>
      <w:r w:rsidR="004142C4" w:rsidRPr="001D77AF">
        <w:rPr>
          <w:lang w:val="en-GB"/>
        </w:rPr>
        <w:t xml:space="preserve"> economic transactions</w:t>
      </w:r>
      <w:r w:rsidR="008A4FD9" w:rsidRPr="001D77AF">
        <w:rPr>
          <w:lang w:val="en-GB"/>
        </w:rPr>
        <w:t xml:space="preserve"> </w:t>
      </w:r>
      <w:r w:rsidR="00B84335" w:rsidRPr="001D77AF">
        <w:rPr>
          <w:lang w:val="en-GB"/>
        </w:rPr>
        <w:t>(</w:t>
      </w:r>
      <w:r w:rsidR="00B84335" w:rsidRPr="001D77AF">
        <w:rPr>
          <w:rFonts w:eastAsia="Times New Roman"/>
          <w:color w:val="010101"/>
          <w:kern w:val="36"/>
          <w:lang w:val="en-GB" w:eastAsia="en-GB"/>
        </w:rPr>
        <w:t>Asia Pacific Foundation of Canada</w:t>
      </w:r>
      <w:r w:rsidR="00A01A09" w:rsidRPr="001D77AF">
        <w:rPr>
          <w:rFonts w:eastAsia="Times New Roman"/>
          <w:color w:val="010101"/>
          <w:kern w:val="36"/>
          <w:lang w:val="en-GB" w:eastAsia="en-GB"/>
        </w:rPr>
        <w:t>,</w:t>
      </w:r>
      <w:r w:rsidR="00B84335" w:rsidRPr="001D77AF">
        <w:rPr>
          <w:rFonts w:eastAsia="Times New Roman"/>
          <w:color w:val="010101"/>
          <w:kern w:val="36"/>
          <w:lang w:val="en-GB" w:eastAsia="en-GB"/>
        </w:rPr>
        <w:t xml:space="preserve"> </w:t>
      </w:r>
      <w:r w:rsidR="00B84335" w:rsidRPr="001D77AF">
        <w:rPr>
          <w:rFonts w:eastAsia="Times New Roman"/>
          <w:color w:val="010101"/>
          <w:kern w:val="36"/>
          <w:lang w:val="en-GB" w:eastAsia="en-GB"/>
        </w:rPr>
        <w:lastRenderedPageBreak/>
        <w:t>2015</w:t>
      </w:r>
      <w:r w:rsidR="00B84335" w:rsidRPr="001D77AF">
        <w:rPr>
          <w:lang w:val="en-GB"/>
        </w:rPr>
        <w:t>).</w:t>
      </w:r>
      <w:r w:rsidR="00027399" w:rsidRPr="001D77AF">
        <w:rPr>
          <w:lang w:val="en-GB"/>
        </w:rPr>
        <w:t xml:space="preserve"> </w:t>
      </w:r>
      <w:r w:rsidR="00A65B09">
        <w:rPr>
          <w:lang w:val="en-GB"/>
        </w:rPr>
        <w:t xml:space="preserve">The existing literature </w:t>
      </w:r>
      <w:r w:rsidR="005F647A">
        <w:rPr>
          <w:lang w:val="en-GB"/>
        </w:rPr>
        <w:t xml:space="preserve">does not </w:t>
      </w:r>
      <w:r w:rsidR="00C014BB">
        <w:rPr>
          <w:lang w:val="en-GB"/>
        </w:rPr>
        <w:t xml:space="preserve">however </w:t>
      </w:r>
      <w:r w:rsidR="005F647A">
        <w:rPr>
          <w:lang w:val="en-GB"/>
        </w:rPr>
        <w:t xml:space="preserve">adequately explain </w:t>
      </w:r>
      <w:r w:rsidR="00027399" w:rsidRPr="001D77AF">
        <w:rPr>
          <w:lang w:val="en-GB"/>
        </w:rPr>
        <w:t>why improvements in IP</w:t>
      </w:r>
      <w:r w:rsidR="005F647A">
        <w:rPr>
          <w:lang w:val="en-GB"/>
        </w:rPr>
        <w:t>R regimes f</w:t>
      </w:r>
      <w:r w:rsidR="0077199F" w:rsidRPr="001D77AF">
        <w:rPr>
          <w:lang w:val="en-GB"/>
        </w:rPr>
        <w:t>rom the imple</w:t>
      </w:r>
      <w:r w:rsidR="009A760F" w:rsidRPr="001D77AF">
        <w:rPr>
          <w:lang w:val="en-GB"/>
        </w:rPr>
        <w:t xml:space="preserve">mentation of TRIPS </w:t>
      </w:r>
      <w:r w:rsidR="00902E50" w:rsidRPr="001D77AF">
        <w:rPr>
          <w:lang w:val="en-GB"/>
        </w:rPr>
        <w:t xml:space="preserve">have </w:t>
      </w:r>
      <w:r w:rsidR="00027399" w:rsidRPr="001D77AF">
        <w:rPr>
          <w:lang w:val="en-GB"/>
        </w:rPr>
        <w:t>not led to the results predicted by</w:t>
      </w:r>
      <w:r w:rsidR="006456F8" w:rsidRPr="001D77AF">
        <w:rPr>
          <w:lang w:val="en-GB"/>
        </w:rPr>
        <w:t xml:space="preserve"> the</w:t>
      </w:r>
      <w:r w:rsidR="00027399" w:rsidRPr="001D77AF">
        <w:rPr>
          <w:lang w:val="en-GB"/>
        </w:rPr>
        <w:t xml:space="preserve"> property rights </w:t>
      </w:r>
      <w:r w:rsidR="006456F8" w:rsidRPr="001D77AF">
        <w:rPr>
          <w:lang w:val="en-GB"/>
        </w:rPr>
        <w:t>approach</w:t>
      </w:r>
      <w:r w:rsidR="00117FF1" w:rsidRPr="001D77AF">
        <w:rPr>
          <w:lang w:val="en-GB"/>
        </w:rPr>
        <w:t>.</w:t>
      </w:r>
      <w:r w:rsidR="00027399" w:rsidRPr="001D77AF">
        <w:rPr>
          <w:lang w:val="en-GB"/>
        </w:rPr>
        <w:t xml:space="preserve"> </w:t>
      </w:r>
    </w:p>
    <w:p w14:paraId="0A5E2B48" w14:textId="7B2714A1" w:rsidR="00CF6523" w:rsidRPr="001D77AF" w:rsidRDefault="00C55B64" w:rsidP="00CF6523">
      <w:pPr>
        <w:spacing w:line="480" w:lineRule="auto"/>
        <w:ind w:firstLine="720"/>
        <w:jc w:val="both"/>
        <w:rPr>
          <w:lang w:val="en-GB"/>
        </w:rPr>
      </w:pPr>
      <w:r w:rsidRPr="001D77AF">
        <w:rPr>
          <w:lang w:val="en-GB"/>
        </w:rPr>
        <w:t xml:space="preserve">The </w:t>
      </w:r>
      <w:r>
        <w:rPr>
          <w:lang w:val="en-GB"/>
        </w:rPr>
        <w:t>l</w:t>
      </w:r>
      <w:r w:rsidRPr="001D77AF">
        <w:rPr>
          <w:lang w:val="en-GB"/>
        </w:rPr>
        <w:t xml:space="preserve">iterature reveals that after the implementation of TRIPS the formal institutional legal arrangements </w:t>
      </w:r>
      <w:r>
        <w:rPr>
          <w:lang w:val="en-GB"/>
        </w:rPr>
        <w:t xml:space="preserve">in </w:t>
      </w:r>
      <w:r w:rsidRPr="001D77AF">
        <w:rPr>
          <w:lang w:val="en-GB"/>
        </w:rPr>
        <w:t>some IPR regimes continue</w:t>
      </w:r>
      <w:r w:rsidR="00287551">
        <w:rPr>
          <w:lang w:val="en-GB"/>
        </w:rPr>
        <w:t>s</w:t>
      </w:r>
      <w:r w:rsidRPr="001D77AF">
        <w:rPr>
          <w:lang w:val="en-GB"/>
        </w:rPr>
        <w:t xml:space="preserve"> to display shortcomings in terms of the clarity and coverage of IP law (Beckerman-Rodau, 2011; WTO, 2011). The more serious obstacles appear </w:t>
      </w:r>
      <w:r>
        <w:rPr>
          <w:lang w:val="en-GB"/>
        </w:rPr>
        <w:t xml:space="preserve">however </w:t>
      </w:r>
      <w:r w:rsidRPr="001D77AF">
        <w:rPr>
          <w:lang w:val="en-GB"/>
        </w:rPr>
        <w:t xml:space="preserve">to relate to the </w:t>
      </w:r>
      <w:r>
        <w:rPr>
          <w:lang w:val="en-GB"/>
        </w:rPr>
        <w:t xml:space="preserve">way agents </w:t>
      </w:r>
      <w:r w:rsidRPr="001D77AF">
        <w:rPr>
          <w:lang w:val="en-GB"/>
        </w:rPr>
        <w:t xml:space="preserve">enforce </w:t>
      </w:r>
      <w:r>
        <w:rPr>
          <w:lang w:val="en-GB"/>
        </w:rPr>
        <w:t>the law</w:t>
      </w:r>
      <w:r w:rsidRPr="001D77AF">
        <w:rPr>
          <w:lang w:val="en-GB"/>
        </w:rPr>
        <w:t xml:space="preserve"> (Brander et al, 2017; Peng et al., 2017a, 2017b; Seyoum, 2011). </w:t>
      </w:r>
      <w:r w:rsidR="00B57905" w:rsidRPr="001D77AF">
        <w:rPr>
          <w:color w:val="1C1D1E"/>
          <w:lang w:val="en-GB"/>
        </w:rPr>
        <w:t>Enforcement agents</w:t>
      </w:r>
      <w:r w:rsidR="00B57905">
        <w:rPr>
          <w:color w:val="1C1D1E"/>
          <w:lang w:val="en-GB"/>
        </w:rPr>
        <w:t xml:space="preserve"> operate in </w:t>
      </w:r>
      <w:r w:rsidR="00B57905" w:rsidRPr="001D77AF">
        <w:rPr>
          <w:color w:val="1C1D1E"/>
          <w:lang w:val="en-GB"/>
        </w:rPr>
        <w:t xml:space="preserve">court cases, trade and investment regulation compliance cases and other policing </w:t>
      </w:r>
      <w:r w:rsidR="00B57905">
        <w:rPr>
          <w:color w:val="1C1D1E"/>
          <w:lang w:val="en-GB"/>
        </w:rPr>
        <w:t xml:space="preserve">connected to </w:t>
      </w:r>
      <w:r w:rsidR="00B57905" w:rsidRPr="001D77AF">
        <w:rPr>
          <w:color w:val="1C1D1E"/>
          <w:lang w:val="en-GB"/>
        </w:rPr>
        <w:t xml:space="preserve">IPR </w:t>
      </w:r>
      <w:r w:rsidR="00B57905">
        <w:rPr>
          <w:color w:val="1C1D1E"/>
          <w:lang w:val="en-GB"/>
        </w:rPr>
        <w:t>regime</w:t>
      </w:r>
      <w:r w:rsidR="00B57905" w:rsidRPr="001D77AF">
        <w:rPr>
          <w:color w:val="1C1D1E"/>
          <w:lang w:val="en-GB"/>
        </w:rPr>
        <w:t xml:space="preserve">s. Enforcement agents </w:t>
      </w:r>
      <w:r w:rsidR="00B57905" w:rsidRPr="001D77AF">
        <w:rPr>
          <w:lang w:val="en-GB"/>
        </w:rPr>
        <w:t xml:space="preserve">include judges, prosecutors, customs officials and the police (Ostergard, 2000). </w:t>
      </w:r>
      <w:r w:rsidR="00A665BC">
        <w:rPr>
          <w:lang w:val="en-GB"/>
        </w:rPr>
        <w:t>In this paper e</w:t>
      </w:r>
      <w:r w:rsidR="00B57905">
        <w:rPr>
          <w:lang w:val="en-GB"/>
        </w:rPr>
        <w:t xml:space="preserve">nforcement issues </w:t>
      </w:r>
      <w:r w:rsidR="00A665BC">
        <w:rPr>
          <w:lang w:val="en-GB"/>
        </w:rPr>
        <w:t xml:space="preserve">related to informal institutions </w:t>
      </w:r>
      <w:r w:rsidR="00B57905">
        <w:rPr>
          <w:lang w:val="en-GB"/>
        </w:rPr>
        <w:t xml:space="preserve">centre on the behaviour of agents that implement the formal legal rights granted to IP owners. </w:t>
      </w:r>
      <w:r>
        <w:rPr>
          <w:lang w:val="en-GB"/>
        </w:rPr>
        <w:t xml:space="preserve">The </w:t>
      </w:r>
      <w:r w:rsidRPr="001D77AF">
        <w:rPr>
          <w:lang w:val="en-GB"/>
        </w:rPr>
        <w:t xml:space="preserve">literature often conflates the formal and informal institutional </w:t>
      </w:r>
      <w:r w:rsidR="00AB41F6">
        <w:rPr>
          <w:lang w:val="en-GB"/>
        </w:rPr>
        <w:t xml:space="preserve">contexts </w:t>
      </w:r>
      <w:r w:rsidRPr="001D77AF">
        <w:rPr>
          <w:lang w:val="en-GB"/>
        </w:rPr>
        <w:t>of enforcement</w:t>
      </w:r>
      <w:r>
        <w:rPr>
          <w:lang w:val="en-GB"/>
        </w:rPr>
        <w:t xml:space="preserve">, making it difficult to understand what aspects of enforcement cause problems for IP asset owners. </w:t>
      </w:r>
      <w:r w:rsidR="00CF6523" w:rsidRPr="00824CAA">
        <w:rPr>
          <w:lang w:val="en-GB"/>
        </w:rPr>
        <w:t xml:space="preserve">The </w:t>
      </w:r>
      <w:r w:rsidR="00824CAA">
        <w:rPr>
          <w:lang w:val="en-GB"/>
        </w:rPr>
        <w:t xml:space="preserve">major </w:t>
      </w:r>
      <w:r w:rsidR="00CF6523" w:rsidRPr="00824CAA">
        <w:rPr>
          <w:lang w:val="en-GB"/>
        </w:rPr>
        <w:t xml:space="preserve">issue considered in this study is </w:t>
      </w:r>
      <w:r w:rsidR="00B322F6">
        <w:rPr>
          <w:lang w:val="en-GB"/>
        </w:rPr>
        <w:t xml:space="preserve">therefore </w:t>
      </w:r>
      <w:r w:rsidR="0002652B">
        <w:rPr>
          <w:lang w:val="en-GB"/>
        </w:rPr>
        <w:t xml:space="preserve">how </w:t>
      </w:r>
      <w:r w:rsidR="00CF6523" w:rsidRPr="00824CAA">
        <w:rPr>
          <w:lang w:val="en-GB"/>
        </w:rPr>
        <w:t xml:space="preserve">the </w:t>
      </w:r>
      <w:r w:rsidR="00B322F6">
        <w:rPr>
          <w:lang w:val="en-GB"/>
        </w:rPr>
        <w:t xml:space="preserve">formal and informal </w:t>
      </w:r>
      <w:r w:rsidR="00CF6523" w:rsidRPr="00824CAA">
        <w:rPr>
          <w:lang w:val="en-GB"/>
        </w:rPr>
        <w:t>institution</w:t>
      </w:r>
      <w:r w:rsidR="00C97267">
        <w:rPr>
          <w:lang w:val="en-GB"/>
        </w:rPr>
        <w:t>al contexts</w:t>
      </w:r>
      <w:r w:rsidR="00CF6523" w:rsidRPr="00824CAA">
        <w:rPr>
          <w:lang w:val="en-GB"/>
        </w:rPr>
        <w:t xml:space="preserve"> </w:t>
      </w:r>
      <w:r w:rsidR="0002652B">
        <w:rPr>
          <w:lang w:val="en-GB"/>
        </w:rPr>
        <w:t>connected to enforcement affect t</w:t>
      </w:r>
      <w:r w:rsidR="00676A76">
        <w:rPr>
          <w:lang w:val="en-GB"/>
        </w:rPr>
        <w:t>he efficacy of</w:t>
      </w:r>
      <w:r w:rsidR="00CF6523" w:rsidRPr="00824CAA">
        <w:rPr>
          <w:lang w:val="en-GB"/>
        </w:rPr>
        <w:t xml:space="preserve"> IPR regimes.  </w:t>
      </w:r>
    </w:p>
    <w:p w14:paraId="383C2A20" w14:textId="0D6FDF9E" w:rsidR="007E0F31" w:rsidRDefault="00967AB9" w:rsidP="003F6D7C">
      <w:pPr>
        <w:spacing w:line="480" w:lineRule="auto"/>
        <w:ind w:firstLine="720"/>
        <w:jc w:val="both"/>
        <w:rPr>
          <w:lang w:val="en-GB"/>
        </w:rPr>
      </w:pPr>
      <w:r>
        <w:rPr>
          <w:lang w:val="en-GB"/>
        </w:rPr>
        <w:t xml:space="preserve">The </w:t>
      </w:r>
      <w:r w:rsidR="00BC4315">
        <w:rPr>
          <w:lang w:val="en-GB"/>
        </w:rPr>
        <w:t xml:space="preserve">rules of the game </w:t>
      </w:r>
      <w:r w:rsidR="002E1E51">
        <w:rPr>
          <w:lang w:val="en-GB"/>
        </w:rPr>
        <w:t xml:space="preserve">approach </w:t>
      </w:r>
      <w:r>
        <w:rPr>
          <w:lang w:val="en-GB"/>
        </w:rPr>
        <w:t xml:space="preserve">of </w:t>
      </w:r>
      <w:r w:rsidR="00A042C9" w:rsidRPr="001D77AF">
        <w:rPr>
          <w:lang w:val="en-GB"/>
        </w:rPr>
        <w:t>North</w:t>
      </w:r>
      <w:r w:rsidR="002E1E51">
        <w:rPr>
          <w:lang w:val="en-GB"/>
        </w:rPr>
        <w:t xml:space="preserve"> </w:t>
      </w:r>
      <w:r w:rsidR="000247FC" w:rsidRPr="001D77AF">
        <w:rPr>
          <w:lang w:val="en-GB"/>
        </w:rPr>
        <w:t xml:space="preserve">(1990) </w:t>
      </w:r>
      <w:r w:rsidR="00FE35FF">
        <w:rPr>
          <w:lang w:val="en-GB"/>
        </w:rPr>
        <w:t xml:space="preserve">provides the foundation for the analysis of </w:t>
      </w:r>
      <w:r w:rsidR="00D41C5A" w:rsidRPr="001D77AF">
        <w:rPr>
          <w:lang w:val="en-GB"/>
        </w:rPr>
        <w:t xml:space="preserve">how institutional systems affect </w:t>
      </w:r>
      <w:r w:rsidR="00220784">
        <w:rPr>
          <w:lang w:val="en-GB"/>
        </w:rPr>
        <w:t xml:space="preserve">economic transactions </w:t>
      </w:r>
      <w:r w:rsidR="001A0EEF">
        <w:rPr>
          <w:lang w:val="en-GB"/>
        </w:rPr>
        <w:t xml:space="preserve">and supplies </w:t>
      </w:r>
      <w:r w:rsidR="0033402B">
        <w:rPr>
          <w:lang w:val="en-GB"/>
        </w:rPr>
        <w:t xml:space="preserve">the means </w:t>
      </w:r>
      <w:r w:rsidR="001E0978">
        <w:rPr>
          <w:lang w:val="en-GB"/>
        </w:rPr>
        <w:t>to investigate</w:t>
      </w:r>
      <w:r w:rsidR="001E0978" w:rsidRPr="001D77AF">
        <w:rPr>
          <w:lang w:val="en-GB"/>
        </w:rPr>
        <w:t xml:space="preserve"> </w:t>
      </w:r>
      <w:r w:rsidR="00FB7FA7">
        <w:rPr>
          <w:lang w:val="en-GB"/>
        </w:rPr>
        <w:t xml:space="preserve">the </w:t>
      </w:r>
      <w:r w:rsidR="00CD2095" w:rsidRPr="001D77AF">
        <w:rPr>
          <w:lang w:val="en-GB"/>
        </w:rPr>
        <w:t xml:space="preserve">costs and risk </w:t>
      </w:r>
      <w:r w:rsidR="00AF1DD4">
        <w:rPr>
          <w:lang w:val="en-GB"/>
        </w:rPr>
        <w:t xml:space="preserve">of using </w:t>
      </w:r>
      <w:r w:rsidR="000247FC" w:rsidRPr="001D77AF">
        <w:rPr>
          <w:lang w:val="en-GB"/>
        </w:rPr>
        <w:t>legal systems</w:t>
      </w:r>
      <w:r w:rsidR="000247FC" w:rsidRPr="001D77AF" w:rsidDel="000247FC">
        <w:rPr>
          <w:lang w:val="en-GB"/>
        </w:rPr>
        <w:t xml:space="preserve"> </w:t>
      </w:r>
      <w:r w:rsidR="00AF1DD4">
        <w:rPr>
          <w:lang w:val="en-GB"/>
        </w:rPr>
        <w:t xml:space="preserve">to help to secure </w:t>
      </w:r>
      <w:r w:rsidR="00E4336E">
        <w:rPr>
          <w:lang w:val="en-GB"/>
        </w:rPr>
        <w:t xml:space="preserve">economic rights from </w:t>
      </w:r>
      <w:r w:rsidR="009001B7">
        <w:rPr>
          <w:lang w:val="en-GB"/>
        </w:rPr>
        <w:t>legal rights</w:t>
      </w:r>
      <w:r w:rsidR="00E4336E">
        <w:rPr>
          <w:lang w:val="en-GB"/>
        </w:rPr>
        <w:t xml:space="preserve">. </w:t>
      </w:r>
      <w:r w:rsidR="000247FC" w:rsidRPr="001D77AF">
        <w:rPr>
          <w:lang w:val="en-GB"/>
        </w:rPr>
        <w:t xml:space="preserve">North (1990) postulates that transaction costs and risk are associated with the rules of the game and these rules are determined by </w:t>
      </w:r>
      <w:r w:rsidR="00022484">
        <w:rPr>
          <w:lang w:val="en-GB"/>
        </w:rPr>
        <w:t xml:space="preserve">the </w:t>
      </w:r>
      <w:r w:rsidR="000247FC" w:rsidRPr="001D77AF">
        <w:rPr>
          <w:lang w:val="en-GB"/>
        </w:rPr>
        <w:t>formal and informal institution</w:t>
      </w:r>
      <w:r w:rsidR="002F22BD">
        <w:rPr>
          <w:lang w:val="en-GB"/>
        </w:rPr>
        <w:t>al contexts</w:t>
      </w:r>
      <w:r w:rsidR="00022484">
        <w:rPr>
          <w:lang w:val="en-GB"/>
        </w:rPr>
        <w:t xml:space="preserve"> that prevail in a country</w:t>
      </w:r>
      <w:r w:rsidR="000247FC" w:rsidRPr="001D77AF">
        <w:rPr>
          <w:lang w:val="en-GB"/>
        </w:rPr>
        <w:t xml:space="preserve">. </w:t>
      </w:r>
      <w:r w:rsidR="001D3280">
        <w:rPr>
          <w:lang w:val="en-GB"/>
        </w:rPr>
        <w:t>In the case of IPR, f</w:t>
      </w:r>
      <w:r w:rsidR="00820579" w:rsidRPr="001D77AF">
        <w:rPr>
          <w:color w:val="1C1D1E"/>
          <w:lang w:val="en-GB"/>
        </w:rPr>
        <w:t xml:space="preserve">ormal institutions </w:t>
      </w:r>
      <w:r w:rsidR="00902737">
        <w:rPr>
          <w:color w:val="1C1D1E"/>
          <w:lang w:val="en-GB"/>
        </w:rPr>
        <w:t xml:space="preserve">provide </w:t>
      </w:r>
      <w:r w:rsidR="00820579" w:rsidRPr="001D77AF">
        <w:rPr>
          <w:color w:val="1C1D1E"/>
          <w:lang w:val="en-GB"/>
        </w:rPr>
        <w:t xml:space="preserve">legislation that </w:t>
      </w:r>
      <w:r w:rsidR="00902737">
        <w:rPr>
          <w:color w:val="1C1D1E"/>
          <w:lang w:val="en-GB"/>
        </w:rPr>
        <w:t xml:space="preserve">delivers law that </w:t>
      </w:r>
      <w:r w:rsidR="00820579" w:rsidRPr="001D77AF">
        <w:rPr>
          <w:color w:val="1C1D1E"/>
          <w:lang w:val="en-GB"/>
        </w:rPr>
        <w:t xml:space="preserve">confers rights, obligations, and regulatory requirements </w:t>
      </w:r>
      <w:r w:rsidR="00820579">
        <w:rPr>
          <w:color w:val="1C1D1E"/>
          <w:lang w:val="en-GB"/>
        </w:rPr>
        <w:t>for the use of</w:t>
      </w:r>
      <w:r w:rsidR="00820579" w:rsidRPr="001D77AF">
        <w:rPr>
          <w:color w:val="1C1D1E"/>
          <w:lang w:val="en-GB"/>
        </w:rPr>
        <w:t xml:space="preserve"> IP assets.</w:t>
      </w:r>
      <w:r w:rsidR="00820579">
        <w:rPr>
          <w:color w:val="1C1D1E"/>
          <w:lang w:val="en-GB"/>
        </w:rPr>
        <w:t xml:space="preserve"> </w:t>
      </w:r>
      <w:r w:rsidR="00912047">
        <w:rPr>
          <w:color w:val="1C1D1E"/>
          <w:lang w:val="en-GB"/>
        </w:rPr>
        <w:t>These rights include the formal legal processes</w:t>
      </w:r>
      <w:r w:rsidR="00610236">
        <w:rPr>
          <w:color w:val="1C1D1E"/>
          <w:lang w:val="en-GB"/>
        </w:rPr>
        <w:t xml:space="preserve"> to defend IPR</w:t>
      </w:r>
      <w:r w:rsidR="00D25F35">
        <w:rPr>
          <w:color w:val="1C1D1E"/>
          <w:lang w:val="en-GB"/>
        </w:rPr>
        <w:t xml:space="preserve">. </w:t>
      </w:r>
      <w:r w:rsidR="00F01A56">
        <w:rPr>
          <w:color w:val="1C1D1E"/>
          <w:lang w:val="en-GB"/>
        </w:rPr>
        <w:t>This aspect covers</w:t>
      </w:r>
      <w:r w:rsidR="00AF43AE">
        <w:rPr>
          <w:color w:val="1C1D1E"/>
          <w:lang w:val="en-GB"/>
        </w:rPr>
        <w:t xml:space="preserve"> </w:t>
      </w:r>
      <w:r w:rsidR="009646C5">
        <w:rPr>
          <w:color w:val="1C1D1E"/>
          <w:lang w:val="en-GB"/>
        </w:rPr>
        <w:t xml:space="preserve">the specification of </w:t>
      </w:r>
      <w:r w:rsidR="008539C8">
        <w:rPr>
          <w:color w:val="1C1D1E"/>
          <w:lang w:val="en-GB"/>
        </w:rPr>
        <w:t xml:space="preserve">the </w:t>
      </w:r>
      <w:r w:rsidR="009646C5">
        <w:rPr>
          <w:color w:val="1C1D1E"/>
          <w:lang w:val="en-GB"/>
        </w:rPr>
        <w:t>courts</w:t>
      </w:r>
      <w:r w:rsidR="008539C8">
        <w:rPr>
          <w:color w:val="1C1D1E"/>
          <w:lang w:val="en-GB"/>
        </w:rPr>
        <w:t xml:space="preserve"> </w:t>
      </w:r>
      <w:r w:rsidR="0045752C">
        <w:rPr>
          <w:color w:val="1C1D1E"/>
          <w:lang w:val="en-GB"/>
        </w:rPr>
        <w:t xml:space="preserve">and </w:t>
      </w:r>
      <w:r w:rsidR="005E076C">
        <w:rPr>
          <w:color w:val="1C1D1E"/>
          <w:lang w:val="en-GB"/>
        </w:rPr>
        <w:t xml:space="preserve">other </w:t>
      </w:r>
      <w:r w:rsidR="0045752C">
        <w:rPr>
          <w:color w:val="1C1D1E"/>
          <w:lang w:val="en-GB"/>
        </w:rPr>
        <w:t xml:space="preserve">formal legal </w:t>
      </w:r>
      <w:r w:rsidR="005E076C">
        <w:rPr>
          <w:color w:val="1C1D1E"/>
          <w:lang w:val="en-GB"/>
        </w:rPr>
        <w:t xml:space="preserve">arenas </w:t>
      </w:r>
      <w:r w:rsidR="0045752C">
        <w:rPr>
          <w:color w:val="1C1D1E"/>
          <w:lang w:val="en-GB"/>
        </w:rPr>
        <w:t xml:space="preserve">that </w:t>
      </w:r>
      <w:r w:rsidR="00502640">
        <w:rPr>
          <w:color w:val="1C1D1E"/>
          <w:lang w:val="en-GB"/>
        </w:rPr>
        <w:t xml:space="preserve">can be used by </w:t>
      </w:r>
      <w:r w:rsidR="004618F9">
        <w:rPr>
          <w:color w:val="1C1D1E"/>
          <w:lang w:val="en-GB"/>
        </w:rPr>
        <w:t xml:space="preserve">asset owners </w:t>
      </w:r>
      <w:r w:rsidR="008B1B90">
        <w:rPr>
          <w:color w:val="1C1D1E"/>
          <w:lang w:val="en-GB"/>
        </w:rPr>
        <w:t>seek</w:t>
      </w:r>
      <w:r w:rsidR="00502640">
        <w:rPr>
          <w:color w:val="1C1D1E"/>
          <w:lang w:val="en-GB"/>
        </w:rPr>
        <w:t>ing</w:t>
      </w:r>
      <w:r w:rsidR="008B1B90">
        <w:rPr>
          <w:color w:val="1C1D1E"/>
          <w:lang w:val="en-GB"/>
        </w:rPr>
        <w:t xml:space="preserve"> clarification </w:t>
      </w:r>
      <w:r w:rsidR="001E3E75">
        <w:rPr>
          <w:color w:val="1C1D1E"/>
          <w:lang w:val="en-GB"/>
        </w:rPr>
        <w:t xml:space="preserve">and </w:t>
      </w:r>
      <w:r w:rsidR="001E3E75">
        <w:rPr>
          <w:color w:val="1C1D1E"/>
          <w:lang w:val="en-GB"/>
        </w:rPr>
        <w:lastRenderedPageBreak/>
        <w:t xml:space="preserve">enforcement </w:t>
      </w:r>
      <w:r w:rsidR="001F24DD">
        <w:rPr>
          <w:color w:val="1C1D1E"/>
          <w:lang w:val="en-GB"/>
        </w:rPr>
        <w:t xml:space="preserve">of IPR </w:t>
      </w:r>
      <w:r w:rsidR="008B1B90">
        <w:rPr>
          <w:color w:val="1C1D1E"/>
          <w:lang w:val="en-GB"/>
        </w:rPr>
        <w:t xml:space="preserve">and </w:t>
      </w:r>
      <w:r w:rsidR="00205CBE">
        <w:rPr>
          <w:color w:val="1C1D1E"/>
          <w:lang w:val="en-GB"/>
        </w:rPr>
        <w:t xml:space="preserve">recompense </w:t>
      </w:r>
      <w:r w:rsidR="008B1B90">
        <w:rPr>
          <w:color w:val="1C1D1E"/>
          <w:lang w:val="en-GB"/>
        </w:rPr>
        <w:t xml:space="preserve">for infringement of </w:t>
      </w:r>
      <w:r w:rsidR="009D525A">
        <w:rPr>
          <w:color w:val="1C1D1E"/>
          <w:lang w:val="en-GB"/>
        </w:rPr>
        <w:t>legal rights</w:t>
      </w:r>
      <w:r w:rsidR="008B1B90">
        <w:rPr>
          <w:color w:val="1C1D1E"/>
          <w:lang w:val="en-GB"/>
        </w:rPr>
        <w:t xml:space="preserve">. </w:t>
      </w:r>
      <w:r w:rsidR="00F25A3A">
        <w:rPr>
          <w:lang w:val="en-GB"/>
        </w:rPr>
        <w:t>T</w:t>
      </w:r>
      <w:r w:rsidR="00A51736" w:rsidRPr="001D77AF">
        <w:rPr>
          <w:lang w:val="en-GB"/>
        </w:rPr>
        <w:t xml:space="preserve">he role of informal institutions </w:t>
      </w:r>
      <w:r w:rsidR="005659D1" w:rsidRPr="001D77AF">
        <w:rPr>
          <w:lang w:val="en-GB"/>
        </w:rPr>
        <w:t xml:space="preserve">in this process </w:t>
      </w:r>
      <w:r w:rsidR="005E7609">
        <w:rPr>
          <w:lang w:val="en-GB"/>
        </w:rPr>
        <w:t xml:space="preserve">is considered </w:t>
      </w:r>
      <w:r w:rsidR="00686E70">
        <w:rPr>
          <w:lang w:val="en-GB"/>
        </w:rPr>
        <w:t xml:space="preserve">by </w:t>
      </w:r>
      <w:r w:rsidR="005E7609">
        <w:rPr>
          <w:lang w:val="en-GB"/>
        </w:rPr>
        <w:t xml:space="preserve">using </w:t>
      </w:r>
      <w:r w:rsidR="00597593">
        <w:rPr>
          <w:lang w:val="en-GB"/>
        </w:rPr>
        <w:t>an approach that views these institutions as</w:t>
      </w:r>
      <w:r w:rsidR="00F8734C">
        <w:rPr>
          <w:lang w:val="en-GB"/>
        </w:rPr>
        <w:t xml:space="preserve"> determining the</w:t>
      </w:r>
      <w:r w:rsidR="00597593">
        <w:rPr>
          <w:lang w:val="en-GB"/>
        </w:rPr>
        <w:t xml:space="preserve"> unwritten rules </w:t>
      </w:r>
      <w:r w:rsidR="00F5003D">
        <w:rPr>
          <w:lang w:val="en-GB"/>
        </w:rPr>
        <w:t>used</w:t>
      </w:r>
      <w:r w:rsidR="00F43CC6">
        <w:rPr>
          <w:lang w:val="en-GB"/>
        </w:rPr>
        <w:t xml:space="preserve"> </w:t>
      </w:r>
      <w:r w:rsidR="00F43CC6" w:rsidRPr="001D77AF">
        <w:rPr>
          <w:lang w:val="en-GB"/>
        </w:rPr>
        <w:t xml:space="preserve">by </w:t>
      </w:r>
      <w:r w:rsidR="00197B62">
        <w:rPr>
          <w:lang w:val="en-GB"/>
        </w:rPr>
        <w:t>agents conducting economic transactions</w:t>
      </w:r>
      <w:r w:rsidR="00B80B0E">
        <w:rPr>
          <w:lang w:val="en-GB"/>
        </w:rPr>
        <w:t xml:space="preserve"> </w:t>
      </w:r>
      <w:r w:rsidR="00B82EEA" w:rsidRPr="001D77AF">
        <w:rPr>
          <w:lang w:val="en-GB"/>
        </w:rPr>
        <w:t xml:space="preserve">(Helmke &amp; Levitsky, </w:t>
      </w:r>
      <w:r w:rsidR="00752BFF" w:rsidRPr="001D77AF">
        <w:rPr>
          <w:lang w:val="en-GB"/>
        </w:rPr>
        <w:t>2004</w:t>
      </w:r>
      <w:r w:rsidR="00CA73AE">
        <w:rPr>
          <w:lang w:val="en-GB"/>
        </w:rPr>
        <w:t>, 2006</w:t>
      </w:r>
      <w:r w:rsidR="006A1FC3">
        <w:rPr>
          <w:lang w:val="en-GB"/>
        </w:rPr>
        <w:t>; Hayo &amp; Voigt, 2007</w:t>
      </w:r>
      <w:r w:rsidR="00752BFF" w:rsidRPr="001D77AF">
        <w:rPr>
          <w:lang w:val="en-GB"/>
        </w:rPr>
        <w:t xml:space="preserve">). </w:t>
      </w:r>
      <w:r w:rsidR="00A46364">
        <w:rPr>
          <w:lang w:val="en-GB"/>
        </w:rPr>
        <w:t>In the case of IPR regimes</w:t>
      </w:r>
      <w:r w:rsidR="00155459">
        <w:rPr>
          <w:lang w:val="en-GB"/>
        </w:rPr>
        <w:t xml:space="preserve">, informal institutions influence the unwritten rules used by enforcement agents </w:t>
      </w:r>
      <w:r w:rsidR="00615EB3">
        <w:rPr>
          <w:lang w:val="en-GB"/>
        </w:rPr>
        <w:t xml:space="preserve">when they work on </w:t>
      </w:r>
      <w:r w:rsidR="007B1FE3">
        <w:rPr>
          <w:lang w:val="en-GB"/>
        </w:rPr>
        <w:t xml:space="preserve">court cases and other legal </w:t>
      </w:r>
      <w:r w:rsidR="00F8397C">
        <w:rPr>
          <w:lang w:val="en-GB"/>
        </w:rPr>
        <w:t>arrangements</w:t>
      </w:r>
      <w:r w:rsidR="00650F4E">
        <w:rPr>
          <w:lang w:val="en-GB"/>
        </w:rPr>
        <w:t xml:space="preserve"> when IP asset owners seek to use </w:t>
      </w:r>
      <w:r w:rsidR="00027CA1">
        <w:rPr>
          <w:lang w:val="en-GB"/>
        </w:rPr>
        <w:t>legal arenas to defend their rights.</w:t>
      </w:r>
      <w:r w:rsidR="00650F4E">
        <w:rPr>
          <w:lang w:val="en-GB"/>
        </w:rPr>
        <w:t xml:space="preserve"> </w:t>
      </w:r>
      <w:r w:rsidR="007B1FE3">
        <w:rPr>
          <w:lang w:val="en-GB"/>
        </w:rPr>
        <w:t xml:space="preserve"> </w:t>
      </w:r>
      <w:r w:rsidR="00615EB3">
        <w:rPr>
          <w:lang w:val="en-GB"/>
        </w:rPr>
        <w:t xml:space="preserve"> </w:t>
      </w:r>
      <w:r w:rsidR="00155459">
        <w:rPr>
          <w:lang w:val="en-GB"/>
        </w:rPr>
        <w:t xml:space="preserve">    </w:t>
      </w:r>
    </w:p>
    <w:p w14:paraId="2EF255C1" w14:textId="6CA48A43" w:rsidR="00C56CC9" w:rsidRPr="001D77AF" w:rsidRDefault="009761E6" w:rsidP="003F6D7C">
      <w:pPr>
        <w:spacing w:line="480" w:lineRule="auto"/>
        <w:ind w:firstLine="720"/>
        <w:jc w:val="both"/>
        <w:rPr>
          <w:lang w:val="en-GB"/>
        </w:rPr>
      </w:pPr>
      <w:r>
        <w:rPr>
          <w:lang w:val="en-GB"/>
        </w:rPr>
        <w:t xml:space="preserve">This study </w:t>
      </w:r>
      <w:r w:rsidR="00391936">
        <w:rPr>
          <w:lang w:val="en-GB"/>
        </w:rPr>
        <w:t xml:space="preserve">uses </w:t>
      </w:r>
      <w:r w:rsidR="001D1F89">
        <w:rPr>
          <w:lang w:val="en-GB"/>
        </w:rPr>
        <w:t xml:space="preserve">a framework </w:t>
      </w:r>
      <w:r w:rsidR="005F1DCB">
        <w:rPr>
          <w:lang w:val="en-GB"/>
        </w:rPr>
        <w:t xml:space="preserve">based on </w:t>
      </w:r>
      <w:r w:rsidR="00510D3E">
        <w:rPr>
          <w:lang w:val="en-GB"/>
        </w:rPr>
        <w:t>the</w:t>
      </w:r>
      <w:r w:rsidR="00CB268D">
        <w:rPr>
          <w:lang w:val="en-GB"/>
        </w:rPr>
        <w:t>se</w:t>
      </w:r>
      <w:r w:rsidR="00510D3E">
        <w:rPr>
          <w:lang w:val="en-GB"/>
        </w:rPr>
        <w:t xml:space="preserve"> concepts of formal and informal institutions </w:t>
      </w:r>
      <w:r w:rsidR="007F5FBB">
        <w:rPr>
          <w:lang w:val="en-GB"/>
        </w:rPr>
        <w:t xml:space="preserve">to examine </w:t>
      </w:r>
      <w:r w:rsidR="00A27436">
        <w:rPr>
          <w:lang w:val="en-GB"/>
        </w:rPr>
        <w:t xml:space="preserve">how </w:t>
      </w:r>
      <w:r w:rsidR="00EF5BF1">
        <w:rPr>
          <w:lang w:val="en-GB"/>
        </w:rPr>
        <w:t xml:space="preserve">institutional contexts </w:t>
      </w:r>
      <w:r w:rsidR="009A2AD8">
        <w:rPr>
          <w:lang w:val="en-GB"/>
        </w:rPr>
        <w:t>impacts on the effectiveness of IPR regimes</w:t>
      </w:r>
      <w:r w:rsidR="005F1DCB">
        <w:rPr>
          <w:lang w:val="en-GB"/>
        </w:rPr>
        <w:t>.</w:t>
      </w:r>
      <w:r w:rsidR="00EF5BF1">
        <w:rPr>
          <w:lang w:val="en-GB"/>
        </w:rPr>
        <w:t xml:space="preserve"> </w:t>
      </w:r>
      <w:r w:rsidR="00CC0BC0">
        <w:rPr>
          <w:lang w:val="en-GB"/>
        </w:rPr>
        <w:t xml:space="preserve">This approach </w:t>
      </w:r>
      <w:r w:rsidR="00E91A56">
        <w:rPr>
          <w:lang w:val="en-GB"/>
        </w:rPr>
        <w:t>provides a means</w:t>
      </w:r>
      <w:r w:rsidR="005831F1">
        <w:rPr>
          <w:lang w:val="en-GB"/>
        </w:rPr>
        <w:t xml:space="preserve"> </w:t>
      </w:r>
      <w:r w:rsidR="005913D6">
        <w:rPr>
          <w:lang w:val="en-GB"/>
        </w:rPr>
        <w:t xml:space="preserve">to </w:t>
      </w:r>
      <w:r w:rsidR="005831F1">
        <w:rPr>
          <w:lang w:val="en-GB"/>
        </w:rPr>
        <w:t xml:space="preserve">consider the effects of formal legal rights and the behaviour of enforcement agents that implement IP law. Both of these institutional aspects affect the rules of the game in IPR regimes thereby influences the costs and risk to IP asset owners of using legal arenas to secure economic rights from legal rights. This </w:t>
      </w:r>
      <w:r w:rsidR="00F367F6">
        <w:rPr>
          <w:lang w:val="en-GB"/>
        </w:rPr>
        <w:t xml:space="preserve">approach </w:t>
      </w:r>
      <w:r w:rsidR="00D662EA">
        <w:rPr>
          <w:lang w:val="en-GB"/>
        </w:rPr>
        <w:t xml:space="preserve">therefore </w:t>
      </w:r>
      <w:r w:rsidR="00F367F6">
        <w:rPr>
          <w:lang w:val="en-GB"/>
        </w:rPr>
        <w:t xml:space="preserve">provides a comprehensive means of analysing how </w:t>
      </w:r>
      <w:r w:rsidR="0024367E">
        <w:rPr>
          <w:lang w:val="en-GB"/>
        </w:rPr>
        <w:t xml:space="preserve">the </w:t>
      </w:r>
      <w:r w:rsidR="005831F1">
        <w:rPr>
          <w:lang w:val="en-GB"/>
        </w:rPr>
        <w:t>institutional context</w:t>
      </w:r>
      <w:r w:rsidR="00334727">
        <w:rPr>
          <w:lang w:val="en-GB"/>
        </w:rPr>
        <w:t xml:space="preserve">s underpinning </w:t>
      </w:r>
      <w:r w:rsidR="005831F1">
        <w:rPr>
          <w:lang w:val="en-GB"/>
        </w:rPr>
        <w:t xml:space="preserve">IPR regimes affect </w:t>
      </w:r>
      <w:r w:rsidR="004C365D">
        <w:rPr>
          <w:lang w:val="en-GB"/>
        </w:rPr>
        <w:t>the costs and risk faced by IP asset owners</w:t>
      </w:r>
      <w:r w:rsidR="0024367E">
        <w:rPr>
          <w:lang w:val="en-GB"/>
        </w:rPr>
        <w:t xml:space="preserve">. </w:t>
      </w:r>
      <w:r w:rsidR="00EB7CEA">
        <w:rPr>
          <w:lang w:val="en-GB"/>
        </w:rPr>
        <w:t xml:space="preserve">The main differences from previous approaches is to separate the formal and informal institutional </w:t>
      </w:r>
      <w:r w:rsidR="00DC678D">
        <w:rPr>
          <w:lang w:val="en-GB"/>
        </w:rPr>
        <w:t xml:space="preserve">factors that affect enforcement and to connect this to how </w:t>
      </w:r>
      <w:r w:rsidR="00AC5127">
        <w:rPr>
          <w:lang w:val="en-GB"/>
        </w:rPr>
        <w:t xml:space="preserve">outcomes from using legal arenas </w:t>
      </w:r>
      <w:r w:rsidR="006736F6">
        <w:rPr>
          <w:lang w:val="en-GB"/>
        </w:rPr>
        <w:t xml:space="preserve">to protect IPR </w:t>
      </w:r>
      <w:r w:rsidR="00AC5127">
        <w:rPr>
          <w:lang w:val="en-GB"/>
        </w:rPr>
        <w:t xml:space="preserve">affect the process of converting legal rights into economic rights. </w:t>
      </w:r>
    </w:p>
    <w:p w14:paraId="4D22E738" w14:textId="5F94D321" w:rsidR="00313BB2" w:rsidRDefault="00C572A2" w:rsidP="0042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lang w:val="en-GB"/>
        </w:rPr>
      </w:pPr>
      <w:r>
        <w:rPr>
          <w:lang w:val="en-GB"/>
        </w:rPr>
        <w:t xml:space="preserve">The </w:t>
      </w:r>
      <w:r w:rsidR="0048536F" w:rsidRPr="001D77AF">
        <w:rPr>
          <w:lang w:val="en-GB"/>
        </w:rPr>
        <w:t xml:space="preserve">study makes two contributions to the international business literature. First, </w:t>
      </w:r>
      <w:r w:rsidR="000A0FF5">
        <w:rPr>
          <w:lang w:val="en-GB"/>
        </w:rPr>
        <w:t xml:space="preserve">the paper </w:t>
      </w:r>
      <w:r w:rsidR="00A72230" w:rsidRPr="001D77AF">
        <w:rPr>
          <w:lang w:val="en-GB"/>
        </w:rPr>
        <w:t>incorporat</w:t>
      </w:r>
      <w:r w:rsidR="000A0FF5">
        <w:rPr>
          <w:lang w:val="en-GB"/>
        </w:rPr>
        <w:t xml:space="preserve">es </w:t>
      </w:r>
      <w:r w:rsidR="00A72230" w:rsidRPr="001D77AF">
        <w:rPr>
          <w:lang w:val="en-GB"/>
        </w:rPr>
        <w:t xml:space="preserve">the </w:t>
      </w:r>
      <w:r w:rsidR="00517AF1" w:rsidRPr="001D77AF">
        <w:rPr>
          <w:lang w:val="en-GB"/>
        </w:rPr>
        <w:t xml:space="preserve">formal and informal </w:t>
      </w:r>
      <w:r w:rsidR="00A72230" w:rsidRPr="001D77AF">
        <w:rPr>
          <w:lang w:val="en-GB"/>
        </w:rPr>
        <w:t xml:space="preserve">institutional underpinnings of the </w:t>
      </w:r>
      <w:r w:rsidR="00531AF5">
        <w:rPr>
          <w:lang w:val="en-GB"/>
        </w:rPr>
        <w:t xml:space="preserve">IPR regimes </w:t>
      </w:r>
      <w:r w:rsidR="00877E61">
        <w:rPr>
          <w:lang w:val="en-GB"/>
        </w:rPr>
        <w:t xml:space="preserve">to provide a </w:t>
      </w:r>
      <w:r w:rsidR="00811496">
        <w:rPr>
          <w:lang w:val="en-GB"/>
        </w:rPr>
        <w:t xml:space="preserve">framework </w:t>
      </w:r>
      <w:r w:rsidR="00877E61">
        <w:rPr>
          <w:lang w:val="en-GB"/>
        </w:rPr>
        <w:t xml:space="preserve">to </w:t>
      </w:r>
      <w:r w:rsidR="000F4748">
        <w:rPr>
          <w:lang w:val="en-GB"/>
        </w:rPr>
        <w:t>analys</w:t>
      </w:r>
      <w:r w:rsidR="00877E61">
        <w:rPr>
          <w:lang w:val="en-GB"/>
        </w:rPr>
        <w:t>e</w:t>
      </w:r>
      <w:r w:rsidR="000F4748">
        <w:rPr>
          <w:lang w:val="en-GB"/>
        </w:rPr>
        <w:t xml:space="preserve"> </w:t>
      </w:r>
      <w:r w:rsidR="00A86576">
        <w:rPr>
          <w:lang w:val="en-GB"/>
        </w:rPr>
        <w:t>how using legal arenas affects the</w:t>
      </w:r>
      <w:r w:rsidR="00D14706">
        <w:rPr>
          <w:lang w:val="en-GB"/>
        </w:rPr>
        <w:t xml:space="preserve"> </w:t>
      </w:r>
      <w:r w:rsidR="00727BF7">
        <w:rPr>
          <w:lang w:val="en-GB"/>
        </w:rPr>
        <w:t xml:space="preserve">securing </w:t>
      </w:r>
      <w:r w:rsidR="00A72230" w:rsidRPr="001D77AF">
        <w:rPr>
          <w:lang w:val="en-GB"/>
        </w:rPr>
        <w:t xml:space="preserve">economic rights </w:t>
      </w:r>
      <w:r w:rsidR="00727BF7">
        <w:rPr>
          <w:lang w:val="en-GB"/>
        </w:rPr>
        <w:t>from legal rights</w:t>
      </w:r>
      <w:r w:rsidR="00A72230" w:rsidRPr="001D77AF">
        <w:rPr>
          <w:lang w:val="en-GB"/>
        </w:rPr>
        <w:t xml:space="preserve">. </w:t>
      </w:r>
      <w:r w:rsidR="00727BF7">
        <w:rPr>
          <w:lang w:val="en-GB"/>
        </w:rPr>
        <w:t xml:space="preserve">This </w:t>
      </w:r>
      <w:r w:rsidR="00D14706">
        <w:rPr>
          <w:lang w:val="en-GB"/>
        </w:rPr>
        <w:t xml:space="preserve">approach </w:t>
      </w:r>
      <w:r w:rsidR="007F5A16" w:rsidRPr="001D77AF">
        <w:rPr>
          <w:lang w:val="en-GB"/>
        </w:rPr>
        <w:t>highlight</w:t>
      </w:r>
      <w:r w:rsidR="00570FFD">
        <w:rPr>
          <w:lang w:val="en-GB"/>
        </w:rPr>
        <w:t>s</w:t>
      </w:r>
      <w:r w:rsidR="007F5A16" w:rsidRPr="001D77AF">
        <w:rPr>
          <w:lang w:val="en-GB"/>
        </w:rPr>
        <w:t xml:space="preserve"> </w:t>
      </w:r>
      <w:r w:rsidR="00A72230" w:rsidRPr="001D77AF">
        <w:rPr>
          <w:lang w:val="en-GB"/>
        </w:rPr>
        <w:t xml:space="preserve">the role of enforcement connected to informal institutions that </w:t>
      </w:r>
      <w:r w:rsidR="006A0FA1">
        <w:rPr>
          <w:lang w:val="en-GB"/>
        </w:rPr>
        <w:t>influence</w:t>
      </w:r>
      <w:r w:rsidR="006A0FA1" w:rsidRPr="001D77AF">
        <w:rPr>
          <w:lang w:val="en-GB"/>
        </w:rPr>
        <w:t xml:space="preserve"> </w:t>
      </w:r>
      <w:r w:rsidR="006A0FA1">
        <w:rPr>
          <w:lang w:val="en-GB"/>
        </w:rPr>
        <w:t>the</w:t>
      </w:r>
      <w:r w:rsidR="00A72230" w:rsidRPr="001D77AF">
        <w:rPr>
          <w:lang w:val="en-GB"/>
        </w:rPr>
        <w:t xml:space="preserve"> unwritten rules used by agents operating in legal arenas. </w:t>
      </w:r>
      <w:r w:rsidR="0056259A">
        <w:rPr>
          <w:lang w:val="en-GB"/>
        </w:rPr>
        <w:t>This aspect of enforcement is not</w:t>
      </w:r>
      <w:r w:rsidR="007B0C65" w:rsidRPr="007B0C65">
        <w:rPr>
          <w:lang w:val="en-GB"/>
        </w:rPr>
        <w:t xml:space="preserve"> </w:t>
      </w:r>
      <w:r w:rsidR="007B0C65">
        <w:rPr>
          <w:lang w:val="en-GB"/>
        </w:rPr>
        <w:t xml:space="preserve">properly incorporated into </w:t>
      </w:r>
      <w:r w:rsidR="00B03252">
        <w:rPr>
          <w:lang w:val="en-GB"/>
        </w:rPr>
        <w:t xml:space="preserve">existing studies on </w:t>
      </w:r>
      <w:r w:rsidR="007B0C65">
        <w:rPr>
          <w:lang w:val="en-GB"/>
        </w:rPr>
        <w:t xml:space="preserve">how IPR regimes </w:t>
      </w:r>
      <w:r w:rsidR="000C3519">
        <w:rPr>
          <w:lang w:val="en-GB"/>
        </w:rPr>
        <w:t xml:space="preserve">operate. </w:t>
      </w:r>
      <w:r w:rsidR="008E7C32">
        <w:rPr>
          <w:lang w:val="en-GB"/>
        </w:rPr>
        <w:t>T</w:t>
      </w:r>
      <w:r w:rsidR="00F72D23">
        <w:rPr>
          <w:lang w:val="en-GB"/>
        </w:rPr>
        <w:t xml:space="preserve">he study </w:t>
      </w:r>
      <w:r w:rsidR="00517AF1" w:rsidRPr="001D77AF">
        <w:rPr>
          <w:lang w:val="en-GB"/>
        </w:rPr>
        <w:t>find</w:t>
      </w:r>
      <w:r w:rsidR="00F72D23">
        <w:rPr>
          <w:lang w:val="en-GB"/>
        </w:rPr>
        <w:t>s</w:t>
      </w:r>
      <w:r w:rsidR="00517AF1" w:rsidRPr="001D77AF">
        <w:rPr>
          <w:lang w:val="en-GB"/>
        </w:rPr>
        <w:t xml:space="preserve"> that the </w:t>
      </w:r>
      <w:r w:rsidR="00E028ED">
        <w:rPr>
          <w:lang w:val="en-GB"/>
        </w:rPr>
        <w:t xml:space="preserve">characteristics </w:t>
      </w:r>
      <w:r w:rsidR="00517AF1" w:rsidRPr="001D77AF">
        <w:rPr>
          <w:lang w:val="en-GB"/>
        </w:rPr>
        <w:t xml:space="preserve">of informal institutions related to the enforcement of IP in a country has </w:t>
      </w:r>
      <w:r w:rsidR="00B62A6E">
        <w:rPr>
          <w:lang w:val="en-GB"/>
        </w:rPr>
        <w:t xml:space="preserve">a </w:t>
      </w:r>
      <w:r w:rsidR="00336734">
        <w:rPr>
          <w:lang w:val="en-GB"/>
        </w:rPr>
        <w:t xml:space="preserve">direct </w:t>
      </w:r>
      <w:r w:rsidR="00FB790B">
        <w:rPr>
          <w:lang w:val="en-GB"/>
        </w:rPr>
        <w:t xml:space="preserve">effect on outcomes </w:t>
      </w:r>
      <w:r w:rsidR="00336734">
        <w:rPr>
          <w:lang w:val="en-GB"/>
        </w:rPr>
        <w:t xml:space="preserve">and </w:t>
      </w:r>
      <w:r w:rsidR="00517AF1" w:rsidRPr="001D77AF">
        <w:rPr>
          <w:lang w:val="en-GB"/>
        </w:rPr>
        <w:t>a</w:t>
      </w:r>
      <w:r w:rsidR="00FB790B">
        <w:rPr>
          <w:lang w:val="en-GB"/>
        </w:rPr>
        <w:t>lso a</w:t>
      </w:r>
      <w:r w:rsidR="00517AF1" w:rsidRPr="001D77AF">
        <w:rPr>
          <w:lang w:val="en-GB"/>
        </w:rPr>
        <w:t xml:space="preserve"> moderating role on </w:t>
      </w:r>
      <w:r w:rsidR="00517AF1" w:rsidRPr="001D77AF">
        <w:rPr>
          <w:lang w:val="en-GB"/>
        </w:rPr>
        <w:lastRenderedPageBreak/>
        <w:t xml:space="preserve">the effect of formal legal aspects of IP law on FDI. </w:t>
      </w:r>
      <w:r w:rsidR="008E7C32">
        <w:rPr>
          <w:lang w:val="en-GB"/>
        </w:rPr>
        <w:t xml:space="preserve">This contribution highlights that consideration of informal as well as formal institutional aspects of </w:t>
      </w:r>
      <w:r w:rsidR="00FB790B">
        <w:rPr>
          <w:lang w:val="en-GB"/>
        </w:rPr>
        <w:t xml:space="preserve">enforcement in </w:t>
      </w:r>
      <w:r w:rsidR="008E7C32">
        <w:rPr>
          <w:lang w:val="en-GB"/>
        </w:rPr>
        <w:t xml:space="preserve">IPR regimes is necessary to understand the impact on cross-frontier economic transactions such as outward FDI. </w:t>
      </w:r>
      <w:r w:rsidR="00313BB2" w:rsidRPr="001D77AF">
        <w:rPr>
          <w:lang w:val="en-GB"/>
        </w:rPr>
        <w:t xml:space="preserve">Second, </w:t>
      </w:r>
      <w:r w:rsidR="00F04EAB">
        <w:rPr>
          <w:lang w:val="en-GB"/>
        </w:rPr>
        <w:t xml:space="preserve">the study </w:t>
      </w:r>
      <w:r w:rsidR="00447FB0" w:rsidRPr="001D77AF">
        <w:rPr>
          <w:lang w:val="en-GB"/>
        </w:rPr>
        <w:t>respond</w:t>
      </w:r>
      <w:r w:rsidR="00F04EAB">
        <w:rPr>
          <w:lang w:val="en-GB"/>
        </w:rPr>
        <w:t>s</w:t>
      </w:r>
      <w:r w:rsidR="00447FB0" w:rsidRPr="001D77AF">
        <w:rPr>
          <w:lang w:val="en-GB"/>
        </w:rPr>
        <w:t xml:space="preserve"> to</w:t>
      </w:r>
      <w:r w:rsidR="009D5B5E" w:rsidRPr="001D77AF">
        <w:rPr>
          <w:lang w:val="en-GB"/>
        </w:rPr>
        <w:t xml:space="preserve"> calls to develop</w:t>
      </w:r>
      <w:r w:rsidR="009D5B5E" w:rsidRPr="001D77AF">
        <w:rPr>
          <w:sz w:val="28"/>
          <w:lang w:val="en-GB"/>
        </w:rPr>
        <w:t xml:space="preserve"> </w:t>
      </w:r>
      <w:r w:rsidR="007F2E7A" w:rsidRPr="001D77AF">
        <w:rPr>
          <w:lang w:val="en-GB"/>
        </w:rPr>
        <w:t>understanding</w:t>
      </w:r>
      <w:r w:rsidR="00401E8B" w:rsidRPr="001D77AF">
        <w:rPr>
          <w:lang w:val="en-GB"/>
        </w:rPr>
        <w:t xml:space="preserve"> </w:t>
      </w:r>
      <w:r w:rsidR="007F5ECD" w:rsidRPr="001D77AF">
        <w:rPr>
          <w:lang w:val="en-GB"/>
        </w:rPr>
        <w:t xml:space="preserve">on </w:t>
      </w:r>
      <w:r w:rsidR="00320BE7">
        <w:rPr>
          <w:lang w:val="en-GB"/>
        </w:rPr>
        <w:t xml:space="preserve">the </w:t>
      </w:r>
      <w:r w:rsidR="009D5B5E" w:rsidRPr="001D77AF">
        <w:rPr>
          <w:lang w:val="en-GB"/>
        </w:rPr>
        <w:t>institution</w:t>
      </w:r>
      <w:r w:rsidR="00855F5A">
        <w:rPr>
          <w:lang w:val="en-GB"/>
        </w:rPr>
        <w:t>al context</w:t>
      </w:r>
      <w:r w:rsidR="009A641B">
        <w:rPr>
          <w:lang w:val="en-GB"/>
        </w:rPr>
        <w:t>s</w:t>
      </w:r>
      <w:r w:rsidR="00855F5A">
        <w:rPr>
          <w:lang w:val="en-GB"/>
        </w:rPr>
        <w:t xml:space="preserve"> that influence </w:t>
      </w:r>
      <w:r w:rsidR="001C19F8" w:rsidRPr="001D77AF">
        <w:rPr>
          <w:lang w:val="en-GB"/>
        </w:rPr>
        <w:t>the</w:t>
      </w:r>
      <w:r w:rsidR="00113CC0" w:rsidRPr="001D77AF">
        <w:rPr>
          <w:lang w:val="en-GB"/>
        </w:rPr>
        <w:t xml:space="preserve"> efficacy </w:t>
      </w:r>
      <w:r w:rsidR="001C19F8" w:rsidRPr="001D77AF">
        <w:rPr>
          <w:lang w:val="en-GB"/>
        </w:rPr>
        <w:t>of IPR regimes</w:t>
      </w:r>
      <w:r w:rsidR="00DC0F23">
        <w:rPr>
          <w:lang w:val="en-GB"/>
        </w:rPr>
        <w:t xml:space="preserve"> </w:t>
      </w:r>
      <w:r w:rsidR="009D5B5E" w:rsidRPr="001D77AF">
        <w:rPr>
          <w:lang w:val="en-GB"/>
        </w:rPr>
        <w:t>(Peng et al</w:t>
      </w:r>
      <w:r w:rsidR="00447FB0" w:rsidRPr="001D77AF">
        <w:rPr>
          <w:lang w:val="en-GB"/>
        </w:rPr>
        <w:t>.,</w:t>
      </w:r>
      <w:r w:rsidR="009D5B5E" w:rsidRPr="001D77AF">
        <w:rPr>
          <w:lang w:val="en-GB"/>
        </w:rPr>
        <w:t xml:space="preserve"> 2017a)</w:t>
      </w:r>
      <w:r w:rsidR="0048536F" w:rsidRPr="001D77AF">
        <w:rPr>
          <w:lang w:val="en-GB"/>
        </w:rPr>
        <w:t xml:space="preserve">. </w:t>
      </w:r>
      <w:r w:rsidR="00F04EAB">
        <w:rPr>
          <w:lang w:val="en-GB"/>
        </w:rPr>
        <w:t xml:space="preserve">This </w:t>
      </w:r>
      <w:r w:rsidR="005C2B16">
        <w:rPr>
          <w:lang w:val="en-GB"/>
        </w:rPr>
        <w:t xml:space="preserve">study </w:t>
      </w:r>
      <w:r w:rsidR="00FA2BDF">
        <w:rPr>
          <w:lang w:val="en-GB"/>
        </w:rPr>
        <w:t>develop</w:t>
      </w:r>
      <w:r w:rsidR="003E51C0">
        <w:rPr>
          <w:lang w:val="en-GB"/>
        </w:rPr>
        <w:t>s</w:t>
      </w:r>
      <w:r w:rsidR="00FA2BDF">
        <w:rPr>
          <w:lang w:val="en-GB"/>
        </w:rPr>
        <w:t xml:space="preserve"> </w:t>
      </w:r>
      <w:r w:rsidR="00447FB0" w:rsidRPr="001D77AF">
        <w:rPr>
          <w:lang w:val="en-GB"/>
        </w:rPr>
        <w:t>the literature</w:t>
      </w:r>
      <w:r w:rsidR="00017D28" w:rsidRPr="001D77AF">
        <w:rPr>
          <w:lang w:val="en-GB"/>
        </w:rPr>
        <w:t xml:space="preserve"> by</w:t>
      </w:r>
      <w:r w:rsidR="009E1975" w:rsidRPr="001D77AF">
        <w:rPr>
          <w:lang w:val="en-GB"/>
        </w:rPr>
        <w:t xml:space="preserve"> </w:t>
      </w:r>
      <w:r w:rsidR="00FA2BDF">
        <w:rPr>
          <w:lang w:val="en-GB"/>
        </w:rPr>
        <w:t xml:space="preserve">considering </w:t>
      </w:r>
      <w:r w:rsidR="00573C54">
        <w:rPr>
          <w:lang w:val="en-GB"/>
        </w:rPr>
        <w:t xml:space="preserve">the </w:t>
      </w:r>
      <w:r w:rsidR="001E3647">
        <w:rPr>
          <w:lang w:val="en-GB"/>
        </w:rPr>
        <w:t xml:space="preserve">implications for outward FDI of the </w:t>
      </w:r>
      <w:r w:rsidR="00FD46BA">
        <w:rPr>
          <w:lang w:val="en-GB"/>
        </w:rPr>
        <w:t xml:space="preserve">configuration of </w:t>
      </w:r>
      <w:r w:rsidR="009E1975" w:rsidRPr="001D77AF">
        <w:rPr>
          <w:lang w:val="en-GB"/>
        </w:rPr>
        <w:t xml:space="preserve">formal and informal institutions </w:t>
      </w:r>
      <w:r w:rsidR="00FA2BDF">
        <w:rPr>
          <w:lang w:val="en-GB"/>
        </w:rPr>
        <w:t xml:space="preserve">that </w:t>
      </w:r>
      <w:r w:rsidR="00D96792">
        <w:rPr>
          <w:lang w:val="en-GB"/>
        </w:rPr>
        <w:t xml:space="preserve">are </w:t>
      </w:r>
      <w:r w:rsidR="009E1975" w:rsidRPr="001D77AF">
        <w:rPr>
          <w:lang w:val="en-GB"/>
        </w:rPr>
        <w:t xml:space="preserve">directly </w:t>
      </w:r>
      <w:r w:rsidR="00D96792">
        <w:rPr>
          <w:lang w:val="en-GB"/>
        </w:rPr>
        <w:t xml:space="preserve">connected </w:t>
      </w:r>
      <w:r w:rsidR="009E1975" w:rsidRPr="001D77AF">
        <w:rPr>
          <w:lang w:val="en-GB"/>
        </w:rPr>
        <w:t xml:space="preserve">to </w:t>
      </w:r>
      <w:r w:rsidR="00027399" w:rsidRPr="001D77AF">
        <w:rPr>
          <w:lang w:val="en-GB"/>
        </w:rPr>
        <w:t xml:space="preserve">how </w:t>
      </w:r>
      <w:r w:rsidR="009E1975" w:rsidRPr="001D77AF">
        <w:rPr>
          <w:lang w:val="en-GB"/>
        </w:rPr>
        <w:t xml:space="preserve">IPR regimes </w:t>
      </w:r>
      <w:r w:rsidR="00027399" w:rsidRPr="001D77AF">
        <w:rPr>
          <w:lang w:val="en-GB"/>
        </w:rPr>
        <w:t>operate in legal arenas</w:t>
      </w:r>
      <w:r w:rsidR="003B69E2">
        <w:rPr>
          <w:lang w:val="en-GB"/>
        </w:rPr>
        <w:t>.</w:t>
      </w:r>
      <w:r w:rsidR="00437A09">
        <w:rPr>
          <w:lang w:val="en-GB"/>
        </w:rPr>
        <w:t xml:space="preserve"> </w:t>
      </w:r>
      <w:r w:rsidR="001D4891">
        <w:rPr>
          <w:lang w:val="en-GB"/>
        </w:rPr>
        <w:t>T</w:t>
      </w:r>
      <w:r w:rsidR="003B69E2">
        <w:rPr>
          <w:lang w:val="en-GB"/>
        </w:rPr>
        <w:t xml:space="preserve">his approach responds to </w:t>
      </w:r>
      <w:r w:rsidR="009E1975" w:rsidRPr="001D77AF">
        <w:rPr>
          <w:lang w:val="en-GB"/>
        </w:rPr>
        <w:t xml:space="preserve">calls </w:t>
      </w:r>
      <w:r w:rsidR="004B1D3A">
        <w:rPr>
          <w:lang w:val="en-GB"/>
        </w:rPr>
        <w:t xml:space="preserve">for </w:t>
      </w:r>
      <w:r w:rsidR="00BA501C">
        <w:rPr>
          <w:lang w:val="en-GB"/>
        </w:rPr>
        <w:t xml:space="preserve">focusing more accurately on </w:t>
      </w:r>
      <w:r w:rsidR="000E6DB6">
        <w:rPr>
          <w:lang w:val="en-GB"/>
        </w:rPr>
        <w:t xml:space="preserve">institutions </w:t>
      </w:r>
      <w:r w:rsidR="00FE7083">
        <w:rPr>
          <w:lang w:val="en-GB"/>
        </w:rPr>
        <w:t xml:space="preserve">that are specifically and directly related </w:t>
      </w:r>
      <w:r w:rsidR="004B1D3A">
        <w:rPr>
          <w:lang w:val="en-GB"/>
        </w:rPr>
        <w:t xml:space="preserve">to </w:t>
      </w:r>
      <w:r w:rsidR="009E1975" w:rsidRPr="001D77AF">
        <w:rPr>
          <w:lang w:val="en-GB"/>
        </w:rPr>
        <w:t>particular types of economic transactions (Shirley, 2013; Voigt, 2013</w:t>
      </w:r>
      <w:r w:rsidR="00D277EE">
        <w:rPr>
          <w:lang w:val="en-GB"/>
        </w:rPr>
        <w:t xml:space="preserve"> &amp; 2018</w:t>
      </w:r>
      <w:r w:rsidR="009E1975" w:rsidRPr="001D77AF">
        <w:rPr>
          <w:lang w:val="en-GB"/>
        </w:rPr>
        <w:t>).</w:t>
      </w:r>
      <w:r w:rsidR="00C03873">
        <w:rPr>
          <w:lang w:val="en-GB"/>
        </w:rPr>
        <w:t xml:space="preserve"> </w:t>
      </w:r>
      <w:r w:rsidR="00472298">
        <w:rPr>
          <w:lang w:val="en-GB"/>
        </w:rPr>
        <w:t xml:space="preserve">This study </w:t>
      </w:r>
      <w:r w:rsidR="00F25AB7">
        <w:rPr>
          <w:lang w:val="en-GB"/>
        </w:rPr>
        <w:t xml:space="preserve">does this by specifying the formal and informal institutions that are </w:t>
      </w:r>
      <w:r w:rsidR="00304F30">
        <w:rPr>
          <w:lang w:val="en-GB"/>
        </w:rPr>
        <w:t xml:space="preserve">explicitly </w:t>
      </w:r>
      <w:r w:rsidR="00515383">
        <w:rPr>
          <w:lang w:val="en-GB"/>
        </w:rPr>
        <w:t>involved in IPR ma</w:t>
      </w:r>
      <w:r w:rsidR="00304F30">
        <w:rPr>
          <w:lang w:val="en-GB"/>
        </w:rPr>
        <w:t>t</w:t>
      </w:r>
      <w:r w:rsidR="00515383">
        <w:rPr>
          <w:lang w:val="en-GB"/>
        </w:rPr>
        <w:t>ters rather than using national</w:t>
      </w:r>
      <w:r w:rsidR="000B4193">
        <w:rPr>
          <w:lang w:val="en-GB"/>
        </w:rPr>
        <w:t xml:space="preserve"> concepts and measures of institutions. </w:t>
      </w:r>
      <w:r w:rsidR="00515383">
        <w:rPr>
          <w:lang w:val="en-GB"/>
        </w:rPr>
        <w:t xml:space="preserve"> </w:t>
      </w:r>
      <w:r w:rsidR="00F25AB7">
        <w:rPr>
          <w:lang w:val="en-GB"/>
        </w:rPr>
        <w:t xml:space="preserve"> </w:t>
      </w:r>
      <w:r w:rsidR="00472298">
        <w:rPr>
          <w:lang w:val="en-GB"/>
        </w:rPr>
        <w:t xml:space="preserve"> </w:t>
      </w:r>
    </w:p>
    <w:p w14:paraId="0637CEDD" w14:textId="77777777" w:rsidR="00426068" w:rsidRPr="001D77AF" w:rsidRDefault="00426068" w:rsidP="0042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b/>
          <w:lang w:val="en-GB"/>
        </w:rPr>
      </w:pPr>
    </w:p>
    <w:p w14:paraId="3B139457" w14:textId="1499035E" w:rsidR="00214BEE" w:rsidRPr="001D77AF" w:rsidRDefault="00C56BA2" w:rsidP="00832A8C">
      <w:pPr>
        <w:spacing w:line="480" w:lineRule="auto"/>
        <w:jc w:val="both"/>
        <w:rPr>
          <w:b/>
          <w:lang w:val="en-GB"/>
        </w:rPr>
      </w:pPr>
      <w:r w:rsidRPr="001D77AF">
        <w:rPr>
          <w:b/>
          <w:lang w:val="en-GB"/>
        </w:rPr>
        <w:t>2</w:t>
      </w:r>
      <w:r w:rsidR="00D34B0F" w:rsidRPr="001D77AF">
        <w:rPr>
          <w:b/>
          <w:lang w:val="en-GB"/>
        </w:rPr>
        <w:t>.</w:t>
      </w:r>
      <w:r w:rsidR="00D34B0F" w:rsidRPr="001D77AF">
        <w:rPr>
          <w:b/>
          <w:lang w:val="en-GB"/>
        </w:rPr>
        <w:tab/>
      </w:r>
      <w:r w:rsidR="00004460" w:rsidRPr="001D77AF">
        <w:rPr>
          <w:i/>
          <w:lang w:val="en-GB"/>
        </w:rPr>
        <w:t xml:space="preserve"> </w:t>
      </w:r>
      <w:r w:rsidR="009D5B5E" w:rsidRPr="001D77AF">
        <w:rPr>
          <w:b/>
          <w:lang w:val="en-GB"/>
        </w:rPr>
        <w:t>Economic Rights and IPR</w:t>
      </w:r>
      <w:r w:rsidR="007305C0" w:rsidRPr="001D77AF">
        <w:rPr>
          <w:b/>
          <w:lang w:val="en-GB"/>
        </w:rPr>
        <w:t xml:space="preserve"> Systems</w:t>
      </w:r>
    </w:p>
    <w:p w14:paraId="6150CE49" w14:textId="7A9B9ABB" w:rsidR="007B2E85" w:rsidRPr="001D77AF" w:rsidRDefault="002D179D" w:rsidP="00832A8C">
      <w:pPr>
        <w:spacing w:line="480" w:lineRule="auto"/>
        <w:jc w:val="both"/>
        <w:rPr>
          <w:lang w:val="en-GB"/>
        </w:rPr>
      </w:pPr>
      <w:r w:rsidRPr="001D77AF">
        <w:rPr>
          <w:lang w:val="en-GB"/>
        </w:rPr>
        <w:t>In the economics of property rights approach it is normally assumed that enforcing contracts is ‘costless and efficacious’</w:t>
      </w:r>
      <w:r w:rsidR="00B80325" w:rsidRPr="001D77AF">
        <w:rPr>
          <w:lang w:val="en-GB"/>
        </w:rPr>
        <w:t xml:space="preserve">, while </w:t>
      </w:r>
      <w:r w:rsidRPr="001D77AF">
        <w:rPr>
          <w:lang w:val="en-GB"/>
        </w:rPr>
        <w:t>in the transaction costs economics (TCE) approach the assumption is that contract</w:t>
      </w:r>
      <w:r w:rsidR="00B80325" w:rsidRPr="001D77AF">
        <w:rPr>
          <w:lang w:val="en-GB"/>
        </w:rPr>
        <w:t xml:space="preserve"> enforcement </w:t>
      </w:r>
      <w:r w:rsidRPr="001D77AF">
        <w:rPr>
          <w:lang w:val="en-GB"/>
        </w:rPr>
        <w:t>is ‘reasonably well defined and secure’ (Williamson, 1998, p</w:t>
      </w:r>
      <w:r w:rsidR="00B80325" w:rsidRPr="001D77AF">
        <w:rPr>
          <w:lang w:val="en-GB"/>
        </w:rPr>
        <w:t>.</w:t>
      </w:r>
      <w:r w:rsidR="00C36A2F" w:rsidRPr="001D77AF">
        <w:rPr>
          <w:lang w:val="en-GB"/>
        </w:rPr>
        <w:t xml:space="preserve"> </w:t>
      </w:r>
      <w:r w:rsidRPr="001D77AF">
        <w:rPr>
          <w:lang w:val="en-GB"/>
        </w:rPr>
        <w:t>40). Th</w:t>
      </w:r>
      <w:r w:rsidR="00E97B20" w:rsidRPr="001D77AF">
        <w:rPr>
          <w:lang w:val="en-GB"/>
        </w:rPr>
        <w:t xml:space="preserve">ese assumptions </w:t>
      </w:r>
      <w:r w:rsidRPr="001D77AF">
        <w:rPr>
          <w:lang w:val="en-GB"/>
        </w:rPr>
        <w:t>impl</w:t>
      </w:r>
      <w:r w:rsidR="00E97B20" w:rsidRPr="001D77AF">
        <w:rPr>
          <w:lang w:val="en-GB"/>
        </w:rPr>
        <w:t>y</w:t>
      </w:r>
      <w:r w:rsidRPr="001D77AF">
        <w:rPr>
          <w:lang w:val="en-GB"/>
        </w:rPr>
        <w:t xml:space="preserve"> that securing effective property rights </w:t>
      </w:r>
      <w:r w:rsidR="00703972" w:rsidRPr="001D77AF">
        <w:rPr>
          <w:lang w:val="en-GB"/>
        </w:rPr>
        <w:t xml:space="preserve">in legal arenas </w:t>
      </w:r>
      <w:r w:rsidRPr="001D77AF">
        <w:rPr>
          <w:lang w:val="en-GB"/>
        </w:rPr>
        <w:t>is not a serious problem other than in cases of countries that have significant institutional voids (</w:t>
      </w:r>
      <w:r w:rsidRPr="00BF4784">
        <w:rPr>
          <w:lang w:val="en-GB"/>
        </w:rPr>
        <w:t>Doh et al., 2017; Khanna &amp; Palepu, 1997</w:t>
      </w:r>
      <w:r w:rsidR="00B80325" w:rsidRPr="00BF4784">
        <w:rPr>
          <w:lang w:val="en-GB"/>
        </w:rPr>
        <w:t>,</w:t>
      </w:r>
      <w:r w:rsidRPr="00B61798">
        <w:rPr>
          <w:lang w:val="en-GB"/>
        </w:rPr>
        <w:t xml:space="preserve"> 2010</w:t>
      </w:r>
      <w:r w:rsidRPr="001D77AF">
        <w:rPr>
          <w:lang w:val="en-GB"/>
        </w:rPr>
        <w:t xml:space="preserve">). </w:t>
      </w:r>
      <w:r w:rsidR="00B80325" w:rsidRPr="001D77AF">
        <w:rPr>
          <w:lang w:val="en-GB"/>
        </w:rPr>
        <w:t>A</w:t>
      </w:r>
      <w:r w:rsidR="00C36A2F" w:rsidRPr="001D77AF">
        <w:rPr>
          <w:lang w:val="en-GB"/>
        </w:rPr>
        <w:t>ccording to the TCE view</w:t>
      </w:r>
      <w:r w:rsidR="00B80325" w:rsidRPr="001D77AF">
        <w:rPr>
          <w:lang w:val="en-GB"/>
        </w:rPr>
        <w:t>,</w:t>
      </w:r>
      <w:r w:rsidR="00B2328E" w:rsidRPr="001D77AF">
        <w:rPr>
          <w:lang w:val="en-GB"/>
        </w:rPr>
        <w:t xml:space="preserve"> </w:t>
      </w:r>
      <w:r w:rsidR="00B80325" w:rsidRPr="001D77AF">
        <w:rPr>
          <w:lang w:val="en-GB"/>
        </w:rPr>
        <w:t xml:space="preserve">the main requirement for firms </w:t>
      </w:r>
      <w:r w:rsidR="00B2328E" w:rsidRPr="001D77AF">
        <w:rPr>
          <w:lang w:val="en-GB"/>
        </w:rPr>
        <w:t>i</w:t>
      </w:r>
      <w:r w:rsidRPr="001D77AF">
        <w:rPr>
          <w:lang w:val="en-GB"/>
        </w:rPr>
        <w:t xml:space="preserve">n locations with no significant institutional voids </w:t>
      </w:r>
      <w:r w:rsidR="0024189D" w:rsidRPr="001D77AF">
        <w:rPr>
          <w:lang w:val="en-GB"/>
        </w:rPr>
        <w:t>is</w:t>
      </w:r>
      <w:r w:rsidRPr="001D77AF">
        <w:rPr>
          <w:lang w:val="en-GB"/>
        </w:rPr>
        <w:t xml:space="preserve"> to establish governance systems that permit the securing of value from the property rights granted to them (Williamson, 1992). </w:t>
      </w:r>
      <w:r w:rsidR="00B80325" w:rsidRPr="001D77AF">
        <w:rPr>
          <w:lang w:val="en-GB"/>
        </w:rPr>
        <w:t>Legal rights are assumed to be clear, comprehensive and enforceable, suggesting that</w:t>
      </w:r>
      <w:r w:rsidR="00B80325" w:rsidRPr="001D77AF" w:rsidDel="00B80325">
        <w:rPr>
          <w:lang w:val="en-GB"/>
        </w:rPr>
        <w:t xml:space="preserve"> </w:t>
      </w:r>
      <w:r w:rsidR="00B80325" w:rsidRPr="001D77AF">
        <w:rPr>
          <w:lang w:val="en-GB"/>
        </w:rPr>
        <w:t>the use</w:t>
      </w:r>
      <w:r w:rsidRPr="001D77AF">
        <w:rPr>
          <w:lang w:val="en-GB"/>
        </w:rPr>
        <w:t xml:space="preserve"> </w:t>
      </w:r>
      <w:r w:rsidR="009F5CB7" w:rsidRPr="001D77AF">
        <w:rPr>
          <w:lang w:val="en-GB"/>
        </w:rPr>
        <w:t xml:space="preserve">of </w:t>
      </w:r>
      <w:r w:rsidRPr="001D77AF">
        <w:rPr>
          <w:lang w:val="en-GB"/>
        </w:rPr>
        <w:t>legal syste</w:t>
      </w:r>
      <w:r w:rsidR="00B80325" w:rsidRPr="001D77AF">
        <w:rPr>
          <w:lang w:val="en-GB"/>
        </w:rPr>
        <w:t>m</w:t>
      </w:r>
      <w:r w:rsidR="00C44D9C">
        <w:rPr>
          <w:lang w:val="en-GB"/>
        </w:rPr>
        <w:t>s</w:t>
      </w:r>
      <w:r w:rsidRPr="001D77AF">
        <w:rPr>
          <w:lang w:val="en-GB"/>
        </w:rPr>
        <w:t xml:space="preserve"> to protect against infringements of property rights </w:t>
      </w:r>
      <w:r w:rsidR="00B80325" w:rsidRPr="001D77AF">
        <w:rPr>
          <w:lang w:val="en-GB"/>
        </w:rPr>
        <w:t xml:space="preserve">is </w:t>
      </w:r>
      <w:r w:rsidR="00C57DBF" w:rsidRPr="001D77AF">
        <w:rPr>
          <w:lang w:val="en-GB"/>
        </w:rPr>
        <w:t xml:space="preserve">available at </w:t>
      </w:r>
      <w:r w:rsidRPr="001D77AF">
        <w:rPr>
          <w:lang w:val="en-GB"/>
        </w:rPr>
        <w:t>low cost</w:t>
      </w:r>
      <w:r w:rsidR="007A7143">
        <w:rPr>
          <w:lang w:val="en-GB"/>
        </w:rPr>
        <w:t>s</w:t>
      </w:r>
      <w:r w:rsidRPr="001D77AF">
        <w:rPr>
          <w:lang w:val="en-GB"/>
        </w:rPr>
        <w:t xml:space="preserve"> and risk. </w:t>
      </w:r>
      <w:r w:rsidR="00B80325" w:rsidRPr="001D77AF">
        <w:rPr>
          <w:lang w:val="en-GB"/>
        </w:rPr>
        <w:t>The TCE view is that i</w:t>
      </w:r>
      <w:r w:rsidRPr="001D77AF">
        <w:rPr>
          <w:lang w:val="en-GB"/>
        </w:rPr>
        <w:t xml:space="preserve">f institutional voids </w:t>
      </w:r>
      <w:r w:rsidR="00555E07" w:rsidRPr="001D77AF">
        <w:rPr>
          <w:lang w:val="en-GB"/>
        </w:rPr>
        <w:t xml:space="preserve">lead to </w:t>
      </w:r>
      <w:r w:rsidR="001B5132" w:rsidRPr="001D77AF">
        <w:rPr>
          <w:lang w:val="en-GB"/>
        </w:rPr>
        <w:t xml:space="preserve">significant </w:t>
      </w:r>
      <w:r w:rsidRPr="001D77AF">
        <w:rPr>
          <w:lang w:val="en-GB"/>
        </w:rPr>
        <w:t>missing or unclear legal rights</w:t>
      </w:r>
      <w:r w:rsidR="00B80325" w:rsidRPr="001D77AF">
        <w:rPr>
          <w:lang w:val="en-GB"/>
        </w:rPr>
        <w:t>, then</w:t>
      </w:r>
      <w:r w:rsidRPr="001D77AF">
        <w:rPr>
          <w:lang w:val="en-GB"/>
        </w:rPr>
        <w:t xml:space="preserve"> the govern</w:t>
      </w:r>
      <w:r w:rsidR="00B80325" w:rsidRPr="001D77AF">
        <w:rPr>
          <w:lang w:val="en-GB"/>
        </w:rPr>
        <w:t xml:space="preserve">ance </w:t>
      </w:r>
      <w:r w:rsidRPr="001D77AF">
        <w:rPr>
          <w:lang w:val="en-GB"/>
        </w:rPr>
        <w:t>systems of firms need to be geared to</w:t>
      </w:r>
      <w:r w:rsidR="00B80325" w:rsidRPr="001D77AF">
        <w:rPr>
          <w:lang w:val="en-GB"/>
        </w:rPr>
        <w:t xml:space="preserve">wards </w:t>
      </w:r>
      <w:r w:rsidR="00B80325" w:rsidRPr="001D77AF">
        <w:rPr>
          <w:lang w:val="en-GB"/>
        </w:rPr>
        <w:lastRenderedPageBreak/>
        <w:t>the</w:t>
      </w:r>
      <w:r w:rsidRPr="001D77AF">
        <w:rPr>
          <w:lang w:val="en-GB"/>
        </w:rPr>
        <w:t xml:space="preserve"> manag</w:t>
      </w:r>
      <w:r w:rsidR="00B80325" w:rsidRPr="001D77AF">
        <w:rPr>
          <w:lang w:val="en-GB"/>
        </w:rPr>
        <w:t xml:space="preserve">ement of </w:t>
      </w:r>
      <w:r w:rsidR="00973143">
        <w:rPr>
          <w:lang w:val="en-GB"/>
        </w:rPr>
        <w:t xml:space="preserve">serious </w:t>
      </w:r>
      <w:r w:rsidRPr="001D77AF">
        <w:rPr>
          <w:lang w:val="en-GB"/>
        </w:rPr>
        <w:t xml:space="preserve">incomplete contracts problems </w:t>
      </w:r>
      <w:r w:rsidR="00EB1FC4" w:rsidRPr="001D77AF">
        <w:rPr>
          <w:lang w:val="en-GB"/>
        </w:rPr>
        <w:t xml:space="preserve">that arise from such voids </w:t>
      </w:r>
      <w:r w:rsidRPr="001D77AF">
        <w:rPr>
          <w:lang w:val="en-GB"/>
        </w:rPr>
        <w:t xml:space="preserve">(Williamson, 1998). </w:t>
      </w:r>
      <w:r w:rsidR="001B6B3E" w:rsidRPr="001D77AF">
        <w:rPr>
          <w:lang w:val="en-GB"/>
        </w:rPr>
        <w:t xml:space="preserve">While </w:t>
      </w:r>
      <w:r w:rsidRPr="001D77AF">
        <w:rPr>
          <w:lang w:val="en-GB"/>
        </w:rPr>
        <w:t xml:space="preserve">contracts are </w:t>
      </w:r>
      <w:r w:rsidR="001B6B3E" w:rsidRPr="001D77AF">
        <w:rPr>
          <w:lang w:val="en-GB"/>
        </w:rPr>
        <w:t xml:space="preserve">generally </w:t>
      </w:r>
      <w:r w:rsidR="00B80325" w:rsidRPr="001D77AF">
        <w:rPr>
          <w:lang w:val="en-GB"/>
        </w:rPr>
        <w:t xml:space="preserve">expected to be </w:t>
      </w:r>
      <w:r w:rsidRPr="001D77AF">
        <w:rPr>
          <w:lang w:val="en-GB"/>
        </w:rPr>
        <w:t xml:space="preserve">incomplete due to bounded rationality and </w:t>
      </w:r>
      <w:r w:rsidR="005B0999" w:rsidRPr="001D77AF">
        <w:rPr>
          <w:lang w:val="en-GB"/>
        </w:rPr>
        <w:t>information asymmetries</w:t>
      </w:r>
      <w:r w:rsidR="001B6B3E" w:rsidRPr="001D77AF">
        <w:rPr>
          <w:lang w:val="en-GB"/>
        </w:rPr>
        <w:t>,</w:t>
      </w:r>
      <w:r w:rsidR="00A35D53" w:rsidRPr="001D77AF">
        <w:rPr>
          <w:lang w:val="en-GB"/>
        </w:rPr>
        <w:t xml:space="preserve"> </w:t>
      </w:r>
      <w:r w:rsidR="00E54EEB" w:rsidRPr="001D77AF">
        <w:rPr>
          <w:lang w:val="en-GB"/>
        </w:rPr>
        <w:t>i</w:t>
      </w:r>
      <w:r w:rsidRPr="001D77AF">
        <w:rPr>
          <w:lang w:val="en-GB"/>
        </w:rPr>
        <w:t xml:space="preserve">nstitutional voids </w:t>
      </w:r>
      <w:r w:rsidR="00B80325" w:rsidRPr="001D77AF">
        <w:rPr>
          <w:lang w:val="en-GB"/>
        </w:rPr>
        <w:t xml:space="preserve">are expected to </w:t>
      </w:r>
      <w:r w:rsidRPr="001D77AF">
        <w:rPr>
          <w:lang w:val="en-GB"/>
        </w:rPr>
        <w:t xml:space="preserve">make </w:t>
      </w:r>
      <w:r w:rsidR="001B6B3E" w:rsidRPr="001D77AF">
        <w:rPr>
          <w:lang w:val="en-GB"/>
        </w:rPr>
        <w:t xml:space="preserve">the problems from </w:t>
      </w:r>
      <w:r w:rsidR="00375BB2" w:rsidRPr="001D77AF">
        <w:rPr>
          <w:lang w:val="en-GB"/>
        </w:rPr>
        <w:t>incomplete contract</w:t>
      </w:r>
      <w:r w:rsidR="001B6B3E" w:rsidRPr="001D77AF">
        <w:rPr>
          <w:lang w:val="en-GB"/>
        </w:rPr>
        <w:t>s</w:t>
      </w:r>
      <w:r w:rsidRPr="001D77AF">
        <w:rPr>
          <w:lang w:val="en-GB"/>
        </w:rPr>
        <w:t xml:space="preserve"> more severe. </w:t>
      </w:r>
    </w:p>
    <w:p w14:paraId="4CC0DFA1" w14:textId="2C979428" w:rsidR="002D179D" w:rsidRPr="001D77AF" w:rsidRDefault="00E44DE7" w:rsidP="00D97580">
      <w:pPr>
        <w:spacing w:line="480" w:lineRule="auto"/>
        <w:ind w:firstLine="720"/>
        <w:jc w:val="both"/>
        <w:rPr>
          <w:lang w:val="en-GB"/>
        </w:rPr>
      </w:pPr>
      <w:r>
        <w:rPr>
          <w:lang w:val="en-GB"/>
        </w:rPr>
        <w:t>S</w:t>
      </w:r>
      <w:r w:rsidR="00457169" w:rsidRPr="001D77AF">
        <w:rPr>
          <w:lang w:val="en-GB"/>
        </w:rPr>
        <w:t xml:space="preserve">tudies </w:t>
      </w:r>
      <w:r w:rsidR="00A56751" w:rsidRPr="001D77AF">
        <w:rPr>
          <w:lang w:val="en-GB"/>
        </w:rPr>
        <w:t>researching</w:t>
      </w:r>
      <w:r w:rsidR="00457169" w:rsidRPr="001D77AF">
        <w:rPr>
          <w:lang w:val="en-GB"/>
        </w:rPr>
        <w:t xml:space="preserve"> the context of cross-border economic transactions rarely consider explicitly the </w:t>
      </w:r>
      <w:r w:rsidR="00BC1906" w:rsidRPr="001D77AF">
        <w:rPr>
          <w:lang w:val="en-GB"/>
        </w:rPr>
        <w:t>p</w:t>
      </w:r>
      <w:r w:rsidR="002D179D" w:rsidRPr="001D77AF">
        <w:rPr>
          <w:lang w:val="en-GB"/>
        </w:rPr>
        <w:t xml:space="preserve">roblems of enforcing contracts </w:t>
      </w:r>
      <w:r w:rsidR="00457169" w:rsidRPr="001D77AF">
        <w:rPr>
          <w:lang w:val="en-GB"/>
        </w:rPr>
        <w:t>when</w:t>
      </w:r>
      <w:r w:rsidR="004D64C6" w:rsidRPr="001D77AF">
        <w:rPr>
          <w:lang w:val="en-GB"/>
        </w:rPr>
        <w:t xml:space="preserve"> using legal systems</w:t>
      </w:r>
      <w:r w:rsidR="00457169" w:rsidRPr="001D77AF">
        <w:rPr>
          <w:lang w:val="en-GB"/>
        </w:rPr>
        <w:t xml:space="preserve">. </w:t>
      </w:r>
      <w:r w:rsidR="0091112E">
        <w:rPr>
          <w:lang w:val="en-GB"/>
        </w:rPr>
        <w:t>S</w:t>
      </w:r>
      <w:r w:rsidR="00457169" w:rsidRPr="001D77AF">
        <w:rPr>
          <w:lang w:val="en-GB"/>
        </w:rPr>
        <w:t xml:space="preserve">uch problems can </w:t>
      </w:r>
      <w:r w:rsidR="0091112E">
        <w:rPr>
          <w:lang w:val="en-GB"/>
        </w:rPr>
        <w:t xml:space="preserve">however </w:t>
      </w:r>
      <w:r w:rsidR="00457169" w:rsidRPr="001D77AF">
        <w:rPr>
          <w:lang w:val="en-GB"/>
        </w:rPr>
        <w:t xml:space="preserve">arise </w:t>
      </w:r>
      <w:r w:rsidR="00E54EEB" w:rsidRPr="001D77AF">
        <w:rPr>
          <w:lang w:val="en-GB"/>
        </w:rPr>
        <w:t>when firms attempt to defend their legal rights but face high transaction costs and risk due to ineffective enforceability of the rights in a specific legal system</w:t>
      </w:r>
      <w:r w:rsidR="00457169" w:rsidRPr="001D77AF">
        <w:rPr>
          <w:lang w:val="en-GB"/>
        </w:rPr>
        <w:t xml:space="preserve">. </w:t>
      </w:r>
      <w:r w:rsidR="00EE7FD1" w:rsidRPr="001D77AF">
        <w:rPr>
          <w:lang w:val="en-GB"/>
        </w:rPr>
        <w:t>Th</w:t>
      </w:r>
      <w:r w:rsidR="00571C21" w:rsidRPr="001D77AF">
        <w:rPr>
          <w:lang w:val="en-GB"/>
        </w:rPr>
        <w:t xml:space="preserve">ese problems are </w:t>
      </w:r>
      <w:r w:rsidR="007671E3" w:rsidRPr="001D77AF">
        <w:rPr>
          <w:lang w:val="en-GB"/>
        </w:rPr>
        <w:t>not necessarily</w:t>
      </w:r>
      <w:r w:rsidR="00F16724" w:rsidRPr="001D77AF">
        <w:rPr>
          <w:lang w:val="en-GB"/>
        </w:rPr>
        <w:t xml:space="preserve"> linked to </w:t>
      </w:r>
      <w:r w:rsidR="00EE7FD1" w:rsidRPr="001D77AF">
        <w:rPr>
          <w:lang w:val="en-GB"/>
        </w:rPr>
        <w:t>incomplete contracts</w:t>
      </w:r>
      <w:r w:rsidR="00B107A5" w:rsidRPr="001D77AF">
        <w:rPr>
          <w:lang w:val="en-GB"/>
        </w:rPr>
        <w:t xml:space="preserve"> caused by institutional voids</w:t>
      </w:r>
      <w:r w:rsidR="00F16724" w:rsidRPr="001D77AF">
        <w:rPr>
          <w:lang w:val="en-GB"/>
        </w:rPr>
        <w:t xml:space="preserve">. </w:t>
      </w:r>
      <w:r w:rsidR="00AF5E3C" w:rsidRPr="001D77AF">
        <w:rPr>
          <w:lang w:val="en-GB"/>
        </w:rPr>
        <w:t>In some cases</w:t>
      </w:r>
      <w:r w:rsidR="007E3D50" w:rsidRPr="001D77AF">
        <w:rPr>
          <w:lang w:val="en-GB"/>
        </w:rPr>
        <w:t>,</w:t>
      </w:r>
      <w:r w:rsidR="00AF5E3C" w:rsidRPr="001D77AF">
        <w:rPr>
          <w:lang w:val="en-GB"/>
        </w:rPr>
        <w:t xml:space="preserve"> </w:t>
      </w:r>
      <w:r w:rsidR="004E0F95" w:rsidRPr="001D77AF">
        <w:rPr>
          <w:lang w:val="en-GB"/>
        </w:rPr>
        <w:t xml:space="preserve">law </w:t>
      </w:r>
      <w:r w:rsidR="00AE0EF4" w:rsidRPr="001D77AF">
        <w:rPr>
          <w:lang w:val="en-GB"/>
        </w:rPr>
        <w:t xml:space="preserve">connected to </w:t>
      </w:r>
      <w:r w:rsidR="004E0F95" w:rsidRPr="001D77AF">
        <w:rPr>
          <w:lang w:val="en-GB"/>
        </w:rPr>
        <w:t>property rights</w:t>
      </w:r>
      <w:r w:rsidR="00AE0EF4" w:rsidRPr="001D77AF">
        <w:rPr>
          <w:lang w:val="en-GB"/>
        </w:rPr>
        <w:t xml:space="preserve"> </w:t>
      </w:r>
      <w:r w:rsidR="007671E3" w:rsidRPr="001D77AF">
        <w:rPr>
          <w:lang w:val="en-GB"/>
        </w:rPr>
        <w:t xml:space="preserve">may not be </w:t>
      </w:r>
      <w:r w:rsidR="00B34B8D" w:rsidRPr="001D77AF">
        <w:rPr>
          <w:lang w:val="en-GB"/>
        </w:rPr>
        <w:t>effectively</w:t>
      </w:r>
      <w:r w:rsidR="00825130" w:rsidRPr="001D77AF" w:rsidDel="00825130">
        <w:rPr>
          <w:lang w:val="en-GB"/>
        </w:rPr>
        <w:t xml:space="preserve"> </w:t>
      </w:r>
      <w:r w:rsidR="00AE0EF4" w:rsidRPr="001D77AF">
        <w:rPr>
          <w:lang w:val="en-GB"/>
        </w:rPr>
        <w:t>enforced</w:t>
      </w:r>
      <w:r w:rsidR="00F05AF2" w:rsidRPr="001D77AF">
        <w:rPr>
          <w:lang w:val="en-GB"/>
        </w:rPr>
        <w:t xml:space="preserve"> in courts and other </w:t>
      </w:r>
      <w:r w:rsidR="00AF7AE0" w:rsidRPr="001D77AF">
        <w:rPr>
          <w:lang w:val="en-GB"/>
        </w:rPr>
        <w:t>legal arenas</w:t>
      </w:r>
      <w:r w:rsidR="007E3D50" w:rsidRPr="001D77AF">
        <w:rPr>
          <w:lang w:val="en-GB"/>
        </w:rPr>
        <w:t xml:space="preserve"> because</w:t>
      </w:r>
      <w:r w:rsidR="00DD0DB1" w:rsidRPr="001D77AF">
        <w:rPr>
          <w:lang w:val="en-GB"/>
        </w:rPr>
        <w:t xml:space="preserve"> informal </w:t>
      </w:r>
      <w:r w:rsidR="00C342CF" w:rsidRPr="001D77AF">
        <w:rPr>
          <w:lang w:val="en-GB"/>
        </w:rPr>
        <w:t xml:space="preserve">institutions may lead to </w:t>
      </w:r>
      <w:r w:rsidR="005E6B4F">
        <w:rPr>
          <w:lang w:val="en-GB"/>
        </w:rPr>
        <w:t>behaviour</w:t>
      </w:r>
      <w:r w:rsidR="00C342CF" w:rsidRPr="001D77AF">
        <w:rPr>
          <w:lang w:val="en-GB"/>
        </w:rPr>
        <w:t xml:space="preserve"> by enforcement agents that is not supportive of effectual implement</w:t>
      </w:r>
      <w:r w:rsidR="005A0BC3" w:rsidRPr="001D77AF">
        <w:rPr>
          <w:lang w:val="en-GB"/>
        </w:rPr>
        <w:t>ation of</w:t>
      </w:r>
      <w:r w:rsidR="00C342CF" w:rsidRPr="001D77AF">
        <w:rPr>
          <w:lang w:val="en-GB"/>
        </w:rPr>
        <w:t xml:space="preserve"> law.</w:t>
      </w:r>
    </w:p>
    <w:p w14:paraId="1E500C3E" w14:textId="4C663095" w:rsidR="002D179D" w:rsidRPr="001D77AF" w:rsidRDefault="002D179D" w:rsidP="00832A8C">
      <w:pPr>
        <w:spacing w:line="480" w:lineRule="auto"/>
        <w:ind w:firstLine="720"/>
        <w:jc w:val="both"/>
        <w:rPr>
          <w:lang w:val="en-GB"/>
        </w:rPr>
      </w:pPr>
      <w:r w:rsidRPr="001D77AF">
        <w:rPr>
          <w:lang w:val="en-GB"/>
        </w:rPr>
        <w:t xml:space="preserve">Property rights embody a bundle of attributes. These include rights to allocate property to desired uses, to transfer property, to financially exploit ownership of property and to enforce ownership rights over property (Eggertsson, 1990). Problems with property rights </w:t>
      </w:r>
      <w:r w:rsidR="003E1DA2" w:rsidRPr="001D77AF">
        <w:rPr>
          <w:lang w:val="en-GB"/>
        </w:rPr>
        <w:t xml:space="preserve">in relation to </w:t>
      </w:r>
      <w:r w:rsidRPr="001D77AF">
        <w:rPr>
          <w:lang w:val="en-GB"/>
        </w:rPr>
        <w:t xml:space="preserve">the first three attributes </w:t>
      </w:r>
      <w:r w:rsidR="003E1DA2" w:rsidRPr="001D77AF">
        <w:rPr>
          <w:lang w:val="en-GB"/>
        </w:rPr>
        <w:t xml:space="preserve">can arise </w:t>
      </w:r>
      <w:r w:rsidRPr="001D77AF">
        <w:rPr>
          <w:lang w:val="en-GB"/>
        </w:rPr>
        <w:t xml:space="preserve">from institutional voids. </w:t>
      </w:r>
      <w:r w:rsidR="003E1DA2" w:rsidRPr="001D77AF">
        <w:rPr>
          <w:lang w:val="en-GB"/>
        </w:rPr>
        <w:t>T</w:t>
      </w:r>
      <w:r w:rsidRPr="001D77AF">
        <w:rPr>
          <w:lang w:val="en-GB"/>
        </w:rPr>
        <w:t xml:space="preserve">he last attribute </w:t>
      </w:r>
      <w:r w:rsidR="003E1DA2" w:rsidRPr="001D77AF">
        <w:rPr>
          <w:lang w:val="en-GB"/>
        </w:rPr>
        <w:t xml:space="preserve">is </w:t>
      </w:r>
      <w:r w:rsidRPr="001D77AF">
        <w:rPr>
          <w:lang w:val="en-GB"/>
        </w:rPr>
        <w:t xml:space="preserve">linked to the ability to defend against </w:t>
      </w:r>
      <w:r w:rsidR="007B2E85" w:rsidRPr="001D77AF">
        <w:rPr>
          <w:lang w:val="en-GB"/>
        </w:rPr>
        <w:t xml:space="preserve">the </w:t>
      </w:r>
      <w:r w:rsidRPr="001D77AF">
        <w:rPr>
          <w:lang w:val="en-GB"/>
        </w:rPr>
        <w:t>infringement</w:t>
      </w:r>
      <w:r w:rsidR="007B2E85" w:rsidRPr="001D77AF">
        <w:rPr>
          <w:lang w:val="en-GB"/>
        </w:rPr>
        <w:t xml:space="preserve"> </w:t>
      </w:r>
      <w:r w:rsidRPr="001D77AF">
        <w:rPr>
          <w:lang w:val="en-GB"/>
        </w:rPr>
        <w:t>of</w:t>
      </w:r>
      <w:r w:rsidR="009F0D1B" w:rsidRPr="001D77AF">
        <w:rPr>
          <w:lang w:val="en-GB"/>
        </w:rPr>
        <w:t xml:space="preserve"> the</w:t>
      </w:r>
      <w:r w:rsidRPr="001D77AF">
        <w:rPr>
          <w:lang w:val="en-GB"/>
        </w:rPr>
        <w:t xml:space="preserve"> bundle of rights</w:t>
      </w:r>
      <w:r w:rsidR="009F0D1B" w:rsidRPr="001D77AF">
        <w:rPr>
          <w:lang w:val="en-GB"/>
        </w:rPr>
        <w:t xml:space="preserve"> </w:t>
      </w:r>
      <w:r w:rsidR="000E5117" w:rsidRPr="001D77AF">
        <w:rPr>
          <w:lang w:val="en-GB"/>
        </w:rPr>
        <w:t xml:space="preserve">granted to </w:t>
      </w:r>
      <w:r w:rsidR="009F0D1B" w:rsidRPr="001D77AF">
        <w:rPr>
          <w:lang w:val="en-GB"/>
        </w:rPr>
        <w:t>asset owners</w:t>
      </w:r>
      <w:r w:rsidR="000E5117" w:rsidRPr="001D77AF">
        <w:rPr>
          <w:lang w:val="en-GB"/>
        </w:rPr>
        <w:t xml:space="preserve"> by </w:t>
      </w:r>
      <w:r w:rsidR="003E1DA2" w:rsidRPr="001D77AF">
        <w:rPr>
          <w:lang w:val="en-GB"/>
        </w:rPr>
        <w:t xml:space="preserve">IPR </w:t>
      </w:r>
      <w:r w:rsidR="000E5117" w:rsidRPr="001D77AF">
        <w:rPr>
          <w:lang w:val="en-GB"/>
        </w:rPr>
        <w:t>law</w:t>
      </w:r>
      <w:r w:rsidRPr="001D77AF">
        <w:rPr>
          <w:lang w:val="en-GB"/>
        </w:rPr>
        <w:t xml:space="preserve">. Barzel (1997) lists several legal rights </w:t>
      </w:r>
      <w:r w:rsidR="000E5117" w:rsidRPr="001D77AF">
        <w:rPr>
          <w:lang w:val="en-GB"/>
        </w:rPr>
        <w:t xml:space="preserve">necessary </w:t>
      </w:r>
      <w:r w:rsidR="00E70B76" w:rsidRPr="001D77AF">
        <w:rPr>
          <w:lang w:val="en-GB"/>
        </w:rPr>
        <w:t xml:space="preserve">to enable asset owners to </w:t>
      </w:r>
      <w:r w:rsidRPr="001D77AF">
        <w:rPr>
          <w:lang w:val="en-GB"/>
        </w:rPr>
        <w:t>convert property rights into economic rights (the ability to use legal rights to obtain economic value from ownership of assets). An appropriate bundle of formal legal rights</w:t>
      </w:r>
      <w:r w:rsidR="00613D08">
        <w:rPr>
          <w:lang w:val="en-GB"/>
        </w:rPr>
        <w:t>, for example, the</w:t>
      </w:r>
      <w:r w:rsidR="007B2E85" w:rsidRPr="001D77AF">
        <w:rPr>
          <w:lang w:val="en-GB"/>
        </w:rPr>
        <w:t xml:space="preserve"> </w:t>
      </w:r>
      <w:r w:rsidR="009E6A15">
        <w:rPr>
          <w:lang w:val="en-GB"/>
        </w:rPr>
        <w:t xml:space="preserve">ability to </w:t>
      </w:r>
      <w:r w:rsidRPr="001D77AF">
        <w:rPr>
          <w:lang w:val="en-GB"/>
        </w:rPr>
        <w:t xml:space="preserve">use </w:t>
      </w:r>
      <w:r w:rsidR="004F45B9" w:rsidRPr="001D77AF">
        <w:rPr>
          <w:lang w:val="en-GB"/>
        </w:rPr>
        <w:t>or</w:t>
      </w:r>
      <w:r w:rsidRPr="001D77AF">
        <w:rPr>
          <w:lang w:val="en-GB"/>
        </w:rPr>
        <w:t xml:space="preserve"> trade property</w:t>
      </w:r>
      <w:r w:rsidR="007B2E85" w:rsidRPr="001D77AF">
        <w:rPr>
          <w:lang w:val="en-GB"/>
        </w:rPr>
        <w:t>, i</w:t>
      </w:r>
      <w:r w:rsidRPr="001D77AF">
        <w:rPr>
          <w:lang w:val="en-GB"/>
        </w:rPr>
        <w:t xml:space="preserve">s crucial </w:t>
      </w:r>
      <w:r w:rsidR="003E1DA2" w:rsidRPr="001D77AF">
        <w:rPr>
          <w:lang w:val="en-GB"/>
        </w:rPr>
        <w:t>to enable</w:t>
      </w:r>
      <w:r w:rsidRPr="001D77AF">
        <w:rPr>
          <w:lang w:val="en-GB"/>
        </w:rPr>
        <w:t xml:space="preserve"> convert</w:t>
      </w:r>
      <w:r w:rsidR="003E1DA2" w:rsidRPr="001D77AF">
        <w:rPr>
          <w:lang w:val="en-GB"/>
        </w:rPr>
        <w:t>ing</w:t>
      </w:r>
      <w:r w:rsidRPr="001D77AF">
        <w:rPr>
          <w:lang w:val="en-GB"/>
        </w:rPr>
        <w:t xml:space="preserve"> legal rights over property into economic rights. </w:t>
      </w:r>
      <w:r w:rsidR="003E1DA2" w:rsidRPr="001D77AF">
        <w:rPr>
          <w:lang w:val="en-GB"/>
        </w:rPr>
        <w:t>To obtain economic rights</w:t>
      </w:r>
      <w:r w:rsidR="00E77349">
        <w:rPr>
          <w:lang w:val="en-GB"/>
        </w:rPr>
        <w:t xml:space="preserve"> at low cost</w:t>
      </w:r>
      <w:r w:rsidR="009B5F07">
        <w:rPr>
          <w:lang w:val="en-GB"/>
        </w:rPr>
        <w:t>s</w:t>
      </w:r>
      <w:r w:rsidR="00E77349">
        <w:rPr>
          <w:lang w:val="en-GB"/>
        </w:rPr>
        <w:t xml:space="preserve"> and risk</w:t>
      </w:r>
      <w:r w:rsidR="003E1DA2" w:rsidRPr="001D77AF">
        <w:rPr>
          <w:lang w:val="en-GB"/>
        </w:rPr>
        <w:t xml:space="preserve"> it </w:t>
      </w:r>
      <w:r w:rsidRPr="001D77AF">
        <w:rPr>
          <w:lang w:val="en-GB"/>
        </w:rPr>
        <w:t xml:space="preserve">is </w:t>
      </w:r>
      <w:r w:rsidR="004F45B9" w:rsidRPr="001D77AF">
        <w:rPr>
          <w:lang w:val="en-GB"/>
        </w:rPr>
        <w:t xml:space="preserve">therefore </w:t>
      </w:r>
      <w:r w:rsidRPr="001D77AF">
        <w:rPr>
          <w:lang w:val="en-GB"/>
        </w:rPr>
        <w:t xml:space="preserve">necessary </w:t>
      </w:r>
      <w:r w:rsidR="003E1DA2" w:rsidRPr="001D77AF">
        <w:rPr>
          <w:lang w:val="en-GB"/>
        </w:rPr>
        <w:t xml:space="preserve">that </w:t>
      </w:r>
      <w:r w:rsidR="00207262" w:rsidRPr="001D77AF">
        <w:rPr>
          <w:lang w:val="en-GB"/>
        </w:rPr>
        <w:t xml:space="preserve">formal (normally written) </w:t>
      </w:r>
      <w:r w:rsidRPr="001D77AF">
        <w:rPr>
          <w:lang w:val="en-GB"/>
        </w:rPr>
        <w:t>legal rights are well defined, comprehensive, coherent</w:t>
      </w:r>
      <w:r w:rsidR="00A56751" w:rsidRPr="001D77AF">
        <w:rPr>
          <w:lang w:val="en-GB"/>
        </w:rPr>
        <w:t>,</w:t>
      </w:r>
      <w:r w:rsidRPr="001D77AF">
        <w:rPr>
          <w:lang w:val="en-GB"/>
        </w:rPr>
        <w:t xml:space="preserve"> and </w:t>
      </w:r>
      <w:r w:rsidR="00A56751" w:rsidRPr="001D77AF">
        <w:rPr>
          <w:lang w:val="en-GB"/>
        </w:rPr>
        <w:t xml:space="preserve">effectively </w:t>
      </w:r>
      <w:r w:rsidR="007D3D98" w:rsidRPr="001D77AF">
        <w:rPr>
          <w:lang w:val="en-GB"/>
        </w:rPr>
        <w:t>enforceable</w:t>
      </w:r>
      <w:r w:rsidR="00207262" w:rsidRPr="001D77AF">
        <w:rPr>
          <w:lang w:val="en-GB"/>
        </w:rPr>
        <w:t xml:space="preserve"> by use of legal systems</w:t>
      </w:r>
      <w:r w:rsidR="001C4089" w:rsidRPr="001D77AF">
        <w:rPr>
          <w:lang w:val="en-GB"/>
        </w:rPr>
        <w:t>. N</w:t>
      </w:r>
      <w:r w:rsidRPr="001D77AF">
        <w:rPr>
          <w:lang w:val="en-GB"/>
        </w:rPr>
        <w:t xml:space="preserve">o matter </w:t>
      </w:r>
      <w:r w:rsidR="007B2E85" w:rsidRPr="001D77AF">
        <w:rPr>
          <w:lang w:val="en-GB"/>
        </w:rPr>
        <w:t>how</w:t>
      </w:r>
      <w:r w:rsidRPr="001D77AF">
        <w:rPr>
          <w:lang w:val="en-GB"/>
        </w:rPr>
        <w:t xml:space="preserve"> well develop</w:t>
      </w:r>
      <w:r w:rsidR="007B2E85" w:rsidRPr="001D77AF">
        <w:rPr>
          <w:lang w:val="en-GB"/>
        </w:rPr>
        <w:t>ed</w:t>
      </w:r>
      <w:r w:rsidRPr="001D77AF">
        <w:rPr>
          <w:lang w:val="en-GB"/>
        </w:rPr>
        <w:t xml:space="preserve"> formal legal rights are, if they are not supported by </w:t>
      </w:r>
      <w:r w:rsidR="00B43B4B" w:rsidRPr="001D77AF">
        <w:rPr>
          <w:lang w:val="en-GB"/>
        </w:rPr>
        <w:t xml:space="preserve">appropriate </w:t>
      </w:r>
      <w:r w:rsidRPr="001D77AF">
        <w:rPr>
          <w:lang w:val="en-GB"/>
        </w:rPr>
        <w:t xml:space="preserve">informal institutional systems connected to the </w:t>
      </w:r>
      <w:r w:rsidR="005E6B4F">
        <w:rPr>
          <w:lang w:val="en-GB"/>
        </w:rPr>
        <w:t>behaviour</w:t>
      </w:r>
      <w:r w:rsidR="004D6FBA" w:rsidRPr="001D77AF">
        <w:rPr>
          <w:lang w:val="en-GB"/>
        </w:rPr>
        <w:t xml:space="preserve"> </w:t>
      </w:r>
      <w:r w:rsidR="00B43B4B" w:rsidRPr="001D77AF">
        <w:rPr>
          <w:lang w:val="en-GB"/>
        </w:rPr>
        <w:lastRenderedPageBreak/>
        <w:t xml:space="preserve">of </w:t>
      </w:r>
      <w:r w:rsidRPr="001D77AF">
        <w:rPr>
          <w:lang w:val="en-GB"/>
        </w:rPr>
        <w:t xml:space="preserve">enforcement </w:t>
      </w:r>
      <w:r w:rsidR="00B43B4B" w:rsidRPr="001D77AF">
        <w:rPr>
          <w:lang w:val="en-GB"/>
        </w:rPr>
        <w:t>agents</w:t>
      </w:r>
      <w:r w:rsidRPr="001D77AF">
        <w:rPr>
          <w:lang w:val="en-GB"/>
        </w:rPr>
        <w:t xml:space="preserve">, problems will emerge in converting legal rights into economic rights (Barzel, 1997). This issue relates to the social protocols and conventions that influence the </w:t>
      </w:r>
      <w:r w:rsidR="005E6B4F">
        <w:rPr>
          <w:lang w:val="en-GB"/>
        </w:rPr>
        <w:t>behaviour</w:t>
      </w:r>
      <w:r w:rsidRPr="001D77AF">
        <w:rPr>
          <w:lang w:val="en-GB"/>
        </w:rPr>
        <w:t xml:space="preserve"> </w:t>
      </w:r>
      <w:r w:rsidR="001C1BFC" w:rsidRPr="001D77AF">
        <w:rPr>
          <w:lang w:val="en-GB"/>
        </w:rPr>
        <w:t xml:space="preserve">of </w:t>
      </w:r>
      <w:r w:rsidR="00D81910" w:rsidRPr="001D77AF">
        <w:rPr>
          <w:lang w:val="en-GB"/>
        </w:rPr>
        <w:t xml:space="preserve">enforcement agents </w:t>
      </w:r>
      <w:r w:rsidR="004F45B9" w:rsidRPr="001D77AF">
        <w:rPr>
          <w:lang w:val="en-GB"/>
        </w:rPr>
        <w:t xml:space="preserve">working on </w:t>
      </w:r>
      <w:r w:rsidR="001D77AF">
        <w:rPr>
          <w:lang w:val="en-GB"/>
        </w:rPr>
        <w:t xml:space="preserve">legal cases that involve </w:t>
      </w:r>
      <w:r w:rsidR="004F45B9" w:rsidRPr="001D77AF">
        <w:rPr>
          <w:lang w:val="en-GB"/>
        </w:rPr>
        <w:t>property rights enforcement</w:t>
      </w:r>
      <w:r w:rsidRPr="001D77AF">
        <w:rPr>
          <w:lang w:val="en-GB"/>
        </w:rPr>
        <w:t xml:space="preserve">. Being able to convert legal rights into economic rights requires institutional conditions that provide appropriate formal legal rights </w:t>
      </w:r>
      <w:r w:rsidR="006961A3" w:rsidRPr="001D77AF">
        <w:rPr>
          <w:lang w:val="en-GB"/>
        </w:rPr>
        <w:t>to be</w:t>
      </w:r>
      <w:r w:rsidRPr="001D77AF">
        <w:rPr>
          <w:lang w:val="en-GB"/>
        </w:rPr>
        <w:t xml:space="preserve"> legitimized and supported by informal institutions (Hodgson, 2006; Williamson &amp; Kerekes, 2011). </w:t>
      </w:r>
      <w:r w:rsidR="00202499" w:rsidRPr="001D77AF">
        <w:rPr>
          <w:lang w:val="en-GB"/>
        </w:rPr>
        <w:t xml:space="preserve">Informal institutions provide the </w:t>
      </w:r>
      <w:r w:rsidR="00397364" w:rsidRPr="001D77AF">
        <w:rPr>
          <w:lang w:val="en-GB"/>
        </w:rPr>
        <w:t>rules (</w:t>
      </w:r>
      <w:r w:rsidR="0040715A">
        <w:rPr>
          <w:lang w:val="en-GB"/>
        </w:rPr>
        <w:t xml:space="preserve">normally </w:t>
      </w:r>
      <w:r w:rsidR="00397364" w:rsidRPr="001D77AF">
        <w:rPr>
          <w:lang w:val="en-GB"/>
        </w:rPr>
        <w:t>unwritten) that are used by agents when the</w:t>
      </w:r>
      <w:r w:rsidR="002338D0" w:rsidRPr="001D77AF">
        <w:rPr>
          <w:lang w:val="en-GB"/>
        </w:rPr>
        <w:t xml:space="preserve">y are </w:t>
      </w:r>
      <w:r w:rsidR="00A57119" w:rsidRPr="001D77AF">
        <w:rPr>
          <w:lang w:val="en-GB"/>
        </w:rPr>
        <w:t xml:space="preserve">engaged </w:t>
      </w:r>
      <w:r w:rsidR="007B2E85" w:rsidRPr="001D77AF">
        <w:rPr>
          <w:lang w:val="en-GB"/>
        </w:rPr>
        <w:t xml:space="preserve">in the </w:t>
      </w:r>
      <w:r w:rsidR="00357DF3" w:rsidRPr="001D77AF">
        <w:rPr>
          <w:lang w:val="en-GB"/>
        </w:rPr>
        <w:t xml:space="preserve">process </w:t>
      </w:r>
      <w:r w:rsidR="007B2E85" w:rsidRPr="001D77AF">
        <w:rPr>
          <w:lang w:val="en-GB"/>
        </w:rPr>
        <w:t xml:space="preserve">of </w:t>
      </w:r>
      <w:r w:rsidR="00357DF3" w:rsidRPr="001D77AF">
        <w:rPr>
          <w:lang w:val="en-GB"/>
        </w:rPr>
        <w:t>governing</w:t>
      </w:r>
      <w:r w:rsidR="002338D0" w:rsidRPr="001D77AF">
        <w:rPr>
          <w:lang w:val="en-GB"/>
        </w:rPr>
        <w:t xml:space="preserve"> economic transaction</w:t>
      </w:r>
      <w:r w:rsidR="00B1772E" w:rsidRPr="001D77AF">
        <w:rPr>
          <w:lang w:val="en-GB"/>
        </w:rPr>
        <w:t>s</w:t>
      </w:r>
      <w:r w:rsidR="002338D0" w:rsidRPr="001D77AF">
        <w:rPr>
          <w:lang w:val="en-GB"/>
        </w:rPr>
        <w:t xml:space="preserve"> </w:t>
      </w:r>
      <w:r w:rsidR="007B2E85" w:rsidRPr="001D77AF">
        <w:rPr>
          <w:lang w:val="en-GB"/>
        </w:rPr>
        <w:t xml:space="preserve">that </w:t>
      </w:r>
      <w:r w:rsidR="002338D0" w:rsidRPr="001D77AF">
        <w:rPr>
          <w:lang w:val="en-GB"/>
        </w:rPr>
        <w:t>involv</w:t>
      </w:r>
      <w:r w:rsidR="00A56751" w:rsidRPr="001D77AF">
        <w:rPr>
          <w:lang w:val="en-GB"/>
        </w:rPr>
        <w:t>e</w:t>
      </w:r>
      <w:r w:rsidR="002338D0" w:rsidRPr="001D77AF">
        <w:rPr>
          <w:lang w:val="en-GB"/>
        </w:rPr>
        <w:t xml:space="preserve"> property</w:t>
      </w:r>
      <w:r w:rsidR="00F26525" w:rsidRPr="001D77AF">
        <w:rPr>
          <w:lang w:val="en-GB"/>
        </w:rPr>
        <w:t xml:space="preserve"> </w:t>
      </w:r>
      <w:r w:rsidR="007B2E85" w:rsidRPr="001D77AF">
        <w:rPr>
          <w:lang w:val="en-GB"/>
        </w:rPr>
        <w:t xml:space="preserve">rights </w:t>
      </w:r>
      <w:r w:rsidR="00C65BD4" w:rsidRPr="001D77AF">
        <w:rPr>
          <w:lang w:val="en-GB"/>
        </w:rPr>
        <w:t xml:space="preserve">(Helmsky </w:t>
      </w:r>
      <w:r w:rsidR="002F5A74" w:rsidRPr="001D77AF">
        <w:rPr>
          <w:lang w:val="en-GB"/>
        </w:rPr>
        <w:t>&amp;</w:t>
      </w:r>
      <w:r w:rsidR="00C65BD4" w:rsidRPr="001D77AF">
        <w:rPr>
          <w:lang w:val="en-GB"/>
        </w:rPr>
        <w:t xml:space="preserve"> Levtisky</w:t>
      </w:r>
      <w:r w:rsidR="002F5A74" w:rsidRPr="001D77AF">
        <w:rPr>
          <w:lang w:val="en-GB"/>
        </w:rPr>
        <w:t>, 2004</w:t>
      </w:r>
      <w:r w:rsidR="003E1DA2" w:rsidRPr="001D77AF">
        <w:rPr>
          <w:lang w:val="en-GB"/>
        </w:rPr>
        <w:t>, 2</w:t>
      </w:r>
      <w:r w:rsidR="002F5A74" w:rsidRPr="001D77AF">
        <w:rPr>
          <w:lang w:val="en-GB"/>
        </w:rPr>
        <w:t>006)</w:t>
      </w:r>
      <w:r w:rsidR="002338D0" w:rsidRPr="001D77AF">
        <w:rPr>
          <w:lang w:val="en-GB"/>
        </w:rPr>
        <w:t xml:space="preserve">. </w:t>
      </w:r>
      <w:r w:rsidR="0017065F" w:rsidRPr="001D77AF">
        <w:rPr>
          <w:lang w:val="en-GB"/>
        </w:rPr>
        <w:t>I</w:t>
      </w:r>
      <w:r w:rsidRPr="001D77AF">
        <w:rPr>
          <w:lang w:val="en-GB"/>
        </w:rPr>
        <w:t xml:space="preserve">nstitutional voids </w:t>
      </w:r>
      <w:r w:rsidR="00357DF3" w:rsidRPr="001D77AF">
        <w:rPr>
          <w:lang w:val="en-GB"/>
        </w:rPr>
        <w:t xml:space="preserve">can </w:t>
      </w:r>
      <w:r w:rsidRPr="001D77AF">
        <w:rPr>
          <w:lang w:val="en-GB"/>
        </w:rPr>
        <w:t>lead to problems for effective</w:t>
      </w:r>
      <w:r w:rsidR="00FB2B57">
        <w:rPr>
          <w:lang w:val="en-GB"/>
        </w:rPr>
        <w:t xml:space="preserve">ly defining </w:t>
      </w:r>
      <w:r w:rsidRPr="001D77AF">
        <w:rPr>
          <w:lang w:val="en-GB"/>
        </w:rPr>
        <w:t>property rights</w:t>
      </w:r>
      <w:r w:rsidR="00664619">
        <w:rPr>
          <w:lang w:val="en-GB"/>
        </w:rPr>
        <w:t>,</w:t>
      </w:r>
      <w:r w:rsidR="0017065F" w:rsidRPr="001D77AF">
        <w:rPr>
          <w:lang w:val="en-GB"/>
        </w:rPr>
        <w:t xml:space="preserve"> </w:t>
      </w:r>
      <w:r w:rsidRPr="001D77AF">
        <w:rPr>
          <w:lang w:val="en-GB"/>
        </w:rPr>
        <w:t xml:space="preserve">enforcement difficulties due to informal institutional issues </w:t>
      </w:r>
      <w:r w:rsidR="00325F15" w:rsidRPr="001D77AF">
        <w:rPr>
          <w:lang w:val="en-GB"/>
        </w:rPr>
        <w:t xml:space="preserve">can </w:t>
      </w:r>
      <w:r w:rsidR="00664619">
        <w:rPr>
          <w:lang w:val="en-GB"/>
        </w:rPr>
        <w:t xml:space="preserve">however </w:t>
      </w:r>
      <w:r w:rsidR="00325F15" w:rsidRPr="001D77AF">
        <w:rPr>
          <w:lang w:val="en-GB"/>
        </w:rPr>
        <w:t>lead</w:t>
      </w:r>
      <w:r w:rsidRPr="001D77AF">
        <w:rPr>
          <w:lang w:val="en-GB"/>
        </w:rPr>
        <w:t xml:space="preserve"> </w:t>
      </w:r>
      <w:r w:rsidR="00325F15" w:rsidRPr="001D77AF">
        <w:rPr>
          <w:lang w:val="en-GB"/>
        </w:rPr>
        <w:t xml:space="preserve">to </w:t>
      </w:r>
      <w:r w:rsidRPr="001D77AF">
        <w:rPr>
          <w:lang w:val="en-GB"/>
        </w:rPr>
        <w:t xml:space="preserve">challenging conditions when seeking </w:t>
      </w:r>
      <w:r w:rsidR="004E6E57" w:rsidRPr="001D77AF">
        <w:rPr>
          <w:lang w:val="en-GB"/>
        </w:rPr>
        <w:t xml:space="preserve">to </w:t>
      </w:r>
      <w:r w:rsidRPr="001D77AF">
        <w:rPr>
          <w:lang w:val="en-GB"/>
        </w:rPr>
        <w:t>defend property</w:t>
      </w:r>
      <w:r w:rsidR="004757DB" w:rsidRPr="001D77AF">
        <w:rPr>
          <w:lang w:val="en-GB"/>
        </w:rPr>
        <w:t xml:space="preserve"> rights in legal arenas</w:t>
      </w:r>
      <w:r w:rsidRPr="001D77AF">
        <w:rPr>
          <w:lang w:val="en-GB"/>
        </w:rPr>
        <w:t>.</w:t>
      </w:r>
    </w:p>
    <w:p w14:paraId="58EE4A46" w14:textId="39BFB883" w:rsidR="00CE6D0F" w:rsidRPr="001D77AF" w:rsidRDefault="002D179D" w:rsidP="003F6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lang w:val="en-GB"/>
        </w:rPr>
      </w:pPr>
      <w:r w:rsidRPr="001D77AF">
        <w:rPr>
          <w:lang w:val="en-GB"/>
        </w:rPr>
        <w:t xml:space="preserve">Institutional systems </w:t>
      </w:r>
      <w:r w:rsidR="00595ED4" w:rsidRPr="001D77AF">
        <w:rPr>
          <w:lang w:val="en-GB"/>
        </w:rPr>
        <w:t>deliver</w:t>
      </w:r>
      <w:r w:rsidR="00595ED4" w:rsidRPr="001D77AF" w:rsidDel="00595ED4">
        <w:rPr>
          <w:lang w:val="en-GB"/>
        </w:rPr>
        <w:t xml:space="preserve"> </w:t>
      </w:r>
      <w:r w:rsidRPr="001D77AF">
        <w:rPr>
          <w:lang w:val="en-GB"/>
        </w:rPr>
        <w:t>the ‘rules of the game’ under which legal rights are defined</w:t>
      </w:r>
      <w:r w:rsidR="00714FA2" w:rsidRPr="001D77AF">
        <w:rPr>
          <w:lang w:val="en-GB"/>
        </w:rPr>
        <w:t xml:space="preserve">, allocated </w:t>
      </w:r>
      <w:r w:rsidRPr="001D77AF">
        <w:rPr>
          <w:lang w:val="en-GB"/>
        </w:rPr>
        <w:t xml:space="preserve">and </w:t>
      </w:r>
      <w:r w:rsidR="00DE2A8B" w:rsidRPr="001D77AF">
        <w:rPr>
          <w:lang w:val="en-GB"/>
        </w:rPr>
        <w:t xml:space="preserve">their </w:t>
      </w:r>
      <w:r w:rsidRPr="001D77AF">
        <w:rPr>
          <w:lang w:val="en-GB"/>
        </w:rPr>
        <w:t xml:space="preserve">infringements policed and prosecuted. </w:t>
      </w:r>
      <w:r w:rsidR="009C770C" w:rsidRPr="001D77AF">
        <w:rPr>
          <w:lang w:val="en-GB"/>
        </w:rPr>
        <w:t>Following North (1990), t</w:t>
      </w:r>
      <w:r w:rsidRPr="001D77AF">
        <w:rPr>
          <w:lang w:val="en-GB"/>
        </w:rPr>
        <w:t xml:space="preserve">he rules of the game relate to the way that formal and informal institutional systems </w:t>
      </w:r>
      <w:r w:rsidR="00C367E5">
        <w:rPr>
          <w:lang w:val="en-GB"/>
        </w:rPr>
        <w:t xml:space="preserve">interact </w:t>
      </w:r>
      <w:r w:rsidR="00023D04" w:rsidRPr="001D77AF">
        <w:rPr>
          <w:lang w:val="en-GB"/>
        </w:rPr>
        <w:t xml:space="preserve">thereby </w:t>
      </w:r>
      <w:r w:rsidRPr="001D77AF">
        <w:rPr>
          <w:lang w:val="en-GB"/>
        </w:rPr>
        <w:t>provid</w:t>
      </w:r>
      <w:r w:rsidR="00023D04" w:rsidRPr="001D77AF">
        <w:rPr>
          <w:lang w:val="en-GB"/>
        </w:rPr>
        <w:t xml:space="preserve">ing </w:t>
      </w:r>
      <w:r w:rsidRPr="001D77AF">
        <w:rPr>
          <w:lang w:val="en-GB"/>
        </w:rPr>
        <w:t xml:space="preserve">the governance processes for economic transactions. The rules of the game can </w:t>
      </w:r>
      <w:r w:rsidR="0098593D">
        <w:rPr>
          <w:lang w:val="en-GB"/>
        </w:rPr>
        <w:t>u</w:t>
      </w:r>
      <w:r w:rsidR="00F31408">
        <w:rPr>
          <w:lang w:val="en-GB"/>
        </w:rPr>
        <w:t xml:space="preserve">ndermine </w:t>
      </w:r>
      <w:r w:rsidR="00785E23" w:rsidRPr="001D77AF">
        <w:rPr>
          <w:lang w:val="en-GB"/>
        </w:rPr>
        <w:t xml:space="preserve">efficient economic transactions </w:t>
      </w:r>
      <w:r w:rsidRPr="001D77AF">
        <w:rPr>
          <w:lang w:val="en-GB"/>
        </w:rPr>
        <w:t>if it</w:t>
      </w:r>
      <w:r w:rsidR="008D104A" w:rsidRPr="001D77AF">
        <w:rPr>
          <w:lang w:val="en-GB"/>
        </w:rPr>
        <w:t xml:space="preserve"> is</w:t>
      </w:r>
      <w:r w:rsidRPr="001D77AF">
        <w:rPr>
          <w:lang w:val="en-GB"/>
        </w:rPr>
        <w:t xml:space="preserve"> difficult to use legal systems to defend property rights due to unclear </w:t>
      </w:r>
      <w:r w:rsidR="00607B98" w:rsidRPr="001D77AF">
        <w:rPr>
          <w:lang w:val="en-GB"/>
        </w:rPr>
        <w:t xml:space="preserve">or missing </w:t>
      </w:r>
      <w:r w:rsidRPr="001D77AF">
        <w:rPr>
          <w:lang w:val="en-GB"/>
        </w:rPr>
        <w:t>legal rights</w:t>
      </w:r>
      <w:r w:rsidR="00904584">
        <w:rPr>
          <w:lang w:val="en-GB"/>
        </w:rPr>
        <w:t>, the institutional void problem</w:t>
      </w:r>
      <w:r w:rsidRPr="001D77AF">
        <w:rPr>
          <w:lang w:val="en-GB"/>
        </w:rPr>
        <w:t xml:space="preserve">. </w:t>
      </w:r>
      <w:r w:rsidR="0098593D">
        <w:rPr>
          <w:lang w:val="en-GB"/>
        </w:rPr>
        <w:t>I</w:t>
      </w:r>
      <w:r w:rsidRPr="001D77AF">
        <w:rPr>
          <w:lang w:val="en-GB"/>
        </w:rPr>
        <w:t xml:space="preserve">nformal institutions that do not </w:t>
      </w:r>
      <w:r w:rsidR="00033B09" w:rsidRPr="001D77AF">
        <w:rPr>
          <w:lang w:val="en-GB"/>
        </w:rPr>
        <w:t>legitimize</w:t>
      </w:r>
      <w:r w:rsidRPr="001D77AF">
        <w:rPr>
          <w:lang w:val="en-GB"/>
        </w:rPr>
        <w:t xml:space="preserve"> and support legal rights or that substitute for legal rights </w:t>
      </w:r>
      <w:r w:rsidR="0098593D">
        <w:rPr>
          <w:lang w:val="en-GB"/>
        </w:rPr>
        <w:t xml:space="preserve">can </w:t>
      </w:r>
      <w:r w:rsidRPr="001D77AF">
        <w:rPr>
          <w:lang w:val="en-GB"/>
        </w:rPr>
        <w:t xml:space="preserve">also present problems for asset owners seeking to use legal systems to defend their property rights (Hodgson, 2006). The </w:t>
      </w:r>
      <w:r w:rsidR="005E6B4F">
        <w:rPr>
          <w:lang w:val="en-GB"/>
        </w:rPr>
        <w:t>behaviour</w:t>
      </w:r>
      <w:r w:rsidRPr="001D77AF">
        <w:rPr>
          <w:lang w:val="en-GB"/>
        </w:rPr>
        <w:t xml:space="preserve"> of agents responsible for enforcing property rights in legal systems is shaped by social protocols and conventions that lead to unwritten rules used to frame how they go about their enforcement work (Hayo &amp; Voigt, 2007; Helmke &amp; Levitsky, 2004</w:t>
      </w:r>
      <w:r w:rsidR="008D104A" w:rsidRPr="001D77AF">
        <w:rPr>
          <w:lang w:val="en-GB"/>
        </w:rPr>
        <w:t xml:space="preserve">, </w:t>
      </w:r>
      <w:r w:rsidRPr="001D77AF">
        <w:rPr>
          <w:lang w:val="en-GB"/>
        </w:rPr>
        <w:t>2006)</w:t>
      </w:r>
      <w:r w:rsidR="00500D45" w:rsidRPr="001D77AF">
        <w:rPr>
          <w:lang w:val="en-GB"/>
        </w:rPr>
        <w:t>.</w:t>
      </w:r>
      <w:r w:rsidRPr="001D77AF">
        <w:rPr>
          <w:lang w:val="en-GB"/>
        </w:rPr>
        <w:t xml:space="preserve"> The use of these unwritten rules can exert considerable influence </w:t>
      </w:r>
      <w:r w:rsidR="00500D45" w:rsidRPr="001D77AF">
        <w:rPr>
          <w:lang w:val="en-GB"/>
        </w:rPr>
        <w:t xml:space="preserve">on </w:t>
      </w:r>
      <w:r w:rsidRPr="001D77AF">
        <w:rPr>
          <w:lang w:val="en-GB"/>
        </w:rPr>
        <w:t xml:space="preserve">how legal systems work in cases involving the </w:t>
      </w:r>
      <w:r w:rsidR="001D77AF" w:rsidRPr="001D77AF">
        <w:rPr>
          <w:lang w:val="en-GB"/>
        </w:rPr>
        <w:t>defence</w:t>
      </w:r>
      <w:r w:rsidRPr="001D77AF">
        <w:rPr>
          <w:lang w:val="en-GB"/>
        </w:rPr>
        <w:t xml:space="preserve"> of property rights. </w:t>
      </w:r>
      <w:r w:rsidR="00201722">
        <w:rPr>
          <w:lang w:val="en-GB"/>
        </w:rPr>
        <w:t>T</w:t>
      </w:r>
      <w:r w:rsidRPr="001D77AF">
        <w:rPr>
          <w:lang w:val="en-GB"/>
        </w:rPr>
        <w:t xml:space="preserve">he rules of the game in some institutional contexts can </w:t>
      </w:r>
      <w:r w:rsidR="00201722">
        <w:rPr>
          <w:lang w:val="en-GB"/>
        </w:rPr>
        <w:t xml:space="preserve">therefore </w:t>
      </w:r>
      <w:r w:rsidRPr="001D77AF">
        <w:rPr>
          <w:lang w:val="en-GB"/>
        </w:rPr>
        <w:t xml:space="preserve">lead to unsuitable formal legal rights and/or informal </w:t>
      </w:r>
      <w:r w:rsidRPr="001D77AF">
        <w:rPr>
          <w:lang w:val="en-GB"/>
        </w:rPr>
        <w:lastRenderedPageBreak/>
        <w:t>institutional systems that lead to ineffect</w:t>
      </w:r>
      <w:r w:rsidR="009C770C" w:rsidRPr="001D77AF">
        <w:rPr>
          <w:lang w:val="en-GB"/>
        </w:rPr>
        <w:t>ive</w:t>
      </w:r>
      <w:r w:rsidRPr="001D77AF">
        <w:rPr>
          <w:lang w:val="en-GB"/>
        </w:rPr>
        <w:t xml:space="preserve"> enforcement of legal rights</w:t>
      </w:r>
      <w:r w:rsidR="002835B7" w:rsidRPr="001D77AF">
        <w:rPr>
          <w:lang w:val="en-GB"/>
        </w:rPr>
        <w:t xml:space="preserve"> in courts or other legal arenas</w:t>
      </w:r>
      <w:r w:rsidR="002631EA" w:rsidRPr="001D77AF">
        <w:rPr>
          <w:lang w:val="en-GB"/>
        </w:rPr>
        <w:t xml:space="preserve">. The latter problem </w:t>
      </w:r>
      <w:r w:rsidR="00496CA9" w:rsidRPr="001D77AF">
        <w:rPr>
          <w:lang w:val="en-GB"/>
        </w:rPr>
        <w:t xml:space="preserve">relates to </w:t>
      </w:r>
      <w:r w:rsidR="00C72407" w:rsidRPr="001D77AF">
        <w:rPr>
          <w:lang w:val="en-GB"/>
        </w:rPr>
        <w:t>difficulties of dealing with infringements</w:t>
      </w:r>
      <w:r w:rsidR="004E2D4F" w:rsidRPr="001D77AF">
        <w:rPr>
          <w:lang w:val="en-GB"/>
        </w:rPr>
        <w:t xml:space="preserve"> of </w:t>
      </w:r>
      <w:r w:rsidR="00B6535B">
        <w:rPr>
          <w:lang w:val="en-GB"/>
        </w:rPr>
        <w:t xml:space="preserve">IPR </w:t>
      </w:r>
      <w:r w:rsidR="004E2D4F" w:rsidRPr="001D77AF">
        <w:rPr>
          <w:lang w:val="en-GB"/>
        </w:rPr>
        <w:t xml:space="preserve">by using legal systems. </w:t>
      </w:r>
      <w:r w:rsidR="00866500" w:rsidRPr="001D77AF">
        <w:rPr>
          <w:lang w:val="en-GB"/>
        </w:rPr>
        <w:t xml:space="preserve">This </w:t>
      </w:r>
      <w:r w:rsidRPr="001D77AF">
        <w:rPr>
          <w:lang w:val="en-GB"/>
        </w:rPr>
        <w:t>affect</w:t>
      </w:r>
      <w:r w:rsidR="00356948">
        <w:rPr>
          <w:lang w:val="en-GB"/>
        </w:rPr>
        <w:t>s</w:t>
      </w:r>
      <w:r w:rsidRPr="001D77AF">
        <w:rPr>
          <w:lang w:val="en-GB"/>
        </w:rPr>
        <w:t xml:space="preserve"> the </w:t>
      </w:r>
      <w:r w:rsidR="005E6B4F">
        <w:rPr>
          <w:lang w:val="en-GB"/>
        </w:rPr>
        <w:t xml:space="preserve">costs and risk </w:t>
      </w:r>
      <w:r w:rsidRPr="001D77AF">
        <w:rPr>
          <w:lang w:val="en-GB"/>
        </w:rPr>
        <w:t>of using legal systems to defend property rights</w:t>
      </w:r>
      <w:r w:rsidR="001C6762" w:rsidRPr="001D77AF">
        <w:rPr>
          <w:lang w:val="en-GB"/>
        </w:rPr>
        <w:t xml:space="preserve">. This </w:t>
      </w:r>
      <w:r w:rsidR="00356948">
        <w:rPr>
          <w:lang w:val="en-GB"/>
        </w:rPr>
        <w:t xml:space="preserve">is </w:t>
      </w:r>
      <w:r w:rsidR="006D7861" w:rsidRPr="001D77AF">
        <w:rPr>
          <w:lang w:val="en-GB"/>
        </w:rPr>
        <w:t xml:space="preserve">disincentive for firms </w:t>
      </w:r>
      <w:r w:rsidR="009C770C" w:rsidRPr="001D77AF">
        <w:rPr>
          <w:lang w:val="en-GB"/>
        </w:rPr>
        <w:t>aiming</w:t>
      </w:r>
      <w:r w:rsidR="006D7861" w:rsidRPr="001D77AF">
        <w:rPr>
          <w:lang w:val="en-GB"/>
        </w:rPr>
        <w:t xml:space="preserve"> </w:t>
      </w:r>
      <w:r w:rsidR="00DE2A8B" w:rsidRPr="001D77AF">
        <w:rPr>
          <w:lang w:val="en-GB"/>
        </w:rPr>
        <w:t xml:space="preserve">to </w:t>
      </w:r>
      <w:r w:rsidR="006D7861" w:rsidRPr="001D77AF">
        <w:rPr>
          <w:lang w:val="en-GB"/>
        </w:rPr>
        <w:t>engage in cross-frontier economic transactions</w:t>
      </w:r>
      <w:r w:rsidR="001C6762" w:rsidRPr="001D77AF">
        <w:rPr>
          <w:lang w:val="en-GB"/>
        </w:rPr>
        <w:t xml:space="preserve"> in locations with these enforcement </w:t>
      </w:r>
      <w:r w:rsidR="00D162C0" w:rsidRPr="001D77AF">
        <w:rPr>
          <w:lang w:val="en-GB"/>
        </w:rPr>
        <w:t xml:space="preserve">problems </w:t>
      </w:r>
      <w:r w:rsidR="001C6762" w:rsidRPr="001D77AF">
        <w:rPr>
          <w:lang w:val="en-GB"/>
        </w:rPr>
        <w:t xml:space="preserve">because </w:t>
      </w:r>
      <w:r w:rsidR="00D162C0" w:rsidRPr="001D77AF">
        <w:rPr>
          <w:lang w:val="en-GB"/>
        </w:rPr>
        <w:t xml:space="preserve">of </w:t>
      </w:r>
      <w:r w:rsidR="001C6762" w:rsidRPr="001D77AF">
        <w:rPr>
          <w:lang w:val="en-GB"/>
        </w:rPr>
        <w:t xml:space="preserve">the difficulties </w:t>
      </w:r>
      <w:r w:rsidR="004058DA" w:rsidRPr="001D77AF">
        <w:rPr>
          <w:lang w:val="en-GB"/>
        </w:rPr>
        <w:t xml:space="preserve">this presents </w:t>
      </w:r>
      <w:r w:rsidR="009C770C" w:rsidRPr="001D77AF">
        <w:rPr>
          <w:lang w:val="en-GB"/>
        </w:rPr>
        <w:t>in</w:t>
      </w:r>
      <w:r w:rsidR="001C6762" w:rsidRPr="001D77AF">
        <w:rPr>
          <w:lang w:val="en-GB"/>
        </w:rPr>
        <w:t xml:space="preserve"> converting</w:t>
      </w:r>
      <w:r w:rsidR="00D162C0" w:rsidRPr="001D77AF">
        <w:rPr>
          <w:lang w:val="en-GB"/>
        </w:rPr>
        <w:t xml:space="preserve"> </w:t>
      </w:r>
      <w:r w:rsidR="000669E8">
        <w:rPr>
          <w:lang w:val="en-GB"/>
        </w:rPr>
        <w:t xml:space="preserve">legal </w:t>
      </w:r>
      <w:r w:rsidR="00D162C0" w:rsidRPr="001D77AF">
        <w:rPr>
          <w:lang w:val="en-GB"/>
        </w:rPr>
        <w:t>rights into economic rights</w:t>
      </w:r>
      <w:r w:rsidRPr="001D77AF">
        <w:rPr>
          <w:lang w:val="en-GB"/>
        </w:rPr>
        <w:t>.</w:t>
      </w:r>
    </w:p>
    <w:p w14:paraId="40C7229E" w14:textId="4CAF98B4" w:rsidR="00603FB5" w:rsidRPr="001D77AF" w:rsidRDefault="00603FB5" w:rsidP="00603FB5">
      <w:pPr>
        <w:spacing w:line="480" w:lineRule="auto"/>
        <w:ind w:firstLine="720"/>
        <w:jc w:val="both"/>
        <w:rPr>
          <w:lang w:val="en-GB"/>
        </w:rPr>
      </w:pPr>
      <w:r w:rsidRPr="00BF4784">
        <w:rPr>
          <w:lang w:val="en-GB"/>
        </w:rPr>
        <w:t xml:space="preserve">The importance of informal institutions for the protection of IPR is underlined by the views of policy makers. </w:t>
      </w:r>
      <w:r w:rsidRPr="001D77AF">
        <w:rPr>
          <w:lang w:val="en-GB"/>
        </w:rPr>
        <w:t>A review by the US government on IPR issues in FDI in China highlights the importance of unwritten rules used by enforcement agents. A</w:t>
      </w:r>
      <w:r w:rsidR="00DE2A8B" w:rsidRPr="001D77AF">
        <w:rPr>
          <w:lang w:val="en-GB"/>
        </w:rPr>
        <w:t>s</w:t>
      </w:r>
      <w:r w:rsidRPr="001D77AF">
        <w:rPr>
          <w:lang w:val="en-GB"/>
        </w:rPr>
        <w:t xml:space="preserve"> special Counsel of the US Patent and Trademark Office Mr Cohen commented (USCC, 2015, p. 5-6): “…experience has also shown that both the courts and administrative agencies are not yet independent. Interference from Communist Party organs, local government, and the courts</w:t>
      </w:r>
      <w:r w:rsidR="00DE2A8B" w:rsidRPr="001D77AF">
        <w:rPr>
          <w:lang w:val="en-GB"/>
        </w:rPr>
        <w:t>’</w:t>
      </w:r>
      <w:r w:rsidRPr="001D77AF">
        <w:rPr>
          <w:lang w:val="en-GB"/>
        </w:rPr>
        <w:t xml:space="preserve"> own adjudication committees have been concerns in IP matters”. Evidence given to the hearing also highlighted that the application of IP law by judges and prosecutors in China poses serious concerns in areas such as the time taken to reach decisions, the limited rationale provided to support court decisions and the level of damages awarded. </w:t>
      </w:r>
    </w:p>
    <w:p w14:paraId="5DD22A8B" w14:textId="2548D7B7" w:rsidR="00A770F1" w:rsidRPr="001D77AF" w:rsidRDefault="00F305AA" w:rsidP="00C670DD">
      <w:pPr>
        <w:spacing w:line="480" w:lineRule="auto"/>
        <w:ind w:firstLine="720"/>
        <w:jc w:val="both"/>
        <w:rPr>
          <w:lang w:val="en-GB"/>
        </w:rPr>
      </w:pPr>
      <w:r w:rsidRPr="001D77AF">
        <w:rPr>
          <w:lang w:val="en-GB"/>
        </w:rPr>
        <w:t xml:space="preserve">Different institutional </w:t>
      </w:r>
      <w:r w:rsidR="00953EBE" w:rsidRPr="001D77AF">
        <w:rPr>
          <w:lang w:val="en-GB"/>
        </w:rPr>
        <w:t>contexts f</w:t>
      </w:r>
      <w:r w:rsidR="00DC4F43" w:rsidRPr="001D77AF">
        <w:rPr>
          <w:lang w:val="en-GB"/>
        </w:rPr>
        <w:t xml:space="preserve">or </w:t>
      </w:r>
      <w:r w:rsidRPr="001D77AF">
        <w:rPr>
          <w:lang w:val="en-GB"/>
        </w:rPr>
        <w:t>IPR regimes</w:t>
      </w:r>
      <w:r w:rsidR="00953EBE" w:rsidRPr="001D77AF">
        <w:rPr>
          <w:lang w:val="en-GB"/>
        </w:rPr>
        <w:t xml:space="preserve"> arise </w:t>
      </w:r>
      <w:r w:rsidR="00DC4F43" w:rsidRPr="001D77AF">
        <w:rPr>
          <w:lang w:val="en-GB"/>
        </w:rPr>
        <w:t xml:space="preserve">depending on the </w:t>
      </w:r>
      <w:r w:rsidR="00367E6B" w:rsidRPr="001D77AF">
        <w:rPr>
          <w:lang w:val="en-GB"/>
        </w:rPr>
        <w:t xml:space="preserve">characteristics of the </w:t>
      </w:r>
      <w:r w:rsidR="00DC4F43" w:rsidRPr="001D77AF">
        <w:rPr>
          <w:lang w:val="en-GB"/>
        </w:rPr>
        <w:t xml:space="preserve">configurations of </w:t>
      </w:r>
      <w:r w:rsidR="000F4CB3" w:rsidRPr="001D77AF">
        <w:rPr>
          <w:lang w:val="en-GB"/>
        </w:rPr>
        <w:t xml:space="preserve">national </w:t>
      </w:r>
      <w:r w:rsidR="00DC4F43" w:rsidRPr="001D77AF">
        <w:rPr>
          <w:lang w:val="en-GB"/>
        </w:rPr>
        <w:t xml:space="preserve">formal and informal institutions associated with creating and </w:t>
      </w:r>
      <w:r w:rsidR="001B1473" w:rsidRPr="001D77AF">
        <w:rPr>
          <w:lang w:val="en-GB"/>
        </w:rPr>
        <w:t xml:space="preserve">enforcing </w:t>
      </w:r>
      <w:r w:rsidR="00DC4F43" w:rsidRPr="001D77AF">
        <w:rPr>
          <w:lang w:val="en-GB"/>
        </w:rPr>
        <w:t>IP</w:t>
      </w:r>
      <w:r w:rsidR="003D1EF3" w:rsidRPr="001D77AF">
        <w:rPr>
          <w:lang w:val="en-GB"/>
        </w:rPr>
        <w:t xml:space="preserve"> law</w:t>
      </w:r>
      <w:r w:rsidR="00C77F91" w:rsidRPr="001D77AF">
        <w:rPr>
          <w:lang w:val="en-GB"/>
        </w:rPr>
        <w:t xml:space="preserve"> (Papageorgiadis &amp; McDonald, 201</w:t>
      </w:r>
      <w:r w:rsidR="00447977" w:rsidRPr="001D77AF">
        <w:rPr>
          <w:lang w:val="en-GB"/>
        </w:rPr>
        <w:t>9</w:t>
      </w:r>
      <w:r w:rsidR="00C77F91" w:rsidRPr="001D77AF">
        <w:rPr>
          <w:lang w:val="en-GB"/>
        </w:rPr>
        <w:t>).</w:t>
      </w:r>
      <w:r w:rsidR="00DC4F43" w:rsidRPr="001D77AF">
        <w:rPr>
          <w:lang w:val="en-GB"/>
        </w:rPr>
        <w:t xml:space="preserve"> </w:t>
      </w:r>
      <w:r w:rsidR="00367E6B" w:rsidRPr="001D77AF">
        <w:rPr>
          <w:lang w:val="en-GB"/>
        </w:rPr>
        <w:t xml:space="preserve">A country </w:t>
      </w:r>
      <w:r w:rsidR="00DC4F43" w:rsidRPr="001D77AF">
        <w:rPr>
          <w:lang w:val="en-GB"/>
        </w:rPr>
        <w:t xml:space="preserve">may have clear and comprehensive formal </w:t>
      </w:r>
      <w:r w:rsidR="00DA4B14" w:rsidRPr="001D77AF">
        <w:rPr>
          <w:lang w:val="en-GB"/>
        </w:rPr>
        <w:t xml:space="preserve">legal </w:t>
      </w:r>
      <w:r w:rsidR="00154A03" w:rsidRPr="001D77AF">
        <w:rPr>
          <w:lang w:val="en-GB"/>
        </w:rPr>
        <w:t xml:space="preserve">conditions for IPR, including formal </w:t>
      </w:r>
      <w:r w:rsidR="007441A3">
        <w:rPr>
          <w:lang w:val="en-GB"/>
        </w:rPr>
        <w:t xml:space="preserve">court </w:t>
      </w:r>
      <w:r w:rsidR="00154A03" w:rsidRPr="001D77AF">
        <w:rPr>
          <w:lang w:val="en-GB"/>
        </w:rPr>
        <w:t xml:space="preserve">procedures for enforcement </w:t>
      </w:r>
      <w:r w:rsidR="00DC4F43" w:rsidRPr="001D77AF">
        <w:rPr>
          <w:lang w:val="en-GB"/>
        </w:rPr>
        <w:t>(law on the books), but have poor enforcement</w:t>
      </w:r>
      <w:r w:rsidR="00DA4B14" w:rsidRPr="001D77AF">
        <w:rPr>
          <w:lang w:val="en-GB"/>
        </w:rPr>
        <w:t xml:space="preserve"> in legal arenas</w:t>
      </w:r>
      <w:r w:rsidR="00DC4F43" w:rsidRPr="001D77AF">
        <w:rPr>
          <w:lang w:val="en-GB"/>
        </w:rPr>
        <w:t xml:space="preserve"> </w:t>
      </w:r>
      <w:r w:rsidR="00C77F91" w:rsidRPr="001D77AF">
        <w:rPr>
          <w:lang w:val="en-GB"/>
        </w:rPr>
        <w:t>(law in practice)</w:t>
      </w:r>
      <w:r w:rsidR="00BC3C36" w:rsidRPr="001D77AF">
        <w:rPr>
          <w:lang w:val="en-GB"/>
        </w:rPr>
        <w:t>. Poor enforcement in th</w:t>
      </w:r>
      <w:r w:rsidR="0006770C" w:rsidRPr="001D77AF">
        <w:rPr>
          <w:lang w:val="en-GB"/>
        </w:rPr>
        <w:t>ese terms arises</w:t>
      </w:r>
      <w:r w:rsidR="00C77F91" w:rsidRPr="001D77AF">
        <w:rPr>
          <w:lang w:val="en-GB"/>
        </w:rPr>
        <w:t xml:space="preserve"> </w:t>
      </w:r>
      <w:r w:rsidR="00DC4F43" w:rsidRPr="001D77AF">
        <w:rPr>
          <w:lang w:val="en-GB"/>
        </w:rPr>
        <w:t>because of the way agents implement the law.</w:t>
      </w:r>
      <w:r w:rsidR="00A34A3B" w:rsidRPr="001D77AF">
        <w:rPr>
          <w:lang w:val="en-GB"/>
        </w:rPr>
        <w:t xml:space="preserve"> </w:t>
      </w:r>
      <w:r w:rsidR="00C77F91" w:rsidRPr="001D77AF">
        <w:rPr>
          <w:lang w:val="en-GB"/>
        </w:rPr>
        <w:t>In these societies, e</w:t>
      </w:r>
      <w:r w:rsidR="003D1EF3" w:rsidRPr="001D77AF">
        <w:rPr>
          <w:lang w:val="en-GB"/>
        </w:rPr>
        <w:t>nforcement agents may be influence</w:t>
      </w:r>
      <w:r w:rsidR="003F6D7C" w:rsidRPr="001D77AF">
        <w:rPr>
          <w:lang w:val="en-GB"/>
        </w:rPr>
        <w:t>d</w:t>
      </w:r>
      <w:r w:rsidR="003D1EF3" w:rsidRPr="001D77AF">
        <w:rPr>
          <w:lang w:val="en-GB"/>
        </w:rPr>
        <w:t xml:space="preserve"> by an understanding of social realities that places low emphasis on the rights of owners (as specified by IP law) compared to the rights of the ‘community’</w:t>
      </w:r>
      <w:r w:rsidR="009208FE">
        <w:rPr>
          <w:lang w:val="en-GB"/>
        </w:rPr>
        <w:t xml:space="preserve">. Agents </w:t>
      </w:r>
      <w:r w:rsidR="00EC38BA" w:rsidRPr="001D77AF">
        <w:rPr>
          <w:lang w:val="en-GB"/>
        </w:rPr>
        <w:t xml:space="preserve">may </w:t>
      </w:r>
      <w:r w:rsidR="009208FE">
        <w:rPr>
          <w:lang w:val="en-GB"/>
        </w:rPr>
        <w:t xml:space="preserve">also </w:t>
      </w:r>
      <w:r w:rsidR="00EC38BA" w:rsidRPr="001D77AF">
        <w:rPr>
          <w:lang w:val="en-GB"/>
        </w:rPr>
        <w:t xml:space="preserve">be </w:t>
      </w:r>
      <w:r w:rsidR="00E42D6E" w:rsidRPr="001D77AF">
        <w:rPr>
          <w:lang w:val="en-GB"/>
        </w:rPr>
        <w:t xml:space="preserve">swayed by </w:t>
      </w:r>
      <w:r w:rsidR="000F4CB3" w:rsidRPr="001D77AF">
        <w:rPr>
          <w:lang w:val="en-GB"/>
        </w:rPr>
        <w:t xml:space="preserve">the wishes of </w:t>
      </w:r>
      <w:r w:rsidR="003D1EF3" w:rsidRPr="001D77AF">
        <w:rPr>
          <w:lang w:val="en-GB"/>
        </w:rPr>
        <w:t xml:space="preserve">powerful political and economic </w:t>
      </w:r>
      <w:r w:rsidR="003D1EF3" w:rsidRPr="001D77AF">
        <w:rPr>
          <w:lang w:val="en-GB"/>
        </w:rPr>
        <w:lastRenderedPageBreak/>
        <w:t>actors</w:t>
      </w:r>
      <w:r w:rsidR="00995DB9" w:rsidRPr="001D77AF">
        <w:rPr>
          <w:lang w:val="en-GB"/>
        </w:rPr>
        <w:t xml:space="preserve"> in </w:t>
      </w:r>
      <w:r w:rsidR="00821CD5">
        <w:rPr>
          <w:lang w:val="en-GB"/>
        </w:rPr>
        <w:t xml:space="preserve">their </w:t>
      </w:r>
      <w:r w:rsidR="00995DB9" w:rsidRPr="001D77AF">
        <w:rPr>
          <w:lang w:val="en-GB"/>
        </w:rPr>
        <w:t>societies</w:t>
      </w:r>
      <w:r w:rsidR="003D1EF3" w:rsidRPr="001D77AF">
        <w:rPr>
          <w:lang w:val="en-GB"/>
        </w:rPr>
        <w:t>.</w:t>
      </w:r>
      <w:r w:rsidR="000F4CB3" w:rsidRPr="001D77AF">
        <w:rPr>
          <w:lang w:val="en-GB"/>
        </w:rPr>
        <w:t xml:space="preserve"> </w:t>
      </w:r>
      <w:r w:rsidR="007A6D58" w:rsidRPr="001D77AF">
        <w:rPr>
          <w:lang w:val="en-GB"/>
        </w:rPr>
        <w:t xml:space="preserve">In these IPR regimes </w:t>
      </w:r>
      <w:r w:rsidR="00701B72" w:rsidRPr="001D77AF">
        <w:rPr>
          <w:lang w:val="en-GB"/>
        </w:rPr>
        <w:t xml:space="preserve">the unwritten rules governing the </w:t>
      </w:r>
      <w:r w:rsidR="005E6B4F">
        <w:rPr>
          <w:lang w:val="en-GB"/>
        </w:rPr>
        <w:t>behaviour</w:t>
      </w:r>
      <w:r w:rsidR="00701B72" w:rsidRPr="001D77AF">
        <w:rPr>
          <w:lang w:val="en-GB"/>
        </w:rPr>
        <w:t xml:space="preserve"> of enforcement agents </w:t>
      </w:r>
      <w:r w:rsidR="00890223" w:rsidRPr="001D77AF">
        <w:rPr>
          <w:lang w:val="en-GB"/>
        </w:rPr>
        <w:t xml:space="preserve">may lead to </w:t>
      </w:r>
      <w:r w:rsidR="008E5B24" w:rsidRPr="001D77AF">
        <w:rPr>
          <w:lang w:val="en-GB"/>
        </w:rPr>
        <w:t xml:space="preserve">problems with using legal systems to deal with infringements of property rights. </w:t>
      </w:r>
      <w:r w:rsidR="00331BAC" w:rsidRPr="001D77AF">
        <w:rPr>
          <w:lang w:val="en-GB"/>
        </w:rPr>
        <w:t xml:space="preserve">The costs and risk associated with dealing with infringements increase the difficulties of converting property rights into economic rights. </w:t>
      </w:r>
      <w:r w:rsidR="00A770F1" w:rsidRPr="001D77AF">
        <w:rPr>
          <w:lang w:val="en-GB"/>
        </w:rPr>
        <w:t xml:space="preserve">In other </w:t>
      </w:r>
      <w:r w:rsidR="0088771B" w:rsidRPr="001D77AF">
        <w:rPr>
          <w:lang w:val="en-GB"/>
        </w:rPr>
        <w:t>institutional contexts</w:t>
      </w:r>
      <w:r w:rsidR="00A616A3" w:rsidRPr="001D77AF">
        <w:rPr>
          <w:lang w:val="en-GB"/>
        </w:rPr>
        <w:t>,</w:t>
      </w:r>
      <w:r w:rsidR="0088771B" w:rsidRPr="001D77AF">
        <w:rPr>
          <w:lang w:val="en-GB"/>
        </w:rPr>
        <w:t xml:space="preserve"> </w:t>
      </w:r>
      <w:r w:rsidR="00A34A3B" w:rsidRPr="001D77AF">
        <w:rPr>
          <w:lang w:val="en-GB"/>
        </w:rPr>
        <w:t xml:space="preserve">IPR regimes </w:t>
      </w:r>
      <w:r w:rsidR="00E26F1D" w:rsidRPr="001D77AF">
        <w:rPr>
          <w:lang w:val="en-GB"/>
        </w:rPr>
        <w:t xml:space="preserve">may have </w:t>
      </w:r>
      <w:r w:rsidR="00EE129B" w:rsidRPr="001D77AF">
        <w:rPr>
          <w:lang w:val="en-GB"/>
        </w:rPr>
        <w:t xml:space="preserve">substantial institutional voids affecting </w:t>
      </w:r>
      <w:r w:rsidR="00A34A3B" w:rsidRPr="001D77AF">
        <w:rPr>
          <w:lang w:val="en-GB"/>
        </w:rPr>
        <w:t>law on the books</w:t>
      </w:r>
      <w:r w:rsidR="00776C8D">
        <w:rPr>
          <w:lang w:val="en-GB"/>
        </w:rPr>
        <w:t xml:space="preserve">, which </w:t>
      </w:r>
      <w:r w:rsidR="00A34A3B" w:rsidRPr="001D77AF">
        <w:rPr>
          <w:lang w:val="en-GB"/>
        </w:rPr>
        <w:t xml:space="preserve">in </w:t>
      </w:r>
      <w:r w:rsidR="0088771B" w:rsidRPr="001D77AF">
        <w:rPr>
          <w:lang w:val="en-GB"/>
        </w:rPr>
        <w:t>pr</w:t>
      </w:r>
      <w:r w:rsidR="00A34A3B" w:rsidRPr="001D77AF">
        <w:rPr>
          <w:lang w:val="en-GB"/>
        </w:rPr>
        <w:t>actice</w:t>
      </w:r>
      <w:r w:rsidR="00285A5C" w:rsidRPr="001D77AF">
        <w:rPr>
          <w:lang w:val="en-GB"/>
        </w:rPr>
        <w:t xml:space="preserve"> </w:t>
      </w:r>
      <w:r w:rsidR="00776C8D">
        <w:rPr>
          <w:lang w:val="en-GB"/>
        </w:rPr>
        <w:t xml:space="preserve">means </w:t>
      </w:r>
      <w:r w:rsidR="00E7676F" w:rsidRPr="001D77AF">
        <w:rPr>
          <w:lang w:val="en-GB"/>
        </w:rPr>
        <w:t xml:space="preserve">IPR are </w:t>
      </w:r>
      <w:r w:rsidR="00776C8D">
        <w:rPr>
          <w:lang w:val="en-GB"/>
        </w:rPr>
        <w:t>largely govern by informal institutions</w:t>
      </w:r>
      <w:r w:rsidR="00EB09FA">
        <w:rPr>
          <w:lang w:val="en-GB"/>
        </w:rPr>
        <w:t>.</w:t>
      </w:r>
      <w:r w:rsidR="00E7676F" w:rsidRPr="001D77AF">
        <w:rPr>
          <w:lang w:val="en-GB"/>
        </w:rPr>
        <w:t xml:space="preserve"> In such institutional contexts</w:t>
      </w:r>
      <w:r w:rsidR="00DE2A8B" w:rsidRPr="001D77AF">
        <w:rPr>
          <w:lang w:val="en-GB"/>
        </w:rPr>
        <w:t>,</w:t>
      </w:r>
      <w:r w:rsidR="00E7676F" w:rsidRPr="001D77AF">
        <w:rPr>
          <w:lang w:val="en-GB"/>
        </w:rPr>
        <w:t xml:space="preserve"> </w:t>
      </w:r>
      <w:r w:rsidR="0028699B" w:rsidRPr="001D77AF">
        <w:rPr>
          <w:lang w:val="en-GB"/>
        </w:rPr>
        <w:t xml:space="preserve">infringements of IPR are </w:t>
      </w:r>
      <w:r w:rsidR="00EA1095" w:rsidRPr="001D77AF">
        <w:rPr>
          <w:lang w:val="en-GB"/>
        </w:rPr>
        <w:t xml:space="preserve">largely </w:t>
      </w:r>
      <w:r w:rsidR="00F015D1" w:rsidRPr="001D77AF">
        <w:rPr>
          <w:lang w:val="en-GB"/>
        </w:rPr>
        <w:t>dealt with using the</w:t>
      </w:r>
      <w:r w:rsidR="00EA1095" w:rsidRPr="001D77AF">
        <w:rPr>
          <w:lang w:val="en-GB"/>
        </w:rPr>
        <w:t xml:space="preserve"> unwritten rules </w:t>
      </w:r>
      <w:r w:rsidR="00F62286">
        <w:rPr>
          <w:lang w:val="en-GB"/>
        </w:rPr>
        <w:t xml:space="preserve">used by </w:t>
      </w:r>
      <w:r w:rsidR="00F015D1" w:rsidRPr="001D77AF">
        <w:rPr>
          <w:lang w:val="en-GB"/>
        </w:rPr>
        <w:t>enforcement agents</w:t>
      </w:r>
      <w:r w:rsidR="00EA1095" w:rsidRPr="001D77AF">
        <w:rPr>
          <w:lang w:val="en-GB"/>
        </w:rPr>
        <w:t xml:space="preserve">. </w:t>
      </w:r>
      <w:r w:rsidR="00C77F91" w:rsidRPr="001D77AF">
        <w:rPr>
          <w:lang w:val="en-GB"/>
        </w:rPr>
        <w:t xml:space="preserve">These types of societies are likely </w:t>
      </w:r>
      <w:r w:rsidR="00157F4D" w:rsidRPr="001D77AF">
        <w:rPr>
          <w:lang w:val="en-GB"/>
        </w:rPr>
        <w:t xml:space="preserve">to </w:t>
      </w:r>
      <w:r w:rsidR="00C77F91" w:rsidRPr="001D77AF">
        <w:rPr>
          <w:lang w:val="en-GB"/>
        </w:rPr>
        <w:t>operate under a ‘commons’ type of property relationship govern</w:t>
      </w:r>
      <w:r w:rsidR="003F6D7C" w:rsidRPr="001D77AF">
        <w:rPr>
          <w:lang w:val="en-GB"/>
        </w:rPr>
        <w:t xml:space="preserve">ed </w:t>
      </w:r>
      <w:r w:rsidR="00824048" w:rsidRPr="001D77AF">
        <w:rPr>
          <w:lang w:val="en-GB"/>
        </w:rPr>
        <w:t xml:space="preserve">mainly </w:t>
      </w:r>
      <w:r w:rsidR="00C77F91" w:rsidRPr="001D77AF">
        <w:rPr>
          <w:lang w:val="en-GB"/>
        </w:rPr>
        <w:t xml:space="preserve">by social conventions </w:t>
      </w:r>
      <w:r w:rsidR="00A770F1" w:rsidRPr="001D77AF">
        <w:rPr>
          <w:lang w:val="en-GB"/>
        </w:rPr>
        <w:t xml:space="preserve">that are </w:t>
      </w:r>
      <w:r w:rsidR="00C77F91" w:rsidRPr="001D77AF">
        <w:rPr>
          <w:lang w:val="en-GB"/>
        </w:rPr>
        <w:t>largely unconnected to legal arenas (Ostrom</w:t>
      </w:r>
      <w:r w:rsidR="00832CC9">
        <w:rPr>
          <w:lang w:val="en-GB"/>
        </w:rPr>
        <w:t>,</w:t>
      </w:r>
      <w:r w:rsidR="00C77F91" w:rsidRPr="001D77AF">
        <w:rPr>
          <w:lang w:val="en-GB"/>
        </w:rPr>
        <w:t xml:space="preserve"> 1990). </w:t>
      </w:r>
      <w:r w:rsidR="003F6D7C" w:rsidRPr="001D77AF">
        <w:rPr>
          <w:lang w:val="en-GB"/>
        </w:rPr>
        <w:t>Other</w:t>
      </w:r>
      <w:r w:rsidR="005C22E2" w:rsidRPr="001D77AF">
        <w:rPr>
          <w:lang w:val="en-GB"/>
        </w:rPr>
        <w:t xml:space="preserve"> economies may have </w:t>
      </w:r>
      <w:r w:rsidR="007270E4" w:rsidRPr="001D77AF">
        <w:rPr>
          <w:lang w:val="en-GB"/>
        </w:rPr>
        <w:t>poor law on the books, but good law in practice</w:t>
      </w:r>
      <w:r w:rsidR="003F6D7C" w:rsidRPr="001D77AF">
        <w:rPr>
          <w:lang w:val="en-GB"/>
        </w:rPr>
        <w:t xml:space="preserve"> (Papageorgiadis &amp; McDonald, 201</w:t>
      </w:r>
      <w:r w:rsidR="00447977" w:rsidRPr="001D77AF">
        <w:rPr>
          <w:lang w:val="en-GB"/>
        </w:rPr>
        <w:t>9</w:t>
      </w:r>
      <w:r w:rsidR="003F6D7C" w:rsidRPr="001D77AF">
        <w:rPr>
          <w:lang w:val="en-GB"/>
        </w:rPr>
        <w:t>)</w:t>
      </w:r>
      <w:r w:rsidR="007270E4" w:rsidRPr="001D77AF">
        <w:rPr>
          <w:lang w:val="en-GB"/>
        </w:rPr>
        <w:t xml:space="preserve">. </w:t>
      </w:r>
      <w:r w:rsidR="003F6D7C" w:rsidRPr="001D77AF">
        <w:rPr>
          <w:lang w:val="en-GB"/>
        </w:rPr>
        <w:t>Such</w:t>
      </w:r>
      <w:r w:rsidR="00D268FE" w:rsidRPr="001D77AF">
        <w:rPr>
          <w:lang w:val="en-GB"/>
        </w:rPr>
        <w:t xml:space="preserve"> economies </w:t>
      </w:r>
      <w:r w:rsidR="003F6D7C" w:rsidRPr="001D77AF">
        <w:rPr>
          <w:lang w:val="en-GB"/>
        </w:rPr>
        <w:t xml:space="preserve">can have </w:t>
      </w:r>
      <w:r w:rsidR="00D268FE" w:rsidRPr="001D77AF">
        <w:rPr>
          <w:lang w:val="en-GB"/>
        </w:rPr>
        <w:t>large new</w:t>
      </w:r>
      <w:r w:rsidR="004627FF" w:rsidRPr="001D77AF">
        <w:rPr>
          <w:lang w:val="en-GB"/>
        </w:rPr>
        <w:t xml:space="preserve"> </w:t>
      </w:r>
      <w:r w:rsidR="00D31299" w:rsidRPr="001D77AF">
        <w:rPr>
          <w:lang w:val="en-GB"/>
        </w:rPr>
        <w:t xml:space="preserve">technology sectors that have yet to determine </w:t>
      </w:r>
      <w:r w:rsidR="0042482C" w:rsidRPr="001D77AF">
        <w:rPr>
          <w:lang w:val="en-GB"/>
        </w:rPr>
        <w:t xml:space="preserve">detailed </w:t>
      </w:r>
      <w:r w:rsidR="00D31299" w:rsidRPr="001D77AF">
        <w:rPr>
          <w:lang w:val="en-GB"/>
        </w:rPr>
        <w:t xml:space="preserve">formal legal conditions, but where informal institutions work effectively by unwritten rules </w:t>
      </w:r>
      <w:r w:rsidR="0042482C" w:rsidRPr="001D77AF">
        <w:rPr>
          <w:lang w:val="en-GB"/>
        </w:rPr>
        <w:t>to protect IP. This type of institutional context is a type of ‘commons’ system of rul</w:t>
      </w:r>
      <w:r w:rsidR="00D95BB4" w:rsidRPr="001D77AF">
        <w:rPr>
          <w:lang w:val="en-GB"/>
        </w:rPr>
        <w:t>e</w:t>
      </w:r>
      <w:r w:rsidR="0042482C" w:rsidRPr="001D77AF">
        <w:rPr>
          <w:lang w:val="en-GB"/>
        </w:rPr>
        <w:t>s of the gam</w:t>
      </w:r>
      <w:r w:rsidR="00D95BB4" w:rsidRPr="001D77AF">
        <w:rPr>
          <w:lang w:val="en-GB"/>
        </w:rPr>
        <w:t xml:space="preserve">e (Ostrom &amp; Hess, 2007). </w:t>
      </w:r>
      <w:r w:rsidR="00A770F1" w:rsidRPr="001D77AF">
        <w:rPr>
          <w:lang w:val="en-GB"/>
        </w:rPr>
        <w:t xml:space="preserve">Many advanced economies have </w:t>
      </w:r>
      <w:r w:rsidR="00A34A3B" w:rsidRPr="001D77AF">
        <w:rPr>
          <w:lang w:val="en-GB"/>
        </w:rPr>
        <w:t xml:space="preserve">effective law </w:t>
      </w:r>
      <w:r w:rsidR="00A770F1" w:rsidRPr="001D77AF">
        <w:rPr>
          <w:lang w:val="en-GB"/>
        </w:rPr>
        <w:t>o</w:t>
      </w:r>
      <w:r w:rsidR="00BB0C1F" w:rsidRPr="001D77AF">
        <w:rPr>
          <w:lang w:val="en-GB"/>
        </w:rPr>
        <w:t>n</w:t>
      </w:r>
      <w:r w:rsidR="00A770F1" w:rsidRPr="001D77AF">
        <w:rPr>
          <w:lang w:val="en-GB"/>
        </w:rPr>
        <w:t xml:space="preserve"> the books and law in practice</w:t>
      </w:r>
      <w:r w:rsidR="00476928" w:rsidRPr="001D77AF">
        <w:rPr>
          <w:lang w:val="en-GB"/>
        </w:rPr>
        <w:t>.</w:t>
      </w:r>
      <w:r w:rsidR="00824048" w:rsidRPr="001D77AF">
        <w:rPr>
          <w:lang w:val="en-GB"/>
        </w:rPr>
        <w:t xml:space="preserve"> </w:t>
      </w:r>
      <w:r w:rsidR="00A770F1" w:rsidRPr="001D77AF">
        <w:rPr>
          <w:lang w:val="en-GB"/>
        </w:rPr>
        <w:t xml:space="preserve">In these types of economies, the </w:t>
      </w:r>
      <w:r w:rsidR="00FD31EA">
        <w:rPr>
          <w:lang w:val="en-GB"/>
        </w:rPr>
        <w:t xml:space="preserve">unwritten rules </w:t>
      </w:r>
      <w:r w:rsidR="00A770F1" w:rsidRPr="001D77AF">
        <w:rPr>
          <w:lang w:val="en-GB"/>
        </w:rPr>
        <w:t xml:space="preserve">used by enforcement agents in </w:t>
      </w:r>
      <w:r w:rsidR="00384072">
        <w:rPr>
          <w:lang w:val="en-GB"/>
        </w:rPr>
        <w:t>l</w:t>
      </w:r>
      <w:r w:rsidR="00A770F1" w:rsidRPr="001D77AF">
        <w:rPr>
          <w:lang w:val="en-GB"/>
        </w:rPr>
        <w:t>egal arena</w:t>
      </w:r>
      <w:r w:rsidR="00384072">
        <w:rPr>
          <w:lang w:val="en-GB"/>
        </w:rPr>
        <w:t>s</w:t>
      </w:r>
      <w:r w:rsidR="00A770F1" w:rsidRPr="001D77AF">
        <w:rPr>
          <w:lang w:val="en-GB"/>
        </w:rPr>
        <w:t xml:space="preserve"> legitimize and complement clear and developed IP law. This provides low </w:t>
      </w:r>
      <w:r w:rsidR="005E6B4F">
        <w:rPr>
          <w:lang w:val="en-GB"/>
        </w:rPr>
        <w:t xml:space="preserve">costs and risk </w:t>
      </w:r>
      <w:r w:rsidR="00384072">
        <w:rPr>
          <w:lang w:val="en-GB"/>
        </w:rPr>
        <w:t xml:space="preserve">when </w:t>
      </w:r>
      <w:r w:rsidR="00140BEF" w:rsidRPr="001D77AF">
        <w:rPr>
          <w:lang w:val="en-GB"/>
        </w:rPr>
        <w:t xml:space="preserve">using </w:t>
      </w:r>
      <w:r w:rsidR="00914EBA" w:rsidRPr="001D77AF">
        <w:rPr>
          <w:lang w:val="en-GB"/>
        </w:rPr>
        <w:t xml:space="preserve">legal systems </w:t>
      </w:r>
      <w:r w:rsidR="00140BEF" w:rsidRPr="001D77AF">
        <w:rPr>
          <w:lang w:val="en-GB"/>
        </w:rPr>
        <w:t>to defend IPR</w:t>
      </w:r>
      <w:r w:rsidR="00384072">
        <w:rPr>
          <w:lang w:val="en-GB"/>
        </w:rPr>
        <w:t xml:space="preserve">. This </w:t>
      </w:r>
      <w:r w:rsidR="00E53D60" w:rsidRPr="001D77AF">
        <w:rPr>
          <w:lang w:val="en-GB"/>
        </w:rPr>
        <w:t>reduce</w:t>
      </w:r>
      <w:r w:rsidR="00384072">
        <w:rPr>
          <w:lang w:val="en-GB"/>
        </w:rPr>
        <w:t>s</w:t>
      </w:r>
      <w:r w:rsidR="00E53D60" w:rsidRPr="001D77AF">
        <w:rPr>
          <w:lang w:val="en-GB"/>
        </w:rPr>
        <w:t xml:space="preserve"> the difficulties associated with converting property rights int</w:t>
      </w:r>
      <w:r w:rsidR="004B5B27" w:rsidRPr="001D77AF">
        <w:rPr>
          <w:lang w:val="en-GB"/>
        </w:rPr>
        <w:t>o</w:t>
      </w:r>
      <w:r w:rsidR="00E53D60" w:rsidRPr="001D77AF">
        <w:rPr>
          <w:lang w:val="en-GB"/>
        </w:rPr>
        <w:t xml:space="preserve"> economic rights</w:t>
      </w:r>
      <w:r w:rsidR="00F93B43" w:rsidRPr="001D77AF">
        <w:rPr>
          <w:lang w:val="en-GB"/>
        </w:rPr>
        <w:t>.</w:t>
      </w:r>
    </w:p>
    <w:p w14:paraId="3EF0A9AB" w14:textId="473A6BBA" w:rsidR="003F6D7C" w:rsidRPr="001D77AF" w:rsidRDefault="00E94641" w:rsidP="00623D2F">
      <w:pPr>
        <w:spacing w:line="480" w:lineRule="auto"/>
        <w:jc w:val="both"/>
        <w:rPr>
          <w:lang w:val="en-GB"/>
        </w:rPr>
      </w:pPr>
      <w:r w:rsidRPr="001D77AF">
        <w:rPr>
          <w:b/>
          <w:lang w:val="en-GB"/>
        </w:rPr>
        <w:tab/>
      </w:r>
      <w:r w:rsidRPr="001D77AF">
        <w:rPr>
          <w:lang w:val="en-GB"/>
        </w:rPr>
        <w:t xml:space="preserve">Converting </w:t>
      </w:r>
      <w:r w:rsidR="00747B4D" w:rsidRPr="001D77AF">
        <w:rPr>
          <w:lang w:val="en-GB"/>
        </w:rPr>
        <w:t xml:space="preserve">legal rights over </w:t>
      </w:r>
      <w:r w:rsidR="00F87F33" w:rsidRPr="001D77AF">
        <w:rPr>
          <w:lang w:val="en-GB"/>
        </w:rPr>
        <w:t xml:space="preserve">IP </w:t>
      </w:r>
      <w:r w:rsidR="00747B4D" w:rsidRPr="001D77AF">
        <w:rPr>
          <w:lang w:val="en-GB"/>
        </w:rPr>
        <w:t>property into economic rights</w:t>
      </w:r>
      <w:r w:rsidR="00F87F33" w:rsidRPr="001D77AF">
        <w:rPr>
          <w:lang w:val="en-GB"/>
        </w:rPr>
        <w:t xml:space="preserve"> involve</w:t>
      </w:r>
      <w:r w:rsidR="00834FCB" w:rsidRPr="001D77AF">
        <w:rPr>
          <w:lang w:val="en-GB"/>
        </w:rPr>
        <w:t>s</w:t>
      </w:r>
      <w:r w:rsidR="00F87F33" w:rsidRPr="001D77AF">
        <w:rPr>
          <w:lang w:val="en-GB"/>
        </w:rPr>
        <w:t xml:space="preserve"> many issues that need to be considered by firms engaging in </w:t>
      </w:r>
      <w:r w:rsidR="004F564B" w:rsidRPr="001D77AF">
        <w:rPr>
          <w:lang w:val="en-GB"/>
        </w:rPr>
        <w:t xml:space="preserve">cross-frontier activities such as FDI. </w:t>
      </w:r>
      <w:r w:rsidR="006C2A64" w:rsidRPr="001D77AF">
        <w:rPr>
          <w:lang w:val="en-GB"/>
        </w:rPr>
        <w:t xml:space="preserve">Many of these issues relate to </w:t>
      </w:r>
      <w:r w:rsidR="001B4177" w:rsidRPr="001D77AF">
        <w:rPr>
          <w:lang w:val="en-GB"/>
        </w:rPr>
        <w:t xml:space="preserve">hierarchical organizational requirements </w:t>
      </w:r>
      <w:r w:rsidR="003F6D7C" w:rsidRPr="001D77AF">
        <w:rPr>
          <w:lang w:val="en-GB"/>
        </w:rPr>
        <w:t>that</w:t>
      </w:r>
      <w:r w:rsidR="001B4177" w:rsidRPr="001D77AF">
        <w:rPr>
          <w:lang w:val="en-GB"/>
        </w:rPr>
        <w:t xml:space="preserve"> deal with incomplete contract</w:t>
      </w:r>
      <w:r w:rsidR="006553BF" w:rsidRPr="001D77AF">
        <w:rPr>
          <w:lang w:val="en-GB"/>
        </w:rPr>
        <w:t>s</w:t>
      </w:r>
      <w:r w:rsidR="003038D2" w:rsidRPr="001D77AF">
        <w:rPr>
          <w:lang w:val="en-GB"/>
        </w:rPr>
        <w:t>,</w:t>
      </w:r>
      <w:r w:rsidR="00892868" w:rsidRPr="001D77AF">
        <w:rPr>
          <w:lang w:val="en-GB"/>
        </w:rPr>
        <w:t xml:space="preserve"> </w:t>
      </w:r>
      <w:r w:rsidR="007B68EC" w:rsidRPr="001D77AF">
        <w:rPr>
          <w:lang w:val="en-GB"/>
        </w:rPr>
        <w:t>including</w:t>
      </w:r>
      <w:r w:rsidR="00892868" w:rsidRPr="001D77AF">
        <w:rPr>
          <w:lang w:val="en-GB"/>
        </w:rPr>
        <w:t xml:space="preserve"> problem</w:t>
      </w:r>
      <w:r w:rsidR="007B68EC" w:rsidRPr="001D77AF">
        <w:rPr>
          <w:lang w:val="en-GB"/>
        </w:rPr>
        <w:t>s</w:t>
      </w:r>
      <w:r w:rsidR="00892868" w:rsidRPr="001D77AF">
        <w:rPr>
          <w:lang w:val="en-GB"/>
        </w:rPr>
        <w:t xml:space="preserve"> posed by institutional voids</w:t>
      </w:r>
      <w:r w:rsidR="004D4B44" w:rsidRPr="001D77AF">
        <w:rPr>
          <w:lang w:val="en-GB"/>
        </w:rPr>
        <w:t>.</w:t>
      </w:r>
      <w:r w:rsidR="006553BF" w:rsidRPr="001D77AF">
        <w:rPr>
          <w:lang w:val="en-GB"/>
        </w:rPr>
        <w:t xml:space="preserve"> </w:t>
      </w:r>
      <w:r w:rsidR="003D429F" w:rsidRPr="001D77AF">
        <w:rPr>
          <w:lang w:val="en-GB"/>
        </w:rPr>
        <w:t xml:space="preserve">There is a </w:t>
      </w:r>
      <w:r w:rsidR="00A14D4A" w:rsidRPr="001D77AF">
        <w:rPr>
          <w:lang w:val="en-GB"/>
        </w:rPr>
        <w:t>substantial</w:t>
      </w:r>
      <w:r w:rsidR="003D429F" w:rsidRPr="001D77AF">
        <w:rPr>
          <w:lang w:val="en-GB"/>
        </w:rPr>
        <w:t xml:space="preserve"> literature connected to </w:t>
      </w:r>
      <w:r w:rsidR="00A14D4A" w:rsidRPr="001D77AF">
        <w:rPr>
          <w:lang w:val="en-GB"/>
        </w:rPr>
        <w:t>these issues</w:t>
      </w:r>
      <w:r w:rsidR="00D75D62" w:rsidRPr="001D77AF">
        <w:rPr>
          <w:lang w:val="en-GB"/>
        </w:rPr>
        <w:t xml:space="preserve"> in the context of IPR and FDI</w:t>
      </w:r>
      <w:r w:rsidR="00807BBB" w:rsidRPr="001D77AF">
        <w:rPr>
          <w:lang w:val="en-GB"/>
        </w:rPr>
        <w:t xml:space="preserve"> </w:t>
      </w:r>
      <w:r w:rsidR="00C1069F" w:rsidRPr="001D77AF">
        <w:rPr>
          <w:lang w:val="en-GB"/>
        </w:rPr>
        <w:t xml:space="preserve">(Branstetter et al., 2007; Keupp et al., </w:t>
      </w:r>
      <w:r w:rsidR="007E0941" w:rsidRPr="001D77AF">
        <w:rPr>
          <w:lang w:val="en-GB"/>
        </w:rPr>
        <w:t>2010; Khoury &amp; Peng, 2011)</w:t>
      </w:r>
      <w:r w:rsidR="00D52BD8" w:rsidRPr="001D77AF">
        <w:rPr>
          <w:lang w:val="en-GB"/>
        </w:rPr>
        <w:t>. This literature and others (</w:t>
      </w:r>
      <w:r w:rsidR="00EE4B37" w:rsidRPr="001D77AF">
        <w:rPr>
          <w:lang w:val="en-GB"/>
        </w:rPr>
        <w:t>Brander et al</w:t>
      </w:r>
      <w:r w:rsidR="00D75D62" w:rsidRPr="001D77AF">
        <w:rPr>
          <w:lang w:val="en-GB"/>
        </w:rPr>
        <w:t xml:space="preserve">., 2017; Seyoum, 2011; </w:t>
      </w:r>
      <w:r w:rsidR="00FE52D6" w:rsidRPr="00BF4784">
        <w:rPr>
          <w:lang w:val="en-GB"/>
        </w:rPr>
        <w:t>Smarzynska-Javorcik, 2004;</w:t>
      </w:r>
      <w:r w:rsidR="00751374">
        <w:rPr>
          <w:lang w:val="en-GB"/>
        </w:rPr>
        <w:t xml:space="preserve"> </w:t>
      </w:r>
      <w:r w:rsidR="00D75D62" w:rsidRPr="001D77AF">
        <w:rPr>
          <w:lang w:val="en-GB"/>
        </w:rPr>
        <w:t xml:space="preserve">Yang &amp; Sonmez, 2013) </w:t>
      </w:r>
      <w:r w:rsidR="00441A91" w:rsidRPr="001D77AF">
        <w:rPr>
          <w:lang w:val="en-GB"/>
        </w:rPr>
        <w:t xml:space="preserve">also </w:t>
      </w:r>
      <w:r w:rsidR="00807BBB" w:rsidRPr="001D77AF">
        <w:rPr>
          <w:lang w:val="en-GB"/>
        </w:rPr>
        <w:t xml:space="preserve">hints at issues connected to </w:t>
      </w:r>
      <w:r w:rsidR="00F76981" w:rsidRPr="001D77AF">
        <w:rPr>
          <w:lang w:val="en-GB"/>
        </w:rPr>
        <w:t xml:space="preserve">the </w:t>
      </w:r>
      <w:r w:rsidR="0033791A" w:rsidRPr="001D77AF">
        <w:rPr>
          <w:lang w:val="en-GB"/>
        </w:rPr>
        <w:t xml:space="preserve">informal </w:t>
      </w:r>
      <w:r w:rsidR="00807BBB" w:rsidRPr="001D77AF">
        <w:rPr>
          <w:lang w:val="en-GB"/>
        </w:rPr>
        <w:lastRenderedPageBreak/>
        <w:t xml:space="preserve">institutional context of IPR regimes as </w:t>
      </w:r>
      <w:r w:rsidR="00673449" w:rsidRPr="001D77AF">
        <w:rPr>
          <w:lang w:val="en-GB"/>
        </w:rPr>
        <w:t xml:space="preserve">having important </w:t>
      </w:r>
      <w:r w:rsidR="00A93FBC" w:rsidRPr="001D77AF">
        <w:rPr>
          <w:lang w:val="en-GB"/>
        </w:rPr>
        <w:t>implications for the ability of foreign firms to defend their IP.</w:t>
      </w:r>
      <w:r w:rsidR="0067781B" w:rsidRPr="001D77AF">
        <w:rPr>
          <w:lang w:val="en-GB"/>
        </w:rPr>
        <w:t xml:space="preserve"> </w:t>
      </w:r>
      <w:r w:rsidR="00C2060F" w:rsidRPr="001D77AF">
        <w:rPr>
          <w:lang w:val="en-GB"/>
        </w:rPr>
        <w:t>The i</w:t>
      </w:r>
      <w:r w:rsidR="006358AD" w:rsidRPr="001D77AF">
        <w:rPr>
          <w:lang w:val="en-GB"/>
        </w:rPr>
        <w:t>nstitutional</w:t>
      </w:r>
      <w:r w:rsidR="00D102F2" w:rsidRPr="001D77AF">
        <w:rPr>
          <w:lang w:val="en-GB"/>
        </w:rPr>
        <w:t xml:space="preserve"> </w:t>
      </w:r>
      <w:r w:rsidR="006358AD" w:rsidRPr="001D77AF">
        <w:rPr>
          <w:lang w:val="en-GB"/>
        </w:rPr>
        <w:t>context</w:t>
      </w:r>
      <w:r w:rsidR="007E5162" w:rsidRPr="001D77AF">
        <w:rPr>
          <w:lang w:val="en-GB"/>
        </w:rPr>
        <w:t xml:space="preserve"> of IPR regimes </w:t>
      </w:r>
      <w:r w:rsidR="00D102F2" w:rsidRPr="001D77AF">
        <w:rPr>
          <w:lang w:val="en-GB"/>
        </w:rPr>
        <w:t xml:space="preserve">in </w:t>
      </w:r>
      <w:r w:rsidR="006358AD" w:rsidRPr="001D77AF">
        <w:rPr>
          <w:lang w:val="en-GB"/>
        </w:rPr>
        <w:t>terms</w:t>
      </w:r>
      <w:r w:rsidR="00D102F2" w:rsidRPr="001D77AF">
        <w:rPr>
          <w:lang w:val="en-GB"/>
        </w:rPr>
        <w:t xml:space="preserve"> of the</w:t>
      </w:r>
      <w:r w:rsidR="006358AD" w:rsidRPr="001D77AF">
        <w:rPr>
          <w:lang w:val="en-GB"/>
        </w:rPr>
        <w:t xml:space="preserve"> way formal and informal institutions </w:t>
      </w:r>
      <w:r w:rsidR="00B76C64" w:rsidRPr="001D77AF">
        <w:rPr>
          <w:lang w:val="en-GB"/>
        </w:rPr>
        <w:t>determine the rules of the game</w:t>
      </w:r>
      <w:r w:rsidR="00C2060F" w:rsidRPr="001D77AF">
        <w:rPr>
          <w:lang w:val="en-GB"/>
        </w:rPr>
        <w:t xml:space="preserve"> </w:t>
      </w:r>
      <w:r w:rsidR="00B76C64" w:rsidRPr="001D77AF">
        <w:rPr>
          <w:lang w:val="en-GB"/>
        </w:rPr>
        <w:t>influences the</w:t>
      </w:r>
      <w:r w:rsidR="007E5162" w:rsidRPr="001D77AF">
        <w:rPr>
          <w:lang w:val="en-GB"/>
        </w:rPr>
        <w:t xml:space="preserve"> </w:t>
      </w:r>
      <w:r w:rsidR="005E6B4F">
        <w:rPr>
          <w:lang w:val="en-GB"/>
        </w:rPr>
        <w:t xml:space="preserve">costs and risk </w:t>
      </w:r>
      <w:r w:rsidR="00F6336E" w:rsidRPr="001D77AF">
        <w:rPr>
          <w:lang w:val="en-GB"/>
        </w:rPr>
        <w:t>of using l</w:t>
      </w:r>
      <w:r w:rsidR="00343413" w:rsidRPr="001D77AF">
        <w:rPr>
          <w:lang w:val="en-GB"/>
        </w:rPr>
        <w:t>e</w:t>
      </w:r>
      <w:r w:rsidR="00F6336E" w:rsidRPr="001D77AF">
        <w:rPr>
          <w:lang w:val="en-GB"/>
        </w:rPr>
        <w:t xml:space="preserve">gal systems to protect IPR. This </w:t>
      </w:r>
      <w:r w:rsidR="0088062D">
        <w:rPr>
          <w:lang w:val="en-GB"/>
        </w:rPr>
        <w:t>affects</w:t>
      </w:r>
      <w:r w:rsidR="0088062D" w:rsidRPr="001D77AF">
        <w:rPr>
          <w:lang w:val="en-GB"/>
        </w:rPr>
        <w:t xml:space="preserve"> </w:t>
      </w:r>
      <w:r w:rsidR="00F6336E" w:rsidRPr="001D77AF">
        <w:rPr>
          <w:lang w:val="en-GB"/>
        </w:rPr>
        <w:t xml:space="preserve">the </w:t>
      </w:r>
      <w:r w:rsidR="00343413" w:rsidRPr="001D77AF">
        <w:rPr>
          <w:lang w:val="en-GB"/>
        </w:rPr>
        <w:t>ability</w:t>
      </w:r>
      <w:r w:rsidR="00F6336E" w:rsidRPr="001D77AF">
        <w:rPr>
          <w:lang w:val="en-GB"/>
        </w:rPr>
        <w:t xml:space="preserve"> </w:t>
      </w:r>
      <w:r w:rsidR="00343413" w:rsidRPr="001D77AF">
        <w:rPr>
          <w:lang w:val="en-GB"/>
        </w:rPr>
        <w:t>of</w:t>
      </w:r>
      <w:r w:rsidR="00F6336E" w:rsidRPr="001D77AF">
        <w:rPr>
          <w:lang w:val="en-GB"/>
        </w:rPr>
        <w:t xml:space="preserve"> </w:t>
      </w:r>
      <w:r w:rsidR="00343413" w:rsidRPr="001D77AF">
        <w:rPr>
          <w:lang w:val="en-GB"/>
        </w:rPr>
        <w:t>firms</w:t>
      </w:r>
      <w:r w:rsidR="00F6336E" w:rsidRPr="001D77AF">
        <w:rPr>
          <w:lang w:val="en-GB"/>
        </w:rPr>
        <w:t xml:space="preserve"> to </w:t>
      </w:r>
      <w:r w:rsidR="00343413" w:rsidRPr="001D77AF">
        <w:rPr>
          <w:lang w:val="en-GB"/>
        </w:rPr>
        <w:t xml:space="preserve">convert IPR </w:t>
      </w:r>
      <w:r w:rsidR="007E5162" w:rsidRPr="001D77AF">
        <w:rPr>
          <w:lang w:val="en-GB"/>
        </w:rPr>
        <w:t>into economic rights a</w:t>
      </w:r>
      <w:r w:rsidR="00AF4FCB" w:rsidRPr="001D77AF">
        <w:rPr>
          <w:lang w:val="en-GB"/>
        </w:rPr>
        <w:t xml:space="preserve">nd thereby affects </w:t>
      </w:r>
      <w:r w:rsidR="00AD32B6" w:rsidRPr="001D77AF">
        <w:rPr>
          <w:lang w:val="en-GB"/>
        </w:rPr>
        <w:t>FDI</w:t>
      </w:r>
      <w:r w:rsidR="00343413" w:rsidRPr="001D77AF">
        <w:rPr>
          <w:lang w:val="en-GB"/>
        </w:rPr>
        <w:t xml:space="preserve"> location</w:t>
      </w:r>
      <w:r w:rsidR="00AD32B6" w:rsidRPr="001D77AF">
        <w:rPr>
          <w:lang w:val="en-GB"/>
        </w:rPr>
        <w:t xml:space="preserve">. </w:t>
      </w:r>
      <w:r w:rsidR="00523402">
        <w:rPr>
          <w:lang w:val="en-GB"/>
        </w:rPr>
        <w:t>S</w:t>
      </w:r>
      <w:r w:rsidR="00FE52D6" w:rsidRPr="001D77AF">
        <w:rPr>
          <w:lang w:val="en-GB"/>
        </w:rPr>
        <w:t>ome studies imply</w:t>
      </w:r>
      <w:r w:rsidR="003F6D7C" w:rsidRPr="00BF4784">
        <w:rPr>
          <w:lang w:val="en-GB"/>
        </w:rPr>
        <w:t xml:space="preserve"> </w:t>
      </w:r>
      <w:r w:rsidR="00FE52D6" w:rsidRPr="00BF4784">
        <w:rPr>
          <w:lang w:val="en-GB"/>
        </w:rPr>
        <w:t xml:space="preserve">that </w:t>
      </w:r>
      <w:r w:rsidR="003F6D7C" w:rsidRPr="00B61798">
        <w:rPr>
          <w:lang w:val="en-GB"/>
        </w:rPr>
        <w:t xml:space="preserve">the major problems are </w:t>
      </w:r>
      <w:r w:rsidR="00FE52D6" w:rsidRPr="005E6B4F">
        <w:rPr>
          <w:lang w:val="en-GB"/>
        </w:rPr>
        <w:t xml:space="preserve">generally </w:t>
      </w:r>
      <w:r w:rsidR="003F6D7C" w:rsidRPr="005E6B4F">
        <w:rPr>
          <w:lang w:val="en-GB"/>
        </w:rPr>
        <w:t>located in the behaviour of agents charged with enforcing IP law (Seyo</w:t>
      </w:r>
      <w:r w:rsidR="00FE52D6" w:rsidRPr="005E6B4F">
        <w:rPr>
          <w:lang w:val="en-GB"/>
        </w:rPr>
        <w:t>um, 2011; Yang &amp; Sonmez, 2013)</w:t>
      </w:r>
      <w:r w:rsidR="005F23F8">
        <w:rPr>
          <w:lang w:val="en-GB"/>
        </w:rPr>
        <w:t>. T</w:t>
      </w:r>
      <w:r w:rsidR="003F6D7C" w:rsidRPr="00F205E9">
        <w:rPr>
          <w:lang w:val="en-GB"/>
        </w:rPr>
        <w:t xml:space="preserve">he institutional </w:t>
      </w:r>
      <w:r w:rsidR="00ED5099">
        <w:rPr>
          <w:lang w:val="en-GB"/>
        </w:rPr>
        <w:t xml:space="preserve">context </w:t>
      </w:r>
      <w:r w:rsidR="003F6D7C" w:rsidRPr="00F205E9">
        <w:rPr>
          <w:lang w:val="en-GB"/>
        </w:rPr>
        <w:t xml:space="preserve">of IPR regimes that lead to these difficulties are </w:t>
      </w:r>
      <w:r w:rsidR="005F23F8">
        <w:rPr>
          <w:lang w:val="en-GB"/>
        </w:rPr>
        <w:t xml:space="preserve">however </w:t>
      </w:r>
      <w:r w:rsidR="003F6D7C" w:rsidRPr="00F205E9">
        <w:rPr>
          <w:lang w:val="en-GB"/>
        </w:rPr>
        <w:t>not explicitly</w:t>
      </w:r>
      <w:r w:rsidR="00FE52D6" w:rsidRPr="00D3728A">
        <w:rPr>
          <w:lang w:val="en-GB"/>
        </w:rPr>
        <w:t xml:space="preserve"> </w:t>
      </w:r>
      <w:r w:rsidR="003F6D7C" w:rsidRPr="00D3728A">
        <w:rPr>
          <w:lang w:val="en-GB"/>
        </w:rPr>
        <w:t>considered in th</w:t>
      </w:r>
      <w:r w:rsidR="002210D8">
        <w:rPr>
          <w:lang w:val="en-GB"/>
        </w:rPr>
        <w:t>is</w:t>
      </w:r>
      <w:r w:rsidR="003F6D7C" w:rsidRPr="00D3728A">
        <w:rPr>
          <w:lang w:val="en-GB"/>
        </w:rPr>
        <w:t xml:space="preserve"> </w:t>
      </w:r>
      <w:r w:rsidR="00FE52D6" w:rsidRPr="00D3728A">
        <w:rPr>
          <w:lang w:val="en-GB"/>
        </w:rPr>
        <w:t>literature. I</w:t>
      </w:r>
      <w:r w:rsidR="003F6D7C" w:rsidRPr="00D3728A">
        <w:rPr>
          <w:lang w:val="en-GB"/>
        </w:rPr>
        <w:t xml:space="preserve">t is therefore unclear </w:t>
      </w:r>
      <w:r w:rsidR="005F23F8">
        <w:rPr>
          <w:lang w:val="en-GB"/>
        </w:rPr>
        <w:t xml:space="preserve">how the configuration of formal and informal </w:t>
      </w:r>
      <w:r w:rsidR="003F6D7C" w:rsidRPr="00D3728A">
        <w:rPr>
          <w:lang w:val="en-GB"/>
        </w:rPr>
        <w:t xml:space="preserve">institutional </w:t>
      </w:r>
      <w:r w:rsidR="00E07E02">
        <w:rPr>
          <w:lang w:val="en-GB"/>
        </w:rPr>
        <w:t xml:space="preserve">factors </w:t>
      </w:r>
      <w:r w:rsidR="008414A2">
        <w:rPr>
          <w:lang w:val="en-GB"/>
        </w:rPr>
        <w:t>affects</w:t>
      </w:r>
      <w:r w:rsidR="00E07E02">
        <w:rPr>
          <w:lang w:val="en-GB"/>
        </w:rPr>
        <w:t xml:space="preserve"> the securing of economic rights and thereby influence FDI location</w:t>
      </w:r>
      <w:r w:rsidR="00FE52D6" w:rsidRPr="00D3728A">
        <w:rPr>
          <w:lang w:val="en-GB"/>
        </w:rPr>
        <w:t>.</w:t>
      </w:r>
      <w:r w:rsidR="008414A2">
        <w:rPr>
          <w:lang w:val="en-GB"/>
        </w:rPr>
        <w:t xml:space="preserve"> This study seeks to shed light on this issue.</w:t>
      </w:r>
    </w:p>
    <w:p w14:paraId="7BEFB68C" w14:textId="77777777" w:rsidR="003F6D7C" w:rsidRPr="001D77AF" w:rsidRDefault="003F6D7C" w:rsidP="00C670DD">
      <w:pPr>
        <w:spacing w:line="480" w:lineRule="auto"/>
        <w:jc w:val="both"/>
        <w:rPr>
          <w:lang w:val="en-GB"/>
        </w:rPr>
      </w:pPr>
    </w:p>
    <w:p w14:paraId="2B5B854D" w14:textId="77777777" w:rsidR="003A133F" w:rsidRPr="001D77AF" w:rsidRDefault="00004460" w:rsidP="00C670DD">
      <w:pPr>
        <w:spacing w:line="480" w:lineRule="auto"/>
        <w:jc w:val="both"/>
        <w:rPr>
          <w:lang w:val="en-GB"/>
        </w:rPr>
      </w:pPr>
      <w:r w:rsidRPr="001D77AF">
        <w:rPr>
          <w:b/>
          <w:lang w:val="en-GB"/>
        </w:rPr>
        <w:t>3.0</w:t>
      </w:r>
      <w:r w:rsidRPr="001D77AF">
        <w:rPr>
          <w:i/>
          <w:lang w:val="en-GB"/>
        </w:rPr>
        <w:t xml:space="preserve"> </w:t>
      </w:r>
      <w:r w:rsidR="00195757" w:rsidRPr="001D77AF">
        <w:rPr>
          <w:i/>
          <w:lang w:val="en-GB"/>
        </w:rPr>
        <w:tab/>
      </w:r>
      <w:r w:rsidR="00C14688" w:rsidRPr="001D77AF">
        <w:rPr>
          <w:b/>
          <w:lang w:val="en-GB"/>
        </w:rPr>
        <w:t>Hypotheses Development</w:t>
      </w:r>
      <w:r w:rsidR="008C6C8C" w:rsidRPr="001D77AF">
        <w:rPr>
          <w:b/>
          <w:lang w:val="en-GB"/>
        </w:rPr>
        <w:t xml:space="preserve"> </w:t>
      </w:r>
    </w:p>
    <w:p w14:paraId="7115AE5D" w14:textId="33036EBE" w:rsidR="009478A5" w:rsidRPr="001D77AF" w:rsidRDefault="00017281" w:rsidP="00C670DD">
      <w:pPr>
        <w:spacing w:line="480" w:lineRule="auto"/>
        <w:jc w:val="both"/>
        <w:rPr>
          <w:i/>
          <w:lang w:val="en-GB"/>
        </w:rPr>
      </w:pPr>
      <w:r w:rsidRPr="001D77AF">
        <w:rPr>
          <w:i/>
          <w:lang w:val="en-GB"/>
        </w:rPr>
        <w:t xml:space="preserve">Formal </w:t>
      </w:r>
      <w:r w:rsidR="0058170E" w:rsidRPr="001D77AF">
        <w:rPr>
          <w:i/>
          <w:lang w:val="en-GB"/>
        </w:rPr>
        <w:t xml:space="preserve">IP </w:t>
      </w:r>
      <w:r w:rsidRPr="001D77AF">
        <w:rPr>
          <w:i/>
          <w:lang w:val="en-GB"/>
        </w:rPr>
        <w:t>Institutions</w:t>
      </w:r>
      <w:r w:rsidR="00E84CED" w:rsidRPr="001D77AF">
        <w:rPr>
          <w:i/>
          <w:lang w:val="en-GB"/>
        </w:rPr>
        <w:t xml:space="preserve"> </w:t>
      </w:r>
      <w:r w:rsidR="005F4FA8" w:rsidRPr="001D77AF">
        <w:rPr>
          <w:i/>
          <w:lang w:val="en-GB"/>
        </w:rPr>
        <w:t>and Outward FDI</w:t>
      </w:r>
    </w:p>
    <w:p w14:paraId="0361C8F8" w14:textId="4C523CCD" w:rsidR="00E84CED" w:rsidRPr="00DD788C" w:rsidRDefault="009366B0" w:rsidP="00C670DD">
      <w:pPr>
        <w:spacing w:line="480" w:lineRule="auto"/>
        <w:jc w:val="both"/>
        <w:rPr>
          <w:color w:val="FF0000"/>
          <w:lang w:val="en-GB"/>
        </w:rPr>
      </w:pPr>
      <w:r w:rsidRPr="001D77AF">
        <w:rPr>
          <w:lang w:val="en-GB"/>
        </w:rPr>
        <w:t>T</w:t>
      </w:r>
      <w:r w:rsidR="00BC18B8" w:rsidRPr="001D77AF">
        <w:rPr>
          <w:lang w:val="en-GB"/>
        </w:rPr>
        <w:t xml:space="preserve">here are a </w:t>
      </w:r>
      <w:r w:rsidR="001A0D5B" w:rsidRPr="001D77AF">
        <w:rPr>
          <w:lang w:val="en-GB"/>
        </w:rPr>
        <w:t xml:space="preserve">number of studies </w:t>
      </w:r>
      <w:r w:rsidR="00BC18B8" w:rsidRPr="001D77AF">
        <w:rPr>
          <w:lang w:val="en-GB"/>
        </w:rPr>
        <w:t xml:space="preserve">on the </w:t>
      </w:r>
      <w:r w:rsidR="009117EE" w:rsidRPr="001D77AF">
        <w:rPr>
          <w:lang w:val="en-GB"/>
        </w:rPr>
        <w:t xml:space="preserve">effects of the </w:t>
      </w:r>
      <w:r w:rsidR="00053434" w:rsidRPr="001D77AF">
        <w:rPr>
          <w:lang w:val="en-GB"/>
        </w:rPr>
        <w:t xml:space="preserve">quality of the </w:t>
      </w:r>
      <w:r w:rsidR="00201DDD" w:rsidRPr="001D77AF">
        <w:rPr>
          <w:lang w:val="en-GB"/>
        </w:rPr>
        <w:t xml:space="preserve">formal </w:t>
      </w:r>
      <w:r w:rsidR="009117EE" w:rsidRPr="001D77AF">
        <w:rPr>
          <w:lang w:val="en-GB"/>
        </w:rPr>
        <w:t>legal</w:t>
      </w:r>
      <w:r w:rsidR="00201DDD" w:rsidRPr="001D77AF">
        <w:rPr>
          <w:lang w:val="en-GB"/>
        </w:rPr>
        <w:t xml:space="preserve"> </w:t>
      </w:r>
      <w:r w:rsidR="00824048" w:rsidRPr="001D77AF">
        <w:rPr>
          <w:lang w:val="en-GB"/>
        </w:rPr>
        <w:t xml:space="preserve">institutional </w:t>
      </w:r>
      <w:r w:rsidR="00201DDD" w:rsidRPr="001D77AF">
        <w:rPr>
          <w:lang w:val="en-GB"/>
        </w:rPr>
        <w:t xml:space="preserve">aspects of IPR systems </w:t>
      </w:r>
      <w:r w:rsidR="00E84CED" w:rsidRPr="001D77AF">
        <w:rPr>
          <w:lang w:val="en-GB"/>
        </w:rPr>
        <w:t xml:space="preserve">on </w:t>
      </w:r>
      <w:r w:rsidR="009117EE" w:rsidRPr="001D77AF">
        <w:rPr>
          <w:lang w:val="en-GB"/>
        </w:rPr>
        <w:t>FDI</w:t>
      </w:r>
      <w:r w:rsidR="00F2238D" w:rsidRPr="001D77AF">
        <w:rPr>
          <w:lang w:val="en-GB"/>
        </w:rPr>
        <w:t xml:space="preserve"> location</w:t>
      </w:r>
      <w:r w:rsidR="009117EE" w:rsidRPr="001D77AF">
        <w:rPr>
          <w:lang w:val="en-GB"/>
        </w:rPr>
        <w:t>.</w:t>
      </w:r>
      <w:r w:rsidR="00127E49" w:rsidRPr="001D77AF">
        <w:rPr>
          <w:lang w:val="en-GB"/>
        </w:rPr>
        <w:t xml:space="preserve"> </w:t>
      </w:r>
      <w:r w:rsidR="00C256A1" w:rsidRPr="001D77AF">
        <w:rPr>
          <w:lang w:val="en-GB"/>
        </w:rPr>
        <w:t>Most e</w:t>
      </w:r>
      <w:r w:rsidR="00405A31" w:rsidRPr="001D77AF">
        <w:rPr>
          <w:lang w:val="en-GB"/>
        </w:rPr>
        <w:t xml:space="preserve">mpirical </w:t>
      </w:r>
      <w:r w:rsidR="009117EE" w:rsidRPr="001D77AF">
        <w:rPr>
          <w:lang w:val="en-GB"/>
        </w:rPr>
        <w:t xml:space="preserve">studies </w:t>
      </w:r>
      <w:r w:rsidR="007F4996" w:rsidRPr="001D77AF">
        <w:rPr>
          <w:lang w:val="en-GB"/>
        </w:rPr>
        <w:t xml:space="preserve">find </w:t>
      </w:r>
      <w:r w:rsidR="0028641B" w:rsidRPr="001D77AF">
        <w:rPr>
          <w:lang w:val="en-GB"/>
        </w:rPr>
        <w:t xml:space="preserve">some evidence for </w:t>
      </w:r>
      <w:r w:rsidR="007F4996" w:rsidRPr="001D77AF">
        <w:rPr>
          <w:lang w:val="en-GB"/>
        </w:rPr>
        <w:t>po</w:t>
      </w:r>
      <w:r w:rsidR="009117EE" w:rsidRPr="001D77AF">
        <w:rPr>
          <w:lang w:val="en-GB"/>
        </w:rPr>
        <w:t>sitive relationship</w:t>
      </w:r>
      <w:r w:rsidR="00963B19" w:rsidRPr="001D77AF">
        <w:rPr>
          <w:lang w:val="en-GB"/>
        </w:rPr>
        <w:t>s</w:t>
      </w:r>
      <w:r w:rsidR="009117EE" w:rsidRPr="001D77AF">
        <w:rPr>
          <w:lang w:val="en-GB"/>
        </w:rPr>
        <w:t xml:space="preserve"> between the</w:t>
      </w:r>
      <w:r w:rsidR="002D640A" w:rsidRPr="001D77AF">
        <w:rPr>
          <w:lang w:val="en-GB"/>
        </w:rPr>
        <w:t xml:space="preserve"> </w:t>
      </w:r>
      <w:r w:rsidR="00405A31" w:rsidRPr="001D77AF">
        <w:rPr>
          <w:lang w:val="en-GB"/>
        </w:rPr>
        <w:t xml:space="preserve">quality of </w:t>
      </w:r>
      <w:r w:rsidR="00F2238D" w:rsidRPr="001D77AF">
        <w:rPr>
          <w:lang w:val="en-GB"/>
        </w:rPr>
        <w:t xml:space="preserve">formal </w:t>
      </w:r>
      <w:r w:rsidR="00201DDD" w:rsidRPr="001D77AF">
        <w:rPr>
          <w:lang w:val="en-GB"/>
        </w:rPr>
        <w:t xml:space="preserve">legal </w:t>
      </w:r>
      <w:r w:rsidR="00F0277B" w:rsidRPr="001D77AF">
        <w:rPr>
          <w:lang w:val="en-GB"/>
        </w:rPr>
        <w:t xml:space="preserve">arrangements </w:t>
      </w:r>
      <w:r w:rsidR="00F2238D" w:rsidRPr="001D77AF">
        <w:rPr>
          <w:lang w:val="en-GB"/>
        </w:rPr>
        <w:t xml:space="preserve">of </w:t>
      </w:r>
      <w:r w:rsidR="00405A31" w:rsidRPr="001D77AF">
        <w:rPr>
          <w:lang w:val="en-GB"/>
        </w:rPr>
        <w:t>IP</w:t>
      </w:r>
      <w:r w:rsidR="00F2238D" w:rsidRPr="001D77AF">
        <w:rPr>
          <w:lang w:val="en-GB"/>
        </w:rPr>
        <w:t>R systems</w:t>
      </w:r>
      <w:r w:rsidR="00405A31" w:rsidRPr="001D77AF">
        <w:rPr>
          <w:lang w:val="en-GB"/>
        </w:rPr>
        <w:t xml:space="preserve"> </w:t>
      </w:r>
      <w:r w:rsidR="009117EE" w:rsidRPr="001D77AF">
        <w:rPr>
          <w:lang w:val="en-GB"/>
        </w:rPr>
        <w:t>and FDI</w:t>
      </w:r>
      <w:r w:rsidR="001060DD" w:rsidRPr="001D77AF">
        <w:rPr>
          <w:lang w:val="en-GB"/>
        </w:rPr>
        <w:t xml:space="preserve"> flows</w:t>
      </w:r>
      <w:r w:rsidR="009117EE" w:rsidRPr="001D77AF">
        <w:rPr>
          <w:lang w:val="en-GB"/>
        </w:rPr>
        <w:t xml:space="preserve"> (</w:t>
      </w:r>
      <w:r w:rsidR="00201DDD" w:rsidRPr="001D77AF">
        <w:rPr>
          <w:lang w:val="en-GB"/>
        </w:rPr>
        <w:t>Branstet</w:t>
      </w:r>
      <w:r w:rsidR="00C519B8" w:rsidRPr="001D77AF">
        <w:rPr>
          <w:lang w:val="en-GB"/>
        </w:rPr>
        <w:t>t</w:t>
      </w:r>
      <w:r w:rsidR="00201DDD" w:rsidRPr="001D77AF">
        <w:rPr>
          <w:lang w:val="en-GB"/>
        </w:rPr>
        <w:t>er et al., 2007;</w:t>
      </w:r>
      <w:r w:rsidR="00405A31" w:rsidRPr="001D77AF">
        <w:rPr>
          <w:lang w:val="en-GB"/>
        </w:rPr>
        <w:t xml:space="preserve"> </w:t>
      </w:r>
      <w:r w:rsidR="009117EE" w:rsidRPr="001D77AF">
        <w:rPr>
          <w:lang w:val="en-GB"/>
        </w:rPr>
        <w:t>Nunne</w:t>
      </w:r>
      <w:r w:rsidR="00EA4D30" w:rsidRPr="001D77AF">
        <w:rPr>
          <w:lang w:val="en-GB"/>
        </w:rPr>
        <w:t>n</w:t>
      </w:r>
      <w:r w:rsidR="009117EE" w:rsidRPr="001D77AF">
        <w:rPr>
          <w:lang w:val="en-GB"/>
        </w:rPr>
        <w:t xml:space="preserve">kamp &amp; Spatz, 2004; Smarzynska-Javorcik, 2004). </w:t>
      </w:r>
      <w:r w:rsidR="00037731">
        <w:rPr>
          <w:lang w:val="en-GB"/>
        </w:rPr>
        <w:t xml:space="preserve">Some </w:t>
      </w:r>
      <w:r w:rsidR="00E84CED" w:rsidRPr="001D77AF">
        <w:rPr>
          <w:lang w:val="en-GB"/>
        </w:rPr>
        <w:t xml:space="preserve">studies however </w:t>
      </w:r>
      <w:r w:rsidR="00487DA9" w:rsidRPr="001D77AF">
        <w:rPr>
          <w:lang w:val="en-GB"/>
        </w:rPr>
        <w:t xml:space="preserve">report </w:t>
      </w:r>
      <w:r w:rsidR="00E84CED" w:rsidRPr="001D77AF">
        <w:rPr>
          <w:lang w:val="en-GB"/>
        </w:rPr>
        <w:t xml:space="preserve">results </w:t>
      </w:r>
      <w:r w:rsidR="00487DA9" w:rsidRPr="001D77AF">
        <w:rPr>
          <w:lang w:val="en-GB"/>
        </w:rPr>
        <w:t>from</w:t>
      </w:r>
      <w:r w:rsidR="00E84CED" w:rsidRPr="001D77AF">
        <w:rPr>
          <w:lang w:val="en-GB"/>
        </w:rPr>
        <w:t xml:space="preserve"> their empirical models</w:t>
      </w:r>
      <w:r w:rsidR="00963B19" w:rsidRPr="001D77AF">
        <w:rPr>
          <w:lang w:val="en-GB"/>
        </w:rPr>
        <w:t xml:space="preserve"> w</w:t>
      </w:r>
      <w:r w:rsidR="00362C6F" w:rsidRPr="001D77AF">
        <w:rPr>
          <w:lang w:val="en-GB"/>
        </w:rPr>
        <w:t xml:space="preserve">here </w:t>
      </w:r>
      <w:r w:rsidR="00D21B7B" w:rsidRPr="001D77AF">
        <w:rPr>
          <w:lang w:val="en-GB"/>
        </w:rPr>
        <w:t xml:space="preserve">proxies </w:t>
      </w:r>
      <w:r w:rsidR="00F0277B" w:rsidRPr="001D77AF">
        <w:rPr>
          <w:lang w:val="en-GB"/>
        </w:rPr>
        <w:t xml:space="preserve">for formal institutional legal arrangements </w:t>
      </w:r>
      <w:r w:rsidR="00362C6F" w:rsidRPr="001D77AF">
        <w:rPr>
          <w:lang w:val="en-GB"/>
        </w:rPr>
        <w:t xml:space="preserve">are </w:t>
      </w:r>
      <w:r w:rsidR="001060DD" w:rsidRPr="001D77AF">
        <w:rPr>
          <w:lang w:val="en-GB"/>
        </w:rPr>
        <w:t xml:space="preserve">sometimes </w:t>
      </w:r>
      <w:r w:rsidR="00963B19" w:rsidRPr="001D77AF">
        <w:rPr>
          <w:lang w:val="en-GB"/>
        </w:rPr>
        <w:t>negatively</w:t>
      </w:r>
      <w:r w:rsidR="00362C6F" w:rsidRPr="001D77AF">
        <w:rPr>
          <w:lang w:val="en-GB"/>
        </w:rPr>
        <w:t xml:space="preserve"> </w:t>
      </w:r>
      <w:r w:rsidR="001060DD" w:rsidRPr="001D77AF">
        <w:rPr>
          <w:lang w:val="en-GB"/>
        </w:rPr>
        <w:t xml:space="preserve">and </w:t>
      </w:r>
      <w:r w:rsidR="004830D1" w:rsidRPr="001D77AF">
        <w:rPr>
          <w:lang w:val="en-GB"/>
        </w:rPr>
        <w:t xml:space="preserve">in other models </w:t>
      </w:r>
      <w:r w:rsidR="00362C6F" w:rsidRPr="001D77AF">
        <w:rPr>
          <w:lang w:val="en-GB"/>
        </w:rPr>
        <w:t xml:space="preserve">positively </w:t>
      </w:r>
      <w:r w:rsidR="00963B19" w:rsidRPr="001D77AF">
        <w:rPr>
          <w:lang w:val="en-GB"/>
        </w:rPr>
        <w:t>related</w:t>
      </w:r>
      <w:r w:rsidR="00362C6F" w:rsidRPr="001D77AF">
        <w:rPr>
          <w:lang w:val="en-GB"/>
        </w:rPr>
        <w:t xml:space="preserve"> to FDI</w:t>
      </w:r>
      <w:r w:rsidR="00963B19" w:rsidRPr="001D77AF">
        <w:rPr>
          <w:lang w:val="en-GB"/>
        </w:rPr>
        <w:t xml:space="preserve">. </w:t>
      </w:r>
      <w:r w:rsidR="00DD788C" w:rsidRPr="00F66EB2">
        <w:rPr>
          <w:lang w:val="en-GB"/>
        </w:rPr>
        <w:t xml:space="preserve">The evidence on </w:t>
      </w:r>
      <w:r w:rsidR="001B5D72" w:rsidRPr="00F66EB2">
        <w:rPr>
          <w:lang w:val="en-GB"/>
        </w:rPr>
        <w:t>the influence of formal legal institutional systems is therefore somewhat mixed.</w:t>
      </w:r>
      <w:r w:rsidR="001B5D72">
        <w:rPr>
          <w:color w:val="FF0000"/>
          <w:lang w:val="en-GB"/>
        </w:rPr>
        <w:t xml:space="preserve"> </w:t>
      </w:r>
    </w:p>
    <w:p w14:paraId="5A776989" w14:textId="3E062714" w:rsidR="00A33378" w:rsidRDefault="00DB134A" w:rsidP="00D97580">
      <w:pPr>
        <w:spacing w:line="480" w:lineRule="auto"/>
        <w:ind w:firstLine="720"/>
        <w:jc w:val="both"/>
        <w:rPr>
          <w:lang w:val="en-GB"/>
        </w:rPr>
      </w:pPr>
      <w:r w:rsidRPr="001D77AF">
        <w:rPr>
          <w:lang w:val="en-GB"/>
        </w:rPr>
        <w:t>T</w:t>
      </w:r>
      <w:r w:rsidR="00CA177A" w:rsidRPr="001D77AF">
        <w:rPr>
          <w:lang w:val="en-GB"/>
        </w:rPr>
        <w:t>h</w:t>
      </w:r>
      <w:r w:rsidRPr="001D77AF">
        <w:rPr>
          <w:lang w:val="en-GB"/>
        </w:rPr>
        <w:t xml:space="preserve">e </w:t>
      </w:r>
      <w:r w:rsidR="002727B1" w:rsidRPr="001D77AF">
        <w:rPr>
          <w:lang w:val="en-GB"/>
        </w:rPr>
        <w:t>analysis</w:t>
      </w:r>
      <w:r w:rsidRPr="001D77AF">
        <w:rPr>
          <w:lang w:val="en-GB"/>
        </w:rPr>
        <w:t xml:space="preserve"> </w:t>
      </w:r>
      <w:r w:rsidR="00CA177A" w:rsidRPr="001D77AF">
        <w:rPr>
          <w:lang w:val="en-GB"/>
        </w:rPr>
        <w:t>outlined</w:t>
      </w:r>
      <w:r w:rsidRPr="001D77AF">
        <w:rPr>
          <w:lang w:val="en-GB"/>
        </w:rPr>
        <w:t xml:space="preserve"> in the </w:t>
      </w:r>
      <w:r w:rsidRPr="00870CD1">
        <w:rPr>
          <w:lang w:val="en-GB"/>
        </w:rPr>
        <w:t xml:space="preserve">section </w:t>
      </w:r>
      <w:r w:rsidR="00476FFB" w:rsidRPr="00870CD1">
        <w:rPr>
          <w:lang w:val="en-GB"/>
        </w:rPr>
        <w:t xml:space="preserve">2.0 </w:t>
      </w:r>
      <w:r w:rsidRPr="001D77AF">
        <w:rPr>
          <w:lang w:val="en-GB"/>
        </w:rPr>
        <w:t xml:space="preserve">of the paper </w:t>
      </w:r>
      <w:r w:rsidR="00CA177A" w:rsidRPr="001D77AF">
        <w:rPr>
          <w:lang w:val="en-GB"/>
        </w:rPr>
        <w:t xml:space="preserve">indicates that good </w:t>
      </w:r>
      <w:r w:rsidR="007D1ABD" w:rsidRPr="001D77AF">
        <w:rPr>
          <w:lang w:val="en-GB"/>
        </w:rPr>
        <w:t xml:space="preserve">quality </w:t>
      </w:r>
      <w:r w:rsidR="009F440A" w:rsidRPr="001D77AF">
        <w:rPr>
          <w:lang w:val="en-GB"/>
        </w:rPr>
        <w:t xml:space="preserve">formal legal rights </w:t>
      </w:r>
      <w:r w:rsidR="00AF2D34">
        <w:rPr>
          <w:lang w:val="en-GB"/>
        </w:rPr>
        <w:t xml:space="preserve">providing </w:t>
      </w:r>
      <w:r w:rsidR="00B81B6D" w:rsidRPr="001D77AF">
        <w:rPr>
          <w:lang w:val="en-GB"/>
        </w:rPr>
        <w:t xml:space="preserve">clear and coherent bundles of IPR </w:t>
      </w:r>
      <w:r w:rsidR="0028641B" w:rsidRPr="001D77AF">
        <w:rPr>
          <w:lang w:val="en-GB"/>
        </w:rPr>
        <w:t xml:space="preserve">should </w:t>
      </w:r>
      <w:r w:rsidR="00242C13" w:rsidRPr="001D77AF">
        <w:rPr>
          <w:lang w:val="en-GB"/>
        </w:rPr>
        <w:t xml:space="preserve">help to secure </w:t>
      </w:r>
      <w:r w:rsidR="0028641B" w:rsidRPr="001D77AF">
        <w:rPr>
          <w:lang w:val="en-GB"/>
        </w:rPr>
        <w:t xml:space="preserve">economic rights from </w:t>
      </w:r>
      <w:r w:rsidR="002D6261">
        <w:rPr>
          <w:lang w:val="en-GB"/>
        </w:rPr>
        <w:t xml:space="preserve">legal </w:t>
      </w:r>
      <w:r w:rsidR="0028641B" w:rsidRPr="001D77AF">
        <w:rPr>
          <w:lang w:val="en-GB"/>
        </w:rPr>
        <w:t xml:space="preserve">rights. </w:t>
      </w:r>
      <w:r w:rsidR="00974580" w:rsidRPr="001D77AF">
        <w:rPr>
          <w:lang w:val="en-GB"/>
        </w:rPr>
        <w:t xml:space="preserve">This </w:t>
      </w:r>
      <w:r w:rsidR="00F0277B" w:rsidRPr="001D77AF">
        <w:rPr>
          <w:lang w:val="en-GB"/>
        </w:rPr>
        <w:t>follows from the clear, comprehensive and coherent legislative arrangements that provide low cost</w:t>
      </w:r>
      <w:r w:rsidR="00A52D9F">
        <w:rPr>
          <w:lang w:val="en-GB"/>
        </w:rPr>
        <w:t>s</w:t>
      </w:r>
      <w:r w:rsidR="00F0277B" w:rsidRPr="001D77AF">
        <w:rPr>
          <w:lang w:val="en-GB"/>
        </w:rPr>
        <w:t xml:space="preserve"> and risk </w:t>
      </w:r>
      <w:r w:rsidR="00630038" w:rsidRPr="001D77AF">
        <w:rPr>
          <w:lang w:val="en-GB"/>
        </w:rPr>
        <w:t xml:space="preserve">when </w:t>
      </w:r>
      <w:r w:rsidR="000F31AE" w:rsidRPr="001D77AF">
        <w:rPr>
          <w:lang w:val="en-GB"/>
        </w:rPr>
        <w:t xml:space="preserve">using </w:t>
      </w:r>
      <w:r w:rsidR="00824048" w:rsidRPr="001D77AF">
        <w:rPr>
          <w:lang w:val="en-GB"/>
        </w:rPr>
        <w:t xml:space="preserve">formal legal arrangements </w:t>
      </w:r>
      <w:r w:rsidR="000F31AE" w:rsidRPr="001D77AF">
        <w:rPr>
          <w:lang w:val="en-GB"/>
        </w:rPr>
        <w:t xml:space="preserve">to protect </w:t>
      </w:r>
      <w:r w:rsidR="000F31AE" w:rsidRPr="001D77AF">
        <w:rPr>
          <w:lang w:val="en-GB"/>
        </w:rPr>
        <w:lastRenderedPageBreak/>
        <w:t>IPR.</w:t>
      </w:r>
      <w:r w:rsidR="00240E9F" w:rsidRPr="001D77AF">
        <w:rPr>
          <w:lang w:val="en-GB"/>
        </w:rPr>
        <w:t xml:space="preserve"> </w:t>
      </w:r>
      <w:r w:rsidR="00690A3B" w:rsidRPr="001D77AF">
        <w:rPr>
          <w:lang w:val="en-GB"/>
        </w:rPr>
        <w:t xml:space="preserve">Such formal legal </w:t>
      </w:r>
      <w:r w:rsidR="004F4FE3" w:rsidRPr="001D77AF">
        <w:rPr>
          <w:lang w:val="en-GB"/>
        </w:rPr>
        <w:t xml:space="preserve">rights </w:t>
      </w:r>
      <w:r w:rsidR="009D257C" w:rsidRPr="001D77AF">
        <w:rPr>
          <w:lang w:val="en-GB"/>
        </w:rPr>
        <w:t>(g</w:t>
      </w:r>
      <w:r w:rsidR="005F53BC" w:rsidRPr="001D77AF">
        <w:rPr>
          <w:lang w:val="en-GB"/>
        </w:rPr>
        <w:t>o</w:t>
      </w:r>
      <w:r w:rsidR="00690A3B" w:rsidRPr="001D77AF">
        <w:rPr>
          <w:lang w:val="en-GB"/>
        </w:rPr>
        <w:t>o</w:t>
      </w:r>
      <w:r w:rsidR="005F53BC" w:rsidRPr="001D77AF">
        <w:rPr>
          <w:lang w:val="en-GB"/>
        </w:rPr>
        <w:t>d law on the books</w:t>
      </w:r>
      <w:r w:rsidR="009D257C" w:rsidRPr="001D77AF">
        <w:rPr>
          <w:lang w:val="en-GB"/>
        </w:rPr>
        <w:t>)</w:t>
      </w:r>
      <w:r w:rsidR="006E7EB7" w:rsidRPr="001D77AF">
        <w:rPr>
          <w:lang w:val="en-GB"/>
        </w:rPr>
        <w:t xml:space="preserve"> </w:t>
      </w:r>
      <w:r w:rsidR="00E7108B" w:rsidRPr="004C28C5">
        <w:rPr>
          <w:lang w:val="en-GB"/>
        </w:rPr>
        <w:t>provides effective ways by</w:t>
      </w:r>
      <w:r w:rsidR="006A0E10" w:rsidRPr="004C28C5">
        <w:rPr>
          <w:lang w:val="en-GB"/>
        </w:rPr>
        <w:t xml:space="preserve"> using</w:t>
      </w:r>
      <w:r w:rsidR="004F4FE3" w:rsidRPr="004C28C5">
        <w:rPr>
          <w:lang w:val="en-GB"/>
        </w:rPr>
        <w:t xml:space="preserve"> legal systems </w:t>
      </w:r>
      <w:r w:rsidR="00E36A47" w:rsidRPr="004C28C5">
        <w:rPr>
          <w:lang w:val="en-GB"/>
        </w:rPr>
        <w:t>s</w:t>
      </w:r>
      <w:r w:rsidR="00455B1D" w:rsidRPr="004C28C5">
        <w:rPr>
          <w:lang w:val="en-GB"/>
        </w:rPr>
        <w:t>uch as c</w:t>
      </w:r>
      <w:r w:rsidR="00103702" w:rsidRPr="004C28C5">
        <w:rPr>
          <w:lang w:val="en-GB"/>
        </w:rPr>
        <w:t>ourt</w:t>
      </w:r>
      <w:r w:rsidR="00FA742C" w:rsidRPr="004C28C5">
        <w:rPr>
          <w:lang w:val="en-GB"/>
        </w:rPr>
        <w:t xml:space="preserve"> orders</w:t>
      </w:r>
      <w:r w:rsidR="00103702" w:rsidRPr="004C28C5">
        <w:rPr>
          <w:lang w:val="en-GB"/>
        </w:rPr>
        <w:t xml:space="preserve"> </w:t>
      </w:r>
      <w:r w:rsidR="00FA742C" w:rsidRPr="004C28C5">
        <w:rPr>
          <w:lang w:val="en-GB"/>
        </w:rPr>
        <w:t xml:space="preserve">and legal injunctions </w:t>
      </w:r>
      <w:r w:rsidR="00103702" w:rsidRPr="004C28C5">
        <w:rPr>
          <w:lang w:val="en-GB"/>
        </w:rPr>
        <w:t xml:space="preserve">to </w:t>
      </w:r>
      <w:r w:rsidR="00BA4486" w:rsidRPr="004C28C5">
        <w:rPr>
          <w:lang w:val="en-GB"/>
        </w:rPr>
        <w:t xml:space="preserve">stop </w:t>
      </w:r>
      <w:r w:rsidR="00FA742C" w:rsidRPr="004C28C5">
        <w:rPr>
          <w:lang w:val="en-GB"/>
        </w:rPr>
        <w:t xml:space="preserve">infringements of </w:t>
      </w:r>
      <w:r w:rsidR="004F4FE3" w:rsidRPr="001D77AF">
        <w:rPr>
          <w:lang w:val="en-GB"/>
        </w:rPr>
        <w:t xml:space="preserve">IPR </w:t>
      </w:r>
      <w:r w:rsidR="006A1104" w:rsidRPr="001D77AF">
        <w:rPr>
          <w:lang w:val="en-GB"/>
        </w:rPr>
        <w:t xml:space="preserve">and to seek compensation </w:t>
      </w:r>
      <w:r w:rsidR="00174BA0" w:rsidRPr="001D77AF">
        <w:rPr>
          <w:lang w:val="en-GB"/>
        </w:rPr>
        <w:t>for theft of IP.</w:t>
      </w:r>
      <w:r w:rsidR="004F4FE3" w:rsidRPr="001D77AF">
        <w:rPr>
          <w:lang w:val="en-GB"/>
        </w:rPr>
        <w:t xml:space="preserve"> </w:t>
      </w:r>
      <w:r w:rsidR="00240E9F" w:rsidRPr="001D77AF">
        <w:rPr>
          <w:lang w:val="en-GB"/>
        </w:rPr>
        <w:t xml:space="preserve">This should encourage outward FDI due to </w:t>
      </w:r>
      <w:r w:rsidR="00E6254A" w:rsidRPr="001D77AF">
        <w:rPr>
          <w:lang w:val="en-GB"/>
        </w:rPr>
        <w:t xml:space="preserve">the </w:t>
      </w:r>
      <w:r w:rsidR="00751374" w:rsidRPr="001D77AF">
        <w:rPr>
          <w:lang w:val="en-GB"/>
        </w:rPr>
        <w:t>favourable</w:t>
      </w:r>
      <w:r w:rsidR="00E6254A" w:rsidRPr="001D77AF">
        <w:rPr>
          <w:lang w:val="en-GB"/>
        </w:rPr>
        <w:t xml:space="preserve"> conditions in formal legal arrangements</w:t>
      </w:r>
      <w:r w:rsidR="00325EE8" w:rsidRPr="001D77AF">
        <w:rPr>
          <w:lang w:val="en-GB"/>
        </w:rPr>
        <w:t xml:space="preserve"> that can be used to protect IPR</w:t>
      </w:r>
      <w:r w:rsidR="005E73BE" w:rsidRPr="001D77AF">
        <w:rPr>
          <w:lang w:val="en-GB"/>
        </w:rPr>
        <w:t xml:space="preserve">. </w:t>
      </w:r>
      <w:r w:rsidR="00512FBA" w:rsidRPr="001D77AF">
        <w:rPr>
          <w:lang w:val="en-GB"/>
        </w:rPr>
        <w:t xml:space="preserve">Conversely, </w:t>
      </w:r>
      <w:r w:rsidR="003D7598" w:rsidRPr="001D77AF">
        <w:rPr>
          <w:lang w:val="en-GB"/>
        </w:rPr>
        <w:t xml:space="preserve">IPR regimes with institutional </w:t>
      </w:r>
      <w:r w:rsidR="00DA43F9" w:rsidRPr="001D77AF">
        <w:rPr>
          <w:lang w:val="en-GB"/>
        </w:rPr>
        <w:t xml:space="preserve">contexts </w:t>
      </w:r>
      <w:r w:rsidR="00C67C35" w:rsidRPr="001D77AF">
        <w:rPr>
          <w:lang w:val="en-GB"/>
        </w:rPr>
        <w:t xml:space="preserve">that lead to </w:t>
      </w:r>
      <w:r w:rsidR="00DA43F9" w:rsidRPr="001D77AF">
        <w:rPr>
          <w:lang w:val="en-GB"/>
        </w:rPr>
        <w:t xml:space="preserve">significant </w:t>
      </w:r>
      <w:r w:rsidR="00C67C35" w:rsidRPr="001D77AF">
        <w:rPr>
          <w:lang w:val="en-GB"/>
        </w:rPr>
        <w:t xml:space="preserve">institutional </w:t>
      </w:r>
      <w:r w:rsidR="003D7598" w:rsidRPr="001D77AF">
        <w:rPr>
          <w:lang w:val="en-GB"/>
        </w:rPr>
        <w:t xml:space="preserve">voids </w:t>
      </w:r>
      <w:r w:rsidR="002A5A14" w:rsidRPr="001D77AF">
        <w:rPr>
          <w:lang w:val="en-GB"/>
        </w:rPr>
        <w:t xml:space="preserve">are likely to </w:t>
      </w:r>
      <w:r w:rsidR="00EF6374" w:rsidRPr="001D77AF">
        <w:rPr>
          <w:lang w:val="en-GB"/>
        </w:rPr>
        <w:t xml:space="preserve">deliver unsuitable bundles of IPR due to inconsistent, unclear or missing </w:t>
      </w:r>
      <w:r w:rsidR="00196B9C" w:rsidRPr="001D77AF">
        <w:rPr>
          <w:lang w:val="en-GB"/>
        </w:rPr>
        <w:t xml:space="preserve">rights. This will </w:t>
      </w:r>
      <w:r w:rsidR="00C57D56" w:rsidRPr="001D77AF">
        <w:rPr>
          <w:lang w:val="en-GB"/>
        </w:rPr>
        <w:t xml:space="preserve">lead to </w:t>
      </w:r>
      <w:r w:rsidR="00E46854" w:rsidRPr="001D77AF">
        <w:rPr>
          <w:lang w:val="en-GB"/>
        </w:rPr>
        <w:t>high costs and risk</w:t>
      </w:r>
      <w:r w:rsidR="0056494F" w:rsidRPr="001D77AF">
        <w:rPr>
          <w:lang w:val="en-GB"/>
        </w:rPr>
        <w:t>s</w:t>
      </w:r>
      <w:r w:rsidR="00E46854" w:rsidRPr="001D77AF">
        <w:rPr>
          <w:lang w:val="en-GB"/>
        </w:rPr>
        <w:t xml:space="preserve"> when using legal arenas </w:t>
      </w:r>
      <w:r w:rsidR="00DA43F9" w:rsidRPr="001D77AF">
        <w:rPr>
          <w:lang w:val="en-GB"/>
        </w:rPr>
        <w:t>to defend</w:t>
      </w:r>
      <w:r w:rsidR="00196B9C" w:rsidRPr="001D77AF">
        <w:rPr>
          <w:lang w:val="en-GB"/>
        </w:rPr>
        <w:t xml:space="preserve"> IPR </w:t>
      </w:r>
      <w:r w:rsidR="00C541B7" w:rsidRPr="001D77AF">
        <w:rPr>
          <w:lang w:val="en-GB"/>
        </w:rPr>
        <w:t>due to problems of identifying what the bundle of rights means</w:t>
      </w:r>
      <w:r w:rsidR="0050080E" w:rsidRPr="001D77AF">
        <w:rPr>
          <w:lang w:val="en-GB"/>
        </w:rPr>
        <w:t xml:space="preserve"> when seeking to </w:t>
      </w:r>
      <w:r w:rsidR="00487DA9" w:rsidRPr="001D77AF">
        <w:rPr>
          <w:lang w:val="en-GB"/>
        </w:rPr>
        <w:t>defend against</w:t>
      </w:r>
      <w:r w:rsidR="0050080E" w:rsidRPr="001D77AF">
        <w:rPr>
          <w:lang w:val="en-GB"/>
        </w:rPr>
        <w:t xml:space="preserve"> infringements of </w:t>
      </w:r>
      <w:r w:rsidR="00C57D56" w:rsidRPr="001D77AF">
        <w:rPr>
          <w:lang w:val="en-GB"/>
        </w:rPr>
        <w:t>IPR</w:t>
      </w:r>
      <w:r w:rsidR="002A5A14" w:rsidRPr="001D77AF">
        <w:rPr>
          <w:lang w:val="en-GB"/>
        </w:rPr>
        <w:t xml:space="preserve"> or </w:t>
      </w:r>
      <w:r w:rsidR="00487DA9" w:rsidRPr="001D77AF">
        <w:rPr>
          <w:lang w:val="en-GB"/>
        </w:rPr>
        <w:t xml:space="preserve">seeking </w:t>
      </w:r>
      <w:r w:rsidR="002A5A14" w:rsidRPr="001D77AF">
        <w:rPr>
          <w:lang w:val="en-GB"/>
        </w:rPr>
        <w:t xml:space="preserve">compensation for </w:t>
      </w:r>
      <w:r w:rsidR="00487DA9" w:rsidRPr="001D77AF">
        <w:rPr>
          <w:lang w:val="en-GB"/>
        </w:rPr>
        <w:t xml:space="preserve">the </w:t>
      </w:r>
      <w:r w:rsidR="002A5A14" w:rsidRPr="001D77AF">
        <w:rPr>
          <w:lang w:val="en-GB"/>
        </w:rPr>
        <w:t>theft of IP</w:t>
      </w:r>
      <w:r w:rsidR="0050080E" w:rsidRPr="001D77AF">
        <w:rPr>
          <w:lang w:val="en-GB"/>
        </w:rPr>
        <w:t>.</w:t>
      </w:r>
      <w:r w:rsidR="00974580" w:rsidRPr="001D77AF">
        <w:rPr>
          <w:lang w:val="en-GB"/>
        </w:rPr>
        <w:t xml:space="preserve"> </w:t>
      </w:r>
    </w:p>
    <w:p w14:paraId="31502F7B" w14:textId="5A900583" w:rsidR="00BA60DC" w:rsidRPr="00E83C55" w:rsidRDefault="00BA60DC" w:rsidP="00BA60DC">
      <w:pPr>
        <w:spacing w:line="480" w:lineRule="auto"/>
        <w:jc w:val="both"/>
        <w:rPr>
          <w:rFonts w:eastAsia="Times New Roman"/>
          <w:spacing w:val="2"/>
          <w:kern w:val="36"/>
          <w:lang w:val="en"/>
        </w:rPr>
      </w:pPr>
      <w:r w:rsidRPr="00E83C55">
        <w:t>Using only formal legal rights to capture all the components of enforcement underplays the influence of the behaviour of agents involved in enforcing IPR (Papageorgiadis &amp; McDonald, 2019; Peng 2017a). The failure to properly identify and separate important components of institutional systems involved in governing economic transactions leads to problems of misrepresenting how these systems influence outcomes (Shirley, 2013; Voigt, 2013 &amp; 2018). This study therefore separates the two major institutional components that underpin IPR regimes. Hypothesis 1 explicitly refers to formal legal rights (law on the books) and the influence of informal institutions (law in practice) is considered in hypothesis 2. The property rights approach suggests that formal legal rights that are clear, comprehensive and coherent lead to low transaction costs and risk when using legal arenas to defend IPR</w:t>
      </w:r>
      <w:r>
        <w:t>, i</w:t>
      </w:r>
      <w:r w:rsidRPr="00E83C55">
        <w:t>mply</w:t>
      </w:r>
      <w:r>
        <w:t xml:space="preserve">ing </w:t>
      </w:r>
      <w:r w:rsidRPr="00E83C55">
        <w:t xml:space="preserve">a positive </w:t>
      </w:r>
      <w:r>
        <w:t>relationship to</w:t>
      </w:r>
      <w:r w:rsidRPr="00E83C55">
        <w:t xml:space="preserve"> FDI. Some studies have however found both negative and positive relationships between formal legal rights and FDI (Khoury &amp; Peng, 2011; Ushijima, 2013). The empirical evidence from previous studies therefore provides some indications that a positive relationship is not always detectable. Nevertheless, the theory suggests that clear, consistent and comprehensive formal legal rights should reduce the costs and risk of defending IPR. </w:t>
      </w:r>
      <w:r>
        <w:t xml:space="preserve">The </w:t>
      </w:r>
      <w:r>
        <w:lastRenderedPageBreak/>
        <w:t xml:space="preserve">property rights approach assumes that enforcing contracts </w:t>
      </w:r>
      <w:r w:rsidR="004B14C2">
        <w:t xml:space="preserve">is effective and </w:t>
      </w:r>
      <w:r>
        <w:t xml:space="preserve">can be achieved at very low cost.  </w:t>
      </w:r>
      <w:r w:rsidRPr="00E83C55">
        <w:t xml:space="preserve">This view </w:t>
      </w:r>
      <w:r>
        <w:t xml:space="preserve">of how formal legal rights work </w:t>
      </w:r>
      <w:r w:rsidRPr="00E83C55">
        <w:t xml:space="preserve">is reflected in H1. </w:t>
      </w:r>
      <w:r w:rsidRPr="00E83C55">
        <w:rPr>
          <w:rFonts w:eastAsia="Times New Roman"/>
          <w:spacing w:val="2"/>
          <w:kern w:val="36"/>
          <w:lang w:val="en"/>
        </w:rPr>
        <w:t xml:space="preserve"> </w:t>
      </w:r>
    </w:p>
    <w:p w14:paraId="6C3A4365" w14:textId="77777777" w:rsidR="00BA60DC" w:rsidRDefault="00BA60DC" w:rsidP="00BA60DC">
      <w:pPr>
        <w:spacing w:line="480" w:lineRule="auto"/>
        <w:ind w:hanging="284"/>
        <w:jc w:val="both"/>
        <w:rPr>
          <w:rFonts w:ascii="Arial" w:eastAsia="Times New Roman" w:hAnsi="Arial" w:cs="Arial"/>
          <w:color w:val="333333"/>
          <w:spacing w:val="2"/>
          <w:kern w:val="36"/>
          <w:lang w:val="en"/>
        </w:rPr>
      </w:pPr>
    </w:p>
    <w:p w14:paraId="11E58198" w14:textId="44DCF80E" w:rsidR="00B81A65" w:rsidRPr="001D77AF" w:rsidRDefault="009117EE" w:rsidP="00C670DD">
      <w:pPr>
        <w:spacing w:line="480" w:lineRule="auto"/>
        <w:ind w:firstLine="720"/>
        <w:jc w:val="both"/>
        <w:rPr>
          <w:lang w:val="en-GB"/>
        </w:rPr>
      </w:pPr>
      <w:r w:rsidRPr="001D77AF">
        <w:rPr>
          <w:lang w:val="en-GB"/>
        </w:rPr>
        <w:t>H</w:t>
      </w:r>
      <w:r w:rsidRPr="001D77AF">
        <w:rPr>
          <w:vertAlign w:val="subscript"/>
          <w:lang w:val="en-GB"/>
        </w:rPr>
        <w:t>1</w:t>
      </w:r>
      <w:r w:rsidR="00777AA1" w:rsidRPr="001D77AF">
        <w:rPr>
          <w:lang w:val="en-GB"/>
        </w:rPr>
        <w:t xml:space="preserve">: </w:t>
      </w:r>
      <w:r w:rsidR="00A7779C" w:rsidRPr="001D77AF">
        <w:rPr>
          <w:i/>
          <w:lang w:val="en-GB"/>
        </w:rPr>
        <w:t>Countries with strong</w:t>
      </w:r>
      <w:r w:rsidR="003C1294" w:rsidRPr="001D77AF">
        <w:rPr>
          <w:i/>
          <w:lang w:val="en-GB"/>
        </w:rPr>
        <w:t>er</w:t>
      </w:r>
      <w:r w:rsidR="00A7779C" w:rsidRPr="001D77AF">
        <w:rPr>
          <w:i/>
          <w:lang w:val="en-GB"/>
        </w:rPr>
        <w:t xml:space="preserve"> formal </w:t>
      </w:r>
      <w:r w:rsidR="006A7B7B" w:rsidRPr="001D77AF">
        <w:rPr>
          <w:i/>
          <w:lang w:val="en-GB"/>
        </w:rPr>
        <w:t xml:space="preserve">legal </w:t>
      </w:r>
      <w:r w:rsidR="009F440A" w:rsidRPr="001D77AF">
        <w:rPr>
          <w:i/>
          <w:lang w:val="en-GB"/>
        </w:rPr>
        <w:t>rights</w:t>
      </w:r>
      <w:r w:rsidR="006A7B7B" w:rsidRPr="001D77AF">
        <w:rPr>
          <w:i/>
          <w:lang w:val="en-GB"/>
        </w:rPr>
        <w:t xml:space="preserve"> </w:t>
      </w:r>
      <w:r w:rsidR="0067562F" w:rsidRPr="001D77AF">
        <w:rPr>
          <w:i/>
          <w:lang w:val="en-GB"/>
        </w:rPr>
        <w:t xml:space="preserve">underpinning </w:t>
      </w:r>
      <w:r w:rsidR="00A7779C" w:rsidRPr="001D77AF">
        <w:rPr>
          <w:i/>
          <w:lang w:val="en-GB"/>
        </w:rPr>
        <w:t>IP</w:t>
      </w:r>
      <w:r w:rsidR="006A7B7B" w:rsidRPr="001D77AF">
        <w:rPr>
          <w:i/>
          <w:lang w:val="en-GB"/>
        </w:rPr>
        <w:t xml:space="preserve">R systems </w:t>
      </w:r>
      <w:r w:rsidR="00A7779C" w:rsidRPr="001D77AF">
        <w:rPr>
          <w:i/>
          <w:lang w:val="en-GB"/>
        </w:rPr>
        <w:t>attract higher levels of outward FDI</w:t>
      </w:r>
      <w:r w:rsidR="00382C9D" w:rsidRPr="001D77AF">
        <w:rPr>
          <w:lang w:val="en-GB"/>
        </w:rPr>
        <w:t>.</w:t>
      </w:r>
      <w:r w:rsidR="00A7779C" w:rsidRPr="001D77AF">
        <w:rPr>
          <w:lang w:val="en-GB"/>
        </w:rPr>
        <w:t xml:space="preserve"> </w:t>
      </w:r>
    </w:p>
    <w:p w14:paraId="2D825CBE" w14:textId="77777777" w:rsidR="00B5640F" w:rsidRPr="001D77AF" w:rsidRDefault="00B5640F" w:rsidP="00C670DD">
      <w:pPr>
        <w:spacing w:line="480" w:lineRule="auto"/>
        <w:jc w:val="both"/>
        <w:rPr>
          <w:i/>
          <w:lang w:val="en-GB"/>
        </w:rPr>
      </w:pPr>
    </w:p>
    <w:p w14:paraId="2CA9523A" w14:textId="4348F561" w:rsidR="005E06C0" w:rsidRPr="001D77AF" w:rsidRDefault="005E06C0" w:rsidP="00C670DD">
      <w:pPr>
        <w:spacing w:line="480" w:lineRule="auto"/>
        <w:jc w:val="both"/>
        <w:rPr>
          <w:i/>
          <w:lang w:val="en-GB"/>
        </w:rPr>
      </w:pPr>
      <w:r w:rsidRPr="001D77AF">
        <w:rPr>
          <w:i/>
          <w:lang w:val="en-GB"/>
        </w:rPr>
        <w:t>Informal IP Institutions</w:t>
      </w:r>
      <w:r w:rsidR="005F4FA8" w:rsidRPr="001D77AF">
        <w:rPr>
          <w:i/>
          <w:lang w:val="en-GB"/>
        </w:rPr>
        <w:t xml:space="preserve"> and Outward FDI</w:t>
      </w:r>
    </w:p>
    <w:p w14:paraId="56682485" w14:textId="3EC40E7E" w:rsidR="00E84CED" w:rsidRPr="001D77AF" w:rsidRDefault="00630038" w:rsidP="00F442AD">
      <w:pPr>
        <w:spacing w:line="480" w:lineRule="auto"/>
        <w:jc w:val="both"/>
        <w:rPr>
          <w:lang w:val="en-GB"/>
        </w:rPr>
      </w:pPr>
      <w:r w:rsidRPr="001D77AF">
        <w:rPr>
          <w:lang w:val="en-GB"/>
        </w:rPr>
        <w:t xml:space="preserve">There are only a few studies </w:t>
      </w:r>
      <w:r w:rsidR="00803A98" w:rsidRPr="001D77AF">
        <w:rPr>
          <w:lang w:val="en-GB"/>
        </w:rPr>
        <w:t xml:space="preserve">relating to IPR regimes </w:t>
      </w:r>
      <w:r w:rsidRPr="001D77AF">
        <w:rPr>
          <w:lang w:val="en-GB"/>
        </w:rPr>
        <w:t xml:space="preserve">that explicitly </w:t>
      </w:r>
      <w:r w:rsidR="00803A98" w:rsidRPr="001D77AF">
        <w:rPr>
          <w:lang w:val="en-GB"/>
        </w:rPr>
        <w:t xml:space="preserve">consider </w:t>
      </w:r>
      <w:r w:rsidRPr="001D77AF">
        <w:rPr>
          <w:lang w:val="en-GB"/>
        </w:rPr>
        <w:t xml:space="preserve">the </w:t>
      </w:r>
      <w:r w:rsidR="00803A98" w:rsidRPr="001D77AF">
        <w:rPr>
          <w:lang w:val="en-GB"/>
        </w:rPr>
        <w:t xml:space="preserve">influence </w:t>
      </w:r>
      <w:r w:rsidRPr="001D77AF">
        <w:rPr>
          <w:lang w:val="en-GB"/>
        </w:rPr>
        <w:t>of informal institutions</w:t>
      </w:r>
      <w:r w:rsidR="00803A98" w:rsidRPr="001D77AF">
        <w:rPr>
          <w:lang w:val="en-GB"/>
        </w:rPr>
        <w:t xml:space="preserve"> </w:t>
      </w:r>
      <w:r w:rsidRPr="001D77AF">
        <w:rPr>
          <w:lang w:val="en-GB"/>
        </w:rPr>
        <w:t>(Seyoum, 1996</w:t>
      </w:r>
      <w:r w:rsidR="00E84CED" w:rsidRPr="001D77AF">
        <w:rPr>
          <w:lang w:val="en-GB"/>
        </w:rPr>
        <w:t xml:space="preserve">, </w:t>
      </w:r>
      <w:r w:rsidRPr="001D77AF">
        <w:rPr>
          <w:lang w:val="en-GB"/>
        </w:rPr>
        <w:t xml:space="preserve">2006; Smarzynska-Jajvorcik, 2004). These studies find some </w:t>
      </w:r>
      <w:r w:rsidR="00803A98" w:rsidRPr="001D77AF">
        <w:rPr>
          <w:lang w:val="en-GB"/>
        </w:rPr>
        <w:t>evidence</w:t>
      </w:r>
      <w:r w:rsidRPr="001D77AF">
        <w:rPr>
          <w:lang w:val="en-GB"/>
        </w:rPr>
        <w:t xml:space="preserve"> that poor quality informal institutions</w:t>
      </w:r>
      <w:r w:rsidR="00803A98" w:rsidRPr="001D77AF">
        <w:rPr>
          <w:lang w:val="en-GB"/>
        </w:rPr>
        <w:t xml:space="preserve"> </w:t>
      </w:r>
      <w:r w:rsidR="00824048" w:rsidRPr="001D77AF">
        <w:rPr>
          <w:lang w:val="en-GB"/>
        </w:rPr>
        <w:t>are</w:t>
      </w:r>
      <w:r w:rsidR="00803A98" w:rsidRPr="001D77AF">
        <w:rPr>
          <w:lang w:val="en-GB"/>
        </w:rPr>
        <w:t xml:space="preserve"> detrimental for FDI</w:t>
      </w:r>
      <w:r w:rsidRPr="001D77AF">
        <w:rPr>
          <w:lang w:val="en-GB"/>
        </w:rPr>
        <w:t>.</w:t>
      </w:r>
      <w:r w:rsidR="00803A98" w:rsidRPr="001D77AF">
        <w:rPr>
          <w:lang w:val="en-GB"/>
        </w:rPr>
        <w:t xml:space="preserve"> Some literature </w:t>
      </w:r>
      <w:r w:rsidR="00824048" w:rsidRPr="001D77AF">
        <w:rPr>
          <w:lang w:val="en-GB"/>
        </w:rPr>
        <w:t xml:space="preserve">attributes </w:t>
      </w:r>
      <w:r w:rsidR="00803A98" w:rsidRPr="001D77AF">
        <w:rPr>
          <w:lang w:val="en-GB"/>
        </w:rPr>
        <w:t xml:space="preserve">the </w:t>
      </w:r>
      <w:r w:rsidR="00824048" w:rsidRPr="001D77AF">
        <w:rPr>
          <w:lang w:val="en-GB"/>
        </w:rPr>
        <w:t xml:space="preserve">major </w:t>
      </w:r>
      <w:r w:rsidR="00803A98" w:rsidRPr="001D77AF">
        <w:rPr>
          <w:lang w:val="en-GB"/>
        </w:rPr>
        <w:t>detrimental effect</w:t>
      </w:r>
      <w:r w:rsidR="00824048" w:rsidRPr="001D77AF">
        <w:rPr>
          <w:lang w:val="en-GB"/>
        </w:rPr>
        <w:t>s</w:t>
      </w:r>
      <w:r w:rsidR="00803A98" w:rsidRPr="001D77AF">
        <w:rPr>
          <w:lang w:val="en-GB"/>
        </w:rPr>
        <w:t xml:space="preserve"> to </w:t>
      </w:r>
      <w:r w:rsidR="00824048" w:rsidRPr="001D77AF">
        <w:rPr>
          <w:lang w:val="en-GB"/>
        </w:rPr>
        <w:t xml:space="preserve">the </w:t>
      </w:r>
      <w:r w:rsidR="00803A98" w:rsidRPr="001D77AF">
        <w:rPr>
          <w:lang w:val="en-GB"/>
        </w:rPr>
        <w:t>behaviour of enforcement agents (Yang &amp; Sonmez, 2013)</w:t>
      </w:r>
      <w:r w:rsidR="00A90064" w:rsidRPr="001D77AF">
        <w:rPr>
          <w:lang w:val="en-GB"/>
        </w:rPr>
        <w:t>.</w:t>
      </w:r>
      <w:r w:rsidR="00803A98" w:rsidRPr="001D77AF">
        <w:rPr>
          <w:lang w:val="en-GB"/>
        </w:rPr>
        <w:t xml:space="preserve"> None of the</w:t>
      </w:r>
      <w:r w:rsidR="003A67F3" w:rsidRPr="001D77AF">
        <w:rPr>
          <w:lang w:val="en-GB"/>
        </w:rPr>
        <w:t>se</w:t>
      </w:r>
      <w:r w:rsidR="00803A98" w:rsidRPr="001D77AF">
        <w:rPr>
          <w:lang w:val="en-GB"/>
        </w:rPr>
        <w:t xml:space="preserve"> studies </w:t>
      </w:r>
      <w:r w:rsidR="00A90064" w:rsidRPr="001D77AF">
        <w:rPr>
          <w:lang w:val="en-GB"/>
        </w:rPr>
        <w:t>links</w:t>
      </w:r>
      <w:r w:rsidR="00803A98" w:rsidRPr="001D77AF">
        <w:rPr>
          <w:lang w:val="en-GB"/>
        </w:rPr>
        <w:t xml:space="preserve"> </w:t>
      </w:r>
      <w:r w:rsidR="003A67F3" w:rsidRPr="001D77AF">
        <w:rPr>
          <w:lang w:val="en-GB"/>
        </w:rPr>
        <w:t xml:space="preserve">these effects </w:t>
      </w:r>
      <w:r w:rsidR="00803A98" w:rsidRPr="001D77AF">
        <w:rPr>
          <w:lang w:val="en-GB"/>
        </w:rPr>
        <w:t>to theoretical explanation</w:t>
      </w:r>
      <w:r w:rsidR="003041BB" w:rsidRPr="001D77AF">
        <w:rPr>
          <w:lang w:val="en-GB"/>
        </w:rPr>
        <w:t>s</w:t>
      </w:r>
      <w:r w:rsidR="00803A98" w:rsidRPr="001D77AF">
        <w:rPr>
          <w:lang w:val="en-GB"/>
        </w:rPr>
        <w:t xml:space="preserve"> as to how </w:t>
      </w:r>
      <w:r w:rsidR="003A67F3" w:rsidRPr="001D77AF">
        <w:rPr>
          <w:lang w:val="en-GB"/>
        </w:rPr>
        <w:t xml:space="preserve">informal institutions </w:t>
      </w:r>
      <w:r w:rsidR="00803A98" w:rsidRPr="001D77AF">
        <w:rPr>
          <w:lang w:val="en-GB"/>
        </w:rPr>
        <w:t>influence the costs and risk of</w:t>
      </w:r>
      <w:r w:rsidR="003A67F3" w:rsidRPr="001D77AF">
        <w:rPr>
          <w:lang w:val="en-GB"/>
        </w:rPr>
        <w:t xml:space="preserve"> using </w:t>
      </w:r>
      <w:r w:rsidR="00160CF0">
        <w:rPr>
          <w:lang w:val="en-GB"/>
        </w:rPr>
        <w:t xml:space="preserve">legal </w:t>
      </w:r>
      <w:r w:rsidR="00803A98" w:rsidRPr="001D77AF">
        <w:rPr>
          <w:lang w:val="en-GB"/>
        </w:rPr>
        <w:t>rights</w:t>
      </w:r>
      <w:r w:rsidR="003A67F3" w:rsidRPr="001D77AF">
        <w:rPr>
          <w:lang w:val="en-GB"/>
        </w:rPr>
        <w:t xml:space="preserve"> over IP assets</w:t>
      </w:r>
      <w:r w:rsidR="00803A98" w:rsidRPr="001D77AF">
        <w:rPr>
          <w:lang w:val="en-GB"/>
        </w:rPr>
        <w:t xml:space="preserve"> to secure economic rights. </w:t>
      </w:r>
    </w:p>
    <w:p w14:paraId="76C442C6" w14:textId="1D34B682" w:rsidR="007D186C" w:rsidRPr="001D77AF" w:rsidRDefault="00803A98" w:rsidP="00D97580">
      <w:pPr>
        <w:spacing w:line="480" w:lineRule="auto"/>
        <w:ind w:firstLine="720"/>
        <w:jc w:val="both"/>
        <w:rPr>
          <w:lang w:val="en-GB"/>
        </w:rPr>
      </w:pPr>
      <w:r w:rsidRPr="001D77AF">
        <w:rPr>
          <w:lang w:val="en-GB"/>
        </w:rPr>
        <w:t>The</w:t>
      </w:r>
      <w:r w:rsidR="00903B9A" w:rsidRPr="001D77AF">
        <w:rPr>
          <w:lang w:val="en-GB"/>
        </w:rPr>
        <w:t xml:space="preserve"> </w:t>
      </w:r>
      <w:r w:rsidR="00A80D37" w:rsidRPr="001D77AF">
        <w:rPr>
          <w:lang w:val="en-GB"/>
        </w:rPr>
        <w:t xml:space="preserve">economic rights approach connected to using legal </w:t>
      </w:r>
      <w:r w:rsidR="00160CF0">
        <w:rPr>
          <w:lang w:val="en-GB"/>
        </w:rPr>
        <w:t>arenas t</w:t>
      </w:r>
      <w:r w:rsidR="00A80D37" w:rsidRPr="001D77AF">
        <w:rPr>
          <w:lang w:val="en-GB"/>
        </w:rPr>
        <w:t xml:space="preserve">o protect </w:t>
      </w:r>
      <w:r w:rsidR="00BA69B5" w:rsidRPr="001D77AF">
        <w:rPr>
          <w:lang w:val="en-GB"/>
        </w:rPr>
        <w:t>IPR suggests that</w:t>
      </w:r>
      <w:r w:rsidR="00903B9A" w:rsidRPr="001D77AF">
        <w:rPr>
          <w:lang w:val="en-GB"/>
        </w:rPr>
        <w:t xml:space="preserve"> good quality informal institutions </w:t>
      </w:r>
      <w:r w:rsidR="001B173C" w:rsidRPr="001D77AF">
        <w:rPr>
          <w:lang w:val="en-GB"/>
        </w:rPr>
        <w:t xml:space="preserve">should </w:t>
      </w:r>
      <w:r w:rsidR="00644C37" w:rsidRPr="001D77AF">
        <w:rPr>
          <w:lang w:val="en-GB"/>
        </w:rPr>
        <w:t>have a positive effect on FDI.</w:t>
      </w:r>
      <w:r w:rsidR="00BA69B5" w:rsidRPr="001D77AF">
        <w:rPr>
          <w:lang w:val="en-GB"/>
        </w:rPr>
        <w:t xml:space="preserve"> </w:t>
      </w:r>
      <w:r w:rsidR="00644C37" w:rsidRPr="001D77AF">
        <w:rPr>
          <w:lang w:val="en-GB"/>
        </w:rPr>
        <w:t>This follows fr</w:t>
      </w:r>
      <w:r w:rsidR="00867C0A" w:rsidRPr="001D77AF">
        <w:rPr>
          <w:lang w:val="en-GB"/>
        </w:rPr>
        <w:t>o</w:t>
      </w:r>
      <w:r w:rsidR="00644C37" w:rsidRPr="001D77AF">
        <w:rPr>
          <w:lang w:val="en-GB"/>
        </w:rPr>
        <w:t xml:space="preserve">m informal institutions providing </w:t>
      </w:r>
      <w:r w:rsidR="00903B9A" w:rsidRPr="001D77AF">
        <w:rPr>
          <w:lang w:val="en-GB"/>
        </w:rPr>
        <w:t xml:space="preserve">unwritten rules used by enforcement agents that </w:t>
      </w:r>
      <w:r w:rsidR="00644C37" w:rsidRPr="001D77AF">
        <w:rPr>
          <w:lang w:val="en-GB"/>
        </w:rPr>
        <w:t xml:space="preserve">are </w:t>
      </w:r>
      <w:r w:rsidR="00D027BE" w:rsidRPr="001D77AF">
        <w:rPr>
          <w:lang w:val="en-GB"/>
        </w:rPr>
        <w:t xml:space="preserve">supportive of </w:t>
      </w:r>
      <w:r w:rsidR="00C562B8" w:rsidRPr="001D77AF">
        <w:rPr>
          <w:lang w:val="en-GB"/>
        </w:rPr>
        <w:t>the property rights of IP asset owners</w:t>
      </w:r>
      <w:r w:rsidR="00644C37" w:rsidRPr="001D77AF">
        <w:rPr>
          <w:lang w:val="en-GB"/>
        </w:rPr>
        <w:t xml:space="preserve">. In these circumstances, recourse to legal arrangements such as courts and </w:t>
      </w:r>
      <w:r w:rsidR="00F556EB" w:rsidRPr="001D77AF">
        <w:rPr>
          <w:lang w:val="en-GB"/>
        </w:rPr>
        <w:t xml:space="preserve">legal </w:t>
      </w:r>
      <w:r w:rsidR="00EA4BF4" w:rsidRPr="001D77AF">
        <w:rPr>
          <w:lang w:val="en-GB"/>
        </w:rPr>
        <w:t xml:space="preserve">measures to stop infringements of IPR are likely to be </w:t>
      </w:r>
      <w:r w:rsidR="00627877" w:rsidRPr="001D77AF">
        <w:rPr>
          <w:lang w:val="en-GB"/>
        </w:rPr>
        <w:t xml:space="preserve">helped by the </w:t>
      </w:r>
      <w:r w:rsidR="005E6B4F">
        <w:rPr>
          <w:lang w:val="en-GB"/>
        </w:rPr>
        <w:t>behaviour</w:t>
      </w:r>
      <w:r w:rsidR="001D77AF">
        <w:rPr>
          <w:lang w:val="en-GB"/>
        </w:rPr>
        <w:t xml:space="preserve"> </w:t>
      </w:r>
      <w:r w:rsidR="00627877" w:rsidRPr="001D77AF">
        <w:rPr>
          <w:lang w:val="en-GB"/>
        </w:rPr>
        <w:t>of enforcement agents</w:t>
      </w:r>
      <w:r w:rsidR="00F556EB" w:rsidRPr="001D77AF">
        <w:rPr>
          <w:lang w:val="en-GB"/>
        </w:rPr>
        <w:t xml:space="preserve"> that</w:t>
      </w:r>
      <w:r w:rsidR="00AB4BC9" w:rsidRPr="001D77AF">
        <w:rPr>
          <w:lang w:val="en-GB"/>
        </w:rPr>
        <w:t xml:space="preserve"> is supportive of the rights of IP asset owners. </w:t>
      </w:r>
      <w:r w:rsidR="00F442AD" w:rsidRPr="001D77AF">
        <w:rPr>
          <w:lang w:val="en-GB"/>
        </w:rPr>
        <w:t>This</w:t>
      </w:r>
      <w:r w:rsidR="00116329" w:rsidRPr="001D77AF">
        <w:rPr>
          <w:lang w:val="en-GB"/>
        </w:rPr>
        <w:t xml:space="preserve"> helps to reduce costs and risk in</w:t>
      </w:r>
      <w:r w:rsidR="00F442AD" w:rsidRPr="001D77AF">
        <w:rPr>
          <w:lang w:val="en-GB"/>
        </w:rPr>
        <w:t xml:space="preserve"> converting </w:t>
      </w:r>
      <w:r w:rsidR="00165B81">
        <w:rPr>
          <w:lang w:val="en-GB"/>
        </w:rPr>
        <w:t xml:space="preserve">legal </w:t>
      </w:r>
      <w:r w:rsidR="00F442AD" w:rsidRPr="001D77AF">
        <w:rPr>
          <w:lang w:val="en-GB"/>
        </w:rPr>
        <w:t>rights into economic rights</w:t>
      </w:r>
      <w:r w:rsidR="00A166B9" w:rsidRPr="001D77AF">
        <w:rPr>
          <w:lang w:val="en-GB"/>
        </w:rPr>
        <w:t>. Info</w:t>
      </w:r>
      <w:r w:rsidR="008B70E7" w:rsidRPr="001D77AF">
        <w:rPr>
          <w:lang w:val="en-GB"/>
        </w:rPr>
        <w:t>r</w:t>
      </w:r>
      <w:r w:rsidR="00A166B9" w:rsidRPr="001D77AF">
        <w:rPr>
          <w:lang w:val="en-GB"/>
        </w:rPr>
        <w:t xml:space="preserve">mal </w:t>
      </w:r>
      <w:r w:rsidR="00D86619" w:rsidRPr="001D77AF">
        <w:rPr>
          <w:lang w:val="en-GB"/>
        </w:rPr>
        <w:t>institutions</w:t>
      </w:r>
      <w:r w:rsidR="00A166B9" w:rsidRPr="001D77AF">
        <w:rPr>
          <w:lang w:val="en-GB"/>
        </w:rPr>
        <w:t xml:space="preserve"> that </w:t>
      </w:r>
      <w:r w:rsidR="008B70E7" w:rsidRPr="001D77AF">
        <w:rPr>
          <w:lang w:val="en-GB"/>
        </w:rPr>
        <w:t xml:space="preserve">do not encourage the </w:t>
      </w:r>
      <w:r w:rsidR="00DD0381" w:rsidRPr="001D77AF">
        <w:rPr>
          <w:lang w:val="en-GB"/>
        </w:rPr>
        <w:t xml:space="preserve">development </w:t>
      </w:r>
      <w:r w:rsidR="005F4FA8" w:rsidRPr="001D77AF">
        <w:rPr>
          <w:lang w:val="en-GB"/>
        </w:rPr>
        <w:t xml:space="preserve">of </w:t>
      </w:r>
      <w:r w:rsidR="008B70E7" w:rsidRPr="001D77AF">
        <w:rPr>
          <w:lang w:val="en-GB"/>
        </w:rPr>
        <w:t xml:space="preserve">unwritten rules used by enforcement agents </w:t>
      </w:r>
      <w:r w:rsidR="00792C37" w:rsidRPr="001D77AF">
        <w:rPr>
          <w:lang w:val="en-GB"/>
        </w:rPr>
        <w:t xml:space="preserve">that are supportive of IP law </w:t>
      </w:r>
      <w:r w:rsidR="008B70E7" w:rsidRPr="001D77AF">
        <w:rPr>
          <w:lang w:val="en-GB"/>
        </w:rPr>
        <w:t xml:space="preserve">are likely to lead to costly and risky </w:t>
      </w:r>
      <w:r w:rsidR="0091656B" w:rsidRPr="001D77AF">
        <w:rPr>
          <w:lang w:val="en-GB"/>
        </w:rPr>
        <w:t>use of legal systems</w:t>
      </w:r>
      <w:r w:rsidR="00774B18" w:rsidRPr="001D77AF">
        <w:rPr>
          <w:lang w:val="en-GB"/>
        </w:rPr>
        <w:t xml:space="preserve">. Such costs and risk can arise from </w:t>
      </w:r>
      <w:r w:rsidR="0091656B" w:rsidRPr="001D77AF">
        <w:rPr>
          <w:lang w:val="en-GB"/>
        </w:rPr>
        <w:t>delays</w:t>
      </w:r>
      <w:r w:rsidR="006A6846" w:rsidRPr="001D77AF">
        <w:rPr>
          <w:lang w:val="en-GB"/>
        </w:rPr>
        <w:t xml:space="preserve"> in making decisions, judgments </w:t>
      </w:r>
      <w:r w:rsidR="005F4FA8" w:rsidRPr="001D77AF">
        <w:rPr>
          <w:lang w:val="en-GB"/>
        </w:rPr>
        <w:t xml:space="preserve">that are </w:t>
      </w:r>
      <w:r w:rsidR="00C6367E" w:rsidRPr="001D77AF">
        <w:rPr>
          <w:lang w:val="en-GB"/>
        </w:rPr>
        <w:t>biased toward</w:t>
      </w:r>
      <w:r w:rsidR="00B641F6" w:rsidRPr="001D77AF">
        <w:rPr>
          <w:lang w:val="en-GB"/>
        </w:rPr>
        <w:t>s</w:t>
      </w:r>
      <w:r w:rsidR="00C6367E" w:rsidRPr="001D77AF">
        <w:rPr>
          <w:lang w:val="en-GB"/>
        </w:rPr>
        <w:t xml:space="preserve"> </w:t>
      </w:r>
      <w:r w:rsidR="005F4FA8" w:rsidRPr="001D77AF">
        <w:rPr>
          <w:lang w:val="en-GB"/>
        </w:rPr>
        <w:t xml:space="preserve">the </w:t>
      </w:r>
      <w:r w:rsidR="00C6367E" w:rsidRPr="001D77AF">
        <w:rPr>
          <w:lang w:val="en-GB"/>
        </w:rPr>
        <w:t xml:space="preserve">defendants in infringement </w:t>
      </w:r>
      <w:r w:rsidR="006D4AC1" w:rsidRPr="001D77AF">
        <w:rPr>
          <w:lang w:val="en-GB"/>
        </w:rPr>
        <w:t xml:space="preserve">and theft </w:t>
      </w:r>
      <w:r w:rsidR="00C6367E" w:rsidRPr="001D77AF">
        <w:rPr>
          <w:lang w:val="en-GB"/>
        </w:rPr>
        <w:t xml:space="preserve">cases and </w:t>
      </w:r>
      <w:r w:rsidR="00B641F6" w:rsidRPr="001D77AF">
        <w:rPr>
          <w:lang w:val="en-GB"/>
        </w:rPr>
        <w:t>inadequate policing of breaches of IP law.</w:t>
      </w:r>
      <w:r w:rsidR="00C6367E" w:rsidRPr="001D77AF">
        <w:rPr>
          <w:lang w:val="en-GB"/>
        </w:rPr>
        <w:t xml:space="preserve"> </w:t>
      </w:r>
      <w:r w:rsidR="00271CEE" w:rsidRPr="001D77AF">
        <w:rPr>
          <w:lang w:val="en-GB"/>
        </w:rPr>
        <w:lastRenderedPageBreak/>
        <w:t xml:space="preserve">Outcomes such as this make it difficult to use legal </w:t>
      </w:r>
      <w:r w:rsidR="00361625" w:rsidRPr="001D77AF">
        <w:rPr>
          <w:lang w:val="en-GB"/>
        </w:rPr>
        <w:t>systems</w:t>
      </w:r>
      <w:r w:rsidR="00271CEE" w:rsidRPr="001D77AF">
        <w:rPr>
          <w:lang w:val="en-GB"/>
        </w:rPr>
        <w:t xml:space="preserve"> to </w:t>
      </w:r>
      <w:r w:rsidR="00361625" w:rsidRPr="001D77AF">
        <w:rPr>
          <w:lang w:val="en-GB"/>
        </w:rPr>
        <w:t>help to convert property rights into economic rights.</w:t>
      </w:r>
      <w:r w:rsidR="00EB1077" w:rsidRPr="001D77AF">
        <w:rPr>
          <w:lang w:val="en-GB"/>
        </w:rPr>
        <w:t xml:space="preserve"> </w:t>
      </w:r>
      <w:r w:rsidR="006B776E" w:rsidRPr="001D77AF">
        <w:rPr>
          <w:lang w:val="en-GB"/>
        </w:rPr>
        <w:t>This reasoning leads to the second hypothesis</w:t>
      </w:r>
      <w:r w:rsidR="004673B7">
        <w:rPr>
          <w:lang w:val="en-GB"/>
        </w:rPr>
        <w:t>.</w:t>
      </w:r>
      <w:r w:rsidR="005F4FA8" w:rsidRPr="001D77AF">
        <w:rPr>
          <w:lang w:val="en-GB"/>
        </w:rPr>
        <w:t xml:space="preserve"> </w:t>
      </w:r>
    </w:p>
    <w:p w14:paraId="17EFBD66" w14:textId="69DDDC29" w:rsidR="004A02A4" w:rsidRDefault="00A83D31" w:rsidP="00C670DD">
      <w:pPr>
        <w:spacing w:line="480" w:lineRule="auto"/>
        <w:ind w:firstLine="720"/>
        <w:jc w:val="both"/>
        <w:rPr>
          <w:i/>
          <w:lang w:val="en-GB"/>
        </w:rPr>
      </w:pPr>
      <w:r w:rsidRPr="001D77AF">
        <w:rPr>
          <w:lang w:val="en-GB"/>
        </w:rPr>
        <w:t>H</w:t>
      </w:r>
      <w:r w:rsidRPr="001D77AF">
        <w:rPr>
          <w:vertAlign w:val="subscript"/>
          <w:lang w:val="en-GB"/>
        </w:rPr>
        <w:t>2</w:t>
      </w:r>
      <w:r w:rsidRPr="001D77AF">
        <w:rPr>
          <w:lang w:val="en-GB"/>
        </w:rPr>
        <w:t>:</w:t>
      </w:r>
      <w:r w:rsidRPr="001D77AF">
        <w:rPr>
          <w:i/>
          <w:lang w:val="en-GB"/>
        </w:rPr>
        <w:t xml:space="preserve"> Countries with strong</w:t>
      </w:r>
      <w:r w:rsidR="00E73868" w:rsidRPr="001D77AF">
        <w:rPr>
          <w:i/>
          <w:lang w:val="en-GB"/>
        </w:rPr>
        <w:t>er</w:t>
      </w:r>
      <w:r w:rsidRPr="001D77AF">
        <w:rPr>
          <w:i/>
          <w:lang w:val="en-GB"/>
        </w:rPr>
        <w:t xml:space="preserve"> informal institution</w:t>
      </w:r>
      <w:r w:rsidR="00D8162B" w:rsidRPr="001D77AF">
        <w:rPr>
          <w:i/>
          <w:lang w:val="en-GB"/>
        </w:rPr>
        <w:t xml:space="preserve">al aspects </w:t>
      </w:r>
      <w:r w:rsidR="00665D4F" w:rsidRPr="001D77AF">
        <w:rPr>
          <w:i/>
          <w:lang w:val="en-GB"/>
        </w:rPr>
        <w:t xml:space="preserve">associated with </w:t>
      </w:r>
      <w:r w:rsidR="00D8162B" w:rsidRPr="001D77AF">
        <w:rPr>
          <w:i/>
          <w:lang w:val="en-GB"/>
        </w:rPr>
        <w:t xml:space="preserve">enforcement in IPR systems </w:t>
      </w:r>
      <w:r w:rsidRPr="001D77AF">
        <w:rPr>
          <w:i/>
          <w:lang w:val="en-GB"/>
        </w:rPr>
        <w:t>attract higher levels of outward FDI</w:t>
      </w:r>
    </w:p>
    <w:p w14:paraId="7F53FC0A" w14:textId="77777777" w:rsidR="000230CD" w:rsidRPr="001D77AF" w:rsidRDefault="000230CD" w:rsidP="00C670DD">
      <w:pPr>
        <w:spacing w:line="480" w:lineRule="auto"/>
        <w:ind w:firstLine="720"/>
        <w:jc w:val="both"/>
        <w:rPr>
          <w:i/>
          <w:lang w:val="en-GB"/>
        </w:rPr>
      </w:pPr>
    </w:p>
    <w:p w14:paraId="54401B15" w14:textId="54B5402B" w:rsidR="005A5403" w:rsidRPr="001D77AF" w:rsidRDefault="005F4FA8" w:rsidP="00C670DD">
      <w:pPr>
        <w:spacing w:line="480" w:lineRule="auto"/>
        <w:jc w:val="both"/>
        <w:rPr>
          <w:i/>
          <w:lang w:val="en-GB"/>
        </w:rPr>
      </w:pPr>
      <w:r w:rsidRPr="001D77AF">
        <w:rPr>
          <w:i/>
          <w:lang w:val="en-GB"/>
        </w:rPr>
        <w:t xml:space="preserve">The </w:t>
      </w:r>
      <w:r w:rsidR="0000282A" w:rsidRPr="001D77AF">
        <w:rPr>
          <w:i/>
          <w:lang w:val="en-GB"/>
        </w:rPr>
        <w:t xml:space="preserve">Moderating Effect of </w:t>
      </w:r>
      <w:r w:rsidR="00B175DC" w:rsidRPr="001D77AF">
        <w:rPr>
          <w:i/>
          <w:lang w:val="en-GB"/>
        </w:rPr>
        <w:t>Informal Institutions</w:t>
      </w:r>
    </w:p>
    <w:p w14:paraId="478576FB" w14:textId="07330F7E" w:rsidR="002E5F2C" w:rsidRDefault="00BF4784" w:rsidP="000B2BF0">
      <w:pPr>
        <w:spacing w:line="480" w:lineRule="auto"/>
        <w:jc w:val="both"/>
        <w:rPr>
          <w:lang w:val="en-GB"/>
        </w:rPr>
      </w:pPr>
      <w:r>
        <w:rPr>
          <w:lang w:val="en-GB"/>
        </w:rPr>
        <w:t>To the best of our knowledge, t</w:t>
      </w:r>
      <w:r w:rsidR="00C40E7A" w:rsidRPr="001D77AF">
        <w:rPr>
          <w:lang w:val="en-GB"/>
        </w:rPr>
        <w:t xml:space="preserve">here are no studies </w:t>
      </w:r>
      <w:r w:rsidR="005F4FA8" w:rsidRPr="001D77AF">
        <w:rPr>
          <w:lang w:val="en-GB"/>
        </w:rPr>
        <w:t xml:space="preserve">in the literature researching </w:t>
      </w:r>
      <w:r w:rsidR="008F71AD" w:rsidRPr="001D77AF">
        <w:rPr>
          <w:lang w:val="en-GB"/>
        </w:rPr>
        <w:t xml:space="preserve">the </w:t>
      </w:r>
      <w:r w:rsidR="00774B18" w:rsidRPr="001D77AF">
        <w:rPr>
          <w:lang w:val="en-GB"/>
        </w:rPr>
        <w:t xml:space="preserve">effects </w:t>
      </w:r>
      <w:r w:rsidR="00E437EE" w:rsidRPr="001D77AF">
        <w:rPr>
          <w:lang w:val="en-GB"/>
        </w:rPr>
        <w:t>of</w:t>
      </w:r>
      <w:r w:rsidR="00774B18" w:rsidRPr="001D77AF">
        <w:rPr>
          <w:lang w:val="en-GB"/>
        </w:rPr>
        <w:t xml:space="preserve"> the </w:t>
      </w:r>
      <w:r w:rsidR="008F71AD" w:rsidRPr="001D77AF">
        <w:rPr>
          <w:lang w:val="en-GB"/>
        </w:rPr>
        <w:t>interaction between formal legal institutions related to IPR and informal institutions</w:t>
      </w:r>
      <w:r w:rsidR="000F78BB" w:rsidRPr="001D77AF">
        <w:rPr>
          <w:lang w:val="en-GB"/>
        </w:rPr>
        <w:t xml:space="preserve"> </w:t>
      </w:r>
      <w:r w:rsidR="00D431A2">
        <w:rPr>
          <w:lang w:val="en-GB"/>
        </w:rPr>
        <w:t>related to</w:t>
      </w:r>
      <w:r w:rsidR="000F78BB" w:rsidRPr="001D77AF">
        <w:rPr>
          <w:lang w:val="en-GB"/>
        </w:rPr>
        <w:t xml:space="preserve"> </w:t>
      </w:r>
      <w:r w:rsidR="005F4FA8" w:rsidRPr="001D77AF">
        <w:rPr>
          <w:lang w:val="en-GB"/>
        </w:rPr>
        <w:t xml:space="preserve">the </w:t>
      </w:r>
      <w:r w:rsidR="00CD1C56">
        <w:rPr>
          <w:lang w:val="en-GB"/>
        </w:rPr>
        <w:t xml:space="preserve">behaviour of </w:t>
      </w:r>
      <w:r w:rsidR="0053727E" w:rsidRPr="001D77AF">
        <w:rPr>
          <w:lang w:val="en-GB"/>
        </w:rPr>
        <w:t>enforc</w:t>
      </w:r>
      <w:r w:rsidR="005F4FA8" w:rsidRPr="001D77AF">
        <w:rPr>
          <w:lang w:val="en-GB"/>
        </w:rPr>
        <w:t xml:space="preserve">ement </w:t>
      </w:r>
      <w:r w:rsidR="00CD1C56">
        <w:rPr>
          <w:lang w:val="en-GB"/>
        </w:rPr>
        <w:t>agents.</w:t>
      </w:r>
      <w:r w:rsidR="000851E0" w:rsidRPr="001D77AF">
        <w:rPr>
          <w:lang w:val="en-GB"/>
        </w:rPr>
        <w:t xml:space="preserve"> </w:t>
      </w:r>
      <w:r w:rsidR="006B6CBA" w:rsidRPr="001D77AF">
        <w:rPr>
          <w:lang w:val="en-GB"/>
        </w:rPr>
        <w:t xml:space="preserve">Formal legal rights normally stem from legislative declarations of intent to achieve specified outcomes, but the achieving of these depends on how informal institutions affect the legitimacy and support the effective implementation </w:t>
      </w:r>
      <w:r w:rsidR="00BF15BF">
        <w:rPr>
          <w:lang w:val="en-GB"/>
        </w:rPr>
        <w:t xml:space="preserve">of the law </w:t>
      </w:r>
      <w:r w:rsidR="006B6CBA" w:rsidRPr="001D77AF">
        <w:rPr>
          <w:lang w:val="en-GB"/>
        </w:rPr>
        <w:t xml:space="preserve">in economic transactions (Hodgson, 2006). </w:t>
      </w:r>
      <w:r w:rsidR="005F4FA8" w:rsidRPr="001D77AF">
        <w:rPr>
          <w:lang w:val="en-GB"/>
        </w:rPr>
        <w:t>T</w:t>
      </w:r>
      <w:r w:rsidR="00D368DE" w:rsidRPr="001D77AF">
        <w:rPr>
          <w:lang w:val="en-GB"/>
        </w:rPr>
        <w:t>he costs and risk</w:t>
      </w:r>
      <w:r>
        <w:rPr>
          <w:lang w:val="en-GB"/>
        </w:rPr>
        <w:t>s</w:t>
      </w:r>
      <w:r w:rsidR="00D368DE" w:rsidRPr="001D77AF">
        <w:rPr>
          <w:lang w:val="en-GB"/>
        </w:rPr>
        <w:t xml:space="preserve"> incurred in </w:t>
      </w:r>
      <w:r w:rsidR="002243F6" w:rsidRPr="001D77AF">
        <w:rPr>
          <w:lang w:val="en-GB"/>
        </w:rPr>
        <w:t xml:space="preserve">using </w:t>
      </w:r>
      <w:r w:rsidR="00D368DE" w:rsidRPr="001D77AF">
        <w:rPr>
          <w:lang w:val="en-GB"/>
        </w:rPr>
        <w:t xml:space="preserve">legal arenas </w:t>
      </w:r>
      <w:r w:rsidR="002243F6" w:rsidRPr="001D77AF">
        <w:rPr>
          <w:lang w:val="en-GB"/>
        </w:rPr>
        <w:t xml:space="preserve">to </w:t>
      </w:r>
      <w:r w:rsidR="0043562F" w:rsidRPr="001D77AF">
        <w:rPr>
          <w:lang w:val="en-GB"/>
        </w:rPr>
        <w:t>protect IPR depend</w:t>
      </w:r>
      <w:r w:rsidR="00BF15BF">
        <w:rPr>
          <w:lang w:val="en-GB"/>
        </w:rPr>
        <w:t xml:space="preserve">s therefore </w:t>
      </w:r>
      <w:r w:rsidR="005F4FA8" w:rsidRPr="001D77AF">
        <w:rPr>
          <w:lang w:val="en-GB"/>
        </w:rPr>
        <w:t xml:space="preserve">not only </w:t>
      </w:r>
      <w:r w:rsidR="0043562F" w:rsidRPr="001D77AF">
        <w:rPr>
          <w:lang w:val="en-GB"/>
        </w:rPr>
        <w:t xml:space="preserve">on </w:t>
      </w:r>
      <w:r w:rsidR="00746FC9" w:rsidRPr="001D77AF">
        <w:rPr>
          <w:lang w:val="en-GB"/>
        </w:rPr>
        <w:t xml:space="preserve">the quality of formal legal rights </w:t>
      </w:r>
      <w:r w:rsidR="002D487F" w:rsidRPr="001D77AF">
        <w:rPr>
          <w:lang w:val="en-GB"/>
        </w:rPr>
        <w:t>but also</w:t>
      </w:r>
      <w:r w:rsidR="0009533E" w:rsidRPr="001D77AF">
        <w:rPr>
          <w:lang w:val="en-GB"/>
        </w:rPr>
        <w:t xml:space="preserve"> on </w:t>
      </w:r>
      <w:r w:rsidR="001377CC">
        <w:rPr>
          <w:lang w:val="en-GB"/>
        </w:rPr>
        <w:t>whether the</w:t>
      </w:r>
      <w:r w:rsidR="000C30DB" w:rsidRPr="001D77AF">
        <w:rPr>
          <w:lang w:val="en-GB"/>
        </w:rPr>
        <w:t xml:space="preserve"> </w:t>
      </w:r>
      <w:r w:rsidR="00634CDC" w:rsidRPr="001D77AF">
        <w:rPr>
          <w:lang w:val="en-GB"/>
        </w:rPr>
        <w:t>informal institutions</w:t>
      </w:r>
      <w:r w:rsidR="0009533E" w:rsidRPr="001D77AF">
        <w:rPr>
          <w:lang w:val="en-GB"/>
        </w:rPr>
        <w:t xml:space="preserve"> </w:t>
      </w:r>
      <w:r w:rsidR="00ED7F5A" w:rsidRPr="001D77AF">
        <w:rPr>
          <w:lang w:val="en-GB"/>
        </w:rPr>
        <w:t xml:space="preserve">that </w:t>
      </w:r>
      <w:r w:rsidR="0009533E" w:rsidRPr="001D77AF">
        <w:rPr>
          <w:lang w:val="en-GB"/>
        </w:rPr>
        <w:t>influence the unwr</w:t>
      </w:r>
      <w:r w:rsidR="00495A1F" w:rsidRPr="001D77AF">
        <w:rPr>
          <w:lang w:val="en-GB"/>
        </w:rPr>
        <w:t>itten rules used by enforcement agents</w:t>
      </w:r>
      <w:r w:rsidR="003B5A9B" w:rsidRPr="001D77AF">
        <w:rPr>
          <w:lang w:val="en-GB"/>
        </w:rPr>
        <w:t xml:space="preserve"> </w:t>
      </w:r>
      <w:r w:rsidR="009F36A4">
        <w:rPr>
          <w:lang w:val="en-GB"/>
        </w:rPr>
        <w:t xml:space="preserve">legitimize and support the formal </w:t>
      </w:r>
      <w:r w:rsidR="004A28E6" w:rsidRPr="001D77AF">
        <w:rPr>
          <w:lang w:val="en-GB"/>
        </w:rPr>
        <w:t>IP law.</w:t>
      </w:r>
      <w:r w:rsidR="000C1EE9" w:rsidRPr="001D77AF">
        <w:rPr>
          <w:lang w:val="en-GB"/>
        </w:rPr>
        <w:t xml:space="preserve"> </w:t>
      </w:r>
    </w:p>
    <w:p w14:paraId="3D60649A" w14:textId="10A5EC50" w:rsidR="003522DF" w:rsidRPr="000C748B" w:rsidRDefault="003522DF" w:rsidP="003522DF">
      <w:pPr>
        <w:spacing w:line="480" w:lineRule="auto"/>
        <w:ind w:firstLine="720"/>
        <w:jc w:val="both"/>
      </w:pPr>
      <w:r w:rsidRPr="000C748B">
        <w:t xml:space="preserve">Following the recommendations of Andersson et al., (2014) when using models with moderating variables it is necessary to develop a causal chain to justify the choice of the moderating variable. The direction of causation proposed in this study is that formal legal rights provide law that is the declared and written rights governing ownership rights over property (Hodgson, 2006). When these written rights are used to defend IPR in legal arenas the interpretation and application of the law is influenced by the informal institutions that shape the unwritten rules used by enforcement agents (Helmke &amp; Levitsky, 2004, 2006). The effects of formal legal rights are therefore moderated by the unwritten rules used by the agents that enforce law. The possibility of co-evolution of formal and informal institutions may however call into question this causal chain. A co-evolutionary process can emerge from significant </w:t>
      </w:r>
      <w:r w:rsidRPr="000C748B">
        <w:lastRenderedPageBreak/>
        <w:t xml:space="preserve">historical events that lead to changes in political, social, cultural and economic environments. These very long-run historically driven changes lead to interactions between formal and informal institutions that result in complex and multidirectional causal relationships (Alesina &amp; Giuliano, 2015; Mantzavinos et al., 2004). This co-evolutionary process may be considered to question the direction of moderating effects proposed in this study. The informal institutions connected to the rules of the game are however normally stable and they evolve slowly. In most cases informal institutional conventions normally prevail until the costs of retaining informal institutional norms becomes prohibitively high. This process can take many decades before significant changes are made (North, 1990 &amp; 2005; Pejovich, 1999). This implies that in the short and medium-run the effect of formal institutions in IPR regimes (including </w:t>
      </w:r>
      <w:r w:rsidR="003D0640" w:rsidRPr="000C748B">
        <w:t xml:space="preserve">any </w:t>
      </w:r>
      <w:r w:rsidRPr="000C748B">
        <w:t>changes to formal legal rights) is likely to be moderated by the ways informal institutions influence the behaviour of agents involved with enforcing IP law. This causal relationship is therefore used in this study.</w:t>
      </w:r>
    </w:p>
    <w:p w14:paraId="27AA07D5" w14:textId="4481E183" w:rsidR="005F4FA8" w:rsidRPr="001D77AF" w:rsidRDefault="000C1EE9" w:rsidP="00D97580">
      <w:pPr>
        <w:spacing w:line="480" w:lineRule="auto"/>
        <w:ind w:firstLine="720"/>
        <w:jc w:val="both"/>
        <w:rPr>
          <w:lang w:val="en-GB"/>
        </w:rPr>
      </w:pPr>
      <w:r w:rsidRPr="001D77AF">
        <w:rPr>
          <w:lang w:val="en-GB"/>
        </w:rPr>
        <w:t>W</w:t>
      </w:r>
      <w:r w:rsidR="00495A1F" w:rsidRPr="001D77AF">
        <w:rPr>
          <w:lang w:val="en-GB"/>
        </w:rPr>
        <w:t xml:space="preserve">hen </w:t>
      </w:r>
      <w:r w:rsidR="00C01C2A" w:rsidRPr="001D77AF">
        <w:rPr>
          <w:lang w:val="en-GB"/>
        </w:rPr>
        <w:t xml:space="preserve">enforcement </w:t>
      </w:r>
      <w:r w:rsidRPr="001D77AF">
        <w:rPr>
          <w:lang w:val="en-GB"/>
        </w:rPr>
        <w:t xml:space="preserve">agents </w:t>
      </w:r>
      <w:r w:rsidR="005F4FA8" w:rsidRPr="001D77AF">
        <w:rPr>
          <w:lang w:val="en-GB"/>
        </w:rPr>
        <w:t>engage</w:t>
      </w:r>
      <w:r w:rsidR="00495A1F" w:rsidRPr="001D77AF">
        <w:rPr>
          <w:lang w:val="en-GB"/>
        </w:rPr>
        <w:t xml:space="preserve"> in </w:t>
      </w:r>
      <w:r w:rsidR="0096378C">
        <w:rPr>
          <w:lang w:val="en-GB"/>
        </w:rPr>
        <w:t xml:space="preserve">legal arenas </w:t>
      </w:r>
      <w:r w:rsidR="004100BD" w:rsidRPr="001D77AF">
        <w:rPr>
          <w:lang w:val="en-GB"/>
        </w:rPr>
        <w:t xml:space="preserve">to stop misuse of </w:t>
      </w:r>
      <w:r w:rsidRPr="001D77AF">
        <w:rPr>
          <w:lang w:val="en-GB"/>
        </w:rPr>
        <w:t>IPR</w:t>
      </w:r>
      <w:r w:rsidR="00B8583A">
        <w:rPr>
          <w:lang w:val="en-GB"/>
        </w:rPr>
        <w:t xml:space="preserve"> or</w:t>
      </w:r>
      <w:r w:rsidR="005F4FA8" w:rsidRPr="001D77AF">
        <w:rPr>
          <w:lang w:val="en-GB"/>
        </w:rPr>
        <w:t xml:space="preserve"> </w:t>
      </w:r>
      <w:r w:rsidRPr="001D77AF">
        <w:rPr>
          <w:lang w:val="en-GB"/>
        </w:rPr>
        <w:t>compensate for theft of IP</w:t>
      </w:r>
      <w:r w:rsidR="00495A1F" w:rsidRPr="001D77AF">
        <w:rPr>
          <w:lang w:val="en-GB"/>
        </w:rPr>
        <w:t xml:space="preserve">, </w:t>
      </w:r>
      <w:r w:rsidRPr="001D77AF">
        <w:rPr>
          <w:lang w:val="en-GB"/>
        </w:rPr>
        <w:t xml:space="preserve">or when </w:t>
      </w:r>
      <w:r w:rsidR="00495A1F" w:rsidRPr="001D77AF">
        <w:rPr>
          <w:lang w:val="en-GB"/>
        </w:rPr>
        <w:t xml:space="preserve">policing </w:t>
      </w:r>
      <w:r w:rsidR="008C654A" w:rsidRPr="001D77AF">
        <w:rPr>
          <w:lang w:val="en-GB"/>
        </w:rPr>
        <w:t>infringements,</w:t>
      </w:r>
      <w:r w:rsidRPr="001D77AF">
        <w:rPr>
          <w:lang w:val="en-GB"/>
        </w:rPr>
        <w:t xml:space="preserve"> the</w:t>
      </w:r>
      <w:r w:rsidR="008C654A" w:rsidRPr="001D77AF">
        <w:rPr>
          <w:lang w:val="en-GB"/>
        </w:rPr>
        <w:t>y</w:t>
      </w:r>
      <w:r w:rsidRPr="001D77AF">
        <w:rPr>
          <w:lang w:val="en-GB"/>
        </w:rPr>
        <w:t xml:space="preserve"> </w:t>
      </w:r>
      <w:r w:rsidR="00E437EE" w:rsidRPr="001D77AF">
        <w:rPr>
          <w:lang w:val="en-GB"/>
        </w:rPr>
        <w:t>apply</w:t>
      </w:r>
      <w:r w:rsidR="008C654A" w:rsidRPr="001D77AF">
        <w:rPr>
          <w:lang w:val="en-GB"/>
        </w:rPr>
        <w:t xml:space="preserve"> the </w:t>
      </w:r>
      <w:r w:rsidR="00E437EE" w:rsidRPr="001D77AF">
        <w:rPr>
          <w:lang w:val="en-GB"/>
        </w:rPr>
        <w:t xml:space="preserve">existing </w:t>
      </w:r>
      <w:r w:rsidR="008C654A" w:rsidRPr="001D77AF">
        <w:rPr>
          <w:lang w:val="en-GB"/>
        </w:rPr>
        <w:t xml:space="preserve">law. </w:t>
      </w:r>
      <w:r w:rsidR="00650BFE">
        <w:rPr>
          <w:lang w:val="en-GB"/>
        </w:rPr>
        <w:t>A</w:t>
      </w:r>
      <w:r w:rsidR="004A3124" w:rsidRPr="001D77AF">
        <w:rPr>
          <w:lang w:val="en-GB"/>
        </w:rPr>
        <w:t xml:space="preserve"> </w:t>
      </w:r>
      <w:r w:rsidR="000F13FB" w:rsidRPr="001D77AF">
        <w:rPr>
          <w:lang w:val="en-GB"/>
        </w:rPr>
        <w:t xml:space="preserve">court </w:t>
      </w:r>
      <w:r w:rsidR="004A3124" w:rsidRPr="001D77AF">
        <w:rPr>
          <w:lang w:val="en-GB"/>
        </w:rPr>
        <w:t xml:space="preserve">case </w:t>
      </w:r>
      <w:r w:rsidR="00650BFE">
        <w:rPr>
          <w:lang w:val="en-GB"/>
        </w:rPr>
        <w:t xml:space="preserve">for example may be </w:t>
      </w:r>
      <w:r w:rsidR="004A3124" w:rsidRPr="001D77AF">
        <w:rPr>
          <w:lang w:val="en-GB"/>
        </w:rPr>
        <w:t>brought by a</w:t>
      </w:r>
      <w:r w:rsidR="00ED1363" w:rsidRPr="001D77AF">
        <w:rPr>
          <w:lang w:val="en-GB"/>
        </w:rPr>
        <w:t>n</w:t>
      </w:r>
      <w:r w:rsidR="004A3124" w:rsidRPr="001D77AF">
        <w:rPr>
          <w:lang w:val="en-GB"/>
        </w:rPr>
        <w:t xml:space="preserve"> IP asset owner </w:t>
      </w:r>
      <w:r w:rsidR="00ED1363" w:rsidRPr="001D77AF">
        <w:rPr>
          <w:lang w:val="en-GB"/>
        </w:rPr>
        <w:t xml:space="preserve">claiming </w:t>
      </w:r>
      <w:r w:rsidR="004A3124" w:rsidRPr="001D77AF">
        <w:rPr>
          <w:lang w:val="en-GB"/>
        </w:rPr>
        <w:t>that there had been</w:t>
      </w:r>
      <w:r w:rsidR="000F13FB" w:rsidRPr="001D77AF">
        <w:rPr>
          <w:lang w:val="en-GB"/>
        </w:rPr>
        <w:t xml:space="preserve"> breach of </w:t>
      </w:r>
      <w:r w:rsidR="0000015D" w:rsidRPr="001D77AF">
        <w:rPr>
          <w:lang w:val="en-GB"/>
        </w:rPr>
        <w:t xml:space="preserve">a </w:t>
      </w:r>
      <w:r w:rsidR="000F13FB" w:rsidRPr="001D77AF">
        <w:rPr>
          <w:lang w:val="en-GB"/>
        </w:rPr>
        <w:t>patent</w:t>
      </w:r>
      <w:r w:rsidR="0000015D" w:rsidRPr="001D77AF">
        <w:rPr>
          <w:lang w:val="en-GB"/>
        </w:rPr>
        <w:t xml:space="preserve"> </w:t>
      </w:r>
      <w:r w:rsidR="00244B9B" w:rsidRPr="001D77AF">
        <w:rPr>
          <w:lang w:val="en-GB"/>
        </w:rPr>
        <w:t>in a host location</w:t>
      </w:r>
      <w:r w:rsidR="00E26FC6">
        <w:rPr>
          <w:lang w:val="en-GB"/>
        </w:rPr>
        <w:t xml:space="preserve">. The enforcement agents are </w:t>
      </w:r>
      <w:r w:rsidR="00593691">
        <w:rPr>
          <w:lang w:val="en-GB"/>
        </w:rPr>
        <w:t xml:space="preserve">guided </w:t>
      </w:r>
      <w:r w:rsidR="00DF28C2" w:rsidRPr="001D77AF">
        <w:rPr>
          <w:lang w:val="en-GB"/>
        </w:rPr>
        <w:t>by</w:t>
      </w:r>
      <w:r w:rsidR="006E0AD2" w:rsidRPr="001D77AF">
        <w:rPr>
          <w:lang w:val="en-GB"/>
        </w:rPr>
        <w:t xml:space="preserve"> </w:t>
      </w:r>
      <w:r w:rsidR="00E437EE" w:rsidRPr="001D77AF">
        <w:rPr>
          <w:lang w:val="en-GB"/>
        </w:rPr>
        <w:t xml:space="preserve">the </w:t>
      </w:r>
      <w:r w:rsidR="006E0AD2" w:rsidRPr="001D77AF">
        <w:rPr>
          <w:lang w:val="en-GB"/>
        </w:rPr>
        <w:t xml:space="preserve">applicability of the patent </w:t>
      </w:r>
      <w:r w:rsidR="00A316BD" w:rsidRPr="001D77AF">
        <w:rPr>
          <w:lang w:val="en-GB"/>
        </w:rPr>
        <w:t xml:space="preserve">in </w:t>
      </w:r>
      <w:r w:rsidR="000E62E5">
        <w:rPr>
          <w:lang w:val="en-GB"/>
        </w:rPr>
        <w:t xml:space="preserve">IP law </w:t>
      </w:r>
      <w:r w:rsidR="008E49C0" w:rsidRPr="001D77AF">
        <w:rPr>
          <w:lang w:val="en-GB"/>
        </w:rPr>
        <w:t xml:space="preserve">in the </w:t>
      </w:r>
      <w:r w:rsidR="00A316BD" w:rsidRPr="001D77AF">
        <w:rPr>
          <w:lang w:val="en-GB"/>
        </w:rPr>
        <w:t xml:space="preserve">host location. </w:t>
      </w:r>
      <w:r w:rsidR="00E437EE" w:rsidRPr="001D77AF">
        <w:rPr>
          <w:lang w:val="en-GB"/>
        </w:rPr>
        <w:t>F</w:t>
      </w:r>
      <w:r w:rsidR="00A316BD" w:rsidRPr="001D77AF">
        <w:rPr>
          <w:lang w:val="en-GB"/>
        </w:rPr>
        <w:t xml:space="preserve">ormal legal rights </w:t>
      </w:r>
      <w:r w:rsidR="000E62E5">
        <w:rPr>
          <w:lang w:val="en-GB"/>
        </w:rPr>
        <w:t xml:space="preserve">therefore </w:t>
      </w:r>
      <w:r w:rsidR="00114FAE" w:rsidRPr="001D77AF">
        <w:rPr>
          <w:lang w:val="en-GB"/>
        </w:rPr>
        <w:t xml:space="preserve">guide the legal proceedings. The </w:t>
      </w:r>
      <w:r w:rsidR="00CB44E0" w:rsidRPr="001D77AF">
        <w:rPr>
          <w:lang w:val="en-GB"/>
        </w:rPr>
        <w:t>unwritten</w:t>
      </w:r>
      <w:r w:rsidR="00114FAE" w:rsidRPr="001D77AF">
        <w:rPr>
          <w:lang w:val="en-GB"/>
        </w:rPr>
        <w:t xml:space="preserve"> </w:t>
      </w:r>
      <w:r w:rsidR="00CB44E0" w:rsidRPr="001D77AF">
        <w:rPr>
          <w:lang w:val="en-GB"/>
        </w:rPr>
        <w:t>rules</w:t>
      </w:r>
      <w:r w:rsidR="00114FAE" w:rsidRPr="001D77AF">
        <w:rPr>
          <w:lang w:val="en-GB"/>
        </w:rPr>
        <w:t xml:space="preserve"> used by </w:t>
      </w:r>
      <w:r w:rsidR="00CB44E0" w:rsidRPr="001D77AF">
        <w:rPr>
          <w:lang w:val="en-GB"/>
        </w:rPr>
        <w:t xml:space="preserve">enforcement agents </w:t>
      </w:r>
      <w:r w:rsidR="0037222D">
        <w:rPr>
          <w:lang w:val="en-GB"/>
        </w:rPr>
        <w:t xml:space="preserve">however </w:t>
      </w:r>
      <w:r w:rsidR="00764266" w:rsidRPr="001D77AF">
        <w:rPr>
          <w:lang w:val="en-GB"/>
        </w:rPr>
        <w:t xml:space="preserve">shape how these formal legal rights </w:t>
      </w:r>
      <w:r w:rsidR="00520E62">
        <w:rPr>
          <w:lang w:val="en-GB"/>
        </w:rPr>
        <w:t>are</w:t>
      </w:r>
      <w:r w:rsidR="00764266" w:rsidRPr="001D77AF">
        <w:rPr>
          <w:lang w:val="en-GB"/>
        </w:rPr>
        <w:t xml:space="preserve"> understood and applied to the case at hand. </w:t>
      </w:r>
      <w:r w:rsidR="00855ECC">
        <w:rPr>
          <w:lang w:val="en-GB"/>
        </w:rPr>
        <w:t>T</w:t>
      </w:r>
      <w:r w:rsidR="00ED1363" w:rsidRPr="001D77AF">
        <w:rPr>
          <w:lang w:val="en-GB"/>
        </w:rPr>
        <w:t xml:space="preserve">he unwritten rules </w:t>
      </w:r>
      <w:r w:rsidR="00855ECC">
        <w:rPr>
          <w:lang w:val="en-GB"/>
        </w:rPr>
        <w:t xml:space="preserve">used by enforcement agents therefore </w:t>
      </w:r>
      <w:r w:rsidR="001621D5" w:rsidRPr="001D77AF">
        <w:rPr>
          <w:lang w:val="en-GB"/>
        </w:rPr>
        <w:t xml:space="preserve">moderate </w:t>
      </w:r>
      <w:r w:rsidR="008572E3" w:rsidRPr="001D77AF">
        <w:rPr>
          <w:lang w:val="en-GB"/>
        </w:rPr>
        <w:t>the effect that formal legal rights exert on the outcome of the case.</w:t>
      </w:r>
      <w:r w:rsidR="00764266" w:rsidRPr="001D77AF">
        <w:rPr>
          <w:lang w:val="en-GB"/>
        </w:rPr>
        <w:t xml:space="preserve"> </w:t>
      </w:r>
    </w:p>
    <w:p w14:paraId="3A5BC8A0" w14:textId="5B5AB296" w:rsidR="00B6472E" w:rsidRPr="001D77AF" w:rsidRDefault="00D17B73" w:rsidP="00D97580">
      <w:pPr>
        <w:spacing w:line="480" w:lineRule="auto"/>
        <w:ind w:firstLine="720"/>
        <w:jc w:val="both"/>
        <w:rPr>
          <w:lang w:val="en-GB"/>
        </w:rPr>
      </w:pPr>
      <w:r w:rsidRPr="001D77AF">
        <w:rPr>
          <w:lang w:val="en-GB"/>
        </w:rPr>
        <w:t xml:space="preserve">In institutional contexts </w:t>
      </w:r>
      <w:r w:rsidR="00FB2E1B" w:rsidRPr="001D77AF">
        <w:rPr>
          <w:lang w:val="en-GB"/>
        </w:rPr>
        <w:t xml:space="preserve">where </w:t>
      </w:r>
      <w:r w:rsidRPr="001D77AF">
        <w:rPr>
          <w:lang w:val="en-GB"/>
        </w:rPr>
        <w:t>formal and informal institutions</w:t>
      </w:r>
      <w:r w:rsidR="000803E7" w:rsidRPr="001D77AF">
        <w:rPr>
          <w:lang w:val="en-GB"/>
        </w:rPr>
        <w:t xml:space="preserve"> connected to IPR regimes </w:t>
      </w:r>
      <w:r w:rsidR="00FB2E1B" w:rsidRPr="001D77AF">
        <w:rPr>
          <w:lang w:val="en-GB"/>
        </w:rPr>
        <w:t>work in harmony</w:t>
      </w:r>
      <w:r w:rsidR="005F4FA8" w:rsidRPr="001D77AF">
        <w:rPr>
          <w:lang w:val="en-GB"/>
        </w:rPr>
        <w:t>,</w:t>
      </w:r>
      <w:r w:rsidR="00FB2E1B" w:rsidRPr="001D77AF">
        <w:rPr>
          <w:lang w:val="en-GB"/>
        </w:rPr>
        <w:t xml:space="preserve"> </w:t>
      </w:r>
      <w:r w:rsidR="00DF1BD9" w:rsidRPr="001D77AF">
        <w:rPr>
          <w:lang w:val="en-GB"/>
        </w:rPr>
        <w:t>the</w:t>
      </w:r>
      <w:r w:rsidR="000803E7" w:rsidRPr="001D77AF">
        <w:rPr>
          <w:lang w:val="en-GB"/>
        </w:rPr>
        <w:t xml:space="preserve"> unwritten rules </w:t>
      </w:r>
      <w:r w:rsidR="00DF1BD9" w:rsidRPr="001D77AF">
        <w:rPr>
          <w:lang w:val="en-GB"/>
        </w:rPr>
        <w:t xml:space="preserve">used by </w:t>
      </w:r>
      <w:r w:rsidR="00A067B1" w:rsidRPr="001D77AF">
        <w:rPr>
          <w:lang w:val="en-GB"/>
        </w:rPr>
        <w:t>enforcement</w:t>
      </w:r>
      <w:r w:rsidR="00DF1BD9" w:rsidRPr="001D77AF">
        <w:rPr>
          <w:lang w:val="en-GB"/>
        </w:rPr>
        <w:t xml:space="preserve"> agents </w:t>
      </w:r>
      <w:r w:rsidR="000803E7" w:rsidRPr="001D77AF">
        <w:rPr>
          <w:lang w:val="en-GB"/>
        </w:rPr>
        <w:t xml:space="preserve">legitimize and support the formal legal rights. </w:t>
      </w:r>
      <w:r w:rsidR="00A22B34" w:rsidRPr="001D77AF">
        <w:rPr>
          <w:lang w:val="en-GB"/>
        </w:rPr>
        <w:t xml:space="preserve">Informal </w:t>
      </w:r>
      <w:r w:rsidR="00CF3BF7" w:rsidRPr="001D77AF">
        <w:rPr>
          <w:lang w:val="en-GB"/>
        </w:rPr>
        <w:t xml:space="preserve">institutions </w:t>
      </w:r>
      <w:r w:rsidR="00A22B34" w:rsidRPr="001D77AF">
        <w:rPr>
          <w:lang w:val="en-GB"/>
        </w:rPr>
        <w:t xml:space="preserve">therefore </w:t>
      </w:r>
      <w:r w:rsidR="001131B9">
        <w:rPr>
          <w:lang w:val="en-GB"/>
        </w:rPr>
        <w:t>w</w:t>
      </w:r>
      <w:r w:rsidR="00070730">
        <w:rPr>
          <w:lang w:val="en-GB"/>
        </w:rPr>
        <w:t>ill</w:t>
      </w:r>
      <w:r w:rsidR="001131B9">
        <w:rPr>
          <w:lang w:val="en-GB"/>
        </w:rPr>
        <w:t xml:space="preserve"> </w:t>
      </w:r>
      <w:r w:rsidR="00A22B34" w:rsidRPr="001D77AF">
        <w:rPr>
          <w:lang w:val="en-GB"/>
        </w:rPr>
        <w:t xml:space="preserve">positively moderate </w:t>
      </w:r>
      <w:r w:rsidR="00C66A0F" w:rsidRPr="001D77AF">
        <w:rPr>
          <w:lang w:val="en-GB"/>
        </w:rPr>
        <w:t xml:space="preserve">the impact of formal legal rights. In cases where </w:t>
      </w:r>
      <w:r w:rsidR="008F4DD6" w:rsidRPr="001D77AF">
        <w:rPr>
          <w:lang w:val="en-GB"/>
        </w:rPr>
        <w:t xml:space="preserve">informal rules are not supportive of </w:t>
      </w:r>
      <w:r w:rsidR="00007F20" w:rsidRPr="001D77AF">
        <w:rPr>
          <w:lang w:val="en-GB"/>
        </w:rPr>
        <w:t xml:space="preserve">the formal </w:t>
      </w:r>
      <w:r w:rsidR="00007F20" w:rsidRPr="001D77AF">
        <w:rPr>
          <w:lang w:val="en-GB"/>
        </w:rPr>
        <w:lastRenderedPageBreak/>
        <w:t>legal rights</w:t>
      </w:r>
      <w:r w:rsidR="005F4FA8" w:rsidRPr="001D77AF">
        <w:rPr>
          <w:lang w:val="en-GB"/>
        </w:rPr>
        <w:t>,</w:t>
      </w:r>
      <w:r w:rsidR="00354550" w:rsidRPr="001D77AF">
        <w:rPr>
          <w:lang w:val="en-GB"/>
        </w:rPr>
        <w:t xml:space="preserve"> </w:t>
      </w:r>
      <w:r w:rsidR="00513D6C" w:rsidRPr="001D77AF">
        <w:rPr>
          <w:lang w:val="en-GB"/>
        </w:rPr>
        <w:t xml:space="preserve">the moderating effect is likely to be negative. </w:t>
      </w:r>
      <w:r w:rsidR="00AD0101" w:rsidRPr="001D77AF">
        <w:rPr>
          <w:lang w:val="en-GB"/>
        </w:rPr>
        <w:t>Th</w:t>
      </w:r>
      <w:r w:rsidR="009A20A3" w:rsidRPr="001D77AF">
        <w:rPr>
          <w:lang w:val="en-GB"/>
        </w:rPr>
        <w:t>i</w:t>
      </w:r>
      <w:r w:rsidR="00AD0101" w:rsidRPr="001D77AF">
        <w:rPr>
          <w:lang w:val="en-GB"/>
        </w:rPr>
        <w:t xml:space="preserve">s </w:t>
      </w:r>
      <w:r w:rsidR="009A20A3" w:rsidRPr="001D77AF">
        <w:rPr>
          <w:lang w:val="en-GB"/>
        </w:rPr>
        <w:t xml:space="preserve">outcome </w:t>
      </w:r>
      <w:r w:rsidR="00AD0101" w:rsidRPr="001D77AF">
        <w:rPr>
          <w:lang w:val="en-GB"/>
        </w:rPr>
        <w:t xml:space="preserve">arises because the </w:t>
      </w:r>
      <w:r w:rsidR="005E6B4F">
        <w:rPr>
          <w:lang w:val="en-GB"/>
        </w:rPr>
        <w:t>behaviour</w:t>
      </w:r>
      <w:r w:rsidR="00AD0101" w:rsidRPr="001D77AF">
        <w:rPr>
          <w:lang w:val="en-GB"/>
        </w:rPr>
        <w:t xml:space="preserve"> of enforcement agents </w:t>
      </w:r>
      <w:r w:rsidR="000D3F79" w:rsidRPr="001D77AF">
        <w:rPr>
          <w:lang w:val="en-GB"/>
        </w:rPr>
        <w:t xml:space="preserve">would </w:t>
      </w:r>
      <w:r w:rsidR="00AD0101" w:rsidRPr="001D77AF">
        <w:rPr>
          <w:lang w:val="en-GB"/>
        </w:rPr>
        <w:t xml:space="preserve">not support </w:t>
      </w:r>
      <w:r w:rsidR="000D3F79" w:rsidRPr="001D77AF">
        <w:rPr>
          <w:lang w:val="en-GB"/>
        </w:rPr>
        <w:t>IPR</w:t>
      </w:r>
      <w:r w:rsidR="008855B8" w:rsidRPr="001D77AF">
        <w:rPr>
          <w:lang w:val="en-GB"/>
        </w:rPr>
        <w:t xml:space="preserve"> granted by formal legal rights.</w:t>
      </w:r>
      <w:r w:rsidR="00AD0101" w:rsidRPr="001D77AF">
        <w:rPr>
          <w:lang w:val="en-GB"/>
        </w:rPr>
        <w:t xml:space="preserve"> </w:t>
      </w:r>
      <w:r w:rsidR="00914206" w:rsidRPr="001D77AF">
        <w:rPr>
          <w:lang w:val="en-GB"/>
        </w:rPr>
        <w:t>G</w:t>
      </w:r>
      <w:r w:rsidR="00D368DE" w:rsidRPr="001D77AF">
        <w:rPr>
          <w:lang w:val="en-GB"/>
        </w:rPr>
        <w:t xml:space="preserve">ood quality unwritten rules may </w:t>
      </w:r>
      <w:r w:rsidR="00914206" w:rsidRPr="001D77AF">
        <w:rPr>
          <w:lang w:val="en-GB"/>
        </w:rPr>
        <w:t xml:space="preserve">however </w:t>
      </w:r>
      <w:r w:rsidR="00D368DE" w:rsidRPr="001D77AF">
        <w:rPr>
          <w:lang w:val="en-GB"/>
        </w:rPr>
        <w:t xml:space="preserve">be </w:t>
      </w:r>
      <w:r w:rsidR="006E57AD" w:rsidRPr="001D77AF">
        <w:rPr>
          <w:lang w:val="en-GB"/>
        </w:rPr>
        <w:t xml:space="preserve">unable to positively moderate </w:t>
      </w:r>
      <w:r w:rsidR="0097279B" w:rsidRPr="001D77AF">
        <w:rPr>
          <w:lang w:val="en-GB"/>
        </w:rPr>
        <w:t>legal rights i</w:t>
      </w:r>
      <w:r w:rsidR="00D23B57" w:rsidRPr="001D77AF">
        <w:rPr>
          <w:lang w:val="en-GB"/>
        </w:rPr>
        <w:t>f</w:t>
      </w:r>
      <w:r w:rsidR="0097279B" w:rsidRPr="001D77AF">
        <w:rPr>
          <w:lang w:val="en-GB"/>
        </w:rPr>
        <w:t xml:space="preserve"> these rights </w:t>
      </w:r>
      <w:r w:rsidR="00CF6FCB" w:rsidRPr="001D77AF">
        <w:rPr>
          <w:lang w:val="en-GB"/>
        </w:rPr>
        <w:t xml:space="preserve">are </w:t>
      </w:r>
      <w:r w:rsidR="002352A1" w:rsidRPr="001D77AF">
        <w:rPr>
          <w:lang w:val="en-GB"/>
        </w:rPr>
        <w:t xml:space="preserve">not clear and comprehensive. </w:t>
      </w:r>
      <w:r w:rsidR="00521E11" w:rsidRPr="001D77AF">
        <w:rPr>
          <w:lang w:val="en-GB"/>
        </w:rPr>
        <w:t>In this case, the ability of</w:t>
      </w:r>
      <w:r w:rsidR="00114CFC" w:rsidRPr="001D77AF">
        <w:rPr>
          <w:lang w:val="en-GB"/>
        </w:rPr>
        <w:t xml:space="preserve"> good </w:t>
      </w:r>
      <w:r w:rsidR="00521E11" w:rsidRPr="001D77AF">
        <w:rPr>
          <w:lang w:val="en-GB"/>
        </w:rPr>
        <w:t xml:space="preserve">informal institutions to exercise </w:t>
      </w:r>
      <w:r w:rsidR="00114CFC" w:rsidRPr="001D77AF">
        <w:rPr>
          <w:lang w:val="en-GB"/>
        </w:rPr>
        <w:t xml:space="preserve">a positive effect on outcomes is </w:t>
      </w:r>
      <w:r w:rsidR="00AF2540" w:rsidRPr="001D77AF">
        <w:rPr>
          <w:lang w:val="en-GB"/>
        </w:rPr>
        <w:t>hampered due to the poor formal legal rights with which enforcement agents must work.</w:t>
      </w:r>
      <w:r w:rsidR="00114CFC" w:rsidRPr="001D77AF">
        <w:rPr>
          <w:lang w:val="en-GB"/>
        </w:rPr>
        <w:t xml:space="preserve"> </w:t>
      </w:r>
      <w:r w:rsidR="009F38C2" w:rsidRPr="001D77AF">
        <w:rPr>
          <w:lang w:val="en-GB"/>
        </w:rPr>
        <w:t xml:space="preserve">The institutional context </w:t>
      </w:r>
      <w:r w:rsidR="002352A1" w:rsidRPr="001D77AF">
        <w:rPr>
          <w:lang w:val="en-GB"/>
        </w:rPr>
        <w:t xml:space="preserve">most likely to </w:t>
      </w:r>
      <w:r w:rsidR="000963FF" w:rsidRPr="001D77AF">
        <w:rPr>
          <w:lang w:val="en-GB"/>
        </w:rPr>
        <w:t xml:space="preserve">deliver low cost and </w:t>
      </w:r>
      <w:r w:rsidR="005F4FA8" w:rsidRPr="001D77AF">
        <w:rPr>
          <w:lang w:val="en-GB"/>
        </w:rPr>
        <w:t xml:space="preserve">low </w:t>
      </w:r>
      <w:r w:rsidR="000963FF" w:rsidRPr="001D77AF">
        <w:rPr>
          <w:lang w:val="en-GB"/>
        </w:rPr>
        <w:t xml:space="preserve">risk to </w:t>
      </w:r>
      <w:r w:rsidR="001314BA" w:rsidRPr="001D77AF">
        <w:rPr>
          <w:lang w:val="en-GB"/>
        </w:rPr>
        <w:t xml:space="preserve">IP asset owners is </w:t>
      </w:r>
      <w:r w:rsidR="005F4FA8" w:rsidRPr="001D77AF">
        <w:rPr>
          <w:lang w:val="en-GB"/>
        </w:rPr>
        <w:t xml:space="preserve">when </w:t>
      </w:r>
      <w:r w:rsidR="00593989" w:rsidRPr="001D77AF">
        <w:rPr>
          <w:lang w:val="en-GB"/>
        </w:rPr>
        <w:t xml:space="preserve">formal </w:t>
      </w:r>
      <w:r w:rsidR="00AC3BD8" w:rsidRPr="001D77AF">
        <w:rPr>
          <w:lang w:val="en-GB"/>
        </w:rPr>
        <w:t xml:space="preserve">legal institutional rights are </w:t>
      </w:r>
      <w:r w:rsidR="009F38C2" w:rsidRPr="001D77AF">
        <w:rPr>
          <w:lang w:val="en-GB"/>
        </w:rPr>
        <w:t xml:space="preserve">clear and coherent </w:t>
      </w:r>
      <w:r w:rsidR="00AC3BD8" w:rsidRPr="001D77AF">
        <w:rPr>
          <w:lang w:val="en-GB"/>
        </w:rPr>
        <w:t xml:space="preserve">and </w:t>
      </w:r>
      <w:r w:rsidR="00BA18B5" w:rsidRPr="001D77AF">
        <w:rPr>
          <w:lang w:val="en-GB"/>
        </w:rPr>
        <w:t xml:space="preserve">are </w:t>
      </w:r>
      <w:r w:rsidR="005A7A49" w:rsidRPr="001D77AF">
        <w:rPr>
          <w:lang w:val="en-GB"/>
        </w:rPr>
        <w:t>l</w:t>
      </w:r>
      <w:r w:rsidR="009F38C2" w:rsidRPr="001D77AF">
        <w:rPr>
          <w:lang w:val="en-GB"/>
        </w:rPr>
        <w:t xml:space="preserve">egitimized and supported by the informal institutional aspects connected to enforcement. </w:t>
      </w:r>
      <w:r w:rsidR="005A7A49" w:rsidRPr="001D77AF">
        <w:rPr>
          <w:lang w:val="en-GB"/>
        </w:rPr>
        <w:t>In these circumstances, i</w:t>
      </w:r>
      <w:r w:rsidR="0000282A" w:rsidRPr="001D77AF">
        <w:rPr>
          <w:lang w:val="en-GB"/>
        </w:rPr>
        <w:t xml:space="preserve">nformal institutions </w:t>
      </w:r>
      <w:r w:rsidR="005A7A49" w:rsidRPr="001D77AF">
        <w:rPr>
          <w:lang w:val="en-GB"/>
        </w:rPr>
        <w:t xml:space="preserve">connected to enforcement </w:t>
      </w:r>
      <w:r w:rsidR="0000282A" w:rsidRPr="001D77AF">
        <w:rPr>
          <w:lang w:val="en-GB"/>
        </w:rPr>
        <w:t xml:space="preserve">exercise a positive moderating effect on the formal </w:t>
      </w:r>
      <w:r w:rsidR="005A7A49" w:rsidRPr="001D77AF">
        <w:rPr>
          <w:lang w:val="en-GB"/>
        </w:rPr>
        <w:t xml:space="preserve">legal institutional </w:t>
      </w:r>
      <w:r w:rsidR="0000282A" w:rsidRPr="001D77AF">
        <w:rPr>
          <w:lang w:val="en-GB"/>
        </w:rPr>
        <w:t>aspects of IP</w:t>
      </w:r>
      <w:r w:rsidR="005A7A49" w:rsidRPr="001D77AF">
        <w:rPr>
          <w:lang w:val="en-GB"/>
        </w:rPr>
        <w:t xml:space="preserve">R regimes. </w:t>
      </w:r>
      <w:r w:rsidR="007E31D8" w:rsidRPr="001D77AF">
        <w:rPr>
          <w:lang w:val="en-GB"/>
        </w:rPr>
        <w:t>Such a positive effect</w:t>
      </w:r>
      <w:r w:rsidR="00EB46E3" w:rsidRPr="001D77AF">
        <w:rPr>
          <w:lang w:val="en-GB"/>
        </w:rPr>
        <w:t xml:space="preserve"> </w:t>
      </w:r>
      <w:r w:rsidR="002D2E2B" w:rsidRPr="001D77AF">
        <w:rPr>
          <w:lang w:val="en-GB"/>
        </w:rPr>
        <w:t>would lead to low costs and risk from using legal systems to defend IPR</w:t>
      </w:r>
      <w:r w:rsidR="00F644AD">
        <w:rPr>
          <w:lang w:val="en-GB"/>
        </w:rPr>
        <w:t>. This will h</w:t>
      </w:r>
      <w:r w:rsidR="002E1A94" w:rsidRPr="001D77AF">
        <w:rPr>
          <w:lang w:val="en-GB"/>
        </w:rPr>
        <w:t xml:space="preserve">elp to reduce obstacles to converting </w:t>
      </w:r>
      <w:r w:rsidR="00F644AD">
        <w:rPr>
          <w:lang w:val="en-GB"/>
        </w:rPr>
        <w:t xml:space="preserve">legal </w:t>
      </w:r>
      <w:r w:rsidR="00155A8A" w:rsidRPr="001D77AF">
        <w:rPr>
          <w:lang w:val="en-GB"/>
        </w:rPr>
        <w:t xml:space="preserve">rights into economic rights and thereby </w:t>
      </w:r>
      <w:r w:rsidR="00EB6231">
        <w:rPr>
          <w:lang w:val="en-GB"/>
        </w:rPr>
        <w:t xml:space="preserve">will </w:t>
      </w:r>
      <w:r w:rsidR="00155A8A" w:rsidRPr="001D77AF">
        <w:rPr>
          <w:lang w:val="en-GB"/>
        </w:rPr>
        <w:t xml:space="preserve">encourage FDI. </w:t>
      </w:r>
      <w:r w:rsidR="00F644AD">
        <w:rPr>
          <w:lang w:val="en-GB"/>
        </w:rPr>
        <w:t xml:space="preserve">This </w:t>
      </w:r>
      <w:r w:rsidR="004673B7">
        <w:rPr>
          <w:lang w:val="en-GB"/>
        </w:rPr>
        <w:t>reasoning leads to</w:t>
      </w:r>
      <w:r w:rsidR="00F644AD">
        <w:rPr>
          <w:lang w:val="en-GB"/>
        </w:rPr>
        <w:t xml:space="preserve"> </w:t>
      </w:r>
      <w:r w:rsidR="004673B7">
        <w:rPr>
          <w:lang w:val="en-GB"/>
        </w:rPr>
        <w:t>H3.</w:t>
      </w:r>
    </w:p>
    <w:p w14:paraId="6E2C6D5A" w14:textId="08A51BE5" w:rsidR="00AC59D5" w:rsidRPr="001D77AF" w:rsidRDefault="00BC1719" w:rsidP="00C670DD">
      <w:pPr>
        <w:spacing w:line="480" w:lineRule="auto"/>
        <w:ind w:firstLine="720"/>
        <w:jc w:val="both"/>
        <w:rPr>
          <w:lang w:val="en-GB"/>
        </w:rPr>
      </w:pPr>
      <w:r w:rsidRPr="001D77AF">
        <w:rPr>
          <w:lang w:val="en-GB"/>
        </w:rPr>
        <w:t>H</w:t>
      </w:r>
      <w:r w:rsidRPr="001D77AF">
        <w:rPr>
          <w:vertAlign w:val="subscript"/>
          <w:lang w:val="en-GB"/>
        </w:rPr>
        <w:t>3</w:t>
      </w:r>
      <w:r w:rsidR="00777AA1" w:rsidRPr="001D77AF">
        <w:rPr>
          <w:lang w:val="en-GB"/>
        </w:rPr>
        <w:t>:</w:t>
      </w:r>
      <w:r w:rsidRPr="001D77AF">
        <w:rPr>
          <w:lang w:val="en-GB"/>
        </w:rPr>
        <w:t xml:space="preserve"> </w:t>
      </w:r>
      <w:r w:rsidR="00593989" w:rsidRPr="001D77AF">
        <w:rPr>
          <w:i/>
          <w:lang w:val="en-GB"/>
        </w:rPr>
        <w:t>Countries with s</w:t>
      </w:r>
      <w:r w:rsidR="00B06B52" w:rsidRPr="001D77AF">
        <w:rPr>
          <w:i/>
          <w:lang w:val="en-GB"/>
        </w:rPr>
        <w:t>tronger i</w:t>
      </w:r>
      <w:r w:rsidRPr="001D77AF">
        <w:rPr>
          <w:i/>
          <w:lang w:val="en-GB"/>
        </w:rPr>
        <w:t>nformal</w:t>
      </w:r>
      <w:r w:rsidR="00BE7A2B" w:rsidRPr="001D77AF">
        <w:rPr>
          <w:i/>
          <w:lang w:val="en-GB"/>
        </w:rPr>
        <w:t xml:space="preserve"> </w:t>
      </w:r>
      <w:r w:rsidRPr="001D77AF">
        <w:rPr>
          <w:i/>
          <w:lang w:val="en-GB"/>
        </w:rPr>
        <w:t>institution</w:t>
      </w:r>
      <w:r w:rsidR="00593989" w:rsidRPr="001D77AF">
        <w:rPr>
          <w:i/>
          <w:lang w:val="en-GB"/>
        </w:rPr>
        <w:t>al</w:t>
      </w:r>
      <w:r w:rsidR="00BE7A2B" w:rsidRPr="001D77AF">
        <w:rPr>
          <w:i/>
          <w:lang w:val="en-GB"/>
        </w:rPr>
        <w:t xml:space="preserve"> </w:t>
      </w:r>
      <w:r w:rsidR="00D8162B" w:rsidRPr="001D77AF">
        <w:rPr>
          <w:i/>
          <w:lang w:val="en-GB"/>
        </w:rPr>
        <w:t>aspects connected to enforcement</w:t>
      </w:r>
      <w:r w:rsidR="007B6531" w:rsidRPr="001D77AF">
        <w:rPr>
          <w:i/>
          <w:lang w:val="en-GB"/>
        </w:rPr>
        <w:t xml:space="preserve"> </w:t>
      </w:r>
      <w:r w:rsidR="002F2919" w:rsidRPr="001D77AF">
        <w:rPr>
          <w:i/>
          <w:lang w:val="en-GB"/>
        </w:rPr>
        <w:t xml:space="preserve">that are supportive of </w:t>
      </w:r>
      <w:r w:rsidR="005544A9" w:rsidRPr="001D77AF">
        <w:rPr>
          <w:i/>
          <w:lang w:val="en-GB"/>
        </w:rPr>
        <w:t xml:space="preserve">clear and comprehensive </w:t>
      </w:r>
      <w:r w:rsidR="002F2919" w:rsidRPr="001D77AF">
        <w:rPr>
          <w:i/>
          <w:lang w:val="en-GB"/>
        </w:rPr>
        <w:t xml:space="preserve">IPR law </w:t>
      </w:r>
      <w:r w:rsidRPr="001D77AF">
        <w:rPr>
          <w:i/>
          <w:lang w:val="en-GB"/>
        </w:rPr>
        <w:t xml:space="preserve">have a positive moderating effect on the relationship between </w:t>
      </w:r>
      <w:r w:rsidR="00BE7A2B" w:rsidRPr="001D77AF">
        <w:rPr>
          <w:i/>
          <w:lang w:val="en-GB"/>
        </w:rPr>
        <w:t xml:space="preserve">the </w:t>
      </w:r>
      <w:r w:rsidRPr="001D77AF">
        <w:rPr>
          <w:i/>
          <w:lang w:val="en-GB"/>
        </w:rPr>
        <w:t>formal</w:t>
      </w:r>
      <w:r w:rsidR="00BE7A2B" w:rsidRPr="001D77AF">
        <w:rPr>
          <w:i/>
          <w:lang w:val="en-GB"/>
        </w:rPr>
        <w:t xml:space="preserve"> legal aspects of</w:t>
      </w:r>
      <w:r w:rsidRPr="001D77AF">
        <w:rPr>
          <w:i/>
          <w:lang w:val="en-GB"/>
        </w:rPr>
        <w:t xml:space="preserve"> </w:t>
      </w:r>
      <w:r w:rsidR="00BE7A2B" w:rsidRPr="001D77AF">
        <w:rPr>
          <w:i/>
          <w:lang w:val="en-GB"/>
        </w:rPr>
        <w:t xml:space="preserve">IPR systems </w:t>
      </w:r>
      <w:r w:rsidRPr="001D77AF">
        <w:rPr>
          <w:i/>
          <w:lang w:val="en-GB"/>
        </w:rPr>
        <w:t>and outward FDI</w:t>
      </w:r>
      <w:r w:rsidRPr="001D77AF">
        <w:rPr>
          <w:lang w:val="en-GB"/>
        </w:rPr>
        <w:t>.</w:t>
      </w:r>
    </w:p>
    <w:p w14:paraId="217F79FE" w14:textId="77777777" w:rsidR="00AC3BD8" w:rsidRPr="001D77AF" w:rsidRDefault="00AC3BD8" w:rsidP="00C670DD">
      <w:pPr>
        <w:spacing w:line="480" w:lineRule="auto"/>
        <w:ind w:firstLine="720"/>
        <w:jc w:val="both"/>
        <w:rPr>
          <w:lang w:val="en-GB"/>
        </w:rPr>
      </w:pPr>
    </w:p>
    <w:p w14:paraId="7B5B67C1" w14:textId="77777777" w:rsidR="007855E8" w:rsidRPr="001D77AF" w:rsidRDefault="005630EF"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rFonts w:eastAsia="Calibri"/>
          <w:b/>
          <w:bdr w:val="none" w:sz="0" w:space="0" w:color="auto"/>
          <w:lang w:val="en-GB"/>
        </w:rPr>
      </w:pPr>
      <w:r w:rsidRPr="001D77AF">
        <w:rPr>
          <w:rFonts w:eastAsia="Calibri"/>
          <w:b/>
          <w:bdr w:val="none" w:sz="0" w:space="0" w:color="auto"/>
          <w:lang w:val="en-GB"/>
        </w:rPr>
        <w:t>4</w:t>
      </w:r>
      <w:r w:rsidR="00DC4494" w:rsidRPr="001D77AF">
        <w:rPr>
          <w:rFonts w:eastAsia="Calibri"/>
          <w:b/>
          <w:bdr w:val="none" w:sz="0" w:space="0" w:color="auto"/>
          <w:lang w:val="en-GB"/>
        </w:rPr>
        <w:t xml:space="preserve">. </w:t>
      </w:r>
      <w:r w:rsidR="00DC4494" w:rsidRPr="001D77AF">
        <w:rPr>
          <w:rFonts w:eastAsia="Calibri"/>
          <w:b/>
          <w:bdr w:val="none" w:sz="0" w:space="0" w:color="auto"/>
          <w:lang w:val="en-GB"/>
        </w:rPr>
        <w:tab/>
      </w:r>
      <w:r w:rsidR="007855E8" w:rsidRPr="001D77AF">
        <w:rPr>
          <w:rFonts w:eastAsia="Calibri"/>
          <w:b/>
          <w:bdr w:val="none" w:sz="0" w:space="0" w:color="auto"/>
          <w:lang w:val="en-GB"/>
        </w:rPr>
        <w:t xml:space="preserve">Data and Methods </w:t>
      </w:r>
    </w:p>
    <w:p w14:paraId="7CA8416F" w14:textId="0F295125" w:rsidR="00F85B87" w:rsidRPr="001D77AF" w:rsidRDefault="00C22C88" w:rsidP="00F85B87">
      <w:pPr>
        <w:spacing w:line="480" w:lineRule="auto"/>
        <w:jc w:val="both"/>
        <w:rPr>
          <w:lang w:val="en-GB"/>
        </w:rPr>
      </w:pPr>
      <w:r w:rsidRPr="001D77AF">
        <w:rPr>
          <w:lang w:val="en-GB"/>
        </w:rPr>
        <w:t>The dependent variable</w:t>
      </w:r>
      <w:r w:rsidR="009F38C2" w:rsidRPr="001D77AF">
        <w:rPr>
          <w:lang w:val="en-GB"/>
        </w:rPr>
        <w:t xml:space="preserve"> is</w:t>
      </w:r>
      <w:r w:rsidRPr="001D77AF">
        <w:rPr>
          <w:lang w:val="en-GB"/>
        </w:rPr>
        <w:t xml:space="preserve"> US </w:t>
      </w:r>
      <w:r w:rsidR="003065C3" w:rsidRPr="001D77AF">
        <w:rPr>
          <w:lang w:val="en-GB"/>
        </w:rPr>
        <w:t xml:space="preserve">manufacturing </w:t>
      </w:r>
      <w:r w:rsidRPr="001D77AF">
        <w:rPr>
          <w:lang w:val="en-GB"/>
        </w:rPr>
        <w:t>outward FDI</w:t>
      </w:r>
      <w:r w:rsidR="009F38C2" w:rsidRPr="001D77AF">
        <w:rPr>
          <w:lang w:val="en-GB"/>
        </w:rPr>
        <w:t xml:space="preserve"> and </w:t>
      </w:r>
      <w:r w:rsidRPr="001D77AF">
        <w:rPr>
          <w:lang w:val="en-GB"/>
        </w:rPr>
        <w:t xml:space="preserve">comes from </w:t>
      </w:r>
      <w:r w:rsidR="00131EF2" w:rsidRPr="001D77AF">
        <w:rPr>
          <w:lang w:val="en-GB"/>
        </w:rPr>
        <w:t xml:space="preserve">data </w:t>
      </w:r>
      <w:r w:rsidRPr="001D77AF">
        <w:rPr>
          <w:lang w:val="en-GB"/>
        </w:rPr>
        <w:t xml:space="preserve">from </w:t>
      </w:r>
      <w:r w:rsidR="00131EF2" w:rsidRPr="001D77AF">
        <w:rPr>
          <w:lang w:val="en-GB"/>
        </w:rPr>
        <w:t xml:space="preserve">the US Bureau of Economic Analysis. </w:t>
      </w:r>
      <w:r w:rsidRPr="001D77AF">
        <w:rPr>
          <w:lang w:val="en-GB"/>
        </w:rPr>
        <w:t>T</w:t>
      </w:r>
      <w:r w:rsidR="002E3052" w:rsidRPr="001D77AF">
        <w:rPr>
          <w:lang w:val="en-GB"/>
        </w:rPr>
        <w:t xml:space="preserve">his data provides a means of considering </w:t>
      </w:r>
      <w:r w:rsidR="003065C3" w:rsidRPr="001D77AF">
        <w:rPr>
          <w:lang w:val="en-GB"/>
        </w:rPr>
        <w:t xml:space="preserve">FDI </w:t>
      </w:r>
      <w:r w:rsidR="002E3052" w:rsidRPr="001D77AF">
        <w:rPr>
          <w:lang w:val="en-GB"/>
        </w:rPr>
        <w:t xml:space="preserve">outflows from </w:t>
      </w:r>
      <w:r w:rsidR="00131EF2" w:rsidRPr="001D77AF">
        <w:rPr>
          <w:lang w:val="en-GB"/>
        </w:rPr>
        <w:t xml:space="preserve">the </w:t>
      </w:r>
      <w:r w:rsidR="002E3052" w:rsidRPr="001D77AF">
        <w:rPr>
          <w:lang w:val="en-GB"/>
        </w:rPr>
        <w:t xml:space="preserve">country with </w:t>
      </w:r>
      <w:r w:rsidR="00FE62F9" w:rsidRPr="001D77AF">
        <w:rPr>
          <w:lang w:val="en-GB"/>
        </w:rPr>
        <w:t xml:space="preserve">the </w:t>
      </w:r>
      <w:r w:rsidR="00131EF2" w:rsidRPr="001D77AF">
        <w:rPr>
          <w:lang w:val="en-GB"/>
        </w:rPr>
        <w:t>largest outward manufacturing FDI among developed countries</w:t>
      </w:r>
      <w:r w:rsidR="003065C3" w:rsidRPr="001D77AF">
        <w:rPr>
          <w:lang w:val="en-GB"/>
        </w:rPr>
        <w:t xml:space="preserve">. </w:t>
      </w:r>
      <w:r w:rsidR="007E6519" w:rsidRPr="001D77AF">
        <w:rPr>
          <w:lang w:val="en-GB"/>
        </w:rPr>
        <w:t xml:space="preserve">Outward FDI from the </w:t>
      </w:r>
      <w:r w:rsidR="003065C3" w:rsidRPr="001D77AF">
        <w:rPr>
          <w:lang w:val="en-GB"/>
        </w:rPr>
        <w:t xml:space="preserve">US also has </w:t>
      </w:r>
      <w:r w:rsidR="00131EF2" w:rsidRPr="001D77AF">
        <w:rPr>
          <w:lang w:val="en-GB"/>
        </w:rPr>
        <w:t xml:space="preserve">widespread </w:t>
      </w:r>
      <w:r w:rsidR="00DD0EBF" w:rsidRPr="001D77AF">
        <w:rPr>
          <w:lang w:val="en-GB"/>
        </w:rPr>
        <w:t xml:space="preserve">industry </w:t>
      </w:r>
      <w:r w:rsidR="002E3052" w:rsidRPr="001D77AF">
        <w:rPr>
          <w:lang w:val="en-GB"/>
        </w:rPr>
        <w:t xml:space="preserve">coverage </w:t>
      </w:r>
      <w:r w:rsidR="00131EF2" w:rsidRPr="001D77AF">
        <w:rPr>
          <w:lang w:val="en-GB"/>
        </w:rPr>
        <w:t xml:space="preserve">and </w:t>
      </w:r>
      <w:r w:rsidR="003065C3" w:rsidRPr="001D77AF">
        <w:rPr>
          <w:lang w:val="en-GB"/>
        </w:rPr>
        <w:t xml:space="preserve">in the </w:t>
      </w:r>
      <w:r w:rsidR="00131EF2" w:rsidRPr="001D77AF">
        <w:rPr>
          <w:lang w:val="en-GB"/>
        </w:rPr>
        <w:t>geographical distribution</w:t>
      </w:r>
      <w:r w:rsidR="002E3052" w:rsidRPr="001D77AF">
        <w:rPr>
          <w:lang w:val="en-GB"/>
        </w:rPr>
        <w:t xml:space="preserve"> of </w:t>
      </w:r>
      <w:r w:rsidR="00DD0EBF" w:rsidRPr="001D77AF">
        <w:rPr>
          <w:lang w:val="en-GB"/>
        </w:rPr>
        <w:t>host countries</w:t>
      </w:r>
      <w:r w:rsidR="00131EF2" w:rsidRPr="001D77AF">
        <w:rPr>
          <w:lang w:val="en-GB"/>
        </w:rPr>
        <w:t xml:space="preserve">. </w:t>
      </w:r>
      <w:r w:rsidR="00F85B87" w:rsidRPr="001D77AF">
        <w:rPr>
          <w:lang w:val="en-GB"/>
        </w:rPr>
        <w:t xml:space="preserve">In addition, the level and complexity of technology involved in US investments is higher than most countries. In 2016, US firms accounted for almost 43% of all patents in foreign countries and “U.S. applicants accounted for more than half of all non-resident </w:t>
      </w:r>
      <w:r w:rsidR="00F85B87" w:rsidRPr="001D77AF">
        <w:rPr>
          <w:lang w:val="en-GB"/>
        </w:rPr>
        <w:lastRenderedPageBreak/>
        <w:t>applications in Norway (72.4%), Turkey (57.4%), Canada (52.8%), Mexico (51.3%) and Australia (50.1%)” (WIPO, 2017, p. 34). This suggests that there are normally high levels of IP assets embedded in US outward FDI, thereby making such investment sensitive to issues of being able to defend effectively IPR (Jackson, 2017). Using US outward FDI data as the dependent variable enables consideration of one of the largest sources of outward FDI in the world that has one of the highest levels of IP assets embedded in such investments.</w:t>
      </w:r>
      <w:r w:rsidR="00F85B87" w:rsidRPr="001D77AF">
        <w:rPr>
          <w:color w:val="FF0000"/>
          <w:lang w:val="en-GB"/>
        </w:rPr>
        <w:t xml:space="preserve"> </w:t>
      </w:r>
      <w:r w:rsidR="00922D1C" w:rsidRPr="001D77AF">
        <w:rPr>
          <w:lang w:val="en-GB"/>
        </w:rPr>
        <w:t>Moreover,</w:t>
      </w:r>
      <w:r w:rsidR="007E6519" w:rsidRPr="001D77AF">
        <w:rPr>
          <w:lang w:val="en-GB"/>
        </w:rPr>
        <w:t xml:space="preserve"> concern about loss of IP embedded in outward FDI is a major area of dispute between developed and developing countries, especially </w:t>
      </w:r>
      <w:r w:rsidR="0072683F" w:rsidRPr="001D77AF">
        <w:rPr>
          <w:lang w:val="en-GB"/>
        </w:rPr>
        <w:t xml:space="preserve">for </w:t>
      </w:r>
      <w:r w:rsidR="007E6519" w:rsidRPr="001D77AF">
        <w:rPr>
          <w:lang w:val="en-GB"/>
        </w:rPr>
        <w:t xml:space="preserve">the US (USCC, 2015). Examination of how the </w:t>
      </w:r>
      <w:r w:rsidR="0072683F" w:rsidRPr="001D77AF">
        <w:rPr>
          <w:lang w:val="en-GB"/>
        </w:rPr>
        <w:t xml:space="preserve">qualities </w:t>
      </w:r>
      <w:r w:rsidR="007E6519" w:rsidRPr="001D77AF">
        <w:rPr>
          <w:lang w:val="en-GB"/>
        </w:rPr>
        <w:t xml:space="preserve">of IPR systems affects outward FDI is therefore of interest, especially to policy makers. Another advantage of using US outward FDI data is that a large amount of empirical work </w:t>
      </w:r>
      <w:r w:rsidR="00FE62F9" w:rsidRPr="001D77AF">
        <w:rPr>
          <w:lang w:val="en-GB"/>
        </w:rPr>
        <w:t xml:space="preserve">on the qualities of IPR systems </w:t>
      </w:r>
      <w:r w:rsidR="007E6519" w:rsidRPr="001D77AF">
        <w:rPr>
          <w:lang w:val="en-GB"/>
        </w:rPr>
        <w:t xml:space="preserve">has </w:t>
      </w:r>
      <w:r w:rsidR="00FE62F9" w:rsidRPr="001D77AF">
        <w:rPr>
          <w:lang w:val="en-GB"/>
        </w:rPr>
        <w:t xml:space="preserve">centred on the effects on </w:t>
      </w:r>
      <w:r w:rsidR="007E6519" w:rsidRPr="001D77AF">
        <w:rPr>
          <w:lang w:val="en-GB"/>
        </w:rPr>
        <w:t>outward FDI</w:t>
      </w:r>
      <w:r w:rsidR="00FE62F9" w:rsidRPr="001D77AF">
        <w:rPr>
          <w:lang w:val="en-GB"/>
        </w:rPr>
        <w:t xml:space="preserve">. Using this </w:t>
      </w:r>
      <w:r w:rsidR="0072683F" w:rsidRPr="001D77AF">
        <w:rPr>
          <w:lang w:val="en-GB"/>
        </w:rPr>
        <w:t xml:space="preserve">measure </w:t>
      </w:r>
      <w:r w:rsidR="00FE62F9" w:rsidRPr="001D77AF">
        <w:rPr>
          <w:lang w:val="en-GB"/>
        </w:rPr>
        <w:t xml:space="preserve">as the dependent variable permits </w:t>
      </w:r>
      <w:r w:rsidR="007E6519" w:rsidRPr="001D77AF">
        <w:rPr>
          <w:lang w:val="en-GB"/>
        </w:rPr>
        <w:t>compar</w:t>
      </w:r>
      <w:r w:rsidR="00FE62F9" w:rsidRPr="001D77AF">
        <w:rPr>
          <w:lang w:val="en-GB"/>
        </w:rPr>
        <w:t xml:space="preserve">isons of </w:t>
      </w:r>
      <w:r w:rsidR="007E6519" w:rsidRPr="001D77AF">
        <w:rPr>
          <w:lang w:val="en-GB"/>
        </w:rPr>
        <w:t xml:space="preserve">the results of this study with </w:t>
      </w:r>
      <w:r w:rsidR="00456CB3" w:rsidRPr="001D77AF">
        <w:rPr>
          <w:lang w:val="en-GB"/>
        </w:rPr>
        <w:t xml:space="preserve">the </w:t>
      </w:r>
      <w:r w:rsidR="007E6519" w:rsidRPr="001D77AF">
        <w:rPr>
          <w:lang w:val="en-GB"/>
        </w:rPr>
        <w:t xml:space="preserve">findings of the existing literature. </w:t>
      </w:r>
    </w:p>
    <w:p w14:paraId="70990057" w14:textId="59985D9C" w:rsidR="00131EF2" w:rsidRPr="001D77AF" w:rsidRDefault="00A1588A" w:rsidP="00D97580">
      <w:pPr>
        <w:spacing w:line="480" w:lineRule="auto"/>
        <w:ind w:firstLine="720"/>
        <w:jc w:val="both"/>
        <w:rPr>
          <w:lang w:val="en-GB"/>
        </w:rPr>
      </w:pPr>
      <w:r>
        <w:rPr>
          <w:lang w:val="en-GB"/>
        </w:rPr>
        <w:t xml:space="preserve">The </w:t>
      </w:r>
      <w:r w:rsidR="004856CE" w:rsidRPr="001D77AF">
        <w:rPr>
          <w:lang w:val="en-GB"/>
        </w:rPr>
        <w:t xml:space="preserve">preference for FDI flows over FDI stocks is due to two reasons. </w:t>
      </w:r>
      <w:r w:rsidR="005442ED">
        <w:rPr>
          <w:lang w:val="en-GB"/>
        </w:rPr>
        <w:t>S</w:t>
      </w:r>
      <w:r w:rsidR="004856CE" w:rsidRPr="001D77AF">
        <w:rPr>
          <w:lang w:val="en-GB"/>
        </w:rPr>
        <w:t xml:space="preserve">tocks capture FDI flows accumulated over a long period therefore FDI stocks in a particular year do not necessarily reflect the attractiveness of a particular location in that particular year. Most of our explanatory variables are yearly-changing variables and FDI stocks would not necessarily reflect the effect of these yearly changes of these explanatory variables. The second reason is that </w:t>
      </w:r>
      <w:r w:rsidR="00623D2F" w:rsidRPr="001D77AF">
        <w:rPr>
          <w:lang w:val="en-GB"/>
        </w:rPr>
        <w:t>the method with which</w:t>
      </w:r>
      <w:r w:rsidR="00D97580" w:rsidRPr="001D77AF">
        <w:rPr>
          <w:lang w:val="en-GB"/>
        </w:rPr>
        <w:t xml:space="preserve"> </w:t>
      </w:r>
      <w:r w:rsidR="004856CE" w:rsidRPr="001D77AF">
        <w:rPr>
          <w:lang w:val="en-GB"/>
        </w:rPr>
        <w:t xml:space="preserve">FDI stocks are calculated varies across countries (Medvedev, 2012). FDI flows </w:t>
      </w:r>
      <w:r w:rsidR="004934CB" w:rsidRPr="001D77AF">
        <w:rPr>
          <w:lang w:val="en-GB"/>
        </w:rPr>
        <w:t>also have a better fit with the focus of our study since</w:t>
      </w:r>
      <w:r w:rsidR="004856CE" w:rsidRPr="001D77AF">
        <w:rPr>
          <w:lang w:val="en-GB"/>
        </w:rPr>
        <w:t xml:space="preserve"> other measures such as </w:t>
      </w:r>
      <w:bookmarkStart w:id="1" w:name="_Hlk528839910"/>
      <w:r w:rsidR="004856CE" w:rsidRPr="001D77AF">
        <w:rPr>
          <w:lang w:val="en-GB"/>
        </w:rPr>
        <w:t xml:space="preserve">US affiliates’ sales or value-added </w:t>
      </w:r>
      <w:bookmarkEnd w:id="1"/>
      <w:r w:rsidR="004856CE" w:rsidRPr="001D77AF">
        <w:rPr>
          <w:lang w:val="en-GB"/>
        </w:rPr>
        <w:t xml:space="preserve">as such measures relate to post-investment activities or a proxy for FDI performance and are not necessarily a good proxy </w:t>
      </w:r>
      <w:r w:rsidR="004934CB" w:rsidRPr="001D77AF">
        <w:rPr>
          <w:lang w:val="en-GB"/>
        </w:rPr>
        <w:t xml:space="preserve">that </w:t>
      </w:r>
      <w:r w:rsidR="004856CE" w:rsidRPr="001D77AF">
        <w:rPr>
          <w:lang w:val="en-GB"/>
        </w:rPr>
        <w:t>reflect</w:t>
      </w:r>
      <w:r w:rsidR="004934CB" w:rsidRPr="001D77AF">
        <w:rPr>
          <w:lang w:val="en-GB"/>
        </w:rPr>
        <w:t>s</w:t>
      </w:r>
      <w:r w:rsidR="004856CE" w:rsidRPr="001D77AF">
        <w:rPr>
          <w:lang w:val="en-GB"/>
        </w:rPr>
        <w:t xml:space="preserve"> the location choice of US firms.</w:t>
      </w:r>
    </w:p>
    <w:p w14:paraId="48FF191E" w14:textId="30309DDC" w:rsidR="006A7244" w:rsidRPr="001D77AF" w:rsidRDefault="00131EF2" w:rsidP="006A7244">
      <w:pPr>
        <w:spacing w:line="480" w:lineRule="auto"/>
        <w:ind w:firstLine="720"/>
        <w:jc w:val="both"/>
        <w:rPr>
          <w:lang w:val="en-GB"/>
        </w:rPr>
      </w:pPr>
      <w:r w:rsidRPr="001D77AF">
        <w:rPr>
          <w:lang w:val="en-GB"/>
        </w:rPr>
        <w:t xml:space="preserve">The sample covers outward FDI flows from USA to 42 host countries, of which 23 are developed countries and 19 are developing countries (see Table 1) for the years 1998-2011. </w:t>
      </w:r>
      <w:r w:rsidR="0000282A" w:rsidRPr="001D77AF">
        <w:rPr>
          <w:lang w:val="en-GB"/>
        </w:rPr>
        <w:t xml:space="preserve">The </w:t>
      </w:r>
      <w:r w:rsidR="0000282A" w:rsidRPr="001D77AF">
        <w:rPr>
          <w:lang w:val="en-GB"/>
        </w:rPr>
        <w:lastRenderedPageBreak/>
        <w:t xml:space="preserve">sample of countries selected </w:t>
      </w:r>
      <w:r w:rsidR="00FE62F9" w:rsidRPr="001D77AF">
        <w:rPr>
          <w:lang w:val="en-GB"/>
        </w:rPr>
        <w:t xml:space="preserve">is </w:t>
      </w:r>
      <w:r w:rsidR="0000282A" w:rsidRPr="001D77AF">
        <w:rPr>
          <w:lang w:val="en-GB"/>
        </w:rPr>
        <w:t xml:space="preserve">restricted to those countries that provided data </w:t>
      </w:r>
      <w:r w:rsidR="0072683F" w:rsidRPr="001D77AF">
        <w:rPr>
          <w:lang w:val="en-GB"/>
        </w:rPr>
        <w:t xml:space="preserve">that </w:t>
      </w:r>
      <w:r w:rsidR="0000282A" w:rsidRPr="001D77AF">
        <w:rPr>
          <w:lang w:val="en-GB"/>
        </w:rPr>
        <w:t>permit</w:t>
      </w:r>
      <w:r w:rsidR="0072683F" w:rsidRPr="001D77AF">
        <w:rPr>
          <w:lang w:val="en-GB"/>
        </w:rPr>
        <w:t>s</w:t>
      </w:r>
      <w:r w:rsidR="0000282A" w:rsidRPr="001D77AF">
        <w:rPr>
          <w:lang w:val="en-GB"/>
        </w:rPr>
        <w:t xml:space="preserve"> </w:t>
      </w:r>
      <w:r w:rsidR="00C830C5" w:rsidRPr="001D77AF">
        <w:rPr>
          <w:lang w:val="en-GB"/>
        </w:rPr>
        <w:t>use of both t</w:t>
      </w:r>
      <w:r w:rsidR="0000282A" w:rsidRPr="001D77AF">
        <w:rPr>
          <w:lang w:val="en-GB"/>
        </w:rPr>
        <w:t xml:space="preserve">he </w:t>
      </w:r>
      <w:r w:rsidR="00C830C5" w:rsidRPr="001D77AF">
        <w:rPr>
          <w:lang w:val="en-GB"/>
        </w:rPr>
        <w:t xml:space="preserve">Park </w:t>
      </w:r>
      <w:r w:rsidR="004934CB" w:rsidRPr="001D77AF">
        <w:rPr>
          <w:lang w:val="en-GB"/>
        </w:rPr>
        <w:t xml:space="preserve">(2008) </w:t>
      </w:r>
      <w:r w:rsidR="00C830C5" w:rsidRPr="001D77AF">
        <w:rPr>
          <w:lang w:val="en-GB"/>
        </w:rPr>
        <w:t xml:space="preserve">and </w:t>
      </w:r>
      <w:r w:rsidR="0000282A" w:rsidRPr="001D77AF">
        <w:rPr>
          <w:lang w:val="en-GB"/>
        </w:rPr>
        <w:t>Pap</w:t>
      </w:r>
      <w:r w:rsidR="00C519B8" w:rsidRPr="001D77AF">
        <w:rPr>
          <w:lang w:val="en-GB"/>
        </w:rPr>
        <w:t>a</w:t>
      </w:r>
      <w:r w:rsidR="0000282A" w:rsidRPr="001D77AF">
        <w:rPr>
          <w:lang w:val="en-GB"/>
        </w:rPr>
        <w:t xml:space="preserve">georgiadis </w:t>
      </w:r>
      <w:r w:rsidR="004934CB" w:rsidRPr="001D77AF">
        <w:rPr>
          <w:lang w:val="en-GB"/>
        </w:rPr>
        <w:t xml:space="preserve">et al. (2014) </w:t>
      </w:r>
      <w:r w:rsidR="0000282A" w:rsidRPr="001D77AF">
        <w:rPr>
          <w:lang w:val="en-GB"/>
        </w:rPr>
        <w:t>ind</w:t>
      </w:r>
      <w:r w:rsidR="00695213" w:rsidRPr="001D77AF">
        <w:rPr>
          <w:lang w:val="en-GB"/>
        </w:rPr>
        <w:t xml:space="preserve">ices </w:t>
      </w:r>
      <w:r w:rsidR="0072683F" w:rsidRPr="001D77AF">
        <w:rPr>
          <w:lang w:val="en-GB"/>
        </w:rPr>
        <w:t xml:space="preserve">on IPR </w:t>
      </w:r>
      <w:r w:rsidR="00695213" w:rsidRPr="001D77AF">
        <w:rPr>
          <w:lang w:val="en-GB"/>
        </w:rPr>
        <w:t>to proxy for the formal and informal institutional aspects of IPR systems</w:t>
      </w:r>
      <w:r w:rsidR="0000282A" w:rsidRPr="001D77AF">
        <w:rPr>
          <w:lang w:val="en-GB"/>
        </w:rPr>
        <w:t>. Th</w:t>
      </w:r>
      <w:r w:rsidR="00C830C5" w:rsidRPr="001D77AF">
        <w:rPr>
          <w:lang w:val="en-GB"/>
        </w:rPr>
        <w:t>e</w:t>
      </w:r>
      <w:r w:rsidR="0000282A" w:rsidRPr="001D77AF">
        <w:rPr>
          <w:lang w:val="en-GB"/>
        </w:rPr>
        <w:t xml:space="preserve"> </w:t>
      </w:r>
      <w:r w:rsidR="00C830C5" w:rsidRPr="001D77AF">
        <w:rPr>
          <w:lang w:val="en-GB"/>
        </w:rPr>
        <w:t>Pap</w:t>
      </w:r>
      <w:r w:rsidR="00C519B8" w:rsidRPr="001D77AF">
        <w:rPr>
          <w:lang w:val="en-GB"/>
        </w:rPr>
        <w:t>a</w:t>
      </w:r>
      <w:r w:rsidR="00C830C5" w:rsidRPr="001D77AF">
        <w:rPr>
          <w:lang w:val="en-GB"/>
        </w:rPr>
        <w:t>georgiadis</w:t>
      </w:r>
      <w:r w:rsidR="004934CB" w:rsidRPr="001D77AF">
        <w:rPr>
          <w:lang w:val="en-GB"/>
        </w:rPr>
        <w:t xml:space="preserve"> et al (2014)</w:t>
      </w:r>
      <w:r w:rsidR="00C830C5" w:rsidRPr="001D77AF">
        <w:rPr>
          <w:lang w:val="en-GB"/>
        </w:rPr>
        <w:t xml:space="preserve"> </w:t>
      </w:r>
      <w:r w:rsidR="00FE62F9" w:rsidRPr="001D77AF">
        <w:rPr>
          <w:lang w:val="en-GB"/>
        </w:rPr>
        <w:t>i</w:t>
      </w:r>
      <w:r w:rsidR="0000282A" w:rsidRPr="001D77AF">
        <w:rPr>
          <w:lang w:val="en-GB"/>
        </w:rPr>
        <w:t xml:space="preserve">ndex </w:t>
      </w:r>
      <w:r w:rsidR="00922D1C" w:rsidRPr="001D77AF">
        <w:rPr>
          <w:lang w:val="en-GB"/>
        </w:rPr>
        <w:t>(</w:t>
      </w:r>
      <w:r w:rsidR="0000282A" w:rsidRPr="001D77AF">
        <w:rPr>
          <w:lang w:val="en-GB"/>
        </w:rPr>
        <w:t>to our knowledge</w:t>
      </w:r>
      <w:r w:rsidR="00922D1C" w:rsidRPr="001D77AF">
        <w:rPr>
          <w:lang w:val="en-GB"/>
        </w:rPr>
        <w:t>)</w:t>
      </w:r>
      <w:r w:rsidR="0000282A" w:rsidRPr="001D77AF">
        <w:rPr>
          <w:lang w:val="en-GB"/>
        </w:rPr>
        <w:t xml:space="preserve"> covers the largest number of </w:t>
      </w:r>
      <w:r w:rsidR="00922D1C" w:rsidRPr="001D77AF">
        <w:rPr>
          <w:lang w:val="en-GB"/>
        </w:rPr>
        <w:t xml:space="preserve">countries and uses the most comprehensive methods of any index that seeks to capture informal institutional factors in IPR systems. </w:t>
      </w:r>
      <w:r w:rsidR="00C830C5" w:rsidRPr="001D77AF">
        <w:rPr>
          <w:lang w:val="en-GB"/>
        </w:rPr>
        <w:t xml:space="preserve">Using this index allowed </w:t>
      </w:r>
      <w:r w:rsidR="006A7244" w:rsidRPr="001D77AF">
        <w:rPr>
          <w:lang w:val="en-GB"/>
        </w:rPr>
        <w:t>us to consider</w:t>
      </w:r>
      <w:r w:rsidR="004934CB" w:rsidRPr="001D77AF">
        <w:rPr>
          <w:lang w:val="en-GB"/>
        </w:rPr>
        <w:t xml:space="preserve"> </w:t>
      </w:r>
      <w:r w:rsidR="00C830C5" w:rsidRPr="001D77AF">
        <w:rPr>
          <w:lang w:val="en-GB"/>
        </w:rPr>
        <w:t xml:space="preserve">the largest possible number of countries given the </w:t>
      </w:r>
      <w:r w:rsidR="006A7244" w:rsidRPr="001D77AF">
        <w:rPr>
          <w:lang w:val="en-GB"/>
        </w:rPr>
        <w:t xml:space="preserve">alternative </w:t>
      </w:r>
      <w:r w:rsidR="00C830C5" w:rsidRPr="001D77AF">
        <w:rPr>
          <w:lang w:val="en-GB"/>
        </w:rPr>
        <w:t xml:space="preserve">indices </w:t>
      </w:r>
      <w:r w:rsidR="00661D02" w:rsidRPr="001D77AF">
        <w:rPr>
          <w:lang w:val="en-GB"/>
        </w:rPr>
        <w:t xml:space="preserve">available to proxy the effects of </w:t>
      </w:r>
      <w:r w:rsidR="00C830C5" w:rsidRPr="001D77AF">
        <w:rPr>
          <w:lang w:val="en-GB"/>
        </w:rPr>
        <w:t>informal institution</w:t>
      </w:r>
      <w:r w:rsidR="00695213" w:rsidRPr="001D77AF">
        <w:rPr>
          <w:lang w:val="en-GB"/>
        </w:rPr>
        <w:t xml:space="preserve">al aspects </w:t>
      </w:r>
      <w:r w:rsidR="00661D02" w:rsidRPr="001D77AF">
        <w:rPr>
          <w:lang w:val="en-GB"/>
        </w:rPr>
        <w:t>in</w:t>
      </w:r>
      <w:r w:rsidR="00C830C5" w:rsidRPr="001D77AF">
        <w:rPr>
          <w:lang w:val="en-GB"/>
        </w:rPr>
        <w:t xml:space="preserve"> IPR systems. </w:t>
      </w:r>
      <w:r w:rsidR="00F74412" w:rsidRPr="001D77AF">
        <w:rPr>
          <w:rFonts w:eastAsia="Times New Roman"/>
          <w:lang w:val="en-GB" w:eastAsia="en-GB"/>
        </w:rPr>
        <w:t>Our sample covers 14 years, 8 sectors and 42 countries. Because it is an unbalanced panel, the number of observations – 3636 is lower than the number of maximum observations in the balanced panel - 4704.</w:t>
      </w:r>
      <w:r w:rsidR="0035767D" w:rsidRPr="001D77AF">
        <w:rPr>
          <w:rFonts w:eastAsia="Times New Roman"/>
          <w:lang w:val="en-GB" w:eastAsia="en-GB"/>
        </w:rPr>
        <w:t xml:space="preserve"> </w:t>
      </w:r>
      <w:r w:rsidR="00C830C5" w:rsidRPr="001D77AF">
        <w:rPr>
          <w:lang w:val="en-GB"/>
        </w:rPr>
        <w:t>The 42 countries covered include most of the significant destinations for US outward FDI</w:t>
      </w:r>
      <w:r w:rsidR="00922D1C" w:rsidRPr="001D77AF">
        <w:rPr>
          <w:lang w:val="en-GB"/>
        </w:rPr>
        <w:t>.</w:t>
      </w:r>
    </w:p>
    <w:p w14:paraId="5033201C" w14:textId="1DC37B9B" w:rsidR="00FD5D11" w:rsidRPr="001D77AF" w:rsidRDefault="00131EF2" w:rsidP="00AC044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Calibri"/>
          <w:i/>
          <w:bdr w:val="none" w:sz="0" w:space="0" w:color="auto"/>
          <w:lang w:val="en-GB"/>
        </w:rPr>
      </w:pPr>
      <w:r w:rsidRPr="001D77AF">
        <w:rPr>
          <w:rFonts w:eastAsia="Calibri"/>
          <w:b/>
          <w:bdr w:val="none" w:sz="0" w:space="0" w:color="auto"/>
          <w:lang w:val="en-GB"/>
        </w:rPr>
        <w:t>-----------------------------------Table 1 goes about here-----------------------------</w:t>
      </w:r>
    </w:p>
    <w:p w14:paraId="6E73A920" w14:textId="4357E529" w:rsidR="00AA5381" w:rsidRPr="000C748B" w:rsidRDefault="00AA5381" w:rsidP="001F20B4">
      <w:pPr>
        <w:spacing w:line="480" w:lineRule="auto"/>
        <w:jc w:val="both"/>
      </w:pPr>
      <w:r w:rsidRPr="000C748B">
        <w:t>The model tested follows the recommendations of Andersson et al., (2014) when using moderating variables. Th</w:t>
      </w:r>
      <w:r w:rsidR="00BE042E" w:rsidRPr="000C748B">
        <w:t xml:space="preserve">is approach </w:t>
      </w:r>
      <w:r w:rsidR="001F6525" w:rsidRPr="000C748B">
        <w:t xml:space="preserve">advocates </w:t>
      </w:r>
      <w:r w:rsidR="00BE042E" w:rsidRPr="000C748B">
        <w:t>t</w:t>
      </w:r>
      <w:r w:rsidRPr="000C748B">
        <w:t>est</w:t>
      </w:r>
      <w:r w:rsidR="001F6525" w:rsidRPr="000C748B">
        <w:t xml:space="preserve">ing </w:t>
      </w:r>
      <w:r w:rsidR="00BE042E" w:rsidRPr="000C748B">
        <w:t xml:space="preserve">all the </w:t>
      </w:r>
      <w:r w:rsidRPr="000C748B">
        <w:t xml:space="preserve">direct effects of the explanatory variables </w:t>
      </w:r>
      <w:r w:rsidR="001F20B4" w:rsidRPr="000C748B">
        <w:t xml:space="preserve">and </w:t>
      </w:r>
      <w:r w:rsidR="00C52E3D" w:rsidRPr="000C748B">
        <w:t xml:space="preserve">of </w:t>
      </w:r>
      <w:r w:rsidR="00FA747E" w:rsidRPr="000C748B">
        <w:t>moderating</w:t>
      </w:r>
      <w:r w:rsidR="00FD7AE2" w:rsidRPr="000C748B">
        <w:t xml:space="preserve"> variables</w:t>
      </w:r>
      <w:r w:rsidR="00C52E3D" w:rsidRPr="000C748B">
        <w:t xml:space="preserve">. The </w:t>
      </w:r>
      <w:r w:rsidR="0024352F" w:rsidRPr="000C748B">
        <w:t xml:space="preserve">causal relationship </w:t>
      </w:r>
      <w:r w:rsidR="00646DD6" w:rsidRPr="000C748B">
        <w:t xml:space="preserve">between the direct and moderating variables is </w:t>
      </w:r>
      <w:r w:rsidR="001F5E2A" w:rsidRPr="000C748B">
        <w:t xml:space="preserve">based </w:t>
      </w:r>
      <w:r w:rsidR="00314264" w:rsidRPr="000C748B">
        <w:t xml:space="preserve">on the theory used to </w:t>
      </w:r>
      <w:r w:rsidR="00551839" w:rsidRPr="000C748B">
        <w:t>e</w:t>
      </w:r>
      <w:r w:rsidR="000B2BF0" w:rsidRPr="000C748B">
        <w:t>stablish the hypotheses</w:t>
      </w:r>
      <w:r w:rsidR="00EE13B0" w:rsidRPr="000C748B">
        <w:t xml:space="preserve"> (see section</w:t>
      </w:r>
      <w:r w:rsidR="006F4F37" w:rsidRPr="000C748B">
        <w:t xml:space="preserve"> </w:t>
      </w:r>
      <w:r w:rsidR="00EE13B0" w:rsidRPr="000C748B">
        <w:t>3)</w:t>
      </w:r>
      <w:r w:rsidR="006E4950" w:rsidRPr="000C748B">
        <w:t xml:space="preserve">. In the case of this study this requires estimation of the direct effects of </w:t>
      </w:r>
      <w:r w:rsidR="00FD7AE2" w:rsidRPr="000C748B">
        <w:t xml:space="preserve">formal and informal </w:t>
      </w:r>
      <w:r w:rsidR="00C26F48" w:rsidRPr="000C748B">
        <w:t xml:space="preserve">institutions and </w:t>
      </w:r>
      <w:r w:rsidRPr="000C748B">
        <w:t xml:space="preserve">the moderating influence of informal institutions on formal institutions.        </w:t>
      </w:r>
    </w:p>
    <w:p w14:paraId="5463BBF8" w14:textId="2E30671B" w:rsidR="00131EF2" w:rsidRPr="001D77AF" w:rsidRDefault="00131EF2"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rFonts w:eastAsia="Calibri"/>
          <w:i/>
          <w:bdr w:val="none" w:sz="0" w:space="0" w:color="auto"/>
          <w:lang w:val="en-GB"/>
        </w:rPr>
      </w:pPr>
      <w:r w:rsidRPr="001D77AF">
        <w:rPr>
          <w:rFonts w:eastAsia="Calibri"/>
          <w:i/>
          <w:bdr w:val="none" w:sz="0" w:space="0" w:color="auto"/>
          <w:lang w:val="en-GB"/>
        </w:rPr>
        <w:t xml:space="preserve">Explanatory Variables </w:t>
      </w:r>
    </w:p>
    <w:p w14:paraId="112F0538" w14:textId="51586E9B" w:rsidR="00131EF2" w:rsidRPr="001D77AF" w:rsidRDefault="003065C3" w:rsidP="008D03B5">
      <w:pPr>
        <w:spacing w:line="480" w:lineRule="auto"/>
        <w:jc w:val="both"/>
        <w:rPr>
          <w:lang w:val="en-GB"/>
        </w:rPr>
      </w:pPr>
      <w:r w:rsidRPr="001D77AF">
        <w:rPr>
          <w:lang w:val="en-GB"/>
        </w:rPr>
        <w:t>T</w:t>
      </w:r>
      <w:r w:rsidR="00131EF2" w:rsidRPr="001D77AF">
        <w:rPr>
          <w:lang w:val="en-GB"/>
        </w:rPr>
        <w:t xml:space="preserve">he </w:t>
      </w:r>
      <w:r w:rsidRPr="001D77AF">
        <w:rPr>
          <w:lang w:val="en-GB"/>
        </w:rPr>
        <w:t xml:space="preserve">index of </w:t>
      </w:r>
      <w:r w:rsidR="00131EF2" w:rsidRPr="001D77AF">
        <w:rPr>
          <w:lang w:val="en-GB"/>
        </w:rPr>
        <w:t xml:space="preserve">Park (2008) </w:t>
      </w:r>
      <w:r w:rsidRPr="001D77AF">
        <w:rPr>
          <w:lang w:val="en-GB"/>
        </w:rPr>
        <w:t xml:space="preserve">is used </w:t>
      </w:r>
      <w:r w:rsidR="00131EF2" w:rsidRPr="001D77AF">
        <w:rPr>
          <w:lang w:val="en-GB"/>
        </w:rPr>
        <w:t xml:space="preserve">to </w:t>
      </w:r>
      <w:r w:rsidRPr="001D77AF">
        <w:rPr>
          <w:lang w:val="en-GB"/>
        </w:rPr>
        <w:t>proxy</w:t>
      </w:r>
      <w:r w:rsidR="00C830C5" w:rsidRPr="001D77AF">
        <w:rPr>
          <w:lang w:val="en-GB"/>
        </w:rPr>
        <w:t xml:space="preserve"> for th</w:t>
      </w:r>
      <w:r w:rsidR="007A7650" w:rsidRPr="001D77AF">
        <w:rPr>
          <w:lang w:val="en-GB"/>
        </w:rPr>
        <w:t xml:space="preserve">e </w:t>
      </w:r>
      <w:r w:rsidR="00131EF2" w:rsidRPr="001D77AF">
        <w:rPr>
          <w:lang w:val="en-GB"/>
        </w:rPr>
        <w:t>formal</w:t>
      </w:r>
      <w:r w:rsidR="00BE7A2B" w:rsidRPr="001D77AF">
        <w:rPr>
          <w:lang w:val="en-GB"/>
        </w:rPr>
        <w:t xml:space="preserve"> legal aspects of </w:t>
      </w:r>
      <w:r w:rsidR="00131EF2" w:rsidRPr="001D77AF">
        <w:rPr>
          <w:lang w:val="en-GB"/>
        </w:rPr>
        <w:t>IP</w:t>
      </w:r>
      <w:r w:rsidR="00BE7A2B" w:rsidRPr="001D77AF">
        <w:rPr>
          <w:lang w:val="en-GB"/>
        </w:rPr>
        <w:t xml:space="preserve">R systems. </w:t>
      </w:r>
      <w:r w:rsidR="00131EF2" w:rsidRPr="001D77AF">
        <w:rPr>
          <w:lang w:val="en-GB"/>
        </w:rPr>
        <w:t>Th</w:t>
      </w:r>
      <w:r w:rsidR="00661D02" w:rsidRPr="001D77AF">
        <w:rPr>
          <w:lang w:val="en-GB"/>
        </w:rPr>
        <w:t xml:space="preserve">e index used </w:t>
      </w:r>
      <w:r w:rsidR="00C830C5" w:rsidRPr="001D77AF">
        <w:rPr>
          <w:lang w:val="en-GB"/>
        </w:rPr>
        <w:t>i</w:t>
      </w:r>
      <w:r w:rsidR="00131EF2" w:rsidRPr="001D77AF">
        <w:rPr>
          <w:lang w:val="en-GB"/>
        </w:rPr>
        <w:t>s an update of the Ginarte and Park (1997) index</w:t>
      </w:r>
      <w:r w:rsidR="00BE7A2B" w:rsidRPr="001D77AF">
        <w:rPr>
          <w:lang w:val="en-GB"/>
        </w:rPr>
        <w:t xml:space="preserve">. </w:t>
      </w:r>
      <w:r w:rsidR="00131EF2" w:rsidRPr="001D77AF">
        <w:rPr>
          <w:lang w:val="en-GB"/>
        </w:rPr>
        <w:t>Th</w:t>
      </w:r>
      <w:r w:rsidR="00661D02" w:rsidRPr="001D77AF">
        <w:rPr>
          <w:lang w:val="en-GB"/>
        </w:rPr>
        <w:t>e</w:t>
      </w:r>
      <w:r w:rsidR="00131EF2" w:rsidRPr="001D77AF">
        <w:rPr>
          <w:lang w:val="en-GB"/>
        </w:rPr>
        <w:t xml:space="preserve"> index measures the extent of </w:t>
      </w:r>
      <w:r w:rsidR="00665FDA" w:rsidRPr="001D77AF">
        <w:rPr>
          <w:lang w:val="en-GB"/>
        </w:rPr>
        <w:t>legal statutory protection for patents, duration of protection, loss of protection, availability of legal enforcement mechanisms, and compatibility of administrative procedures across countries (</w:t>
      </w:r>
      <w:r w:rsidR="00131EF2" w:rsidRPr="001D77AF">
        <w:rPr>
          <w:lang w:val="en-GB"/>
        </w:rPr>
        <w:t xml:space="preserve">Ginarte </w:t>
      </w:r>
      <w:r w:rsidR="005A61B2" w:rsidRPr="001D77AF">
        <w:rPr>
          <w:lang w:val="en-GB"/>
        </w:rPr>
        <w:t>&amp;</w:t>
      </w:r>
      <w:r w:rsidR="00131EF2" w:rsidRPr="001D77AF">
        <w:rPr>
          <w:lang w:val="en-GB"/>
        </w:rPr>
        <w:t xml:space="preserve"> Park, 1997). </w:t>
      </w:r>
      <w:r w:rsidR="00665FDA" w:rsidRPr="001D77AF">
        <w:rPr>
          <w:lang w:val="en-GB"/>
        </w:rPr>
        <w:t>T</w:t>
      </w:r>
      <w:r w:rsidR="00702637" w:rsidRPr="001D77AF">
        <w:rPr>
          <w:lang w:val="en-GB"/>
        </w:rPr>
        <w:t xml:space="preserve">he </w:t>
      </w:r>
      <w:r w:rsidR="00702637" w:rsidRPr="00BF4784">
        <w:rPr>
          <w:lang w:val="en-GB"/>
        </w:rPr>
        <w:t xml:space="preserve">enforcement mechanisms </w:t>
      </w:r>
      <w:r w:rsidR="003767BA" w:rsidRPr="00B8583A">
        <w:rPr>
          <w:lang w:val="en-GB"/>
        </w:rPr>
        <w:t>aspect</w:t>
      </w:r>
      <w:r w:rsidR="00702637" w:rsidRPr="00B61798">
        <w:rPr>
          <w:lang w:val="en-GB"/>
        </w:rPr>
        <w:t xml:space="preserve"> of the Park index considers </w:t>
      </w:r>
      <w:r w:rsidR="00661D02" w:rsidRPr="00B61798">
        <w:rPr>
          <w:lang w:val="en-GB"/>
        </w:rPr>
        <w:t xml:space="preserve">only </w:t>
      </w:r>
      <w:r w:rsidR="00173659" w:rsidRPr="005E6B4F">
        <w:rPr>
          <w:lang w:val="en-GB"/>
        </w:rPr>
        <w:t xml:space="preserve">the </w:t>
      </w:r>
      <w:r w:rsidR="00665FDA" w:rsidRPr="005E6B4F">
        <w:rPr>
          <w:lang w:val="en-GB"/>
        </w:rPr>
        <w:t xml:space="preserve">formal legal </w:t>
      </w:r>
      <w:r w:rsidR="00C830C5" w:rsidRPr="005E6B4F">
        <w:rPr>
          <w:lang w:val="en-GB"/>
        </w:rPr>
        <w:t xml:space="preserve">procedures </w:t>
      </w:r>
      <w:r w:rsidR="00173659" w:rsidRPr="005E6B4F">
        <w:rPr>
          <w:lang w:val="en-GB"/>
        </w:rPr>
        <w:t xml:space="preserve">for enforcement of </w:t>
      </w:r>
      <w:r w:rsidR="00C830C5" w:rsidRPr="005E6B4F">
        <w:rPr>
          <w:lang w:val="en-GB"/>
        </w:rPr>
        <w:t xml:space="preserve">patent </w:t>
      </w:r>
      <w:r w:rsidR="00173659" w:rsidRPr="00F205E9">
        <w:rPr>
          <w:lang w:val="en-GB"/>
        </w:rPr>
        <w:t xml:space="preserve">rights. The index </w:t>
      </w:r>
      <w:r w:rsidR="00702637" w:rsidRPr="00D3728A">
        <w:rPr>
          <w:lang w:val="en-GB"/>
        </w:rPr>
        <w:t xml:space="preserve">does not consider the </w:t>
      </w:r>
      <w:r w:rsidR="00702637" w:rsidRPr="00D3728A">
        <w:rPr>
          <w:lang w:val="en-GB"/>
        </w:rPr>
        <w:lastRenderedPageBreak/>
        <w:t xml:space="preserve">effectiveness of patent enforcement in </w:t>
      </w:r>
      <w:r w:rsidR="00173659" w:rsidRPr="00D3728A">
        <w:rPr>
          <w:lang w:val="en-GB"/>
        </w:rPr>
        <w:t xml:space="preserve">practice in </w:t>
      </w:r>
      <w:r w:rsidR="00665FDA" w:rsidRPr="00D3728A">
        <w:rPr>
          <w:lang w:val="en-GB"/>
        </w:rPr>
        <w:t xml:space="preserve">courts and other areas of </w:t>
      </w:r>
      <w:r w:rsidR="00173659" w:rsidRPr="00D3728A">
        <w:rPr>
          <w:lang w:val="en-GB"/>
        </w:rPr>
        <w:t>policing the law</w:t>
      </w:r>
      <w:r w:rsidR="00702637" w:rsidRPr="00D3728A">
        <w:rPr>
          <w:lang w:val="en-GB"/>
        </w:rPr>
        <w:t xml:space="preserve"> (</w:t>
      </w:r>
      <w:r w:rsidR="005A61B2" w:rsidRPr="00D3728A">
        <w:rPr>
          <w:lang w:val="en-GB"/>
        </w:rPr>
        <w:t>Brander</w:t>
      </w:r>
      <w:r w:rsidR="0071204A" w:rsidRPr="00D3728A">
        <w:rPr>
          <w:lang w:val="en-GB"/>
        </w:rPr>
        <w:t xml:space="preserve"> et al., 2017</w:t>
      </w:r>
      <w:r w:rsidR="00702637" w:rsidRPr="00D3728A">
        <w:rPr>
          <w:lang w:val="en-GB"/>
        </w:rPr>
        <w:t>).</w:t>
      </w:r>
      <w:r w:rsidR="00702637" w:rsidRPr="001D77AF">
        <w:rPr>
          <w:lang w:val="en-GB"/>
        </w:rPr>
        <w:t xml:space="preserve"> </w:t>
      </w:r>
      <w:r w:rsidR="007A7650" w:rsidRPr="001D77AF">
        <w:rPr>
          <w:lang w:val="en-GB"/>
        </w:rPr>
        <w:t>This index closely approximates the concept of the formal legal aspects of IPR sys</w:t>
      </w:r>
      <w:r w:rsidR="00C830C5" w:rsidRPr="001D77AF">
        <w:rPr>
          <w:lang w:val="en-GB"/>
        </w:rPr>
        <w:t>tems</w:t>
      </w:r>
      <w:r w:rsidR="007A7650" w:rsidRPr="001D77AF">
        <w:rPr>
          <w:lang w:val="en-GB"/>
        </w:rPr>
        <w:t xml:space="preserve"> </w:t>
      </w:r>
      <w:r w:rsidR="00661D02" w:rsidRPr="001D77AF">
        <w:rPr>
          <w:lang w:val="en-GB"/>
        </w:rPr>
        <w:t>as defined in this study</w:t>
      </w:r>
      <w:r w:rsidR="007A7650" w:rsidRPr="001D77AF">
        <w:rPr>
          <w:lang w:val="en-GB"/>
        </w:rPr>
        <w:t>.</w:t>
      </w:r>
    </w:p>
    <w:p w14:paraId="7103B6F6" w14:textId="77777777" w:rsidR="00275F52" w:rsidRPr="00E25932" w:rsidRDefault="00275F52" w:rsidP="00275F52">
      <w:pPr>
        <w:spacing w:line="480" w:lineRule="auto"/>
        <w:ind w:firstLine="720"/>
        <w:jc w:val="both"/>
        <w:rPr>
          <w:color w:val="FF0000"/>
          <w:lang w:val="en-GB"/>
        </w:rPr>
      </w:pPr>
      <w:r w:rsidRPr="000C748B">
        <w:rPr>
          <w:lang w:val="en-GB"/>
        </w:rPr>
        <w:t xml:space="preserve">Using business cultural dimensions measures may be considered a good proxy for informal institutions </w:t>
      </w:r>
      <w:r w:rsidRPr="000C748B">
        <w:t>(Hofstede et al, 2010; House et al., 2004)</w:t>
      </w:r>
      <w:r w:rsidRPr="000C748B">
        <w:rPr>
          <w:lang w:val="en-GB"/>
        </w:rPr>
        <w:t xml:space="preserve">. The literature indicates that there is a relationship between culture and informal institutions (North, 1990 &amp; 2005; Pejovich, 1999). This relationship is multidirectional and has complex causal links that normally unfold over long periods (Alesina &amp; Giuliano, 2015). </w:t>
      </w:r>
      <w:r w:rsidRPr="000C748B">
        <w:t>The links between culture and informal institutions are therefore complex and unlikely to be adequately captured by national generic business cultural dimensions. Culture and informal institutions are related by the complex interplay between various agents in a host of political, economic and social arenas (Pejovich, 1999; Tabellini, 2008 &amp; 2010). From this complex interplay, over the very long-run, informal institutions emerge that are the foundation of the unwritten rules that are used by agents involved in economic transactions (Hayo &amp; Voigt, 2007; Helmke &amp; Levitsky, 2004 &amp; 2006; Ostrom &amp; Hess, 2007). Unwritten rules emerging from informal institutions in this view are not shared cultural values, but shared expectations of what agents can expect from other agents engaging in specific economic transactions (Helmke &amp; Levitsky, 2004). There is a connection between shared cultural values and shared expectations, but this is not a straightforward relationship (</w:t>
      </w:r>
      <w:r w:rsidRPr="000C748B">
        <w:rPr>
          <w:lang w:val="en-GB"/>
        </w:rPr>
        <w:t xml:space="preserve">Alesina &amp; Giuliano, 2015; </w:t>
      </w:r>
      <w:r w:rsidRPr="000C748B">
        <w:t xml:space="preserve">Tabellini, 2010; Voigt, 2018). National business culture dimensions measures capture shared cultural values that affect perceptions on norms for engaging in interaction with other agents. These shared values are however average and generic and do not adequately capture the rules used by agents engaged in specific economic transactions. Shared expectations are perceptions about the presumed behavior of agents involved in specific economic transactions. Agents involved in political, social, business and legal institutional settings within the same country cultural setting may have different shared </w:t>
      </w:r>
      <w:r w:rsidRPr="000C748B">
        <w:lastRenderedPageBreak/>
        <w:t xml:space="preserve">expectations about how they should behave in their setting because of the social obligations, ethical mores and power structures that prevail in their particular institutional setting (Helmke &amp; Levitsky, 2004 &amp; 2006; Voigt, 2018). Shared expectations may differ in the same cultural milieu depending upon the institutional context of the setting of the transactions (Helmke &amp; Levitsky, 2004; Voigt, 2018). Agents involved in legal arenas connected to enforcing IPR may have different shared expectations from agents involved in political institutional settings concerned with formulating and developing IPR legislation. In these circumstances, shared generic cultural values give a misleading impression of how agents in particular institutional settings behave (Voigt, 2018).  This line of reasoning leads us to select a proxy for informal institutions that is closely connected to the institutional setting that underpins IPR regimes and is therefore more likely to capture the shared expectations of the agents involved in enforcing IPR.          </w:t>
      </w:r>
      <w:r>
        <w:rPr>
          <w:color w:val="FF0000"/>
        </w:rPr>
        <w:t xml:space="preserve">  </w:t>
      </w:r>
    </w:p>
    <w:p w14:paraId="53E7ECF1" w14:textId="791F2778" w:rsidR="005129DA" w:rsidRDefault="005129DA" w:rsidP="005129DA">
      <w:pPr>
        <w:spacing w:line="480" w:lineRule="auto"/>
        <w:ind w:firstLine="720"/>
        <w:jc w:val="both"/>
        <w:rPr>
          <w:lang w:val="en-GB"/>
        </w:rPr>
      </w:pPr>
      <w:r w:rsidRPr="001D77AF">
        <w:rPr>
          <w:lang w:val="en-GB"/>
        </w:rPr>
        <w:t xml:space="preserve">The composite index by Papageorgiadis et al. (2014) covering the period 1998-2011 is </w:t>
      </w:r>
      <w:r w:rsidR="003624D0">
        <w:rPr>
          <w:lang w:val="en-GB"/>
        </w:rPr>
        <w:t xml:space="preserve">provides such a </w:t>
      </w:r>
      <w:r w:rsidRPr="001D77AF">
        <w:rPr>
          <w:lang w:val="en-GB"/>
        </w:rPr>
        <w:t>proxy. A review of forty available indices measuring the strength of IP regimes highlights that this index is the most comprehensive index measuring the strength of IP enforcement. The index has the most proxies used to calculate an index of informal institutions associated with the enforcement of IPR and is an annual longitudinal measure (Papageorgiadis &amp; McDonald, 201</w:t>
      </w:r>
      <w:r w:rsidR="00447977" w:rsidRPr="001D77AF">
        <w:rPr>
          <w:lang w:val="en-GB"/>
        </w:rPr>
        <w:t>9</w:t>
      </w:r>
      <w:r w:rsidRPr="001D77AF">
        <w:rPr>
          <w:lang w:val="en-GB"/>
        </w:rPr>
        <w:t>). The calculation of the index uses a transaction costs framework that enables measurement of “…perceived levels of patent enforcement in a country” (Papageorgiadis et al., 2014, p. 587). The transactions cost framework measures three types of transactions cost that patent owners encounter in their dealings with enforcement agents in a host country. These are monitoring costs, property rights protection costs and servicing costs. Each of the transactions cost forms an index us</w:t>
      </w:r>
      <w:r w:rsidR="005A2637" w:rsidRPr="001D77AF">
        <w:rPr>
          <w:lang w:val="en-GB"/>
        </w:rPr>
        <w:t>ing</w:t>
      </w:r>
      <w:r w:rsidRPr="001D77AF">
        <w:rPr>
          <w:lang w:val="en-GB"/>
        </w:rPr>
        <w:t xml:space="preserve"> ten secondary data sources that proxy for eight components of national patent systems, such as “judicial enforcement” and the “effectiveness of police enforcement” (Papageorgiadis et al., 2014, p. 590). To reduce the </w:t>
      </w:r>
      <w:r w:rsidRPr="001D77AF">
        <w:rPr>
          <w:lang w:val="en-GB"/>
        </w:rPr>
        <w:lastRenderedPageBreak/>
        <w:t>measurement error potential when calculating the index</w:t>
      </w:r>
      <w:r w:rsidR="006A7244" w:rsidRPr="001D77AF">
        <w:rPr>
          <w:lang w:val="en-GB"/>
        </w:rPr>
        <w:t>, Papageorgiadis et al. (2014, p. 587) used</w:t>
      </w:r>
      <w:r w:rsidRPr="001D77AF">
        <w:rPr>
          <w:lang w:val="en-GB"/>
        </w:rPr>
        <w:t xml:space="preserve"> “a number of uniform techniques recommended by the Organization for Economic Co-operation and Development in their Handbook on Constructing Composite Indicators (OECD, 2008)”</w:t>
      </w:r>
      <w:r w:rsidR="006A7244" w:rsidRPr="001D77AF">
        <w:rPr>
          <w:lang w:val="en-GB"/>
        </w:rPr>
        <w:t xml:space="preserve">. </w:t>
      </w:r>
      <w:r w:rsidR="005A2637" w:rsidRPr="001D77AF">
        <w:rPr>
          <w:lang w:val="en-GB"/>
        </w:rPr>
        <w:t>The data used to quantify the components of an IP system include items such as the effectiveness of judicial and police enforcement and the level of corruption in the judiciary that measure the perceptions of IP asset owners of how enforcement agents behave in IPR regimes. These perceptions capture the unwritten rules that influence how enforcement agents operate in legal arenas. The index therefore provides an appropriate proxy for the strength of the informal institutional underpinnings of national IP regimes</w:t>
      </w:r>
      <w:r w:rsidR="006A7244" w:rsidRPr="001D77AF">
        <w:rPr>
          <w:lang w:val="en-GB"/>
        </w:rPr>
        <w:t xml:space="preserve"> and a good proxy for capturing the unwritten rules used by enforcement agents in legal arenas</w:t>
      </w:r>
      <w:r w:rsidR="005A2637" w:rsidRPr="001D77AF">
        <w:rPr>
          <w:lang w:val="en-GB"/>
        </w:rPr>
        <w:t>.</w:t>
      </w:r>
      <w:r w:rsidR="005A2637" w:rsidRPr="001D77AF">
        <w:rPr>
          <w:rStyle w:val="FootnoteReference"/>
          <w:lang w:val="en-GB"/>
        </w:rPr>
        <w:footnoteReference w:id="2"/>
      </w:r>
    </w:p>
    <w:p w14:paraId="0379AADA" w14:textId="0322B0BB" w:rsidR="00131EF2" w:rsidRPr="001D77AF" w:rsidRDefault="00131EF2"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rFonts w:eastAsia="Calibri"/>
          <w:i/>
          <w:bdr w:val="none" w:sz="0" w:space="0" w:color="auto"/>
          <w:lang w:val="en-GB"/>
        </w:rPr>
      </w:pPr>
      <w:r w:rsidRPr="001D77AF">
        <w:rPr>
          <w:rFonts w:eastAsia="Calibri"/>
          <w:i/>
          <w:bdr w:val="none" w:sz="0" w:space="0" w:color="auto"/>
          <w:lang w:val="en-GB"/>
        </w:rPr>
        <w:t xml:space="preserve">Control Variables </w:t>
      </w:r>
    </w:p>
    <w:p w14:paraId="6D9C23BE" w14:textId="5DB328DF" w:rsidR="00131EF2" w:rsidRPr="001D77AF" w:rsidRDefault="00131EF2" w:rsidP="008D03B5">
      <w:pPr>
        <w:spacing w:line="480" w:lineRule="auto"/>
        <w:jc w:val="both"/>
        <w:rPr>
          <w:lang w:val="en-GB"/>
        </w:rPr>
      </w:pPr>
      <w:r w:rsidRPr="001D77AF">
        <w:rPr>
          <w:lang w:val="en-GB"/>
        </w:rPr>
        <w:t xml:space="preserve">The control </w:t>
      </w:r>
      <w:r w:rsidR="0058715C" w:rsidRPr="001D77AF">
        <w:rPr>
          <w:lang w:val="en-GB"/>
        </w:rPr>
        <w:t>variables include proxies for the host country economic and business environment conditions</w:t>
      </w:r>
      <w:r w:rsidR="003767BA" w:rsidRPr="001D77AF">
        <w:rPr>
          <w:lang w:val="en-GB"/>
        </w:rPr>
        <w:t>.</w:t>
      </w:r>
      <w:r w:rsidRPr="001D77AF">
        <w:rPr>
          <w:lang w:val="en-GB"/>
        </w:rPr>
        <w:t xml:space="preserve"> Following the recommendation </w:t>
      </w:r>
      <w:r w:rsidR="0058715C" w:rsidRPr="001D77AF">
        <w:rPr>
          <w:lang w:val="en-GB"/>
        </w:rPr>
        <w:t xml:space="preserve">of </w:t>
      </w:r>
      <w:r w:rsidRPr="001D77AF">
        <w:rPr>
          <w:lang w:val="en-GB"/>
        </w:rPr>
        <w:t>Chakrabarti</w:t>
      </w:r>
      <w:r w:rsidR="0058715C" w:rsidRPr="001D77AF">
        <w:rPr>
          <w:lang w:val="en-GB"/>
        </w:rPr>
        <w:t>,</w:t>
      </w:r>
      <w:r w:rsidR="00DC3EA6" w:rsidRPr="001D77AF">
        <w:rPr>
          <w:lang w:val="en-GB"/>
        </w:rPr>
        <w:t xml:space="preserve"> (2001)</w:t>
      </w:r>
      <w:r w:rsidRPr="001D77AF">
        <w:rPr>
          <w:lang w:val="en-GB"/>
        </w:rPr>
        <w:t xml:space="preserve"> </w:t>
      </w:r>
      <w:r w:rsidR="00DD1238" w:rsidRPr="001D77AF">
        <w:rPr>
          <w:lang w:val="en-GB"/>
        </w:rPr>
        <w:t>and</w:t>
      </w:r>
      <w:r w:rsidR="00DD1238" w:rsidRPr="001D77AF">
        <w:rPr>
          <w:rFonts w:eastAsia="Times New Roman"/>
          <w:color w:val="FF0000"/>
          <w:lang w:val="en-GB" w:eastAsia="en-GB"/>
        </w:rPr>
        <w:t xml:space="preserve"> </w:t>
      </w:r>
      <w:r w:rsidR="0058715C" w:rsidRPr="001D77AF">
        <w:rPr>
          <w:lang w:val="en-GB"/>
        </w:rPr>
        <w:t xml:space="preserve">on examining </w:t>
      </w:r>
      <w:r w:rsidRPr="001D77AF">
        <w:rPr>
          <w:lang w:val="en-GB"/>
        </w:rPr>
        <w:t xml:space="preserve">FDI determinants, two variables </w:t>
      </w:r>
      <w:r w:rsidR="00755E5A" w:rsidRPr="001D77AF">
        <w:rPr>
          <w:lang w:val="en-GB"/>
        </w:rPr>
        <w:t xml:space="preserve">are used to </w:t>
      </w:r>
      <w:r w:rsidRPr="001D77AF">
        <w:rPr>
          <w:lang w:val="en-GB"/>
        </w:rPr>
        <w:t xml:space="preserve">proxy for the size of the market: </w:t>
      </w:r>
      <w:r w:rsidR="0035767D" w:rsidRPr="001D77AF">
        <w:rPr>
          <w:lang w:val="en-GB"/>
        </w:rPr>
        <w:t>i</w:t>
      </w:r>
      <w:r w:rsidRPr="001D77AF">
        <w:rPr>
          <w:lang w:val="en-GB"/>
        </w:rPr>
        <w:t>) GDP</w:t>
      </w:r>
      <w:r w:rsidR="00C605D0" w:rsidRPr="001D77AF">
        <w:rPr>
          <w:lang w:val="en-GB"/>
        </w:rPr>
        <w:t>,</w:t>
      </w:r>
      <w:r w:rsidRPr="001D77AF">
        <w:rPr>
          <w:lang w:val="en-GB"/>
        </w:rPr>
        <w:t xml:space="preserve"> </w:t>
      </w:r>
      <w:r w:rsidR="00C605D0" w:rsidRPr="001D77AF">
        <w:rPr>
          <w:lang w:val="en-GB"/>
        </w:rPr>
        <w:t>which reflects the size of the economy</w:t>
      </w:r>
      <w:r w:rsidR="00337261" w:rsidRPr="001D77AF">
        <w:rPr>
          <w:lang w:val="en-GB"/>
        </w:rPr>
        <w:t>,</w:t>
      </w:r>
      <w:r w:rsidR="00C605D0" w:rsidRPr="001D77AF">
        <w:rPr>
          <w:lang w:val="en-GB"/>
        </w:rPr>
        <w:t xml:space="preserve"> </w:t>
      </w:r>
      <w:r w:rsidRPr="001D77AF">
        <w:rPr>
          <w:lang w:val="en-GB"/>
        </w:rPr>
        <w:t>ii) host country GDP per capita</w:t>
      </w:r>
      <w:r w:rsidR="00C605D0" w:rsidRPr="001D77AF">
        <w:rPr>
          <w:lang w:val="en-GB"/>
        </w:rPr>
        <w:t>, which</w:t>
      </w:r>
      <w:r w:rsidRPr="001D77AF">
        <w:rPr>
          <w:lang w:val="en-GB"/>
        </w:rPr>
        <w:t xml:space="preserve"> </w:t>
      </w:r>
      <w:r w:rsidR="00C605D0" w:rsidRPr="001D77AF">
        <w:rPr>
          <w:lang w:val="en-GB"/>
        </w:rPr>
        <w:t xml:space="preserve">reflects the </w:t>
      </w:r>
      <w:r w:rsidR="002E3052" w:rsidRPr="001D77AF">
        <w:rPr>
          <w:lang w:val="en-GB"/>
        </w:rPr>
        <w:t xml:space="preserve">average </w:t>
      </w:r>
      <w:r w:rsidR="00C605D0" w:rsidRPr="001D77AF">
        <w:rPr>
          <w:lang w:val="en-GB"/>
        </w:rPr>
        <w:t xml:space="preserve">income level </w:t>
      </w:r>
      <w:r w:rsidR="00DD7406" w:rsidRPr="001D77AF">
        <w:rPr>
          <w:lang w:val="en-GB"/>
        </w:rPr>
        <w:t>of the country</w:t>
      </w:r>
      <w:r w:rsidR="00755E5A" w:rsidRPr="001D77AF">
        <w:rPr>
          <w:lang w:val="en-GB"/>
        </w:rPr>
        <w:t xml:space="preserve">. </w:t>
      </w:r>
      <w:r w:rsidR="00DD1238" w:rsidRPr="001D77AF">
        <w:rPr>
          <w:lang w:val="en-GB"/>
        </w:rPr>
        <w:t xml:space="preserve">Following </w:t>
      </w:r>
      <w:r w:rsidR="00DD1238" w:rsidRPr="001D77AF">
        <w:rPr>
          <w:rFonts w:eastAsia="Times New Roman"/>
          <w:lang w:val="en-GB" w:eastAsia="en-GB"/>
        </w:rPr>
        <w:t xml:space="preserve">Blonigen &amp; </w:t>
      </w:r>
      <w:r w:rsidR="00D91567" w:rsidRPr="001D77AF">
        <w:rPr>
          <w:rFonts w:eastAsia="Times New Roman"/>
          <w:lang w:val="en-GB" w:eastAsia="en-GB"/>
        </w:rPr>
        <w:t xml:space="preserve">Piger </w:t>
      </w:r>
      <w:r w:rsidR="00DD1238" w:rsidRPr="001D77AF">
        <w:rPr>
          <w:rFonts w:eastAsia="Times New Roman"/>
          <w:lang w:val="en-GB" w:eastAsia="en-GB"/>
        </w:rPr>
        <w:t>(2014)</w:t>
      </w:r>
      <w:r w:rsidR="0035767D" w:rsidRPr="001D77AF">
        <w:rPr>
          <w:rFonts w:eastAsia="Times New Roman"/>
          <w:lang w:val="en-GB" w:eastAsia="en-GB"/>
        </w:rPr>
        <w:t>,</w:t>
      </w:r>
      <w:r w:rsidR="00DD1238" w:rsidRPr="001D77AF">
        <w:rPr>
          <w:lang w:val="en-GB"/>
        </w:rPr>
        <w:t xml:space="preserve"> </w:t>
      </w:r>
      <w:r w:rsidR="0035767D" w:rsidRPr="001D77AF">
        <w:rPr>
          <w:lang w:val="en-GB"/>
        </w:rPr>
        <w:t>f</w:t>
      </w:r>
      <w:r w:rsidRPr="001D77AF">
        <w:rPr>
          <w:lang w:val="en-GB"/>
        </w:rPr>
        <w:t xml:space="preserve">our </w:t>
      </w:r>
      <w:r w:rsidR="00337261" w:rsidRPr="001D77AF">
        <w:rPr>
          <w:lang w:val="en-GB"/>
        </w:rPr>
        <w:t xml:space="preserve">other </w:t>
      </w:r>
      <w:r w:rsidRPr="001D77AF">
        <w:rPr>
          <w:lang w:val="en-GB"/>
        </w:rPr>
        <w:t xml:space="preserve">control variables </w:t>
      </w:r>
      <w:r w:rsidR="00337261" w:rsidRPr="001D77AF">
        <w:rPr>
          <w:lang w:val="en-GB"/>
        </w:rPr>
        <w:t>are included</w:t>
      </w:r>
      <w:r w:rsidR="0058715C" w:rsidRPr="001D77AF">
        <w:rPr>
          <w:lang w:val="en-GB"/>
        </w:rPr>
        <w:t>:</w:t>
      </w:r>
      <w:r w:rsidRPr="001D77AF">
        <w:rPr>
          <w:lang w:val="en-GB"/>
        </w:rPr>
        <w:t xml:space="preserve"> i) </w:t>
      </w:r>
      <w:r w:rsidR="00D7063C" w:rsidRPr="001D77AF">
        <w:rPr>
          <w:lang w:val="en-GB"/>
        </w:rPr>
        <w:t>t</w:t>
      </w:r>
      <w:r w:rsidRPr="001D77AF">
        <w:rPr>
          <w:lang w:val="en-GB"/>
        </w:rPr>
        <w:t>he degree of political stability in the host country (Brada et al., 2006; Suliman &amp; Mollick, 2009)</w:t>
      </w:r>
      <w:r w:rsidR="00D7063C" w:rsidRPr="001D77AF">
        <w:rPr>
          <w:lang w:val="en-GB"/>
        </w:rPr>
        <w:t>;</w:t>
      </w:r>
      <w:r w:rsidR="00DD1238" w:rsidRPr="001D77AF">
        <w:rPr>
          <w:lang w:val="en-GB"/>
        </w:rPr>
        <w:t xml:space="preserve"> </w:t>
      </w:r>
      <w:r w:rsidRPr="001D77AF">
        <w:rPr>
          <w:lang w:val="en-GB"/>
        </w:rPr>
        <w:t xml:space="preserve"> ii) </w:t>
      </w:r>
      <w:r w:rsidR="00D7063C" w:rsidRPr="001D77AF">
        <w:rPr>
          <w:lang w:val="en-GB"/>
        </w:rPr>
        <w:t>g</w:t>
      </w:r>
      <w:r w:rsidRPr="001D77AF">
        <w:rPr>
          <w:lang w:val="en-GB"/>
        </w:rPr>
        <w:t>eographical distance between the USA and the host country (</w:t>
      </w:r>
      <w:r w:rsidR="00475875" w:rsidRPr="001D77AF">
        <w:rPr>
          <w:lang w:val="en-GB"/>
        </w:rPr>
        <w:t>Campos</w:t>
      </w:r>
      <w:r w:rsidRPr="001D77AF">
        <w:rPr>
          <w:lang w:val="en-GB"/>
        </w:rPr>
        <w:t xml:space="preserve"> &amp; Kinoshita, 2008; Oh et al., 2011)</w:t>
      </w:r>
      <w:r w:rsidR="00D7063C" w:rsidRPr="001D77AF">
        <w:rPr>
          <w:lang w:val="en-GB"/>
        </w:rPr>
        <w:t>;</w:t>
      </w:r>
      <w:r w:rsidRPr="001D77AF">
        <w:rPr>
          <w:lang w:val="en-GB"/>
        </w:rPr>
        <w:t xml:space="preserve"> iii) regulative distance (Bénassy-Quéré et al., 2007</w:t>
      </w:r>
      <w:r w:rsidR="00AD3A39" w:rsidRPr="001D77AF">
        <w:rPr>
          <w:lang w:val="en-GB"/>
        </w:rPr>
        <w:t>; Estrin et al., 2009</w:t>
      </w:r>
      <w:r w:rsidRPr="001D77AF">
        <w:rPr>
          <w:lang w:val="en-GB"/>
        </w:rPr>
        <w:t>)</w:t>
      </w:r>
      <w:r w:rsidR="00D7063C" w:rsidRPr="001D77AF">
        <w:rPr>
          <w:lang w:val="en-GB"/>
        </w:rPr>
        <w:t xml:space="preserve">; </w:t>
      </w:r>
      <w:r w:rsidRPr="001D77AF">
        <w:rPr>
          <w:lang w:val="en-GB"/>
        </w:rPr>
        <w:t xml:space="preserve"> iv) </w:t>
      </w:r>
      <w:r w:rsidR="00D7063C" w:rsidRPr="001D77AF">
        <w:rPr>
          <w:lang w:val="en-GB"/>
        </w:rPr>
        <w:t>c</w:t>
      </w:r>
      <w:r w:rsidRPr="001D77AF">
        <w:rPr>
          <w:lang w:val="en-GB"/>
        </w:rPr>
        <w:t xml:space="preserve">ultural distance between </w:t>
      </w:r>
      <w:r w:rsidR="003767BA" w:rsidRPr="001D77AF">
        <w:rPr>
          <w:lang w:val="en-GB"/>
        </w:rPr>
        <w:t xml:space="preserve">the </w:t>
      </w:r>
      <w:r w:rsidRPr="001D77AF">
        <w:rPr>
          <w:lang w:val="en-GB"/>
        </w:rPr>
        <w:t xml:space="preserve">USA and </w:t>
      </w:r>
      <w:r w:rsidR="003767BA" w:rsidRPr="001D77AF">
        <w:rPr>
          <w:lang w:val="en-GB"/>
        </w:rPr>
        <w:t>a</w:t>
      </w:r>
      <w:r w:rsidRPr="001D77AF">
        <w:rPr>
          <w:lang w:val="en-GB"/>
        </w:rPr>
        <w:t xml:space="preserve"> host country (</w:t>
      </w:r>
      <w:r w:rsidR="00AD3A39" w:rsidRPr="001D77AF">
        <w:rPr>
          <w:lang w:val="en-GB"/>
        </w:rPr>
        <w:t xml:space="preserve">Estrin et al., 2009; Habib &amp; Zurawicki, 2002; Grosse &amp; Trevion, 1996; </w:t>
      </w:r>
      <w:r w:rsidRPr="001D77AF">
        <w:rPr>
          <w:lang w:val="en-GB"/>
        </w:rPr>
        <w:t xml:space="preserve">Loree &amp; Guisinger, 1995; Xu &amp; Shenkar, 2002). The regulative distance variable uses nine dimensions taken from the Economic Freedom Index: business freedom, fiscal freedom, government spending, monetary freedom, investment </w:t>
      </w:r>
      <w:r w:rsidRPr="001D77AF">
        <w:rPr>
          <w:lang w:val="en-GB"/>
        </w:rPr>
        <w:lastRenderedPageBreak/>
        <w:t xml:space="preserve">freedom, financial freedom, property rights protection, freedom from corruption, and </w:t>
      </w:r>
      <w:r w:rsidR="00B8583A" w:rsidRPr="00B8583A">
        <w:rPr>
          <w:lang w:val="en-GB"/>
        </w:rPr>
        <w:t>labour</w:t>
      </w:r>
      <w:r w:rsidRPr="001D77AF">
        <w:rPr>
          <w:lang w:val="en-GB"/>
        </w:rPr>
        <w:t xml:space="preserve"> freedom.</w:t>
      </w:r>
      <w:r w:rsidRPr="001D77AF">
        <w:rPr>
          <w:rStyle w:val="FootnoteReference"/>
          <w:lang w:val="en-GB"/>
        </w:rPr>
        <w:footnoteReference w:id="3"/>
      </w:r>
      <w:r w:rsidRPr="001D77AF">
        <w:rPr>
          <w:lang w:val="en-GB"/>
        </w:rPr>
        <w:t xml:space="preserve"> The cultural distance variable uses Hofstede’s four cultural dimensions of power distance, individualism, masculinity/femininity and uncertainty avoidance</w:t>
      </w:r>
      <w:r w:rsidR="00832CC9">
        <w:rPr>
          <w:lang w:val="en-GB"/>
        </w:rPr>
        <w:t xml:space="preserve"> (Hofstede et al., 2010)</w:t>
      </w:r>
      <w:r w:rsidRPr="001D77AF">
        <w:rPr>
          <w:lang w:val="en-GB"/>
        </w:rPr>
        <w:t xml:space="preserve">. </w:t>
      </w:r>
    </w:p>
    <w:p w14:paraId="1A1412DB" w14:textId="2DDA5607" w:rsidR="00131EF2" w:rsidRPr="001D77AF" w:rsidRDefault="00D91567" w:rsidP="008D03B5">
      <w:pPr>
        <w:spacing w:line="480" w:lineRule="auto"/>
        <w:ind w:firstLine="720"/>
        <w:jc w:val="both"/>
        <w:rPr>
          <w:lang w:val="en-GB"/>
        </w:rPr>
      </w:pPr>
      <w:r w:rsidRPr="001D77AF">
        <w:rPr>
          <w:lang w:val="en-GB"/>
        </w:rPr>
        <w:t>We use</w:t>
      </w:r>
      <w:r w:rsidR="001F40C0" w:rsidRPr="001D77AF">
        <w:rPr>
          <w:lang w:val="en-GB"/>
        </w:rPr>
        <w:t xml:space="preserve"> t</w:t>
      </w:r>
      <w:r w:rsidR="00131EF2" w:rsidRPr="001D77AF">
        <w:rPr>
          <w:lang w:val="en-GB"/>
        </w:rPr>
        <w:t xml:space="preserve">he Mahalanobis method for calculating the regulative distance and cultural distance variables </w:t>
      </w:r>
      <w:r w:rsidR="0019612B" w:rsidRPr="001D77AF">
        <w:rPr>
          <w:lang w:val="en-GB"/>
        </w:rPr>
        <w:t>rather than</w:t>
      </w:r>
      <w:r w:rsidR="00EE67D8" w:rsidRPr="001D77AF">
        <w:rPr>
          <w:lang w:val="en-GB"/>
        </w:rPr>
        <w:t xml:space="preserve"> the</w:t>
      </w:r>
      <w:r w:rsidR="0019612B" w:rsidRPr="001D77AF">
        <w:rPr>
          <w:lang w:val="en-GB"/>
        </w:rPr>
        <w:t xml:space="preserve"> </w:t>
      </w:r>
      <w:r w:rsidR="00131EF2" w:rsidRPr="001D77AF">
        <w:rPr>
          <w:lang w:val="en-GB"/>
        </w:rPr>
        <w:t>Euclidean method</w:t>
      </w:r>
      <w:r w:rsidR="0019612B" w:rsidRPr="001D77AF">
        <w:rPr>
          <w:lang w:val="en-GB"/>
        </w:rPr>
        <w:t xml:space="preserve">. </w:t>
      </w:r>
      <w:r w:rsidR="00D7063C" w:rsidRPr="001D77AF">
        <w:rPr>
          <w:lang w:val="en-GB"/>
        </w:rPr>
        <w:t xml:space="preserve">Although the Euclidean method is widely used for calculating distance, this approach has several limitations and may not be the ideal method for constructing composite distance measures. All three of </w:t>
      </w:r>
      <w:r w:rsidR="005A0878">
        <w:rPr>
          <w:lang w:val="en-GB"/>
        </w:rPr>
        <w:t xml:space="preserve">the </w:t>
      </w:r>
      <w:r w:rsidR="00D7063C" w:rsidRPr="001D77AF">
        <w:rPr>
          <w:lang w:val="en-GB"/>
        </w:rPr>
        <w:t>composite distance measures (</w:t>
      </w:r>
      <w:r w:rsidR="00D7063C" w:rsidRPr="001D77AF">
        <w:rPr>
          <w:color w:val="000000"/>
          <w:lang w:val="en-GB"/>
        </w:rPr>
        <w:t>RDIST, NDIST and CDIST)</w:t>
      </w:r>
      <w:r w:rsidR="00D7063C" w:rsidRPr="001D77AF">
        <w:rPr>
          <w:lang w:val="en-GB"/>
        </w:rPr>
        <w:t xml:space="preserve"> </w:t>
      </w:r>
      <w:r w:rsidR="00EE67D8" w:rsidRPr="001D77AF">
        <w:rPr>
          <w:lang w:val="en-GB"/>
        </w:rPr>
        <w:t xml:space="preserve">are </w:t>
      </w:r>
      <w:r w:rsidR="00D7063C" w:rsidRPr="001D77AF">
        <w:rPr>
          <w:lang w:val="en-GB"/>
        </w:rPr>
        <w:t>multiple</w:t>
      </w:r>
      <w:r w:rsidR="00EE67D8" w:rsidRPr="001D77AF">
        <w:rPr>
          <w:lang w:val="en-GB"/>
        </w:rPr>
        <w:t>,</w:t>
      </w:r>
      <w:r w:rsidR="00D7063C" w:rsidRPr="001D77AF">
        <w:rPr>
          <w:lang w:val="en-GB"/>
        </w:rPr>
        <w:t xml:space="preserve"> but partially overlapping dimensions. </w:t>
      </w:r>
      <w:r w:rsidR="00D23A89">
        <w:rPr>
          <w:lang w:val="en-GB"/>
        </w:rPr>
        <w:t xml:space="preserve">The </w:t>
      </w:r>
      <w:r w:rsidR="00D7063C" w:rsidRPr="001D77AF">
        <w:rPr>
          <w:lang w:val="en-GB"/>
        </w:rPr>
        <w:t>Euclidean method ignores the correlation among the dimensions, thereby giving more importance to characteristics represented by correlated dimensions (</w:t>
      </w:r>
      <w:r w:rsidR="00D7063C" w:rsidRPr="001D77AF">
        <w:rPr>
          <w:noProof/>
          <w:lang w:val="en-GB"/>
        </w:rPr>
        <w:t>Berry et al., 2010)</w:t>
      </w:r>
      <w:r w:rsidR="00D7063C" w:rsidRPr="001D77AF">
        <w:rPr>
          <w:lang w:val="en-GB"/>
        </w:rPr>
        <w:t xml:space="preserve">. The </w:t>
      </w:r>
      <w:r w:rsidR="00EE67D8" w:rsidRPr="001D77AF">
        <w:rPr>
          <w:lang w:val="en-GB"/>
        </w:rPr>
        <w:t>measurements of the dimensions are</w:t>
      </w:r>
      <w:r w:rsidR="00D7063C" w:rsidRPr="001D77AF">
        <w:rPr>
          <w:lang w:val="en-GB"/>
        </w:rPr>
        <w:t xml:space="preserve"> </w:t>
      </w:r>
      <w:r w:rsidR="00EE67D8" w:rsidRPr="001D77AF">
        <w:rPr>
          <w:lang w:val="en-GB"/>
        </w:rPr>
        <w:t xml:space="preserve">also </w:t>
      </w:r>
      <w:r w:rsidR="00D7063C" w:rsidRPr="001D77AF">
        <w:rPr>
          <w:lang w:val="en-GB"/>
        </w:rPr>
        <w:t xml:space="preserve">on different scales and this can have significant variance, both cross-sectionally and over time. </w:t>
      </w:r>
      <w:r w:rsidR="007255F0">
        <w:rPr>
          <w:lang w:val="en-GB"/>
        </w:rPr>
        <w:t xml:space="preserve">The </w:t>
      </w:r>
      <w:r w:rsidR="00D7063C" w:rsidRPr="001D77AF">
        <w:rPr>
          <w:lang w:val="en-GB"/>
        </w:rPr>
        <w:t>Euclidean method is sensitive to the scale of measurement and does not account for the variance of the variables. The Mahalanobis method</w:t>
      </w:r>
      <w:r w:rsidR="0019612B" w:rsidRPr="001D77AF">
        <w:rPr>
          <w:lang w:val="en-GB"/>
        </w:rPr>
        <w:t xml:space="preserve"> </w:t>
      </w:r>
      <w:r w:rsidR="00131EF2" w:rsidRPr="001D77AF">
        <w:rPr>
          <w:lang w:val="en-GB"/>
        </w:rPr>
        <w:t>takes into consideration the variance of each dimension and co-variance between dimensions by using information in variance–covariance matrix and produces scale-invariant distance measures</w:t>
      </w:r>
      <w:r w:rsidR="00EE67D8" w:rsidRPr="001D77AF">
        <w:rPr>
          <w:lang w:val="en-GB"/>
        </w:rPr>
        <w:t>.</w:t>
      </w:r>
      <w:r w:rsidR="00131EF2" w:rsidRPr="001D77AF">
        <w:rPr>
          <w:lang w:val="en-GB"/>
        </w:rPr>
        <w:t xml:space="preserve"> </w:t>
      </w:r>
      <w:r w:rsidR="00EE67D8" w:rsidRPr="001D77AF">
        <w:rPr>
          <w:lang w:val="en-GB"/>
        </w:rPr>
        <w:t xml:space="preserve">In essence, Mahalonobis distance is equivalent to the Euclidean distance computed in the normalized principle components space. </w:t>
      </w:r>
      <w:r w:rsidR="00131EF2" w:rsidRPr="001D77AF">
        <w:rPr>
          <w:lang w:val="en-GB"/>
        </w:rPr>
        <w:t>The calculation of the regulative distance variable uses yearly data to construct separate covariance matrices for each year. As data on cultural distance is time invariant, our cultural distance variable is constant over the sample period. The detailed information on variable measurement and data source is available in Table 2 and the summary of the explanatory variables including means, standard deviations, and correlations in Table 3.</w:t>
      </w:r>
    </w:p>
    <w:p w14:paraId="0F242584" w14:textId="77777777" w:rsidR="00131EF2" w:rsidRPr="001D77AF" w:rsidRDefault="00131EF2" w:rsidP="008D03B5">
      <w:pPr>
        <w:spacing w:line="480" w:lineRule="auto"/>
        <w:jc w:val="both"/>
        <w:rPr>
          <w:rFonts w:eastAsia="Calibri"/>
          <w:b/>
          <w:bdr w:val="none" w:sz="0" w:space="0" w:color="auto"/>
          <w:lang w:val="en-GB"/>
        </w:rPr>
      </w:pPr>
      <w:r w:rsidRPr="001D77AF">
        <w:rPr>
          <w:lang w:val="en-GB"/>
        </w:rPr>
        <w:t xml:space="preserve"> </w:t>
      </w:r>
      <w:r w:rsidRPr="001D77AF">
        <w:rPr>
          <w:rFonts w:eastAsia="Calibri"/>
          <w:b/>
          <w:bdr w:val="none" w:sz="0" w:space="0" w:color="auto"/>
          <w:lang w:val="en-GB"/>
        </w:rPr>
        <w:t>-----------------------------------Table 2 goes about here-----------------------------</w:t>
      </w:r>
    </w:p>
    <w:p w14:paraId="78BFF724" w14:textId="77777777" w:rsidR="00131EF2" w:rsidRPr="001D77AF" w:rsidRDefault="00131EF2" w:rsidP="008D03B5">
      <w:pPr>
        <w:pStyle w:val="ListParagraph"/>
        <w:spacing w:line="480" w:lineRule="auto"/>
        <w:ind w:left="0"/>
        <w:jc w:val="both"/>
        <w:rPr>
          <w:b/>
          <w:lang w:val="en-GB"/>
        </w:rPr>
      </w:pPr>
      <w:r w:rsidRPr="001D77AF">
        <w:rPr>
          <w:b/>
          <w:lang w:val="en-GB"/>
        </w:rPr>
        <w:lastRenderedPageBreak/>
        <w:t>-----------------------------------Table 3 goes about here-----------------------------</w:t>
      </w:r>
    </w:p>
    <w:p w14:paraId="38906FE5" w14:textId="77777777" w:rsidR="00ED7329" w:rsidRDefault="00ED7329"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rFonts w:eastAsia="Calibri"/>
          <w:i/>
          <w:bdr w:val="none" w:sz="0" w:space="0" w:color="auto"/>
          <w:lang w:val="en-GB"/>
        </w:rPr>
      </w:pPr>
    </w:p>
    <w:p w14:paraId="77791723" w14:textId="3468EE73" w:rsidR="00131EF2" w:rsidRPr="001D77AF" w:rsidRDefault="00131EF2" w:rsidP="008D03B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outlineLvl w:val="0"/>
        <w:rPr>
          <w:rFonts w:eastAsia="Calibri"/>
          <w:i/>
          <w:bdr w:val="none" w:sz="0" w:space="0" w:color="auto"/>
          <w:lang w:val="en-GB"/>
        </w:rPr>
      </w:pPr>
      <w:r w:rsidRPr="001D77AF">
        <w:rPr>
          <w:rFonts w:eastAsia="Calibri"/>
          <w:i/>
          <w:bdr w:val="none" w:sz="0" w:space="0" w:color="auto"/>
          <w:lang w:val="en-GB"/>
        </w:rPr>
        <w:t xml:space="preserve">Estimation Method </w:t>
      </w:r>
    </w:p>
    <w:p w14:paraId="7B798BAD" w14:textId="5CBD5403" w:rsidR="006167BC" w:rsidRPr="001D77AF" w:rsidRDefault="006167BC" w:rsidP="006167BC">
      <w:pPr>
        <w:spacing w:line="480" w:lineRule="auto"/>
        <w:jc w:val="both"/>
        <w:rPr>
          <w:lang w:val="en-GB"/>
        </w:rPr>
      </w:pPr>
      <w:r w:rsidRPr="001D77AF">
        <w:rPr>
          <w:lang w:val="en-GB"/>
        </w:rPr>
        <w:t>Examination of the impact of formal and informal institutions on FDI flows involves use of panel data estimation methods. Some econometric concerns require attention before proceeding to the empirical results. The correlation between GDP per capita (LGDPPC) and informal institutions index (INFORMAL) and the correlation between LGDPPC and the formal index (FORMAL) are above 70% (see Table 3), indicating high level of collinearity. Although the presence of high collinearity should not affect tests of significance, tests using the orthogonalized INFORM</w:t>
      </w:r>
      <w:r w:rsidR="00157F4D" w:rsidRPr="001D77AF">
        <w:rPr>
          <w:lang w:val="en-GB"/>
        </w:rPr>
        <w:t>A</w:t>
      </w:r>
      <w:r w:rsidRPr="001D77AF">
        <w:rPr>
          <w:lang w:val="en-GB"/>
        </w:rPr>
        <w:t>L and INF</w:t>
      </w:r>
      <w:r w:rsidR="006907F8" w:rsidRPr="001D77AF">
        <w:rPr>
          <w:lang w:val="en-GB"/>
        </w:rPr>
        <w:t>O</w:t>
      </w:r>
      <w:r w:rsidRPr="001D77AF">
        <w:rPr>
          <w:lang w:val="en-GB"/>
        </w:rPr>
        <w:t xml:space="preserve">RMAL measures revealed that the presence of collinearity does not affect the significance of the variables concerned. The characteristics of the sample influenced the choice of the estimation method, as there a number of zero observations for US bilateral industry level FDI. </w:t>
      </w:r>
      <w:r w:rsidR="00EE01D7" w:rsidRPr="001D77AF">
        <w:rPr>
          <w:lang w:val="en-GB"/>
        </w:rPr>
        <w:t>We follow a number of recent FDI studies in the literature and u</w:t>
      </w:r>
      <w:r w:rsidRPr="001D77AF">
        <w:rPr>
          <w:lang w:val="en-GB"/>
        </w:rPr>
        <w:t xml:space="preserve">se the fixed-effects Poisson Pseudo Maximum Likelihood (PPML) estimation method </w:t>
      </w:r>
      <w:r w:rsidR="00EE01D7" w:rsidRPr="001D77AF">
        <w:rPr>
          <w:lang w:val="en-GB"/>
        </w:rPr>
        <w:t>to address</w:t>
      </w:r>
      <w:r w:rsidRPr="001D77AF">
        <w:rPr>
          <w:lang w:val="en-GB"/>
        </w:rPr>
        <w:t xml:space="preserve"> this issue</w:t>
      </w:r>
      <w:r w:rsidR="00EE01D7" w:rsidRPr="001D77AF">
        <w:rPr>
          <w:lang w:val="en-GB"/>
        </w:rPr>
        <w:t xml:space="preserve"> </w:t>
      </w:r>
      <w:r w:rsidRPr="001D77AF">
        <w:rPr>
          <w:lang w:val="en-GB"/>
        </w:rPr>
        <w:t>(Berger et al., 2013; Busse et al., 2010; Paniagua &amp; Sapena, 2014). This estimation method is effective in mitigating the bias resulted from zero observations in the sample and is robust to different patterns of heteroscedasticity (Silva &amp; Tenreyro, 2006). The model used is akin to a semi-gravity model. This approach is used because there is only one home country (USA) with distance control measures for multiple host country economic and business environment conditions. Regressions using the lagged time variant host country specific control variables also produced similar to the results reported in Table 4</w:t>
      </w:r>
      <w:r w:rsidR="00832CC9">
        <w:rPr>
          <w:lang w:val="en-GB"/>
        </w:rPr>
        <w:t>.</w:t>
      </w:r>
    </w:p>
    <w:p w14:paraId="00F076B2" w14:textId="77777777" w:rsidR="00516901" w:rsidRPr="001D77AF" w:rsidRDefault="00516901" w:rsidP="008D03B5">
      <w:pPr>
        <w:spacing w:line="480" w:lineRule="auto"/>
        <w:jc w:val="both"/>
        <w:rPr>
          <w:b/>
          <w:lang w:val="en-GB"/>
        </w:rPr>
      </w:pPr>
    </w:p>
    <w:p w14:paraId="24062E1B" w14:textId="1F2DA8E2" w:rsidR="007D391E" w:rsidRPr="001D77AF" w:rsidRDefault="007D391E" w:rsidP="008D03B5">
      <w:pPr>
        <w:spacing w:line="480" w:lineRule="auto"/>
        <w:jc w:val="both"/>
        <w:rPr>
          <w:b/>
          <w:lang w:val="en-GB"/>
        </w:rPr>
      </w:pPr>
      <w:r w:rsidRPr="001D77AF">
        <w:rPr>
          <w:b/>
          <w:lang w:val="en-GB"/>
        </w:rPr>
        <w:t>5.</w:t>
      </w:r>
      <w:r w:rsidRPr="001D77AF">
        <w:rPr>
          <w:b/>
          <w:lang w:val="en-GB"/>
        </w:rPr>
        <w:tab/>
        <w:t xml:space="preserve">Results </w:t>
      </w:r>
    </w:p>
    <w:p w14:paraId="1C23986E" w14:textId="77777777" w:rsidR="00927818" w:rsidRPr="001D77AF" w:rsidRDefault="001F40C0" w:rsidP="008D03B5">
      <w:pPr>
        <w:spacing w:line="480" w:lineRule="auto"/>
        <w:jc w:val="both"/>
        <w:rPr>
          <w:rFonts w:eastAsia="Calibri"/>
          <w:bdr w:val="none" w:sz="0" w:space="0" w:color="auto"/>
          <w:lang w:val="en-GB"/>
        </w:rPr>
      </w:pPr>
      <w:r w:rsidRPr="001D77AF">
        <w:rPr>
          <w:rFonts w:eastAsia="Calibri"/>
          <w:bdr w:val="none" w:sz="0" w:space="0" w:color="auto"/>
          <w:lang w:val="en-GB"/>
        </w:rPr>
        <w:t>Table 4 presents th</w:t>
      </w:r>
      <w:r w:rsidR="007009C5" w:rsidRPr="001D77AF">
        <w:rPr>
          <w:rFonts w:eastAsia="Calibri"/>
          <w:bdr w:val="none" w:sz="0" w:space="0" w:color="auto"/>
          <w:lang w:val="en-GB"/>
        </w:rPr>
        <w:t xml:space="preserve">e results </w:t>
      </w:r>
      <w:r w:rsidRPr="001D77AF">
        <w:rPr>
          <w:rFonts w:eastAsia="Calibri"/>
          <w:bdr w:val="none" w:sz="0" w:space="0" w:color="auto"/>
          <w:lang w:val="en-GB"/>
        </w:rPr>
        <w:t>of the regressions</w:t>
      </w:r>
      <w:r w:rsidR="007009C5" w:rsidRPr="001D77AF">
        <w:rPr>
          <w:rFonts w:eastAsia="Calibri"/>
          <w:bdr w:val="none" w:sz="0" w:space="0" w:color="auto"/>
          <w:lang w:val="en-GB"/>
        </w:rPr>
        <w:t>.</w:t>
      </w:r>
      <w:r w:rsidR="00927818" w:rsidRPr="001D77AF">
        <w:rPr>
          <w:rFonts w:eastAsia="Calibri"/>
          <w:bdr w:val="none" w:sz="0" w:space="0" w:color="auto"/>
          <w:lang w:val="en-GB"/>
        </w:rPr>
        <w:t xml:space="preserve"> </w:t>
      </w:r>
      <w:r w:rsidR="007009C5" w:rsidRPr="001D77AF">
        <w:rPr>
          <w:rFonts w:eastAsia="Calibri"/>
          <w:bdr w:val="none" w:sz="0" w:space="0" w:color="auto"/>
          <w:lang w:val="en-GB"/>
        </w:rPr>
        <w:t>T</w:t>
      </w:r>
      <w:r w:rsidR="00D54090" w:rsidRPr="001D77AF">
        <w:rPr>
          <w:rFonts w:eastAsia="Calibri"/>
          <w:bdr w:val="none" w:sz="0" w:space="0" w:color="auto"/>
          <w:lang w:val="en-GB"/>
        </w:rPr>
        <w:t>he first specification (Model 1) includ</w:t>
      </w:r>
      <w:r w:rsidR="00C930A6" w:rsidRPr="001D77AF">
        <w:rPr>
          <w:rFonts w:eastAsia="Calibri"/>
          <w:bdr w:val="none" w:sz="0" w:space="0" w:color="auto"/>
          <w:lang w:val="en-GB"/>
        </w:rPr>
        <w:t xml:space="preserve">es only </w:t>
      </w:r>
      <w:r w:rsidR="00D54090" w:rsidRPr="001D77AF">
        <w:rPr>
          <w:rFonts w:eastAsia="Calibri"/>
          <w:bdr w:val="none" w:sz="0" w:space="0" w:color="auto"/>
          <w:lang w:val="en-GB"/>
        </w:rPr>
        <w:t xml:space="preserve">the control variables to </w:t>
      </w:r>
      <w:r w:rsidR="00C930A6" w:rsidRPr="001D77AF">
        <w:rPr>
          <w:rFonts w:eastAsia="Calibri"/>
          <w:bdr w:val="none" w:sz="0" w:space="0" w:color="auto"/>
          <w:lang w:val="en-GB"/>
        </w:rPr>
        <w:t xml:space="preserve">derive </w:t>
      </w:r>
      <w:r w:rsidR="00D54090" w:rsidRPr="001D77AF">
        <w:rPr>
          <w:rFonts w:eastAsia="Calibri"/>
          <w:bdr w:val="none" w:sz="0" w:space="0" w:color="auto"/>
          <w:lang w:val="en-GB"/>
        </w:rPr>
        <w:t>a baseline model.</w:t>
      </w:r>
      <w:r w:rsidR="003B0D76" w:rsidRPr="001D77AF">
        <w:rPr>
          <w:rFonts w:eastAsia="Calibri"/>
          <w:bdr w:val="none" w:sz="0" w:space="0" w:color="auto"/>
          <w:lang w:val="en-GB"/>
        </w:rPr>
        <w:t xml:space="preserve"> </w:t>
      </w:r>
      <w:r w:rsidR="007009C5" w:rsidRPr="001D77AF">
        <w:rPr>
          <w:rFonts w:eastAsia="Calibri"/>
          <w:bdr w:val="none" w:sz="0" w:space="0" w:color="auto"/>
          <w:lang w:val="en-GB"/>
        </w:rPr>
        <w:t>T</w:t>
      </w:r>
      <w:r w:rsidR="0018382F" w:rsidRPr="001D77AF">
        <w:rPr>
          <w:rFonts w:eastAsia="Calibri"/>
          <w:bdr w:val="none" w:sz="0" w:space="0" w:color="auto"/>
          <w:lang w:val="en-GB"/>
        </w:rPr>
        <w:t>he second specification (</w:t>
      </w:r>
      <w:r w:rsidR="00D54090" w:rsidRPr="001D77AF">
        <w:rPr>
          <w:rFonts w:eastAsia="Calibri"/>
          <w:bdr w:val="none" w:sz="0" w:space="0" w:color="auto"/>
          <w:lang w:val="en-GB"/>
        </w:rPr>
        <w:t xml:space="preserve">Model </w:t>
      </w:r>
      <w:r w:rsidRPr="001D77AF">
        <w:rPr>
          <w:rFonts w:eastAsia="Calibri"/>
          <w:bdr w:val="none" w:sz="0" w:space="0" w:color="auto"/>
          <w:lang w:val="en-GB"/>
        </w:rPr>
        <w:t>2</w:t>
      </w:r>
      <w:r w:rsidR="0018382F" w:rsidRPr="001D77AF">
        <w:rPr>
          <w:rFonts w:eastAsia="Calibri"/>
          <w:bdr w:val="none" w:sz="0" w:space="0" w:color="auto"/>
          <w:lang w:val="en-GB"/>
        </w:rPr>
        <w:t xml:space="preserve">) </w:t>
      </w:r>
      <w:r w:rsidR="00C256A1" w:rsidRPr="001D77AF">
        <w:rPr>
          <w:rFonts w:eastAsia="Calibri"/>
          <w:bdr w:val="none" w:sz="0" w:space="0" w:color="auto"/>
          <w:lang w:val="en-GB"/>
        </w:rPr>
        <w:t xml:space="preserve">adds </w:t>
      </w:r>
      <w:r w:rsidR="00CF1F6D" w:rsidRPr="001D77AF">
        <w:rPr>
          <w:rFonts w:eastAsia="Calibri"/>
          <w:bdr w:val="none" w:sz="0" w:space="0" w:color="auto"/>
          <w:lang w:val="en-GB"/>
        </w:rPr>
        <w:t>the</w:t>
      </w:r>
      <w:r w:rsidR="00D54090" w:rsidRPr="001D77AF">
        <w:rPr>
          <w:rFonts w:eastAsia="Calibri"/>
          <w:bdr w:val="none" w:sz="0" w:space="0" w:color="auto"/>
          <w:lang w:val="en-GB"/>
        </w:rPr>
        <w:t xml:space="preserve"> </w:t>
      </w:r>
      <w:r w:rsidR="004C247F" w:rsidRPr="001D77AF">
        <w:rPr>
          <w:rFonts w:eastAsia="Calibri"/>
          <w:bdr w:val="none" w:sz="0" w:space="0" w:color="auto"/>
          <w:lang w:val="en-GB"/>
        </w:rPr>
        <w:lastRenderedPageBreak/>
        <w:t xml:space="preserve">explanatory and control </w:t>
      </w:r>
      <w:r w:rsidR="00D54090" w:rsidRPr="001D77AF">
        <w:rPr>
          <w:rFonts w:eastAsia="Calibri"/>
          <w:bdr w:val="none" w:sz="0" w:space="0" w:color="auto"/>
          <w:lang w:val="en-GB"/>
        </w:rPr>
        <w:t>variables</w:t>
      </w:r>
      <w:r w:rsidR="004C247F" w:rsidRPr="001D77AF">
        <w:rPr>
          <w:rFonts w:eastAsia="Calibri"/>
          <w:bdr w:val="none" w:sz="0" w:space="0" w:color="auto"/>
          <w:lang w:val="en-GB"/>
        </w:rPr>
        <w:t>. T</w:t>
      </w:r>
      <w:r w:rsidR="0018382F" w:rsidRPr="001D77AF">
        <w:rPr>
          <w:rFonts w:eastAsia="Calibri"/>
          <w:bdr w:val="none" w:sz="0" w:space="0" w:color="auto"/>
          <w:lang w:val="en-GB"/>
        </w:rPr>
        <w:t>he last specification (</w:t>
      </w:r>
      <w:r w:rsidRPr="001D77AF">
        <w:rPr>
          <w:rFonts w:eastAsia="Calibri"/>
          <w:bdr w:val="none" w:sz="0" w:space="0" w:color="auto"/>
          <w:lang w:val="en-GB"/>
        </w:rPr>
        <w:t>M</w:t>
      </w:r>
      <w:r w:rsidR="0018382F" w:rsidRPr="001D77AF">
        <w:rPr>
          <w:rFonts w:eastAsia="Calibri"/>
          <w:bdr w:val="none" w:sz="0" w:space="0" w:color="auto"/>
          <w:lang w:val="en-GB"/>
        </w:rPr>
        <w:t>odel 3)</w:t>
      </w:r>
      <w:r w:rsidR="004C247F" w:rsidRPr="001D77AF">
        <w:rPr>
          <w:rFonts w:eastAsia="Calibri"/>
          <w:bdr w:val="none" w:sz="0" w:space="0" w:color="auto"/>
          <w:lang w:val="en-GB"/>
        </w:rPr>
        <w:t xml:space="preserve"> includes </w:t>
      </w:r>
      <w:r w:rsidR="005E48B5" w:rsidRPr="001D77AF">
        <w:rPr>
          <w:rFonts w:eastAsia="Calibri"/>
          <w:bdr w:val="none" w:sz="0" w:space="0" w:color="auto"/>
          <w:lang w:val="en-GB"/>
        </w:rPr>
        <w:t xml:space="preserve">year </w:t>
      </w:r>
      <w:r w:rsidR="00CF1F6D" w:rsidRPr="001D77AF">
        <w:rPr>
          <w:rFonts w:eastAsia="Calibri"/>
          <w:bdr w:val="none" w:sz="0" w:space="0" w:color="auto"/>
          <w:lang w:val="en-GB"/>
        </w:rPr>
        <w:t>dummies to</w:t>
      </w:r>
      <w:r w:rsidR="004A3019" w:rsidRPr="001D77AF">
        <w:rPr>
          <w:rFonts w:eastAsia="Calibri"/>
          <w:bdr w:val="none" w:sz="0" w:space="0" w:color="auto"/>
          <w:lang w:val="en-GB"/>
        </w:rPr>
        <w:t xml:space="preserve"> control for time specific effects not captured by the independent variables</w:t>
      </w:r>
      <w:r w:rsidR="005E48B5" w:rsidRPr="001D77AF">
        <w:rPr>
          <w:rFonts w:eastAsia="Calibri"/>
          <w:bdr w:val="none" w:sz="0" w:space="0" w:color="auto"/>
          <w:lang w:val="en-GB"/>
        </w:rPr>
        <w:t>.</w:t>
      </w:r>
      <w:r w:rsidR="0018382F" w:rsidRPr="001D77AF">
        <w:rPr>
          <w:rFonts w:eastAsia="Calibri"/>
          <w:bdr w:val="none" w:sz="0" w:space="0" w:color="auto"/>
          <w:lang w:val="en-GB"/>
        </w:rPr>
        <w:t xml:space="preserve"> </w:t>
      </w:r>
      <w:r w:rsidR="004C247F" w:rsidRPr="001D77AF">
        <w:rPr>
          <w:rFonts w:eastAsia="Calibri"/>
          <w:bdr w:val="none" w:sz="0" w:space="0" w:color="auto"/>
          <w:lang w:val="en-GB"/>
        </w:rPr>
        <w:t xml:space="preserve">The discussion focuses on </w:t>
      </w:r>
      <w:r w:rsidR="0018382F" w:rsidRPr="001D77AF">
        <w:rPr>
          <w:rFonts w:eastAsia="Calibri"/>
          <w:bdr w:val="none" w:sz="0" w:space="0" w:color="auto"/>
          <w:lang w:val="en-GB"/>
        </w:rPr>
        <w:t xml:space="preserve">the </w:t>
      </w:r>
      <w:r w:rsidR="00C93FA5" w:rsidRPr="001D77AF">
        <w:rPr>
          <w:rFonts w:eastAsia="Calibri"/>
          <w:bdr w:val="none" w:sz="0" w:space="0" w:color="auto"/>
          <w:lang w:val="en-GB"/>
        </w:rPr>
        <w:t xml:space="preserve">results of </w:t>
      </w:r>
      <w:r w:rsidR="0018382F" w:rsidRPr="001D77AF">
        <w:rPr>
          <w:rFonts w:eastAsia="Calibri"/>
          <w:bdr w:val="none" w:sz="0" w:space="0" w:color="auto"/>
          <w:lang w:val="en-GB"/>
        </w:rPr>
        <w:t xml:space="preserve">model 3 since </w:t>
      </w:r>
      <w:r w:rsidR="00C93FA5" w:rsidRPr="001D77AF">
        <w:rPr>
          <w:rFonts w:eastAsia="Calibri"/>
          <w:bdr w:val="none" w:sz="0" w:space="0" w:color="auto"/>
          <w:lang w:val="en-GB"/>
        </w:rPr>
        <w:t xml:space="preserve">this </w:t>
      </w:r>
      <w:r w:rsidR="0018382F" w:rsidRPr="001D77AF">
        <w:rPr>
          <w:rFonts w:eastAsia="Calibri"/>
          <w:bdr w:val="none" w:sz="0" w:space="0" w:color="auto"/>
          <w:lang w:val="en-GB"/>
        </w:rPr>
        <w:t xml:space="preserve">is </w:t>
      </w:r>
      <w:r w:rsidR="004C247F" w:rsidRPr="001D77AF">
        <w:rPr>
          <w:rFonts w:eastAsia="Calibri"/>
          <w:bdr w:val="none" w:sz="0" w:space="0" w:color="auto"/>
          <w:lang w:val="en-GB"/>
        </w:rPr>
        <w:t>the</w:t>
      </w:r>
      <w:r w:rsidR="0018382F" w:rsidRPr="001D77AF">
        <w:rPr>
          <w:rFonts w:eastAsia="Calibri"/>
          <w:bdr w:val="none" w:sz="0" w:space="0" w:color="auto"/>
          <w:lang w:val="en-GB"/>
        </w:rPr>
        <w:t xml:space="preserve"> full model.</w:t>
      </w:r>
      <w:r w:rsidR="003B0D76" w:rsidRPr="001D77AF">
        <w:rPr>
          <w:rFonts w:eastAsia="Calibri"/>
          <w:bdr w:val="none" w:sz="0" w:space="0" w:color="auto"/>
          <w:lang w:val="en-GB"/>
        </w:rPr>
        <w:t xml:space="preserve"> </w:t>
      </w:r>
    </w:p>
    <w:p w14:paraId="1C9B720B" w14:textId="77777777" w:rsidR="00CF1F6D" w:rsidRPr="001D77AF" w:rsidRDefault="00CF1F6D" w:rsidP="008D03B5">
      <w:pPr>
        <w:spacing w:line="480" w:lineRule="auto"/>
        <w:jc w:val="both"/>
        <w:rPr>
          <w:rFonts w:eastAsia="Calibri"/>
          <w:b/>
          <w:bdr w:val="none" w:sz="0" w:space="0" w:color="auto"/>
          <w:lang w:val="en-GB"/>
        </w:rPr>
      </w:pPr>
      <w:r w:rsidRPr="001D77AF">
        <w:rPr>
          <w:rFonts w:eastAsia="Calibri"/>
          <w:b/>
          <w:bdr w:val="none" w:sz="0" w:space="0" w:color="auto"/>
          <w:lang w:val="en-GB"/>
        </w:rPr>
        <w:t>-----------------------------------Table 4 goes about here-----------------------------</w:t>
      </w:r>
    </w:p>
    <w:p w14:paraId="52350A69" w14:textId="034F8B76" w:rsidR="009B546A" w:rsidRPr="001D77AF" w:rsidRDefault="00927818" w:rsidP="009B546A">
      <w:pPr>
        <w:pStyle w:val="ListParagraph"/>
        <w:spacing w:line="480" w:lineRule="auto"/>
        <w:ind w:left="0" w:firstLine="720"/>
        <w:jc w:val="both"/>
        <w:rPr>
          <w:lang w:val="en-GB"/>
        </w:rPr>
      </w:pPr>
      <w:r w:rsidRPr="001D77AF">
        <w:rPr>
          <w:lang w:val="en-GB"/>
        </w:rPr>
        <w:t xml:space="preserve"> </w:t>
      </w:r>
      <w:r w:rsidR="0098627A" w:rsidRPr="001D77AF">
        <w:rPr>
          <w:lang w:val="en-GB"/>
        </w:rPr>
        <w:t>Hypothesis 1 argues that stronger formal IP institutions in a country will attract higher levels of US outward FDI</w:t>
      </w:r>
      <w:r w:rsidR="003115DE" w:rsidRPr="001D77AF">
        <w:rPr>
          <w:lang w:val="en-GB"/>
        </w:rPr>
        <w:t xml:space="preserve">. </w:t>
      </w:r>
      <w:r w:rsidR="0098627A" w:rsidRPr="001D77AF">
        <w:rPr>
          <w:lang w:val="en-GB"/>
        </w:rPr>
        <w:t>The results do not support hypothesis 1 (Table 4) as although the coefficient of FORMAL is significant</w:t>
      </w:r>
      <w:r w:rsidR="00875594" w:rsidRPr="001D77AF">
        <w:rPr>
          <w:lang w:val="en-GB"/>
        </w:rPr>
        <w:t xml:space="preserve"> at the 1</w:t>
      </w:r>
      <w:r w:rsidR="007F421F" w:rsidRPr="001D77AF">
        <w:rPr>
          <w:lang w:val="en-GB"/>
        </w:rPr>
        <w:t>%</w:t>
      </w:r>
      <w:r w:rsidR="00875594" w:rsidRPr="001D77AF">
        <w:rPr>
          <w:lang w:val="en-GB"/>
        </w:rPr>
        <w:t xml:space="preserve"> level</w:t>
      </w:r>
      <w:r w:rsidR="0098627A" w:rsidRPr="001D77AF">
        <w:rPr>
          <w:lang w:val="en-GB"/>
        </w:rPr>
        <w:t xml:space="preserve">, it is negative. </w:t>
      </w:r>
      <w:r w:rsidR="00BC2081" w:rsidRPr="001D77AF">
        <w:rPr>
          <w:lang w:val="en-GB"/>
        </w:rPr>
        <w:t xml:space="preserve">The findings support Hypothesis 2 </w:t>
      </w:r>
      <w:r w:rsidR="00ED5918" w:rsidRPr="001D77AF">
        <w:rPr>
          <w:lang w:val="en-GB"/>
        </w:rPr>
        <w:t>as the coefficient is significant and positive at the 1% level</w:t>
      </w:r>
      <w:r w:rsidR="002E1AC9" w:rsidRPr="001D77AF">
        <w:rPr>
          <w:lang w:val="en-GB"/>
        </w:rPr>
        <w:t>. This suggests</w:t>
      </w:r>
      <w:r w:rsidR="00ED5918" w:rsidRPr="001D77AF">
        <w:rPr>
          <w:lang w:val="en-GB"/>
        </w:rPr>
        <w:t xml:space="preserve"> </w:t>
      </w:r>
      <w:r w:rsidR="00BA0121" w:rsidRPr="001D77AF">
        <w:rPr>
          <w:lang w:val="en-GB"/>
        </w:rPr>
        <w:t xml:space="preserve">that informal institutions </w:t>
      </w:r>
      <w:r w:rsidR="004F2410" w:rsidRPr="001D77AF">
        <w:rPr>
          <w:lang w:val="en-GB"/>
        </w:rPr>
        <w:t>connected to effective enforcement</w:t>
      </w:r>
      <w:r w:rsidR="00176C9C" w:rsidRPr="001D77AF">
        <w:rPr>
          <w:lang w:val="en-GB"/>
        </w:rPr>
        <w:t xml:space="preserve"> exercise a positive effect on FDI</w:t>
      </w:r>
      <w:r w:rsidR="00ED5918" w:rsidRPr="001D77AF">
        <w:rPr>
          <w:lang w:val="en-GB"/>
        </w:rPr>
        <w:t xml:space="preserve"> due to the</w:t>
      </w:r>
      <w:r w:rsidR="002E1AC9" w:rsidRPr="001D77AF">
        <w:rPr>
          <w:lang w:val="en-GB"/>
        </w:rPr>
        <w:t>ir</w:t>
      </w:r>
      <w:r w:rsidR="00ED5918" w:rsidRPr="001D77AF">
        <w:rPr>
          <w:lang w:val="en-GB"/>
        </w:rPr>
        <w:t xml:space="preserve"> beneficial effect on defending IPR in legal systems</w:t>
      </w:r>
      <w:r w:rsidR="008B689D" w:rsidRPr="001D77AF">
        <w:rPr>
          <w:lang w:val="en-GB"/>
        </w:rPr>
        <w:t xml:space="preserve">. </w:t>
      </w:r>
      <w:r w:rsidR="009B546A" w:rsidRPr="001D77AF">
        <w:rPr>
          <w:lang w:val="en-GB"/>
        </w:rPr>
        <w:t>Hypothesis 3 relates to the main premise of the study</w:t>
      </w:r>
      <w:r w:rsidR="006C2EAB" w:rsidRPr="001D77AF">
        <w:rPr>
          <w:lang w:val="en-GB"/>
        </w:rPr>
        <w:t xml:space="preserve">, </w:t>
      </w:r>
      <w:r w:rsidR="009B546A" w:rsidRPr="001D77AF">
        <w:rPr>
          <w:lang w:val="en-GB"/>
        </w:rPr>
        <w:t xml:space="preserve">that informal institutional aspects of enforcement positively </w:t>
      </w:r>
      <w:r w:rsidR="00A97657" w:rsidRPr="001D77AF">
        <w:rPr>
          <w:lang w:val="en-GB"/>
        </w:rPr>
        <w:t xml:space="preserve">moderate </w:t>
      </w:r>
      <w:r w:rsidR="009B546A" w:rsidRPr="001D77AF">
        <w:rPr>
          <w:lang w:val="en-GB"/>
        </w:rPr>
        <w:t xml:space="preserve">the effect of the formal institutional legal aspects on FDI. The findings support hypotheses 3, with a positive effect at the 1% significance level. The marginal effect of INFORMAL = 0.0928 + 0.0966 x FORMAL; INFORMAL coefficient = 0.0928, p&lt;0.01; </w:t>
      </w:r>
      <w:r w:rsidR="009B546A" w:rsidRPr="001D77AF">
        <w:rPr>
          <w:rFonts w:eastAsia="Times New Roman"/>
          <w:bdr w:val="none" w:sz="0" w:space="0" w:color="auto"/>
          <w:lang w:val="en-GB" w:eastAsia="en-GB"/>
        </w:rPr>
        <w:t>FORMAL x INFORMAL interaction term coefficient = 0.0966,</w:t>
      </w:r>
      <w:r w:rsidR="009B546A" w:rsidRPr="001D77AF">
        <w:rPr>
          <w:lang w:val="en-GB"/>
        </w:rPr>
        <w:t xml:space="preserve"> p&lt;0.01. The results support the view that countries </w:t>
      </w:r>
      <w:r w:rsidR="006D4321" w:rsidRPr="001D77AF">
        <w:rPr>
          <w:lang w:val="en-GB"/>
        </w:rPr>
        <w:t>with</w:t>
      </w:r>
      <w:r w:rsidR="009B546A" w:rsidRPr="001D77AF">
        <w:rPr>
          <w:lang w:val="en-GB"/>
        </w:rPr>
        <w:t xml:space="preserve"> informal </w:t>
      </w:r>
      <w:r w:rsidR="006D4321" w:rsidRPr="001D77AF">
        <w:rPr>
          <w:lang w:val="en-GB"/>
        </w:rPr>
        <w:t xml:space="preserve">IP </w:t>
      </w:r>
      <w:r w:rsidR="009B546A" w:rsidRPr="001D77AF">
        <w:rPr>
          <w:lang w:val="en-GB"/>
        </w:rPr>
        <w:t xml:space="preserve">institutional aspects of enforcement that effectively legitimize and complement the formal legal aspects of IP law generate lower cost and risk to secure economic rights than countries that do not have such IPR systems. </w:t>
      </w:r>
    </w:p>
    <w:p w14:paraId="7831EB38" w14:textId="034DA0EF" w:rsidR="006D4321" w:rsidRPr="001D77AF" w:rsidRDefault="000F6E83" w:rsidP="009B546A">
      <w:pPr>
        <w:pStyle w:val="ListParagraph"/>
        <w:spacing w:line="480" w:lineRule="auto"/>
        <w:ind w:left="0" w:firstLine="720"/>
        <w:jc w:val="both"/>
        <w:rPr>
          <w:lang w:val="en-GB"/>
        </w:rPr>
      </w:pPr>
      <w:r w:rsidRPr="001D77AF">
        <w:rPr>
          <w:lang w:val="en-GB"/>
        </w:rPr>
        <w:t>The results regarding the control variables are generally consistent with the findings from previous empirical studies on FDI flows. The results suggest that US FDI outflows are influenced positively by host country GDP per capita, GDP growth and GDP (e.g. Loree &amp; Guisinger, 1995; Resmini, 2000) and negatively by geographical distance, regulative distance (e.g. Campos &amp; Kinoshita, 2004; Oh et al., 2011) and cultural distance (e.g. Loree &amp; Guisinger, 1995; Xu &amp; Shenkar, 2002).</w:t>
      </w:r>
    </w:p>
    <w:p w14:paraId="593A445E" w14:textId="16A12FE9" w:rsidR="000F6E83" w:rsidRPr="001D77AF" w:rsidRDefault="000F6E83" w:rsidP="009B546A">
      <w:pPr>
        <w:pStyle w:val="ListParagraph"/>
        <w:spacing w:line="480" w:lineRule="auto"/>
        <w:ind w:left="0" w:firstLine="720"/>
        <w:jc w:val="both"/>
        <w:rPr>
          <w:lang w:val="en-GB"/>
        </w:rPr>
      </w:pPr>
    </w:p>
    <w:p w14:paraId="098FA04D" w14:textId="50062867" w:rsidR="009D7CCB" w:rsidRPr="001D77AF" w:rsidRDefault="000C2C29" w:rsidP="0098627A">
      <w:pPr>
        <w:pStyle w:val="ListParagraph"/>
        <w:spacing w:line="480" w:lineRule="auto"/>
        <w:ind w:left="0"/>
        <w:jc w:val="both"/>
        <w:rPr>
          <w:b/>
          <w:lang w:val="en-GB"/>
        </w:rPr>
      </w:pPr>
      <w:r w:rsidRPr="001D77AF">
        <w:rPr>
          <w:b/>
          <w:lang w:val="en-GB"/>
        </w:rPr>
        <w:lastRenderedPageBreak/>
        <w:t>6</w:t>
      </w:r>
      <w:r w:rsidR="00F53A88" w:rsidRPr="001D77AF">
        <w:rPr>
          <w:b/>
          <w:lang w:val="en-GB"/>
        </w:rPr>
        <w:t>.</w:t>
      </w:r>
      <w:r w:rsidRPr="001D77AF">
        <w:rPr>
          <w:b/>
          <w:lang w:val="en-GB"/>
        </w:rPr>
        <w:t xml:space="preserve"> </w:t>
      </w:r>
      <w:r w:rsidR="00F53A88" w:rsidRPr="001D77AF">
        <w:rPr>
          <w:b/>
          <w:lang w:val="en-GB"/>
        </w:rPr>
        <w:tab/>
      </w:r>
      <w:r w:rsidRPr="001D77AF">
        <w:rPr>
          <w:b/>
          <w:lang w:val="en-GB"/>
        </w:rPr>
        <w:t>Discussion</w:t>
      </w:r>
    </w:p>
    <w:p w14:paraId="57B1FB57" w14:textId="6BDE8EAE" w:rsidR="00362C6F" w:rsidRPr="001D77AF" w:rsidRDefault="00A65F3E" w:rsidP="00020891">
      <w:pPr>
        <w:pStyle w:val="ListParagraph"/>
        <w:spacing w:line="480" w:lineRule="auto"/>
        <w:ind w:left="0"/>
        <w:jc w:val="both"/>
        <w:rPr>
          <w:lang w:val="en-GB"/>
        </w:rPr>
      </w:pPr>
      <w:r w:rsidRPr="00E83C55">
        <w:rPr>
          <w:lang w:val="en-GB" w:eastAsia="en-GB"/>
        </w:rPr>
        <w:t xml:space="preserve">The significant but negative sign for FORMAL does not support H1 and at first inspection is an unexpected result. Some studies have found significant but negative signs for some versions of the models </w:t>
      </w:r>
      <w:r>
        <w:t xml:space="preserve">that </w:t>
      </w:r>
      <w:r w:rsidRPr="00E83C55">
        <w:rPr>
          <w:lang w:val="en-GB" w:eastAsia="en-GB"/>
        </w:rPr>
        <w:t xml:space="preserve">tested for </w:t>
      </w:r>
      <w:r>
        <w:t xml:space="preserve">the effect </w:t>
      </w:r>
      <w:r w:rsidRPr="00E83C55">
        <w:rPr>
          <w:lang w:val="en-GB" w:eastAsia="en-GB"/>
        </w:rPr>
        <w:t xml:space="preserve">formal legal </w:t>
      </w:r>
      <w:r>
        <w:t xml:space="preserve">rights </w:t>
      </w:r>
      <w:r w:rsidRPr="00E83C55">
        <w:rPr>
          <w:lang w:val="en-GB"/>
        </w:rPr>
        <w:t xml:space="preserve">(Branstetter et al., 2007; Nunnenkamp &amp; Spatz, 2004; Smarzynska-Javorcik, 2004). </w:t>
      </w:r>
      <w:r w:rsidRPr="00E83C55">
        <w:t xml:space="preserve"> A few s</w:t>
      </w:r>
      <w:r w:rsidR="00A0656D" w:rsidRPr="00E83C55">
        <w:rPr>
          <w:lang w:val="en-GB"/>
        </w:rPr>
        <w:t>tudies</w:t>
      </w:r>
      <w:r w:rsidRPr="00E83C55">
        <w:rPr>
          <w:lang w:val="en-GB"/>
        </w:rPr>
        <w:t xml:space="preserve"> find consistent support for a positive and significant relationship between formal legal rights and FDI only when variables connected to industry or technology contexts moderated the relationship (Khoury &amp; Peng, 2011; Ushijima, 2013). The</w:t>
      </w:r>
      <w:r w:rsidRPr="00E83C55">
        <w:t xml:space="preserve"> </w:t>
      </w:r>
      <w:r w:rsidRPr="00E83C55">
        <w:rPr>
          <w:lang w:val="en-GB"/>
        </w:rPr>
        <w:t xml:space="preserve">findings </w:t>
      </w:r>
      <w:r w:rsidRPr="00E83C55">
        <w:t xml:space="preserve">of these studies </w:t>
      </w:r>
      <w:r w:rsidRPr="00E83C55">
        <w:rPr>
          <w:lang w:val="en-GB"/>
        </w:rPr>
        <w:t xml:space="preserve">suggest that moderating factors are important for understanding how formal legal rights affect FDI. </w:t>
      </w:r>
      <w:r>
        <w:t>Sense can be made of t</w:t>
      </w:r>
      <w:r w:rsidRPr="00E83C55">
        <w:t xml:space="preserve">he </w:t>
      </w:r>
      <w:r>
        <w:t xml:space="preserve">negative </w:t>
      </w:r>
      <w:r w:rsidRPr="00E83C55">
        <w:t xml:space="preserve">result </w:t>
      </w:r>
      <w:r>
        <w:t xml:space="preserve">found in </w:t>
      </w:r>
      <w:r w:rsidRPr="00E83C55">
        <w:t xml:space="preserve">this study </w:t>
      </w:r>
      <w:r>
        <w:t xml:space="preserve">by considering the </w:t>
      </w:r>
      <w:r w:rsidR="0048005D">
        <w:t xml:space="preserve">influence </w:t>
      </w:r>
      <w:r>
        <w:t xml:space="preserve">of the </w:t>
      </w:r>
      <w:r w:rsidRPr="00E83C55">
        <w:t>moderating variable</w:t>
      </w:r>
      <w:r w:rsidR="001442E7">
        <w:t xml:space="preserve"> used in this study, that is, </w:t>
      </w:r>
      <w:r>
        <w:t>i</w:t>
      </w:r>
      <w:r w:rsidRPr="00E83C55">
        <w:t>nformal institution</w:t>
      </w:r>
      <w:r w:rsidR="00767827">
        <w:t>s</w:t>
      </w:r>
      <w:r w:rsidRPr="00E83C55">
        <w:t xml:space="preserve">. </w:t>
      </w:r>
      <w:r>
        <w:t xml:space="preserve">Using informal institutions as a moderator, like using industry and technology as moderators, helps </w:t>
      </w:r>
      <w:r w:rsidRPr="00E83C55">
        <w:t xml:space="preserve">to </w:t>
      </w:r>
      <w:r>
        <w:t xml:space="preserve">make sense of </w:t>
      </w:r>
      <w:r w:rsidRPr="00E83C55">
        <w:t xml:space="preserve">the conditions under which formal legal rights affect FDI. The discussion on hypothesis 3 focuses on this issue.    </w:t>
      </w:r>
    </w:p>
    <w:p w14:paraId="51B8DBCF" w14:textId="6CE0FE57" w:rsidR="008C364A" w:rsidRPr="001D77AF" w:rsidRDefault="00485EE3" w:rsidP="008D03B5">
      <w:pPr>
        <w:pStyle w:val="ListParagraph"/>
        <w:spacing w:line="480" w:lineRule="auto"/>
        <w:ind w:left="0" w:firstLine="720"/>
        <w:jc w:val="both"/>
        <w:rPr>
          <w:lang w:val="en-GB"/>
        </w:rPr>
      </w:pPr>
      <w:r w:rsidRPr="001D77AF">
        <w:rPr>
          <w:lang w:val="en-GB"/>
        </w:rPr>
        <w:t xml:space="preserve">With regards to H2, </w:t>
      </w:r>
      <w:r w:rsidR="006532B1">
        <w:rPr>
          <w:lang w:val="en-GB"/>
        </w:rPr>
        <w:t xml:space="preserve">the findings </w:t>
      </w:r>
      <w:r w:rsidR="00501C21">
        <w:rPr>
          <w:lang w:val="en-GB"/>
        </w:rPr>
        <w:t xml:space="preserve">support the view </w:t>
      </w:r>
      <w:r w:rsidR="00E37243" w:rsidRPr="001D77AF">
        <w:rPr>
          <w:lang w:val="en-GB"/>
        </w:rPr>
        <w:t xml:space="preserve">that using informal institutional measures specifically related to the phenomenon </w:t>
      </w:r>
      <w:r w:rsidR="00CF1FF3" w:rsidRPr="001D77AF">
        <w:rPr>
          <w:lang w:val="en-GB"/>
        </w:rPr>
        <w:t>under</w:t>
      </w:r>
      <w:r w:rsidR="00C6180E" w:rsidRPr="001D77AF">
        <w:rPr>
          <w:lang w:val="en-GB"/>
        </w:rPr>
        <w:t xml:space="preserve"> examin</w:t>
      </w:r>
      <w:r w:rsidR="00CF1FF3" w:rsidRPr="001D77AF">
        <w:rPr>
          <w:lang w:val="en-GB"/>
        </w:rPr>
        <w:t>ation</w:t>
      </w:r>
      <w:r w:rsidR="00C6180E" w:rsidRPr="001D77AF">
        <w:rPr>
          <w:lang w:val="en-GB"/>
        </w:rPr>
        <w:t xml:space="preserve"> </w:t>
      </w:r>
      <w:r w:rsidR="00E37243" w:rsidRPr="001D77AF">
        <w:rPr>
          <w:lang w:val="en-GB"/>
        </w:rPr>
        <w:t>(Shirley, 2013; Voi</w:t>
      </w:r>
      <w:r w:rsidR="00C6180E" w:rsidRPr="001D77AF">
        <w:rPr>
          <w:lang w:val="en-GB"/>
        </w:rPr>
        <w:t>gt, 2013</w:t>
      </w:r>
      <w:r w:rsidR="00B520E1">
        <w:rPr>
          <w:lang w:val="en-GB"/>
        </w:rPr>
        <w:t xml:space="preserve"> &amp; 2018</w:t>
      </w:r>
      <w:r w:rsidR="00C6180E" w:rsidRPr="001D77AF">
        <w:rPr>
          <w:lang w:val="en-GB"/>
        </w:rPr>
        <w:t xml:space="preserve">) </w:t>
      </w:r>
      <w:r w:rsidRPr="001D77AF">
        <w:rPr>
          <w:lang w:val="en-GB"/>
        </w:rPr>
        <w:t xml:space="preserve">enables the identification of </w:t>
      </w:r>
      <w:r w:rsidR="00C6180E" w:rsidRPr="001D77AF">
        <w:rPr>
          <w:lang w:val="en-GB"/>
        </w:rPr>
        <w:t xml:space="preserve">a significant </w:t>
      </w:r>
      <w:r w:rsidRPr="001D77AF">
        <w:rPr>
          <w:lang w:val="en-GB"/>
        </w:rPr>
        <w:t xml:space="preserve">positive </w:t>
      </w:r>
      <w:r w:rsidR="00C6180E" w:rsidRPr="001D77AF">
        <w:rPr>
          <w:lang w:val="en-GB"/>
        </w:rPr>
        <w:t xml:space="preserve">relationship. </w:t>
      </w:r>
      <w:r w:rsidRPr="001D77AF">
        <w:rPr>
          <w:lang w:val="en-GB"/>
        </w:rPr>
        <w:t xml:space="preserve">This finding illustrates that the </w:t>
      </w:r>
      <w:r w:rsidR="005E6B4F">
        <w:rPr>
          <w:lang w:val="en-GB"/>
        </w:rPr>
        <w:t>behaviour</w:t>
      </w:r>
      <w:r w:rsidRPr="001D77AF">
        <w:rPr>
          <w:lang w:val="en-GB"/>
        </w:rPr>
        <w:t xml:space="preserve"> of </w:t>
      </w:r>
      <w:r w:rsidR="00E41C1F" w:rsidRPr="001D77AF">
        <w:rPr>
          <w:lang w:val="en-GB"/>
        </w:rPr>
        <w:t xml:space="preserve">IP </w:t>
      </w:r>
      <w:r w:rsidRPr="001D77AF">
        <w:rPr>
          <w:lang w:val="en-GB"/>
        </w:rPr>
        <w:t>enforcement agents in legal systems used to defend IPR influences FDI location</w:t>
      </w:r>
      <w:r w:rsidR="00E41C1F" w:rsidRPr="001D77AF">
        <w:rPr>
          <w:lang w:val="en-GB"/>
        </w:rPr>
        <w:t>.</w:t>
      </w:r>
      <w:r w:rsidRPr="001D77AF">
        <w:rPr>
          <w:lang w:val="en-GB"/>
        </w:rPr>
        <w:t xml:space="preserve"> </w:t>
      </w:r>
      <w:r w:rsidR="00C6180E" w:rsidRPr="001D77AF">
        <w:rPr>
          <w:lang w:val="en-GB"/>
        </w:rPr>
        <w:t xml:space="preserve">The findings accord with the </w:t>
      </w:r>
      <w:r w:rsidR="00E05909" w:rsidRPr="001D77AF">
        <w:rPr>
          <w:lang w:val="en-GB"/>
        </w:rPr>
        <w:t xml:space="preserve">economic </w:t>
      </w:r>
      <w:r w:rsidR="00C6180E" w:rsidRPr="001D77AF">
        <w:rPr>
          <w:lang w:val="en-GB"/>
        </w:rPr>
        <w:t>rights approach (outlined in section 2)</w:t>
      </w:r>
      <w:r w:rsidR="005610EF" w:rsidRPr="001D77AF">
        <w:rPr>
          <w:lang w:val="en-GB"/>
        </w:rPr>
        <w:t>, that t</w:t>
      </w:r>
      <w:r w:rsidR="00C6180E" w:rsidRPr="001D77AF">
        <w:rPr>
          <w:lang w:val="en-GB"/>
        </w:rPr>
        <w:t>he use of unwritten rules by enforcement agents affect the costs and risk of securing economic rights when recourse to court</w:t>
      </w:r>
      <w:r w:rsidR="005610EF" w:rsidRPr="001D77AF">
        <w:rPr>
          <w:lang w:val="en-GB"/>
        </w:rPr>
        <w:t xml:space="preserve">s </w:t>
      </w:r>
      <w:r w:rsidRPr="001D77AF">
        <w:rPr>
          <w:lang w:val="en-GB"/>
        </w:rPr>
        <w:t xml:space="preserve">is </w:t>
      </w:r>
      <w:r w:rsidR="00C6180E" w:rsidRPr="001D77AF">
        <w:rPr>
          <w:lang w:val="en-GB"/>
        </w:rPr>
        <w:t>necessary</w:t>
      </w:r>
      <w:r w:rsidR="00CD6463" w:rsidRPr="001D77AF">
        <w:rPr>
          <w:lang w:val="en-GB"/>
        </w:rPr>
        <w:t xml:space="preserve">. This result </w:t>
      </w:r>
      <w:r w:rsidR="00156C8C" w:rsidRPr="001D77AF">
        <w:rPr>
          <w:lang w:val="en-GB"/>
        </w:rPr>
        <w:t>supports</w:t>
      </w:r>
      <w:r w:rsidR="00055DB8" w:rsidRPr="001D77AF">
        <w:rPr>
          <w:lang w:val="en-GB"/>
        </w:rPr>
        <w:t xml:space="preserve"> the view that</w:t>
      </w:r>
      <w:r w:rsidR="00E41C1F" w:rsidRPr="001D77AF">
        <w:rPr>
          <w:lang w:val="en-GB"/>
        </w:rPr>
        <w:t xml:space="preserve"> the</w:t>
      </w:r>
      <w:r w:rsidR="00055DB8" w:rsidRPr="001D77AF">
        <w:rPr>
          <w:lang w:val="en-GB"/>
        </w:rPr>
        <w:t xml:space="preserve"> </w:t>
      </w:r>
      <w:r w:rsidR="00156C8C" w:rsidRPr="001D77AF">
        <w:rPr>
          <w:lang w:val="en-GB"/>
        </w:rPr>
        <w:t>incorporation of informal inst</w:t>
      </w:r>
      <w:r w:rsidR="009818FE" w:rsidRPr="001D77AF">
        <w:rPr>
          <w:lang w:val="en-GB"/>
        </w:rPr>
        <w:t xml:space="preserve">itutional </w:t>
      </w:r>
      <w:r w:rsidR="00156C8C" w:rsidRPr="001D77AF">
        <w:rPr>
          <w:lang w:val="en-GB"/>
        </w:rPr>
        <w:t>considerations</w:t>
      </w:r>
      <w:r w:rsidR="009818FE" w:rsidRPr="001D77AF">
        <w:rPr>
          <w:lang w:val="en-GB"/>
        </w:rPr>
        <w:t xml:space="preserve"> </w:t>
      </w:r>
      <w:r w:rsidR="00CD30B7" w:rsidRPr="001D77AF">
        <w:rPr>
          <w:lang w:val="en-GB"/>
        </w:rPr>
        <w:t xml:space="preserve">connected to the </w:t>
      </w:r>
      <w:r w:rsidR="005E6B4F">
        <w:rPr>
          <w:lang w:val="en-GB"/>
        </w:rPr>
        <w:t>behaviour</w:t>
      </w:r>
      <w:r w:rsidR="00CD30B7" w:rsidRPr="001D77AF">
        <w:rPr>
          <w:lang w:val="en-GB"/>
        </w:rPr>
        <w:t xml:space="preserve"> of enforcement agents </w:t>
      </w:r>
      <w:r w:rsidR="009F1D16" w:rsidRPr="001D77AF">
        <w:rPr>
          <w:lang w:val="en-GB"/>
        </w:rPr>
        <w:t xml:space="preserve">is helpful to better understand how IPR regimes affect </w:t>
      </w:r>
      <w:r w:rsidR="00C23E4D" w:rsidRPr="001D77AF">
        <w:rPr>
          <w:lang w:val="en-GB"/>
        </w:rPr>
        <w:t>FDI (</w:t>
      </w:r>
      <w:r w:rsidR="0094100C" w:rsidRPr="001D77AF">
        <w:rPr>
          <w:lang w:val="en-GB"/>
        </w:rPr>
        <w:t>Peng et al., 2017a</w:t>
      </w:r>
      <w:r w:rsidR="00F757B4">
        <w:rPr>
          <w:lang w:val="en-GB"/>
        </w:rPr>
        <w:t>, S</w:t>
      </w:r>
      <w:r w:rsidR="00296A3B">
        <w:rPr>
          <w:lang w:val="en-GB"/>
        </w:rPr>
        <w:t>eyoum, 2011</w:t>
      </w:r>
      <w:r w:rsidR="0094100C" w:rsidRPr="001D77AF">
        <w:rPr>
          <w:lang w:val="en-GB"/>
        </w:rPr>
        <w:t>).</w:t>
      </w:r>
    </w:p>
    <w:p w14:paraId="09102319" w14:textId="64555B17" w:rsidR="00063A7B" w:rsidRPr="001D77AF" w:rsidRDefault="00C079C5" w:rsidP="005646F5">
      <w:pPr>
        <w:pStyle w:val="ListParagraph"/>
        <w:spacing w:line="480" w:lineRule="auto"/>
        <w:ind w:left="0" w:firstLine="720"/>
        <w:jc w:val="both"/>
        <w:rPr>
          <w:lang w:val="en-GB"/>
        </w:rPr>
      </w:pPr>
      <w:r w:rsidRPr="001D77AF">
        <w:rPr>
          <w:lang w:val="en-GB"/>
        </w:rPr>
        <w:t>The results for H3</w:t>
      </w:r>
      <w:r w:rsidR="004C708C" w:rsidRPr="001D77AF">
        <w:rPr>
          <w:lang w:val="en-GB"/>
        </w:rPr>
        <w:t xml:space="preserve"> show that the</w:t>
      </w:r>
      <w:r w:rsidR="009B5D29" w:rsidRPr="001D77AF">
        <w:rPr>
          <w:lang w:val="en-GB"/>
        </w:rPr>
        <w:t xml:space="preserve"> marginal effects </w:t>
      </w:r>
      <w:r w:rsidR="00C2410A" w:rsidRPr="001D77AF">
        <w:rPr>
          <w:lang w:val="en-GB"/>
        </w:rPr>
        <w:t>on</w:t>
      </w:r>
      <w:r w:rsidR="009B5D29" w:rsidRPr="001D77AF">
        <w:rPr>
          <w:lang w:val="en-GB"/>
        </w:rPr>
        <w:t xml:space="preserve"> the formal legal aspects of IP law (FORMAL) on FDI range from -0.20 to 0.51 (Figure 1). The marginal results show that the strength of formal IP institutions has a positive or negative effect in attracting US outward FDI, </w:t>
      </w:r>
      <w:r w:rsidR="009B5D29" w:rsidRPr="001D77AF">
        <w:rPr>
          <w:lang w:val="en-GB"/>
        </w:rPr>
        <w:lastRenderedPageBreak/>
        <w:t>depending on the strength of the informal institutional aspects of enforcement (INFORMAL). The strength of FORMAL has a positive effect on US outward FDI in countries where the strength of INFORMAL is greater than 4.6 (the marginal effect of FORMAL=-0.450 + 0.966</w:t>
      </w:r>
      <w:r w:rsidR="0069628C">
        <w:rPr>
          <w:lang w:val="en-GB"/>
        </w:rPr>
        <w:t>*</w:t>
      </w:r>
      <w:r w:rsidR="009B5D29" w:rsidRPr="001D77AF">
        <w:rPr>
          <w:lang w:val="en-GB"/>
        </w:rPr>
        <w:t>INFORMAL; setting this equation equal to zero gives INFORMAL=4.6). There is</w:t>
      </w:r>
      <w:r w:rsidR="0069628C">
        <w:rPr>
          <w:lang w:val="en-GB"/>
        </w:rPr>
        <w:t>,</w:t>
      </w:r>
      <w:r w:rsidR="009B5D29" w:rsidRPr="001D77AF">
        <w:rPr>
          <w:lang w:val="en-GB"/>
        </w:rPr>
        <w:t xml:space="preserve"> however, a negative effect in countries where INFORMAL is less than 4.6. In other words, “legal</w:t>
      </w:r>
      <w:r w:rsidR="0069628C">
        <w:rPr>
          <w:lang w:val="en-GB"/>
        </w:rPr>
        <w:t>”</w:t>
      </w:r>
      <w:r w:rsidR="009B5D29" w:rsidRPr="001D77AF">
        <w:rPr>
          <w:lang w:val="en-GB"/>
        </w:rPr>
        <w:t xml:space="preserve"> or “formal” institutions that do not have strong “informal” support do not provide the means for effective protection of IPR. Such formal institutions are in effect not sufficient to provide foreign firms with the means to secure economic rights with low costs and risk. </w:t>
      </w:r>
      <w:r w:rsidR="00C1704F">
        <w:rPr>
          <w:lang w:val="en-GB"/>
        </w:rPr>
        <w:t>The</w:t>
      </w:r>
      <w:r w:rsidR="002C2AAE">
        <w:rPr>
          <w:lang w:val="en-GB"/>
        </w:rPr>
        <w:t>y</w:t>
      </w:r>
      <w:r w:rsidR="00C1704F">
        <w:rPr>
          <w:lang w:val="en-GB"/>
        </w:rPr>
        <w:t xml:space="preserve"> are in effect </w:t>
      </w:r>
      <w:r w:rsidR="002C2AAE">
        <w:rPr>
          <w:lang w:val="en-GB"/>
        </w:rPr>
        <w:t>‘</w:t>
      </w:r>
      <w:r w:rsidR="001E4165">
        <w:rPr>
          <w:lang w:val="en-GB"/>
        </w:rPr>
        <w:t xml:space="preserve">unsupported legislative declarations’ (Hodgson, 2006, p18) </w:t>
      </w:r>
      <w:r w:rsidR="00177B3E">
        <w:rPr>
          <w:lang w:val="en-GB"/>
        </w:rPr>
        <w:t xml:space="preserve">that </w:t>
      </w:r>
      <w:r w:rsidR="00B92060">
        <w:rPr>
          <w:lang w:val="en-GB"/>
        </w:rPr>
        <w:t xml:space="preserve">often </w:t>
      </w:r>
      <w:r w:rsidR="00177B3E">
        <w:rPr>
          <w:lang w:val="en-GB"/>
        </w:rPr>
        <w:t>lack the ability</w:t>
      </w:r>
      <w:r w:rsidR="00296D3F">
        <w:rPr>
          <w:lang w:val="en-GB"/>
        </w:rPr>
        <w:t xml:space="preserve"> </w:t>
      </w:r>
      <w:r w:rsidR="000918F6">
        <w:rPr>
          <w:lang w:val="en-GB"/>
        </w:rPr>
        <w:t xml:space="preserve">to provide the protection of IPR sought by asset </w:t>
      </w:r>
      <w:r w:rsidR="00B92060">
        <w:rPr>
          <w:lang w:val="en-GB"/>
        </w:rPr>
        <w:t xml:space="preserve">owners. </w:t>
      </w:r>
      <w:r w:rsidR="009B5D29" w:rsidRPr="001D77AF">
        <w:rPr>
          <w:lang w:val="en-GB"/>
        </w:rPr>
        <w:t xml:space="preserve">Strengthening IP laws signals a country’s willingness to provide a </w:t>
      </w:r>
      <w:r w:rsidR="0069628C" w:rsidRPr="0069628C">
        <w:rPr>
          <w:lang w:val="en-GB"/>
        </w:rPr>
        <w:t>favourable</w:t>
      </w:r>
      <w:r w:rsidR="009B5D29" w:rsidRPr="001D77AF">
        <w:rPr>
          <w:lang w:val="en-GB"/>
        </w:rPr>
        <w:t xml:space="preserve"> environment for IP owners including foreign investors, but in the absence of adequate supporting informal institutions, such </w:t>
      </w:r>
      <w:r w:rsidR="0069628C" w:rsidRPr="0069628C">
        <w:rPr>
          <w:lang w:val="en-GB"/>
        </w:rPr>
        <w:t>signalling</w:t>
      </w:r>
      <w:r w:rsidR="009B5D29" w:rsidRPr="001D77AF">
        <w:rPr>
          <w:lang w:val="en-GB"/>
        </w:rPr>
        <w:t xml:space="preserve"> can be ineffective for attracting FDI. This is because countries with strong IP laws, but with weak informal institutions connected to </w:t>
      </w:r>
      <w:r w:rsidR="004643DD" w:rsidRPr="001D77AF">
        <w:rPr>
          <w:lang w:val="en-GB"/>
        </w:rPr>
        <w:t xml:space="preserve">IP </w:t>
      </w:r>
      <w:r w:rsidR="009B5D29" w:rsidRPr="001D77AF">
        <w:rPr>
          <w:lang w:val="en-GB"/>
        </w:rPr>
        <w:t xml:space="preserve">enforcement can experience a high volume of IP infringements </w:t>
      </w:r>
      <w:r w:rsidR="004643DD" w:rsidRPr="001D77AF">
        <w:rPr>
          <w:lang w:val="en-GB"/>
        </w:rPr>
        <w:t xml:space="preserve">that are </w:t>
      </w:r>
      <w:r w:rsidR="009B5D29" w:rsidRPr="001D77AF">
        <w:rPr>
          <w:lang w:val="en-GB"/>
        </w:rPr>
        <w:t>not deterred and/or adequately compensated by courts and other agencies.</w:t>
      </w:r>
      <w:r w:rsidR="00821E16" w:rsidRPr="001D77AF">
        <w:rPr>
          <w:lang w:val="en-GB"/>
        </w:rPr>
        <w:t xml:space="preserve"> </w:t>
      </w:r>
      <w:r w:rsidR="004B0B82" w:rsidRPr="001D77AF">
        <w:rPr>
          <w:lang w:val="en-GB"/>
        </w:rPr>
        <w:t>The findings support the view (</w:t>
      </w:r>
      <w:r w:rsidR="00485EE3" w:rsidRPr="001D77AF">
        <w:rPr>
          <w:lang w:val="en-GB"/>
        </w:rPr>
        <w:t>discussed</w:t>
      </w:r>
      <w:r w:rsidR="004B0B82" w:rsidRPr="001D77AF">
        <w:rPr>
          <w:lang w:val="en-GB"/>
        </w:rPr>
        <w:t xml:space="preserve"> in section </w:t>
      </w:r>
      <w:r w:rsidR="00F149E6" w:rsidRPr="001D77AF">
        <w:rPr>
          <w:lang w:val="en-GB"/>
        </w:rPr>
        <w:t>3) that positive effects</w:t>
      </w:r>
      <w:r w:rsidR="007656E4" w:rsidRPr="001D77AF">
        <w:rPr>
          <w:lang w:val="en-GB"/>
        </w:rPr>
        <w:t xml:space="preserve"> from formal legal rights </w:t>
      </w:r>
      <w:r w:rsidR="00DB6525" w:rsidRPr="001D77AF">
        <w:rPr>
          <w:lang w:val="en-GB"/>
        </w:rPr>
        <w:t xml:space="preserve">that provide clear and comprehensive </w:t>
      </w:r>
      <w:r w:rsidR="00480775" w:rsidRPr="001D77AF">
        <w:rPr>
          <w:lang w:val="en-GB"/>
        </w:rPr>
        <w:t xml:space="preserve">IPR </w:t>
      </w:r>
      <w:r w:rsidR="007656E4" w:rsidRPr="001D77AF">
        <w:rPr>
          <w:lang w:val="en-GB"/>
        </w:rPr>
        <w:t xml:space="preserve">depend on informal institutions </w:t>
      </w:r>
      <w:r w:rsidR="00887889" w:rsidRPr="001D77AF">
        <w:rPr>
          <w:lang w:val="en-GB"/>
        </w:rPr>
        <w:t xml:space="preserve">that </w:t>
      </w:r>
      <w:r w:rsidR="002C6FEB" w:rsidRPr="001D77AF">
        <w:rPr>
          <w:lang w:val="en-GB"/>
        </w:rPr>
        <w:t xml:space="preserve">legitimize and </w:t>
      </w:r>
      <w:r w:rsidR="005436FE" w:rsidRPr="001D77AF">
        <w:rPr>
          <w:lang w:val="en-GB"/>
        </w:rPr>
        <w:t xml:space="preserve">support </w:t>
      </w:r>
      <w:r w:rsidR="00887889" w:rsidRPr="001D77AF">
        <w:rPr>
          <w:lang w:val="en-GB"/>
        </w:rPr>
        <w:t>these rights</w:t>
      </w:r>
      <w:r w:rsidR="00480775" w:rsidRPr="001D77AF">
        <w:rPr>
          <w:lang w:val="en-GB"/>
        </w:rPr>
        <w:t xml:space="preserve"> and thereby effectively enforce IP law</w:t>
      </w:r>
      <w:r w:rsidR="00DB6525" w:rsidRPr="001D77AF">
        <w:rPr>
          <w:lang w:val="en-GB"/>
        </w:rPr>
        <w:t>.</w:t>
      </w:r>
    </w:p>
    <w:p w14:paraId="3D9376EF" w14:textId="431A9EE4" w:rsidR="008A6A61" w:rsidRPr="001D77AF" w:rsidRDefault="008A6A61" w:rsidP="00B1044C">
      <w:pPr>
        <w:spacing w:line="480" w:lineRule="auto"/>
        <w:jc w:val="both"/>
        <w:rPr>
          <w:lang w:val="en-GB"/>
        </w:rPr>
      </w:pPr>
      <w:r w:rsidRPr="001D77AF">
        <w:rPr>
          <w:rFonts w:eastAsia="Calibri"/>
          <w:b/>
          <w:bdr w:val="none" w:sz="0" w:space="0" w:color="auto"/>
          <w:lang w:val="en-GB"/>
        </w:rPr>
        <w:t>-----------------------------------Figure 1 goes about here-----------------------------</w:t>
      </w:r>
    </w:p>
    <w:p w14:paraId="02D39E4B" w14:textId="3B4090E2" w:rsidR="005408D0" w:rsidRPr="001D77AF" w:rsidRDefault="00232038" w:rsidP="000B2AC1">
      <w:pPr>
        <w:pStyle w:val="ListParagraph"/>
        <w:spacing w:line="480" w:lineRule="auto"/>
        <w:ind w:left="0" w:firstLine="720"/>
        <w:jc w:val="both"/>
        <w:rPr>
          <w:lang w:val="en-GB"/>
        </w:rPr>
      </w:pPr>
      <w:r w:rsidRPr="001D77AF">
        <w:rPr>
          <w:lang w:val="en-GB"/>
        </w:rPr>
        <w:t>Th</w:t>
      </w:r>
      <w:r w:rsidR="008D21B3" w:rsidRPr="001D77AF">
        <w:rPr>
          <w:lang w:val="en-GB"/>
        </w:rPr>
        <w:t>e</w:t>
      </w:r>
      <w:r w:rsidRPr="001D77AF">
        <w:rPr>
          <w:lang w:val="en-GB"/>
        </w:rPr>
        <w:t xml:space="preserve"> </w:t>
      </w:r>
      <w:r w:rsidR="0075343F" w:rsidRPr="001D77AF">
        <w:rPr>
          <w:lang w:val="en-GB"/>
        </w:rPr>
        <w:t>findings reported in this paper are</w:t>
      </w:r>
      <w:r w:rsidR="008D21B3" w:rsidRPr="001D77AF">
        <w:rPr>
          <w:lang w:val="en-GB"/>
        </w:rPr>
        <w:t xml:space="preserve"> the first to </w:t>
      </w:r>
      <w:r w:rsidR="0069628C">
        <w:rPr>
          <w:lang w:val="en-GB"/>
        </w:rPr>
        <w:t xml:space="preserve">show a </w:t>
      </w:r>
      <w:r w:rsidR="008D21B3" w:rsidRPr="001D77AF">
        <w:rPr>
          <w:lang w:val="en-GB"/>
        </w:rPr>
        <w:t>moderat</w:t>
      </w:r>
      <w:r w:rsidR="0069628C">
        <w:rPr>
          <w:lang w:val="en-GB"/>
        </w:rPr>
        <w:t>ing</w:t>
      </w:r>
      <w:r w:rsidR="0075343F" w:rsidRPr="001D77AF">
        <w:rPr>
          <w:lang w:val="en-GB"/>
        </w:rPr>
        <w:t xml:space="preserve"> </w:t>
      </w:r>
      <w:r w:rsidR="004531BA">
        <w:rPr>
          <w:lang w:val="en-GB"/>
        </w:rPr>
        <w:t>effect from informal institutions o</w:t>
      </w:r>
      <w:r w:rsidR="000D44EB">
        <w:rPr>
          <w:lang w:val="en-GB"/>
        </w:rPr>
        <w:t>n</w:t>
      </w:r>
      <w:r w:rsidR="00C40E7A" w:rsidRPr="001D77AF">
        <w:rPr>
          <w:lang w:val="en-GB"/>
        </w:rPr>
        <w:t xml:space="preserve"> </w:t>
      </w:r>
      <w:r w:rsidR="008D21B3" w:rsidRPr="001D77AF">
        <w:rPr>
          <w:lang w:val="en-GB"/>
        </w:rPr>
        <w:t xml:space="preserve">formal </w:t>
      </w:r>
      <w:r w:rsidR="00C40E7A" w:rsidRPr="001D77AF">
        <w:rPr>
          <w:lang w:val="en-GB"/>
        </w:rPr>
        <w:t xml:space="preserve">institutional legal </w:t>
      </w:r>
      <w:r w:rsidR="008D21B3" w:rsidRPr="001D77AF">
        <w:rPr>
          <w:lang w:val="en-GB"/>
        </w:rPr>
        <w:t xml:space="preserve">aspects of IP law </w:t>
      </w:r>
      <w:r w:rsidR="00C40E7A" w:rsidRPr="001D77AF">
        <w:rPr>
          <w:lang w:val="en-GB"/>
        </w:rPr>
        <w:t>o</w:t>
      </w:r>
      <w:r w:rsidR="009B5D29" w:rsidRPr="001D77AF">
        <w:rPr>
          <w:lang w:val="en-GB"/>
        </w:rPr>
        <w:t>n</w:t>
      </w:r>
      <w:r w:rsidR="00C40E7A" w:rsidRPr="001D77AF">
        <w:rPr>
          <w:lang w:val="en-GB"/>
        </w:rPr>
        <w:t xml:space="preserve"> FDI flows</w:t>
      </w:r>
      <w:r w:rsidR="0075343F" w:rsidRPr="001D77AF">
        <w:rPr>
          <w:lang w:val="en-GB"/>
        </w:rPr>
        <w:t>.</w:t>
      </w:r>
      <w:r w:rsidR="008D21B3" w:rsidRPr="001D77AF">
        <w:rPr>
          <w:lang w:val="en-GB"/>
        </w:rPr>
        <w:t xml:space="preserve"> </w:t>
      </w:r>
      <w:r w:rsidR="00B042B0" w:rsidRPr="001D77AF">
        <w:rPr>
          <w:lang w:val="en-GB"/>
        </w:rPr>
        <w:t xml:space="preserve">The findings support the </w:t>
      </w:r>
      <w:r w:rsidR="00D6229B" w:rsidRPr="001D77AF">
        <w:rPr>
          <w:lang w:val="en-GB"/>
        </w:rPr>
        <w:t xml:space="preserve">economic </w:t>
      </w:r>
      <w:r w:rsidR="00B042B0" w:rsidRPr="001D77AF">
        <w:rPr>
          <w:lang w:val="en-GB"/>
        </w:rPr>
        <w:t xml:space="preserve">rights </w:t>
      </w:r>
      <w:r w:rsidR="004531BA">
        <w:rPr>
          <w:lang w:val="en-GB"/>
        </w:rPr>
        <w:t xml:space="preserve">view </w:t>
      </w:r>
      <w:r w:rsidR="00B042B0" w:rsidRPr="001D77AF">
        <w:rPr>
          <w:lang w:val="en-GB"/>
        </w:rPr>
        <w:t xml:space="preserve">that the costs and risk associated with using legal arrangements to protect IP assets in economic transactions will be lower if the informal institutions </w:t>
      </w:r>
      <w:r w:rsidR="00E033C8">
        <w:rPr>
          <w:lang w:val="en-GB"/>
        </w:rPr>
        <w:t xml:space="preserve">influencing the behaviour of </w:t>
      </w:r>
      <w:r w:rsidR="00B042B0" w:rsidRPr="001D77AF">
        <w:rPr>
          <w:lang w:val="en-GB"/>
        </w:rPr>
        <w:t xml:space="preserve">enforcement agents legitimize and complement </w:t>
      </w:r>
      <w:r w:rsidR="0024239A" w:rsidRPr="001D77AF">
        <w:rPr>
          <w:lang w:val="en-GB"/>
        </w:rPr>
        <w:t xml:space="preserve">good quality </w:t>
      </w:r>
      <w:r w:rsidR="00B042B0" w:rsidRPr="001D77AF">
        <w:rPr>
          <w:lang w:val="en-GB"/>
        </w:rPr>
        <w:t>formal institutional legal arrangements</w:t>
      </w:r>
      <w:r w:rsidR="00E46510">
        <w:rPr>
          <w:lang w:val="en-GB"/>
        </w:rPr>
        <w:t xml:space="preserve"> (Helm</w:t>
      </w:r>
      <w:r w:rsidR="00527489">
        <w:rPr>
          <w:lang w:val="en-GB"/>
        </w:rPr>
        <w:t xml:space="preserve">ke &amp; </w:t>
      </w:r>
      <w:r w:rsidR="001A77F2">
        <w:rPr>
          <w:lang w:val="en-GB"/>
        </w:rPr>
        <w:t>L</w:t>
      </w:r>
      <w:r w:rsidR="00527489">
        <w:rPr>
          <w:lang w:val="en-GB"/>
        </w:rPr>
        <w:t>evitisky, 2006</w:t>
      </w:r>
      <w:r w:rsidR="001A77F2">
        <w:rPr>
          <w:lang w:val="en-GB"/>
        </w:rPr>
        <w:t>; Hodgson, 2006)</w:t>
      </w:r>
      <w:r w:rsidR="00B042B0" w:rsidRPr="001D77AF">
        <w:rPr>
          <w:lang w:val="en-GB"/>
        </w:rPr>
        <w:t xml:space="preserve">. </w:t>
      </w:r>
      <w:r w:rsidR="00B042B0" w:rsidRPr="001D77AF">
        <w:rPr>
          <w:lang w:val="en-GB"/>
        </w:rPr>
        <w:lastRenderedPageBreak/>
        <w:t>Th</w:t>
      </w:r>
      <w:r w:rsidR="00514BD3" w:rsidRPr="001D77AF">
        <w:rPr>
          <w:lang w:val="en-GB"/>
        </w:rPr>
        <w:t>e</w:t>
      </w:r>
      <w:r w:rsidR="00B042B0" w:rsidRPr="001D77AF">
        <w:rPr>
          <w:lang w:val="en-GB"/>
        </w:rPr>
        <w:t xml:space="preserve"> </w:t>
      </w:r>
      <w:r w:rsidR="005408D0" w:rsidRPr="001D77AF">
        <w:rPr>
          <w:lang w:val="en-GB"/>
        </w:rPr>
        <w:t xml:space="preserve">results of our </w:t>
      </w:r>
      <w:r w:rsidR="00514BD3" w:rsidRPr="001D77AF">
        <w:rPr>
          <w:lang w:val="en-GB"/>
        </w:rPr>
        <w:t>study</w:t>
      </w:r>
      <w:r w:rsidR="00B042B0" w:rsidRPr="001D77AF">
        <w:rPr>
          <w:lang w:val="en-GB"/>
        </w:rPr>
        <w:t xml:space="preserve"> vindicate the use </w:t>
      </w:r>
      <w:r w:rsidR="00FD5D11" w:rsidRPr="001D77AF">
        <w:rPr>
          <w:lang w:val="en-GB"/>
        </w:rPr>
        <w:t xml:space="preserve">of </w:t>
      </w:r>
      <w:r w:rsidR="00B042B0" w:rsidRPr="001D77AF">
        <w:rPr>
          <w:lang w:val="en-GB"/>
        </w:rPr>
        <w:t>institutional measures that relate</w:t>
      </w:r>
      <w:r w:rsidR="00FD5D11" w:rsidRPr="001D77AF">
        <w:rPr>
          <w:lang w:val="en-GB"/>
        </w:rPr>
        <w:t xml:space="preserve"> </w:t>
      </w:r>
      <w:r w:rsidR="00B042B0" w:rsidRPr="001D77AF">
        <w:rPr>
          <w:lang w:val="en-GB"/>
        </w:rPr>
        <w:t>specifically to the use of legal arenas to protect IP assets</w:t>
      </w:r>
      <w:r w:rsidR="00FD5D11" w:rsidRPr="001D77AF">
        <w:rPr>
          <w:lang w:val="en-GB"/>
        </w:rPr>
        <w:t>. This s</w:t>
      </w:r>
      <w:r w:rsidR="00063A7B" w:rsidRPr="001D77AF">
        <w:rPr>
          <w:lang w:val="en-GB"/>
        </w:rPr>
        <w:t>upport</w:t>
      </w:r>
      <w:r w:rsidR="00FD5D11" w:rsidRPr="001D77AF">
        <w:rPr>
          <w:lang w:val="en-GB"/>
        </w:rPr>
        <w:t>s</w:t>
      </w:r>
      <w:r w:rsidR="00063A7B" w:rsidRPr="001D77AF">
        <w:rPr>
          <w:lang w:val="en-GB"/>
        </w:rPr>
        <w:t xml:space="preserve"> the view </w:t>
      </w:r>
      <w:r w:rsidR="004761C7" w:rsidRPr="001D77AF">
        <w:rPr>
          <w:lang w:val="en-GB"/>
        </w:rPr>
        <w:t xml:space="preserve">that it is important to use </w:t>
      </w:r>
      <w:r w:rsidR="0055607B" w:rsidRPr="001D77AF">
        <w:rPr>
          <w:lang w:val="en-GB"/>
        </w:rPr>
        <w:t xml:space="preserve">institutional </w:t>
      </w:r>
      <w:r w:rsidR="00A10CEB" w:rsidRPr="001D77AF">
        <w:rPr>
          <w:lang w:val="en-GB"/>
        </w:rPr>
        <w:t xml:space="preserve">proxies </w:t>
      </w:r>
      <w:r w:rsidR="0055607B" w:rsidRPr="001D77AF">
        <w:rPr>
          <w:lang w:val="en-GB"/>
        </w:rPr>
        <w:t xml:space="preserve">that are </w:t>
      </w:r>
      <w:r w:rsidR="00A10CEB" w:rsidRPr="001D77AF">
        <w:rPr>
          <w:lang w:val="en-GB"/>
        </w:rPr>
        <w:t xml:space="preserve">derived from </w:t>
      </w:r>
      <w:r w:rsidR="00B042B0" w:rsidRPr="001D77AF">
        <w:rPr>
          <w:lang w:val="en-GB"/>
        </w:rPr>
        <w:t xml:space="preserve">institutional contexts </w:t>
      </w:r>
      <w:r w:rsidR="00BB0883" w:rsidRPr="001D77AF">
        <w:rPr>
          <w:lang w:val="en-GB"/>
        </w:rPr>
        <w:t xml:space="preserve">that are directly related to </w:t>
      </w:r>
      <w:r w:rsidR="008B6ED3" w:rsidRPr="001D77AF">
        <w:rPr>
          <w:lang w:val="en-GB"/>
        </w:rPr>
        <w:t xml:space="preserve">the phenomenon to be investigated </w:t>
      </w:r>
      <w:r w:rsidR="005C0FF9" w:rsidRPr="001D77AF">
        <w:rPr>
          <w:lang w:val="en-GB"/>
        </w:rPr>
        <w:t>rather than general proxies for institutional conditions</w:t>
      </w:r>
      <w:r w:rsidR="00635E6D" w:rsidRPr="001D77AF">
        <w:rPr>
          <w:lang w:val="en-GB"/>
        </w:rPr>
        <w:t xml:space="preserve"> in countries</w:t>
      </w:r>
      <w:r w:rsidR="004643DD" w:rsidRPr="001D77AF">
        <w:rPr>
          <w:lang w:val="en-GB"/>
        </w:rPr>
        <w:t xml:space="preserve"> </w:t>
      </w:r>
      <w:r w:rsidR="003B4884" w:rsidRPr="001D77AF">
        <w:rPr>
          <w:lang w:val="en-GB"/>
        </w:rPr>
        <w:t>(Cantwell et al., 2010</w:t>
      </w:r>
      <w:r w:rsidR="001B1E24">
        <w:rPr>
          <w:lang w:val="en-GB"/>
        </w:rPr>
        <w:t xml:space="preserve">, </w:t>
      </w:r>
      <w:r w:rsidR="001B1E24" w:rsidRPr="001D77AF">
        <w:rPr>
          <w:lang w:val="en-GB"/>
        </w:rPr>
        <w:t>Shirley, 2013</w:t>
      </w:r>
      <w:r w:rsidR="005A3ECF">
        <w:rPr>
          <w:lang w:val="en-GB"/>
        </w:rPr>
        <w:t>;</w:t>
      </w:r>
      <w:r w:rsidR="00DC13A6">
        <w:rPr>
          <w:lang w:val="en-GB"/>
        </w:rPr>
        <w:t xml:space="preserve"> </w:t>
      </w:r>
      <w:r w:rsidR="001B1E24">
        <w:rPr>
          <w:lang w:val="en-GB"/>
        </w:rPr>
        <w:t>V</w:t>
      </w:r>
      <w:r w:rsidR="005A3ECF">
        <w:rPr>
          <w:lang w:val="en-GB"/>
        </w:rPr>
        <w:t>oigt, 2013</w:t>
      </w:r>
      <w:r w:rsidR="007D3F35">
        <w:rPr>
          <w:lang w:val="en-GB"/>
        </w:rPr>
        <w:t xml:space="preserve"> &amp; 2018</w:t>
      </w:r>
      <w:r w:rsidR="003B4884" w:rsidRPr="001D77AF">
        <w:rPr>
          <w:lang w:val="en-GB"/>
        </w:rPr>
        <w:t xml:space="preserve">). </w:t>
      </w:r>
    </w:p>
    <w:p w14:paraId="6BCDA964" w14:textId="5733190B" w:rsidR="005408D0" w:rsidRPr="001D77AF" w:rsidRDefault="003B4884" w:rsidP="00B1044C">
      <w:pPr>
        <w:pStyle w:val="ListParagraph"/>
        <w:spacing w:line="480" w:lineRule="auto"/>
        <w:ind w:left="0" w:firstLine="720"/>
        <w:jc w:val="both"/>
        <w:rPr>
          <w:lang w:val="en-GB"/>
        </w:rPr>
      </w:pPr>
      <w:r w:rsidRPr="001D77AF">
        <w:rPr>
          <w:lang w:val="en-GB"/>
        </w:rPr>
        <w:t>Th</w:t>
      </w:r>
      <w:r w:rsidR="00534A77" w:rsidRPr="001D77AF">
        <w:rPr>
          <w:lang w:val="en-GB"/>
        </w:rPr>
        <w:t>e</w:t>
      </w:r>
      <w:r w:rsidRPr="001D77AF">
        <w:rPr>
          <w:lang w:val="en-GB"/>
        </w:rPr>
        <w:t xml:space="preserve"> result</w:t>
      </w:r>
      <w:r w:rsidR="00601C88" w:rsidRPr="001D77AF">
        <w:rPr>
          <w:lang w:val="en-GB"/>
        </w:rPr>
        <w:t>s</w:t>
      </w:r>
      <w:r w:rsidRPr="001D77AF">
        <w:rPr>
          <w:lang w:val="en-GB"/>
        </w:rPr>
        <w:t xml:space="preserve"> </w:t>
      </w:r>
      <w:r w:rsidR="0077249A" w:rsidRPr="001D77AF">
        <w:rPr>
          <w:lang w:val="en-GB"/>
        </w:rPr>
        <w:t xml:space="preserve">of this study </w:t>
      </w:r>
      <w:r w:rsidR="005408D0" w:rsidRPr="001D77AF">
        <w:rPr>
          <w:lang w:val="en-GB"/>
        </w:rPr>
        <w:t xml:space="preserve">also </w:t>
      </w:r>
      <w:r w:rsidR="0077249A" w:rsidRPr="001D77AF">
        <w:rPr>
          <w:lang w:val="en-GB"/>
        </w:rPr>
        <w:t>help to un</w:t>
      </w:r>
      <w:r w:rsidR="00D97580" w:rsidRPr="001D77AF">
        <w:rPr>
          <w:lang w:val="en-GB"/>
        </w:rPr>
        <w:t>derstand</w:t>
      </w:r>
      <w:r w:rsidRPr="001D77AF">
        <w:rPr>
          <w:lang w:val="en-GB"/>
        </w:rPr>
        <w:t xml:space="preserve"> the views expressed by governmental and other agencies about the costs and risk incurred by MNC</w:t>
      </w:r>
      <w:r w:rsidR="005408D0" w:rsidRPr="001D77AF">
        <w:rPr>
          <w:lang w:val="en-GB"/>
        </w:rPr>
        <w:t>s</w:t>
      </w:r>
      <w:r w:rsidRPr="001D77AF">
        <w:rPr>
          <w:lang w:val="en-GB"/>
        </w:rPr>
        <w:t xml:space="preserve"> due to the behaviour of enforcement agents in </w:t>
      </w:r>
      <w:r w:rsidR="005408D0" w:rsidRPr="001D77AF">
        <w:rPr>
          <w:lang w:val="en-GB"/>
        </w:rPr>
        <w:t xml:space="preserve">different </w:t>
      </w:r>
      <w:r w:rsidR="00D66D61" w:rsidRPr="001D77AF">
        <w:rPr>
          <w:lang w:val="en-GB"/>
        </w:rPr>
        <w:t xml:space="preserve">countries </w:t>
      </w:r>
      <w:r w:rsidRPr="001D77AF">
        <w:rPr>
          <w:lang w:val="en-GB"/>
        </w:rPr>
        <w:t>(Asia Pacific Foundations of Canada, 2015</w:t>
      </w:r>
      <w:r w:rsidR="00844757" w:rsidRPr="001D77AF">
        <w:rPr>
          <w:lang w:val="en-GB"/>
        </w:rPr>
        <w:t>; U</w:t>
      </w:r>
      <w:r w:rsidR="00F74C1E" w:rsidRPr="001D77AF">
        <w:rPr>
          <w:lang w:val="en-GB"/>
        </w:rPr>
        <w:t>SCC, 2015. WTO, 2011</w:t>
      </w:r>
      <w:r w:rsidRPr="001D77AF">
        <w:rPr>
          <w:lang w:val="en-GB"/>
        </w:rPr>
        <w:t>). The findings provide insights into why</w:t>
      </w:r>
      <w:r w:rsidR="005408D0" w:rsidRPr="001D77AF">
        <w:rPr>
          <w:lang w:val="en-GB"/>
        </w:rPr>
        <w:t>,</w:t>
      </w:r>
      <w:r w:rsidRPr="001D77AF">
        <w:rPr>
          <w:lang w:val="en-GB"/>
        </w:rPr>
        <w:t xml:space="preserve"> despite the implementation of TRIPS</w:t>
      </w:r>
      <w:r w:rsidR="005408D0" w:rsidRPr="001D77AF">
        <w:rPr>
          <w:lang w:val="en-GB"/>
        </w:rPr>
        <w:t>,</w:t>
      </w:r>
      <w:r w:rsidRPr="001D77AF">
        <w:rPr>
          <w:lang w:val="en-GB"/>
        </w:rPr>
        <w:t xml:space="preserve"> </w:t>
      </w:r>
      <w:r w:rsidR="00534A77" w:rsidRPr="001D77AF">
        <w:rPr>
          <w:lang w:val="en-GB"/>
        </w:rPr>
        <w:t xml:space="preserve">continuing problems persist associated with the legal arrangements for protecting ownership rights for IP assets. </w:t>
      </w:r>
      <w:r w:rsidR="005408D0" w:rsidRPr="001D77AF">
        <w:rPr>
          <w:lang w:val="en-GB"/>
        </w:rPr>
        <w:t xml:space="preserve">While a number of </w:t>
      </w:r>
      <w:r w:rsidR="0001442D" w:rsidRPr="001D77AF">
        <w:rPr>
          <w:lang w:val="en-GB"/>
        </w:rPr>
        <w:t xml:space="preserve">studies </w:t>
      </w:r>
      <w:r w:rsidR="005408D0" w:rsidRPr="001D77AF">
        <w:rPr>
          <w:lang w:val="en-GB"/>
        </w:rPr>
        <w:t xml:space="preserve">in the literature </w:t>
      </w:r>
      <w:r w:rsidR="006472CD" w:rsidRPr="001D77AF">
        <w:rPr>
          <w:lang w:val="en-GB"/>
        </w:rPr>
        <w:t>identified</w:t>
      </w:r>
      <w:r w:rsidR="003D2BF0" w:rsidRPr="001D77AF">
        <w:rPr>
          <w:lang w:val="en-GB"/>
        </w:rPr>
        <w:t xml:space="preserve"> </w:t>
      </w:r>
      <w:r w:rsidR="0001442D" w:rsidRPr="001D77AF">
        <w:rPr>
          <w:lang w:val="en-GB"/>
        </w:rPr>
        <w:t xml:space="preserve">that enforcement issues </w:t>
      </w:r>
      <w:r w:rsidR="00637FFB" w:rsidRPr="001D77AF">
        <w:rPr>
          <w:lang w:val="en-GB"/>
        </w:rPr>
        <w:t xml:space="preserve">are at the core of this problem </w:t>
      </w:r>
      <w:r w:rsidR="005408D0" w:rsidRPr="001D77AF">
        <w:rPr>
          <w:lang w:val="en-GB"/>
        </w:rPr>
        <w:t xml:space="preserve">(Brander et al., 2017; Khoury &amp; Peng, 2011; Seyoum, 2011; Ushijima, 2013, Yang &amp; Sonmez, 2013), the results of our study expand the current understanding in the literature by </w:t>
      </w:r>
      <w:r w:rsidR="00637FFB" w:rsidRPr="001D77AF">
        <w:rPr>
          <w:lang w:val="en-GB"/>
        </w:rPr>
        <w:t xml:space="preserve">clearly </w:t>
      </w:r>
      <w:r w:rsidR="00C70ED3" w:rsidRPr="001D77AF">
        <w:rPr>
          <w:lang w:val="en-GB"/>
        </w:rPr>
        <w:t>locat</w:t>
      </w:r>
      <w:r w:rsidR="005408D0" w:rsidRPr="001D77AF">
        <w:rPr>
          <w:lang w:val="en-GB"/>
        </w:rPr>
        <w:t xml:space="preserve">ing </w:t>
      </w:r>
      <w:r w:rsidR="00C70ED3" w:rsidRPr="001D77AF">
        <w:rPr>
          <w:lang w:val="en-GB"/>
        </w:rPr>
        <w:t xml:space="preserve">the nature of the problems in the </w:t>
      </w:r>
      <w:r w:rsidR="005C3446" w:rsidRPr="001D77AF">
        <w:rPr>
          <w:lang w:val="en-GB"/>
        </w:rPr>
        <w:t>institutional</w:t>
      </w:r>
      <w:r w:rsidR="00C70ED3" w:rsidRPr="001D77AF">
        <w:rPr>
          <w:lang w:val="en-GB"/>
        </w:rPr>
        <w:t xml:space="preserve"> context </w:t>
      </w:r>
      <w:r w:rsidR="005C3446" w:rsidRPr="001D77AF">
        <w:rPr>
          <w:lang w:val="en-GB"/>
        </w:rPr>
        <w:t>of</w:t>
      </w:r>
      <w:r w:rsidR="00C70ED3" w:rsidRPr="001D77AF">
        <w:rPr>
          <w:lang w:val="en-GB"/>
        </w:rPr>
        <w:t xml:space="preserve"> IPR regimes</w:t>
      </w:r>
      <w:r w:rsidR="005408D0" w:rsidRPr="001D77AF">
        <w:rPr>
          <w:lang w:val="en-GB"/>
        </w:rPr>
        <w:t xml:space="preserve">. </w:t>
      </w:r>
    </w:p>
    <w:p w14:paraId="3422E17D" w14:textId="77777777" w:rsidR="005408D0" w:rsidRPr="001D77AF" w:rsidRDefault="005408D0" w:rsidP="00D97580">
      <w:pPr>
        <w:spacing w:line="480" w:lineRule="auto"/>
        <w:jc w:val="both"/>
        <w:rPr>
          <w:lang w:val="en-GB"/>
        </w:rPr>
      </w:pPr>
    </w:p>
    <w:p w14:paraId="348AFDD6" w14:textId="5266283F" w:rsidR="00C21C67" w:rsidRPr="001D77AF" w:rsidRDefault="001015D4" w:rsidP="00D97580">
      <w:pPr>
        <w:spacing w:line="480" w:lineRule="auto"/>
        <w:jc w:val="both"/>
        <w:rPr>
          <w:i/>
          <w:lang w:val="en-GB"/>
        </w:rPr>
      </w:pPr>
      <w:r w:rsidRPr="001D77AF">
        <w:rPr>
          <w:i/>
          <w:lang w:val="en-GB"/>
        </w:rPr>
        <w:t>Implications for Theory</w:t>
      </w:r>
    </w:p>
    <w:p w14:paraId="42E1F269" w14:textId="4C277281" w:rsidR="0094625C" w:rsidRPr="001D77AF" w:rsidRDefault="00B91B6A" w:rsidP="00D97580">
      <w:pPr>
        <w:pStyle w:val="ListParagraph"/>
        <w:spacing w:line="480" w:lineRule="auto"/>
        <w:ind w:left="0"/>
        <w:jc w:val="both"/>
        <w:rPr>
          <w:lang w:val="en-GB"/>
        </w:rPr>
      </w:pPr>
      <w:r w:rsidRPr="001D77AF">
        <w:rPr>
          <w:lang w:val="en-GB"/>
        </w:rPr>
        <w:t xml:space="preserve">The findings </w:t>
      </w:r>
      <w:r w:rsidR="0094625C" w:rsidRPr="001D77AF">
        <w:rPr>
          <w:lang w:val="en-GB"/>
        </w:rPr>
        <w:t xml:space="preserve">of this study </w:t>
      </w:r>
      <w:r w:rsidR="000B2AC1" w:rsidRPr="001D77AF">
        <w:rPr>
          <w:lang w:val="en-GB"/>
        </w:rPr>
        <w:t>enable a better understanding of issues</w:t>
      </w:r>
      <w:r w:rsidRPr="001D77AF">
        <w:rPr>
          <w:lang w:val="en-GB"/>
        </w:rPr>
        <w:t xml:space="preserve"> </w:t>
      </w:r>
      <w:r w:rsidR="000B2AC1" w:rsidRPr="001D77AF">
        <w:rPr>
          <w:lang w:val="en-GB"/>
        </w:rPr>
        <w:t>in relation</w:t>
      </w:r>
      <w:r w:rsidRPr="001D77AF">
        <w:rPr>
          <w:lang w:val="en-GB"/>
        </w:rPr>
        <w:t xml:space="preserve"> to how the legal arrangements connected to protecting IP assets in economic transactions affect costs and risk that arise from seeking to </w:t>
      </w:r>
      <w:r w:rsidR="00DD0E12" w:rsidRPr="001D77AF">
        <w:rPr>
          <w:lang w:val="en-GB"/>
        </w:rPr>
        <w:t xml:space="preserve">secure </w:t>
      </w:r>
      <w:r w:rsidRPr="001D77AF">
        <w:rPr>
          <w:lang w:val="en-GB"/>
        </w:rPr>
        <w:t>economic rights</w:t>
      </w:r>
      <w:r w:rsidR="000B2AC1" w:rsidRPr="001D77AF">
        <w:rPr>
          <w:lang w:val="en-GB"/>
        </w:rPr>
        <w:t xml:space="preserve"> </w:t>
      </w:r>
      <w:r w:rsidR="00AF374E">
        <w:t>in cross-frontier transactions</w:t>
      </w:r>
      <w:r w:rsidRPr="001D77AF">
        <w:rPr>
          <w:lang w:val="en-GB"/>
        </w:rPr>
        <w:t xml:space="preserve">. </w:t>
      </w:r>
      <w:r w:rsidR="000B2AC1" w:rsidRPr="001D77AF">
        <w:rPr>
          <w:lang w:val="en-GB"/>
        </w:rPr>
        <w:t>Th</w:t>
      </w:r>
      <w:r w:rsidR="007433DF">
        <w:rPr>
          <w:lang w:val="en-GB"/>
        </w:rPr>
        <w:t>e results</w:t>
      </w:r>
      <w:r w:rsidR="000B2AC1" w:rsidRPr="001D77AF">
        <w:rPr>
          <w:lang w:val="en-GB"/>
        </w:rPr>
        <w:t xml:space="preserve"> highlight the </w:t>
      </w:r>
      <w:r w:rsidR="00886F17" w:rsidRPr="001D77AF">
        <w:rPr>
          <w:lang w:val="en-GB"/>
        </w:rPr>
        <w:t>importance of</w:t>
      </w:r>
      <w:r w:rsidR="000B2AC1" w:rsidRPr="001D77AF">
        <w:rPr>
          <w:lang w:val="en-GB"/>
        </w:rPr>
        <w:t xml:space="preserve"> consider</w:t>
      </w:r>
      <w:r w:rsidR="00886F17" w:rsidRPr="001D77AF">
        <w:rPr>
          <w:lang w:val="en-GB"/>
        </w:rPr>
        <w:t>ing</w:t>
      </w:r>
      <w:r w:rsidR="000B2AC1" w:rsidRPr="001D77AF">
        <w:rPr>
          <w:lang w:val="en-GB"/>
        </w:rPr>
        <w:t xml:space="preserve"> the institutional contexts when using </w:t>
      </w:r>
      <w:r w:rsidR="00A35E49">
        <w:rPr>
          <w:lang w:val="en-GB"/>
        </w:rPr>
        <w:t>l</w:t>
      </w:r>
      <w:r w:rsidR="000B2AC1" w:rsidRPr="001D77AF">
        <w:rPr>
          <w:lang w:val="en-GB"/>
        </w:rPr>
        <w:t>egal arenas to protect IP assets</w:t>
      </w:r>
      <w:r w:rsidR="0017184C">
        <w:rPr>
          <w:lang w:val="en-GB"/>
        </w:rPr>
        <w:t xml:space="preserve">. </w:t>
      </w:r>
      <w:r w:rsidR="00830AA0">
        <w:rPr>
          <w:lang w:val="en-GB"/>
        </w:rPr>
        <w:t xml:space="preserve">This goes beyond </w:t>
      </w:r>
      <w:r w:rsidRPr="001D77AF">
        <w:rPr>
          <w:lang w:val="en-GB"/>
        </w:rPr>
        <w:t xml:space="preserve">the problem of incomplete contracts </w:t>
      </w:r>
      <w:r w:rsidR="00ED338F">
        <w:rPr>
          <w:lang w:val="en-GB"/>
        </w:rPr>
        <w:t>and institutional v</w:t>
      </w:r>
      <w:r w:rsidR="000F421E">
        <w:rPr>
          <w:lang w:val="en-GB"/>
        </w:rPr>
        <w:t>oids</w:t>
      </w:r>
      <w:r w:rsidR="00ED338F">
        <w:rPr>
          <w:lang w:val="en-GB"/>
        </w:rPr>
        <w:t xml:space="preserve"> </w:t>
      </w:r>
      <w:r w:rsidRPr="001D77AF">
        <w:rPr>
          <w:lang w:val="en-GB"/>
        </w:rPr>
        <w:t xml:space="preserve">that require the design and implementation of hierarchical organizational forms to deal with </w:t>
      </w:r>
      <w:r w:rsidR="00830AA0">
        <w:rPr>
          <w:lang w:val="en-GB"/>
        </w:rPr>
        <w:t xml:space="preserve">this issue </w:t>
      </w:r>
      <w:r w:rsidRPr="001D77AF">
        <w:rPr>
          <w:lang w:val="en-GB"/>
        </w:rPr>
        <w:t>(Williamson 1992</w:t>
      </w:r>
      <w:r w:rsidR="000B2AC1" w:rsidRPr="001D77AF">
        <w:rPr>
          <w:lang w:val="en-GB"/>
        </w:rPr>
        <w:t xml:space="preserve">, </w:t>
      </w:r>
      <w:r w:rsidRPr="001D77AF">
        <w:rPr>
          <w:lang w:val="en-GB"/>
        </w:rPr>
        <w:t>2000</w:t>
      </w:r>
      <w:r w:rsidR="000F421E">
        <w:rPr>
          <w:lang w:val="en-GB"/>
        </w:rPr>
        <w:t xml:space="preserve">; Doh et al., </w:t>
      </w:r>
      <w:r w:rsidR="001F4C0D">
        <w:rPr>
          <w:lang w:val="en-GB"/>
        </w:rPr>
        <w:t>2017</w:t>
      </w:r>
      <w:r w:rsidRPr="001D77AF">
        <w:rPr>
          <w:lang w:val="en-GB"/>
        </w:rPr>
        <w:t>).</w:t>
      </w:r>
      <w:r w:rsidR="004E02A8">
        <w:rPr>
          <w:lang w:val="en-GB"/>
        </w:rPr>
        <w:t xml:space="preserve"> T</w:t>
      </w:r>
      <w:r w:rsidR="0094625C" w:rsidRPr="001D77AF">
        <w:rPr>
          <w:lang w:val="en-GB"/>
        </w:rPr>
        <w:t xml:space="preserve">he literature </w:t>
      </w:r>
      <w:r w:rsidR="00886F17" w:rsidRPr="001D77AF">
        <w:rPr>
          <w:lang w:val="en-GB"/>
        </w:rPr>
        <w:t>has</w:t>
      </w:r>
      <w:r w:rsidRPr="001D77AF">
        <w:rPr>
          <w:lang w:val="en-GB"/>
        </w:rPr>
        <w:t xml:space="preserve"> a well-developed understanding of how institutional voids and issues connected to incomplete contracts lead to </w:t>
      </w:r>
      <w:r w:rsidRPr="001D77AF">
        <w:rPr>
          <w:lang w:val="en-GB"/>
        </w:rPr>
        <w:lastRenderedPageBreak/>
        <w:t xml:space="preserve">problems with converting legal rights into economic rights. </w:t>
      </w:r>
      <w:r w:rsidR="00886F17" w:rsidRPr="001D77AF">
        <w:rPr>
          <w:lang w:val="en-GB"/>
        </w:rPr>
        <w:t>Our</w:t>
      </w:r>
      <w:r w:rsidRPr="001D77AF">
        <w:rPr>
          <w:lang w:val="en-GB"/>
        </w:rPr>
        <w:t xml:space="preserve"> study highlights that a further issue when using legal systems to defend IPR</w:t>
      </w:r>
      <w:r w:rsidR="00E36D9E">
        <w:rPr>
          <w:lang w:val="en-GB"/>
        </w:rPr>
        <w:t>,</w:t>
      </w:r>
      <w:r w:rsidRPr="001D77AF">
        <w:rPr>
          <w:lang w:val="en-GB"/>
        </w:rPr>
        <w:t xml:space="preserve"> that is often implicitly assumed to not be a problem, may in fact present obstacles to securing economic rights and thereby discourage FDI. This is not only a problem of assessing the cost and risk</w:t>
      </w:r>
      <w:r w:rsidR="005E6B4F">
        <w:rPr>
          <w:lang w:val="en-GB"/>
        </w:rPr>
        <w:t>s</w:t>
      </w:r>
      <w:r w:rsidRPr="001D77AF">
        <w:rPr>
          <w:lang w:val="en-GB"/>
        </w:rPr>
        <w:t xml:space="preserve"> arising from formal institutional legal arrangements, but also those that emerge from informal institutional aspects associated with </w:t>
      </w:r>
      <w:r w:rsidR="00886F17" w:rsidRPr="001D77AF">
        <w:rPr>
          <w:lang w:val="en-GB"/>
        </w:rPr>
        <w:t xml:space="preserve">the </w:t>
      </w:r>
      <w:r w:rsidRPr="001D77AF">
        <w:rPr>
          <w:lang w:val="en-GB"/>
        </w:rPr>
        <w:t>enforcement</w:t>
      </w:r>
      <w:r w:rsidR="00886F17" w:rsidRPr="001D77AF">
        <w:rPr>
          <w:lang w:val="en-GB"/>
        </w:rPr>
        <w:t xml:space="preserve"> of IPR</w:t>
      </w:r>
      <w:r w:rsidR="0094625C" w:rsidRPr="001D77AF">
        <w:rPr>
          <w:lang w:val="en-GB"/>
        </w:rPr>
        <w:t xml:space="preserve">. </w:t>
      </w:r>
      <w:r w:rsidR="00F2682E">
        <w:rPr>
          <w:lang w:val="en-GB"/>
        </w:rPr>
        <w:t xml:space="preserve">The findings </w:t>
      </w:r>
      <w:r w:rsidR="00EF4D21">
        <w:rPr>
          <w:lang w:val="en-GB"/>
        </w:rPr>
        <w:t xml:space="preserve">further </w:t>
      </w:r>
      <w:r w:rsidR="00F2682E">
        <w:rPr>
          <w:lang w:val="en-GB"/>
        </w:rPr>
        <w:t>highlight that i</w:t>
      </w:r>
      <w:r w:rsidR="00886F17" w:rsidRPr="001D77AF">
        <w:rPr>
          <w:lang w:val="en-GB"/>
        </w:rPr>
        <w:t>t is important</w:t>
      </w:r>
      <w:r w:rsidRPr="001D77AF">
        <w:rPr>
          <w:lang w:val="en-GB"/>
        </w:rPr>
        <w:t xml:space="preserve"> to consider how the informal aspects influence the implementation of the formal institutional aspects. Th</w:t>
      </w:r>
      <w:r w:rsidR="00EF4D21">
        <w:rPr>
          <w:lang w:val="en-GB"/>
        </w:rPr>
        <w:t xml:space="preserve">e results therefore </w:t>
      </w:r>
      <w:r w:rsidR="00027BB3">
        <w:rPr>
          <w:lang w:val="en-GB"/>
        </w:rPr>
        <w:t xml:space="preserve">reinforce the view </w:t>
      </w:r>
      <w:r w:rsidRPr="001D77AF">
        <w:rPr>
          <w:lang w:val="en-GB"/>
        </w:rPr>
        <w:t xml:space="preserve">that informal institutions can exercise a significant influence on economic transactions (Webb et al., 2009; Williamson &amp; Kerekes, 2011) including those involving cross-frontier transactions (Estrin et al., 2009; Khoury &amp; Peng, 2011; Khoury et al., 2014; Papageorgiadis et al., 2013; Seyoum, 2011). </w:t>
      </w:r>
    </w:p>
    <w:p w14:paraId="75B36D59" w14:textId="3B297309" w:rsidR="00CC6944" w:rsidRPr="001D77AF" w:rsidRDefault="00B91B6A" w:rsidP="00F7238B">
      <w:pPr>
        <w:pStyle w:val="ListParagraph"/>
        <w:spacing w:line="480" w:lineRule="auto"/>
        <w:ind w:left="0" w:firstLine="720"/>
        <w:jc w:val="both"/>
        <w:rPr>
          <w:lang w:val="en-GB"/>
        </w:rPr>
      </w:pPr>
      <w:r w:rsidRPr="001D77AF">
        <w:rPr>
          <w:lang w:val="en-GB"/>
        </w:rPr>
        <w:t xml:space="preserve">The findings of this study indicate that the interaction of formal and informal institutions in IPR regimes are important when using legal systems to defend IPR. The </w:t>
      </w:r>
      <w:r w:rsidR="005E6B4F">
        <w:rPr>
          <w:lang w:val="en-GB"/>
        </w:rPr>
        <w:t xml:space="preserve">costs and risks </w:t>
      </w:r>
      <w:r w:rsidRPr="001D77AF">
        <w:rPr>
          <w:lang w:val="en-GB"/>
        </w:rPr>
        <w:t xml:space="preserve">of using legal arenas to defend IPR are not normally considered to be a problem other than </w:t>
      </w:r>
      <w:r w:rsidR="0094625C" w:rsidRPr="001D77AF">
        <w:rPr>
          <w:lang w:val="en-GB"/>
        </w:rPr>
        <w:t xml:space="preserve">in </w:t>
      </w:r>
      <w:r w:rsidRPr="001D77AF">
        <w:rPr>
          <w:lang w:val="en-GB"/>
        </w:rPr>
        <w:t>cases with significant institutional voids. The literature that considers the importance of enforcement (</w:t>
      </w:r>
      <w:r w:rsidR="00144376" w:rsidRPr="001D77AF">
        <w:rPr>
          <w:lang w:val="en-GB"/>
        </w:rPr>
        <w:t>e.g.</w:t>
      </w:r>
      <w:r w:rsidRPr="001D77AF">
        <w:rPr>
          <w:lang w:val="en-GB"/>
        </w:rPr>
        <w:t xml:space="preserve"> Keupp et al., 2009</w:t>
      </w:r>
      <w:r w:rsidR="00900AF0" w:rsidRPr="001D77AF">
        <w:rPr>
          <w:lang w:val="en-GB"/>
        </w:rPr>
        <w:t xml:space="preserve">, </w:t>
      </w:r>
      <w:r w:rsidRPr="001D77AF">
        <w:rPr>
          <w:lang w:val="en-GB"/>
        </w:rPr>
        <w:t>2010</w:t>
      </w:r>
      <w:r w:rsidR="00144376" w:rsidRPr="001D77AF">
        <w:rPr>
          <w:lang w:val="en-GB"/>
        </w:rPr>
        <w:t>; Khoury &amp; Peng, 2011</w:t>
      </w:r>
      <w:r w:rsidRPr="001D77AF">
        <w:rPr>
          <w:lang w:val="en-GB"/>
        </w:rPr>
        <w:t xml:space="preserve">) normally does not consider this issue in the context of the </w:t>
      </w:r>
      <w:r w:rsidR="005E6B4F">
        <w:rPr>
          <w:lang w:val="en-GB"/>
        </w:rPr>
        <w:t>behaviour</w:t>
      </w:r>
      <w:r w:rsidRPr="001D77AF">
        <w:rPr>
          <w:lang w:val="en-GB"/>
        </w:rPr>
        <w:t xml:space="preserve"> of enforcement agents. The limited literature that does explicitly consider the </w:t>
      </w:r>
      <w:r w:rsidR="005E6B4F">
        <w:rPr>
          <w:lang w:val="en-GB"/>
        </w:rPr>
        <w:t>behaviour</w:t>
      </w:r>
      <w:r w:rsidRPr="001D77AF">
        <w:rPr>
          <w:lang w:val="en-GB"/>
        </w:rPr>
        <w:t xml:space="preserve"> of enforcement agents does not examine the importance of the </w:t>
      </w:r>
      <w:r w:rsidR="00F02A1E" w:rsidRPr="001D77AF">
        <w:rPr>
          <w:lang w:val="en-GB"/>
        </w:rPr>
        <w:t xml:space="preserve">rules of the game emerging from the </w:t>
      </w:r>
      <w:r w:rsidRPr="001D77AF">
        <w:rPr>
          <w:lang w:val="en-GB"/>
        </w:rPr>
        <w:t xml:space="preserve">interaction between formal and informal institutions (Seyoum, 2011; Yang &amp; Sonmez, 2013). The </w:t>
      </w:r>
      <w:r w:rsidR="00415F38">
        <w:rPr>
          <w:lang w:val="en-GB"/>
        </w:rPr>
        <w:t xml:space="preserve">findings </w:t>
      </w:r>
      <w:r w:rsidRPr="001D77AF">
        <w:rPr>
          <w:lang w:val="en-GB"/>
        </w:rPr>
        <w:t xml:space="preserve">help to </w:t>
      </w:r>
      <w:r w:rsidR="00900AF0" w:rsidRPr="001D77AF">
        <w:rPr>
          <w:lang w:val="en-GB"/>
        </w:rPr>
        <w:t xml:space="preserve">explain </w:t>
      </w:r>
      <w:r w:rsidRPr="001D77AF">
        <w:rPr>
          <w:lang w:val="en-GB"/>
        </w:rPr>
        <w:t xml:space="preserve">how the institutional context of IPR regimes affects location of FDI by highlighting how the </w:t>
      </w:r>
      <w:r w:rsidR="00E04D69">
        <w:rPr>
          <w:lang w:val="en-GB"/>
        </w:rPr>
        <w:t xml:space="preserve">informal institutional aspects of the </w:t>
      </w:r>
      <w:r w:rsidRPr="001D77AF">
        <w:rPr>
          <w:lang w:val="en-GB"/>
        </w:rPr>
        <w:t>enforcement of IP</w:t>
      </w:r>
      <w:r w:rsidR="00900AF0" w:rsidRPr="001D77AF">
        <w:rPr>
          <w:lang w:val="en-GB"/>
        </w:rPr>
        <w:t>R</w:t>
      </w:r>
      <w:r w:rsidRPr="001D77AF">
        <w:rPr>
          <w:lang w:val="en-GB"/>
        </w:rPr>
        <w:t xml:space="preserve"> influences the ability to convert </w:t>
      </w:r>
      <w:r w:rsidR="006A1D95">
        <w:rPr>
          <w:lang w:val="en-GB"/>
        </w:rPr>
        <w:t xml:space="preserve">legal </w:t>
      </w:r>
      <w:r w:rsidRPr="001D77AF">
        <w:rPr>
          <w:lang w:val="en-GB"/>
        </w:rPr>
        <w:t xml:space="preserve">rights into economic rights. The </w:t>
      </w:r>
      <w:r w:rsidR="00415F38">
        <w:rPr>
          <w:lang w:val="en-GB"/>
        </w:rPr>
        <w:t xml:space="preserve">results </w:t>
      </w:r>
      <w:r w:rsidRPr="001D77AF">
        <w:rPr>
          <w:lang w:val="en-GB"/>
        </w:rPr>
        <w:t xml:space="preserve">of this study illustrate that IPR regimes that have good quality formal and informal institutional legal arrangements that work in harmony </w:t>
      </w:r>
      <w:r w:rsidR="00900AF0" w:rsidRPr="001D77AF">
        <w:rPr>
          <w:lang w:val="en-GB"/>
        </w:rPr>
        <w:t>reduce the transaction</w:t>
      </w:r>
      <w:r w:rsidRPr="001D77AF">
        <w:rPr>
          <w:lang w:val="en-GB"/>
        </w:rPr>
        <w:t xml:space="preserve"> </w:t>
      </w:r>
      <w:r w:rsidR="005E6B4F">
        <w:rPr>
          <w:lang w:val="en-GB"/>
        </w:rPr>
        <w:t xml:space="preserve">costs and risk </w:t>
      </w:r>
      <w:r w:rsidR="00900AF0" w:rsidRPr="001D77AF">
        <w:rPr>
          <w:lang w:val="en-GB"/>
        </w:rPr>
        <w:t xml:space="preserve">for firms </w:t>
      </w:r>
      <w:r w:rsidR="00E71041">
        <w:rPr>
          <w:lang w:val="en-GB"/>
        </w:rPr>
        <w:t xml:space="preserve">seeking </w:t>
      </w:r>
      <w:r w:rsidR="00900AF0" w:rsidRPr="001D77AF">
        <w:rPr>
          <w:lang w:val="en-GB"/>
        </w:rPr>
        <w:t xml:space="preserve">to </w:t>
      </w:r>
      <w:r w:rsidRPr="001D77AF">
        <w:rPr>
          <w:lang w:val="en-GB"/>
        </w:rPr>
        <w:t>us</w:t>
      </w:r>
      <w:r w:rsidR="00900AF0" w:rsidRPr="001D77AF">
        <w:rPr>
          <w:lang w:val="en-GB"/>
        </w:rPr>
        <w:t xml:space="preserve">e </w:t>
      </w:r>
      <w:r w:rsidRPr="001D77AF">
        <w:rPr>
          <w:lang w:val="en-GB"/>
        </w:rPr>
        <w:t xml:space="preserve">legal </w:t>
      </w:r>
      <w:r w:rsidR="00E71041">
        <w:rPr>
          <w:lang w:val="en-GB"/>
        </w:rPr>
        <w:t xml:space="preserve">arenas </w:t>
      </w:r>
      <w:r w:rsidRPr="001D77AF">
        <w:rPr>
          <w:lang w:val="en-GB"/>
        </w:rPr>
        <w:t xml:space="preserve">to defend IPR. </w:t>
      </w:r>
    </w:p>
    <w:p w14:paraId="3125074D" w14:textId="585FC941" w:rsidR="00B91B6A" w:rsidRPr="001D77AF" w:rsidRDefault="00CC6944" w:rsidP="00BD3BBD">
      <w:pPr>
        <w:pStyle w:val="ListParagraph"/>
        <w:spacing w:line="480" w:lineRule="auto"/>
        <w:ind w:left="0" w:firstLine="720"/>
        <w:jc w:val="both"/>
        <w:rPr>
          <w:lang w:val="en-GB"/>
        </w:rPr>
      </w:pPr>
      <w:r w:rsidRPr="001D77AF">
        <w:rPr>
          <w:lang w:val="en-GB"/>
        </w:rPr>
        <w:lastRenderedPageBreak/>
        <w:t xml:space="preserve">The economic rights approach used in this study to examine how </w:t>
      </w:r>
      <w:r w:rsidR="00683F0A" w:rsidRPr="001D77AF">
        <w:rPr>
          <w:lang w:val="en-GB"/>
        </w:rPr>
        <w:t xml:space="preserve">the </w:t>
      </w:r>
      <w:r w:rsidRPr="001D77AF">
        <w:rPr>
          <w:lang w:val="en-GB"/>
        </w:rPr>
        <w:t xml:space="preserve">institutional context of IPR regimes </w:t>
      </w:r>
      <w:r w:rsidR="005E6B4F">
        <w:rPr>
          <w:lang w:val="en-GB"/>
        </w:rPr>
        <w:t>a</w:t>
      </w:r>
      <w:r w:rsidR="00D85E32" w:rsidRPr="001D77AF">
        <w:rPr>
          <w:lang w:val="en-GB"/>
        </w:rPr>
        <w:t xml:space="preserve">ffects </w:t>
      </w:r>
      <w:r w:rsidR="00683F0A" w:rsidRPr="001D77AF">
        <w:rPr>
          <w:lang w:val="en-GB"/>
        </w:rPr>
        <w:t xml:space="preserve">FDI location </w:t>
      </w:r>
      <w:r w:rsidRPr="001D77AF">
        <w:rPr>
          <w:lang w:val="en-GB"/>
        </w:rPr>
        <w:t xml:space="preserve">has possible applications to other types of economic transactions. The </w:t>
      </w:r>
      <w:r w:rsidR="005E6B4F">
        <w:rPr>
          <w:lang w:val="en-GB"/>
        </w:rPr>
        <w:t xml:space="preserve">costs and risk </w:t>
      </w:r>
      <w:r w:rsidRPr="001D77AF">
        <w:rPr>
          <w:lang w:val="en-GB"/>
        </w:rPr>
        <w:t xml:space="preserve">of using legal arenas to protect property rights </w:t>
      </w:r>
      <w:r w:rsidR="00B33D0C">
        <w:rPr>
          <w:lang w:val="en-GB"/>
        </w:rPr>
        <w:t xml:space="preserve">may also apply to cross-frontier </w:t>
      </w:r>
      <w:r w:rsidRPr="001D77AF">
        <w:rPr>
          <w:lang w:val="en-GB"/>
        </w:rPr>
        <w:t>economic transactions such as</w:t>
      </w:r>
      <w:r w:rsidR="00900AF0" w:rsidRPr="001D77AF">
        <w:rPr>
          <w:lang w:val="en-GB"/>
        </w:rPr>
        <w:t xml:space="preserve"> merger and acquisition</w:t>
      </w:r>
      <w:r w:rsidRPr="001D77AF">
        <w:rPr>
          <w:lang w:val="en-GB"/>
        </w:rPr>
        <w:t xml:space="preserve"> agreements, </w:t>
      </w:r>
      <w:r w:rsidR="00900AF0" w:rsidRPr="001D77AF">
        <w:rPr>
          <w:lang w:val="en-GB"/>
        </w:rPr>
        <w:t>international joint venture</w:t>
      </w:r>
      <w:r w:rsidRPr="001D77AF">
        <w:rPr>
          <w:lang w:val="en-GB"/>
        </w:rPr>
        <w:t xml:space="preserve"> agreements, and </w:t>
      </w:r>
      <w:r w:rsidR="00F72D60">
        <w:rPr>
          <w:lang w:val="en-GB"/>
        </w:rPr>
        <w:t xml:space="preserve">innovation </w:t>
      </w:r>
      <w:r w:rsidR="00197F54">
        <w:rPr>
          <w:lang w:val="en-GB"/>
        </w:rPr>
        <w:t>partnerships</w:t>
      </w:r>
      <w:r w:rsidRPr="001D77AF">
        <w:rPr>
          <w:lang w:val="en-GB"/>
        </w:rPr>
        <w:t xml:space="preserve">. Problems associated </w:t>
      </w:r>
      <w:r w:rsidR="00B714EF">
        <w:rPr>
          <w:lang w:val="en-GB"/>
        </w:rPr>
        <w:t xml:space="preserve">with </w:t>
      </w:r>
      <w:r w:rsidR="00E542D7">
        <w:rPr>
          <w:lang w:val="en-GB"/>
        </w:rPr>
        <w:t>co</w:t>
      </w:r>
      <w:r w:rsidR="00E1411B">
        <w:rPr>
          <w:lang w:val="en-GB"/>
        </w:rPr>
        <w:t>n</w:t>
      </w:r>
      <w:r w:rsidR="00E542D7">
        <w:rPr>
          <w:lang w:val="en-GB"/>
        </w:rPr>
        <w:t>t</w:t>
      </w:r>
      <w:r w:rsidR="00E1411B">
        <w:rPr>
          <w:lang w:val="en-GB"/>
        </w:rPr>
        <w:t>e</w:t>
      </w:r>
      <w:r w:rsidR="00E542D7">
        <w:rPr>
          <w:lang w:val="en-GB"/>
        </w:rPr>
        <w:t>xts</w:t>
      </w:r>
      <w:r w:rsidR="00E1411B">
        <w:rPr>
          <w:lang w:val="en-GB"/>
        </w:rPr>
        <w:t xml:space="preserve"> may </w:t>
      </w:r>
      <w:r w:rsidRPr="001D77AF">
        <w:rPr>
          <w:lang w:val="en-GB"/>
        </w:rPr>
        <w:t xml:space="preserve">render it costly and risky to use legal systems to defend property rights in these types of agreements. </w:t>
      </w:r>
      <w:r w:rsidR="00900AF0" w:rsidRPr="001D77AF">
        <w:rPr>
          <w:lang w:val="en-GB"/>
        </w:rPr>
        <w:t xml:space="preserve">Future research </w:t>
      </w:r>
      <w:r w:rsidR="00B714EF">
        <w:rPr>
          <w:lang w:val="en-GB"/>
        </w:rPr>
        <w:t xml:space="preserve">seeking </w:t>
      </w:r>
      <w:r w:rsidR="00900AF0" w:rsidRPr="001D77AF">
        <w:rPr>
          <w:lang w:val="en-GB"/>
        </w:rPr>
        <w:t>to</w:t>
      </w:r>
      <w:r w:rsidRPr="001D77AF">
        <w:rPr>
          <w:lang w:val="en-GB"/>
        </w:rPr>
        <w:t xml:space="preserve"> examin</w:t>
      </w:r>
      <w:r w:rsidR="00B714EF">
        <w:rPr>
          <w:lang w:val="en-GB"/>
        </w:rPr>
        <w:t xml:space="preserve">e </w:t>
      </w:r>
      <w:r w:rsidRPr="001D77AF">
        <w:rPr>
          <w:lang w:val="en-GB"/>
        </w:rPr>
        <w:t xml:space="preserve">these kinds of agreements using the approach taken in this paper would require proxies for the formal and informal institutional aspects that underpin the </w:t>
      </w:r>
      <w:r w:rsidR="00B714EF">
        <w:rPr>
          <w:lang w:val="en-GB"/>
        </w:rPr>
        <w:t xml:space="preserve">legal </w:t>
      </w:r>
      <w:r w:rsidRPr="001D77AF">
        <w:rPr>
          <w:lang w:val="en-GB"/>
        </w:rPr>
        <w:t xml:space="preserve">rights associated with these types of economic transactions. Investigation, for example, of the institutional context for securing economic rights from technology development </w:t>
      </w:r>
      <w:r w:rsidR="00D97791">
        <w:rPr>
          <w:lang w:val="en-GB"/>
        </w:rPr>
        <w:t xml:space="preserve">partnerships </w:t>
      </w:r>
      <w:r w:rsidRPr="001D77AF">
        <w:rPr>
          <w:lang w:val="en-GB"/>
        </w:rPr>
        <w:t xml:space="preserve">would require proxies for the formal legal aspects of law affecting such agreements and for the informal institutions that </w:t>
      </w:r>
      <w:r w:rsidR="00D97791">
        <w:rPr>
          <w:lang w:val="en-GB"/>
        </w:rPr>
        <w:t xml:space="preserve">shape </w:t>
      </w:r>
      <w:r w:rsidRPr="001D77AF">
        <w:rPr>
          <w:lang w:val="en-GB"/>
        </w:rPr>
        <w:t xml:space="preserve">the unwritten rules used by the agents that enforce the relevant law. </w:t>
      </w:r>
      <w:r w:rsidR="00900AF0" w:rsidRPr="001D77AF">
        <w:rPr>
          <w:lang w:val="en-GB"/>
        </w:rPr>
        <w:t xml:space="preserve">Such studies could </w:t>
      </w:r>
      <w:r w:rsidR="0006787A">
        <w:rPr>
          <w:lang w:val="en-GB"/>
        </w:rPr>
        <w:t xml:space="preserve">highlight </w:t>
      </w:r>
      <w:r w:rsidRPr="001D77AF">
        <w:rPr>
          <w:lang w:val="en-GB"/>
        </w:rPr>
        <w:t xml:space="preserve">the importance of the institutional context for using legal systems to defend </w:t>
      </w:r>
      <w:r w:rsidR="00D82628">
        <w:rPr>
          <w:lang w:val="en-GB"/>
        </w:rPr>
        <w:t xml:space="preserve">legal </w:t>
      </w:r>
      <w:r w:rsidRPr="001D77AF">
        <w:rPr>
          <w:lang w:val="en-GB"/>
        </w:rPr>
        <w:t xml:space="preserve">rights and </w:t>
      </w:r>
      <w:r w:rsidR="00900AF0" w:rsidRPr="001D77AF">
        <w:rPr>
          <w:lang w:val="en-GB"/>
        </w:rPr>
        <w:t xml:space="preserve">would </w:t>
      </w:r>
      <w:r w:rsidRPr="001D77AF">
        <w:rPr>
          <w:lang w:val="en-GB"/>
        </w:rPr>
        <w:t>help to identify locations with low cost</w:t>
      </w:r>
      <w:r w:rsidR="00D82628">
        <w:rPr>
          <w:lang w:val="en-GB"/>
        </w:rPr>
        <w:t>s</w:t>
      </w:r>
      <w:r w:rsidRPr="001D77AF">
        <w:rPr>
          <w:lang w:val="en-GB"/>
        </w:rPr>
        <w:t xml:space="preserve"> and risk in this area. In cases where investment was to be undertaken in institutional systems that presented costly and risky use of legal arenas, the resulting obstacles to securing economic rights would focus attention on the need for using appropriability regimes to mitigate th</w:t>
      </w:r>
      <w:r w:rsidR="006A0055">
        <w:rPr>
          <w:lang w:val="en-GB"/>
        </w:rPr>
        <w:t xml:space="preserve">e costs and </w:t>
      </w:r>
      <w:r w:rsidRPr="001D77AF">
        <w:rPr>
          <w:lang w:val="en-GB"/>
        </w:rPr>
        <w:t>risk.</w:t>
      </w:r>
    </w:p>
    <w:p w14:paraId="6192BA91" w14:textId="77777777" w:rsidR="00D82628" w:rsidRDefault="00D82628" w:rsidP="00D97580">
      <w:pPr>
        <w:spacing w:line="480" w:lineRule="auto"/>
        <w:jc w:val="both"/>
        <w:rPr>
          <w:i/>
          <w:lang w:val="en-GB"/>
        </w:rPr>
      </w:pPr>
    </w:p>
    <w:p w14:paraId="25EE47DD" w14:textId="6DB8B207" w:rsidR="00EF5066" w:rsidRPr="001D77AF" w:rsidRDefault="00CC6944" w:rsidP="00D97580">
      <w:pPr>
        <w:spacing w:line="480" w:lineRule="auto"/>
        <w:jc w:val="both"/>
        <w:rPr>
          <w:i/>
          <w:lang w:val="en-GB"/>
        </w:rPr>
      </w:pPr>
      <w:r w:rsidRPr="001D77AF">
        <w:rPr>
          <w:i/>
          <w:lang w:val="en-GB"/>
        </w:rPr>
        <w:t>Policy Implications</w:t>
      </w:r>
    </w:p>
    <w:p w14:paraId="0489FDC6" w14:textId="77777777" w:rsidR="00DF4CDD" w:rsidRDefault="00AF374E" w:rsidP="00B1044C">
      <w:pPr>
        <w:spacing w:line="480" w:lineRule="auto"/>
        <w:jc w:val="both"/>
        <w:rPr>
          <w:lang w:val="en-GB"/>
        </w:rPr>
      </w:pPr>
      <w:r>
        <w:rPr>
          <w:lang w:val="en-GB"/>
        </w:rPr>
        <w:t>C</w:t>
      </w:r>
      <w:r w:rsidR="007E242E" w:rsidRPr="001D77AF">
        <w:rPr>
          <w:lang w:val="en-GB"/>
        </w:rPr>
        <w:t xml:space="preserve">ountries with </w:t>
      </w:r>
      <w:r w:rsidR="003B4884" w:rsidRPr="001D77AF">
        <w:rPr>
          <w:lang w:val="en-GB"/>
        </w:rPr>
        <w:t xml:space="preserve">IPR regimes </w:t>
      </w:r>
      <w:r w:rsidR="007E242E" w:rsidRPr="001D77AF">
        <w:rPr>
          <w:lang w:val="en-GB"/>
        </w:rPr>
        <w:t xml:space="preserve">that </w:t>
      </w:r>
      <w:r w:rsidR="003B4884" w:rsidRPr="001D77AF">
        <w:rPr>
          <w:lang w:val="en-GB"/>
        </w:rPr>
        <w:t>continu</w:t>
      </w:r>
      <w:r w:rsidR="007E242E" w:rsidRPr="001D77AF">
        <w:rPr>
          <w:lang w:val="en-GB"/>
        </w:rPr>
        <w:t xml:space="preserve">e to face </w:t>
      </w:r>
      <w:r w:rsidR="003B4884" w:rsidRPr="001D77AF">
        <w:rPr>
          <w:lang w:val="en-GB"/>
        </w:rPr>
        <w:t>problems with providing effective protection</w:t>
      </w:r>
      <w:r w:rsidR="00983062" w:rsidRPr="001D77AF">
        <w:rPr>
          <w:lang w:val="en-GB"/>
        </w:rPr>
        <w:t xml:space="preserve"> </w:t>
      </w:r>
      <w:r w:rsidR="007E242E" w:rsidRPr="001D77AF">
        <w:rPr>
          <w:lang w:val="en-GB"/>
        </w:rPr>
        <w:t xml:space="preserve">to IP owners </w:t>
      </w:r>
      <w:r w:rsidR="00983062" w:rsidRPr="001D77AF">
        <w:rPr>
          <w:lang w:val="en-GB"/>
        </w:rPr>
        <w:t xml:space="preserve">need to consider </w:t>
      </w:r>
      <w:r w:rsidR="00BE08F8" w:rsidRPr="001D77AF">
        <w:rPr>
          <w:lang w:val="en-GB"/>
        </w:rPr>
        <w:t xml:space="preserve">removing </w:t>
      </w:r>
      <w:r w:rsidR="00983062" w:rsidRPr="001D77AF">
        <w:rPr>
          <w:lang w:val="en-GB"/>
        </w:rPr>
        <w:t>obstacles arising from formal and</w:t>
      </w:r>
      <w:r w:rsidR="007E242E" w:rsidRPr="001D77AF">
        <w:rPr>
          <w:lang w:val="en-GB"/>
        </w:rPr>
        <w:t>,</w:t>
      </w:r>
      <w:r w:rsidR="00D3728A">
        <w:rPr>
          <w:lang w:val="en-GB"/>
        </w:rPr>
        <w:t xml:space="preserve"> </w:t>
      </w:r>
      <w:r w:rsidR="007E242E" w:rsidRPr="001D77AF">
        <w:rPr>
          <w:lang w:val="en-GB"/>
        </w:rPr>
        <w:t>importantly,</w:t>
      </w:r>
      <w:r w:rsidR="00983062" w:rsidRPr="001D77AF">
        <w:rPr>
          <w:lang w:val="en-GB"/>
        </w:rPr>
        <w:t xml:space="preserve"> informal institutions. </w:t>
      </w:r>
      <w:r w:rsidR="00975305">
        <w:rPr>
          <w:lang w:val="en-GB"/>
        </w:rPr>
        <w:t>C</w:t>
      </w:r>
      <w:r w:rsidR="007E242E" w:rsidRPr="001D77AF">
        <w:rPr>
          <w:lang w:val="en-GB"/>
        </w:rPr>
        <w:t>ountries facing pr</w:t>
      </w:r>
      <w:r w:rsidR="00983062" w:rsidRPr="001D77AF">
        <w:rPr>
          <w:lang w:val="en-GB"/>
        </w:rPr>
        <w:t xml:space="preserve">oblems with </w:t>
      </w:r>
      <w:r w:rsidR="00A51EA4" w:rsidRPr="001D77AF">
        <w:rPr>
          <w:lang w:val="en-GB"/>
        </w:rPr>
        <w:t>formal legal arrangement</w:t>
      </w:r>
      <w:r w:rsidR="00D3728A">
        <w:rPr>
          <w:lang w:val="en-GB"/>
        </w:rPr>
        <w:t>s</w:t>
      </w:r>
      <w:r w:rsidR="00A51EA4" w:rsidRPr="001D77AF">
        <w:rPr>
          <w:lang w:val="en-GB"/>
        </w:rPr>
        <w:t xml:space="preserve"> </w:t>
      </w:r>
      <w:r w:rsidR="00BE08F8" w:rsidRPr="001D77AF">
        <w:rPr>
          <w:lang w:val="en-GB"/>
        </w:rPr>
        <w:t xml:space="preserve">stemming </w:t>
      </w:r>
      <w:r w:rsidR="00A51EA4" w:rsidRPr="001D77AF">
        <w:rPr>
          <w:lang w:val="en-GB"/>
        </w:rPr>
        <w:t xml:space="preserve">from </w:t>
      </w:r>
      <w:r w:rsidR="00983062" w:rsidRPr="001D77AF">
        <w:rPr>
          <w:lang w:val="en-GB"/>
        </w:rPr>
        <w:t xml:space="preserve">institutional voids (Doh et al., 2017; Khanna &amp; Palepu, 2010) </w:t>
      </w:r>
      <w:r w:rsidR="001F7E48" w:rsidRPr="001D77AF">
        <w:rPr>
          <w:lang w:val="en-GB"/>
        </w:rPr>
        <w:t xml:space="preserve">connected to IPR </w:t>
      </w:r>
      <w:r w:rsidR="008507B7" w:rsidRPr="001D77AF">
        <w:rPr>
          <w:lang w:val="en-GB"/>
        </w:rPr>
        <w:t>need to correct</w:t>
      </w:r>
      <w:r w:rsidR="007E242E" w:rsidRPr="001D77AF">
        <w:rPr>
          <w:lang w:val="en-GB"/>
        </w:rPr>
        <w:t xml:space="preserve"> them</w:t>
      </w:r>
      <w:r w:rsidR="00975305">
        <w:rPr>
          <w:lang w:val="en-GB"/>
        </w:rPr>
        <w:t>. T</w:t>
      </w:r>
      <w:r w:rsidR="007E242E" w:rsidRPr="001D77AF">
        <w:rPr>
          <w:lang w:val="en-GB"/>
        </w:rPr>
        <w:t>h</w:t>
      </w:r>
      <w:r w:rsidR="008507B7" w:rsidRPr="001D77AF">
        <w:rPr>
          <w:lang w:val="en-GB"/>
        </w:rPr>
        <w:t>is i</w:t>
      </w:r>
      <w:r w:rsidR="004E71A0" w:rsidRPr="001D77AF">
        <w:rPr>
          <w:lang w:val="en-GB"/>
        </w:rPr>
        <w:t>s</w:t>
      </w:r>
      <w:r w:rsidR="008507B7" w:rsidRPr="001D77AF">
        <w:rPr>
          <w:lang w:val="en-GB"/>
        </w:rPr>
        <w:t xml:space="preserve"> not normally </w:t>
      </w:r>
      <w:r w:rsidR="00613127" w:rsidRPr="001D77AF">
        <w:rPr>
          <w:lang w:val="en-GB"/>
        </w:rPr>
        <w:t xml:space="preserve">expected to be </w:t>
      </w:r>
      <w:r w:rsidR="008507B7" w:rsidRPr="001D77AF">
        <w:rPr>
          <w:lang w:val="en-GB"/>
        </w:rPr>
        <w:t xml:space="preserve">a major problem </w:t>
      </w:r>
      <w:r w:rsidR="007E242E" w:rsidRPr="001D77AF">
        <w:rPr>
          <w:lang w:val="en-GB"/>
        </w:rPr>
        <w:t>for policy makers</w:t>
      </w:r>
      <w:r w:rsidR="00C25C47">
        <w:rPr>
          <w:lang w:val="en-GB"/>
        </w:rPr>
        <w:t xml:space="preserve"> if c</w:t>
      </w:r>
      <w:r w:rsidR="007E242E" w:rsidRPr="001D77AF">
        <w:rPr>
          <w:lang w:val="en-GB"/>
        </w:rPr>
        <w:t xml:space="preserve">orrecting such </w:t>
      </w:r>
      <w:r w:rsidR="007E242E" w:rsidRPr="001D77AF">
        <w:rPr>
          <w:lang w:val="en-GB"/>
        </w:rPr>
        <w:lastRenderedPageBreak/>
        <w:t xml:space="preserve">institutional voids </w:t>
      </w:r>
      <w:r w:rsidR="00C25C47">
        <w:rPr>
          <w:lang w:val="en-GB"/>
        </w:rPr>
        <w:t>is enabled by</w:t>
      </w:r>
      <w:r w:rsidR="007E242E" w:rsidRPr="001D77AF">
        <w:rPr>
          <w:lang w:val="en-GB"/>
        </w:rPr>
        <w:t xml:space="preserve"> access to </w:t>
      </w:r>
      <w:r w:rsidR="00F4299B" w:rsidRPr="001D77AF">
        <w:rPr>
          <w:lang w:val="en-GB"/>
        </w:rPr>
        <w:t xml:space="preserve">sufficient legal expertise </w:t>
      </w:r>
      <w:r w:rsidR="005E582F">
        <w:rPr>
          <w:lang w:val="en-GB"/>
        </w:rPr>
        <w:t xml:space="preserve">and </w:t>
      </w:r>
      <w:r w:rsidR="001317B7">
        <w:rPr>
          <w:lang w:val="en-GB"/>
        </w:rPr>
        <w:t xml:space="preserve">that there is the </w:t>
      </w:r>
      <w:r w:rsidR="004E71A0" w:rsidRPr="001D77AF">
        <w:rPr>
          <w:lang w:val="en-GB"/>
        </w:rPr>
        <w:t>will</w:t>
      </w:r>
      <w:r w:rsidR="00F4299B" w:rsidRPr="001D77AF">
        <w:rPr>
          <w:lang w:val="en-GB"/>
        </w:rPr>
        <w:t xml:space="preserve"> to</w:t>
      </w:r>
      <w:r w:rsidR="002D4FAD" w:rsidRPr="001D77AF">
        <w:rPr>
          <w:lang w:val="en-GB"/>
        </w:rPr>
        <w:t xml:space="preserve"> design and enact the necessary legislation</w:t>
      </w:r>
      <w:r w:rsidR="0060457C" w:rsidRPr="001D77AF">
        <w:rPr>
          <w:lang w:val="en-GB"/>
        </w:rPr>
        <w:t>.</w:t>
      </w:r>
      <w:r w:rsidR="004035E7" w:rsidRPr="001D77AF">
        <w:rPr>
          <w:lang w:val="en-GB"/>
        </w:rPr>
        <w:t xml:space="preserve"> </w:t>
      </w:r>
      <w:r w:rsidR="00BC088A" w:rsidRPr="001D77AF">
        <w:rPr>
          <w:lang w:val="en-GB"/>
        </w:rPr>
        <w:t xml:space="preserve">The largely successful </w:t>
      </w:r>
      <w:r w:rsidR="00F138C6" w:rsidRPr="001D77AF">
        <w:rPr>
          <w:lang w:val="en-GB"/>
        </w:rPr>
        <w:t xml:space="preserve">implementation of TRIPS </w:t>
      </w:r>
      <w:r w:rsidR="00BC088A" w:rsidRPr="001D77AF">
        <w:rPr>
          <w:lang w:val="en-GB"/>
        </w:rPr>
        <w:t xml:space="preserve">shows </w:t>
      </w:r>
      <w:r w:rsidR="00F138C6" w:rsidRPr="001D77AF">
        <w:rPr>
          <w:lang w:val="en-GB"/>
        </w:rPr>
        <w:t xml:space="preserve">that </w:t>
      </w:r>
      <w:r w:rsidR="00392AC7" w:rsidRPr="001D77AF">
        <w:rPr>
          <w:lang w:val="en-GB"/>
        </w:rPr>
        <w:t xml:space="preserve">securing </w:t>
      </w:r>
      <w:r w:rsidR="00F138C6" w:rsidRPr="001D77AF">
        <w:rPr>
          <w:lang w:val="en-GB"/>
        </w:rPr>
        <w:t xml:space="preserve">good quality IP law is </w:t>
      </w:r>
      <w:r w:rsidR="00442F81" w:rsidRPr="001D77AF">
        <w:rPr>
          <w:lang w:val="en-GB"/>
        </w:rPr>
        <w:t>possible</w:t>
      </w:r>
      <w:r w:rsidR="00442F81">
        <w:rPr>
          <w:lang w:val="en-GB"/>
        </w:rPr>
        <w:t xml:space="preserve"> but</w:t>
      </w:r>
      <w:r w:rsidR="00D3728A">
        <w:rPr>
          <w:lang w:val="en-GB"/>
        </w:rPr>
        <w:t xml:space="preserve"> requires</w:t>
      </w:r>
      <w:r w:rsidR="00953A0E" w:rsidRPr="001D77AF">
        <w:rPr>
          <w:lang w:val="en-GB"/>
        </w:rPr>
        <w:t xml:space="preserve"> considerable legislative activity</w:t>
      </w:r>
      <w:r w:rsidR="004C27EF" w:rsidRPr="001D77AF">
        <w:rPr>
          <w:lang w:val="en-GB"/>
        </w:rPr>
        <w:t xml:space="preserve"> that needs to be updated and developed to resolve </w:t>
      </w:r>
      <w:r w:rsidR="00A126B9" w:rsidRPr="001D77AF">
        <w:rPr>
          <w:lang w:val="en-GB"/>
        </w:rPr>
        <w:t>emerging and continuing inadequacies in IP law</w:t>
      </w:r>
      <w:r w:rsidR="00953A0E" w:rsidRPr="001D77AF">
        <w:rPr>
          <w:lang w:val="en-GB"/>
        </w:rPr>
        <w:t xml:space="preserve"> </w:t>
      </w:r>
      <w:r w:rsidR="001F7E48" w:rsidRPr="001D77AF">
        <w:rPr>
          <w:lang w:val="en-GB"/>
        </w:rPr>
        <w:t xml:space="preserve">(WTO, 2011). </w:t>
      </w:r>
      <w:r w:rsidR="00FC635B" w:rsidRPr="001D77AF">
        <w:rPr>
          <w:lang w:val="en-GB"/>
        </w:rPr>
        <w:t>Correcting d</w:t>
      </w:r>
      <w:r w:rsidR="004B50D5" w:rsidRPr="001D77AF">
        <w:rPr>
          <w:lang w:val="en-GB"/>
        </w:rPr>
        <w:t xml:space="preserve">efects in formal legal rights for IP due to institutional voids are likely to </w:t>
      </w:r>
      <w:r w:rsidR="009A0C97" w:rsidRPr="001D77AF">
        <w:rPr>
          <w:lang w:val="en-GB"/>
        </w:rPr>
        <w:t>encourage</w:t>
      </w:r>
      <w:r w:rsidR="004B50D5" w:rsidRPr="001D77AF">
        <w:rPr>
          <w:lang w:val="en-GB"/>
        </w:rPr>
        <w:t xml:space="preserve"> FDI but correcting such defects may not lead to significant improvement if the new IP law</w:t>
      </w:r>
      <w:r w:rsidR="002B19C1" w:rsidRPr="001D77AF">
        <w:rPr>
          <w:lang w:val="en-GB"/>
        </w:rPr>
        <w:t xml:space="preserve">s are </w:t>
      </w:r>
      <w:r w:rsidR="004B50D5" w:rsidRPr="001D77AF">
        <w:rPr>
          <w:lang w:val="en-GB"/>
        </w:rPr>
        <w:t xml:space="preserve">not legitimized and supported by appropriate informal institutions. </w:t>
      </w:r>
    </w:p>
    <w:p w14:paraId="2EF71279" w14:textId="0F2F64EA" w:rsidR="00F227C5" w:rsidRDefault="004B50D5" w:rsidP="00DF4CDD">
      <w:pPr>
        <w:spacing w:line="480" w:lineRule="auto"/>
        <w:ind w:firstLine="720"/>
        <w:jc w:val="both"/>
        <w:rPr>
          <w:lang w:val="en-GB"/>
        </w:rPr>
      </w:pPr>
      <w:r w:rsidRPr="001D77AF">
        <w:rPr>
          <w:lang w:val="en-GB"/>
        </w:rPr>
        <w:t>C</w:t>
      </w:r>
      <w:r w:rsidR="008441F7" w:rsidRPr="001D77AF">
        <w:rPr>
          <w:lang w:val="en-GB"/>
        </w:rPr>
        <w:t xml:space="preserve">hanging the social protocols and conventions of a society </w:t>
      </w:r>
      <w:r w:rsidR="00F25BB4" w:rsidRPr="001D77AF">
        <w:rPr>
          <w:lang w:val="en-GB"/>
        </w:rPr>
        <w:t xml:space="preserve">that underpin informal </w:t>
      </w:r>
      <w:r w:rsidR="00613127" w:rsidRPr="001D77AF">
        <w:rPr>
          <w:lang w:val="en-GB"/>
        </w:rPr>
        <w:t xml:space="preserve">IP </w:t>
      </w:r>
      <w:r w:rsidR="00F25BB4" w:rsidRPr="001D77AF">
        <w:rPr>
          <w:lang w:val="en-GB"/>
        </w:rPr>
        <w:t xml:space="preserve">institutions </w:t>
      </w:r>
      <w:r w:rsidR="008441F7" w:rsidRPr="001D77AF">
        <w:rPr>
          <w:lang w:val="en-GB"/>
        </w:rPr>
        <w:t xml:space="preserve">to induce change in </w:t>
      </w:r>
      <w:r w:rsidR="005E6B4F">
        <w:rPr>
          <w:lang w:val="en-GB"/>
        </w:rPr>
        <w:t>behaviour</w:t>
      </w:r>
      <w:r w:rsidR="008441F7" w:rsidRPr="001D77AF">
        <w:rPr>
          <w:lang w:val="en-GB"/>
        </w:rPr>
        <w:t xml:space="preserve"> is </w:t>
      </w:r>
      <w:r w:rsidR="005D5F17" w:rsidRPr="001D77AF">
        <w:rPr>
          <w:lang w:val="en-GB"/>
        </w:rPr>
        <w:t xml:space="preserve">however </w:t>
      </w:r>
      <w:r w:rsidR="008441F7" w:rsidRPr="001D77AF">
        <w:rPr>
          <w:lang w:val="en-GB"/>
        </w:rPr>
        <w:t>a difficult task</w:t>
      </w:r>
      <w:r w:rsidR="00613127" w:rsidRPr="001D77AF">
        <w:rPr>
          <w:lang w:val="en-GB"/>
        </w:rPr>
        <w:t xml:space="preserve">. This is </w:t>
      </w:r>
      <w:r w:rsidR="00F2266C" w:rsidRPr="001D77AF">
        <w:rPr>
          <w:lang w:val="en-GB"/>
        </w:rPr>
        <w:t>be</w:t>
      </w:r>
      <w:r w:rsidR="006522B7" w:rsidRPr="001D77AF">
        <w:rPr>
          <w:lang w:val="en-GB"/>
        </w:rPr>
        <w:t xml:space="preserve">cause </w:t>
      </w:r>
      <w:r w:rsidR="00DF4CDD">
        <w:rPr>
          <w:lang w:val="en-GB"/>
        </w:rPr>
        <w:t xml:space="preserve">cultural evolution is </w:t>
      </w:r>
      <w:r w:rsidR="00B748B1" w:rsidRPr="001D77AF">
        <w:rPr>
          <w:lang w:val="en-GB"/>
        </w:rPr>
        <w:t xml:space="preserve">normally </w:t>
      </w:r>
      <w:r w:rsidR="001B284F" w:rsidRPr="001D77AF">
        <w:rPr>
          <w:lang w:val="en-GB"/>
        </w:rPr>
        <w:t>very slow</w:t>
      </w:r>
      <w:r w:rsidR="00B748B1" w:rsidRPr="001D77AF">
        <w:rPr>
          <w:lang w:val="en-GB"/>
        </w:rPr>
        <w:t xml:space="preserve"> and path</w:t>
      </w:r>
      <w:r w:rsidR="00D3728A">
        <w:rPr>
          <w:lang w:val="en-GB"/>
        </w:rPr>
        <w:t>-</w:t>
      </w:r>
      <w:r w:rsidR="00B748B1" w:rsidRPr="001D77AF">
        <w:rPr>
          <w:lang w:val="en-GB"/>
        </w:rPr>
        <w:t xml:space="preserve">determined by history </w:t>
      </w:r>
      <w:r w:rsidR="009F1A0F" w:rsidRPr="001D77AF">
        <w:rPr>
          <w:lang w:val="en-GB"/>
        </w:rPr>
        <w:t>(</w:t>
      </w:r>
      <w:r w:rsidR="006F4921">
        <w:rPr>
          <w:lang w:val="en-GB"/>
        </w:rPr>
        <w:t xml:space="preserve">Alesina &amp; Giuliano, 2015; </w:t>
      </w:r>
      <w:r w:rsidR="00DA3A7C" w:rsidRPr="007355E8">
        <w:t>Mantzavinos</w:t>
      </w:r>
      <w:r w:rsidR="00DA3A7C">
        <w:t xml:space="preserve"> et al., </w:t>
      </w:r>
      <w:r w:rsidR="00DA3A7C" w:rsidRPr="007355E8">
        <w:t>2004</w:t>
      </w:r>
      <w:r w:rsidR="00DA3A7C">
        <w:t xml:space="preserve">; </w:t>
      </w:r>
      <w:r w:rsidR="009F1A0F" w:rsidRPr="001D77AF">
        <w:rPr>
          <w:lang w:val="en-GB"/>
        </w:rPr>
        <w:t>North, 2005)</w:t>
      </w:r>
      <w:r w:rsidR="008441F7" w:rsidRPr="001D77AF">
        <w:rPr>
          <w:lang w:val="en-GB"/>
        </w:rPr>
        <w:t xml:space="preserve">. </w:t>
      </w:r>
      <w:r w:rsidR="00FF19AE">
        <w:rPr>
          <w:lang w:val="en-GB"/>
        </w:rPr>
        <w:t xml:space="preserve">As however the unwritten rules used by enforcement agents are </w:t>
      </w:r>
      <w:r w:rsidR="006F7B2B">
        <w:rPr>
          <w:lang w:val="en-GB"/>
        </w:rPr>
        <w:t xml:space="preserve">usually </w:t>
      </w:r>
      <w:r w:rsidR="00FF19AE">
        <w:rPr>
          <w:lang w:val="en-GB"/>
        </w:rPr>
        <w:t xml:space="preserve">particular to the institutional setting that </w:t>
      </w:r>
      <w:r w:rsidR="007F02AD">
        <w:rPr>
          <w:lang w:val="en-GB"/>
        </w:rPr>
        <w:t xml:space="preserve">implements the </w:t>
      </w:r>
      <w:r w:rsidR="00FF19AE">
        <w:rPr>
          <w:lang w:val="en-GB"/>
        </w:rPr>
        <w:t>law</w:t>
      </w:r>
      <w:r w:rsidR="00036AAD">
        <w:rPr>
          <w:lang w:val="en-GB"/>
        </w:rPr>
        <w:t>,</w:t>
      </w:r>
      <w:r w:rsidR="00FF19AE">
        <w:rPr>
          <w:lang w:val="en-GB"/>
        </w:rPr>
        <w:t xml:space="preserve"> it </w:t>
      </w:r>
      <w:r w:rsidR="00036AAD">
        <w:rPr>
          <w:lang w:val="en-GB"/>
        </w:rPr>
        <w:t xml:space="preserve">may </w:t>
      </w:r>
      <w:r w:rsidR="00FF19AE">
        <w:rPr>
          <w:lang w:val="en-GB"/>
        </w:rPr>
        <w:t xml:space="preserve">only </w:t>
      </w:r>
      <w:r w:rsidR="00036AAD">
        <w:rPr>
          <w:lang w:val="en-GB"/>
        </w:rPr>
        <w:t xml:space="preserve">be </w:t>
      </w:r>
      <w:r w:rsidR="00FF19AE">
        <w:rPr>
          <w:lang w:val="en-GB"/>
        </w:rPr>
        <w:t xml:space="preserve">necessary to change the informal institutional norms of those involved in that setting (Voigt, 2018). </w:t>
      </w:r>
      <w:r w:rsidR="007F02AD">
        <w:rPr>
          <w:lang w:val="en-GB"/>
        </w:rPr>
        <w:t xml:space="preserve">The </w:t>
      </w:r>
      <w:r w:rsidR="002332A5" w:rsidRPr="001D77AF">
        <w:rPr>
          <w:lang w:val="en-GB"/>
        </w:rPr>
        <w:t xml:space="preserve">possibility of </w:t>
      </w:r>
      <w:r w:rsidR="001B284F" w:rsidRPr="001D77AF">
        <w:rPr>
          <w:lang w:val="en-GB"/>
        </w:rPr>
        <w:t xml:space="preserve">rapid change in </w:t>
      </w:r>
      <w:r w:rsidR="00B6282A" w:rsidRPr="001D77AF">
        <w:rPr>
          <w:lang w:val="en-GB"/>
        </w:rPr>
        <w:t>social conventions</w:t>
      </w:r>
      <w:r w:rsidR="00E27FCD">
        <w:rPr>
          <w:lang w:val="en-GB"/>
        </w:rPr>
        <w:t xml:space="preserve"> and norms b</w:t>
      </w:r>
      <w:r w:rsidR="00B6282A" w:rsidRPr="001D77AF">
        <w:rPr>
          <w:lang w:val="en-GB"/>
        </w:rPr>
        <w:t xml:space="preserve">y a cascading </w:t>
      </w:r>
      <w:r w:rsidR="0063727C" w:rsidRPr="001D77AF">
        <w:rPr>
          <w:lang w:val="en-GB"/>
        </w:rPr>
        <w:t>of information</w:t>
      </w:r>
      <w:r w:rsidR="003D7B5A" w:rsidRPr="001D77AF">
        <w:rPr>
          <w:lang w:val="en-GB"/>
        </w:rPr>
        <w:t xml:space="preserve"> </w:t>
      </w:r>
      <w:r w:rsidR="0063727C" w:rsidRPr="001D77AF">
        <w:rPr>
          <w:lang w:val="en-GB"/>
        </w:rPr>
        <w:t>through</w:t>
      </w:r>
      <w:r w:rsidR="00461879" w:rsidRPr="001D77AF">
        <w:rPr>
          <w:lang w:val="en-GB"/>
        </w:rPr>
        <w:t xml:space="preserve"> </w:t>
      </w:r>
      <w:r w:rsidR="007F02AD">
        <w:rPr>
          <w:lang w:val="en-GB"/>
        </w:rPr>
        <w:t xml:space="preserve">particular </w:t>
      </w:r>
      <w:r w:rsidR="00461879" w:rsidRPr="001D77AF">
        <w:rPr>
          <w:lang w:val="en-GB"/>
        </w:rPr>
        <w:t>sections of society</w:t>
      </w:r>
      <w:r w:rsidR="003D7B5A" w:rsidRPr="001D77AF">
        <w:rPr>
          <w:lang w:val="en-GB"/>
        </w:rPr>
        <w:t xml:space="preserve"> </w:t>
      </w:r>
      <w:r w:rsidR="001B284F" w:rsidRPr="001D77AF">
        <w:rPr>
          <w:lang w:val="en-GB"/>
        </w:rPr>
        <w:t>(</w:t>
      </w:r>
      <w:r w:rsidR="00C929B7" w:rsidRPr="001D77AF">
        <w:rPr>
          <w:lang w:val="en-GB"/>
        </w:rPr>
        <w:t>Bikhchandani et al., 1992)</w:t>
      </w:r>
      <w:r w:rsidR="007F02AD">
        <w:rPr>
          <w:lang w:val="en-GB"/>
        </w:rPr>
        <w:t xml:space="preserve"> </w:t>
      </w:r>
      <w:r w:rsidR="003B4884" w:rsidRPr="001D77AF">
        <w:rPr>
          <w:lang w:val="en-GB"/>
        </w:rPr>
        <w:t xml:space="preserve">may </w:t>
      </w:r>
      <w:r w:rsidR="007F02AD">
        <w:rPr>
          <w:lang w:val="en-GB"/>
        </w:rPr>
        <w:t xml:space="preserve">make it possible </w:t>
      </w:r>
      <w:r w:rsidR="005000C4" w:rsidRPr="001D77AF">
        <w:rPr>
          <w:lang w:val="en-GB"/>
        </w:rPr>
        <w:t>to</w:t>
      </w:r>
      <w:r w:rsidR="003B4884" w:rsidRPr="001D77AF">
        <w:rPr>
          <w:lang w:val="en-GB"/>
        </w:rPr>
        <w:t xml:space="preserve"> change </w:t>
      </w:r>
      <w:r w:rsidR="00D640F4" w:rsidRPr="001D77AF">
        <w:rPr>
          <w:lang w:val="en-GB"/>
        </w:rPr>
        <w:t xml:space="preserve">the </w:t>
      </w:r>
      <w:r w:rsidR="003B4884" w:rsidRPr="001D77AF">
        <w:rPr>
          <w:lang w:val="en-GB"/>
        </w:rPr>
        <w:t xml:space="preserve">social protocols used by enforcement agents </w:t>
      </w:r>
      <w:r w:rsidR="00D640F4" w:rsidRPr="001D77AF">
        <w:rPr>
          <w:lang w:val="en-GB"/>
        </w:rPr>
        <w:t xml:space="preserve">by cascading </w:t>
      </w:r>
      <w:r w:rsidR="002072DE" w:rsidRPr="001D77AF">
        <w:rPr>
          <w:lang w:val="en-GB"/>
        </w:rPr>
        <w:t xml:space="preserve">information about good practice. </w:t>
      </w:r>
      <w:r w:rsidR="00613127" w:rsidRPr="001D77AF">
        <w:rPr>
          <w:lang w:val="en-GB"/>
        </w:rPr>
        <w:t>Such an approach in</w:t>
      </w:r>
      <w:r w:rsidR="003B4884" w:rsidRPr="001D77AF">
        <w:rPr>
          <w:lang w:val="en-GB"/>
        </w:rPr>
        <w:t xml:space="preserve"> </w:t>
      </w:r>
      <w:r w:rsidR="00597A7F" w:rsidRPr="001D77AF">
        <w:rPr>
          <w:lang w:val="en-GB"/>
        </w:rPr>
        <w:t xml:space="preserve">policy </w:t>
      </w:r>
      <w:r w:rsidR="00613127" w:rsidRPr="001D77AF">
        <w:rPr>
          <w:lang w:val="en-GB"/>
        </w:rPr>
        <w:t xml:space="preserve">making </w:t>
      </w:r>
      <w:r w:rsidR="00597A7F" w:rsidRPr="001D77AF">
        <w:rPr>
          <w:lang w:val="en-GB"/>
        </w:rPr>
        <w:t xml:space="preserve">offers the prospect of change in </w:t>
      </w:r>
      <w:r w:rsidR="00216616">
        <w:rPr>
          <w:lang w:val="en-GB"/>
        </w:rPr>
        <w:t xml:space="preserve">the </w:t>
      </w:r>
      <w:r w:rsidR="005E6B4F">
        <w:rPr>
          <w:lang w:val="en-GB"/>
        </w:rPr>
        <w:t>behaviour</w:t>
      </w:r>
      <w:r w:rsidR="00597A7F" w:rsidRPr="001D77AF">
        <w:rPr>
          <w:lang w:val="en-GB"/>
        </w:rPr>
        <w:t xml:space="preserve"> </w:t>
      </w:r>
      <w:r w:rsidR="00216616">
        <w:rPr>
          <w:lang w:val="en-GB"/>
        </w:rPr>
        <w:t xml:space="preserve">of enforcement agents </w:t>
      </w:r>
      <w:r w:rsidR="00400264" w:rsidRPr="001D77AF">
        <w:rPr>
          <w:lang w:val="en-GB"/>
        </w:rPr>
        <w:t xml:space="preserve">that does not require </w:t>
      </w:r>
      <w:r w:rsidR="003B4884" w:rsidRPr="001D77AF">
        <w:rPr>
          <w:lang w:val="en-GB"/>
        </w:rPr>
        <w:t xml:space="preserve">countrywide changes in social protocols. </w:t>
      </w:r>
    </w:p>
    <w:p w14:paraId="39628A1E" w14:textId="77777777" w:rsidR="00E27FCD" w:rsidRDefault="00E27FCD" w:rsidP="006E748A">
      <w:pPr>
        <w:pStyle w:val="ListParagraph"/>
        <w:spacing w:line="480" w:lineRule="auto"/>
        <w:ind w:left="0"/>
        <w:jc w:val="both"/>
        <w:rPr>
          <w:b/>
          <w:lang w:val="en-GB"/>
        </w:rPr>
      </w:pPr>
    </w:p>
    <w:p w14:paraId="578C6CB2" w14:textId="3C8AF194" w:rsidR="007D391E" w:rsidRPr="001D77AF" w:rsidRDefault="007D391E" w:rsidP="006E748A">
      <w:pPr>
        <w:pStyle w:val="ListParagraph"/>
        <w:spacing w:line="480" w:lineRule="auto"/>
        <w:ind w:left="0"/>
        <w:jc w:val="both"/>
        <w:rPr>
          <w:b/>
          <w:lang w:val="en-GB"/>
        </w:rPr>
      </w:pPr>
      <w:r w:rsidRPr="001D77AF">
        <w:rPr>
          <w:b/>
          <w:lang w:val="en-GB"/>
        </w:rPr>
        <w:t xml:space="preserve">6. </w:t>
      </w:r>
      <w:r w:rsidRPr="001D77AF">
        <w:rPr>
          <w:b/>
          <w:lang w:val="en-GB"/>
        </w:rPr>
        <w:tab/>
        <w:t>Conclusions</w:t>
      </w:r>
      <w:r w:rsidR="00C1479E" w:rsidRPr="001D77AF">
        <w:rPr>
          <w:b/>
          <w:lang w:val="en-GB"/>
        </w:rPr>
        <w:t xml:space="preserve"> </w:t>
      </w:r>
    </w:p>
    <w:p w14:paraId="26EEB112" w14:textId="2766E884" w:rsidR="00711D87" w:rsidRPr="001D77AF" w:rsidRDefault="00867ED3" w:rsidP="00EE3146">
      <w:pPr>
        <w:pStyle w:val="ListParagraph"/>
        <w:spacing w:line="480" w:lineRule="auto"/>
        <w:ind w:left="0"/>
        <w:jc w:val="both"/>
        <w:rPr>
          <w:lang w:val="en-GB"/>
        </w:rPr>
      </w:pPr>
      <w:r>
        <w:rPr>
          <w:lang w:val="en-GB"/>
        </w:rPr>
        <w:t xml:space="preserve">This </w:t>
      </w:r>
      <w:r w:rsidR="00AE2193" w:rsidRPr="001D77AF">
        <w:rPr>
          <w:lang w:val="en-GB"/>
        </w:rPr>
        <w:t xml:space="preserve">study </w:t>
      </w:r>
      <w:r w:rsidR="00684227">
        <w:rPr>
          <w:lang w:val="en-GB"/>
        </w:rPr>
        <w:t xml:space="preserve">examined </w:t>
      </w:r>
      <w:r w:rsidR="00AE2193" w:rsidRPr="001D77AF">
        <w:rPr>
          <w:lang w:val="en-GB"/>
        </w:rPr>
        <w:t>the institution</w:t>
      </w:r>
      <w:r w:rsidR="006D2A00">
        <w:rPr>
          <w:lang w:val="en-GB"/>
        </w:rPr>
        <w:t xml:space="preserve">al context of IPR regimes </w:t>
      </w:r>
      <w:r w:rsidR="00AE2193" w:rsidRPr="001D77AF">
        <w:rPr>
          <w:lang w:val="en-GB"/>
        </w:rPr>
        <w:t xml:space="preserve">in </w:t>
      </w:r>
      <w:r w:rsidR="009418CC">
        <w:rPr>
          <w:lang w:val="en-GB"/>
        </w:rPr>
        <w:t xml:space="preserve">influencing </w:t>
      </w:r>
      <w:r w:rsidR="00711D87" w:rsidRPr="001D77AF">
        <w:rPr>
          <w:lang w:val="en-GB"/>
        </w:rPr>
        <w:t xml:space="preserve">the </w:t>
      </w:r>
      <w:r w:rsidR="005E6B4F">
        <w:rPr>
          <w:lang w:val="en-GB"/>
        </w:rPr>
        <w:t xml:space="preserve">costs and risk </w:t>
      </w:r>
      <w:r w:rsidR="00711D87" w:rsidRPr="001D77AF">
        <w:rPr>
          <w:lang w:val="en-GB"/>
        </w:rPr>
        <w:t xml:space="preserve">of using legal </w:t>
      </w:r>
      <w:r w:rsidR="009418CC">
        <w:rPr>
          <w:lang w:val="en-GB"/>
        </w:rPr>
        <w:t>are</w:t>
      </w:r>
      <w:r w:rsidR="00561054">
        <w:rPr>
          <w:lang w:val="en-GB"/>
        </w:rPr>
        <w:t>nas</w:t>
      </w:r>
      <w:r w:rsidR="009418CC">
        <w:rPr>
          <w:lang w:val="en-GB"/>
        </w:rPr>
        <w:t xml:space="preserve"> </w:t>
      </w:r>
      <w:r w:rsidR="00711D87" w:rsidRPr="001D77AF">
        <w:rPr>
          <w:lang w:val="en-GB"/>
        </w:rPr>
        <w:t>to protect IPR</w:t>
      </w:r>
      <w:r w:rsidR="00561054">
        <w:rPr>
          <w:lang w:val="en-GB"/>
        </w:rPr>
        <w:t xml:space="preserve"> by considering </w:t>
      </w:r>
      <w:r w:rsidR="00AE2193" w:rsidRPr="001D77AF">
        <w:rPr>
          <w:lang w:val="en-GB"/>
        </w:rPr>
        <w:t xml:space="preserve">how these </w:t>
      </w:r>
      <w:r w:rsidR="00987A8A">
        <w:rPr>
          <w:lang w:val="en-GB"/>
        </w:rPr>
        <w:t xml:space="preserve">contexts </w:t>
      </w:r>
      <w:r w:rsidR="00AE2193" w:rsidRPr="001D77AF">
        <w:rPr>
          <w:lang w:val="en-GB"/>
        </w:rPr>
        <w:t xml:space="preserve">affect the ability </w:t>
      </w:r>
      <w:r w:rsidR="00891F86" w:rsidRPr="001D77AF">
        <w:rPr>
          <w:lang w:val="en-GB"/>
        </w:rPr>
        <w:t xml:space="preserve">of </w:t>
      </w:r>
      <w:r w:rsidR="00AE2193" w:rsidRPr="001D77AF">
        <w:rPr>
          <w:lang w:val="en-GB"/>
        </w:rPr>
        <w:t>IP owners</w:t>
      </w:r>
      <w:r w:rsidR="00711D87" w:rsidRPr="001D77AF">
        <w:rPr>
          <w:lang w:val="en-GB"/>
        </w:rPr>
        <w:t xml:space="preserve"> </w:t>
      </w:r>
      <w:r w:rsidR="00AE2193" w:rsidRPr="001D77AF">
        <w:rPr>
          <w:lang w:val="en-GB"/>
        </w:rPr>
        <w:t>to transform</w:t>
      </w:r>
      <w:r w:rsidR="00711D87" w:rsidRPr="001D77AF">
        <w:rPr>
          <w:lang w:val="en-GB"/>
        </w:rPr>
        <w:t xml:space="preserve"> </w:t>
      </w:r>
      <w:r w:rsidR="0071743E">
        <w:rPr>
          <w:lang w:val="en-GB"/>
        </w:rPr>
        <w:t xml:space="preserve">legal </w:t>
      </w:r>
      <w:r w:rsidR="00891F86" w:rsidRPr="001D77AF">
        <w:rPr>
          <w:lang w:val="en-GB"/>
        </w:rPr>
        <w:t>rights into economic rights</w:t>
      </w:r>
      <w:r w:rsidR="00711D87" w:rsidRPr="001D77AF">
        <w:rPr>
          <w:lang w:val="en-GB"/>
        </w:rPr>
        <w:t xml:space="preserve">. </w:t>
      </w:r>
      <w:r w:rsidR="00F205E9">
        <w:rPr>
          <w:lang w:val="en-GB"/>
        </w:rPr>
        <w:t>Of c</w:t>
      </w:r>
      <w:r w:rsidR="00EE3146" w:rsidRPr="001D77AF">
        <w:rPr>
          <w:lang w:val="en-GB"/>
        </w:rPr>
        <w:t xml:space="preserve">entral importance is the role of enforcement connected to informal institutions that shape the unwritten rules used by agents operating in the legal arenas. The interaction of the </w:t>
      </w:r>
      <w:r w:rsidR="005E6B4F">
        <w:rPr>
          <w:lang w:val="en-GB"/>
        </w:rPr>
        <w:t>behaviour</w:t>
      </w:r>
      <w:r w:rsidR="00EE3146" w:rsidRPr="001D77AF">
        <w:rPr>
          <w:lang w:val="en-GB"/>
        </w:rPr>
        <w:t xml:space="preserve"> of enforcement agents with the </w:t>
      </w:r>
      <w:r w:rsidR="00EE3146" w:rsidRPr="001D77AF">
        <w:rPr>
          <w:lang w:val="en-GB"/>
        </w:rPr>
        <w:lastRenderedPageBreak/>
        <w:t xml:space="preserve">quality of the formal legal rights is important since </w:t>
      </w:r>
      <w:r w:rsidR="00F205E9">
        <w:rPr>
          <w:lang w:val="en-GB"/>
        </w:rPr>
        <w:t>it</w:t>
      </w:r>
      <w:r w:rsidR="00F205E9" w:rsidRPr="001D77AF">
        <w:rPr>
          <w:lang w:val="en-GB"/>
        </w:rPr>
        <w:t xml:space="preserve"> </w:t>
      </w:r>
      <w:r w:rsidR="00B7627B">
        <w:rPr>
          <w:lang w:val="en-GB"/>
        </w:rPr>
        <w:t xml:space="preserve">affects </w:t>
      </w:r>
      <w:r w:rsidR="00EE3146" w:rsidRPr="001D77AF">
        <w:rPr>
          <w:lang w:val="en-GB"/>
        </w:rPr>
        <w:t xml:space="preserve">the </w:t>
      </w:r>
      <w:r w:rsidR="005E6B4F">
        <w:rPr>
          <w:lang w:val="en-GB"/>
        </w:rPr>
        <w:t xml:space="preserve">costs and risk </w:t>
      </w:r>
      <w:r w:rsidR="00EE3146" w:rsidRPr="001D77AF">
        <w:rPr>
          <w:lang w:val="en-GB"/>
        </w:rPr>
        <w:t xml:space="preserve">of using legal </w:t>
      </w:r>
      <w:r w:rsidR="00347301">
        <w:rPr>
          <w:lang w:val="en-GB"/>
        </w:rPr>
        <w:t xml:space="preserve">arenas </w:t>
      </w:r>
      <w:r w:rsidR="00EE3146" w:rsidRPr="001D77AF">
        <w:rPr>
          <w:lang w:val="en-GB"/>
        </w:rPr>
        <w:t xml:space="preserve">to protect property rights and thereby the capability to convert </w:t>
      </w:r>
      <w:r w:rsidR="00E94D28">
        <w:rPr>
          <w:lang w:val="en-GB"/>
        </w:rPr>
        <w:t xml:space="preserve">legal </w:t>
      </w:r>
      <w:r w:rsidR="00EE3146" w:rsidRPr="001D77AF">
        <w:rPr>
          <w:lang w:val="en-GB"/>
        </w:rPr>
        <w:t xml:space="preserve">rights into economic rights. </w:t>
      </w:r>
      <w:r w:rsidR="00891F86" w:rsidRPr="001D77AF">
        <w:rPr>
          <w:lang w:val="en-GB"/>
        </w:rPr>
        <w:t xml:space="preserve">The approach followed in this study of using legal systems to help secure economic rights from property rights can be applicable to other types of economic transactions such as mergers and acquisitions, international joint ventures and innovation partnerships. </w:t>
      </w:r>
      <w:r w:rsidR="00EE3146" w:rsidRPr="001D77AF">
        <w:rPr>
          <w:lang w:val="en-GB"/>
        </w:rPr>
        <w:t xml:space="preserve">Furthermore, the findings of our study highlight that examination of the institutional contexts specifically related to </w:t>
      </w:r>
      <w:r w:rsidR="009F49F7">
        <w:rPr>
          <w:lang w:val="en-GB"/>
        </w:rPr>
        <w:t xml:space="preserve">the use of </w:t>
      </w:r>
      <w:r w:rsidR="00EE3146" w:rsidRPr="001D77AF">
        <w:rPr>
          <w:lang w:val="en-GB"/>
        </w:rPr>
        <w:t xml:space="preserve">legal arenas to protect IP assets can provide a better understanding on how IPR regimes affect </w:t>
      </w:r>
      <w:r w:rsidR="007E2650">
        <w:rPr>
          <w:lang w:val="en-GB"/>
        </w:rPr>
        <w:t xml:space="preserve">cross-frontier </w:t>
      </w:r>
      <w:r w:rsidR="008371F9">
        <w:rPr>
          <w:lang w:val="en-GB"/>
        </w:rPr>
        <w:t xml:space="preserve">economic </w:t>
      </w:r>
      <w:r w:rsidR="007E2650">
        <w:rPr>
          <w:lang w:val="en-GB"/>
        </w:rPr>
        <w:t xml:space="preserve">transactions such as </w:t>
      </w:r>
      <w:r w:rsidR="00EE3146" w:rsidRPr="001D77AF">
        <w:rPr>
          <w:lang w:val="en-GB"/>
        </w:rPr>
        <w:t xml:space="preserve">outward FDI. </w:t>
      </w:r>
      <w:r w:rsidR="009F49F7">
        <w:rPr>
          <w:lang w:val="en-GB"/>
        </w:rPr>
        <w:t xml:space="preserve">This helps to </w:t>
      </w:r>
      <w:r w:rsidR="00711D87" w:rsidRPr="001D77AF">
        <w:rPr>
          <w:lang w:val="en-GB"/>
        </w:rPr>
        <w:t xml:space="preserve">contribute </w:t>
      </w:r>
      <w:r w:rsidR="009C04CD">
        <w:rPr>
          <w:lang w:val="en-GB"/>
        </w:rPr>
        <w:t>t</w:t>
      </w:r>
      <w:r w:rsidR="00711D87" w:rsidRPr="001D77AF">
        <w:rPr>
          <w:lang w:val="en-GB"/>
        </w:rPr>
        <w:t xml:space="preserve">o </w:t>
      </w:r>
      <w:r w:rsidR="009C04CD">
        <w:rPr>
          <w:lang w:val="en-GB"/>
        </w:rPr>
        <w:t xml:space="preserve">a </w:t>
      </w:r>
      <w:r w:rsidR="00711D87" w:rsidRPr="001D77AF">
        <w:rPr>
          <w:lang w:val="en-GB"/>
        </w:rPr>
        <w:t>better understand how institutional contexts effect cross-frontier economic transactions</w:t>
      </w:r>
      <w:r w:rsidR="00EE3146" w:rsidRPr="001D77AF">
        <w:rPr>
          <w:lang w:val="en-GB"/>
        </w:rPr>
        <w:t>.</w:t>
      </w:r>
    </w:p>
    <w:p w14:paraId="36E8C9A2" w14:textId="29DD704F" w:rsidR="00E8310D" w:rsidRPr="001D77AF" w:rsidRDefault="00F7238B">
      <w:pPr>
        <w:pStyle w:val="ListParagraph"/>
        <w:spacing w:line="480" w:lineRule="auto"/>
        <w:ind w:left="0"/>
        <w:jc w:val="both"/>
        <w:rPr>
          <w:lang w:val="en-GB"/>
        </w:rPr>
      </w:pPr>
      <w:r w:rsidRPr="001D77AF">
        <w:rPr>
          <w:lang w:val="en-GB"/>
        </w:rPr>
        <w:tab/>
      </w:r>
      <w:r w:rsidR="00907EDA" w:rsidRPr="001D77AF">
        <w:rPr>
          <w:lang w:val="en-GB"/>
        </w:rPr>
        <w:t xml:space="preserve">With regards to the limitations of </w:t>
      </w:r>
      <w:r w:rsidR="00891F86" w:rsidRPr="001D77AF">
        <w:rPr>
          <w:lang w:val="en-GB"/>
        </w:rPr>
        <w:t>this</w:t>
      </w:r>
      <w:r w:rsidR="00907EDA" w:rsidRPr="001D77AF">
        <w:rPr>
          <w:lang w:val="en-GB"/>
        </w:rPr>
        <w:t xml:space="preserve"> work and future research, </w:t>
      </w:r>
      <w:r w:rsidR="00C62D78">
        <w:rPr>
          <w:lang w:val="en-GB"/>
        </w:rPr>
        <w:t xml:space="preserve">the findings suggest </w:t>
      </w:r>
      <w:r w:rsidR="00907EDA" w:rsidRPr="001D77AF">
        <w:rPr>
          <w:lang w:val="en-GB"/>
        </w:rPr>
        <w:t xml:space="preserve">three </w:t>
      </w:r>
      <w:r w:rsidR="00C62D78">
        <w:rPr>
          <w:lang w:val="en-GB"/>
        </w:rPr>
        <w:t xml:space="preserve">possible </w:t>
      </w:r>
      <w:r w:rsidR="00907EDA" w:rsidRPr="001D77AF">
        <w:rPr>
          <w:lang w:val="en-GB"/>
        </w:rPr>
        <w:t xml:space="preserve">areas of focus. First, this study used </w:t>
      </w:r>
      <w:r w:rsidR="00722852">
        <w:rPr>
          <w:lang w:val="en-GB"/>
        </w:rPr>
        <w:t xml:space="preserve">industry level </w:t>
      </w:r>
      <w:r w:rsidR="00907EDA" w:rsidRPr="001D77AF">
        <w:rPr>
          <w:lang w:val="en-GB"/>
        </w:rPr>
        <w:t>outward FDI flows from only one home country. Future studies should consider</w:t>
      </w:r>
      <w:r w:rsidR="008125B2" w:rsidRPr="001D77AF">
        <w:rPr>
          <w:lang w:val="en-GB"/>
        </w:rPr>
        <w:t xml:space="preserve"> </w:t>
      </w:r>
      <w:r w:rsidR="00A56697" w:rsidRPr="001D77AF">
        <w:rPr>
          <w:lang w:val="en-GB"/>
        </w:rPr>
        <w:t>multiple home and host countries</w:t>
      </w:r>
      <w:r w:rsidR="00907EDA" w:rsidRPr="001D77AF">
        <w:rPr>
          <w:lang w:val="en-GB"/>
        </w:rPr>
        <w:t xml:space="preserve"> </w:t>
      </w:r>
      <w:r w:rsidR="00722852">
        <w:rPr>
          <w:lang w:val="en-GB"/>
        </w:rPr>
        <w:t>using firm level data</w:t>
      </w:r>
      <w:r w:rsidR="00A56697" w:rsidRPr="001D77AF">
        <w:rPr>
          <w:lang w:val="en-GB"/>
        </w:rPr>
        <w:t xml:space="preserve">. </w:t>
      </w:r>
      <w:r w:rsidR="009B5A33" w:rsidRPr="001D77AF">
        <w:rPr>
          <w:lang w:val="en-GB"/>
        </w:rPr>
        <w:t>Second</w:t>
      </w:r>
      <w:r w:rsidR="00907EDA" w:rsidRPr="001D77AF">
        <w:rPr>
          <w:lang w:val="en-GB"/>
        </w:rPr>
        <w:t>, future research can focus on further developing t</w:t>
      </w:r>
      <w:r w:rsidR="00A56697" w:rsidRPr="001D77AF">
        <w:rPr>
          <w:lang w:val="en-GB"/>
        </w:rPr>
        <w:t xml:space="preserve">he proxies for formal and informal institutions </w:t>
      </w:r>
      <w:r w:rsidR="004A6AF0" w:rsidRPr="001D77AF">
        <w:rPr>
          <w:lang w:val="en-GB"/>
        </w:rPr>
        <w:t>associated with legal arrangements</w:t>
      </w:r>
      <w:r w:rsidR="00907EDA" w:rsidRPr="001D77AF">
        <w:rPr>
          <w:lang w:val="en-GB"/>
        </w:rPr>
        <w:t>.</w:t>
      </w:r>
      <w:r w:rsidR="006167BC" w:rsidRPr="001D77AF">
        <w:rPr>
          <w:lang w:val="en-GB"/>
        </w:rPr>
        <w:t xml:space="preserve"> </w:t>
      </w:r>
      <w:r w:rsidR="006D231D" w:rsidRPr="001D77AF">
        <w:rPr>
          <w:lang w:val="en-GB"/>
        </w:rPr>
        <w:t xml:space="preserve">More and improved </w:t>
      </w:r>
      <w:r w:rsidR="00CF12B4" w:rsidRPr="001D77AF">
        <w:rPr>
          <w:lang w:val="en-GB"/>
        </w:rPr>
        <w:t xml:space="preserve">measures of </w:t>
      </w:r>
      <w:r w:rsidR="006E748A" w:rsidRPr="001D77AF">
        <w:rPr>
          <w:lang w:val="en-GB"/>
        </w:rPr>
        <w:t xml:space="preserve">the </w:t>
      </w:r>
      <w:r w:rsidR="00CF12B4" w:rsidRPr="001D77AF">
        <w:rPr>
          <w:lang w:val="en-GB"/>
        </w:rPr>
        <w:t xml:space="preserve">formal and informal institutional aspects of IPR regimes would permit more robustness tests of the postulated relationships. </w:t>
      </w:r>
      <w:r w:rsidR="006E748A" w:rsidRPr="001D77AF">
        <w:rPr>
          <w:lang w:val="en-GB"/>
        </w:rPr>
        <w:t xml:space="preserve">A range of proxies that minimize measurement errors of the formal and informal institutional aspects of legal arrangements </w:t>
      </w:r>
      <w:r w:rsidR="009B5A33" w:rsidRPr="001D77AF">
        <w:rPr>
          <w:lang w:val="en-GB"/>
        </w:rPr>
        <w:t>could</w:t>
      </w:r>
      <w:r w:rsidR="00D33EA9" w:rsidRPr="001D77AF">
        <w:rPr>
          <w:lang w:val="en-GB"/>
        </w:rPr>
        <w:t xml:space="preserve"> involve using</w:t>
      </w:r>
      <w:r w:rsidR="009B5A33" w:rsidRPr="001D77AF">
        <w:rPr>
          <w:lang w:val="en-GB"/>
        </w:rPr>
        <w:t xml:space="preserve"> different data collection methods as well as</w:t>
      </w:r>
      <w:r w:rsidR="00D33EA9" w:rsidRPr="001D77AF">
        <w:rPr>
          <w:lang w:val="en-GB"/>
        </w:rPr>
        <w:t xml:space="preserve"> sophisticated statistical techniques to assigning weights to the components of indices (Becker et al., 2017).</w:t>
      </w:r>
      <w:r w:rsidR="009662D2" w:rsidRPr="001D77AF">
        <w:rPr>
          <w:lang w:val="en-GB"/>
        </w:rPr>
        <w:t xml:space="preserve"> </w:t>
      </w:r>
      <w:r w:rsidR="00AF374E" w:rsidRPr="00AF374E">
        <w:t xml:space="preserve">Third, future studies can consider following a similar approach to this paper but focus on testing the effects of formal and informal institutions on other types of international business activities such as the influence of protecting legal rights in cross-frontier arrangements to enhance the innovation performance of firms. </w:t>
      </w:r>
      <w:r w:rsidR="009B5A33" w:rsidRPr="001D77AF">
        <w:rPr>
          <w:lang w:val="en-GB"/>
        </w:rPr>
        <w:t xml:space="preserve">This will enable future research to obtain more evidence about how the legal aspects of IPR regimes influence the use of IP assets in a variety of cross-frontier economic transactions. </w:t>
      </w:r>
    </w:p>
    <w:p w14:paraId="1B8C1535" w14:textId="77777777" w:rsidR="00E8310D" w:rsidRPr="001D77AF" w:rsidRDefault="00E8310D" w:rsidP="008D03B5">
      <w:pPr>
        <w:pStyle w:val="ListParagraph"/>
        <w:spacing w:line="480" w:lineRule="auto"/>
        <w:ind w:left="0"/>
        <w:jc w:val="both"/>
        <w:rPr>
          <w:lang w:val="en-GB"/>
        </w:rPr>
        <w:sectPr w:rsidR="00E8310D" w:rsidRPr="001D77AF" w:rsidSect="007D391E">
          <w:footerReference w:type="default" r:id="rId14"/>
          <w:footerReference w:type="first" r:id="rId15"/>
          <w:endnotePr>
            <w:numFmt w:val="decimal"/>
          </w:endnotePr>
          <w:pgSz w:w="11906" w:h="16838" w:code="9"/>
          <w:pgMar w:top="1418" w:right="1418" w:bottom="1418" w:left="1418" w:header="709" w:footer="1134" w:gutter="0"/>
          <w:pgNumType w:start="1"/>
          <w:cols w:space="708"/>
          <w:docGrid w:linePitch="360"/>
        </w:sectPr>
      </w:pPr>
    </w:p>
    <w:p w14:paraId="3E3DD1E7" w14:textId="77777777" w:rsidR="007D391E" w:rsidRPr="00BF4784" w:rsidRDefault="007D391E" w:rsidP="008D03B5">
      <w:pPr>
        <w:tabs>
          <w:tab w:val="left" w:pos="3224"/>
        </w:tabs>
        <w:jc w:val="both"/>
        <w:rPr>
          <w:rFonts w:eastAsia="Times New Roman"/>
          <w:bdr w:val="none" w:sz="0" w:space="0" w:color="auto"/>
          <w:lang w:val="en-GB" w:eastAsia="en-GB"/>
        </w:rPr>
      </w:pPr>
      <w:r w:rsidRPr="00B8583A">
        <w:rPr>
          <w:rFonts w:eastAsia="Times New Roman"/>
          <w:b/>
          <w:bdr w:val="none" w:sz="0" w:space="0" w:color="auto"/>
          <w:lang w:val="en-GB" w:eastAsia="en-GB"/>
        </w:rPr>
        <w:lastRenderedPageBreak/>
        <w:t xml:space="preserve">Figure </w:t>
      </w:r>
      <w:r w:rsidR="00910177" w:rsidRPr="00B61798">
        <w:rPr>
          <w:rFonts w:eastAsia="Times New Roman"/>
          <w:b/>
          <w:bdr w:val="none" w:sz="0" w:space="0" w:color="auto"/>
          <w:lang w:val="en-GB" w:eastAsia="en-GB"/>
        </w:rPr>
        <w:t>1</w:t>
      </w:r>
      <w:r w:rsidRPr="00B61798">
        <w:rPr>
          <w:rFonts w:eastAsia="Times New Roman"/>
          <w:b/>
          <w:bdr w:val="none" w:sz="0" w:space="0" w:color="auto"/>
          <w:lang w:val="en-GB" w:eastAsia="en-GB"/>
        </w:rPr>
        <w:t xml:space="preserve">. </w:t>
      </w:r>
      <w:r w:rsidRPr="001D77AF">
        <w:rPr>
          <w:lang w:val="en-GB"/>
        </w:rPr>
        <w:t>Plot of marginal effect of FORMAL</w:t>
      </w:r>
      <w:r w:rsidR="00DC3EA6" w:rsidRPr="001D77AF">
        <w:rPr>
          <w:lang w:val="en-GB"/>
        </w:rPr>
        <w:t xml:space="preserve"> </w:t>
      </w:r>
      <w:r w:rsidRPr="001D77AF">
        <w:rPr>
          <w:lang w:val="en-GB"/>
        </w:rPr>
        <w:t>on FDI across the observed values of INFORMAL</w:t>
      </w:r>
    </w:p>
    <w:p w14:paraId="64AA5372" w14:textId="77777777" w:rsidR="007D391E" w:rsidRPr="001D77AF" w:rsidRDefault="007D391E" w:rsidP="008D03B5">
      <w:pPr>
        <w:tabs>
          <w:tab w:val="left" w:pos="3224"/>
        </w:tabs>
        <w:jc w:val="both"/>
        <w:rPr>
          <w:lang w:val="en-GB"/>
        </w:rPr>
      </w:pPr>
    </w:p>
    <w:p w14:paraId="75503605" w14:textId="77777777" w:rsidR="007D391E" w:rsidRPr="001D77AF" w:rsidRDefault="009E1C71" w:rsidP="008D03B5">
      <w:pPr>
        <w:tabs>
          <w:tab w:val="left" w:pos="3224"/>
        </w:tabs>
        <w:jc w:val="both"/>
        <w:rPr>
          <w:lang w:val="en-GB"/>
        </w:rPr>
      </w:pPr>
      <w:r w:rsidRPr="00BF4784">
        <w:rPr>
          <w:noProof/>
          <w:lang w:val="en-GB" w:eastAsia="en-GB"/>
        </w:rPr>
        <w:drawing>
          <wp:inline distT="0" distB="0" distL="0" distR="0" wp14:anchorId="0FA2577F" wp14:editId="62034EBE">
            <wp:extent cx="5121275" cy="37496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1275" cy="3749675"/>
                    </a:xfrm>
                    <a:prstGeom prst="rect">
                      <a:avLst/>
                    </a:prstGeom>
                    <a:noFill/>
                  </pic:spPr>
                </pic:pic>
              </a:graphicData>
            </a:graphic>
          </wp:inline>
        </w:drawing>
      </w:r>
    </w:p>
    <w:p w14:paraId="21355674" w14:textId="77777777" w:rsidR="007D391E" w:rsidRPr="001D77AF" w:rsidRDefault="007D391E" w:rsidP="008D03B5">
      <w:pPr>
        <w:tabs>
          <w:tab w:val="left" w:pos="3224"/>
        </w:tabs>
        <w:jc w:val="both"/>
        <w:rPr>
          <w:lang w:val="en-GB"/>
        </w:rPr>
      </w:pPr>
    </w:p>
    <w:p w14:paraId="164264B4" w14:textId="77777777" w:rsidR="007D391E" w:rsidRPr="001D77AF" w:rsidRDefault="007D391E" w:rsidP="008D03B5">
      <w:pPr>
        <w:tabs>
          <w:tab w:val="left" w:pos="3224"/>
        </w:tabs>
        <w:jc w:val="both"/>
        <w:rPr>
          <w:lang w:val="en-GB"/>
        </w:rPr>
      </w:pPr>
    </w:p>
    <w:p w14:paraId="0C1E0896" w14:textId="77777777" w:rsidR="00B954F6" w:rsidRPr="001D77AF" w:rsidRDefault="00B954F6" w:rsidP="008D03B5">
      <w:pPr>
        <w:jc w:val="both"/>
        <w:rPr>
          <w:lang w:val="en-GB"/>
        </w:rPr>
      </w:pPr>
      <w:r w:rsidRPr="001D77AF">
        <w:rPr>
          <w:lang w:val="en-GB"/>
        </w:rPr>
        <w:br w:type="page"/>
      </w:r>
    </w:p>
    <w:p w14:paraId="773C28FF" w14:textId="77777777" w:rsidR="007D391E" w:rsidRPr="001D77AF" w:rsidRDefault="00B21C7C" w:rsidP="008D03B5">
      <w:pPr>
        <w:autoSpaceDE w:val="0"/>
        <w:autoSpaceDN w:val="0"/>
        <w:adjustRightInd w:val="0"/>
        <w:spacing w:line="480" w:lineRule="auto"/>
        <w:jc w:val="both"/>
        <w:rPr>
          <w:b/>
          <w:lang w:val="en-GB"/>
        </w:rPr>
      </w:pPr>
      <w:r w:rsidRPr="001D77AF">
        <w:rPr>
          <w:b/>
          <w:lang w:val="en-GB"/>
        </w:rPr>
        <w:lastRenderedPageBreak/>
        <w:t>T</w:t>
      </w:r>
      <w:r w:rsidR="007D391E" w:rsidRPr="001D77AF">
        <w:rPr>
          <w:b/>
          <w:lang w:val="en-GB"/>
        </w:rPr>
        <w:t xml:space="preserve">able 1: </w:t>
      </w:r>
      <w:r w:rsidR="007D391E" w:rsidRPr="001D77AF">
        <w:rPr>
          <w:lang w:val="en-GB"/>
        </w:rPr>
        <w:t>List of host countries represented in the study</w:t>
      </w:r>
    </w:p>
    <w:tbl>
      <w:tblPr>
        <w:tblpPr w:leftFromText="180" w:rightFromText="180" w:vertAnchor="text" w:horzAnchor="margin" w:tblpY="27"/>
        <w:tblOverlap w:val="never"/>
        <w:tblW w:w="4254" w:type="dxa"/>
        <w:tblCellMar>
          <w:left w:w="170" w:type="dxa"/>
          <w:right w:w="0" w:type="dxa"/>
        </w:tblCellMar>
        <w:tblLook w:val="04A0" w:firstRow="1" w:lastRow="0" w:firstColumn="1" w:lastColumn="0" w:noHBand="0" w:noVBand="1"/>
      </w:tblPr>
      <w:tblGrid>
        <w:gridCol w:w="2127"/>
        <w:gridCol w:w="2127"/>
      </w:tblGrid>
      <w:tr w:rsidR="00A92F98" w:rsidRPr="00D3728A" w14:paraId="6D47392E" w14:textId="77777777" w:rsidTr="00A92F98">
        <w:trPr>
          <w:trHeight w:val="6078"/>
        </w:trPr>
        <w:tc>
          <w:tcPr>
            <w:tcW w:w="2127" w:type="dxa"/>
            <w:tcBorders>
              <w:top w:val="single" w:sz="4" w:space="0" w:color="auto"/>
            </w:tcBorders>
            <w:shd w:val="clear" w:color="auto" w:fill="auto"/>
            <w:noWrap/>
            <w:tcMar>
              <w:top w:w="12" w:type="dxa"/>
              <w:left w:w="113" w:type="dxa"/>
              <w:bottom w:w="0" w:type="dxa"/>
              <w:right w:w="12" w:type="dxa"/>
            </w:tcMar>
            <w:vAlign w:val="bottom"/>
          </w:tcPr>
          <w:p w14:paraId="59FDBBEA" w14:textId="77777777" w:rsidR="00A92F98" w:rsidRPr="001D77AF" w:rsidRDefault="00A92F98" w:rsidP="008D03B5">
            <w:pPr>
              <w:jc w:val="both"/>
              <w:rPr>
                <w:lang w:val="en-GB"/>
              </w:rPr>
            </w:pPr>
            <w:r w:rsidRPr="001D77AF">
              <w:rPr>
                <w:rFonts w:eastAsia="Times New Roman"/>
                <w:lang w:val="en-GB" w:eastAsia="en-GB"/>
              </w:rPr>
              <w:t>Australia</w:t>
            </w:r>
          </w:p>
          <w:p w14:paraId="761EF4D1" w14:textId="77777777" w:rsidR="00A92F98" w:rsidRPr="001D77AF" w:rsidRDefault="00A92F98" w:rsidP="008D03B5">
            <w:pPr>
              <w:jc w:val="both"/>
              <w:rPr>
                <w:lang w:val="en-GB"/>
              </w:rPr>
            </w:pPr>
            <w:r w:rsidRPr="001D77AF">
              <w:rPr>
                <w:rFonts w:eastAsia="Times New Roman"/>
                <w:lang w:val="en-GB" w:eastAsia="en-GB"/>
              </w:rPr>
              <w:t>Argentina</w:t>
            </w:r>
          </w:p>
          <w:p w14:paraId="1CA2FCF3" w14:textId="77777777" w:rsidR="00A92F98" w:rsidRPr="001D77AF" w:rsidRDefault="00A92F98" w:rsidP="008D03B5">
            <w:pPr>
              <w:jc w:val="both"/>
              <w:rPr>
                <w:lang w:val="en-GB"/>
              </w:rPr>
            </w:pPr>
            <w:r w:rsidRPr="001D77AF">
              <w:rPr>
                <w:rFonts w:eastAsia="Times New Roman"/>
                <w:lang w:val="en-GB" w:eastAsia="en-GB"/>
              </w:rPr>
              <w:t>Austria</w:t>
            </w:r>
          </w:p>
          <w:p w14:paraId="33CEB60B" w14:textId="77777777" w:rsidR="00A92F98" w:rsidRPr="001D77AF" w:rsidRDefault="00A92F98" w:rsidP="008D03B5">
            <w:pPr>
              <w:jc w:val="both"/>
              <w:rPr>
                <w:lang w:val="en-GB"/>
              </w:rPr>
            </w:pPr>
            <w:r w:rsidRPr="001D77AF">
              <w:rPr>
                <w:rFonts w:eastAsia="Times New Roman"/>
                <w:lang w:val="en-GB" w:eastAsia="en-GB"/>
              </w:rPr>
              <w:t>Brazil</w:t>
            </w:r>
          </w:p>
          <w:p w14:paraId="1C2A8D94" w14:textId="77777777" w:rsidR="00A92F98" w:rsidRPr="001D77AF" w:rsidRDefault="00A92F98" w:rsidP="008D03B5">
            <w:pPr>
              <w:jc w:val="both"/>
              <w:rPr>
                <w:lang w:val="en-GB"/>
              </w:rPr>
            </w:pPr>
            <w:r w:rsidRPr="001D77AF">
              <w:rPr>
                <w:rFonts w:eastAsia="Times New Roman"/>
                <w:lang w:val="en-GB" w:eastAsia="en-GB"/>
              </w:rPr>
              <w:t>Belgium</w:t>
            </w:r>
          </w:p>
          <w:p w14:paraId="2786287B" w14:textId="77777777" w:rsidR="00A92F98" w:rsidRPr="001D77AF" w:rsidRDefault="00A92F98" w:rsidP="008D03B5">
            <w:pPr>
              <w:jc w:val="both"/>
              <w:rPr>
                <w:lang w:val="en-GB"/>
              </w:rPr>
            </w:pPr>
            <w:r w:rsidRPr="001D77AF">
              <w:rPr>
                <w:rFonts w:eastAsia="Times New Roman"/>
                <w:lang w:val="en-GB" w:eastAsia="en-GB"/>
              </w:rPr>
              <w:t>Chile</w:t>
            </w:r>
          </w:p>
          <w:p w14:paraId="60CBB59F" w14:textId="77777777" w:rsidR="00A92F98" w:rsidRPr="001D77AF" w:rsidRDefault="00A92F98" w:rsidP="008D03B5">
            <w:pPr>
              <w:jc w:val="both"/>
              <w:rPr>
                <w:lang w:val="en-GB"/>
              </w:rPr>
            </w:pPr>
            <w:r w:rsidRPr="001D77AF">
              <w:rPr>
                <w:rFonts w:eastAsia="Times New Roman"/>
                <w:lang w:val="en-GB" w:eastAsia="en-GB"/>
              </w:rPr>
              <w:t>Canada</w:t>
            </w:r>
          </w:p>
          <w:p w14:paraId="020384C9" w14:textId="77777777" w:rsidR="00A92F98" w:rsidRPr="001D77AF" w:rsidRDefault="00A92F98" w:rsidP="008D03B5">
            <w:pPr>
              <w:jc w:val="both"/>
              <w:rPr>
                <w:lang w:val="en-GB"/>
              </w:rPr>
            </w:pPr>
            <w:r w:rsidRPr="001D77AF">
              <w:rPr>
                <w:rFonts w:eastAsia="Times New Roman"/>
                <w:lang w:val="en-GB" w:eastAsia="en-GB"/>
              </w:rPr>
              <w:t>China</w:t>
            </w:r>
          </w:p>
          <w:p w14:paraId="5C09B556" w14:textId="77777777" w:rsidR="00A92F98" w:rsidRPr="001D77AF" w:rsidRDefault="00A92F98" w:rsidP="008D03B5">
            <w:pPr>
              <w:jc w:val="both"/>
              <w:rPr>
                <w:lang w:val="en-GB"/>
              </w:rPr>
            </w:pPr>
            <w:r w:rsidRPr="001D77AF">
              <w:rPr>
                <w:rFonts w:eastAsia="Times New Roman"/>
                <w:lang w:val="en-GB" w:eastAsia="en-GB"/>
              </w:rPr>
              <w:t>Denmark</w:t>
            </w:r>
          </w:p>
          <w:p w14:paraId="7B7E856C" w14:textId="77777777" w:rsidR="00A92F98" w:rsidRPr="001D77AF" w:rsidRDefault="00A92F98" w:rsidP="008D03B5">
            <w:pPr>
              <w:jc w:val="both"/>
              <w:rPr>
                <w:lang w:val="en-GB"/>
              </w:rPr>
            </w:pPr>
            <w:r w:rsidRPr="001D77AF">
              <w:rPr>
                <w:rFonts w:eastAsia="Times New Roman"/>
                <w:lang w:val="en-GB" w:eastAsia="en-GB"/>
              </w:rPr>
              <w:t>Colombia</w:t>
            </w:r>
          </w:p>
          <w:p w14:paraId="3FD187A1" w14:textId="77777777" w:rsidR="00A92F98" w:rsidRPr="001D77AF" w:rsidRDefault="00A92F98" w:rsidP="008D03B5">
            <w:pPr>
              <w:jc w:val="both"/>
              <w:rPr>
                <w:lang w:val="en-GB"/>
              </w:rPr>
            </w:pPr>
            <w:r w:rsidRPr="001D77AF">
              <w:rPr>
                <w:rFonts w:eastAsia="Times New Roman"/>
                <w:lang w:val="en-GB" w:eastAsia="en-GB"/>
              </w:rPr>
              <w:t>Finland</w:t>
            </w:r>
          </w:p>
          <w:p w14:paraId="644D0E04" w14:textId="77777777" w:rsidR="00A92F98" w:rsidRPr="001D77AF" w:rsidRDefault="00A92F98" w:rsidP="008D03B5">
            <w:pPr>
              <w:jc w:val="both"/>
              <w:rPr>
                <w:lang w:val="en-GB"/>
              </w:rPr>
            </w:pPr>
            <w:r w:rsidRPr="001D77AF">
              <w:rPr>
                <w:rFonts w:eastAsia="Times New Roman"/>
                <w:lang w:val="en-GB" w:eastAsia="en-GB"/>
              </w:rPr>
              <w:t>Czech Republic</w:t>
            </w:r>
          </w:p>
          <w:p w14:paraId="7B1FAA2F" w14:textId="77777777" w:rsidR="00A92F98" w:rsidRPr="001D77AF" w:rsidRDefault="00A92F98" w:rsidP="008D03B5">
            <w:pPr>
              <w:jc w:val="both"/>
              <w:rPr>
                <w:lang w:val="en-GB"/>
              </w:rPr>
            </w:pPr>
            <w:r w:rsidRPr="001D77AF">
              <w:rPr>
                <w:rFonts w:eastAsia="Times New Roman"/>
                <w:lang w:val="en-GB" w:eastAsia="en-GB"/>
              </w:rPr>
              <w:t>France</w:t>
            </w:r>
          </w:p>
          <w:p w14:paraId="08D0BB26" w14:textId="77777777" w:rsidR="00A92F98" w:rsidRPr="001D77AF" w:rsidRDefault="00A92F98" w:rsidP="008D03B5">
            <w:pPr>
              <w:jc w:val="both"/>
              <w:rPr>
                <w:lang w:val="en-GB"/>
              </w:rPr>
            </w:pPr>
            <w:r w:rsidRPr="001D77AF">
              <w:rPr>
                <w:rFonts w:eastAsia="Times New Roman"/>
                <w:lang w:val="en-GB" w:eastAsia="en-GB"/>
              </w:rPr>
              <w:t>Hungary</w:t>
            </w:r>
          </w:p>
          <w:p w14:paraId="4AA84DD6" w14:textId="77777777" w:rsidR="00A92F98" w:rsidRPr="001D77AF" w:rsidRDefault="00A92F98" w:rsidP="008D03B5">
            <w:pPr>
              <w:jc w:val="both"/>
              <w:rPr>
                <w:lang w:val="en-GB"/>
              </w:rPr>
            </w:pPr>
            <w:r w:rsidRPr="001D77AF">
              <w:rPr>
                <w:rFonts w:eastAsia="Times New Roman"/>
                <w:lang w:val="en-GB" w:eastAsia="en-GB"/>
              </w:rPr>
              <w:t>Germany</w:t>
            </w:r>
          </w:p>
          <w:p w14:paraId="35BEEAF3" w14:textId="77777777" w:rsidR="00A92F98" w:rsidRPr="001D77AF" w:rsidRDefault="00A92F98" w:rsidP="008D03B5">
            <w:pPr>
              <w:jc w:val="both"/>
              <w:rPr>
                <w:lang w:val="en-GB"/>
              </w:rPr>
            </w:pPr>
            <w:r w:rsidRPr="001D77AF">
              <w:rPr>
                <w:rFonts w:eastAsia="Times New Roman"/>
                <w:lang w:val="en-GB" w:eastAsia="en-GB"/>
              </w:rPr>
              <w:t>India</w:t>
            </w:r>
          </w:p>
          <w:p w14:paraId="78484ECE" w14:textId="77777777" w:rsidR="00A92F98" w:rsidRPr="001D77AF" w:rsidRDefault="00A92F98" w:rsidP="008D03B5">
            <w:pPr>
              <w:jc w:val="both"/>
              <w:rPr>
                <w:lang w:val="en-GB"/>
              </w:rPr>
            </w:pPr>
            <w:r w:rsidRPr="001D77AF">
              <w:rPr>
                <w:rFonts w:eastAsia="Times New Roman"/>
                <w:lang w:val="en-GB" w:eastAsia="en-GB"/>
              </w:rPr>
              <w:t>Greece</w:t>
            </w:r>
          </w:p>
          <w:p w14:paraId="09042F92" w14:textId="77777777" w:rsidR="00A92F98" w:rsidRPr="001D77AF" w:rsidRDefault="00A92F98" w:rsidP="008D03B5">
            <w:pPr>
              <w:jc w:val="both"/>
              <w:rPr>
                <w:lang w:val="en-GB"/>
              </w:rPr>
            </w:pPr>
            <w:r w:rsidRPr="001D77AF">
              <w:rPr>
                <w:rFonts w:eastAsia="Times New Roman"/>
                <w:lang w:val="en-GB" w:eastAsia="en-GB"/>
              </w:rPr>
              <w:t>Indonesia</w:t>
            </w:r>
          </w:p>
          <w:p w14:paraId="00A1BBE6" w14:textId="77777777" w:rsidR="00A92F98" w:rsidRPr="001D77AF" w:rsidRDefault="00A92F98" w:rsidP="008D03B5">
            <w:pPr>
              <w:jc w:val="both"/>
              <w:rPr>
                <w:lang w:val="en-GB"/>
              </w:rPr>
            </w:pPr>
            <w:r w:rsidRPr="001D77AF">
              <w:rPr>
                <w:rFonts w:eastAsia="Times New Roman"/>
                <w:lang w:val="en-GB" w:eastAsia="en-GB"/>
              </w:rPr>
              <w:t>Hong Kong</w:t>
            </w:r>
          </w:p>
          <w:p w14:paraId="57B22172" w14:textId="77777777" w:rsidR="00A92F98" w:rsidRPr="001D77AF" w:rsidRDefault="00A92F98" w:rsidP="008D03B5">
            <w:pPr>
              <w:jc w:val="both"/>
              <w:rPr>
                <w:lang w:val="en-GB"/>
              </w:rPr>
            </w:pPr>
            <w:r w:rsidRPr="001D77AF">
              <w:rPr>
                <w:rFonts w:eastAsia="Times New Roman"/>
                <w:lang w:val="en-GB" w:eastAsia="en-GB"/>
              </w:rPr>
              <w:t>Malaysia</w:t>
            </w:r>
          </w:p>
          <w:p w14:paraId="67BA09C6" w14:textId="77777777" w:rsidR="00A92F98" w:rsidRPr="001D77AF" w:rsidRDefault="00A92F98" w:rsidP="008D03B5">
            <w:pPr>
              <w:jc w:val="both"/>
              <w:rPr>
                <w:lang w:val="en-GB"/>
              </w:rPr>
            </w:pPr>
            <w:r w:rsidRPr="001D77AF">
              <w:rPr>
                <w:rFonts w:eastAsia="Times New Roman"/>
                <w:lang w:val="en-GB" w:eastAsia="en-GB"/>
              </w:rPr>
              <w:t>Ireland</w:t>
            </w:r>
          </w:p>
        </w:tc>
        <w:tc>
          <w:tcPr>
            <w:tcW w:w="2127" w:type="dxa"/>
            <w:tcBorders>
              <w:top w:val="single" w:sz="4" w:space="0" w:color="auto"/>
            </w:tcBorders>
          </w:tcPr>
          <w:p w14:paraId="6715E3CB" w14:textId="77777777" w:rsidR="00A92F98" w:rsidRPr="001D77AF" w:rsidRDefault="00A92F98" w:rsidP="008D03B5">
            <w:pPr>
              <w:jc w:val="both"/>
              <w:rPr>
                <w:rFonts w:eastAsia="Times New Roman"/>
                <w:lang w:val="en-GB" w:eastAsia="en-GB"/>
              </w:rPr>
            </w:pPr>
          </w:p>
          <w:p w14:paraId="4DD0CE0B" w14:textId="77777777" w:rsidR="00A92F98" w:rsidRPr="001D77AF" w:rsidRDefault="00A92F98" w:rsidP="008D03B5">
            <w:pPr>
              <w:jc w:val="both"/>
              <w:rPr>
                <w:rFonts w:eastAsia="Times New Roman"/>
                <w:lang w:val="en-GB" w:eastAsia="en-GB"/>
              </w:rPr>
            </w:pPr>
            <w:r w:rsidRPr="001D77AF">
              <w:rPr>
                <w:rFonts w:eastAsia="Times New Roman"/>
                <w:lang w:val="en-GB" w:eastAsia="en-GB"/>
              </w:rPr>
              <w:t>Mexico</w:t>
            </w:r>
          </w:p>
          <w:p w14:paraId="5E7D5A08" w14:textId="77777777" w:rsidR="00A92F98" w:rsidRPr="001D77AF" w:rsidRDefault="00A92F98" w:rsidP="008D03B5">
            <w:pPr>
              <w:jc w:val="both"/>
              <w:rPr>
                <w:rFonts w:eastAsia="Times New Roman"/>
                <w:lang w:val="en-GB" w:eastAsia="en-GB"/>
              </w:rPr>
            </w:pPr>
            <w:r w:rsidRPr="001D77AF">
              <w:rPr>
                <w:rFonts w:eastAsia="Times New Roman"/>
                <w:lang w:val="en-GB" w:eastAsia="en-GB"/>
              </w:rPr>
              <w:t>Israel</w:t>
            </w:r>
          </w:p>
          <w:p w14:paraId="09F3BD2D" w14:textId="77777777" w:rsidR="00A92F98" w:rsidRPr="001D77AF" w:rsidRDefault="00A92F98" w:rsidP="008D03B5">
            <w:pPr>
              <w:jc w:val="both"/>
              <w:rPr>
                <w:rFonts w:eastAsia="Times New Roman"/>
                <w:lang w:val="en-GB" w:eastAsia="en-GB"/>
              </w:rPr>
            </w:pPr>
            <w:r w:rsidRPr="001D77AF">
              <w:rPr>
                <w:rFonts w:eastAsia="Times New Roman"/>
                <w:lang w:val="en-GB" w:eastAsia="en-GB"/>
              </w:rPr>
              <w:t>Philippines</w:t>
            </w:r>
          </w:p>
          <w:p w14:paraId="66AD19C6" w14:textId="77777777" w:rsidR="00A92F98" w:rsidRPr="001D77AF" w:rsidRDefault="00A92F98" w:rsidP="008D03B5">
            <w:pPr>
              <w:jc w:val="both"/>
              <w:rPr>
                <w:rFonts w:eastAsia="Times New Roman"/>
                <w:lang w:val="en-GB" w:eastAsia="en-GB"/>
              </w:rPr>
            </w:pPr>
            <w:r w:rsidRPr="001D77AF">
              <w:rPr>
                <w:rFonts w:eastAsia="Times New Roman"/>
                <w:lang w:val="en-GB" w:eastAsia="en-GB"/>
              </w:rPr>
              <w:t>Italy</w:t>
            </w:r>
          </w:p>
          <w:p w14:paraId="19C2A423" w14:textId="77777777" w:rsidR="00A92F98" w:rsidRPr="001D77AF" w:rsidRDefault="00A92F98" w:rsidP="008D03B5">
            <w:pPr>
              <w:jc w:val="both"/>
              <w:rPr>
                <w:rFonts w:eastAsia="Times New Roman"/>
                <w:lang w:val="en-GB" w:eastAsia="en-GB"/>
              </w:rPr>
            </w:pPr>
            <w:r w:rsidRPr="001D77AF">
              <w:rPr>
                <w:rFonts w:eastAsia="Times New Roman"/>
                <w:lang w:val="en-GB" w:eastAsia="en-GB"/>
              </w:rPr>
              <w:t>Poland</w:t>
            </w:r>
          </w:p>
          <w:p w14:paraId="5B1F9912" w14:textId="77777777" w:rsidR="00A92F98" w:rsidRPr="001D77AF" w:rsidRDefault="00A92F98" w:rsidP="008D03B5">
            <w:pPr>
              <w:jc w:val="both"/>
              <w:rPr>
                <w:rFonts w:eastAsia="Times New Roman"/>
                <w:lang w:val="en-GB" w:eastAsia="en-GB"/>
              </w:rPr>
            </w:pPr>
            <w:r w:rsidRPr="001D77AF">
              <w:rPr>
                <w:rFonts w:eastAsia="Times New Roman"/>
                <w:lang w:val="en-GB" w:eastAsia="en-GB"/>
              </w:rPr>
              <w:t>Japan</w:t>
            </w:r>
          </w:p>
          <w:p w14:paraId="664036E1" w14:textId="77777777" w:rsidR="00A92F98" w:rsidRPr="001D77AF" w:rsidRDefault="00A92F98" w:rsidP="008D03B5">
            <w:pPr>
              <w:jc w:val="both"/>
              <w:rPr>
                <w:rFonts w:eastAsia="Times New Roman"/>
                <w:lang w:val="en-GB" w:eastAsia="en-GB"/>
              </w:rPr>
            </w:pPr>
            <w:r w:rsidRPr="001D77AF">
              <w:rPr>
                <w:rFonts w:eastAsia="Times New Roman"/>
                <w:lang w:val="en-GB" w:eastAsia="en-GB"/>
              </w:rPr>
              <w:t>Romania</w:t>
            </w:r>
          </w:p>
          <w:p w14:paraId="488652CB" w14:textId="77777777" w:rsidR="00A92F98" w:rsidRPr="001D77AF" w:rsidRDefault="00A92F98" w:rsidP="008D03B5">
            <w:pPr>
              <w:jc w:val="both"/>
              <w:rPr>
                <w:rFonts w:eastAsia="Times New Roman"/>
                <w:lang w:val="en-GB" w:eastAsia="en-GB"/>
              </w:rPr>
            </w:pPr>
            <w:r w:rsidRPr="001D77AF">
              <w:rPr>
                <w:rFonts w:eastAsia="Times New Roman"/>
                <w:lang w:val="en-GB" w:eastAsia="en-GB"/>
              </w:rPr>
              <w:t>Netherlands</w:t>
            </w:r>
          </w:p>
          <w:p w14:paraId="642315A7" w14:textId="77777777" w:rsidR="00A92F98" w:rsidRPr="001D77AF" w:rsidRDefault="00A92F98" w:rsidP="008D03B5">
            <w:pPr>
              <w:jc w:val="both"/>
              <w:rPr>
                <w:rFonts w:eastAsia="Times New Roman"/>
                <w:lang w:val="en-GB" w:eastAsia="en-GB"/>
              </w:rPr>
            </w:pPr>
            <w:r w:rsidRPr="001D77AF">
              <w:rPr>
                <w:rFonts w:eastAsia="Times New Roman"/>
                <w:lang w:val="en-GB" w:eastAsia="en-GB"/>
              </w:rPr>
              <w:t>Russia</w:t>
            </w:r>
          </w:p>
          <w:p w14:paraId="310294B1" w14:textId="77777777" w:rsidR="00A92F98" w:rsidRPr="001D77AF" w:rsidRDefault="00A92F98" w:rsidP="008D03B5">
            <w:pPr>
              <w:jc w:val="both"/>
              <w:rPr>
                <w:rFonts w:eastAsia="Times New Roman"/>
                <w:lang w:val="en-GB" w:eastAsia="en-GB"/>
              </w:rPr>
            </w:pPr>
            <w:r w:rsidRPr="001D77AF">
              <w:rPr>
                <w:rFonts w:eastAsia="Times New Roman"/>
                <w:lang w:val="en-GB" w:eastAsia="en-GB"/>
              </w:rPr>
              <w:t>New Zealand</w:t>
            </w:r>
          </w:p>
          <w:p w14:paraId="4B0F08CA" w14:textId="77777777" w:rsidR="00A92F98" w:rsidRPr="001D77AF" w:rsidRDefault="00A92F98" w:rsidP="008D03B5">
            <w:pPr>
              <w:jc w:val="both"/>
              <w:rPr>
                <w:rFonts w:eastAsia="Times New Roman"/>
                <w:lang w:val="en-GB" w:eastAsia="en-GB"/>
              </w:rPr>
            </w:pPr>
            <w:r w:rsidRPr="001D77AF">
              <w:rPr>
                <w:rFonts w:eastAsia="Times New Roman"/>
                <w:lang w:val="en-GB" w:eastAsia="en-GB"/>
              </w:rPr>
              <w:t>Slovakia</w:t>
            </w:r>
          </w:p>
          <w:p w14:paraId="1AD119F5" w14:textId="77777777" w:rsidR="00A92F98" w:rsidRPr="001D77AF" w:rsidRDefault="00A92F98" w:rsidP="008D03B5">
            <w:pPr>
              <w:jc w:val="both"/>
              <w:rPr>
                <w:rFonts w:eastAsia="Times New Roman"/>
                <w:lang w:val="en-GB" w:eastAsia="en-GB"/>
              </w:rPr>
            </w:pPr>
            <w:r w:rsidRPr="001D77AF">
              <w:rPr>
                <w:rFonts w:eastAsia="Times New Roman"/>
                <w:lang w:val="en-GB" w:eastAsia="en-GB"/>
              </w:rPr>
              <w:t>Norway</w:t>
            </w:r>
          </w:p>
          <w:p w14:paraId="62DD870C" w14:textId="77777777" w:rsidR="00A92F98" w:rsidRPr="001D77AF" w:rsidRDefault="00A92F98" w:rsidP="008D03B5">
            <w:pPr>
              <w:jc w:val="both"/>
              <w:rPr>
                <w:rFonts w:eastAsia="Times New Roman"/>
                <w:lang w:val="en-GB" w:eastAsia="en-GB"/>
              </w:rPr>
            </w:pPr>
            <w:r w:rsidRPr="001D77AF">
              <w:rPr>
                <w:rFonts w:eastAsia="Times New Roman"/>
                <w:lang w:val="en-GB" w:eastAsia="en-GB"/>
              </w:rPr>
              <w:t>South Africa</w:t>
            </w:r>
          </w:p>
          <w:p w14:paraId="6792B64B" w14:textId="77777777" w:rsidR="00A92F98" w:rsidRPr="001D77AF" w:rsidRDefault="00A92F98" w:rsidP="008D03B5">
            <w:pPr>
              <w:jc w:val="both"/>
              <w:rPr>
                <w:rFonts w:eastAsia="Times New Roman"/>
                <w:lang w:val="en-GB" w:eastAsia="en-GB"/>
              </w:rPr>
            </w:pPr>
            <w:r w:rsidRPr="001D77AF">
              <w:rPr>
                <w:rFonts w:eastAsia="Times New Roman"/>
                <w:lang w:val="en-GB" w:eastAsia="en-GB"/>
              </w:rPr>
              <w:t>Portugal</w:t>
            </w:r>
          </w:p>
          <w:p w14:paraId="02683A69" w14:textId="77777777" w:rsidR="00A92F98" w:rsidRPr="001D77AF" w:rsidRDefault="00A92F98" w:rsidP="008D03B5">
            <w:pPr>
              <w:jc w:val="both"/>
              <w:rPr>
                <w:rFonts w:eastAsia="Times New Roman"/>
                <w:lang w:val="en-GB" w:eastAsia="en-GB"/>
              </w:rPr>
            </w:pPr>
            <w:r w:rsidRPr="001D77AF">
              <w:rPr>
                <w:rFonts w:eastAsia="Times New Roman"/>
                <w:lang w:val="en-GB" w:eastAsia="en-GB"/>
              </w:rPr>
              <w:t>Thailand</w:t>
            </w:r>
          </w:p>
          <w:p w14:paraId="7395757B" w14:textId="77777777" w:rsidR="00A92F98" w:rsidRPr="001D77AF" w:rsidRDefault="00A92F98" w:rsidP="008D03B5">
            <w:pPr>
              <w:jc w:val="both"/>
              <w:rPr>
                <w:rFonts w:eastAsia="Times New Roman"/>
                <w:lang w:val="en-GB" w:eastAsia="en-GB"/>
              </w:rPr>
            </w:pPr>
            <w:r w:rsidRPr="001D77AF">
              <w:rPr>
                <w:rFonts w:eastAsia="Times New Roman"/>
                <w:lang w:val="en-GB" w:eastAsia="en-GB"/>
              </w:rPr>
              <w:t>Singapore</w:t>
            </w:r>
          </w:p>
          <w:p w14:paraId="47C8D763" w14:textId="77777777" w:rsidR="00A92F98" w:rsidRPr="001D77AF" w:rsidRDefault="00A92F98" w:rsidP="008D03B5">
            <w:pPr>
              <w:jc w:val="both"/>
              <w:rPr>
                <w:rFonts w:eastAsia="Times New Roman"/>
                <w:lang w:val="en-GB" w:eastAsia="en-GB"/>
              </w:rPr>
            </w:pPr>
            <w:r w:rsidRPr="001D77AF">
              <w:rPr>
                <w:rFonts w:eastAsia="Times New Roman"/>
                <w:lang w:val="en-GB" w:eastAsia="en-GB"/>
              </w:rPr>
              <w:t>Turkey</w:t>
            </w:r>
          </w:p>
          <w:p w14:paraId="7EFBCA80" w14:textId="77777777" w:rsidR="00A92F98" w:rsidRPr="001D77AF" w:rsidRDefault="00A92F98" w:rsidP="008D03B5">
            <w:pPr>
              <w:jc w:val="both"/>
              <w:rPr>
                <w:rFonts w:eastAsia="Times New Roman"/>
                <w:lang w:val="en-GB" w:eastAsia="en-GB"/>
              </w:rPr>
            </w:pPr>
            <w:r w:rsidRPr="001D77AF">
              <w:rPr>
                <w:rFonts w:eastAsia="Times New Roman"/>
                <w:lang w:val="en-GB" w:eastAsia="en-GB"/>
              </w:rPr>
              <w:t>Spain</w:t>
            </w:r>
          </w:p>
          <w:p w14:paraId="1C949307" w14:textId="77777777" w:rsidR="00A92F98" w:rsidRPr="001D77AF" w:rsidRDefault="00A92F98" w:rsidP="008D03B5">
            <w:pPr>
              <w:jc w:val="both"/>
              <w:rPr>
                <w:rFonts w:eastAsia="Times New Roman"/>
                <w:lang w:val="en-GB" w:eastAsia="en-GB"/>
              </w:rPr>
            </w:pPr>
            <w:r w:rsidRPr="001D77AF">
              <w:rPr>
                <w:rFonts w:eastAsia="Times New Roman"/>
                <w:lang w:val="en-GB" w:eastAsia="en-GB"/>
              </w:rPr>
              <w:t>Sweden</w:t>
            </w:r>
          </w:p>
          <w:p w14:paraId="0AD93735" w14:textId="77777777" w:rsidR="00A92F98" w:rsidRPr="001D77AF" w:rsidRDefault="00A92F98" w:rsidP="008D03B5">
            <w:pPr>
              <w:jc w:val="both"/>
              <w:rPr>
                <w:rFonts w:eastAsia="Times New Roman"/>
                <w:lang w:val="en-GB" w:eastAsia="en-GB"/>
              </w:rPr>
            </w:pPr>
            <w:r w:rsidRPr="001D77AF">
              <w:rPr>
                <w:rFonts w:eastAsia="Times New Roman"/>
                <w:lang w:val="en-GB" w:eastAsia="en-GB"/>
              </w:rPr>
              <w:t>Switzerland</w:t>
            </w:r>
          </w:p>
          <w:p w14:paraId="4A27A08E" w14:textId="77777777" w:rsidR="00A92F98" w:rsidRPr="001D77AF" w:rsidRDefault="00A92F98" w:rsidP="008D03B5">
            <w:pPr>
              <w:jc w:val="both"/>
              <w:rPr>
                <w:rFonts w:eastAsia="Times New Roman"/>
                <w:lang w:val="en-GB" w:eastAsia="en-GB"/>
              </w:rPr>
            </w:pPr>
            <w:r w:rsidRPr="001D77AF">
              <w:rPr>
                <w:rFonts w:eastAsia="Times New Roman"/>
                <w:lang w:val="en-GB" w:eastAsia="en-GB"/>
              </w:rPr>
              <w:t>UK</w:t>
            </w:r>
          </w:p>
        </w:tc>
      </w:tr>
    </w:tbl>
    <w:p w14:paraId="6069927E" w14:textId="77777777" w:rsidR="007D391E" w:rsidRPr="001D77AF" w:rsidRDefault="007D391E" w:rsidP="008D03B5">
      <w:pPr>
        <w:jc w:val="both"/>
        <w:rPr>
          <w:lang w:val="en-GB"/>
        </w:rPr>
        <w:sectPr w:rsidR="007D391E" w:rsidRPr="001D77AF" w:rsidSect="00B25A6C">
          <w:footerReference w:type="default" r:id="rId17"/>
          <w:endnotePr>
            <w:numFmt w:val="decimal"/>
          </w:endnotePr>
          <w:pgSz w:w="11906" w:h="16838" w:code="9"/>
          <w:pgMar w:top="1418" w:right="1418" w:bottom="1418" w:left="1418" w:header="709" w:footer="1134" w:gutter="0"/>
          <w:cols w:space="708"/>
          <w:docGrid w:linePitch="360"/>
        </w:sectPr>
      </w:pPr>
    </w:p>
    <w:p w14:paraId="4D25E47C" w14:textId="77777777" w:rsidR="007D391E" w:rsidRPr="001D77AF" w:rsidRDefault="007D391E" w:rsidP="008D03B5">
      <w:pPr>
        <w:spacing w:after="120"/>
        <w:jc w:val="both"/>
        <w:rPr>
          <w:b/>
          <w:lang w:val="en-GB"/>
        </w:rPr>
      </w:pPr>
      <w:r w:rsidRPr="001D77AF">
        <w:rPr>
          <w:b/>
          <w:lang w:val="en-GB"/>
        </w:rPr>
        <w:lastRenderedPageBreak/>
        <w:t xml:space="preserve">Table 2: </w:t>
      </w:r>
      <w:r w:rsidRPr="001D77AF">
        <w:rPr>
          <w:lang w:val="en-GB"/>
        </w:rPr>
        <w:t>Variable description, measurement, and sources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29"/>
        <w:gridCol w:w="4362"/>
        <w:gridCol w:w="3229"/>
      </w:tblGrid>
      <w:tr w:rsidR="007D391E" w:rsidRPr="00D3728A" w14:paraId="33A76AE7" w14:textId="77777777" w:rsidTr="007D391E">
        <w:trPr>
          <w:trHeight w:val="61"/>
        </w:trPr>
        <w:tc>
          <w:tcPr>
            <w:tcW w:w="792" w:type="pct"/>
            <w:shd w:val="clear" w:color="auto" w:fill="auto"/>
            <w:tcMar>
              <w:top w:w="28" w:type="dxa"/>
              <w:left w:w="77" w:type="dxa"/>
              <w:bottom w:w="0" w:type="dxa"/>
              <w:right w:w="77" w:type="dxa"/>
            </w:tcMar>
            <w:vAlign w:val="center"/>
            <w:hideMark/>
          </w:tcPr>
          <w:p w14:paraId="41BB346D" w14:textId="77777777" w:rsidR="007D391E" w:rsidRPr="001D77AF" w:rsidRDefault="007D391E" w:rsidP="008D03B5">
            <w:pPr>
              <w:jc w:val="both"/>
              <w:rPr>
                <w:lang w:val="en-GB"/>
              </w:rPr>
            </w:pPr>
            <w:r w:rsidRPr="001D77AF">
              <w:rPr>
                <w:bCs/>
                <w:kern w:val="24"/>
                <w:lang w:val="en-GB"/>
              </w:rPr>
              <w:t>Variable</w:t>
            </w:r>
          </w:p>
        </w:tc>
        <w:tc>
          <w:tcPr>
            <w:tcW w:w="2418" w:type="pct"/>
            <w:shd w:val="clear" w:color="auto" w:fill="auto"/>
            <w:tcMar>
              <w:top w:w="28" w:type="dxa"/>
              <w:left w:w="77" w:type="dxa"/>
              <w:bottom w:w="0" w:type="dxa"/>
              <w:right w:w="77" w:type="dxa"/>
            </w:tcMar>
            <w:vAlign w:val="center"/>
            <w:hideMark/>
          </w:tcPr>
          <w:p w14:paraId="45D70919" w14:textId="77777777" w:rsidR="007D391E" w:rsidRPr="001D77AF" w:rsidRDefault="007D391E" w:rsidP="008D03B5">
            <w:pPr>
              <w:jc w:val="both"/>
              <w:rPr>
                <w:lang w:val="en-GB"/>
              </w:rPr>
            </w:pPr>
            <w:r w:rsidRPr="001D77AF">
              <w:rPr>
                <w:rFonts w:eastAsia="Calibri"/>
                <w:lang w:val="en-GB"/>
              </w:rPr>
              <w:t>Description</w:t>
            </w:r>
            <w:r w:rsidRPr="001D77AF">
              <w:rPr>
                <w:bCs/>
                <w:kern w:val="24"/>
                <w:lang w:val="en-GB"/>
              </w:rPr>
              <w:t>/Measurement</w:t>
            </w:r>
          </w:p>
        </w:tc>
        <w:tc>
          <w:tcPr>
            <w:tcW w:w="1790" w:type="pct"/>
            <w:shd w:val="clear" w:color="auto" w:fill="auto"/>
            <w:tcMar>
              <w:top w:w="28" w:type="dxa"/>
              <w:left w:w="77" w:type="dxa"/>
              <w:bottom w:w="0" w:type="dxa"/>
              <w:right w:w="77" w:type="dxa"/>
            </w:tcMar>
            <w:vAlign w:val="center"/>
            <w:hideMark/>
          </w:tcPr>
          <w:p w14:paraId="6584D334" w14:textId="77777777" w:rsidR="007D391E" w:rsidRPr="001D77AF" w:rsidRDefault="007D391E" w:rsidP="008D03B5">
            <w:pPr>
              <w:jc w:val="both"/>
              <w:rPr>
                <w:lang w:val="en-GB"/>
              </w:rPr>
            </w:pPr>
            <w:r w:rsidRPr="001D77AF">
              <w:rPr>
                <w:bCs/>
                <w:kern w:val="24"/>
                <w:lang w:val="en-GB"/>
              </w:rPr>
              <w:t>Data Source</w:t>
            </w:r>
          </w:p>
        </w:tc>
      </w:tr>
      <w:tr w:rsidR="007D391E" w:rsidRPr="00D3728A" w14:paraId="3D9F58DE" w14:textId="77777777" w:rsidTr="007D391E">
        <w:trPr>
          <w:trHeight w:val="131"/>
        </w:trPr>
        <w:tc>
          <w:tcPr>
            <w:tcW w:w="792" w:type="pct"/>
            <w:shd w:val="clear" w:color="auto" w:fill="auto"/>
            <w:tcMar>
              <w:top w:w="28" w:type="dxa"/>
              <w:left w:w="77" w:type="dxa"/>
              <w:bottom w:w="0" w:type="dxa"/>
              <w:right w:w="77" w:type="dxa"/>
            </w:tcMar>
            <w:vAlign w:val="center"/>
            <w:hideMark/>
          </w:tcPr>
          <w:p w14:paraId="38BCE0CF" w14:textId="77777777" w:rsidR="007D391E" w:rsidRPr="001D77AF" w:rsidRDefault="007D391E" w:rsidP="008D03B5">
            <w:pPr>
              <w:jc w:val="both"/>
              <w:rPr>
                <w:kern w:val="24"/>
                <w:lang w:val="en-GB"/>
              </w:rPr>
            </w:pPr>
            <w:r w:rsidRPr="001D77AF">
              <w:rPr>
                <w:kern w:val="24"/>
                <w:lang w:val="en-GB"/>
              </w:rPr>
              <w:t>LFDI</w:t>
            </w:r>
          </w:p>
        </w:tc>
        <w:tc>
          <w:tcPr>
            <w:tcW w:w="2418" w:type="pct"/>
            <w:shd w:val="clear" w:color="auto" w:fill="auto"/>
            <w:tcMar>
              <w:top w:w="28" w:type="dxa"/>
              <w:left w:w="77" w:type="dxa"/>
              <w:bottom w:w="0" w:type="dxa"/>
              <w:right w:w="77" w:type="dxa"/>
            </w:tcMar>
            <w:vAlign w:val="center"/>
            <w:hideMark/>
          </w:tcPr>
          <w:p w14:paraId="41092437" w14:textId="77777777" w:rsidR="007D391E" w:rsidRPr="001D77AF" w:rsidRDefault="007D391E" w:rsidP="008D03B5">
            <w:pPr>
              <w:jc w:val="both"/>
              <w:rPr>
                <w:kern w:val="24"/>
                <w:lang w:val="en-GB"/>
              </w:rPr>
            </w:pPr>
            <w:r w:rsidRPr="001D77AF">
              <w:rPr>
                <w:kern w:val="24"/>
                <w:lang w:val="en-GB"/>
              </w:rPr>
              <w:t>Natural log of FDI flow from USA to host country (Current US $)</w:t>
            </w:r>
          </w:p>
        </w:tc>
        <w:tc>
          <w:tcPr>
            <w:tcW w:w="1790" w:type="pct"/>
            <w:shd w:val="clear" w:color="auto" w:fill="auto"/>
            <w:tcMar>
              <w:top w:w="28" w:type="dxa"/>
              <w:left w:w="77" w:type="dxa"/>
              <w:bottom w:w="0" w:type="dxa"/>
              <w:right w:w="77" w:type="dxa"/>
            </w:tcMar>
            <w:vAlign w:val="center"/>
            <w:hideMark/>
          </w:tcPr>
          <w:p w14:paraId="16BF229B" w14:textId="77777777" w:rsidR="007D391E" w:rsidRPr="001D77AF" w:rsidRDefault="007D391E" w:rsidP="008D03B5">
            <w:pPr>
              <w:jc w:val="both"/>
              <w:rPr>
                <w:lang w:val="en-GB"/>
              </w:rPr>
            </w:pPr>
            <w:r w:rsidRPr="001D77AF">
              <w:rPr>
                <w:lang w:val="en-GB"/>
              </w:rPr>
              <w:t>Bureau of Economic Analysis: U.S. direct investment abroad: balance of payments and direct investment position data</w:t>
            </w:r>
          </w:p>
        </w:tc>
      </w:tr>
      <w:tr w:rsidR="007D391E" w:rsidRPr="00D3728A" w14:paraId="221F98EE" w14:textId="77777777" w:rsidTr="007D391E">
        <w:trPr>
          <w:trHeight w:val="131"/>
        </w:trPr>
        <w:tc>
          <w:tcPr>
            <w:tcW w:w="792" w:type="pct"/>
            <w:shd w:val="clear" w:color="auto" w:fill="auto"/>
            <w:tcMar>
              <w:top w:w="28" w:type="dxa"/>
              <w:left w:w="77" w:type="dxa"/>
              <w:bottom w:w="0" w:type="dxa"/>
              <w:right w:w="77" w:type="dxa"/>
            </w:tcMar>
            <w:vAlign w:val="center"/>
          </w:tcPr>
          <w:p w14:paraId="25211E35"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02909DC4"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010118C3" w14:textId="77777777" w:rsidR="007D391E" w:rsidRPr="001D77AF" w:rsidRDefault="007D391E" w:rsidP="008D03B5">
            <w:pPr>
              <w:jc w:val="both"/>
              <w:rPr>
                <w:lang w:val="en-GB"/>
              </w:rPr>
            </w:pPr>
          </w:p>
        </w:tc>
      </w:tr>
      <w:tr w:rsidR="007D391E" w:rsidRPr="00D3728A" w14:paraId="6ACFE2E7" w14:textId="77777777" w:rsidTr="007D391E">
        <w:trPr>
          <w:trHeight w:val="131"/>
        </w:trPr>
        <w:tc>
          <w:tcPr>
            <w:tcW w:w="792" w:type="pct"/>
            <w:shd w:val="clear" w:color="auto" w:fill="auto"/>
            <w:tcMar>
              <w:top w:w="28" w:type="dxa"/>
              <w:left w:w="77" w:type="dxa"/>
              <w:bottom w:w="0" w:type="dxa"/>
              <w:right w:w="77" w:type="dxa"/>
            </w:tcMar>
            <w:vAlign w:val="center"/>
          </w:tcPr>
          <w:p w14:paraId="313AB3C1" w14:textId="77777777" w:rsidR="007D391E" w:rsidRPr="001D77AF" w:rsidRDefault="007D391E" w:rsidP="008D03B5">
            <w:pPr>
              <w:jc w:val="both"/>
              <w:rPr>
                <w:kern w:val="24"/>
                <w:lang w:val="en-GB"/>
              </w:rPr>
            </w:pPr>
            <w:r w:rsidRPr="001D77AF">
              <w:rPr>
                <w:kern w:val="24"/>
                <w:lang w:val="en-GB"/>
              </w:rPr>
              <w:t>FORMAL</w:t>
            </w:r>
          </w:p>
        </w:tc>
        <w:tc>
          <w:tcPr>
            <w:tcW w:w="2418" w:type="pct"/>
            <w:shd w:val="clear" w:color="auto" w:fill="auto"/>
            <w:tcMar>
              <w:top w:w="28" w:type="dxa"/>
              <w:left w:w="77" w:type="dxa"/>
              <w:bottom w:w="0" w:type="dxa"/>
              <w:right w:w="77" w:type="dxa"/>
            </w:tcMar>
            <w:vAlign w:val="center"/>
          </w:tcPr>
          <w:p w14:paraId="340EBCE2" w14:textId="77777777" w:rsidR="007D391E" w:rsidRPr="001D77AF" w:rsidRDefault="00A92F98" w:rsidP="008D03B5">
            <w:pPr>
              <w:jc w:val="both"/>
              <w:rPr>
                <w:kern w:val="24"/>
                <w:lang w:val="en-GB"/>
              </w:rPr>
            </w:pPr>
            <w:r w:rsidRPr="001D77AF">
              <w:rPr>
                <w:kern w:val="24"/>
                <w:lang w:val="en-GB"/>
              </w:rPr>
              <w:t>Index by Park (2008)</w:t>
            </w:r>
          </w:p>
        </w:tc>
        <w:tc>
          <w:tcPr>
            <w:tcW w:w="1790" w:type="pct"/>
            <w:shd w:val="clear" w:color="auto" w:fill="auto"/>
            <w:tcMar>
              <w:top w:w="28" w:type="dxa"/>
              <w:left w:w="77" w:type="dxa"/>
              <w:bottom w:w="0" w:type="dxa"/>
              <w:right w:w="77" w:type="dxa"/>
            </w:tcMar>
            <w:vAlign w:val="center"/>
          </w:tcPr>
          <w:p w14:paraId="3470EA0E" w14:textId="77777777" w:rsidR="007D391E" w:rsidRPr="001D77AF" w:rsidRDefault="009E1C71" w:rsidP="008D03B5">
            <w:pPr>
              <w:jc w:val="both"/>
              <w:rPr>
                <w:kern w:val="24"/>
                <w:lang w:val="en-GB"/>
              </w:rPr>
            </w:pPr>
            <w:r w:rsidRPr="001D77AF">
              <w:rPr>
                <w:kern w:val="24"/>
                <w:lang w:val="en-GB"/>
              </w:rPr>
              <w:t>Park (201</w:t>
            </w:r>
            <w:r w:rsidR="007D391E" w:rsidRPr="001D77AF">
              <w:rPr>
                <w:kern w:val="24"/>
                <w:lang w:val="en-GB"/>
              </w:rPr>
              <w:t>8)</w:t>
            </w:r>
          </w:p>
        </w:tc>
      </w:tr>
      <w:tr w:rsidR="007D391E" w:rsidRPr="00D3728A" w14:paraId="48CF7FE3" w14:textId="77777777" w:rsidTr="007D391E">
        <w:trPr>
          <w:trHeight w:val="131"/>
        </w:trPr>
        <w:tc>
          <w:tcPr>
            <w:tcW w:w="792" w:type="pct"/>
            <w:shd w:val="clear" w:color="auto" w:fill="auto"/>
            <w:tcMar>
              <w:top w:w="28" w:type="dxa"/>
              <w:left w:w="77" w:type="dxa"/>
              <w:bottom w:w="0" w:type="dxa"/>
              <w:right w:w="77" w:type="dxa"/>
            </w:tcMar>
            <w:vAlign w:val="center"/>
          </w:tcPr>
          <w:p w14:paraId="4440A8DF"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7F9B5949"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05BD4367" w14:textId="77777777" w:rsidR="007D391E" w:rsidRPr="001D77AF" w:rsidRDefault="007D391E" w:rsidP="008D03B5">
            <w:pPr>
              <w:jc w:val="both"/>
              <w:rPr>
                <w:kern w:val="24"/>
                <w:lang w:val="en-GB"/>
              </w:rPr>
            </w:pPr>
          </w:p>
        </w:tc>
      </w:tr>
      <w:tr w:rsidR="007D391E" w:rsidRPr="00D3728A" w14:paraId="4525432D" w14:textId="77777777" w:rsidTr="007D391E">
        <w:trPr>
          <w:trHeight w:val="131"/>
        </w:trPr>
        <w:tc>
          <w:tcPr>
            <w:tcW w:w="792" w:type="pct"/>
            <w:shd w:val="clear" w:color="auto" w:fill="auto"/>
            <w:tcMar>
              <w:top w:w="28" w:type="dxa"/>
              <w:left w:w="77" w:type="dxa"/>
              <w:bottom w:w="0" w:type="dxa"/>
              <w:right w:w="77" w:type="dxa"/>
            </w:tcMar>
            <w:vAlign w:val="center"/>
          </w:tcPr>
          <w:p w14:paraId="5B6A0D84" w14:textId="77777777" w:rsidR="007D391E" w:rsidRPr="001D77AF" w:rsidRDefault="007D391E" w:rsidP="008D03B5">
            <w:pPr>
              <w:jc w:val="both"/>
              <w:rPr>
                <w:kern w:val="24"/>
                <w:lang w:val="en-GB"/>
              </w:rPr>
            </w:pPr>
            <w:r w:rsidRPr="001D77AF">
              <w:rPr>
                <w:kern w:val="24"/>
                <w:lang w:val="en-GB"/>
              </w:rPr>
              <w:t>INFORMAL</w:t>
            </w:r>
          </w:p>
        </w:tc>
        <w:tc>
          <w:tcPr>
            <w:tcW w:w="2418" w:type="pct"/>
            <w:shd w:val="clear" w:color="auto" w:fill="auto"/>
            <w:tcMar>
              <w:top w:w="28" w:type="dxa"/>
              <w:left w:w="77" w:type="dxa"/>
              <w:bottom w:w="0" w:type="dxa"/>
              <w:right w:w="77" w:type="dxa"/>
            </w:tcMar>
            <w:vAlign w:val="center"/>
          </w:tcPr>
          <w:p w14:paraId="0E9569EE" w14:textId="77777777" w:rsidR="007D391E" w:rsidRPr="001D77AF" w:rsidRDefault="007D391E" w:rsidP="008D03B5">
            <w:pPr>
              <w:jc w:val="both"/>
              <w:rPr>
                <w:kern w:val="24"/>
                <w:lang w:val="en-GB"/>
              </w:rPr>
            </w:pPr>
            <w:r w:rsidRPr="001D77AF">
              <w:rPr>
                <w:kern w:val="24"/>
                <w:lang w:val="en-GB"/>
              </w:rPr>
              <w:t>Index by Papageorgiadis et al. (2</w:t>
            </w:r>
            <w:r w:rsidR="00A92F98" w:rsidRPr="001D77AF">
              <w:rPr>
                <w:kern w:val="24"/>
                <w:lang w:val="en-GB"/>
              </w:rPr>
              <w:t>014)</w:t>
            </w:r>
          </w:p>
        </w:tc>
        <w:tc>
          <w:tcPr>
            <w:tcW w:w="1790" w:type="pct"/>
            <w:shd w:val="clear" w:color="auto" w:fill="auto"/>
            <w:tcMar>
              <w:top w:w="28" w:type="dxa"/>
              <w:left w:w="77" w:type="dxa"/>
              <w:bottom w:w="0" w:type="dxa"/>
              <w:right w:w="77" w:type="dxa"/>
            </w:tcMar>
            <w:vAlign w:val="center"/>
          </w:tcPr>
          <w:p w14:paraId="150D954C" w14:textId="77777777" w:rsidR="007D391E" w:rsidRPr="001D77AF" w:rsidRDefault="007D391E" w:rsidP="008D03B5">
            <w:pPr>
              <w:jc w:val="both"/>
              <w:rPr>
                <w:kern w:val="24"/>
                <w:lang w:val="en-GB"/>
              </w:rPr>
            </w:pPr>
            <w:r w:rsidRPr="001D77AF">
              <w:rPr>
                <w:kern w:val="24"/>
                <w:lang w:val="en-GB"/>
              </w:rPr>
              <w:t>Papageorgiadis et al. (2014)</w:t>
            </w:r>
          </w:p>
        </w:tc>
      </w:tr>
      <w:tr w:rsidR="007D391E" w:rsidRPr="00D3728A" w14:paraId="00047546" w14:textId="77777777" w:rsidTr="007D391E">
        <w:trPr>
          <w:trHeight w:val="131"/>
        </w:trPr>
        <w:tc>
          <w:tcPr>
            <w:tcW w:w="792" w:type="pct"/>
            <w:shd w:val="clear" w:color="auto" w:fill="auto"/>
            <w:tcMar>
              <w:top w:w="28" w:type="dxa"/>
              <w:left w:w="77" w:type="dxa"/>
              <w:bottom w:w="0" w:type="dxa"/>
              <w:right w:w="77" w:type="dxa"/>
            </w:tcMar>
            <w:vAlign w:val="center"/>
          </w:tcPr>
          <w:p w14:paraId="418EE286"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21950BF8"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6DF8E209" w14:textId="77777777" w:rsidR="007D391E" w:rsidRPr="001D77AF" w:rsidRDefault="007D391E" w:rsidP="008D03B5">
            <w:pPr>
              <w:jc w:val="both"/>
              <w:rPr>
                <w:kern w:val="24"/>
                <w:lang w:val="en-GB"/>
              </w:rPr>
            </w:pPr>
          </w:p>
        </w:tc>
      </w:tr>
      <w:tr w:rsidR="007D391E" w:rsidRPr="00D3728A" w14:paraId="44FCAEF8" w14:textId="77777777" w:rsidTr="007D391E">
        <w:trPr>
          <w:trHeight w:val="131"/>
        </w:trPr>
        <w:tc>
          <w:tcPr>
            <w:tcW w:w="792" w:type="pct"/>
            <w:shd w:val="clear" w:color="auto" w:fill="auto"/>
            <w:tcMar>
              <w:top w:w="28" w:type="dxa"/>
              <w:left w:w="77" w:type="dxa"/>
              <w:bottom w:w="0" w:type="dxa"/>
              <w:right w:w="77" w:type="dxa"/>
            </w:tcMar>
            <w:vAlign w:val="center"/>
          </w:tcPr>
          <w:p w14:paraId="4613B79A" w14:textId="77777777" w:rsidR="007D391E" w:rsidRPr="001D77AF" w:rsidRDefault="007D391E" w:rsidP="008D03B5">
            <w:pPr>
              <w:jc w:val="both"/>
              <w:rPr>
                <w:kern w:val="24"/>
                <w:lang w:val="en-GB"/>
              </w:rPr>
            </w:pPr>
            <w:r w:rsidRPr="001D77AF">
              <w:rPr>
                <w:kern w:val="24"/>
                <w:lang w:val="en-GB"/>
              </w:rPr>
              <w:t>LPOP</w:t>
            </w:r>
          </w:p>
        </w:tc>
        <w:tc>
          <w:tcPr>
            <w:tcW w:w="2418" w:type="pct"/>
            <w:shd w:val="clear" w:color="auto" w:fill="auto"/>
            <w:tcMar>
              <w:top w:w="28" w:type="dxa"/>
              <w:left w:w="77" w:type="dxa"/>
              <w:bottom w:w="0" w:type="dxa"/>
              <w:right w:w="77" w:type="dxa"/>
            </w:tcMar>
            <w:vAlign w:val="center"/>
          </w:tcPr>
          <w:p w14:paraId="7D77591F" w14:textId="77777777" w:rsidR="007D391E" w:rsidRPr="001D77AF" w:rsidRDefault="007D391E" w:rsidP="008D03B5">
            <w:pPr>
              <w:jc w:val="both"/>
              <w:rPr>
                <w:kern w:val="24"/>
                <w:lang w:val="en-GB"/>
              </w:rPr>
            </w:pPr>
            <w:r w:rsidRPr="001D77AF">
              <w:rPr>
                <w:kern w:val="24"/>
                <w:lang w:val="en-GB"/>
              </w:rPr>
              <w:t>Natural log of Population of the host country</w:t>
            </w:r>
          </w:p>
        </w:tc>
        <w:tc>
          <w:tcPr>
            <w:tcW w:w="1790" w:type="pct"/>
            <w:vMerge w:val="restart"/>
            <w:shd w:val="clear" w:color="auto" w:fill="auto"/>
            <w:tcMar>
              <w:top w:w="28" w:type="dxa"/>
              <w:left w:w="77" w:type="dxa"/>
              <w:bottom w:w="0" w:type="dxa"/>
              <w:right w:w="77" w:type="dxa"/>
            </w:tcMar>
            <w:vAlign w:val="center"/>
          </w:tcPr>
          <w:p w14:paraId="66A30195" w14:textId="77777777" w:rsidR="007D391E" w:rsidRPr="001D77AF" w:rsidRDefault="007D391E" w:rsidP="008D03B5">
            <w:pPr>
              <w:jc w:val="both"/>
              <w:rPr>
                <w:kern w:val="24"/>
                <w:lang w:val="en-GB"/>
              </w:rPr>
            </w:pPr>
            <w:r w:rsidRPr="001D77AF">
              <w:rPr>
                <w:kern w:val="24"/>
                <w:lang w:val="en-GB"/>
              </w:rPr>
              <w:t>World Development Indictors,</w:t>
            </w:r>
          </w:p>
          <w:p w14:paraId="16808CC5" w14:textId="77777777" w:rsidR="007D391E" w:rsidRPr="001D77AF" w:rsidRDefault="00777AA1" w:rsidP="008D03B5">
            <w:pPr>
              <w:jc w:val="both"/>
              <w:rPr>
                <w:kern w:val="24"/>
                <w:lang w:val="en-GB"/>
              </w:rPr>
            </w:pPr>
            <w:r w:rsidRPr="001D77AF">
              <w:rPr>
                <w:kern w:val="24"/>
                <w:lang w:val="en-GB"/>
              </w:rPr>
              <w:t>The World Bank</w:t>
            </w:r>
          </w:p>
          <w:p w14:paraId="5CA51AA9" w14:textId="77777777" w:rsidR="007D391E" w:rsidRPr="001D77AF" w:rsidRDefault="007D391E" w:rsidP="008D03B5">
            <w:pPr>
              <w:jc w:val="both"/>
              <w:rPr>
                <w:kern w:val="24"/>
                <w:lang w:val="en-GB"/>
              </w:rPr>
            </w:pPr>
            <w:r w:rsidRPr="001D77AF">
              <w:rPr>
                <w:kern w:val="24"/>
                <w:lang w:val="en-GB"/>
              </w:rPr>
              <w:t xml:space="preserve"> </w:t>
            </w:r>
          </w:p>
        </w:tc>
      </w:tr>
      <w:tr w:rsidR="007D391E" w:rsidRPr="00D3728A" w14:paraId="2C141E53" w14:textId="77777777" w:rsidTr="007D391E">
        <w:trPr>
          <w:trHeight w:val="131"/>
        </w:trPr>
        <w:tc>
          <w:tcPr>
            <w:tcW w:w="792" w:type="pct"/>
            <w:shd w:val="clear" w:color="auto" w:fill="auto"/>
            <w:tcMar>
              <w:top w:w="28" w:type="dxa"/>
              <w:left w:w="77" w:type="dxa"/>
              <w:bottom w:w="0" w:type="dxa"/>
              <w:right w:w="77" w:type="dxa"/>
            </w:tcMar>
            <w:vAlign w:val="center"/>
          </w:tcPr>
          <w:p w14:paraId="2CD13750" w14:textId="77777777" w:rsidR="007D391E" w:rsidRPr="001D77AF" w:rsidRDefault="007D391E" w:rsidP="008D03B5">
            <w:pPr>
              <w:jc w:val="both"/>
              <w:rPr>
                <w:kern w:val="24"/>
                <w:lang w:val="en-GB"/>
              </w:rPr>
            </w:pPr>
            <w:r w:rsidRPr="001D77AF">
              <w:rPr>
                <w:kern w:val="24"/>
                <w:lang w:val="en-GB"/>
              </w:rPr>
              <w:t>LGDPPC</w:t>
            </w:r>
          </w:p>
        </w:tc>
        <w:tc>
          <w:tcPr>
            <w:tcW w:w="2418" w:type="pct"/>
            <w:shd w:val="clear" w:color="auto" w:fill="auto"/>
            <w:tcMar>
              <w:top w:w="28" w:type="dxa"/>
              <w:left w:w="77" w:type="dxa"/>
              <w:bottom w:w="0" w:type="dxa"/>
              <w:right w:w="77" w:type="dxa"/>
            </w:tcMar>
            <w:vAlign w:val="center"/>
          </w:tcPr>
          <w:p w14:paraId="7143BC05" w14:textId="77777777" w:rsidR="007D391E" w:rsidRPr="001D77AF" w:rsidRDefault="007D391E" w:rsidP="008D03B5">
            <w:pPr>
              <w:jc w:val="both"/>
              <w:rPr>
                <w:kern w:val="24"/>
                <w:lang w:val="en-GB"/>
              </w:rPr>
            </w:pPr>
            <w:r w:rsidRPr="001D77AF">
              <w:rPr>
                <w:kern w:val="24"/>
                <w:lang w:val="en-GB"/>
              </w:rPr>
              <w:t>Natural log of GDP per capita of the host country (Current US $)</w:t>
            </w:r>
          </w:p>
        </w:tc>
        <w:tc>
          <w:tcPr>
            <w:tcW w:w="1790" w:type="pct"/>
            <w:vMerge/>
            <w:shd w:val="clear" w:color="auto" w:fill="auto"/>
            <w:tcMar>
              <w:top w:w="28" w:type="dxa"/>
              <w:left w:w="77" w:type="dxa"/>
              <w:bottom w:w="0" w:type="dxa"/>
              <w:right w:w="77" w:type="dxa"/>
            </w:tcMar>
            <w:vAlign w:val="center"/>
          </w:tcPr>
          <w:p w14:paraId="4E91025A" w14:textId="77777777" w:rsidR="007D391E" w:rsidRPr="001D77AF" w:rsidRDefault="007D391E" w:rsidP="008D03B5">
            <w:pPr>
              <w:jc w:val="both"/>
              <w:rPr>
                <w:kern w:val="24"/>
                <w:lang w:val="en-GB"/>
              </w:rPr>
            </w:pPr>
          </w:p>
        </w:tc>
      </w:tr>
      <w:tr w:rsidR="007D391E" w:rsidRPr="00D3728A" w14:paraId="2097B971" w14:textId="77777777" w:rsidTr="007D391E">
        <w:trPr>
          <w:trHeight w:val="131"/>
        </w:trPr>
        <w:tc>
          <w:tcPr>
            <w:tcW w:w="792" w:type="pct"/>
            <w:shd w:val="clear" w:color="auto" w:fill="auto"/>
            <w:tcMar>
              <w:top w:w="28" w:type="dxa"/>
              <w:left w:w="77" w:type="dxa"/>
              <w:bottom w:w="0" w:type="dxa"/>
              <w:right w:w="77" w:type="dxa"/>
            </w:tcMar>
            <w:vAlign w:val="center"/>
          </w:tcPr>
          <w:p w14:paraId="1ADC11A6" w14:textId="77777777" w:rsidR="007D391E" w:rsidRPr="001D77AF" w:rsidRDefault="007D391E" w:rsidP="008D03B5">
            <w:pPr>
              <w:jc w:val="both"/>
              <w:rPr>
                <w:kern w:val="24"/>
                <w:lang w:val="en-GB"/>
              </w:rPr>
            </w:pPr>
            <w:r w:rsidRPr="001D77AF">
              <w:rPr>
                <w:kern w:val="24"/>
                <w:lang w:val="en-GB"/>
              </w:rPr>
              <w:t>GDPG</w:t>
            </w:r>
          </w:p>
        </w:tc>
        <w:tc>
          <w:tcPr>
            <w:tcW w:w="2418" w:type="pct"/>
            <w:shd w:val="clear" w:color="auto" w:fill="auto"/>
            <w:tcMar>
              <w:top w:w="28" w:type="dxa"/>
              <w:left w:w="77" w:type="dxa"/>
              <w:bottom w:w="0" w:type="dxa"/>
              <w:right w:w="77" w:type="dxa"/>
            </w:tcMar>
            <w:vAlign w:val="center"/>
          </w:tcPr>
          <w:p w14:paraId="079DC953" w14:textId="77777777" w:rsidR="007D391E" w:rsidRPr="001D77AF" w:rsidRDefault="007D391E" w:rsidP="008D03B5">
            <w:pPr>
              <w:jc w:val="both"/>
              <w:rPr>
                <w:kern w:val="24"/>
                <w:lang w:val="en-GB"/>
              </w:rPr>
            </w:pPr>
            <w:r w:rsidRPr="001D77AF">
              <w:rPr>
                <w:kern w:val="24"/>
                <w:lang w:val="en-GB"/>
              </w:rPr>
              <w:t>GDP growth rate of the host country</w:t>
            </w:r>
          </w:p>
        </w:tc>
        <w:tc>
          <w:tcPr>
            <w:tcW w:w="1790" w:type="pct"/>
            <w:vMerge/>
            <w:shd w:val="clear" w:color="auto" w:fill="auto"/>
            <w:tcMar>
              <w:top w:w="28" w:type="dxa"/>
              <w:left w:w="77" w:type="dxa"/>
              <w:bottom w:w="0" w:type="dxa"/>
              <w:right w:w="77" w:type="dxa"/>
            </w:tcMar>
            <w:vAlign w:val="center"/>
          </w:tcPr>
          <w:p w14:paraId="4B413B96" w14:textId="77777777" w:rsidR="007D391E" w:rsidRPr="001D77AF" w:rsidRDefault="007D391E" w:rsidP="008D03B5">
            <w:pPr>
              <w:jc w:val="both"/>
              <w:rPr>
                <w:kern w:val="24"/>
                <w:lang w:val="en-GB"/>
              </w:rPr>
            </w:pPr>
          </w:p>
        </w:tc>
      </w:tr>
      <w:tr w:rsidR="007D391E" w:rsidRPr="00D3728A" w14:paraId="6E05CD41" w14:textId="77777777" w:rsidTr="007D391E">
        <w:trPr>
          <w:trHeight w:val="131"/>
        </w:trPr>
        <w:tc>
          <w:tcPr>
            <w:tcW w:w="792" w:type="pct"/>
            <w:shd w:val="clear" w:color="auto" w:fill="auto"/>
            <w:tcMar>
              <w:top w:w="28" w:type="dxa"/>
              <w:left w:w="77" w:type="dxa"/>
              <w:bottom w:w="0" w:type="dxa"/>
              <w:right w:w="77" w:type="dxa"/>
            </w:tcMar>
            <w:vAlign w:val="center"/>
          </w:tcPr>
          <w:p w14:paraId="77B1F69E"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014F120C"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51741992" w14:textId="77777777" w:rsidR="007D391E" w:rsidRPr="001D77AF" w:rsidRDefault="007D391E" w:rsidP="008D03B5">
            <w:pPr>
              <w:jc w:val="both"/>
              <w:rPr>
                <w:kern w:val="24"/>
                <w:lang w:val="en-GB"/>
              </w:rPr>
            </w:pPr>
          </w:p>
        </w:tc>
      </w:tr>
      <w:tr w:rsidR="007D391E" w:rsidRPr="00D3728A" w14:paraId="5EF7E971" w14:textId="77777777" w:rsidTr="007D391E">
        <w:trPr>
          <w:trHeight w:val="131"/>
        </w:trPr>
        <w:tc>
          <w:tcPr>
            <w:tcW w:w="792" w:type="pct"/>
            <w:shd w:val="clear" w:color="auto" w:fill="auto"/>
            <w:tcMar>
              <w:top w:w="28" w:type="dxa"/>
              <w:left w:w="77" w:type="dxa"/>
              <w:bottom w:w="0" w:type="dxa"/>
              <w:right w:w="77" w:type="dxa"/>
            </w:tcMar>
            <w:vAlign w:val="center"/>
          </w:tcPr>
          <w:p w14:paraId="6FA02C66" w14:textId="77777777" w:rsidR="007D391E" w:rsidRPr="001D77AF" w:rsidRDefault="007D391E" w:rsidP="008D03B5">
            <w:pPr>
              <w:jc w:val="both"/>
              <w:rPr>
                <w:kern w:val="24"/>
                <w:lang w:val="en-GB"/>
              </w:rPr>
            </w:pPr>
            <w:r w:rsidRPr="001D77AF">
              <w:rPr>
                <w:kern w:val="24"/>
                <w:lang w:val="en-GB"/>
              </w:rPr>
              <w:t>STAB</w:t>
            </w:r>
          </w:p>
        </w:tc>
        <w:tc>
          <w:tcPr>
            <w:tcW w:w="2418" w:type="pct"/>
            <w:shd w:val="clear" w:color="auto" w:fill="auto"/>
            <w:tcMar>
              <w:top w:w="28" w:type="dxa"/>
              <w:left w:w="77" w:type="dxa"/>
              <w:bottom w:w="0" w:type="dxa"/>
              <w:right w:w="77" w:type="dxa"/>
            </w:tcMar>
            <w:vAlign w:val="center"/>
          </w:tcPr>
          <w:p w14:paraId="6ED43392" w14:textId="77777777" w:rsidR="007D391E" w:rsidRPr="001D77AF" w:rsidRDefault="007D391E" w:rsidP="008D03B5">
            <w:pPr>
              <w:jc w:val="both"/>
              <w:rPr>
                <w:kern w:val="24"/>
                <w:lang w:val="en-GB"/>
              </w:rPr>
            </w:pPr>
            <w:r w:rsidRPr="001D77AF">
              <w:rPr>
                <w:kern w:val="24"/>
                <w:lang w:val="en-GB"/>
              </w:rPr>
              <w:t>Degree of political stability of the host country</w:t>
            </w:r>
          </w:p>
        </w:tc>
        <w:tc>
          <w:tcPr>
            <w:tcW w:w="1790" w:type="pct"/>
            <w:shd w:val="clear" w:color="auto" w:fill="auto"/>
            <w:tcMar>
              <w:top w:w="28" w:type="dxa"/>
              <w:left w:w="77" w:type="dxa"/>
              <w:bottom w:w="0" w:type="dxa"/>
              <w:right w:w="77" w:type="dxa"/>
            </w:tcMar>
            <w:vAlign w:val="center"/>
          </w:tcPr>
          <w:p w14:paraId="5DCB653E" w14:textId="77777777" w:rsidR="007D391E" w:rsidRPr="001D77AF" w:rsidRDefault="007D391E" w:rsidP="008D03B5">
            <w:pPr>
              <w:jc w:val="both"/>
              <w:rPr>
                <w:kern w:val="24"/>
                <w:lang w:val="en-GB"/>
              </w:rPr>
            </w:pPr>
            <w:r w:rsidRPr="001D77AF">
              <w:rPr>
                <w:kern w:val="24"/>
                <w:lang w:val="en-GB"/>
              </w:rPr>
              <w:t>Int</w:t>
            </w:r>
            <w:r w:rsidR="00777AA1" w:rsidRPr="001D77AF">
              <w:rPr>
                <w:kern w:val="24"/>
                <w:lang w:val="en-GB"/>
              </w:rPr>
              <w:t xml:space="preserve">ernational Country Risk Guide, </w:t>
            </w:r>
            <w:r w:rsidRPr="001D77AF">
              <w:rPr>
                <w:kern w:val="24"/>
                <w:lang w:val="en-GB"/>
              </w:rPr>
              <w:t>P</w:t>
            </w:r>
            <w:r w:rsidR="00A92F98" w:rsidRPr="001D77AF">
              <w:rPr>
                <w:kern w:val="24"/>
                <w:lang w:val="en-GB"/>
              </w:rPr>
              <w:t>RS Group</w:t>
            </w:r>
          </w:p>
        </w:tc>
      </w:tr>
      <w:tr w:rsidR="007D391E" w:rsidRPr="00D3728A" w14:paraId="62036183" w14:textId="77777777" w:rsidTr="007D391E">
        <w:trPr>
          <w:trHeight w:val="131"/>
        </w:trPr>
        <w:tc>
          <w:tcPr>
            <w:tcW w:w="792" w:type="pct"/>
            <w:shd w:val="clear" w:color="auto" w:fill="auto"/>
            <w:tcMar>
              <w:top w:w="28" w:type="dxa"/>
              <w:left w:w="77" w:type="dxa"/>
              <w:bottom w:w="0" w:type="dxa"/>
              <w:right w:w="77" w:type="dxa"/>
            </w:tcMar>
            <w:vAlign w:val="center"/>
          </w:tcPr>
          <w:p w14:paraId="67C37FCC"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520A9697"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7B4004C1" w14:textId="77777777" w:rsidR="007D391E" w:rsidRPr="001D77AF" w:rsidRDefault="007D391E" w:rsidP="008D03B5">
            <w:pPr>
              <w:jc w:val="both"/>
              <w:rPr>
                <w:kern w:val="24"/>
                <w:lang w:val="en-GB"/>
              </w:rPr>
            </w:pPr>
          </w:p>
        </w:tc>
      </w:tr>
      <w:tr w:rsidR="007D391E" w:rsidRPr="00D3728A" w14:paraId="38D04DEF" w14:textId="77777777" w:rsidTr="007D391E">
        <w:trPr>
          <w:trHeight w:val="131"/>
        </w:trPr>
        <w:tc>
          <w:tcPr>
            <w:tcW w:w="792" w:type="pct"/>
            <w:shd w:val="clear" w:color="auto" w:fill="auto"/>
            <w:tcMar>
              <w:top w:w="28" w:type="dxa"/>
              <w:left w:w="77" w:type="dxa"/>
              <w:bottom w:w="0" w:type="dxa"/>
              <w:right w:w="77" w:type="dxa"/>
            </w:tcMar>
            <w:vAlign w:val="center"/>
          </w:tcPr>
          <w:p w14:paraId="36C0D31B" w14:textId="77777777" w:rsidR="007D391E" w:rsidRPr="001D77AF" w:rsidRDefault="007D391E" w:rsidP="008D03B5">
            <w:pPr>
              <w:jc w:val="both"/>
              <w:rPr>
                <w:kern w:val="24"/>
                <w:lang w:val="en-GB"/>
              </w:rPr>
            </w:pPr>
            <w:r w:rsidRPr="001D77AF">
              <w:rPr>
                <w:kern w:val="24"/>
                <w:lang w:val="en-GB"/>
              </w:rPr>
              <w:t>LDIST</w:t>
            </w:r>
          </w:p>
        </w:tc>
        <w:tc>
          <w:tcPr>
            <w:tcW w:w="2418" w:type="pct"/>
            <w:shd w:val="clear" w:color="auto" w:fill="auto"/>
            <w:tcMar>
              <w:top w:w="28" w:type="dxa"/>
              <w:left w:w="77" w:type="dxa"/>
              <w:bottom w:w="0" w:type="dxa"/>
              <w:right w:w="77" w:type="dxa"/>
            </w:tcMar>
            <w:vAlign w:val="center"/>
          </w:tcPr>
          <w:p w14:paraId="1E6F7798" w14:textId="77777777" w:rsidR="007D391E" w:rsidRPr="001D77AF" w:rsidRDefault="007D391E" w:rsidP="00895086">
            <w:pPr>
              <w:jc w:val="both"/>
              <w:rPr>
                <w:kern w:val="24"/>
                <w:lang w:val="en-GB"/>
              </w:rPr>
            </w:pPr>
            <w:r w:rsidRPr="001D77AF">
              <w:rPr>
                <w:kern w:val="24"/>
                <w:lang w:val="en-GB"/>
              </w:rPr>
              <w:t xml:space="preserve">Natural log of geographical distance between USA and the host country </w:t>
            </w:r>
          </w:p>
        </w:tc>
        <w:tc>
          <w:tcPr>
            <w:tcW w:w="1790" w:type="pct"/>
            <w:shd w:val="clear" w:color="auto" w:fill="auto"/>
            <w:tcMar>
              <w:top w:w="28" w:type="dxa"/>
              <w:left w:w="77" w:type="dxa"/>
              <w:bottom w:w="0" w:type="dxa"/>
              <w:right w:w="77" w:type="dxa"/>
            </w:tcMar>
            <w:vAlign w:val="center"/>
          </w:tcPr>
          <w:p w14:paraId="354BD251" w14:textId="77777777" w:rsidR="007D391E" w:rsidRPr="001D77AF" w:rsidRDefault="007D391E" w:rsidP="008D03B5">
            <w:pPr>
              <w:jc w:val="both"/>
              <w:rPr>
                <w:kern w:val="24"/>
                <w:lang w:val="en-GB"/>
              </w:rPr>
            </w:pPr>
            <w:r w:rsidRPr="001D77AF">
              <w:rPr>
                <w:kern w:val="24"/>
                <w:lang w:val="en-GB"/>
              </w:rPr>
              <w:t>Geobytes.com</w:t>
            </w:r>
          </w:p>
        </w:tc>
      </w:tr>
      <w:tr w:rsidR="007D391E" w:rsidRPr="00D3728A" w14:paraId="0775B90F" w14:textId="77777777" w:rsidTr="007D391E">
        <w:trPr>
          <w:trHeight w:val="131"/>
        </w:trPr>
        <w:tc>
          <w:tcPr>
            <w:tcW w:w="792" w:type="pct"/>
            <w:shd w:val="clear" w:color="auto" w:fill="auto"/>
            <w:tcMar>
              <w:top w:w="28" w:type="dxa"/>
              <w:left w:w="77" w:type="dxa"/>
              <w:bottom w:w="0" w:type="dxa"/>
              <w:right w:w="77" w:type="dxa"/>
            </w:tcMar>
            <w:vAlign w:val="center"/>
          </w:tcPr>
          <w:p w14:paraId="2A4AA1DE"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0C308589"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3C7FA1FA" w14:textId="77777777" w:rsidR="007D391E" w:rsidRPr="001D77AF" w:rsidRDefault="007D391E" w:rsidP="008D03B5">
            <w:pPr>
              <w:jc w:val="both"/>
              <w:rPr>
                <w:kern w:val="24"/>
                <w:lang w:val="en-GB"/>
              </w:rPr>
            </w:pPr>
          </w:p>
        </w:tc>
      </w:tr>
      <w:tr w:rsidR="007D391E" w:rsidRPr="00D3728A" w14:paraId="347A7710" w14:textId="77777777" w:rsidTr="007D391E">
        <w:trPr>
          <w:trHeight w:val="131"/>
        </w:trPr>
        <w:tc>
          <w:tcPr>
            <w:tcW w:w="792" w:type="pct"/>
            <w:shd w:val="clear" w:color="auto" w:fill="auto"/>
            <w:tcMar>
              <w:top w:w="28" w:type="dxa"/>
              <w:left w:w="77" w:type="dxa"/>
              <w:bottom w:w="0" w:type="dxa"/>
              <w:right w:w="77" w:type="dxa"/>
            </w:tcMar>
            <w:vAlign w:val="center"/>
          </w:tcPr>
          <w:p w14:paraId="4A4921A1" w14:textId="77777777" w:rsidR="007D391E" w:rsidRPr="001D77AF" w:rsidRDefault="007D391E" w:rsidP="008D03B5">
            <w:pPr>
              <w:jc w:val="both"/>
              <w:rPr>
                <w:kern w:val="24"/>
                <w:lang w:val="en-GB"/>
              </w:rPr>
            </w:pPr>
            <w:r w:rsidRPr="001D77AF">
              <w:rPr>
                <w:kern w:val="24"/>
                <w:lang w:val="en-GB"/>
              </w:rPr>
              <w:t>RDIST</w:t>
            </w:r>
          </w:p>
        </w:tc>
        <w:tc>
          <w:tcPr>
            <w:tcW w:w="2418" w:type="pct"/>
            <w:shd w:val="clear" w:color="auto" w:fill="auto"/>
            <w:tcMar>
              <w:top w:w="28" w:type="dxa"/>
              <w:left w:w="77" w:type="dxa"/>
              <w:bottom w:w="0" w:type="dxa"/>
              <w:right w:w="77" w:type="dxa"/>
            </w:tcMar>
            <w:vAlign w:val="center"/>
          </w:tcPr>
          <w:p w14:paraId="729C0BA1" w14:textId="6C57386B" w:rsidR="007D391E" w:rsidRPr="001D77AF" w:rsidRDefault="007D391E" w:rsidP="008D03B5">
            <w:pPr>
              <w:jc w:val="both"/>
              <w:rPr>
                <w:kern w:val="24"/>
                <w:lang w:val="en-GB"/>
              </w:rPr>
            </w:pPr>
            <w:r w:rsidRPr="001D77AF">
              <w:rPr>
                <w:kern w:val="24"/>
                <w:lang w:val="en-GB"/>
              </w:rPr>
              <w:t xml:space="preserve">Regulative distance between USA and the host country constructed using nine measures: business freedom, fiscal freedom, government spending, monetary freedom, investment freedom, financial freedom, property rights protection, freedom from corruption, and </w:t>
            </w:r>
            <w:r w:rsidR="00442F81" w:rsidRPr="001D77AF">
              <w:rPr>
                <w:kern w:val="24"/>
                <w:lang w:val="en-GB"/>
              </w:rPr>
              <w:t>labour</w:t>
            </w:r>
            <w:r w:rsidRPr="001D77AF">
              <w:rPr>
                <w:kern w:val="24"/>
                <w:lang w:val="en-GB"/>
              </w:rPr>
              <w:t xml:space="preserve"> freedom.</w:t>
            </w:r>
          </w:p>
        </w:tc>
        <w:tc>
          <w:tcPr>
            <w:tcW w:w="1790" w:type="pct"/>
            <w:shd w:val="clear" w:color="auto" w:fill="auto"/>
            <w:tcMar>
              <w:top w:w="28" w:type="dxa"/>
              <w:left w:w="77" w:type="dxa"/>
              <w:bottom w:w="0" w:type="dxa"/>
              <w:right w:w="77" w:type="dxa"/>
            </w:tcMar>
            <w:vAlign w:val="center"/>
          </w:tcPr>
          <w:p w14:paraId="67772023" w14:textId="77777777" w:rsidR="007D391E" w:rsidRPr="001D77AF" w:rsidRDefault="007D391E" w:rsidP="008D03B5">
            <w:pPr>
              <w:jc w:val="both"/>
              <w:rPr>
                <w:kern w:val="24"/>
                <w:lang w:val="en-GB"/>
              </w:rPr>
            </w:pPr>
            <w:r w:rsidRPr="001D77AF">
              <w:rPr>
                <w:kern w:val="24"/>
                <w:lang w:val="en-GB"/>
              </w:rPr>
              <w:t xml:space="preserve">Index of Economic Freedom, </w:t>
            </w:r>
          </w:p>
          <w:p w14:paraId="6018DA45" w14:textId="77777777" w:rsidR="007D391E" w:rsidRPr="001D77AF" w:rsidRDefault="007D391E" w:rsidP="008D03B5">
            <w:pPr>
              <w:jc w:val="both"/>
              <w:rPr>
                <w:kern w:val="24"/>
                <w:lang w:val="en-GB"/>
              </w:rPr>
            </w:pPr>
            <w:r w:rsidRPr="001D77AF">
              <w:rPr>
                <w:kern w:val="24"/>
                <w:lang w:val="en-GB"/>
              </w:rPr>
              <w:t>The Heritage Foundation.</w:t>
            </w:r>
          </w:p>
        </w:tc>
      </w:tr>
      <w:tr w:rsidR="007D391E" w:rsidRPr="00D3728A" w14:paraId="3E0CB45D" w14:textId="77777777" w:rsidTr="007D391E">
        <w:trPr>
          <w:trHeight w:val="131"/>
        </w:trPr>
        <w:tc>
          <w:tcPr>
            <w:tcW w:w="792" w:type="pct"/>
            <w:shd w:val="clear" w:color="auto" w:fill="auto"/>
            <w:tcMar>
              <w:top w:w="28" w:type="dxa"/>
              <w:left w:w="77" w:type="dxa"/>
              <w:bottom w:w="0" w:type="dxa"/>
              <w:right w:w="77" w:type="dxa"/>
            </w:tcMar>
            <w:vAlign w:val="center"/>
          </w:tcPr>
          <w:p w14:paraId="59366D2A" w14:textId="77777777" w:rsidR="007D391E" w:rsidRPr="001D77AF" w:rsidRDefault="007D391E" w:rsidP="008D03B5">
            <w:pPr>
              <w:jc w:val="both"/>
              <w:rPr>
                <w:kern w:val="24"/>
                <w:lang w:val="en-GB"/>
              </w:rPr>
            </w:pPr>
          </w:p>
        </w:tc>
        <w:tc>
          <w:tcPr>
            <w:tcW w:w="2418" w:type="pct"/>
            <w:shd w:val="clear" w:color="auto" w:fill="auto"/>
            <w:tcMar>
              <w:top w:w="28" w:type="dxa"/>
              <w:left w:w="77" w:type="dxa"/>
              <w:bottom w:w="0" w:type="dxa"/>
              <w:right w:w="77" w:type="dxa"/>
            </w:tcMar>
            <w:vAlign w:val="center"/>
          </w:tcPr>
          <w:p w14:paraId="1806C19F" w14:textId="77777777" w:rsidR="007D391E" w:rsidRPr="001D77AF" w:rsidRDefault="007D391E" w:rsidP="008D03B5">
            <w:pPr>
              <w:jc w:val="both"/>
              <w:rPr>
                <w:kern w:val="24"/>
                <w:lang w:val="en-GB"/>
              </w:rPr>
            </w:pPr>
          </w:p>
        </w:tc>
        <w:tc>
          <w:tcPr>
            <w:tcW w:w="1790" w:type="pct"/>
            <w:shd w:val="clear" w:color="auto" w:fill="auto"/>
            <w:tcMar>
              <w:top w:w="28" w:type="dxa"/>
              <w:left w:w="77" w:type="dxa"/>
              <w:bottom w:w="0" w:type="dxa"/>
              <w:right w:w="77" w:type="dxa"/>
            </w:tcMar>
            <w:vAlign w:val="center"/>
          </w:tcPr>
          <w:p w14:paraId="563EB0AD" w14:textId="77777777" w:rsidR="007D391E" w:rsidRPr="001D77AF" w:rsidRDefault="007D391E" w:rsidP="008D03B5">
            <w:pPr>
              <w:jc w:val="both"/>
              <w:rPr>
                <w:kern w:val="24"/>
                <w:lang w:val="en-GB"/>
              </w:rPr>
            </w:pPr>
          </w:p>
        </w:tc>
      </w:tr>
      <w:tr w:rsidR="007D391E" w:rsidRPr="00D3728A" w14:paraId="46BC2FF2" w14:textId="77777777" w:rsidTr="007D391E">
        <w:trPr>
          <w:trHeight w:val="826"/>
        </w:trPr>
        <w:tc>
          <w:tcPr>
            <w:tcW w:w="792" w:type="pct"/>
            <w:shd w:val="clear" w:color="auto" w:fill="auto"/>
            <w:tcMar>
              <w:top w:w="28" w:type="dxa"/>
              <w:left w:w="77" w:type="dxa"/>
              <w:bottom w:w="0" w:type="dxa"/>
              <w:right w:w="77" w:type="dxa"/>
            </w:tcMar>
            <w:vAlign w:val="center"/>
          </w:tcPr>
          <w:p w14:paraId="0870339F" w14:textId="77777777" w:rsidR="007D391E" w:rsidRPr="001D77AF" w:rsidRDefault="007D391E" w:rsidP="008D03B5">
            <w:pPr>
              <w:jc w:val="both"/>
              <w:rPr>
                <w:kern w:val="24"/>
                <w:lang w:val="en-GB"/>
              </w:rPr>
            </w:pPr>
            <w:r w:rsidRPr="001D77AF">
              <w:rPr>
                <w:kern w:val="24"/>
                <w:lang w:val="en-GB"/>
              </w:rPr>
              <w:t>CDIST</w:t>
            </w:r>
          </w:p>
        </w:tc>
        <w:tc>
          <w:tcPr>
            <w:tcW w:w="2418" w:type="pct"/>
            <w:shd w:val="clear" w:color="auto" w:fill="auto"/>
            <w:tcMar>
              <w:top w:w="28" w:type="dxa"/>
              <w:left w:w="77" w:type="dxa"/>
              <w:bottom w:w="0" w:type="dxa"/>
              <w:right w:w="77" w:type="dxa"/>
            </w:tcMar>
            <w:vAlign w:val="center"/>
          </w:tcPr>
          <w:p w14:paraId="53791A73" w14:textId="77777777" w:rsidR="007D391E" w:rsidRPr="001D77AF" w:rsidRDefault="007D391E" w:rsidP="008D03B5">
            <w:pPr>
              <w:jc w:val="both"/>
              <w:rPr>
                <w:kern w:val="24"/>
                <w:lang w:val="en-GB"/>
              </w:rPr>
            </w:pPr>
            <w:r w:rsidRPr="001D77AF">
              <w:rPr>
                <w:kern w:val="24"/>
                <w:lang w:val="en-GB"/>
              </w:rPr>
              <w:t>Cultural distance between USA and the host country constructed using four measures: power distance, individualism, masculinity/femininity, and uncertainty avoidance.</w:t>
            </w:r>
          </w:p>
        </w:tc>
        <w:tc>
          <w:tcPr>
            <w:tcW w:w="1790" w:type="pct"/>
            <w:shd w:val="clear" w:color="auto" w:fill="auto"/>
            <w:tcMar>
              <w:top w:w="28" w:type="dxa"/>
              <w:left w:w="77" w:type="dxa"/>
              <w:bottom w:w="0" w:type="dxa"/>
              <w:right w:w="77" w:type="dxa"/>
            </w:tcMar>
            <w:vAlign w:val="center"/>
          </w:tcPr>
          <w:p w14:paraId="67F896C0" w14:textId="77777777" w:rsidR="007D391E" w:rsidRPr="001D77AF" w:rsidRDefault="007D391E" w:rsidP="008D03B5">
            <w:pPr>
              <w:jc w:val="both"/>
              <w:rPr>
                <w:kern w:val="24"/>
                <w:lang w:val="en-GB"/>
              </w:rPr>
            </w:pPr>
            <w:r w:rsidRPr="001D77AF">
              <w:rPr>
                <w:kern w:val="24"/>
                <w:lang w:val="en-GB"/>
              </w:rPr>
              <w:t>The Hofstede Centre</w:t>
            </w:r>
          </w:p>
        </w:tc>
      </w:tr>
    </w:tbl>
    <w:p w14:paraId="3C883BD8" w14:textId="77777777" w:rsidR="007D391E" w:rsidRPr="001D77AF" w:rsidRDefault="007D391E" w:rsidP="008D03B5">
      <w:pPr>
        <w:jc w:val="both"/>
        <w:rPr>
          <w:lang w:val="en-GB"/>
        </w:rPr>
      </w:pPr>
    </w:p>
    <w:p w14:paraId="516C9AA5" w14:textId="77777777" w:rsidR="007D391E" w:rsidRPr="001D77AF" w:rsidRDefault="007D391E" w:rsidP="008D03B5">
      <w:pPr>
        <w:spacing w:after="120" w:line="480" w:lineRule="auto"/>
        <w:jc w:val="both"/>
        <w:rPr>
          <w:b/>
          <w:lang w:val="en-GB"/>
        </w:rPr>
      </w:pPr>
      <w:r w:rsidRPr="001D77AF">
        <w:rPr>
          <w:lang w:val="en-GB"/>
        </w:rPr>
        <w:br w:type="page"/>
      </w:r>
    </w:p>
    <w:p w14:paraId="4E75893A" w14:textId="77777777" w:rsidR="007D391E" w:rsidRPr="001D77AF" w:rsidRDefault="007D391E" w:rsidP="008D03B5">
      <w:pPr>
        <w:spacing w:after="120" w:line="480" w:lineRule="auto"/>
        <w:jc w:val="both"/>
        <w:rPr>
          <w:b/>
          <w:lang w:val="en-GB"/>
        </w:rPr>
        <w:sectPr w:rsidR="007D391E" w:rsidRPr="001D77AF" w:rsidSect="00506E9D">
          <w:footerReference w:type="default" r:id="rId18"/>
          <w:pgSz w:w="11900" w:h="16840"/>
          <w:pgMar w:top="1440" w:right="1440" w:bottom="1440" w:left="1440" w:header="708" w:footer="708" w:gutter="0"/>
          <w:cols w:space="720"/>
        </w:sectPr>
      </w:pPr>
    </w:p>
    <w:p w14:paraId="0E1E5562" w14:textId="77777777" w:rsidR="007D391E" w:rsidRPr="001D77AF" w:rsidRDefault="007D391E" w:rsidP="008D03B5">
      <w:pPr>
        <w:spacing w:after="120" w:line="480" w:lineRule="auto"/>
        <w:jc w:val="both"/>
        <w:rPr>
          <w:lang w:val="en-GB"/>
        </w:rPr>
      </w:pPr>
      <w:r w:rsidRPr="001D77AF">
        <w:rPr>
          <w:b/>
          <w:lang w:val="en-GB"/>
        </w:rPr>
        <w:lastRenderedPageBreak/>
        <w:t xml:space="preserve">Table 3: </w:t>
      </w:r>
      <w:r w:rsidRPr="001D77AF">
        <w:rPr>
          <w:lang w:val="en-GB"/>
        </w:rPr>
        <w:t>Descriptive statistics and correlation coefficients</w:t>
      </w:r>
    </w:p>
    <w:tbl>
      <w:tblPr>
        <w:tblW w:w="4613" w:type="pct"/>
        <w:tblLook w:val="04A0" w:firstRow="1" w:lastRow="0" w:firstColumn="1" w:lastColumn="0" w:noHBand="0" w:noVBand="1"/>
      </w:tblPr>
      <w:tblGrid>
        <w:gridCol w:w="456"/>
        <w:gridCol w:w="2590"/>
        <w:gridCol w:w="996"/>
        <w:gridCol w:w="876"/>
        <w:gridCol w:w="836"/>
        <w:gridCol w:w="816"/>
        <w:gridCol w:w="716"/>
        <w:gridCol w:w="716"/>
        <w:gridCol w:w="716"/>
        <w:gridCol w:w="716"/>
        <w:gridCol w:w="716"/>
        <w:gridCol w:w="716"/>
        <w:gridCol w:w="716"/>
        <w:gridCol w:w="716"/>
        <w:gridCol w:w="636"/>
        <w:gridCol w:w="636"/>
      </w:tblGrid>
      <w:tr w:rsidR="007D391E" w:rsidRPr="00D3728A" w14:paraId="0A0DF1E9" w14:textId="77777777" w:rsidTr="007D391E">
        <w:trPr>
          <w:trHeight w:val="242"/>
        </w:trPr>
        <w:tc>
          <w:tcPr>
            <w:tcW w:w="1152" w:type="pct"/>
            <w:gridSpan w:val="2"/>
            <w:vMerge w:val="restart"/>
            <w:tcBorders>
              <w:top w:val="single" w:sz="4" w:space="0" w:color="auto"/>
            </w:tcBorders>
          </w:tcPr>
          <w:p w14:paraId="3CBE45E0"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Variable</w:t>
            </w:r>
          </w:p>
        </w:tc>
        <w:tc>
          <w:tcPr>
            <w:tcW w:w="361" w:type="pct"/>
            <w:tcBorders>
              <w:top w:val="single" w:sz="4" w:space="0" w:color="auto"/>
              <w:bottom w:val="single" w:sz="4" w:space="0" w:color="auto"/>
            </w:tcBorders>
            <w:shd w:val="clear" w:color="auto" w:fill="auto"/>
            <w:noWrap/>
            <w:vAlign w:val="bottom"/>
          </w:tcPr>
          <w:p w14:paraId="6A8B81D5" w14:textId="77777777" w:rsidR="007D391E" w:rsidRPr="0069628C"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Mean</w:t>
            </w:r>
          </w:p>
        </w:tc>
        <w:tc>
          <w:tcPr>
            <w:tcW w:w="319" w:type="pct"/>
            <w:tcBorders>
              <w:top w:val="single" w:sz="4" w:space="0" w:color="auto"/>
              <w:bottom w:val="single" w:sz="4" w:space="0" w:color="auto"/>
            </w:tcBorders>
            <w:shd w:val="clear" w:color="auto" w:fill="auto"/>
            <w:noWrap/>
            <w:vAlign w:val="bottom"/>
          </w:tcPr>
          <w:p w14:paraId="0500B1F5"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S.D.</w:t>
            </w:r>
          </w:p>
        </w:tc>
        <w:tc>
          <w:tcPr>
            <w:tcW w:w="305" w:type="pct"/>
            <w:tcBorders>
              <w:top w:val="single" w:sz="4" w:space="0" w:color="auto"/>
              <w:bottom w:val="single" w:sz="4" w:space="0" w:color="auto"/>
            </w:tcBorders>
            <w:shd w:val="clear" w:color="auto" w:fill="auto"/>
            <w:noWrap/>
            <w:vAlign w:val="bottom"/>
          </w:tcPr>
          <w:p w14:paraId="06B7B4DC"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Min</w:t>
            </w:r>
          </w:p>
        </w:tc>
        <w:tc>
          <w:tcPr>
            <w:tcW w:w="298" w:type="pct"/>
            <w:tcBorders>
              <w:top w:val="single" w:sz="4" w:space="0" w:color="auto"/>
              <w:bottom w:val="single" w:sz="4" w:space="0" w:color="auto"/>
            </w:tcBorders>
            <w:shd w:val="clear" w:color="auto" w:fill="auto"/>
            <w:noWrap/>
            <w:vAlign w:val="bottom"/>
          </w:tcPr>
          <w:p w14:paraId="50A21FE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Max</w:t>
            </w:r>
          </w:p>
        </w:tc>
        <w:tc>
          <w:tcPr>
            <w:tcW w:w="2565" w:type="pct"/>
            <w:gridSpan w:val="10"/>
            <w:tcBorders>
              <w:top w:val="single" w:sz="4" w:space="0" w:color="auto"/>
              <w:bottom w:val="single" w:sz="4" w:space="0" w:color="auto"/>
            </w:tcBorders>
            <w:shd w:val="clear" w:color="auto" w:fill="auto"/>
            <w:noWrap/>
            <w:vAlign w:val="bottom"/>
          </w:tcPr>
          <w:p w14:paraId="76ADF14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Correlation coefficients</w:t>
            </w:r>
          </w:p>
        </w:tc>
      </w:tr>
      <w:tr w:rsidR="007D391E" w:rsidRPr="00D3728A" w14:paraId="760921C7" w14:textId="77777777" w:rsidTr="007D391E">
        <w:trPr>
          <w:trHeight w:val="242"/>
        </w:trPr>
        <w:tc>
          <w:tcPr>
            <w:tcW w:w="1152" w:type="pct"/>
            <w:gridSpan w:val="2"/>
            <w:vMerge/>
            <w:tcBorders>
              <w:bottom w:val="single" w:sz="4" w:space="0" w:color="auto"/>
            </w:tcBorders>
          </w:tcPr>
          <w:p w14:paraId="54062546" w14:textId="77777777" w:rsidR="007D391E" w:rsidRPr="00D3728A"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p>
        </w:tc>
        <w:tc>
          <w:tcPr>
            <w:tcW w:w="361" w:type="pct"/>
            <w:tcBorders>
              <w:top w:val="single" w:sz="4" w:space="0" w:color="auto"/>
              <w:bottom w:val="single" w:sz="4" w:space="0" w:color="auto"/>
            </w:tcBorders>
            <w:shd w:val="clear" w:color="auto" w:fill="auto"/>
            <w:noWrap/>
            <w:vAlign w:val="bottom"/>
          </w:tcPr>
          <w:p w14:paraId="0AD0E00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319" w:type="pct"/>
            <w:tcBorders>
              <w:top w:val="single" w:sz="4" w:space="0" w:color="auto"/>
              <w:bottom w:val="single" w:sz="4" w:space="0" w:color="auto"/>
            </w:tcBorders>
            <w:shd w:val="clear" w:color="auto" w:fill="auto"/>
            <w:noWrap/>
            <w:vAlign w:val="bottom"/>
          </w:tcPr>
          <w:p w14:paraId="0A2F07B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305" w:type="pct"/>
            <w:tcBorders>
              <w:top w:val="single" w:sz="4" w:space="0" w:color="auto"/>
              <w:bottom w:val="single" w:sz="4" w:space="0" w:color="auto"/>
            </w:tcBorders>
            <w:shd w:val="clear" w:color="auto" w:fill="auto"/>
            <w:noWrap/>
            <w:vAlign w:val="bottom"/>
          </w:tcPr>
          <w:p w14:paraId="4948DB64"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98" w:type="pct"/>
            <w:tcBorders>
              <w:top w:val="single" w:sz="4" w:space="0" w:color="auto"/>
              <w:bottom w:val="single" w:sz="4" w:space="0" w:color="auto"/>
            </w:tcBorders>
            <w:shd w:val="clear" w:color="auto" w:fill="auto"/>
            <w:noWrap/>
            <w:vAlign w:val="bottom"/>
          </w:tcPr>
          <w:p w14:paraId="0B155D3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bottom w:val="single" w:sz="4" w:space="0" w:color="auto"/>
            </w:tcBorders>
            <w:shd w:val="clear" w:color="auto" w:fill="auto"/>
            <w:noWrap/>
            <w:vAlign w:val="bottom"/>
            <w:hideMark/>
          </w:tcPr>
          <w:p w14:paraId="4DA64200"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1</w:t>
            </w:r>
          </w:p>
        </w:tc>
        <w:tc>
          <w:tcPr>
            <w:tcW w:w="262" w:type="pct"/>
            <w:tcBorders>
              <w:top w:val="single" w:sz="4" w:space="0" w:color="auto"/>
              <w:bottom w:val="single" w:sz="4" w:space="0" w:color="auto"/>
            </w:tcBorders>
            <w:shd w:val="clear" w:color="auto" w:fill="auto"/>
            <w:noWrap/>
            <w:vAlign w:val="bottom"/>
            <w:hideMark/>
          </w:tcPr>
          <w:p w14:paraId="7E3EE23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2</w:t>
            </w:r>
          </w:p>
        </w:tc>
        <w:tc>
          <w:tcPr>
            <w:tcW w:w="262" w:type="pct"/>
            <w:tcBorders>
              <w:top w:val="single" w:sz="4" w:space="0" w:color="auto"/>
              <w:bottom w:val="single" w:sz="4" w:space="0" w:color="auto"/>
            </w:tcBorders>
            <w:shd w:val="clear" w:color="auto" w:fill="auto"/>
            <w:noWrap/>
            <w:vAlign w:val="bottom"/>
            <w:hideMark/>
          </w:tcPr>
          <w:p w14:paraId="4D7997F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3</w:t>
            </w:r>
          </w:p>
        </w:tc>
        <w:tc>
          <w:tcPr>
            <w:tcW w:w="262" w:type="pct"/>
            <w:tcBorders>
              <w:top w:val="single" w:sz="4" w:space="0" w:color="auto"/>
              <w:bottom w:val="single" w:sz="4" w:space="0" w:color="auto"/>
            </w:tcBorders>
            <w:shd w:val="clear" w:color="auto" w:fill="auto"/>
            <w:noWrap/>
            <w:vAlign w:val="bottom"/>
            <w:hideMark/>
          </w:tcPr>
          <w:p w14:paraId="4CC706D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4</w:t>
            </w:r>
          </w:p>
        </w:tc>
        <w:tc>
          <w:tcPr>
            <w:tcW w:w="262" w:type="pct"/>
            <w:tcBorders>
              <w:top w:val="single" w:sz="4" w:space="0" w:color="auto"/>
              <w:bottom w:val="single" w:sz="4" w:space="0" w:color="auto"/>
            </w:tcBorders>
            <w:shd w:val="clear" w:color="auto" w:fill="auto"/>
            <w:noWrap/>
            <w:vAlign w:val="bottom"/>
            <w:hideMark/>
          </w:tcPr>
          <w:p w14:paraId="0A5E3D7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5</w:t>
            </w:r>
          </w:p>
        </w:tc>
        <w:tc>
          <w:tcPr>
            <w:tcW w:w="262" w:type="pct"/>
            <w:tcBorders>
              <w:top w:val="single" w:sz="4" w:space="0" w:color="auto"/>
              <w:bottom w:val="single" w:sz="4" w:space="0" w:color="auto"/>
            </w:tcBorders>
            <w:shd w:val="clear" w:color="auto" w:fill="auto"/>
            <w:noWrap/>
            <w:vAlign w:val="bottom"/>
            <w:hideMark/>
          </w:tcPr>
          <w:p w14:paraId="5C691CD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6</w:t>
            </w:r>
          </w:p>
        </w:tc>
        <w:tc>
          <w:tcPr>
            <w:tcW w:w="262" w:type="pct"/>
            <w:tcBorders>
              <w:top w:val="single" w:sz="4" w:space="0" w:color="auto"/>
              <w:bottom w:val="single" w:sz="4" w:space="0" w:color="auto"/>
            </w:tcBorders>
            <w:shd w:val="clear" w:color="auto" w:fill="auto"/>
            <w:noWrap/>
            <w:vAlign w:val="bottom"/>
            <w:hideMark/>
          </w:tcPr>
          <w:p w14:paraId="4784C57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7</w:t>
            </w:r>
          </w:p>
        </w:tc>
        <w:tc>
          <w:tcPr>
            <w:tcW w:w="262" w:type="pct"/>
            <w:tcBorders>
              <w:top w:val="single" w:sz="4" w:space="0" w:color="auto"/>
              <w:bottom w:val="single" w:sz="4" w:space="0" w:color="auto"/>
            </w:tcBorders>
            <w:shd w:val="clear" w:color="auto" w:fill="auto"/>
            <w:noWrap/>
            <w:vAlign w:val="bottom"/>
            <w:hideMark/>
          </w:tcPr>
          <w:p w14:paraId="4B9934A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8</w:t>
            </w:r>
          </w:p>
        </w:tc>
        <w:tc>
          <w:tcPr>
            <w:tcW w:w="233" w:type="pct"/>
            <w:tcBorders>
              <w:top w:val="single" w:sz="4" w:space="0" w:color="auto"/>
              <w:bottom w:val="single" w:sz="4" w:space="0" w:color="auto"/>
            </w:tcBorders>
            <w:shd w:val="clear" w:color="auto" w:fill="auto"/>
            <w:noWrap/>
            <w:vAlign w:val="bottom"/>
            <w:hideMark/>
          </w:tcPr>
          <w:p w14:paraId="4F851E1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9</w:t>
            </w:r>
          </w:p>
        </w:tc>
        <w:tc>
          <w:tcPr>
            <w:tcW w:w="235" w:type="pct"/>
            <w:tcBorders>
              <w:top w:val="single" w:sz="4" w:space="0" w:color="auto"/>
              <w:bottom w:val="single" w:sz="4" w:space="0" w:color="auto"/>
            </w:tcBorders>
            <w:shd w:val="clear" w:color="auto" w:fill="auto"/>
            <w:noWrap/>
            <w:vAlign w:val="bottom"/>
            <w:hideMark/>
          </w:tcPr>
          <w:p w14:paraId="40E0402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10</w:t>
            </w:r>
          </w:p>
        </w:tc>
      </w:tr>
      <w:tr w:rsidR="007D391E" w:rsidRPr="00D3728A" w14:paraId="68E1E1C4" w14:textId="77777777" w:rsidTr="007D391E">
        <w:trPr>
          <w:trHeight w:val="242"/>
        </w:trPr>
        <w:tc>
          <w:tcPr>
            <w:tcW w:w="170" w:type="pct"/>
            <w:tcBorders>
              <w:top w:val="single" w:sz="4" w:space="0" w:color="auto"/>
            </w:tcBorders>
            <w:vAlign w:val="bottom"/>
          </w:tcPr>
          <w:p w14:paraId="5761CFCB"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1</w:t>
            </w:r>
          </w:p>
        </w:tc>
        <w:tc>
          <w:tcPr>
            <w:tcW w:w="983" w:type="pct"/>
            <w:tcBorders>
              <w:top w:val="single" w:sz="4" w:space="0" w:color="auto"/>
            </w:tcBorders>
            <w:vAlign w:val="center"/>
          </w:tcPr>
          <w:p w14:paraId="5E6D8C5D"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FDI</w:t>
            </w:r>
          </w:p>
        </w:tc>
        <w:tc>
          <w:tcPr>
            <w:tcW w:w="361" w:type="pct"/>
            <w:tcBorders>
              <w:top w:val="single" w:sz="4" w:space="0" w:color="auto"/>
            </w:tcBorders>
            <w:shd w:val="clear" w:color="auto" w:fill="auto"/>
            <w:noWrap/>
            <w:vAlign w:val="bottom"/>
            <w:hideMark/>
          </w:tcPr>
          <w:p w14:paraId="2BAEC206"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1351.44</w:t>
            </w:r>
          </w:p>
        </w:tc>
        <w:tc>
          <w:tcPr>
            <w:tcW w:w="319" w:type="pct"/>
            <w:tcBorders>
              <w:top w:val="single" w:sz="4" w:space="0" w:color="auto"/>
            </w:tcBorders>
            <w:shd w:val="clear" w:color="auto" w:fill="auto"/>
            <w:noWrap/>
            <w:vAlign w:val="bottom"/>
            <w:hideMark/>
          </w:tcPr>
          <w:p w14:paraId="6A562BC8"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2925.8</w:t>
            </w:r>
          </w:p>
        </w:tc>
        <w:tc>
          <w:tcPr>
            <w:tcW w:w="305" w:type="pct"/>
            <w:tcBorders>
              <w:top w:val="single" w:sz="4" w:space="0" w:color="auto"/>
            </w:tcBorders>
            <w:shd w:val="clear" w:color="auto" w:fill="auto"/>
            <w:noWrap/>
            <w:vAlign w:val="bottom"/>
            <w:hideMark/>
          </w:tcPr>
          <w:p w14:paraId="06DA7C10"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w:t>
            </w:r>
          </w:p>
        </w:tc>
        <w:tc>
          <w:tcPr>
            <w:tcW w:w="298" w:type="pct"/>
            <w:tcBorders>
              <w:top w:val="single" w:sz="4" w:space="0" w:color="auto"/>
            </w:tcBorders>
            <w:shd w:val="clear" w:color="auto" w:fill="auto"/>
            <w:noWrap/>
            <w:vAlign w:val="bottom"/>
            <w:hideMark/>
          </w:tcPr>
          <w:p w14:paraId="06D63494"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47694</w:t>
            </w:r>
          </w:p>
        </w:tc>
        <w:tc>
          <w:tcPr>
            <w:tcW w:w="262" w:type="pct"/>
            <w:tcBorders>
              <w:top w:val="single" w:sz="4" w:space="0" w:color="auto"/>
            </w:tcBorders>
            <w:shd w:val="clear" w:color="auto" w:fill="auto"/>
            <w:noWrap/>
            <w:vAlign w:val="bottom"/>
            <w:hideMark/>
          </w:tcPr>
          <w:p w14:paraId="62ABBF2C"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71D1D7A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1A4BAF6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6495256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48C8236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4103EBF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4E80DEC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tcBorders>
              <w:top w:val="single" w:sz="4" w:space="0" w:color="auto"/>
            </w:tcBorders>
            <w:shd w:val="clear" w:color="auto" w:fill="auto"/>
            <w:noWrap/>
            <w:vAlign w:val="bottom"/>
            <w:hideMark/>
          </w:tcPr>
          <w:p w14:paraId="40EFC6B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tcBorders>
              <w:top w:val="single" w:sz="4" w:space="0" w:color="auto"/>
            </w:tcBorders>
            <w:shd w:val="clear" w:color="auto" w:fill="auto"/>
            <w:noWrap/>
            <w:vAlign w:val="bottom"/>
            <w:hideMark/>
          </w:tcPr>
          <w:p w14:paraId="49A76AC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tcBorders>
              <w:top w:val="single" w:sz="4" w:space="0" w:color="auto"/>
            </w:tcBorders>
            <w:shd w:val="clear" w:color="auto" w:fill="auto"/>
            <w:noWrap/>
            <w:vAlign w:val="bottom"/>
            <w:hideMark/>
          </w:tcPr>
          <w:p w14:paraId="36B8C171"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337BCCF3" w14:textId="77777777" w:rsidTr="007D391E">
        <w:trPr>
          <w:trHeight w:val="242"/>
        </w:trPr>
        <w:tc>
          <w:tcPr>
            <w:tcW w:w="170" w:type="pct"/>
            <w:vAlign w:val="bottom"/>
          </w:tcPr>
          <w:p w14:paraId="3C9F149D"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2</w:t>
            </w:r>
          </w:p>
        </w:tc>
        <w:tc>
          <w:tcPr>
            <w:tcW w:w="983" w:type="pct"/>
            <w:vAlign w:val="center"/>
          </w:tcPr>
          <w:p w14:paraId="3DE6A0E7"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LDIST</w:t>
            </w:r>
          </w:p>
        </w:tc>
        <w:tc>
          <w:tcPr>
            <w:tcW w:w="361" w:type="pct"/>
            <w:shd w:val="clear" w:color="auto" w:fill="auto"/>
            <w:noWrap/>
            <w:vAlign w:val="bottom"/>
            <w:hideMark/>
          </w:tcPr>
          <w:p w14:paraId="53B79DE6"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8.95</w:t>
            </w:r>
          </w:p>
        </w:tc>
        <w:tc>
          <w:tcPr>
            <w:tcW w:w="319" w:type="pct"/>
            <w:shd w:val="clear" w:color="auto" w:fill="auto"/>
            <w:noWrap/>
            <w:vAlign w:val="bottom"/>
            <w:hideMark/>
          </w:tcPr>
          <w:p w14:paraId="4631748B"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0.56</w:t>
            </w:r>
          </w:p>
        </w:tc>
        <w:tc>
          <w:tcPr>
            <w:tcW w:w="305" w:type="pct"/>
            <w:shd w:val="clear" w:color="auto" w:fill="auto"/>
            <w:noWrap/>
            <w:vAlign w:val="bottom"/>
            <w:hideMark/>
          </w:tcPr>
          <w:p w14:paraId="7250D93A"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6.63</w:t>
            </w:r>
          </w:p>
        </w:tc>
        <w:tc>
          <w:tcPr>
            <w:tcW w:w="298" w:type="pct"/>
            <w:shd w:val="clear" w:color="auto" w:fill="auto"/>
            <w:noWrap/>
            <w:vAlign w:val="bottom"/>
            <w:hideMark/>
          </w:tcPr>
          <w:p w14:paraId="22AA7305"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9.7</w:t>
            </w:r>
          </w:p>
        </w:tc>
        <w:tc>
          <w:tcPr>
            <w:tcW w:w="262" w:type="pct"/>
            <w:shd w:val="clear" w:color="auto" w:fill="auto"/>
            <w:noWrap/>
            <w:vAlign w:val="bottom"/>
            <w:hideMark/>
          </w:tcPr>
          <w:p w14:paraId="000B3E7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-0.36</w:t>
            </w:r>
          </w:p>
        </w:tc>
        <w:tc>
          <w:tcPr>
            <w:tcW w:w="262" w:type="pct"/>
            <w:shd w:val="clear" w:color="auto" w:fill="auto"/>
            <w:noWrap/>
            <w:vAlign w:val="bottom"/>
            <w:hideMark/>
          </w:tcPr>
          <w:p w14:paraId="4A6919A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3D0ADAA4"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6472900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1A0D580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0CF7EB4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1E0AB720"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1C200B6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14628B3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2384AA0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497AE781" w14:textId="77777777" w:rsidTr="007D391E">
        <w:trPr>
          <w:trHeight w:val="242"/>
        </w:trPr>
        <w:tc>
          <w:tcPr>
            <w:tcW w:w="170" w:type="pct"/>
            <w:vAlign w:val="bottom"/>
          </w:tcPr>
          <w:p w14:paraId="2F724A2A"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3</w:t>
            </w:r>
          </w:p>
        </w:tc>
        <w:tc>
          <w:tcPr>
            <w:tcW w:w="983" w:type="pct"/>
            <w:vAlign w:val="center"/>
          </w:tcPr>
          <w:p w14:paraId="4E93F676"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RDIST</w:t>
            </w:r>
          </w:p>
        </w:tc>
        <w:tc>
          <w:tcPr>
            <w:tcW w:w="361" w:type="pct"/>
            <w:shd w:val="clear" w:color="auto" w:fill="auto"/>
            <w:noWrap/>
            <w:vAlign w:val="bottom"/>
            <w:hideMark/>
          </w:tcPr>
          <w:p w14:paraId="1D62F877"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3.41</w:t>
            </w:r>
          </w:p>
        </w:tc>
        <w:tc>
          <w:tcPr>
            <w:tcW w:w="319" w:type="pct"/>
            <w:shd w:val="clear" w:color="auto" w:fill="auto"/>
            <w:noWrap/>
            <w:vAlign w:val="bottom"/>
            <w:hideMark/>
          </w:tcPr>
          <w:p w14:paraId="78E2C0C6"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0.85</w:t>
            </w:r>
          </w:p>
        </w:tc>
        <w:tc>
          <w:tcPr>
            <w:tcW w:w="305" w:type="pct"/>
            <w:shd w:val="clear" w:color="auto" w:fill="auto"/>
            <w:noWrap/>
            <w:vAlign w:val="bottom"/>
            <w:hideMark/>
          </w:tcPr>
          <w:p w14:paraId="2E0A5A13"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0.84</w:t>
            </w:r>
          </w:p>
        </w:tc>
        <w:tc>
          <w:tcPr>
            <w:tcW w:w="298" w:type="pct"/>
            <w:shd w:val="clear" w:color="auto" w:fill="auto"/>
            <w:noWrap/>
            <w:vAlign w:val="bottom"/>
            <w:hideMark/>
          </w:tcPr>
          <w:p w14:paraId="5E2E6557"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6.45</w:t>
            </w:r>
          </w:p>
        </w:tc>
        <w:tc>
          <w:tcPr>
            <w:tcW w:w="262" w:type="pct"/>
            <w:shd w:val="clear" w:color="auto" w:fill="auto"/>
            <w:noWrap/>
            <w:vAlign w:val="bottom"/>
            <w:hideMark/>
          </w:tcPr>
          <w:p w14:paraId="34F29DA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-0.17</w:t>
            </w:r>
          </w:p>
        </w:tc>
        <w:tc>
          <w:tcPr>
            <w:tcW w:w="262" w:type="pct"/>
            <w:shd w:val="clear" w:color="auto" w:fill="auto"/>
            <w:noWrap/>
            <w:vAlign w:val="bottom"/>
            <w:hideMark/>
          </w:tcPr>
          <w:p w14:paraId="5A973B2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0.21</w:t>
            </w:r>
          </w:p>
        </w:tc>
        <w:tc>
          <w:tcPr>
            <w:tcW w:w="262" w:type="pct"/>
            <w:shd w:val="clear" w:color="auto" w:fill="auto"/>
            <w:noWrap/>
            <w:vAlign w:val="bottom"/>
            <w:hideMark/>
          </w:tcPr>
          <w:p w14:paraId="76C624E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2A83BAC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1AA0D83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27941FE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7898E444"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1C79EE81"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0CBF90A0"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2C1C01B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542F6E85" w14:textId="77777777" w:rsidTr="007D391E">
        <w:trPr>
          <w:trHeight w:val="242"/>
        </w:trPr>
        <w:tc>
          <w:tcPr>
            <w:tcW w:w="170" w:type="pct"/>
            <w:vAlign w:val="bottom"/>
          </w:tcPr>
          <w:p w14:paraId="0B101CC7"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4</w:t>
            </w:r>
          </w:p>
        </w:tc>
        <w:tc>
          <w:tcPr>
            <w:tcW w:w="983" w:type="pct"/>
            <w:vAlign w:val="center"/>
          </w:tcPr>
          <w:p w14:paraId="042CBAC4"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CDIST</w:t>
            </w:r>
          </w:p>
        </w:tc>
        <w:tc>
          <w:tcPr>
            <w:tcW w:w="361" w:type="pct"/>
            <w:shd w:val="clear" w:color="auto" w:fill="auto"/>
            <w:noWrap/>
            <w:vAlign w:val="bottom"/>
            <w:hideMark/>
          </w:tcPr>
          <w:p w14:paraId="430594B8"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2.46</w:t>
            </w:r>
          </w:p>
        </w:tc>
        <w:tc>
          <w:tcPr>
            <w:tcW w:w="319" w:type="pct"/>
            <w:shd w:val="clear" w:color="auto" w:fill="auto"/>
            <w:noWrap/>
            <w:vAlign w:val="bottom"/>
            <w:hideMark/>
          </w:tcPr>
          <w:p w14:paraId="4827346E"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0.9</w:t>
            </w:r>
          </w:p>
        </w:tc>
        <w:tc>
          <w:tcPr>
            <w:tcW w:w="305" w:type="pct"/>
            <w:shd w:val="clear" w:color="auto" w:fill="auto"/>
            <w:noWrap/>
            <w:vAlign w:val="bottom"/>
            <w:hideMark/>
          </w:tcPr>
          <w:p w14:paraId="231334C8"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0.34</w:t>
            </w:r>
          </w:p>
        </w:tc>
        <w:tc>
          <w:tcPr>
            <w:tcW w:w="298" w:type="pct"/>
            <w:shd w:val="clear" w:color="auto" w:fill="auto"/>
            <w:noWrap/>
            <w:vAlign w:val="bottom"/>
            <w:hideMark/>
          </w:tcPr>
          <w:p w14:paraId="32DCA7CF"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3.72</w:t>
            </w:r>
          </w:p>
        </w:tc>
        <w:tc>
          <w:tcPr>
            <w:tcW w:w="262" w:type="pct"/>
            <w:shd w:val="clear" w:color="auto" w:fill="auto"/>
            <w:noWrap/>
            <w:vAlign w:val="bottom"/>
            <w:hideMark/>
          </w:tcPr>
          <w:p w14:paraId="561E912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-0.31</w:t>
            </w:r>
          </w:p>
        </w:tc>
        <w:tc>
          <w:tcPr>
            <w:tcW w:w="262" w:type="pct"/>
            <w:shd w:val="clear" w:color="auto" w:fill="auto"/>
            <w:noWrap/>
            <w:vAlign w:val="bottom"/>
            <w:hideMark/>
          </w:tcPr>
          <w:p w14:paraId="6DB38704"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0.27</w:t>
            </w:r>
          </w:p>
        </w:tc>
        <w:tc>
          <w:tcPr>
            <w:tcW w:w="262" w:type="pct"/>
            <w:shd w:val="clear" w:color="auto" w:fill="auto"/>
            <w:noWrap/>
            <w:vAlign w:val="bottom"/>
            <w:hideMark/>
          </w:tcPr>
          <w:p w14:paraId="1B4F9C5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0.34</w:t>
            </w:r>
          </w:p>
        </w:tc>
        <w:tc>
          <w:tcPr>
            <w:tcW w:w="262" w:type="pct"/>
            <w:shd w:val="clear" w:color="auto" w:fill="auto"/>
            <w:noWrap/>
            <w:vAlign w:val="bottom"/>
            <w:hideMark/>
          </w:tcPr>
          <w:p w14:paraId="582D810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64BCF2E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3FBFEC60"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40DBF1E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50DBC1EC"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19AB4B8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5B7C8CB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061808E4" w14:textId="77777777" w:rsidTr="007D391E">
        <w:trPr>
          <w:trHeight w:val="242"/>
        </w:trPr>
        <w:tc>
          <w:tcPr>
            <w:tcW w:w="170" w:type="pct"/>
            <w:vAlign w:val="bottom"/>
          </w:tcPr>
          <w:p w14:paraId="3AAFD1F0"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5</w:t>
            </w:r>
          </w:p>
        </w:tc>
        <w:tc>
          <w:tcPr>
            <w:tcW w:w="983" w:type="pct"/>
            <w:vAlign w:val="center"/>
          </w:tcPr>
          <w:p w14:paraId="0615B411"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STAB</w:t>
            </w:r>
          </w:p>
        </w:tc>
        <w:tc>
          <w:tcPr>
            <w:tcW w:w="361" w:type="pct"/>
            <w:shd w:val="clear" w:color="auto" w:fill="auto"/>
            <w:noWrap/>
            <w:vAlign w:val="bottom"/>
            <w:hideMark/>
          </w:tcPr>
          <w:p w14:paraId="09A9956B"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8.64</w:t>
            </w:r>
          </w:p>
        </w:tc>
        <w:tc>
          <w:tcPr>
            <w:tcW w:w="319" w:type="pct"/>
            <w:shd w:val="clear" w:color="auto" w:fill="auto"/>
            <w:noWrap/>
            <w:vAlign w:val="bottom"/>
            <w:hideMark/>
          </w:tcPr>
          <w:p w14:paraId="49D5E7E9"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1.49</w:t>
            </w:r>
          </w:p>
        </w:tc>
        <w:tc>
          <w:tcPr>
            <w:tcW w:w="305" w:type="pct"/>
            <w:shd w:val="clear" w:color="auto" w:fill="auto"/>
            <w:noWrap/>
            <w:vAlign w:val="bottom"/>
            <w:hideMark/>
          </w:tcPr>
          <w:p w14:paraId="2E2EBEC5"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4.04</w:t>
            </w:r>
          </w:p>
        </w:tc>
        <w:tc>
          <w:tcPr>
            <w:tcW w:w="298" w:type="pct"/>
            <w:shd w:val="clear" w:color="auto" w:fill="auto"/>
            <w:noWrap/>
            <w:vAlign w:val="bottom"/>
            <w:hideMark/>
          </w:tcPr>
          <w:p w14:paraId="52595F5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12</w:t>
            </w:r>
          </w:p>
        </w:tc>
        <w:tc>
          <w:tcPr>
            <w:tcW w:w="262" w:type="pct"/>
            <w:shd w:val="clear" w:color="auto" w:fill="auto"/>
            <w:noWrap/>
            <w:vAlign w:val="bottom"/>
            <w:hideMark/>
          </w:tcPr>
          <w:p w14:paraId="49AB42E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0.05</w:t>
            </w:r>
          </w:p>
        </w:tc>
        <w:tc>
          <w:tcPr>
            <w:tcW w:w="262" w:type="pct"/>
            <w:shd w:val="clear" w:color="auto" w:fill="auto"/>
            <w:noWrap/>
            <w:vAlign w:val="bottom"/>
            <w:hideMark/>
          </w:tcPr>
          <w:p w14:paraId="4A33726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0.09</w:t>
            </w:r>
          </w:p>
        </w:tc>
        <w:tc>
          <w:tcPr>
            <w:tcW w:w="262" w:type="pct"/>
            <w:shd w:val="clear" w:color="auto" w:fill="auto"/>
            <w:noWrap/>
            <w:vAlign w:val="bottom"/>
            <w:hideMark/>
          </w:tcPr>
          <w:p w14:paraId="32B8163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0.04</w:t>
            </w:r>
          </w:p>
        </w:tc>
        <w:tc>
          <w:tcPr>
            <w:tcW w:w="262" w:type="pct"/>
            <w:shd w:val="clear" w:color="auto" w:fill="auto"/>
            <w:noWrap/>
            <w:vAlign w:val="bottom"/>
            <w:hideMark/>
          </w:tcPr>
          <w:p w14:paraId="5B38CBB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0.05</w:t>
            </w:r>
          </w:p>
        </w:tc>
        <w:tc>
          <w:tcPr>
            <w:tcW w:w="262" w:type="pct"/>
            <w:shd w:val="clear" w:color="auto" w:fill="auto"/>
            <w:noWrap/>
            <w:vAlign w:val="bottom"/>
            <w:hideMark/>
          </w:tcPr>
          <w:p w14:paraId="2CEC0AD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7669A2E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4D9AE02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4996954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30E9C5D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1356DAE4"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6B42933B" w14:textId="77777777" w:rsidTr="007D391E">
        <w:trPr>
          <w:trHeight w:val="242"/>
        </w:trPr>
        <w:tc>
          <w:tcPr>
            <w:tcW w:w="170" w:type="pct"/>
            <w:vAlign w:val="bottom"/>
          </w:tcPr>
          <w:p w14:paraId="6319BECF"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6</w:t>
            </w:r>
          </w:p>
        </w:tc>
        <w:tc>
          <w:tcPr>
            <w:tcW w:w="983" w:type="pct"/>
            <w:vAlign w:val="center"/>
          </w:tcPr>
          <w:p w14:paraId="6DB9FCF0"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LGDPPC</w:t>
            </w:r>
          </w:p>
        </w:tc>
        <w:tc>
          <w:tcPr>
            <w:tcW w:w="361" w:type="pct"/>
            <w:shd w:val="clear" w:color="auto" w:fill="auto"/>
            <w:noWrap/>
            <w:vAlign w:val="bottom"/>
            <w:hideMark/>
          </w:tcPr>
          <w:p w14:paraId="1329790E"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9.5</w:t>
            </w:r>
          </w:p>
        </w:tc>
        <w:tc>
          <w:tcPr>
            <w:tcW w:w="319" w:type="pct"/>
            <w:shd w:val="clear" w:color="auto" w:fill="auto"/>
            <w:noWrap/>
            <w:vAlign w:val="bottom"/>
            <w:hideMark/>
          </w:tcPr>
          <w:p w14:paraId="3915B6EC"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1.2</w:t>
            </w:r>
          </w:p>
        </w:tc>
        <w:tc>
          <w:tcPr>
            <w:tcW w:w="305" w:type="pct"/>
            <w:shd w:val="clear" w:color="auto" w:fill="auto"/>
            <w:noWrap/>
            <w:vAlign w:val="bottom"/>
            <w:hideMark/>
          </w:tcPr>
          <w:p w14:paraId="1117555A"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2.62</w:t>
            </w:r>
          </w:p>
        </w:tc>
        <w:tc>
          <w:tcPr>
            <w:tcW w:w="298" w:type="pct"/>
            <w:shd w:val="clear" w:color="auto" w:fill="auto"/>
            <w:noWrap/>
            <w:vAlign w:val="bottom"/>
            <w:hideMark/>
          </w:tcPr>
          <w:p w14:paraId="47321A76"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11.49</w:t>
            </w:r>
          </w:p>
        </w:tc>
        <w:tc>
          <w:tcPr>
            <w:tcW w:w="262" w:type="pct"/>
            <w:shd w:val="clear" w:color="auto" w:fill="auto"/>
            <w:noWrap/>
            <w:vAlign w:val="bottom"/>
            <w:hideMark/>
          </w:tcPr>
          <w:p w14:paraId="682E069E"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0.18</w:t>
            </w:r>
          </w:p>
        </w:tc>
        <w:tc>
          <w:tcPr>
            <w:tcW w:w="262" w:type="pct"/>
            <w:shd w:val="clear" w:color="auto" w:fill="auto"/>
            <w:noWrap/>
            <w:vAlign w:val="bottom"/>
            <w:hideMark/>
          </w:tcPr>
          <w:p w14:paraId="48C0CED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-0.31</w:t>
            </w:r>
          </w:p>
        </w:tc>
        <w:tc>
          <w:tcPr>
            <w:tcW w:w="262" w:type="pct"/>
            <w:shd w:val="clear" w:color="auto" w:fill="auto"/>
            <w:noWrap/>
            <w:vAlign w:val="bottom"/>
            <w:hideMark/>
          </w:tcPr>
          <w:p w14:paraId="27CCCA9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-0.37</w:t>
            </w:r>
          </w:p>
        </w:tc>
        <w:tc>
          <w:tcPr>
            <w:tcW w:w="262" w:type="pct"/>
            <w:shd w:val="clear" w:color="auto" w:fill="auto"/>
            <w:noWrap/>
            <w:vAlign w:val="bottom"/>
            <w:hideMark/>
          </w:tcPr>
          <w:p w14:paraId="7685595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-0.25</w:t>
            </w:r>
          </w:p>
        </w:tc>
        <w:tc>
          <w:tcPr>
            <w:tcW w:w="262" w:type="pct"/>
            <w:shd w:val="clear" w:color="auto" w:fill="auto"/>
            <w:noWrap/>
            <w:vAlign w:val="bottom"/>
            <w:hideMark/>
          </w:tcPr>
          <w:p w14:paraId="74C2932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-0.09</w:t>
            </w:r>
          </w:p>
        </w:tc>
        <w:tc>
          <w:tcPr>
            <w:tcW w:w="262" w:type="pct"/>
            <w:shd w:val="clear" w:color="auto" w:fill="auto"/>
            <w:noWrap/>
            <w:vAlign w:val="bottom"/>
            <w:hideMark/>
          </w:tcPr>
          <w:p w14:paraId="679388D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21F5AC4C"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68DFB3A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68FCEC6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4A06359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0DE9DE52" w14:textId="77777777" w:rsidTr="007D391E">
        <w:trPr>
          <w:trHeight w:val="242"/>
        </w:trPr>
        <w:tc>
          <w:tcPr>
            <w:tcW w:w="170" w:type="pct"/>
            <w:vAlign w:val="bottom"/>
          </w:tcPr>
          <w:p w14:paraId="7417332B"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7</w:t>
            </w:r>
          </w:p>
        </w:tc>
        <w:tc>
          <w:tcPr>
            <w:tcW w:w="983" w:type="pct"/>
            <w:vAlign w:val="center"/>
          </w:tcPr>
          <w:p w14:paraId="3912F8D3"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LGDP</w:t>
            </w:r>
          </w:p>
        </w:tc>
        <w:tc>
          <w:tcPr>
            <w:tcW w:w="361" w:type="pct"/>
            <w:shd w:val="clear" w:color="auto" w:fill="auto"/>
            <w:noWrap/>
            <w:vAlign w:val="bottom"/>
            <w:hideMark/>
          </w:tcPr>
          <w:p w14:paraId="27E08867"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26.72</w:t>
            </w:r>
          </w:p>
        </w:tc>
        <w:tc>
          <w:tcPr>
            <w:tcW w:w="319" w:type="pct"/>
            <w:shd w:val="clear" w:color="auto" w:fill="auto"/>
            <w:noWrap/>
            <w:vAlign w:val="bottom"/>
            <w:hideMark/>
          </w:tcPr>
          <w:p w14:paraId="6BDD9169"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1.14</w:t>
            </w:r>
          </w:p>
        </w:tc>
        <w:tc>
          <w:tcPr>
            <w:tcW w:w="305" w:type="pct"/>
            <w:shd w:val="clear" w:color="auto" w:fill="auto"/>
            <w:noWrap/>
            <w:vAlign w:val="bottom"/>
            <w:hideMark/>
          </w:tcPr>
          <w:p w14:paraId="2E20599D"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23.37</w:t>
            </w:r>
          </w:p>
        </w:tc>
        <w:tc>
          <w:tcPr>
            <w:tcW w:w="298" w:type="pct"/>
            <w:shd w:val="clear" w:color="auto" w:fill="auto"/>
            <w:noWrap/>
            <w:vAlign w:val="bottom"/>
            <w:hideMark/>
          </w:tcPr>
          <w:p w14:paraId="2A1AA83D"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29.62</w:t>
            </w:r>
          </w:p>
        </w:tc>
        <w:tc>
          <w:tcPr>
            <w:tcW w:w="262" w:type="pct"/>
            <w:shd w:val="clear" w:color="auto" w:fill="auto"/>
            <w:noWrap/>
            <w:vAlign w:val="bottom"/>
            <w:hideMark/>
          </w:tcPr>
          <w:p w14:paraId="5BB4FB9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0.31</w:t>
            </w:r>
          </w:p>
        </w:tc>
        <w:tc>
          <w:tcPr>
            <w:tcW w:w="262" w:type="pct"/>
            <w:shd w:val="clear" w:color="auto" w:fill="auto"/>
            <w:noWrap/>
            <w:vAlign w:val="bottom"/>
            <w:hideMark/>
          </w:tcPr>
          <w:p w14:paraId="492471A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-0.23</w:t>
            </w:r>
          </w:p>
        </w:tc>
        <w:tc>
          <w:tcPr>
            <w:tcW w:w="262" w:type="pct"/>
            <w:shd w:val="clear" w:color="auto" w:fill="auto"/>
            <w:noWrap/>
            <w:vAlign w:val="bottom"/>
            <w:hideMark/>
          </w:tcPr>
          <w:p w14:paraId="1628C41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0.06</w:t>
            </w:r>
          </w:p>
        </w:tc>
        <w:tc>
          <w:tcPr>
            <w:tcW w:w="262" w:type="pct"/>
            <w:shd w:val="clear" w:color="auto" w:fill="auto"/>
            <w:noWrap/>
            <w:vAlign w:val="bottom"/>
            <w:hideMark/>
          </w:tcPr>
          <w:p w14:paraId="34F6CD6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w:t>
            </w:r>
          </w:p>
        </w:tc>
        <w:tc>
          <w:tcPr>
            <w:tcW w:w="262" w:type="pct"/>
            <w:shd w:val="clear" w:color="auto" w:fill="auto"/>
            <w:noWrap/>
            <w:vAlign w:val="bottom"/>
            <w:hideMark/>
          </w:tcPr>
          <w:p w14:paraId="7B33446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-0.03</w:t>
            </w:r>
          </w:p>
        </w:tc>
        <w:tc>
          <w:tcPr>
            <w:tcW w:w="262" w:type="pct"/>
            <w:shd w:val="clear" w:color="auto" w:fill="auto"/>
            <w:noWrap/>
            <w:vAlign w:val="bottom"/>
            <w:hideMark/>
          </w:tcPr>
          <w:p w14:paraId="78D42F0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0.25</w:t>
            </w:r>
          </w:p>
        </w:tc>
        <w:tc>
          <w:tcPr>
            <w:tcW w:w="262" w:type="pct"/>
            <w:shd w:val="clear" w:color="auto" w:fill="auto"/>
            <w:noWrap/>
            <w:vAlign w:val="bottom"/>
            <w:hideMark/>
          </w:tcPr>
          <w:p w14:paraId="7F1C48D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62" w:type="pct"/>
            <w:shd w:val="clear" w:color="auto" w:fill="auto"/>
            <w:noWrap/>
            <w:vAlign w:val="bottom"/>
            <w:hideMark/>
          </w:tcPr>
          <w:p w14:paraId="7B23A70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21CC0E5D"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2C4FD6A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5868D98D" w14:textId="77777777" w:rsidTr="007D391E">
        <w:trPr>
          <w:trHeight w:val="242"/>
        </w:trPr>
        <w:tc>
          <w:tcPr>
            <w:tcW w:w="170" w:type="pct"/>
            <w:vAlign w:val="bottom"/>
          </w:tcPr>
          <w:p w14:paraId="60029E9E"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8</w:t>
            </w:r>
          </w:p>
        </w:tc>
        <w:tc>
          <w:tcPr>
            <w:tcW w:w="983" w:type="pct"/>
            <w:vAlign w:val="center"/>
          </w:tcPr>
          <w:p w14:paraId="5F8C0164"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GDPG</w:t>
            </w:r>
          </w:p>
        </w:tc>
        <w:tc>
          <w:tcPr>
            <w:tcW w:w="361" w:type="pct"/>
            <w:shd w:val="clear" w:color="auto" w:fill="auto"/>
            <w:noWrap/>
            <w:vAlign w:val="bottom"/>
            <w:hideMark/>
          </w:tcPr>
          <w:p w14:paraId="191E4C0C"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3.12</w:t>
            </w:r>
          </w:p>
        </w:tc>
        <w:tc>
          <w:tcPr>
            <w:tcW w:w="319" w:type="pct"/>
            <w:shd w:val="clear" w:color="auto" w:fill="auto"/>
            <w:noWrap/>
            <w:vAlign w:val="bottom"/>
            <w:hideMark/>
          </w:tcPr>
          <w:p w14:paraId="3A581F5B"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3.46</w:t>
            </w:r>
          </w:p>
        </w:tc>
        <w:tc>
          <w:tcPr>
            <w:tcW w:w="305" w:type="pct"/>
            <w:shd w:val="clear" w:color="auto" w:fill="auto"/>
            <w:noWrap/>
            <w:vAlign w:val="bottom"/>
            <w:hideMark/>
          </w:tcPr>
          <w:p w14:paraId="61B7CC55"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-13.13</w:t>
            </w:r>
          </w:p>
        </w:tc>
        <w:tc>
          <w:tcPr>
            <w:tcW w:w="298" w:type="pct"/>
            <w:shd w:val="clear" w:color="auto" w:fill="auto"/>
            <w:noWrap/>
            <w:vAlign w:val="bottom"/>
            <w:hideMark/>
          </w:tcPr>
          <w:p w14:paraId="6326D6C2"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14.76</w:t>
            </w:r>
          </w:p>
        </w:tc>
        <w:tc>
          <w:tcPr>
            <w:tcW w:w="262" w:type="pct"/>
            <w:shd w:val="clear" w:color="auto" w:fill="auto"/>
            <w:noWrap/>
            <w:vAlign w:val="bottom"/>
            <w:hideMark/>
          </w:tcPr>
          <w:p w14:paraId="6409B04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-0.04</w:t>
            </w:r>
          </w:p>
        </w:tc>
        <w:tc>
          <w:tcPr>
            <w:tcW w:w="262" w:type="pct"/>
            <w:shd w:val="clear" w:color="auto" w:fill="auto"/>
            <w:noWrap/>
            <w:vAlign w:val="bottom"/>
            <w:hideMark/>
          </w:tcPr>
          <w:p w14:paraId="62BDACC0"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0.16</w:t>
            </w:r>
          </w:p>
        </w:tc>
        <w:tc>
          <w:tcPr>
            <w:tcW w:w="262" w:type="pct"/>
            <w:shd w:val="clear" w:color="auto" w:fill="auto"/>
            <w:noWrap/>
            <w:vAlign w:val="bottom"/>
            <w:hideMark/>
          </w:tcPr>
          <w:p w14:paraId="21992AB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0.26</w:t>
            </w:r>
          </w:p>
        </w:tc>
        <w:tc>
          <w:tcPr>
            <w:tcW w:w="262" w:type="pct"/>
            <w:shd w:val="clear" w:color="auto" w:fill="auto"/>
            <w:noWrap/>
            <w:vAlign w:val="bottom"/>
            <w:hideMark/>
          </w:tcPr>
          <w:p w14:paraId="0C08E76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0.13</w:t>
            </w:r>
          </w:p>
        </w:tc>
        <w:tc>
          <w:tcPr>
            <w:tcW w:w="262" w:type="pct"/>
            <w:shd w:val="clear" w:color="auto" w:fill="auto"/>
            <w:noWrap/>
            <w:vAlign w:val="bottom"/>
            <w:hideMark/>
          </w:tcPr>
          <w:p w14:paraId="4CA23F5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0.24</w:t>
            </w:r>
          </w:p>
        </w:tc>
        <w:tc>
          <w:tcPr>
            <w:tcW w:w="262" w:type="pct"/>
            <w:shd w:val="clear" w:color="auto" w:fill="auto"/>
            <w:noWrap/>
            <w:vAlign w:val="bottom"/>
            <w:hideMark/>
          </w:tcPr>
          <w:p w14:paraId="0765068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-0.34</w:t>
            </w:r>
          </w:p>
        </w:tc>
        <w:tc>
          <w:tcPr>
            <w:tcW w:w="262" w:type="pct"/>
            <w:shd w:val="clear" w:color="auto" w:fill="auto"/>
            <w:noWrap/>
            <w:vAlign w:val="bottom"/>
            <w:hideMark/>
          </w:tcPr>
          <w:p w14:paraId="49B7868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-0.04</w:t>
            </w:r>
          </w:p>
        </w:tc>
        <w:tc>
          <w:tcPr>
            <w:tcW w:w="262" w:type="pct"/>
            <w:shd w:val="clear" w:color="auto" w:fill="auto"/>
            <w:noWrap/>
            <w:vAlign w:val="bottom"/>
            <w:hideMark/>
          </w:tcPr>
          <w:p w14:paraId="20B02EE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3" w:type="pct"/>
            <w:shd w:val="clear" w:color="auto" w:fill="auto"/>
            <w:noWrap/>
            <w:vAlign w:val="bottom"/>
            <w:hideMark/>
          </w:tcPr>
          <w:p w14:paraId="2204093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0FE17C4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73FFA9A6" w14:textId="77777777" w:rsidTr="007D391E">
        <w:trPr>
          <w:trHeight w:val="242"/>
        </w:trPr>
        <w:tc>
          <w:tcPr>
            <w:tcW w:w="170" w:type="pct"/>
            <w:vAlign w:val="bottom"/>
          </w:tcPr>
          <w:p w14:paraId="496ECD70"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9</w:t>
            </w:r>
          </w:p>
        </w:tc>
        <w:tc>
          <w:tcPr>
            <w:tcW w:w="983" w:type="pct"/>
            <w:vAlign w:val="center"/>
          </w:tcPr>
          <w:p w14:paraId="3ACC2C03"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FORMAL</w:t>
            </w:r>
          </w:p>
        </w:tc>
        <w:tc>
          <w:tcPr>
            <w:tcW w:w="361" w:type="pct"/>
            <w:shd w:val="clear" w:color="auto" w:fill="auto"/>
            <w:noWrap/>
            <w:vAlign w:val="bottom"/>
            <w:hideMark/>
          </w:tcPr>
          <w:p w14:paraId="45C13F43"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4.05</w:t>
            </w:r>
          </w:p>
        </w:tc>
        <w:tc>
          <w:tcPr>
            <w:tcW w:w="319" w:type="pct"/>
            <w:shd w:val="clear" w:color="auto" w:fill="auto"/>
            <w:noWrap/>
            <w:vAlign w:val="bottom"/>
            <w:hideMark/>
          </w:tcPr>
          <w:p w14:paraId="21A4D4D1"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0.63</w:t>
            </w:r>
          </w:p>
        </w:tc>
        <w:tc>
          <w:tcPr>
            <w:tcW w:w="305" w:type="pct"/>
            <w:shd w:val="clear" w:color="auto" w:fill="auto"/>
            <w:noWrap/>
            <w:vAlign w:val="bottom"/>
            <w:hideMark/>
          </w:tcPr>
          <w:p w14:paraId="4B8529D8"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1.23</w:t>
            </w:r>
          </w:p>
        </w:tc>
        <w:tc>
          <w:tcPr>
            <w:tcW w:w="298" w:type="pct"/>
            <w:shd w:val="clear" w:color="auto" w:fill="auto"/>
            <w:noWrap/>
            <w:vAlign w:val="bottom"/>
            <w:hideMark/>
          </w:tcPr>
          <w:p w14:paraId="4EA32E17"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4.67</w:t>
            </w:r>
          </w:p>
        </w:tc>
        <w:tc>
          <w:tcPr>
            <w:tcW w:w="262" w:type="pct"/>
            <w:shd w:val="clear" w:color="auto" w:fill="auto"/>
            <w:noWrap/>
            <w:vAlign w:val="bottom"/>
            <w:hideMark/>
          </w:tcPr>
          <w:p w14:paraId="652C146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0.16</w:t>
            </w:r>
          </w:p>
        </w:tc>
        <w:tc>
          <w:tcPr>
            <w:tcW w:w="262" w:type="pct"/>
            <w:shd w:val="clear" w:color="auto" w:fill="auto"/>
            <w:noWrap/>
            <w:vAlign w:val="bottom"/>
            <w:hideMark/>
          </w:tcPr>
          <w:p w14:paraId="67178A6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-0.36</w:t>
            </w:r>
          </w:p>
        </w:tc>
        <w:tc>
          <w:tcPr>
            <w:tcW w:w="262" w:type="pct"/>
            <w:shd w:val="clear" w:color="auto" w:fill="auto"/>
            <w:noWrap/>
            <w:vAlign w:val="bottom"/>
            <w:hideMark/>
          </w:tcPr>
          <w:p w14:paraId="0D25B391"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-0.23</w:t>
            </w:r>
          </w:p>
        </w:tc>
        <w:tc>
          <w:tcPr>
            <w:tcW w:w="262" w:type="pct"/>
            <w:shd w:val="clear" w:color="auto" w:fill="auto"/>
            <w:noWrap/>
            <w:vAlign w:val="bottom"/>
            <w:hideMark/>
          </w:tcPr>
          <w:p w14:paraId="7A6677D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-0.32</w:t>
            </w:r>
          </w:p>
        </w:tc>
        <w:tc>
          <w:tcPr>
            <w:tcW w:w="262" w:type="pct"/>
            <w:shd w:val="clear" w:color="auto" w:fill="auto"/>
            <w:noWrap/>
            <w:vAlign w:val="bottom"/>
            <w:hideMark/>
          </w:tcPr>
          <w:p w14:paraId="4810A62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-0.13</w:t>
            </w:r>
          </w:p>
        </w:tc>
        <w:tc>
          <w:tcPr>
            <w:tcW w:w="262" w:type="pct"/>
            <w:shd w:val="clear" w:color="auto" w:fill="auto"/>
            <w:noWrap/>
            <w:vAlign w:val="bottom"/>
            <w:hideMark/>
          </w:tcPr>
          <w:p w14:paraId="41C437B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0.74</w:t>
            </w:r>
          </w:p>
        </w:tc>
        <w:tc>
          <w:tcPr>
            <w:tcW w:w="262" w:type="pct"/>
            <w:shd w:val="clear" w:color="auto" w:fill="auto"/>
            <w:noWrap/>
            <w:vAlign w:val="bottom"/>
            <w:hideMark/>
          </w:tcPr>
          <w:p w14:paraId="1F9A046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w:t>
            </w:r>
          </w:p>
        </w:tc>
        <w:tc>
          <w:tcPr>
            <w:tcW w:w="262" w:type="pct"/>
            <w:shd w:val="clear" w:color="auto" w:fill="auto"/>
            <w:noWrap/>
            <w:vAlign w:val="bottom"/>
            <w:hideMark/>
          </w:tcPr>
          <w:p w14:paraId="72A7C19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w:t>
            </w:r>
          </w:p>
        </w:tc>
        <w:tc>
          <w:tcPr>
            <w:tcW w:w="233" w:type="pct"/>
            <w:shd w:val="clear" w:color="auto" w:fill="auto"/>
            <w:noWrap/>
            <w:vAlign w:val="bottom"/>
            <w:hideMark/>
          </w:tcPr>
          <w:p w14:paraId="28BB172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c>
          <w:tcPr>
            <w:tcW w:w="235" w:type="pct"/>
            <w:shd w:val="clear" w:color="auto" w:fill="auto"/>
            <w:noWrap/>
            <w:vAlign w:val="bottom"/>
            <w:hideMark/>
          </w:tcPr>
          <w:p w14:paraId="2C73DD5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5821F9F3" w14:textId="77777777" w:rsidTr="007D391E">
        <w:trPr>
          <w:trHeight w:val="242"/>
        </w:trPr>
        <w:tc>
          <w:tcPr>
            <w:tcW w:w="170" w:type="pct"/>
            <w:vAlign w:val="bottom"/>
          </w:tcPr>
          <w:p w14:paraId="321C2AFC"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10</w:t>
            </w:r>
          </w:p>
        </w:tc>
        <w:tc>
          <w:tcPr>
            <w:tcW w:w="983" w:type="pct"/>
            <w:vAlign w:val="center"/>
          </w:tcPr>
          <w:p w14:paraId="7DA9CBC0"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INFORMAL</w:t>
            </w:r>
          </w:p>
        </w:tc>
        <w:tc>
          <w:tcPr>
            <w:tcW w:w="361" w:type="pct"/>
            <w:shd w:val="clear" w:color="auto" w:fill="auto"/>
            <w:noWrap/>
            <w:vAlign w:val="bottom"/>
            <w:hideMark/>
          </w:tcPr>
          <w:p w14:paraId="75FA8C84"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6.52</w:t>
            </w:r>
          </w:p>
        </w:tc>
        <w:tc>
          <w:tcPr>
            <w:tcW w:w="319" w:type="pct"/>
            <w:shd w:val="clear" w:color="auto" w:fill="auto"/>
            <w:noWrap/>
            <w:vAlign w:val="bottom"/>
            <w:hideMark/>
          </w:tcPr>
          <w:p w14:paraId="27EDA941"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2.1</w:t>
            </w:r>
          </w:p>
        </w:tc>
        <w:tc>
          <w:tcPr>
            <w:tcW w:w="305" w:type="pct"/>
            <w:shd w:val="clear" w:color="auto" w:fill="auto"/>
            <w:noWrap/>
            <w:vAlign w:val="bottom"/>
            <w:hideMark/>
          </w:tcPr>
          <w:p w14:paraId="6382DB7B"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2.6</w:t>
            </w:r>
          </w:p>
        </w:tc>
        <w:tc>
          <w:tcPr>
            <w:tcW w:w="298" w:type="pct"/>
            <w:shd w:val="clear" w:color="auto" w:fill="auto"/>
            <w:noWrap/>
            <w:vAlign w:val="bottom"/>
            <w:hideMark/>
          </w:tcPr>
          <w:p w14:paraId="2E2AF8B8"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9.9</w:t>
            </w:r>
          </w:p>
        </w:tc>
        <w:tc>
          <w:tcPr>
            <w:tcW w:w="262" w:type="pct"/>
            <w:shd w:val="clear" w:color="auto" w:fill="auto"/>
            <w:noWrap/>
            <w:vAlign w:val="bottom"/>
            <w:hideMark/>
          </w:tcPr>
          <w:p w14:paraId="4194680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w:t>
            </w:r>
          </w:p>
        </w:tc>
        <w:tc>
          <w:tcPr>
            <w:tcW w:w="262" w:type="pct"/>
            <w:shd w:val="clear" w:color="auto" w:fill="auto"/>
            <w:noWrap/>
            <w:vAlign w:val="bottom"/>
            <w:hideMark/>
          </w:tcPr>
          <w:p w14:paraId="7568F0A5"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-0.19</w:t>
            </w:r>
          </w:p>
        </w:tc>
        <w:tc>
          <w:tcPr>
            <w:tcW w:w="262" w:type="pct"/>
            <w:shd w:val="clear" w:color="auto" w:fill="auto"/>
            <w:noWrap/>
            <w:vAlign w:val="bottom"/>
            <w:hideMark/>
          </w:tcPr>
          <w:p w14:paraId="55E4EB0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-0.33</w:t>
            </w:r>
          </w:p>
        </w:tc>
        <w:tc>
          <w:tcPr>
            <w:tcW w:w="262" w:type="pct"/>
            <w:shd w:val="clear" w:color="auto" w:fill="auto"/>
            <w:noWrap/>
            <w:vAlign w:val="bottom"/>
            <w:hideMark/>
          </w:tcPr>
          <w:p w14:paraId="4A19DDA3"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-0.3</w:t>
            </w:r>
          </w:p>
        </w:tc>
        <w:tc>
          <w:tcPr>
            <w:tcW w:w="262" w:type="pct"/>
            <w:shd w:val="clear" w:color="auto" w:fill="auto"/>
            <w:noWrap/>
            <w:vAlign w:val="bottom"/>
            <w:hideMark/>
          </w:tcPr>
          <w:p w14:paraId="5D588B7B"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0.13</w:t>
            </w:r>
          </w:p>
        </w:tc>
        <w:tc>
          <w:tcPr>
            <w:tcW w:w="262" w:type="pct"/>
            <w:shd w:val="clear" w:color="auto" w:fill="auto"/>
            <w:noWrap/>
            <w:vAlign w:val="bottom"/>
            <w:hideMark/>
          </w:tcPr>
          <w:p w14:paraId="28EBE2A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0.8</w:t>
            </w:r>
          </w:p>
        </w:tc>
        <w:tc>
          <w:tcPr>
            <w:tcW w:w="262" w:type="pct"/>
            <w:shd w:val="clear" w:color="auto" w:fill="auto"/>
            <w:noWrap/>
            <w:vAlign w:val="bottom"/>
            <w:hideMark/>
          </w:tcPr>
          <w:p w14:paraId="7C62C288"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0.07</w:t>
            </w:r>
          </w:p>
        </w:tc>
        <w:tc>
          <w:tcPr>
            <w:tcW w:w="262" w:type="pct"/>
            <w:shd w:val="clear" w:color="auto" w:fill="auto"/>
            <w:noWrap/>
            <w:vAlign w:val="bottom"/>
            <w:hideMark/>
          </w:tcPr>
          <w:p w14:paraId="73CDDF81"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-0.23</w:t>
            </w:r>
          </w:p>
        </w:tc>
        <w:tc>
          <w:tcPr>
            <w:tcW w:w="233" w:type="pct"/>
            <w:shd w:val="clear" w:color="auto" w:fill="auto"/>
            <w:noWrap/>
            <w:vAlign w:val="bottom"/>
            <w:hideMark/>
          </w:tcPr>
          <w:p w14:paraId="3C043AB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0.58</w:t>
            </w:r>
          </w:p>
        </w:tc>
        <w:tc>
          <w:tcPr>
            <w:tcW w:w="235" w:type="pct"/>
            <w:shd w:val="clear" w:color="auto" w:fill="auto"/>
            <w:noWrap/>
            <w:vAlign w:val="bottom"/>
            <w:hideMark/>
          </w:tcPr>
          <w:p w14:paraId="094C889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tc>
      </w:tr>
      <w:tr w:rsidR="007D391E" w:rsidRPr="00D3728A" w14:paraId="1E42D65C" w14:textId="77777777" w:rsidTr="007D391E">
        <w:trPr>
          <w:trHeight w:val="242"/>
        </w:trPr>
        <w:tc>
          <w:tcPr>
            <w:tcW w:w="170" w:type="pct"/>
            <w:tcBorders>
              <w:bottom w:val="single" w:sz="4" w:space="0" w:color="auto"/>
            </w:tcBorders>
            <w:vAlign w:val="bottom"/>
          </w:tcPr>
          <w:p w14:paraId="2A7ED657" w14:textId="77777777" w:rsidR="007D391E" w:rsidRPr="00B61798"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BF4784">
              <w:rPr>
                <w:rFonts w:eastAsia="Times New Roman"/>
                <w:bdr w:val="none" w:sz="0" w:space="0" w:color="auto"/>
                <w:lang w:val="en-GB" w:eastAsia="en-GB"/>
              </w:rPr>
              <w:t>11</w:t>
            </w:r>
          </w:p>
        </w:tc>
        <w:tc>
          <w:tcPr>
            <w:tcW w:w="983" w:type="pct"/>
            <w:tcBorders>
              <w:bottom w:val="single" w:sz="4" w:space="0" w:color="auto"/>
            </w:tcBorders>
          </w:tcPr>
          <w:p w14:paraId="5EF19322" w14:textId="77777777" w:rsidR="007D391E" w:rsidRPr="00BF4784" w:rsidRDefault="007D391E" w:rsidP="008D03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n-GB" w:eastAsia="en-GB"/>
              </w:rPr>
            </w:pPr>
            <w:r w:rsidRPr="001D77AF">
              <w:rPr>
                <w:rFonts w:eastAsia="Times New Roman"/>
                <w:bdr w:val="none" w:sz="0" w:space="0" w:color="auto"/>
                <w:lang w:val="en-GB" w:eastAsia="en-GB"/>
              </w:rPr>
              <w:t>FORMALxINFORMAL</w:t>
            </w:r>
          </w:p>
        </w:tc>
        <w:tc>
          <w:tcPr>
            <w:tcW w:w="361" w:type="pct"/>
            <w:tcBorders>
              <w:bottom w:val="single" w:sz="4" w:space="0" w:color="auto"/>
            </w:tcBorders>
            <w:shd w:val="clear" w:color="auto" w:fill="auto"/>
            <w:noWrap/>
            <w:vAlign w:val="bottom"/>
            <w:hideMark/>
          </w:tcPr>
          <w:p w14:paraId="74A65CC9" w14:textId="77777777" w:rsidR="007D391E" w:rsidRPr="00B61798"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B61798">
              <w:rPr>
                <w:rFonts w:eastAsia="Times New Roman"/>
                <w:bdr w:val="none" w:sz="0" w:space="0" w:color="auto"/>
                <w:lang w:val="en-GB" w:eastAsia="en-GB"/>
              </w:rPr>
              <w:t>0.09</w:t>
            </w:r>
          </w:p>
        </w:tc>
        <w:tc>
          <w:tcPr>
            <w:tcW w:w="319" w:type="pct"/>
            <w:tcBorders>
              <w:bottom w:val="single" w:sz="4" w:space="0" w:color="auto"/>
            </w:tcBorders>
            <w:shd w:val="clear" w:color="auto" w:fill="auto"/>
            <w:noWrap/>
            <w:vAlign w:val="bottom"/>
            <w:hideMark/>
          </w:tcPr>
          <w:p w14:paraId="2D427844"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0.95</w:t>
            </w:r>
          </w:p>
        </w:tc>
        <w:tc>
          <w:tcPr>
            <w:tcW w:w="305" w:type="pct"/>
            <w:tcBorders>
              <w:bottom w:val="single" w:sz="4" w:space="0" w:color="auto"/>
            </w:tcBorders>
            <w:shd w:val="clear" w:color="auto" w:fill="auto"/>
            <w:noWrap/>
            <w:vAlign w:val="bottom"/>
            <w:hideMark/>
          </w:tcPr>
          <w:p w14:paraId="6A0C9C3F" w14:textId="77777777" w:rsidR="007D391E" w:rsidRPr="005E6B4F"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E6B4F">
              <w:rPr>
                <w:rFonts w:eastAsia="Times New Roman"/>
                <w:bdr w:val="none" w:sz="0" w:space="0" w:color="auto"/>
                <w:lang w:val="en-GB" w:eastAsia="en-GB"/>
              </w:rPr>
              <w:t>-4.24</w:t>
            </w:r>
          </w:p>
        </w:tc>
        <w:tc>
          <w:tcPr>
            <w:tcW w:w="298" w:type="pct"/>
            <w:tcBorders>
              <w:bottom w:val="single" w:sz="4" w:space="0" w:color="auto"/>
            </w:tcBorders>
            <w:shd w:val="clear" w:color="auto" w:fill="auto"/>
            <w:noWrap/>
            <w:vAlign w:val="bottom"/>
            <w:hideMark/>
          </w:tcPr>
          <w:p w14:paraId="00D30B09" w14:textId="77777777" w:rsidR="007D391E" w:rsidRPr="00F205E9"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F205E9">
              <w:rPr>
                <w:rFonts w:eastAsia="Times New Roman"/>
                <w:bdr w:val="none" w:sz="0" w:space="0" w:color="auto"/>
                <w:lang w:val="en-GB" w:eastAsia="en-GB"/>
              </w:rPr>
              <w:t>5.76</w:t>
            </w:r>
          </w:p>
        </w:tc>
        <w:tc>
          <w:tcPr>
            <w:tcW w:w="262" w:type="pct"/>
            <w:tcBorders>
              <w:bottom w:val="single" w:sz="4" w:space="0" w:color="auto"/>
            </w:tcBorders>
            <w:shd w:val="clear" w:color="auto" w:fill="auto"/>
            <w:noWrap/>
            <w:vAlign w:val="bottom"/>
            <w:hideMark/>
          </w:tcPr>
          <w:p w14:paraId="3B5B0C3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0.18</w:t>
            </w:r>
          </w:p>
        </w:tc>
        <w:tc>
          <w:tcPr>
            <w:tcW w:w="262" w:type="pct"/>
            <w:tcBorders>
              <w:bottom w:val="single" w:sz="4" w:space="0" w:color="auto"/>
            </w:tcBorders>
            <w:shd w:val="clear" w:color="auto" w:fill="auto"/>
            <w:noWrap/>
            <w:vAlign w:val="bottom"/>
            <w:hideMark/>
          </w:tcPr>
          <w:p w14:paraId="2EEFAF4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-0.29</w:t>
            </w:r>
          </w:p>
        </w:tc>
        <w:tc>
          <w:tcPr>
            <w:tcW w:w="262" w:type="pct"/>
            <w:tcBorders>
              <w:bottom w:val="single" w:sz="4" w:space="0" w:color="auto"/>
            </w:tcBorders>
            <w:shd w:val="clear" w:color="auto" w:fill="auto"/>
            <w:noWrap/>
            <w:vAlign w:val="bottom"/>
            <w:hideMark/>
          </w:tcPr>
          <w:p w14:paraId="3C244FA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0.04</w:t>
            </w:r>
          </w:p>
        </w:tc>
        <w:tc>
          <w:tcPr>
            <w:tcW w:w="262" w:type="pct"/>
            <w:tcBorders>
              <w:bottom w:val="single" w:sz="4" w:space="0" w:color="auto"/>
            </w:tcBorders>
            <w:shd w:val="clear" w:color="auto" w:fill="auto"/>
            <w:noWrap/>
            <w:vAlign w:val="bottom"/>
            <w:hideMark/>
          </w:tcPr>
          <w:p w14:paraId="58105BC2"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-0.11</w:t>
            </w:r>
          </w:p>
        </w:tc>
        <w:tc>
          <w:tcPr>
            <w:tcW w:w="262" w:type="pct"/>
            <w:tcBorders>
              <w:bottom w:val="single" w:sz="4" w:space="0" w:color="auto"/>
            </w:tcBorders>
            <w:shd w:val="clear" w:color="auto" w:fill="auto"/>
            <w:noWrap/>
            <w:vAlign w:val="bottom"/>
            <w:hideMark/>
          </w:tcPr>
          <w:p w14:paraId="069D141F"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-0.02</w:t>
            </w:r>
          </w:p>
        </w:tc>
        <w:tc>
          <w:tcPr>
            <w:tcW w:w="262" w:type="pct"/>
            <w:tcBorders>
              <w:bottom w:val="single" w:sz="4" w:space="0" w:color="auto"/>
            </w:tcBorders>
            <w:shd w:val="clear" w:color="auto" w:fill="auto"/>
            <w:noWrap/>
            <w:vAlign w:val="bottom"/>
            <w:hideMark/>
          </w:tcPr>
          <w:p w14:paraId="5319994A"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-0.01</w:t>
            </w:r>
          </w:p>
        </w:tc>
        <w:tc>
          <w:tcPr>
            <w:tcW w:w="262" w:type="pct"/>
            <w:tcBorders>
              <w:bottom w:val="single" w:sz="4" w:space="0" w:color="auto"/>
            </w:tcBorders>
            <w:shd w:val="clear" w:color="auto" w:fill="auto"/>
            <w:noWrap/>
            <w:vAlign w:val="bottom"/>
            <w:hideMark/>
          </w:tcPr>
          <w:p w14:paraId="181A9649"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0.26</w:t>
            </w:r>
          </w:p>
        </w:tc>
        <w:tc>
          <w:tcPr>
            <w:tcW w:w="262" w:type="pct"/>
            <w:tcBorders>
              <w:bottom w:val="single" w:sz="4" w:space="0" w:color="auto"/>
            </w:tcBorders>
            <w:shd w:val="clear" w:color="auto" w:fill="auto"/>
            <w:noWrap/>
            <w:vAlign w:val="bottom"/>
            <w:hideMark/>
          </w:tcPr>
          <w:p w14:paraId="4F041F4C"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-0.11</w:t>
            </w:r>
          </w:p>
        </w:tc>
        <w:tc>
          <w:tcPr>
            <w:tcW w:w="233" w:type="pct"/>
            <w:tcBorders>
              <w:bottom w:val="single" w:sz="4" w:space="0" w:color="auto"/>
            </w:tcBorders>
            <w:shd w:val="clear" w:color="auto" w:fill="auto"/>
            <w:noWrap/>
            <w:vAlign w:val="bottom"/>
            <w:hideMark/>
          </w:tcPr>
          <w:p w14:paraId="6C3189F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0.01</w:t>
            </w:r>
          </w:p>
        </w:tc>
        <w:tc>
          <w:tcPr>
            <w:tcW w:w="235" w:type="pct"/>
            <w:tcBorders>
              <w:bottom w:val="single" w:sz="4" w:space="0" w:color="auto"/>
            </w:tcBorders>
            <w:shd w:val="clear" w:color="auto" w:fill="auto"/>
            <w:noWrap/>
            <w:vAlign w:val="bottom"/>
            <w:hideMark/>
          </w:tcPr>
          <w:p w14:paraId="43869D06" w14:textId="77777777" w:rsidR="007D391E" w:rsidRPr="00D3728A" w:rsidRDefault="007D391E" w:rsidP="00D975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3728A">
              <w:rPr>
                <w:rFonts w:eastAsia="Times New Roman"/>
                <w:bdr w:val="none" w:sz="0" w:space="0" w:color="auto"/>
                <w:lang w:val="en-GB" w:eastAsia="en-GB"/>
              </w:rPr>
              <w:t>0.09</w:t>
            </w:r>
          </w:p>
        </w:tc>
      </w:tr>
    </w:tbl>
    <w:p w14:paraId="275DB357" w14:textId="0DD8289E" w:rsidR="007D391E" w:rsidRPr="001D77AF" w:rsidRDefault="007D391E" w:rsidP="008D03B5">
      <w:pPr>
        <w:jc w:val="both"/>
        <w:rPr>
          <w:lang w:val="en-GB"/>
        </w:rPr>
      </w:pPr>
      <w:r w:rsidRPr="001D77AF">
        <w:rPr>
          <w:lang w:val="en-GB"/>
        </w:rPr>
        <w:t xml:space="preserve">Note: The number of observations for all variables </w:t>
      </w:r>
      <w:r w:rsidR="00BA2F08" w:rsidRPr="001D77AF">
        <w:rPr>
          <w:lang w:val="en-GB"/>
        </w:rPr>
        <w:t xml:space="preserve">is </w:t>
      </w:r>
      <w:r w:rsidRPr="001D77AF">
        <w:rPr>
          <w:lang w:val="en-GB"/>
        </w:rPr>
        <w:t>3636</w:t>
      </w:r>
    </w:p>
    <w:p w14:paraId="50B5D4CA" w14:textId="77777777" w:rsidR="007D391E" w:rsidRPr="001D77AF" w:rsidRDefault="007D391E" w:rsidP="008D03B5">
      <w:pPr>
        <w:spacing w:after="120" w:line="480" w:lineRule="auto"/>
        <w:jc w:val="both"/>
        <w:rPr>
          <w:b/>
          <w:lang w:val="en-GB"/>
        </w:rPr>
      </w:pPr>
    </w:p>
    <w:p w14:paraId="6AB12E75" w14:textId="77777777" w:rsidR="007D391E" w:rsidRPr="001D77AF" w:rsidRDefault="007D391E" w:rsidP="008D03B5">
      <w:pPr>
        <w:spacing w:after="120" w:line="480" w:lineRule="auto"/>
        <w:jc w:val="both"/>
        <w:rPr>
          <w:b/>
          <w:lang w:val="en-GB"/>
        </w:rPr>
      </w:pPr>
    </w:p>
    <w:p w14:paraId="2A503FFB" w14:textId="77777777" w:rsidR="007D391E" w:rsidRPr="001D77AF" w:rsidRDefault="007D391E" w:rsidP="008D03B5">
      <w:pPr>
        <w:spacing w:after="120" w:line="480" w:lineRule="auto"/>
        <w:jc w:val="both"/>
        <w:rPr>
          <w:b/>
          <w:lang w:val="en-GB"/>
        </w:rPr>
      </w:pPr>
    </w:p>
    <w:p w14:paraId="63B3553A" w14:textId="77777777" w:rsidR="007D391E" w:rsidRPr="001D77AF" w:rsidRDefault="007D391E" w:rsidP="008D03B5">
      <w:pPr>
        <w:spacing w:after="120" w:line="480" w:lineRule="auto"/>
        <w:jc w:val="both"/>
        <w:rPr>
          <w:b/>
          <w:lang w:val="en-GB"/>
        </w:rPr>
      </w:pPr>
    </w:p>
    <w:p w14:paraId="71D97220" w14:textId="77777777" w:rsidR="007D391E" w:rsidRPr="001D77AF" w:rsidRDefault="007D391E" w:rsidP="008D03B5">
      <w:pPr>
        <w:spacing w:after="120" w:line="480" w:lineRule="auto"/>
        <w:jc w:val="both"/>
        <w:rPr>
          <w:b/>
          <w:lang w:val="en-GB"/>
        </w:rPr>
      </w:pPr>
    </w:p>
    <w:p w14:paraId="3DFC3095" w14:textId="77777777" w:rsidR="007D391E" w:rsidRPr="001D77AF" w:rsidRDefault="007D391E" w:rsidP="008D03B5">
      <w:pPr>
        <w:jc w:val="both"/>
        <w:rPr>
          <w:b/>
          <w:lang w:val="en-GB"/>
        </w:rPr>
      </w:pPr>
    </w:p>
    <w:p w14:paraId="0EE0A0D2" w14:textId="77777777" w:rsidR="007D391E" w:rsidRPr="001D77AF" w:rsidRDefault="007D391E" w:rsidP="008D03B5">
      <w:pPr>
        <w:spacing w:line="480" w:lineRule="auto"/>
        <w:jc w:val="both"/>
        <w:rPr>
          <w:lang w:val="en-GB"/>
        </w:rPr>
      </w:pPr>
    </w:p>
    <w:p w14:paraId="5A863FDA" w14:textId="77777777" w:rsidR="007D391E" w:rsidRPr="001D77AF" w:rsidRDefault="007D391E" w:rsidP="008D03B5">
      <w:pPr>
        <w:spacing w:line="480" w:lineRule="auto"/>
        <w:jc w:val="both"/>
        <w:rPr>
          <w:lang w:val="en-GB"/>
        </w:rPr>
        <w:sectPr w:rsidR="007D391E" w:rsidRPr="001D77AF" w:rsidSect="007D391E">
          <w:pgSz w:w="16840" w:h="11900" w:orient="landscape"/>
          <w:pgMar w:top="1440" w:right="1440" w:bottom="1440" w:left="1440" w:header="708" w:footer="708" w:gutter="0"/>
          <w:cols w:space="720"/>
        </w:sectPr>
      </w:pPr>
    </w:p>
    <w:p w14:paraId="6B4C646F" w14:textId="77777777" w:rsidR="007D391E" w:rsidRPr="001D77AF" w:rsidRDefault="00DD7406" w:rsidP="008D03B5">
      <w:pPr>
        <w:spacing w:line="480" w:lineRule="auto"/>
        <w:jc w:val="both"/>
        <w:rPr>
          <w:lang w:val="en-GB"/>
        </w:rPr>
      </w:pPr>
      <w:r w:rsidRPr="00AC044C">
        <w:rPr>
          <w:b/>
          <w:lang w:val="en-GB"/>
        </w:rPr>
        <w:lastRenderedPageBreak/>
        <w:t>Table 4</w:t>
      </w:r>
      <w:r w:rsidRPr="001D77AF">
        <w:rPr>
          <w:lang w:val="en-GB"/>
        </w:rPr>
        <w:t xml:space="preserve">: Effects of formal and informal IP institutions on US outward FDI </w:t>
      </w:r>
    </w:p>
    <w:tbl>
      <w:tblPr>
        <w:tblpPr w:leftFromText="180" w:rightFromText="180" w:horzAnchor="margin" w:tblpY="870"/>
        <w:tblW w:w="4088" w:type="pct"/>
        <w:tblLook w:val="0000" w:firstRow="0" w:lastRow="0" w:firstColumn="0" w:lastColumn="0" w:noHBand="0" w:noVBand="0"/>
      </w:tblPr>
      <w:tblGrid>
        <w:gridCol w:w="2590"/>
        <w:gridCol w:w="1595"/>
        <w:gridCol w:w="1595"/>
        <w:gridCol w:w="1595"/>
      </w:tblGrid>
      <w:tr w:rsidR="00DD7406" w:rsidRPr="00D3728A" w14:paraId="304F6020" w14:textId="77777777" w:rsidTr="00DD7406">
        <w:tc>
          <w:tcPr>
            <w:tcW w:w="1653" w:type="pct"/>
            <w:tcBorders>
              <w:top w:val="single" w:sz="4" w:space="0" w:color="auto"/>
              <w:left w:val="nil"/>
              <w:bottom w:val="nil"/>
              <w:right w:val="nil"/>
            </w:tcBorders>
          </w:tcPr>
          <w:p w14:paraId="6CB5F926"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single" w:sz="4" w:space="0" w:color="auto"/>
              <w:left w:val="nil"/>
              <w:bottom w:val="nil"/>
              <w:right w:val="nil"/>
            </w:tcBorders>
          </w:tcPr>
          <w:p w14:paraId="1C24065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PPML</w:t>
            </w:r>
          </w:p>
        </w:tc>
        <w:tc>
          <w:tcPr>
            <w:tcW w:w="1116" w:type="pct"/>
            <w:tcBorders>
              <w:top w:val="single" w:sz="4" w:space="0" w:color="auto"/>
              <w:left w:val="nil"/>
              <w:bottom w:val="nil"/>
              <w:right w:val="nil"/>
            </w:tcBorders>
          </w:tcPr>
          <w:p w14:paraId="2D1401DC"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PPML</w:t>
            </w:r>
          </w:p>
        </w:tc>
        <w:tc>
          <w:tcPr>
            <w:tcW w:w="1116" w:type="pct"/>
            <w:tcBorders>
              <w:top w:val="single" w:sz="4" w:space="0" w:color="auto"/>
              <w:left w:val="nil"/>
              <w:bottom w:val="nil"/>
              <w:right w:val="nil"/>
            </w:tcBorders>
          </w:tcPr>
          <w:p w14:paraId="73982EFC"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PPML</w:t>
            </w:r>
          </w:p>
        </w:tc>
      </w:tr>
      <w:tr w:rsidR="00DD7406" w:rsidRPr="00D3728A" w14:paraId="42DC211F" w14:textId="77777777" w:rsidTr="00DD7406">
        <w:tc>
          <w:tcPr>
            <w:tcW w:w="1653" w:type="pct"/>
            <w:tcBorders>
              <w:top w:val="nil"/>
              <w:left w:val="nil"/>
              <w:bottom w:val="nil"/>
              <w:right w:val="nil"/>
            </w:tcBorders>
          </w:tcPr>
          <w:p w14:paraId="702778B9"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354F4DE4"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(1)</w:t>
            </w:r>
          </w:p>
        </w:tc>
        <w:tc>
          <w:tcPr>
            <w:tcW w:w="1116" w:type="pct"/>
            <w:tcBorders>
              <w:top w:val="nil"/>
              <w:left w:val="nil"/>
              <w:bottom w:val="nil"/>
              <w:right w:val="nil"/>
            </w:tcBorders>
          </w:tcPr>
          <w:p w14:paraId="3E6BE0E5"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(2)</w:t>
            </w:r>
          </w:p>
        </w:tc>
        <w:tc>
          <w:tcPr>
            <w:tcW w:w="1116" w:type="pct"/>
            <w:tcBorders>
              <w:top w:val="nil"/>
              <w:left w:val="nil"/>
              <w:bottom w:val="nil"/>
              <w:right w:val="nil"/>
            </w:tcBorders>
          </w:tcPr>
          <w:p w14:paraId="4B9F8C74"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w:t>
            </w:r>
          </w:p>
        </w:tc>
      </w:tr>
      <w:tr w:rsidR="00DD7406" w:rsidRPr="00D3728A" w14:paraId="6D105EF6" w14:textId="77777777" w:rsidTr="00DD7406">
        <w:tc>
          <w:tcPr>
            <w:tcW w:w="1653" w:type="pct"/>
            <w:tcBorders>
              <w:top w:val="single" w:sz="4" w:space="0" w:color="auto"/>
              <w:left w:val="nil"/>
              <w:bottom w:val="nil"/>
              <w:right w:val="nil"/>
            </w:tcBorders>
          </w:tcPr>
          <w:p w14:paraId="11EF7A15"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single" w:sz="4" w:space="0" w:color="auto"/>
              <w:left w:val="nil"/>
              <w:bottom w:val="nil"/>
              <w:right w:val="nil"/>
            </w:tcBorders>
          </w:tcPr>
          <w:p w14:paraId="2B2B269C"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single" w:sz="4" w:space="0" w:color="auto"/>
              <w:left w:val="nil"/>
              <w:bottom w:val="nil"/>
              <w:right w:val="nil"/>
            </w:tcBorders>
          </w:tcPr>
          <w:p w14:paraId="3175043E"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single" w:sz="4" w:space="0" w:color="auto"/>
              <w:left w:val="nil"/>
              <w:bottom w:val="nil"/>
              <w:right w:val="nil"/>
            </w:tcBorders>
          </w:tcPr>
          <w:p w14:paraId="713082A1" w14:textId="77777777" w:rsidR="00DD7406" w:rsidRPr="001D77AF" w:rsidRDefault="00DD7406" w:rsidP="008D03B5">
            <w:pPr>
              <w:widowControl w:val="0"/>
              <w:autoSpaceDE w:val="0"/>
              <w:autoSpaceDN w:val="0"/>
              <w:adjustRightInd w:val="0"/>
              <w:jc w:val="both"/>
              <w:rPr>
                <w:rFonts w:eastAsiaTheme="minorEastAsia"/>
                <w:lang w:val="en-GB" w:eastAsia="en-GB"/>
              </w:rPr>
            </w:pPr>
          </w:p>
        </w:tc>
      </w:tr>
      <w:tr w:rsidR="00DD7406" w:rsidRPr="00D3728A" w14:paraId="0F791CBE" w14:textId="77777777" w:rsidTr="00DD7406">
        <w:tc>
          <w:tcPr>
            <w:tcW w:w="1653" w:type="pct"/>
            <w:tcBorders>
              <w:top w:val="nil"/>
              <w:left w:val="nil"/>
              <w:bottom w:val="nil"/>
              <w:right w:val="nil"/>
            </w:tcBorders>
          </w:tcPr>
          <w:p w14:paraId="2817E29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LDIST</w:t>
            </w:r>
          </w:p>
        </w:tc>
        <w:tc>
          <w:tcPr>
            <w:tcW w:w="1116" w:type="pct"/>
            <w:tcBorders>
              <w:top w:val="nil"/>
              <w:left w:val="nil"/>
              <w:bottom w:val="nil"/>
              <w:right w:val="nil"/>
            </w:tcBorders>
          </w:tcPr>
          <w:p w14:paraId="375D02B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-0.450***</w:t>
            </w:r>
          </w:p>
        </w:tc>
        <w:tc>
          <w:tcPr>
            <w:tcW w:w="1116" w:type="pct"/>
            <w:tcBorders>
              <w:top w:val="nil"/>
              <w:left w:val="nil"/>
              <w:bottom w:val="nil"/>
              <w:right w:val="nil"/>
            </w:tcBorders>
          </w:tcPr>
          <w:p w14:paraId="063D047D"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-0.453***</w:t>
            </w:r>
          </w:p>
        </w:tc>
        <w:tc>
          <w:tcPr>
            <w:tcW w:w="1116" w:type="pct"/>
            <w:tcBorders>
              <w:top w:val="nil"/>
              <w:left w:val="nil"/>
              <w:bottom w:val="nil"/>
              <w:right w:val="nil"/>
            </w:tcBorders>
          </w:tcPr>
          <w:p w14:paraId="6DE1EE1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-0.427***</w:t>
            </w:r>
          </w:p>
        </w:tc>
      </w:tr>
      <w:tr w:rsidR="00DD7406" w:rsidRPr="00D3728A" w14:paraId="51523795" w14:textId="77777777" w:rsidTr="00DD7406">
        <w:tc>
          <w:tcPr>
            <w:tcW w:w="1653" w:type="pct"/>
            <w:tcBorders>
              <w:top w:val="nil"/>
              <w:left w:val="nil"/>
              <w:bottom w:val="nil"/>
              <w:right w:val="nil"/>
            </w:tcBorders>
          </w:tcPr>
          <w:p w14:paraId="345053B4"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08A80074"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[0.0452]</w:t>
            </w:r>
          </w:p>
        </w:tc>
        <w:tc>
          <w:tcPr>
            <w:tcW w:w="1116" w:type="pct"/>
            <w:tcBorders>
              <w:top w:val="nil"/>
              <w:left w:val="nil"/>
              <w:bottom w:val="nil"/>
              <w:right w:val="nil"/>
            </w:tcBorders>
          </w:tcPr>
          <w:p w14:paraId="3026105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[0.0414]</w:t>
            </w:r>
          </w:p>
        </w:tc>
        <w:tc>
          <w:tcPr>
            <w:tcW w:w="1116" w:type="pct"/>
            <w:tcBorders>
              <w:top w:val="nil"/>
              <w:left w:val="nil"/>
              <w:bottom w:val="nil"/>
              <w:right w:val="nil"/>
            </w:tcBorders>
          </w:tcPr>
          <w:p w14:paraId="3F4EE92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[0.0415]</w:t>
            </w:r>
          </w:p>
        </w:tc>
      </w:tr>
      <w:tr w:rsidR="00DD7406" w:rsidRPr="00D3728A" w14:paraId="24726CD4" w14:textId="77777777" w:rsidTr="00DD7406">
        <w:tc>
          <w:tcPr>
            <w:tcW w:w="1653" w:type="pct"/>
            <w:tcBorders>
              <w:top w:val="nil"/>
              <w:left w:val="nil"/>
              <w:bottom w:val="nil"/>
              <w:right w:val="nil"/>
            </w:tcBorders>
          </w:tcPr>
          <w:p w14:paraId="5A2B297E"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RDISTT</w:t>
            </w:r>
          </w:p>
        </w:tc>
        <w:tc>
          <w:tcPr>
            <w:tcW w:w="1116" w:type="pct"/>
            <w:tcBorders>
              <w:top w:val="nil"/>
              <w:left w:val="nil"/>
              <w:bottom w:val="nil"/>
              <w:right w:val="nil"/>
            </w:tcBorders>
          </w:tcPr>
          <w:p w14:paraId="44E3A2DC"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-0.153***</w:t>
            </w:r>
          </w:p>
        </w:tc>
        <w:tc>
          <w:tcPr>
            <w:tcW w:w="1116" w:type="pct"/>
            <w:tcBorders>
              <w:top w:val="nil"/>
              <w:left w:val="nil"/>
              <w:bottom w:val="nil"/>
              <w:right w:val="nil"/>
            </w:tcBorders>
          </w:tcPr>
          <w:p w14:paraId="6BEBB4D3"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-0.139***</w:t>
            </w:r>
          </w:p>
        </w:tc>
        <w:tc>
          <w:tcPr>
            <w:tcW w:w="1116" w:type="pct"/>
            <w:tcBorders>
              <w:top w:val="nil"/>
              <w:left w:val="nil"/>
              <w:bottom w:val="nil"/>
              <w:right w:val="nil"/>
            </w:tcBorders>
          </w:tcPr>
          <w:p w14:paraId="4C84F9DD"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-0.131***</w:t>
            </w:r>
          </w:p>
        </w:tc>
      </w:tr>
      <w:tr w:rsidR="00DD7406" w:rsidRPr="00D3728A" w14:paraId="4D957001" w14:textId="77777777" w:rsidTr="00DD7406">
        <w:tc>
          <w:tcPr>
            <w:tcW w:w="1653" w:type="pct"/>
            <w:tcBorders>
              <w:top w:val="nil"/>
              <w:left w:val="nil"/>
              <w:bottom w:val="nil"/>
              <w:right w:val="nil"/>
            </w:tcBorders>
          </w:tcPr>
          <w:p w14:paraId="54C5B6D0"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4003337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[0.0370]</w:t>
            </w:r>
          </w:p>
        </w:tc>
        <w:tc>
          <w:tcPr>
            <w:tcW w:w="1116" w:type="pct"/>
            <w:tcBorders>
              <w:top w:val="nil"/>
              <w:left w:val="nil"/>
              <w:bottom w:val="nil"/>
              <w:right w:val="nil"/>
            </w:tcBorders>
          </w:tcPr>
          <w:p w14:paraId="55D91C6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[0.0333]</w:t>
            </w:r>
          </w:p>
        </w:tc>
        <w:tc>
          <w:tcPr>
            <w:tcW w:w="1116" w:type="pct"/>
            <w:tcBorders>
              <w:top w:val="nil"/>
              <w:left w:val="nil"/>
              <w:bottom w:val="nil"/>
              <w:right w:val="nil"/>
            </w:tcBorders>
          </w:tcPr>
          <w:p w14:paraId="0523E85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[0.0272]</w:t>
            </w:r>
          </w:p>
        </w:tc>
      </w:tr>
      <w:tr w:rsidR="00DD7406" w:rsidRPr="00D3728A" w14:paraId="7B5A08EF" w14:textId="77777777" w:rsidTr="00DD7406">
        <w:tc>
          <w:tcPr>
            <w:tcW w:w="1653" w:type="pct"/>
            <w:tcBorders>
              <w:top w:val="nil"/>
              <w:left w:val="nil"/>
              <w:bottom w:val="nil"/>
              <w:right w:val="nil"/>
            </w:tcBorders>
          </w:tcPr>
          <w:p w14:paraId="78F6AFC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CDIST</w:t>
            </w:r>
          </w:p>
        </w:tc>
        <w:tc>
          <w:tcPr>
            <w:tcW w:w="1116" w:type="pct"/>
            <w:tcBorders>
              <w:top w:val="nil"/>
              <w:left w:val="nil"/>
              <w:bottom w:val="nil"/>
              <w:right w:val="nil"/>
            </w:tcBorders>
          </w:tcPr>
          <w:p w14:paraId="2AC14D5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-0.252***</w:t>
            </w:r>
          </w:p>
        </w:tc>
        <w:tc>
          <w:tcPr>
            <w:tcW w:w="1116" w:type="pct"/>
            <w:tcBorders>
              <w:top w:val="nil"/>
              <w:left w:val="nil"/>
              <w:bottom w:val="nil"/>
              <w:right w:val="nil"/>
            </w:tcBorders>
          </w:tcPr>
          <w:p w14:paraId="54C0CE5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-0.211***</w:t>
            </w:r>
          </w:p>
        </w:tc>
        <w:tc>
          <w:tcPr>
            <w:tcW w:w="1116" w:type="pct"/>
            <w:tcBorders>
              <w:top w:val="nil"/>
              <w:left w:val="nil"/>
              <w:bottom w:val="nil"/>
              <w:right w:val="nil"/>
            </w:tcBorders>
          </w:tcPr>
          <w:p w14:paraId="03B96B6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-0.223***</w:t>
            </w:r>
          </w:p>
        </w:tc>
      </w:tr>
      <w:tr w:rsidR="00DD7406" w:rsidRPr="00D3728A" w14:paraId="2D467337" w14:textId="77777777" w:rsidTr="00DD7406">
        <w:tc>
          <w:tcPr>
            <w:tcW w:w="1653" w:type="pct"/>
            <w:tcBorders>
              <w:top w:val="nil"/>
              <w:left w:val="nil"/>
              <w:bottom w:val="nil"/>
              <w:right w:val="nil"/>
            </w:tcBorders>
          </w:tcPr>
          <w:p w14:paraId="4815B3B5"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039BFC6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[0.0199]</w:t>
            </w:r>
          </w:p>
        </w:tc>
        <w:tc>
          <w:tcPr>
            <w:tcW w:w="1116" w:type="pct"/>
            <w:tcBorders>
              <w:top w:val="nil"/>
              <w:left w:val="nil"/>
              <w:bottom w:val="nil"/>
              <w:right w:val="nil"/>
            </w:tcBorders>
          </w:tcPr>
          <w:p w14:paraId="122EA023"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[0.0218]</w:t>
            </w:r>
          </w:p>
        </w:tc>
        <w:tc>
          <w:tcPr>
            <w:tcW w:w="1116" w:type="pct"/>
            <w:tcBorders>
              <w:top w:val="nil"/>
              <w:left w:val="nil"/>
              <w:bottom w:val="nil"/>
              <w:right w:val="nil"/>
            </w:tcBorders>
          </w:tcPr>
          <w:p w14:paraId="21C21258"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[0.0199]</w:t>
            </w:r>
          </w:p>
        </w:tc>
      </w:tr>
      <w:tr w:rsidR="00DD7406" w:rsidRPr="00D3728A" w14:paraId="1F9F97A4" w14:textId="77777777" w:rsidTr="00DD7406">
        <w:tc>
          <w:tcPr>
            <w:tcW w:w="1653" w:type="pct"/>
            <w:tcBorders>
              <w:top w:val="nil"/>
              <w:left w:val="nil"/>
              <w:bottom w:val="nil"/>
              <w:right w:val="nil"/>
            </w:tcBorders>
          </w:tcPr>
          <w:p w14:paraId="02BED62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STAB</w:t>
            </w:r>
          </w:p>
        </w:tc>
        <w:tc>
          <w:tcPr>
            <w:tcW w:w="1116" w:type="pct"/>
            <w:tcBorders>
              <w:top w:val="nil"/>
              <w:left w:val="nil"/>
              <w:bottom w:val="nil"/>
              <w:right w:val="nil"/>
            </w:tcBorders>
          </w:tcPr>
          <w:p w14:paraId="6E297EF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0.103***</w:t>
            </w:r>
          </w:p>
        </w:tc>
        <w:tc>
          <w:tcPr>
            <w:tcW w:w="1116" w:type="pct"/>
            <w:tcBorders>
              <w:top w:val="nil"/>
              <w:left w:val="nil"/>
              <w:bottom w:val="nil"/>
              <w:right w:val="nil"/>
            </w:tcBorders>
          </w:tcPr>
          <w:p w14:paraId="48F88E7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0.0746***</w:t>
            </w:r>
          </w:p>
        </w:tc>
        <w:tc>
          <w:tcPr>
            <w:tcW w:w="1116" w:type="pct"/>
            <w:tcBorders>
              <w:top w:val="nil"/>
              <w:left w:val="nil"/>
              <w:bottom w:val="nil"/>
              <w:right w:val="nil"/>
            </w:tcBorders>
          </w:tcPr>
          <w:p w14:paraId="027D653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0.0545***</w:t>
            </w:r>
          </w:p>
        </w:tc>
      </w:tr>
      <w:tr w:rsidR="00DD7406" w:rsidRPr="00D3728A" w14:paraId="1AF1C7D0" w14:textId="77777777" w:rsidTr="00DD7406">
        <w:tc>
          <w:tcPr>
            <w:tcW w:w="1653" w:type="pct"/>
            <w:tcBorders>
              <w:top w:val="nil"/>
              <w:left w:val="nil"/>
              <w:bottom w:val="nil"/>
              <w:right w:val="nil"/>
            </w:tcBorders>
          </w:tcPr>
          <w:p w14:paraId="488920B5"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4FB89E1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[0.0278]</w:t>
            </w:r>
          </w:p>
        </w:tc>
        <w:tc>
          <w:tcPr>
            <w:tcW w:w="1116" w:type="pct"/>
            <w:tcBorders>
              <w:top w:val="nil"/>
              <w:left w:val="nil"/>
              <w:bottom w:val="nil"/>
              <w:right w:val="nil"/>
            </w:tcBorders>
          </w:tcPr>
          <w:p w14:paraId="7895A62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[0.0245]</w:t>
            </w:r>
          </w:p>
        </w:tc>
        <w:tc>
          <w:tcPr>
            <w:tcW w:w="1116" w:type="pct"/>
            <w:tcBorders>
              <w:top w:val="nil"/>
              <w:left w:val="nil"/>
              <w:bottom w:val="nil"/>
              <w:right w:val="nil"/>
            </w:tcBorders>
          </w:tcPr>
          <w:p w14:paraId="20132EA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[0.0182]</w:t>
            </w:r>
          </w:p>
        </w:tc>
      </w:tr>
      <w:tr w:rsidR="00DD7406" w:rsidRPr="00D3728A" w14:paraId="1EBFBBCC" w14:textId="77777777" w:rsidTr="00DD7406">
        <w:tc>
          <w:tcPr>
            <w:tcW w:w="1653" w:type="pct"/>
            <w:tcBorders>
              <w:top w:val="nil"/>
              <w:left w:val="nil"/>
              <w:bottom w:val="nil"/>
              <w:right w:val="nil"/>
            </w:tcBorders>
          </w:tcPr>
          <w:p w14:paraId="488B35CD"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LGDP</w:t>
            </w:r>
          </w:p>
        </w:tc>
        <w:tc>
          <w:tcPr>
            <w:tcW w:w="1116" w:type="pct"/>
            <w:tcBorders>
              <w:top w:val="nil"/>
              <w:left w:val="nil"/>
              <w:bottom w:val="nil"/>
              <w:right w:val="nil"/>
            </w:tcBorders>
          </w:tcPr>
          <w:p w14:paraId="1F9BDF0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0.485***</w:t>
            </w:r>
          </w:p>
        </w:tc>
        <w:tc>
          <w:tcPr>
            <w:tcW w:w="1116" w:type="pct"/>
            <w:tcBorders>
              <w:top w:val="nil"/>
              <w:left w:val="nil"/>
              <w:bottom w:val="nil"/>
              <w:right w:val="nil"/>
            </w:tcBorders>
          </w:tcPr>
          <w:p w14:paraId="39C6E18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0.545***</w:t>
            </w:r>
          </w:p>
        </w:tc>
        <w:tc>
          <w:tcPr>
            <w:tcW w:w="1116" w:type="pct"/>
            <w:tcBorders>
              <w:top w:val="nil"/>
              <w:left w:val="nil"/>
              <w:bottom w:val="nil"/>
              <w:right w:val="nil"/>
            </w:tcBorders>
          </w:tcPr>
          <w:p w14:paraId="1DC80DA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0.530***</w:t>
            </w:r>
          </w:p>
        </w:tc>
      </w:tr>
      <w:tr w:rsidR="00DD7406" w:rsidRPr="00D3728A" w14:paraId="48C23233" w14:textId="77777777" w:rsidTr="00DD7406">
        <w:tc>
          <w:tcPr>
            <w:tcW w:w="1653" w:type="pct"/>
            <w:tcBorders>
              <w:top w:val="nil"/>
              <w:left w:val="nil"/>
              <w:bottom w:val="nil"/>
              <w:right w:val="nil"/>
            </w:tcBorders>
          </w:tcPr>
          <w:p w14:paraId="3C944093"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1E7E1B7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[0.0185]</w:t>
            </w:r>
          </w:p>
        </w:tc>
        <w:tc>
          <w:tcPr>
            <w:tcW w:w="1116" w:type="pct"/>
            <w:tcBorders>
              <w:top w:val="nil"/>
              <w:left w:val="nil"/>
              <w:bottom w:val="nil"/>
              <w:right w:val="nil"/>
            </w:tcBorders>
          </w:tcPr>
          <w:p w14:paraId="66F0C32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[0.0167]</w:t>
            </w:r>
          </w:p>
        </w:tc>
        <w:tc>
          <w:tcPr>
            <w:tcW w:w="1116" w:type="pct"/>
            <w:tcBorders>
              <w:top w:val="nil"/>
              <w:left w:val="nil"/>
              <w:bottom w:val="nil"/>
              <w:right w:val="nil"/>
            </w:tcBorders>
          </w:tcPr>
          <w:p w14:paraId="3D7B92F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[0.0205]</w:t>
            </w:r>
          </w:p>
        </w:tc>
      </w:tr>
      <w:tr w:rsidR="00DD7406" w:rsidRPr="00D3728A" w14:paraId="4406DDFC" w14:textId="77777777" w:rsidTr="00DD7406">
        <w:tc>
          <w:tcPr>
            <w:tcW w:w="1653" w:type="pct"/>
            <w:tcBorders>
              <w:top w:val="nil"/>
              <w:left w:val="nil"/>
              <w:bottom w:val="nil"/>
              <w:right w:val="nil"/>
            </w:tcBorders>
          </w:tcPr>
          <w:p w14:paraId="5D0C9CE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LGDPPC</w:t>
            </w:r>
          </w:p>
        </w:tc>
        <w:tc>
          <w:tcPr>
            <w:tcW w:w="1116" w:type="pct"/>
            <w:tcBorders>
              <w:top w:val="nil"/>
              <w:left w:val="nil"/>
              <w:bottom w:val="nil"/>
              <w:right w:val="nil"/>
            </w:tcBorders>
          </w:tcPr>
          <w:p w14:paraId="47EC239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0.126***</w:t>
            </w:r>
          </w:p>
        </w:tc>
        <w:tc>
          <w:tcPr>
            <w:tcW w:w="1116" w:type="pct"/>
            <w:tcBorders>
              <w:top w:val="nil"/>
              <w:left w:val="nil"/>
              <w:bottom w:val="nil"/>
              <w:right w:val="nil"/>
            </w:tcBorders>
          </w:tcPr>
          <w:p w14:paraId="491EDB68"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0.151***</w:t>
            </w:r>
          </w:p>
        </w:tc>
        <w:tc>
          <w:tcPr>
            <w:tcW w:w="1116" w:type="pct"/>
            <w:tcBorders>
              <w:top w:val="nil"/>
              <w:left w:val="nil"/>
              <w:bottom w:val="nil"/>
              <w:right w:val="nil"/>
            </w:tcBorders>
          </w:tcPr>
          <w:p w14:paraId="3FD4066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0.209***</w:t>
            </w:r>
          </w:p>
        </w:tc>
      </w:tr>
      <w:tr w:rsidR="00DD7406" w:rsidRPr="00D3728A" w14:paraId="237125D7" w14:textId="77777777" w:rsidTr="00DD7406">
        <w:tc>
          <w:tcPr>
            <w:tcW w:w="1653" w:type="pct"/>
            <w:tcBorders>
              <w:top w:val="nil"/>
              <w:left w:val="nil"/>
              <w:bottom w:val="nil"/>
              <w:right w:val="nil"/>
            </w:tcBorders>
          </w:tcPr>
          <w:p w14:paraId="567EDF57"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5C4B01C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[0.0405]</w:t>
            </w:r>
          </w:p>
        </w:tc>
        <w:tc>
          <w:tcPr>
            <w:tcW w:w="1116" w:type="pct"/>
            <w:tcBorders>
              <w:top w:val="nil"/>
              <w:left w:val="nil"/>
              <w:bottom w:val="nil"/>
              <w:right w:val="nil"/>
            </w:tcBorders>
          </w:tcPr>
          <w:p w14:paraId="4490A5E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[0.0429]</w:t>
            </w:r>
          </w:p>
        </w:tc>
        <w:tc>
          <w:tcPr>
            <w:tcW w:w="1116" w:type="pct"/>
            <w:tcBorders>
              <w:top w:val="nil"/>
              <w:left w:val="nil"/>
              <w:bottom w:val="nil"/>
              <w:right w:val="nil"/>
            </w:tcBorders>
          </w:tcPr>
          <w:p w14:paraId="7C38A078"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[0.0684]</w:t>
            </w:r>
          </w:p>
        </w:tc>
      </w:tr>
      <w:tr w:rsidR="00DD7406" w:rsidRPr="00D3728A" w14:paraId="5A4C5DB2" w14:textId="77777777" w:rsidTr="00DD7406">
        <w:tc>
          <w:tcPr>
            <w:tcW w:w="1653" w:type="pct"/>
            <w:tcBorders>
              <w:top w:val="nil"/>
              <w:left w:val="nil"/>
              <w:bottom w:val="nil"/>
              <w:right w:val="nil"/>
            </w:tcBorders>
          </w:tcPr>
          <w:p w14:paraId="46C5618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GDPG</w:t>
            </w:r>
          </w:p>
        </w:tc>
        <w:tc>
          <w:tcPr>
            <w:tcW w:w="1116" w:type="pct"/>
            <w:tcBorders>
              <w:top w:val="nil"/>
              <w:left w:val="nil"/>
              <w:bottom w:val="nil"/>
              <w:right w:val="nil"/>
            </w:tcBorders>
          </w:tcPr>
          <w:p w14:paraId="1D3B4945"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0.0275***</w:t>
            </w:r>
          </w:p>
        </w:tc>
        <w:tc>
          <w:tcPr>
            <w:tcW w:w="1116" w:type="pct"/>
            <w:tcBorders>
              <w:top w:val="nil"/>
              <w:left w:val="nil"/>
              <w:bottom w:val="nil"/>
              <w:right w:val="nil"/>
            </w:tcBorders>
          </w:tcPr>
          <w:p w14:paraId="06768BA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0.0296***</w:t>
            </w:r>
          </w:p>
        </w:tc>
        <w:tc>
          <w:tcPr>
            <w:tcW w:w="1116" w:type="pct"/>
            <w:tcBorders>
              <w:top w:val="nil"/>
              <w:left w:val="nil"/>
              <w:bottom w:val="nil"/>
              <w:right w:val="nil"/>
            </w:tcBorders>
          </w:tcPr>
          <w:p w14:paraId="0CD81FE5"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0.0528***</w:t>
            </w:r>
          </w:p>
        </w:tc>
      </w:tr>
      <w:tr w:rsidR="00DD7406" w:rsidRPr="00D3728A" w14:paraId="4146C44F" w14:textId="77777777" w:rsidTr="00DD7406">
        <w:tc>
          <w:tcPr>
            <w:tcW w:w="1653" w:type="pct"/>
            <w:tcBorders>
              <w:top w:val="nil"/>
              <w:left w:val="nil"/>
              <w:bottom w:val="nil"/>
              <w:right w:val="nil"/>
            </w:tcBorders>
          </w:tcPr>
          <w:p w14:paraId="3EB356C6"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0114ACF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[0.00745]</w:t>
            </w:r>
          </w:p>
        </w:tc>
        <w:tc>
          <w:tcPr>
            <w:tcW w:w="1116" w:type="pct"/>
            <w:tcBorders>
              <w:top w:val="nil"/>
              <w:left w:val="nil"/>
              <w:bottom w:val="nil"/>
              <w:right w:val="nil"/>
            </w:tcBorders>
          </w:tcPr>
          <w:p w14:paraId="113D558E"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[0.00644]</w:t>
            </w:r>
          </w:p>
        </w:tc>
        <w:tc>
          <w:tcPr>
            <w:tcW w:w="1116" w:type="pct"/>
            <w:tcBorders>
              <w:top w:val="nil"/>
              <w:left w:val="nil"/>
              <w:bottom w:val="nil"/>
              <w:right w:val="nil"/>
            </w:tcBorders>
          </w:tcPr>
          <w:p w14:paraId="7907F4C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[0.0173]</w:t>
            </w:r>
          </w:p>
        </w:tc>
      </w:tr>
      <w:tr w:rsidR="00DD7406" w:rsidRPr="00D3728A" w14:paraId="0A15C29B" w14:textId="77777777" w:rsidTr="00DD7406">
        <w:tc>
          <w:tcPr>
            <w:tcW w:w="1653" w:type="pct"/>
            <w:tcBorders>
              <w:top w:val="nil"/>
              <w:left w:val="nil"/>
              <w:bottom w:val="nil"/>
              <w:right w:val="nil"/>
            </w:tcBorders>
          </w:tcPr>
          <w:p w14:paraId="52E5E18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FORMAL</w:t>
            </w:r>
          </w:p>
        </w:tc>
        <w:tc>
          <w:tcPr>
            <w:tcW w:w="1116" w:type="pct"/>
            <w:tcBorders>
              <w:top w:val="nil"/>
              <w:left w:val="nil"/>
              <w:bottom w:val="nil"/>
              <w:right w:val="nil"/>
            </w:tcBorders>
          </w:tcPr>
          <w:p w14:paraId="580A58FA"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2004539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-0.528***</w:t>
            </w:r>
          </w:p>
        </w:tc>
        <w:tc>
          <w:tcPr>
            <w:tcW w:w="1116" w:type="pct"/>
            <w:tcBorders>
              <w:top w:val="nil"/>
              <w:left w:val="nil"/>
              <w:bottom w:val="nil"/>
              <w:right w:val="nil"/>
            </w:tcBorders>
          </w:tcPr>
          <w:p w14:paraId="6107FA2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-0.450***</w:t>
            </w:r>
          </w:p>
        </w:tc>
      </w:tr>
      <w:tr w:rsidR="00DD7406" w:rsidRPr="00D3728A" w14:paraId="6F6D52EE" w14:textId="77777777" w:rsidTr="00DD7406">
        <w:tc>
          <w:tcPr>
            <w:tcW w:w="1653" w:type="pct"/>
            <w:tcBorders>
              <w:top w:val="nil"/>
              <w:left w:val="nil"/>
              <w:bottom w:val="nil"/>
              <w:right w:val="nil"/>
            </w:tcBorders>
          </w:tcPr>
          <w:p w14:paraId="7FD76C80"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066A738C"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3CDF7DE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[0.0532]</w:t>
            </w:r>
          </w:p>
        </w:tc>
        <w:tc>
          <w:tcPr>
            <w:tcW w:w="1116" w:type="pct"/>
            <w:tcBorders>
              <w:top w:val="nil"/>
              <w:left w:val="nil"/>
              <w:bottom w:val="nil"/>
              <w:right w:val="nil"/>
            </w:tcBorders>
          </w:tcPr>
          <w:p w14:paraId="64ECE72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[0.0712]</w:t>
            </w:r>
          </w:p>
        </w:tc>
      </w:tr>
      <w:tr w:rsidR="00DD7406" w:rsidRPr="00D3728A" w14:paraId="320DF91A" w14:textId="77777777" w:rsidTr="00DD7406">
        <w:tc>
          <w:tcPr>
            <w:tcW w:w="1653" w:type="pct"/>
            <w:tcBorders>
              <w:top w:val="nil"/>
              <w:left w:val="nil"/>
              <w:bottom w:val="nil"/>
              <w:right w:val="nil"/>
            </w:tcBorders>
          </w:tcPr>
          <w:p w14:paraId="50136D65"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INFORMAL</w:t>
            </w:r>
          </w:p>
        </w:tc>
        <w:tc>
          <w:tcPr>
            <w:tcW w:w="1116" w:type="pct"/>
            <w:tcBorders>
              <w:top w:val="nil"/>
              <w:left w:val="nil"/>
              <w:bottom w:val="nil"/>
              <w:right w:val="nil"/>
            </w:tcBorders>
          </w:tcPr>
          <w:p w14:paraId="14589C21"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266A48B3"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0.122***</w:t>
            </w:r>
          </w:p>
        </w:tc>
        <w:tc>
          <w:tcPr>
            <w:tcW w:w="1116" w:type="pct"/>
            <w:tcBorders>
              <w:top w:val="nil"/>
              <w:left w:val="nil"/>
              <w:bottom w:val="nil"/>
              <w:right w:val="nil"/>
            </w:tcBorders>
          </w:tcPr>
          <w:p w14:paraId="5673C308"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0.0928***</w:t>
            </w:r>
          </w:p>
        </w:tc>
      </w:tr>
      <w:tr w:rsidR="00DD7406" w:rsidRPr="00D3728A" w14:paraId="4C228D2A" w14:textId="77777777" w:rsidTr="00DD7406">
        <w:tc>
          <w:tcPr>
            <w:tcW w:w="1653" w:type="pct"/>
            <w:tcBorders>
              <w:top w:val="nil"/>
              <w:left w:val="nil"/>
              <w:bottom w:val="nil"/>
              <w:right w:val="nil"/>
            </w:tcBorders>
          </w:tcPr>
          <w:p w14:paraId="5D1A2333"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4EC543AD"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00C2302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[0.0143]</w:t>
            </w:r>
          </w:p>
        </w:tc>
        <w:tc>
          <w:tcPr>
            <w:tcW w:w="1116" w:type="pct"/>
            <w:tcBorders>
              <w:top w:val="nil"/>
              <w:left w:val="nil"/>
              <w:bottom w:val="nil"/>
              <w:right w:val="nil"/>
            </w:tcBorders>
          </w:tcPr>
          <w:p w14:paraId="34BCDACC"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[0.0226]</w:t>
            </w:r>
          </w:p>
        </w:tc>
      </w:tr>
      <w:tr w:rsidR="00DD7406" w:rsidRPr="00D3728A" w14:paraId="31E112F8" w14:textId="77777777" w:rsidTr="00DD7406">
        <w:tc>
          <w:tcPr>
            <w:tcW w:w="1653" w:type="pct"/>
            <w:tcBorders>
              <w:top w:val="nil"/>
              <w:left w:val="nil"/>
              <w:bottom w:val="nil"/>
              <w:right w:val="nil"/>
            </w:tcBorders>
          </w:tcPr>
          <w:p w14:paraId="648E6D6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FORMALxINFORMAL</w:t>
            </w:r>
          </w:p>
        </w:tc>
        <w:tc>
          <w:tcPr>
            <w:tcW w:w="1116" w:type="pct"/>
            <w:tcBorders>
              <w:top w:val="nil"/>
              <w:left w:val="nil"/>
              <w:bottom w:val="nil"/>
              <w:right w:val="nil"/>
            </w:tcBorders>
          </w:tcPr>
          <w:p w14:paraId="47088C45"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2DFA0A3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0.0567***</w:t>
            </w:r>
          </w:p>
        </w:tc>
        <w:tc>
          <w:tcPr>
            <w:tcW w:w="1116" w:type="pct"/>
            <w:tcBorders>
              <w:top w:val="nil"/>
              <w:left w:val="nil"/>
              <w:bottom w:val="nil"/>
              <w:right w:val="nil"/>
            </w:tcBorders>
          </w:tcPr>
          <w:p w14:paraId="6C66769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0.0966***</w:t>
            </w:r>
          </w:p>
        </w:tc>
      </w:tr>
      <w:tr w:rsidR="00DD7406" w:rsidRPr="00D3728A" w14:paraId="5DDB5AB9" w14:textId="77777777" w:rsidTr="00DD7406">
        <w:tc>
          <w:tcPr>
            <w:tcW w:w="1653" w:type="pct"/>
            <w:tcBorders>
              <w:top w:val="nil"/>
              <w:left w:val="nil"/>
              <w:bottom w:val="nil"/>
              <w:right w:val="nil"/>
            </w:tcBorders>
          </w:tcPr>
          <w:p w14:paraId="22A174E9"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270EC6B1"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bottom w:val="nil"/>
              <w:right w:val="nil"/>
            </w:tcBorders>
          </w:tcPr>
          <w:p w14:paraId="7CE9490B"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[0.0165]</w:t>
            </w:r>
          </w:p>
        </w:tc>
        <w:tc>
          <w:tcPr>
            <w:tcW w:w="1116" w:type="pct"/>
            <w:tcBorders>
              <w:top w:val="nil"/>
              <w:left w:val="nil"/>
              <w:bottom w:val="nil"/>
              <w:right w:val="nil"/>
            </w:tcBorders>
          </w:tcPr>
          <w:p w14:paraId="1CA4158C"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[0.0237]</w:t>
            </w:r>
          </w:p>
        </w:tc>
      </w:tr>
      <w:tr w:rsidR="00DD7406" w:rsidRPr="00D3728A" w14:paraId="0ED34967" w14:textId="77777777" w:rsidTr="00DD7406">
        <w:tc>
          <w:tcPr>
            <w:tcW w:w="1653" w:type="pct"/>
            <w:tcBorders>
              <w:top w:val="nil"/>
              <w:left w:val="nil"/>
              <w:bottom w:val="nil"/>
              <w:right w:val="nil"/>
            </w:tcBorders>
          </w:tcPr>
          <w:p w14:paraId="4334544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Constant</w:t>
            </w:r>
          </w:p>
        </w:tc>
        <w:tc>
          <w:tcPr>
            <w:tcW w:w="1116" w:type="pct"/>
            <w:tcBorders>
              <w:top w:val="nil"/>
              <w:left w:val="nil"/>
              <w:bottom w:val="nil"/>
              <w:right w:val="nil"/>
            </w:tcBorders>
          </w:tcPr>
          <w:p w14:paraId="499134C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-3.231***</w:t>
            </w:r>
          </w:p>
        </w:tc>
        <w:tc>
          <w:tcPr>
            <w:tcW w:w="1116" w:type="pct"/>
            <w:tcBorders>
              <w:top w:val="nil"/>
              <w:left w:val="nil"/>
              <w:bottom w:val="nil"/>
              <w:right w:val="nil"/>
            </w:tcBorders>
          </w:tcPr>
          <w:p w14:paraId="62A2971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-3.632***</w:t>
            </w:r>
          </w:p>
        </w:tc>
        <w:tc>
          <w:tcPr>
            <w:tcW w:w="1116" w:type="pct"/>
            <w:tcBorders>
              <w:top w:val="nil"/>
              <w:left w:val="nil"/>
              <w:bottom w:val="nil"/>
              <w:right w:val="nil"/>
            </w:tcBorders>
          </w:tcPr>
          <w:p w14:paraId="128B8E00"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-3.979***</w:t>
            </w:r>
          </w:p>
        </w:tc>
      </w:tr>
      <w:tr w:rsidR="00DD7406" w:rsidRPr="00D3728A" w14:paraId="63725031" w14:textId="77777777" w:rsidTr="00DD7406">
        <w:tc>
          <w:tcPr>
            <w:tcW w:w="1653" w:type="pct"/>
            <w:tcBorders>
              <w:top w:val="nil"/>
              <w:left w:val="nil"/>
              <w:right w:val="nil"/>
            </w:tcBorders>
          </w:tcPr>
          <w:p w14:paraId="5AB3BF1F" w14:textId="77777777" w:rsidR="00DD7406" w:rsidRPr="001D77AF" w:rsidRDefault="00DD7406" w:rsidP="008D03B5">
            <w:pPr>
              <w:widowControl w:val="0"/>
              <w:autoSpaceDE w:val="0"/>
              <w:autoSpaceDN w:val="0"/>
              <w:adjustRightInd w:val="0"/>
              <w:jc w:val="both"/>
              <w:rPr>
                <w:rFonts w:eastAsiaTheme="minorEastAsia"/>
                <w:lang w:val="en-GB" w:eastAsia="en-GB"/>
              </w:rPr>
            </w:pPr>
          </w:p>
        </w:tc>
        <w:tc>
          <w:tcPr>
            <w:tcW w:w="1116" w:type="pct"/>
            <w:tcBorders>
              <w:top w:val="nil"/>
              <w:left w:val="nil"/>
              <w:right w:val="nil"/>
            </w:tcBorders>
          </w:tcPr>
          <w:p w14:paraId="3CB7E5C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[0.479]</w:t>
            </w:r>
          </w:p>
        </w:tc>
        <w:tc>
          <w:tcPr>
            <w:tcW w:w="1116" w:type="pct"/>
            <w:tcBorders>
              <w:top w:val="nil"/>
              <w:left w:val="nil"/>
              <w:right w:val="nil"/>
            </w:tcBorders>
          </w:tcPr>
          <w:p w14:paraId="75F6AAC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[0.557]</w:t>
            </w:r>
          </w:p>
        </w:tc>
        <w:tc>
          <w:tcPr>
            <w:tcW w:w="1116" w:type="pct"/>
            <w:tcBorders>
              <w:top w:val="nil"/>
              <w:left w:val="nil"/>
              <w:right w:val="nil"/>
            </w:tcBorders>
          </w:tcPr>
          <w:p w14:paraId="130289E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[0.765]</w:t>
            </w:r>
          </w:p>
        </w:tc>
      </w:tr>
      <w:tr w:rsidR="00DD7406" w:rsidRPr="00D3728A" w14:paraId="401468AF" w14:textId="77777777" w:rsidTr="00DD7406">
        <w:tc>
          <w:tcPr>
            <w:tcW w:w="1653" w:type="pct"/>
            <w:tcBorders>
              <w:top w:val="nil"/>
              <w:left w:val="nil"/>
              <w:right w:val="nil"/>
            </w:tcBorders>
          </w:tcPr>
          <w:p w14:paraId="337B54B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Industry dummies</w:t>
            </w:r>
          </w:p>
        </w:tc>
        <w:tc>
          <w:tcPr>
            <w:tcW w:w="1116" w:type="pct"/>
            <w:tcBorders>
              <w:top w:val="nil"/>
              <w:left w:val="nil"/>
              <w:right w:val="nil"/>
            </w:tcBorders>
          </w:tcPr>
          <w:p w14:paraId="1D6F014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Included</w:t>
            </w:r>
          </w:p>
        </w:tc>
        <w:tc>
          <w:tcPr>
            <w:tcW w:w="1116" w:type="pct"/>
            <w:tcBorders>
              <w:top w:val="nil"/>
              <w:left w:val="nil"/>
              <w:right w:val="nil"/>
            </w:tcBorders>
          </w:tcPr>
          <w:p w14:paraId="4690A4C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Included</w:t>
            </w:r>
          </w:p>
        </w:tc>
        <w:tc>
          <w:tcPr>
            <w:tcW w:w="1116" w:type="pct"/>
            <w:tcBorders>
              <w:top w:val="nil"/>
              <w:left w:val="nil"/>
              <w:right w:val="nil"/>
            </w:tcBorders>
          </w:tcPr>
          <w:p w14:paraId="360D8782"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 xml:space="preserve">Included </w:t>
            </w:r>
          </w:p>
        </w:tc>
      </w:tr>
      <w:tr w:rsidR="00DD7406" w:rsidRPr="00D3728A" w14:paraId="49436F22" w14:textId="77777777" w:rsidTr="00DD7406">
        <w:tc>
          <w:tcPr>
            <w:tcW w:w="1653" w:type="pct"/>
            <w:tcBorders>
              <w:top w:val="nil"/>
              <w:left w:val="nil"/>
              <w:right w:val="nil"/>
            </w:tcBorders>
          </w:tcPr>
          <w:p w14:paraId="6A00CEF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Year dummies</w:t>
            </w:r>
          </w:p>
        </w:tc>
        <w:tc>
          <w:tcPr>
            <w:tcW w:w="1116" w:type="pct"/>
            <w:tcBorders>
              <w:top w:val="nil"/>
              <w:left w:val="nil"/>
              <w:right w:val="nil"/>
            </w:tcBorders>
          </w:tcPr>
          <w:p w14:paraId="3C1118A6"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Not Included</w:t>
            </w:r>
          </w:p>
        </w:tc>
        <w:tc>
          <w:tcPr>
            <w:tcW w:w="1116" w:type="pct"/>
            <w:tcBorders>
              <w:top w:val="nil"/>
              <w:left w:val="nil"/>
              <w:right w:val="nil"/>
            </w:tcBorders>
          </w:tcPr>
          <w:p w14:paraId="76EB6B3F"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Not Included</w:t>
            </w:r>
          </w:p>
        </w:tc>
        <w:tc>
          <w:tcPr>
            <w:tcW w:w="1116" w:type="pct"/>
            <w:tcBorders>
              <w:top w:val="nil"/>
              <w:left w:val="nil"/>
              <w:right w:val="nil"/>
            </w:tcBorders>
          </w:tcPr>
          <w:p w14:paraId="407E5303" w14:textId="77777777" w:rsidR="00DD7406" w:rsidRPr="001D77AF" w:rsidRDefault="00C1479E"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I</w:t>
            </w:r>
            <w:r w:rsidR="00DD7406" w:rsidRPr="001D77AF">
              <w:rPr>
                <w:rFonts w:eastAsiaTheme="minorEastAsia"/>
                <w:lang w:val="en-GB" w:eastAsia="en-GB"/>
              </w:rPr>
              <w:t>ncluded</w:t>
            </w:r>
          </w:p>
        </w:tc>
      </w:tr>
      <w:tr w:rsidR="00DD7406" w:rsidRPr="00D3728A" w14:paraId="5A245654" w14:textId="77777777" w:rsidTr="00DD7406">
        <w:tc>
          <w:tcPr>
            <w:tcW w:w="1653" w:type="pct"/>
            <w:tcBorders>
              <w:top w:val="nil"/>
              <w:left w:val="nil"/>
              <w:right w:val="nil"/>
            </w:tcBorders>
          </w:tcPr>
          <w:p w14:paraId="3B0B4B6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Pseudo R</w:t>
            </w:r>
            <w:r w:rsidRPr="001D77AF">
              <w:rPr>
                <w:rFonts w:eastAsiaTheme="minorEastAsia"/>
                <w:vertAlign w:val="superscript"/>
                <w:lang w:val="en-GB" w:eastAsia="en-GB"/>
              </w:rPr>
              <w:t>2</w:t>
            </w:r>
          </w:p>
        </w:tc>
        <w:tc>
          <w:tcPr>
            <w:tcW w:w="1116" w:type="pct"/>
            <w:tcBorders>
              <w:top w:val="nil"/>
              <w:left w:val="nil"/>
              <w:right w:val="nil"/>
            </w:tcBorders>
          </w:tcPr>
          <w:p w14:paraId="3B58CFBD"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0.4725</w:t>
            </w:r>
          </w:p>
        </w:tc>
        <w:tc>
          <w:tcPr>
            <w:tcW w:w="1116" w:type="pct"/>
            <w:tcBorders>
              <w:top w:val="nil"/>
              <w:left w:val="nil"/>
              <w:right w:val="nil"/>
            </w:tcBorders>
          </w:tcPr>
          <w:p w14:paraId="59266245"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0.4885</w:t>
            </w:r>
          </w:p>
        </w:tc>
        <w:tc>
          <w:tcPr>
            <w:tcW w:w="1116" w:type="pct"/>
            <w:tcBorders>
              <w:top w:val="nil"/>
              <w:left w:val="nil"/>
              <w:right w:val="nil"/>
            </w:tcBorders>
          </w:tcPr>
          <w:p w14:paraId="3094DE63"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0.4981</w:t>
            </w:r>
          </w:p>
        </w:tc>
      </w:tr>
      <w:tr w:rsidR="00DD7406" w:rsidRPr="00D3728A" w14:paraId="1AD56102" w14:textId="77777777" w:rsidTr="00DD7406">
        <w:tc>
          <w:tcPr>
            <w:tcW w:w="1653" w:type="pct"/>
            <w:tcBorders>
              <w:top w:val="nil"/>
              <w:left w:val="nil"/>
              <w:right w:val="nil"/>
            </w:tcBorders>
          </w:tcPr>
          <w:p w14:paraId="3F10B09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LR χ</w:t>
            </w:r>
            <w:r w:rsidRPr="001D77AF">
              <w:rPr>
                <w:rFonts w:eastAsiaTheme="minorEastAsia"/>
                <w:vertAlign w:val="superscript"/>
                <w:lang w:val="en-GB" w:eastAsia="en-GB"/>
              </w:rPr>
              <w:t>2</w:t>
            </w:r>
          </w:p>
        </w:tc>
        <w:tc>
          <w:tcPr>
            <w:tcW w:w="1116" w:type="pct"/>
            <w:tcBorders>
              <w:top w:val="nil"/>
              <w:left w:val="nil"/>
              <w:right w:val="nil"/>
            </w:tcBorders>
          </w:tcPr>
          <w:p w14:paraId="7E53E6D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5444544***</w:t>
            </w:r>
          </w:p>
        </w:tc>
        <w:tc>
          <w:tcPr>
            <w:tcW w:w="1116" w:type="pct"/>
            <w:tcBorders>
              <w:top w:val="nil"/>
              <w:left w:val="nil"/>
              <w:right w:val="nil"/>
            </w:tcBorders>
          </w:tcPr>
          <w:p w14:paraId="73CC0A0A"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5577013***</w:t>
            </w:r>
          </w:p>
        </w:tc>
        <w:tc>
          <w:tcPr>
            <w:tcW w:w="1116" w:type="pct"/>
            <w:tcBorders>
              <w:top w:val="nil"/>
              <w:left w:val="nil"/>
              <w:right w:val="nil"/>
            </w:tcBorders>
          </w:tcPr>
          <w:p w14:paraId="75AA2188"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5686524***</w:t>
            </w:r>
          </w:p>
        </w:tc>
      </w:tr>
      <w:tr w:rsidR="00DD7406" w:rsidRPr="00D3728A" w14:paraId="63D04FCD" w14:textId="77777777" w:rsidTr="00DD7406">
        <w:tc>
          <w:tcPr>
            <w:tcW w:w="1653" w:type="pct"/>
            <w:tcBorders>
              <w:top w:val="nil"/>
              <w:left w:val="nil"/>
              <w:bottom w:val="single" w:sz="4" w:space="0" w:color="auto"/>
              <w:right w:val="nil"/>
            </w:tcBorders>
          </w:tcPr>
          <w:p w14:paraId="06F75449"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i/>
                <w:iCs/>
                <w:lang w:val="en-GB" w:eastAsia="en-GB"/>
              </w:rPr>
              <w:t>N</w:t>
            </w:r>
          </w:p>
        </w:tc>
        <w:tc>
          <w:tcPr>
            <w:tcW w:w="1116" w:type="pct"/>
            <w:tcBorders>
              <w:top w:val="nil"/>
              <w:left w:val="nil"/>
              <w:bottom w:val="single" w:sz="4" w:space="0" w:color="auto"/>
              <w:right w:val="nil"/>
            </w:tcBorders>
          </w:tcPr>
          <w:p w14:paraId="59691DBB" w14:textId="77777777" w:rsidR="00DD7406" w:rsidRPr="001D77AF" w:rsidRDefault="004118B3"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3636</w:t>
            </w:r>
          </w:p>
        </w:tc>
        <w:tc>
          <w:tcPr>
            <w:tcW w:w="1116" w:type="pct"/>
            <w:tcBorders>
              <w:top w:val="nil"/>
              <w:left w:val="nil"/>
              <w:bottom w:val="single" w:sz="4" w:space="0" w:color="auto"/>
              <w:right w:val="nil"/>
            </w:tcBorders>
          </w:tcPr>
          <w:p w14:paraId="30A66507"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3636</w:t>
            </w:r>
          </w:p>
        </w:tc>
        <w:tc>
          <w:tcPr>
            <w:tcW w:w="1116" w:type="pct"/>
            <w:tcBorders>
              <w:top w:val="nil"/>
              <w:left w:val="nil"/>
              <w:bottom w:val="single" w:sz="4" w:space="0" w:color="auto"/>
              <w:right w:val="nil"/>
            </w:tcBorders>
          </w:tcPr>
          <w:p w14:paraId="7A7E8C11" w14:textId="77777777" w:rsidR="00DD7406" w:rsidRPr="001D77AF" w:rsidRDefault="00DD7406" w:rsidP="008D03B5">
            <w:pPr>
              <w:widowControl w:val="0"/>
              <w:autoSpaceDE w:val="0"/>
              <w:autoSpaceDN w:val="0"/>
              <w:adjustRightInd w:val="0"/>
              <w:jc w:val="both"/>
              <w:rPr>
                <w:rFonts w:eastAsiaTheme="minorEastAsia"/>
                <w:lang w:val="en-GB" w:eastAsia="en-GB"/>
              </w:rPr>
            </w:pPr>
            <w:r w:rsidRPr="001D77AF">
              <w:rPr>
                <w:rFonts w:eastAsiaTheme="minorEastAsia"/>
                <w:lang w:val="en-GB" w:eastAsia="en-GB"/>
              </w:rPr>
              <w:t>3636</w:t>
            </w:r>
          </w:p>
        </w:tc>
      </w:tr>
    </w:tbl>
    <w:p w14:paraId="49924D67" w14:textId="77777777" w:rsidR="00DD7406" w:rsidRPr="001D77AF" w:rsidRDefault="00DD7406" w:rsidP="008D03B5">
      <w:pPr>
        <w:spacing w:line="480" w:lineRule="auto"/>
        <w:jc w:val="both"/>
        <w:rPr>
          <w:lang w:val="en-GB"/>
        </w:rPr>
      </w:pPr>
    </w:p>
    <w:p w14:paraId="0CB051C5" w14:textId="77777777" w:rsidR="00DD7406" w:rsidRPr="001D77AF" w:rsidRDefault="00DD7406" w:rsidP="008D03B5">
      <w:pPr>
        <w:spacing w:line="480" w:lineRule="auto"/>
        <w:jc w:val="both"/>
        <w:rPr>
          <w:lang w:val="en-GB"/>
        </w:rPr>
      </w:pPr>
    </w:p>
    <w:p w14:paraId="633DB4E0" w14:textId="77777777" w:rsidR="00DD7406" w:rsidRPr="001D77AF" w:rsidRDefault="00DD7406" w:rsidP="008D03B5">
      <w:pPr>
        <w:spacing w:line="480" w:lineRule="auto"/>
        <w:jc w:val="both"/>
        <w:rPr>
          <w:lang w:val="en-GB"/>
        </w:rPr>
      </w:pPr>
    </w:p>
    <w:p w14:paraId="5150EC10" w14:textId="77777777" w:rsidR="00DD7406" w:rsidRPr="001D77AF" w:rsidRDefault="00DD7406" w:rsidP="008D03B5">
      <w:pPr>
        <w:spacing w:line="480" w:lineRule="auto"/>
        <w:jc w:val="both"/>
        <w:rPr>
          <w:lang w:val="en-GB"/>
        </w:rPr>
      </w:pPr>
    </w:p>
    <w:p w14:paraId="287CF0DD" w14:textId="77777777" w:rsidR="00DD7406" w:rsidRPr="001D77AF" w:rsidRDefault="00DD7406" w:rsidP="008D03B5">
      <w:pPr>
        <w:spacing w:line="480" w:lineRule="auto"/>
        <w:jc w:val="both"/>
        <w:rPr>
          <w:lang w:val="en-GB"/>
        </w:rPr>
      </w:pPr>
    </w:p>
    <w:p w14:paraId="5C3119F6" w14:textId="77777777" w:rsidR="00DD7406" w:rsidRPr="001D77AF" w:rsidRDefault="00DD7406" w:rsidP="008D03B5">
      <w:pPr>
        <w:spacing w:line="480" w:lineRule="auto"/>
        <w:jc w:val="both"/>
        <w:rPr>
          <w:lang w:val="en-GB"/>
        </w:rPr>
      </w:pPr>
    </w:p>
    <w:p w14:paraId="62BDDDBD" w14:textId="77777777" w:rsidR="00DD7406" w:rsidRPr="001D77AF" w:rsidRDefault="00DD7406" w:rsidP="008D03B5">
      <w:pPr>
        <w:spacing w:line="480" w:lineRule="auto"/>
        <w:jc w:val="both"/>
        <w:rPr>
          <w:lang w:val="en-GB"/>
        </w:rPr>
      </w:pPr>
    </w:p>
    <w:p w14:paraId="28F080AA" w14:textId="77777777" w:rsidR="00DD7406" w:rsidRPr="001D77AF" w:rsidRDefault="00DD7406" w:rsidP="008D03B5">
      <w:pPr>
        <w:spacing w:line="480" w:lineRule="auto"/>
        <w:jc w:val="both"/>
        <w:rPr>
          <w:lang w:val="en-GB"/>
        </w:rPr>
      </w:pPr>
    </w:p>
    <w:p w14:paraId="2D84CDE7" w14:textId="77777777" w:rsidR="00DD7406" w:rsidRPr="001D77AF" w:rsidRDefault="00DD7406" w:rsidP="008D03B5">
      <w:pPr>
        <w:spacing w:line="480" w:lineRule="auto"/>
        <w:jc w:val="both"/>
        <w:rPr>
          <w:lang w:val="en-GB"/>
        </w:rPr>
      </w:pPr>
    </w:p>
    <w:p w14:paraId="5ADBF015" w14:textId="77777777" w:rsidR="00DD7406" w:rsidRPr="001D77AF" w:rsidRDefault="00DD7406" w:rsidP="008D03B5">
      <w:pPr>
        <w:spacing w:line="480" w:lineRule="auto"/>
        <w:jc w:val="both"/>
        <w:rPr>
          <w:lang w:val="en-GB"/>
        </w:rPr>
      </w:pPr>
    </w:p>
    <w:p w14:paraId="42963550" w14:textId="77777777" w:rsidR="00DD7406" w:rsidRPr="001D77AF" w:rsidRDefault="00DD7406" w:rsidP="008D03B5">
      <w:pPr>
        <w:spacing w:line="480" w:lineRule="auto"/>
        <w:jc w:val="both"/>
        <w:rPr>
          <w:lang w:val="en-GB"/>
        </w:rPr>
      </w:pPr>
    </w:p>
    <w:p w14:paraId="1788162E" w14:textId="77777777" w:rsidR="00DD7406" w:rsidRPr="001D77AF" w:rsidRDefault="00DD7406" w:rsidP="008D03B5">
      <w:pPr>
        <w:spacing w:line="480" w:lineRule="auto"/>
        <w:jc w:val="both"/>
        <w:rPr>
          <w:lang w:val="en-GB"/>
        </w:rPr>
      </w:pPr>
    </w:p>
    <w:p w14:paraId="5AC7AD90" w14:textId="77777777" w:rsidR="00DD7406" w:rsidRPr="001D77AF" w:rsidRDefault="00DD7406" w:rsidP="008D03B5">
      <w:pPr>
        <w:spacing w:line="480" w:lineRule="auto"/>
        <w:jc w:val="both"/>
        <w:rPr>
          <w:lang w:val="en-GB"/>
        </w:rPr>
      </w:pPr>
    </w:p>
    <w:p w14:paraId="395A58C3" w14:textId="77777777" w:rsidR="00DD7406" w:rsidRPr="001D77AF" w:rsidRDefault="00DD7406" w:rsidP="008D03B5">
      <w:pPr>
        <w:spacing w:line="480" w:lineRule="auto"/>
        <w:jc w:val="both"/>
        <w:rPr>
          <w:lang w:val="en-GB"/>
        </w:rPr>
      </w:pPr>
    </w:p>
    <w:p w14:paraId="5A0BF672" w14:textId="77777777" w:rsidR="00DD7406" w:rsidRPr="001D77AF" w:rsidRDefault="00DD7406" w:rsidP="008D03B5">
      <w:pPr>
        <w:spacing w:line="480" w:lineRule="auto"/>
        <w:jc w:val="both"/>
        <w:rPr>
          <w:lang w:val="en-GB"/>
        </w:rPr>
      </w:pPr>
    </w:p>
    <w:p w14:paraId="174589CB" w14:textId="77777777" w:rsidR="00BE2B98" w:rsidRPr="001D77AF" w:rsidRDefault="00BE2B98" w:rsidP="008D03B5">
      <w:pPr>
        <w:spacing w:line="480" w:lineRule="auto"/>
        <w:jc w:val="both"/>
        <w:rPr>
          <w:lang w:val="en-GB"/>
        </w:rPr>
      </w:pPr>
    </w:p>
    <w:p w14:paraId="17FA69CE" w14:textId="48E313C1" w:rsidR="007D391E" w:rsidRPr="001D77AF" w:rsidRDefault="007D391E" w:rsidP="008D03B5">
      <w:pPr>
        <w:spacing w:line="480" w:lineRule="auto"/>
        <w:jc w:val="both"/>
        <w:rPr>
          <w:lang w:val="en-GB"/>
        </w:rPr>
      </w:pPr>
      <w:r w:rsidRPr="001D77AF">
        <w:rPr>
          <w:lang w:val="en-GB"/>
        </w:rPr>
        <w:t xml:space="preserve">Note: Robust standard errors in </w:t>
      </w:r>
      <w:r w:rsidR="00442F81" w:rsidRPr="001D77AF">
        <w:rPr>
          <w:lang w:val="en-GB"/>
        </w:rPr>
        <w:t>brackets; *</w:t>
      </w:r>
      <w:r w:rsidRPr="001D77AF">
        <w:rPr>
          <w:lang w:val="en-GB"/>
        </w:rPr>
        <w:t xml:space="preserve"> p &lt; 0.10, ** p &lt; 0.05, *** p &lt; 0.01</w:t>
      </w:r>
    </w:p>
    <w:p w14:paraId="7CB9B702" w14:textId="77777777" w:rsidR="007D391E" w:rsidRPr="001D77AF" w:rsidRDefault="007D391E" w:rsidP="008D03B5">
      <w:pPr>
        <w:spacing w:line="480" w:lineRule="auto"/>
        <w:jc w:val="both"/>
        <w:rPr>
          <w:lang w:val="en-GB"/>
        </w:rPr>
      </w:pPr>
    </w:p>
    <w:p w14:paraId="7BAECA40" w14:textId="77777777" w:rsidR="00C9345E" w:rsidRPr="001D77AF" w:rsidRDefault="00C9345E">
      <w:pPr>
        <w:rPr>
          <w:lang w:val="en-GB"/>
        </w:rPr>
      </w:pPr>
      <w:r w:rsidRPr="001D77AF">
        <w:rPr>
          <w:lang w:val="en-GB"/>
        </w:rPr>
        <w:br w:type="page"/>
      </w:r>
    </w:p>
    <w:p w14:paraId="7B91E345" w14:textId="77777777" w:rsidR="00C9345E" w:rsidRPr="001D77AF" w:rsidRDefault="00C9345E" w:rsidP="006167BC">
      <w:pPr>
        <w:spacing w:line="480" w:lineRule="auto"/>
        <w:jc w:val="both"/>
        <w:rPr>
          <w:b/>
          <w:lang w:val="en-GB"/>
        </w:rPr>
      </w:pPr>
      <w:r w:rsidRPr="001D77AF">
        <w:rPr>
          <w:b/>
          <w:lang w:val="en-GB"/>
        </w:rPr>
        <w:lastRenderedPageBreak/>
        <w:t>References</w:t>
      </w:r>
    </w:p>
    <w:p w14:paraId="7EEB1F81" w14:textId="77777777" w:rsidR="006A6780" w:rsidRDefault="006A6780" w:rsidP="006A6780">
      <w:pPr>
        <w:shd w:val="clear" w:color="auto" w:fill="FFFFFF"/>
        <w:spacing w:line="480" w:lineRule="auto"/>
        <w:textAlignment w:val="baseline"/>
        <w:rPr>
          <w:rFonts w:eastAsia="Times New Roman"/>
          <w:bCs/>
          <w:color w:val="353C3F"/>
          <w:kern w:val="36"/>
          <w:lang w:eastAsia="en-GB"/>
        </w:rPr>
      </w:pPr>
      <w:r w:rsidRPr="00BF6FA4">
        <w:t xml:space="preserve">Alesina, A., &amp; Giuliano, P. (2015). </w:t>
      </w:r>
      <w:r w:rsidRPr="00BF6FA4">
        <w:rPr>
          <w:rFonts w:eastAsia="Times New Roman"/>
          <w:bCs/>
          <w:color w:val="353C3F"/>
          <w:kern w:val="36"/>
          <w:lang w:eastAsia="en-GB"/>
        </w:rPr>
        <w:t xml:space="preserve">Culture and Institutions. Journal of Economic Literature. </w:t>
      </w:r>
    </w:p>
    <w:p w14:paraId="1D249871" w14:textId="77777777" w:rsidR="006A6780" w:rsidRPr="00BF6FA4" w:rsidRDefault="006A6780" w:rsidP="006A6780">
      <w:pPr>
        <w:shd w:val="clear" w:color="auto" w:fill="FFFFFF"/>
        <w:spacing w:line="480" w:lineRule="auto"/>
        <w:ind w:firstLine="720"/>
        <w:textAlignment w:val="baseline"/>
        <w:rPr>
          <w:rFonts w:eastAsia="Times New Roman"/>
          <w:bCs/>
          <w:color w:val="353C3F"/>
          <w:kern w:val="36"/>
          <w:lang w:eastAsia="en-GB"/>
        </w:rPr>
      </w:pPr>
      <w:r w:rsidRPr="00BF6FA4">
        <w:rPr>
          <w:rFonts w:eastAsia="Times New Roman"/>
          <w:bCs/>
          <w:color w:val="353C3F"/>
          <w:kern w:val="36"/>
          <w:lang w:eastAsia="en-GB"/>
        </w:rPr>
        <w:t xml:space="preserve">53(4), 898-944.  </w:t>
      </w:r>
    </w:p>
    <w:p w14:paraId="78E59D97" w14:textId="77777777" w:rsidR="00551511" w:rsidRDefault="00551511" w:rsidP="00551511">
      <w:pPr>
        <w:shd w:val="clear" w:color="auto" w:fill="FCFCFC"/>
        <w:spacing w:line="480" w:lineRule="auto"/>
        <w:outlineLvl w:val="0"/>
        <w:rPr>
          <w:rFonts w:eastAsia="Times New Roman"/>
          <w:color w:val="333333"/>
          <w:spacing w:val="2"/>
          <w:kern w:val="36"/>
          <w:lang w:val="en" w:eastAsia="en-GB"/>
        </w:rPr>
      </w:pPr>
      <w:r w:rsidRPr="00AA21F6">
        <w:t xml:space="preserve">Andersson, U., Cuervo-Cazurra, A., &amp; Neilsen, B.B. (2014).  </w:t>
      </w:r>
      <w:r w:rsidRPr="00AA21F6">
        <w:rPr>
          <w:rFonts w:eastAsia="Times New Roman"/>
          <w:color w:val="333333"/>
          <w:spacing w:val="2"/>
          <w:kern w:val="36"/>
          <w:lang w:val="en" w:eastAsia="en-GB"/>
        </w:rPr>
        <w:t xml:space="preserve">From the Editors: Explaining </w:t>
      </w:r>
      <w:r>
        <w:rPr>
          <w:rFonts w:eastAsia="Times New Roman"/>
          <w:color w:val="333333"/>
          <w:spacing w:val="2"/>
          <w:kern w:val="36"/>
          <w:lang w:val="en" w:eastAsia="en-GB"/>
        </w:rPr>
        <w:t xml:space="preserve">    </w:t>
      </w:r>
    </w:p>
    <w:p w14:paraId="1BDB9588" w14:textId="77777777" w:rsidR="00551511" w:rsidRPr="00584EC7" w:rsidRDefault="00551511" w:rsidP="00551511">
      <w:pPr>
        <w:shd w:val="clear" w:color="auto" w:fill="FCFCFC"/>
        <w:spacing w:line="480" w:lineRule="auto"/>
        <w:ind w:left="284"/>
        <w:outlineLvl w:val="0"/>
        <w:rPr>
          <w:rFonts w:eastAsia="Times New Roman"/>
          <w:lang w:val="en-GB" w:eastAsia="en-GB"/>
        </w:rPr>
      </w:pPr>
      <w:r w:rsidRPr="00AA21F6">
        <w:rPr>
          <w:rFonts w:eastAsia="Times New Roman"/>
          <w:color w:val="333333"/>
          <w:spacing w:val="2"/>
          <w:kern w:val="36"/>
          <w:lang w:val="en" w:eastAsia="en-GB"/>
        </w:rPr>
        <w:t>interaction effects within and across levels of analysis. Journal of International Business Studies, 45(9), 1063-1071</w:t>
      </w:r>
      <w:r>
        <w:rPr>
          <w:rFonts w:eastAsia="Times New Roman"/>
          <w:color w:val="333333"/>
          <w:spacing w:val="2"/>
          <w:kern w:val="36"/>
          <w:lang w:val="en" w:eastAsia="en-GB"/>
        </w:rPr>
        <w:t>.</w:t>
      </w:r>
      <w:r w:rsidRPr="00AA21F6">
        <w:rPr>
          <w:rFonts w:eastAsia="Times New Roman"/>
          <w:color w:val="333333"/>
          <w:spacing w:val="2"/>
          <w:kern w:val="36"/>
          <w:lang w:val="en" w:eastAsia="en-GB"/>
        </w:rPr>
        <w:t xml:space="preserve"> </w:t>
      </w:r>
    </w:p>
    <w:p w14:paraId="00C07D44" w14:textId="6D8B7771" w:rsidR="00C9345E"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Asia Pacific Foundation of Canada. (2015). Intellectual Property Rights Challenges Facing Foreign and Canadian Companies in China: Survey Results and Analysis. </w:t>
      </w:r>
      <w:hyperlink r:id="rId19" w:history="1">
        <w:r w:rsidR="007713D8" w:rsidRPr="00BA52CE">
          <w:rPr>
            <w:rStyle w:val="Hyperlink"/>
            <w:rFonts w:eastAsia="Times New Roman"/>
            <w:lang w:val="en-GB" w:eastAsia="en-GB"/>
          </w:rPr>
          <w:t>www.asiapacific.ca/research-report/intellectual-property-rights-challenges-facing-foreign-and-0</w:t>
        </w:r>
      </w:hyperlink>
    </w:p>
    <w:p w14:paraId="7392489B"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Barzel, Y. (1997). Economic analysis of property rights, Cambridge University Press.</w:t>
      </w:r>
    </w:p>
    <w:p w14:paraId="4DF85746" w14:textId="1892E3C7"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Becker, W., Saisana, M., Paruolo, </w:t>
      </w:r>
      <w:r w:rsidR="00584EC7">
        <w:rPr>
          <w:rFonts w:eastAsia="Times New Roman"/>
          <w:lang w:val="en-GB" w:eastAsia="en-GB"/>
        </w:rPr>
        <w:t>P., and Vandecasteele, I (2017).</w:t>
      </w:r>
      <w:r w:rsidRPr="00584EC7">
        <w:rPr>
          <w:rFonts w:eastAsia="Times New Roman"/>
          <w:lang w:val="en-GB" w:eastAsia="en-GB"/>
        </w:rPr>
        <w:t xml:space="preserve"> Weights and importance in composite indicators: Closing the gap</w:t>
      </w:r>
      <w:r w:rsidR="00CE543C">
        <w:rPr>
          <w:rFonts w:eastAsia="Times New Roman"/>
          <w:lang w:val="en-GB" w:eastAsia="en-GB"/>
        </w:rPr>
        <w:t>.</w:t>
      </w:r>
      <w:r w:rsidRPr="00584EC7">
        <w:rPr>
          <w:rFonts w:eastAsia="Times New Roman"/>
          <w:lang w:val="en-GB" w:eastAsia="en-GB"/>
        </w:rPr>
        <w:t xml:space="preserve"> Ecological Indicators, 80, 12-22</w:t>
      </w:r>
    </w:p>
    <w:p w14:paraId="4B38EC46" w14:textId="6681BDFE"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Beckerman-Rodau, A. (2011). The Problem with Intellectual Property Rights; Subject Matter Rights</w:t>
      </w:r>
      <w:r w:rsidR="00CE543C">
        <w:rPr>
          <w:rFonts w:eastAsia="Times New Roman"/>
          <w:lang w:val="en-GB" w:eastAsia="en-GB"/>
        </w:rPr>
        <w:t>.</w:t>
      </w:r>
      <w:r w:rsidRPr="00584EC7">
        <w:rPr>
          <w:rFonts w:eastAsia="Times New Roman"/>
          <w:lang w:val="en-GB" w:eastAsia="en-GB"/>
        </w:rPr>
        <w:t xml:space="preserve"> Yale Journal of Law and Technology, 13(1), 37-88</w:t>
      </w:r>
    </w:p>
    <w:p w14:paraId="61CD1D15"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Bénassy‐Quéré, A., Coupet, M., &amp; Mayer, T. (2007). Institutional determinants of foreign direct investment. The World Economy, 30(5), 764-782.</w:t>
      </w:r>
    </w:p>
    <w:p w14:paraId="14E19ECD" w14:textId="25C99AA9"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ED7329">
        <w:rPr>
          <w:rFonts w:eastAsia="Times New Roman"/>
          <w:lang w:val="de-DE" w:eastAsia="en-GB"/>
        </w:rPr>
        <w:t>Berger, A., Busse, M., Nunnenkamp, P., &amp;  Roy, M. (2013)</w:t>
      </w:r>
      <w:r w:rsidR="00584EC7" w:rsidRPr="00ED7329">
        <w:rPr>
          <w:rFonts w:eastAsia="Times New Roman"/>
          <w:lang w:val="de-DE" w:eastAsia="en-GB"/>
        </w:rPr>
        <w:t>.</w:t>
      </w:r>
      <w:r w:rsidRPr="00ED7329">
        <w:rPr>
          <w:rFonts w:eastAsia="Times New Roman"/>
          <w:lang w:val="de-DE" w:eastAsia="en-GB"/>
        </w:rPr>
        <w:t xml:space="preserve"> </w:t>
      </w:r>
      <w:r w:rsidRPr="00584EC7">
        <w:rPr>
          <w:rFonts w:eastAsia="Times New Roman"/>
          <w:lang w:val="en-GB" w:eastAsia="en-GB"/>
        </w:rPr>
        <w:t xml:space="preserve">Do trade and investment agreements lead to more FDI? Accounting for key provisions inside the black box. </w:t>
      </w:r>
      <w:hyperlink r:id="rId20" w:tooltip="International Economics and Economic Policy" w:history="1">
        <w:r w:rsidRPr="00584EC7">
          <w:rPr>
            <w:rFonts w:eastAsia="Times New Roman"/>
            <w:lang w:val="en-GB" w:eastAsia="en-GB"/>
          </w:rPr>
          <w:t>International Economics and Economic Policy</w:t>
        </w:r>
      </w:hyperlink>
      <w:r w:rsidR="00D253B8">
        <w:rPr>
          <w:rFonts w:eastAsia="Times New Roman"/>
          <w:lang w:val="en-GB" w:eastAsia="en-GB"/>
        </w:rPr>
        <w:t>,</w:t>
      </w:r>
      <w:r w:rsidRPr="00584EC7">
        <w:rPr>
          <w:rFonts w:eastAsia="Times New Roman"/>
          <w:lang w:val="en-GB" w:eastAsia="en-GB"/>
        </w:rPr>
        <w:t xml:space="preserve"> 10(2), 247-275</w:t>
      </w:r>
    </w:p>
    <w:p w14:paraId="2E95CEBA"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Berry, H., Guillén, M. F., &amp; Zhou, N. (2010). An institutional approach to cross-national distance. Journal of International Business Studies, 41(9), 1460-1480.</w:t>
      </w:r>
    </w:p>
    <w:p w14:paraId="41352614" w14:textId="62291EA4" w:rsidR="002F0979" w:rsidRPr="00584EC7" w:rsidRDefault="002F0979"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Bikhchandani, S., Hirshleifer, D., &amp; Welch. I. (1992). A Theory of Fads, Fashion, Custom, and Cultural Change as Informational Cascades. Journal of Political Economy</w:t>
      </w:r>
      <w:r w:rsidR="00D945A3">
        <w:rPr>
          <w:rFonts w:eastAsia="Times New Roman"/>
          <w:lang w:val="en-GB" w:eastAsia="en-GB"/>
        </w:rPr>
        <w:t>,</w:t>
      </w:r>
      <w:r w:rsidRPr="00584EC7">
        <w:rPr>
          <w:rFonts w:eastAsia="Times New Roman"/>
          <w:lang w:val="en-GB" w:eastAsia="en-GB"/>
        </w:rPr>
        <w:t xml:space="preserve"> 100(5), 992-1026</w:t>
      </w:r>
      <w:r w:rsidR="00D91567" w:rsidRPr="00584EC7">
        <w:rPr>
          <w:rFonts w:eastAsia="Times New Roman"/>
          <w:lang w:val="en-GB" w:eastAsia="en-GB"/>
        </w:rPr>
        <w:t>.</w:t>
      </w:r>
    </w:p>
    <w:p w14:paraId="62F0025E" w14:textId="49383A8E"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Blonigen, B.</w:t>
      </w:r>
      <w:r w:rsidR="00D91567" w:rsidRPr="00584EC7">
        <w:rPr>
          <w:rFonts w:eastAsia="Times New Roman"/>
          <w:lang w:val="en-GB" w:eastAsia="en-GB"/>
        </w:rPr>
        <w:t>,</w:t>
      </w:r>
      <w:r w:rsidRPr="00584EC7">
        <w:rPr>
          <w:rFonts w:eastAsia="Times New Roman"/>
          <w:lang w:val="en-GB" w:eastAsia="en-GB"/>
        </w:rPr>
        <w:t xml:space="preserve"> </w:t>
      </w:r>
      <w:r w:rsidR="00D91567" w:rsidRPr="00584EC7">
        <w:rPr>
          <w:rFonts w:eastAsia="Times New Roman"/>
          <w:lang w:val="en-GB" w:eastAsia="en-GB"/>
        </w:rPr>
        <w:t xml:space="preserve">&amp; </w:t>
      </w:r>
      <w:r w:rsidRPr="00584EC7">
        <w:rPr>
          <w:rFonts w:eastAsia="Times New Roman"/>
          <w:lang w:val="en-GB" w:eastAsia="en-GB"/>
        </w:rPr>
        <w:t>P</w:t>
      </w:r>
      <w:r w:rsidR="00D91567" w:rsidRPr="00584EC7">
        <w:rPr>
          <w:rFonts w:eastAsia="Times New Roman"/>
          <w:lang w:val="en-GB" w:eastAsia="en-GB"/>
        </w:rPr>
        <w:t xml:space="preserve">iger, </w:t>
      </w:r>
      <w:r w:rsidRPr="00584EC7">
        <w:rPr>
          <w:rFonts w:eastAsia="Times New Roman"/>
          <w:lang w:val="en-GB" w:eastAsia="en-GB"/>
        </w:rPr>
        <w:t>J</w:t>
      </w:r>
      <w:r w:rsidR="00D91567" w:rsidRPr="00584EC7">
        <w:rPr>
          <w:rFonts w:eastAsia="Times New Roman"/>
          <w:lang w:val="en-GB" w:eastAsia="en-GB"/>
        </w:rPr>
        <w:t>.</w:t>
      </w:r>
      <w:r w:rsidR="00584EC7">
        <w:rPr>
          <w:rFonts w:eastAsia="Times New Roman"/>
          <w:lang w:val="en-GB" w:eastAsia="en-GB"/>
        </w:rPr>
        <w:t xml:space="preserve"> (2014).</w:t>
      </w:r>
      <w:r w:rsidRPr="00584EC7">
        <w:rPr>
          <w:rFonts w:eastAsia="Times New Roman"/>
          <w:lang w:val="en-GB" w:eastAsia="en-GB"/>
        </w:rPr>
        <w:t xml:space="preserve"> Determinants of foreign direct investment</w:t>
      </w:r>
      <w:r w:rsidR="000F7E13">
        <w:rPr>
          <w:rFonts w:eastAsia="Times New Roman"/>
          <w:lang w:val="en-GB" w:eastAsia="en-GB"/>
        </w:rPr>
        <w:t>.</w:t>
      </w:r>
      <w:r w:rsidRPr="00584EC7">
        <w:rPr>
          <w:rFonts w:eastAsia="Times New Roman"/>
          <w:lang w:val="en-GB" w:eastAsia="en-GB"/>
        </w:rPr>
        <w:t xml:space="preserve"> Canadian Journal of Economics, 47(3), 775-812.</w:t>
      </w:r>
    </w:p>
    <w:p w14:paraId="2C97B4A1"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ED7329">
        <w:rPr>
          <w:rFonts w:eastAsia="Times New Roman"/>
          <w:lang w:val="de-DE" w:eastAsia="en-GB"/>
        </w:rPr>
        <w:t xml:space="preserve">Brada, J. C., Kutan, A. M., &amp; Yigit, T. M. (2006). </w:t>
      </w:r>
      <w:r w:rsidRPr="00584EC7">
        <w:rPr>
          <w:rFonts w:eastAsia="Times New Roman"/>
          <w:lang w:val="en-GB" w:eastAsia="en-GB"/>
        </w:rPr>
        <w:t>The effects of transition and political instability on foreign direct investment inflows. Economics of Transition, 14(4), 649-680.</w:t>
      </w:r>
    </w:p>
    <w:p w14:paraId="52F94E38"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Brander, J. A., Cui, V., &amp; Vertinsky, I. (2017). China and intellectual property rights: A challenge to the rule of law. Journal of International Business Studies, 48(7), 908-921.</w:t>
      </w:r>
    </w:p>
    <w:p w14:paraId="413A89FE" w14:textId="61733336"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Branstetter, L., Fisman, R., Foley, C. F., &amp; Saggi, K. (2007). Intellectual property rights, imitation, and foreign direct investment: Theory and </w:t>
      </w:r>
      <w:r w:rsidR="002A5ABC" w:rsidRPr="00584EC7">
        <w:rPr>
          <w:rFonts w:eastAsia="Times New Roman"/>
          <w:lang w:val="en-GB" w:eastAsia="en-GB"/>
        </w:rPr>
        <w:t>E</w:t>
      </w:r>
      <w:r w:rsidRPr="00584EC7">
        <w:rPr>
          <w:rFonts w:eastAsia="Times New Roman"/>
          <w:lang w:val="en-GB" w:eastAsia="en-GB"/>
        </w:rPr>
        <w:t>vidence</w:t>
      </w:r>
      <w:r w:rsidR="000F7E13">
        <w:rPr>
          <w:rFonts w:eastAsia="Times New Roman"/>
          <w:lang w:val="en-GB" w:eastAsia="en-GB"/>
        </w:rPr>
        <w:t>.</w:t>
      </w:r>
      <w:r w:rsidRPr="00584EC7">
        <w:rPr>
          <w:rFonts w:eastAsia="Times New Roman"/>
          <w:lang w:val="en-GB" w:eastAsia="en-GB"/>
        </w:rPr>
        <w:t xml:space="preserve"> (No. w13033)</w:t>
      </w:r>
      <w:r w:rsidR="000F7E13">
        <w:rPr>
          <w:rFonts w:eastAsia="Times New Roman"/>
          <w:lang w:val="en-GB" w:eastAsia="en-GB"/>
        </w:rPr>
        <w:t>,</w:t>
      </w:r>
      <w:r w:rsidRPr="00584EC7">
        <w:rPr>
          <w:rFonts w:eastAsia="Times New Roman"/>
          <w:lang w:val="en-GB" w:eastAsia="en-GB"/>
        </w:rPr>
        <w:t xml:space="preserve"> National Bureau of Economic Research.</w:t>
      </w:r>
    </w:p>
    <w:p w14:paraId="7DCCB255" w14:textId="50F84C6A"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Busse, M., Königer, J. &amp; Nunnenkamp, P.  (2010)</w:t>
      </w:r>
      <w:r w:rsidR="00584EC7">
        <w:rPr>
          <w:rFonts w:eastAsia="Times New Roman"/>
          <w:lang w:val="en-GB" w:eastAsia="en-GB"/>
        </w:rPr>
        <w:t>.</w:t>
      </w:r>
      <w:r w:rsidRPr="00584EC7">
        <w:rPr>
          <w:rFonts w:eastAsia="Times New Roman"/>
          <w:lang w:val="en-GB" w:eastAsia="en-GB"/>
        </w:rPr>
        <w:t xml:space="preserve"> FDI promotion through bilateral investment treaties: more than a bit? Review of World Economy</w:t>
      </w:r>
      <w:r w:rsidR="00A032EB">
        <w:rPr>
          <w:rFonts w:eastAsia="Times New Roman"/>
          <w:lang w:val="en-GB" w:eastAsia="en-GB"/>
        </w:rPr>
        <w:t>,</w:t>
      </w:r>
      <w:r w:rsidRPr="00584EC7">
        <w:rPr>
          <w:rFonts w:eastAsia="Times New Roman"/>
          <w:lang w:val="en-GB" w:eastAsia="en-GB"/>
        </w:rPr>
        <w:t xml:space="preserve"> 146(1)</w:t>
      </w:r>
      <w:r w:rsidR="00A032EB">
        <w:rPr>
          <w:rFonts w:eastAsia="Times New Roman"/>
          <w:lang w:val="en-GB" w:eastAsia="en-GB"/>
        </w:rPr>
        <w:t>,</w:t>
      </w:r>
      <w:r w:rsidRPr="00584EC7">
        <w:rPr>
          <w:rFonts w:eastAsia="Times New Roman"/>
          <w:lang w:val="en-GB" w:eastAsia="en-GB"/>
        </w:rPr>
        <w:t xml:space="preserve"> 147-177.</w:t>
      </w:r>
    </w:p>
    <w:p w14:paraId="30E257A6"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Campos, N. F., &amp; Kinoshita, Y. (2008). Foreign direct investment and structural reforms: Evidence from Eastern Europe and Latin America. IMF Working Papers, 1-38.</w:t>
      </w:r>
    </w:p>
    <w:p w14:paraId="15AE6FD4" w14:textId="423A85E6" w:rsidR="00584EC7" w:rsidRDefault="00584EC7"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eastAsia="en-GB"/>
        </w:rPr>
        <w:t>Cantwell, J., Dunning, J. H., &amp; Lundan, S. M. (2010). An evolutionary approach to understanding international business activity: The co-evolution of MNEs and the institutional environment. </w:t>
      </w:r>
      <w:r w:rsidRPr="00584EC7">
        <w:rPr>
          <w:rFonts w:eastAsia="Times New Roman"/>
          <w:iCs/>
          <w:lang w:eastAsia="en-GB"/>
        </w:rPr>
        <w:t>Journal of International Business Studies</w:t>
      </w:r>
      <w:r w:rsidRPr="00584EC7">
        <w:rPr>
          <w:rFonts w:eastAsia="Times New Roman"/>
          <w:lang w:eastAsia="en-GB"/>
        </w:rPr>
        <w:t>, </w:t>
      </w:r>
      <w:r w:rsidRPr="00584EC7">
        <w:rPr>
          <w:rFonts w:eastAsia="Times New Roman"/>
          <w:iCs/>
          <w:lang w:eastAsia="en-GB"/>
        </w:rPr>
        <w:t>41</w:t>
      </w:r>
      <w:r w:rsidRPr="00584EC7">
        <w:rPr>
          <w:rFonts w:eastAsia="Times New Roman"/>
          <w:lang w:eastAsia="en-GB"/>
        </w:rPr>
        <w:t>(4), 567-586.</w:t>
      </w:r>
    </w:p>
    <w:p w14:paraId="76493D04" w14:textId="4E45EE3B"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Chakrabarti, A. (2001). The Determinants of foreign direct investments: Sensitivity analyses of cross-country regressions. Kyklos, 54(1)</w:t>
      </w:r>
      <w:r w:rsidR="00A032EB">
        <w:rPr>
          <w:rFonts w:eastAsia="Times New Roman"/>
          <w:lang w:val="en-GB" w:eastAsia="en-GB"/>
        </w:rPr>
        <w:t>,</w:t>
      </w:r>
      <w:r w:rsidRPr="00584EC7">
        <w:rPr>
          <w:rFonts w:eastAsia="Times New Roman"/>
          <w:lang w:val="en-GB" w:eastAsia="en-GB"/>
        </w:rPr>
        <w:t xml:space="preserve"> 89-114.</w:t>
      </w:r>
    </w:p>
    <w:p w14:paraId="72B6A7C1" w14:textId="50BD0709" w:rsidR="009263C5"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Doh, J., Rodrigues, S., Saka-Helmhout, A., &amp; Makhija, M. (2017). International business responses to institutional voids. Journal of International Business Studies</w:t>
      </w:r>
      <w:r w:rsidR="00A032EB">
        <w:rPr>
          <w:rFonts w:eastAsia="Times New Roman"/>
          <w:lang w:val="en-GB" w:eastAsia="en-GB"/>
        </w:rPr>
        <w:t>,</w:t>
      </w:r>
      <w:r w:rsidRPr="00584EC7">
        <w:rPr>
          <w:rFonts w:eastAsia="Times New Roman"/>
          <w:lang w:val="en-GB" w:eastAsia="en-GB"/>
        </w:rPr>
        <w:t xml:space="preserve"> 48(3), 293-307</w:t>
      </w:r>
    </w:p>
    <w:p w14:paraId="6C8D5041" w14:textId="770F0BE1" w:rsidR="00584EC7" w:rsidRDefault="00584EC7"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eastAsia="en-GB"/>
        </w:rPr>
        <w:t>Eggertsson, T. (1990). The role of transaction costs and property rights in economic analysis. </w:t>
      </w:r>
      <w:r w:rsidRPr="00584EC7">
        <w:rPr>
          <w:rFonts w:eastAsia="Times New Roman"/>
          <w:iCs/>
          <w:lang w:eastAsia="en-GB"/>
        </w:rPr>
        <w:t>European Economic Review</w:t>
      </w:r>
      <w:r w:rsidRPr="00584EC7">
        <w:rPr>
          <w:rFonts w:eastAsia="Times New Roman"/>
          <w:lang w:eastAsia="en-GB"/>
        </w:rPr>
        <w:t>, </w:t>
      </w:r>
      <w:r w:rsidRPr="00584EC7">
        <w:rPr>
          <w:rFonts w:eastAsia="Times New Roman"/>
          <w:iCs/>
          <w:lang w:eastAsia="en-GB"/>
        </w:rPr>
        <w:t>34</w:t>
      </w:r>
      <w:r w:rsidRPr="00584EC7">
        <w:rPr>
          <w:rFonts w:eastAsia="Times New Roman"/>
          <w:lang w:eastAsia="en-GB"/>
        </w:rPr>
        <w:t>(2-3), 450-457.</w:t>
      </w:r>
    </w:p>
    <w:p w14:paraId="644E8721" w14:textId="7EC3B3EA" w:rsidR="009263C5" w:rsidRPr="00584EC7" w:rsidRDefault="009263C5"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Estrin, S.</w:t>
      </w:r>
      <w:r w:rsidR="00584EC7">
        <w:rPr>
          <w:rFonts w:eastAsia="Times New Roman"/>
          <w:lang w:val="en-GB" w:eastAsia="en-GB"/>
        </w:rPr>
        <w:t>, Baghdasaryan, D., Meyer, K.E.</w:t>
      </w:r>
      <w:r w:rsidRPr="00584EC7">
        <w:rPr>
          <w:rFonts w:eastAsia="Times New Roman"/>
          <w:lang w:val="en-GB" w:eastAsia="en-GB"/>
        </w:rPr>
        <w:t xml:space="preserve"> </w:t>
      </w:r>
      <w:r w:rsidR="00584EC7">
        <w:rPr>
          <w:rFonts w:eastAsia="Times New Roman"/>
          <w:lang w:val="en-GB" w:eastAsia="en-GB"/>
        </w:rPr>
        <w:t>(</w:t>
      </w:r>
      <w:r w:rsidRPr="00584EC7">
        <w:rPr>
          <w:rFonts w:eastAsia="Times New Roman"/>
          <w:lang w:val="en-GB" w:eastAsia="en-GB"/>
        </w:rPr>
        <w:t>2009</w:t>
      </w:r>
      <w:r w:rsidR="00584EC7">
        <w:rPr>
          <w:rFonts w:eastAsia="Times New Roman"/>
          <w:lang w:val="en-GB" w:eastAsia="en-GB"/>
        </w:rPr>
        <w:t>)</w:t>
      </w:r>
      <w:r w:rsidRPr="00584EC7">
        <w:rPr>
          <w:rFonts w:eastAsia="Times New Roman"/>
          <w:lang w:val="en-GB" w:eastAsia="en-GB"/>
        </w:rPr>
        <w:t>. The Impact of Institutional and Human Resource Distance on International Entry Strategies. Journal of Management Studies</w:t>
      </w:r>
      <w:r w:rsidR="00A032EB">
        <w:rPr>
          <w:rFonts w:eastAsia="Times New Roman"/>
          <w:lang w:val="en-GB" w:eastAsia="en-GB"/>
        </w:rPr>
        <w:t>,</w:t>
      </w:r>
      <w:r w:rsidRPr="00584EC7">
        <w:rPr>
          <w:rFonts w:eastAsia="Times New Roman"/>
          <w:lang w:val="en-GB" w:eastAsia="en-GB"/>
        </w:rPr>
        <w:t xml:space="preserve"> 46</w:t>
      </w:r>
      <w:r w:rsidR="00752F38">
        <w:rPr>
          <w:rFonts w:eastAsia="Times New Roman"/>
          <w:lang w:val="en-GB" w:eastAsia="en-GB"/>
        </w:rPr>
        <w:t>(7)</w:t>
      </w:r>
      <w:r w:rsidRPr="00584EC7">
        <w:rPr>
          <w:rFonts w:eastAsia="Times New Roman"/>
          <w:lang w:val="en-GB" w:eastAsia="en-GB"/>
        </w:rPr>
        <w:t>, 1171-1196.</w:t>
      </w:r>
    </w:p>
    <w:p w14:paraId="33A2EC1C" w14:textId="77777777" w:rsidR="009263C5"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Ginarte, J. C., &amp; Park, W. G. (1997). Determinants of patent rights: A cross-national study. Research Policy, 26(3), 283-301.</w:t>
      </w:r>
    </w:p>
    <w:p w14:paraId="5B933646" w14:textId="34DA1B6F" w:rsidR="009263C5" w:rsidRPr="00584EC7" w:rsidRDefault="00584EC7"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Pr>
          <w:rFonts w:eastAsia="Times New Roman"/>
          <w:lang w:val="en-GB" w:eastAsia="en-GB"/>
        </w:rPr>
        <w:t>Grosse, R., Trevino, L.J. (</w:t>
      </w:r>
      <w:r w:rsidR="00766D7B" w:rsidRPr="00584EC7">
        <w:rPr>
          <w:rFonts w:eastAsia="Times New Roman"/>
          <w:lang w:val="en-GB" w:eastAsia="en-GB"/>
        </w:rPr>
        <w:t>1996</w:t>
      </w:r>
      <w:r>
        <w:rPr>
          <w:rFonts w:eastAsia="Times New Roman"/>
          <w:lang w:val="en-GB" w:eastAsia="en-GB"/>
        </w:rPr>
        <w:t>)</w:t>
      </w:r>
      <w:r w:rsidR="00766D7B" w:rsidRPr="00584EC7">
        <w:rPr>
          <w:rFonts w:eastAsia="Times New Roman"/>
          <w:lang w:val="en-GB" w:eastAsia="en-GB"/>
        </w:rPr>
        <w:t xml:space="preserve">. Foreign Direct Investment in the United States: </w:t>
      </w:r>
      <w:r w:rsidR="00A52147" w:rsidRPr="00584EC7">
        <w:rPr>
          <w:rFonts w:eastAsia="Times New Roman"/>
          <w:lang w:val="en-GB" w:eastAsia="en-GB"/>
        </w:rPr>
        <w:t>An</w:t>
      </w:r>
      <w:r w:rsidR="00766D7B" w:rsidRPr="00584EC7">
        <w:rPr>
          <w:rFonts w:eastAsia="Times New Roman"/>
          <w:lang w:val="en-GB" w:eastAsia="en-GB"/>
        </w:rPr>
        <w:t xml:space="preserve"> Analysis by Country of Origin. Journal of International Business Studies</w:t>
      </w:r>
      <w:r w:rsidR="00A032EB">
        <w:rPr>
          <w:rFonts w:eastAsia="Times New Roman"/>
          <w:lang w:val="en-GB" w:eastAsia="en-GB"/>
        </w:rPr>
        <w:t>,</w:t>
      </w:r>
      <w:r w:rsidR="00766D7B" w:rsidRPr="00584EC7">
        <w:rPr>
          <w:rFonts w:eastAsia="Times New Roman"/>
          <w:lang w:val="en-GB" w:eastAsia="en-GB"/>
        </w:rPr>
        <w:t xml:space="preserve"> 27</w:t>
      </w:r>
      <w:r w:rsidR="009F3A0F">
        <w:rPr>
          <w:rFonts w:eastAsia="Times New Roman"/>
          <w:lang w:val="en-GB" w:eastAsia="en-GB"/>
        </w:rPr>
        <w:t>(1)</w:t>
      </w:r>
      <w:r w:rsidR="00766D7B" w:rsidRPr="00584EC7">
        <w:rPr>
          <w:rFonts w:eastAsia="Times New Roman"/>
          <w:lang w:val="en-GB" w:eastAsia="en-GB"/>
        </w:rPr>
        <w:t>, 139-155.</w:t>
      </w:r>
    </w:p>
    <w:p w14:paraId="39960754" w14:textId="7D14F64F" w:rsidR="009263C5"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Grossman, S. J., &amp; Hart, O. D. (1986). The costs and benefits of ownership: A theory of vertical and lateral integration. The Journal of Political Economy</w:t>
      </w:r>
      <w:r w:rsidR="00A032EB">
        <w:rPr>
          <w:rFonts w:eastAsia="Times New Roman"/>
          <w:lang w:val="en-GB" w:eastAsia="en-GB"/>
        </w:rPr>
        <w:t>,</w:t>
      </w:r>
      <w:r w:rsidR="00C670B2">
        <w:rPr>
          <w:rFonts w:eastAsia="Times New Roman"/>
          <w:lang w:val="en-GB" w:eastAsia="en-GB"/>
        </w:rPr>
        <w:t xml:space="preserve"> 94(4),</w:t>
      </w:r>
      <w:r w:rsidRPr="00584EC7">
        <w:rPr>
          <w:rFonts w:eastAsia="Times New Roman"/>
          <w:lang w:val="en-GB" w:eastAsia="en-GB"/>
        </w:rPr>
        <w:t xml:space="preserve"> 691-719.</w:t>
      </w:r>
    </w:p>
    <w:p w14:paraId="4BA3EA92" w14:textId="5DC03467" w:rsidR="00766D7B" w:rsidRPr="00584EC7" w:rsidRDefault="00584EC7"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Pr>
          <w:rFonts w:eastAsia="Times New Roman"/>
          <w:lang w:val="en-GB" w:eastAsia="en-GB"/>
        </w:rPr>
        <w:t>Habib, M., Zurawicki, L. (</w:t>
      </w:r>
      <w:r w:rsidR="00766D7B" w:rsidRPr="00584EC7">
        <w:rPr>
          <w:rFonts w:eastAsia="Times New Roman"/>
          <w:lang w:val="en-GB" w:eastAsia="en-GB"/>
        </w:rPr>
        <w:t>2002</w:t>
      </w:r>
      <w:r>
        <w:rPr>
          <w:rFonts w:eastAsia="Times New Roman"/>
          <w:lang w:val="en-GB" w:eastAsia="en-GB"/>
        </w:rPr>
        <w:t>)</w:t>
      </w:r>
      <w:r w:rsidR="00766D7B" w:rsidRPr="00584EC7">
        <w:rPr>
          <w:rFonts w:eastAsia="Times New Roman"/>
          <w:lang w:val="en-GB" w:eastAsia="en-GB"/>
        </w:rPr>
        <w:t>. Corruption and Foreign Direct Investment. Journal of International Business Studies</w:t>
      </w:r>
      <w:r w:rsidR="00A032EB">
        <w:rPr>
          <w:rFonts w:eastAsia="Times New Roman"/>
          <w:lang w:val="en-GB" w:eastAsia="en-GB"/>
        </w:rPr>
        <w:t>,</w:t>
      </w:r>
      <w:r w:rsidR="00766D7B" w:rsidRPr="00584EC7">
        <w:rPr>
          <w:rFonts w:eastAsia="Times New Roman"/>
          <w:lang w:val="en-GB" w:eastAsia="en-GB"/>
        </w:rPr>
        <w:t xml:space="preserve"> 33</w:t>
      </w:r>
      <w:r w:rsidR="001D2525">
        <w:rPr>
          <w:rFonts w:eastAsia="Times New Roman"/>
          <w:lang w:val="en-GB" w:eastAsia="en-GB"/>
        </w:rPr>
        <w:t>(2)</w:t>
      </w:r>
      <w:r w:rsidR="00766D7B" w:rsidRPr="00584EC7">
        <w:rPr>
          <w:rFonts w:eastAsia="Times New Roman"/>
          <w:lang w:val="en-GB" w:eastAsia="en-GB"/>
        </w:rPr>
        <w:t>, 291-307.</w:t>
      </w:r>
    </w:p>
    <w:p w14:paraId="6A6AC0B2"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Hayo, B., &amp; Voigt, S. (2007). Explaining de facto judicial independence. International Review of Law and Economics, 27(3), 269-290.</w:t>
      </w:r>
    </w:p>
    <w:p w14:paraId="1C6F6ED1"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Hart, O., &amp; Moore, J. (1990). Property rights and the nature of the firm. Journal of </w:t>
      </w:r>
      <w:r w:rsidR="00BD02FD" w:rsidRPr="00584EC7">
        <w:rPr>
          <w:rFonts w:eastAsia="Times New Roman"/>
          <w:lang w:val="en-GB" w:eastAsia="en-GB"/>
        </w:rPr>
        <w:t>P</w:t>
      </w:r>
      <w:r w:rsidRPr="00584EC7">
        <w:rPr>
          <w:rFonts w:eastAsia="Times New Roman"/>
          <w:lang w:val="en-GB" w:eastAsia="en-GB"/>
        </w:rPr>
        <w:t xml:space="preserve">olitical </w:t>
      </w:r>
      <w:r w:rsidR="00BD02FD" w:rsidRPr="00584EC7">
        <w:rPr>
          <w:rFonts w:eastAsia="Times New Roman"/>
          <w:lang w:val="en-GB" w:eastAsia="en-GB"/>
        </w:rPr>
        <w:t>E</w:t>
      </w:r>
      <w:r w:rsidRPr="00584EC7">
        <w:rPr>
          <w:rFonts w:eastAsia="Times New Roman"/>
          <w:lang w:val="en-GB" w:eastAsia="en-GB"/>
        </w:rPr>
        <w:t>conomy, 98(6), 1119-1158.</w:t>
      </w:r>
    </w:p>
    <w:p w14:paraId="79FB0EF4"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Helmke, G., &amp; Levitsky, S. (Eds.) (2006). Informal institutions and democracy: Lessons from Latin America. JHU Press.</w:t>
      </w:r>
    </w:p>
    <w:p w14:paraId="2F79AE56"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Helmke, G., &amp; Levitsky, S. (2004). Informal institutions and comparative politics: A research agenda. Perspectives on Politics, 2(4), 725-740.</w:t>
      </w:r>
    </w:p>
    <w:p w14:paraId="6A21F148"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Hodgson, G. M. (2006). What are institutions? Journal of Economic Issues, 40(1), 1-25.</w:t>
      </w:r>
    </w:p>
    <w:p w14:paraId="33324168" w14:textId="4FF4B011" w:rsidR="00C9345E"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ED7329">
        <w:rPr>
          <w:rFonts w:eastAsia="Times New Roman"/>
          <w:lang w:val="de-DE" w:eastAsia="en-GB"/>
        </w:rPr>
        <w:t xml:space="preserve">Hofstede, G., Hofstede, G. J., &amp; Minkov, M. (2010). </w:t>
      </w:r>
      <w:r w:rsidRPr="00584EC7">
        <w:rPr>
          <w:rFonts w:eastAsia="Times New Roman"/>
          <w:lang w:val="en-GB" w:eastAsia="en-GB"/>
        </w:rPr>
        <w:t>Cultures, organizations: Software of the mind. McGraw-Hill.</w:t>
      </w:r>
    </w:p>
    <w:p w14:paraId="78EE258F" w14:textId="77777777" w:rsidR="00EE0D7F" w:rsidRDefault="00EE0D7F" w:rsidP="00EE0D7F">
      <w:pPr>
        <w:spacing w:line="480" w:lineRule="auto"/>
        <w:ind w:left="284" w:hanging="284"/>
        <w:jc w:val="both"/>
        <w:rPr>
          <w:rFonts w:eastAsia="Times New Roman"/>
          <w:bCs/>
          <w:kern w:val="36"/>
          <w:lang w:eastAsia="en-GB"/>
        </w:rPr>
      </w:pPr>
      <w:r w:rsidRPr="001635B3">
        <w:rPr>
          <w:rFonts w:eastAsia="Times New Roman"/>
          <w:bCs/>
          <w:kern w:val="36"/>
          <w:lang w:eastAsia="en-GB"/>
        </w:rPr>
        <w:t xml:space="preserve">House, R.J., Hanges, P.J., Javid M., Dorfman P.W., </w:t>
      </w:r>
      <w:r>
        <w:rPr>
          <w:rFonts w:eastAsia="Times New Roman"/>
          <w:bCs/>
          <w:kern w:val="36"/>
          <w:lang w:eastAsia="en-GB"/>
        </w:rPr>
        <w:t xml:space="preserve">&amp; </w:t>
      </w:r>
      <w:r w:rsidRPr="001635B3">
        <w:rPr>
          <w:rFonts w:eastAsia="Times New Roman"/>
          <w:bCs/>
          <w:kern w:val="36"/>
          <w:lang w:eastAsia="en-GB"/>
        </w:rPr>
        <w:t>Gupta, V. (2004)</w:t>
      </w:r>
      <w:r>
        <w:rPr>
          <w:rFonts w:eastAsia="Times New Roman"/>
          <w:bCs/>
          <w:kern w:val="36"/>
          <w:lang w:eastAsia="en-GB"/>
        </w:rPr>
        <w:t>.</w:t>
      </w:r>
      <w:r w:rsidRPr="001635B3">
        <w:rPr>
          <w:rFonts w:eastAsia="Times New Roman"/>
          <w:bCs/>
          <w:kern w:val="36"/>
          <w:lang w:eastAsia="en-GB"/>
        </w:rPr>
        <w:t xml:space="preserve"> </w:t>
      </w:r>
      <w:r w:rsidRPr="00BA44B6">
        <w:rPr>
          <w:rFonts w:eastAsia="Times New Roman"/>
          <w:bCs/>
          <w:i/>
          <w:kern w:val="36"/>
          <w:lang w:eastAsia="en-GB"/>
        </w:rPr>
        <w:t>Culture, leadership, and organizations: The GLOBE study of 62 societies</w:t>
      </w:r>
      <w:r w:rsidRPr="001635B3">
        <w:rPr>
          <w:rFonts w:eastAsia="Times New Roman"/>
          <w:bCs/>
          <w:kern w:val="36"/>
          <w:lang w:eastAsia="en-GB"/>
        </w:rPr>
        <w:t>. London: Sage</w:t>
      </w:r>
      <w:r>
        <w:rPr>
          <w:rFonts w:eastAsia="Times New Roman"/>
          <w:bCs/>
          <w:kern w:val="36"/>
          <w:lang w:eastAsia="en-GB"/>
        </w:rPr>
        <w:t>.</w:t>
      </w:r>
      <w:r w:rsidRPr="001635B3">
        <w:rPr>
          <w:rFonts w:eastAsia="Times New Roman"/>
          <w:bCs/>
          <w:kern w:val="36"/>
          <w:lang w:eastAsia="en-GB"/>
        </w:rPr>
        <w:t xml:space="preserve"> </w:t>
      </w:r>
    </w:p>
    <w:p w14:paraId="75E6DE24" w14:textId="77777777"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Jackson, J. (2017). U.S. Direct Investment Abroad: Trends and Current Issues. Congressional Research Service 7-5700 www.crs.gov RS21118. Retrieved from: </w:t>
      </w:r>
      <w:hyperlink r:id="rId21" w:history="1">
        <w:r w:rsidRPr="00584EC7">
          <w:rPr>
            <w:rFonts w:eastAsia="Times New Roman"/>
            <w:lang w:val="en-GB" w:eastAsia="en-GB"/>
          </w:rPr>
          <w:t>https://fas.org/sgp/crs/misc/RS21118.pdf</w:t>
        </w:r>
      </w:hyperlink>
      <w:r w:rsidRPr="00584EC7">
        <w:rPr>
          <w:rFonts w:eastAsia="Times New Roman"/>
          <w:lang w:val="en-GB" w:eastAsia="en-GB"/>
        </w:rPr>
        <w:tab/>
      </w:r>
    </w:p>
    <w:p w14:paraId="34E504FD" w14:textId="77777777" w:rsidR="00C9345E" w:rsidRPr="00ED7329"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de-DE" w:eastAsia="en-GB"/>
        </w:rPr>
      </w:pPr>
      <w:r w:rsidRPr="00ED7329">
        <w:rPr>
          <w:rFonts w:eastAsia="Times New Roman"/>
          <w:lang w:val="de-DE" w:eastAsia="en-GB"/>
        </w:rPr>
        <w:lastRenderedPageBreak/>
        <w:t xml:space="preserve">Keupp, M.M., Beckenbauer, A., &amp; Gassman, O. (2009). </w:t>
      </w:r>
      <w:r w:rsidRPr="00584EC7">
        <w:rPr>
          <w:rFonts w:eastAsia="Times New Roman"/>
          <w:lang w:val="en-GB" w:eastAsia="en-GB"/>
        </w:rPr>
        <w:t xml:space="preserve">How managers protect intellectual property rights in China using de facto strategies. </w:t>
      </w:r>
      <w:r w:rsidRPr="00ED7329">
        <w:rPr>
          <w:rFonts w:eastAsia="Times New Roman"/>
          <w:lang w:val="de-DE" w:eastAsia="en-GB"/>
        </w:rPr>
        <w:t>R&amp;D Management, 39(2), 211-224</w:t>
      </w:r>
    </w:p>
    <w:p w14:paraId="50FD25C4"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ED7329">
        <w:rPr>
          <w:rFonts w:eastAsia="Times New Roman"/>
          <w:lang w:val="de-DE" w:eastAsia="en-GB"/>
        </w:rPr>
        <w:t xml:space="preserve">Keupp, M. M., Beckenbauer, A., &amp; Gassmann, O. (2010). </w:t>
      </w:r>
      <w:r w:rsidRPr="00584EC7">
        <w:rPr>
          <w:rFonts w:eastAsia="Times New Roman"/>
          <w:lang w:val="en-GB" w:eastAsia="en-GB"/>
        </w:rPr>
        <w:t>Enforcing Intellectual Property Rights in Weak Appropriability Regimes: The Case of de Facto Protection Strategies in China. Management International Review, 50(10), 109-130</w:t>
      </w:r>
    </w:p>
    <w:p w14:paraId="1A9EB176" w14:textId="06BE197F"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Khanna, T., &amp; Palepu, K. G. </w:t>
      </w:r>
      <w:r w:rsidR="00623D2F" w:rsidRPr="00584EC7">
        <w:rPr>
          <w:rFonts w:eastAsia="Times New Roman"/>
          <w:lang w:val="en-GB" w:eastAsia="en-GB"/>
        </w:rPr>
        <w:t>(</w:t>
      </w:r>
      <w:r w:rsidRPr="00584EC7">
        <w:rPr>
          <w:rFonts w:eastAsia="Times New Roman"/>
          <w:lang w:val="en-GB" w:eastAsia="en-GB"/>
        </w:rPr>
        <w:t>1997</w:t>
      </w:r>
      <w:r w:rsidR="00623D2F" w:rsidRPr="00584EC7">
        <w:rPr>
          <w:rFonts w:eastAsia="Times New Roman"/>
          <w:lang w:val="en-GB" w:eastAsia="en-GB"/>
        </w:rPr>
        <w:t>)</w:t>
      </w:r>
      <w:r w:rsidRPr="00584EC7">
        <w:rPr>
          <w:rFonts w:eastAsia="Times New Roman"/>
          <w:lang w:val="en-GB" w:eastAsia="en-GB"/>
        </w:rPr>
        <w:t>. Why focused strategies may be wrong for emerging markets. Harvard Business Review, 75</w:t>
      </w:r>
      <w:r w:rsidR="002A0DC9">
        <w:rPr>
          <w:rFonts w:eastAsia="Times New Roman"/>
          <w:lang w:val="en-GB" w:eastAsia="en-GB"/>
        </w:rPr>
        <w:t>,</w:t>
      </w:r>
      <w:r w:rsidRPr="00584EC7">
        <w:rPr>
          <w:rFonts w:eastAsia="Times New Roman"/>
          <w:lang w:val="en-GB" w:eastAsia="en-GB"/>
        </w:rPr>
        <w:t xml:space="preserve"> 41–51.</w:t>
      </w:r>
    </w:p>
    <w:p w14:paraId="550ACCDD" w14:textId="7F7D78AD"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Khanna, T., &amp; Palepu, K.G. (2010). Winning in Emerging Markets: A Road Map for Strategy and Execution. Harvard Business Press. </w:t>
      </w:r>
    </w:p>
    <w:p w14:paraId="1A6221B0"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Khoury, T. A., &amp; Peng, M. W. (2011). Does institutional reform of intellectual property rights lead to more inbound FDI? Evidence from Latin America and the Caribbean. Journal of World Business, 46(3), 337-345.</w:t>
      </w:r>
    </w:p>
    <w:p w14:paraId="41B329E4" w14:textId="6EA5DA95"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Khoury, T. A., Cuervo-Cazurra, A., &amp; Dau, L. A. (2014). Institutional outsiders and insiders: The response of foreign and domestic inventors to the quality of intellectual property rights protection. Global Strategy Journal, 4</w:t>
      </w:r>
      <w:r w:rsidR="002B7B11">
        <w:rPr>
          <w:rFonts w:eastAsia="Times New Roman"/>
          <w:lang w:val="en-GB" w:eastAsia="en-GB"/>
        </w:rPr>
        <w:t>(3)</w:t>
      </w:r>
      <w:r w:rsidRPr="00584EC7">
        <w:rPr>
          <w:rFonts w:eastAsia="Times New Roman"/>
          <w:lang w:val="en-GB" w:eastAsia="en-GB"/>
        </w:rPr>
        <w:t>, 200-220.</w:t>
      </w:r>
    </w:p>
    <w:p w14:paraId="3EDBA03A" w14:textId="77777777" w:rsidR="00A40A61" w:rsidRDefault="00C9345E" w:rsidP="008265F5">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Loree, D. W., &amp; Guisinger, S. E. (1995). Policy and non-policy determinants of US equity foreign direct investment. Journal of International Business Studies, 26(2), 281-299.</w:t>
      </w:r>
    </w:p>
    <w:p w14:paraId="1B49EDF1" w14:textId="13CC3478" w:rsidR="00582DB4" w:rsidRPr="00584EC7" w:rsidRDefault="008265F5"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7355E8">
        <w:t>Mantzavinos, C., North, D.</w:t>
      </w:r>
      <w:r w:rsidR="00A40A61">
        <w:t>C</w:t>
      </w:r>
      <w:r w:rsidRPr="007355E8">
        <w:t>., and Shariq, S. (2004)</w:t>
      </w:r>
      <w:r>
        <w:t>.</w:t>
      </w:r>
      <w:r w:rsidRPr="007355E8">
        <w:t xml:space="preserve"> </w:t>
      </w:r>
      <w:r w:rsidRPr="007355E8">
        <w:rPr>
          <w:rFonts w:eastAsia="Times New Roman"/>
          <w:bCs/>
          <w:kern w:val="36"/>
        </w:rPr>
        <w:t>Learning, Institutions, and Economic Performance</w:t>
      </w:r>
      <w:r w:rsidR="000E4F70">
        <w:rPr>
          <w:rFonts w:eastAsia="Times New Roman"/>
          <w:bCs/>
          <w:kern w:val="36"/>
        </w:rPr>
        <w:t>.</w:t>
      </w:r>
      <w:r w:rsidRPr="007355E8">
        <w:rPr>
          <w:rFonts w:eastAsia="Times New Roman"/>
          <w:bCs/>
          <w:kern w:val="36"/>
        </w:rPr>
        <w:t xml:space="preserve"> </w:t>
      </w:r>
      <w:r w:rsidRPr="00CE0F9B">
        <w:rPr>
          <w:rFonts w:eastAsia="Times New Roman"/>
          <w:bCs/>
          <w:kern w:val="36"/>
        </w:rPr>
        <w:t>Perspectives in Politics</w:t>
      </w:r>
      <w:r w:rsidRPr="007355E8">
        <w:rPr>
          <w:rFonts w:eastAsia="Times New Roman"/>
          <w:bCs/>
          <w:kern w:val="36"/>
        </w:rPr>
        <w:t xml:space="preserve">, 2(1), 75-84. </w:t>
      </w:r>
    </w:p>
    <w:p w14:paraId="6437E29C" w14:textId="5579A328"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Medvedev, D., </w:t>
      </w:r>
      <w:r w:rsidR="00623D2F" w:rsidRPr="00584EC7">
        <w:rPr>
          <w:rFonts w:eastAsia="Times New Roman"/>
          <w:lang w:val="en-GB" w:eastAsia="en-GB"/>
        </w:rPr>
        <w:t>(</w:t>
      </w:r>
      <w:r w:rsidRPr="00584EC7">
        <w:rPr>
          <w:rFonts w:eastAsia="Times New Roman"/>
          <w:lang w:val="en-GB" w:eastAsia="en-GB"/>
        </w:rPr>
        <w:t>2012</w:t>
      </w:r>
      <w:r w:rsidR="00623D2F" w:rsidRPr="00584EC7">
        <w:rPr>
          <w:rFonts w:eastAsia="Times New Roman"/>
          <w:lang w:val="en-GB" w:eastAsia="en-GB"/>
        </w:rPr>
        <w:t>)</w:t>
      </w:r>
      <w:r w:rsidRPr="00584EC7">
        <w:rPr>
          <w:rFonts w:eastAsia="Times New Roman"/>
          <w:lang w:val="en-GB" w:eastAsia="en-GB"/>
        </w:rPr>
        <w:t>. Beyond Trade: The Impact of Preferential Trade Agreements on FDI Inflows. World Development</w:t>
      </w:r>
      <w:r w:rsidR="00444BB3">
        <w:rPr>
          <w:rFonts w:eastAsia="Times New Roman"/>
          <w:lang w:val="en-GB" w:eastAsia="en-GB"/>
        </w:rPr>
        <w:t>,</w:t>
      </w:r>
      <w:r w:rsidRPr="00584EC7">
        <w:rPr>
          <w:rFonts w:eastAsia="Times New Roman"/>
          <w:lang w:val="en-GB" w:eastAsia="en-GB"/>
        </w:rPr>
        <w:t xml:space="preserve"> 40, 49-61.</w:t>
      </w:r>
    </w:p>
    <w:p w14:paraId="0A46F71E" w14:textId="047E75FF" w:rsidR="00F2168B"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North, D. C. (1990). Institutions institutional change and economic performance. Cambridge University Press. </w:t>
      </w:r>
    </w:p>
    <w:p w14:paraId="216E0665" w14:textId="300653BD" w:rsidR="009F18DF" w:rsidRPr="00584EC7" w:rsidRDefault="009F18DF"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North. D.C. (2005) Understanding the Process of Economic Change. Princeton University Press </w:t>
      </w:r>
    </w:p>
    <w:p w14:paraId="5F82E5F4"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Nunnenkamp, P., &amp; Spatz, J. (2004). Intellectual property rights and foreign direct investment: a disaggregated analysis. Review of World Economics, 140(3), 393-414.</w:t>
      </w:r>
    </w:p>
    <w:p w14:paraId="7AF0E7B9" w14:textId="5B5038EB" w:rsidR="00584EC7" w:rsidRPr="00584EC7" w:rsidRDefault="00584EC7" w:rsidP="00584EC7">
      <w:pPr>
        <w:spacing w:line="480" w:lineRule="auto"/>
        <w:ind w:left="284" w:hanging="284"/>
      </w:pPr>
      <w:r>
        <w:t>OECD (</w:t>
      </w:r>
      <w:r w:rsidRPr="005F5E86">
        <w:t>Organisation for Econom</w:t>
      </w:r>
      <w:r>
        <w:t>ic Cooperation and Development)</w:t>
      </w:r>
      <w:r w:rsidRPr="005F5E86">
        <w:t xml:space="preserve"> (2008). </w:t>
      </w:r>
      <w:r w:rsidRPr="005F5E86">
        <w:rPr>
          <w:i/>
        </w:rPr>
        <w:t>Handbook on constructing composite indicators: methodology and user guide</w:t>
      </w:r>
      <w:r w:rsidRPr="005F5E86">
        <w:t xml:space="preserve">. OECD Publishing. </w:t>
      </w:r>
    </w:p>
    <w:p w14:paraId="3BBCBA5A" w14:textId="5378D65D"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Office of the United States Trade Representative (2017). 2017 Trade Policy Agenda and 2016 Annual Report of the President of the United States on the Trade Agreements Program</w:t>
      </w:r>
      <w:r w:rsidR="00140657">
        <w:rPr>
          <w:rFonts w:eastAsia="Times New Roman"/>
          <w:lang w:val="en-GB" w:eastAsia="en-GB"/>
        </w:rPr>
        <w:t>.</w:t>
      </w:r>
      <w:r w:rsidRPr="00584EC7">
        <w:rPr>
          <w:rFonts w:eastAsia="Times New Roman"/>
          <w:lang w:val="en-GB" w:eastAsia="en-GB"/>
        </w:rPr>
        <w:t xml:space="preserve"> Washington DC.</w:t>
      </w:r>
    </w:p>
    <w:p w14:paraId="5245DA13"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ED7329">
        <w:rPr>
          <w:rFonts w:eastAsia="Times New Roman"/>
          <w:lang w:val="de-DE" w:eastAsia="en-GB"/>
        </w:rPr>
        <w:t xml:space="preserve">Oh, C. H., Selmier, W. T., &amp; Lien, D. (2011). </w:t>
      </w:r>
      <w:r w:rsidRPr="00584EC7">
        <w:rPr>
          <w:rFonts w:eastAsia="Times New Roman"/>
          <w:lang w:val="en-GB" w:eastAsia="en-GB"/>
        </w:rPr>
        <w:t>International trade, foreign direct investment, and transaction costs in languages. The Journal of Socio-Economics, 40(6), 732-735.</w:t>
      </w:r>
    </w:p>
    <w:p w14:paraId="5CCBDA66"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Ostergard, R. L. (2000). The measurement of intellectual property rights protection. Journal of International Business Studies, 31(2), 349-360.</w:t>
      </w:r>
    </w:p>
    <w:p w14:paraId="1386708C" w14:textId="789AC7FE"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Ostrom, E. (1990). Governing the commons: the evolution of institutions for collective action. Cambridge University Press</w:t>
      </w:r>
    </w:p>
    <w:p w14:paraId="27985725" w14:textId="2C6565DB"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Ostrom, E, &amp; Hess, C. (2007). </w:t>
      </w:r>
      <w:bookmarkStart w:id="2" w:name="_Hlk6309435"/>
      <w:r w:rsidRPr="00584EC7">
        <w:rPr>
          <w:rFonts w:eastAsia="Times New Roman"/>
          <w:lang w:val="en-GB" w:eastAsia="en-GB"/>
        </w:rPr>
        <w:t>Understanding knowledge as a commons: from theory to practice</w:t>
      </w:r>
      <w:bookmarkEnd w:id="2"/>
      <w:r w:rsidRPr="00584EC7">
        <w:rPr>
          <w:rFonts w:eastAsia="Times New Roman"/>
          <w:lang w:val="en-GB" w:eastAsia="en-GB"/>
        </w:rPr>
        <w:t>. MIT Press</w:t>
      </w:r>
    </w:p>
    <w:p w14:paraId="1A53E755"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Paniagua, J., &amp; Sapena, J (2014). Is FDI doing good? A golden rule for FDI ethics. </w:t>
      </w:r>
      <w:hyperlink r:id="rId22" w:tooltip="Go to Journal of Business Research on ScienceDirect" w:history="1">
        <w:r w:rsidRPr="00584EC7">
          <w:rPr>
            <w:rFonts w:eastAsia="Times New Roman"/>
            <w:lang w:val="en-GB" w:eastAsia="en-GB"/>
          </w:rPr>
          <w:t>Journal of Business Research</w:t>
        </w:r>
      </w:hyperlink>
      <w:r w:rsidRPr="00584EC7">
        <w:rPr>
          <w:rFonts w:eastAsia="Times New Roman"/>
          <w:lang w:val="en-GB" w:eastAsia="en-GB"/>
        </w:rPr>
        <w:t>, 67(5), 807-812</w:t>
      </w:r>
    </w:p>
    <w:p w14:paraId="1FDE66E5" w14:textId="262F82D5"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Papageorgiadis, N., &amp; McDonald, F. (201</w:t>
      </w:r>
      <w:r w:rsidR="00447977" w:rsidRPr="00584EC7">
        <w:rPr>
          <w:rFonts w:eastAsia="Times New Roman"/>
          <w:lang w:val="en-GB" w:eastAsia="en-GB"/>
        </w:rPr>
        <w:t>9</w:t>
      </w:r>
      <w:r w:rsidRPr="00584EC7">
        <w:rPr>
          <w:rFonts w:eastAsia="Times New Roman"/>
          <w:lang w:val="en-GB" w:eastAsia="en-GB"/>
        </w:rPr>
        <w:t xml:space="preserve">). Defining and Measuring the Institutional Context of National Intellectual Property Systems in a post-TRIPS world. Journal of International Management, </w:t>
      </w:r>
      <w:r w:rsidR="00447977" w:rsidRPr="00584EC7">
        <w:rPr>
          <w:rFonts w:eastAsia="Times New Roman"/>
          <w:lang w:val="en-GB" w:eastAsia="en-GB"/>
        </w:rPr>
        <w:t>25(1), 3-18.</w:t>
      </w:r>
    </w:p>
    <w:p w14:paraId="321E2FD1"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Papageorgiadis, N., Cross, A. R., &amp; Alexiou, C. (2013). The impact of the institution of patent protection and enforcement on entry mode strategy: A panel data investigation of US firms. International Business Review, 22(1), 278-292.</w:t>
      </w:r>
    </w:p>
    <w:p w14:paraId="4B1D297C"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Papageorgiadis, N., Cross, A. R., &amp; Alexiou, C. (2014). International patent systems strength 1998–2011. Journal of World Business, 49(4), 586-597.</w:t>
      </w:r>
    </w:p>
    <w:p w14:paraId="38CD5B9B"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Park, W. G. (2008). International patent protection: 1960–2005. Research Policy, 37(4), 761-766.</w:t>
      </w:r>
    </w:p>
    <w:p w14:paraId="39400FD1"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Park, W. G. (2018). International patent protection: 1960–2005: data. Retrieved from: http://fs2.american.edu/wgp/www/?_ga=2.117091522.578539624.1517914426-592794422.1517914426.</w:t>
      </w:r>
    </w:p>
    <w:p w14:paraId="55EC5A2C" w14:textId="77777777" w:rsidR="00524BEE" w:rsidRPr="00AA21F6" w:rsidRDefault="00524BEE" w:rsidP="00524BEE">
      <w:pPr>
        <w:shd w:val="clear" w:color="auto" w:fill="FFFFFF"/>
        <w:spacing w:line="480" w:lineRule="auto"/>
        <w:outlineLvl w:val="0"/>
        <w:rPr>
          <w:rFonts w:eastAsia="Times New Roman"/>
          <w:kern w:val="36"/>
          <w:lang w:eastAsia="en-GB"/>
        </w:rPr>
      </w:pPr>
      <w:r w:rsidRPr="00AA21F6">
        <w:rPr>
          <w:rFonts w:eastAsia="Times New Roman"/>
          <w:kern w:val="36"/>
          <w:lang w:eastAsia="en-GB"/>
        </w:rPr>
        <w:t xml:space="preserve">Pejovich, S. (1999). The Effects of the Interaction of Formal and Informal Institutions on </w:t>
      </w:r>
    </w:p>
    <w:p w14:paraId="674C3355" w14:textId="77777777" w:rsidR="00524BEE" w:rsidRPr="00AA21F6" w:rsidRDefault="00524BEE" w:rsidP="00524BEE">
      <w:pPr>
        <w:shd w:val="clear" w:color="auto" w:fill="FFFFFF"/>
        <w:spacing w:line="480" w:lineRule="auto"/>
        <w:ind w:left="720"/>
        <w:outlineLvl w:val="0"/>
        <w:rPr>
          <w:rFonts w:eastAsia="Times New Roman"/>
          <w:lang w:eastAsia="en-GB"/>
        </w:rPr>
      </w:pPr>
      <w:r w:rsidRPr="00AA21F6">
        <w:rPr>
          <w:rFonts w:eastAsia="Times New Roman"/>
          <w:kern w:val="36"/>
          <w:lang w:eastAsia="en-GB"/>
        </w:rPr>
        <w:t xml:space="preserve">Social Stability and Economic Development. </w:t>
      </w:r>
      <w:hyperlink r:id="rId23" w:tooltip="Click to search for more items from this journal" w:history="1">
        <w:r w:rsidRPr="00AA21F6">
          <w:rPr>
            <w:rFonts w:eastAsia="Times New Roman"/>
            <w:bCs/>
            <w:lang w:eastAsia="en-GB"/>
          </w:rPr>
          <w:t>Journal of Markets and Morality</w:t>
        </w:r>
      </w:hyperlink>
      <w:r w:rsidRPr="00AA21F6">
        <w:rPr>
          <w:rFonts w:eastAsia="Times New Roman"/>
          <w:lang w:eastAsia="en-GB"/>
        </w:rPr>
        <w:t>, 2(2), 164-181.</w:t>
      </w:r>
    </w:p>
    <w:p w14:paraId="77867BEA" w14:textId="1DED0553"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Peng, M. W., Ahlstrom, D., Carraher, S. M., &amp; Shi, W. S. (2017a). An institution-based view of global IPR History. Journal of International Business Studies, 48(7), 893-907.</w:t>
      </w:r>
    </w:p>
    <w:p w14:paraId="7D4CC706" w14:textId="15BA7AB3"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Peng, M. W., Ahlstrom, D., Carraher, S. M., &amp; Shi, W. S. (2017b). History and the debate over intellectual property. Management and Organization Review, 13(1), 15-38.</w:t>
      </w:r>
    </w:p>
    <w:p w14:paraId="057C3DAD"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Resmini, L. (2000). The determinants of foreign direct investment in the CEECs: new evidence from sectoral patterns. Economics of Transition, 8(3), 665-689.</w:t>
      </w:r>
    </w:p>
    <w:p w14:paraId="3C0962C2"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Seyoum, B. (1996). The impact of intellectual property rights on foreign direct investment. The Columbia Journal of World Business, 31(1), 50-59.</w:t>
      </w:r>
    </w:p>
    <w:p w14:paraId="4F1E8DA8"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Seyoum, B. (2006). Patent protection and foreign direct investment. Thunderbird International Business Review, 48(3), 389-404.</w:t>
      </w:r>
    </w:p>
    <w:p w14:paraId="622D566C"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Seyoum, B., (2011). Informal Institutions and Foreign Direct Investment, Journal of Economic Issues, 45(4), 917-940 </w:t>
      </w:r>
    </w:p>
    <w:p w14:paraId="005958C3" w14:textId="6378B63D"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Shirley, M.M. </w:t>
      </w:r>
      <w:r w:rsidR="00623D2F" w:rsidRPr="00584EC7">
        <w:rPr>
          <w:rFonts w:eastAsia="Times New Roman"/>
          <w:lang w:val="en-GB" w:eastAsia="en-GB"/>
        </w:rPr>
        <w:t>(</w:t>
      </w:r>
      <w:r w:rsidRPr="00584EC7">
        <w:rPr>
          <w:rFonts w:eastAsia="Times New Roman"/>
          <w:lang w:val="en-GB" w:eastAsia="en-GB"/>
        </w:rPr>
        <w:t>2013</w:t>
      </w:r>
      <w:r w:rsidR="00623D2F" w:rsidRPr="00584EC7">
        <w:rPr>
          <w:rFonts w:eastAsia="Times New Roman"/>
          <w:lang w:val="en-GB" w:eastAsia="en-GB"/>
        </w:rPr>
        <w:t>)</w:t>
      </w:r>
      <w:r w:rsidRPr="00584EC7">
        <w:rPr>
          <w:rFonts w:eastAsia="Times New Roman"/>
          <w:lang w:val="en-GB" w:eastAsia="en-GB"/>
        </w:rPr>
        <w:t xml:space="preserve">. Comment: Measuring institutions: how to be precise though vague. Journal of Institutional Economics, 9(1), 31-33. </w:t>
      </w:r>
    </w:p>
    <w:p w14:paraId="7EAED70D" w14:textId="77777777" w:rsidR="00C1479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Silva, J. S., &amp; Tenreyro, S. (2006). The log of gravity. The Review of Economics and Statistics, 88(4), 641-658.</w:t>
      </w:r>
    </w:p>
    <w:p w14:paraId="147CFFFE"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Smarzynska-Javorcik, B. (2004). The composition of foreign direct investment and protection of intellectual property rights: Evidence from transition economies. European Economic Review, 48(1), 39-62.</w:t>
      </w:r>
    </w:p>
    <w:p w14:paraId="1A75754A" w14:textId="5011A963" w:rsidR="00C9345E"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Suliman, A. H., &amp; Mollick, A. V. (2009). Human capital development, war and foreign direct investment in sub-Saharan Africa. Oxford Development Studies, 37(1), 47-61.</w:t>
      </w:r>
    </w:p>
    <w:p w14:paraId="509C1EB2" w14:textId="6208907E" w:rsidR="00144D4D" w:rsidRDefault="00144D4D"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Pr>
          <w:rFonts w:eastAsia="Times New Roman"/>
          <w:lang w:val="en-GB" w:eastAsia="en-GB"/>
        </w:rPr>
        <w:t>Ta</w:t>
      </w:r>
      <w:r w:rsidR="006E49F2">
        <w:rPr>
          <w:rFonts w:eastAsia="Times New Roman"/>
          <w:lang w:val="en-GB" w:eastAsia="en-GB"/>
        </w:rPr>
        <w:t>bellini, G. (2008</w:t>
      </w:r>
      <w:r w:rsidR="005B1532">
        <w:rPr>
          <w:rFonts w:eastAsia="Times New Roman"/>
          <w:lang w:val="en-GB" w:eastAsia="en-GB"/>
        </w:rPr>
        <w:t>a</w:t>
      </w:r>
      <w:r w:rsidR="006E49F2">
        <w:rPr>
          <w:rFonts w:eastAsia="Times New Roman"/>
          <w:lang w:val="en-GB" w:eastAsia="en-GB"/>
        </w:rPr>
        <w:t xml:space="preserve">). </w:t>
      </w:r>
      <w:r w:rsidR="00813390">
        <w:rPr>
          <w:rFonts w:eastAsia="Times New Roman"/>
          <w:lang w:val="en-GB" w:eastAsia="en-GB"/>
        </w:rPr>
        <w:t>Institutions</w:t>
      </w:r>
      <w:r w:rsidR="006E49F2">
        <w:rPr>
          <w:rFonts w:eastAsia="Times New Roman"/>
          <w:lang w:val="en-GB" w:eastAsia="en-GB"/>
        </w:rPr>
        <w:t xml:space="preserve"> and Culture</w:t>
      </w:r>
      <w:r w:rsidR="00813390">
        <w:rPr>
          <w:rFonts w:eastAsia="Times New Roman"/>
          <w:lang w:val="en-GB" w:eastAsia="en-GB"/>
        </w:rPr>
        <w:t xml:space="preserve">. </w:t>
      </w:r>
      <w:r w:rsidR="005B1532">
        <w:rPr>
          <w:rFonts w:eastAsia="Times New Roman"/>
          <w:lang w:val="en-GB" w:eastAsia="en-GB"/>
        </w:rPr>
        <w:t>J</w:t>
      </w:r>
      <w:r w:rsidR="00813390">
        <w:rPr>
          <w:rFonts w:eastAsia="Times New Roman"/>
          <w:lang w:val="en-GB" w:eastAsia="en-GB"/>
        </w:rPr>
        <w:t xml:space="preserve">ournal of the </w:t>
      </w:r>
      <w:r w:rsidR="005B1532">
        <w:rPr>
          <w:rFonts w:eastAsia="Times New Roman"/>
          <w:lang w:val="en-GB" w:eastAsia="en-GB"/>
        </w:rPr>
        <w:t>European</w:t>
      </w:r>
      <w:r w:rsidR="00813390">
        <w:rPr>
          <w:rFonts w:eastAsia="Times New Roman"/>
          <w:lang w:val="en-GB" w:eastAsia="en-GB"/>
        </w:rPr>
        <w:t xml:space="preserve"> Economic </w:t>
      </w:r>
      <w:r w:rsidR="005B1532">
        <w:rPr>
          <w:rFonts w:eastAsia="Times New Roman"/>
          <w:lang w:val="en-GB" w:eastAsia="en-GB"/>
        </w:rPr>
        <w:t>Associations</w:t>
      </w:r>
      <w:r w:rsidR="00813390">
        <w:rPr>
          <w:rFonts w:eastAsia="Times New Roman"/>
          <w:lang w:val="en-GB" w:eastAsia="en-GB"/>
        </w:rPr>
        <w:t>, 6(2-3), 255-</w:t>
      </w:r>
      <w:r w:rsidR="005B1532">
        <w:rPr>
          <w:rFonts w:eastAsia="Times New Roman"/>
          <w:lang w:val="en-GB" w:eastAsia="en-GB"/>
        </w:rPr>
        <w:t>294.</w:t>
      </w:r>
      <w:r w:rsidR="006E49F2">
        <w:rPr>
          <w:rFonts w:eastAsia="Times New Roman"/>
          <w:lang w:val="en-GB" w:eastAsia="en-GB"/>
        </w:rPr>
        <w:t xml:space="preserve"> </w:t>
      </w:r>
    </w:p>
    <w:p w14:paraId="37D76882" w14:textId="4072C756" w:rsidR="005B1532" w:rsidRPr="00584EC7" w:rsidRDefault="005B1532"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Pr>
          <w:rFonts w:eastAsia="Times New Roman"/>
          <w:lang w:val="en-GB" w:eastAsia="en-GB"/>
        </w:rPr>
        <w:t>Tabellini, G. (2</w:t>
      </w:r>
      <w:r w:rsidR="00360107">
        <w:rPr>
          <w:rFonts w:eastAsia="Times New Roman"/>
          <w:lang w:val="en-GB" w:eastAsia="en-GB"/>
        </w:rPr>
        <w:t>010). Cu</w:t>
      </w:r>
      <w:r w:rsidR="0000103A">
        <w:rPr>
          <w:rFonts w:eastAsia="Times New Roman"/>
          <w:lang w:val="en-GB" w:eastAsia="en-GB"/>
        </w:rPr>
        <w:t>lture and Institutions: Economic Development in the Regions</w:t>
      </w:r>
      <w:r w:rsidR="002B1494">
        <w:rPr>
          <w:rFonts w:eastAsia="Times New Roman"/>
          <w:lang w:val="en-GB" w:eastAsia="en-GB"/>
        </w:rPr>
        <w:t xml:space="preserve"> of Europe. Journal of the European Economic Association. </w:t>
      </w:r>
      <w:r w:rsidR="00717381">
        <w:rPr>
          <w:rFonts w:eastAsia="Times New Roman"/>
          <w:lang w:val="en-GB" w:eastAsia="en-GB"/>
        </w:rPr>
        <w:t>8(4), 677-716</w:t>
      </w:r>
      <w:r w:rsidR="00A853A2">
        <w:rPr>
          <w:rFonts w:eastAsia="Times New Roman"/>
          <w:lang w:val="en-GB" w:eastAsia="en-GB"/>
        </w:rPr>
        <w:t>.</w:t>
      </w:r>
      <w:r w:rsidR="002B1494">
        <w:rPr>
          <w:rFonts w:eastAsia="Times New Roman"/>
          <w:lang w:val="en-GB" w:eastAsia="en-GB"/>
        </w:rPr>
        <w:t xml:space="preserve"> </w:t>
      </w:r>
      <w:r w:rsidR="0000103A">
        <w:rPr>
          <w:rFonts w:eastAsia="Times New Roman"/>
          <w:lang w:val="en-GB" w:eastAsia="en-GB"/>
        </w:rPr>
        <w:t xml:space="preserve"> </w:t>
      </w:r>
      <w:r w:rsidR="00360107">
        <w:rPr>
          <w:rFonts w:eastAsia="Times New Roman"/>
          <w:lang w:val="en-GB" w:eastAsia="en-GB"/>
        </w:rPr>
        <w:t xml:space="preserve"> </w:t>
      </w:r>
      <w:r>
        <w:rPr>
          <w:rFonts w:eastAsia="Times New Roman"/>
          <w:lang w:val="en-GB" w:eastAsia="en-GB"/>
        </w:rPr>
        <w:t xml:space="preserve"> </w:t>
      </w:r>
    </w:p>
    <w:p w14:paraId="27214C56"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USCC (US-China Economic Security Commission). (2015). The foreign investment climate in China: present challenges and potential for reform. Retrieved from: https://www.uscc.gov/sites/default/files/transcripts/January%2028%202015%20Hearing%20Transcript.pdf</w:t>
      </w:r>
    </w:p>
    <w:p w14:paraId="437A386A"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Ushijima, T. (2013). </w:t>
      </w:r>
      <w:r w:rsidRPr="00584EC7">
        <w:rPr>
          <w:rFonts w:eastAsia="Times New Roman"/>
          <w:lang w:eastAsia="en-GB"/>
        </w:rPr>
        <w:t>Patent rights protection and Japanese foreign direct investment</w:t>
      </w:r>
      <w:r w:rsidRPr="00584EC7">
        <w:rPr>
          <w:rFonts w:eastAsia="Times New Roman"/>
          <w:lang w:val="en-GB" w:eastAsia="en-GB"/>
        </w:rPr>
        <w:t>. Research Policy, 42(3), 738-748.</w:t>
      </w:r>
    </w:p>
    <w:p w14:paraId="42D304B0" w14:textId="53DA8BC9" w:rsidR="00C9345E"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Voigt, S. (2013). How (not) to measure institutions. Journal of Institutional Economics, 9(1), 1-26.</w:t>
      </w:r>
    </w:p>
    <w:p w14:paraId="023175B1" w14:textId="30D13901" w:rsidR="007D4845" w:rsidRPr="00584EC7" w:rsidRDefault="007D4845"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Pr>
          <w:rFonts w:eastAsia="Times New Roman"/>
          <w:lang w:val="en-GB" w:eastAsia="en-GB"/>
        </w:rPr>
        <w:t>V</w:t>
      </w:r>
      <w:r w:rsidR="00590977">
        <w:rPr>
          <w:rFonts w:eastAsia="Times New Roman"/>
          <w:lang w:val="en-GB" w:eastAsia="en-GB"/>
        </w:rPr>
        <w:t xml:space="preserve">oigt, S. (2018). How </w:t>
      </w:r>
      <w:r w:rsidR="00950C9E">
        <w:rPr>
          <w:rFonts w:eastAsia="Times New Roman"/>
          <w:lang w:val="en-GB" w:eastAsia="en-GB"/>
        </w:rPr>
        <w:t xml:space="preserve">to measure informal institutions. </w:t>
      </w:r>
      <w:r w:rsidR="00950C9E" w:rsidRPr="00584EC7">
        <w:rPr>
          <w:rFonts w:eastAsia="Times New Roman"/>
          <w:lang w:val="en-GB" w:eastAsia="en-GB"/>
        </w:rPr>
        <w:t>Journal of Institutional Economics</w:t>
      </w:r>
      <w:r w:rsidR="000A66E4">
        <w:rPr>
          <w:rFonts w:eastAsia="Times New Roman"/>
          <w:lang w:val="en-GB" w:eastAsia="en-GB"/>
        </w:rPr>
        <w:t>, 14(1), 1-22.</w:t>
      </w:r>
    </w:p>
    <w:p w14:paraId="3467A709"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Webb, J. W., Tihanyi, L., Ireland, R. D., &amp; Sirmon, D. G. (2009). You say illegal, I say legitimate: Entrepreneurship in the informal economy. Academy of Management Review, 34(3), 492-510.</w:t>
      </w:r>
    </w:p>
    <w:p w14:paraId="077FC89C" w14:textId="5C879FDE"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Williamson, C. R., </w:t>
      </w:r>
      <w:r w:rsidR="00623D2F" w:rsidRPr="00584EC7">
        <w:rPr>
          <w:rFonts w:eastAsia="Times New Roman"/>
          <w:lang w:val="en-GB" w:eastAsia="en-GB"/>
        </w:rPr>
        <w:t>&amp; </w:t>
      </w:r>
      <w:r w:rsidRPr="00584EC7">
        <w:rPr>
          <w:rFonts w:eastAsia="Times New Roman"/>
          <w:lang w:val="en-GB" w:eastAsia="en-GB"/>
        </w:rPr>
        <w:t>Kerekes, C.</w:t>
      </w:r>
      <w:r w:rsidR="00623D2F" w:rsidRPr="00584EC7">
        <w:rPr>
          <w:rFonts w:eastAsia="Times New Roman"/>
          <w:lang w:val="en-GB" w:eastAsia="en-GB"/>
        </w:rPr>
        <w:t xml:space="preserve"> </w:t>
      </w:r>
      <w:r w:rsidRPr="00584EC7">
        <w:rPr>
          <w:rFonts w:eastAsia="Times New Roman"/>
          <w:lang w:val="en-GB" w:eastAsia="en-GB"/>
        </w:rPr>
        <w:t>B. (2011) Securing Private Property: Formal versus Informal Institutions, The Journal of Law and Economics, 54(3), 537-572.</w:t>
      </w:r>
    </w:p>
    <w:p w14:paraId="4C3FAEF6" w14:textId="4D7AD302"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lastRenderedPageBreak/>
        <w:t xml:space="preserve">Williamson. O.E. (1992). Markets, hierarchies, and the modern corporation: An unfolding perspective. </w:t>
      </w:r>
      <w:hyperlink r:id="rId24" w:tooltip="Go to Journal of Economic Behavior &amp; Organization on ScienceDirect" w:history="1">
        <w:r w:rsidRPr="00584EC7">
          <w:rPr>
            <w:rFonts w:eastAsia="Times New Roman"/>
            <w:lang w:val="en-GB" w:eastAsia="en-GB"/>
          </w:rPr>
          <w:t xml:space="preserve">Journal of Economic </w:t>
        </w:r>
        <w:r w:rsidR="005E6B4F" w:rsidRPr="00584EC7">
          <w:rPr>
            <w:rFonts w:eastAsia="Times New Roman"/>
            <w:lang w:val="en-GB" w:eastAsia="en-GB"/>
          </w:rPr>
          <w:t>Behaviour</w:t>
        </w:r>
        <w:r w:rsidRPr="00584EC7">
          <w:rPr>
            <w:rFonts w:eastAsia="Times New Roman"/>
            <w:lang w:val="en-GB" w:eastAsia="en-GB"/>
          </w:rPr>
          <w:t xml:space="preserve"> &amp; Organization</w:t>
        </w:r>
      </w:hyperlink>
      <w:r w:rsidRPr="00584EC7">
        <w:rPr>
          <w:rFonts w:eastAsia="Times New Roman"/>
          <w:lang w:val="en-GB" w:eastAsia="en-GB"/>
        </w:rPr>
        <w:t>. 17(3), 335-352</w:t>
      </w:r>
    </w:p>
    <w:p w14:paraId="2C0C73BD" w14:textId="77777777" w:rsidR="00AE5B27" w:rsidRPr="00584EC7" w:rsidRDefault="00AE5B27"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Williamson. O.E. (1998) Transaction Cost Economics; How it works; where it is headed, De Economist, 146(1), 22-24  </w:t>
      </w:r>
    </w:p>
    <w:p w14:paraId="4227E63D" w14:textId="65E05C52"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Williamson, O. E. (2000). The new institutional economics: taking stock, looking ahead, Journal of Economic Literature, 38</w:t>
      </w:r>
      <w:r w:rsidR="003512F4">
        <w:rPr>
          <w:rFonts w:eastAsia="Times New Roman"/>
          <w:lang w:val="en-GB" w:eastAsia="en-GB"/>
        </w:rPr>
        <w:t>(3)</w:t>
      </w:r>
      <w:r w:rsidRPr="00584EC7">
        <w:rPr>
          <w:rFonts w:eastAsia="Times New Roman"/>
          <w:lang w:val="en-GB" w:eastAsia="en-GB"/>
        </w:rPr>
        <w:t>, 595-613.</w:t>
      </w:r>
    </w:p>
    <w:p w14:paraId="1E3C22C8" w14:textId="77777777" w:rsidR="00766D7B" w:rsidRPr="00584EC7" w:rsidRDefault="00766D7B"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WIPO (World Intellectual Property Organization). (2017). World Intellectual Property Indicators 2017. Retrieved from: </w:t>
      </w:r>
      <w:hyperlink r:id="rId25" w:history="1">
        <w:r w:rsidRPr="00584EC7">
          <w:rPr>
            <w:rFonts w:eastAsia="Times New Roman"/>
            <w:lang w:val="en-GB" w:eastAsia="en-GB"/>
          </w:rPr>
          <w:t>https://www.wipo.int/edocs/pubdocs/en/wipo_pub_941_2017-chapter2.pdf</w:t>
        </w:r>
      </w:hyperlink>
    </w:p>
    <w:p w14:paraId="040F0CA8"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 xml:space="preserve">WTO (2011). Current Issues in Intellectual Property. </w:t>
      </w:r>
      <w:hyperlink r:id="rId26" w:anchor="ldc" w:history="1">
        <w:r w:rsidRPr="00584EC7">
          <w:rPr>
            <w:rFonts w:eastAsia="Times New Roman"/>
            <w:lang w:val="en-GB" w:eastAsia="en-GB"/>
          </w:rPr>
          <w:t>www.wto.org/english/tratop_e/trips_e/trips_issues_e.htm#ldc</w:t>
        </w:r>
      </w:hyperlink>
    </w:p>
    <w:p w14:paraId="5473740E"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Xu, D., &amp; Shenkar, O. (2002). Note: Institutional distance and the multinational enterprise. Academy of Management Review, 27(4), 608-618.</w:t>
      </w:r>
    </w:p>
    <w:p w14:paraId="6C382BE7" w14:textId="77777777" w:rsidR="00C9345E" w:rsidRPr="00584EC7" w:rsidRDefault="00C9345E" w:rsidP="00584EC7">
      <w:pPr>
        <w:pBdr>
          <w:top w:val="none" w:sz="0" w:space="0" w:color="auto"/>
          <w:left w:val="none" w:sz="0" w:space="0" w:color="auto"/>
          <w:bottom w:val="none" w:sz="0" w:space="0" w:color="auto"/>
          <w:right w:val="none" w:sz="0" w:space="0" w:color="auto"/>
        </w:pBdr>
        <w:spacing w:line="480" w:lineRule="auto"/>
        <w:ind w:left="284" w:hanging="284"/>
        <w:rPr>
          <w:rFonts w:eastAsia="Times New Roman"/>
          <w:lang w:val="en-GB" w:eastAsia="en-GB"/>
        </w:rPr>
      </w:pPr>
      <w:r w:rsidRPr="00584EC7">
        <w:rPr>
          <w:rFonts w:eastAsia="Times New Roman"/>
          <w:lang w:val="en-GB" w:eastAsia="en-GB"/>
        </w:rPr>
        <w:t>Yang, D., &amp; Sonmez, M. (2013). Integration and divergence of patent systems across national and international institutions. Journal of World Business, 48(4), 527-538.</w:t>
      </w:r>
    </w:p>
    <w:p w14:paraId="41F92F8F" w14:textId="77777777" w:rsidR="00AF01B6" w:rsidRPr="001D77AF" w:rsidRDefault="00AF01B6" w:rsidP="00475875">
      <w:pPr>
        <w:pStyle w:val="Body"/>
        <w:spacing w:line="240" w:lineRule="auto"/>
        <w:contextualSpacing/>
        <w:jc w:val="both"/>
        <w:rPr>
          <w:rFonts w:ascii="Times New Roman" w:hAnsi="Times New Roman" w:cs="Times New Roman"/>
          <w:color w:val="auto"/>
          <w:sz w:val="24"/>
          <w:szCs w:val="24"/>
          <w:lang w:val="en-GB"/>
        </w:rPr>
      </w:pPr>
    </w:p>
    <w:sectPr w:rsidR="00AF01B6" w:rsidRPr="001D77AF" w:rsidSect="00713CE5">
      <w:pgSz w:w="11900" w:h="16840"/>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67A93" w14:textId="77777777" w:rsidR="007D583A" w:rsidRDefault="007D583A">
      <w:r>
        <w:separator/>
      </w:r>
    </w:p>
  </w:endnote>
  <w:endnote w:type="continuationSeparator" w:id="0">
    <w:p w14:paraId="0F51122F" w14:textId="77777777" w:rsidR="007D583A" w:rsidRDefault="007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11B" w14:textId="77777777" w:rsidR="00AC044C" w:rsidRDefault="00AC0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946A" w14:textId="77777777" w:rsidR="00832CC9" w:rsidRPr="000A4B9E" w:rsidRDefault="00832CC9" w:rsidP="000A4B9E">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8B93" w14:textId="77777777" w:rsidR="00AC044C" w:rsidRDefault="00AC0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95765"/>
      <w:docPartObj>
        <w:docPartGallery w:val="Page Numbers (Bottom of Page)"/>
        <w:docPartUnique/>
      </w:docPartObj>
    </w:sdtPr>
    <w:sdtEndPr>
      <w:rPr>
        <w:rFonts w:ascii="Times New Roman" w:hAnsi="Times New Roman" w:cs="Times New Roman"/>
        <w:noProof/>
        <w:sz w:val="20"/>
        <w:szCs w:val="20"/>
      </w:rPr>
    </w:sdtEndPr>
    <w:sdtContent>
      <w:p w14:paraId="176A85C0" w14:textId="28465480" w:rsidR="00832CC9" w:rsidRPr="000A4B9E" w:rsidRDefault="00832CC9" w:rsidP="000A4B9E">
        <w:pPr>
          <w:pStyle w:val="Footer"/>
          <w:jc w:val="right"/>
          <w:rPr>
            <w:rFonts w:ascii="Times New Roman" w:hAnsi="Times New Roman" w:cs="Times New Roman"/>
            <w:sz w:val="20"/>
            <w:szCs w:val="20"/>
          </w:rPr>
        </w:pPr>
        <w:r w:rsidRPr="000A4B9E">
          <w:rPr>
            <w:rFonts w:ascii="Times New Roman" w:hAnsi="Times New Roman" w:cs="Times New Roman"/>
            <w:sz w:val="20"/>
            <w:szCs w:val="20"/>
          </w:rPr>
          <w:fldChar w:fldCharType="begin"/>
        </w:r>
        <w:r w:rsidRPr="000A4B9E">
          <w:rPr>
            <w:rFonts w:ascii="Times New Roman" w:hAnsi="Times New Roman" w:cs="Times New Roman"/>
            <w:sz w:val="20"/>
            <w:szCs w:val="20"/>
          </w:rPr>
          <w:instrText xml:space="preserve"> PAGE   \* MERGEFORMAT </w:instrText>
        </w:r>
        <w:r w:rsidRPr="000A4B9E">
          <w:rPr>
            <w:rFonts w:ascii="Times New Roman" w:hAnsi="Times New Roman" w:cs="Times New Roman"/>
            <w:sz w:val="20"/>
            <w:szCs w:val="20"/>
          </w:rPr>
          <w:fldChar w:fldCharType="separate"/>
        </w:r>
        <w:r w:rsidR="00527C83">
          <w:rPr>
            <w:rFonts w:ascii="Times New Roman" w:hAnsi="Times New Roman" w:cs="Times New Roman"/>
            <w:noProof/>
            <w:sz w:val="20"/>
            <w:szCs w:val="20"/>
          </w:rPr>
          <w:t>18</w:t>
        </w:r>
        <w:r w:rsidRPr="000A4B9E">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09771"/>
      <w:docPartObj>
        <w:docPartGallery w:val="Page Numbers (Bottom of Page)"/>
        <w:docPartUnique/>
      </w:docPartObj>
    </w:sdtPr>
    <w:sdtEndPr>
      <w:rPr>
        <w:rFonts w:ascii="Times New Roman" w:hAnsi="Times New Roman" w:cs="Times New Roman"/>
        <w:noProof/>
        <w:sz w:val="20"/>
        <w:szCs w:val="20"/>
      </w:rPr>
    </w:sdtEndPr>
    <w:sdtContent>
      <w:p w14:paraId="66EF36B3" w14:textId="77777777" w:rsidR="00832CC9" w:rsidRPr="008330ED" w:rsidRDefault="00832CC9" w:rsidP="008330ED">
        <w:pPr>
          <w:pStyle w:val="Footer"/>
          <w:jc w:val="right"/>
          <w:rPr>
            <w:rFonts w:ascii="Times New Roman" w:hAnsi="Times New Roman" w:cs="Times New Roman"/>
            <w:sz w:val="20"/>
            <w:szCs w:val="20"/>
          </w:rPr>
        </w:pPr>
        <w:r w:rsidRPr="008330ED">
          <w:rPr>
            <w:rFonts w:ascii="Times New Roman" w:hAnsi="Times New Roman" w:cs="Times New Roman"/>
            <w:sz w:val="20"/>
            <w:szCs w:val="20"/>
          </w:rPr>
          <w:fldChar w:fldCharType="begin"/>
        </w:r>
        <w:r w:rsidRPr="008330ED">
          <w:rPr>
            <w:rFonts w:ascii="Times New Roman" w:hAnsi="Times New Roman" w:cs="Times New Roman"/>
            <w:sz w:val="20"/>
            <w:szCs w:val="20"/>
          </w:rPr>
          <w:instrText xml:space="preserve"> PAGE   \* MERGEFORMAT </w:instrText>
        </w:r>
        <w:r w:rsidRPr="008330ED">
          <w:rPr>
            <w:rFonts w:ascii="Times New Roman" w:hAnsi="Times New Roman" w:cs="Times New Roman"/>
            <w:sz w:val="20"/>
            <w:szCs w:val="20"/>
          </w:rPr>
          <w:fldChar w:fldCharType="separate"/>
        </w:r>
        <w:r>
          <w:rPr>
            <w:rFonts w:ascii="Times New Roman" w:hAnsi="Times New Roman" w:cs="Times New Roman"/>
            <w:noProof/>
            <w:sz w:val="20"/>
            <w:szCs w:val="20"/>
          </w:rPr>
          <w:t>1</w:t>
        </w:r>
        <w:r w:rsidRPr="008330ED">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30586"/>
      <w:docPartObj>
        <w:docPartGallery w:val="Page Numbers (Bottom of Page)"/>
        <w:docPartUnique/>
      </w:docPartObj>
    </w:sdtPr>
    <w:sdtEndPr>
      <w:rPr>
        <w:noProof/>
      </w:rPr>
    </w:sdtEndPr>
    <w:sdtContent>
      <w:p w14:paraId="171EC6A9" w14:textId="28B93F91" w:rsidR="00832CC9" w:rsidRDefault="00832CC9">
        <w:pPr>
          <w:pStyle w:val="Footer"/>
          <w:jc w:val="right"/>
        </w:pPr>
        <w:r>
          <w:rPr>
            <w:noProof/>
          </w:rPr>
          <w:fldChar w:fldCharType="begin"/>
        </w:r>
        <w:r>
          <w:rPr>
            <w:noProof/>
          </w:rPr>
          <w:instrText xml:space="preserve"> PAGE   \* MERGEFORMAT </w:instrText>
        </w:r>
        <w:r>
          <w:rPr>
            <w:noProof/>
          </w:rPr>
          <w:fldChar w:fldCharType="separate"/>
        </w:r>
        <w:r w:rsidR="00527C83">
          <w:rPr>
            <w:noProof/>
          </w:rPr>
          <w:t>31</w:t>
        </w:r>
        <w:r>
          <w:rPr>
            <w:noProof/>
          </w:rPr>
          <w:fldChar w:fldCharType="end"/>
        </w:r>
      </w:p>
    </w:sdtContent>
  </w:sdt>
  <w:p w14:paraId="12B81133" w14:textId="77777777" w:rsidR="00832CC9" w:rsidRPr="001273E1" w:rsidRDefault="00832CC9" w:rsidP="001273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7361"/>
      <w:docPartObj>
        <w:docPartGallery w:val="Page Numbers (Bottom of Page)"/>
        <w:docPartUnique/>
      </w:docPartObj>
    </w:sdtPr>
    <w:sdtEndPr>
      <w:rPr>
        <w:noProof/>
      </w:rPr>
    </w:sdtEndPr>
    <w:sdtContent>
      <w:p w14:paraId="3CD845EF" w14:textId="7C4D8A20" w:rsidR="00832CC9" w:rsidRDefault="00832CC9">
        <w:pPr>
          <w:pStyle w:val="Footer"/>
          <w:jc w:val="right"/>
        </w:pPr>
        <w:r>
          <w:rPr>
            <w:noProof/>
          </w:rPr>
          <w:fldChar w:fldCharType="begin"/>
        </w:r>
        <w:r>
          <w:rPr>
            <w:noProof/>
          </w:rPr>
          <w:instrText xml:space="preserve"> PAGE   \* MERGEFORMAT </w:instrText>
        </w:r>
        <w:r>
          <w:rPr>
            <w:noProof/>
          </w:rPr>
          <w:fldChar w:fldCharType="separate"/>
        </w:r>
        <w:r w:rsidR="00527C83">
          <w:rPr>
            <w:noProof/>
          </w:rPr>
          <w:t>42</w:t>
        </w:r>
        <w:r>
          <w:rPr>
            <w:noProof/>
          </w:rPr>
          <w:fldChar w:fldCharType="end"/>
        </w:r>
      </w:p>
    </w:sdtContent>
  </w:sdt>
  <w:p w14:paraId="4FFFA509" w14:textId="77777777" w:rsidR="00832CC9" w:rsidRPr="001273E1" w:rsidRDefault="00832CC9" w:rsidP="0012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BCC5" w14:textId="77777777" w:rsidR="007D583A" w:rsidRDefault="007D583A">
      <w:r>
        <w:separator/>
      </w:r>
    </w:p>
  </w:footnote>
  <w:footnote w:type="continuationSeparator" w:id="0">
    <w:p w14:paraId="4979ED50" w14:textId="77777777" w:rsidR="007D583A" w:rsidRDefault="007D583A">
      <w:r>
        <w:continuationSeparator/>
      </w:r>
    </w:p>
  </w:footnote>
  <w:footnote w:type="continuationNotice" w:id="1">
    <w:p w14:paraId="2951723D" w14:textId="77777777" w:rsidR="007D583A" w:rsidRDefault="007D583A"/>
  </w:footnote>
  <w:footnote w:id="2">
    <w:p w14:paraId="3D1FD90D" w14:textId="36CFC72B" w:rsidR="00832CC9" w:rsidRDefault="00832CC9" w:rsidP="005A2637">
      <w:pPr>
        <w:pStyle w:val="FootnoteText"/>
      </w:pPr>
      <w:r>
        <w:rPr>
          <w:rStyle w:val="FootnoteReference"/>
        </w:rPr>
        <w:footnoteRef/>
      </w:r>
      <w:r>
        <w:t xml:space="preserve"> </w:t>
      </w:r>
      <w:r w:rsidRPr="00D97580">
        <w:rPr>
          <w:rFonts w:ascii="Times New Roman" w:hAnsi="Times New Roman" w:cs="Times New Roman"/>
        </w:rPr>
        <w:t>The Papageorgiadis et al. (2014) version of the index used in this study, unlike the earlier version found in Papageorgiadis, et al. (2013), does not contain any data that relates to the formal legal aspects of IPR systems. Use of the 2014 version of the index ensures that the index is free of links to formal legal aspects of IPR regimes.</w:t>
      </w:r>
      <w:r w:rsidRPr="00C319D7">
        <w:t xml:space="preserve"> </w:t>
      </w:r>
    </w:p>
  </w:footnote>
  <w:footnote w:id="3">
    <w:p w14:paraId="09D69BB9" w14:textId="77777777" w:rsidR="00832CC9" w:rsidRPr="00AB0CCD" w:rsidRDefault="00832CC9" w:rsidP="00131EF2">
      <w:pPr>
        <w:pStyle w:val="FootnoteText"/>
        <w:rPr>
          <w:rFonts w:ascii="Times New Roman" w:hAnsi="Times New Roman" w:cs="Times New Roman"/>
        </w:rPr>
      </w:pPr>
      <w:r w:rsidRPr="00AB0CCD">
        <w:rPr>
          <w:rStyle w:val="FootnoteReference"/>
          <w:rFonts w:ascii="Times New Roman" w:hAnsi="Times New Roman" w:cs="Times New Roman"/>
        </w:rPr>
        <w:footnoteRef/>
      </w:r>
      <w:r w:rsidRPr="00AB0CCD">
        <w:rPr>
          <w:rFonts w:ascii="Times New Roman" w:hAnsi="Times New Roman" w:cs="Times New Roman"/>
        </w:rPr>
        <w:t xml:space="preserve"> </w:t>
      </w:r>
      <w:r>
        <w:rPr>
          <w:rFonts w:ascii="Times New Roman" w:hAnsi="Times New Roman" w:cs="Times New Roman"/>
        </w:rPr>
        <w:t xml:space="preserve">The </w:t>
      </w:r>
      <w:r w:rsidRPr="0097510F">
        <w:rPr>
          <w:rFonts w:ascii="Times New Roman" w:hAnsi="Times New Roman" w:cs="Times New Roman"/>
        </w:rPr>
        <w:t xml:space="preserve">Economic Freedom Index reports 10 dimensions, but due to unavailability of data for trade freedom for </w:t>
      </w:r>
      <w:r>
        <w:rPr>
          <w:rFonts w:ascii="Times New Roman" w:hAnsi="Times New Roman" w:cs="Times New Roman"/>
        </w:rPr>
        <w:t xml:space="preserve">the </w:t>
      </w:r>
      <w:r w:rsidRPr="0097510F">
        <w:rPr>
          <w:rFonts w:ascii="Times New Roman" w:hAnsi="Times New Roman" w:cs="Times New Roman"/>
          <w:color w:val="000000" w:themeColor="text1"/>
        </w:rPr>
        <w:t xml:space="preserve">1998-2004 period, we </w:t>
      </w:r>
      <w:r>
        <w:rPr>
          <w:rFonts w:ascii="Times New Roman" w:hAnsi="Times New Roman" w:cs="Times New Roman"/>
          <w:color w:val="000000" w:themeColor="text1"/>
        </w:rPr>
        <w:t>were constrained</w:t>
      </w:r>
      <w:r w:rsidRPr="0097510F">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the use of </w:t>
      </w:r>
      <w:r w:rsidRPr="0097510F">
        <w:rPr>
          <w:rFonts w:ascii="Times New Roman" w:hAnsi="Times New Roman" w:cs="Times New Roman"/>
          <w:color w:val="000000" w:themeColor="text1"/>
        </w:rPr>
        <w:t>the remaining nine measures</w:t>
      </w:r>
      <w:r>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DA39" w14:textId="77777777" w:rsidR="00AC044C" w:rsidRDefault="00AC0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DA83" w14:textId="77777777" w:rsidR="00AC044C" w:rsidRDefault="00AC0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3CB5" w14:textId="77777777" w:rsidR="00AC044C" w:rsidRDefault="00AC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061"/>
    <w:multiLevelType w:val="hybridMultilevel"/>
    <w:tmpl w:val="4BE85930"/>
    <w:lvl w:ilvl="0" w:tplc="D384E69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B78A5"/>
    <w:multiLevelType w:val="hybridMultilevel"/>
    <w:tmpl w:val="426A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65610E"/>
    <w:multiLevelType w:val="hybridMultilevel"/>
    <w:tmpl w:val="7A940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23C1A"/>
    <w:multiLevelType w:val="hybridMultilevel"/>
    <w:tmpl w:val="FC785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F6E02"/>
    <w:multiLevelType w:val="hybridMultilevel"/>
    <w:tmpl w:val="352AD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F4AC9"/>
    <w:multiLevelType w:val="hybridMultilevel"/>
    <w:tmpl w:val="6D98DD0E"/>
    <w:lvl w:ilvl="0" w:tplc="01C2D34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D606A"/>
    <w:multiLevelType w:val="multilevel"/>
    <w:tmpl w:val="250E0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15359"/>
    <w:multiLevelType w:val="hybridMultilevel"/>
    <w:tmpl w:val="A176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D02D3"/>
    <w:multiLevelType w:val="multilevel"/>
    <w:tmpl w:val="61C08DE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B1D302F"/>
    <w:multiLevelType w:val="hybridMultilevel"/>
    <w:tmpl w:val="545A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88232D"/>
    <w:multiLevelType w:val="hybridMultilevel"/>
    <w:tmpl w:val="363A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3439E"/>
    <w:multiLevelType w:val="hybridMultilevel"/>
    <w:tmpl w:val="A7AA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2A5971"/>
    <w:multiLevelType w:val="hybridMultilevel"/>
    <w:tmpl w:val="0234FD00"/>
    <w:lvl w:ilvl="0" w:tplc="01C2D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F830A4"/>
    <w:multiLevelType w:val="hybridMultilevel"/>
    <w:tmpl w:val="DB8AE31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
  </w:num>
  <w:num w:numId="2">
    <w:abstractNumId w:val="12"/>
  </w:num>
  <w:num w:numId="3">
    <w:abstractNumId w:val="5"/>
  </w:num>
  <w:num w:numId="4">
    <w:abstractNumId w:val="7"/>
  </w:num>
  <w:num w:numId="5">
    <w:abstractNumId w:val="2"/>
  </w:num>
  <w:num w:numId="6">
    <w:abstractNumId w:val="13"/>
  </w:num>
  <w:num w:numId="7">
    <w:abstractNumId w:val="8"/>
  </w:num>
  <w:num w:numId="8">
    <w:abstractNumId w:val="0"/>
  </w:num>
  <w:num w:numId="9">
    <w:abstractNumId w:val="6"/>
  </w:num>
  <w:num w:numId="10">
    <w:abstractNumId w:val="3"/>
  </w:num>
  <w:num w:numId="11">
    <w:abstractNumId w:val="10"/>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9C"/>
    <w:rsid w:val="0000015D"/>
    <w:rsid w:val="00000205"/>
    <w:rsid w:val="0000103A"/>
    <w:rsid w:val="00001235"/>
    <w:rsid w:val="00001AD6"/>
    <w:rsid w:val="0000282A"/>
    <w:rsid w:val="00002AA6"/>
    <w:rsid w:val="00002CC8"/>
    <w:rsid w:val="00002FCD"/>
    <w:rsid w:val="00004460"/>
    <w:rsid w:val="0000465B"/>
    <w:rsid w:val="000048E2"/>
    <w:rsid w:val="00004B36"/>
    <w:rsid w:val="00004D01"/>
    <w:rsid w:val="00005A69"/>
    <w:rsid w:val="00005B39"/>
    <w:rsid w:val="00006155"/>
    <w:rsid w:val="00006278"/>
    <w:rsid w:val="00006980"/>
    <w:rsid w:val="00006DFF"/>
    <w:rsid w:val="00007092"/>
    <w:rsid w:val="0000711A"/>
    <w:rsid w:val="00007987"/>
    <w:rsid w:val="00007B9C"/>
    <w:rsid w:val="00007D38"/>
    <w:rsid w:val="00007F20"/>
    <w:rsid w:val="000107F6"/>
    <w:rsid w:val="00010A90"/>
    <w:rsid w:val="00010B19"/>
    <w:rsid w:val="00010E49"/>
    <w:rsid w:val="00011554"/>
    <w:rsid w:val="000118D3"/>
    <w:rsid w:val="00012119"/>
    <w:rsid w:val="00012565"/>
    <w:rsid w:val="000132C8"/>
    <w:rsid w:val="0001364E"/>
    <w:rsid w:val="00013F4F"/>
    <w:rsid w:val="000141A8"/>
    <w:rsid w:val="0001442D"/>
    <w:rsid w:val="00014ABB"/>
    <w:rsid w:val="00015085"/>
    <w:rsid w:val="0001510C"/>
    <w:rsid w:val="00015D9B"/>
    <w:rsid w:val="00015F25"/>
    <w:rsid w:val="00016801"/>
    <w:rsid w:val="00016824"/>
    <w:rsid w:val="000170B1"/>
    <w:rsid w:val="00017281"/>
    <w:rsid w:val="0001731E"/>
    <w:rsid w:val="00017745"/>
    <w:rsid w:val="0001791A"/>
    <w:rsid w:val="000179E8"/>
    <w:rsid w:val="00017D28"/>
    <w:rsid w:val="00020891"/>
    <w:rsid w:val="000218BF"/>
    <w:rsid w:val="00022088"/>
    <w:rsid w:val="000222CA"/>
    <w:rsid w:val="000223A5"/>
    <w:rsid w:val="00022484"/>
    <w:rsid w:val="00022FC7"/>
    <w:rsid w:val="000230CD"/>
    <w:rsid w:val="00023537"/>
    <w:rsid w:val="00023AED"/>
    <w:rsid w:val="00023C96"/>
    <w:rsid w:val="00023CD3"/>
    <w:rsid w:val="00023D04"/>
    <w:rsid w:val="00023FFF"/>
    <w:rsid w:val="00024271"/>
    <w:rsid w:val="00024615"/>
    <w:rsid w:val="000247FC"/>
    <w:rsid w:val="00024B19"/>
    <w:rsid w:val="00024FE0"/>
    <w:rsid w:val="0002652B"/>
    <w:rsid w:val="00026A0F"/>
    <w:rsid w:val="00027399"/>
    <w:rsid w:val="00027555"/>
    <w:rsid w:val="000279C2"/>
    <w:rsid w:val="00027BB3"/>
    <w:rsid w:val="00027CA1"/>
    <w:rsid w:val="00030075"/>
    <w:rsid w:val="0003035C"/>
    <w:rsid w:val="000318D6"/>
    <w:rsid w:val="00032507"/>
    <w:rsid w:val="00033B09"/>
    <w:rsid w:val="0003400F"/>
    <w:rsid w:val="000341F9"/>
    <w:rsid w:val="00034816"/>
    <w:rsid w:val="00034EE8"/>
    <w:rsid w:val="00035468"/>
    <w:rsid w:val="0003547C"/>
    <w:rsid w:val="000356DD"/>
    <w:rsid w:val="00035706"/>
    <w:rsid w:val="000360E1"/>
    <w:rsid w:val="00036379"/>
    <w:rsid w:val="00036AAD"/>
    <w:rsid w:val="00037731"/>
    <w:rsid w:val="00037B1C"/>
    <w:rsid w:val="00037B2E"/>
    <w:rsid w:val="00042DE9"/>
    <w:rsid w:val="00043DE2"/>
    <w:rsid w:val="00045E5F"/>
    <w:rsid w:val="000461A6"/>
    <w:rsid w:val="000479A7"/>
    <w:rsid w:val="00050334"/>
    <w:rsid w:val="00050768"/>
    <w:rsid w:val="000529AE"/>
    <w:rsid w:val="00053434"/>
    <w:rsid w:val="000534C2"/>
    <w:rsid w:val="0005352A"/>
    <w:rsid w:val="00053DE2"/>
    <w:rsid w:val="00054107"/>
    <w:rsid w:val="000552B7"/>
    <w:rsid w:val="0005535A"/>
    <w:rsid w:val="000556BE"/>
    <w:rsid w:val="00055DB8"/>
    <w:rsid w:val="00056672"/>
    <w:rsid w:val="000567F5"/>
    <w:rsid w:val="00056C8D"/>
    <w:rsid w:val="00057509"/>
    <w:rsid w:val="00057A02"/>
    <w:rsid w:val="00057B15"/>
    <w:rsid w:val="000605C9"/>
    <w:rsid w:val="00060C08"/>
    <w:rsid w:val="00061511"/>
    <w:rsid w:val="00061AEE"/>
    <w:rsid w:val="00062585"/>
    <w:rsid w:val="000625E2"/>
    <w:rsid w:val="0006262D"/>
    <w:rsid w:val="00062EC1"/>
    <w:rsid w:val="00062F17"/>
    <w:rsid w:val="0006303F"/>
    <w:rsid w:val="00063281"/>
    <w:rsid w:val="00063A7B"/>
    <w:rsid w:val="00064612"/>
    <w:rsid w:val="000657C8"/>
    <w:rsid w:val="000669C5"/>
    <w:rsid w:val="000669E8"/>
    <w:rsid w:val="00067133"/>
    <w:rsid w:val="000674FE"/>
    <w:rsid w:val="00067523"/>
    <w:rsid w:val="0006770C"/>
    <w:rsid w:val="0006787A"/>
    <w:rsid w:val="000701B6"/>
    <w:rsid w:val="00070730"/>
    <w:rsid w:val="0007145B"/>
    <w:rsid w:val="00071D22"/>
    <w:rsid w:val="00072365"/>
    <w:rsid w:val="000729BD"/>
    <w:rsid w:val="0007357A"/>
    <w:rsid w:val="00073AF2"/>
    <w:rsid w:val="00073B7A"/>
    <w:rsid w:val="00073F92"/>
    <w:rsid w:val="000746B0"/>
    <w:rsid w:val="00074948"/>
    <w:rsid w:val="00074C8D"/>
    <w:rsid w:val="000753FE"/>
    <w:rsid w:val="0007555E"/>
    <w:rsid w:val="00075773"/>
    <w:rsid w:val="00076884"/>
    <w:rsid w:val="00077614"/>
    <w:rsid w:val="00077E12"/>
    <w:rsid w:val="00077F00"/>
    <w:rsid w:val="00077F10"/>
    <w:rsid w:val="00080160"/>
    <w:rsid w:val="000803E7"/>
    <w:rsid w:val="00080952"/>
    <w:rsid w:val="0008116A"/>
    <w:rsid w:val="0008137E"/>
    <w:rsid w:val="00081C92"/>
    <w:rsid w:val="0008259F"/>
    <w:rsid w:val="00082825"/>
    <w:rsid w:val="0008284B"/>
    <w:rsid w:val="00082CCA"/>
    <w:rsid w:val="000832F0"/>
    <w:rsid w:val="00084E47"/>
    <w:rsid w:val="00084EE6"/>
    <w:rsid w:val="000851E0"/>
    <w:rsid w:val="00085911"/>
    <w:rsid w:val="00085DF4"/>
    <w:rsid w:val="00085ECC"/>
    <w:rsid w:val="00086B8B"/>
    <w:rsid w:val="00090CA3"/>
    <w:rsid w:val="000913F7"/>
    <w:rsid w:val="000918F6"/>
    <w:rsid w:val="00091924"/>
    <w:rsid w:val="00092749"/>
    <w:rsid w:val="00093241"/>
    <w:rsid w:val="00093542"/>
    <w:rsid w:val="0009435F"/>
    <w:rsid w:val="00094D3F"/>
    <w:rsid w:val="00094D97"/>
    <w:rsid w:val="00094F13"/>
    <w:rsid w:val="0009533E"/>
    <w:rsid w:val="000963FF"/>
    <w:rsid w:val="000965BB"/>
    <w:rsid w:val="00096733"/>
    <w:rsid w:val="00096BA0"/>
    <w:rsid w:val="00096ED6"/>
    <w:rsid w:val="0009779F"/>
    <w:rsid w:val="000A08B8"/>
    <w:rsid w:val="000A0FF5"/>
    <w:rsid w:val="000A1037"/>
    <w:rsid w:val="000A1043"/>
    <w:rsid w:val="000A1213"/>
    <w:rsid w:val="000A2AFF"/>
    <w:rsid w:val="000A2D5A"/>
    <w:rsid w:val="000A352A"/>
    <w:rsid w:val="000A4B9E"/>
    <w:rsid w:val="000A5353"/>
    <w:rsid w:val="000A5A70"/>
    <w:rsid w:val="000A5E92"/>
    <w:rsid w:val="000A5ED2"/>
    <w:rsid w:val="000A64BF"/>
    <w:rsid w:val="000A654E"/>
    <w:rsid w:val="000A66E4"/>
    <w:rsid w:val="000A6B8D"/>
    <w:rsid w:val="000A72C9"/>
    <w:rsid w:val="000A7FF3"/>
    <w:rsid w:val="000B07F5"/>
    <w:rsid w:val="000B0CE3"/>
    <w:rsid w:val="000B1290"/>
    <w:rsid w:val="000B1E77"/>
    <w:rsid w:val="000B2A8E"/>
    <w:rsid w:val="000B2AC1"/>
    <w:rsid w:val="000B2BF0"/>
    <w:rsid w:val="000B3D49"/>
    <w:rsid w:val="000B4193"/>
    <w:rsid w:val="000B4311"/>
    <w:rsid w:val="000B4416"/>
    <w:rsid w:val="000B511B"/>
    <w:rsid w:val="000B6085"/>
    <w:rsid w:val="000B60C6"/>
    <w:rsid w:val="000B69F1"/>
    <w:rsid w:val="000B6D57"/>
    <w:rsid w:val="000B7054"/>
    <w:rsid w:val="000C0AB9"/>
    <w:rsid w:val="000C0B4A"/>
    <w:rsid w:val="000C0CC8"/>
    <w:rsid w:val="000C1C38"/>
    <w:rsid w:val="000C1EE9"/>
    <w:rsid w:val="000C2700"/>
    <w:rsid w:val="000C2C29"/>
    <w:rsid w:val="000C30DB"/>
    <w:rsid w:val="000C3519"/>
    <w:rsid w:val="000C3C8A"/>
    <w:rsid w:val="000C41FC"/>
    <w:rsid w:val="000C432E"/>
    <w:rsid w:val="000C48F1"/>
    <w:rsid w:val="000C51A5"/>
    <w:rsid w:val="000C63DC"/>
    <w:rsid w:val="000C648A"/>
    <w:rsid w:val="000C6D71"/>
    <w:rsid w:val="000C6E18"/>
    <w:rsid w:val="000C748B"/>
    <w:rsid w:val="000C7E82"/>
    <w:rsid w:val="000D0591"/>
    <w:rsid w:val="000D100E"/>
    <w:rsid w:val="000D1245"/>
    <w:rsid w:val="000D1762"/>
    <w:rsid w:val="000D1BA3"/>
    <w:rsid w:val="000D315A"/>
    <w:rsid w:val="000D3F79"/>
    <w:rsid w:val="000D4241"/>
    <w:rsid w:val="000D44EB"/>
    <w:rsid w:val="000D4D6C"/>
    <w:rsid w:val="000D6688"/>
    <w:rsid w:val="000D6C0D"/>
    <w:rsid w:val="000D763B"/>
    <w:rsid w:val="000D7D2A"/>
    <w:rsid w:val="000E0042"/>
    <w:rsid w:val="000E0F5F"/>
    <w:rsid w:val="000E1180"/>
    <w:rsid w:val="000E135F"/>
    <w:rsid w:val="000E1ADA"/>
    <w:rsid w:val="000E3A0F"/>
    <w:rsid w:val="000E40C4"/>
    <w:rsid w:val="000E4638"/>
    <w:rsid w:val="000E48AD"/>
    <w:rsid w:val="000E4F70"/>
    <w:rsid w:val="000E5117"/>
    <w:rsid w:val="000E5370"/>
    <w:rsid w:val="000E54B6"/>
    <w:rsid w:val="000E5CCF"/>
    <w:rsid w:val="000E5F81"/>
    <w:rsid w:val="000E62E5"/>
    <w:rsid w:val="000E6A46"/>
    <w:rsid w:val="000E6DB6"/>
    <w:rsid w:val="000E713F"/>
    <w:rsid w:val="000E72C2"/>
    <w:rsid w:val="000E7B55"/>
    <w:rsid w:val="000E7F91"/>
    <w:rsid w:val="000E7FD0"/>
    <w:rsid w:val="000F0F5B"/>
    <w:rsid w:val="000F12FB"/>
    <w:rsid w:val="000F133A"/>
    <w:rsid w:val="000F13FB"/>
    <w:rsid w:val="000F14BB"/>
    <w:rsid w:val="000F1907"/>
    <w:rsid w:val="000F236E"/>
    <w:rsid w:val="000F2CB4"/>
    <w:rsid w:val="000F31AE"/>
    <w:rsid w:val="000F3944"/>
    <w:rsid w:val="000F421E"/>
    <w:rsid w:val="000F4397"/>
    <w:rsid w:val="000F4748"/>
    <w:rsid w:val="000F4CB3"/>
    <w:rsid w:val="000F4E24"/>
    <w:rsid w:val="000F5C44"/>
    <w:rsid w:val="000F6384"/>
    <w:rsid w:val="000F6848"/>
    <w:rsid w:val="000F6E83"/>
    <w:rsid w:val="000F78BB"/>
    <w:rsid w:val="000F7C4E"/>
    <w:rsid w:val="000F7E13"/>
    <w:rsid w:val="00100F41"/>
    <w:rsid w:val="00101299"/>
    <w:rsid w:val="001013C0"/>
    <w:rsid w:val="001015D4"/>
    <w:rsid w:val="00101A33"/>
    <w:rsid w:val="00101A7D"/>
    <w:rsid w:val="00102116"/>
    <w:rsid w:val="001022E8"/>
    <w:rsid w:val="00102D46"/>
    <w:rsid w:val="00103370"/>
    <w:rsid w:val="00103702"/>
    <w:rsid w:val="00103C54"/>
    <w:rsid w:val="00103F25"/>
    <w:rsid w:val="00104046"/>
    <w:rsid w:val="0010514A"/>
    <w:rsid w:val="001055A9"/>
    <w:rsid w:val="00105BA3"/>
    <w:rsid w:val="00105C41"/>
    <w:rsid w:val="001060DD"/>
    <w:rsid w:val="00107142"/>
    <w:rsid w:val="001077EF"/>
    <w:rsid w:val="00107C6C"/>
    <w:rsid w:val="00107D53"/>
    <w:rsid w:val="00107E74"/>
    <w:rsid w:val="00110019"/>
    <w:rsid w:val="001105B8"/>
    <w:rsid w:val="001106CC"/>
    <w:rsid w:val="001107BC"/>
    <w:rsid w:val="00111333"/>
    <w:rsid w:val="00111649"/>
    <w:rsid w:val="0011164E"/>
    <w:rsid w:val="00111F05"/>
    <w:rsid w:val="001121D6"/>
    <w:rsid w:val="00112D36"/>
    <w:rsid w:val="00112DA8"/>
    <w:rsid w:val="001131B9"/>
    <w:rsid w:val="001132AE"/>
    <w:rsid w:val="00113CC0"/>
    <w:rsid w:val="001147CD"/>
    <w:rsid w:val="00114CFC"/>
    <w:rsid w:val="00114DA9"/>
    <w:rsid w:val="00114EF4"/>
    <w:rsid w:val="00114FAE"/>
    <w:rsid w:val="00116329"/>
    <w:rsid w:val="00116670"/>
    <w:rsid w:val="00116EEB"/>
    <w:rsid w:val="00117A32"/>
    <w:rsid w:val="00117E00"/>
    <w:rsid w:val="00117FF1"/>
    <w:rsid w:val="0012011E"/>
    <w:rsid w:val="00120387"/>
    <w:rsid w:val="001208AF"/>
    <w:rsid w:val="001208FB"/>
    <w:rsid w:val="0012125E"/>
    <w:rsid w:val="00121E02"/>
    <w:rsid w:val="001227DD"/>
    <w:rsid w:val="00122C57"/>
    <w:rsid w:val="00122F96"/>
    <w:rsid w:val="00123519"/>
    <w:rsid w:val="00123A49"/>
    <w:rsid w:val="00123A7F"/>
    <w:rsid w:val="001240C0"/>
    <w:rsid w:val="001244FA"/>
    <w:rsid w:val="0012535E"/>
    <w:rsid w:val="00125411"/>
    <w:rsid w:val="001259CF"/>
    <w:rsid w:val="00125B05"/>
    <w:rsid w:val="00126666"/>
    <w:rsid w:val="00126E33"/>
    <w:rsid w:val="00127365"/>
    <w:rsid w:val="001273E1"/>
    <w:rsid w:val="0012787F"/>
    <w:rsid w:val="00127E49"/>
    <w:rsid w:val="00127F47"/>
    <w:rsid w:val="00130E8F"/>
    <w:rsid w:val="001314BA"/>
    <w:rsid w:val="001317B7"/>
    <w:rsid w:val="00131DC2"/>
    <w:rsid w:val="00131E25"/>
    <w:rsid w:val="00131EF2"/>
    <w:rsid w:val="001332A9"/>
    <w:rsid w:val="0013364A"/>
    <w:rsid w:val="001336FC"/>
    <w:rsid w:val="0013394A"/>
    <w:rsid w:val="00134E3C"/>
    <w:rsid w:val="00134F03"/>
    <w:rsid w:val="00134F11"/>
    <w:rsid w:val="00135E9E"/>
    <w:rsid w:val="001365D5"/>
    <w:rsid w:val="00136A03"/>
    <w:rsid w:val="00136F1B"/>
    <w:rsid w:val="0013712E"/>
    <w:rsid w:val="001371B5"/>
    <w:rsid w:val="00137366"/>
    <w:rsid w:val="001377CC"/>
    <w:rsid w:val="00137B4C"/>
    <w:rsid w:val="00137DC9"/>
    <w:rsid w:val="00137F4B"/>
    <w:rsid w:val="00140421"/>
    <w:rsid w:val="00140657"/>
    <w:rsid w:val="00140842"/>
    <w:rsid w:val="00140BEF"/>
    <w:rsid w:val="00141285"/>
    <w:rsid w:val="00141528"/>
    <w:rsid w:val="00141D2A"/>
    <w:rsid w:val="00141FF3"/>
    <w:rsid w:val="00142542"/>
    <w:rsid w:val="0014276F"/>
    <w:rsid w:val="00143130"/>
    <w:rsid w:val="001434EA"/>
    <w:rsid w:val="0014391F"/>
    <w:rsid w:val="001440C6"/>
    <w:rsid w:val="001442E7"/>
    <w:rsid w:val="00144376"/>
    <w:rsid w:val="00144483"/>
    <w:rsid w:val="0014470A"/>
    <w:rsid w:val="00144C75"/>
    <w:rsid w:val="00144D4D"/>
    <w:rsid w:val="00144F73"/>
    <w:rsid w:val="00145095"/>
    <w:rsid w:val="0014524F"/>
    <w:rsid w:val="00145391"/>
    <w:rsid w:val="00145BC9"/>
    <w:rsid w:val="00146818"/>
    <w:rsid w:val="001510AC"/>
    <w:rsid w:val="00152D54"/>
    <w:rsid w:val="001543B5"/>
    <w:rsid w:val="00154579"/>
    <w:rsid w:val="00154764"/>
    <w:rsid w:val="001547C2"/>
    <w:rsid w:val="00154A03"/>
    <w:rsid w:val="00154E90"/>
    <w:rsid w:val="0015518D"/>
    <w:rsid w:val="00155459"/>
    <w:rsid w:val="00155A8A"/>
    <w:rsid w:val="00155CF0"/>
    <w:rsid w:val="0015606F"/>
    <w:rsid w:val="00156803"/>
    <w:rsid w:val="00156C8C"/>
    <w:rsid w:val="00157F4D"/>
    <w:rsid w:val="00160CF0"/>
    <w:rsid w:val="0016190E"/>
    <w:rsid w:val="001621D5"/>
    <w:rsid w:val="00162CA4"/>
    <w:rsid w:val="00163D62"/>
    <w:rsid w:val="001641AB"/>
    <w:rsid w:val="00164503"/>
    <w:rsid w:val="00164754"/>
    <w:rsid w:val="001652F5"/>
    <w:rsid w:val="00165311"/>
    <w:rsid w:val="0016548C"/>
    <w:rsid w:val="00165B81"/>
    <w:rsid w:val="00165E4F"/>
    <w:rsid w:val="001661C8"/>
    <w:rsid w:val="00166BAA"/>
    <w:rsid w:val="00167164"/>
    <w:rsid w:val="0016731A"/>
    <w:rsid w:val="0016789A"/>
    <w:rsid w:val="00170511"/>
    <w:rsid w:val="0017065F"/>
    <w:rsid w:val="00170862"/>
    <w:rsid w:val="00171574"/>
    <w:rsid w:val="0017184C"/>
    <w:rsid w:val="001725EB"/>
    <w:rsid w:val="001727A7"/>
    <w:rsid w:val="00172902"/>
    <w:rsid w:val="00173228"/>
    <w:rsid w:val="00173659"/>
    <w:rsid w:val="00173731"/>
    <w:rsid w:val="00173A3F"/>
    <w:rsid w:val="00173B0F"/>
    <w:rsid w:val="00173F77"/>
    <w:rsid w:val="00174BA0"/>
    <w:rsid w:val="00174EE6"/>
    <w:rsid w:val="00175588"/>
    <w:rsid w:val="00175B7D"/>
    <w:rsid w:val="001767D9"/>
    <w:rsid w:val="00176C9C"/>
    <w:rsid w:val="00177226"/>
    <w:rsid w:val="00177B3E"/>
    <w:rsid w:val="00177FF8"/>
    <w:rsid w:val="0018090B"/>
    <w:rsid w:val="00181427"/>
    <w:rsid w:val="001817A9"/>
    <w:rsid w:val="00181ABD"/>
    <w:rsid w:val="001832F1"/>
    <w:rsid w:val="00183473"/>
    <w:rsid w:val="0018374B"/>
    <w:rsid w:val="0018382F"/>
    <w:rsid w:val="00183BAF"/>
    <w:rsid w:val="00184630"/>
    <w:rsid w:val="00184EFC"/>
    <w:rsid w:val="00187C28"/>
    <w:rsid w:val="00187D43"/>
    <w:rsid w:val="00187D78"/>
    <w:rsid w:val="00187EE1"/>
    <w:rsid w:val="0019001D"/>
    <w:rsid w:val="0019049E"/>
    <w:rsid w:val="001909AD"/>
    <w:rsid w:val="00190A8B"/>
    <w:rsid w:val="00191349"/>
    <w:rsid w:val="0019271D"/>
    <w:rsid w:val="00192899"/>
    <w:rsid w:val="00192CFE"/>
    <w:rsid w:val="0019311C"/>
    <w:rsid w:val="0019321E"/>
    <w:rsid w:val="00193550"/>
    <w:rsid w:val="00193643"/>
    <w:rsid w:val="00194A3E"/>
    <w:rsid w:val="00195757"/>
    <w:rsid w:val="00195ACD"/>
    <w:rsid w:val="00195DD7"/>
    <w:rsid w:val="00195EDD"/>
    <w:rsid w:val="0019612B"/>
    <w:rsid w:val="00196653"/>
    <w:rsid w:val="00196A2C"/>
    <w:rsid w:val="00196B9C"/>
    <w:rsid w:val="00197B62"/>
    <w:rsid w:val="00197F54"/>
    <w:rsid w:val="001A00F3"/>
    <w:rsid w:val="001A0A10"/>
    <w:rsid w:val="001A0D5B"/>
    <w:rsid w:val="001A0EEF"/>
    <w:rsid w:val="001A0F3A"/>
    <w:rsid w:val="001A1205"/>
    <w:rsid w:val="001A2F38"/>
    <w:rsid w:val="001A42DC"/>
    <w:rsid w:val="001A4729"/>
    <w:rsid w:val="001A47F4"/>
    <w:rsid w:val="001A4EB8"/>
    <w:rsid w:val="001A4FE1"/>
    <w:rsid w:val="001A733F"/>
    <w:rsid w:val="001A77F2"/>
    <w:rsid w:val="001A7CD1"/>
    <w:rsid w:val="001B02FF"/>
    <w:rsid w:val="001B0566"/>
    <w:rsid w:val="001B065A"/>
    <w:rsid w:val="001B06F1"/>
    <w:rsid w:val="001B0908"/>
    <w:rsid w:val="001B0AE1"/>
    <w:rsid w:val="001B0C27"/>
    <w:rsid w:val="001B1473"/>
    <w:rsid w:val="001B173C"/>
    <w:rsid w:val="001B1CDA"/>
    <w:rsid w:val="001B1E24"/>
    <w:rsid w:val="001B2337"/>
    <w:rsid w:val="001B2404"/>
    <w:rsid w:val="001B248F"/>
    <w:rsid w:val="001B284F"/>
    <w:rsid w:val="001B2CE9"/>
    <w:rsid w:val="001B2DE5"/>
    <w:rsid w:val="001B3161"/>
    <w:rsid w:val="001B327D"/>
    <w:rsid w:val="001B4177"/>
    <w:rsid w:val="001B45B6"/>
    <w:rsid w:val="001B503E"/>
    <w:rsid w:val="001B5132"/>
    <w:rsid w:val="001B525D"/>
    <w:rsid w:val="001B563E"/>
    <w:rsid w:val="001B5D72"/>
    <w:rsid w:val="001B6B3E"/>
    <w:rsid w:val="001B6C48"/>
    <w:rsid w:val="001B751A"/>
    <w:rsid w:val="001B7563"/>
    <w:rsid w:val="001B7BED"/>
    <w:rsid w:val="001B7DE2"/>
    <w:rsid w:val="001B7E3B"/>
    <w:rsid w:val="001C0048"/>
    <w:rsid w:val="001C02D0"/>
    <w:rsid w:val="001C0754"/>
    <w:rsid w:val="001C0B46"/>
    <w:rsid w:val="001C0DB1"/>
    <w:rsid w:val="001C17EF"/>
    <w:rsid w:val="001C19F8"/>
    <w:rsid w:val="001C1B50"/>
    <w:rsid w:val="001C1BFC"/>
    <w:rsid w:val="001C1C9C"/>
    <w:rsid w:val="001C2738"/>
    <w:rsid w:val="001C361C"/>
    <w:rsid w:val="001C3FFD"/>
    <w:rsid w:val="001C4089"/>
    <w:rsid w:val="001C4608"/>
    <w:rsid w:val="001C5130"/>
    <w:rsid w:val="001C51D9"/>
    <w:rsid w:val="001C5321"/>
    <w:rsid w:val="001C5677"/>
    <w:rsid w:val="001C57BC"/>
    <w:rsid w:val="001C6762"/>
    <w:rsid w:val="001C6F72"/>
    <w:rsid w:val="001C7873"/>
    <w:rsid w:val="001C7EB5"/>
    <w:rsid w:val="001D03D1"/>
    <w:rsid w:val="001D1131"/>
    <w:rsid w:val="001D1E95"/>
    <w:rsid w:val="001D1F89"/>
    <w:rsid w:val="001D2438"/>
    <w:rsid w:val="001D2525"/>
    <w:rsid w:val="001D3280"/>
    <w:rsid w:val="001D36C3"/>
    <w:rsid w:val="001D3745"/>
    <w:rsid w:val="001D4891"/>
    <w:rsid w:val="001D4D5A"/>
    <w:rsid w:val="001D5698"/>
    <w:rsid w:val="001D6264"/>
    <w:rsid w:val="001D63E9"/>
    <w:rsid w:val="001D681C"/>
    <w:rsid w:val="001D70AB"/>
    <w:rsid w:val="001D77AF"/>
    <w:rsid w:val="001E0978"/>
    <w:rsid w:val="001E0F02"/>
    <w:rsid w:val="001E1DD4"/>
    <w:rsid w:val="001E3647"/>
    <w:rsid w:val="001E39B1"/>
    <w:rsid w:val="001E3E22"/>
    <w:rsid w:val="001E3E75"/>
    <w:rsid w:val="001E4165"/>
    <w:rsid w:val="001E43DE"/>
    <w:rsid w:val="001E4C05"/>
    <w:rsid w:val="001E5254"/>
    <w:rsid w:val="001E5DDF"/>
    <w:rsid w:val="001E7045"/>
    <w:rsid w:val="001F127F"/>
    <w:rsid w:val="001F1A62"/>
    <w:rsid w:val="001F1A84"/>
    <w:rsid w:val="001F20B4"/>
    <w:rsid w:val="001F24DD"/>
    <w:rsid w:val="001F320E"/>
    <w:rsid w:val="001F3EDE"/>
    <w:rsid w:val="001F3FC0"/>
    <w:rsid w:val="001F3FF0"/>
    <w:rsid w:val="001F40C0"/>
    <w:rsid w:val="001F4AAF"/>
    <w:rsid w:val="001F4C0D"/>
    <w:rsid w:val="001F5A39"/>
    <w:rsid w:val="001F5E2A"/>
    <w:rsid w:val="001F62B3"/>
    <w:rsid w:val="001F6525"/>
    <w:rsid w:val="001F6BEE"/>
    <w:rsid w:val="001F6D95"/>
    <w:rsid w:val="001F73D2"/>
    <w:rsid w:val="001F7755"/>
    <w:rsid w:val="001F7E48"/>
    <w:rsid w:val="0020065A"/>
    <w:rsid w:val="002009D1"/>
    <w:rsid w:val="00200D48"/>
    <w:rsid w:val="00200FFE"/>
    <w:rsid w:val="00201456"/>
    <w:rsid w:val="00201722"/>
    <w:rsid w:val="00201DDD"/>
    <w:rsid w:val="00202499"/>
    <w:rsid w:val="00202A8B"/>
    <w:rsid w:val="00202C87"/>
    <w:rsid w:val="00202C8C"/>
    <w:rsid w:val="00202CA4"/>
    <w:rsid w:val="0020301D"/>
    <w:rsid w:val="0020315F"/>
    <w:rsid w:val="00203210"/>
    <w:rsid w:val="00203A4E"/>
    <w:rsid w:val="002047DB"/>
    <w:rsid w:val="0020487D"/>
    <w:rsid w:val="00204A44"/>
    <w:rsid w:val="00205CBE"/>
    <w:rsid w:val="00205D9C"/>
    <w:rsid w:val="0020696C"/>
    <w:rsid w:val="00206D21"/>
    <w:rsid w:val="00207262"/>
    <w:rsid w:val="002072DE"/>
    <w:rsid w:val="0020764A"/>
    <w:rsid w:val="0021086B"/>
    <w:rsid w:val="0021096C"/>
    <w:rsid w:val="00210E5F"/>
    <w:rsid w:val="002116BD"/>
    <w:rsid w:val="0021178B"/>
    <w:rsid w:val="00211F98"/>
    <w:rsid w:val="00212064"/>
    <w:rsid w:val="002129DA"/>
    <w:rsid w:val="00213453"/>
    <w:rsid w:val="00213799"/>
    <w:rsid w:val="00213A5E"/>
    <w:rsid w:val="00213DBC"/>
    <w:rsid w:val="002142B6"/>
    <w:rsid w:val="00214BEE"/>
    <w:rsid w:val="002152D5"/>
    <w:rsid w:val="00215676"/>
    <w:rsid w:val="00215888"/>
    <w:rsid w:val="00215EDB"/>
    <w:rsid w:val="002164DE"/>
    <w:rsid w:val="00216616"/>
    <w:rsid w:val="00216BE6"/>
    <w:rsid w:val="00216C50"/>
    <w:rsid w:val="00216EF0"/>
    <w:rsid w:val="00217209"/>
    <w:rsid w:val="00217637"/>
    <w:rsid w:val="00217DF4"/>
    <w:rsid w:val="00220156"/>
    <w:rsid w:val="00220784"/>
    <w:rsid w:val="002210D8"/>
    <w:rsid w:val="00221196"/>
    <w:rsid w:val="002211A3"/>
    <w:rsid w:val="00221858"/>
    <w:rsid w:val="00222238"/>
    <w:rsid w:val="00222273"/>
    <w:rsid w:val="002228A6"/>
    <w:rsid w:val="00224311"/>
    <w:rsid w:val="002243F6"/>
    <w:rsid w:val="00224845"/>
    <w:rsid w:val="00224D82"/>
    <w:rsid w:val="00225114"/>
    <w:rsid w:val="00225B5B"/>
    <w:rsid w:val="00226C3B"/>
    <w:rsid w:val="00231598"/>
    <w:rsid w:val="00231C59"/>
    <w:rsid w:val="00232038"/>
    <w:rsid w:val="0023241C"/>
    <w:rsid w:val="00232767"/>
    <w:rsid w:val="00232F40"/>
    <w:rsid w:val="00233141"/>
    <w:rsid w:val="002332A5"/>
    <w:rsid w:val="002337FF"/>
    <w:rsid w:val="002338D0"/>
    <w:rsid w:val="00233958"/>
    <w:rsid w:val="00234856"/>
    <w:rsid w:val="002352A1"/>
    <w:rsid w:val="002352BE"/>
    <w:rsid w:val="00235542"/>
    <w:rsid w:val="00235882"/>
    <w:rsid w:val="00235AA6"/>
    <w:rsid w:val="00235BB4"/>
    <w:rsid w:val="0023620E"/>
    <w:rsid w:val="00236795"/>
    <w:rsid w:val="00237EA6"/>
    <w:rsid w:val="002406AF"/>
    <w:rsid w:val="00240E9F"/>
    <w:rsid w:val="0024189D"/>
    <w:rsid w:val="00242374"/>
    <w:rsid w:val="0024239A"/>
    <w:rsid w:val="00242C13"/>
    <w:rsid w:val="0024352F"/>
    <w:rsid w:val="0024367E"/>
    <w:rsid w:val="00243A80"/>
    <w:rsid w:val="00243BF0"/>
    <w:rsid w:val="00243D13"/>
    <w:rsid w:val="00244374"/>
    <w:rsid w:val="002445FB"/>
    <w:rsid w:val="00244B9B"/>
    <w:rsid w:val="00244EA4"/>
    <w:rsid w:val="00246009"/>
    <w:rsid w:val="00246D37"/>
    <w:rsid w:val="00247185"/>
    <w:rsid w:val="002474BF"/>
    <w:rsid w:val="0025018E"/>
    <w:rsid w:val="0025023A"/>
    <w:rsid w:val="002508D3"/>
    <w:rsid w:val="002509EC"/>
    <w:rsid w:val="002516E5"/>
    <w:rsid w:val="0025279C"/>
    <w:rsid w:val="00252DBD"/>
    <w:rsid w:val="002530A6"/>
    <w:rsid w:val="002533D2"/>
    <w:rsid w:val="002538A2"/>
    <w:rsid w:val="002540C5"/>
    <w:rsid w:val="002543BE"/>
    <w:rsid w:val="00254480"/>
    <w:rsid w:val="00255B23"/>
    <w:rsid w:val="00255F34"/>
    <w:rsid w:val="00260020"/>
    <w:rsid w:val="0026015E"/>
    <w:rsid w:val="00261F77"/>
    <w:rsid w:val="0026244F"/>
    <w:rsid w:val="00262E0D"/>
    <w:rsid w:val="002631EA"/>
    <w:rsid w:val="00263F07"/>
    <w:rsid w:val="00264828"/>
    <w:rsid w:val="00264CEC"/>
    <w:rsid w:val="002658BF"/>
    <w:rsid w:val="00266126"/>
    <w:rsid w:val="00266EE9"/>
    <w:rsid w:val="00266F2E"/>
    <w:rsid w:val="00267334"/>
    <w:rsid w:val="00267702"/>
    <w:rsid w:val="0026799B"/>
    <w:rsid w:val="00270272"/>
    <w:rsid w:val="00270415"/>
    <w:rsid w:val="002704C0"/>
    <w:rsid w:val="00270687"/>
    <w:rsid w:val="00270EDF"/>
    <w:rsid w:val="00271CEE"/>
    <w:rsid w:val="00271D0D"/>
    <w:rsid w:val="00271FDA"/>
    <w:rsid w:val="002727B1"/>
    <w:rsid w:val="002727DE"/>
    <w:rsid w:val="00272A3D"/>
    <w:rsid w:val="0027360C"/>
    <w:rsid w:val="00274C55"/>
    <w:rsid w:val="002755F9"/>
    <w:rsid w:val="00275CA4"/>
    <w:rsid w:val="00275F52"/>
    <w:rsid w:val="002761F1"/>
    <w:rsid w:val="00276EB1"/>
    <w:rsid w:val="00276F34"/>
    <w:rsid w:val="002771A1"/>
    <w:rsid w:val="0027725D"/>
    <w:rsid w:val="00280114"/>
    <w:rsid w:val="002806A7"/>
    <w:rsid w:val="00280AD2"/>
    <w:rsid w:val="00280FA5"/>
    <w:rsid w:val="002819AD"/>
    <w:rsid w:val="00282D94"/>
    <w:rsid w:val="00282F1E"/>
    <w:rsid w:val="002831FB"/>
    <w:rsid w:val="00283515"/>
    <w:rsid w:val="002835B7"/>
    <w:rsid w:val="002857ED"/>
    <w:rsid w:val="00285A5C"/>
    <w:rsid w:val="002861D3"/>
    <w:rsid w:val="00286270"/>
    <w:rsid w:val="0028641B"/>
    <w:rsid w:val="0028661B"/>
    <w:rsid w:val="0028699B"/>
    <w:rsid w:val="00287551"/>
    <w:rsid w:val="00287957"/>
    <w:rsid w:val="00287EDB"/>
    <w:rsid w:val="00290019"/>
    <w:rsid w:val="00291103"/>
    <w:rsid w:val="0029136A"/>
    <w:rsid w:val="002916ED"/>
    <w:rsid w:val="0029174B"/>
    <w:rsid w:val="00292365"/>
    <w:rsid w:val="002923F2"/>
    <w:rsid w:val="00292596"/>
    <w:rsid w:val="00292B6D"/>
    <w:rsid w:val="00293DED"/>
    <w:rsid w:val="00293E4D"/>
    <w:rsid w:val="00295692"/>
    <w:rsid w:val="00295C5B"/>
    <w:rsid w:val="00295E03"/>
    <w:rsid w:val="002961FB"/>
    <w:rsid w:val="002964B7"/>
    <w:rsid w:val="0029671F"/>
    <w:rsid w:val="00296A3B"/>
    <w:rsid w:val="00296CBD"/>
    <w:rsid w:val="00296D3F"/>
    <w:rsid w:val="00297592"/>
    <w:rsid w:val="00297EFD"/>
    <w:rsid w:val="002A0354"/>
    <w:rsid w:val="002A0439"/>
    <w:rsid w:val="002A0DC9"/>
    <w:rsid w:val="002A2946"/>
    <w:rsid w:val="002A2A75"/>
    <w:rsid w:val="002A2F2C"/>
    <w:rsid w:val="002A34CE"/>
    <w:rsid w:val="002A3B71"/>
    <w:rsid w:val="002A4402"/>
    <w:rsid w:val="002A45F1"/>
    <w:rsid w:val="002A4B15"/>
    <w:rsid w:val="002A4E50"/>
    <w:rsid w:val="002A4F77"/>
    <w:rsid w:val="002A5A14"/>
    <w:rsid w:val="002A5ABC"/>
    <w:rsid w:val="002A64C9"/>
    <w:rsid w:val="002A7304"/>
    <w:rsid w:val="002A7391"/>
    <w:rsid w:val="002A7D42"/>
    <w:rsid w:val="002B0873"/>
    <w:rsid w:val="002B0BFB"/>
    <w:rsid w:val="002B100A"/>
    <w:rsid w:val="002B1494"/>
    <w:rsid w:val="002B16F8"/>
    <w:rsid w:val="002B19C1"/>
    <w:rsid w:val="002B3395"/>
    <w:rsid w:val="002B36A9"/>
    <w:rsid w:val="002B4233"/>
    <w:rsid w:val="002B493C"/>
    <w:rsid w:val="002B5616"/>
    <w:rsid w:val="002B5983"/>
    <w:rsid w:val="002B5EBE"/>
    <w:rsid w:val="002B618F"/>
    <w:rsid w:val="002B6881"/>
    <w:rsid w:val="002B6A22"/>
    <w:rsid w:val="002B6EE3"/>
    <w:rsid w:val="002B75D2"/>
    <w:rsid w:val="002B79C0"/>
    <w:rsid w:val="002B7B11"/>
    <w:rsid w:val="002B7BA9"/>
    <w:rsid w:val="002B7C0E"/>
    <w:rsid w:val="002B7CEE"/>
    <w:rsid w:val="002B7E72"/>
    <w:rsid w:val="002C03FB"/>
    <w:rsid w:val="002C0434"/>
    <w:rsid w:val="002C0C71"/>
    <w:rsid w:val="002C0EB9"/>
    <w:rsid w:val="002C1614"/>
    <w:rsid w:val="002C2AAE"/>
    <w:rsid w:val="002C31ED"/>
    <w:rsid w:val="002C3CC7"/>
    <w:rsid w:val="002C3F44"/>
    <w:rsid w:val="002C41CC"/>
    <w:rsid w:val="002C48B3"/>
    <w:rsid w:val="002C4CC5"/>
    <w:rsid w:val="002C5113"/>
    <w:rsid w:val="002C66B3"/>
    <w:rsid w:val="002C66CB"/>
    <w:rsid w:val="002C6FEB"/>
    <w:rsid w:val="002C7267"/>
    <w:rsid w:val="002C73FF"/>
    <w:rsid w:val="002C7EB5"/>
    <w:rsid w:val="002D030F"/>
    <w:rsid w:val="002D08F8"/>
    <w:rsid w:val="002D15F5"/>
    <w:rsid w:val="002D1636"/>
    <w:rsid w:val="002D179D"/>
    <w:rsid w:val="002D2C48"/>
    <w:rsid w:val="002D2E2B"/>
    <w:rsid w:val="002D305F"/>
    <w:rsid w:val="002D45B6"/>
    <w:rsid w:val="002D487F"/>
    <w:rsid w:val="002D4C3C"/>
    <w:rsid w:val="002D4FAD"/>
    <w:rsid w:val="002D5223"/>
    <w:rsid w:val="002D5276"/>
    <w:rsid w:val="002D6250"/>
    <w:rsid w:val="002D6261"/>
    <w:rsid w:val="002D640A"/>
    <w:rsid w:val="002D71C7"/>
    <w:rsid w:val="002E084B"/>
    <w:rsid w:val="002E0C2C"/>
    <w:rsid w:val="002E1A94"/>
    <w:rsid w:val="002E1AC9"/>
    <w:rsid w:val="002E1B52"/>
    <w:rsid w:val="002E1E51"/>
    <w:rsid w:val="002E2C57"/>
    <w:rsid w:val="002E3052"/>
    <w:rsid w:val="002E3EC9"/>
    <w:rsid w:val="002E45A6"/>
    <w:rsid w:val="002E53F8"/>
    <w:rsid w:val="002E5716"/>
    <w:rsid w:val="002E5983"/>
    <w:rsid w:val="002E5F2C"/>
    <w:rsid w:val="002E6089"/>
    <w:rsid w:val="002E676D"/>
    <w:rsid w:val="002E6904"/>
    <w:rsid w:val="002E6B5E"/>
    <w:rsid w:val="002E6C50"/>
    <w:rsid w:val="002E6FDE"/>
    <w:rsid w:val="002E79E6"/>
    <w:rsid w:val="002E7A2B"/>
    <w:rsid w:val="002E7E20"/>
    <w:rsid w:val="002F0477"/>
    <w:rsid w:val="002F065A"/>
    <w:rsid w:val="002F0979"/>
    <w:rsid w:val="002F120D"/>
    <w:rsid w:val="002F14A4"/>
    <w:rsid w:val="002F1B8B"/>
    <w:rsid w:val="002F22BD"/>
    <w:rsid w:val="002F2919"/>
    <w:rsid w:val="002F2C64"/>
    <w:rsid w:val="002F2D93"/>
    <w:rsid w:val="002F34E9"/>
    <w:rsid w:val="002F3671"/>
    <w:rsid w:val="002F4D89"/>
    <w:rsid w:val="002F5218"/>
    <w:rsid w:val="002F5A74"/>
    <w:rsid w:val="002F5E5D"/>
    <w:rsid w:val="002F5EA7"/>
    <w:rsid w:val="002F712E"/>
    <w:rsid w:val="002F716A"/>
    <w:rsid w:val="002F7EA9"/>
    <w:rsid w:val="00300D43"/>
    <w:rsid w:val="00300E92"/>
    <w:rsid w:val="0030106C"/>
    <w:rsid w:val="00301BDD"/>
    <w:rsid w:val="003023AA"/>
    <w:rsid w:val="00302FF0"/>
    <w:rsid w:val="003035BC"/>
    <w:rsid w:val="003038D2"/>
    <w:rsid w:val="00303DC8"/>
    <w:rsid w:val="003041BB"/>
    <w:rsid w:val="00304F30"/>
    <w:rsid w:val="00305663"/>
    <w:rsid w:val="00305AE7"/>
    <w:rsid w:val="00305F9A"/>
    <w:rsid w:val="00306153"/>
    <w:rsid w:val="0030616F"/>
    <w:rsid w:val="0030617A"/>
    <w:rsid w:val="003065C3"/>
    <w:rsid w:val="00306677"/>
    <w:rsid w:val="00306F1C"/>
    <w:rsid w:val="00310612"/>
    <w:rsid w:val="00310DC4"/>
    <w:rsid w:val="00311143"/>
    <w:rsid w:val="0031118B"/>
    <w:rsid w:val="003115DE"/>
    <w:rsid w:val="00311867"/>
    <w:rsid w:val="00312497"/>
    <w:rsid w:val="003132FE"/>
    <w:rsid w:val="0031332D"/>
    <w:rsid w:val="00313BB2"/>
    <w:rsid w:val="00314264"/>
    <w:rsid w:val="00314406"/>
    <w:rsid w:val="00314513"/>
    <w:rsid w:val="00315025"/>
    <w:rsid w:val="003150E5"/>
    <w:rsid w:val="00316661"/>
    <w:rsid w:val="00316E6D"/>
    <w:rsid w:val="0031765E"/>
    <w:rsid w:val="00317764"/>
    <w:rsid w:val="00317925"/>
    <w:rsid w:val="003179DB"/>
    <w:rsid w:val="0032027D"/>
    <w:rsid w:val="003202B2"/>
    <w:rsid w:val="003203C9"/>
    <w:rsid w:val="0032094A"/>
    <w:rsid w:val="00320BE7"/>
    <w:rsid w:val="00320DE4"/>
    <w:rsid w:val="0032147B"/>
    <w:rsid w:val="00321DB6"/>
    <w:rsid w:val="003222D6"/>
    <w:rsid w:val="00322436"/>
    <w:rsid w:val="003228DD"/>
    <w:rsid w:val="00322C41"/>
    <w:rsid w:val="00323C00"/>
    <w:rsid w:val="003241E8"/>
    <w:rsid w:val="003248E5"/>
    <w:rsid w:val="00325027"/>
    <w:rsid w:val="003253BD"/>
    <w:rsid w:val="00325744"/>
    <w:rsid w:val="00325EE8"/>
    <w:rsid w:val="00325F15"/>
    <w:rsid w:val="00326077"/>
    <w:rsid w:val="003269D3"/>
    <w:rsid w:val="00327EAE"/>
    <w:rsid w:val="00330028"/>
    <w:rsid w:val="00330E2E"/>
    <w:rsid w:val="00331BAC"/>
    <w:rsid w:val="00331E56"/>
    <w:rsid w:val="003329D8"/>
    <w:rsid w:val="00332E72"/>
    <w:rsid w:val="00332EE1"/>
    <w:rsid w:val="00332FA1"/>
    <w:rsid w:val="00332FD4"/>
    <w:rsid w:val="00333D78"/>
    <w:rsid w:val="0033402B"/>
    <w:rsid w:val="00334279"/>
    <w:rsid w:val="00334727"/>
    <w:rsid w:val="00334837"/>
    <w:rsid w:val="00334931"/>
    <w:rsid w:val="00335EEE"/>
    <w:rsid w:val="0033636D"/>
    <w:rsid w:val="00336734"/>
    <w:rsid w:val="003369E5"/>
    <w:rsid w:val="00336DCD"/>
    <w:rsid w:val="00337261"/>
    <w:rsid w:val="0033791A"/>
    <w:rsid w:val="00337B1C"/>
    <w:rsid w:val="003402EE"/>
    <w:rsid w:val="00340485"/>
    <w:rsid w:val="0034081B"/>
    <w:rsid w:val="00340E25"/>
    <w:rsid w:val="003413AE"/>
    <w:rsid w:val="003414D2"/>
    <w:rsid w:val="003417AB"/>
    <w:rsid w:val="00341A4C"/>
    <w:rsid w:val="00341AE9"/>
    <w:rsid w:val="003422E0"/>
    <w:rsid w:val="00342F2A"/>
    <w:rsid w:val="00343413"/>
    <w:rsid w:val="00343540"/>
    <w:rsid w:val="00343E36"/>
    <w:rsid w:val="00343FF2"/>
    <w:rsid w:val="0034492E"/>
    <w:rsid w:val="00344A26"/>
    <w:rsid w:val="00344DDE"/>
    <w:rsid w:val="00344F96"/>
    <w:rsid w:val="00345DE2"/>
    <w:rsid w:val="003466C8"/>
    <w:rsid w:val="00347301"/>
    <w:rsid w:val="00347ECB"/>
    <w:rsid w:val="00347FBE"/>
    <w:rsid w:val="00350EF4"/>
    <w:rsid w:val="00350EF8"/>
    <w:rsid w:val="003512F4"/>
    <w:rsid w:val="003515EC"/>
    <w:rsid w:val="00351D46"/>
    <w:rsid w:val="00351E45"/>
    <w:rsid w:val="003522DF"/>
    <w:rsid w:val="003525EB"/>
    <w:rsid w:val="003525FC"/>
    <w:rsid w:val="003527AF"/>
    <w:rsid w:val="00352A4C"/>
    <w:rsid w:val="00352BB5"/>
    <w:rsid w:val="00353ACE"/>
    <w:rsid w:val="00353ECF"/>
    <w:rsid w:val="00353FFA"/>
    <w:rsid w:val="00354550"/>
    <w:rsid w:val="00354BFA"/>
    <w:rsid w:val="003558CC"/>
    <w:rsid w:val="003568E2"/>
    <w:rsid w:val="00356948"/>
    <w:rsid w:val="00356AAD"/>
    <w:rsid w:val="00356CD4"/>
    <w:rsid w:val="0035767D"/>
    <w:rsid w:val="00357DF3"/>
    <w:rsid w:val="00360107"/>
    <w:rsid w:val="003605FA"/>
    <w:rsid w:val="00360D19"/>
    <w:rsid w:val="00360E2C"/>
    <w:rsid w:val="00360EFE"/>
    <w:rsid w:val="00361171"/>
    <w:rsid w:val="00361625"/>
    <w:rsid w:val="00361811"/>
    <w:rsid w:val="00361F28"/>
    <w:rsid w:val="003624D0"/>
    <w:rsid w:val="00362937"/>
    <w:rsid w:val="00362C6F"/>
    <w:rsid w:val="00363867"/>
    <w:rsid w:val="00365C5D"/>
    <w:rsid w:val="00366070"/>
    <w:rsid w:val="0036644F"/>
    <w:rsid w:val="00367ABA"/>
    <w:rsid w:val="00367BC3"/>
    <w:rsid w:val="00367E6B"/>
    <w:rsid w:val="00370AFE"/>
    <w:rsid w:val="00370C41"/>
    <w:rsid w:val="00371048"/>
    <w:rsid w:val="00372051"/>
    <w:rsid w:val="0037222D"/>
    <w:rsid w:val="00372EB7"/>
    <w:rsid w:val="00373088"/>
    <w:rsid w:val="003731F6"/>
    <w:rsid w:val="00374B3D"/>
    <w:rsid w:val="00374C2B"/>
    <w:rsid w:val="0037554F"/>
    <w:rsid w:val="003755C9"/>
    <w:rsid w:val="00375BB2"/>
    <w:rsid w:val="00375DE5"/>
    <w:rsid w:val="003767BA"/>
    <w:rsid w:val="003768D4"/>
    <w:rsid w:val="00376DE6"/>
    <w:rsid w:val="00377293"/>
    <w:rsid w:val="00377D83"/>
    <w:rsid w:val="00377D98"/>
    <w:rsid w:val="00381005"/>
    <w:rsid w:val="0038101B"/>
    <w:rsid w:val="003810FB"/>
    <w:rsid w:val="0038271C"/>
    <w:rsid w:val="00382C9D"/>
    <w:rsid w:val="00382EE8"/>
    <w:rsid w:val="00383196"/>
    <w:rsid w:val="00383DE1"/>
    <w:rsid w:val="00384072"/>
    <w:rsid w:val="003841C0"/>
    <w:rsid w:val="00385733"/>
    <w:rsid w:val="00385B4C"/>
    <w:rsid w:val="00386372"/>
    <w:rsid w:val="0038688A"/>
    <w:rsid w:val="00387502"/>
    <w:rsid w:val="00387AB2"/>
    <w:rsid w:val="003907ED"/>
    <w:rsid w:val="00390F8C"/>
    <w:rsid w:val="0039113E"/>
    <w:rsid w:val="00391170"/>
    <w:rsid w:val="003911AE"/>
    <w:rsid w:val="003915DA"/>
    <w:rsid w:val="00391936"/>
    <w:rsid w:val="00391987"/>
    <w:rsid w:val="00391C69"/>
    <w:rsid w:val="00392930"/>
    <w:rsid w:val="00392AC7"/>
    <w:rsid w:val="00392DD1"/>
    <w:rsid w:val="00393D24"/>
    <w:rsid w:val="003947BF"/>
    <w:rsid w:val="00394F5E"/>
    <w:rsid w:val="003950E2"/>
    <w:rsid w:val="00395C8F"/>
    <w:rsid w:val="00396766"/>
    <w:rsid w:val="00396ED1"/>
    <w:rsid w:val="00397364"/>
    <w:rsid w:val="003A0185"/>
    <w:rsid w:val="003A01F5"/>
    <w:rsid w:val="003A0E46"/>
    <w:rsid w:val="003A133F"/>
    <w:rsid w:val="003A13D2"/>
    <w:rsid w:val="003A1BBD"/>
    <w:rsid w:val="003A1BE7"/>
    <w:rsid w:val="003A30AB"/>
    <w:rsid w:val="003A3A2E"/>
    <w:rsid w:val="003A3B11"/>
    <w:rsid w:val="003A3E06"/>
    <w:rsid w:val="003A3EB4"/>
    <w:rsid w:val="003A3EDE"/>
    <w:rsid w:val="003A3FA7"/>
    <w:rsid w:val="003A4700"/>
    <w:rsid w:val="003A4DCE"/>
    <w:rsid w:val="003A4FDD"/>
    <w:rsid w:val="003A51F5"/>
    <w:rsid w:val="003A54C9"/>
    <w:rsid w:val="003A5571"/>
    <w:rsid w:val="003A559F"/>
    <w:rsid w:val="003A56A1"/>
    <w:rsid w:val="003A5E9A"/>
    <w:rsid w:val="003A67F3"/>
    <w:rsid w:val="003A67FB"/>
    <w:rsid w:val="003A6D63"/>
    <w:rsid w:val="003A6D6E"/>
    <w:rsid w:val="003A7087"/>
    <w:rsid w:val="003A726F"/>
    <w:rsid w:val="003A7CE2"/>
    <w:rsid w:val="003B0972"/>
    <w:rsid w:val="003B0D76"/>
    <w:rsid w:val="003B12C5"/>
    <w:rsid w:val="003B2E12"/>
    <w:rsid w:val="003B3AEB"/>
    <w:rsid w:val="003B41FF"/>
    <w:rsid w:val="003B4884"/>
    <w:rsid w:val="003B5790"/>
    <w:rsid w:val="003B5822"/>
    <w:rsid w:val="003B5A9B"/>
    <w:rsid w:val="003B5ED8"/>
    <w:rsid w:val="003B69E2"/>
    <w:rsid w:val="003B706A"/>
    <w:rsid w:val="003C01A7"/>
    <w:rsid w:val="003C0324"/>
    <w:rsid w:val="003C0327"/>
    <w:rsid w:val="003C074A"/>
    <w:rsid w:val="003C08EC"/>
    <w:rsid w:val="003C126F"/>
    <w:rsid w:val="003C1294"/>
    <w:rsid w:val="003C1ED9"/>
    <w:rsid w:val="003C24C5"/>
    <w:rsid w:val="003C357E"/>
    <w:rsid w:val="003C45B9"/>
    <w:rsid w:val="003C4646"/>
    <w:rsid w:val="003C495B"/>
    <w:rsid w:val="003C51C7"/>
    <w:rsid w:val="003C5D25"/>
    <w:rsid w:val="003C6094"/>
    <w:rsid w:val="003C6499"/>
    <w:rsid w:val="003C67FA"/>
    <w:rsid w:val="003C79A7"/>
    <w:rsid w:val="003C7EBB"/>
    <w:rsid w:val="003D011E"/>
    <w:rsid w:val="003D0640"/>
    <w:rsid w:val="003D1490"/>
    <w:rsid w:val="003D16E3"/>
    <w:rsid w:val="003D1DB1"/>
    <w:rsid w:val="003D1EF3"/>
    <w:rsid w:val="003D1FE4"/>
    <w:rsid w:val="003D26FC"/>
    <w:rsid w:val="003D270D"/>
    <w:rsid w:val="003D2BF0"/>
    <w:rsid w:val="003D3131"/>
    <w:rsid w:val="003D3422"/>
    <w:rsid w:val="003D429F"/>
    <w:rsid w:val="003D446C"/>
    <w:rsid w:val="003D48FB"/>
    <w:rsid w:val="003D5700"/>
    <w:rsid w:val="003D705B"/>
    <w:rsid w:val="003D7598"/>
    <w:rsid w:val="003D7782"/>
    <w:rsid w:val="003D77C8"/>
    <w:rsid w:val="003D7B5A"/>
    <w:rsid w:val="003D7DC7"/>
    <w:rsid w:val="003E02FB"/>
    <w:rsid w:val="003E0A72"/>
    <w:rsid w:val="003E11A4"/>
    <w:rsid w:val="003E1DA2"/>
    <w:rsid w:val="003E1F49"/>
    <w:rsid w:val="003E2244"/>
    <w:rsid w:val="003E26D2"/>
    <w:rsid w:val="003E329E"/>
    <w:rsid w:val="003E3751"/>
    <w:rsid w:val="003E3A68"/>
    <w:rsid w:val="003E3C2E"/>
    <w:rsid w:val="003E4835"/>
    <w:rsid w:val="003E50FC"/>
    <w:rsid w:val="003E51C0"/>
    <w:rsid w:val="003E529E"/>
    <w:rsid w:val="003E59E1"/>
    <w:rsid w:val="003E65B1"/>
    <w:rsid w:val="003E7598"/>
    <w:rsid w:val="003E78EA"/>
    <w:rsid w:val="003F02E9"/>
    <w:rsid w:val="003F1BBB"/>
    <w:rsid w:val="003F1DED"/>
    <w:rsid w:val="003F1FF6"/>
    <w:rsid w:val="003F3495"/>
    <w:rsid w:val="003F3B72"/>
    <w:rsid w:val="003F4D23"/>
    <w:rsid w:val="003F53DA"/>
    <w:rsid w:val="003F5CEE"/>
    <w:rsid w:val="003F5DB2"/>
    <w:rsid w:val="003F67E9"/>
    <w:rsid w:val="003F6D7C"/>
    <w:rsid w:val="003F70ED"/>
    <w:rsid w:val="003F746D"/>
    <w:rsid w:val="003F7C71"/>
    <w:rsid w:val="003F7F2B"/>
    <w:rsid w:val="0040021E"/>
    <w:rsid w:val="00400264"/>
    <w:rsid w:val="00400567"/>
    <w:rsid w:val="00401CE1"/>
    <w:rsid w:val="00401E8B"/>
    <w:rsid w:val="004035E7"/>
    <w:rsid w:val="0040363D"/>
    <w:rsid w:val="0040363F"/>
    <w:rsid w:val="004037BC"/>
    <w:rsid w:val="00404473"/>
    <w:rsid w:val="00404AD5"/>
    <w:rsid w:val="00404BD6"/>
    <w:rsid w:val="004050FF"/>
    <w:rsid w:val="004058DA"/>
    <w:rsid w:val="004058FB"/>
    <w:rsid w:val="00405A31"/>
    <w:rsid w:val="00406678"/>
    <w:rsid w:val="004066A2"/>
    <w:rsid w:val="00406DF2"/>
    <w:rsid w:val="00406F81"/>
    <w:rsid w:val="0040715A"/>
    <w:rsid w:val="00410082"/>
    <w:rsid w:val="004100BD"/>
    <w:rsid w:val="004110CD"/>
    <w:rsid w:val="004118B3"/>
    <w:rsid w:val="00411BCB"/>
    <w:rsid w:val="004122C3"/>
    <w:rsid w:val="0041309E"/>
    <w:rsid w:val="0041361C"/>
    <w:rsid w:val="004142C4"/>
    <w:rsid w:val="00414B06"/>
    <w:rsid w:val="00414B9E"/>
    <w:rsid w:val="00414D9E"/>
    <w:rsid w:val="00414F83"/>
    <w:rsid w:val="00415F38"/>
    <w:rsid w:val="004165D8"/>
    <w:rsid w:val="00416AC7"/>
    <w:rsid w:val="00416C72"/>
    <w:rsid w:val="00416E48"/>
    <w:rsid w:val="00417267"/>
    <w:rsid w:val="004177D3"/>
    <w:rsid w:val="004179E1"/>
    <w:rsid w:val="00421017"/>
    <w:rsid w:val="00421437"/>
    <w:rsid w:val="0042201A"/>
    <w:rsid w:val="00422B38"/>
    <w:rsid w:val="00423840"/>
    <w:rsid w:val="00423D4A"/>
    <w:rsid w:val="00424299"/>
    <w:rsid w:val="0042482C"/>
    <w:rsid w:val="00424DF7"/>
    <w:rsid w:val="0042519E"/>
    <w:rsid w:val="00425452"/>
    <w:rsid w:val="00425DD2"/>
    <w:rsid w:val="00426068"/>
    <w:rsid w:val="004265A1"/>
    <w:rsid w:val="00426C03"/>
    <w:rsid w:val="004277CC"/>
    <w:rsid w:val="00430ACC"/>
    <w:rsid w:val="00430E79"/>
    <w:rsid w:val="0043176F"/>
    <w:rsid w:val="00431871"/>
    <w:rsid w:val="00432CD9"/>
    <w:rsid w:val="00432FFB"/>
    <w:rsid w:val="004339E4"/>
    <w:rsid w:val="00434299"/>
    <w:rsid w:val="00434BA3"/>
    <w:rsid w:val="00435473"/>
    <w:rsid w:val="0043562F"/>
    <w:rsid w:val="00436315"/>
    <w:rsid w:val="00436704"/>
    <w:rsid w:val="0043682E"/>
    <w:rsid w:val="00436F69"/>
    <w:rsid w:val="0043751A"/>
    <w:rsid w:val="00437A09"/>
    <w:rsid w:val="00437D2E"/>
    <w:rsid w:val="00440F73"/>
    <w:rsid w:val="00441A91"/>
    <w:rsid w:val="00441B40"/>
    <w:rsid w:val="00441DE8"/>
    <w:rsid w:val="00441E52"/>
    <w:rsid w:val="00442F81"/>
    <w:rsid w:val="00443480"/>
    <w:rsid w:val="00443E56"/>
    <w:rsid w:val="00444338"/>
    <w:rsid w:val="00444661"/>
    <w:rsid w:val="0044489D"/>
    <w:rsid w:val="00444B79"/>
    <w:rsid w:val="00444BB3"/>
    <w:rsid w:val="00445465"/>
    <w:rsid w:val="00445736"/>
    <w:rsid w:val="00445E17"/>
    <w:rsid w:val="004465DD"/>
    <w:rsid w:val="00446BFD"/>
    <w:rsid w:val="00447977"/>
    <w:rsid w:val="00447BA6"/>
    <w:rsid w:val="00447F5D"/>
    <w:rsid w:val="00447FB0"/>
    <w:rsid w:val="0045113E"/>
    <w:rsid w:val="004512C0"/>
    <w:rsid w:val="0045147C"/>
    <w:rsid w:val="0045201A"/>
    <w:rsid w:val="0045239D"/>
    <w:rsid w:val="004527E6"/>
    <w:rsid w:val="004531BA"/>
    <w:rsid w:val="00453215"/>
    <w:rsid w:val="0045325A"/>
    <w:rsid w:val="00454182"/>
    <w:rsid w:val="00454547"/>
    <w:rsid w:val="00454966"/>
    <w:rsid w:val="004550EC"/>
    <w:rsid w:val="00455B1D"/>
    <w:rsid w:val="0045689F"/>
    <w:rsid w:val="00456B20"/>
    <w:rsid w:val="00456C77"/>
    <w:rsid w:val="00456CB3"/>
    <w:rsid w:val="00456D63"/>
    <w:rsid w:val="00457169"/>
    <w:rsid w:val="0045752C"/>
    <w:rsid w:val="00461322"/>
    <w:rsid w:val="004614E5"/>
    <w:rsid w:val="0046162D"/>
    <w:rsid w:val="00461761"/>
    <w:rsid w:val="00461879"/>
    <w:rsid w:val="004618F9"/>
    <w:rsid w:val="00461912"/>
    <w:rsid w:val="004625C0"/>
    <w:rsid w:val="004627FF"/>
    <w:rsid w:val="00463331"/>
    <w:rsid w:val="004643DD"/>
    <w:rsid w:val="00465110"/>
    <w:rsid w:val="00466B30"/>
    <w:rsid w:val="00466D91"/>
    <w:rsid w:val="00467218"/>
    <w:rsid w:val="004673B7"/>
    <w:rsid w:val="004678BC"/>
    <w:rsid w:val="00467F27"/>
    <w:rsid w:val="00467FDC"/>
    <w:rsid w:val="00470575"/>
    <w:rsid w:val="00470A17"/>
    <w:rsid w:val="00471A8F"/>
    <w:rsid w:val="00472298"/>
    <w:rsid w:val="00472312"/>
    <w:rsid w:val="004725FE"/>
    <w:rsid w:val="00472AA3"/>
    <w:rsid w:val="0047305F"/>
    <w:rsid w:val="004736E7"/>
    <w:rsid w:val="004739CC"/>
    <w:rsid w:val="00473B96"/>
    <w:rsid w:val="004757DB"/>
    <w:rsid w:val="00475875"/>
    <w:rsid w:val="00475F18"/>
    <w:rsid w:val="004761C7"/>
    <w:rsid w:val="0047626E"/>
    <w:rsid w:val="0047687E"/>
    <w:rsid w:val="00476928"/>
    <w:rsid w:val="00476DEB"/>
    <w:rsid w:val="00476FFB"/>
    <w:rsid w:val="0047710D"/>
    <w:rsid w:val="00477766"/>
    <w:rsid w:val="0048005D"/>
    <w:rsid w:val="0048043D"/>
    <w:rsid w:val="00480775"/>
    <w:rsid w:val="00480863"/>
    <w:rsid w:val="00480D07"/>
    <w:rsid w:val="00481BD9"/>
    <w:rsid w:val="00481D0F"/>
    <w:rsid w:val="00481FF1"/>
    <w:rsid w:val="004822B0"/>
    <w:rsid w:val="0048281E"/>
    <w:rsid w:val="004829F1"/>
    <w:rsid w:val="00482F14"/>
    <w:rsid w:val="00482F73"/>
    <w:rsid w:val="00483028"/>
    <w:rsid w:val="004830D1"/>
    <w:rsid w:val="004832C2"/>
    <w:rsid w:val="004839AB"/>
    <w:rsid w:val="00483EB6"/>
    <w:rsid w:val="00484366"/>
    <w:rsid w:val="00485025"/>
    <w:rsid w:val="0048536F"/>
    <w:rsid w:val="004853BC"/>
    <w:rsid w:val="004856CE"/>
    <w:rsid w:val="00485EE3"/>
    <w:rsid w:val="00487DA4"/>
    <w:rsid w:val="00487DA9"/>
    <w:rsid w:val="00490539"/>
    <w:rsid w:val="00491099"/>
    <w:rsid w:val="004910B4"/>
    <w:rsid w:val="0049214A"/>
    <w:rsid w:val="00492356"/>
    <w:rsid w:val="0049250F"/>
    <w:rsid w:val="00492520"/>
    <w:rsid w:val="00492AB9"/>
    <w:rsid w:val="0049314E"/>
    <w:rsid w:val="004933DE"/>
    <w:rsid w:val="004934CB"/>
    <w:rsid w:val="004935CA"/>
    <w:rsid w:val="004939C5"/>
    <w:rsid w:val="00493A54"/>
    <w:rsid w:val="00494800"/>
    <w:rsid w:val="00494F74"/>
    <w:rsid w:val="004951E5"/>
    <w:rsid w:val="00495A1F"/>
    <w:rsid w:val="00495ACC"/>
    <w:rsid w:val="004962F9"/>
    <w:rsid w:val="00496811"/>
    <w:rsid w:val="00496CA9"/>
    <w:rsid w:val="00496E0B"/>
    <w:rsid w:val="00496E5B"/>
    <w:rsid w:val="004973D7"/>
    <w:rsid w:val="004978F1"/>
    <w:rsid w:val="0049796C"/>
    <w:rsid w:val="004A02A4"/>
    <w:rsid w:val="004A0731"/>
    <w:rsid w:val="004A1679"/>
    <w:rsid w:val="004A1A47"/>
    <w:rsid w:val="004A1FB3"/>
    <w:rsid w:val="004A26E9"/>
    <w:rsid w:val="004A26F0"/>
    <w:rsid w:val="004A28E6"/>
    <w:rsid w:val="004A2BC9"/>
    <w:rsid w:val="004A2C79"/>
    <w:rsid w:val="004A3019"/>
    <w:rsid w:val="004A3124"/>
    <w:rsid w:val="004A3504"/>
    <w:rsid w:val="004A4B1E"/>
    <w:rsid w:val="004A4D60"/>
    <w:rsid w:val="004A5207"/>
    <w:rsid w:val="004A5445"/>
    <w:rsid w:val="004A57B0"/>
    <w:rsid w:val="004A6726"/>
    <w:rsid w:val="004A6AF0"/>
    <w:rsid w:val="004A732B"/>
    <w:rsid w:val="004B0542"/>
    <w:rsid w:val="004B0B82"/>
    <w:rsid w:val="004B0E92"/>
    <w:rsid w:val="004B1256"/>
    <w:rsid w:val="004B14C2"/>
    <w:rsid w:val="004B1D3A"/>
    <w:rsid w:val="004B2A95"/>
    <w:rsid w:val="004B2BA8"/>
    <w:rsid w:val="004B2D9C"/>
    <w:rsid w:val="004B3C85"/>
    <w:rsid w:val="004B3CB4"/>
    <w:rsid w:val="004B42F2"/>
    <w:rsid w:val="004B466E"/>
    <w:rsid w:val="004B50A9"/>
    <w:rsid w:val="004B50D5"/>
    <w:rsid w:val="004B5141"/>
    <w:rsid w:val="004B56EC"/>
    <w:rsid w:val="004B5B27"/>
    <w:rsid w:val="004B6C25"/>
    <w:rsid w:val="004B712F"/>
    <w:rsid w:val="004B752A"/>
    <w:rsid w:val="004C155E"/>
    <w:rsid w:val="004C247F"/>
    <w:rsid w:val="004C27EF"/>
    <w:rsid w:val="004C28C5"/>
    <w:rsid w:val="004C3446"/>
    <w:rsid w:val="004C365D"/>
    <w:rsid w:val="004C3987"/>
    <w:rsid w:val="004C43E7"/>
    <w:rsid w:val="004C5471"/>
    <w:rsid w:val="004C581E"/>
    <w:rsid w:val="004C63DF"/>
    <w:rsid w:val="004C673E"/>
    <w:rsid w:val="004C6B10"/>
    <w:rsid w:val="004C708C"/>
    <w:rsid w:val="004C7675"/>
    <w:rsid w:val="004C7B04"/>
    <w:rsid w:val="004D1147"/>
    <w:rsid w:val="004D1DCA"/>
    <w:rsid w:val="004D274B"/>
    <w:rsid w:val="004D2F90"/>
    <w:rsid w:val="004D3001"/>
    <w:rsid w:val="004D3C43"/>
    <w:rsid w:val="004D4B20"/>
    <w:rsid w:val="004D4B44"/>
    <w:rsid w:val="004D5528"/>
    <w:rsid w:val="004D5867"/>
    <w:rsid w:val="004D5953"/>
    <w:rsid w:val="004D5A89"/>
    <w:rsid w:val="004D5DF5"/>
    <w:rsid w:val="004D64C6"/>
    <w:rsid w:val="004D6FBA"/>
    <w:rsid w:val="004D7F8B"/>
    <w:rsid w:val="004E02A8"/>
    <w:rsid w:val="004E0645"/>
    <w:rsid w:val="004E0F95"/>
    <w:rsid w:val="004E26E5"/>
    <w:rsid w:val="004E2D4F"/>
    <w:rsid w:val="004E3D86"/>
    <w:rsid w:val="004E54EB"/>
    <w:rsid w:val="004E6E57"/>
    <w:rsid w:val="004E71A0"/>
    <w:rsid w:val="004F024D"/>
    <w:rsid w:val="004F0764"/>
    <w:rsid w:val="004F144E"/>
    <w:rsid w:val="004F2171"/>
    <w:rsid w:val="004F2325"/>
    <w:rsid w:val="004F2410"/>
    <w:rsid w:val="004F2960"/>
    <w:rsid w:val="004F2EC3"/>
    <w:rsid w:val="004F37C2"/>
    <w:rsid w:val="004F45B9"/>
    <w:rsid w:val="004F4652"/>
    <w:rsid w:val="004F4C46"/>
    <w:rsid w:val="004F4D3F"/>
    <w:rsid w:val="004F4FE3"/>
    <w:rsid w:val="004F564B"/>
    <w:rsid w:val="004F5F16"/>
    <w:rsid w:val="004F745C"/>
    <w:rsid w:val="005000C4"/>
    <w:rsid w:val="0050080E"/>
    <w:rsid w:val="00500D45"/>
    <w:rsid w:val="0050143E"/>
    <w:rsid w:val="00501C21"/>
    <w:rsid w:val="005021FC"/>
    <w:rsid w:val="00502640"/>
    <w:rsid w:val="00502665"/>
    <w:rsid w:val="0050293E"/>
    <w:rsid w:val="00503551"/>
    <w:rsid w:val="00503623"/>
    <w:rsid w:val="00503C8B"/>
    <w:rsid w:val="005040DE"/>
    <w:rsid w:val="00504118"/>
    <w:rsid w:val="005041DF"/>
    <w:rsid w:val="00504DAD"/>
    <w:rsid w:val="005060E8"/>
    <w:rsid w:val="005062C7"/>
    <w:rsid w:val="005063DA"/>
    <w:rsid w:val="0050641F"/>
    <w:rsid w:val="00506961"/>
    <w:rsid w:val="00506E9D"/>
    <w:rsid w:val="0051060C"/>
    <w:rsid w:val="00510D3E"/>
    <w:rsid w:val="00511643"/>
    <w:rsid w:val="0051168A"/>
    <w:rsid w:val="00511D7F"/>
    <w:rsid w:val="005129DA"/>
    <w:rsid w:val="00512E4C"/>
    <w:rsid w:val="00512FBA"/>
    <w:rsid w:val="0051376A"/>
    <w:rsid w:val="005137F4"/>
    <w:rsid w:val="005139BD"/>
    <w:rsid w:val="00513D6C"/>
    <w:rsid w:val="005144AB"/>
    <w:rsid w:val="00514560"/>
    <w:rsid w:val="00514A89"/>
    <w:rsid w:val="00514BD3"/>
    <w:rsid w:val="00515383"/>
    <w:rsid w:val="00515C11"/>
    <w:rsid w:val="00515EB9"/>
    <w:rsid w:val="0051648A"/>
    <w:rsid w:val="00516901"/>
    <w:rsid w:val="00517031"/>
    <w:rsid w:val="005170E4"/>
    <w:rsid w:val="00517AF1"/>
    <w:rsid w:val="00520BCA"/>
    <w:rsid w:val="00520E62"/>
    <w:rsid w:val="00521E11"/>
    <w:rsid w:val="0052255E"/>
    <w:rsid w:val="00523402"/>
    <w:rsid w:val="005238F0"/>
    <w:rsid w:val="00523902"/>
    <w:rsid w:val="00523AF1"/>
    <w:rsid w:val="00523EBC"/>
    <w:rsid w:val="00524766"/>
    <w:rsid w:val="00524A19"/>
    <w:rsid w:val="00524BEE"/>
    <w:rsid w:val="00524C2E"/>
    <w:rsid w:val="005255EA"/>
    <w:rsid w:val="0052609C"/>
    <w:rsid w:val="0052630C"/>
    <w:rsid w:val="0052654F"/>
    <w:rsid w:val="00526F2E"/>
    <w:rsid w:val="00526FED"/>
    <w:rsid w:val="0052703A"/>
    <w:rsid w:val="00527489"/>
    <w:rsid w:val="00527491"/>
    <w:rsid w:val="00527A23"/>
    <w:rsid w:val="00527C83"/>
    <w:rsid w:val="00527F74"/>
    <w:rsid w:val="00527FD6"/>
    <w:rsid w:val="00531817"/>
    <w:rsid w:val="00531AF5"/>
    <w:rsid w:val="00531B28"/>
    <w:rsid w:val="00531C93"/>
    <w:rsid w:val="00532408"/>
    <w:rsid w:val="0053264F"/>
    <w:rsid w:val="005329F6"/>
    <w:rsid w:val="00532A19"/>
    <w:rsid w:val="005332E9"/>
    <w:rsid w:val="005345E2"/>
    <w:rsid w:val="00534608"/>
    <w:rsid w:val="005349B3"/>
    <w:rsid w:val="00534A77"/>
    <w:rsid w:val="005351F3"/>
    <w:rsid w:val="005352F5"/>
    <w:rsid w:val="00536092"/>
    <w:rsid w:val="005364F9"/>
    <w:rsid w:val="0053727E"/>
    <w:rsid w:val="00537330"/>
    <w:rsid w:val="00537398"/>
    <w:rsid w:val="00537440"/>
    <w:rsid w:val="00540254"/>
    <w:rsid w:val="005408D0"/>
    <w:rsid w:val="00541366"/>
    <w:rsid w:val="005414CC"/>
    <w:rsid w:val="0054183A"/>
    <w:rsid w:val="005436FE"/>
    <w:rsid w:val="00543A5B"/>
    <w:rsid w:val="00543A92"/>
    <w:rsid w:val="00543C81"/>
    <w:rsid w:val="005442ED"/>
    <w:rsid w:val="0054453B"/>
    <w:rsid w:val="00544723"/>
    <w:rsid w:val="00545B68"/>
    <w:rsid w:val="00545EF9"/>
    <w:rsid w:val="00547ABB"/>
    <w:rsid w:val="00550053"/>
    <w:rsid w:val="0055093B"/>
    <w:rsid w:val="00551511"/>
    <w:rsid w:val="00551839"/>
    <w:rsid w:val="00552142"/>
    <w:rsid w:val="005522E4"/>
    <w:rsid w:val="0055250A"/>
    <w:rsid w:val="00552EB6"/>
    <w:rsid w:val="00553B63"/>
    <w:rsid w:val="00553E89"/>
    <w:rsid w:val="005544A9"/>
    <w:rsid w:val="00554964"/>
    <w:rsid w:val="00555E07"/>
    <w:rsid w:val="0055607B"/>
    <w:rsid w:val="0055692B"/>
    <w:rsid w:val="0055723A"/>
    <w:rsid w:val="005576FE"/>
    <w:rsid w:val="00557A35"/>
    <w:rsid w:val="00560EB4"/>
    <w:rsid w:val="00560EED"/>
    <w:rsid w:val="00561054"/>
    <w:rsid w:val="005610EF"/>
    <w:rsid w:val="00561422"/>
    <w:rsid w:val="00561E96"/>
    <w:rsid w:val="00561F1A"/>
    <w:rsid w:val="0056259A"/>
    <w:rsid w:val="005627D4"/>
    <w:rsid w:val="00562BD5"/>
    <w:rsid w:val="005630EF"/>
    <w:rsid w:val="005631FB"/>
    <w:rsid w:val="005632A6"/>
    <w:rsid w:val="005639B3"/>
    <w:rsid w:val="00563B34"/>
    <w:rsid w:val="0056419E"/>
    <w:rsid w:val="0056433E"/>
    <w:rsid w:val="005646F5"/>
    <w:rsid w:val="0056494F"/>
    <w:rsid w:val="005659D1"/>
    <w:rsid w:val="00567311"/>
    <w:rsid w:val="0056777E"/>
    <w:rsid w:val="00567A04"/>
    <w:rsid w:val="00567C52"/>
    <w:rsid w:val="005701DD"/>
    <w:rsid w:val="00570FFD"/>
    <w:rsid w:val="005712DF"/>
    <w:rsid w:val="005718DF"/>
    <w:rsid w:val="00571C21"/>
    <w:rsid w:val="0057207A"/>
    <w:rsid w:val="00572D02"/>
    <w:rsid w:val="00573C54"/>
    <w:rsid w:val="005745D4"/>
    <w:rsid w:val="005751C5"/>
    <w:rsid w:val="00575271"/>
    <w:rsid w:val="0057563C"/>
    <w:rsid w:val="00575819"/>
    <w:rsid w:val="0057742D"/>
    <w:rsid w:val="00580423"/>
    <w:rsid w:val="005807A7"/>
    <w:rsid w:val="0058095B"/>
    <w:rsid w:val="00580F57"/>
    <w:rsid w:val="0058170E"/>
    <w:rsid w:val="0058295C"/>
    <w:rsid w:val="00582DB4"/>
    <w:rsid w:val="00582E10"/>
    <w:rsid w:val="005831F1"/>
    <w:rsid w:val="0058492E"/>
    <w:rsid w:val="00584EC7"/>
    <w:rsid w:val="005853B2"/>
    <w:rsid w:val="005858C9"/>
    <w:rsid w:val="0058715C"/>
    <w:rsid w:val="0058740B"/>
    <w:rsid w:val="00587AE3"/>
    <w:rsid w:val="00587CED"/>
    <w:rsid w:val="00590977"/>
    <w:rsid w:val="005913D6"/>
    <w:rsid w:val="00591457"/>
    <w:rsid w:val="00591530"/>
    <w:rsid w:val="00591AFE"/>
    <w:rsid w:val="00591E4F"/>
    <w:rsid w:val="0059232E"/>
    <w:rsid w:val="00592331"/>
    <w:rsid w:val="00592500"/>
    <w:rsid w:val="00593691"/>
    <w:rsid w:val="00593989"/>
    <w:rsid w:val="00594432"/>
    <w:rsid w:val="00594B46"/>
    <w:rsid w:val="005959D1"/>
    <w:rsid w:val="00595A87"/>
    <w:rsid w:val="00595ED4"/>
    <w:rsid w:val="005963A5"/>
    <w:rsid w:val="0059654F"/>
    <w:rsid w:val="005973B1"/>
    <w:rsid w:val="00597593"/>
    <w:rsid w:val="0059777E"/>
    <w:rsid w:val="00597A7F"/>
    <w:rsid w:val="005A0148"/>
    <w:rsid w:val="005A0878"/>
    <w:rsid w:val="005A0BC3"/>
    <w:rsid w:val="005A0FB5"/>
    <w:rsid w:val="005A1D5E"/>
    <w:rsid w:val="005A2637"/>
    <w:rsid w:val="005A2C90"/>
    <w:rsid w:val="005A2DA5"/>
    <w:rsid w:val="005A359C"/>
    <w:rsid w:val="005A36A8"/>
    <w:rsid w:val="005A37DD"/>
    <w:rsid w:val="005A3ECF"/>
    <w:rsid w:val="005A4299"/>
    <w:rsid w:val="005A4718"/>
    <w:rsid w:val="005A5094"/>
    <w:rsid w:val="005A5403"/>
    <w:rsid w:val="005A61B2"/>
    <w:rsid w:val="005A6727"/>
    <w:rsid w:val="005A6744"/>
    <w:rsid w:val="005A6D0C"/>
    <w:rsid w:val="005A7922"/>
    <w:rsid w:val="005A7A49"/>
    <w:rsid w:val="005B0999"/>
    <w:rsid w:val="005B0BD8"/>
    <w:rsid w:val="005B1532"/>
    <w:rsid w:val="005B1880"/>
    <w:rsid w:val="005B2199"/>
    <w:rsid w:val="005B3B50"/>
    <w:rsid w:val="005B41E9"/>
    <w:rsid w:val="005B46BD"/>
    <w:rsid w:val="005B4D24"/>
    <w:rsid w:val="005B4EB0"/>
    <w:rsid w:val="005B5A88"/>
    <w:rsid w:val="005B63A7"/>
    <w:rsid w:val="005B69DE"/>
    <w:rsid w:val="005B71FD"/>
    <w:rsid w:val="005B7246"/>
    <w:rsid w:val="005B7A50"/>
    <w:rsid w:val="005C058C"/>
    <w:rsid w:val="005C08E1"/>
    <w:rsid w:val="005C0FF9"/>
    <w:rsid w:val="005C1C5C"/>
    <w:rsid w:val="005C22E2"/>
    <w:rsid w:val="005C26C5"/>
    <w:rsid w:val="005C2B16"/>
    <w:rsid w:val="005C3446"/>
    <w:rsid w:val="005C4B6D"/>
    <w:rsid w:val="005C504F"/>
    <w:rsid w:val="005C6369"/>
    <w:rsid w:val="005C639F"/>
    <w:rsid w:val="005C6594"/>
    <w:rsid w:val="005C7155"/>
    <w:rsid w:val="005C777B"/>
    <w:rsid w:val="005D018B"/>
    <w:rsid w:val="005D0AE7"/>
    <w:rsid w:val="005D0CEB"/>
    <w:rsid w:val="005D1479"/>
    <w:rsid w:val="005D1BF0"/>
    <w:rsid w:val="005D1C8A"/>
    <w:rsid w:val="005D21AB"/>
    <w:rsid w:val="005D2AF4"/>
    <w:rsid w:val="005D2C5B"/>
    <w:rsid w:val="005D31F6"/>
    <w:rsid w:val="005D3714"/>
    <w:rsid w:val="005D477D"/>
    <w:rsid w:val="005D495D"/>
    <w:rsid w:val="005D5B9F"/>
    <w:rsid w:val="005D5F17"/>
    <w:rsid w:val="005D5FD6"/>
    <w:rsid w:val="005D6C79"/>
    <w:rsid w:val="005D6F98"/>
    <w:rsid w:val="005E0428"/>
    <w:rsid w:val="005E06C0"/>
    <w:rsid w:val="005E076C"/>
    <w:rsid w:val="005E1761"/>
    <w:rsid w:val="005E18DA"/>
    <w:rsid w:val="005E245D"/>
    <w:rsid w:val="005E2B24"/>
    <w:rsid w:val="005E2D4B"/>
    <w:rsid w:val="005E31F0"/>
    <w:rsid w:val="005E35CB"/>
    <w:rsid w:val="005E3CA9"/>
    <w:rsid w:val="005E429C"/>
    <w:rsid w:val="005E45AB"/>
    <w:rsid w:val="005E48B5"/>
    <w:rsid w:val="005E48E2"/>
    <w:rsid w:val="005E4B29"/>
    <w:rsid w:val="005E4B8B"/>
    <w:rsid w:val="005E4ECB"/>
    <w:rsid w:val="005E5743"/>
    <w:rsid w:val="005E582F"/>
    <w:rsid w:val="005E59E1"/>
    <w:rsid w:val="005E6A49"/>
    <w:rsid w:val="005E6B4F"/>
    <w:rsid w:val="005E73BE"/>
    <w:rsid w:val="005E7609"/>
    <w:rsid w:val="005E7AEA"/>
    <w:rsid w:val="005F107E"/>
    <w:rsid w:val="005F16A0"/>
    <w:rsid w:val="005F196D"/>
    <w:rsid w:val="005F19A4"/>
    <w:rsid w:val="005F1DBD"/>
    <w:rsid w:val="005F1DCB"/>
    <w:rsid w:val="005F1F18"/>
    <w:rsid w:val="005F21E8"/>
    <w:rsid w:val="005F23F8"/>
    <w:rsid w:val="005F2817"/>
    <w:rsid w:val="005F2CBE"/>
    <w:rsid w:val="005F3AB9"/>
    <w:rsid w:val="005F4A0E"/>
    <w:rsid w:val="005F4FA8"/>
    <w:rsid w:val="005F52F2"/>
    <w:rsid w:val="005F53BC"/>
    <w:rsid w:val="005F5492"/>
    <w:rsid w:val="005F5805"/>
    <w:rsid w:val="005F5A57"/>
    <w:rsid w:val="005F5E55"/>
    <w:rsid w:val="005F61FA"/>
    <w:rsid w:val="005F647A"/>
    <w:rsid w:val="005F6C19"/>
    <w:rsid w:val="005F7631"/>
    <w:rsid w:val="006003FF"/>
    <w:rsid w:val="00600819"/>
    <w:rsid w:val="00600BCF"/>
    <w:rsid w:val="00601C88"/>
    <w:rsid w:val="00601D24"/>
    <w:rsid w:val="006024D0"/>
    <w:rsid w:val="00602EA1"/>
    <w:rsid w:val="00603FB5"/>
    <w:rsid w:val="00604457"/>
    <w:rsid w:val="0060457C"/>
    <w:rsid w:val="00604ED2"/>
    <w:rsid w:val="006067C0"/>
    <w:rsid w:val="00607300"/>
    <w:rsid w:val="00607B98"/>
    <w:rsid w:val="00607EF2"/>
    <w:rsid w:val="0061019F"/>
    <w:rsid w:val="00610236"/>
    <w:rsid w:val="0061051F"/>
    <w:rsid w:val="0061078D"/>
    <w:rsid w:val="00610B97"/>
    <w:rsid w:val="0061126D"/>
    <w:rsid w:val="00611A8B"/>
    <w:rsid w:val="00611F6F"/>
    <w:rsid w:val="00612104"/>
    <w:rsid w:val="006129DC"/>
    <w:rsid w:val="00613127"/>
    <w:rsid w:val="00613309"/>
    <w:rsid w:val="00613D08"/>
    <w:rsid w:val="00615462"/>
    <w:rsid w:val="00615CBF"/>
    <w:rsid w:val="00615EB3"/>
    <w:rsid w:val="0061607A"/>
    <w:rsid w:val="00616592"/>
    <w:rsid w:val="006167BC"/>
    <w:rsid w:val="00616983"/>
    <w:rsid w:val="00616B6A"/>
    <w:rsid w:val="00616C88"/>
    <w:rsid w:val="00617690"/>
    <w:rsid w:val="00617843"/>
    <w:rsid w:val="00617C2F"/>
    <w:rsid w:val="006209F7"/>
    <w:rsid w:val="00620C15"/>
    <w:rsid w:val="006211ED"/>
    <w:rsid w:val="0062128D"/>
    <w:rsid w:val="00621629"/>
    <w:rsid w:val="00621A4B"/>
    <w:rsid w:val="00622F8D"/>
    <w:rsid w:val="00623D2F"/>
    <w:rsid w:val="00623E52"/>
    <w:rsid w:val="006244C3"/>
    <w:rsid w:val="00624C61"/>
    <w:rsid w:val="00624EC6"/>
    <w:rsid w:val="00625BC3"/>
    <w:rsid w:val="006261F0"/>
    <w:rsid w:val="0062626A"/>
    <w:rsid w:val="00627877"/>
    <w:rsid w:val="00630038"/>
    <w:rsid w:val="006303C5"/>
    <w:rsid w:val="00630EAD"/>
    <w:rsid w:val="00631FF4"/>
    <w:rsid w:val="0063260E"/>
    <w:rsid w:val="006326BD"/>
    <w:rsid w:val="00632D0D"/>
    <w:rsid w:val="00633132"/>
    <w:rsid w:val="00633A16"/>
    <w:rsid w:val="00633BF2"/>
    <w:rsid w:val="00634CDC"/>
    <w:rsid w:val="00635558"/>
    <w:rsid w:val="006358AD"/>
    <w:rsid w:val="00635A98"/>
    <w:rsid w:val="00635E6D"/>
    <w:rsid w:val="0063614D"/>
    <w:rsid w:val="00637054"/>
    <w:rsid w:val="0063727C"/>
    <w:rsid w:val="0063746D"/>
    <w:rsid w:val="00637FFB"/>
    <w:rsid w:val="0064007A"/>
    <w:rsid w:val="00640305"/>
    <w:rsid w:val="0064085A"/>
    <w:rsid w:val="00640A38"/>
    <w:rsid w:val="00640DF3"/>
    <w:rsid w:val="0064128F"/>
    <w:rsid w:val="006423E9"/>
    <w:rsid w:val="0064264F"/>
    <w:rsid w:val="006439ED"/>
    <w:rsid w:val="00643A1B"/>
    <w:rsid w:val="006445F1"/>
    <w:rsid w:val="00644C37"/>
    <w:rsid w:val="006454A5"/>
    <w:rsid w:val="006456F8"/>
    <w:rsid w:val="00645B1E"/>
    <w:rsid w:val="00645D5C"/>
    <w:rsid w:val="006462DC"/>
    <w:rsid w:val="006463D0"/>
    <w:rsid w:val="00646854"/>
    <w:rsid w:val="00646DD6"/>
    <w:rsid w:val="00646EFA"/>
    <w:rsid w:val="006472CD"/>
    <w:rsid w:val="006479A8"/>
    <w:rsid w:val="00647D19"/>
    <w:rsid w:val="0065017C"/>
    <w:rsid w:val="0065088E"/>
    <w:rsid w:val="00650940"/>
    <w:rsid w:val="00650990"/>
    <w:rsid w:val="00650BFE"/>
    <w:rsid w:val="00650F4E"/>
    <w:rsid w:val="00651560"/>
    <w:rsid w:val="00651B3B"/>
    <w:rsid w:val="006522B7"/>
    <w:rsid w:val="006532B1"/>
    <w:rsid w:val="0065345F"/>
    <w:rsid w:val="00653702"/>
    <w:rsid w:val="00653B74"/>
    <w:rsid w:val="00653E98"/>
    <w:rsid w:val="00654206"/>
    <w:rsid w:val="00654421"/>
    <w:rsid w:val="00654949"/>
    <w:rsid w:val="00654CBB"/>
    <w:rsid w:val="006553BF"/>
    <w:rsid w:val="0065596C"/>
    <w:rsid w:val="00656C9B"/>
    <w:rsid w:val="00657993"/>
    <w:rsid w:val="00657B8C"/>
    <w:rsid w:val="00657D91"/>
    <w:rsid w:val="00660031"/>
    <w:rsid w:val="00660126"/>
    <w:rsid w:val="00660138"/>
    <w:rsid w:val="00660368"/>
    <w:rsid w:val="00660AB2"/>
    <w:rsid w:val="00661D02"/>
    <w:rsid w:val="00663584"/>
    <w:rsid w:val="0066384F"/>
    <w:rsid w:val="00663B19"/>
    <w:rsid w:val="00663B84"/>
    <w:rsid w:val="00664021"/>
    <w:rsid w:val="00664619"/>
    <w:rsid w:val="00664BEF"/>
    <w:rsid w:val="006656F7"/>
    <w:rsid w:val="00665D4F"/>
    <w:rsid w:val="00665FDA"/>
    <w:rsid w:val="00666692"/>
    <w:rsid w:val="00666843"/>
    <w:rsid w:val="006672DE"/>
    <w:rsid w:val="00667A40"/>
    <w:rsid w:val="00667AFE"/>
    <w:rsid w:val="00667F63"/>
    <w:rsid w:val="006704B7"/>
    <w:rsid w:val="00670750"/>
    <w:rsid w:val="00670B25"/>
    <w:rsid w:val="00670EB8"/>
    <w:rsid w:val="00672031"/>
    <w:rsid w:val="00673449"/>
    <w:rsid w:val="006736F6"/>
    <w:rsid w:val="00673729"/>
    <w:rsid w:val="006743CD"/>
    <w:rsid w:val="006745C1"/>
    <w:rsid w:val="0067562F"/>
    <w:rsid w:val="00675641"/>
    <w:rsid w:val="00676A76"/>
    <w:rsid w:val="00676D27"/>
    <w:rsid w:val="006772EC"/>
    <w:rsid w:val="0067781B"/>
    <w:rsid w:val="00677B39"/>
    <w:rsid w:val="00680044"/>
    <w:rsid w:val="00680348"/>
    <w:rsid w:val="00680FB7"/>
    <w:rsid w:val="006810DE"/>
    <w:rsid w:val="00682517"/>
    <w:rsid w:val="00682D9D"/>
    <w:rsid w:val="00683F0A"/>
    <w:rsid w:val="006841ED"/>
    <w:rsid w:val="00684227"/>
    <w:rsid w:val="006843CA"/>
    <w:rsid w:val="0068484C"/>
    <w:rsid w:val="0068493C"/>
    <w:rsid w:val="00684C8C"/>
    <w:rsid w:val="00685F9E"/>
    <w:rsid w:val="00686111"/>
    <w:rsid w:val="00686DB6"/>
    <w:rsid w:val="00686E70"/>
    <w:rsid w:val="00687722"/>
    <w:rsid w:val="00687E61"/>
    <w:rsid w:val="00687E8E"/>
    <w:rsid w:val="00687F93"/>
    <w:rsid w:val="0069039C"/>
    <w:rsid w:val="0069071D"/>
    <w:rsid w:val="0069076B"/>
    <w:rsid w:val="006907F8"/>
    <w:rsid w:val="00690A3B"/>
    <w:rsid w:val="0069120D"/>
    <w:rsid w:val="00692148"/>
    <w:rsid w:val="0069223F"/>
    <w:rsid w:val="00692FD7"/>
    <w:rsid w:val="006933C9"/>
    <w:rsid w:val="006933D1"/>
    <w:rsid w:val="0069357E"/>
    <w:rsid w:val="00693709"/>
    <w:rsid w:val="00694756"/>
    <w:rsid w:val="00694E51"/>
    <w:rsid w:val="00695213"/>
    <w:rsid w:val="006956FC"/>
    <w:rsid w:val="00695BF9"/>
    <w:rsid w:val="00695C6B"/>
    <w:rsid w:val="00695E7E"/>
    <w:rsid w:val="00695F2F"/>
    <w:rsid w:val="006961A3"/>
    <w:rsid w:val="0069628C"/>
    <w:rsid w:val="00696381"/>
    <w:rsid w:val="006965D8"/>
    <w:rsid w:val="00696B22"/>
    <w:rsid w:val="006975AB"/>
    <w:rsid w:val="00697AE7"/>
    <w:rsid w:val="006A0055"/>
    <w:rsid w:val="006A0B37"/>
    <w:rsid w:val="006A0E10"/>
    <w:rsid w:val="006A0FA1"/>
    <w:rsid w:val="006A1104"/>
    <w:rsid w:val="006A19A9"/>
    <w:rsid w:val="006A1D95"/>
    <w:rsid w:val="006A1FC3"/>
    <w:rsid w:val="006A31F9"/>
    <w:rsid w:val="006A381A"/>
    <w:rsid w:val="006A4C24"/>
    <w:rsid w:val="006A4C4B"/>
    <w:rsid w:val="006A4D56"/>
    <w:rsid w:val="006A55CE"/>
    <w:rsid w:val="006A573C"/>
    <w:rsid w:val="006A577B"/>
    <w:rsid w:val="006A59E6"/>
    <w:rsid w:val="006A5E2D"/>
    <w:rsid w:val="006A5FFA"/>
    <w:rsid w:val="006A677D"/>
    <w:rsid w:val="006A6780"/>
    <w:rsid w:val="006A6846"/>
    <w:rsid w:val="006A7244"/>
    <w:rsid w:val="006A73DB"/>
    <w:rsid w:val="006A7B7B"/>
    <w:rsid w:val="006A7DD0"/>
    <w:rsid w:val="006B0E4F"/>
    <w:rsid w:val="006B14AF"/>
    <w:rsid w:val="006B15D2"/>
    <w:rsid w:val="006B23D3"/>
    <w:rsid w:val="006B2998"/>
    <w:rsid w:val="006B2C06"/>
    <w:rsid w:val="006B2C8D"/>
    <w:rsid w:val="006B33E0"/>
    <w:rsid w:val="006B3780"/>
    <w:rsid w:val="006B41F1"/>
    <w:rsid w:val="006B4474"/>
    <w:rsid w:val="006B44BF"/>
    <w:rsid w:val="006B5D16"/>
    <w:rsid w:val="006B5FA6"/>
    <w:rsid w:val="006B6370"/>
    <w:rsid w:val="006B6CBA"/>
    <w:rsid w:val="006B776E"/>
    <w:rsid w:val="006B781B"/>
    <w:rsid w:val="006C09ED"/>
    <w:rsid w:val="006C16F5"/>
    <w:rsid w:val="006C2549"/>
    <w:rsid w:val="006C2A64"/>
    <w:rsid w:val="006C2C24"/>
    <w:rsid w:val="006C2EAB"/>
    <w:rsid w:val="006C3224"/>
    <w:rsid w:val="006C3390"/>
    <w:rsid w:val="006C36AD"/>
    <w:rsid w:val="006C3E52"/>
    <w:rsid w:val="006C41AF"/>
    <w:rsid w:val="006C43CB"/>
    <w:rsid w:val="006C45F0"/>
    <w:rsid w:val="006C4B37"/>
    <w:rsid w:val="006C4D16"/>
    <w:rsid w:val="006C5466"/>
    <w:rsid w:val="006C5A78"/>
    <w:rsid w:val="006C5B47"/>
    <w:rsid w:val="006C6674"/>
    <w:rsid w:val="006C6BBC"/>
    <w:rsid w:val="006C774A"/>
    <w:rsid w:val="006C7F82"/>
    <w:rsid w:val="006D120B"/>
    <w:rsid w:val="006D1AEC"/>
    <w:rsid w:val="006D1CDF"/>
    <w:rsid w:val="006D1CEF"/>
    <w:rsid w:val="006D231D"/>
    <w:rsid w:val="006D233F"/>
    <w:rsid w:val="006D2A00"/>
    <w:rsid w:val="006D2A0E"/>
    <w:rsid w:val="006D2D25"/>
    <w:rsid w:val="006D4321"/>
    <w:rsid w:val="006D45DA"/>
    <w:rsid w:val="006D477C"/>
    <w:rsid w:val="006D4AC1"/>
    <w:rsid w:val="006D4D25"/>
    <w:rsid w:val="006D554C"/>
    <w:rsid w:val="006D5EC0"/>
    <w:rsid w:val="006D627F"/>
    <w:rsid w:val="006D6387"/>
    <w:rsid w:val="006D69FD"/>
    <w:rsid w:val="006D703B"/>
    <w:rsid w:val="006D7309"/>
    <w:rsid w:val="006D75E3"/>
    <w:rsid w:val="006D7861"/>
    <w:rsid w:val="006D79E9"/>
    <w:rsid w:val="006D7ACE"/>
    <w:rsid w:val="006E0573"/>
    <w:rsid w:val="006E0A4A"/>
    <w:rsid w:val="006E0AD2"/>
    <w:rsid w:val="006E0D1B"/>
    <w:rsid w:val="006E0FBB"/>
    <w:rsid w:val="006E15D1"/>
    <w:rsid w:val="006E1811"/>
    <w:rsid w:val="006E2000"/>
    <w:rsid w:val="006E2378"/>
    <w:rsid w:val="006E2405"/>
    <w:rsid w:val="006E2764"/>
    <w:rsid w:val="006E3428"/>
    <w:rsid w:val="006E3CDA"/>
    <w:rsid w:val="006E3F3B"/>
    <w:rsid w:val="006E4950"/>
    <w:rsid w:val="006E49F2"/>
    <w:rsid w:val="006E4FDD"/>
    <w:rsid w:val="006E5405"/>
    <w:rsid w:val="006E5468"/>
    <w:rsid w:val="006E57AD"/>
    <w:rsid w:val="006E5A92"/>
    <w:rsid w:val="006E5FCA"/>
    <w:rsid w:val="006E6603"/>
    <w:rsid w:val="006E67BA"/>
    <w:rsid w:val="006E707A"/>
    <w:rsid w:val="006E748A"/>
    <w:rsid w:val="006E76F6"/>
    <w:rsid w:val="006E7700"/>
    <w:rsid w:val="006E7DCE"/>
    <w:rsid w:val="006E7EB7"/>
    <w:rsid w:val="006F0234"/>
    <w:rsid w:val="006F10A6"/>
    <w:rsid w:val="006F115F"/>
    <w:rsid w:val="006F19B0"/>
    <w:rsid w:val="006F1B2D"/>
    <w:rsid w:val="006F1C34"/>
    <w:rsid w:val="006F2616"/>
    <w:rsid w:val="006F3F17"/>
    <w:rsid w:val="006F4921"/>
    <w:rsid w:val="006F4F37"/>
    <w:rsid w:val="006F72BB"/>
    <w:rsid w:val="006F7B2B"/>
    <w:rsid w:val="00700980"/>
    <w:rsid w:val="007009C5"/>
    <w:rsid w:val="00700D35"/>
    <w:rsid w:val="0070115B"/>
    <w:rsid w:val="0070122C"/>
    <w:rsid w:val="00701B72"/>
    <w:rsid w:val="0070224C"/>
    <w:rsid w:val="00702637"/>
    <w:rsid w:val="007028EF"/>
    <w:rsid w:val="00702B81"/>
    <w:rsid w:val="00702BFE"/>
    <w:rsid w:val="00702E23"/>
    <w:rsid w:val="00703721"/>
    <w:rsid w:val="00703972"/>
    <w:rsid w:val="007039ED"/>
    <w:rsid w:val="00703A2F"/>
    <w:rsid w:val="00703C25"/>
    <w:rsid w:val="0070487A"/>
    <w:rsid w:val="00704BA1"/>
    <w:rsid w:val="00705A5C"/>
    <w:rsid w:val="00705CD5"/>
    <w:rsid w:val="00705DC5"/>
    <w:rsid w:val="00705E06"/>
    <w:rsid w:val="00706DC9"/>
    <w:rsid w:val="0070726C"/>
    <w:rsid w:val="00707893"/>
    <w:rsid w:val="00710986"/>
    <w:rsid w:val="00710B33"/>
    <w:rsid w:val="007115D2"/>
    <w:rsid w:val="00711D87"/>
    <w:rsid w:val="0071204A"/>
    <w:rsid w:val="0071270A"/>
    <w:rsid w:val="00713ADA"/>
    <w:rsid w:val="00713CE5"/>
    <w:rsid w:val="00714FA2"/>
    <w:rsid w:val="00716688"/>
    <w:rsid w:val="00717381"/>
    <w:rsid w:val="0071743E"/>
    <w:rsid w:val="0072034E"/>
    <w:rsid w:val="00721123"/>
    <w:rsid w:val="007216D2"/>
    <w:rsid w:val="00721ADF"/>
    <w:rsid w:val="00722700"/>
    <w:rsid w:val="00722852"/>
    <w:rsid w:val="00724C7F"/>
    <w:rsid w:val="00724D70"/>
    <w:rsid w:val="00724E89"/>
    <w:rsid w:val="007250EB"/>
    <w:rsid w:val="00725543"/>
    <w:rsid w:val="007255F0"/>
    <w:rsid w:val="00725EAE"/>
    <w:rsid w:val="00726827"/>
    <w:rsid w:val="0072683F"/>
    <w:rsid w:val="007268AE"/>
    <w:rsid w:val="00726CD1"/>
    <w:rsid w:val="007270E4"/>
    <w:rsid w:val="00727BF7"/>
    <w:rsid w:val="0073058F"/>
    <w:rsid w:val="007305C0"/>
    <w:rsid w:val="00731115"/>
    <w:rsid w:val="007314C8"/>
    <w:rsid w:val="00731887"/>
    <w:rsid w:val="00731904"/>
    <w:rsid w:val="007329BD"/>
    <w:rsid w:val="00732A2A"/>
    <w:rsid w:val="00732C81"/>
    <w:rsid w:val="007332EF"/>
    <w:rsid w:val="00733770"/>
    <w:rsid w:val="00734F96"/>
    <w:rsid w:val="00735012"/>
    <w:rsid w:val="00735100"/>
    <w:rsid w:val="00735465"/>
    <w:rsid w:val="00736654"/>
    <w:rsid w:val="007375B9"/>
    <w:rsid w:val="007378EE"/>
    <w:rsid w:val="00737F97"/>
    <w:rsid w:val="00740392"/>
    <w:rsid w:val="00740501"/>
    <w:rsid w:val="0074052B"/>
    <w:rsid w:val="00740BA6"/>
    <w:rsid w:val="00740CCF"/>
    <w:rsid w:val="00740D94"/>
    <w:rsid w:val="00740EFF"/>
    <w:rsid w:val="00743224"/>
    <w:rsid w:val="007433DF"/>
    <w:rsid w:val="00743BB8"/>
    <w:rsid w:val="00743E8E"/>
    <w:rsid w:val="007441A3"/>
    <w:rsid w:val="0074432A"/>
    <w:rsid w:val="007447A1"/>
    <w:rsid w:val="007452F1"/>
    <w:rsid w:val="007453EA"/>
    <w:rsid w:val="00745574"/>
    <w:rsid w:val="00745B8B"/>
    <w:rsid w:val="00746030"/>
    <w:rsid w:val="00746DCF"/>
    <w:rsid w:val="00746EB9"/>
    <w:rsid w:val="00746FC9"/>
    <w:rsid w:val="007475DC"/>
    <w:rsid w:val="007475FB"/>
    <w:rsid w:val="00747A08"/>
    <w:rsid w:val="00747B4D"/>
    <w:rsid w:val="00750498"/>
    <w:rsid w:val="00750573"/>
    <w:rsid w:val="00750A07"/>
    <w:rsid w:val="0075100E"/>
    <w:rsid w:val="0075128D"/>
    <w:rsid w:val="00751374"/>
    <w:rsid w:val="007522FC"/>
    <w:rsid w:val="00752637"/>
    <w:rsid w:val="007527C4"/>
    <w:rsid w:val="00752BFF"/>
    <w:rsid w:val="00752E66"/>
    <w:rsid w:val="00752F38"/>
    <w:rsid w:val="00753414"/>
    <w:rsid w:val="0075343F"/>
    <w:rsid w:val="00753CF8"/>
    <w:rsid w:val="00753E1C"/>
    <w:rsid w:val="007543D5"/>
    <w:rsid w:val="007548E6"/>
    <w:rsid w:val="007552F6"/>
    <w:rsid w:val="00755958"/>
    <w:rsid w:val="00755CD5"/>
    <w:rsid w:val="00755E5A"/>
    <w:rsid w:val="00756BA6"/>
    <w:rsid w:val="007600E4"/>
    <w:rsid w:val="00760811"/>
    <w:rsid w:val="00760AE1"/>
    <w:rsid w:val="007612B0"/>
    <w:rsid w:val="00761A76"/>
    <w:rsid w:val="00761AEF"/>
    <w:rsid w:val="007623ED"/>
    <w:rsid w:val="007630D6"/>
    <w:rsid w:val="00763467"/>
    <w:rsid w:val="00763E8A"/>
    <w:rsid w:val="00764241"/>
    <w:rsid w:val="00764266"/>
    <w:rsid w:val="00764429"/>
    <w:rsid w:val="007650F3"/>
    <w:rsid w:val="0076516B"/>
    <w:rsid w:val="007652F5"/>
    <w:rsid w:val="007656E4"/>
    <w:rsid w:val="007665DE"/>
    <w:rsid w:val="00766C97"/>
    <w:rsid w:val="00766D7B"/>
    <w:rsid w:val="00766F57"/>
    <w:rsid w:val="007671CE"/>
    <w:rsid w:val="007671E3"/>
    <w:rsid w:val="00767827"/>
    <w:rsid w:val="00767F54"/>
    <w:rsid w:val="00770CF3"/>
    <w:rsid w:val="007712DD"/>
    <w:rsid w:val="007713D8"/>
    <w:rsid w:val="0077199F"/>
    <w:rsid w:val="00771F88"/>
    <w:rsid w:val="0077249A"/>
    <w:rsid w:val="00772ADB"/>
    <w:rsid w:val="00772F60"/>
    <w:rsid w:val="007739B5"/>
    <w:rsid w:val="00774780"/>
    <w:rsid w:val="00774B18"/>
    <w:rsid w:val="00775401"/>
    <w:rsid w:val="00776C8D"/>
    <w:rsid w:val="007771CF"/>
    <w:rsid w:val="00777634"/>
    <w:rsid w:val="00777AA1"/>
    <w:rsid w:val="00780678"/>
    <w:rsid w:val="00781421"/>
    <w:rsid w:val="0078177B"/>
    <w:rsid w:val="00782126"/>
    <w:rsid w:val="0078224F"/>
    <w:rsid w:val="00782330"/>
    <w:rsid w:val="0078289F"/>
    <w:rsid w:val="00783228"/>
    <w:rsid w:val="00783D3A"/>
    <w:rsid w:val="0078424E"/>
    <w:rsid w:val="007842ED"/>
    <w:rsid w:val="007845CA"/>
    <w:rsid w:val="007845D3"/>
    <w:rsid w:val="00784F5C"/>
    <w:rsid w:val="00785421"/>
    <w:rsid w:val="007855E8"/>
    <w:rsid w:val="00785E23"/>
    <w:rsid w:val="00787A4A"/>
    <w:rsid w:val="00787D83"/>
    <w:rsid w:val="00790276"/>
    <w:rsid w:val="00790A73"/>
    <w:rsid w:val="00790E0F"/>
    <w:rsid w:val="00791E79"/>
    <w:rsid w:val="007924B0"/>
    <w:rsid w:val="00792C37"/>
    <w:rsid w:val="00794695"/>
    <w:rsid w:val="00795CE6"/>
    <w:rsid w:val="007972DF"/>
    <w:rsid w:val="007A01D7"/>
    <w:rsid w:val="007A04FD"/>
    <w:rsid w:val="007A1905"/>
    <w:rsid w:val="007A2750"/>
    <w:rsid w:val="007A2792"/>
    <w:rsid w:val="007A28C6"/>
    <w:rsid w:val="007A29F5"/>
    <w:rsid w:val="007A2E34"/>
    <w:rsid w:val="007A373C"/>
    <w:rsid w:val="007A383F"/>
    <w:rsid w:val="007A4129"/>
    <w:rsid w:val="007A4866"/>
    <w:rsid w:val="007A5270"/>
    <w:rsid w:val="007A56B5"/>
    <w:rsid w:val="007A62E4"/>
    <w:rsid w:val="007A635E"/>
    <w:rsid w:val="007A661A"/>
    <w:rsid w:val="007A6A94"/>
    <w:rsid w:val="007A6D58"/>
    <w:rsid w:val="007A7143"/>
    <w:rsid w:val="007A7650"/>
    <w:rsid w:val="007A7678"/>
    <w:rsid w:val="007A7C85"/>
    <w:rsid w:val="007B0C65"/>
    <w:rsid w:val="007B0CEA"/>
    <w:rsid w:val="007B0F0B"/>
    <w:rsid w:val="007B1AAB"/>
    <w:rsid w:val="007B1FE3"/>
    <w:rsid w:val="007B2A69"/>
    <w:rsid w:val="007B2E85"/>
    <w:rsid w:val="007B3059"/>
    <w:rsid w:val="007B31DC"/>
    <w:rsid w:val="007B37B2"/>
    <w:rsid w:val="007B524D"/>
    <w:rsid w:val="007B5653"/>
    <w:rsid w:val="007B5AB6"/>
    <w:rsid w:val="007B6531"/>
    <w:rsid w:val="007B654C"/>
    <w:rsid w:val="007B68EC"/>
    <w:rsid w:val="007B6BD4"/>
    <w:rsid w:val="007B6FF2"/>
    <w:rsid w:val="007B7DC4"/>
    <w:rsid w:val="007C0344"/>
    <w:rsid w:val="007C0350"/>
    <w:rsid w:val="007C12D4"/>
    <w:rsid w:val="007C15BB"/>
    <w:rsid w:val="007C3430"/>
    <w:rsid w:val="007C39DA"/>
    <w:rsid w:val="007C3A48"/>
    <w:rsid w:val="007C4053"/>
    <w:rsid w:val="007C4506"/>
    <w:rsid w:val="007C45C3"/>
    <w:rsid w:val="007C4CCA"/>
    <w:rsid w:val="007C5E47"/>
    <w:rsid w:val="007C65C5"/>
    <w:rsid w:val="007C6958"/>
    <w:rsid w:val="007C7539"/>
    <w:rsid w:val="007D186C"/>
    <w:rsid w:val="007D1ABD"/>
    <w:rsid w:val="007D2F4E"/>
    <w:rsid w:val="007D32F9"/>
    <w:rsid w:val="007D36BF"/>
    <w:rsid w:val="007D391E"/>
    <w:rsid w:val="007D3AD5"/>
    <w:rsid w:val="007D3D98"/>
    <w:rsid w:val="007D3F35"/>
    <w:rsid w:val="007D431A"/>
    <w:rsid w:val="007D4398"/>
    <w:rsid w:val="007D4845"/>
    <w:rsid w:val="007D4A86"/>
    <w:rsid w:val="007D583A"/>
    <w:rsid w:val="007D5E7D"/>
    <w:rsid w:val="007D6188"/>
    <w:rsid w:val="007D6988"/>
    <w:rsid w:val="007D7D68"/>
    <w:rsid w:val="007E009E"/>
    <w:rsid w:val="007E00D2"/>
    <w:rsid w:val="007E0941"/>
    <w:rsid w:val="007E0A6D"/>
    <w:rsid w:val="007E0F31"/>
    <w:rsid w:val="007E123E"/>
    <w:rsid w:val="007E142E"/>
    <w:rsid w:val="007E198F"/>
    <w:rsid w:val="007E2343"/>
    <w:rsid w:val="007E242E"/>
    <w:rsid w:val="007E2650"/>
    <w:rsid w:val="007E2736"/>
    <w:rsid w:val="007E2A49"/>
    <w:rsid w:val="007E2EC0"/>
    <w:rsid w:val="007E31D8"/>
    <w:rsid w:val="007E3A2F"/>
    <w:rsid w:val="007E3D50"/>
    <w:rsid w:val="007E3E2B"/>
    <w:rsid w:val="007E3FE1"/>
    <w:rsid w:val="007E4601"/>
    <w:rsid w:val="007E4C62"/>
    <w:rsid w:val="007E507D"/>
    <w:rsid w:val="007E5162"/>
    <w:rsid w:val="007E553C"/>
    <w:rsid w:val="007E58E6"/>
    <w:rsid w:val="007E5A24"/>
    <w:rsid w:val="007E5A2A"/>
    <w:rsid w:val="007E6519"/>
    <w:rsid w:val="007E6971"/>
    <w:rsid w:val="007E6F6C"/>
    <w:rsid w:val="007E72B4"/>
    <w:rsid w:val="007E73B0"/>
    <w:rsid w:val="007E7D08"/>
    <w:rsid w:val="007F02AD"/>
    <w:rsid w:val="007F041C"/>
    <w:rsid w:val="007F1071"/>
    <w:rsid w:val="007F133D"/>
    <w:rsid w:val="007F2E7A"/>
    <w:rsid w:val="007F321B"/>
    <w:rsid w:val="007F3A4B"/>
    <w:rsid w:val="007F3BFA"/>
    <w:rsid w:val="007F401C"/>
    <w:rsid w:val="007F4219"/>
    <w:rsid w:val="007F421F"/>
    <w:rsid w:val="007F43B2"/>
    <w:rsid w:val="007F4996"/>
    <w:rsid w:val="007F5A16"/>
    <w:rsid w:val="007F5ECD"/>
    <w:rsid w:val="007F5FBB"/>
    <w:rsid w:val="007F611A"/>
    <w:rsid w:val="007F6404"/>
    <w:rsid w:val="007F771C"/>
    <w:rsid w:val="007F7BE3"/>
    <w:rsid w:val="008005E8"/>
    <w:rsid w:val="00800692"/>
    <w:rsid w:val="00800D53"/>
    <w:rsid w:val="008018C9"/>
    <w:rsid w:val="008025A7"/>
    <w:rsid w:val="008025FC"/>
    <w:rsid w:val="00802890"/>
    <w:rsid w:val="00802C5E"/>
    <w:rsid w:val="00803A98"/>
    <w:rsid w:val="0080421D"/>
    <w:rsid w:val="0080457D"/>
    <w:rsid w:val="00805065"/>
    <w:rsid w:val="00805D2E"/>
    <w:rsid w:val="00805D75"/>
    <w:rsid w:val="00806D04"/>
    <w:rsid w:val="00806D2A"/>
    <w:rsid w:val="00806E4E"/>
    <w:rsid w:val="0080731E"/>
    <w:rsid w:val="008074C7"/>
    <w:rsid w:val="0080779A"/>
    <w:rsid w:val="00807BBB"/>
    <w:rsid w:val="00810423"/>
    <w:rsid w:val="008106E9"/>
    <w:rsid w:val="00810C05"/>
    <w:rsid w:val="00810C56"/>
    <w:rsid w:val="00811496"/>
    <w:rsid w:val="008124C7"/>
    <w:rsid w:val="008125B2"/>
    <w:rsid w:val="0081295F"/>
    <w:rsid w:val="00812FEE"/>
    <w:rsid w:val="00813390"/>
    <w:rsid w:val="008133D9"/>
    <w:rsid w:val="008137BB"/>
    <w:rsid w:val="0081402B"/>
    <w:rsid w:val="008142FE"/>
    <w:rsid w:val="00814B54"/>
    <w:rsid w:val="008153CE"/>
    <w:rsid w:val="0081544E"/>
    <w:rsid w:val="008167B2"/>
    <w:rsid w:val="00816E74"/>
    <w:rsid w:val="008174F1"/>
    <w:rsid w:val="008177B3"/>
    <w:rsid w:val="00817D49"/>
    <w:rsid w:val="00820579"/>
    <w:rsid w:val="00820C72"/>
    <w:rsid w:val="00820DFB"/>
    <w:rsid w:val="00820EEC"/>
    <w:rsid w:val="00820F7A"/>
    <w:rsid w:val="008218FA"/>
    <w:rsid w:val="00821CD5"/>
    <w:rsid w:val="00821E16"/>
    <w:rsid w:val="008229C1"/>
    <w:rsid w:val="0082372E"/>
    <w:rsid w:val="00823A21"/>
    <w:rsid w:val="00824048"/>
    <w:rsid w:val="008240E8"/>
    <w:rsid w:val="00824559"/>
    <w:rsid w:val="00824808"/>
    <w:rsid w:val="0082491F"/>
    <w:rsid w:val="00824CAA"/>
    <w:rsid w:val="008250A6"/>
    <w:rsid w:val="00825130"/>
    <w:rsid w:val="008251CB"/>
    <w:rsid w:val="0082626E"/>
    <w:rsid w:val="008265F5"/>
    <w:rsid w:val="00826D16"/>
    <w:rsid w:val="00826D8D"/>
    <w:rsid w:val="00827069"/>
    <w:rsid w:val="008273D8"/>
    <w:rsid w:val="00827839"/>
    <w:rsid w:val="00827E15"/>
    <w:rsid w:val="00827E39"/>
    <w:rsid w:val="00827F39"/>
    <w:rsid w:val="00830034"/>
    <w:rsid w:val="00830538"/>
    <w:rsid w:val="00830572"/>
    <w:rsid w:val="00830594"/>
    <w:rsid w:val="00830611"/>
    <w:rsid w:val="00830AA0"/>
    <w:rsid w:val="008312B2"/>
    <w:rsid w:val="0083195B"/>
    <w:rsid w:val="00832A8C"/>
    <w:rsid w:val="00832CC9"/>
    <w:rsid w:val="008330ED"/>
    <w:rsid w:val="00833299"/>
    <w:rsid w:val="00833FC8"/>
    <w:rsid w:val="00834FCB"/>
    <w:rsid w:val="00835144"/>
    <w:rsid w:val="008354FE"/>
    <w:rsid w:val="00835951"/>
    <w:rsid w:val="00835ADF"/>
    <w:rsid w:val="0083655D"/>
    <w:rsid w:val="00836B57"/>
    <w:rsid w:val="008371F9"/>
    <w:rsid w:val="008372E7"/>
    <w:rsid w:val="00840197"/>
    <w:rsid w:val="0084073E"/>
    <w:rsid w:val="008408DE"/>
    <w:rsid w:val="00841470"/>
    <w:rsid w:val="008414A2"/>
    <w:rsid w:val="00841997"/>
    <w:rsid w:val="00842C34"/>
    <w:rsid w:val="00842E2C"/>
    <w:rsid w:val="00843044"/>
    <w:rsid w:val="0084364C"/>
    <w:rsid w:val="00843995"/>
    <w:rsid w:val="008441F7"/>
    <w:rsid w:val="00844255"/>
    <w:rsid w:val="00844757"/>
    <w:rsid w:val="00845412"/>
    <w:rsid w:val="00846832"/>
    <w:rsid w:val="0084720C"/>
    <w:rsid w:val="00847354"/>
    <w:rsid w:val="0084795D"/>
    <w:rsid w:val="00847CF2"/>
    <w:rsid w:val="00847ED2"/>
    <w:rsid w:val="0085005B"/>
    <w:rsid w:val="008507B7"/>
    <w:rsid w:val="00850A0C"/>
    <w:rsid w:val="008512FA"/>
    <w:rsid w:val="00851A0F"/>
    <w:rsid w:val="00851B90"/>
    <w:rsid w:val="008525B1"/>
    <w:rsid w:val="00852BEE"/>
    <w:rsid w:val="00852BFB"/>
    <w:rsid w:val="00853225"/>
    <w:rsid w:val="00853368"/>
    <w:rsid w:val="0085347C"/>
    <w:rsid w:val="0085356E"/>
    <w:rsid w:val="008539C8"/>
    <w:rsid w:val="00854D81"/>
    <w:rsid w:val="00854DE5"/>
    <w:rsid w:val="00855291"/>
    <w:rsid w:val="00855CDF"/>
    <w:rsid w:val="00855DFA"/>
    <w:rsid w:val="00855ECC"/>
    <w:rsid w:val="00855F5A"/>
    <w:rsid w:val="0085623C"/>
    <w:rsid w:val="008572E3"/>
    <w:rsid w:val="00860182"/>
    <w:rsid w:val="008602EE"/>
    <w:rsid w:val="0086036D"/>
    <w:rsid w:val="008604EE"/>
    <w:rsid w:val="00860E8F"/>
    <w:rsid w:val="00861B41"/>
    <w:rsid w:val="0086317A"/>
    <w:rsid w:val="0086357F"/>
    <w:rsid w:val="00863603"/>
    <w:rsid w:val="00863CED"/>
    <w:rsid w:val="00863FCC"/>
    <w:rsid w:val="00864013"/>
    <w:rsid w:val="00864264"/>
    <w:rsid w:val="008642D5"/>
    <w:rsid w:val="00864532"/>
    <w:rsid w:val="008645B9"/>
    <w:rsid w:val="008645FC"/>
    <w:rsid w:val="00866323"/>
    <w:rsid w:val="00866500"/>
    <w:rsid w:val="0086698A"/>
    <w:rsid w:val="008677A5"/>
    <w:rsid w:val="00867C0A"/>
    <w:rsid w:val="00867ED3"/>
    <w:rsid w:val="008707F2"/>
    <w:rsid w:val="00870CD1"/>
    <w:rsid w:val="0087178A"/>
    <w:rsid w:val="008732CE"/>
    <w:rsid w:val="008734C2"/>
    <w:rsid w:val="00873CB6"/>
    <w:rsid w:val="00873F37"/>
    <w:rsid w:val="00874C45"/>
    <w:rsid w:val="00874EB0"/>
    <w:rsid w:val="00875498"/>
    <w:rsid w:val="00875594"/>
    <w:rsid w:val="00875807"/>
    <w:rsid w:val="00875BF2"/>
    <w:rsid w:val="00876185"/>
    <w:rsid w:val="00876222"/>
    <w:rsid w:val="0087677C"/>
    <w:rsid w:val="0087761E"/>
    <w:rsid w:val="008778E9"/>
    <w:rsid w:val="0087793D"/>
    <w:rsid w:val="00877DFF"/>
    <w:rsid w:val="00877E61"/>
    <w:rsid w:val="00880589"/>
    <w:rsid w:val="0088062D"/>
    <w:rsid w:val="00880698"/>
    <w:rsid w:val="008808E0"/>
    <w:rsid w:val="00881789"/>
    <w:rsid w:val="00881B76"/>
    <w:rsid w:val="008823BA"/>
    <w:rsid w:val="00882AE7"/>
    <w:rsid w:val="0088317B"/>
    <w:rsid w:val="00883562"/>
    <w:rsid w:val="0088397B"/>
    <w:rsid w:val="0088435C"/>
    <w:rsid w:val="00884481"/>
    <w:rsid w:val="008844AC"/>
    <w:rsid w:val="0088464F"/>
    <w:rsid w:val="008852C0"/>
    <w:rsid w:val="00885409"/>
    <w:rsid w:val="008855B8"/>
    <w:rsid w:val="00886F17"/>
    <w:rsid w:val="00886F18"/>
    <w:rsid w:val="008873AA"/>
    <w:rsid w:val="0088758C"/>
    <w:rsid w:val="0088771B"/>
    <w:rsid w:val="00887889"/>
    <w:rsid w:val="00890223"/>
    <w:rsid w:val="00890E40"/>
    <w:rsid w:val="00890F0A"/>
    <w:rsid w:val="00891264"/>
    <w:rsid w:val="0089139F"/>
    <w:rsid w:val="008914CA"/>
    <w:rsid w:val="00891E3D"/>
    <w:rsid w:val="00891F86"/>
    <w:rsid w:val="00892037"/>
    <w:rsid w:val="00892868"/>
    <w:rsid w:val="00892907"/>
    <w:rsid w:val="00892E88"/>
    <w:rsid w:val="008930D9"/>
    <w:rsid w:val="00893100"/>
    <w:rsid w:val="00893383"/>
    <w:rsid w:val="008937CF"/>
    <w:rsid w:val="008949A0"/>
    <w:rsid w:val="00895086"/>
    <w:rsid w:val="00895B70"/>
    <w:rsid w:val="00895DCE"/>
    <w:rsid w:val="008966D2"/>
    <w:rsid w:val="008A0060"/>
    <w:rsid w:val="008A0A38"/>
    <w:rsid w:val="008A0D25"/>
    <w:rsid w:val="008A1006"/>
    <w:rsid w:val="008A113D"/>
    <w:rsid w:val="008A1F9C"/>
    <w:rsid w:val="008A27AB"/>
    <w:rsid w:val="008A2E05"/>
    <w:rsid w:val="008A3892"/>
    <w:rsid w:val="008A3DFB"/>
    <w:rsid w:val="008A447B"/>
    <w:rsid w:val="008A448B"/>
    <w:rsid w:val="008A451A"/>
    <w:rsid w:val="008A48C4"/>
    <w:rsid w:val="008A4FD9"/>
    <w:rsid w:val="008A5596"/>
    <w:rsid w:val="008A6294"/>
    <w:rsid w:val="008A6A61"/>
    <w:rsid w:val="008A6C1E"/>
    <w:rsid w:val="008A6ED4"/>
    <w:rsid w:val="008A7069"/>
    <w:rsid w:val="008A748E"/>
    <w:rsid w:val="008A7F30"/>
    <w:rsid w:val="008B03FD"/>
    <w:rsid w:val="008B0AB8"/>
    <w:rsid w:val="008B0AD0"/>
    <w:rsid w:val="008B0EB5"/>
    <w:rsid w:val="008B1B90"/>
    <w:rsid w:val="008B1D7C"/>
    <w:rsid w:val="008B1E15"/>
    <w:rsid w:val="008B2B22"/>
    <w:rsid w:val="008B2FC9"/>
    <w:rsid w:val="008B3019"/>
    <w:rsid w:val="008B33B2"/>
    <w:rsid w:val="008B3721"/>
    <w:rsid w:val="008B4158"/>
    <w:rsid w:val="008B430F"/>
    <w:rsid w:val="008B53F2"/>
    <w:rsid w:val="008B5A6A"/>
    <w:rsid w:val="008B5EE3"/>
    <w:rsid w:val="008B5FF6"/>
    <w:rsid w:val="008B6381"/>
    <w:rsid w:val="008B6410"/>
    <w:rsid w:val="008B689D"/>
    <w:rsid w:val="008B68D7"/>
    <w:rsid w:val="008B6ED3"/>
    <w:rsid w:val="008B6F1D"/>
    <w:rsid w:val="008B70DF"/>
    <w:rsid w:val="008B70E7"/>
    <w:rsid w:val="008B72EB"/>
    <w:rsid w:val="008C00C3"/>
    <w:rsid w:val="008C12D8"/>
    <w:rsid w:val="008C1E9C"/>
    <w:rsid w:val="008C2340"/>
    <w:rsid w:val="008C2BD1"/>
    <w:rsid w:val="008C2FFF"/>
    <w:rsid w:val="008C31E9"/>
    <w:rsid w:val="008C364A"/>
    <w:rsid w:val="008C4A13"/>
    <w:rsid w:val="008C5F3F"/>
    <w:rsid w:val="008C5FE9"/>
    <w:rsid w:val="008C635F"/>
    <w:rsid w:val="008C654A"/>
    <w:rsid w:val="008C6C8C"/>
    <w:rsid w:val="008C77CB"/>
    <w:rsid w:val="008D03B5"/>
    <w:rsid w:val="008D0E8C"/>
    <w:rsid w:val="008D104A"/>
    <w:rsid w:val="008D1490"/>
    <w:rsid w:val="008D1C6E"/>
    <w:rsid w:val="008D1CC1"/>
    <w:rsid w:val="008D2181"/>
    <w:rsid w:val="008D21B3"/>
    <w:rsid w:val="008D2913"/>
    <w:rsid w:val="008D40BB"/>
    <w:rsid w:val="008D4B81"/>
    <w:rsid w:val="008D57CA"/>
    <w:rsid w:val="008D5CF1"/>
    <w:rsid w:val="008D6603"/>
    <w:rsid w:val="008D6D09"/>
    <w:rsid w:val="008D6F1A"/>
    <w:rsid w:val="008D77DD"/>
    <w:rsid w:val="008D780A"/>
    <w:rsid w:val="008D7863"/>
    <w:rsid w:val="008D79B4"/>
    <w:rsid w:val="008D7A32"/>
    <w:rsid w:val="008D7A8E"/>
    <w:rsid w:val="008D7F5A"/>
    <w:rsid w:val="008E07EF"/>
    <w:rsid w:val="008E089A"/>
    <w:rsid w:val="008E0EF1"/>
    <w:rsid w:val="008E133B"/>
    <w:rsid w:val="008E15CE"/>
    <w:rsid w:val="008E191C"/>
    <w:rsid w:val="008E210E"/>
    <w:rsid w:val="008E23A8"/>
    <w:rsid w:val="008E2658"/>
    <w:rsid w:val="008E2DD3"/>
    <w:rsid w:val="008E3D91"/>
    <w:rsid w:val="008E49C0"/>
    <w:rsid w:val="008E4D15"/>
    <w:rsid w:val="008E4E63"/>
    <w:rsid w:val="008E5077"/>
    <w:rsid w:val="008E5B24"/>
    <w:rsid w:val="008E5C5D"/>
    <w:rsid w:val="008E612B"/>
    <w:rsid w:val="008E72F8"/>
    <w:rsid w:val="008E7773"/>
    <w:rsid w:val="008E7C32"/>
    <w:rsid w:val="008F070F"/>
    <w:rsid w:val="008F176F"/>
    <w:rsid w:val="008F2BF4"/>
    <w:rsid w:val="008F2C49"/>
    <w:rsid w:val="008F2F2A"/>
    <w:rsid w:val="008F3302"/>
    <w:rsid w:val="008F3482"/>
    <w:rsid w:val="008F3644"/>
    <w:rsid w:val="008F3712"/>
    <w:rsid w:val="008F387E"/>
    <w:rsid w:val="008F3DAF"/>
    <w:rsid w:val="008F4553"/>
    <w:rsid w:val="008F4DD6"/>
    <w:rsid w:val="008F50BE"/>
    <w:rsid w:val="008F5268"/>
    <w:rsid w:val="008F55DF"/>
    <w:rsid w:val="008F5C68"/>
    <w:rsid w:val="008F5C7F"/>
    <w:rsid w:val="008F6912"/>
    <w:rsid w:val="008F71AD"/>
    <w:rsid w:val="008F77AF"/>
    <w:rsid w:val="008F7D5D"/>
    <w:rsid w:val="009001B7"/>
    <w:rsid w:val="009001F8"/>
    <w:rsid w:val="009004A0"/>
    <w:rsid w:val="0090095A"/>
    <w:rsid w:val="00900AF0"/>
    <w:rsid w:val="00901345"/>
    <w:rsid w:val="0090186F"/>
    <w:rsid w:val="00901BEB"/>
    <w:rsid w:val="00902737"/>
    <w:rsid w:val="009027AB"/>
    <w:rsid w:val="009029E9"/>
    <w:rsid w:val="00902D8E"/>
    <w:rsid w:val="00902E50"/>
    <w:rsid w:val="009032C5"/>
    <w:rsid w:val="0090377C"/>
    <w:rsid w:val="00903B9A"/>
    <w:rsid w:val="00904520"/>
    <w:rsid w:val="00904584"/>
    <w:rsid w:val="00904957"/>
    <w:rsid w:val="00906588"/>
    <w:rsid w:val="00907136"/>
    <w:rsid w:val="009075D9"/>
    <w:rsid w:val="00907B34"/>
    <w:rsid w:val="00907EDA"/>
    <w:rsid w:val="00910177"/>
    <w:rsid w:val="0091112E"/>
    <w:rsid w:val="009117EE"/>
    <w:rsid w:val="00911B09"/>
    <w:rsid w:val="00912047"/>
    <w:rsid w:val="009123EE"/>
    <w:rsid w:val="00912A4E"/>
    <w:rsid w:val="00912AAA"/>
    <w:rsid w:val="0091334C"/>
    <w:rsid w:val="009134BC"/>
    <w:rsid w:val="00914206"/>
    <w:rsid w:val="0091436C"/>
    <w:rsid w:val="00914952"/>
    <w:rsid w:val="00914BA2"/>
    <w:rsid w:val="00914EBA"/>
    <w:rsid w:val="00915088"/>
    <w:rsid w:val="009153A2"/>
    <w:rsid w:val="0091656B"/>
    <w:rsid w:val="00917E4B"/>
    <w:rsid w:val="00920263"/>
    <w:rsid w:val="00920353"/>
    <w:rsid w:val="009208FE"/>
    <w:rsid w:val="00920F73"/>
    <w:rsid w:val="009219EC"/>
    <w:rsid w:val="0092272F"/>
    <w:rsid w:val="009227FD"/>
    <w:rsid w:val="00922CEE"/>
    <w:rsid w:val="00922D1C"/>
    <w:rsid w:val="0092323A"/>
    <w:rsid w:val="0092325C"/>
    <w:rsid w:val="0092382B"/>
    <w:rsid w:val="00923A8C"/>
    <w:rsid w:val="00923F85"/>
    <w:rsid w:val="009255A0"/>
    <w:rsid w:val="009256FA"/>
    <w:rsid w:val="009263C5"/>
    <w:rsid w:val="009271CC"/>
    <w:rsid w:val="00927472"/>
    <w:rsid w:val="00927818"/>
    <w:rsid w:val="00927A93"/>
    <w:rsid w:val="00927AB6"/>
    <w:rsid w:val="00930F3C"/>
    <w:rsid w:val="00931A50"/>
    <w:rsid w:val="00931F80"/>
    <w:rsid w:val="00933233"/>
    <w:rsid w:val="00935A8A"/>
    <w:rsid w:val="009366B0"/>
    <w:rsid w:val="009372B6"/>
    <w:rsid w:val="009372DF"/>
    <w:rsid w:val="00937488"/>
    <w:rsid w:val="0094019D"/>
    <w:rsid w:val="0094050B"/>
    <w:rsid w:val="00940B38"/>
    <w:rsid w:val="0094100C"/>
    <w:rsid w:val="00941650"/>
    <w:rsid w:val="009418CC"/>
    <w:rsid w:val="00941F68"/>
    <w:rsid w:val="009423CA"/>
    <w:rsid w:val="009428AD"/>
    <w:rsid w:val="00942AF7"/>
    <w:rsid w:val="0094391E"/>
    <w:rsid w:val="009442B7"/>
    <w:rsid w:val="00944ACD"/>
    <w:rsid w:val="009453B7"/>
    <w:rsid w:val="00945736"/>
    <w:rsid w:val="0094625C"/>
    <w:rsid w:val="00946D70"/>
    <w:rsid w:val="009478A5"/>
    <w:rsid w:val="0095012A"/>
    <w:rsid w:val="00950C9E"/>
    <w:rsid w:val="00951569"/>
    <w:rsid w:val="00951826"/>
    <w:rsid w:val="00952931"/>
    <w:rsid w:val="00952C21"/>
    <w:rsid w:val="00953A0E"/>
    <w:rsid w:val="00953EBE"/>
    <w:rsid w:val="0095423D"/>
    <w:rsid w:val="00954617"/>
    <w:rsid w:val="00954B24"/>
    <w:rsid w:val="00954B3F"/>
    <w:rsid w:val="00955555"/>
    <w:rsid w:val="00955900"/>
    <w:rsid w:val="009559DE"/>
    <w:rsid w:val="0095783C"/>
    <w:rsid w:val="0096085C"/>
    <w:rsid w:val="00961EF0"/>
    <w:rsid w:val="00962C2C"/>
    <w:rsid w:val="00963326"/>
    <w:rsid w:val="0096378C"/>
    <w:rsid w:val="00963969"/>
    <w:rsid w:val="00963B19"/>
    <w:rsid w:val="009646C5"/>
    <w:rsid w:val="00965241"/>
    <w:rsid w:val="00965529"/>
    <w:rsid w:val="00965602"/>
    <w:rsid w:val="009662D2"/>
    <w:rsid w:val="0096672A"/>
    <w:rsid w:val="00966E47"/>
    <w:rsid w:val="00967AB9"/>
    <w:rsid w:val="009701D9"/>
    <w:rsid w:val="009705D1"/>
    <w:rsid w:val="009706EF"/>
    <w:rsid w:val="00970B6C"/>
    <w:rsid w:val="00970B8C"/>
    <w:rsid w:val="0097188A"/>
    <w:rsid w:val="009718E7"/>
    <w:rsid w:val="00972421"/>
    <w:rsid w:val="009724A5"/>
    <w:rsid w:val="0097279B"/>
    <w:rsid w:val="0097294C"/>
    <w:rsid w:val="00972D63"/>
    <w:rsid w:val="00973143"/>
    <w:rsid w:val="00973217"/>
    <w:rsid w:val="009744E7"/>
    <w:rsid w:val="00974580"/>
    <w:rsid w:val="00974C7E"/>
    <w:rsid w:val="00974E08"/>
    <w:rsid w:val="00974E67"/>
    <w:rsid w:val="00974F77"/>
    <w:rsid w:val="0097510F"/>
    <w:rsid w:val="00975305"/>
    <w:rsid w:val="0097578E"/>
    <w:rsid w:val="009761E6"/>
    <w:rsid w:val="00976ADB"/>
    <w:rsid w:val="009776CC"/>
    <w:rsid w:val="009801EB"/>
    <w:rsid w:val="009818FE"/>
    <w:rsid w:val="00981AD1"/>
    <w:rsid w:val="009821C4"/>
    <w:rsid w:val="00982D8F"/>
    <w:rsid w:val="00983062"/>
    <w:rsid w:val="00983A07"/>
    <w:rsid w:val="00984CA3"/>
    <w:rsid w:val="009855D5"/>
    <w:rsid w:val="0098593D"/>
    <w:rsid w:val="0098627A"/>
    <w:rsid w:val="00986380"/>
    <w:rsid w:val="00986FF8"/>
    <w:rsid w:val="009870F0"/>
    <w:rsid w:val="009871C9"/>
    <w:rsid w:val="009878FA"/>
    <w:rsid w:val="00987A8A"/>
    <w:rsid w:val="00987CEF"/>
    <w:rsid w:val="009905F0"/>
    <w:rsid w:val="00990D0E"/>
    <w:rsid w:val="00991061"/>
    <w:rsid w:val="00991E70"/>
    <w:rsid w:val="00991F8E"/>
    <w:rsid w:val="00991FFF"/>
    <w:rsid w:val="0099204C"/>
    <w:rsid w:val="00992683"/>
    <w:rsid w:val="009937D7"/>
    <w:rsid w:val="00993C6E"/>
    <w:rsid w:val="009944F2"/>
    <w:rsid w:val="009946E1"/>
    <w:rsid w:val="009955EC"/>
    <w:rsid w:val="00995BC9"/>
    <w:rsid w:val="00995DB9"/>
    <w:rsid w:val="0099645E"/>
    <w:rsid w:val="009973DC"/>
    <w:rsid w:val="009975B1"/>
    <w:rsid w:val="00997608"/>
    <w:rsid w:val="00997C07"/>
    <w:rsid w:val="009A0C97"/>
    <w:rsid w:val="009A1405"/>
    <w:rsid w:val="009A150D"/>
    <w:rsid w:val="009A19A6"/>
    <w:rsid w:val="009A20A3"/>
    <w:rsid w:val="009A251F"/>
    <w:rsid w:val="009A2829"/>
    <w:rsid w:val="009A2AD8"/>
    <w:rsid w:val="009A3360"/>
    <w:rsid w:val="009A41E6"/>
    <w:rsid w:val="009A4504"/>
    <w:rsid w:val="009A4796"/>
    <w:rsid w:val="009A4864"/>
    <w:rsid w:val="009A52C4"/>
    <w:rsid w:val="009A56D0"/>
    <w:rsid w:val="009A594C"/>
    <w:rsid w:val="009A641B"/>
    <w:rsid w:val="009A6FDC"/>
    <w:rsid w:val="009A760F"/>
    <w:rsid w:val="009A7D9D"/>
    <w:rsid w:val="009B01A4"/>
    <w:rsid w:val="009B05A1"/>
    <w:rsid w:val="009B1322"/>
    <w:rsid w:val="009B1390"/>
    <w:rsid w:val="009B14C7"/>
    <w:rsid w:val="009B1529"/>
    <w:rsid w:val="009B1D67"/>
    <w:rsid w:val="009B1FE3"/>
    <w:rsid w:val="009B2788"/>
    <w:rsid w:val="009B2957"/>
    <w:rsid w:val="009B36EC"/>
    <w:rsid w:val="009B4236"/>
    <w:rsid w:val="009B5076"/>
    <w:rsid w:val="009B546A"/>
    <w:rsid w:val="009B561B"/>
    <w:rsid w:val="009B58C2"/>
    <w:rsid w:val="009B5A33"/>
    <w:rsid w:val="009B5D29"/>
    <w:rsid w:val="009B5F07"/>
    <w:rsid w:val="009B68A6"/>
    <w:rsid w:val="009B6A9B"/>
    <w:rsid w:val="009B6E88"/>
    <w:rsid w:val="009B728D"/>
    <w:rsid w:val="009C04CD"/>
    <w:rsid w:val="009C15DB"/>
    <w:rsid w:val="009C1C57"/>
    <w:rsid w:val="009C1EB0"/>
    <w:rsid w:val="009C1ECC"/>
    <w:rsid w:val="009C28BA"/>
    <w:rsid w:val="009C2F11"/>
    <w:rsid w:val="009C31AE"/>
    <w:rsid w:val="009C33F5"/>
    <w:rsid w:val="009C549F"/>
    <w:rsid w:val="009C59BC"/>
    <w:rsid w:val="009C60E0"/>
    <w:rsid w:val="009C6395"/>
    <w:rsid w:val="009C6501"/>
    <w:rsid w:val="009C6CF9"/>
    <w:rsid w:val="009C770C"/>
    <w:rsid w:val="009D000F"/>
    <w:rsid w:val="009D0781"/>
    <w:rsid w:val="009D111C"/>
    <w:rsid w:val="009D176D"/>
    <w:rsid w:val="009D17C7"/>
    <w:rsid w:val="009D257C"/>
    <w:rsid w:val="009D2602"/>
    <w:rsid w:val="009D2CDB"/>
    <w:rsid w:val="009D2CF5"/>
    <w:rsid w:val="009D2F81"/>
    <w:rsid w:val="009D3293"/>
    <w:rsid w:val="009D344C"/>
    <w:rsid w:val="009D3F41"/>
    <w:rsid w:val="009D525A"/>
    <w:rsid w:val="009D587E"/>
    <w:rsid w:val="009D58FA"/>
    <w:rsid w:val="009D5B5E"/>
    <w:rsid w:val="009D6556"/>
    <w:rsid w:val="009D6646"/>
    <w:rsid w:val="009D695C"/>
    <w:rsid w:val="009D7BFB"/>
    <w:rsid w:val="009D7CCB"/>
    <w:rsid w:val="009E0FE3"/>
    <w:rsid w:val="009E1637"/>
    <w:rsid w:val="009E1975"/>
    <w:rsid w:val="009E1C71"/>
    <w:rsid w:val="009E25B3"/>
    <w:rsid w:val="009E2632"/>
    <w:rsid w:val="009E2D50"/>
    <w:rsid w:val="009E2D91"/>
    <w:rsid w:val="009E2F2B"/>
    <w:rsid w:val="009E4956"/>
    <w:rsid w:val="009E4E7E"/>
    <w:rsid w:val="009E58BF"/>
    <w:rsid w:val="009E66BC"/>
    <w:rsid w:val="009E6A15"/>
    <w:rsid w:val="009E7606"/>
    <w:rsid w:val="009E79A8"/>
    <w:rsid w:val="009E7E74"/>
    <w:rsid w:val="009F01A3"/>
    <w:rsid w:val="009F0BFF"/>
    <w:rsid w:val="009F0D1B"/>
    <w:rsid w:val="009F0D7A"/>
    <w:rsid w:val="009F1345"/>
    <w:rsid w:val="009F18DF"/>
    <w:rsid w:val="009F1900"/>
    <w:rsid w:val="009F1A0F"/>
    <w:rsid w:val="009F1D16"/>
    <w:rsid w:val="009F2677"/>
    <w:rsid w:val="009F2DF4"/>
    <w:rsid w:val="009F303B"/>
    <w:rsid w:val="009F36A4"/>
    <w:rsid w:val="009F38C2"/>
    <w:rsid w:val="009F3A0F"/>
    <w:rsid w:val="009F3ADA"/>
    <w:rsid w:val="009F440A"/>
    <w:rsid w:val="009F45FF"/>
    <w:rsid w:val="009F49F7"/>
    <w:rsid w:val="009F4F3F"/>
    <w:rsid w:val="009F5990"/>
    <w:rsid w:val="009F5A19"/>
    <w:rsid w:val="009F5CB7"/>
    <w:rsid w:val="009F5DD0"/>
    <w:rsid w:val="009F6263"/>
    <w:rsid w:val="009F63BC"/>
    <w:rsid w:val="009F6595"/>
    <w:rsid w:val="009F6D37"/>
    <w:rsid w:val="009F7551"/>
    <w:rsid w:val="009F7882"/>
    <w:rsid w:val="009F7B1C"/>
    <w:rsid w:val="00A0077E"/>
    <w:rsid w:val="00A0095B"/>
    <w:rsid w:val="00A01884"/>
    <w:rsid w:val="00A01A09"/>
    <w:rsid w:val="00A01CB0"/>
    <w:rsid w:val="00A02370"/>
    <w:rsid w:val="00A023B3"/>
    <w:rsid w:val="00A027EA"/>
    <w:rsid w:val="00A032EB"/>
    <w:rsid w:val="00A034FF"/>
    <w:rsid w:val="00A0379F"/>
    <w:rsid w:val="00A039F6"/>
    <w:rsid w:val="00A03A27"/>
    <w:rsid w:val="00A03AE4"/>
    <w:rsid w:val="00A03BCE"/>
    <w:rsid w:val="00A042C9"/>
    <w:rsid w:val="00A06365"/>
    <w:rsid w:val="00A0656D"/>
    <w:rsid w:val="00A067B1"/>
    <w:rsid w:val="00A06999"/>
    <w:rsid w:val="00A07A5F"/>
    <w:rsid w:val="00A07C9F"/>
    <w:rsid w:val="00A10927"/>
    <w:rsid w:val="00A10A04"/>
    <w:rsid w:val="00A10A43"/>
    <w:rsid w:val="00A10CEB"/>
    <w:rsid w:val="00A11549"/>
    <w:rsid w:val="00A115BA"/>
    <w:rsid w:val="00A11D8D"/>
    <w:rsid w:val="00A126B9"/>
    <w:rsid w:val="00A138E0"/>
    <w:rsid w:val="00A14391"/>
    <w:rsid w:val="00A14D4A"/>
    <w:rsid w:val="00A157B5"/>
    <w:rsid w:val="00A1588A"/>
    <w:rsid w:val="00A160BB"/>
    <w:rsid w:val="00A16187"/>
    <w:rsid w:val="00A166B9"/>
    <w:rsid w:val="00A202B2"/>
    <w:rsid w:val="00A22734"/>
    <w:rsid w:val="00A22B34"/>
    <w:rsid w:val="00A24BE8"/>
    <w:rsid w:val="00A24F22"/>
    <w:rsid w:val="00A25380"/>
    <w:rsid w:val="00A25FD6"/>
    <w:rsid w:val="00A2666E"/>
    <w:rsid w:val="00A26AE1"/>
    <w:rsid w:val="00A26D5A"/>
    <w:rsid w:val="00A27436"/>
    <w:rsid w:val="00A2764B"/>
    <w:rsid w:val="00A300B0"/>
    <w:rsid w:val="00A30607"/>
    <w:rsid w:val="00A30B57"/>
    <w:rsid w:val="00A30C13"/>
    <w:rsid w:val="00A30DC8"/>
    <w:rsid w:val="00A316BD"/>
    <w:rsid w:val="00A31DC2"/>
    <w:rsid w:val="00A322B9"/>
    <w:rsid w:val="00A33378"/>
    <w:rsid w:val="00A3435B"/>
    <w:rsid w:val="00A34405"/>
    <w:rsid w:val="00A3456F"/>
    <w:rsid w:val="00A34999"/>
    <w:rsid w:val="00A34A3B"/>
    <w:rsid w:val="00A35D53"/>
    <w:rsid w:val="00A35E49"/>
    <w:rsid w:val="00A366E3"/>
    <w:rsid w:val="00A3678C"/>
    <w:rsid w:val="00A373B5"/>
    <w:rsid w:val="00A37AB9"/>
    <w:rsid w:val="00A400FE"/>
    <w:rsid w:val="00A402EF"/>
    <w:rsid w:val="00A40562"/>
    <w:rsid w:val="00A40A61"/>
    <w:rsid w:val="00A4147D"/>
    <w:rsid w:val="00A41D1A"/>
    <w:rsid w:val="00A41F2E"/>
    <w:rsid w:val="00A420A5"/>
    <w:rsid w:val="00A42665"/>
    <w:rsid w:val="00A4288E"/>
    <w:rsid w:val="00A43094"/>
    <w:rsid w:val="00A43557"/>
    <w:rsid w:val="00A438DC"/>
    <w:rsid w:val="00A43C91"/>
    <w:rsid w:val="00A43D01"/>
    <w:rsid w:val="00A43D03"/>
    <w:rsid w:val="00A43D75"/>
    <w:rsid w:val="00A44DE7"/>
    <w:rsid w:val="00A457A4"/>
    <w:rsid w:val="00A45D81"/>
    <w:rsid w:val="00A45DF7"/>
    <w:rsid w:val="00A45FBE"/>
    <w:rsid w:val="00A46364"/>
    <w:rsid w:val="00A46835"/>
    <w:rsid w:val="00A5047D"/>
    <w:rsid w:val="00A50AC4"/>
    <w:rsid w:val="00A5115D"/>
    <w:rsid w:val="00A514E8"/>
    <w:rsid w:val="00A51732"/>
    <w:rsid w:val="00A51736"/>
    <w:rsid w:val="00A51D6C"/>
    <w:rsid w:val="00A51EA4"/>
    <w:rsid w:val="00A51ECD"/>
    <w:rsid w:val="00A52147"/>
    <w:rsid w:val="00A522D0"/>
    <w:rsid w:val="00A525B3"/>
    <w:rsid w:val="00A526F8"/>
    <w:rsid w:val="00A527D5"/>
    <w:rsid w:val="00A52D9F"/>
    <w:rsid w:val="00A53F65"/>
    <w:rsid w:val="00A54625"/>
    <w:rsid w:val="00A54B7F"/>
    <w:rsid w:val="00A55189"/>
    <w:rsid w:val="00A5569A"/>
    <w:rsid w:val="00A5589B"/>
    <w:rsid w:val="00A55EB2"/>
    <w:rsid w:val="00A5644B"/>
    <w:rsid w:val="00A56697"/>
    <w:rsid w:val="00A56751"/>
    <w:rsid w:val="00A56901"/>
    <w:rsid w:val="00A57119"/>
    <w:rsid w:val="00A57A91"/>
    <w:rsid w:val="00A57FA3"/>
    <w:rsid w:val="00A60178"/>
    <w:rsid w:val="00A60305"/>
    <w:rsid w:val="00A6053E"/>
    <w:rsid w:val="00A60557"/>
    <w:rsid w:val="00A606BF"/>
    <w:rsid w:val="00A61346"/>
    <w:rsid w:val="00A61485"/>
    <w:rsid w:val="00A616A3"/>
    <w:rsid w:val="00A61934"/>
    <w:rsid w:val="00A632F7"/>
    <w:rsid w:val="00A636C1"/>
    <w:rsid w:val="00A64309"/>
    <w:rsid w:val="00A6442B"/>
    <w:rsid w:val="00A65168"/>
    <w:rsid w:val="00A65508"/>
    <w:rsid w:val="00A65B09"/>
    <w:rsid w:val="00A65F3E"/>
    <w:rsid w:val="00A66021"/>
    <w:rsid w:val="00A6619C"/>
    <w:rsid w:val="00A665BC"/>
    <w:rsid w:val="00A667AA"/>
    <w:rsid w:val="00A66F63"/>
    <w:rsid w:val="00A67CBC"/>
    <w:rsid w:val="00A7041B"/>
    <w:rsid w:val="00A7047B"/>
    <w:rsid w:val="00A70795"/>
    <w:rsid w:val="00A71672"/>
    <w:rsid w:val="00A71710"/>
    <w:rsid w:val="00A71E4D"/>
    <w:rsid w:val="00A72230"/>
    <w:rsid w:val="00A72780"/>
    <w:rsid w:val="00A72F23"/>
    <w:rsid w:val="00A7303D"/>
    <w:rsid w:val="00A73B11"/>
    <w:rsid w:val="00A75916"/>
    <w:rsid w:val="00A75EAC"/>
    <w:rsid w:val="00A7648C"/>
    <w:rsid w:val="00A76602"/>
    <w:rsid w:val="00A76AA6"/>
    <w:rsid w:val="00A76CCE"/>
    <w:rsid w:val="00A770F1"/>
    <w:rsid w:val="00A77311"/>
    <w:rsid w:val="00A7779C"/>
    <w:rsid w:val="00A77C56"/>
    <w:rsid w:val="00A80000"/>
    <w:rsid w:val="00A80D37"/>
    <w:rsid w:val="00A81F5A"/>
    <w:rsid w:val="00A829A0"/>
    <w:rsid w:val="00A833ED"/>
    <w:rsid w:val="00A8384A"/>
    <w:rsid w:val="00A83D31"/>
    <w:rsid w:val="00A84725"/>
    <w:rsid w:val="00A850A3"/>
    <w:rsid w:val="00A85253"/>
    <w:rsid w:val="00A853A2"/>
    <w:rsid w:val="00A8548D"/>
    <w:rsid w:val="00A8579B"/>
    <w:rsid w:val="00A85808"/>
    <w:rsid w:val="00A8618F"/>
    <w:rsid w:val="00A86383"/>
    <w:rsid w:val="00A86576"/>
    <w:rsid w:val="00A86ED5"/>
    <w:rsid w:val="00A86F6A"/>
    <w:rsid w:val="00A87313"/>
    <w:rsid w:val="00A87B0D"/>
    <w:rsid w:val="00A90064"/>
    <w:rsid w:val="00A902D6"/>
    <w:rsid w:val="00A90963"/>
    <w:rsid w:val="00A91337"/>
    <w:rsid w:val="00A915DB"/>
    <w:rsid w:val="00A927D0"/>
    <w:rsid w:val="00A92BB8"/>
    <w:rsid w:val="00A92F98"/>
    <w:rsid w:val="00A93FBC"/>
    <w:rsid w:val="00A94071"/>
    <w:rsid w:val="00A9483B"/>
    <w:rsid w:val="00A94BAF"/>
    <w:rsid w:val="00A9577B"/>
    <w:rsid w:val="00A969E0"/>
    <w:rsid w:val="00A96A8A"/>
    <w:rsid w:val="00A975B4"/>
    <w:rsid w:val="00A97657"/>
    <w:rsid w:val="00A97A3F"/>
    <w:rsid w:val="00A97A44"/>
    <w:rsid w:val="00A97EA0"/>
    <w:rsid w:val="00AA16DD"/>
    <w:rsid w:val="00AA3181"/>
    <w:rsid w:val="00AA3292"/>
    <w:rsid w:val="00AA43F0"/>
    <w:rsid w:val="00AA4C55"/>
    <w:rsid w:val="00AA5381"/>
    <w:rsid w:val="00AA570F"/>
    <w:rsid w:val="00AA70A2"/>
    <w:rsid w:val="00AA7675"/>
    <w:rsid w:val="00AA7847"/>
    <w:rsid w:val="00AA784A"/>
    <w:rsid w:val="00AA7882"/>
    <w:rsid w:val="00AB02ED"/>
    <w:rsid w:val="00AB0CCD"/>
    <w:rsid w:val="00AB175C"/>
    <w:rsid w:val="00AB2883"/>
    <w:rsid w:val="00AB2A54"/>
    <w:rsid w:val="00AB2D21"/>
    <w:rsid w:val="00AB30D9"/>
    <w:rsid w:val="00AB3B57"/>
    <w:rsid w:val="00AB40CB"/>
    <w:rsid w:val="00AB418C"/>
    <w:rsid w:val="00AB41F6"/>
    <w:rsid w:val="00AB4A6D"/>
    <w:rsid w:val="00AB4BC9"/>
    <w:rsid w:val="00AB5824"/>
    <w:rsid w:val="00AB5AB3"/>
    <w:rsid w:val="00AB5DE9"/>
    <w:rsid w:val="00AC03A6"/>
    <w:rsid w:val="00AC044C"/>
    <w:rsid w:val="00AC0574"/>
    <w:rsid w:val="00AC0E14"/>
    <w:rsid w:val="00AC1C2E"/>
    <w:rsid w:val="00AC1DA8"/>
    <w:rsid w:val="00AC29E5"/>
    <w:rsid w:val="00AC2A37"/>
    <w:rsid w:val="00AC2B92"/>
    <w:rsid w:val="00AC2BAB"/>
    <w:rsid w:val="00AC2D68"/>
    <w:rsid w:val="00AC34D2"/>
    <w:rsid w:val="00AC3BD8"/>
    <w:rsid w:val="00AC4FA5"/>
    <w:rsid w:val="00AC5127"/>
    <w:rsid w:val="00AC5799"/>
    <w:rsid w:val="00AC59D5"/>
    <w:rsid w:val="00AC61BB"/>
    <w:rsid w:val="00AC6205"/>
    <w:rsid w:val="00AC67E7"/>
    <w:rsid w:val="00AC7064"/>
    <w:rsid w:val="00AC7AC5"/>
    <w:rsid w:val="00AC7E63"/>
    <w:rsid w:val="00AC7E89"/>
    <w:rsid w:val="00AC7F5A"/>
    <w:rsid w:val="00AD0101"/>
    <w:rsid w:val="00AD0F5C"/>
    <w:rsid w:val="00AD169B"/>
    <w:rsid w:val="00AD1FF9"/>
    <w:rsid w:val="00AD2E12"/>
    <w:rsid w:val="00AD32B6"/>
    <w:rsid w:val="00AD385F"/>
    <w:rsid w:val="00AD387A"/>
    <w:rsid w:val="00AD3A39"/>
    <w:rsid w:val="00AD3DB9"/>
    <w:rsid w:val="00AD3EF7"/>
    <w:rsid w:val="00AD4213"/>
    <w:rsid w:val="00AD58EF"/>
    <w:rsid w:val="00AD5EE0"/>
    <w:rsid w:val="00AD689E"/>
    <w:rsid w:val="00AD7A1A"/>
    <w:rsid w:val="00AE0474"/>
    <w:rsid w:val="00AE04D1"/>
    <w:rsid w:val="00AE0EF4"/>
    <w:rsid w:val="00AE135A"/>
    <w:rsid w:val="00AE1922"/>
    <w:rsid w:val="00AE1E5A"/>
    <w:rsid w:val="00AE213D"/>
    <w:rsid w:val="00AE2193"/>
    <w:rsid w:val="00AE2A2D"/>
    <w:rsid w:val="00AE3F17"/>
    <w:rsid w:val="00AE411B"/>
    <w:rsid w:val="00AE4176"/>
    <w:rsid w:val="00AE42B6"/>
    <w:rsid w:val="00AE454A"/>
    <w:rsid w:val="00AE4678"/>
    <w:rsid w:val="00AE4A18"/>
    <w:rsid w:val="00AE5B27"/>
    <w:rsid w:val="00AE5CF9"/>
    <w:rsid w:val="00AE69B7"/>
    <w:rsid w:val="00AE72A3"/>
    <w:rsid w:val="00AE74B3"/>
    <w:rsid w:val="00AF012E"/>
    <w:rsid w:val="00AF01B6"/>
    <w:rsid w:val="00AF0367"/>
    <w:rsid w:val="00AF0B17"/>
    <w:rsid w:val="00AF157E"/>
    <w:rsid w:val="00AF1CC7"/>
    <w:rsid w:val="00AF1DD4"/>
    <w:rsid w:val="00AF2540"/>
    <w:rsid w:val="00AF2D34"/>
    <w:rsid w:val="00AF374E"/>
    <w:rsid w:val="00AF3835"/>
    <w:rsid w:val="00AF43AE"/>
    <w:rsid w:val="00AF43DA"/>
    <w:rsid w:val="00AF4554"/>
    <w:rsid w:val="00AF4BCF"/>
    <w:rsid w:val="00AF4FCB"/>
    <w:rsid w:val="00AF5E3C"/>
    <w:rsid w:val="00AF5FCE"/>
    <w:rsid w:val="00AF70DC"/>
    <w:rsid w:val="00AF73BE"/>
    <w:rsid w:val="00AF7AE0"/>
    <w:rsid w:val="00B002DB"/>
    <w:rsid w:val="00B002E4"/>
    <w:rsid w:val="00B00430"/>
    <w:rsid w:val="00B016AA"/>
    <w:rsid w:val="00B019A3"/>
    <w:rsid w:val="00B01AEB"/>
    <w:rsid w:val="00B02563"/>
    <w:rsid w:val="00B03252"/>
    <w:rsid w:val="00B0398E"/>
    <w:rsid w:val="00B042B0"/>
    <w:rsid w:val="00B04452"/>
    <w:rsid w:val="00B04994"/>
    <w:rsid w:val="00B05EF4"/>
    <w:rsid w:val="00B06792"/>
    <w:rsid w:val="00B067FF"/>
    <w:rsid w:val="00B06B52"/>
    <w:rsid w:val="00B06D96"/>
    <w:rsid w:val="00B10094"/>
    <w:rsid w:val="00B1024F"/>
    <w:rsid w:val="00B1044C"/>
    <w:rsid w:val="00B107A5"/>
    <w:rsid w:val="00B1084E"/>
    <w:rsid w:val="00B10D48"/>
    <w:rsid w:val="00B11073"/>
    <w:rsid w:val="00B11147"/>
    <w:rsid w:val="00B116FC"/>
    <w:rsid w:val="00B11E05"/>
    <w:rsid w:val="00B123E5"/>
    <w:rsid w:val="00B13277"/>
    <w:rsid w:val="00B13D71"/>
    <w:rsid w:val="00B13EF7"/>
    <w:rsid w:val="00B145BA"/>
    <w:rsid w:val="00B14C16"/>
    <w:rsid w:val="00B15444"/>
    <w:rsid w:val="00B15511"/>
    <w:rsid w:val="00B1598D"/>
    <w:rsid w:val="00B16585"/>
    <w:rsid w:val="00B16AF7"/>
    <w:rsid w:val="00B16B78"/>
    <w:rsid w:val="00B16C9E"/>
    <w:rsid w:val="00B16DFE"/>
    <w:rsid w:val="00B1712D"/>
    <w:rsid w:val="00B175DC"/>
    <w:rsid w:val="00B1772E"/>
    <w:rsid w:val="00B1787C"/>
    <w:rsid w:val="00B17904"/>
    <w:rsid w:val="00B2045A"/>
    <w:rsid w:val="00B20527"/>
    <w:rsid w:val="00B2082B"/>
    <w:rsid w:val="00B20872"/>
    <w:rsid w:val="00B20901"/>
    <w:rsid w:val="00B21C7C"/>
    <w:rsid w:val="00B2328E"/>
    <w:rsid w:val="00B24358"/>
    <w:rsid w:val="00B25145"/>
    <w:rsid w:val="00B25597"/>
    <w:rsid w:val="00B25A6C"/>
    <w:rsid w:val="00B26324"/>
    <w:rsid w:val="00B26DF6"/>
    <w:rsid w:val="00B274E4"/>
    <w:rsid w:val="00B27938"/>
    <w:rsid w:val="00B27DB4"/>
    <w:rsid w:val="00B306D2"/>
    <w:rsid w:val="00B30A18"/>
    <w:rsid w:val="00B31A90"/>
    <w:rsid w:val="00B31D30"/>
    <w:rsid w:val="00B322F6"/>
    <w:rsid w:val="00B3248D"/>
    <w:rsid w:val="00B326B6"/>
    <w:rsid w:val="00B328FA"/>
    <w:rsid w:val="00B333A8"/>
    <w:rsid w:val="00B33D0C"/>
    <w:rsid w:val="00B34991"/>
    <w:rsid w:val="00B349AC"/>
    <w:rsid w:val="00B34B8D"/>
    <w:rsid w:val="00B351E1"/>
    <w:rsid w:val="00B364B3"/>
    <w:rsid w:val="00B36C68"/>
    <w:rsid w:val="00B3714E"/>
    <w:rsid w:val="00B37883"/>
    <w:rsid w:val="00B41D45"/>
    <w:rsid w:val="00B42A7C"/>
    <w:rsid w:val="00B42C04"/>
    <w:rsid w:val="00B430A4"/>
    <w:rsid w:val="00B43B4B"/>
    <w:rsid w:val="00B43DF3"/>
    <w:rsid w:val="00B443E7"/>
    <w:rsid w:val="00B44E71"/>
    <w:rsid w:val="00B451D2"/>
    <w:rsid w:val="00B45219"/>
    <w:rsid w:val="00B4545A"/>
    <w:rsid w:val="00B45552"/>
    <w:rsid w:val="00B46DD7"/>
    <w:rsid w:val="00B475B2"/>
    <w:rsid w:val="00B5043F"/>
    <w:rsid w:val="00B504B5"/>
    <w:rsid w:val="00B5192A"/>
    <w:rsid w:val="00B5194C"/>
    <w:rsid w:val="00B51C6B"/>
    <w:rsid w:val="00B520E1"/>
    <w:rsid w:val="00B52F64"/>
    <w:rsid w:val="00B5310F"/>
    <w:rsid w:val="00B5315B"/>
    <w:rsid w:val="00B5380E"/>
    <w:rsid w:val="00B53D35"/>
    <w:rsid w:val="00B54232"/>
    <w:rsid w:val="00B54321"/>
    <w:rsid w:val="00B54DC6"/>
    <w:rsid w:val="00B554F1"/>
    <w:rsid w:val="00B55886"/>
    <w:rsid w:val="00B55A08"/>
    <w:rsid w:val="00B55F2F"/>
    <w:rsid w:val="00B560F8"/>
    <w:rsid w:val="00B5640F"/>
    <w:rsid w:val="00B56E4C"/>
    <w:rsid w:val="00B570D8"/>
    <w:rsid w:val="00B57905"/>
    <w:rsid w:val="00B57977"/>
    <w:rsid w:val="00B600A2"/>
    <w:rsid w:val="00B609E2"/>
    <w:rsid w:val="00B60B84"/>
    <w:rsid w:val="00B61798"/>
    <w:rsid w:val="00B6215F"/>
    <w:rsid w:val="00B626B5"/>
    <w:rsid w:val="00B6282A"/>
    <w:rsid w:val="00B62A6E"/>
    <w:rsid w:val="00B62E8B"/>
    <w:rsid w:val="00B6320F"/>
    <w:rsid w:val="00B63499"/>
    <w:rsid w:val="00B635E3"/>
    <w:rsid w:val="00B6403A"/>
    <w:rsid w:val="00B641F6"/>
    <w:rsid w:val="00B64264"/>
    <w:rsid w:val="00B64327"/>
    <w:rsid w:val="00B6452E"/>
    <w:rsid w:val="00B6472E"/>
    <w:rsid w:val="00B650C4"/>
    <w:rsid w:val="00B6535B"/>
    <w:rsid w:val="00B66477"/>
    <w:rsid w:val="00B67F4B"/>
    <w:rsid w:val="00B70074"/>
    <w:rsid w:val="00B710FD"/>
    <w:rsid w:val="00B71446"/>
    <w:rsid w:val="00B714EF"/>
    <w:rsid w:val="00B719DB"/>
    <w:rsid w:val="00B72774"/>
    <w:rsid w:val="00B748B1"/>
    <w:rsid w:val="00B74D2B"/>
    <w:rsid w:val="00B750E2"/>
    <w:rsid w:val="00B75D4F"/>
    <w:rsid w:val="00B7627B"/>
    <w:rsid w:val="00B76561"/>
    <w:rsid w:val="00B76C64"/>
    <w:rsid w:val="00B773A0"/>
    <w:rsid w:val="00B77413"/>
    <w:rsid w:val="00B778B2"/>
    <w:rsid w:val="00B80325"/>
    <w:rsid w:val="00B803DA"/>
    <w:rsid w:val="00B80A3F"/>
    <w:rsid w:val="00B80B0E"/>
    <w:rsid w:val="00B814F4"/>
    <w:rsid w:val="00B8167E"/>
    <w:rsid w:val="00B8194B"/>
    <w:rsid w:val="00B81A65"/>
    <w:rsid w:val="00B81B6D"/>
    <w:rsid w:val="00B82375"/>
    <w:rsid w:val="00B82CB5"/>
    <w:rsid w:val="00B82E87"/>
    <w:rsid w:val="00B82EEA"/>
    <w:rsid w:val="00B831EF"/>
    <w:rsid w:val="00B837EA"/>
    <w:rsid w:val="00B8382C"/>
    <w:rsid w:val="00B83E6F"/>
    <w:rsid w:val="00B84335"/>
    <w:rsid w:val="00B84892"/>
    <w:rsid w:val="00B8583A"/>
    <w:rsid w:val="00B85893"/>
    <w:rsid w:val="00B86EF1"/>
    <w:rsid w:val="00B879A0"/>
    <w:rsid w:val="00B87EC9"/>
    <w:rsid w:val="00B9001B"/>
    <w:rsid w:val="00B90089"/>
    <w:rsid w:val="00B90649"/>
    <w:rsid w:val="00B907FA"/>
    <w:rsid w:val="00B91066"/>
    <w:rsid w:val="00B916CC"/>
    <w:rsid w:val="00B91918"/>
    <w:rsid w:val="00B91B6A"/>
    <w:rsid w:val="00B92060"/>
    <w:rsid w:val="00B94B2A"/>
    <w:rsid w:val="00B9533C"/>
    <w:rsid w:val="00B954F6"/>
    <w:rsid w:val="00B96E7D"/>
    <w:rsid w:val="00BA0121"/>
    <w:rsid w:val="00BA0687"/>
    <w:rsid w:val="00BA0C04"/>
    <w:rsid w:val="00BA133B"/>
    <w:rsid w:val="00BA18B5"/>
    <w:rsid w:val="00BA291D"/>
    <w:rsid w:val="00BA2F08"/>
    <w:rsid w:val="00BA31DE"/>
    <w:rsid w:val="00BA3404"/>
    <w:rsid w:val="00BA4258"/>
    <w:rsid w:val="00BA4486"/>
    <w:rsid w:val="00BA44B6"/>
    <w:rsid w:val="00BA4DF4"/>
    <w:rsid w:val="00BA4F0F"/>
    <w:rsid w:val="00BA501C"/>
    <w:rsid w:val="00BA51D4"/>
    <w:rsid w:val="00BA563F"/>
    <w:rsid w:val="00BA607B"/>
    <w:rsid w:val="00BA60DC"/>
    <w:rsid w:val="00BA69B5"/>
    <w:rsid w:val="00BA7DAA"/>
    <w:rsid w:val="00BA7E99"/>
    <w:rsid w:val="00BB06B1"/>
    <w:rsid w:val="00BB0883"/>
    <w:rsid w:val="00BB0C1F"/>
    <w:rsid w:val="00BB1FF3"/>
    <w:rsid w:val="00BB2E2B"/>
    <w:rsid w:val="00BB3013"/>
    <w:rsid w:val="00BB3752"/>
    <w:rsid w:val="00BB412D"/>
    <w:rsid w:val="00BB52BA"/>
    <w:rsid w:val="00BB6CA7"/>
    <w:rsid w:val="00BB6F44"/>
    <w:rsid w:val="00BB71BA"/>
    <w:rsid w:val="00BC0256"/>
    <w:rsid w:val="00BC0347"/>
    <w:rsid w:val="00BC088A"/>
    <w:rsid w:val="00BC1719"/>
    <w:rsid w:val="00BC18B8"/>
    <w:rsid w:val="00BC1906"/>
    <w:rsid w:val="00BC2081"/>
    <w:rsid w:val="00BC291E"/>
    <w:rsid w:val="00BC2FA3"/>
    <w:rsid w:val="00BC31FE"/>
    <w:rsid w:val="00BC36A9"/>
    <w:rsid w:val="00BC3A40"/>
    <w:rsid w:val="00BC3C36"/>
    <w:rsid w:val="00BC4315"/>
    <w:rsid w:val="00BC4624"/>
    <w:rsid w:val="00BC5111"/>
    <w:rsid w:val="00BC64AA"/>
    <w:rsid w:val="00BC68CF"/>
    <w:rsid w:val="00BC6CE2"/>
    <w:rsid w:val="00BC75EA"/>
    <w:rsid w:val="00BC7E84"/>
    <w:rsid w:val="00BC7FBA"/>
    <w:rsid w:val="00BC7FBC"/>
    <w:rsid w:val="00BD02FD"/>
    <w:rsid w:val="00BD12A3"/>
    <w:rsid w:val="00BD1A78"/>
    <w:rsid w:val="00BD1C8A"/>
    <w:rsid w:val="00BD2B4B"/>
    <w:rsid w:val="00BD2F55"/>
    <w:rsid w:val="00BD3591"/>
    <w:rsid w:val="00BD36F7"/>
    <w:rsid w:val="00BD3BBC"/>
    <w:rsid w:val="00BD3BBD"/>
    <w:rsid w:val="00BD43F0"/>
    <w:rsid w:val="00BD44AA"/>
    <w:rsid w:val="00BD45E9"/>
    <w:rsid w:val="00BD4894"/>
    <w:rsid w:val="00BD4B36"/>
    <w:rsid w:val="00BD4FB9"/>
    <w:rsid w:val="00BD6218"/>
    <w:rsid w:val="00BD659D"/>
    <w:rsid w:val="00BD689F"/>
    <w:rsid w:val="00BD6DC8"/>
    <w:rsid w:val="00BD73C9"/>
    <w:rsid w:val="00BD758C"/>
    <w:rsid w:val="00BE042E"/>
    <w:rsid w:val="00BE07E4"/>
    <w:rsid w:val="00BE08F8"/>
    <w:rsid w:val="00BE0B86"/>
    <w:rsid w:val="00BE0F88"/>
    <w:rsid w:val="00BE143D"/>
    <w:rsid w:val="00BE14FC"/>
    <w:rsid w:val="00BE1746"/>
    <w:rsid w:val="00BE250A"/>
    <w:rsid w:val="00BE2992"/>
    <w:rsid w:val="00BE2AC3"/>
    <w:rsid w:val="00BE2B98"/>
    <w:rsid w:val="00BE2DB2"/>
    <w:rsid w:val="00BE31CB"/>
    <w:rsid w:val="00BE346A"/>
    <w:rsid w:val="00BE3844"/>
    <w:rsid w:val="00BE4191"/>
    <w:rsid w:val="00BE436D"/>
    <w:rsid w:val="00BE4986"/>
    <w:rsid w:val="00BE5A88"/>
    <w:rsid w:val="00BE5C55"/>
    <w:rsid w:val="00BE65E3"/>
    <w:rsid w:val="00BE6F73"/>
    <w:rsid w:val="00BE706C"/>
    <w:rsid w:val="00BE73B1"/>
    <w:rsid w:val="00BE7A2B"/>
    <w:rsid w:val="00BE7BB5"/>
    <w:rsid w:val="00BF06B3"/>
    <w:rsid w:val="00BF071A"/>
    <w:rsid w:val="00BF0AF7"/>
    <w:rsid w:val="00BF13EF"/>
    <w:rsid w:val="00BF15BF"/>
    <w:rsid w:val="00BF17C6"/>
    <w:rsid w:val="00BF246E"/>
    <w:rsid w:val="00BF2A0F"/>
    <w:rsid w:val="00BF2CCD"/>
    <w:rsid w:val="00BF37EF"/>
    <w:rsid w:val="00BF3A6E"/>
    <w:rsid w:val="00BF3FDF"/>
    <w:rsid w:val="00BF43ED"/>
    <w:rsid w:val="00BF4784"/>
    <w:rsid w:val="00BF58E5"/>
    <w:rsid w:val="00BF5AB5"/>
    <w:rsid w:val="00BF7A38"/>
    <w:rsid w:val="00C00F6D"/>
    <w:rsid w:val="00C014BB"/>
    <w:rsid w:val="00C01966"/>
    <w:rsid w:val="00C01C2A"/>
    <w:rsid w:val="00C01FB4"/>
    <w:rsid w:val="00C02507"/>
    <w:rsid w:val="00C0288C"/>
    <w:rsid w:val="00C031E5"/>
    <w:rsid w:val="00C03873"/>
    <w:rsid w:val="00C03A5F"/>
    <w:rsid w:val="00C044F3"/>
    <w:rsid w:val="00C04CF4"/>
    <w:rsid w:val="00C04E80"/>
    <w:rsid w:val="00C0548D"/>
    <w:rsid w:val="00C05B2E"/>
    <w:rsid w:val="00C079C5"/>
    <w:rsid w:val="00C07DFF"/>
    <w:rsid w:val="00C1048C"/>
    <w:rsid w:val="00C10614"/>
    <w:rsid w:val="00C1069F"/>
    <w:rsid w:val="00C1211A"/>
    <w:rsid w:val="00C1299F"/>
    <w:rsid w:val="00C130E7"/>
    <w:rsid w:val="00C13E80"/>
    <w:rsid w:val="00C13FBF"/>
    <w:rsid w:val="00C144AB"/>
    <w:rsid w:val="00C14688"/>
    <w:rsid w:val="00C1479E"/>
    <w:rsid w:val="00C14922"/>
    <w:rsid w:val="00C16FB2"/>
    <w:rsid w:val="00C1704F"/>
    <w:rsid w:val="00C172BD"/>
    <w:rsid w:val="00C178AA"/>
    <w:rsid w:val="00C17F75"/>
    <w:rsid w:val="00C2060F"/>
    <w:rsid w:val="00C20C62"/>
    <w:rsid w:val="00C21035"/>
    <w:rsid w:val="00C2135E"/>
    <w:rsid w:val="00C21C67"/>
    <w:rsid w:val="00C21C9A"/>
    <w:rsid w:val="00C21DEA"/>
    <w:rsid w:val="00C21F74"/>
    <w:rsid w:val="00C221C9"/>
    <w:rsid w:val="00C224E1"/>
    <w:rsid w:val="00C2282F"/>
    <w:rsid w:val="00C22C88"/>
    <w:rsid w:val="00C232F7"/>
    <w:rsid w:val="00C23483"/>
    <w:rsid w:val="00C2353C"/>
    <w:rsid w:val="00C23BA5"/>
    <w:rsid w:val="00C23CE0"/>
    <w:rsid w:val="00C23E4D"/>
    <w:rsid w:val="00C2410A"/>
    <w:rsid w:val="00C249AD"/>
    <w:rsid w:val="00C24C65"/>
    <w:rsid w:val="00C2555B"/>
    <w:rsid w:val="00C256A1"/>
    <w:rsid w:val="00C25A6B"/>
    <w:rsid w:val="00C25B5B"/>
    <w:rsid w:val="00C25C47"/>
    <w:rsid w:val="00C26965"/>
    <w:rsid w:val="00C26C00"/>
    <w:rsid w:val="00C26F48"/>
    <w:rsid w:val="00C2724A"/>
    <w:rsid w:val="00C27715"/>
    <w:rsid w:val="00C27A62"/>
    <w:rsid w:val="00C27F39"/>
    <w:rsid w:val="00C30285"/>
    <w:rsid w:val="00C30507"/>
    <w:rsid w:val="00C3106B"/>
    <w:rsid w:val="00C315B8"/>
    <w:rsid w:val="00C338C6"/>
    <w:rsid w:val="00C33F3F"/>
    <w:rsid w:val="00C3424B"/>
    <w:rsid w:val="00C342CF"/>
    <w:rsid w:val="00C345FE"/>
    <w:rsid w:val="00C35F3C"/>
    <w:rsid w:val="00C3629C"/>
    <w:rsid w:val="00C367E5"/>
    <w:rsid w:val="00C36A2F"/>
    <w:rsid w:val="00C376C5"/>
    <w:rsid w:val="00C3787C"/>
    <w:rsid w:val="00C37E1A"/>
    <w:rsid w:val="00C37EF0"/>
    <w:rsid w:val="00C37FC8"/>
    <w:rsid w:val="00C40E7A"/>
    <w:rsid w:val="00C412CE"/>
    <w:rsid w:val="00C41E3C"/>
    <w:rsid w:val="00C41F7E"/>
    <w:rsid w:val="00C41FEE"/>
    <w:rsid w:val="00C44752"/>
    <w:rsid w:val="00C44A47"/>
    <w:rsid w:val="00C44A8D"/>
    <w:rsid w:val="00C44D46"/>
    <w:rsid w:val="00C44D9C"/>
    <w:rsid w:val="00C4535B"/>
    <w:rsid w:val="00C45C9A"/>
    <w:rsid w:val="00C46792"/>
    <w:rsid w:val="00C4745D"/>
    <w:rsid w:val="00C47C2D"/>
    <w:rsid w:val="00C516B1"/>
    <w:rsid w:val="00C519B8"/>
    <w:rsid w:val="00C51CC8"/>
    <w:rsid w:val="00C52E3D"/>
    <w:rsid w:val="00C541B7"/>
    <w:rsid w:val="00C5447A"/>
    <w:rsid w:val="00C54CB3"/>
    <w:rsid w:val="00C54D56"/>
    <w:rsid w:val="00C551B1"/>
    <w:rsid w:val="00C556B8"/>
    <w:rsid w:val="00C556E9"/>
    <w:rsid w:val="00C55A5D"/>
    <w:rsid w:val="00C55B64"/>
    <w:rsid w:val="00C5610B"/>
    <w:rsid w:val="00C562B8"/>
    <w:rsid w:val="00C568C0"/>
    <w:rsid w:val="00C56A00"/>
    <w:rsid w:val="00C56BA2"/>
    <w:rsid w:val="00C56CC9"/>
    <w:rsid w:val="00C5719E"/>
    <w:rsid w:val="00C572A2"/>
    <w:rsid w:val="00C577A0"/>
    <w:rsid w:val="00C5782F"/>
    <w:rsid w:val="00C57986"/>
    <w:rsid w:val="00C57D56"/>
    <w:rsid w:val="00C57DBF"/>
    <w:rsid w:val="00C57F25"/>
    <w:rsid w:val="00C60060"/>
    <w:rsid w:val="00C60101"/>
    <w:rsid w:val="00C605D0"/>
    <w:rsid w:val="00C6180E"/>
    <w:rsid w:val="00C619C4"/>
    <w:rsid w:val="00C61B41"/>
    <w:rsid w:val="00C62898"/>
    <w:rsid w:val="00C62D78"/>
    <w:rsid w:val="00C633B4"/>
    <w:rsid w:val="00C6367E"/>
    <w:rsid w:val="00C6375D"/>
    <w:rsid w:val="00C656C6"/>
    <w:rsid w:val="00C658EE"/>
    <w:rsid w:val="00C65BD4"/>
    <w:rsid w:val="00C66A0F"/>
    <w:rsid w:val="00C66BF0"/>
    <w:rsid w:val="00C66D00"/>
    <w:rsid w:val="00C670B2"/>
    <w:rsid w:val="00C670DD"/>
    <w:rsid w:val="00C674D3"/>
    <w:rsid w:val="00C675AE"/>
    <w:rsid w:val="00C67837"/>
    <w:rsid w:val="00C67C35"/>
    <w:rsid w:val="00C67E2A"/>
    <w:rsid w:val="00C67F25"/>
    <w:rsid w:val="00C7019C"/>
    <w:rsid w:val="00C70ED3"/>
    <w:rsid w:val="00C72407"/>
    <w:rsid w:val="00C72FCA"/>
    <w:rsid w:val="00C747B7"/>
    <w:rsid w:val="00C748AF"/>
    <w:rsid w:val="00C748DA"/>
    <w:rsid w:val="00C75131"/>
    <w:rsid w:val="00C75411"/>
    <w:rsid w:val="00C764A9"/>
    <w:rsid w:val="00C76510"/>
    <w:rsid w:val="00C77F91"/>
    <w:rsid w:val="00C802BB"/>
    <w:rsid w:val="00C8045D"/>
    <w:rsid w:val="00C814D8"/>
    <w:rsid w:val="00C814DE"/>
    <w:rsid w:val="00C8238C"/>
    <w:rsid w:val="00C8248F"/>
    <w:rsid w:val="00C82916"/>
    <w:rsid w:val="00C82ADC"/>
    <w:rsid w:val="00C830C5"/>
    <w:rsid w:val="00C838CD"/>
    <w:rsid w:val="00C847B4"/>
    <w:rsid w:val="00C84A3E"/>
    <w:rsid w:val="00C852F3"/>
    <w:rsid w:val="00C85383"/>
    <w:rsid w:val="00C857D9"/>
    <w:rsid w:val="00C85C37"/>
    <w:rsid w:val="00C86622"/>
    <w:rsid w:val="00C867B6"/>
    <w:rsid w:val="00C86A1A"/>
    <w:rsid w:val="00C9036F"/>
    <w:rsid w:val="00C90429"/>
    <w:rsid w:val="00C90886"/>
    <w:rsid w:val="00C90F58"/>
    <w:rsid w:val="00C91555"/>
    <w:rsid w:val="00C91669"/>
    <w:rsid w:val="00C921B5"/>
    <w:rsid w:val="00C921E9"/>
    <w:rsid w:val="00C92595"/>
    <w:rsid w:val="00C929B7"/>
    <w:rsid w:val="00C92AA8"/>
    <w:rsid w:val="00C930A6"/>
    <w:rsid w:val="00C932C0"/>
    <w:rsid w:val="00C9345E"/>
    <w:rsid w:val="00C938DA"/>
    <w:rsid w:val="00C939F7"/>
    <w:rsid w:val="00C93AC5"/>
    <w:rsid w:val="00C93FA5"/>
    <w:rsid w:val="00C94A15"/>
    <w:rsid w:val="00C94EA1"/>
    <w:rsid w:val="00C951A4"/>
    <w:rsid w:val="00C95424"/>
    <w:rsid w:val="00C95C0B"/>
    <w:rsid w:val="00C95C85"/>
    <w:rsid w:val="00C9667A"/>
    <w:rsid w:val="00C97267"/>
    <w:rsid w:val="00C979B8"/>
    <w:rsid w:val="00C97B46"/>
    <w:rsid w:val="00C97CD7"/>
    <w:rsid w:val="00CA0B9A"/>
    <w:rsid w:val="00CA100C"/>
    <w:rsid w:val="00CA106A"/>
    <w:rsid w:val="00CA134E"/>
    <w:rsid w:val="00CA177A"/>
    <w:rsid w:val="00CA1AD5"/>
    <w:rsid w:val="00CA208C"/>
    <w:rsid w:val="00CA3678"/>
    <w:rsid w:val="00CA40CB"/>
    <w:rsid w:val="00CA44ED"/>
    <w:rsid w:val="00CA45A7"/>
    <w:rsid w:val="00CA46D6"/>
    <w:rsid w:val="00CA5123"/>
    <w:rsid w:val="00CA5CBB"/>
    <w:rsid w:val="00CA5E5B"/>
    <w:rsid w:val="00CA60E9"/>
    <w:rsid w:val="00CA696C"/>
    <w:rsid w:val="00CA6CD2"/>
    <w:rsid w:val="00CA6FCA"/>
    <w:rsid w:val="00CA73AE"/>
    <w:rsid w:val="00CB00FC"/>
    <w:rsid w:val="00CB0CA0"/>
    <w:rsid w:val="00CB14EC"/>
    <w:rsid w:val="00CB16B4"/>
    <w:rsid w:val="00CB17C6"/>
    <w:rsid w:val="00CB18BE"/>
    <w:rsid w:val="00CB246D"/>
    <w:rsid w:val="00CB268D"/>
    <w:rsid w:val="00CB2B5E"/>
    <w:rsid w:val="00CB2FB1"/>
    <w:rsid w:val="00CB31E9"/>
    <w:rsid w:val="00CB44E0"/>
    <w:rsid w:val="00CB5D65"/>
    <w:rsid w:val="00CB5FD7"/>
    <w:rsid w:val="00CB605E"/>
    <w:rsid w:val="00CB6486"/>
    <w:rsid w:val="00CB657A"/>
    <w:rsid w:val="00CB6788"/>
    <w:rsid w:val="00CC04C9"/>
    <w:rsid w:val="00CC051E"/>
    <w:rsid w:val="00CC0A22"/>
    <w:rsid w:val="00CC0BC0"/>
    <w:rsid w:val="00CC0E25"/>
    <w:rsid w:val="00CC193E"/>
    <w:rsid w:val="00CC23A8"/>
    <w:rsid w:val="00CC28EC"/>
    <w:rsid w:val="00CC2D6E"/>
    <w:rsid w:val="00CC4134"/>
    <w:rsid w:val="00CC46C6"/>
    <w:rsid w:val="00CC4A16"/>
    <w:rsid w:val="00CC56CE"/>
    <w:rsid w:val="00CC5A0E"/>
    <w:rsid w:val="00CC661D"/>
    <w:rsid w:val="00CC6944"/>
    <w:rsid w:val="00CC6A38"/>
    <w:rsid w:val="00CC6DF7"/>
    <w:rsid w:val="00CC7041"/>
    <w:rsid w:val="00CC7A5E"/>
    <w:rsid w:val="00CD07D2"/>
    <w:rsid w:val="00CD0CB1"/>
    <w:rsid w:val="00CD1C56"/>
    <w:rsid w:val="00CD2095"/>
    <w:rsid w:val="00CD252A"/>
    <w:rsid w:val="00CD2A82"/>
    <w:rsid w:val="00CD30B7"/>
    <w:rsid w:val="00CD3593"/>
    <w:rsid w:val="00CD37F3"/>
    <w:rsid w:val="00CD3956"/>
    <w:rsid w:val="00CD3BC3"/>
    <w:rsid w:val="00CD3DE4"/>
    <w:rsid w:val="00CD5AEF"/>
    <w:rsid w:val="00CD5E90"/>
    <w:rsid w:val="00CD628F"/>
    <w:rsid w:val="00CD6463"/>
    <w:rsid w:val="00CD6A9A"/>
    <w:rsid w:val="00CD7676"/>
    <w:rsid w:val="00CD77DD"/>
    <w:rsid w:val="00CE0659"/>
    <w:rsid w:val="00CE08EB"/>
    <w:rsid w:val="00CE1320"/>
    <w:rsid w:val="00CE18F4"/>
    <w:rsid w:val="00CE1963"/>
    <w:rsid w:val="00CE1C47"/>
    <w:rsid w:val="00CE1F8A"/>
    <w:rsid w:val="00CE543C"/>
    <w:rsid w:val="00CE5A2B"/>
    <w:rsid w:val="00CE655C"/>
    <w:rsid w:val="00CE6D0F"/>
    <w:rsid w:val="00CE721C"/>
    <w:rsid w:val="00CF078E"/>
    <w:rsid w:val="00CF12B4"/>
    <w:rsid w:val="00CF14BB"/>
    <w:rsid w:val="00CF1F6D"/>
    <w:rsid w:val="00CF1FF3"/>
    <w:rsid w:val="00CF2621"/>
    <w:rsid w:val="00CF3561"/>
    <w:rsid w:val="00CF3BF7"/>
    <w:rsid w:val="00CF41D5"/>
    <w:rsid w:val="00CF4FCA"/>
    <w:rsid w:val="00CF55C0"/>
    <w:rsid w:val="00CF567C"/>
    <w:rsid w:val="00CF5AB8"/>
    <w:rsid w:val="00CF5C41"/>
    <w:rsid w:val="00CF5E22"/>
    <w:rsid w:val="00CF622D"/>
    <w:rsid w:val="00CF6523"/>
    <w:rsid w:val="00CF6ACC"/>
    <w:rsid w:val="00CF6FCB"/>
    <w:rsid w:val="00CF7263"/>
    <w:rsid w:val="00CF77D5"/>
    <w:rsid w:val="00D00969"/>
    <w:rsid w:val="00D00CCC"/>
    <w:rsid w:val="00D02367"/>
    <w:rsid w:val="00D027BE"/>
    <w:rsid w:val="00D02A91"/>
    <w:rsid w:val="00D02BC7"/>
    <w:rsid w:val="00D03184"/>
    <w:rsid w:val="00D04423"/>
    <w:rsid w:val="00D04EFE"/>
    <w:rsid w:val="00D055D9"/>
    <w:rsid w:val="00D059BE"/>
    <w:rsid w:val="00D05F40"/>
    <w:rsid w:val="00D062B3"/>
    <w:rsid w:val="00D06F51"/>
    <w:rsid w:val="00D1001A"/>
    <w:rsid w:val="00D102F2"/>
    <w:rsid w:val="00D103E7"/>
    <w:rsid w:val="00D10518"/>
    <w:rsid w:val="00D10DA2"/>
    <w:rsid w:val="00D113C6"/>
    <w:rsid w:val="00D128A7"/>
    <w:rsid w:val="00D129C1"/>
    <w:rsid w:val="00D138BE"/>
    <w:rsid w:val="00D145F9"/>
    <w:rsid w:val="00D14706"/>
    <w:rsid w:val="00D15172"/>
    <w:rsid w:val="00D16017"/>
    <w:rsid w:val="00D162C0"/>
    <w:rsid w:val="00D172BF"/>
    <w:rsid w:val="00D17B73"/>
    <w:rsid w:val="00D17C37"/>
    <w:rsid w:val="00D208E6"/>
    <w:rsid w:val="00D20C6F"/>
    <w:rsid w:val="00D20D22"/>
    <w:rsid w:val="00D20EC5"/>
    <w:rsid w:val="00D21B7B"/>
    <w:rsid w:val="00D220DD"/>
    <w:rsid w:val="00D222FC"/>
    <w:rsid w:val="00D22653"/>
    <w:rsid w:val="00D22C7E"/>
    <w:rsid w:val="00D231D0"/>
    <w:rsid w:val="00D23287"/>
    <w:rsid w:val="00D2336E"/>
    <w:rsid w:val="00D237DF"/>
    <w:rsid w:val="00D23A80"/>
    <w:rsid w:val="00D23A89"/>
    <w:rsid w:val="00D23B57"/>
    <w:rsid w:val="00D24EDE"/>
    <w:rsid w:val="00D253B8"/>
    <w:rsid w:val="00D25F35"/>
    <w:rsid w:val="00D268FE"/>
    <w:rsid w:val="00D26C5A"/>
    <w:rsid w:val="00D27611"/>
    <w:rsid w:val="00D277EE"/>
    <w:rsid w:val="00D307C1"/>
    <w:rsid w:val="00D31299"/>
    <w:rsid w:val="00D31371"/>
    <w:rsid w:val="00D31EAC"/>
    <w:rsid w:val="00D321C3"/>
    <w:rsid w:val="00D327C0"/>
    <w:rsid w:val="00D33EA9"/>
    <w:rsid w:val="00D345E5"/>
    <w:rsid w:val="00D34B0F"/>
    <w:rsid w:val="00D3515F"/>
    <w:rsid w:val="00D35551"/>
    <w:rsid w:val="00D35819"/>
    <w:rsid w:val="00D368DE"/>
    <w:rsid w:val="00D36B08"/>
    <w:rsid w:val="00D36F38"/>
    <w:rsid w:val="00D3728A"/>
    <w:rsid w:val="00D3765D"/>
    <w:rsid w:val="00D4091C"/>
    <w:rsid w:val="00D40E4C"/>
    <w:rsid w:val="00D4102B"/>
    <w:rsid w:val="00D41C5A"/>
    <w:rsid w:val="00D42091"/>
    <w:rsid w:val="00D42B65"/>
    <w:rsid w:val="00D431A2"/>
    <w:rsid w:val="00D4380E"/>
    <w:rsid w:val="00D44238"/>
    <w:rsid w:val="00D44A1D"/>
    <w:rsid w:val="00D44B4E"/>
    <w:rsid w:val="00D478AB"/>
    <w:rsid w:val="00D50162"/>
    <w:rsid w:val="00D50438"/>
    <w:rsid w:val="00D5089C"/>
    <w:rsid w:val="00D50B9C"/>
    <w:rsid w:val="00D51140"/>
    <w:rsid w:val="00D5119B"/>
    <w:rsid w:val="00D52951"/>
    <w:rsid w:val="00D52961"/>
    <w:rsid w:val="00D52BD8"/>
    <w:rsid w:val="00D52D00"/>
    <w:rsid w:val="00D53D3A"/>
    <w:rsid w:val="00D54090"/>
    <w:rsid w:val="00D551EC"/>
    <w:rsid w:val="00D558B1"/>
    <w:rsid w:val="00D57F87"/>
    <w:rsid w:val="00D60136"/>
    <w:rsid w:val="00D60DF6"/>
    <w:rsid w:val="00D62133"/>
    <w:rsid w:val="00D6229B"/>
    <w:rsid w:val="00D622DF"/>
    <w:rsid w:val="00D63CE1"/>
    <w:rsid w:val="00D640F4"/>
    <w:rsid w:val="00D64290"/>
    <w:rsid w:val="00D6483C"/>
    <w:rsid w:val="00D64A19"/>
    <w:rsid w:val="00D64D1E"/>
    <w:rsid w:val="00D650A0"/>
    <w:rsid w:val="00D65752"/>
    <w:rsid w:val="00D6604F"/>
    <w:rsid w:val="00D662EA"/>
    <w:rsid w:val="00D665E4"/>
    <w:rsid w:val="00D667D0"/>
    <w:rsid w:val="00D66C3F"/>
    <w:rsid w:val="00D66D61"/>
    <w:rsid w:val="00D6732B"/>
    <w:rsid w:val="00D67B7B"/>
    <w:rsid w:val="00D7063C"/>
    <w:rsid w:val="00D70A14"/>
    <w:rsid w:val="00D72521"/>
    <w:rsid w:val="00D72567"/>
    <w:rsid w:val="00D7259D"/>
    <w:rsid w:val="00D72C3E"/>
    <w:rsid w:val="00D736C0"/>
    <w:rsid w:val="00D73799"/>
    <w:rsid w:val="00D74A1C"/>
    <w:rsid w:val="00D75301"/>
    <w:rsid w:val="00D75559"/>
    <w:rsid w:val="00D756C0"/>
    <w:rsid w:val="00D75D45"/>
    <w:rsid w:val="00D75D62"/>
    <w:rsid w:val="00D75E75"/>
    <w:rsid w:val="00D77EF6"/>
    <w:rsid w:val="00D77F79"/>
    <w:rsid w:val="00D77FF6"/>
    <w:rsid w:val="00D8036C"/>
    <w:rsid w:val="00D80B1E"/>
    <w:rsid w:val="00D81101"/>
    <w:rsid w:val="00D8162B"/>
    <w:rsid w:val="00D816CC"/>
    <w:rsid w:val="00D81910"/>
    <w:rsid w:val="00D81BB5"/>
    <w:rsid w:val="00D82628"/>
    <w:rsid w:val="00D828B6"/>
    <w:rsid w:val="00D82DE7"/>
    <w:rsid w:val="00D82F11"/>
    <w:rsid w:val="00D83B41"/>
    <w:rsid w:val="00D83B7D"/>
    <w:rsid w:val="00D83C41"/>
    <w:rsid w:val="00D841F1"/>
    <w:rsid w:val="00D84306"/>
    <w:rsid w:val="00D84865"/>
    <w:rsid w:val="00D85933"/>
    <w:rsid w:val="00D85A57"/>
    <w:rsid w:val="00D85A9E"/>
    <w:rsid w:val="00D85E32"/>
    <w:rsid w:val="00D86157"/>
    <w:rsid w:val="00D86619"/>
    <w:rsid w:val="00D86BE3"/>
    <w:rsid w:val="00D86DB5"/>
    <w:rsid w:val="00D907B7"/>
    <w:rsid w:val="00D91567"/>
    <w:rsid w:val="00D91AA3"/>
    <w:rsid w:val="00D9243B"/>
    <w:rsid w:val="00D924D0"/>
    <w:rsid w:val="00D92514"/>
    <w:rsid w:val="00D9347D"/>
    <w:rsid w:val="00D935A4"/>
    <w:rsid w:val="00D93680"/>
    <w:rsid w:val="00D945A3"/>
    <w:rsid w:val="00D94710"/>
    <w:rsid w:val="00D947A0"/>
    <w:rsid w:val="00D94E9F"/>
    <w:rsid w:val="00D951D1"/>
    <w:rsid w:val="00D95BB4"/>
    <w:rsid w:val="00D95C53"/>
    <w:rsid w:val="00D9659C"/>
    <w:rsid w:val="00D965FD"/>
    <w:rsid w:val="00D96792"/>
    <w:rsid w:val="00D97580"/>
    <w:rsid w:val="00D97791"/>
    <w:rsid w:val="00DA047C"/>
    <w:rsid w:val="00DA12A6"/>
    <w:rsid w:val="00DA12C1"/>
    <w:rsid w:val="00DA183A"/>
    <w:rsid w:val="00DA1CF7"/>
    <w:rsid w:val="00DA2047"/>
    <w:rsid w:val="00DA2576"/>
    <w:rsid w:val="00DA2710"/>
    <w:rsid w:val="00DA33FE"/>
    <w:rsid w:val="00DA343F"/>
    <w:rsid w:val="00DA3A7C"/>
    <w:rsid w:val="00DA3EF9"/>
    <w:rsid w:val="00DA43F9"/>
    <w:rsid w:val="00DA4687"/>
    <w:rsid w:val="00DA46A5"/>
    <w:rsid w:val="00DA485F"/>
    <w:rsid w:val="00DA48C5"/>
    <w:rsid w:val="00DA4929"/>
    <w:rsid w:val="00DA4B14"/>
    <w:rsid w:val="00DA4E48"/>
    <w:rsid w:val="00DA50DD"/>
    <w:rsid w:val="00DA5CAC"/>
    <w:rsid w:val="00DB0091"/>
    <w:rsid w:val="00DB064C"/>
    <w:rsid w:val="00DB077C"/>
    <w:rsid w:val="00DB0B94"/>
    <w:rsid w:val="00DB134A"/>
    <w:rsid w:val="00DB1A71"/>
    <w:rsid w:val="00DB3ABD"/>
    <w:rsid w:val="00DB3B87"/>
    <w:rsid w:val="00DB3D46"/>
    <w:rsid w:val="00DB3DD8"/>
    <w:rsid w:val="00DB43F8"/>
    <w:rsid w:val="00DB44C6"/>
    <w:rsid w:val="00DB47E0"/>
    <w:rsid w:val="00DB4907"/>
    <w:rsid w:val="00DB4A07"/>
    <w:rsid w:val="00DB5589"/>
    <w:rsid w:val="00DB6525"/>
    <w:rsid w:val="00DB6E4D"/>
    <w:rsid w:val="00DB7E79"/>
    <w:rsid w:val="00DC047B"/>
    <w:rsid w:val="00DC0F23"/>
    <w:rsid w:val="00DC0F3B"/>
    <w:rsid w:val="00DC13A6"/>
    <w:rsid w:val="00DC16CD"/>
    <w:rsid w:val="00DC2D37"/>
    <w:rsid w:val="00DC31E6"/>
    <w:rsid w:val="00DC3B65"/>
    <w:rsid w:val="00DC3EA6"/>
    <w:rsid w:val="00DC3FBD"/>
    <w:rsid w:val="00DC4494"/>
    <w:rsid w:val="00DC4DF3"/>
    <w:rsid w:val="00DC4F43"/>
    <w:rsid w:val="00DC523A"/>
    <w:rsid w:val="00DC57F0"/>
    <w:rsid w:val="00DC5D96"/>
    <w:rsid w:val="00DC6545"/>
    <w:rsid w:val="00DC678D"/>
    <w:rsid w:val="00DC6AD2"/>
    <w:rsid w:val="00DC6B05"/>
    <w:rsid w:val="00DD003C"/>
    <w:rsid w:val="00DD0381"/>
    <w:rsid w:val="00DD0DB1"/>
    <w:rsid w:val="00DD0E12"/>
    <w:rsid w:val="00DD0EBF"/>
    <w:rsid w:val="00DD1238"/>
    <w:rsid w:val="00DD1338"/>
    <w:rsid w:val="00DD1363"/>
    <w:rsid w:val="00DD1826"/>
    <w:rsid w:val="00DD2385"/>
    <w:rsid w:val="00DD3F44"/>
    <w:rsid w:val="00DD43DF"/>
    <w:rsid w:val="00DD540F"/>
    <w:rsid w:val="00DD54F1"/>
    <w:rsid w:val="00DD657C"/>
    <w:rsid w:val="00DD6B8A"/>
    <w:rsid w:val="00DD7406"/>
    <w:rsid w:val="00DD788C"/>
    <w:rsid w:val="00DD7AC6"/>
    <w:rsid w:val="00DE0224"/>
    <w:rsid w:val="00DE0232"/>
    <w:rsid w:val="00DE139B"/>
    <w:rsid w:val="00DE14BD"/>
    <w:rsid w:val="00DE2686"/>
    <w:rsid w:val="00DE2A8B"/>
    <w:rsid w:val="00DE2E8C"/>
    <w:rsid w:val="00DE48D5"/>
    <w:rsid w:val="00DE504F"/>
    <w:rsid w:val="00DE552A"/>
    <w:rsid w:val="00DE59D8"/>
    <w:rsid w:val="00DE5B91"/>
    <w:rsid w:val="00DE6FE2"/>
    <w:rsid w:val="00DE7347"/>
    <w:rsid w:val="00DE78A2"/>
    <w:rsid w:val="00DF062D"/>
    <w:rsid w:val="00DF0657"/>
    <w:rsid w:val="00DF0AB4"/>
    <w:rsid w:val="00DF1BD9"/>
    <w:rsid w:val="00DF1D09"/>
    <w:rsid w:val="00DF1F17"/>
    <w:rsid w:val="00DF28C2"/>
    <w:rsid w:val="00DF2BD5"/>
    <w:rsid w:val="00DF3942"/>
    <w:rsid w:val="00DF3AD1"/>
    <w:rsid w:val="00DF42F5"/>
    <w:rsid w:val="00DF4CDD"/>
    <w:rsid w:val="00DF5235"/>
    <w:rsid w:val="00DF52C9"/>
    <w:rsid w:val="00DF576B"/>
    <w:rsid w:val="00DF5855"/>
    <w:rsid w:val="00DF61C8"/>
    <w:rsid w:val="00DF6589"/>
    <w:rsid w:val="00DF6888"/>
    <w:rsid w:val="00DF72DF"/>
    <w:rsid w:val="00DF775D"/>
    <w:rsid w:val="00DF7FA5"/>
    <w:rsid w:val="00E0051B"/>
    <w:rsid w:val="00E02654"/>
    <w:rsid w:val="00E028ED"/>
    <w:rsid w:val="00E033C8"/>
    <w:rsid w:val="00E03419"/>
    <w:rsid w:val="00E03B52"/>
    <w:rsid w:val="00E04295"/>
    <w:rsid w:val="00E048EE"/>
    <w:rsid w:val="00E049CC"/>
    <w:rsid w:val="00E04D69"/>
    <w:rsid w:val="00E04EAB"/>
    <w:rsid w:val="00E0552B"/>
    <w:rsid w:val="00E05909"/>
    <w:rsid w:val="00E05EC4"/>
    <w:rsid w:val="00E07716"/>
    <w:rsid w:val="00E07E02"/>
    <w:rsid w:val="00E10051"/>
    <w:rsid w:val="00E10134"/>
    <w:rsid w:val="00E106E9"/>
    <w:rsid w:val="00E108C5"/>
    <w:rsid w:val="00E10D17"/>
    <w:rsid w:val="00E10DB2"/>
    <w:rsid w:val="00E10DDA"/>
    <w:rsid w:val="00E12321"/>
    <w:rsid w:val="00E12378"/>
    <w:rsid w:val="00E12555"/>
    <w:rsid w:val="00E1289D"/>
    <w:rsid w:val="00E1327E"/>
    <w:rsid w:val="00E13AD0"/>
    <w:rsid w:val="00E13F56"/>
    <w:rsid w:val="00E1411B"/>
    <w:rsid w:val="00E14729"/>
    <w:rsid w:val="00E147DF"/>
    <w:rsid w:val="00E14C27"/>
    <w:rsid w:val="00E154AA"/>
    <w:rsid w:val="00E156CD"/>
    <w:rsid w:val="00E15FBA"/>
    <w:rsid w:val="00E160CA"/>
    <w:rsid w:val="00E16363"/>
    <w:rsid w:val="00E16DF9"/>
    <w:rsid w:val="00E17101"/>
    <w:rsid w:val="00E174A6"/>
    <w:rsid w:val="00E1784C"/>
    <w:rsid w:val="00E2020E"/>
    <w:rsid w:val="00E20E50"/>
    <w:rsid w:val="00E21073"/>
    <w:rsid w:val="00E2107C"/>
    <w:rsid w:val="00E21536"/>
    <w:rsid w:val="00E21A35"/>
    <w:rsid w:val="00E21A53"/>
    <w:rsid w:val="00E22513"/>
    <w:rsid w:val="00E24054"/>
    <w:rsid w:val="00E24544"/>
    <w:rsid w:val="00E24ABD"/>
    <w:rsid w:val="00E24DA1"/>
    <w:rsid w:val="00E254BE"/>
    <w:rsid w:val="00E25932"/>
    <w:rsid w:val="00E262FE"/>
    <w:rsid w:val="00E2641C"/>
    <w:rsid w:val="00E26EE8"/>
    <w:rsid w:val="00E26F1D"/>
    <w:rsid w:val="00E26F4D"/>
    <w:rsid w:val="00E26FC6"/>
    <w:rsid w:val="00E2789F"/>
    <w:rsid w:val="00E27FCD"/>
    <w:rsid w:val="00E322BA"/>
    <w:rsid w:val="00E33011"/>
    <w:rsid w:val="00E33B4A"/>
    <w:rsid w:val="00E33FF8"/>
    <w:rsid w:val="00E344C8"/>
    <w:rsid w:val="00E3450D"/>
    <w:rsid w:val="00E34A51"/>
    <w:rsid w:val="00E350C5"/>
    <w:rsid w:val="00E35264"/>
    <w:rsid w:val="00E35591"/>
    <w:rsid w:val="00E35650"/>
    <w:rsid w:val="00E35881"/>
    <w:rsid w:val="00E3664C"/>
    <w:rsid w:val="00E36A47"/>
    <w:rsid w:val="00E36D9E"/>
    <w:rsid w:val="00E370A6"/>
    <w:rsid w:val="00E37243"/>
    <w:rsid w:val="00E37604"/>
    <w:rsid w:val="00E37C6B"/>
    <w:rsid w:val="00E40593"/>
    <w:rsid w:val="00E40D8F"/>
    <w:rsid w:val="00E40DC5"/>
    <w:rsid w:val="00E411E4"/>
    <w:rsid w:val="00E4179C"/>
    <w:rsid w:val="00E41982"/>
    <w:rsid w:val="00E41C1F"/>
    <w:rsid w:val="00E41CB7"/>
    <w:rsid w:val="00E41F49"/>
    <w:rsid w:val="00E423B7"/>
    <w:rsid w:val="00E42D6E"/>
    <w:rsid w:val="00E430C5"/>
    <w:rsid w:val="00E430C9"/>
    <w:rsid w:val="00E430D0"/>
    <w:rsid w:val="00E4336E"/>
    <w:rsid w:val="00E4348D"/>
    <w:rsid w:val="00E43720"/>
    <w:rsid w:val="00E437EE"/>
    <w:rsid w:val="00E44334"/>
    <w:rsid w:val="00E44356"/>
    <w:rsid w:val="00E444D0"/>
    <w:rsid w:val="00E44A43"/>
    <w:rsid w:val="00E44DE7"/>
    <w:rsid w:val="00E44EBF"/>
    <w:rsid w:val="00E45A5F"/>
    <w:rsid w:val="00E45F1D"/>
    <w:rsid w:val="00E461D3"/>
    <w:rsid w:val="00E46510"/>
    <w:rsid w:val="00E465AB"/>
    <w:rsid w:val="00E46854"/>
    <w:rsid w:val="00E46BB9"/>
    <w:rsid w:val="00E473E5"/>
    <w:rsid w:val="00E473ED"/>
    <w:rsid w:val="00E5025A"/>
    <w:rsid w:val="00E51309"/>
    <w:rsid w:val="00E515E4"/>
    <w:rsid w:val="00E515F0"/>
    <w:rsid w:val="00E51A81"/>
    <w:rsid w:val="00E51B45"/>
    <w:rsid w:val="00E51E0F"/>
    <w:rsid w:val="00E52C00"/>
    <w:rsid w:val="00E534EF"/>
    <w:rsid w:val="00E535BA"/>
    <w:rsid w:val="00E5373C"/>
    <w:rsid w:val="00E53CD1"/>
    <w:rsid w:val="00E53D60"/>
    <w:rsid w:val="00E53E9F"/>
    <w:rsid w:val="00E542D7"/>
    <w:rsid w:val="00E54EEB"/>
    <w:rsid w:val="00E550D1"/>
    <w:rsid w:val="00E55C7E"/>
    <w:rsid w:val="00E55C96"/>
    <w:rsid w:val="00E55F9D"/>
    <w:rsid w:val="00E561D8"/>
    <w:rsid w:val="00E5644D"/>
    <w:rsid w:val="00E60725"/>
    <w:rsid w:val="00E609F8"/>
    <w:rsid w:val="00E60C90"/>
    <w:rsid w:val="00E60D2B"/>
    <w:rsid w:val="00E60F5C"/>
    <w:rsid w:val="00E611D9"/>
    <w:rsid w:val="00E6254A"/>
    <w:rsid w:val="00E63FFE"/>
    <w:rsid w:val="00E64A85"/>
    <w:rsid w:val="00E64B65"/>
    <w:rsid w:val="00E65353"/>
    <w:rsid w:val="00E65758"/>
    <w:rsid w:val="00E661C3"/>
    <w:rsid w:val="00E66700"/>
    <w:rsid w:val="00E66D96"/>
    <w:rsid w:val="00E670B2"/>
    <w:rsid w:val="00E672D2"/>
    <w:rsid w:val="00E679F9"/>
    <w:rsid w:val="00E67D1B"/>
    <w:rsid w:val="00E704C2"/>
    <w:rsid w:val="00E707DC"/>
    <w:rsid w:val="00E70824"/>
    <w:rsid w:val="00E70B76"/>
    <w:rsid w:val="00E71041"/>
    <w:rsid w:val="00E7108B"/>
    <w:rsid w:val="00E71548"/>
    <w:rsid w:val="00E71A16"/>
    <w:rsid w:val="00E73868"/>
    <w:rsid w:val="00E73EC8"/>
    <w:rsid w:val="00E74294"/>
    <w:rsid w:val="00E74724"/>
    <w:rsid w:val="00E74ADB"/>
    <w:rsid w:val="00E7531B"/>
    <w:rsid w:val="00E755D1"/>
    <w:rsid w:val="00E75C7C"/>
    <w:rsid w:val="00E75CF6"/>
    <w:rsid w:val="00E76686"/>
    <w:rsid w:val="00E766F1"/>
    <w:rsid w:val="00E7676F"/>
    <w:rsid w:val="00E771C9"/>
    <w:rsid w:val="00E77248"/>
    <w:rsid w:val="00E77349"/>
    <w:rsid w:val="00E77359"/>
    <w:rsid w:val="00E77DE6"/>
    <w:rsid w:val="00E77F89"/>
    <w:rsid w:val="00E8091B"/>
    <w:rsid w:val="00E80A12"/>
    <w:rsid w:val="00E80FB9"/>
    <w:rsid w:val="00E815AC"/>
    <w:rsid w:val="00E8218A"/>
    <w:rsid w:val="00E82253"/>
    <w:rsid w:val="00E82A14"/>
    <w:rsid w:val="00E8310D"/>
    <w:rsid w:val="00E84AE5"/>
    <w:rsid w:val="00E84CED"/>
    <w:rsid w:val="00E85EC0"/>
    <w:rsid w:val="00E86C0B"/>
    <w:rsid w:val="00E86D9E"/>
    <w:rsid w:val="00E874A5"/>
    <w:rsid w:val="00E87B27"/>
    <w:rsid w:val="00E90175"/>
    <w:rsid w:val="00E90518"/>
    <w:rsid w:val="00E9087D"/>
    <w:rsid w:val="00E9169C"/>
    <w:rsid w:val="00E91900"/>
    <w:rsid w:val="00E91A56"/>
    <w:rsid w:val="00E924B5"/>
    <w:rsid w:val="00E92976"/>
    <w:rsid w:val="00E92982"/>
    <w:rsid w:val="00E92A1B"/>
    <w:rsid w:val="00E92C78"/>
    <w:rsid w:val="00E933A6"/>
    <w:rsid w:val="00E93426"/>
    <w:rsid w:val="00E9361C"/>
    <w:rsid w:val="00E940DE"/>
    <w:rsid w:val="00E94641"/>
    <w:rsid w:val="00E94B30"/>
    <w:rsid w:val="00E94D28"/>
    <w:rsid w:val="00E96E2D"/>
    <w:rsid w:val="00E9732D"/>
    <w:rsid w:val="00E97406"/>
    <w:rsid w:val="00E975FD"/>
    <w:rsid w:val="00E97B20"/>
    <w:rsid w:val="00EA02DE"/>
    <w:rsid w:val="00EA0DDD"/>
    <w:rsid w:val="00EA1095"/>
    <w:rsid w:val="00EA114C"/>
    <w:rsid w:val="00EA141D"/>
    <w:rsid w:val="00EA1969"/>
    <w:rsid w:val="00EA1A4B"/>
    <w:rsid w:val="00EA224C"/>
    <w:rsid w:val="00EA2AE6"/>
    <w:rsid w:val="00EA2DB6"/>
    <w:rsid w:val="00EA38EC"/>
    <w:rsid w:val="00EA43C6"/>
    <w:rsid w:val="00EA4A60"/>
    <w:rsid w:val="00EA4BF4"/>
    <w:rsid w:val="00EA4D30"/>
    <w:rsid w:val="00EA5136"/>
    <w:rsid w:val="00EA5402"/>
    <w:rsid w:val="00EA555F"/>
    <w:rsid w:val="00EA55B2"/>
    <w:rsid w:val="00EA5E00"/>
    <w:rsid w:val="00EA5E3F"/>
    <w:rsid w:val="00EA688E"/>
    <w:rsid w:val="00EA7690"/>
    <w:rsid w:val="00EA7D5A"/>
    <w:rsid w:val="00EB09FA"/>
    <w:rsid w:val="00EB1077"/>
    <w:rsid w:val="00EB10D5"/>
    <w:rsid w:val="00EB1916"/>
    <w:rsid w:val="00EB1FC4"/>
    <w:rsid w:val="00EB20E4"/>
    <w:rsid w:val="00EB241D"/>
    <w:rsid w:val="00EB2D2F"/>
    <w:rsid w:val="00EB2EBB"/>
    <w:rsid w:val="00EB33EF"/>
    <w:rsid w:val="00EB35B8"/>
    <w:rsid w:val="00EB3FA7"/>
    <w:rsid w:val="00EB4386"/>
    <w:rsid w:val="00EB46E3"/>
    <w:rsid w:val="00EB4900"/>
    <w:rsid w:val="00EB586D"/>
    <w:rsid w:val="00EB60CC"/>
    <w:rsid w:val="00EB6231"/>
    <w:rsid w:val="00EB641F"/>
    <w:rsid w:val="00EB66B4"/>
    <w:rsid w:val="00EB67DF"/>
    <w:rsid w:val="00EB6913"/>
    <w:rsid w:val="00EB6FA4"/>
    <w:rsid w:val="00EB7CEA"/>
    <w:rsid w:val="00EC0BAB"/>
    <w:rsid w:val="00EC113F"/>
    <w:rsid w:val="00EC141B"/>
    <w:rsid w:val="00EC14E7"/>
    <w:rsid w:val="00EC193D"/>
    <w:rsid w:val="00EC20D0"/>
    <w:rsid w:val="00EC2226"/>
    <w:rsid w:val="00EC24BC"/>
    <w:rsid w:val="00EC3180"/>
    <w:rsid w:val="00EC38BA"/>
    <w:rsid w:val="00EC3AC8"/>
    <w:rsid w:val="00EC3EFE"/>
    <w:rsid w:val="00EC4484"/>
    <w:rsid w:val="00EC49CA"/>
    <w:rsid w:val="00EC5298"/>
    <w:rsid w:val="00EC5620"/>
    <w:rsid w:val="00EC5C6D"/>
    <w:rsid w:val="00EC5D2D"/>
    <w:rsid w:val="00EC657C"/>
    <w:rsid w:val="00EC6655"/>
    <w:rsid w:val="00EC6DE6"/>
    <w:rsid w:val="00EC7796"/>
    <w:rsid w:val="00EC7A1E"/>
    <w:rsid w:val="00ED0CA9"/>
    <w:rsid w:val="00ED0D4A"/>
    <w:rsid w:val="00ED0E29"/>
    <w:rsid w:val="00ED1319"/>
    <w:rsid w:val="00ED1363"/>
    <w:rsid w:val="00ED16D8"/>
    <w:rsid w:val="00ED2641"/>
    <w:rsid w:val="00ED2705"/>
    <w:rsid w:val="00ED338F"/>
    <w:rsid w:val="00ED39A0"/>
    <w:rsid w:val="00ED3C7D"/>
    <w:rsid w:val="00ED3EBD"/>
    <w:rsid w:val="00ED5011"/>
    <w:rsid w:val="00ED5099"/>
    <w:rsid w:val="00ED5145"/>
    <w:rsid w:val="00ED5918"/>
    <w:rsid w:val="00ED6254"/>
    <w:rsid w:val="00ED6743"/>
    <w:rsid w:val="00ED7329"/>
    <w:rsid w:val="00ED7807"/>
    <w:rsid w:val="00ED7F5A"/>
    <w:rsid w:val="00EE01D7"/>
    <w:rsid w:val="00EE04FA"/>
    <w:rsid w:val="00EE0D7F"/>
    <w:rsid w:val="00EE129B"/>
    <w:rsid w:val="00EE13B0"/>
    <w:rsid w:val="00EE1CEB"/>
    <w:rsid w:val="00EE2989"/>
    <w:rsid w:val="00EE3146"/>
    <w:rsid w:val="00EE34F6"/>
    <w:rsid w:val="00EE3514"/>
    <w:rsid w:val="00EE36F3"/>
    <w:rsid w:val="00EE3812"/>
    <w:rsid w:val="00EE38AD"/>
    <w:rsid w:val="00EE415F"/>
    <w:rsid w:val="00EE42BB"/>
    <w:rsid w:val="00EE495D"/>
    <w:rsid w:val="00EE4AF1"/>
    <w:rsid w:val="00EE4B37"/>
    <w:rsid w:val="00EE4B48"/>
    <w:rsid w:val="00EE605F"/>
    <w:rsid w:val="00EE6652"/>
    <w:rsid w:val="00EE67D8"/>
    <w:rsid w:val="00EE77C0"/>
    <w:rsid w:val="00EE7D77"/>
    <w:rsid w:val="00EE7FD1"/>
    <w:rsid w:val="00EF0249"/>
    <w:rsid w:val="00EF0955"/>
    <w:rsid w:val="00EF0D43"/>
    <w:rsid w:val="00EF197E"/>
    <w:rsid w:val="00EF1A99"/>
    <w:rsid w:val="00EF2E8B"/>
    <w:rsid w:val="00EF3CB5"/>
    <w:rsid w:val="00EF4D21"/>
    <w:rsid w:val="00EF4DCB"/>
    <w:rsid w:val="00EF5066"/>
    <w:rsid w:val="00EF540A"/>
    <w:rsid w:val="00EF5BF1"/>
    <w:rsid w:val="00EF5E88"/>
    <w:rsid w:val="00EF6088"/>
    <w:rsid w:val="00EF6374"/>
    <w:rsid w:val="00EF7022"/>
    <w:rsid w:val="00EF7E8A"/>
    <w:rsid w:val="00F00A0C"/>
    <w:rsid w:val="00F00B35"/>
    <w:rsid w:val="00F01304"/>
    <w:rsid w:val="00F013A3"/>
    <w:rsid w:val="00F015D1"/>
    <w:rsid w:val="00F01706"/>
    <w:rsid w:val="00F01A56"/>
    <w:rsid w:val="00F01E7D"/>
    <w:rsid w:val="00F0277B"/>
    <w:rsid w:val="00F02A1E"/>
    <w:rsid w:val="00F02BBC"/>
    <w:rsid w:val="00F02DF6"/>
    <w:rsid w:val="00F03E70"/>
    <w:rsid w:val="00F04440"/>
    <w:rsid w:val="00F0477D"/>
    <w:rsid w:val="00F047A7"/>
    <w:rsid w:val="00F04EAB"/>
    <w:rsid w:val="00F05169"/>
    <w:rsid w:val="00F05AF2"/>
    <w:rsid w:val="00F05AFE"/>
    <w:rsid w:val="00F063EF"/>
    <w:rsid w:val="00F06B48"/>
    <w:rsid w:val="00F06D1E"/>
    <w:rsid w:val="00F06DDA"/>
    <w:rsid w:val="00F070FE"/>
    <w:rsid w:val="00F0739F"/>
    <w:rsid w:val="00F101C6"/>
    <w:rsid w:val="00F10642"/>
    <w:rsid w:val="00F1070D"/>
    <w:rsid w:val="00F10EEB"/>
    <w:rsid w:val="00F11E43"/>
    <w:rsid w:val="00F11F2E"/>
    <w:rsid w:val="00F12B09"/>
    <w:rsid w:val="00F12E19"/>
    <w:rsid w:val="00F131DB"/>
    <w:rsid w:val="00F13242"/>
    <w:rsid w:val="00F13445"/>
    <w:rsid w:val="00F1345B"/>
    <w:rsid w:val="00F135F2"/>
    <w:rsid w:val="00F138C6"/>
    <w:rsid w:val="00F14214"/>
    <w:rsid w:val="00F145DF"/>
    <w:rsid w:val="00F149E6"/>
    <w:rsid w:val="00F15811"/>
    <w:rsid w:val="00F1582E"/>
    <w:rsid w:val="00F16724"/>
    <w:rsid w:val="00F17091"/>
    <w:rsid w:val="00F172D5"/>
    <w:rsid w:val="00F1730B"/>
    <w:rsid w:val="00F177E3"/>
    <w:rsid w:val="00F17FD3"/>
    <w:rsid w:val="00F20348"/>
    <w:rsid w:val="00F204E4"/>
    <w:rsid w:val="00F205E9"/>
    <w:rsid w:val="00F206D9"/>
    <w:rsid w:val="00F2094E"/>
    <w:rsid w:val="00F213DB"/>
    <w:rsid w:val="00F2168B"/>
    <w:rsid w:val="00F21C35"/>
    <w:rsid w:val="00F2238D"/>
    <w:rsid w:val="00F223DA"/>
    <w:rsid w:val="00F2266C"/>
    <w:rsid w:val="00F227C5"/>
    <w:rsid w:val="00F22826"/>
    <w:rsid w:val="00F229C3"/>
    <w:rsid w:val="00F22EE7"/>
    <w:rsid w:val="00F243A9"/>
    <w:rsid w:val="00F25305"/>
    <w:rsid w:val="00F25937"/>
    <w:rsid w:val="00F25A3A"/>
    <w:rsid w:val="00F25AB7"/>
    <w:rsid w:val="00F25BB4"/>
    <w:rsid w:val="00F26313"/>
    <w:rsid w:val="00F26525"/>
    <w:rsid w:val="00F2682E"/>
    <w:rsid w:val="00F26E4E"/>
    <w:rsid w:val="00F27683"/>
    <w:rsid w:val="00F2779D"/>
    <w:rsid w:val="00F30338"/>
    <w:rsid w:val="00F305AA"/>
    <w:rsid w:val="00F31408"/>
    <w:rsid w:val="00F31900"/>
    <w:rsid w:val="00F3229E"/>
    <w:rsid w:val="00F3343A"/>
    <w:rsid w:val="00F33461"/>
    <w:rsid w:val="00F341FE"/>
    <w:rsid w:val="00F35657"/>
    <w:rsid w:val="00F3607E"/>
    <w:rsid w:val="00F367A9"/>
    <w:rsid w:val="00F367F6"/>
    <w:rsid w:val="00F36B5F"/>
    <w:rsid w:val="00F37027"/>
    <w:rsid w:val="00F37835"/>
    <w:rsid w:val="00F37C8A"/>
    <w:rsid w:val="00F4071E"/>
    <w:rsid w:val="00F41873"/>
    <w:rsid w:val="00F41B85"/>
    <w:rsid w:val="00F4299B"/>
    <w:rsid w:val="00F43C03"/>
    <w:rsid w:val="00F43CA6"/>
    <w:rsid w:val="00F43CC6"/>
    <w:rsid w:val="00F442AD"/>
    <w:rsid w:val="00F45972"/>
    <w:rsid w:val="00F45AED"/>
    <w:rsid w:val="00F4607B"/>
    <w:rsid w:val="00F46456"/>
    <w:rsid w:val="00F474AD"/>
    <w:rsid w:val="00F47700"/>
    <w:rsid w:val="00F47875"/>
    <w:rsid w:val="00F5003D"/>
    <w:rsid w:val="00F5192B"/>
    <w:rsid w:val="00F519A2"/>
    <w:rsid w:val="00F5220A"/>
    <w:rsid w:val="00F53034"/>
    <w:rsid w:val="00F5331C"/>
    <w:rsid w:val="00F53A88"/>
    <w:rsid w:val="00F54795"/>
    <w:rsid w:val="00F549BE"/>
    <w:rsid w:val="00F556EB"/>
    <w:rsid w:val="00F55E7A"/>
    <w:rsid w:val="00F5603F"/>
    <w:rsid w:val="00F569FD"/>
    <w:rsid w:val="00F56BFF"/>
    <w:rsid w:val="00F56FFC"/>
    <w:rsid w:val="00F5765B"/>
    <w:rsid w:val="00F607AC"/>
    <w:rsid w:val="00F60A5F"/>
    <w:rsid w:val="00F60BA2"/>
    <w:rsid w:val="00F60C3A"/>
    <w:rsid w:val="00F62286"/>
    <w:rsid w:val="00F62872"/>
    <w:rsid w:val="00F629E8"/>
    <w:rsid w:val="00F6336E"/>
    <w:rsid w:val="00F6355D"/>
    <w:rsid w:val="00F638F6"/>
    <w:rsid w:val="00F644AD"/>
    <w:rsid w:val="00F646D8"/>
    <w:rsid w:val="00F64C7F"/>
    <w:rsid w:val="00F65E3B"/>
    <w:rsid w:val="00F66762"/>
    <w:rsid w:val="00F66EB2"/>
    <w:rsid w:val="00F677AE"/>
    <w:rsid w:val="00F677F1"/>
    <w:rsid w:val="00F67A58"/>
    <w:rsid w:val="00F67BEE"/>
    <w:rsid w:val="00F701FC"/>
    <w:rsid w:val="00F70320"/>
    <w:rsid w:val="00F706E7"/>
    <w:rsid w:val="00F70888"/>
    <w:rsid w:val="00F70DBF"/>
    <w:rsid w:val="00F70DC9"/>
    <w:rsid w:val="00F71664"/>
    <w:rsid w:val="00F72099"/>
    <w:rsid w:val="00F721E6"/>
    <w:rsid w:val="00F7238B"/>
    <w:rsid w:val="00F72AB7"/>
    <w:rsid w:val="00F72C44"/>
    <w:rsid w:val="00F72D23"/>
    <w:rsid w:val="00F72D35"/>
    <w:rsid w:val="00F72D60"/>
    <w:rsid w:val="00F72FA3"/>
    <w:rsid w:val="00F73471"/>
    <w:rsid w:val="00F74412"/>
    <w:rsid w:val="00F745A0"/>
    <w:rsid w:val="00F747CB"/>
    <w:rsid w:val="00F747F1"/>
    <w:rsid w:val="00F74C1E"/>
    <w:rsid w:val="00F757B4"/>
    <w:rsid w:val="00F7665B"/>
    <w:rsid w:val="00F76981"/>
    <w:rsid w:val="00F771F6"/>
    <w:rsid w:val="00F771FF"/>
    <w:rsid w:val="00F77C29"/>
    <w:rsid w:val="00F77CE3"/>
    <w:rsid w:val="00F804F5"/>
    <w:rsid w:val="00F808A7"/>
    <w:rsid w:val="00F81143"/>
    <w:rsid w:val="00F8185D"/>
    <w:rsid w:val="00F8397C"/>
    <w:rsid w:val="00F83F95"/>
    <w:rsid w:val="00F84268"/>
    <w:rsid w:val="00F847B4"/>
    <w:rsid w:val="00F84D62"/>
    <w:rsid w:val="00F85505"/>
    <w:rsid w:val="00F85A87"/>
    <w:rsid w:val="00F85B87"/>
    <w:rsid w:val="00F85BA5"/>
    <w:rsid w:val="00F85C24"/>
    <w:rsid w:val="00F85CDB"/>
    <w:rsid w:val="00F8686D"/>
    <w:rsid w:val="00F86CE5"/>
    <w:rsid w:val="00F8734C"/>
    <w:rsid w:val="00F87574"/>
    <w:rsid w:val="00F87B3D"/>
    <w:rsid w:val="00F87CE0"/>
    <w:rsid w:val="00F87F33"/>
    <w:rsid w:val="00F9044C"/>
    <w:rsid w:val="00F9066F"/>
    <w:rsid w:val="00F90B98"/>
    <w:rsid w:val="00F91787"/>
    <w:rsid w:val="00F91CBC"/>
    <w:rsid w:val="00F9211A"/>
    <w:rsid w:val="00F9221F"/>
    <w:rsid w:val="00F925FF"/>
    <w:rsid w:val="00F9297B"/>
    <w:rsid w:val="00F930C5"/>
    <w:rsid w:val="00F93250"/>
    <w:rsid w:val="00F93B43"/>
    <w:rsid w:val="00F9403F"/>
    <w:rsid w:val="00F9565F"/>
    <w:rsid w:val="00F96366"/>
    <w:rsid w:val="00F966D9"/>
    <w:rsid w:val="00F9722E"/>
    <w:rsid w:val="00F9753D"/>
    <w:rsid w:val="00FA00CA"/>
    <w:rsid w:val="00FA021E"/>
    <w:rsid w:val="00FA1B0D"/>
    <w:rsid w:val="00FA205D"/>
    <w:rsid w:val="00FA2BDF"/>
    <w:rsid w:val="00FA2C9F"/>
    <w:rsid w:val="00FA2E8D"/>
    <w:rsid w:val="00FA3825"/>
    <w:rsid w:val="00FA47B0"/>
    <w:rsid w:val="00FA5CA4"/>
    <w:rsid w:val="00FA644F"/>
    <w:rsid w:val="00FA692F"/>
    <w:rsid w:val="00FA742C"/>
    <w:rsid w:val="00FA747E"/>
    <w:rsid w:val="00FA7A79"/>
    <w:rsid w:val="00FA7BB0"/>
    <w:rsid w:val="00FB037F"/>
    <w:rsid w:val="00FB038F"/>
    <w:rsid w:val="00FB133E"/>
    <w:rsid w:val="00FB1DB3"/>
    <w:rsid w:val="00FB238C"/>
    <w:rsid w:val="00FB2B57"/>
    <w:rsid w:val="00FB2D19"/>
    <w:rsid w:val="00FB2E1B"/>
    <w:rsid w:val="00FB3876"/>
    <w:rsid w:val="00FB3D12"/>
    <w:rsid w:val="00FB3FE4"/>
    <w:rsid w:val="00FB5350"/>
    <w:rsid w:val="00FB646F"/>
    <w:rsid w:val="00FB6D12"/>
    <w:rsid w:val="00FB70F5"/>
    <w:rsid w:val="00FB724E"/>
    <w:rsid w:val="00FB790B"/>
    <w:rsid w:val="00FB7FA7"/>
    <w:rsid w:val="00FC008E"/>
    <w:rsid w:val="00FC0104"/>
    <w:rsid w:val="00FC1245"/>
    <w:rsid w:val="00FC1DE3"/>
    <w:rsid w:val="00FC2F18"/>
    <w:rsid w:val="00FC3337"/>
    <w:rsid w:val="00FC3B2E"/>
    <w:rsid w:val="00FC3FCA"/>
    <w:rsid w:val="00FC4195"/>
    <w:rsid w:val="00FC52E9"/>
    <w:rsid w:val="00FC53EB"/>
    <w:rsid w:val="00FC5A92"/>
    <w:rsid w:val="00FC5AB3"/>
    <w:rsid w:val="00FC5F8F"/>
    <w:rsid w:val="00FC62D9"/>
    <w:rsid w:val="00FC635B"/>
    <w:rsid w:val="00FC68C3"/>
    <w:rsid w:val="00FC6C45"/>
    <w:rsid w:val="00FC7B5D"/>
    <w:rsid w:val="00FC7B7F"/>
    <w:rsid w:val="00FC7FD5"/>
    <w:rsid w:val="00FD1370"/>
    <w:rsid w:val="00FD1986"/>
    <w:rsid w:val="00FD26B7"/>
    <w:rsid w:val="00FD31EA"/>
    <w:rsid w:val="00FD338F"/>
    <w:rsid w:val="00FD35B6"/>
    <w:rsid w:val="00FD386B"/>
    <w:rsid w:val="00FD3A22"/>
    <w:rsid w:val="00FD46BA"/>
    <w:rsid w:val="00FD5208"/>
    <w:rsid w:val="00FD532B"/>
    <w:rsid w:val="00FD565D"/>
    <w:rsid w:val="00FD5D11"/>
    <w:rsid w:val="00FD68A8"/>
    <w:rsid w:val="00FD6B4D"/>
    <w:rsid w:val="00FD7AE2"/>
    <w:rsid w:val="00FD7BBD"/>
    <w:rsid w:val="00FE0469"/>
    <w:rsid w:val="00FE05DA"/>
    <w:rsid w:val="00FE0A64"/>
    <w:rsid w:val="00FE1182"/>
    <w:rsid w:val="00FE26AE"/>
    <w:rsid w:val="00FE2C9B"/>
    <w:rsid w:val="00FE2F2A"/>
    <w:rsid w:val="00FE2FC5"/>
    <w:rsid w:val="00FE35FF"/>
    <w:rsid w:val="00FE3F2C"/>
    <w:rsid w:val="00FE4411"/>
    <w:rsid w:val="00FE44D2"/>
    <w:rsid w:val="00FE4D5A"/>
    <w:rsid w:val="00FE4F6F"/>
    <w:rsid w:val="00FE52D6"/>
    <w:rsid w:val="00FE5610"/>
    <w:rsid w:val="00FE564C"/>
    <w:rsid w:val="00FE5FAE"/>
    <w:rsid w:val="00FE62F9"/>
    <w:rsid w:val="00FE7083"/>
    <w:rsid w:val="00FE72AD"/>
    <w:rsid w:val="00FE77C9"/>
    <w:rsid w:val="00FE782A"/>
    <w:rsid w:val="00FE7B95"/>
    <w:rsid w:val="00FE7FE9"/>
    <w:rsid w:val="00FF0309"/>
    <w:rsid w:val="00FF062E"/>
    <w:rsid w:val="00FF15FD"/>
    <w:rsid w:val="00FF19AE"/>
    <w:rsid w:val="00FF1E1F"/>
    <w:rsid w:val="00FF20BE"/>
    <w:rsid w:val="00FF326A"/>
    <w:rsid w:val="00FF44F7"/>
    <w:rsid w:val="00FF55EA"/>
    <w:rsid w:val="00FF6758"/>
    <w:rsid w:val="00FF7783"/>
    <w:rsid w:val="00FF7D18"/>
    <w:rsid w:val="00FF7FA0"/>
    <w:rsid w:val="534F13FF"/>
    <w:rsid w:val="74CC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4B6"/>
    <w:rPr>
      <w:sz w:val="24"/>
      <w:szCs w:val="24"/>
      <w:lang w:val="en-US" w:eastAsia="en-US"/>
    </w:rPr>
  </w:style>
  <w:style w:type="paragraph" w:styleId="Heading1">
    <w:name w:val="heading 1"/>
    <w:basedOn w:val="Normal"/>
    <w:next w:val="Normal"/>
    <w:link w:val="Heading1Char"/>
    <w:uiPriority w:val="9"/>
    <w:qFormat/>
    <w:rsid w:val="00282F1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687E6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59" w:lineRule="auto"/>
      <w:outlineLvl w:val="1"/>
    </w:pPr>
    <w:rPr>
      <w:rFonts w:asciiTheme="majorHAnsi" w:eastAsiaTheme="majorEastAsia" w:hAnsiTheme="majorHAnsi" w:cstheme="majorBidi"/>
      <w:b/>
      <w:bCs/>
      <w:color w:val="499BC9" w:themeColor="accent1"/>
      <w:sz w:val="26"/>
      <w:szCs w:val="26"/>
      <w:bdr w:val="none" w:sz="0" w:space="0" w:color="auto"/>
      <w:lang w:val="en-GB"/>
    </w:rPr>
  </w:style>
  <w:style w:type="paragraph" w:styleId="Heading3">
    <w:name w:val="heading 3"/>
    <w:basedOn w:val="Normal"/>
    <w:next w:val="Normal"/>
    <w:link w:val="Heading3Char"/>
    <w:uiPriority w:val="9"/>
    <w:unhideWhenUsed/>
    <w:qFormat/>
    <w:rsid w:val="007855E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99BC9" w:themeColor="accent1"/>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5E8"/>
    <w:rPr>
      <w:rFonts w:asciiTheme="majorHAnsi" w:eastAsiaTheme="majorEastAsia" w:hAnsiTheme="majorHAnsi" w:cstheme="majorBidi"/>
      <w:b/>
      <w:bCs/>
      <w:color w:val="499BC9" w:themeColor="accent1"/>
      <w:sz w:val="22"/>
      <w:szCs w:val="22"/>
      <w:bdr w:val="none" w:sz="0" w:space="0" w:color="auto"/>
      <w:lang w:eastAsia="en-US"/>
    </w:rPr>
  </w:style>
  <w:style w:type="character" w:styleId="Hyperlink">
    <w:name w:val="Hyperlink"/>
    <w:uiPriority w:val="99"/>
    <w:rsid w:val="00B349AC"/>
    <w:rPr>
      <w:u w:val="single"/>
    </w:rPr>
  </w:style>
  <w:style w:type="paragraph" w:customStyle="1" w:styleId="HeaderFooter">
    <w:name w:val="Header &amp; Footer"/>
    <w:rsid w:val="00B349AC"/>
    <w:pPr>
      <w:tabs>
        <w:tab w:val="right" w:pos="9020"/>
      </w:tabs>
    </w:pPr>
    <w:rPr>
      <w:rFonts w:ascii="Helvetica" w:hAnsi="Arial Unicode MS" w:cs="Arial Unicode MS"/>
      <w:color w:val="000000"/>
      <w:sz w:val="24"/>
      <w:szCs w:val="24"/>
    </w:rPr>
  </w:style>
  <w:style w:type="paragraph" w:styleId="Footer">
    <w:name w:val="footer"/>
    <w:link w:val="FooterChar"/>
    <w:uiPriority w:val="99"/>
    <w:rsid w:val="00B349AC"/>
    <w:pPr>
      <w:tabs>
        <w:tab w:val="center" w:pos="4513"/>
        <w:tab w:val="right" w:pos="9026"/>
      </w:tabs>
    </w:pPr>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uiPriority w:val="99"/>
    <w:rsid w:val="001273E1"/>
    <w:rPr>
      <w:rFonts w:ascii="Calibri" w:eastAsia="Calibri" w:hAnsi="Calibri" w:cs="Calibri"/>
      <w:color w:val="000000"/>
      <w:sz w:val="22"/>
      <w:szCs w:val="22"/>
      <w:u w:color="000000"/>
      <w:lang w:val="en-US"/>
    </w:rPr>
  </w:style>
  <w:style w:type="paragraph" w:customStyle="1" w:styleId="Body">
    <w:name w:val="Body"/>
    <w:rsid w:val="00B349AC"/>
    <w:pPr>
      <w:spacing w:after="200" w:line="276" w:lineRule="auto"/>
    </w:pPr>
    <w:rPr>
      <w:rFonts w:ascii="Calibri" w:eastAsia="Calibri" w:hAnsi="Calibri" w:cs="Calibri"/>
      <w:color w:val="000000"/>
      <w:sz w:val="22"/>
      <w:szCs w:val="22"/>
      <w:u w:color="000000"/>
      <w:lang w:val="en-US"/>
    </w:rPr>
  </w:style>
  <w:style w:type="paragraph" w:styleId="FootnoteText">
    <w:name w:val="footnote text"/>
    <w:link w:val="FootnoteTextChar"/>
    <w:uiPriority w:val="99"/>
    <w:rsid w:val="00B349AC"/>
    <w:rPr>
      <w:rFonts w:ascii="Calibri" w:eastAsia="Calibri" w:hAnsi="Calibri" w:cs="Calibri"/>
      <w:color w:val="000000"/>
      <w:u w:color="000000"/>
      <w:lang w:val="en-US"/>
    </w:rPr>
  </w:style>
  <w:style w:type="character" w:customStyle="1" w:styleId="FootnoteTextChar">
    <w:name w:val="Footnote Text Char"/>
    <w:basedOn w:val="DefaultParagraphFont"/>
    <w:link w:val="FootnoteText"/>
    <w:uiPriority w:val="99"/>
    <w:rsid w:val="0047305F"/>
    <w:rPr>
      <w:rFonts w:ascii="Calibri" w:eastAsia="Calibri" w:hAnsi="Calibri" w:cs="Calibri"/>
      <w:color w:val="000000"/>
      <w:u w:color="000000"/>
      <w:lang w:val="en-US"/>
    </w:rPr>
  </w:style>
  <w:style w:type="character" w:customStyle="1" w:styleId="Link">
    <w:name w:val="Link"/>
    <w:rsid w:val="00B349AC"/>
    <w:rPr>
      <w:color w:val="0000FF"/>
      <w:u w:val="single" w:color="0000FF"/>
    </w:rPr>
  </w:style>
  <w:style w:type="character" w:customStyle="1" w:styleId="Hyperlink0">
    <w:name w:val="Hyperlink.0"/>
    <w:basedOn w:val="Link"/>
    <w:rsid w:val="00B349AC"/>
    <w:rPr>
      <w:color w:val="0000FF"/>
      <w:u w:val="single" w:color="0000FF"/>
      <w:lang w:val="en-US"/>
    </w:rPr>
  </w:style>
  <w:style w:type="paragraph" w:styleId="BalloonText">
    <w:name w:val="Balloon Text"/>
    <w:basedOn w:val="Normal"/>
    <w:link w:val="BalloonTextChar"/>
    <w:uiPriority w:val="99"/>
    <w:semiHidden/>
    <w:unhideWhenUsed/>
    <w:rsid w:val="00B52F64"/>
    <w:rPr>
      <w:rFonts w:ascii="Tahoma" w:hAnsi="Tahoma" w:cs="Tahoma"/>
      <w:sz w:val="16"/>
      <w:szCs w:val="16"/>
    </w:rPr>
  </w:style>
  <w:style w:type="character" w:customStyle="1" w:styleId="BalloonTextChar">
    <w:name w:val="Balloon Text Char"/>
    <w:basedOn w:val="DefaultParagraphFont"/>
    <w:link w:val="BalloonText"/>
    <w:uiPriority w:val="99"/>
    <w:semiHidden/>
    <w:rsid w:val="00B52F64"/>
    <w:rPr>
      <w:rFonts w:ascii="Tahoma" w:hAnsi="Tahoma" w:cs="Tahoma"/>
      <w:sz w:val="16"/>
      <w:szCs w:val="16"/>
      <w:lang w:val="en-US" w:eastAsia="en-US"/>
    </w:rPr>
  </w:style>
  <w:style w:type="paragraph" w:styleId="Header">
    <w:name w:val="header"/>
    <w:basedOn w:val="Normal"/>
    <w:link w:val="HeaderChar"/>
    <w:uiPriority w:val="99"/>
    <w:unhideWhenUsed/>
    <w:rsid w:val="001273E1"/>
    <w:pPr>
      <w:tabs>
        <w:tab w:val="center" w:pos="4513"/>
        <w:tab w:val="right" w:pos="9026"/>
      </w:tabs>
    </w:pPr>
  </w:style>
  <w:style w:type="character" w:customStyle="1" w:styleId="HeaderChar">
    <w:name w:val="Header Char"/>
    <w:basedOn w:val="DefaultParagraphFont"/>
    <w:link w:val="Header"/>
    <w:uiPriority w:val="99"/>
    <w:rsid w:val="001273E1"/>
    <w:rPr>
      <w:sz w:val="24"/>
      <w:szCs w:val="24"/>
      <w:lang w:val="en-US" w:eastAsia="en-US"/>
    </w:rPr>
  </w:style>
  <w:style w:type="character" w:styleId="CommentReference">
    <w:name w:val="annotation reference"/>
    <w:basedOn w:val="DefaultParagraphFont"/>
    <w:uiPriority w:val="99"/>
    <w:semiHidden/>
    <w:unhideWhenUsed/>
    <w:rsid w:val="005B71FD"/>
    <w:rPr>
      <w:sz w:val="16"/>
      <w:szCs w:val="16"/>
    </w:rPr>
  </w:style>
  <w:style w:type="paragraph" w:styleId="CommentText">
    <w:name w:val="annotation text"/>
    <w:basedOn w:val="Normal"/>
    <w:link w:val="CommentTextChar"/>
    <w:uiPriority w:val="99"/>
    <w:unhideWhenUsed/>
    <w:rsid w:val="005B71FD"/>
    <w:rPr>
      <w:sz w:val="20"/>
      <w:szCs w:val="20"/>
    </w:rPr>
  </w:style>
  <w:style w:type="character" w:customStyle="1" w:styleId="CommentTextChar">
    <w:name w:val="Comment Text Char"/>
    <w:basedOn w:val="DefaultParagraphFont"/>
    <w:link w:val="CommentText"/>
    <w:uiPriority w:val="99"/>
    <w:rsid w:val="005B71FD"/>
    <w:rPr>
      <w:lang w:val="en-US" w:eastAsia="en-US"/>
    </w:rPr>
  </w:style>
  <w:style w:type="paragraph" w:styleId="CommentSubject">
    <w:name w:val="annotation subject"/>
    <w:basedOn w:val="CommentText"/>
    <w:next w:val="CommentText"/>
    <w:link w:val="CommentSubjectChar"/>
    <w:uiPriority w:val="99"/>
    <w:semiHidden/>
    <w:unhideWhenUsed/>
    <w:rsid w:val="005B71FD"/>
    <w:rPr>
      <w:b/>
      <w:bCs/>
    </w:rPr>
  </w:style>
  <w:style w:type="character" w:customStyle="1" w:styleId="CommentSubjectChar">
    <w:name w:val="Comment Subject Char"/>
    <w:basedOn w:val="CommentTextChar"/>
    <w:link w:val="CommentSubject"/>
    <w:uiPriority w:val="99"/>
    <w:semiHidden/>
    <w:rsid w:val="005B71FD"/>
    <w:rPr>
      <w:b/>
      <w:bCs/>
      <w:lang w:val="en-US" w:eastAsia="en-US"/>
    </w:rPr>
  </w:style>
  <w:style w:type="character" w:styleId="FootnoteReference">
    <w:name w:val="footnote reference"/>
    <w:basedOn w:val="DefaultParagraphFont"/>
    <w:uiPriority w:val="99"/>
    <w:unhideWhenUsed/>
    <w:rsid w:val="0047305F"/>
    <w:rPr>
      <w:vertAlign w:val="superscript"/>
    </w:rPr>
  </w:style>
  <w:style w:type="paragraph" w:styleId="ListParagraph">
    <w:name w:val="List Paragraph"/>
    <w:basedOn w:val="Normal"/>
    <w:uiPriority w:val="34"/>
    <w:qFormat/>
    <w:rsid w:val="00DA183A"/>
    <w:pPr>
      <w:ind w:left="720"/>
      <w:contextualSpacing/>
    </w:pPr>
  </w:style>
  <w:style w:type="character" w:customStyle="1" w:styleId="apple-converted-space">
    <w:name w:val="apple-converted-space"/>
    <w:basedOn w:val="DefaultParagraphFont"/>
    <w:rsid w:val="00492356"/>
  </w:style>
  <w:style w:type="character" w:styleId="EndnoteReference">
    <w:name w:val="endnote reference"/>
    <w:basedOn w:val="DefaultParagraphFont"/>
    <w:uiPriority w:val="99"/>
    <w:semiHidden/>
    <w:unhideWhenUsed/>
    <w:rsid w:val="007855E8"/>
    <w:rPr>
      <w:vertAlign w:val="superscript"/>
    </w:rPr>
  </w:style>
  <w:style w:type="paragraph" w:styleId="Revision">
    <w:name w:val="Revision"/>
    <w:hidden/>
    <w:uiPriority w:val="99"/>
    <w:semiHidden/>
    <w:rsid w:val="00B519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7A2750"/>
    <w:rPr>
      <w:color w:val="FF00FF" w:themeColor="followedHyperlink"/>
      <w:u w:val="single"/>
    </w:rPr>
  </w:style>
  <w:style w:type="character" w:customStyle="1" w:styleId="Heading1Char">
    <w:name w:val="Heading 1 Char"/>
    <w:basedOn w:val="DefaultParagraphFont"/>
    <w:link w:val="Heading1"/>
    <w:uiPriority w:val="9"/>
    <w:rsid w:val="00282F1E"/>
    <w:rPr>
      <w:rFonts w:asciiTheme="majorHAnsi" w:eastAsiaTheme="majorEastAsia" w:hAnsiTheme="majorHAnsi" w:cstheme="majorBidi"/>
      <w:color w:val="2F759E" w:themeColor="accent1" w:themeShade="BF"/>
      <w:sz w:val="32"/>
      <w:szCs w:val="32"/>
      <w:lang w:val="en-US" w:eastAsia="en-US"/>
    </w:rPr>
  </w:style>
  <w:style w:type="paragraph" w:customStyle="1" w:styleId="Default">
    <w:name w:val="Default"/>
    <w:rsid w:val="00F47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eastAsiaTheme="minorHAnsi" w:hAnsi="Palatino Linotype" w:cs="Palatino Linotype"/>
      <w:color w:val="000000"/>
      <w:sz w:val="24"/>
      <w:szCs w:val="24"/>
      <w:bdr w:val="none" w:sz="0" w:space="0" w:color="auto"/>
      <w:lang w:eastAsia="en-US"/>
    </w:rPr>
  </w:style>
  <w:style w:type="character" w:customStyle="1" w:styleId="title-text">
    <w:name w:val="title-text"/>
    <w:basedOn w:val="DefaultParagraphFont"/>
    <w:rsid w:val="00E74724"/>
  </w:style>
  <w:style w:type="character" w:styleId="Emphasis">
    <w:name w:val="Emphasis"/>
    <w:basedOn w:val="DefaultParagraphFont"/>
    <w:uiPriority w:val="20"/>
    <w:qFormat/>
    <w:rsid w:val="002E676D"/>
    <w:rPr>
      <w:i/>
      <w:iCs/>
    </w:rPr>
  </w:style>
  <w:style w:type="character" w:customStyle="1" w:styleId="journaltitle">
    <w:name w:val="journaltitle"/>
    <w:basedOn w:val="DefaultParagraphFont"/>
    <w:rsid w:val="00687E61"/>
  </w:style>
  <w:style w:type="character" w:customStyle="1" w:styleId="nlmstring-name">
    <w:name w:val="nlm_string-name"/>
    <w:basedOn w:val="DefaultParagraphFont"/>
    <w:rsid w:val="00687E61"/>
  </w:style>
  <w:style w:type="character" w:customStyle="1" w:styleId="Heading2Char">
    <w:name w:val="Heading 2 Char"/>
    <w:basedOn w:val="DefaultParagraphFont"/>
    <w:link w:val="Heading2"/>
    <w:uiPriority w:val="9"/>
    <w:rsid w:val="00687E61"/>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volume-issue">
    <w:name w:val="volume-issue"/>
    <w:basedOn w:val="Normal"/>
    <w:rsid w:val="00687E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unhideWhenUsed/>
    <w:rsid w:val="00F367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
    <w:name w:val="Unresolved Mention"/>
    <w:basedOn w:val="DefaultParagraphFont"/>
    <w:uiPriority w:val="99"/>
    <w:semiHidden/>
    <w:unhideWhenUsed/>
    <w:rsid w:val="0077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497">
      <w:bodyDiv w:val="1"/>
      <w:marLeft w:val="0"/>
      <w:marRight w:val="0"/>
      <w:marTop w:val="0"/>
      <w:marBottom w:val="0"/>
      <w:divBdr>
        <w:top w:val="none" w:sz="0" w:space="0" w:color="auto"/>
        <w:left w:val="none" w:sz="0" w:space="0" w:color="auto"/>
        <w:bottom w:val="none" w:sz="0" w:space="0" w:color="auto"/>
        <w:right w:val="none" w:sz="0" w:space="0" w:color="auto"/>
      </w:divBdr>
      <w:divsChild>
        <w:div w:id="2135904999">
          <w:marLeft w:val="0"/>
          <w:marRight w:val="0"/>
          <w:marTop w:val="0"/>
          <w:marBottom w:val="0"/>
          <w:divBdr>
            <w:top w:val="none" w:sz="0" w:space="0" w:color="auto"/>
            <w:left w:val="none" w:sz="0" w:space="0" w:color="auto"/>
            <w:bottom w:val="none" w:sz="0" w:space="0" w:color="auto"/>
            <w:right w:val="none" w:sz="0" w:space="0" w:color="auto"/>
          </w:divBdr>
          <w:divsChild>
            <w:div w:id="324935912">
              <w:marLeft w:val="0"/>
              <w:marRight w:val="0"/>
              <w:marTop w:val="0"/>
              <w:marBottom w:val="0"/>
              <w:divBdr>
                <w:top w:val="none" w:sz="0" w:space="0" w:color="auto"/>
                <w:left w:val="none" w:sz="0" w:space="0" w:color="auto"/>
                <w:bottom w:val="none" w:sz="0" w:space="0" w:color="auto"/>
                <w:right w:val="none" w:sz="0" w:space="0" w:color="auto"/>
              </w:divBdr>
              <w:divsChild>
                <w:div w:id="902832801">
                  <w:marLeft w:val="0"/>
                  <w:marRight w:val="0"/>
                  <w:marTop w:val="0"/>
                  <w:marBottom w:val="0"/>
                  <w:divBdr>
                    <w:top w:val="none" w:sz="0" w:space="0" w:color="auto"/>
                    <w:left w:val="none" w:sz="0" w:space="0" w:color="auto"/>
                    <w:bottom w:val="none" w:sz="0" w:space="0" w:color="auto"/>
                    <w:right w:val="none" w:sz="0" w:space="0" w:color="auto"/>
                  </w:divBdr>
                  <w:divsChild>
                    <w:div w:id="2079748576">
                      <w:marLeft w:val="0"/>
                      <w:marRight w:val="0"/>
                      <w:marTop w:val="0"/>
                      <w:marBottom w:val="0"/>
                      <w:divBdr>
                        <w:top w:val="none" w:sz="0" w:space="0" w:color="auto"/>
                        <w:left w:val="none" w:sz="0" w:space="0" w:color="auto"/>
                        <w:bottom w:val="none" w:sz="0" w:space="0" w:color="auto"/>
                        <w:right w:val="none" w:sz="0" w:space="0" w:color="auto"/>
                      </w:divBdr>
                      <w:divsChild>
                        <w:div w:id="1970283415">
                          <w:marLeft w:val="0"/>
                          <w:marRight w:val="0"/>
                          <w:marTop w:val="0"/>
                          <w:marBottom w:val="0"/>
                          <w:divBdr>
                            <w:top w:val="none" w:sz="0" w:space="0" w:color="auto"/>
                            <w:left w:val="none" w:sz="0" w:space="0" w:color="auto"/>
                            <w:bottom w:val="none" w:sz="0" w:space="0" w:color="auto"/>
                            <w:right w:val="none" w:sz="0" w:space="0" w:color="auto"/>
                          </w:divBdr>
                          <w:divsChild>
                            <w:div w:id="20240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8090">
      <w:bodyDiv w:val="1"/>
      <w:marLeft w:val="0"/>
      <w:marRight w:val="0"/>
      <w:marTop w:val="0"/>
      <w:marBottom w:val="0"/>
      <w:divBdr>
        <w:top w:val="none" w:sz="0" w:space="0" w:color="auto"/>
        <w:left w:val="none" w:sz="0" w:space="0" w:color="auto"/>
        <w:bottom w:val="none" w:sz="0" w:space="0" w:color="auto"/>
        <w:right w:val="none" w:sz="0" w:space="0" w:color="auto"/>
      </w:divBdr>
      <w:divsChild>
        <w:div w:id="370301101">
          <w:marLeft w:val="0"/>
          <w:marRight w:val="0"/>
          <w:marTop w:val="0"/>
          <w:marBottom w:val="0"/>
          <w:divBdr>
            <w:top w:val="none" w:sz="0" w:space="0" w:color="auto"/>
            <w:left w:val="none" w:sz="0" w:space="0" w:color="auto"/>
            <w:bottom w:val="none" w:sz="0" w:space="0" w:color="auto"/>
            <w:right w:val="none" w:sz="0" w:space="0" w:color="auto"/>
          </w:divBdr>
          <w:divsChild>
            <w:div w:id="1000082243">
              <w:marLeft w:val="0"/>
              <w:marRight w:val="0"/>
              <w:marTop w:val="0"/>
              <w:marBottom w:val="0"/>
              <w:divBdr>
                <w:top w:val="none" w:sz="0" w:space="0" w:color="auto"/>
                <w:left w:val="none" w:sz="0" w:space="0" w:color="auto"/>
                <w:bottom w:val="none" w:sz="0" w:space="0" w:color="auto"/>
                <w:right w:val="none" w:sz="0" w:space="0" w:color="auto"/>
              </w:divBdr>
              <w:divsChild>
                <w:div w:id="1374036038">
                  <w:marLeft w:val="0"/>
                  <w:marRight w:val="0"/>
                  <w:marTop w:val="0"/>
                  <w:marBottom w:val="0"/>
                  <w:divBdr>
                    <w:top w:val="none" w:sz="0" w:space="0" w:color="auto"/>
                    <w:left w:val="none" w:sz="0" w:space="0" w:color="auto"/>
                    <w:bottom w:val="none" w:sz="0" w:space="0" w:color="auto"/>
                    <w:right w:val="none" w:sz="0" w:space="0" w:color="auto"/>
                  </w:divBdr>
                  <w:divsChild>
                    <w:div w:id="72628093">
                      <w:marLeft w:val="0"/>
                      <w:marRight w:val="0"/>
                      <w:marTop w:val="0"/>
                      <w:marBottom w:val="0"/>
                      <w:divBdr>
                        <w:top w:val="none" w:sz="0" w:space="0" w:color="auto"/>
                        <w:left w:val="none" w:sz="0" w:space="0" w:color="auto"/>
                        <w:bottom w:val="none" w:sz="0" w:space="0" w:color="auto"/>
                        <w:right w:val="none" w:sz="0" w:space="0" w:color="auto"/>
                      </w:divBdr>
                      <w:divsChild>
                        <w:div w:id="2074153278">
                          <w:marLeft w:val="0"/>
                          <w:marRight w:val="0"/>
                          <w:marTop w:val="0"/>
                          <w:marBottom w:val="0"/>
                          <w:divBdr>
                            <w:top w:val="none" w:sz="0" w:space="0" w:color="auto"/>
                            <w:left w:val="none" w:sz="0" w:space="0" w:color="auto"/>
                            <w:bottom w:val="none" w:sz="0" w:space="0" w:color="auto"/>
                            <w:right w:val="none" w:sz="0" w:space="0" w:color="auto"/>
                          </w:divBdr>
                          <w:divsChild>
                            <w:div w:id="407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3624">
      <w:bodyDiv w:val="1"/>
      <w:marLeft w:val="0"/>
      <w:marRight w:val="0"/>
      <w:marTop w:val="0"/>
      <w:marBottom w:val="0"/>
      <w:divBdr>
        <w:top w:val="none" w:sz="0" w:space="0" w:color="auto"/>
        <w:left w:val="none" w:sz="0" w:space="0" w:color="auto"/>
        <w:bottom w:val="none" w:sz="0" w:space="0" w:color="auto"/>
        <w:right w:val="none" w:sz="0" w:space="0" w:color="auto"/>
      </w:divBdr>
      <w:divsChild>
        <w:div w:id="277875836">
          <w:marLeft w:val="0"/>
          <w:marRight w:val="0"/>
          <w:marTop w:val="0"/>
          <w:marBottom w:val="0"/>
          <w:divBdr>
            <w:top w:val="none" w:sz="0" w:space="0" w:color="auto"/>
            <w:left w:val="none" w:sz="0" w:space="0" w:color="auto"/>
            <w:bottom w:val="none" w:sz="0" w:space="0" w:color="auto"/>
            <w:right w:val="none" w:sz="0" w:space="0" w:color="auto"/>
          </w:divBdr>
          <w:divsChild>
            <w:div w:id="1927304025">
              <w:marLeft w:val="0"/>
              <w:marRight w:val="0"/>
              <w:marTop w:val="0"/>
              <w:marBottom w:val="0"/>
              <w:divBdr>
                <w:top w:val="none" w:sz="0" w:space="0" w:color="auto"/>
                <w:left w:val="none" w:sz="0" w:space="0" w:color="auto"/>
                <w:bottom w:val="none" w:sz="0" w:space="0" w:color="auto"/>
                <w:right w:val="none" w:sz="0" w:space="0" w:color="auto"/>
              </w:divBdr>
              <w:divsChild>
                <w:div w:id="936868235">
                  <w:marLeft w:val="0"/>
                  <w:marRight w:val="0"/>
                  <w:marTop w:val="0"/>
                  <w:marBottom w:val="0"/>
                  <w:divBdr>
                    <w:top w:val="none" w:sz="0" w:space="0" w:color="auto"/>
                    <w:left w:val="none" w:sz="0" w:space="0" w:color="auto"/>
                    <w:bottom w:val="none" w:sz="0" w:space="0" w:color="auto"/>
                    <w:right w:val="none" w:sz="0" w:space="0" w:color="auto"/>
                  </w:divBdr>
                  <w:divsChild>
                    <w:div w:id="849291785">
                      <w:marLeft w:val="0"/>
                      <w:marRight w:val="0"/>
                      <w:marTop w:val="0"/>
                      <w:marBottom w:val="0"/>
                      <w:divBdr>
                        <w:top w:val="none" w:sz="0" w:space="0" w:color="auto"/>
                        <w:left w:val="none" w:sz="0" w:space="0" w:color="auto"/>
                        <w:bottom w:val="none" w:sz="0" w:space="0" w:color="auto"/>
                        <w:right w:val="none" w:sz="0" w:space="0" w:color="auto"/>
                      </w:divBdr>
                      <w:divsChild>
                        <w:div w:id="730884902">
                          <w:marLeft w:val="0"/>
                          <w:marRight w:val="0"/>
                          <w:marTop w:val="0"/>
                          <w:marBottom w:val="0"/>
                          <w:divBdr>
                            <w:top w:val="none" w:sz="0" w:space="0" w:color="auto"/>
                            <w:left w:val="none" w:sz="0" w:space="0" w:color="auto"/>
                            <w:bottom w:val="none" w:sz="0" w:space="0" w:color="auto"/>
                            <w:right w:val="none" w:sz="0" w:space="0" w:color="auto"/>
                          </w:divBdr>
                          <w:divsChild>
                            <w:div w:id="179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063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91">
          <w:marLeft w:val="0"/>
          <w:marRight w:val="0"/>
          <w:marTop w:val="0"/>
          <w:marBottom w:val="0"/>
          <w:divBdr>
            <w:top w:val="none" w:sz="0" w:space="0" w:color="auto"/>
            <w:left w:val="none" w:sz="0" w:space="0" w:color="auto"/>
            <w:bottom w:val="none" w:sz="0" w:space="0" w:color="auto"/>
            <w:right w:val="none" w:sz="0" w:space="0" w:color="auto"/>
          </w:divBdr>
          <w:divsChild>
            <w:div w:id="1198852573">
              <w:marLeft w:val="0"/>
              <w:marRight w:val="0"/>
              <w:marTop w:val="0"/>
              <w:marBottom w:val="0"/>
              <w:divBdr>
                <w:top w:val="none" w:sz="0" w:space="0" w:color="auto"/>
                <w:left w:val="none" w:sz="0" w:space="0" w:color="auto"/>
                <w:bottom w:val="none" w:sz="0" w:space="0" w:color="auto"/>
                <w:right w:val="none" w:sz="0" w:space="0" w:color="auto"/>
              </w:divBdr>
              <w:divsChild>
                <w:div w:id="1773545253">
                  <w:marLeft w:val="0"/>
                  <w:marRight w:val="0"/>
                  <w:marTop w:val="0"/>
                  <w:marBottom w:val="0"/>
                  <w:divBdr>
                    <w:top w:val="none" w:sz="0" w:space="0" w:color="auto"/>
                    <w:left w:val="none" w:sz="0" w:space="0" w:color="auto"/>
                    <w:bottom w:val="none" w:sz="0" w:space="0" w:color="auto"/>
                    <w:right w:val="none" w:sz="0" w:space="0" w:color="auto"/>
                  </w:divBdr>
                  <w:divsChild>
                    <w:div w:id="1465544815">
                      <w:marLeft w:val="0"/>
                      <w:marRight w:val="0"/>
                      <w:marTop w:val="0"/>
                      <w:marBottom w:val="0"/>
                      <w:divBdr>
                        <w:top w:val="none" w:sz="0" w:space="0" w:color="auto"/>
                        <w:left w:val="none" w:sz="0" w:space="0" w:color="auto"/>
                        <w:bottom w:val="none" w:sz="0" w:space="0" w:color="auto"/>
                        <w:right w:val="none" w:sz="0" w:space="0" w:color="auto"/>
                      </w:divBdr>
                      <w:divsChild>
                        <w:div w:id="2131850474">
                          <w:marLeft w:val="0"/>
                          <w:marRight w:val="0"/>
                          <w:marTop w:val="0"/>
                          <w:marBottom w:val="0"/>
                          <w:divBdr>
                            <w:top w:val="none" w:sz="0" w:space="0" w:color="auto"/>
                            <w:left w:val="none" w:sz="0" w:space="0" w:color="auto"/>
                            <w:bottom w:val="none" w:sz="0" w:space="0" w:color="auto"/>
                            <w:right w:val="none" w:sz="0" w:space="0" w:color="auto"/>
                          </w:divBdr>
                          <w:divsChild>
                            <w:div w:id="16257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4021">
      <w:bodyDiv w:val="1"/>
      <w:marLeft w:val="0"/>
      <w:marRight w:val="0"/>
      <w:marTop w:val="0"/>
      <w:marBottom w:val="0"/>
      <w:divBdr>
        <w:top w:val="none" w:sz="0" w:space="0" w:color="auto"/>
        <w:left w:val="none" w:sz="0" w:space="0" w:color="auto"/>
        <w:bottom w:val="none" w:sz="0" w:space="0" w:color="auto"/>
        <w:right w:val="none" w:sz="0" w:space="0" w:color="auto"/>
      </w:divBdr>
    </w:div>
    <w:div w:id="352003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4095">
          <w:marLeft w:val="0"/>
          <w:marRight w:val="0"/>
          <w:marTop w:val="0"/>
          <w:marBottom w:val="0"/>
          <w:divBdr>
            <w:top w:val="none" w:sz="0" w:space="0" w:color="auto"/>
            <w:left w:val="none" w:sz="0" w:space="0" w:color="auto"/>
            <w:bottom w:val="none" w:sz="0" w:space="0" w:color="auto"/>
            <w:right w:val="none" w:sz="0" w:space="0" w:color="auto"/>
          </w:divBdr>
          <w:divsChild>
            <w:div w:id="1778480459">
              <w:marLeft w:val="0"/>
              <w:marRight w:val="0"/>
              <w:marTop w:val="0"/>
              <w:marBottom w:val="0"/>
              <w:divBdr>
                <w:top w:val="none" w:sz="0" w:space="0" w:color="auto"/>
                <w:left w:val="none" w:sz="0" w:space="0" w:color="auto"/>
                <w:bottom w:val="none" w:sz="0" w:space="0" w:color="auto"/>
                <w:right w:val="none" w:sz="0" w:space="0" w:color="auto"/>
              </w:divBdr>
              <w:divsChild>
                <w:div w:id="665747387">
                  <w:marLeft w:val="0"/>
                  <w:marRight w:val="0"/>
                  <w:marTop w:val="0"/>
                  <w:marBottom w:val="0"/>
                  <w:divBdr>
                    <w:top w:val="none" w:sz="0" w:space="0" w:color="auto"/>
                    <w:left w:val="none" w:sz="0" w:space="0" w:color="auto"/>
                    <w:bottom w:val="none" w:sz="0" w:space="0" w:color="auto"/>
                    <w:right w:val="none" w:sz="0" w:space="0" w:color="auto"/>
                  </w:divBdr>
                  <w:divsChild>
                    <w:div w:id="1539077216">
                      <w:marLeft w:val="0"/>
                      <w:marRight w:val="0"/>
                      <w:marTop w:val="45"/>
                      <w:marBottom w:val="0"/>
                      <w:divBdr>
                        <w:top w:val="none" w:sz="0" w:space="0" w:color="auto"/>
                        <w:left w:val="none" w:sz="0" w:space="0" w:color="auto"/>
                        <w:bottom w:val="none" w:sz="0" w:space="0" w:color="auto"/>
                        <w:right w:val="none" w:sz="0" w:space="0" w:color="auto"/>
                      </w:divBdr>
                      <w:divsChild>
                        <w:div w:id="1039092286">
                          <w:marLeft w:val="0"/>
                          <w:marRight w:val="0"/>
                          <w:marTop w:val="0"/>
                          <w:marBottom w:val="0"/>
                          <w:divBdr>
                            <w:top w:val="none" w:sz="0" w:space="0" w:color="auto"/>
                            <w:left w:val="none" w:sz="0" w:space="0" w:color="auto"/>
                            <w:bottom w:val="none" w:sz="0" w:space="0" w:color="auto"/>
                            <w:right w:val="none" w:sz="0" w:space="0" w:color="auto"/>
                          </w:divBdr>
                          <w:divsChild>
                            <w:div w:id="614409640">
                              <w:marLeft w:val="2070"/>
                              <w:marRight w:val="3960"/>
                              <w:marTop w:val="0"/>
                              <w:marBottom w:val="0"/>
                              <w:divBdr>
                                <w:top w:val="none" w:sz="0" w:space="0" w:color="auto"/>
                                <w:left w:val="none" w:sz="0" w:space="0" w:color="auto"/>
                                <w:bottom w:val="none" w:sz="0" w:space="0" w:color="auto"/>
                                <w:right w:val="none" w:sz="0" w:space="0" w:color="auto"/>
                              </w:divBdr>
                              <w:divsChild>
                                <w:div w:id="956642752">
                                  <w:marLeft w:val="0"/>
                                  <w:marRight w:val="0"/>
                                  <w:marTop w:val="0"/>
                                  <w:marBottom w:val="0"/>
                                  <w:divBdr>
                                    <w:top w:val="none" w:sz="0" w:space="0" w:color="auto"/>
                                    <w:left w:val="none" w:sz="0" w:space="0" w:color="auto"/>
                                    <w:bottom w:val="none" w:sz="0" w:space="0" w:color="auto"/>
                                    <w:right w:val="none" w:sz="0" w:space="0" w:color="auto"/>
                                  </w:divBdr>
                                  <w:divsChild>
                                    <w:div w:id="1063531422">
                                      <w:marLeft w:val="0"/>
                                      <w:marRight w:val="0"/>
                                      <w:marTop w:val="0"/>
                                      <w:marBottom w:val="0"/>
                                      <w:divBdr>
                                        <w:top w:val="none" w:sz="0" w:space="0" w:color="auto"/>
                                        <w:left w:val="none" w:sz="0" w:space="0" w:color="auto"/>
                                        <w:bottom w:val="none" w:sz="0" w:space="0" w:color="auto"/>
                                        <w:right w:val="none" w:sz="0" w:space="0" w:color="auto"/>
                                      </w:divBdr>
                                      <w:divsChild>
                                        <w:div w:id="645281023">
                                          <w:marLeft w:val="0"/>
                                          <w:marRight w:val="0"/>
                                          <w:marTop w:val="0"/>
                                          <w:marBottom w:val="0"/>
                                          <w:divBdr>
                                            <w:top w:val="none" w:sz="0" w:space="0" w:color="auto"/>
                                            <w:left w:val="none" w:sz="0" w:space="0" w:color="auto"/>
                                            <w:bottom w:val="none" w:sz="0" w:space="0" w:color="auto"/>
                                            <w:right w:val="none" w:sz="0" w:space="0" w:color="auto"/>
                                          </w:divBdr>
                                          <w:divsChild>
                                            <w:div w:id="1972787334">
                                              <w:marLeft w:val="0"/>
                                              <w:marRight w:val="0"/>
                                              <w:marTop w:val="90"/>
                                              <w:marBottom w:val="0"/>
                                              <w:divBdr>
                                                <w:top w:val="none" w:sz="0" w:space="0" w:color="auto"/>
                                                <w:left w:val="none" w:sz="0" w:space="0" w:color="auto"/>
                                                <w:bottom w:val="none" w:sz="0" w:space="0" w:color="auto"/>
                                                <w:right w:val="none" w:sz="0" w:space="0" w:color="auto"/>
                                              </w:divBdr>
                                              <w:divsChild>
                                                <w:div w:id="224143172">
                                                  <w:marLeft w:val="0"/>
                                                  <w:marRight w:val="0"/>
                                                  <w:marTop w:val="0"/>
                                                  <w:marBottom w:val="0"/>
                                                  <w:divBdr>
                                                    <w:top w:val="none" w:sz="0" w:space="0" w:color="auto"/>
                                                    <w:left w:val="none" w:sz="0" w:space="0" w:color="auto"/>
                                                    <w:bottom w:val="none" w:sz="0" w:space="0" w:color="auto"/>
                                                    <w:right w:val="none" w:sz="0" w:space="0" w:color="auto"/>
                                                  </w:divBdr>
                                                  <w:divsChild>
                                                    <w:div w:id="1219364267">
                                                      <w:marLeft w:val="0"/>
                                                      <w:marRight w:val="0"/>
                                                      <w:marTop w:val="0"/>
                                                      <w:marBottom w:val="0"/>
                                                      <w:divBdr>
                                                        <w:top w:val="none" w:sz="0" w:space="0" w:color="auto"/>
                                                        <w:left w:val="none" w:sz="0" w:space="0" w:color="auto"/>
                                                        <w:bottom w:val="none" w:sz="0" w:space="0" w:color="auto"/>
                                                        <w:right w:val="none" w:sz="0" w:space="0" w:color="auto"/>
                                                      </w:divBdr>
                                                      <w:divsChild>
                                                        <w:div w:id="2109546313">
                                                          <w:marLeft w:val="0"/>
                                                          <w:marRight w:val="0"/>
                                                          <w:marTop w:val="0"/>
                                                          <w:marBottom w:val="0"/>
                                                          <w:divBdr>
                                                            <w:top w:val="none" w:sz="0" w:space="0" w:color="auto"/>
                                                            <w:left w:val="none" w:sz="0" w:space="0" w:color="auto"/>
                                                            <w:bottom w:val="none" w:sz="0" w:space="0" w:color="auto"/>
                                                            <w:right w:val="none" w:sz="0" w:space="0" w:color="auto"/>
                                                          </w:divBdr>
                                                          <w:divsChild>
                                                            <w:div w:id="1631012118">
                                                              <w:marLeft w:val="0"/>
                                                              <w:marRight w:val="0"/>
                                                              <w:marTop w:val="0"/>
                                                              <w:marBottom w:val="390"/>
                                                              <w:divBdr>
                                                                <w:top w:val="none" w:sz="0" w:space="0" w:color="auto"/>
                                                                <w:left w:val="none" w:sz="0" w:space="0" w:color="auto"/>
                                                                <w:bottom w:val="none" w:sz="0" w:space="0" w:color="auto"/>
                                                                <w:right w:val="none" w:sz="0" w:space="0" w:color="auto"/>
                                                              </w:divBdr>
                                                              <w:divsChild>
                                                                <w:div w:id="90512312">
                                                                  <w:marLeft w:val="0"/>
                                                                  <w:marRight w:val="0"/>
                                                                  <w:marTop w:val="0"/>
                                                                  <w:marBottom w:val="0"/>
                                                                  <w:divBdr>
                                                                    <w:top w:val="none" w:sz="0" w:space="0" w:color="auto"/>
                                                                    <w:left w:val="none" w:sz="0" w:space="0" w:color="auto"/>
                                                                    <w:bottom w:val="none" w:sz="0" w:space="0" w:color="auto"/>
                                                                    <w:right w:val="none" w:sz="0" w:space="0" w:color="auto"/>
                                                                  </w:divBdr>
                                                                  <w:divsChild>
                                                                    <w:div w:id="664089884">
                                                                      <w:marLeft w:val="0"/>
                                                                      <w:marRight w:val="0"/>
                                                                      <w:marTop w:val="0"/>
                                                                      <w:marBottom w:val="0"/>
                                                                      <w:divBdr>
                                                                        <w:top w:val="none" w:sz="0" w:space="0" w:color="auto"/>
                                                                        <w:left w:val="none" w:sz="0" w:space="0" w:color="auto"/>
                                                                        <w:bottom w:val="none" w:sz="0" w:space="0" w:color="auto"/>
                                                                        <w:right w:val="none" w:sz="0" w:space="0" w:color="auto"/>
                                                                      </w:divBdr>
                                                                      <w:divsChild>
                                                                        <w:div w:id="1480196594">
                                                                          <w:marLeft w:val="0"/>
                                                                          <w:marRight w:val="0"/>
                                                                          <w:marTop w:val="0"/>
                                                                          <w:marBottom w:val="0"/>
                                                                          <w:divBdr>
                                                                            <w:top w:val="none" w:sz="0" w:space="0" w:color="auto"/>
                                                                            <w:left w:val="none" w:sz="0" w:space="0" w:color="auto"/>
                                                                            <w:bottom w:val="none" w:sz="0" w:space="0" w:color="auto"/>
                                                                            <w:right w:val="none" w:sz="0" w:space="0" w:color="auto"/>
                                                                          </w:divBdr>
                                                                          <w:divsChild>
                                                                            <w:div w:id="667633094">
                                                                              <w:marLeft w:val="0"/>
                                                                              <w:marRight w:val="0"/>
                                                                              <w:marTop w:val="0"/>
                                                                              <w:marBottom w:val="0"/>
                                                                              <w:divBdr>
                                                                                <w:top w:val="none" w:sz="0" w:space="0" w:color="auto"/>
                                                                                <w:left w:val="none" w:sz="0" w:space="0" w:color="auto"/>
                                                                                <w:bottom w:val="none" w:sz="0" w:space="0" w:color="auto"/>
                                                                                <w:right w:val="none" w:sz="0" w:space="0" w:color="auto"/>
                                                                              </w:divBdr>
                                                                              <w:divsChild>
                                                                                <w:div w:id="1679042600">
                                                                                  <w:marLeft w:val="0"/>
                                                                                  <w:marRight w:val="0"/>
                                                                                  <w:marTop w:val="0"/>
                                                                                  <w:marBottom w:val="0"/>
                                                                                  <w:divBdr>
                                                                                    <w:top w:val="none" w:sz="0" w:space="0" w:color="auto"/>
                                                                                    <w:left w:val="none" w:sz="0" w:space="0" w:color="auto"/>
                                                                                    <w:bottom w:val="none" w:sz="0" w:space="0" w:color="auto"/>
                                                                                    <w:right w:val="none" w:sz="0" w:space="0" w:color="auto"/>
                                                                                  </w:divBdr>
                                                                                  <w:divsChild>
                                                                                    <w:div w:id="667633121">
                                                                                      <w:marLeft w:val="0"/>
                                                                                      <w:marRight w:val="0"/>
                                                                                      <w:marTop w:val="0"/>
                                                                                      <w:marBottom w:val="0"/>
                                                                                      <w:divBdr>
                                                                                        <w:top w:val="none" w:sz="0" w:space="0" w:color="auto"/>
                                                                                        <w:left w:val="none" w:sz="0" w:space="0" w:color="auto"/>
                                                                                        <w:bottom w:val="none" w:sz="0" w:space="0" w:color="auto"/>
                                                                                        <w:right w:val="none" w:sz="0" w:space="0" w:color="auto"/>
                                                                                      </w:divBdr>
                                                                                      <w:divsChild>
                                                                                        <w:div w:id="650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327131">
      <w:bodyDiv w:val="1"/>
      <w:marLeft w:val="0"/>
      <w:marRight w:val="0"/>
      <w:marTop w:val="0"/>
      <w:marBottom w:val="0"/>
      <w:divBdr>
        <w:top w:val="none" w:sz="0" w:space="0" w:color="auto"/>
        <w:left w:val="none" w:sz="0" w:space="0" w:color="auto"/>
        <w:bottom w:val="none" w:sz="0" w:space="0" w:color="auto"/>
        <w:right w:val="none" w:sz="0" w:space="0" w:color="auto"/>
      </w:divBdr>
      <w:divsChild>
        <w:div w:id="492919888">
          <w:marLeft w:val="0"/>
          <w:marRight w:val="0"/>
          <w:marTop w:val="0"/>
          <w:marBottom w:val="0"/>
          <w:divBdr>
            <w:top w:val="none" w:sz="0" w:space="0" w:color="auto"/>
            <w:left w:val="none" w:sz="0" w:space="0" w:color="auto"/>
            <w:bottom w:val="none" w:sz="0" w:space="0" w:color="auto"/>
            <w:right w:val="none" w:sz="0" w:space="0" w:color="auto"/>
          </w:divBdr>
          <w:divsChild>
            <w:div w:id="739982361">
              <w:marLeft w:val="0"/>
              <w:marRight w:val="0"/>
              <w:marTop w:val="0"/>
              <w:marBottom w:val="0"/>
              <w:divBdr>
                <w:top w:val="none" w:sz="0" w:space="0" w:color="auto"/>
                <w:left w:val="none" w:sz="0" w:space="0" w:color="auto"/>
                <w:bottom w:val="none" w:sz="0" w:space="0" w:color="auto"/>
                <w:right w:val="none" w:sz="0" w:space="0" w:color="auto"/>
              </w:divBdr>
              <w:divsChild>
                <w:div w:id="1239753304">
                  <w:marLeft w:val="0"/>
                  <w:marRight w:val="0"/>
                  <w:marTop w:val="0"/>
                  <w:marBottom w:val="0"/>
                  <w:divBdr>
                    <w:top w:val="none" w:sz="0" w:space="0" w:color="auto"/>
                    <w:left w:val="none" w:sz="0" w:space="0" w:color="auto"/>
                    <w:bottom w:val="none" w:sz="0" w:space="0" w:color="auto"/>
                    <w:right w:val="none" w:sz="0" w:space="0" w:color="auto"/>
                  </w:divBdr>
                  <w:divsChild>
                    <w:div w:id="1874924477">
                      <w:marLeft w:val="0"/>
                      <w:marRight w:val="0"/>
                      <w:marTop w:val="0"/>
                      <w:marBottom w:val="0"/>
                      <w:divBdr>
                        <w:top w:val="none" w:sz="0" w:space="0" w:color="auto"/>
                        <w:left w:val="none" w:sz="0" w:space="0" w:color="auto"/>
                        <w:bottom w:val="none" w:sz="0" w:space="0" w:color="auto"/>
                        <w:right w:val="none" w:sz="0" w:space="0" w:color="auto"/>
                      </w:divBdr>
                      <w:divsChild>
                        <w:div w:id="1279337731">
                          <w:marLeft w:val="0"/>
                          <w:marRight w:val="0"/>
                          <w:marTop w:val="0"/>
                          <w:marBottom w:val="0"/>
                          <w:divBdr>
                            <w:top w:val="none" w:sz="0" w:space="0" w:color="auto"/>
                            <w:left w:val="none" w:sz="0" w:space="0" w:color="auto"/>
                            <w:bottom w:val="none" w:sz="0" w:space="0" w:color="auto"/>
                            <w:right w:val="none" w:sz="0" w:space="0" w:color="auto"/>
                          </w:divBdr>
                          <w:divsChild>
                            <w:div w:id="2051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2127">
      <w:bodyDiv w:val="1"/>
      <w:marLeft w:val="0"/>
      <w:marRight w:val="0"/>
      <w:marTop w:val="0"/>
      <w:marBottom w:val="0"/>
      <w:divBdr>
        <w:top w:val="none" w:sz="0" w:space="0" w:color="auto"/>
        <w:left w:val="none" w:sz="0" w:space="0" w:color="auto"/>
        <w:bottom w:val="none" w:sz="0" w:space="0" w:color="auto"/>
        <w:right w:val="none" w:sz="0" w:space="0" w:color="auto"/>
      </w:divBdr>
      <w:divsChild>
        <w:div w:id="219678421">
          <w:marLeft w:val="0"/>
          <w:marRight w:val="0"/>
          <w:marTop w:val="0"/>
          <w:marBottom w:val="0"/>
          <w:divBdr>
            <w:top w:val="none" w:sz="0" w:space="0" w:color="auto"/>
            <w:left w:val="none" w:sz="0" w:space="0" w:color="auto"/>
            <w:bottom w:val="none" w:sz="0" w:space="0" w:color="auto"/>
            <w:right w:val="none" w:sz="0" w:space="0" w:color="auto"/>
          </w:divBdr>
          <w:divsChild>
            <w:div w:id="784232836">
              <w:marLeft w:val="0"/>
              <w:marRight w:val="0"/>
              <w:marTop w:val="0"/>
              <w:marBottom w:val="0"/>
              <w:divBdr>
                <w:top w:val="none" w:sz="0" w:space="0" w:color="auto"/>
                <w:left w:val="none" w:sz="0" w:space="0" w:color="auto"/>
                <w:bottom w:val="none" w:sz="0" w:space="0" w:color="auto"/>
                <w:right w:val="none" w:sz="0" w:space="0" w:color="auto"/>
              </w:divBdr>
              <w:divsChild>
                <w:div w:id="1413812073">
                  <w:marLeft w:val="0"/>
                  <w:marRight w:val="0"/>
                  <w:marTop w:val="0"/>
                  <w:marBottom w:val="0"/>
                  <w:divBdr>
                    <w:top w:val="none" w:sz="0" w:space="0" w:color="auto"/>
                    <w:left w:val="none" w:sz="0" w:space="0" w:color="auto"/>
                    <w:bottom w:val="none" w:sz="0" w:space="0" w:color="auto"/>
                    <w:right w:val="none" w:sz="0" w:space="0" w:color="auto"/>
                  </w:divBdr>
                  <w:divsChild>
                    <w:div w:id="1191920947">
                      <w:marLeft w:val="0"/>
                      <w:marRight w:val="0"/>
                      <w:marTop w:val="0"/>
                      <w:marBottom w:val="0"/>
                      <w:divBdr>
                        <w:top w:val="none" w:sz="0" w:space="0" w:color="auto"/>
                        <w:left w:val="none" w:sz="0" w:space="0" w:color="auto"/>
                        <w:bottom w:val="none" w:sz="0" w:space="0" w:color="auto"/>
                        <w:right w:val="none" w:sz="0" w:space="0" w:color="auto"/>
                      </w:divBdr>
                      <w:divsChild>
                        <w:div w:id="1385332033">
                          <w:marLeft w:val="0"/>
                          <w:marRight w:val="0"/>
                          <w:marTop w:val="0"/>
                          <w:marBottom w:val="0"/>
                          <w:divBdr>
                            <w:top w:val="none" w:sz="0" w:space="0" w:color="auto"/>
                            <w:left w:val="none" w:sz="0" w:space="0" w:color="auto"/>
                            <w:bottom w:val="none" w:sz="0" w:space="0" w:color="auto"/>
                            <w:right w:val="none" w:sz="0" w:space="0" w:color="auto"/>
                          </w:divBdr>
                          <w:divsChild>
                            <w:div w:id="7901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6932">
      <w:bodyDiv w:val="1"/>
      <w:marLeft w:val="0"/>
      <w:marRight w:val="0"/>
      <w:marTop w:val="0"/>
      <w:marBottom w:val="0"/>
      <w:divBdr>
        <w:top w:val="none" w:sz="0" w:space="0" w:color="auto"/>
        <w:left w:val="none" w:sz="0" w:space="0" w:color="auto"/>
        <w:bottom w:val="none" w:sz="0" w:space="0" w:color="auto"/>
        <w:right w:val="none" w:sz="0" w:space="0" w:color="auto"/>
      </w:divBdr>
      <w:divsChild>
        <w:div w:id="394474894">
          <w:marLeft w:val="0"/>
          <w:marRight w:val="0"/>
          <w:marTop w:val="0"/>
          <w:marBottom w:val="0"/>
          <w:divBdr>
            <w:top w:val="none" w:sz="0" w:space="0" w:color="auto"/>
            <w:left w:val="none" w:sz="0" w:space="0" w:color="auto"/>
            <w:bottom w:val="none" w:sz="0" w:space="0" w:color="auto"/>
            <w:right w:val="none" w:sz="0" w:space="0" w:color="auto"/>
          </w:divBdr>
          <w:divsChild>
            <w:div w:id="1642072272">
              <w:marLeft w:val="0"/>
              <w:marRight w:val="0"/>
              <w:marTop w:val="0"/>
              <w:marBottom w:val="0"/>
              <w:divBdr>
                <w:top w:val="none" w:sz="0" w:space="0" w:color="auto"/>
                <w:left w:val="none" w:sz="0" w:space="0" w:color="auto"/>
                <w:bottom w:val="none" w:sz="0" w:space="0" w:color="auto"/>
                <w:right w:val="none" w:sz="0" w:space="0" w:color="auto"/>
              </w:divBdr>
              <w:divsChild>
                <w:div w:id="2015524014">
                  <w:marLeft w:val="0"/>
                  <w:marRight w:val="0"/>
                  <w:marTop w:val="0"/>
                  <w:marBottom w:val="0"/>
                  <w:divBdr>
                    <w:top w:val="none" w:sz="0" w:space="0" w:color="auto"/>
                    <w:left w:val="none" w:sz="0" w:space="0" w:color="auto"/>
                    <w:bottom w:val="none" w:sz="0" w:space="0" w:color="auto"/>
                    <w:right w:val="none" w:sz="0" w:space="0" w:color="auto"/>
                  </w:divBdr>
                  <w:divsChild>
                    <w:div w:id="500118588">
                      <w:marLeft w:val="0"/>
                      <w:marRight w:val="0"/>
                      <w:marTop w:val="0"/>
                      <w:marBottom w:val="0"/>
                      <w:divBdr>
                        <w:top w:val="none" w:sz="0" w:space="0" w:color="auto"/>
                        <w:left w:val="none" w:sz="0" w:space="0" w:color="auto"/>
                        <w:bottom w:val="none" w:sz="0" w:space="0" w:color="auto"/>
                        <w:right w:val="none" w:sz="0" w:space="0" w:color="auto"/>
                      </w:divBdr>
                      <w:divsChild>
                        <w:div w:id="1388843994">
                          <w:marLeft w:val="0"/>
                          <w:marRight w:val="0"/>
                          <w:marTop w:val="0"/>
                          <w:marBottom w:val="0"/>
                          <w:divBdr>
                            <w:top w:val="none" w:sz="0" w:space="0" w:color="auto"/>
                            <w:left w:val="none" w:sz="0" w:space="0" w:color="auto"/>
                            <w:bottom w:val="none" w:sz="0" w:space="0" w:color="auto"/>
                            <w:right w:val="none" w:sz="0" w:space="0" w:color="auto"/>
                          </w:divBdr>
                          <w:divsChild>
                            <w:div w:id="1403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79939">
      <w:bodyDiv w:val="1"/>
      <w:marLeft w:val="0"/>
      <w:marRight w:val="0"/>
      <w:marTop w:val="0"/>
      <w:marBottom w:val="0"/>
      <w:divBdr>
        <w:top w:val="none" w:sz="0" w:space="0" w:color="auto"/>
        <w:left w:val="none" w:sz="0" w:space="0" w:color="auto"/>
        <w:bottom w:val="none" w:sz="0" w:space="0" w:color="auto"/>
        <w:right w:val="none" w:sz="0" w:space="0" w:color="auto"/>
      </w:divBdr>
    </w:div>
    <w:div w:id="565800883">
      <w:bodyDiv w:val="1"/>
      <w:marLeft w:val="0"/>
      <w:marRight w:val="0"/>
      <w:marTop w:val="0"/>
      <w:marBottom w:val="0"/>
      <w:divBdr>
        <w:top w:val="none" w:sz="0" w:space="0" w:color="auto"/>
        <w:left w:val="none" w:sz="0" w:space="0" w:color="auto"/>
        <w:bottom w:val="none" w:sz="0" w:space="0" w:color="auto"/>
        <w:right w:val="none" w:sz="0" w:space="0" w:color="auto"/>
      </w:divBdr>
    </w:div>
    <w:div w:id="646669432">
      <w:bodyDiv w:val="1"/>
      <w:marLeft w:val="0"/>
      <w:marRight w:val="0"/>
      <w:marTop w:val="0"/>
      <w:marBottom w:val="0"/>
      <w:divBdr>
        <w:top w:val="none" w:sz="0" w:space="0" w:color="auto"/>
        <w:left w:val="none" w:sz="0" w:space="0" w:color="auto"/>
        <w:bottom w:val="none" w:sz="0" w:space="0" w:color="auto"/>
        <w:right w:val="none" w:sz="0" w:space="0" w:color="auto"/>
      </w:divBdr>
      <w:divsChild>
        <w:div w:id="81073491">
          <w:marLeft w:val="0"/>
          <w:marRight w:val="0"/>
          <w:marTop w:val="0"/>
          <w:marBottom w:val="0"/>
          <w:divBdr>
            <w:top w:val="none" w:sz="0" w:space="0" w:color="auto"/>
            <w:left w:val="none" w:sz="0" w:space="0" w:color="auto"/>
            <w:bottom w:val="none" w:sz="0" w:space="0" w:color="auto"/>
            <w:right w:val="none" w:sz="0" w:space="0" w:color="auto"/>
          </w:divBdr>
          <w:divsChild>
            <w:div w:id="1536038837">
              <w:marLeft w:val="0"/>
              <w:marRight w:val="0"/>
              <w:marTop w:val="0"/>
              <w:marBottom w:val="0"/>
              <w:divBdr>
                <w:top w:val="none" w:sz="0" w:space="0" w:color="auto"/>
                <w:left w:val="none" w:sz="0" w:space="0" w:color="auto"/>
                <w:bottom w:val="none" w:sz="0" w:space="0" w:color="auto"/>
                <w:right w:val="none" w:sz="0" w:space="0" w:color="auto"/>
              </w:divBdr>
              <w:divsChild>
                <w:div w:id="1061439218">
                  <w:marLeft w:val="0"/>
                  <w:marRight w:val="0"/>
                  <w:marTop w:val="0"/>
                  <w:marBottom w:val="0"/>
                  <w:divBdr>
                    <w:top w:val="none" w:sz="0" w:space="0" w:color="auto"/>
                    <w:left w:val="none" w:sz="0" w:space="0" w:color="auto"/>
                    <w:bottom w:val="none" w:sz="0" w:space="0" w:color="auto"/>
                    <w:right w:val="none" w:sz="0" w:space="0" w:color="auto"/>
                  </w:divBdr>
                  <w:divsChild>
                    <w:div w:id="1800605448">
                      <w:marLeft w:val="0"/>
                      <w:marRight w:val="0"/>
                      <w:marTop w:val="0"/>
                      <w:marBottom w:val="0"/>
                      <w:divBdr>
                        <w:top w:val="none" w:sz="0" w:space="0" w:color="auto"/>
                        <w:left w:val="none" w:sz="0" w:space="0" w:color="auto"/>
                        <w:bottom w:val="none" w:sz="0" w:space="0" w:color="auto"/>
                        <w:right w:val="none" w:sz="0" w:space="0" w:color="auto"/>
                      </w:divBdr>
                      <w:divsChild>
                        <w:div w:id="631374791">
                          <w:marLeft w:val="0"/>
                          <w:marRight w:val="0"/>
                          <w:marTop w:val="0"/>
                          <w:marBottom w:val="0"/>
                          <w:divBdr>
                            <w:top w:val="none" w:sz="0" w:space="0" w:color="auto"/>
                            <w:left w:val="none" w:sz="0" w:space="0" w:color="auto"/>
                            <w:bottom w:val="none" w:sz="0" w:space="0" w:color="auto"/>
                            <w:right w:val="none" w:sz="0" w:space="0" w:color="auto"/>
                          </w:divBdr>
                          <w:divsChild>
                            <w:div w:id="13022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32226">
      <w:bodyDiv w:val="1"/>
      <w:marLeft w:val="0"/>
      <w:marRight w:val="0"/>
      <w:marTop w:val="0"/>
      <w:marBottom w:val="0"/>
      <w:divBdr>
        <w:top w:val="none" w:sz="0" w:space="0" w:color="auto"/>
        <w:left w:val="none" w:sz="0" w:space="0" w:color="auto"/>
        <w:bottom w:val="none" w:sz="0" w:space="0" w:color="auto"/>
        <w:right w:val="none" w:sz="0" w:space="0" w:color="auto"/>
      </w:divBdr>
    </w:div>
    <w:div w:id="1038310896">
      <w:bodyDiv w:val="1"/>
      <w:marLeft w:val="0"/>
      <w:marRight w:val="0"/>
      <w:marTop w:val="0"/>
      <w:marBottom w:val="0"/>
      <w:divBdr>
        <w:top w:val="none" w:sz="0" w:space="0" w:color="auto"/>
        <w:left w:val="none" w:sz="0" w:space="0" w:color="auto"/>
        <w:bottom w:val="none" w:sz="0" w:space="0" w:color="auto"/>
        <w:right w:val="none" w:sz="0" w:space="0" w:color="auto"/>
      </w:divBdr>
      <w:divsChild>
        <w:div w:id="922225830">
          <w:marLeft w:val="0"/>
          <w:marRight w:val="0"/>
          <w:marTop w:val="0"/>
          <w:marBottom w:val="0"/>
          <w:divBdr>
            <w:top w:val="none" w:sz="0" w:space="0" w:color="auto"/>
            <w:left w:val="none" w:sz="0" w:space="0" w:color="auto"/>
            <w:bottom w:val="none" w:sz="0" w:space="0" w:color="auto"/>
            <w:right w:val="none" w:sz="0" w:space="0" w:color="auto"/>
          </w:divBdr>
          <w:divsChild>
            <w:div w:id="1327785762">
              <w:marLeft w:val="0"/>
              <w:marRight w:val="0"/>
              <w:marTop w:val="0"/>
              <w:marBottom w:val="0"/>
              <w:divBdr>
                <w:top w:val="none" w:sz="0" w:space="0" w:color="auto"/>
                <w:left w:val="none" w:sz="0" w:space="0" w:color="auto"/>
                <w:bottom w:val="none" w:sz="0" w:space="0" w:color="auto"/>
                <w:right w:val="none" w:sz="0" w:space="0" w:color="auto"/>
              </w:divBdr>
              <w:divsChild>
                <w:div w:id="1009483670">
                  <w:marLeft w:val="0"/>
                  <w:marRight w:val="0"/>
                  <w:marTop w:val="0"/>
                  <w:marBottom w:val="0"/>
                  <w:divBdr>
                    <w:top w:val="none" w:sz="0" w:space="0" w:color="auto"/>
                    <w:left w:val="none" w:sz="0" w:space="0" w:color="auto"/>
                    <w:bottom w:val="none" w:sz="0" w:space="0" w:color="auto"/>
                    <w:right w:val="none" w:sz="0" w:space="0" w:color="auto"/>
                  </w:divBdr>
                  <w:divsChild>
                    <w:div w:id="1991517111">
                      <w:marLeft w:val="0"/>
                      <w:marRight w:val="0"/>
                      <w:marTop w:val="0"/>
                      <w:marBottom w:val="0"/>
                      <w:divBdr>
                        <w:top w:val="none" w:sz="0" w:space="0" w:color="auto"/>
                        <w:left w:val="none" w:sz="0" w:space="0" w:color="auto"/>
                        <w:bottom w:val="none" w:sz="0" w:space="0" w:color="auto"/>
                        <w:right w:val="none" w:sz="0" w:space="0" w:color="auto"/>
                      </w:divBdr>
                      <w:divsChild>
                        <w:div w:id="1691174660">
                          <w:marLeft w:val="0"/>
                          <w:marRight w:val="0"/>
                          <w:marTop w:val="0"/>
                          <w:marBottom w:val="0"/>
                          <w:divBdr>
                            <w:top w:val="none" w:sz="0" w:space="0" w:color="auto"/>
                            <w:left w:val="none" w:sz="0" w:space="0" w:color="auto"/>
                            <w:bottom w:val="none" w:sz="0" w:space="0" w:color="auto"/>
                            <w:right w:val="none" w:sz="0" w:space="0" w:color="auto"/>
                          </w:divBdr>
                          <w:divsChild>
                            <w:div w:id="1904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932787">
      <w:bodyDiv w:val="1"/>
      <w:marLeft w:val="0"/>
      <w:marRight w:val="0"/>
      <w:marTop w:val="0"/>
      <w:marBottom w:val="0"/>
      <w:divBdr>
        <w:top w:val="none" w:sz="0" w:space="0" w:color="auto"/>
        <w:left w:val="none" w:sz="0" w:space="0" w:color="auto"/>
        <w:bottom w:val="none" w:sz="0" w:space="0" w:color="auto"/>
        <w:right w:val="none" w:sz="0" w:space="0" w:color="auto"/>
      </w:divBdr>
      <w:divsChild>
        <w:div w:id="1058892615">
          <w:marLeft w:val="0"/>
          <w:marRight w:val="0"/>
          <w:marTop w:val="0"/>
          <w:marBottom w:val="0"/>
          <w:divBdr>
            <w:top w:val="none" w:sz="0" w:space="0" w:color="auto"/>
            <w:left w:val="none" w:sz="0" w:space="0" w:color="auto"/>
            <w:bottom w:val="none" w:sz="0" w:space="0" w:color="auto"/>
            <w:right w:val="none" w:sz="0" w:space="0" w:color="auto"/>
          </w:divBdr>
          <w:divsChild>
            <w:div w:id="911506165">
              <w:marLeft w:val="0"/>
              <w:marRight w:val="0"/>
              <w:marTop w:val="0"/>
              <w:marBottom w:val="0"/>
              <w:divBdr>
                <w:top w:val="none" w:sz="0" w:space="0" w:color="auto"/>
                <w:left w:val="none" w:sz="0" w:space="0" w:color="auto"/>
                <w:bottom w:val="none" w:sz="0" w:space="0" w:color="auto"/>
                <w:right w:val="none" w:sz="0" w:space="0" w:color="auto"/>
              </w:divBdr>
              <w:divsChild>
                <w:div w:id="414480624">
                  <w:marLeft w:val="0"/>
                  <w:marRight w:val="0"/>
                  <w:marTop w:val="0"/>
                  <w:marBottom w:val="0"/>
                  <w:divBdr>
                    <w:top w:val="none" w:sz="0" w:space="0" w:color="auto"/>
                    <w:left w:val="none" w:sz="0" w:space="0" w:color="auto"/>
                    <w:bottom w:val="none" w:sz="0" w:space="0" w:color="auto"/>
                    <w:right w:val="none" w:sz="0" w:space="0" w:color="auto"/>
                  </w:divBdr>
                  <w:divsChild>
                    <w:div w:id="650405889">
                      <w:marLeft w:val="0"/>
                      <w:marRight w:val="0"/>
                      <w:marTop w:val="0"/>
                      <w:marBottom w:val="0"/>
                      <w:divBdr>
                        <w:top w:val="none" w:sz="0" w:space="0" w:color="auto"/>
                        <w:left w:val="none" w:sz="0" w:space="0" w:color="auto"/>
                        <w:bottom w:val="none" w:sz="0" w:space="0" w:color="auto"/>
                        <w:right w:val="none" w:sz="0" w:space="0" w:color="auto"/>
                      </w:divBdr>
                      <w:divsChild>
                        <w:div w:id="1483891717">
                          <w:marLeft w:val="0"/>
                          <w:marRight w:val="0"/>
                          <w:marTop w:val="0"/>
                          <w:marBottom w:val="0"/>
                          <w:divBdr>
                            <w:top w:val="none" w:sz="0" w:space="0" w:color="auto"/>
                            <w:left w:val="none" w:sz="0" w:space="0" w:color="auto"/>
                            <w:bottom w:val="none" w:sz="0" w:space="0" w:color="auto"/>
                            <w:right w:val="none" w:sz="0" w:space="0" w:color="auto"/>
                          </w:divBdr>
                          <w:divsChild>
                            <w:div w:id="14772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52830">
      <w:bodyDiv w:val="1"/>
      <w:marLeft w:val="0"/>
      <w:marRight w:val="0"/>
      <w:marTop w:val="0"/>
      <w:marBottom w:val="0"/>
      <w:divBdr>
        <w:top w:val="none" w:sz="0" w:space="0" w:color="auto"/>
        <w:left w:val="none" w:sz="0" w:space="0" w:color="auto"/>
        <w:bottom w:val="none" w:sz="0" w:space="0" w:color="auto"/>
        <w:right w:val="none" w:sz="0" w:space="0" w:color="auto"/>
      </w:divBdr>
      <w:divsChild>
        <w:div w:id="859469547">
          <w:marLeft w:val="0"/>
          <w:marRight w:val="0"/>
          <w:marTop w:val="0"/>
          <w:marBottom w:val="0"/>
          <w:divBdr>
            <w:top w:val="none" w:sz="0" w:space="0" w:color="auto"/>
            <w:left w:val="none" w:sz="0" w:space="0" w:color="auto"/>
            <w:bottom w:val="none" w:sz="0" w:space="0" w:color="auto"/>
            <w:right w:val="none" w:sz="0" w:space="0" w:color="auto"/>
          </w:divBdr>
          <w:divsChild>
            <w:div w:id="906569181">
              <w:marLeft w:val="0"/>
              <w:marRight w:val="0"/>
              <w:marTop w:val="0"/>
              <w:marBottom w:val="0"/>
              <w:divBdr>
                <w:top w:val="none" w:sz="0" w:space="0" w:color="auto"/>
                <w:left w:val="none" w:sz="0" w:space="0" w:color="auto"/>
                <w:bottom w:val="none" w:sz="0" w:space="0" w:color="auto"/>
                <w:right w:val="none" w:sz="0" w:space="0" w:color="auto"/>
              </w:divBdr>
              <w:divsChild>
                <w:div w:id="64306759">
                  <w:marLeft w:val="0"/>
                  <w:marRight w:val="0"/>
                  <w:marTop w:val="0"/>
                  <w:marBottom w:val="0"/>
                  <w:divBdr>
                    <w:top w:val="none" w:sz="0" w:space="0" w:color="auto"/>
                    <w:left w:val="none" w:sz="0" w:space="0" w:color="auto"/>
                    <w:bottom w:val="none" w:sz="0" w:space="0" w:color="auto"/>
                    <w:right w:val="none" w:sz="0" w:space="0" w:color="auto"/>
                  </w:divBdr>
                  <w:divsChild>
                    <w:div w:id="308292865">
                      <w:marLeft w:val="0"/>
                      <w:marRight w:val="0"/>
                      <w:marTop w:val="0"/>
                      <w:marBottom w:val="0"/>
                      <w:divBdr>
                        <w:top w:val="none" w:sz="0" w:space="0" w:color="auto"/>
                        <w:left w:val="none" w:sz="0" w:space="0" w:color="auto"/>
                        <w:bottom w:val="none" w:sz="0" w:space="0" w:color="auto"/>
                        <w:right w:val="none" w:sz="0" w:space="0" w:color="auto"/>
                      </w:divBdr>
                      <w:divsChild>
                        <w:div w:id="2029863284">
                          <w:marLeft w:val="0"/>
                          <w:marRight w:val="0"/>
                          <w:marTop w:val="0"/>
                          <w:marBottom w:val="0"/>
                          <w:divBdr>
                            <w:top w:val="none" w:sz="0" w:space="0" w:color="auto"/>
                            <w:left w:val="none" w:sz="0" w:space="0" w:color="auto"/>
                            <w:bottom w:val="none" w:sz="0" w:space="0" w:color="auto"/>
                            <w:right w:val="none" w:sz="0" w:space="0" w:color="auto"/>
                          </w:divBdr>
                          <w:divsChild>
                            <w:div w:id="1862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97387">
      <w:bodyDiv w:val="1"/>
      <w:marLeft w:val="0"/>
      <w:marRight w:val="0"/>
      <w:marTop w:val="0"/>
      <w:marBottom w:val="0"/>
      <w:divBdr>
        <w:top w:val="none" w:sz="0" w:space="0" w:color="auto"/>
        <w:left w:val="none" w:sz="0" w:space="0" w:color="auto"/>
        <w:bottom w:val="none" w:sz="0" w:space="0" w:color="auto"/>
        <w:right w:val="none" w:sz="0" w:space="0" w:color="auto"/>
      </w:divBdr>
    </w:div>
    <w:div w:id="1319728195">
      <w:bodyDiv w:val="1"/>
      <w:marLeft w:val="0"/>
      <w:marRight w:val="0"/>
      <w:marTop w:val="0"/>
      <w:marBottom w:val="0"/>
      <w:divBdr>
        <w:top w:val="none" w:sz="0" w:space="0" w:color="auto"/>
        <w:left w:val="none" w:sz="0" w:space="0" w:color="auto"/>
        <w:bottom w:val="none" w:sz="0" w:space="0" w:color="auto"/>
        <w:right w:val="none" w:sz="0" w:space="0" w:color="auto"/>
      </w:divBdr>
    </w:div>
    <w:div w:id="1369379249">
      <w:bodyDiv w:val="1"/>
      <w:marLeft w:val="0"/>
      <w:marRight w:val="0"/>
      <w:marTop w:val="0"/>
      <w:marBottom w:val="0"/>
      <w:divBdr>
        <w:top w:val="none" w:sz="0" w:space="0" w:color="auto"/>
        <w:left w:val="none" w:sz="0" w:space="0" w:color="auto"/>
        <w:bottom w:val="none" w:sz="0" w:space="0" w:color="auto"/>
        <w:right w:val="none" w:sz="0" w:space="0" w:color="auto"/>
      </w:divBdr>
      <w:divsChild>
        <w:div w:id="814416558">
          <w:marLeft w:val="0"/>
          <w:marRight w:val="0"/>
          <w:marTop w:val="0"/>
          <w:marBottom w:val="0"/>
          <w:divBdr>
            <w:top w:val="none" w:sz="0" w:space="0" w:color="auto"/>
            <w:left w:val="none" w:sz="0" w:space="0" w:color="auto"/>
            <w:bottom w:val="none" w:sz="0" w:space="0" w:color="auto"/>
            <w:right w:val="none" w:sz="0" w:space="0" w:color="auto"/>
          </w:divBdr>
        </w:div>
      </w:divsChild>
    </w:div>
    <w:div w:id="1396274100">
      <w:bodyDiv w:val="1"/>
      <w:marLeft w:val="0"/>
      <w:marRight w:val="0"/>
      <w:marTop w:val="0"/>
      <w:marBottom w:val="0"/>
      <w:divBdr>
        <w:top w:val="none" w:sz="0" w:space="0" w:color="auto"/>
        <w:left w:val="none" w:sz="0" w:space="0" w:color="auto"/>
        <w:bottom w:val="none" w:sz="0" w:space="0" w:color="auto"/>
        <w:right w:val="none" w:sz="0" w:space="0" w:color="auto"/>
      </w:divBdr>
      <w:divsChild>
        <w:div w:id="948778280">
          <w:marLeft w:val="0"/>
          <w:marRight w:val="0"/>
          <w:marTop w:val="0"/>
          <w:marBottom w:val="0"/>
          <w:divBdr>
            <w:top w:val="none" w:sz="0" w:space="0" w:color="auto"/>
            <w:left w:val="none" w:sz="0" w:space="0" w:color="auto"/>
            <w:bottom w:val="none" w:sz="0" w:space="0" w:color="auto"/>
            <w:right w:val="none" w:sz="0" w:space="0" w:color="auto"/>
          </w:divBdr>
          <w:divsChild>
            <w:div w:id="1294291602">
              <w:marLeft w:val="0"/>
              <w:marRight w:val="0"/>
              <w:marTop w:val="0"/>
              <w:marBottom w:val="0"/>
              <w:divBdr>
                <w:top w:val="none" w:sz="0" w:space="0" w:color="auto"/>
                <w:left w:val="none" w:sz="0" w:space="0" w:color="auto"/>
                <w:bottom w:val="none" w:sz="0" w:space="0" w:color="auto"/>
                <w:right w:val="none" w:sz="0" w:space="0" w:color="auto"/>
              </w:divBdr>
              <w:divsChild>
                <w:div w:id="1610964437">
                  <w:marLeft w:val="0"/>
                  <w:marRight w:val="0"/>
                  <w:marTop w:val="0"/>
                  <w:marBottom w:val="0"/>
                  <w:divBdr>
                    <w:top w:val="none" w:sz="0" w:space="0" w:color="auto"/>
                    <w:left w:val="none" w:sz="0" w:space="0" w:color="auto"/>
                    <w:bottom w:val="none" w:sz="0" w:space="0" w:color="auto"/>
                    <w:right w:val="none" w:sz="0" w:space="0" w:color="auto"/>
                  </w:divBdr>
                  <w:divsChild>
                    <w:div w:id="685250944">
                      <w:marLeft w:val="0"/>
                      <w:marRight w:val="0"/>
                      <w:marTop w:val="0"/>
                      <w:marBottom w:val="0"/>
                      <w:divBdr>
                        <w:top w:val="none" w:sz="0" w:space="0" w:color="auto"/>
                        <w:left w:val="none" w:sz="0" w:space="0" w:color="auto"/>
                        <w:bottom w:val="none" w:sz="0" w:space="0" w:color="auto"/>
                        <w:right w:val="none" w:sz="0" w:space="0" w:color="auto"/>
                      </w:divBdr>
                      <w:divsChild>
                        <w:div w:id="1739860145">
                          <w:marLeft w:val="0"/>
                          <w:marRight w:val="0"/>
                          <w:marTop w:val="0"/>
                          <w:marBottom w:val="0"/>
                          <w:divBdr>
                            <w:top w:val="none" w:sz="0" w:space="0" w:color="auto"/>
                            <w:left w:val="none" w:sz="0" w:space="0" w:color="auto"/>
                            <w:bottom w:val="none" w:sz="0" w:space="0" w:color="auto"/>
                            <w:right w:val="none" w:sz="0" w:space="0" w:color="auto"/>
                          </w:divBdr>
                          <w:divsChild>
                            <w:div w:id="7650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6659">
      <w:bodyDiv w:val="1"/>
      <w:marLeft w:val="0"/>
      <w:marRight w:val="0"/>
      <w:marTop w:val="0"/>
      <w:marBottom w:val="0"/>
      <w:divBdr>
        <w:top w:val="none" w:sz="0" w:space="0" w:color="auto"/>
        <w:left w:val="none" w:sz="0" w:space="0" w:color="auto"/>
        <w:bottom w:val="none" w:sz="0" w:space="0" w:color="auto"/>
        <w:right w:val="none" w:sz="0" w:space="0" w:color="auto"/>
      </w:divBdr>
      <w:divsChild>
        <w:div w:id="49423445">
          <w:marLeft w:val="0"/>
          <w:marRight w:val="0"/>
          <w:marTop w:val="0"/>
          <w:marBottom w:val="0"/>
          <w:divBdr>
            <w:top w:val="none" w:sz="0" w:space="0" w:color="auto"/>
            <w:left w:val="none" w:sz="0" w:space="0" w:color="auto"/>
            <w:bottom w:val="none" w:sz="0" w:space="0" w:color="auto"/>
            <w:right w:val="none" w:sz="0" w:space="0" w:color="auto"/>
          </w:divBdr>
          <w:divsChild>
            <w:div w:id="1868983397">
              <w:marLeft w:val="0"/>
              <w:marRight w:val="0"/>
              <w:marTop w:val="0"/>
              <w:marBottom w:val="0"/>
              <w:divBdr>
                <w:top w:val="none" w:sz="0" w:space="0" w:color="auto"/>
                <w:left w:val="none" w:sz="0" w:space="0" w:color="auto"/>
                <w:bottom w:val="none" w:sz="0" w:space="0" w:color="auto"/>
                <w:right w:val="none" w:sz="0" w:space="0" w:color="auto"/>
              </w:divBdr>
              <w:divsChild>
                <w:div w:id="1368336546">
                  <w:marLeft w:val="0"/>
                  <w:marRight w:val="0"/>
                  <w:marTop w:val="0"/>
                  <w:marBottom w:val="0"/>
                  <w:divBdr>
                    <w:top w:val="none" w:sz="0" w:space="0" w:color="auto"/>
                    <w:left w:val="none" w:sz="0" w:space="0" w:color="auto"/>
                    <w:bottom w:val="none" w:sz="0" w:space="0" w:color="auto"/>
                    <w:right w:val="none" w:sz="0" w:space="0" w:color="auto"/>
                  </w:divBdr>
                  <w:divsChild>
                    <w:div w:id="548228220">
                      <w:marLeft w:val="0"/>
                      <w:marRight w:val="0"/>
                      <w:marTop w:val="0"/>
                      <w:marBottom w:val="0"/>
                      <w:divBdr>
                        <w:top w:val="none" w:sz="0" w:space="0" w:color="auto"/>
                        <w:left w:val="none" w:sz="0" w:space="0" w:color="auto"/>
                        <w:bottom w:val="none" w:sz="0" w:space="0" w:color="auto"/>
                        <w:right w:val="none" w:sz="0" w:space="0" w:color="auto"/>
                      </w:divBdr>
                      <w:divsChild>
                        <w:div w:id="2131899590">
                          <w:marLeft w:val="0"/>
                          <w:marRight w:val="0"/>
                          <w:marTop w:val="0"/>
                          <w:marBottom w:val="0"/>
                          <w:divBdr>
                            <w:top w:val="none" w:sz="0" w:space="0" w:color="auto"/>
                            <w:left w:val="none" w:sz="0" w:space="0" w:color="auto"/>
                            <w:bottom w:val="none" w:sz="0" w:space="0" w:color="auto"/>
                            <w:right w:val="none" w:sz="0" w:space="0" w:color="auto"/>
                          </w:divBdr>
                          <w:divsChild>
                            <w:div w:id="19448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5885">
      <w:bodyDiv w:val="1"/>
      <w:marLeft w:val="0"/>
      <w:marRight w:val="0"/>
      <w:marTop w:val="0"/>
      <w:marBottom w:val="0"/>
      <w:divBdr>
        <w:top w:val="none" w:sz="0" w:space="0" w:color="auto"/>
        <w:left w:val="none" w:sz="0" w:space="0" w:color="auto"/>
        <w:bottom w:val="none" w:sz="0" w:space="0" w:color="auto"/>
        <w:right w:val="none" w:sz="0" w:space="0" w:color="auto"/>
      </w:divBdr>
    </w:div>
    <w:div w:id="1822772189">
      <w:bodyDiv w:val="1"/>
      <w:marLeft w:val="0"/>
      <w:marRight w:val="0"/>
      <w:marTop w:val="0"/>
      <w:marBottom w:val="0"/>
      <w:divBdr>
        <w:top w:val="none" w:sz="0" w:space="0" w:color="auto"/>
        <w:left w:val="none" w:sz="0" w:space="0" w:color="auto"/>
        <w:bottom w:val="none" w:sz="0" w:space="0" w:color="auto"/>
        <w:right w:val="none" w:sz="0" w:space="0" w:color="auto"/>
      </w:divBdr>
      <w:divsChild>
        <w:div w:id="700590733">
          <w:marLeft w:val="0"/>
          <w:marRight w:val="0"/>
          <w:marTop w:val="0"/>
          <w:marBottom w:val="0"/>
          <w:divBdr>
            <w:top w:val="none" w:sz="0" w:space="0" w:color="auto"/>
            <w:left w:val="none" w:sz="0" w:space="0" w:color="auto"/>
            <w:bottom w:val="none" w:sz="0" w:space="0" w:color="auto"/>
            <w:right w:val="none" w:sz="0" w:space="0" w:color="auto"/>
          </w:divBdr>
          <w:divsChild>
            <w:div w:id="1329166579">
              <w:marLeft w:val="0"/>
              <w:marRight w:val="0"/>
              <w:marTop w:val="0"/>
              <w:marBottom w:val="0"/>
              <w:divBdr>
                <w:top w:val="none" w:sz="0" w:space="0" w:color="auto"/>
                <w:left w:val="none" w:sz="0" w:space="0" w:color="auto"/>
                <w:bottom w:val="none" w:sz="0" w:space="0" w:color="auto"/>
                <w:right w:val="none" w:sz="0" w:space="0" w:color="auto"/>
              </w:divBdr>
              <w:divsChild>
                <w:div w:id="549879308">
                  <w:marLeft w:val="0"/>
                  <w:marRight w:val="0"/>
                  <w:marTop w:val="0"/>
                  <w:marBottom w:val="0"/>
                  <w:divBdr>
                    <w:top w:val="none" w:sz="0" w:space="0" w:color="auto"/>
                    <w:left w:val="none" w:sz="0" w:space="0" w:color="auto"/>
                    <w:bottom w:val="none" w:sz="0" w:space="0" w:color="auto"/>
                    <w:right w:val="none" w:sz="0" w:space="0" w:color="auto"/>
                  </w:divBdr>
                  <w:divsChild>
                    <w:div w:id="1241408450">
                      <w:marLeft w:val="0"/>
                      <w:marRight w:val="0"/>
                      <w:marTop w:val="0"/>
                      <w:marBottom w:val="0"/>
                      <w:divBdr>
                        <w:top w:val="none" w:sz="0" w:space="0" w:color="auto"/>
                        <w:left w:val="none" w:sz="0" w:space="0" w:color="auto"/>
                        <w:bottom w:val="none" w:sz="0" w:space="0" w:color="auto"/>
                        <w:right w:val="none" w:sz="0" w:space="0" w:color="auto"/>
                      </w:divBdr>
                      <w:divsChild>
                        <w:div w:id="461777041">
                          <w:marLeft w:val="0"/>
                          <w:marRight w:val="0"/>
                          <w:marTop w:val="0"/>
                          <w:marBottom w:val="0"/>
                          <w:divBdr>
                            <w:top w:val="none" w:sz="0" w:space="0" w:color="auto"/>
                            <w:left w:val="none" w:sz="0" w:space="0" w:color="auto"/>
                            <w:bottom w:val="none" w:sz="0" w:space="0" w:color="auto"/>
                            <w:right w:val="none" w:sz="0" w:space="0" w:color="auto"/>
                          </w:divBdr>
                          <w:divsChild>
                            <w:div w:id="922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3848">
      <w:bodyDiv w:val="1"/>
      <w:marLeft w:val="0"/>
      <w:marRight w:val="0"/>
      <w:marTop w:val="0"/>
      <w:marBottom w:val="0"/>
      <w:divBdr>
        <w:top w:val="none" w:sz="0" w:space="0" w:color="auto"/>
        <w:left w:val="none" w:sz="0" w:space="0" w:color="auto"/>
        <w:bottom w:val="none" w:sz="0" w:space="0" w:color="auto"/>
        <w:right w:val="none" w:sz="0" w:space="0" w:color="auto"/>
      </w:divBdr>
    </w:div>
    <w:div w:id="1997219651">
      <w:bodyDiv w:val="1"/>
      <w:marLeft w:val="0"/>
      <w:marRight w:val="0"/>
      <w:marTop w:val="0"/>
      <w:marBottom w:val="0"/>
      <w:divBdr>
        <w:top w:val="none" w:sz="0" w:space="0" w:color="auto"/>
        <w:left w:val="none" w:sz="0" w:space="0" w:color="auto"/>
        <w:bottom w:val="none" w:sz="0" w:space="0" w:color="auto"/>
        <w:right w:val="none" w:sz="0" w:space="0" w:color="auto"/>
      </w:divBdr>
      <w:divsChild>
        <w:div w:id="1824421806">
          <w:marLeft w:val="0"/>
          <w:marRight w:val="0"/>
          <w:marTop w:val="0"/>
          <w:marBottom w:val="0"/>
          <w:divBdr>
            <w:top w:val="none" w:sz="0" w:space="0" w:color="auto"/>
            <w:left w:val="none" w:sz="0" w:space="0" w:color="auto"/>
            <w:bottom w:val="none" w:sz="0" w:space="0" w:color="auto"/>
            <w:right w:val="none" w:sz="0" w:space="0" w:color="auto"/>
          </w:divBdr>
          <w:divsChild>
            <w:div w:id="1781299011">
              <w:marLeft w:val="0"/>
              <w:marRight w:val="0"/>
              <w:marTop w:val="0"/>
              <w:marBottom w:val="0"/>
              <w:divBdr>
                <w:top w:val="none" w:sz="0" w:space="0" w:color="auto"/>
                <w:left w:val="none" w:sz="0" w:space="0" w:color="auto"/>
                <w:bottom w:val="none" w:sz="0" w:space="0" w:color="auto"/>
                <w:right w:val="none" w:sz="0" w:space="0" w:color="auto"/>
              </w:divBdr>
              <w:divsChild>
                <w:div w:id="393771656">
                  <w:marLeft w:val="0"/>
                  <w:marRight w:val="0"/>
                  <w:marTop w:val="0"/>
                  <w:marBottom w:val="0"/>
                  <w:divBdr>
                    <w:top w:val="none" w:sz="0" w:space="0" w:color="auto"/>
                    <w:left w:val="none" w:sz="0" w:space="0" w:color="auto"/>
                    <w:bottom w:val="none" w:sz="0" w:space="0" w:color="auto"/>
                    <w:right w:val="none" w:sz="0" w:space="0" w:color="auto"/>
                  </w:divBdr>
                  <w:divsChild>
                    <w:div w:id="868253082">
                      <w:marLeft w:val="0"/>
                      <w:marRight w:val="0"/>
                      <w:marTop w:val="0"/>
                      <w:marBottom w:val="0"/>
                      <w:divBdr>
                        <w:top w:val="none" w:sz="0" w:space="0" w:color="auto"/>
                        <w:left w:val="none" w:sz="0" w:space="0" w:color="auto"/>
                        <w:bottom w:val="none" w:sz="0" w:space="0" w:color="auto"/>
                        <w:right w:val="none" w:sz="0" w:space="0" w:color="auto"/>
                      </w:divBdr>
                      <w:divsChild>
                        <w:div w:id="234560452">
                          <w:marLeft w:val="0"/>
                          <w:marRight w:val="0"/>
                          <w:marTop w:val="0"/>
                          <w:marBottom w:val="0"/>
                          <w:divBdr>
                            <w:top w:val="none" w:sz="0" w:space="0" w:color="auto"/>
                            <w:left w:val="none" w:sz="0" w:space="0" w:color="auto"/>
                            <w:bottom w:val="none" w:sz="0" w:space="0" w:color="auto"/>
                            <w:right w:val="none" w:sz="0" w:space="0" w:color="auto"/>
                          </w:divBdr>
                          <w:divsChild>
                            <w:div w:id="737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963">
      <w:bodyDiv w:val="1"/>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315721557">
              <w:marLeft w:val="0"/>
              <w:marRight w:val="0"/>
              <w:marTop w:val="0"/>
              <w:marBottom w:val="0"/>
              <w:divBdr>
                <w:top w:val="none" w:sz="0" w:space="0" w:color="auto"/>
                <w:left w:val="none" w:sz="0" w:space="0" w:color="auto"/>
                <w:bottom w:val="none" w:sz="0" w:space="0" w:color="auto"/>
                <w:right w:val="none" w:sz="0" w:space="0" w:color="auto"/>
              </w:divBdr>
              <w:divsChild>
                <w:div w:id="1793479454">
                  <w:marLeft w:val="0"/>
                  <w:marRight w:val="0"/>
                  <w:marTop w:val="0"/>
                  <w:marBottom w:val="0"/>
                  <w:divBdr>
                    <w:top w:val="none" w:sz="0" w:space="0" w:color="auto"/>
                    <w:left w:val="none" w:sz="0" w:space="0" w:color="auto"/>
                    <w:bottom w:val="none" w:sz="0" w:space="0" w:color="auto"/>
                    <w:right w:val="none" w:sz="0" w:space="0" w:color="auto"/>
                  </w:divBdr>
                  <w:divsChild>
                    <w:div w:id="671487357">
                      <w:marLeft w:val="0"/>
                      <w:marRight w:val="0"/>
                      <w:marTop w:val="0"/>
                      <w:marBottom w:val="0"/>
                      <w:divBdr>
                        <w:top w:val="none" w:sz="0" w:space="0" w:color="auto"/>
                        <w:left w:val="none" w:sz="0" w:space="0" w:color="auto"/>
                        <w:bottom w:val="none" w:sz="0" w:space="0" w:color="auto"/>
                        <w:right w:val="none" w:sz="0" w:space="0" w:color="auto"/>
                      </w:divBdr>
                      <w:divsChild>
                        <w:div w:id="1878662320">
                          <w:marLeft w:val="0"/>
                          <w:marRight w:val="0"/>
                          <w:marTop w:val="0"/>
                          <w:marBottom w:val="0"/>
                          <w:divBdr>
                            <w:top w:val="none" w:sz="0" w:space="0" w:color="auto"/>
                            <w:left w:val="none" w:sz="0" w:space="0" w:color="auto"/>
                            <w:bottom w:val="none" w:sz="0" w:space="0" w:color="auto"/>
                            <w:right w:val="none" w:sz="0" w:space="0" w:color="auto"/>
                          </w:divBdr>
                          <w:divsChild>
                            <w:div w:id="4973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wto.org/english/tratop_e/trips_e/trips_issues_e.htm" TargetMode="External"/><Relationship Id="rId3" Type="http://schemas.openxmlformats.org/officeDocument/2006/relationships/styles" Target="styles.xml"/><Relationship Id="rId21" Type="http://schemas.openxmlformats.org/officeDocument/2006/relationships/hyperlink" Target="https://fas.org/sgp/crs/misc/RS21118.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wipo.int/edocs/pubdocs/en/wipo_pub_941_2017-chapter2.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link.springer.com/journal/10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iencedirect.com/science/journal/01672681"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search.proquest.com/pubidlinkhandler/sng/pubtitle/Journal+of+Markets+and+Morality/$N/2028760/PagePdf/1439124711/fulltextPDF/17D9581D42864742PQ/1?accountid=14664"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siapacific.ca/research-report/intellectual-property-rights-challenges-facing-foreign-and-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sciencedirect.com/science/journal/01482963"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534D-3AE8-48EB-99B6-6BFDCFE9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12296</Words>
  <Characters>70091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2019-10-28T12:35:00Z</dcterms:created>
  <dcterms:modified xsi:type="dcterms:W3CDTF">2019-10-28T12:35:00Z</dcterms:modified>
</cp:coreProperties>
</file>