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0ACDA" w14:textId="0EC03750" w:rsidR="005844D7" w:rsidRPr="00B10A2D" w:rsidRDefault="005844D7" w:rsidP="00266790">
      <w:pPr>
        <w:jc w:val="both"/>
        <w:rPr>
          <w:rFonts w:cstheme="minorHAnsi"/>
          <w:b/>
          <w:i/>
        </w:rPr>
      </w:pPr>
      <w:r w:rsidRPr="00B10A2D">
        <w:rPr>
          <w:rFonts w:cstheme="minorHAnsi"/>
          <w:b/>
          <w:i/>
        </w:rPr>
        <w:t xml:space="preserve">Making sense of ‘excited delirium’ in cases of death after police contact. </w:t>
      </w:r>
    </w:p>
    <w:p w14:paraId="762A61DF" w14:textId="77777777" w:rsidR="00CB1EEE" w:rsidRPr="00B10A2D" w:rsidRDefault="00CB1EEE" w:rsidP="00266790">
      <w:pPr>
        <w:jc w:val="both"/>
        <w:rPr>
          <w:rFonts w:cstheme="minorHAnsi"/>
        </w:rPr>
      </w:pPr>
    </w:p>
    <w:p w14:paraId="0E80B687" w14:textId="7AE719A1" w:rsidR="00A038BB" w:rsidRPr="00B10A2D" w:rsidRDefault="00A038BB" w:rsidP="00266790">
      <w:pPr>
        <w:jc w:val="both"/>
        <w:rPr>
          <w:rFonts w:cstheme="minorHAnsi"/>
          <w:b/>
          <w:i/>
        </w:rPr>
      </w:pPr>
      <w:r w:rsidRPr="00B10A2D">
        <w:rPr>
          <w:rFonts w:cstheme="minorHAnsi"/>
          <w:b/>
          <w:i/>
        </w:rPr>
        <w:t>Abstract</w:t>
      </w:r>
    </w:p>
    <w:p w14:paraId="6494901B" w14:textId="4F7141D1" w:rsidR="005844D7" w:rsidRPr="00B10A2D" w:rsidRDefault="005844D7" w:rsidP="00266790">
      <w:pPr>
        <w:jc w:val="both"/>
        <w:rPr>
          <w:rFonts w:cstheme="minorHAnsi"/>
        </w:rPr>
      </w:pPr>
      <w:r w:rsidRPr="00B10A2D">
        <w:rPr>
          <w:rFonts w:cstheme="minorHAnsi"/>
        </w:rPr>
        <w:t>The term ‘excited delirium’ has been used by coroners’ courts and police regulators</w:t>
      </w:r>
      <w:r w:rsidR="00ED1EF6" w:rsidRPr="00B10A2D">
        <w:rPr>
          <w:rFonts w:cstheme="minorHAnsi"/>
        </w:rPr>
        <w:t xml:space="preserve"> in England and Wales</w:t>
      </w:r>
      <w:r w:rsidRPr="00B10A2D">
        <w:rPr>
          <w:rFonts w:cstheme="minorHAnsi"/>
        </w:rPr>
        <w:t xml:space="preserve"> to classify some </w:t>
      </w:r>
      <w:r w:rsidR="00A37C06" w:rsidRPr="00B10A2D">
        <w:rPr>
          <w:rFonts w:cstheme="minorHAnsi"/>
        </w:rPr>
        <w:t>cases of death</w:t>
      </w:r>
      <w:r w:rsidRPr="00B10A2D">
        <w:rPr>
          <w:rFonts w:cstheme="minorHAnsi"/>
        </w:rPr>
        <w:t xml:space="preserve"> after police contact. It is suggested that this term explains the extreme drug toxicity that gives individuals incredible strength and resis</w:t>
      </w:r>
      <w:r w:rsidR="008E539D" w:rsidRPr="00B10A2D">
        <w:rPr>
          <w:rFonts w:cstheme="minorHAnsi"/>
        </w:rPr>
        <w:t>tance to pain. This is despite excited delirium</w:t>
      </w:r>
      <w:r w:rsidRPr="00B10A2D">
        <w:rPr>
          <w:rFonts w:cstheme="minorHAnsi"/>
        </w:rPr>
        <w:t xml:space="preserve"> not being recognised as a condition by a number of healthca</w:t>
      </w:r>
      <w:r w:rsidR="00A37C06" w:rsidRPr="00B10A2D">
        <w:rPr>
          <w:rFonts w:cstheme="minorHAnsi"/>
        </w:rPr>
        <w:t>re organ</w:t>
      </w:r>
      <w:r w:rsidR="0066576B" w:rsidRPr="00B10A2D">
        <w:rPr>
          <w:rFonts w:cstheme="minorHAnsi"/>
        </w:rPr>
        <w:t xml:space="preserve">isations world-wide. </w:t>
      </w:r>
      <w:r w:rsidRPr="00B10A2D">
        <w:rPr>
          <w:rFonts w:cstheme="minorHAnsi"/>
        </w:rPr>
        <w:t xml:space="preserve">Verdicts recorded by juries </w:t>
      </w:r>
      <w:r w:rsidR="0034619F" w:rsidRPr="00B10A2D">
        <w:rPr>
          <w:rFonts w:cstheme="minorHAnsi"/>
        </w:rPr>
        <w:t xml:space="preserve">after deaths after police contact </w:t>
      </w:r>
      <w:r w:rsidRPr="00B10A2D">
        <w:rPr>
          <w:rFonts w:cstheme="minorHAnsi"/>
        </w:rPr>
        <w:t>in coroners’ courts in Engl</w:t>
      </w:r>
      <w:r w:rsidR="0066576B" w:rsidRPr="00B10A2D">
        <w:rPr>
          <w:rFonts w:cstheme="minorHAnsi"/>
        </w:rPr>
        <w:t>and and Wales in the period 2009</w:t>
      </w:r>
      <w:r w:rsidRPr="00B10A2D">
        <w:rPr>
          <w:rFonts w:cstheme="minorHAnsi"/>
        </w:rPr>
        <w:t xml:space="preserve">-15 are </w:t>
      </w:r>
      <w:r w:rsidR="00C169C4" w:rsidRPr="00B10A2D">
        <w:rPr>
          <w:rFonts w:cstheme="minorHAnsi"/>
        </w:rPr>
        <w:t>analysed</w:t>
      </w:r>
      <w:r w:rsidRPr="00B10A2D">
        <w:rPr>
          <w:rFonts w:cstheme="minorHAnsi"/>
        </w:rPr>
        <w:t xml:space="preserve"> in addition to a review of extant litera</w:t>
      </w:r>
      <w:r w:rsidR="008E539D" w:rsidRPr="00B10A2D">
        <w:rPr>
          <w:rFonts w:cstheme="minorHAnsi"/>
        </w:rPr>
        <w:t>ture on policing and excited delirium</w:t>
      </w:r>
      <w:r w:rsidRPr="00B10A2D">
        <w:rPr>
          <w:rFonts w:cstheme="minorHAnsi"/>
        </w:rPr>
        <w:t xml:space="preserve">. </w:t>
      </w:r>
      <w:r w:rsidR="00D465C3" w:rsidRPr="00B10A2D">
        <w:rPr>
          <w:rFonts w:cstheme="minorHAnsi"/>
        </w:rPr>
        <w:t xml:space="preserve">The paper argues that although excited delirium is of uncertain aetiology and typically exists within a constellation of symptoms, it might still have utility in enabling police to identify and safely deal with individuals in crisis situations. </w:t>
      </w:r>
    </w:p>
    <w:p w14:paraId="3C163ACF" w14:textId="25B3A4F9" w:rsidR="00C31B02" w:rsidRPr="00B10A2D" w:rsidRDefault="005844D7" w:rsidP="00266790">
      <w:pPr>
        <w:jc w:val="both"/>
        <w:rPr>
          <w:rFonts w:cstheme="minorHAnsi"/>
        </w:rPr>
      </w:pPr>
      <w:r w:rsidRPr="00B10A2D">
        <w:rPr>
          <w:rFonts w:cstheme="minorHAnsi"/>
        </w:rPr>
        <w:t xml:space="preserve">Key words: death after police contact, excited delirium, </w:t>
      </w:r>
      <w:r w:rsidR="000456CF" w:rsidRPr="00B10A2D">
        <w:rPr>
          <w:rFonts w:cstheme="minorHAnsi"/>
        </w:rPr>
        <w:t xml:space="preserve">police accountability, </w:t>
      </w:r>
      <w:r w:rsidRPr="00B10A2D">
        <w:rPr>
          <w:rFonts w:cstheme="minorHAnsi"/>
        </w:rPr>
        <w:t>coroners’ courts</w:t>
      </w:r>
    </w:p>
    <w:p w14:paraId="42E574FA" w14:textId="77777777" w:rsidR="006B3780" w:rsidRPr="00B10A2D" w:rsidRDefault="006B3780" w:rsidP="00266790">
      <w:pPr>
        <w:jc w:val="both"/>
        <w:rPr>
          <w:u w:val="single"/>
        </w:rPr>
      </w:pPr>
    </w:p>
    <w:p w14:paraId="6C91C05A" w14:textId="352D72B5" w:rsidR="00FE302C" w:rsidRPr="00B10A2D" w:rsidRDefault="00A37C06" w:rsidP="00266790">
      <w:pPr>
        <w:jc w:val="both"/>
        <w:rPr>
          <w:b/>
          <w:i/>
        </w:rPr>
      </w:pPr>
      <w:r w:rsidRPr="00B10A2D">
        <w:rPr>
          <w:b/>
          <w:i/>
        </w:rPr>
        <w:t>Introduction</w:t>
      </w:r>
    </w:p>
    <w:p w14:paraId="77C5618D" w14:textId="77777777" w:rsidR="006B3780" w:rsidRPr="00B10A2D" w:rsidRDefault="006B3780" w:rsidP="00266790">
      <w:pPr>
        <w:spacing w:after="0" w:line="360" w:lineRule="auto"/>
        <w:jc w:val="both"/>
      </w:pPr>
    </w:p>
    <w:p w14:paraId="48FFCBA3" w14:textId="6F183A0A" w:rsidR="00F759B4" w:rsidRPr="00B10A2D" w:rsidRDefault="00FC7889" w:rsidP="00266790">
      <w:pPr>
        <w:spacing w:after="0" w:line="360" w:lineRule="auto"/>
        <w:jc w:val="both"/>
      </w:pPr>
      <w:r w:rsidRPr="00B10A2D">
        <w:t>D</w:t>
      </w:r>
      <w:r w:rsidR="00F85CA8" w:rsidRPr="00B10A2D">
        <w:t>eaths</w:t>
      </w:r>
      <w:r w:rsidRPr="00B10A2D">
        <w:t xml:space="preserve"> after police contact (DAPC) </w:t>
      </w:r>
      <w:r w:rsidR="0068291E" w:rsidRPr="00B10A2D">
        <w:t>have become</w:t>
      </w:r>
      <w:r w:rsidRPr="00B10A2D">
        <w:t xml:space="preserve"> </w:t>
      </w:r>
      <w:r w:rsidR="00D34A99" w:rsidRPr="00B10A2D">
        <w:t>i</w:t>
      </w:r>
      <w:r w:rsidR="009017F3" w:rsidRPr="00B10A2D">
        <w:t xml:space="preserve">ncreasingly </w:t>
      </w:r>
      <w:r w:rsidR="0030117A" w:rsidRPr="00B10A2D">
        <w:t>contentious</w:t>
      </w:r>
      <w:r w:rsidR="007E4332" w:rsidRPr="00B10A2D">
        <w:t xml:space="preserve"> </w:t>
      </w:r>
      <w:r w:rsidR="00B6667F" w:rsidRPr="00B10A2D">
        <w:t xml:space="preserve">as they symbolise </w:t>
      </w:r>
      <w:r w:rsidR="001711B6" w:rsidRPr="00B10A2D">
        <w:t>problems in the nexus between police and society related to leg</w:t>
      </w:r>
      <w:r w:rsidR="00AE4CF9" w:rsidRPr="00B10A2D">
        <w:t>itimacy and accountability (</w:t>
      </w:r>
      <w:r w:rsidR="00082C8A" w:rsidRPr="00B10A2D">
        <w:t>Baker</w:t>
      </w:r>
      <w:r w:rsidR="00DF7B0A" w:rsidRPr="00B10A2D">
        <w:t>,</w:t>
      </w:r>
      <w:r w:rsidR="00761336" w:rsidRPr="00B10A2D">
        <w:t xml:space="preserve"> </w:t>
      </w:r>
      <w:r w:rsidR="00D465C3" w:rsidRPr="00B10A2D">
        <w:t>2016a</w:t>
      </w:r>
      <w:r w:rsidR="003C1006" w:rsidRPr="00B10A2D">
        <w:t xml:space="preserve">, </w:t>
      </w:r>
      <w:r w:rsidR="00AE4CF9" w:rsidRPr="00B10A2D">
        <w:t>Savage</w:t>
      </w:r>
      <w:r w:rsidR="00DF7B0A" w:rsidRPr="00B10A2D">
        <w:t>,</w:t>
      </w:r>
      <w:r w:rsidR="00AE4CF9" w:rsidRPr="00B10A2D">
        <w:t xml:space="preserve"> 2008</w:t>
      </w:r>
      <w:r w:rsidR="001711B6" w:rsidRPr="00B10A2D">
        <w:t xml:space="preserve">). </w:t>
      </w:r>
      <w:r w:rsidR="00D946A1" w:rsidRPr="00B10A2D">
        <w:t>Cases such as</w:t>
      </w:r>
      <w:r w:rsidR="00A76ABB" w:rsidRPr="00B10A2D">
        <w:t xml:space="preserve"> </w:t>
      </w:r>
      <w:r w:rsidR="002973A8" w:rsidRPr="00B10A2D">
        <w:t>Eric Garner</w:t>
      </w:r>
      <w:r w:rsidR="00493DA2" w:rsidRPr="00B10A2D">
        <w:rPr>
          <w:rStyle w:val="FootnoteReference"/>
        </w:rPr>
        <w:footnoteReference w:id="1"/>
      </w:r>
      <w:r w:rsidR="002973A8" w:rsidRPr="00B10A2D">
        <w:t xml:space="preserve"> and Michael Brown</w:t>
      </w:r>
      <w:r w:rsidR="009B4B01" w:rsidRPr="00B10A2D">
        <w:rPr>
          <w:rStyle w:val="FootnoteReference"/>
        </w:rPr>
        <w:footnoteReference w:id="2"/>
      </w:r>
      <w:r w:rsidR="00D946A1" w:rsidRPr="00B10A2D">
        <w:t xml:space="preserve"> in the US, </w:t>
      </w:r>
      <w:r w:rsidR="008E539D" w:rsidRPr="00B10A2D">
        <w:t xml:space="preserve">and </w:t>
      </w:r>
      <w:r w:rsidR="00D946A1" w:rsidRPr="00B10A2D">
        <w:t>Mark Duggan</w:t>
      </w:r>
      <w:r w:rsidR="00E14995" w:rsidRPr="00B10A2D">
        <w:rPr>
          <w:rStyle w:val="FootnoteReference"/>
        </w:rPr>
        <w:footnoteReference w:id="3"/>
      </w:r>
      <w:r w:rsidR="00D946A1" w:rsidRPr="00B10A2D">
        <w:t xml:space="preserve"> and Ian Tomlinson</w:t>
      </w:r>
      <w:r w:rsidR="007574A4" w:rsidRPr="00B10A2D">
        <w:rPr>
          <w:rStyle w:val="FootnoteReference"/>
        </w:rPr>
        <w:footnoteReference w:id="4"/>
      </w:r>
      <w:r w:rsidR="00ED1EF6" w:rsidRPr="00B10A2D">
        <w:t xml:space="preserve"> in the UK have come</w:t>
      </w:r>
      <w:r w:rsidR="00D946A1" w:rsidRPr="00B10A2D">
        <w:t xml:space="preserve"> to epitomise the</w:t>
      </w:r>
      <w:r w:rsidR="00AA6C9A" w:rsidRPr="00B10A2D">
        <w:t xml:space="preserve"> sometimes</w:t>
      </w:r>
      <w:r w:rsidR="00D946A1" w:rsidRPr="00B10A2D">
        <w:t xml:space="preserve"> fractious nature of police interactions with society that often touch upon </w:t>
      </w:r>
      <w:r w:rsidR="00697AF4" w:rsidRPr="00B10A2D">
        <w:t xml:space="preserve">a </w:t>
      </w:r>
      <w:r w:rsidR="00D946A1" w:rsidRPr="00B10A2D">
        <w:t>pe</w:t>
      </w:r>
      <w:r w:rsidR="007574A4" w:rsidRPr="00B10A2D">
        <w:t>rceived excessive use of force, particularly in relation to interactions with members of</w:t>
      </w:r>
      <w:r w:rsidR="008E539D" w:rsidRPr="00B10A2D">
        <w:t xml:space="preserve"> Black and Minority Ethnic</w:t>
      </w:r>
      <w:r w:rsidR="007574A4" w:rsidRPr="00B10A2D">
        <w:t xml:space="preserve"> </w:t>
      </w:r>
      <w:r w:rsidR="008E539D" w:rsidRPr="00B10A2D">
        <w:t xml:space="preserve">(BME) </w:t>
      </w:r>
      <w:r w:rsidR="007574A4" w:rsidRPr="00B10A2D">
        <w:t>communities</w:t>
      </w:r>
      <w:r w:rsidR="00ED1EF6" w:rsidRPr="00B10A2D">
        <w:t xml:space="preserve"> (Hirschfield and Simon</w:t>
      </w:r>
      <w:r w:rsidR="00DF7B0A" w:rsidRPr="00B10A2D">
        <w:t>,</w:t>
      </w:r>
      <w:r w:rsidR="00ED1EF6" w:rsidRPr="00B10A2D">
        <w:t xml:space="preserve"> 2010)</w:t>
      </w:r>
      <w:r w:rsidR="007574A4" w:rsidRPr="00B10A2D">
        <w:t xml:space="preserve">. </w:t>
      </w:r>
      <w:r w:rsidR="00F759B4" w:rsidRPr="00B10A2D">
        <w:t xml:space="preserve">Similarly, the use of police force against individuals with mental health issues has </w:t>
      </w:r>
      <w:r w:rsidR="008E539D" w:rsidRPr="00B10A2D">
        <w:t xml:space="preserve">recently </w:t>
      </w:r>
      <w:r w:rsidR="00F759B4" w:rsidRPr="00B10A2D">
        <w:t xml:space="preserve">been </w:t>
      </w:r>
      <w:r w:rsidR="00AA6C9A" w:rsidRPr="00B10A2D">
        <w:t>acknowledged</w:t>
      </w:r>
      <w:r w:rsidR="008E539D" w:rsidRPr="00B10A2D">
        <w:t xml:space="preserve"> by a number of major policy reviews</w:t>
      </w:r>
      <w:r w:rsidR="00697AF4" w:rsidRPr="00B10A2D">
        <w:t xml:space="preserve"> in England and Wales</w:t>
      </w:r>
      <w:r w:rsidR="00F759B4" w:rsidRPr="00B10A2D">
        <w:t xml:space="preserve"> (IPCC</w:t>
      </w:r>
      <w:r w:rsidR="00DF7B0A" w:rsidRPr="00B10A2D">
        <w:t>,</w:t>
      </w:r>
      <w:r w:rsidR="00F759B4" w:rsidRPr="00B10A2D">
        <w:t xml:space="preserve"> 2016, </w:t>
      </w:r>
      <w:r w:rsidR="008E539D" w:rsidRPr="00B10A2D">
        <w:t>HMIC</w:t>
      </w:r>
      <w:r w:rsidR="00DF7B0A" w:rsidRPr="00B10A2D">
        <w:t>,</w:t>
      </w:r>
      <w:r w:rsidR="008E539D" w:rsidRPr="00B10A2D">
        <w:t xml:space="preserve"> 2013, </w:t>
      </w:r>
      <w:proofErr w:type="spellStart"/>
      <w:r w:rsidR="00F759B4" w:rsidRPr="00B10A2D">
        <w:t>Adebowale</w:t>
      </w:r>
      <w:proofErr w:type="spellEnd"/>
      <w:r w:rsidR="00DF7B0A" w:rsidRPr="00B10A2D">
        <w:t>,</w:t>
      </w:r>
      <w:r w:rsidR="00F759B4" w:rsidRPr="00B10A2D">
        <w:t xml:space="preserve"> 2013). </w:t>
      </w:r>
      <w:r w:rsidR="008E539D" w:rsidRPr="00B10A2D">
        <w:t>Individuals w</w:t>
      </w:r>
      <w:r w:rsidR="000C4425" w:rsidRPr="00B10A2D">
        <w:t xml:space="preserve">ho have issues with substance </w:t>
      </w:r>
      <w:r w:rsidR="008E539D" w:rsidRPr="00B10A2D">
        <w:t>use and/or dependency have also been identified as being proportionally more like</w:t>
      </w:r>
      <w:r w:rsidR="007A29A8" w:rsidRPr="00B10A2D">
        <w:t>ly</w:t>
      </w:r>
      <w:r w:rsidR="008E539D" w:rsidRPr="00B10A2D">
        <w:t xml:space="preserve"> to be </w:t>
      </w:r>
      <w:r w:rsidR="0066576B" w:rsidRPr="00B10A2D">
        <w:t>subject to the</w:t>
      </w:r>
      <w:r w:rsidR="008E539D" w:rsidRPr="00B10A2D">
        <w:t xml:space="preserve"> police</w:t>
      </w:r>
      <w:r w:rsidR="0066576B" w:rsidRPr="00B10A2D">
        <w:t xml:space="preserve"> use of</w:t>
      </w:r>
      <w:r w:rsidR="008E539D" w:rsidRPr="00B10A2D">
        <w:t xml:space="preserve"> force and consequently die in custody as a result (</w:t>
      </w:r>
      <w:r w:rsidR="00082C8A" w:rsidRPr="00B10A2D">
        <w:t>Baker</w:t>
      </w:r>
      <w:r w:rsidR="00DF7B0A" w:rsidRPr="00B10A2D">
        <w:t>,</w:t>
      </w:r>
      <w:r w:rsidR="0066576B" w:rsidRPr="00B10A2D">
        <w:t xml:space="preserve"> 2016a</w:t>
      </w:r>
      <w:r w:rsidR="008E539D" w:rsidRPr="00B10A2D">
        <w:t>,</w:t>
      </w:r>
      <w:r w:rsidR="0066576B" w:rsidRPr="00B10A2D">
        <w:t xml:space="preserve"> IPCC 2016,</w:t>
      </w:r>
      <w:r w:rsidR="008E539D" w:rsidRPr="00B10A2D">
        <w:t xml:space="preserve"> </w:t>
      </w:r>
      <w:proofErr w:type="spellStart"/>
      <w:r w:rsidR="008E539D" w:rsidRPr="00B10A2D">
        <w:t>Hannan</w:t>
      </w:r>
      <w:proofErr w:type="spellEnd"/>
      <w:r w:rsidR="008E539D" w:rsidRPr="00B10A2D">
        <w:t xml:space="preserve"> </w:t>
      </w:r>
      <w:r w:rsidR="008E539D" w:rsidRPr="00B10A2D">
        <w:rPr>
          <w:i/>
        </w:rPr>
        <w:t>et al.</w:t>
      </w:r>
      <w:r w:rsidR="008E539D" w:rsidRPr="00B10A2D">
        <w:t xml:space="preserve"> 2010, Best </w:t>
      </w:r>
      <w:r w:rsidR="008E539D" w:rsidRPr="00B10A2D">
        <w:rPr>
          <w:i/>
        </w:rPr>
        <w:t xml:space="preserve">et al. </w:t>
      </w:r>
      <w:r w:rsidR="008E539D" w:rsidRPr="00B10A2D">
        <w:t xml:space="preserve">2004). </w:t>
      </w:r>
      <w:r w:rsidR="0034619F" w:rsidRPr="00B10A2D">
        <w:t xml:space="preserve">The issues of deaths in relation to BME communities, mental health issues, and substance use can be seen throughout the empirical evidence considered in this paper. </w:t>
      </w:r>
    </w:p>
    <w:p w14:paraId="1CA2D23D" w14:textId="77777777" w:rsidR="00F759B4" w:rsidRPr="00B10A2D" w:rsidRDefault="00F759B4" w:rsidP="00266790">
      <w:pPr>
        <w:spacing w:after="0" w:line="360" w:lineRule="auto"/>
        <w:jc w:val="both"/>
      </w:pPr>
    </w:p>
    <w:p w14:paraId="504AAEE7" w14:textId="19C4B265" w:rsidR="00F759B4" w:rsidRPr="00B10A2D" w:rsidRDefault="00727355" w:rsidP="00266790">
      <w:pPr>
        <w:spacing w:after="0" w:line="360" w:lineRule="auto"/>
        <w:jc w:val="both"/>
      </w:pPr>
      <w:r w:rsidRPr="00B10A2D">
        <w:lastRenderedPageBreak/>
        <w:t>The condition know</w:t>
      </w:r>
      <w:r w:rsidR="008E539D" w:rsidRPr="00B10A2D">
        <w:t>n</w:t>
      </w:r>
      <w:r w:rsidRPr="00B10A2D">
        <w:t xml:space="preserve"> as e</w:t>
      </w:r>
      <w:r w:rsidR="00F759B4" w:rsidRPr="00B10A2D">
        <w:t>xcited delirium (ED)</w:t>
      </w:r>
      <w:r w:rsidR="00F759B4" w:rsidRPr="00B10A2D">
        <w:rPr>
          <w:rStyle w:val="FootnoteReference"/>
        </w:rPr>
        <w:footnoteReference w:id="5"/>
      </w:r>
      <w:r w:rsidR="00F759B4" w:rsidRPr="00B10A2D">
        <w:t xml:space="preserve"> </w:t>
      </w:r>
      <w:r w:rsidRPr="00B10A2D">
        <w:t>a</w:t>
      </w:r>
      <w:r w:rsidR="004B11CA" w:rsidRPr="00B10A2D">
        <w:t>ppears to represent a</w:t>
      </w:r>
      <w:r w:rsidRPr="00B10A2D">
        <w:t xml:space="preserve"> juxtaposition of BME groups, mental health issues and substance use. </w:t>
      </w:r>
      <w:r w:rsidR="0024521A" w:rsidRPr="00B10A2D">
        <w:t>In the US</w:t>
      </w:r>
      <w:r w:rsidR="00C06815" w:rsidRPr="00B10A2D">
        <w:t xml:space="preserve"> and Canada</w:t>
      </w:r>
      <w:r w:rsidR="0024521A" w:rsidRPr="00B10A2D">
        <w:t xml:space="preserve">, </w:t>
      </w:r>
      <w:r w:rsidR="00CB154E" w:rsidRPr="00B10A2D">
        <w:t>ED is commo</w:t>
      </w:r>
      <w:r w:rsidR="00D44BA9" w:rsidRPr="00B10A2D">
        <w:t>nly identified with the use of T</w:t>
      </w:r>
      <w:r w:rsidR="000A1610" w:rsidRPr="00B10A2D">
        <w:t xml:space="preserve">asers by police officers </w:t>
      </w:r>
      <w:r w:rsidR="00CB154E" w:rsidRPr="00B10A2D">
        <w:t>(Wozniak</w:t>
      </w:r>
      <w:r w:rsidR="00DF7B0A" w:rsidRPr="00B10A2D">
        <w:t>,</w:t>
      </w:r>
      <w:r w:rsidR="00CB154E" w:rsidRPr="00B10A2D">
        <w:t xml:space="preserve"> 2016). </w:t>
      </w:r>
      <w:r w:rsidR="008E539D" w:rsidRPr="00B10A2D">
        <w:t xml:space="preserve">The available </w:t>
      </w:r>
      <w:r w:rsidR="00697AF4" w:rsidRPr="00B10A2D">
        <w:t>literature</w:t>
      </w:r>
      <w:r w:rsidR="00B37F0A" w:rsidRPr="00B10A2D">
        <w:t xml:space="preserve"> on ED in relation to police interactions comes principally from the US, but also from Canada. Whilst there is debate in the US literature as to whether ED exists as a ‘condition’ or cause of death, the Canadian literature is </w:t>
      </w:r>
      <w:r w:rsidR="002B1111" w:rsidRPr="00B10A2D">
        <w:t xml:space="preserve">sceptical about its existence and thus </w:t>
      </w:r>
      <w:r w:rsidR="0034619F" w:rsidRPr="00B10A2D">
        <w:t xml:space="preserve">its </w:t>
      </w:r>
      <w:r w:rsidR="002B1111" w:rsidRPr="00B10A2D">
        <w:t>relevance as a cau</w:t>
      </w:r>
      <w:r w:rsidR="008E539D" w:rsidRPr="00B10A2D">
        <w:t>se of death after police intera</w:t>
      </w:r>
      <w:r w:rsidR="002B1111" w:rsidRPr="00B10A2D">
        <w:t>ction (se</w:t>
      </w:r>
      <w:r w:rsidR="00F76AA8" w:rsidRPr="00B10A2D">
        <w:t xml:space="preserve">e, for example </w:t>
      </w:r>
      <w:proofErr w:type="spellStart"/>
      <w:r w:rsidR="00F76AA8" w:rsidRPr="00B10A2D">
        <w:t>Razack</w:t>
      </w:r>
      <w:proofErr w:type="spellEnd"/>
      <w:r w:rsidR="00DF7B0A" w:rsidRPr="00B10A2D">
        <w:t>,</w:t>
      </w:r>
      <w:r w:rsidR="00F76AA8" w:rsidRPr="00B10A2D">
        <w:t xml:space="preserve"> 2015, </w:t>
      </w:r>
      <w:proofErr w:type="spellStart"/>
      <w:r w:rsidR="00F76AA8" w:rsidRPr="00B10A2D">
        <w:t>Ana</w:t>
      </w:r>
      <w:r w:rsidR="00F76AA8" w:rsidRPr="00B10A2D">
        <w:rPr>
          <w:rFonts w:cstheme="minorHAnsi"/>
        </w:rPr>
        <w:t>ï</w:t>
      </w:r>
      <w:r w:rsidR="002B1111" w:rsidRPr="00B10A2D">
        <w:t>s</w:t>
      </w:r>
      <w:proofErr w:type="spellEnd"/>
      <w:r w:rsidR="00DF7B0A" w:rsidRPr="00B10A2D">
        <w:t>,</w:t>
      </w:r>
      <w:r w:rsidR="002B1111" w:rsidRPr="00B10A2D">
        <w:t xml:space="preserve"> 2014, </w:t>
      </w:r>
      <w:proofErr w:type="spellStart"/>
      <w:r w:rsidR="002B1111" w:rsidRPr="00B10A2D">
        <w:t>Brodeur</w:t>
      </w:r>
      <w:proofErr w:type="spellEnd"/>
      <w:r w:rsidR="00DF7B0A" w:rsidRPr="00B10A2D">
        <w:t>,</w:t>
      </w:r>
      <w:r w:rsidR="002B1111" w:rsidRPr="00B10A2D">
        <w:t xml:space="preserve"> 2010). This paper </w:t>
      </w:r>
      <w:r w:rsidR="008E539D" w:rsidRPr="00B10A2D">
        <w:t>investigate</w:t>
      </w:r>
      <w:r w:rsidR="0034619F" w:rsidRPr="00B10A2D">
        <w:t>s</w:t>
      </w:r>
      <w:r w:rsidR="008E539D" w:rsidRPr="00B10A2D">
        <w:t xml:space="preserve"> ED using empirical evidence in cases of DAPC in England and Wales during the period 2009-2015. </w:t>
      </w:r>
    </w:p>
    <w:p w14:paraId="1209774F" w14:textId="77777777" w:rsidR="000E4851" w:rsidRPr="00B10A2D" w:rsidRDefault="000E4851" w:rsidP="00266790">
      <w:pPr>
        <w:spacing w:after="0" w:line="360" w:lineRule="auto"/>
        <w:jc w:val="both"/>
      </w:pPr>
    </w:p>
    <w:p w14:paraId="2F2B9574" w14:textId="4C1FC0D5" w:rsidR="00AC4978" w:rsidRPr="00B10A2D" w:rsidRDefault="00AC4978" w:rsidP="002435CE">
      <w:pPr>
        <w:spacing w:line="360" w:lineRule="auto"/>
        <w:jc w:val="both"/>
      </w:pPr>
      <w:r w:rsidRPr="00B10A2D">
        <w:t xml:space="preserve">It does this by using a documentary dataset of </w:t>
      </w:r>
      <w:r w:rsidR="007574A4" w:rsidRPr="00B10A2D">
        <w:t>twelve</w:t>
      </w:r>
      <w:r w:rsidRPr="00B10A2D">
        <w:t xml:space="preserve"> narrative verdicts recorded in coroners’ courts in the period 2009-2015</w:t>
      </w:r>
      <w:r w:rsidR="0034619F" w:rsidRPr="00B10A2D">
        <w:t xml:space="preserve"> where ED is noted</w:t>
      </w:r>
      <w:r w:rsidR="00141B55" w:rsidRPr="00B10A2D">
        <w:t xml:space="preserve"> by juries as being</w:t>
      </w:r>
      <w:r w:rsidR="0034619F" w:rsidRPr="00B10A2D">
        <w:t xml:space="preserve"> </w:t>
      </w:r>
      <w:r w:rsidR="0072272A" w:rsidRPr="00B10A2D">
        <w:t>a contributory factor in the</w:t>
      </w:r>
      <w:r w:rsidR="008E539D" w:rsidRPr="00B10A2D">
        <w:t xml:space="preserve"> death</w:t>
      </w:r>
      <w:r w:rsidRPr="00B10A2D">
        <w:t xml:space="preserve">. </w:t>
      </w:r>
      <w:r w:rsidR="007574A4" w:rsidRPr="00B10A2D">
        <w:t>Coroners’ c</w:t>
      </w:r>
      <w:r w:rsidR="00833C29" w:rsidRPr="00B10A2D">
        <w:t xml:space="preserve">ourts typically investigate </w:t>
      </w:r>
      <w:r w:rsidR="007574A4" w:rsidRPr="00B10A2D">
        <w:t>cases of DAPC in England and Wales using a public inquest conducted before a jury (</w:t>
      </w:r>
      <w:r w:rsidR="00FC168B" w:rsidRPr="00B10A2D">
        <w:t>Matthews</w:t>
      </w:r>
      <w:r w:rsidR="00DF7B0A" w:rsidRPr="00B10A2D">
        <w:t>,</w:t>
      </w:r>
      <w:r w:rsidR="00FC168B" w:rsidRPr="00B10A2D">
        <w:t xml:space="preserve"> 2011, </w:t>
      </w:r>
      <w:proofErr w:type="spellStart"/>
      <w:r w:rsidR="002B1111" w:rsidRPr="00B10A2D">
        <w:t>Dorries</w:t>
      </w:r>
      <w:proofErr w:type="spellEnd"/>
      <w:r w:rsidR="00DF7B0A" w:rsidRPr="00B10A2D">
        <w:t>,</w:t>
      </w:r>
      <w:r w:rsidR="002B1111" w:rsidRPr="00B10A2D">
        <w:t xml:space="preserve"> 200</w:t>
      </w:r>
      <w:r w:rsidR="007574A4" w:rsidRPr="00B10A2D">
        <w:t xml:space="preserve">4). </w:t>
      </w:r>
      <w:r w:rsidR="00BE0275" w:rsidRPr="00B10A2D">
        <w:t xml:space="preserve">Juries </w:t>
      </w:r>
      <w:r w:rsidR="0066576B" w:rsidRPr="00B10A2D">
        <w:t>increasingly</w:t>
      </w:r>
      <w:r w:rsidR="00B84702" w:rsidRPr="00B10A2D">
        <w:t xml:space="preserve"> </w:t>
      </w:r>
      <w:r w:rsidR="00BE0275" w:rsidRPr="00B10A2D">
        <w:t xml:space="preserve">record </w:t>
      </w:r>
      <w:r w:rsidR="000E4851" w:rsidRPr="00B10A2D">
        <w:t xml:space="preserve">narrative </w:t>
      </w:r>
      <w:r w:rsidR="00BE0275" w:rsidRPr="00B10A2D">
        <w:t>verdicts</w:t>
      </w:r>
      <w:r w:rsidR="00BE0275" w:rsidRPr="00B10A2D">
        <w:rPr>
          <w:rStyle w:val="FootnoteReference"/>
        </w:rPr>
        <w:footnoteReference w:id="6"/>
      </w:r>
      <w:r w:rsidR="00B84702" w:rsidRPr="00B10A2D">
        <w:t xml:space="preserve"> in these c</w:t>
      </w:r>
      <w:r w:rsidR="000E4851" w:rsidRPr="00B10A2D">
        <w:t>ases</w:t>
      </w:r>
      <w:r w:rsidR="00B84702" w:rsidRPr="00B10A2D">
        <w:t xml:space="preserve">. These </w:t>
      </w:r>
      <w:r w:rsidR="000C4425" w:rsidRPr="00B10A2D">
        <w:t xml:space="preserve">verdicts </w:t>
      </w:r>
      <w:r w:rsidR="00B84702" w:rsidRPr="00B10A2D">
        <w:t xml:space="preserve">were developed </w:t>
      </w:r>
      <w:r w:rsidR="000C4425" w:rsidRPr="00B10A2D">
        <w:t>in</w:t>
      </w:r>
      <w:r w:rsidR="00B84702" w:rsidRPr="00B10A2D">
        <w:t xml:space="preserve"> reaction to obligations imposed by Article 2 of the European Convention on Human Rights </w:t>
      </w:r>
      <w:r w:rsidR="002B1111" w:rsidRPr="00B10A2D">
        <w:t>(ECHR)</w:t>
      </w:r>
      <w:r w:rsidR="00DD6FE1" w:rsidRPr="00B10A2D">
        <w:t xml:space="preserve"> (</w:t>
      </w:r>
      <w:r w:rsidR="00082C8A" w:rsidRPr="00B10A2D">
        <w:t>Baker</w:t>
      </w:r>
      <w:r w:rsidR="00DF7B0A" w:rsidRPr="00B10A2D">
        <w:t>,</w:t>
      </w:r>
      <w:r w:rsidR="00DD6FE1" w:rsidRPr="00B10A2D">
        <w:t xml:space="preserve"> 2016b</w:t>
      </w:r>
      <w:r w:rsidR="00D91DE8" w:rsidRPr="00B10A2D">
        <w:t>)</w:t>
      </w:r>
      <w:r w:rsidR="002B1111" w:rsidRPr="00B10A2D">
        <w:t xml:space="preserve">. Narrative verdicts enable juries to record whatever </w:t>
      </w:r>
      <w:r w:rsidR="00D1361E" w:rsidRPr="00B10A2D">
        <w:t>contributory factors</w:t>
      </w:r>
      <w:r w:rsidR="002B1111" w:rsidRPr="00B10A2D">
        <w:t xml:space="preserve"> they deem relevant in recording the circumstances whereby individual</w:t>
      </w:r>
      <w:r w:rsidR="00D91DE8" w:rsidRPr="00B10A2D">
        <w:t>s</w:t>
      </w:r>
      <w:r w:rsidR="000E4851" w:rsidRPr="00B10A2D">
        <w:t xml:space="preserve"> me</w:t>
      </w:r>
      <w:r w:rsidR="00D91DE8" w:rsidRPr="00B10A2D">
        <w:t>e</w:t>
      </w:r>
      <w:r w:rsidR="000E4851" w:rsidRPr="00B10A2D">
        <w:t>t their death</w:t>
      </w:r>
      <w:r w:rsidR="00D91DE8" w:rsidRPr="00B10A2D">
        <w:t>s</w:t>
      </w:r>
      <w:r w:rsidR="002B1111" w:rsidRPr="00B10A2D">
        <w:t>.</w:t>
      </w:r>
      <w:r w:rsidR="000E4851" w:rsidRPr="00B10A2D">
        <w:t xml:space="preserve"> They are</w:t>
      </w:r>
      <w:r w:rsidR="00634C0F" w:rsidRPr="00B10A2D">
        <w:t xml:space="preserve"> used as an alternative to the </w:t>
      </w:r>
      <w:r w:rsidR="000E4851" w:rsidRPr="00B10A2D">
        <w:t xml:space="preserve">more </w:t>
      </w:r>
      <w:r w:rsidR="00D91DE8" w:rsidRPr="00B10A2D">
        <w:t>typically</w:t>
      </w:r>
      <w:r w:rsidR="000E4851" w:rsidRPr="00B10A2D">
        <w:t xml:space="preserve"> used ‘short form’ verdicts</w:t>
      </w:r>
      <w:r w:rsidR="000E4851" w:rsidRPr="00B10A2D">
        <w:rPr>
          <w:rStyle w:val="FootnoteReference"/>
        </w:rPr>
        <w:footnoteReference w:id="7"/>
      </w:r>
      <w:r w:rsidR="00D91DE8" w:rsidRPr="00B10A2D">
        <w:t xml:space="preserve">. Narrative verdicts enable a significant amount of detail to be recorded by juries in contentious cases, partly as a way of noting concerns and consequently as a way of identifying issues for </w:t>
      </w:r>
      <w:r w:rsidR="006B3780" w:rsidRPr="00B10A2D">
        <w:t>potential changes to</w:t>
      </w:r>
      <w:r w:rsidR="00D91DE8" w:rsidRPr="00B10A2D">
        <w:t xml:space="preserve"> policy or practice</w:t>
      </w:r>
      <w:r w:rsidR="00FC168B" w:rsidRPr="00B10A2D">
        <w:t xml:space="preserve"> to prevent future deaths (</w:t>
      </w:r>
      <w:r w:rsidR="00082C8A" w:rsidRPr="00B10A2D">
        <w:t>Baker</w:t>
      </w:r>
      <w:r w:rsidR="00DF7B0A" w:rsidRPr="00B10A2D">
        <w:t>,</w:t>
      </w:r>
      <w:r w:rsidR="0066576B" w:rsidRPr="00B10A2D">
        <w:t xml:space="preserve"> 2016a</w:t>
      </w:r>
      <w:r w:rsidR="00D91DE8" w:rsidRPr="00B10A2D">
        <w:t>, Matthews</w:t>
      </w:r>
      <w:r w:rsidR="00DF7B0A" w:rsidRPr="00B10A2D">
        <w:t>,</w:t>
      </w:r>
      <w:r w:rsidR="00D91DE8" w:rsidRPr="00B10A2D">
        <w:t xml:space="preserve"> 2014). </w:t>
      </w:r>
      <w:r w:rsidR="00634C0F" w:rsidRPr="00B10A2D">
        <w:t>The coroner’s inquest is a fact-finding inquisitorial exercise as distinct to a blame-finding adversarial contest (</w:t>
      </w:r>
      <w:r w:rsidR="00FC168B" w:rsidRPr="00B10A2D">
        <w:t>Shaw and Coles</w:t>
      </w:r>
      <w:r w:rsidR="00DF7B0A" w:rsidRPr="00B10A2D">
        <w:t>,</w:t>
      </w:r>
      <w:r w:rsidR="00FC168B" w:rsidRPr="00B10A2D">
        <w:t xml:space="preserve"> 2007, </w:t>
      </w:r>
      <w:r w:rsidR="00634C0F" w:rsidRPr="00B10A2D">
        <w:t>Levine</w:t>
      </w:r>
      <w:r w:rsidR="00DF7B0A" w:rsidRPr="00B10A2D">
        <w:t>,</w:t>
      </w:r>
      <w:r w:rsidR="00634C0F" w:rsidRPr="00B10A2D">
        <w:t xml:space="preserve"> 1999). Whilst inquests might produce findings that are critical of individuals or institutions, they may not ascribe blame (Thomas </w:t>
      </w:r>
      <w:r w:rsidR="00634C0F" w:rsidRPr="00B10A2D">
        <w:rPr>
          <w:i/>
        </w:rPr>
        <w:t>et al</w:t>
      </w:r>
      <w:r w:rsidR="00634C0F" w:rsidRPr="00B10A2D">
        <w:t xml:space="preserve">. 2008). </w:t>
      </w:r>
      <w:r w:rsidR="00F32A3E" w:rsidRPr="00B10A2D">
        <w:t>Inquests have manifold purposes, in cases</w:t>
      </w:r>
      <w:r w:rsidR="00D91DE8" w:rsidRPr="00B10A2D">
        <w:t xml:space="preserve"> of DAPC</w:t>
      </w:r>
      <w:r w:rsidR="00F32A3E" w:rsidRPr="00B10A2D">
        <w:t xml:space="preserve"> the need to learn lessons to prevent future deaths might be seen as being particularly relevant (Spray </w:t>
      </w:r>
      <w:r w:rsidR="00F32A3E" w:rsidRPr="00B10A2D">
        <w:rPr>
          <w:i/>
        </w:rPr>
        <w:t>et al</w:t>
      </w:r>
      <w:r w:rsidR="00AA1C19" w:rsidRPr="00B10A2D">
        <w:rPr>
          <w:i/>
        </w:rPr>
        <w:t>.</w:t>
      </w:r>
      <w:r w:rsidR="00F32A3E" w:rsidRPr="00B10A2D">
        <w:t xml:space="preserve"> 2012, Coles and Shaw</w:t>
      </w:r>
      <w:r w:rsidR="00DF7B0A" w:rsidRPr="00B10A2D">
        <w:t>,</w:t>
      </w:r>
      <w:r w:rsidR="00F32A3E" w:rsidRPr="00B10A2D">
        <w:t xml:space="preserve"> 2012). </w:t>
      </w:r>
    </w:p>
    <w:p w14:paraId="7BB18D23" w14:textId="1766AE72" w:rsidR="000C4425" w:rsidRPr="00B10A2D" w:rsidRDefault="007574A4" w:rsidP="00224FBA">
      <w:pPr>
        <w:spacing w:line="360" w:lineRule="auto"/>
        <w:jc w:val="both"/>
        <w:rPr>
          <w:rFonts w:ascii="Calibri" w:eastAsia="Times New Roman" w:hAnsi="Calibri" w:cs="Calibri"/>
        </w:rPr>
      </w:pPr>
      <w:r w:rsidRPr="00B10A2D">
        <w:t>Deaths after police contact</w:t>
      </w:r>
      <w:r w:rsidR="00D946A1" w:rsidRPr="00B10A2D">
        <w:t xml:space="preserve"> </w:t>
      </w:r>
      <w:r w:rsidR="006B3780" w:rsidRPr="00B10A2D">
        <w:t>are characterised by</w:t>
      </w:r>
      <w:r w:rsidR="00D946A1" w:rsidRPr="00B10A2D">
        <w:t xml:space="preserve"> multi</w:t>
      </w:r>
      <w:r w:rsidRPr="00B10A2D">
        <w:t>ple causalities</w:t>
      </w:r>
      <w:r w:rsidR="006B3780" w:rsidRPr="00B10A2D">
        <w:t>,</w:t>
      </w:r>
      <w:r w:rsidR="00D946A1" w:rsidRPr="00B10A2D">
        <w:t xml:space="preserve"> leading them to be open to contestation as to how and why the individual died in the manner they did (</w:t>
      </w:r>
      <w:proofErr w:type="spellStart"/>
      <w:r w:rsidR="00D946A1" w:rsidRPr="00B10A2D">
        <w:t>Hannan</w:t>
      </w:r>
      <w:proofErr w:type="spellEnd"/>
      <w:r w:rsidR="00D946A1" w:rsidRPr="00B10A2D">
        <w:t xml:space="preserve"> </w:t>
      </w:r>
      <w:r w:rsidR="00D946A1" w:rsidRPr="00B10A2D">
        <w:rPr>
          <w:i/>
        </w:rPr>
        <w:t>et al.</w:t>
      </w:r>
      <w:r w:rsidR="00D946A1" w:rsidRPr="00B10A2D">
        <w:t xml:space="preserve"> 2010, </w:t>
      </w:r>
      <w:r w:rsidR="00FA2540" w:rsidRPr="00B10A2D">
        <w:t xml:space="preserve">IAP 2010, </w:t>
      </w:r>
      <w:r w:rsidR="00D946A1" w:rsidRPr="00B10A2D">
        <w:t>Fulton</w:t>
      </w:r>
      <w:r w:rsidR="00DF7B0A" w:rsidRPr="00B10A2D">
        <w:t>,</w:t>
      </w:r>
      <w:r w:rsidR="00D946A1" w:rsidRPr="00B10A2D">
        <w:t xml:space="preserve"> 2008). </w:t>
      </w:r>
      <w:r w:rsidR="0079605C" w:rsidRPr="00B10A2D">
        <w:t>T</w:t>
      </w:r>
      <w:r w:rsidR="00D946A1" w:rsidRPr="00B10A2D">
        <w:t>hose who die</w:t>
      </w:r>
      <w:r w:rsidR="0079605C" w:rsidRPr="00B10A2D">
        <w:t xml:space="preserve"> in </w:t>
      </w:r>
      <w:r w:rsidR="000C4425" w:rsidRPr="00B10A2D">
        <w:t>such</w:t>
      </w:r>
      <w:r w:rsidR="0079605C" w:rsidRPr="00B10A2D">
        <w:t xml:space="preserve"> cases</w:t>
      </w:r>
      <w:r w:rsidR="00D946A1" w:rsidRPr="00B10A2D">
        <w:t xml:space="preserve"> are disproportionately </w:t>
      </w:r>
      <w:r w:rsidR="003D6128" w:rsidRPr="00B10A2D">
        <w:t>people who have mental health issues, are</w:t>
      </w:r>
      <w:r w:rsidR="00D946A1" w:rsidRPr="00B10A2D">
        <w:t xml:space="preserve"> </w:t>
      </w:r>
      <w:r w:rsidRPr="00B10A2D">
        <w:t>from BME communities</w:t>
      </w:r>
      <w:r w:rsidR="00D946A1" w:rsidRPr="00B10A2D">
        <w:t>, and/or be substance users (</w:t>
      </w:r>
      <w:r w:rsidR="00082C8A" w:rsidRPr="00B10A2D">
        <w:t>Baker</w:t>
      </w:r>
      <w:r w:rsidR="00DF7B0A" w:rsidRPr="00B10A2D">
        <w:t>,</w:t>
      </w:r>
      <w:r w:rsidR="0066576B" w:rsidRPr="00B10A2D">
        <w:t xml:space="preserve"> 2016a</w:t>
      </w:r>
      <w:r w:rsidR="00D946A1" w:rsidRPr="00B10A2D">
        <w:t xml:space="preserve">, </w:t>
      </w:r>
      <w:proofErr w:type="spellStart"/>
      <w:r w:rsidR="0079605C" w:rsidRPr="00B10A2D">
        <w:t>Hannan</w:t>
      </w:r>
      <w:proofErr w:type="spellEnd"/>
      <w:r w:rsidR="0079605C" w:rsidRPr="00B10A2D">
        <w:t xml:space="preserve"> </w:t>
      </w:r>
      <w:r w:rsidR="0079605C" w:rsidRPr="00B10A2D">
        <w:rPr>
          <w:i/>
        </w:rPr>
        <w:t>et al.</w:t>
      </w:r>
      <w:r w:rsidR="0079605C" w:rsidRPr="00B10A2D">
        <w:t xml:space="preserve"> 2010, </w:t>
      </w:r>
      <w:r w:rsidR="00D61CDD" w:rsidRPr="00B10A2D">
        <w:t>Coles and Shaw</w:t>
      </w:r>
      <w:r w:rsidR="00DF7B0A" w:rsidRPr="00B10A2D">
        <w:t>,</w:t>
      </w:r>
      <w:r w:rsidR="00D61CDD" w:rsidRPr="00B10A2D">
        <w:t xml:space="preserve"> 2012</w:t>
      </w:r>
      <w:r w:rsidR="0079605C" w:rsidRPr="00B10A2D">
        <w:t xml:space="preserve">, Best </w:t>
      </w:r>
      <w:r w:rsidR="0079605C" w:rsidRPr="00B10A2D">
        <w:rPr>
          <w:i/>
        </w:rPr>
        <w:t>et al.</w:t>
      </w:r>
      <w:r w:rsidR="0079605C" w:rsidRPr="00B10A2D">
        <w:t xml:space="preserve"> 2004</w:t>
      </w:r>
      <w:r w:rsidR="00AC4978" w:rsidRPr="00B10A2D">
        <w:t>)</w:t>
      </w:r>
      <w:r w:rsidR="00D946A1" w:rsidRPr="00B10A2D">
        <w:t>.</w:t>
      </w:r>
      <w:r w:rsidR="00AC4978" w:rsidRPr="00B10A2D">
        <w:t xml:space="preserve"> The use of force also tends to be </w:t>
      </w:r>
      <w:r w:rsidR="0079605C" w:rsidRPr="00B10A2D">
        <w:t>a factor</w:t>
      </w:r>
      <w:r w:rsidR="00AC4978" w:rsidRPr="00B10A2D">
        <w:t xml:space="preserve"> in such </w:t>
      </w:r>
      <w:r w:rsidR="00AC4978" w:rsidRPr="00B10A2D">
        <w:lastRenderedPageBreak/>
        <w:t>deaths, and in England and Wales this typically manifests itself as the use of phys</w:t>
      </w:r>
      <w:r w:rsidR="00F36EAE" w:rsidRPr="00B10A2D">
        <w:t xml:space="preserve">ical restraint by </w:t>
      </w:r>
      <w:r w:rsidR="00634779" w:rsidRPr="00B10A2D">
        <w:t>polic</w:t>
      </w:r>
      <w:r w:rsidR="00BB7773" w:rsidRPr="00B10A2D">
        <w:t>e</w:t>
      </w:r>
      <w:r w:rsidR="00634779" w:rsidRPr="00B10A2D">
        <w:t xml:space="preserve"> </w:t>
      </w:r>
      <w:r w:rsidR="00F36EAE" w:rsidRPr="00B10A2D">
        <w:t>officers (IPCC</w:t>
      </w:r>
      <w:r w:rsidR="00DF7B0A" w:rsidRPr="00B10A2D">
        <w:t>,</w:t>
      </w:r>
      <w:r w:rsidR="00F36EAE" w:rsidRPr="00B10A2D">
        <w:t xml:space="preserve"> 2016</w:t>
      </w:r>
      <w:r w:rsidR="00AC4978" w:rsidRPr="00B10A2D">
        <w:t>).</w:t>
      </w:r>
      <w:r w:rsidR="0079605C" w:rsidRPr="00B10A2D">
        <w:t xml:space="preserve"> Cases of DAPC, then, </w:t>
      </w:r>
      <w:r w:rsidR="000C4425" w:rsidRPr="00B10A2D">
        <w:t>tend to be contentious due the</w:t>
      </w:r>
      <w:r w:rsidR="0079605C" w:rsidRPr="00B10A2D">
        <w:t xml:space="preserve"> disproportionately high number of people who die from </w:t>
      </w:r>
      <w:r w:rsidR="00D465C3" w:rsidRPr="00B10A2D">
        <w:t xml:space="preserve">a combination of </w:t>
      </w:r>
      <w:r w:rsidR="0079605C" w:rsidRPr="00B10A2D">
        <w:t>the factors noted above</w:t>
      </w:r>
      <w:r w:rsidR="00F76AA8" w:rsidRPr="00B10A2D">
        <w:t xml:space="preserve"> (</w:t>
      </w:r>
      <w:proofErr w:type="spellStart"/>
      <w:r w:rsidR="00F76AA8" w:rsidRPr="00B10A2D">
        <w:t>Razack</w:t>
      </w:r>
      <w:proofErr w:type="spellEnd"/>
      <w:r w:rsidR="00DF7B0A" w:rsidRPr="00B10A2D">
        <w:t>,</w:t>
      </w:r>
      <w:r w:rsidR="00F76AA8" w:rsidRPr="00B10A2D">
        <w:t xml:space="preserve"> 2015, </w:t>
      </w:r>
      <w:proofErr w:type="spellStart"/>
      <w:r w:rsidR="00F76AA8" w:rsidRPr="00B10A2D">
        <w:t>Ana</w:t>
      </w:r>
      <w:r w:rsidR="00F76AA8" w:rsidRPr="00B10A2D">
        <w:rPr>
          <w:rFonts w:cstheme="minorHAnsi"/>
        </w:rPr>
        <w:t>ï</w:t>
      </w:r>
      <w:r w:rsidR="000C4425" w:rsidRPr="00B10A2D">
        <w:t>s</w:t>
      </w:r>
      <w:proofErr w:type="spellEnd"/>
      <w:r w:rsidR="00DF7B0A" w:rsidRPr="00B10A2D">
        <w:t>,</w:t>
      </w:r>
      <w:r w:rsidR="000C4425" w:rsidRPr="00B10A2D">
        <w:t xml:space="preserve"> 2014</w:t>
      </w:r>
      <w:r w:rsidR="00964320" w:rsidRPr="00B10A2D">
        <w:t>)</w:t>
      </w:r>
      <w:r w:rsidR="0079605C" w:rsidRPr="00B10A2D">
        <w:t xml:space="preserve">. </w:t>
      </w:r>
      <w:r w:rsidR="002960D4" w:rsidRPr="00B10A2D">
        <w:t>It might not be surprising, therefore, to note that when ED is mooted as a cause of death, this is qualified by its presence within a constellation of symptoms</w:t>
      </w:r>
      <w:r w:rsidR="00B77937" w:rsidRPr="00B10A2D">
        <w:t xml:space="preserve"> (</w:t>
      </w:r>
      <w:r w:rsidR="0063519E" w:rsidRPr="00B10A2D">
        <w:t>RCEM</w:t>
      </w:r>
      <w:r w:rsidR="00DF7B0A" w:rsidRPr="00B10A2D">
        <w:t>,</w:t>
      </w:r>
      <w:r w:rsidR="0063519E" w:rsidRPr="00B10A2D">
        <w:t xml:space="preserve"> 2016, </w:t>
      </w:r>
      <w:r w:rsidR="00FA2540" w:rsidRPr="00B10A2D">
        <w:t xml:space="preserve">Hall </w:t>
      </w:r>
      <w:r w:rsidR="00FA2540" w:rsidRPr="00B10A2D">
        <w:rPr>
          <w:i/>
        </w:rPr>
        <w:t>et al.</w:t>
      </w:r>
      <w:r w:rsidR="00FA2540" w:rsidRPr="00B10A2D">
        <w:t xml:space="preserve"> 2013, </w:t>
      </w:r>
      <w:r w:rsidR="00B77937" w:rsidRPr="00B10A2D">
        <w:t>Storey</w:t>
      </w:r>
      <w:r w:rsidR="00DF7B0A" w:rsidRPr="00B10A2D">
        <w:t>,</w:t>
      </w:r>
      <w:r w:rsidR="00B77937" w:rsidRPr="00B10A2D">
        <w:t xml:space="preserve"> 2012, </w:t>
      </w:r>
      <w:proofErr w:type="spellStart"/>
      <w:r w:rsidR="00B77937" w:rsidRPr="00B10A2D">
        <w:t>Vilke</w:t>
      </w:r>
      <w:proofErr w:type="spellEnd"/>
      <w:r w:rsidR="00B77937" w:rsidRPr="00B10A2D">
        <w:t xml:space="preserve"> </w:t>
      </w:r>
      <w:r w:rsidR="00B77937" w:rsidRPr="00B10A2D">
        <w:rPr>
          <w:i/>
        </w:rPr>
        <w:t>et al.</w:t>
      </w:r>
      <w:r w:rsidR="00B77937" w:rsidRPr="00B10A2D">
        <w:t xml:space="preserve"> 2012</w:t>
      </w:r>
      <w:r w:rsidR="00FA2540" w:rsidRPr="00B10A2D">
        <w:t>, IAP 2010</w:t>
      </w:r>
      <w:r w:rsidR="002960D4" w:rsidRPr="00B10A2D">
        <w:t>) underlin</w:t>
      </w:r>
      <w:r w:rsidR="00634779" w:rsidRPr="00B10A2D">
        <w:t>in</w:t>
      </w:r>
      <w:r w:rsidR="002960D4" w:rsidRPr="00B10A2D">
        <w:t xml:space="preserve">g </w:t>
      </w:r>
      <w:r w:rsidR="00B77937" w:rsidRPr="00B10A2D">
        <w:t xml:space="preserve">equivocal </w:t>
      </w:r>
      <w:r w:rsidR="002960D4" w:rsidRPr="00B10A2D">
        <w:t xml:space="preserve">causality in cases of DAPC. </w:t>
      </w:r>
    </w:p>
    <w:p w14:paraId="0BCEF6F7" w14:textId="62CA77A4" w:rsidR="00FE2E07" w:rsidRPr="00B10A2D" w:rsidRDefault="008A77F0" w:rsidP="00224FBA">
      <w:pPr>
        <w:spacing w:line="360" w:lineRule="auto"/>
        <w:jc w:val="both"/>
      </w:pPr>
      <w:r w:rsidRPr="00B10A2D">
        <w:t>When police are called to incidents where the individual is exhibiting ED they are likely to encounter symptoms that</w:t>
      </w:r>
      <w:r w:rsidR="00392FB5" w:rsidRPr="00B10A2D">
        <w:t xml:space="preserve"> </w:t>
      </w:r>
      <w:r w:rsidR="0050439C" w:rsidRPr="00B10A2D">
        <w:t>include</w:t>
      </w:r>
      <w:r w:rsidR="008D2813" w:rsidRPr="00B10A2D">
        <w:t>: ‘</w:t>
      </w:r>
      <w:r w:rsidR="009229BA" w:rsidRPr="00B10A2D">
        <w:t>bizarre, violent</w:t>
      </w:r>
      <w:r w:rsidR="00883CBF" w:rsidRPr="00B10A2D">
        <w:t>, and agitated behaviour…incoherent speech, hyperactivity; extreme endurance and unusual strength’</w:t>
      </w:r>
      <w:r w:rsidR="004227BA" w:rsidRPr="00B10A2D">
        <w:t xml:space="preserve"> (</w:t>
      </w:r>
      <w:proofErr w:type="spellStart"/>
      <w:r w:rsidR="004227BA" w:rsidRPr="00B10A2D">
        <w:t>Wetli</w:t>
      </w:r>
      <w:proofErr w:type="spellEnd"/>
      <w:r w:rsidR="00DF7B0A" w:rsidRPr="00B10A2D">
        <w:t>,</w:t>
      </w:r>
      <w:r w:rsidR="00883CBF" w:rsidRPr="00B10A2D">
        <w:t xml:space="preserve"> 2006: </w:t>
      </w:r>
      <w:r w:rsidR="0008415E" w:rsidRPr="00B10A2D">
        <w:t>110-111);</w:t>
      </w:r>
      <w:r w:rsidR="0050439C" w:rsidRPr="00B10A2D">
        <w:t xml:space="preserve"> </w:t>
      </w:r>
      <w:r w:rsidR="0008415E" w:rsidRPr="00B10A2D">
        <w:t xml:space="preserve">added to this potent mix are </w:t>
      </w:r>
      <w:r w:rsidR="0008415E" w:rsidRPr="00B10A2D">
        <w:rPr>
          <w:rFonts w:ascii="Calibri" w:eastAsia="Times New Roman" w:hAnsi="Calibri" w:cs="Calibri"/>
        </w:rPr>
        <w:t xml:space="preserve">intense paranoia and an increased propensity to violence (Samuel </w:t>
      </w:r>
      <w:r w:rsidR="0008415E" w:rsidRPr="00B10A2D">
        <w:rPr>
          <w:rFonts w:ascii="Calibri" w:eastAsia="Times New Roman" w:hAnsi="Calibri" w:cs="Calibri"/>
          <w:i/>
        </w:rPr>
        <w:t>et al</w:t>
      </w:r>
      <w:r w:rsidR="0008415E" w:rsidRPr="00B10A2D">
        <w:rPr>
          <w:rFonts w:ascii="Calibri" w:eastAsia="Times New Roman" w:hAnsi="Calibri" w:cs="Calibri"/>
        </w:rPr>
        <w:t xml:space="preserve">. 2009). </w:t>
      </w:r>
      <w:r w:rsidR="00502E34" w:rsidRPr="00B10A2D">
        <w:t xml:space="preserve">Individuals </w:t>
      </w:r>
      <w:r w:rsidR="002C4813" w:rsidRPr="00B10A2D">
        <w:t xml:space="preserve">with ED </w:t>
      </w:r>
      <w:r w:rsidR="00502E34" w:rsidRPr="00B10A2D">
        <w:t xml:space="preserve">are </w:t>
      </w:r>
      <w:r w:rsidR="002C4813" w:rsidRPr="00B10A2D">
        <w:t>often</w:t>
      </w:r>
      <w:r w:rsidR="001D1FD8" w:rsidRPr="00B10A2D">
        <w:t xml:space="preserve"> </w:t>
      </w:r>
      <w:proofErr w:type="spellStart"/>
      <w:r w:rsidR="001D1FD8" w:rsidRPr="00B10A2D">
        <w:t>hyperthermic</w:t>
      </w:r>
      <w:proofErr w:type="spellEnd"/>
      <w:r w:rsidR="001D1FD8" w:rsidRPr="00B10A2D">
        <w:t xml:space="preserve"> (</w:t>
      </w:r>
      <w:r w:rsidR="00D72508" w:rsidRPr="00B10A2D">
        <w:t xml:space="preserve">Hall </w:t>
      </w:r>
      <w:r w:rsidR="00D72508" w:rsidRPr="00B10A2D">
        <w:rPr>
          <w:i/>
        </w:rPr>
        <w:t>et al.</w:t>
      </w:r>
      <w:r w:rsidR="00D72508" w:rsidRPr="00B10A2D">
        <w:t xml:space="preserve"> 2013, </w:t>
      </w:r>
      <w:r w:rsidR="001D1FD8" w:rsidRPr="00B10A2D">
        <w:t>Ku</w:t>
      </w:r>
      <w:r w:rsidR="00B84702" w:rsidRPr="00B10A2D">
        <w:t>t</w:t>
      </w:r>
      <w:r w:rsidR="001D1FD8" w:rsidRPr="00B10A2D">
        <w:t xml:space="preserve">cher </w:t>
      </w:r>
      <w:r w:rsidR="001D1FD8" w:rsidRPr="00B10A2D">
        <w:rPr>
          <w:i/>
        </w:rPr>
        <w:t>et al.</w:t>
      </w:r>
      <w:r w:rsidR="001D1FD8" w:rsidRPr="00B10A2D">
        <w:t xml:space="preserve"> 2009</w:t>
      </w:r>
      <w:r w:rsidR="008C4018" w:rsidRPr="00B10A2D">
        <w:t xml:space="preserve">) and </w:t>
      </w:r>
      <w:r w:rsidR="002C4813" w:rsidRPr="00B10A2D">
        <w:t>have</w:t>
      </w:r>
      <w:r w:rsidR="00FB773A" w:rsidRPr="00B10A2D">
        <w:t xml:space="preserve"> a tendency to </w:t>
      </w:r>
      <w:r w:rsidR="00A12E1A" w:rsidRPr="00B10A2D">
        <w:t xml:space="preserve">rapidly </w:t>
      </w:r>
      <w:r w:rsidR="00FB773A" w:rsidRPr="00B10A2D">
        <w:t xml:space="preserve">go from being extremely agitated to calm </w:t>
      </w:r>
      <w:r w:rsidR="001D1FD8" w:rsidRPr="00B10A2D">
        <w:t>(</w:t>
      </w:r>
      <w:proofErr w:type="spellStart"/>
      <w:r w:rsidR="001D1FD8" w:rsidRPr="00B10A2D">
        <w:t>Wetli</w:t>
      </w:r>
      <w:proofErr w:type="spellEnd"/>
      <w:r w:rsidR="00DF7B0A" w:rsidRPr="00B10A2D">
        <w:t>,</w:t>
      </w:r>
      <w:r w:rsidR="001D1FD8" w:rsidRPr="00B10A2D">
        <w:t xml:space="preserve"> 2006</w:t>
      </w:r>
      <w:r w:rsidR="008F4936" w:rsidRPr="00B10A2D">
        <w:t xml:space="preserve">). </w:t>
      </w:r>
      <w:r w:rsidR="00ED3C9F" w:rsidRPr="00B10A2D">
        <w:t xml:space="preserve">The causes of ED are </w:t>
      </w:r>
      <w:r w:rsidR="008E77BD" w:rsidRPr="00B10A2D">
        <w:t>typically</w:t>
      </w:r>
      <w:r w:rsidR="00ED3C9F" w:rsidRPr="00B10A2D">
        <w:t xml:space="preserve"> </w:t>
      </w:r>
      <w:r w:rsidR="00D33A7A" w:rsidRPr="00B10A2D">
        <w:t>ascribed</w:t>
      </w:r>
      <w:r w:rsidR="00ED3C9F" w:rsidRPr="00B10A2D">
        <w:t xml:space="preserve"> to drug toxicity, </w:t>
      </w:r>
      <w:r w:rsidR="008E77BD" w:rsidRPr="00B10A2D">
        <w:t>particularly</w:t>
      </w:r>
      <w:r w:rsidR="00ED3C9F" w:rsidRPr="00B10A2D">
        <w:t xml:space="preserve"> cocaine and </w:t>
      </w:r>
      <w:proofErr w:type="spellStart"/>
      <w:r w:rsidR="00ED3C9F" w:rsidRPr="00B10A2D">
        <w:t>metamphetamine</w:t>
      </w:r>
      <w:proofErr w:type="spellEnd"/>
      <w:r w:rsidR="00ED3C9F" w:rsidRPr="00B10A2D">
        <w:t xml:space="preserve"> (</w:t>
      </w:r>
      <w:r w:rsidR="001D1FD8" w:rsidRPr="00B10A2D">
        <w:t xml:space="preserve">Samuel </w:t>
      </w:r>
      <w:r w:rsidR="001D1FD8" w:rsidRPr="00B10A2D">
        <w:rPr>
          <w:i/>
        </w:rPr>
        <w:t>et al.</w:t>
      </w:r>
      <w:r w:rsidR="001D1FD8" w:rsidRPr="00B10A2D">
        <w:t xml:space="preserve"> 2009, </w:t>
      </w:r>
      <w:proofErr w:type="spellStart"/>
      <w:r w:rsidR="00ED3C9F" w:rsidRPr="00B10A2D">
        <w:t>Wetli</w:t>
      </w:r>
      <w:proofErr w:type="spellEnd"/>
      <w:r w:rsidR="00DF7B0A" w:rsidRPr="00B10A2D">
        <w:t>,</w:t>
      </w:r>
      <w:r w:rsidR="00ED3C9F" w:rsidRPr="00B10A2D">
        <w:t xml:space="preserve"> 2006); but also nicotine (</w:t>
      </w:r>
      <w:proofErr w:type="spellStart"/>
      <w:r w:rsidR="00ED3C9F" w:rsidRPr="00B10A2D">
        <w:t>Kodikara</w:t>
      </w:r>
      <w:proofErr w:type="spellEnd"/>
      <w:r w:rsidR="00ED3C9F" w:rsidRPr="00B10A2D">
        <w:t xml:space="preserve"> </w:t>
      </w:r>
      <w:r w:rsidR="00ED3C9F" w:rsidRPr="00B10A2D">
        <w:rPr>
          <w:i/>
        </w:rPr>
        <w:t>et al</w:t>
      </w:r>
      <w:r w:rsidR="001D1FD8" w:rsidRPr="00B10A2D">
        <w:rPr>
          <w:i/>
        </w:rPr>
        <w:t>.</w:t>
      </w:r>
      <w:r w:rsidR="00ED3C9F" w:rsidRPr="00B10A2D">
        <w:t xml:space="preserve"> 2012); alcohol, marijuana, PCP, antidepressants, antipsychotics, and epileptic medication (Storey</w:t>
      </w:r>
      <w:r w:rsidR="00DF7B0A" w:rsidRPr="00B10A2D">
        <w:t>,</w:t>
      </w:r>
      <w:r w:rsidR="00ED3C9F" w:rsidRPr="00B10A2D">
        <w:t xml:space="preserve"> 2012). </w:t>
      </w:r>
      <w:r w:rsidR="0066576B" w:rsidRPr="00B10A2D">
        <w:t>However,</w:t>
      </w:r>
      <w:r w:rsidR="007818DD" w:rsidRPr="00B10A2D">
        <w:t xml:space="preserve"> ED</w:t>
      </w:r>
      <w:r w:rsidR="00ED3C9F" w:rsidRPr="00B10A2D">
        <w:t xml:space="preserve"> can also be manifest without drugs, for example with cert</w:t>
      </w:r>
      <w:r w:rsidR="001D1FD8" w:rsidRPr="00B10A2D">
        <w:t>ain psychiatric conditions (</w:t>
      </w:r>
      <w:r w:rsidR="008E77BD" w:rsidRPr="00B10A2D">
        <w:t xml:space="preserve">Marsh </w:t>
      </w:r>
      <w:r w:rsidR="008E77BD" w:rsidRPr="00B10A2D">
        <w:rPr>
          <w:i/>
        </w:rPr>
        <w:t>et al.</w:t>
      </w:r>
      <w:r w:rsidR="00BC72CC" w:rsidRPr="00B10A2D">
        <w:t xml:space="preserve"> 2009</w:t>
      </w:r>
      <w:r w:rsidR="00ED3C9F" w:rsidRPr="00B10A2D">
        <w:t xml:space="preserve">). </w:t>
      </w:r>
      <w:r w:rsidR="00BB7773" w:rsidRPr="00B10A2D">
        <w:t>It is, though, also important to note that not all individuals with ED die, nor do all those who d</w:t>
      </w:r>
      <w:r w:rsidR="001924E0" w:rsidRPr="00B10A2D">
        <w:t xml:space="preserve">ie do so in police custody (see, for example Kutcher </w:t>
      </w:r>
      <w:r w:rsidR="001924E0" w:rsidRPr="00B10A2D">
        <w:rPr>
          <w:i/>
        </w:rPr>
        <w:t>et al.</w:t>
      </w:r>
      <w:r w:rsidR="001924E0" w:rsidRPr="00B10A2D">
        <w:t xml:space="preserve"> 2009, Marsh </w:t>
      </w:r>
      <w:r w:rsidR="001924E0" w:rsidRPr="00B10A2D">
        <w:rPr>
          <w:i/>
        </w:rPr>
        <w:t>et al.</w:t>
      </w:r>
      <w:r w:rsidR="001924E0" w:rsidRPr="00B10A2D">
        <w:t xml:space="preserve"> 2009</w:t>
      </w:r>
      <w:r w:rsidR="00BB7773" w:rsidRPr="00B10A2D">
        <w:t xml:space="preserve">). </w:t>
      </w:r>
      <w:proofErr w:type="spellStart"/>
      <w:r w:rsidR="00BC72CC" w:rsidRPr="00B10A2D">
        <w:t>Wetli</w:t>
      </w:r>
      <w:proofErr w:type="spellEnd"/>
      <w:r w:rsidR="00BC72CC" w:rsidRPr="00B10A2D">
        <w:t xml:space="preserve"> (2006: </w:t>
      </w:r>
      <w:r w:rsidR="00762594" w:rsidRPr="00B10A2D">
        <w:t xml:space="preserve">101) estimates that approximately 10% of ED cases result in death to the individual. </w:t>
      </w:r>
      <w:proofErr w:type="spellStart"/>
      <w:r w:rsidR="007818DD" w:rsidRPr="00B10A2D">
        <w:t>Vilke</w:t>
      </w:r>
      <w:proofErr w:type="spellEnd"/>
      <w:r w:rsidR="007818DD" w:rsidRPr="00B10A2D">
        <w:t xml:space="preserve"> </w:t>
      </w:r>
      <w:r w:rsidR="007818DD" w:rsidRPr="00B10A2D">
        <w:rPr>
          <w:i/>
        </w:rPr>
        <w:t>et al.</w:t>
      </w:r>
      <w:r w:rsidR="007818DD" w:rsidRPr="00B10A2D">
        <w:t xml:space="preserve"> (2012: 8) note that ED is now considered to be more of a ‘syndrome’ than a ‘disease’</w:t>
      </w:r>
      <w:r w:rsidR="00277EFC" w:rsidRPr="00B10A2D">
        <w:t xml:space="preserve">, a point acknowledged </w:t>
      </w:r>
      <w:r w:rsidR="0073538B" w:rsidRPr="00B10A2D">
        <w:t>by a task force set up by the American College of Emergency Physicians</w:t>
      </w:r>
      <w:r w:rsidR="00D33A7A" w:rsidRPr="00B10A2D">
        <w:t xml:space="preserve"> (ACEP)</w:t>
      </w:r>
      <w:r w:rsidR="0073538B" w:rsidRPr="00B10A2D">
        <w:t xml:space="preserve"> in 2008 that found it to be: ‘a real syndrome of uncertain </w:t>
      </w:r>
      <w:proofErr w:type="spellStart"/>
      <w:r w:rsidR="0073538B" w:rsidRPr="00B10A2D">
        <w:t>etiology</w:t>
      </w:r>
      <w:proofErr w:type="spellEnd"/>
      <w:r w:rsidR="0073538B" w:rsidRPr="00B10A2D">
        <w:t>’ (cited in Storey</w:t>
      </w:r>
      <w:r w:rsidR="00DF7B0A" w:rsidRPr="00B10A2D">
        <w:t>,</w:t>
      </w:r>
      <w:r w:rsidR="0073538B" w:rsidRPr="00B10A2D">
        <w:t xml:space="preserve"> 2012: 645). </w:t>
      </w:r>
    </w:p>
    <w:p w14:paraId="4C3EB42E" w14:textId="2DE13F96" w:rsidR="00CB1EEE" w:rsidRPr="00B10A2D" w:rsidRDefault="008A77F0" w:rsidP="00266790">
      <w:pPr>
        <w:spacing w:after="0" w:line="360" w:lineRule="auto"/>
        <w:jc w:val="both"/>
      </w:pPr>
      <w:r w:rsidRPr="00B10A2D">
        <w:t xml:space="preserve">Thus ED is marked by a wide variety of possible symptoms, causes, </w:t>
      </w:r>
      <w:r w:rsidR="0066576B" w:rsidRPr="00B10A2D">
        <w:t xml:space="preserve">and </w:t>
      </w:r>
      <w:r w:rsidR="00A12E1A" w:rsidRPr="00B10A2D">
        <w:t>contested</w:t>
      </w:r>
      <w:r w:rsidRPr="00B10A2D">
        <w:t xml:space="preserve"> definition</w:t>
      </w:r>
      <w:r w:rsidR="00A12E1A" w:rsidRPr="00B10A2D">
        <w:t>s</w:t>
      </w:r>
      <w:r w:rsidR="0066576B" w:rsidRPr="00B10A2D">
        <w:t>. It</w:t>
      </w:r>
      <w:r w:rsidRPr="00B10A2D">
        <w:t xml:space="preserve"> </w:t>
      </w:r>
      <w:r w:rsidR="0066576B" w:rsidRPr="00B10A2D">
        <w:t>can relate</w:t>
      </w:r>
      <w:r w:rsidRPr="00B10A2D">
        <w:t xml:space="preserve"> to contentious police interaction</w:t>
      </w:r>
      <w:r w:rsidR="00CC4897" w:rsidRPr="00B10A2D">
        <w:t>s</w:t>
      </w:r>
      <w:r w:rsidR="003D6128" w:rsidRPr="00B10A2D">
        <w:t xml:space="preserve"> with individuals of BME origin;</w:t>
      </w:r>
      <w:r w:rsidRPr="00B10A2D">
        <w:t xml:space="preserve"> with mental health and/or substance issues, and </w:t>
      </w:r>
      <w:r w:rsidR="00FF5778" w:rsidRPr="00B10A2D">
        <w:t>also relate</w:t>
      </w:r>
      <w:r w:rsidRPr="00B10A2D">
        <w:t xml:space="preserve"> to the use of </w:t>
      </w:r>
      <w:r w:rsidR="00CC4897" w:rsidRPr="00B10A2D">
        <w:t>force</w:t>
      </w:r>
      <w:r w:rsidR="00FF5778" w:rsidRPr="00B10A2D">
        <w:t xml:space="preserve"> (</w:t>
      </w:r>
      <w:proofErr w:type="spellStart"/>
      <w:r w:rsidR="00FF5778" w:rsidRPr="00B10A2D">
        <w:t>Ana</w:t>
      </w:r>
      <w:r w:rsidR="00FF5778" w:rsidRPr="00B10A2D">
        <w:rPr>
          <w:rFonts w:ascii="Calibri" w:hAnsi="Calibri"/>
        </w:rPr>
        <w:t>ï</w:t>
      </w:r>
      <w:r w:rsidR="00FF5778" w:rsidRPr="00B10A2D">
        <w:t>s</w:t>
      </w:r>
      <w:proofErr w:type="spellEnd"/>
      <w:r w:rsidR="00FF5778" w:rsidRPr="00B10A2D">
        <w:t xml:space="preserve"> 2014, Storey 2012, </w:t>
      </w:r>
      <w:proofErr w:type="spellStart"/>
      <w:r w:rsidR="00FF5778" w:rsidRPr="00B10A2D">
        <w:t>Brodeur</w:t>
      </w:r>
      <w:proofErr w:type="spellEnd"/>
      <w:r w:rsidR="00FF5778" w:rsidRPr="00B10A2D">
        <w:t xml:space="preserve"> 2010)</w:t>
      </w:r>
      <w:r w:rsidRPr="00B10A2D">
        <w:t xml:space="preserve">. Small wonder that </w:t>
      </w:r>
      <w:proofErr w:type="spellStart"/>
      <w:r w:rsidRPr="00B10A2D">
        <w:t>Wetli</w:t>
      </w:r>
      <w:proofErr w:type="spellEnd"/>
      <w:r w:rsidRPr="00B10A2D">
        <w:t xml:space="preserve"> (2006: 99) cites a New York chief police officer stating that ED accounts for 1% of their cases but 99% of their headaches. The public expect police to provide a rapid response to </w:t>
      </w:r>
      <w:r w:rsidR="00A12E1A" w:rsidRPr="00B10A2D">
        <w:t>emergency calls (Reiner 2010, Waddington</w:t>
      </w:r>
      <w:r w:rsidR="00DF7B0A" w:rsidRPr="00B10A2D">
        <w:t>,</w:t>
      </w:r>
      <w:r w:rsidR="00A12E1A" w:rsidRPr="00B10A2D">
        <w:t xml:space="preserve"> 1999</w:t>
      </w:r>
      <w:r w:rsidRPr="00B10A2D">
        <w:t>) but in these cases police face a dilemma</w:t>
      </w:r>
      <w:r w:rsidR="00506085" w:rsidRPr="00B10A2D">
        <w:t xml:space="preserve"> without cognisance of the consequences</w:t>
      </w:r>
      <w:r w:rsidRPr="00B10A2D">
        <w:t>: the possibility of death or injury if individuals are not restrained, and the possibility of sudden death if they</w:t>
      </w:r>
      <w:r w:rsidR="00D33A7A" w:rsidRPr="00B10A2D">
        <w:t xml:space="preserve"> are restrained (</w:t>
      </w:r>
      <w:proofErr w:type="spellStart"/>
      <w:r w:rsidR="00D33A7A" w:rsidRPr="00B10A2D">
        <w:t>Wetli</w:t>
      </w:r>
      <w:proofErr w:type="spellEnd"/>
      <w:r w:rsidR="0052444C" w:rsidRPr="00B10A2D">
        <w:t>,</w:t>
      </w:r>
      <w:r w:rsidR="00D33A7A" w:rsidRPr="00B10A2D">
        <w:t xml:space="preserve"> 2006</w:t>
      </w:r>
      <w:r w:rsidRPr="00B10A2D">
        <w:t xml:space="preserve">). </w:t>
      </w:r>
      <w:r w:rsidR="008D50B9" w:rsidRPr="00B10A2D">
        <w:t>This paper</w:t>
      </w:r>
      <w:r w:rsidR="00141B55" w:rsidRPr="00B10A2D">
        <w:t xml:space="preserve"> uses data from coronial jury narratives to</w:t>
      </w:r>
      <w:r w:rsidR="008D50B9" w:rsidRPr="00B10A2D">
        <w:t xml:space="preserve"> examine </w:t>
      </w:r>
      <w:r w:rsidR="00DB6EA7" w:rsidRPr="00B10A2D">
        <w:t xml:space="preserve">the way in which ED is recorded as being a contributory factor in the deaths of citizens. It examines what this might say about the utility of ED as a condition, or within a constellation of symptoms, that could enable lessons to be learned to prevent future deaths when police encounter citizens in crisis situations.  </w:t>
      </w:r>
    </w:p>
    <w:p w14:paraId="2883F53B" w14:textId="77777777" w:rsidR="00141B55" w:rsidRPr="00B10A2D" w:rsidRDefault="00141B55" w:rsidP="00266790">
      <w:pPr>
        <w:spacing w:after="0" w:line="360" w:lineRule="auto"/>
        <w:jc w:val="both"/>
      </w:pPr>
    </w:p>
    <w:p w14:paraId="13777DE3" w14:textId="1C931AFC" w:rsidR="008E77BD" w:rsidRPr="00B10A2D" w:rsidRDefault="008E77BD" w:rsidP="00266790">
      <w:pPr>
        <w:spacing w:after="0" w:line="360" w:lineRule="auto"/>
        <w:jc w:val="both"/>
      </w:pPr>
      <w:r w:rsidRPr="00B10A2D">
        <w:rPr>
          <w:rFonts w:ascii="Calibri" w:eastAsia="Times New Roman" w:hAnsi="Calibri" w:cs="Calibri"/>
          <w:b/>
          <w:i/>
        </w:rPr>
        <w:t>Definitional ambiguities</w:t>
      </w:r>
    </w:p>
    <w:p w14:paraId="38E97C30" w14:textId="77777777" w:rsidR="00BC72CC" w:rsidRPr="00B10A2D" w:rsidRDefault="00BC72CC" w:rsidP="00266790">
      <w:pPr>
        <w:spacing w:after="0" w:line="360" w:lineRule="auto"/>
        <w:jc w:val="both"/>
        <w:rPr>
          <w:rFonts w:ascii="Calibri" w:eastAsia="Times New Roman" w:hAnsi="Calibri" w:cs="Calibri"/>
          <w:b/>
          <w:i/>
        </w:rPr>
      </w:pPr>
    </w:p>
    <w:p w14:paraId="1DE50792" w14:textId="6763AFE7" w:rsidR="00FE2E07" w:rsidRPr="00B10A2D" w:rsidRDefault="00FE2E07" w:rsidP="00266790">
      <w:pPr>
        <w:spacing w:after="0" w:line="360" w:lineRule="auto"/>
        <w:jc w:val="both"/>
        <w:rPr>
          <w:rFonts w:ascii="Calibri" w:eastAsia="Times New Roman" w:hAnsi="Calibri" w:cs="Calibri"/>
        </w:rPr>
      </w:pPr>
      <w:r w:rsidRPr="00B10A2D">
        <w:rPr>
          <w:rFonts w:ascii="Calibri" w:eastAsia="Times New Roman" w:hAnsi="Calibri" w:cs="Calibri"/>
        </w:rPr>
        <w:t xml:space="preserve">The term </w:t>
      </w:r>
      <w:r w:rsidR="00A12E1A" w:rsidRPr="00B10A2D">
        <w:rPr>
          <w:rFonts w:ascii="Calibri" w:eastAsia="Times New Roman" w:hAnsi="Calibri" w:cs="Calibri"/>
        </w:rPr>
        <w:t xml:space="preserve">ED </w:t>
      </w:r>
      <w:r w:rsidRPr="00B10A2D">
        <w:rPr>
          <w:rFonts w:ascii="Calibri" w:eastAsia="Times New Roman" w:hAnsi="Calibri" w:cs="Calibri"/>
        </w:rPr>
        <w:t xml:space="preserve">was coined by </w:t>
      </w:r>
      <w:proofErr w:type="spellStart"/>
      <w:r w:rsidRPr="00B10A2D">
        <w:rPr>
          <w:rFonts w:ascii="Calibri" w:eastAsia="Times New Roman" w:hAnsi="Calibri" w:cs="Calibri"/>
        </w:rPr>
        <w:t>Wetli</w:t>
      </w:r>
      <w:proofErr w:type="spellEnd"/>
      <w:r w:rsidRPr="00B10A2D">
        <w:rPr>
          <w:rFonts w:ascii="Calibri" w:eastAsia="Times New Roman" w:hAnsi="Calibri" w:cs="Calibri"/>
        </w:rPr>
        <w:t xml:space="preserve"> and </w:t>
      </w:r>
      <w:proofErr w:type="spellStart"/>
      <w:r w:rsidRPr="00B10A2D">
        <w:rPr>
          <w:rFonts w:ascii="Calibri" w:eastAsia="Times New Roman" w:hAnsi="Calibri" w:cs="Calibri"/>
        </w:rPr>
        <w:t>Fishbain</w:t>
      </w:r>
      <w:proofErr w:type="spellEnd"/>
      <w:r w:rsidRPr="00B10A2D">
        <w:rPr>
          <w:rFonts w:ascii="Calibri" w:eastAsia="Times New Roman" w:hAnsi="Calibri" w:cs="Calibri"/>
        </w:rPr>
        <w:t xml:space="preserve"> (1985) but its roots lie in the mid-nineteenth century as a psychiatric form of mania or delirium, originally known as ‘Bell’s mania’ (</w:t>
      </w:r>
      <w:proofErr w:type="spellStart"/>
      <w:r w:rsidRPr="00B10A2D">
        <w:rPr>
          <w:rFonts w:ascii="Calibri" w:eastAsia="Times New Roman" w:hAnsi="Calibri" w:cs="Calibri"/>
        </w:rPr>
        <w:t>Vilke</w:t>
      </w:r>
      <w:proofErr w:type="spellEnd"/>
      <w:r w:rsidRPr="00B10A2D">
        <w:rPr>
          <w:rFonts w:ascii="Calibri" w:eastAsia="Times New Roman" w:hAnsi="Calibri" w:cs="Calibri"/>
        </w:rPr>
        <w:t xml:space="preserve"> </w:t>
      </w:r>
      <w:r w:rsidRPr="00B10A2D">
        <w:rPr>
          <w:rFonts w:ascii="Calibri" w:eastAsia="Times New Roman" w:hAnsi="Calibri" w:cs="Calibri"/>
          <w:i/>
        </w:rPr>
        <w:t>et al</w:t>
      </w:r>
      <w:r w:rsidRPr="00B10A2D">
        <w:rPr>
          <w:rFonts w:ascii="Calibri" w:eastAsia="Times New Roman" w:hAnsi="Calibri" w:cs="Calibri"/>
        </w:rPr>
        <w:t>. 2012, Storey</w:t>
      </w:r>
      <w:r w:rsidR="00DF7B0A" w:rsidRPr="00B10A2D">
        <w:rPr>
          <w:rFonts w:ascii="Calibri" w:eastAsia="Times New Roman" w:hAnsi="Calibri" w:cs="Calibri"/>
        </w:rPr>
        <w:t>,</w:t>
      </w:r>
      <w:r w:rsidRPr="00B10A2D">
        <w:rPr>
          <w:rFonts w:ascii="Calibri" w:eastAsia="Times New Roman" w:hAnsi="Calibri" w:cs="Calibri"/>
        </w:rPr>
        <w:t xml:space="preserve"> 2012). Since then, it has acquired a number of labels. Within the dataset </w:t>
      </w:r>
      <w:r w:rsidR="004765B8" w:rsidRPr="00B10A2D">
        <w:rPr>
          <w:rFonts w:ascii="Calibri" w:eastAsia="Times New Roman" w:hAnsi="Calibri" w:cs="Calibri"/>
        </w:rPr>
        <w:t xml:space="preserve">used in this paper </w:t>
      </w:r>
      <w:r w:rsidRPr="00B10A2D">
        <w:rPr>
          <w:rFonts w:ascii="Calibri" w:eastAsia="Times New Roman" w:hAnsi="Calibri" w:cs="Calibri"/>
        </w:rPr>
        <w:t xml:space="preserve">there are also examples </w:t>
      </w:r>
      <w:r w:rsidR="00E40F07" w:rsidRPr="00B10A2D">
        <w:rPr>
          <w:rFonts w:ascii="Calibri" w:eastAsia="Times New Roman" w:hAnsi="Calibri" w:cs="Calibri"/>
        </w:rPr>
        <w:t>of</w:t>
      </w:r>
      <w:r w:rsidR="00DB6EA7" w:rsidRPr="00B10A2D">
        <w:rPr>
          <w:rFonts w:ascii="Calibri" w:eastAsia="Times New Roman" w:hAnsi="Calibri" w:cs="Calibri"/>
        </w:rPr>
        <w:t xml:space="preserve"> coronial juries recording the terms</w:t>
      </w:r>
      <w:r w:rsidR="00E40F07" w:rsidRPr="00B10A2D">
        <w:rPr>
          <w:rFonts w:ascii="Calibri" w:eastAsia="Times New Roman" w:hAnsi="Calibri" w:cs="Calibri"/>
        </w:rPr>
        <w:t xml:space="preserve"> ‘Acute Behavioural Disorder’</w:t>
      </w:r>
      <w:r w:rsidR="0066576B" w:rsidRPr="00B10A2D">
        <w:rPr>
          <w:rFonts w:ascii="Calibri" w:eastAsia="Times New Roman" w:hAnsi="Calibri" w:cs="Calibri"/>
        </w:rPr>
        <w:t xml:space="preserve">, </w:t>
      </w:r>
      <w:r w:rsidRPr="00B10A2D">
        <w:rPr>
          <w:rFonts w:ascii="Calibri" w:eastAsia="Times New Roman" w:hAnsi="Calibri" w:cs="Calibri"/>
        </w:rPr>
        <w:t>‘Acute Psychotic Illness’</w:t>
      </w:r>
      <w:r w:rsidR="00BC72CC" w:rsidRPr="00B10A2D">
        <w:rPr>
          <w:rFonts w:ascii="Calibri" w:eastAsia="Times New Roman" w:hAnsi="Calibri" w:cs="Calibri"/>
        </w:rPr>
        <w:t>, and ‘A</w:t>
      </w:r>
      <w:r w:rsidR="003D6128" w:rsidRPr="00B10A2D">
        <w:rPr>
          <w:rFonts w:ascii="Calibri" w:eastAsia="Times New Roman" w:hAnsi="Calibri" w:cs="Calibri"/>
        </w:rPr>
        <w:t>m</w:t>
      </w:r>
      <w:r w:rsidR="00BC72CC" w:rsidRPr="00B10A2D">
        <w:rPr>
          <w:rFonts w:ascii="Calibri" w:eastAsia="Times New Roman" w:hAnsi="Calibri" w:cs="Calibri"/>
        </w:rPr>
        <w:t>phetamine Induced Delirium’</w:t>
      </w:r>
      <w:r w:rsidRPr="00B10A2D">
        <w:rPr>
          <w:rFonts w:ascii="Calibri" w:eastAsia="Times New Roman" w:hAnsi="Calibri" w:cs="Calibri"/>
        </w:rPr>
        <w:t xml:space="preserve">. This chimes with literature on the condition which identifies in excess of ten different labels for the phenomenon (Samuel </w:t>
      </w:r>
      <w:r w:rsidRPr="00B10A2D">
        <w:rPr>
          <w:rFonts w:ascii="Calibri" w:eastAsia="Times New Roman" w:hAnsi="Calibri" w:cs="Calibri"/>
          <w:i/>
        </w:rPr>
        <w:t>et al</w:t>
      </w:r>
      <w:r w:rsidRPr="00B10A2D">
        <w:rPr>
          <w:rFonts w:ascii="Calibri" w:eastAsia="Times New Roman" w:hAnsi="Calibri" w:cs="Calibri"/>
        </w:rPr>
        <w:t>. 2009).</w:t>
      </w:r>
      <w:r w:rsidR="004765B8" w:rsidRPr="00B10A2D">
        <w:rPr>
          <w:rFonts w:ascii="Calibri" w:eastAsia="Times New Roman" w:hAnsi="Calibri" w:cs="Calibri"/>
        </w:rPr>
        <w:t xml:space="preserve"> </w:t>
      </w:r>
      <w:r w:rsidR="00762594" w:rsidRPr="00B10A2D">
        <w:rPr>
          <w:rFonts w:ascii="Calibri" w:eastAsia="Times New Roman" w:hAnsi="Calibri" w:cs="Calibri"/>
        </w:rPr>
        <w:t xml:space="preserve">Examples noted by </w:t>
      </w:r>
      <w:proofErr w:type="spellStart"/>
      <w:r w:rsidR="00762594" w:rsidRPr="00B10A2D">
        <w:rPr>
          <w:rFonts w:ascii="Calibri" w:eastAsia="Times New Roman" w:hAnsi="Calibri" w:cs="Calibri"/>
        </w:rPr>
        <w:t>Wetli</w:t>
      </w:r>
      <w:proofErr w:type="spellEnd"/>
      <w:r w:rsidR="00762594" w:rsidRPr="00B10A2D">
        <w:rPr>
          <w:rFonts w:ascii="Calibri" w:eastAsia="Times New Roman" w:hAnsi="Calibri" w:cs="Calibri"/>
        </w:rPr>
        <w:t xml:space="preserve"> (2006: 102) </w:t>
      </w:r>
      <w:r w:rsidR="003D6128" w:rsidRPr="00B10A2D">
        <w:rPr>
          <w:rFonts w:ascii="Calibri" w:eastAsia="Times New Roman" w:hAnsi="Calibri" w:cs="Calibri"/>
        </w:rPr>
        <w:t>include</w:t>
      </w:r>
      <w:r w:rsidR="00762594" w:rsidRPr="00B10A2D">
        <w:rPr>
          <w:rFonts w:ascii="Calibri" w:eastAsia="Times New Roman" w:hAnsi="Calibri" w:cs="Calibri"/>
        </w:rPr>
        <w:t xml:space="preserve"> ‘acute exhaustive mania’, ‘agitated delirium’</w:t>
      </w:r>
      <w:r w:rsidR="00D247E9" w:rsidRPr="00B10A2D">
        <w:rPr>
          <w:rFonts w:ascii="Calibri" w:eastAsia="Times New Roman" w:hAnsi="Calibri" w:cs="Calibri"/>
        </w:rPr>
        <w:t xml:space="preserve"> (also noted by </w:t>
      </w:r>
      <w:proofErr w:type="spellStart"/>
      <w:r w:rsidR="00D247E9" w:rsidRPr="00B10A2D">
        <w:rPr>
          <w:rFonts w:ascii="Calibri" w:eastAsia="Times New Roman" w:hAnsi="Calibri" w:cs="Calibri"/>
        </w:rPr>
        <w:t>Menaker</w:t>
      </w:r>
      <w:proofErr w:type="spellEnd"/>
      <w:r w:rsidR="00D247E9" w:rsidRPr="00B10A2D">
        <w:rPr>
          <w:rFonts w:ascii="Calibri" w:eastAsia="Times New Roman" w:hAnsi="Calibri" w:cs="Calibri"/>
        </w:rPr>
        <w:t xml:space="preserve"> </w:t>
      </w:r>
      <w:r w:rsidR="00D247E9" w:rsidRPr="00B10A2D">
        <w:rPr>
          <w:rFonts w:ascii="Calibri" w:eastAsia="Times New Roman" w:hAnsi="Calibri" w:cs="Calibri"/>
          <w:i/>
        </w:rPr>
        <w:t>et al.</w:t>
      </w:r>
      <w:r w:rsidR="00D247E9" w:rsidRPr="00B10A2D">
        <w:rPr>
          <w:rFonts w:ascii="Calibri" w:eastAsia="Times New Roman" w:hAnsi="Calibri" w:cs="Calibri"/>
        </w:rPr>
        <w:t xml:space="preserve"> 2009)</w:t>
      </w:r>
      <w:r w:rsidR="00762594" w:rsidRPr="00B10A2D">
        <w:rPr>
          <w:rFonts w:ascii="Calibri" w:eastAsia="Times New Roman" w:hAnsi="Calibri" w:cs="Calibri"/>
        </w:rPr>
        <w:t>, and ‘acute excited states’</w:t>
      </w:r>
      <w:r w:rsidR="00987AAA" w:rsidRPr="00B10A2D">
        <w:rPr>
          <w:rFonts w:ascii="Calibri" w:eastAsia="Times New Roman" w:hAnsi="Calibri" w:cs="Calibri"/>
        </w:rPr>
        <w:t xml:space="preserve"> (also noted by Samuel </w:t>
      </w:r>
      <w:r w:rsidR="00987AAA" w:rsidRPr="00B10A2D">
        <w:rPr>
          <w:rFonts w:ascii="Calibri" w:eastAsia="Times New Roman" w:hAnsi="Calibri" w:cs="Calibri"/>
          <w:i/>
        </w:rPr>
        <w:t>et al</w:t>
      </w:r>
      <w:r w:rsidR="00D247E9" w:rsidRPr="00B10A2D">
        <w:rPr>
          <w:rFonts w:ascii="Calibri" w:eastAsia="Times New Roman" w:hAnsi="Calibri" w:cs="Calibri"/>
          <w:i/>
        </w:rPr>
        <w:t>.</w:t>
      </w:r>
      <w:r w:rsidR="00987AAA" w:rsidRPr="00B10A2D">
        <w:rPr>
          <w:rFonts w:ascii="Calibri" w:eastAsia="Times New Roman" w:hAnsi="Calibri" w:cs="Calibri"/>
        </w:rPr>
        <w:t xml:space="preserve"> 2009)</w:t>
      </w:r>
      <w:r w:rsidR="00762594" w:rsidRPr="00B10A2D">
        <w:rPr>
          <w:rFonts w:ascii="Calibri" w:eastAsia="Times New Roman" w:hAnsi="Calibri" w:cs="Calibri"/>
        </w:rPr>
        <w:t xml:space="preserve">. </w:t>
      </w:r>
      <w:r w:rsidR="008D50B9" w:rsidRPr="00B10A2D">
        <w:rPr>
          <w:rFonts w:ascii="Calibri" w:eastAsia="Times New Roman" w:hAnsi="Calibri" w:cs="Calibri"/>
        </w:rPr>
        <w:t xml:space="preserve">‘Acute Behavioural Disorder’ is </w:t>
      </w:r>
      <w:r w:rsidR="00E362AC" w:rsidRPr="00B10A2D">
        <w:rPr>
          <w:rFonts w:ascii="Calibri" w:eastAsia="Times New Roman" w:hAnsi="Calibri" w:cs="Calibri"/>
        </w:rPr>
        <w:t>used in conjunction with ‘</w:t>
      </w:r>
      <w:r w:rsidR="00373A65" w:rsidRPr="00B10A2D">
        <w:rPr>
          <w:rFonts w:ascii="Calibri" w:eastAsia="Times New Roman" w:hAnsi="Calibri" w:cs="Calibri"/>
        </w:rPr>
        <w:t>excited d</w:t>
      </w:r>
      <w:r w:rsidR="00E362AC" w:rsidRPr="00B10A2D">
        <w:rPr>
          <w:rFonts w:ascii="Calibri" w:eastAsia="Times New Roman" w:hAnsi="Calibri" w:cs="Calibri"/>
        </w:rPr>
        <w:t>elirium’</w:t>
      </w:r>
      <w:r w:rsidR="008D50B9" w:rsidRPr="00B10A2D">
        <w:rPr>
          <w:rFonts w:ascii="Calibri" w:eastAsia="Times New Roman" w:hAnsi="Calibri" w:cs="Calibri"/>
        </w:rPr>
        <w:t xml:space="preserve"> by a 2016 policy document by the Royal College of Emergency Medicine</w:t>
      </w:r>
      <w:r w:rsidR="00B463EB" w:rsidRPr="00B10A2D">
        <w:rPr>
          <w:rFonts w:ascii="Calibri" w:eastAsia="Times New Roman" w:hAnsi="Calibri" w:cs="Calibri"/>
        </w:rPr>
        <w:t xml:space="preserve"> (RCEM)</w:t>
      </w:r>
      <w:r w:rsidR="008D50B9" w:rsidRPr="00B10A2D">
        <w:rPr>
          <w:rFonts w:ascii="Calibri" w:eastAsia="Times New Roman" w:hAnsi="Calibri" w:cs="Calibri"/>
        </w:rPr>
        <w:t xml:space="preserve"> in </w:t>
      </w:r>
      <w:r w:rsidR="00E362AC" w:rsidRPr="00B10A2D">
        <w:rPr>
          <w:rFonts w:ascii="Calibri" w:eastAsia="Times New Roman" w:hAnsi="Calibri" w:cs="Calibri"/>
        </w:rPr>
        <w:t>the UK which provides guidelines for its management by police and medical services</w:t>
      </w:r>
      <w:r w:rsidR="00B463EB" w:rsidRPr="00B10A2D">
        <w:rPr>
          <w:rFonts w:ascii="Calibri" w:eastAsia="Times New Roman" w:hAnsi="Calibri" w:cs="Calibri"/>
        </w:rPr>
        <w:t xml:space="preserve"> (RCEM 2016)</w:t>
      </w:r>
      <w:r w:rsidR="00E362AC" w:rsidRPr="00B10A2D">
        <w:rPr>
          <w:rFonts w:ascii="Calibri" w:eastAsia="Times New Roman" w:hAnsi="Calibri" w:cs="Calibri"/>
        </w:rPr>
        <w:t xml:space="preserve">. </w:t>
      </w:r>
      <w:r w:rsidR="004765B8" w:rsidRPr="00B10A2D">
        <w:rPr>
          <w:rFonts w:ascii="Calibri" w:eastAsia="Times New Roman" w:hAnsi="Calibri" w:cs="Calibri"/>
        </w:rPr>
        <w:t>In a report into ED</w:t>
      </w:r>
      <w:r w:rsidRPr="00B10A2D">
        <w:rPr>
          <w:rFonts w:ascii="Calibri" w:eastAsia="Times New Roman" w:hAnsi="Calibri" w:cs="Calibri"/>
        </w:rPr>
        <w:t xml:space="preserve"> commissioned by the government of Nova Scotia, Kutcher </w:t>
      </w:r>
      <w:r w:rsidRPr="00B10A2D">
        <w:rPr>
          <w:rFonts w:ascii="Calibri" w:eastAsia="Times New Roman" w:hAnsi="Calibri" w:cs="Calibri"/>
          <w:i/>
        </w:rPr>
        <w:t>et al</w:t>
      </w:r>
      <w:r w:rsidRPr="00B10A2D">
        <w:rPr>
          <w:rFonts w:ascii="Calibri" w:eastAsia="Times New Roman" w:hAnsi="Calibri" w:cs="Calibri"/>
        </w:rPr>
        <w:t xml:space="preserve">. (2009: ii) overtly eschew the term ‘excited delirium’, instead preferring ‘autonomic hyperarousal state’. </w:t>
      </w:r>
      <w:r w:rsidR="000B655F" w:rsidRPr="00B10A2D">
        <w:rPr>
          <w:rFonts w:ascii="Calibri" w:eastAsia="Times New Roman" w:hAnsi="Calibri" w:cs="Calibri"/>
        </w:rPr>
        <w:t xml:space="preserve">In the US, a National Institute of Justice (NIJ) review into ED defined it as ‘an altered mental state with impaired cognition and perception, and severe psycho-motor agitation’ (NIJ, 2011: 37). </w:t>
      </w:r>
      <w:r w:rsidRPr="00B10A2D">
        <w:rPr>
          <w:rFonts w:ascii="Calibri" w:eastAsia="Times New Roman" w:hAnsi="Calibri" w:cs="Calibri"/>
        </w:rPr>
        <w:t>Moreover, there is significant debate within the medical and scientific communit</w:t>
      </w:r>
      <w:r w:rsidR="00D431AA" w:rsidRPr="00B10A2D">
        <w:rPr>
          <w:rFonts w:ascii="Calibri" w:eastAsia="Times New Roman" w:hAnsi="Calibri" w:cs="Calibri"/>
        </w:rPr>
        <w:t>y about whether ED</w:t>
      </w:r>
      <w:r w:rsidRPr="00B10A2D">
        <w:rPr>
          <w:rFonts w:ascii="Calibri" w:eastAsia="Times New Roman" w:hAnsi="Calibri" w:cs="Calibri"/>
        </w:rPr>
        <w:t xml:space="preserve"> is </w:t>
      </w:r>
      <w:r w:rsidR="0037503E" w:rsidRPr="00B10A2D">
        <w:rPr>
          <w:rFonts w:ascii="Calibri" w:eastAsia="Times New Roman" w:hAnsi="Calibri" w:cs="Calibri"/>
        </w:rPr>
        <w:t xml:space="preserve">a recognised medical condition </w:t>
      </w:r>
      <w:r w:rsidR="00F76AA8" w:rsidRPr="00B10A2D">
        <w:rPr>
          <w:rFonts w:ascii="Calibri" w:eastAsia="Times New Roman" w:hAnsi="Calibri" w:cs="Calibri"/>
        </w:rPr>
        <w:t>(</w:t>
      </w:r>
      <w:proofErr w:type="spellStart"/>
      <w:r w:rsidR="00F76AA8" w:rsidRPr="00B10A2D">
        <w:rPr>
          <w:rFonts w:ascii="Calibri" w:eastAsia="Times New Roman" w:hAnsi="Calibri" w:cs="Calibri"/>
        </w:rPr>
        <w:t>Anaï</w:t>
      </w:r>
      <w:r w:rsidR="004765B8" w:rsidRPr="00B10A2D">
        <w:rPr>
          <w:rFonts w:ascii="Calibri" w:eastAsia="Times New Roman" w:hAnsi="Calibri" w:cs="Calibri"/>
        </w:rPr>
        <w:t>s</w:t>
      </w:r>
      <w:proofErr w:type="spellEnd"/>
      <w:r w:rsidR="00DF7B0A" w:rsidRPr="00B10A2D">
        <w:rPr>
          <w:rFonts w:ascii="Calibri" w:eastAsia="Times New Roman" w:hAnsi="Calibri" w:cs="Calibri"/>
        </w:rPr>
        <w:t>,</w:t>
      </w:r>
      <w:r w:rsidR="004765B8" w:rsidRPr="00B10A2D">
        <w:rPr>
          <w:rFonts w:ascii="Calibri" w:eastAsia="Times New Roman" w:hAnsi="Calibri" w:cs="Calibri"/>
        </w:rPr>
        <w:t xml:space="preserve"> 2014)</w:t>
      </w:r>
      <w:r w:rsidRPr="00B10A2D">
        <w:rPr>
          <w:rFonts w:ascii="Calibri" w:eastAsia="Times New Roman" w:hAnsi="Calibri" w:cs="Calibri"/>
        </w:rPr>
        <w:t>. It is not recognised by the American Medical Association or the World Health Organisation (</w:t>
      </w:r>
      <w:r w:rsidR="003A5AF2" w:rsidRPr="00B10A2D">
        <w:rPr>
          <w:rFonts w:ascii="Calibri" w:eastAsia="Times New Roman" w:hAnsi="Calibri" w:cs="Calibri"/>
        </w:rPr>
        <w:t>Wozniak</w:t>
      </w:r>
      <w:r w:rsidR="00DF7B0A" w:rsidRPr="00B10A2D">
        <w:rPr>
          <w:rFonts w:ascii="Calibri" w:eastAsia="Times New Roman" w:hAnsi="Calibri" w:cs="Calibri"/>
        </w:rPr>
        <w:t>,</w:t>
      </w:r>
      <w:r w:rsidR="003A5AF2" w:rsidRPr="00B10A2D">
        <w:rPr>
          <w:rFonts w:ascii="Calibri" w:eastAsia="Times New Roman" w:hAnsi="Calibri" w:cs="Calibri"/>
        </w:rPr>
        <w:t xml:space="preserve"> 2016, </w:t>
      </w:r>
      <w:r w:rsidRPr="00B10A2D">
        <w:rPr>
          <w:rFonts w:ascii="Calibri" w:eastAsia="Times New Roman" w:hAnsi="Calibri" w:cs="Calibri"/>
        </w:rPr>
        <w:t xml:space="preserve">Samuel </w:t>
      </w:r>
      <w:r w:rsidRPr="00B10A2D">
        <w:rPr>
          <w:rFonts w:ascii="Calibri" w:eastAsia="Times New Roman" w:hAnsi="Calibri" w:cs="Calibri"/>
          <w:i/>
        </w:rPr>
        <w:t>et al.</w:t>
      </w:r>
      <w:r w:rsidRPr="00B10A2D">
        <w:rPr>
          <w:rFonts w:ascii="Calibri" w:eastAsia="Times New Roman" w:hAnsi="Calibri" w:cs="Calibri"/>
        </w:rPr>
        <w:t xml:space="preserve"> 2009). It is, however, recognised by the American National Association of Medical Examiners and the American College of Emergency Physicians (</w:t>
      </w:r>
      <w:r w:rsidR="00BE17CD" w:rsidRPr="00B10A2D">
        <w:rPr>
          <w:rFonts w:ascii="Calibri" w:eastAsia="Times New Roman" w:hAnsi="Calibri" w:cs="Calibri"/>
        </w:rPr>
        <w:t xml:space="preserve">Hall </w:t>
      </w:r>
      <w:r w:rsidR="00BE17CD" w:rsidRPr="00B10A2D">
        <w:rPr>
          <w:rFonts w:ascii="Calibri" w:eastAsia="Times New Roman" w:hAnsi="Calibri" w:cs="Calibri"/>
          <w:i/>
        </w:rPr>
        <w:t>et al</w:t>
      </w:r>
      <w:r w:rsidR="00E44BE5" w:rsidRPr="00B10A2D">
        <w:rPr>
          <w:rFonts w:ascii="Calibri" w:eastAsia="Times New Roman" w:hAnsi="Calibri" w:cs="Calibri"/>
          <w:i/>
        </w:rPr>
        <w:t>.</w:t>
      </w:r>
      <w:r w:rsidR="00BE17CD" w:rsidRPr="00B10A2D">
        <w:rPr>
          <w:rFonts w:ascii="Calibri" w:eastAsia="Times New Roman" w:hAnsi="Calibri" w:cs="Calibri"/>
        </w:rPr>
        <w:t xml:space="preserve"> 2013, </w:t>
      </w:r>
      <w:r w:rsidR="003A5AF2" w:rsidRPr="00B10A2D">
        <w:rPr>
          <w:rFonts w:ascii="Calibri" w:eastAsia="Times New Roman" w:hAnsi="Calibri" w:cs="Calibri"/>
        </w:rPr>
        <w:t>Storey</w:t>
      </w:r>
      <w:r w:rsidR="00DF7B0A" w:rsidRPr="00B10A2D">
        <w:rPr>
          <w:rFonts w:ascii="Calibri" w:eastAsia="Times New Roman" w:hAnsi="Calibri" w:cs="Calibri"/>
        </w:rPr>
        <w:t>,</w:t>
      </w:r>
      <w:r w:rsidR="003A5AF2" w:rsidRPr="00B10A2D">
        <w:rPr>
          <w:rFonts w:ascii="Calibri" w:eastAsia="Times New Roman" w:hAnsi="Calibri" w:cs="Calibri"/>
        </w:rPr>
        <w:t xml:space="preserve"> 2012, </w:t>
      </w:r>
      <w:proofErr w:type="spellStart"/>
      <w:r w:rsidRPr="00B10A2D">
        <w:rPr>
          <w:rFonts w:ascii="Calibri" w:eastAsia="Times New Roman" w:hAnsi="Calibri" w:cs="Calibri"/>
        </w:rPr>
        <w:t>Vilke</w:t>
      </w:r>
      <w:proofErr w:type="spellEnd"/>
      <w:r w:rsidRPr="00B10A2D">
        <w:rPr>
          <w:rFonts w:ascii="Calibri" w:eastAsia="Times New Roman" w:hAnsi="Calibri" w:cs="Calibri"/>
        </w:rPr>
        <w:t xml:space="preserve"> </w:t>
      </w:r>
      <w:r w:rsidRPr="00B10A2D">
        <w:rPr>
          <w:rFonts w:ascii="Calibri" w:eastAsia="Times New Roman" w:hAnsi="Calibri" w:cs="Calibri"/>
          <w:i/>
        </w:rPr>
        <w:t>et al</w:t>
      </w:r>
      <w:r w:rsidRPr="00B10A2D">
        <w:rPr>
          <w:rFonts w:ascii="Calibri" w:eastAsia="Times New Roman" w:hAnsi="Calibri" w:cs="Calibri"/>
        </w:rPr>
        <w:t xml:space="preserve">. 2012). </w:t>
      </w:r>
      <w:r w:rsidR="007E03F5" w:rsidRPr="00B10A2D">
        <w:rPr>
          <w:rFonts w:ascii="Calibri" w:eastAsia="Times New Roman" w:hAnsi="Calibri" w:cs="Calibri"/>
        </w:rPr>
        <w:t>Whilst major medical agencies do not acknowledge it, organisations that deal with emergency cases such as emergency physicians, or mortalities, such as medical examiners (ME) do</w:t>
      </w:r>
      <w:r w:rsidR="000B655F" w:rsidRPr="00B10A2D">
        <w:rPr>
          <w:rFonts w:ascii="Calibri" w:eastAsia="Times New Roman" w:hAnsi="Calibri" w:cs="Calibri"/>
        </w:rPr>
        <w:t xml:space="preserve"> (NIJ 2011)</w:t>
      </w:r>
      <w:r w:rsidR="007E03F5" w:rsidRPr="00B10A2D">
        <w:rPr>
          <w:rFonts w:ascii="Calibri" w:eastAsia="Times New Roman" w:hAnsi="Calibri" w:cs="Calibri"/>
        </w:rPr>
        <w:t xml:space="preserve">. </w:t>
      </w:r>
    </w:p>
    <w:p w14:paraId="670F5FCF" w14:textId="77777777" w:rsidR="00645E83" w:rsidRPr="00B10A2D" w:rsidRDefault="00645E83" w:rsidP="00266790">
      <w:pPr>
        <w:spacing w:after="0" w:line="360" w:lineRule="auto"/>
        <w:jc w:val="both"/>
        <w:rPr>
          <w:rFonts w:ascii="Calibri" w:eastAsia="Times New Roman" w:hAnsi="Calibri" w:cs="Calibri"/>
        </w:rPr>
      </w:pPr>
    </w:p>
    <w:p w14:paraId="34B273A2" w14:textId="756607DA" w:rsidR="008B6D92" w:rsidRPr="00B10A2D" w:rsidRDefault="004765B8" w:rsidP="00266790">
      <w:pPr>
        <w:spacing w:after="0" w:line="360" w:lineRule="auto"/>
        <w:jc w:val="both"/>
        <w:rPr>
          <w:rFonts w:ascii="Calibri" w:eastAsia="Times New Roman" w:hAnsi="Calibri" w:cs="Calibri"/>
        </w:rPr>
      </w:pPr>
      <w:r w:rsidRPr="00B10A2D">
        <w:rPr>
          <w:rFonts w:ascii="Calibri" w:eastAsia="Times New Roman" w:hAnsi="Calibri" w:cs="Calibri"/>
        </w:rPr>
        <w:t xml:space="preserve">In the UK, </w:t>
      </w:r>
      <w:r w:rsidR="00316522" w:rsidRPr="00B10A2D">
        <w:rPr>
          <w:rFonts w:ascii="Calibri" w:eastAsia="Times New Roman" w:hAnsi="Calibri" w:cs="Calibri"/>
        </w:rPr>
        <w:t>whilst ED is not recognised by the Department of Health (</w:t>
      </w:r>
      <w:proofErr w:type="spellStart"/>
      <w:r w:rsidR="00316522" w:rsidRPr="00B10A2D">
        <w:rPr>
          <w:rFonts w:ascii="Calibri" w:eastAsia="Times New Roman" w:hAnsi="Calibri" w:cs="Calibri"/>
        </w:rPr>
        <w:t>DoH</w:t>
      </w:r>
      <w:proofErr w:type="spellEnd"/>
      <w:r w:rsidR="00316522" w:rsidRPr="00B10A2D">
        <w:rPr>
          <w:rFonts w:ascii="Calibri" w:eastAsia="Times New Roman" w:hAnsi="Calibri" w:cs="Calibri"/>
        </w:rPr>
        <w:t>) it</w:t>
      </w:r>
      <w:r w:rsidR="003A5AF2" w:rsidRPr="00B10A2D">
        <w:rPr>
          <w:rFonts w:ascii="Calibri" w:eastAsia="Times New Roman" w:hAnsi="Calibri" w:cs="Calibri"/>
        </w:rPr>
        <w:t xml:space="preserve"> is noted in </w:t>
      </w:r>
      <w:r w:rsidR="00B908C6" w:rsidRPr="00B10A2D">
        <w:rPr>
          <w:rFonts w:ascii="Calibri" w:eastAsia="Times New Roman" w:hAnsi="Calibri" w:cs="Calibri"/>
        </w:rPr>
        <w:t>RCEM</w:t>
      </w:r>
      <w:r w:rsidR="00DB6EA7" w:rsidRPr="00B10A2D">
        <w:rPr>
          <w:rFonts w:ascii="Calibri" w:eastAsia="Times New Roman" w:hAnsi="Calibri" w:cs="Calibri"/>
        </w:rPr>
        <w:t xml:space="preserve"> (2016) </w:t>
      </w:r>
      <w:r w:rsidR="00D431AA" w:rsidRPr="00B10A2D">
        <w:rPr>
          <w:rFonts w:ascii="Calibri" w:eastAsia="Times New Roman" w:hAnsi="Calibri" w:cs="Calibri"/>
        </w:rPr>
        <w:t xml:space="preserve">guidelines, by </w:t>
      </w:r>
      <w:r w:rsidRPr="00B10A2D">
        <w:rPr>
          <w:rFonts w:ascii="Calibri" w:eastAsia="Times New Roman" w:hAnsi="Calibri" w:cs="Calibri"/>
        </w:rPr>
        <w:t>Assoc</w:t>
      </w:r>
      <w:r w:rsidR="005819CF" w:rsidRPr="00B10A2D">
        <w:rPr>
          <w:rFonts w:ascii="Calibri" w:eastAsia="Times New Roman" w:hAnsi="Calibri" w:cs="Calibri"/>
        </w:rPr>
        <w:t>iation of Chief Police Officer</w:t>
      </w:r>
      <w:r w:rsidR="00DB6EA7" w:rsidRPr="00B10A2D">
        <w:rPr>
          <w:rStyle w:val="FootnoteReference"/>
          <w:rFonts w:ascii="Calibri" w:eastAsia="Times New Roman" w:hAnsi="Calibri" w:cs="Calibri"/>
        </w:rPr>
        <w:footnoteReference w:id="8"/>
      </w:r>
      <w:r w:rsidR="003A5AF2" w:rsidRPr="00B10A2D">
        <w:rPr>
          <w:rFonts w:ascii="Calibri" w:eastAsia="Times New Roman" w:hAnsi="Calibri" w:cs="Calibri"/>
        </w:rPr>
        <w:t xml:space="preserve"> (</w:t>
      </w:r>
      <w:r w:rsidR="005819CF" w:rsidRPr="00B10A2D">
        <w:rPr>
          <w:rFonts w:ascii="Calibri" w:eastAsia="Times New Roman" w:hAnsi="Calibri" w:cs="Calibri"/>
        </w:rPr>
        <w:t>ACPO</w:t>
      </w:r>
      <w:r w:rsidR="00DF7B0A" w:rsidRPr="00B10A2D">
        <w:rPr>
          <w:rFonts w:ascii="Calibri" w:eastAsia="Times New Roman" w:hAnsi="Calibri" w:cs="Calibri"/>
        </w:rPr>
        <w:t>,</w:t>
      </w:r>
      <w:r w:rsidR="005819CF" w:rsidRPr="00B10A2D">
        <w:rPr>
          <w:rFonts w:ascii="Calibri" w:eastAsia="Times New Roman" w:hAnsi="Calibri" w:cs="Calibri"/>
        </w:rPr>
        <w:t xml:space="preserve"> </w:t>
      </w:r>
      <w:r w:rsidR="003A5AF2" w:rsidRPr="00B10A2D">
        <w:rPr>
          <w:rFonts w:ascii="Calibri" w:eastAsia="Times New Roman" w:hAnsi="Calibri" w:cs="Calibri"/>
        </w:rPr>
        <w:t xml:space="preserve">2012) guidelines, </w:t>
      </w:r>
      <w:r w:rsidRPr="00B10A2D">
        <w:rPr>
          <w:rFonts w:ascii="Calibri" w:eastAsia="Times New Roman" w:hAnsi="Calibri" w:cs="Calibri"/>
        </w:rPr>
        <w:t>Independent Police Complaints Commission (</w:t>
      </w:r>
      <w:r w:rsidR="003A5AF2" w:rsidRPr="00B10A2D">
        <w:rPr>
          <w:rFonts w:ascii="Calibri" w:eastAsia="Times New Roman" w:hAnsi="Calibri" w:cs="Calibri"/>
        </w:rPr>
        <w:t>IPCC</w:t>
      </w:r>
      <w:r w:rsidRPr="00B10A2D">
        <w:rPr>
          <w:rFonts w:ascii="Calibri" w:eastAsia="Times New Roman" w:hAnsi="Calibri" w:cs="Calibri"/>
        </w:rPr>
        <w:t>)</w:t>
      </w:r>
      <w:r w:rsidR="003A5AF2" w:rsidRPr="00B10A2D">
        <w:rPr>
          <w:rFonts w:ascii="Calibri" w:eastAsia="Times New Roman" w:hAnsi="Calibri" w:cs="Calibri"/>
        </w:rPr>
        <w:t xml:space="preserve"> reports (</w:t>
      </w:r>
      <w:proofErr w:type="spellStart"/>
      <w:r w:rsidR="003A5AF2" w:rsidRPr="00B10A2D">
        <w:rPr>
          <w:rFonts w:ascii="Calibri" w:eastAsia="Times New Roman" w:hAnsi="Calibri" w:cs="Calibri"/>
        </w:rPr>
        <w:t>Hannan</w:t>
      </w:r>
      <w:proofErr w:type="spellEnd"/>
      <w:r w:rsidR="003A5AF2" w:rsidRPr="00B10A2D">
        <w:rPr>
          <w:rFonts w:ascii="Calibri" w:eastAsia="Times New Roman" w:hAnsi="Calibri" w:cs="Calibri"/>
          <w:i/>
        </w:rPr>
        <w:t xml:space="preserve"> et al.</w:t>
      </w:r>
      <w:r w:rsidR="003A5AF2" w:rsidRPr="00B10A2D">
        <w:rPr>
          <w:rFonts w:ascii="Calibri" w:eastAsia="Times New Roman" w:hAnsi="Calibri" w:cs="Calibri"/>
        </w:rPr>
        <w:t xml:space="preserve"> 2010), </w:t>
      </w:r>
      <w:r w:rsidRPr="00B10A2D">
        <w:rPr>
          <w:rFonts w:ascii="Calibri" w:eastAsia="Times New Roman" w:hAnsi="Calibri" w:cs="Calibri"/>
        </w:rPr>
        <w:t xml:space="preserve">the Faculty </w:t>
      </w:r>
      <w:r w:rsidR="005819CF" w:rsidRPr="00B10A2D">
        <w:rPr>
          <w:rFonts w:ascii="Calibri" w:eastAsia="Times New Roman" w:hAnsi="Calibri" w:cs="Calibri"/>
        </w:rPr>
        <w:t>of Forensic and Legal Medicine</w:t>
      </w:r>
      <w:r w:rsidR="002B4358" w:rsidRPr="00B10A2D">
        <w:rPr>
          <w:rFonts w:ascii="Calibri" w:eastAsia="Times New Roman" w:hAnsi="Calibri" w:cs="Calibri"/>
        </w:rPr>
        <w:t xml:space="preserve"> (</w:t>
      </w:r>
      <w:r w:rsidR="005819CF" w:rsidRPr="00B10A2D">
        <w:rPr>
          <w:rFonts w:ascii="Calibri" w:eastAsia="Times New Roman" w:hAnsi="Calibri" w:cs="Calibri"/>
        </w:rPr>
        <w:t>FFLM</w:t>
      </w:r>
      <w:r w:rsidR="00DF7B0A" w:rsidRPr="00B10A2D">
        <w:rPr>
          <w:rFonts w:ascii="Calibri" w:eastAsia="Times New Roman" w:hAnsi="Calibri" w:cs="Calibri"/>
        </w:rPr>
        <w:t>,</w:t>
      </w:r>
      <w:r w:rsidR="005819CF" w:rsidRPr="00B10A2D">
        <w:rPr>
          <w:rFonts w:ascii="Calibri" w:eastAsia="Times New Roman" w:hAnsi="Calibri" w:cs="Calibri"/>
        </w:rPr>
        <w:t xml:space="preserve"> </w:t>
      </w:r>
      <w:r w:rsidR="002B4358" w:rsidRPr="00B10A2D">
        <w:rPr>
          <w:rFonts w:ascii="Calibri" w:eastAsia="Times New Roman" w:hAnsi="Calibri" w:cs="Calibri"/>
        </w:rPr>
        <w:t>2010</w:t>
      </w:r>
      <w:r w:rsidR="003A5AF2" w:rsidRPr="00B10A2D">
        <w:rPr>
          <w:rFonts w:ascii="Calibri" w:eastAsia="Times New Roman" w:hAnsi="Calibri" w:cs="Calibri"/>
        </w:rPr>
        <w:t xml:space="preserve">), and </w:t>
      </w:r>
      <w:r w:rsidR="005819CF" w:rsidRPr="00B10A2D">
        <w:rPr>
          <w:rFonts w:ascii="Calibri" w:eastAsia="Times New Roman" w:hAnsi="Calibri" w:cs="Calibri"/>
        </w:rPr>
        <w:t>British Medical Association</w:t>
      </w:r>
      <w:r w:rsidR="003A5AF2" w:rsidRPr="00B10A2D">
        <w:rPr>
          <w:rFonts w:ascii="Calibri" w:eastAsia="Times New Roman" w:hAnsi="Calibri" w:cs="Calibri"/>
        </w:rPr>
        <w:t xml:space="preserve"> guidelines (</w:t>
      </w:r>
      <w:r w:rsidR="005819CF" w:rsidRPr="00B10A2D">
        <w:rPr>
          <w:rFonts w:ascii="Calibri" w:eastAsia="Times New Roman" w:hAnsi="Calibri" w:cs="Calibri"/>
        </w:rPr>
        <w:t>BMA</w:t>
      </w:r>
      <w:r w:rsidR="00DF7B0A" w:rsidRPr="00B10A2D">
        <w:rPr>
          <w:rFonts w:ascii="Calibri" w:eastAsia="Times New Roman" w:hAnsi="Calibri" w:cs="Calibri"/>
        </w:rPr>
        <w:t>,</w:t>
      </w:r>
      <w:r w:rsidR="005819CF" w:rsidRPr="00B10A2D">
        <w:rPr>
          <w:rFonts w:ascii="Calibri" w:eastAsia="Times New Roman" w:hAnsi="Calibri" w:cs="Calibri"/>
        </w:rPr>
        <w:t xml:space="preserve"> </w:t>
      </w:r>
      <w:r w:rsidR="003A5AF2" w:rsidRPr="00B10A2D">
        <w:rPr>
          <w:rFonts w:ascii="Calibri" w:eastAsia="Times New Roman" w:hAnsi="Calibri" w:cs="Calibri"/>
        </w:rPr>
        <w:t xml:space="preserve">2009). </w:t>
      </w:r>
      <w:r w:rsidR="00BE435A" w:rsidRPr="00B10A2D">
        <w:rPr>
          <w:rFonts w:ascii="Calibri" w:eastAsia="Times New Roman" w:hAnsi="Calibri" w:cs="Calibri"/>
        </w:rPr>
        <w:t>I</w:t>
      </w:r>
      <w:r w:rsidR="003A5AF2" w:rsidRPr="00B10A2D">
        <w:rPr>
          <w:rFonts w:ascii="Calibri" w:eastAsia="Times New Roman" w:hAnsi="Calibri" w:cs="Calibri"/>
        </w:rPr>
        <w:t xml:space="preserve">t appears to represent the creation of what Fairclough (1992: 190-194) </w:t>
      </w:r>
      <w:r w:rsidR="00BE435A" w:rsidRPr="00B10A2D">
        <w:rPr>
          <w:rFonts w:ascii="Calibri" w:eastAsia="Times New Roman" w:hAnsi="Calibri" w:cs="Calibri"/>
        </w:rPr>
        <w:t>terms</w:t>
      </w:r>
      <w:r w:rsidR="003A5AF2" w:rsidRPr="00B10A2D">
        <w:rPr>
          <w:rFonts w:ascii="Calibri" w:eastAsia="Times New Roman" w:hAnsi="Calibri" w:cs="Calibri"/>
        </w:rPr>
        <w:t xml:space="preserve"> a ‘lexical item.’ Individuals affected by this phenomenon are recognised as constituting a ‘medical emergency’ and thus </w:t>
      </w:r>
      <w:r w:rsidR="00D431AA" w:rsidRPr="00B10A2D">
        <w:rPr>
          <w:rFonts w:ascii="Calibri" w:eastAsia="Times New Roman" w:hAnsi="Calibri" w:cs="Calibri"/>
        </w:rPr>
        <w:t xml:space="preserve">considered </w:t>
      </w:r>
      <w:r w:rsidR="003A5AF2" w:rsidRPr="00B10A2D">
        <w:rPr>
          <w:rFonts w:ascii="Calibri" w:eastAsia="Times New Roman" w:hAnsi="Calibri" w:cs="Calibri"/>
        </w:rPr>
        <w:t xml:space="preserve">in </w:t>
      </w:r>
      <w:r w:rsidR="003A5AF2" w:rsidRPr="00B10A2D">
        <w:rPr>
          <w:rFonts w:ascii="Calibri" w:eastAsia="Times New Roman" w:hAnsi="Calibri" w:cs="Calibri"/>
        </w:rPr>
        <w:lastRenderedPageBreak/>
        <w:t xml:space="preserve">urgent need of medical attention (Aiken </w:t>
      </w:r>
      <w:r w:rsidR="003A5AF2" w:rsidRPr="00B10A2D">
        <w:rPr>
          <w:rFonts w:ascii="Calibri" w:eastAsia="Times New Roman" w:hAnsi="Calibri" w:cs="Calibri"/>
          <w:i/>
        </w:rPr>
        <w:t>et al.</w:t>
      </w:r>
      <w:r w:rsidR="003A5AF2" w:rsidRPr="00B10A2D">
        <w:rPr>
          <w:rFonts w:ascii="Calibri" w:eastAsia="Times New Roman" w:hAnsi="Calibri" w:cs="Calibri"/>
        </w:rPr>
        <w:t xml:space="preserve"> 2011). It predominantly affects men (</w:t>
      </w:r>
      <w:proofErr w:type="spellStart"/>
      <w:r w:rsidR="003A5AF2" w:rsidRPr="00B10A2D">
        <w:rPr>
          <w:rFonts w:ascii="Calibri" w:eastAsia="Times New Roman" w:hAnsi="Calibri" w:cs="Calibri"/>
        </w:rPr>
        <w:t>Menaker</w:t>
      </w:r>
      <w:proofErr w:type="spellEnd"/>
      <w:r w:rsidR="003A5AF2" w:rsidRPr="00B10A2D">
        <w:rPr>
          <w:rFonts w:ascii="Calibri" w:eastAsia="Times New Roman" w:hAnsi="Calibri" w:cs="Calibri"/>
        </w:rPr>
        <w:t xml:space="preserve"> </w:t>
      </w:r>
      <w:r w:rsidR="003A5AF2" w:rsidRPr="00B10A2D">
        <w:rPr>
          <w:rFonts w:ascii="Calibri" w:eastAsia="Times New Roman" w:hAnsi="Calibri" w:cs="Calibri"/>
          <w:i/>
        </w:rPr>
        <w:t>et al</w:t>
      </w:r>
      <w:r w:rsidR="008B6D92" w:rsidRPr="00B10A2D">
        <w:rPr>
          <w:rFonts w:ascii="Calibri" w:eastAsia="Times New Roman" w:hAnsi="Calibri" w:cs="Calibri"/>
        </w:rPr>
        <w:t>. 2011)</w:t>
      </w:r>
      <w:r w:rsidR="005819CF" w:rsidRPr="00B10A2D">
        <w:rPr>
          <w:rFonts w:ascii="Calibri" w:eastAsia="Times New Roman" w:hAnsi="Calibri" w:cs="Calibri"/>
        </w:rPr>
        <w:t xml:space="preserve"> and typically those in their mid-thirties (RCEM</w:t>
      </w:r>
      <w:r w:rsidR="00DF7B0A" w:rsidRPr="00B10A2D">
        <w:rPr>
          <w:rFonts w:ascii="Calibri" w:eastAsia="Times New Roman" w:hAnsi="Calibri" w:cs="Calibri"/>
        </w:rPr>
        <w:t>,</w:t>
      </w:r>
      <w:r w:rsidR="005819CF" w:rsidRPr="00B10A2D">
        <w:rPr>
          <w:rFonts w:ascii="Calibri" w:eastAsia="Times New Roman" w:hAnsi="Calibri" w:cs="Calibri"/>
        </w:rPr>
        <w:t xml:space="preserve"> 2016)</w:t>
      </w:r>
      <w:r w:rsidR="008B6D92" w:rsidRPr="00B10A2D">
        <w:rPr>
          <w:rFonts w:ascii="Calibri" w:eastAsia="Times New Roman" w:hAnsi="Calibri" w:cs="Calibri"/>
        </w:rPr>
        <w:t>.</w:t>
      </w:r>
    </w:p>
    <w:p w14:paraId="3B83EF6A" w14:textId="77777777" w:rsidR="00977E4F" w:rsidRPr="00B10A2D" w:rsidRDefault="00977E4F" w:rsidP="00266790">
      <w:pPr>
        <w:spacing w:after="0" w:line="360" w:lineRule="auto"/>
        <w:jc w:val="both"/>
        <w:rPr>
          <w:rFonts w:ascii="Calibri" w:eastAsia="Times New Roman" w:hAnsi="Calibri" w:cs="Calibri"/>
        </w:rPr>
      </w:pPr>
    </w:p>
    <w:p w14:paraId="35D70A40" w14:textId="375A9A00" w:rsidR="008B6D92" w:rsidRPr="00B10A2D" w:rsidRDefault="008B6D92" w:rsidP="00266790">
      <w:pPr>
        <w:spacing w:after="0" w:line="360" w:lineRule="auto"/>
        <w:jc w:val="both"/>
        <w:rPr>
          <w:rFonts w:ascii="Calibri" w:eastAsia="Times New Roman" w:hAnsi="Calibri" w:cs="Calibri"/>
        </w:rPr>
      </w:pPr>
      <w:r w:rsidRPr="00B10A2D">
        <w:rPr>
          <w:rFonts w:ascii="Calibri" w:eastAsia="Times New Roman" w:hAnsi="Calibri" w:cs="Calibri"/>
        </w:rPr>
        <w:t xml:space="preserve">The literature concurs that </w:t>
      </w:r>
      <w:r w:rsidR="00BB7773" w:rsidRPr="00B10A2D">
        <w:rPr>
          <w:rFonts w:ascii="Calibri" w:eastAsia="Times New Roman" w:hAnsi="Calibri" w:cs="Calibri"/>
        </w:rPr>
        <w:t>in crisis situations ED</w:t>
      </w:r>
      <w:r w:rsidRPr="00B10A2D">
        <w:rPr>
          <w:rFonts w:ascii="Calibri" w:eastAsia="Times New Roman" w:hAnsi="Calibri" w:cs="Calibri"/>
        </w:rPr>
        <w:t xml:space="preserve"> should be dealt with using a multi-agency approach that could include police, medical services and mental health teams. Furthermore, that frontline staff in these organisations should receive training in identifying and dealing with individuals who present symptoms of the phenomen</w:t>
      </w:r>
      <w:r w:rsidR="00DF7B0A" w:rsidRPr="00B10A2D">
        <w:rPr>
          <w:rFonts w:ascii="Calibri" w:eastAsia="Times New Roman" w:hAnsi="Calibri" w:cs="Calibri"/>
        </w:rPr>
        <w:t>on (</w:t>
      </w:r>
      <w:r w:rsidR="000B655F" w:rsidRPr="00B10A2D">
        <w:rPr>
          <w:rFonts w:ascii="Calibri" w:eastAsia="Times New Roman" w:hAnsi="Calibri" w:cs="Calibri"/>
        </w:rPr>
        <w:t xml:space="preserve">Hall </w:t>
      </w:r>
      <w:r w:rsidR="000B655F" w:rsidRPr="00B10A2D">
        <w:rPr>
          <w:rFonts w:ascii="Calibri" w:eastAsia="Times New Roman" w:hAnsi="Calibri" w:cs="Calibri"/>
          <w:i/>
        </w:rPr>
        <w:t>et al.</w:t>
      </w:r>
      <w:r w:rsidR="000B655F" w:rsidRPr="00B10A2D">
        <w:rPr>
          <w:rFonts w:ascii="Calibri" w:eastAsia="Times New Roman" w:hAnsi="Calibri" w:cs="Calibri"/>
        </w:rPr>
        <w:t xml:space="preserve"> 2013, </w:t>
      </w:r>
      <w:r w:rsidR="00DF7B0A" w:rsidRPr="00B10A2D">
        <w:rPr>
          <w:rFonts w:ascii="Calibri" w:eastAsia="Times New Roman" w:hAnsi="Calibri" w:cs="Calibri"/>
        </w:rPr>
        <w:t xml:space="preserve">Storey, </w:t>
      </w:r>
      <w:r w:rsidRPr="00B10A2D">
        <w:rPr>
          <w:rFonts w:ascii="Calibri" w:eastAsia="Times New Roman" w:hAnsi="Calibri" w:cs="Calibri"/>
        </w:rPr>
        <w:t xml:space="preserve">2012, </w:t>
      </w:r>
      <w:proofErr w:type="spellStart"/>
      <w:r w:rsidRPr="00B10A2D">
        <w:rPr>
          <w:rFonts w:ascii="Calibri" w:eastAsia="Times New Roman" w:hAnsi="Calibri" w:cs="Calibri"/>
        </w:rPr>
        <w:t>Vilke</w:t>
      </w:r>
      <w:proofErr w:type="spellEnd"/>
      <w:r w:rsidRPr="00B10A2D">
        <w:rPr>
          <w:rFonts w:ascii="Calibri" w:eastAsia="Times New Roman" w:hAnsi="Calibri" w:cs="Calibri"/>
        </w:rPr>
        <w:t xml:space="preserve"> </w:t>
      </w:r>
      <w:r w:rsidRPr="00B10A2D">
        <w:rPr>
          <w:rFonts w:ascii="Calibri" w:eastAsia="Times New Roman" w:hAnsi="Calibri" w:cs="Calibri"/>
          <w:i/>
        </w:rPr>
        <w:t>et al</w:t>
      </w:r>
      <w:r w:rsidRPr="00B10A2D">
        <w:rPr>
          <w:rFonts w:ascii="Calibri" w:eastAsia="Times New Roman" w:hAnsi="Calibri" w:cs="Calibri"/>
        </w:rPr>
        <w:t xml:space="preserve">. 2012, Aiken </w:t>
      </w:r>
      <w:r w:rsidRPr="00B10A2D">
        <w:rPr>
          <w:rFonts w:ascii="Calibri" w:eastAsia="Times New Roman" w:hAnsi="Calibri" w:cs="Calibri"/>
          <w:i/>
        </w:rPr>
        <w:t>et al</w:t>
      </w:r>
      <w:r w:rsidRPr="00B10A2D">
        <w:rPr>
          <w:rFonts w:ascii="Calibri" w:eastAsia="Times New Roman" w:hAnsi="Calibri" w:cs="Calibri"/>
        </w:rPr>
        <w:t>. 2011</w:t>
      </w:r>
      <w:r w:rsidR="000B655F" w:rsidRPr="00B10A2D">
        <w:rPr>
          <w:rFonts w:ascii="Calibri" w:eastAsia="Times New Roman" w:hAnsi="Calibri" w:cs="Calibri"/>
        </w:rPr>
        <w:t>, NIJ 2011, IAP 2010</w:t>
      </w:r>
      <w:r w:rsidRPr="00B10A2D">
        <w:rPr>
          <w:rFonts w:ascii="Calibri" w:eastAsia="Times New Roman" w:hAnsi="Calibri" w:cs="Calibri"/>
        </w:rPr>
        <w:t>).</w:t>
      </w:r>
      <w:r w:rsidR="00D431AA" w:rsidRPr="00B10A2D">
        <w:rPr>
          <w:rFonts w:ascii="Calibri" w:eastAsia="Times New Roman" w:hAnsi="Calibri" w:cs="Calibri"/>
        </w:rPr>
        <w:t xml:space="preserve"> Individuals exhibiting characteristics of ED are viewed as r</w:t>
      </w:r>
      <w:r w:rsidR="00867C0E" w:rsidRPr="00B10A2D">
        <w:rPr>
          <w:rFonts w:ascii="Calibri" w:eastAsia="Times New Roman" w:hAnsi="Calibri" w:cs="Calibri"/>
        </w:rPr>
        <w:t>equiring medical attention (</w:t>
      </w:r>
      <w:proofErr w:type="spellStart"/>
      <w:r w:rsidR="00867C0E" w:rsidRPr="00B10A2D">
        <w:rPr>
          <w:rFonts w:ascii="Calibri" w:eastAsia="Times New Roman" w:hAnsi="Calibri" w:cs="Calibri"/>
        </w:rPr>
        <w:t>Menaker</w:t>
      </w:r>
      <w:proofErr w:type="spellEnd"/>
      <w:r w:rsidR="00867C0E" w:rsidRPr="00B10A2D">
        <w:rPr>
          <w:rFonts w:ascii="Calibri" w:eastAsia="Times New Roman" w:hAnsi="Calibri" w:cs="Calibri"/>
        </w:rPr>
        <w:t xml:space="preserve"> </w:t>
      </w:r>
      <w:r w:rsidR="00867C0E" w:rsidRPr="00B10A2D">
        <w:rPr>
          <w:rFonts w:ascii="Calibri" w:eastAsia="Times New Roman" w:hAnsi="Calibri" w:cs="Calibri"/>
          <w:i/>
        </w:rPr>
        <w:t>et al.</w:t>
      </w:r>
      <w:r w:rsidR="00867C0E" w:rsidRPr="00B10A2D">
        <w:rPr>
          <w:rFonts w:ascii="Calibri" w:eastAsia="Times New Roman" w:hAnsi="Calibri" w:cs="Calibri"/>
        </w:rPr>
        <w:t xml:space="preserve"> 2011, Marsh </w:t>
      </w:r>
      <w:r w:rsidR="00867C0E" w:rsidRPr="00B10A2D">
        <w:rPr>
          <w:rFonts w:ascii="Calibri" w:eastAsia="Times New Roman" w:hAnsi="Calibri" w:cs="Calibri"/>
          <w:i/>
        </w:rPr>
        <w:t>et al.</w:t>
      </w:r>
      <w:r w:rsidR="00867C0E" w:rsidRPr="00B10A2D">
        <w:rPr>
          <w:rFonts w:ascii="Calibri" w:eastAsia="Times New Roman" w:hAnsi="Calibri" w:cs="Calibri"/>
        </w:rPr>
        <w:t xml:space="preserve"> 2009</w:t>
      </w:r>
      <w:r w:rsidR="00D431AA" w:rsidRPr="00B10A2D">
        <w:rPr>
          <w:rFonts w:ascii="Calibri" w:eastAsia="Times New Roman" w:hAnsi="Calibri" w:cs="Calibri"/>
        </w:rPr>
        <w:t>). Similarly, when called to attend to such individual</w:t>
      </w:r>
      <w:r w:rsidR="0066576B" w:rsidRPr="00B10A2D">
        <w:rPr>
          <w:rFonts w:ascii="Calibri" w:eastAsia="Times New Roman" w:hAnsi="Calibri" w:cs="Calibri"/>
        </w:rPr>
        <w:t>s</w:t>
      </w:r>
      <w:r w:rsidR="00D431AA" w:rsidRPr="00B10A2D">
        <w:rPr>
          <w:rFonts w:ascii="Calibri" w:eastAsia="Times New Roman" w:hAnsi="Calibri" w:cs="Calibri"/>
        </w:rPr>
        <w:t>, the consensus is that public services should focus on de-escalation tactics rather than using force to subdue the i</w:t>
      </w:r>
      <w:r w:rsidR="00867C0E" w:rsidRPr="00B10A2D">
        <w:rPr>
          <w:rFonts w:ascii="Calibri" w:eastAsia="Times New Roman" w:hAnsi="Calibri" w:cs="Calibri"/>
        </w:rPr>
        <w:t>ndividual (</w:t>
      </w:r>
      <w:proofErr w:type="spellStart"/>
      <w:r w:rsidR="00200EB2" w:rsidRPr="00B10A2D">
        <w:rPr>
          <w:rFonts w:ascii="Calibri" w:eastAsia="Times New Roman" w:hAnsi="Calibri" w:cs="Calibri"/>
        </w:rPr>
        <w:t>Reveruzzi</w:t>
      </w:r>
      <w:proofErr w:type="spellEnd"/>
      <w:r w:rsidR="00200EB2" w:rsidRPr="00B10A2D">
        <w:rPr>
          <w:rFonts w:ascii="Calibri" w:eastAsia="Times New Roman" w:hAnsi="Calibri" w:cs="Calibri"/>
        </w:rPr>
        <w:t xml:space="preserve"> and Pilling 2016, Cummins and </w:t>
      </w:r>
      <w:proofErr w:type="spellStart"/>
      <w:r w:rsidR="00200EB2" w:rsidRPr="00B10A2D">
        <w:rPr>
          <w:rFonts w:ascii="Calibri" w:eastAsia="Times New Roman" w:hAnsi="Calibri" w:cs="Calibri"/>
        </w:rPr>
        <w:t>Edmonson</w:t>
      </w:r>
      <w:proofErr w:type="spellEnd"/>
      <w:r w:rsidR="00200EB2" w:rsidRPr="00B10A2D">
        <w:rPr>
          <w:rFonts w:ascii="Calibri" w:eastAsia="Times New Roman" w:hAnsi="Calibri" w:cs="Calibri"/>
        </w:rPr>
        <w:t xml:space="preserve"> 2016, </w:t>
      </w:r>
      <w:r w:rsidR="00867C0E" w:rsidRPr="00B10A2D">
        <w:rPr>
          <w:rFonts w:ascii="Calibri" w:eastAsia="Times New Roman" w:hAnsi="Calibri" w:cs="Calibri"/>
        </w:rPr>
        <w:t>RCEM</w:t>
      </w:r>
      <w:r w:rsidR="0052444C" w:rsidRPr="00B10A2D">
        <w:rPr>
          <w:rFonts w:ascii="Calibri" w:eastAsia="Times New Roman" w:hAnsi="Calibri" w:cs="Calibri"/>
        </w:rPr>
        <w:t>,</w:t>
      </w:r>
      <w:r w:rsidR="00867C0E" w:rsidRPr="00B10A2D">
        <w:rPr>
          <w:rFonts w:ascii="Calibri" w:eastAsia="Times New Roman" w:hAnsi="Calibri" w:cs="Calibri"/>
        </w:rPr>
        <w:t xml:space="preserve"> 2016</w:t>
      </w:r>
      <w:r w:rsidR="00D431AA" w:rsidRPr="00B10A2D">
        <w:rPr>
          <w:rFonts w:ascii="Calibri" w:eastAsia="Times New Roman" w:hAnsi="Calibri" w:cs="Calibri"/>
        </w:rPr>
        <w:t>).</w:t>
      </w:r>
    </w:p>
    <w:p w14:paraId="66282B4C" w14:textId="77777777" w:rsidR="00D431AA" w:rsidRPr="00B10A2D" w:rsidRDefault="00D431AA" w:rsidP="00266790">
      <w:pPr>
        <w:spacing w:after="0" w:line="360" w:lineRule="auto"/>
        <w:jc w:val="both"/>
        <w:rPr>
          <w:rFonts w:ascii="Calibri" w:eastAsia="Times New Roman" w:hAnsi="Calibri" w:cs="Calibri"/>
        </w:rPr>
      </w:pPr>
    </w:p>
    <w:p w14:paraId="53DB8734" w14:textId="08275A5F" w:rsidR="00645E83" w:rsidRPr="00B10A2D" w:rsidRDefault="00645E83" w:rsidP="00266790">
      <w:pPr>
        <w:spacing w:after="0" w:line="360" w:lineRule="auto"/>
        <w:jc w:val="both"/>
        <w:rPr>
          <w:rFonts w:ascii="Calibri" w:eastAsia="Times New Roman" w:hAnsi="Calibri" w:cs="Calibri"/>
          <w:b/>
          <w:i/>
        </w:rPr>
      </w:pPr>
      <w:r w:rsidRPr="00B10A2D">
        <w:rPr>
          <w:rFonts w:ascii="Calibri" w:eastAsia="Times New Roman" w:hAnsi="Calibri" w:cs="Calibri"/>
          <w:b/>
          <w:i/>
        </w:rPr>
        <w:t>Data and methods</w:t>
      </w:r>
    </w:p>
    <w:p w14:paraId="2E1200A4" w14:textId="77777777" w:rsidR="00D431AA" w:rsidRPr="00B10A2D" w:rsidRDefault="00D431AA" w:rsidP="00266790">
      <w:pPr>
        <w:spacing w:after="0" w:line="360" w:lineRule="auto"/>
        <w:jc w:val="both"/>
        <w:rPr>
          <w:rFonts w:ascii="Calibri" w:eastAsia="Times New Roman" w:hAnsi="Calibri" w:cs="Calibri"/>
          <w:b/>
          <w:i/>
        </w:rPr>
      </w:pPr>
    </w:p>
    <w:p w14:paraId="125F0014" w14:textId="64181C38" w:rsidR="00993FD4" w:rsidRPr="00B10A2D" w:rsidRDefault="00645E83" w:rsidP="00266790">
      <w:pPr>
        <w:spacing w:after="0" w:line="360" w:lineRule="auto"/>
        <w:jc w:val="both"/>
        <w:rPr>
          <w:rFonts w:ascii="Calibri" w:eastAsia="Times New Roman" w:hAnsi="Calibri" w:cs="Calibri"/>
        </w:rPr>
      </w:pPr>
      <w:r w:rsidRPr="00B10A2D">
        <w:rPr>
          <w:rFonts w:ascii="Calibri" w:eastAsia="Times New Roman" w:hAnsi="Calibri" w:cs="Calibri"/>
        </w:rPr>
        <w:t xml:space="preserve">The </w:t>
      </w:r>
      <w:r w:rsidR="00993FD4" w:rsidRPr="00B10A2D">
        <w:rPr>
          <w:rFonts w:ascii="Calibri" w:eastAsia="Times New Roman" w:hAnsi="Calibri" w:cs="Calibri"/>
        </w:rPr>
        <w:t>twelve</w:t>
      </w:r>
      <w:r w:rsidRPr="00B10A2D">
        <w:rPr>
          <w:rFonts w:ascii="Calibri" w:eastAsia="Times New Roman" w:hAnsi="Calibri" w:cs="Calibri"/>
        </w:rPr>
        <w:t xml:space="preserve"> narrative verdicts used as data</w:t>
      </w:r>
      <w:r w:rsidR="006E53ED" w:rsidRPr="00B10A2D">
        <w:rPr>
          <w:rFonts w:ascii="Calibri" w:eastAsia="Times New Roman" w:hAnsi="Calibri" w:cs="Calibri"/>
        </w:rPr>
        <w:t xml:space="preserve"> for this paper are</w:t>
      </w:r>
      <w:r w:rsidRPr="00B10A2D">
        <w:rPr>
          <w:rFonts w:ascii="Calibri" w:eastAsia="Times New Roman" w:hAnsi="Calibri" w:cs="Calibri"/>
        </w:rPr>
        <w:t xml:space="preserve"> drawn from a larger dataset </w:t>
      </w:r>
      <w:r w:rsidR="006E53ED" w:rsidRPr="00B10A2D">
        <w:rPr>
          <w:rFonts w:ascii="Calibri" w:eastAsia="Times New Roman" w:hAnsi="Calibri" w:cs="Calibri"/>
        </w:rPr>
        <w:t xml:space="preserve">of sixty-eight narrative verdicts </w:t>
      </w:r>
      <w:r w:rsidRPr="00B10A2D">
        <w:rPr>
          <w:rFonts w:ascii="Calibri" w:eastAsia="Times New Roman" w:hAnsi="Calibri" w:cs="Calibri"/>
        </w:rPr>
        <w:t>used to</w:t>
      </w:r>
      <w:r w:rsidR="006E53ED" w:rsidRPr="00B10A2D">
        <w:rPr>
          <w:rFonts w:ascii="Calibri" w:eastAsia="Times New Roman" w:hAnsi="Calibri" w:cs="Calibri"/>
        </w:rPr>
        <w:t xml:space="preserve"> construct a </w:t>
      </w:r>
      <w:r w:rsidR="00847DF0" w:rsidRPr="00B10A2D">
        <w:rPr>
          <w:rFonts w:ascii="Calibri" w:eastAsia="Times New Roman" w:hAnsi="Calibri" w:cs="Calibri"/>
        </w:rPr>
        <w:t xml:space="preserve">research </w:t>
      </w:r>
      <w:r w:rsidR="006E53ED" w:rsidRPr="00B10A2D">
        <w:rPr>
          <w:rFonts w:ascii="Calibri" w:eastAsia="Times New Roman" w:hAnsi="Calibri" w:cs="Calibri"/>
        </w:rPr>
        <w:t>monograph on the issue of DAPC</w:t>
      </w:r>
      <w:r w:rsidR="006E53ED" w:rsidRPr="00B10A2D">
        <w:rPr>
          <w:rStyle w:val="FootnoteReference"/>
          <w:rFonts w:ascii="Calibri" w:eastAsia="Times New Roman" w:hAnsi="Calibri" w:cs="Calibri"/>
        </w:rPr>
        <w:footnoteReference w:id="9"/>
      </w:r>
      <w:r w:rsidR="00993FD4" w:rsidRPr="00B10A2D">
        <w:rPr>
          <w:rFonts w:ascii="Calibri" w:eastAsia="Times New Roman" w:hAnsi="Calibri" w:cs="Calibri"/>
        </w:rPr>
        <w:t>. They represent the views of juries in these c</w:t>
      </w:r>
      <w:r w:rsidR="00745C23" w:rsidRPr="00B10A2D">
        <w:rPr>
          <w:rFonts w:ascii="Calibri" w:eastAsia="Times New Roman" w:hAnsi="Calibri" w:cs="Calibri"/>
        </w:rPr>
        <w:t>ases and consequently provide some</w:t>
      </w:r>
      <w:r w:rsidR="00993FD4" w:rsidRPr="00B10A2D">
        <w:rPr>
          <w:rFonts w:ascii="Calibri" w:eastAsia="Times New Roman" w:hAnsi="Calibri" w:cs="Calibri"/>
        </w:rPr>
        <w:t xml:space="preserve"> insight into how </w:t>
      </w:r>
      <w:r w:rsidR="00A3024A" w:rsidRPr="00B10A2D">
        <w:rPr>
          <w:rFonts w:ascii="Calibri" w:eastAsia="Times New Roman" w:hAnsi="Calibri" w:cs="Calibri"/>
        </w:rPr>
        <w:t>evidence is</w:t>
      </w:r>
      <w:r w:rsidR="00993FD4" w:rsidRPr="00B10A2D">
        <w:rPr>
          <w:rFonts w:ascii="Calibri" w:eastAsia="Times New Roman" w:hAnsi="Calibri" w:cs="Calibri"/>
        </w:rPr>
        <w:t xml:space="preserve"> used by juries to make sense of complex</w:t>
      </w:r>
      <w:r w:rsidR="00AA2E93" w:rsidRPr="00B10A2D">
        <w:rPr>
          <w:rFonts w:ascii="Calibri" w:eastAsia="Times New Roman" w:hAnsi="Calibri" w:cs="Calibri"/>
        </w:rPr>
        <w:t>, multi-causal</w:t>
      </w:r>
      <w:r w:rsidR="00993FD4" w:rsidRPr="00B10A2D">
        <w:rPr>
          <w:rFonts w:ascii="Calibri" w:eastAsia="Times New Roman" w:hAnsi="Calibri" w:cs="Calibri"/>
        </w:rPr>
        <w:t xml:space="preserve"> cases of DAPC. Whilst it has been established that ED is a contested phenomenon, that does not necessarily mean it might not be a useful term in under</w:t>
      </w:r>
      <w:r w:rsidR="001037F7" w:rsidRPr="00B10A2D">
        <w:rPr>
          <w:rFonts w:ascii="Calibri" w:eastAsia="Times New Roman" w:hAnsi="Calibri" w:cs="Calibri"/>
        </w:rPr>
        <w:t>standing aspects of causality in</w:t>
      </w:r>
      <w:r w:rsidR="00993FD4" w:rsidRPr="00B10A2D">
        <w:rPr>
          <w:rFonts w:ascii="Calibri" w:eastAsia="Times New Roman" w:hAnsi="Calibri" w:cs="Calibri"/>
        </w:rPr>
        <w:t xml:space="preserve"> cases of DAPC, or in relation to preventing further deaths as a result. </w:t>
      </w:r>
      <w:r w:rsidR="001229F7" w:rsidRPr="00B10A2D">
        <w:rPr>
          <w:rFonts w:ascii="Calibri" w:eastAsia="Times New Roman" w:hAnsi="Calibri" w:cs="Calibri"/>
        </w:rPr>
        <w:t>The data is qualitative</w:t>
      </w:r>
      <w:r w:rsidR="001037F7" w:rsidRPr="00B10A2D">
        <w:rPr>
          <w:rFonts w:ascii="Calibri" w:eastAsia="Times New Roman" w:hAnsi="Calibri" w:cs="Calibri"/>
        </w:rPr>
        <w:t>,</w:t>
      </w:r>
      <w:r w:rsidR="001229F7" w:rsidRPr="00B10A2D">
        <w:rPr>
          <w:rFonts w:ascii="Calibri" w:eastAsia="Times New Roman" w:hAnsi="Calibri" w:cs="Calibri"/>
        </w:rPr>
        <w:t xml:space="preserve"> as it represents the views of jury members deliberating on each case. Consequently</w:t>
      </w:r>
      <w:r w:rsidR="00447DA7" w:rsidRPr="00B10A2D">
        <w:rPr>
          <w:rFonts w:ascii="Calibri" w:eastAsia="Times New Roman" w:hAnsi="Calibri" w:cs="Calibri"/>
        </w:rPr>
        <w:t>,</w:t>
      </w:r>
      <w:r w:rsidR="001229F7" w:rsidRPr="00B10A2D">
        <w:rPr>
          <w:rFonts w:ascii="Calibri" w:eastAsia="Times New Roman" w:hAnsi="Calibri" w:cs="Calibri"/>
        </w:rPr>
        <w:t xml:space="preserve"> the data is rich in detail, but limited to some extent in terms of generalisability due to the</w:t>
      </w:r>
      <w:r w:rsidR="00AA2E93" w:rsidRPr="00B10A2D">
        <w:rPr>
          <w:rFonts w:ascii="Calibri" w:eastAsia="Times New Roman" w:hAnsi="Calibri" w:cs="Calibri"/>
        </w:rPr>
        <w:t xml:space="preserve"> relatively small sample. Because of</w:t>
      </w:r>
      <w:r w:rsidR="001229F7" w:rsidRPr="00B10A2D">
        <w:rPr>
          <w:rFonts w:ascii="Calibri" w:eastAsia="Times New Roman" w:hAnsi="Calibri" w:cs="Calibri"/>
        </w:rPr>
        <w:t xml:space="preserve"> limited research on </w:t>
      </w:r>
      <w:r w:rsidR="00AA2E93" w:rsidRPr="00B10A2D">
        <w:rPr>
          <w:rFonts w:ascii="Calibri" w:eastAsia="Times New Roman" w:hAnsi="Calibri" w:cs="Calibri"/>
        </w:rPr>
        <w:t>both DAPC and police involvement in cases of ED</w:t>
      </w:r>
      <w:r w:rsidR="001229F7" w:rsidRPr="00B10A2D">
        <w:rPr>
          <w:rFonts w:ascii="Calibri" w:eastAsia="Times New Roman" w:hAnsi="Calibri" w:cs="Calibri"/>
        </w:rPr>
        <w:t xml:space="preserve"> in the UK, it is not possible to assert how representative the sample is</w:t>
      </w:r>
      <w:r w:rsidR="001037F7" w:rsidRPr="00B10A2D">
        <w:rPr>
          <w:rFonts w:ascii="Calibri" w:eastAsia="Times New Roman" w:hAnsi="Calibri" w:cs="Calibri"/>
        </w:rPr>
        <w:t>,</w:t>
      </w:r>
      <w:r w:rsidR="001229F7" w:rsidRPr="00B10A2D">
        <w:rPr>
          <w:rFonts w:ascii="Calibri" w:eastAsia="Times New Roman" w:hAnsi="Calibri" w:cs="Calibri"/>
        </w:rPr>
        <w:t xml:space="preserve"> as there is no definitive count of how many people presenting signs of ED died after police contact during this period (see </w:t>
      </w:r>
      <w:r w:rsidR="00082C8A" w:rsidRPr="00B10A2D">
        <w:rPr>
          <w:rFonts w:ascii="Calibri" w:eastAsia="Times New Roman" w:hAnsi="Calibri" w:cs="Calibri"/>
        </w:rPr>
        <w:t>Baker</w:t>
      </w:r>
      <w:r w:rsidR="0052444C" w:rsidRPr="00B10A2D">
        <w:rPr>
          <w:rFonts w:ascii="Calibri" w:eastAsia="Times New Roman" w:hAnsi="Calibri" w:cs="Calibri"/>
        </w:rPr>
        <w:t>,</w:t>
      </w:r>
      <w:r w:rsidR="0066576B" w:rsidRPr="00B10A2D">
        <w:rPr>
          <w:rFonts w:ascii="Calibri" w:eastAsia="Times New Roman" w:hAnsi="Calibri" w:cs="Calibri"/>
        </w:rPr>
        <w:t xml:space="preserve"> 2016c</w:t>
      </w:r>
      <w:r w:rsidR="001229F7" w:rsidRPr="00B10A2D">
        <w:rPr>
          <w:rFonts w:ascii="Calibri" w:eastAsia="Times New Roman" w:hAnsi="Calibri" w:cs="Calibri"/>
        </w:rPr>
        <w:t xml:space="preserve"> for examples of difficulties in trying to research the issue of DAPC). </w:t>
      </w:r>
      <w:r w:rsidR="00AA5659" w:rsidRPr="00B10A2D">
        <w:rPr>
          <w:rFonts w:ascii="Calibri" w:eastAsia="Times New Roman" w:hAnsi="Calibri" w:cs="Calibri"/>
        </w:rPr>
        <w:t xml:space="preserve">Future research on this issue might consider IPCC investigation reports into the cases examined in this paper, as correlating the two sets of data may shed further light on some of the issues raised here.  </w:t>
      </w:r>
    </w:p>
    <w:p w14:paraId="572D0EAC" w14:textId="77777777" w:rsidR="00993FD4" w:rsidRPr="00B10A2D" w:rsidRDefault="00993FD4" w:rsidP="00266790">
      <w:pPr>
        <w:spacing w:after="0" w:line="360" w:lineRule="auto"/>
        <w:jc w:val="both"/>
        <w:rPr>
          <w:rFonts w:ascii="Calibri" w:eastAsia="Times New Roman" w:hAnsi="Calibri" w:cs="Calibri"/>
        </w:rPr>
      </w:pPr>
    </w:p>
    <w:p w14:paraId="14206CCD" w14:textId="1B3543E4" w:rsidR="00D247E9" w:rsidRPr="00B10A2D" w:rsidRDefault="00794E08" w:rsidP="004416FC">
      <w:pPr>
        <w:spacing w:line="360" w:lineRule="auto"/>
        <w:jc w:val="both"/>
        <w:rPr>
          <w:rFonts w:eastAsia="Times New Roman" w:cstheme="minorHAnsi"/>
        </w:rPr>
      </w:pPr>
      <w:r w:rsidRPr="00B10A2D">
        <w:rPr>
          <w:rFonts w:ascii="Calibri" w:eastAsia="Times New Roman" w:hAnsi="Calibri" w:cs="Calibri"/>
        </w:rPr>
        <w:t>The data for this paper was subjected to framework analysi</w:t>
      </w:r>
      <w:r w:rsidR="005B1CAC" w:rsidRPr="00B10A2D">
        <w:rPr>
          <w:rFonts w:ascii="Calibri" w:eastAsia="Times New Roman" w:hAnsi="Calibri" w:cs="Calibri"/>
        </w:rPr>
        <w:t>s (</w:t>
      </w:r>
      <w:r w:rsidRPr="00B10A2D">
        <w:rPr>
          <w:rFonts w:ascii="Calibri" w:eastAsia="Times New Roman" w:hAnsi="Calibri" w:cs="Calibri"/>
        </w:rPr>
        <w:t>Ritchie</w:t>
      </w:r>
      <w:r w:rsidR="005B1CAC" w:rsidRPr="00B10A2D">
        <w:rPr>
          <w:rFonts w:ascii="Calibri" w:eastAsia="Times New Roman" w:hAnsi="Calibri" w:cs="Calibri"/>
        </w:rPr>
        <w:t xml:space="preserve"> and Spencer</w:t>
      </w:r>
      <w:r w:rsidR="0052444C" w:rsidRPr="00B10A2D">
        <w:rPr>
          <w:rFonts w:ascii="Calibri" w:eastAsia="Times New Roman" w:hAnsi="Calibri" w:cs="Calibri"/>
        </w:rPr>
        <w:t>,</w:t>
      </w:r>
      <w:r w:rsidRPr="00B10A2D">
        <w:rPr>
          <w:rFonts w:ascii="Calibri" w:eastAsia="Times New Roman" w:hAnsi="Calibri" w:cs="Calibri"/>
        </w:rPr>
        <w:t xml:space="preserve"> 1994)</w:t>
      </w:r>
      <w:r w:rsidR="00B5732A" w:rsidRPr="00B10A2D">
        <w:rPr>
          <w:rFonts w:ascii="Calibri" w:eastAsia="Times New Roman" w:hAnsi="Calibri" w:cs="Calibri"/>
        </w:rPr>
        <w:t xml:space="preserve">. </w:t>
      </w:r>
      <w:r w:rsidR="004416FC" w:rsidRPr="00B10A2D">
        <w:rPr>
          <w:rFonts w:eastAsia="Times New Roman" w:cstheme="minorHAnsi"/>
        </w:rPr>
        <w:t xml:space="preserve">First, the researcher became familiar with the corpus of data in order to gain an overview of the nature of its </w:t>
      </w:r>
      <w:r w:rsidR="004416FC" w:rsidRPr="00B10A2D">
        <w:rPr>
          <w:rFonts w:eastAsia="Times New Roman" w:cstheme="minorHAnsi"/>
        </w:rPr>
        <w:lastRenderedPageBreak/>
        <w:t>contents. Secondly, familiarisation enabled a thematic framework to be constructed</w:t>
      </w:r>
      <w:r w:rsidR="00612A9D" w:rsidRPr="00B10A2D">
        <w:rPr>
          <w:rFonts w:eastAsia="Times New Roman" w:cstheme="minorHAnsi"/>
        </w:rPr>
        <w:t xml:space="preserve"> using matrices</w:t>
      </w:r>
      <w:r w:rsidR="004416FC" w:rsidRPr="00B10A2D">
        <w:rPr>
          <w:rFonts w:eastAsia="Times New Roman" w:cstheme="minorHAnsi"/>
        </w:rPr>
        <w:t xml:space="preserve">. Thirdly, a process of indexing took place, to break the matrices down in terms of case numbers and key issues or terms. Fourthly, charting enabled indexing to be used to make associations within and between issues and terms. For example, in the research project that was undertaken, </w:t>
      </w:r>
      <w:r w:rsidR="00447DA7" w:rsidRPr="00B10A2D">
        <w:rPr>
          <w:rFonts w:eastAsia="Times New Roman" w:cstheme="minorHAnsi"/>
        </w:rPr>
        <w:t>ED</w:t>
      </w:r>
      <w:r w:rsidR="001C1F61" w:rsidRPr="00B10A2D">
        <w:rPr>
          <w:rFonts w:eastAsia="Times New Roman" w:cstheme="minorHAnsi"/>
        </w:rPr>
        <w:t xml:space="preserve"> could be linked to</w:t>
      </w:r>
      <w:r w:rsidR="004416FC" w:rsidRPr="00B10A2D">
        <w:rPr>
          <w:rFonts w:eastAsia="Times New Roman" w:cstheme="minorHAnsi"/>
        </w:rPr>
        <w:t xml:space="preserve"> specific term</w:t>
      </w:r>
      <w:r w:rsidR="001C1F61" w:rsidRPr="00B10A2D">
        <w:rPr>
          <w:rFonts w:eastAsia="Times New Roman" w:cstheme="minorHAnsi"/>
        </w:rPr>
        <w:t>s</w:t>
      </w:r>
      <w:r w:rsidR="000F64C1" w:rsidRPr="00B10A2D">
        <w:rPr>
          <w:rFonts w:eastAsia="Times New Roman" w:cstheme="minorHAnsi"/>
        </w:rPr>
        <w:t xml:space="preserve"> identified by coronial juries</w:t>
      </w:r>
      <w:r w:rsidR="004416FC" w:rsidRPr="00B10A2D">
        <w:rPr>
          <w:rFonts w:eastAsia="Times New Roman" w:cstheme="minorHAnsi"/>
        </w:rPr>
        <w:t>, such as</w:t>
      </w:r>
      <w:r w:rsidR="001C1F61" w:rsidRPr="00B10A2D">
        <w:rPr>
          <w:rFonts w:eastAsia="Times New Roman" w:cstheme="minorHAnsi"/>
        </w:rPr>
        <w:t xml:space="preserve"> police training and/or communication</w:t>
      </w:r>
      <w:r w:rsidR="004416FC" w:rsidRPr="00B10A2D">
        <w:rPr>
          <w:rFonts w:eastAsia="Times New Roman" w:cstheme="minorHAnsi"/>
        </w:rPr>
        <w:t xml:space="preserve">. Finally, charting led to a process of mapping and interpretation. Maps emerged in the form of typologies such as particular </w:t>
      </w:r>
      <w:r w:rsidR="00745C23" w:rsidRPr="00B10A2D">
        <w:rPr>
          <w:rFonts w:eastAsia="Times New Roman" w:cstheme="minorHAnsi"/>
        </w:rPr>
        <w:t xml:space="preserve">conditions like substance </w:t>
      </w:r>
      <w:r w:rsidR="00C14AD2" w:rsidRPr="00B10A2D">
        <w:rPr>
          <w:rFonts w:eastAsia="Times New Roman" w:cstheme="minorHAnsi"/>
        </w:rPr>
        <w:t>mis</w:t>
      </w:r>
      <w:r w:rsidR="004416FC" w:rsidRPr="00B10A2D">
        <w:rPr>
          <w:rFonts w:eastAsia="Times New Roman" w:cstheme="minorHAnsi"/>
        </w:rPr>
        <w:t xml:space="preserve">use, or the relationship between restraint and mental health in cases </w:t>
      </w:r>
      <w:r w:rsidR="001C1F61" w:rsidRPr="00B10A2D">
        <w:rPr>
          <w:rFonts w:eastAsia="Times New Roman" w:cstheme="minorHAnsi"/>
        </w:rPr>
        <w:t>of DAPC involving</w:t>
      </w:r>
      <w:r w:rsidR="004416FC" w:rsidRPr="00B10A2D">
        <w:rPr>
          <w:rFonts w:eastAsia="Times New Roman" w:cstheme="minorHAnsi"/>
        </w:rPr>
        <w:t xml:space="preserve"> </w:t>
      </w:r>
      <w:r w:rsidR="001C1F61" w:rsidRPr="00B10A2D">
        <w:rPr>
          <w:rFonts w:eastAsia="Times New Roman" w:cstheme="minorHAnsi"/>
        </w:rPr>
        <w:t>ED</w:t>
      </w:r>
      <w:r w:rsidR="004416FC" w:rsidRPr="00B10A2D">
        <w:rPr>
          <w:rFonts w:eastAsia="Times New Roman" w:cstheme="minorHAnsi"/>
        </w:rPr>
        <w:t xml:space="preserve">. </w:t>
      </w:r>
    </w:p>
    <w:p w14:paraId="7EE544BB" w14:textId="77777777" w:rsidR="00AE7B14" w:rsidRPr="00B10A2D" w:rsidRDefault="00AE7B14" w:rsidP="00266790">
      <w:pPr>
        <w:spacing w:after="0" w:line="360" w:lineRule="auto"/>
        <w:jc w:val="both"/>
        <w:rPr>
          <w:rFonts w:ascii="Calibri" w:eastAsia="Times New Roman" w:hAnsi="Calibri" w:cs="Calibri"/>
          <w:b/>
          <w:i/>
        </w:rPr>
      </w:pPr>
    </w:p>
    <w:p w14:paraId="46136D2C" w14:textId="03FB4F7C" w:rsidR="008B6D92" w:rsidRPr="00B10A2D" w:rsidRDefault="008B6D92" w:rsidP="00266790">
      <w:pPr>
        <w:spacing w:after="0" w:line="360" w:lineRule="auto"/>
        <w:jc w:val="both"/>
        <w:rPr>
          <w:rFonts w:ascii="Calibri" w:eastAsia="Times New Roman" w:hAnsi="Calibri" w:cs="Calibri"/>
          <w:b/>
          <w:i/>
        </w:rPr>
      </w:pPr>
      <w:r w:rsidRPr="00B10A2D">
        <w:rPr>
          <w:rFonts w:ascii="Calibri" w:eastAsia="Times New Roman" w:hAnsi="Calibri" w:cs="Calibri"/>
          <w:b/>
          <w:i/>
        </w:rPr>
        <w:t>Discussion</w:t>
      </w:r>
    </w:p>
    <w:p w14:paraId="632877E4" w14:textId="77777777" w:rsidR="00745C23" w:rsidRPr="00B10A2D" w:rsidRDefault="00745C23" w:rsidP="00266790">
      <w:pPr>
        <w:spacing w:after="0" w:line="360" w:lineRule="auto"/>
        <w:jc w:val="both"/>
        <w:rPr>
          <w:rFonts w:ascii="Calibri" w:eastAsia="Times New Roman" w:hAnsi="Calibri" w:cs="Calibri"/>
          <w:b/>
          <w:i/>
        </w:rPr>
      </w:pPr>
    </w:p>
    <w:p w14:paraId="1EF067C1" w14:textId="7E477925" w:rsidR="00CD7417" w:rsidRPr="00B10A2D" w:rsidRDefault="004E10AB" w:rsidP="00CD7417">
      <w:pPr>
        <w:spacing w:after="0" w:line="360" w:lineRule="auto"/>
        <w:jc w:val="both"/>
        <w:rPr>
          <w:rFonts w:ascii="Calibri" w:eastAsia="Times New Roman" w:hAnsi="Calibri" w:cs="Calibri"/>
        </w:rPr>
      </w:pPr>
      <w:r w:rsidRPr="00B10A2D">
        <w:rPr>
          <w:rFonts w:ascii="Calibri" w:eastAsia="Times New Roman" w:hAnsi="Calibri" w:cs="Calibri"/>
        </w:rPr>
        <w:t>All twelve cases in the d</w:t>
      </w:r>
      <w:r w:rsidR="005819CF" w:rsidRPr="00B10A2D">
        <w:rPr>
          <w:rFonts w:ascii="Calibri" w:eastAsia="Times New Roman" w:hAnsi="Calibri" w:cs="Calibri"/>
        </w:rPr>
        <w:t>ataset were male and</w:t>
      </w:r>
      <w:r w:rsidR="00DB5A87" w:rsidRPr="00B10A2D">
        <w:rPr>
          <w:rFonts w:ascii="Calibri" w:eastAsia="Times New Roman" w:hAnsi="Calibri" w:cs="Calibri"/>
        </w:rPr>
        <w:t xml:space="preserve"> aged between 25 and 55 years of age</w:t>
      </w:r>
      <w:r w:rsidR="005819CF" w:rsidRPr="00B10A2D">
        <w:rPr>
          <w:rFonts w:ascii="Calibri" w:eastAsia="Times New Roman" w:hAnsi="Calibri" w:cs="Calibri"/>
        </w:rPr>
        <w:t>, which largely concurs with the literature on this issue (RCEM</w:t>
      </w:r>
      <w:r w:rsidR="0052444C" w:rsidRPr="00B10A2D">
        <w:rPr>
          <w:rFonts w:ascii="Calibri" w:eastAsia="Times New Roman" w:hAnsi="Calibri" w:cs="Calibri"/>
        </w:rPr>
        <w:t>,</w:t>
      </w:r>
      <w:r w:rsidR="005819CF" w:rsidRPr="00B10A2D">
        <w:rPr>
          <w:rFonts w:ascii="Calibri" w:eastAsia="Times New Roman" w:hAnsi="Calibri" w:cs="Calibri"/>
        </w:rPr>
        <w:t xml:space="preserve"> 2016, </w:t>
      </w:r>
      <w:proofErr w:type="spellStart"/>
      <w:r w:rsidR="005819CF" w:rsidRPr="00B10A2D">
        <w:rPr>
          <w:rFonts w:ascii="Calibri" w:eastAsia="Times New Roman" w:hAnsi="Calibri" w:cs="Calibri"/>
        </w:rPr>
        <w:t>Menaker</w:t>
      </w:r>
      <w:proofErr w:type="spellEnd"/>
      <w:r w:rsidR="005819CF" w:rsidRPr="00B10A2D">
        <w:rPr>
          <w:rFonts w:ascii="Calibri" w:eastAsia="Times New Roman" w:hAnsi="Calibri" w:cs="Calibri"/>
        </w:rPr>
        <w:t xml:space="preserve"> </w:t>
      </w:r>
      <w:r w:rsidR="005819CF" w:rsidRPr="00B10A2D">
        <w:rPr>
          <w:rFonts w:ascii="Calibri" w:eastAsia="Times New Roman" w:hAnsi="Calibri" w:cs="Calibri"/>
          <w:i/>
        </w:rPr>
        <w:t>et al.</w:t>
      </w:r>
      <w:r w:rsidR="005819CF" w:rsidRPr="00B10A2D">
        <w:rPr>
          <w:rFonts w:ascii="Calibri" w:eastAsia="Times New Roman" w:hAnsi="Calibri" w:cs="Calibri"/>
        </w:rPr>
        <w:t xml:space="preserve"> 2011)</w:t>
      </w:r>
      <w:r w:rsidRPr="00B10A2D">
        <w:rPr>
          <w:rFonts w:ascii="Calibri" w:eastAsia="Times New Roman" w:hAnsi="Calibri" w:cs="Calibri"/>
        </w:rPr>
        <w:t xml:space="preserve">. </w:t>
      </w:r>
      <w:r w:rsidR="00447DA7" w:rsidRPr="00B10A2D">
        <w:rPr>
          <w:rFonts w:ascii="Calibri" w:eastAsia="Times New Roman" w:hAnsi="Calibri" w:cs="Calibri"/>
        </w:rPr>
        <w:t xml:space="preserve">All cases involved some combination of symptoms as previously identified by the literature earlier in this paper. </w:t>
      </w:r>
      <w:r w:rsidRPr="00B10A2D">
        <w:rPr>
          <w:rFonts w:ascii="Calibri" w:eastAsia="Times New Roman" w:hAnsi="Calibri" w:cs="Calibri"/>
        </w:rPr>
        <w:t>Ten out of twelve cases involved restraint</w:t>
      </w:r>
      <w:r w:rsidR="00AC3211" w:rsidRPr="00B10A2D">
        <w:rPr>
          <w:rFonts w:ascii="Calibri" w:eastAsia="Times New Roman" w:hAnsi="Calibri" w:cs="Calibri"/>
        </w:rPr>
        <w:t xml:space="preserve"> by police</w:t>
      </w:r>
      <w:r w:rsidRPr="00B10A2D">
        <w:rPr>
          <w:rFonts w:ascii="Calibri" w:eastAsia="Times New Roman" w:hAnsi="Calibri" w:cs="Calibri"/>
        </w:rPr>
        <w:t xml:space="preserve">, </w:t>
      </w:r>
      <w:r w:rsidR="009D358B" w:rsidRPr="00B10A2D">
        <w:rPr>
          <w:rFonts w:ascii="Calibri" w:eastAsia="Times New Roman" w:hAnsi="Calibri" w:cs="Calibri"/>
        </w:rPr>
        <w:t xml:space="preserve">eight cases involved substance </w:t>
      </w:r>
      <w:r w:rsidR="00C14AD2" w:rsidRPr="00B10A2D">
        <w:rPr>
          <w:rFonts w:ascii="Calibri" w:eastAsia="Times New Roman" w:hAnsi="Calibri" w:cs="Calibri"/>
        </w:rPr>
        <w:t>mis</w:t>
      </w:r>
      <w:r w:rsidR="009D358B" w:rsidRPr="00B10A2D">
        <w:rPr>
          <w:rFonts w:ascii="Calibri" w:eastAsia="Times New Roman" w:hAnsi="Calibri" w:cs="Calibri"/>
        </w:rPr>
        <w:t xml:space="preserve">use, </w:t>
      </w:r>
      <w:r w:rsidR="00447DA7" w:rsidRPr="00B10A2D">
        <w:rPr>
          <w:rFonts w:ascii="Calibri" w:eastAsia="Times New Roman" w:hAnsi="Calibri" w:cs="Calibri"/>
        </w:rPr>
        <w:t>half of the deaths involved</w:t>
      </w:r>
      <w:r w:rsidR="002A2849" w:rsidRPr="00B10A2D">
        <w:rPr>
          <w:rFonts w:ascii="Calibri" w:eastAsia="Times New Roman" w:hAnsi="Calibri" w:cs="Calibri"/>
        </w:rPr>
        <w:t xml:space="preserve"> individuals from BME communities</w:t>
      </w:r>
      <w:r w:rsidR="00444944" w:rsidRPr="00B10A2D">
        <w:rPr>
          <w:rFonts w:ascii="Calibri" w:eastAsia="Times New Roman" w:hAnsi="Calibri" w:cs="Calibri"/>
        </w:rPr>
        <w:t>. According to the IPCC (</w:t>
      </w:r>
      <w:r w:rsidR="003D6128" w:rsidRPr="00B10A2D">
        <w:rPr>
          <w:rFonts w:ascii="Calibri" w:eastAsia="Times New Roman" w:hAnsi="Calibri" w:cs="Calibri"/>
        </w:rPr>
        <w:t>2016: 66) 29% of people who die</w:t>
      </w:r>
      <w:r w:rsidR="00444944" w:rsidRPr="00B10A2D">
        <w:rPr>
          <w:rFonts w:ascii="Calibri" w:eastAsia="Times New Roman" w:hAnsi="Calibri" w:cs="Calibri"/>
        </w:rPr>
        <w:t xml:space="preserve"> after the use of police force are from BME communities</w:t>
      </w:r>
      <w:r w:rsidRPr="00B10A2D">
        <w:rPr>
          <w:rFonts w:ascii="Calibri" w:eastAsia="Times New Roman" w:hAnsi="Calibri" w:cs="Calibri"/>
        </w:rPr>
        <w:t xml:space="preserve">. In this sense, </w:t>
      </w:r>
      <w:r w:rsidR="00AC3211" w:rsidRPr="00B10A2D">
        <w:rPr>
          <w:rFonts w:ascii="Calibri" w:eastAsia="Times New Roman" w:hAnsi="Calibri" w:cs="Calibri"/>
        </w:rPr>
        <w:t xml:space="preserve">the sample appears to </w:t>
      </w:r>
      <w:r w:rsidR="003D6128" w:rsidRPr="00B10A2D">
        <w:rPr>
          <w:rFonts w:ascii="Calibri" w:eastAsia="Times New Roman" w:hAnsi="Calibri" w:cs="Calibri"/>
        </w:rPr>
        <w:t>confirm</w:t>
      </w:r>
      <w:r w:rsidR="00AC3211" w:rsidRPr="00B10A2D">
        <w:rPr>
          <w:rFonts w:ascii="Calibri" w:eastAsia="Times New Roman" w:hAnsi="Calibri" w:cs="Calibri"/>
        </w:rPr>
        <w:t xml:space="preserve"> much of what the literature states about </w:t>
      </w:r>
      <w:r w:rsidR="005819CF" w:rsidRPr="00B10A2D">
        <w:rPr>
          <w:rFonts w:ascii="Calibri" w:eastAsia="Times New Roman" w:hAnsi="Calibri" w:cs="Calibri"/>
        </w:rPr>
        <w:t>ED</w:t>
      </w:r>
      <w:r w:rsidR="003D6128" w:rsidRPr="00B10A2D">
        <w:rPr>
          <w:rFonts w:ascii="Calibri" w:eastAsia="Times New Roman" w:hAnsi="Calibri" w:cs="Calibri"/>
        </w:rPr>
        <w:t xml:space="preserve"> and the use of force</w:t>
      </w:r>
      <w:r w:rsidR="00AC3211" w:rsidRPr="00B10A2D">
        <w:rPr>
          <w:rFonts w:ascii="Calibri" w:eastAsia="Times New Roman" w:hAnsi="Calibri" w:cs="Calibri"/>
        </w:rPr>
        <w:t>.</w:t>
      </w:r>
      <w:r w:rsidR="003D6128" w:rsidRPr="00B10A2D">
        <w:rPr>
          <w:rFonts w:ascii="Calibri" w:eastAsia="Times New Roman" w:hAnsi="Calibri" w:cs="Calibri"/>
        </w:rPr>
        <w:t xml:space="preserve"> </w:t>
      </w:r>
      <w:r w:rsidR="00CD7417" w:rsidRPr="00B10A2D">
        <w:rPr>
          <w:rFonts w:ascii="Calibri" w:eastAsia="Times New Roman" w:hAnsi="Calibri" w:cs="Times New Roman"/>
        </w:rPr>
        <w:t>In the ten cases where restraint is identified as a factor in the death, three occur in healthcare settings, for example:</w:t>
      </w:r>
    </w:p>
    <w:p w14:paraId="07C92125" w14:textId="77777777" w:rsidR="00CD7417" w:rsidRPr="00B10A2D" w:rsidRDefault="00CD7417" w:rsidP="00CD7417">
      <w:pPr>
        <w:spacing w:after="0" w:line="360" w:lineRule="auto"/>
        <w:jc w:val="both"/>
        <w:rPr>
          <w:rFonts w:ascii="Calibri" w:eastAsia="Times New Roman" w:hAnsi="Calibri" w:cs="Times New Roman"/>
        </w:rPr>
      </w:pPr>
    </w:p>
    <w:p w14:paraId="4A094D9A" w14:textId="77777777" w:rsidR="00CD7417" w:rsidRPr="00B10A2D" w:rsidRDefault="00CD7417" w:rsidP="00AE7B14">
      <w:pPr>
        <w:spacing w:after="0" w:line="240" w:lineRule="auto"/>
        <w:ind w:left="227" w:right="227"/>
        <w:jc w:val="both"/>
        <w:rPr>
          <w:rFonts w:ascii="Calibri" w:eastAsia="Times New Roman" w:hAnsi="Calibri" w:cs="Times New Roman"/>
          <w:i/>
        </w:rPr>
      </w:pPr>
      <w:r w:rsidRPr="00B10A2D">
        <w:rPr>
          <w:rFonts w:ascii="Calibri" w:eastAsia="Times New Roman" w:hAnsi="Calibri" w:cs="Times New Roman"/>
          <w:b/>
        </w:rPr>
        <w:t>Case 68</w:t>
      </w:r>
      <w:r w:rsidRPr="00B10A2D">
        <w:rPr>
          <w:rFonts w:ascii="Calibri" w:eastAsia="Times New Roman" w:hAnsi="Calibri" w:cs="Times New Roman"/>
        </w:rPr>
        <w:t xml:space="preserve">: </w:t>
      </w:r>
      <w:r w:rsidRPr="00B10A2D">
        <w:rPr>
          <w:rFonts w:ascii="Calibri" w:eastAsia="Times New Roman" w:hAnsi="Calibri" w:cs="Times New Roman"/>
          <w:i/>
        </w:rPr>
        <w:t xml:space="preserve">Question ‘Was the use of force by the police used to restrain [the deceased] in the treatment cubicle at the Accident &amp; Emergency Department reasonable (that is, no more than necessary) in all the circumstances?’ </w:t>
      </w:r>
    </w:p>
    <w:p w14:paraId="61F2D985" w14:textId="77777777" w:rsidR="00CD7417" w:rsidRPr="00B10A2D" w:rsidRDefault="00CD7417" w:rsidP="00AE7B14">
      <w:pPr>
        <w:spacing w:after="0" w:line="240" w:lineRule="auto"/>
        <w:ind w:left="227"/>
        <w:jc w:val="both"/>
        <w:rPr>
          <w:rFonts w:ascii="Calibri" w:eastAsia="Times New Roman" w:hAnsi="Calibri" w:cs="Times New Roman"/>
          <w:i/>
        </w:rPr>
      </w:pPr>
      <w:r w:rsidRPr="00B10A2D">
        <w:rPr>
          <w:rFonts w:ascii="Calibri" w:eastAsia="Times New Roman" w:hAnsi="Calibri" w:cs="Times New Roman"/>
          <w:i/>
        </w:rPr>
        <w:t xml:space="preserve">Answer: ‘No’. </w:t>
      </w:r>
    </w:p>
    <w:p w14:paraId="3C8FB595" w14:textId="77777777" w:rsidR="00CD7417" w:rsidRPr="00B10A2D" w:rsidRDefault="00CD7417" w:rsidP="00CD7417">
      <w:pPr>
        <w:spacing w:after="0" w:line="360" w:lineRule="auto"/>
        <w:ind w:left="227"/>
        <w:jc w:val="both"/>
        <w:rPr>
          <w:rFonts w:ascii="Calibri" w:eastAsia="Times New Roman" w:hAnsi="Calibri" w:cs="Times New Roman"/>
          <w:i/>
        </w:rPr>
      </w:pPr>
    </w:p>
    <w:p w14:paraId="7035EF0A" w14:textId="7B6240D3" w:rsidR="00CD7417" w:rsidRPr="00B10A2D" w:rsidRDefault="00CD7417" w:rsidP="00CD7417">
      <w:pPr>
        <w:spacing w:after="0" w:line="360" w:lineRule="auto"/>
        <w:jc w:val="both"/>
        <w:rPr>
          <w:rFonts w:ascii="Calibri" w:eastAsia="Times New Roman" w:hAnsi="Calibri" w:cs="Times New Roman"/>
        </w:rPr>
      </w:pPr>
      <w:r w:rsidRPr="00B10A2D">
        <w:rPr>
          <w:rFonts w:ascii="Calibri" w:eastAsia="Times New Roman" w:hAnsi="Calibri" w:cs="Times New Roman"/>
        </w:rPr>
        <w:t xml:space="preserve">In eight of ten cases where restraint is noted, it is acknowledged as being either ‘lawful’ or ‘necessary’, or both, possibly highlighting the jury belief that ED imbues individuals with enhanced strength and that this necessitates the use of force by police to subdue them. </w:t>
      </w:r>
      <w:r w:rsidR="00B56DC0" w:rsidRPr="00B10A2D">
        <w:rPr>
          <w:rFonts w:ascii="Calibri" w:eastAsia="Times New Roman" w:hAnsi="Calibri" w:cs="Times New Roman"/>
        </w:rPr>
        <w:t>It is notable that there are n</w:t>
      </w:r>
      <w:r w:rsidR="00D44BA9" w:rsidRPr="00B10A2D">
        <w:rPr>
          <w:rFonts w:ascii="Calibri" w:eastAsia="Times New Roman" w:hAnsi="Calibri" w:cs="Times New Roman"/>
        </w:rPr>
        <w:t>o cases in the dataset where a T</w:t>
      </w:r>
      <w:r w:rsidR="00B56DC0" w:rsidRPr="00B10A2D">
        <w:rPr>
          <w:rFonts w:ascii="Calibri" w:eastAsia="Times New Roman" w:hAnsi="Calibri" w:cs="Times New Roman"/>
        </w:rPr>
        <w:t>aser has been used by police on the deceased. This is in sharp distinction to the literatur</w:t>
      </w:r>
      <w:r w:rsidR="00D44BA9" w:rsidRPr="00B10A2D">
        <w:rPr>
          <w:rFonts w:ascii="Calibri" w:eastAsia="Times New Roman" w:hAnsi="Calibri" w:cs="Times New Roman"/>
        </w:rPr>
        <w:t>e from Canada and the US where T</w:t>
      </w:r>
      <w:r w:rsidR="00B56DC0" w:rsidRPr="00B10A2D">
        <w:rPr>
          <w:rFonts w:ascii="Calibri" w:eastAsia="Times New Roman" w:hAnsi="Calibri" w:cs="Times New Roman"/>
        </w:rPr>
        <w:t xml:space="preserve">aser use is frequently </w:t>
      </w:r>
      <w:r w:rsidR="007512D2" w:rsidRPr="00B10A2D">
        <w:rPr>
          <w:rFonts w:ascii="Calibri" w:eastAsia="Times New Roman" w:hAnsi="Calibri" w:cs="Times New Roman"/>
        </w:rPr>
        <w:t>identified</w:t>
      </w:r>
      <w:r w:rsidR="00B56DC0" w:rsidRPr="00B10A2D">
        <w:rPr>
          <w:rFonts w:ascii="Calibri" w:eastAsia="Times New Roman" w:hAnsi="Calibri" w:cs="Times New Roman"/>
        </w:rPr>
        <w:t xml:space="preserve"> in cases of DAPC when ED is </w:t>
      </w:r>
      <w:r w:rsidR="007512D2" w:rsidRPr="00B10A2D">
        <w:rPr>
          <w:rFonts w:ascii="Calibri" w:eastAsia="Times New Roman" w:hAnsi="Calibri" w:cs="Times New Roman"/>
        </w:rPr>
        <w:t>determined to be present</w:t>
      </w:r>
      <w:r w:rsidR="00B56DC0" w:rsidRPr="00B10A2D">
        <w:rPr>
          <w:rFonts w:ascii="Calibri" w:eastAsia="Times New Roman" w:hAnsi="Calibri" w:cs="Times New Roman"/>
        </w:rPr>
        <w:t xml:space="preserve"> (see, for example Wozniak</w:t>
      </w:r>
      <w:r w:rsidR="0052444C" w:rsidRPr="00B10A2D">
        <w:rPr>
          <w:rFonts w:ascii="Calibri" w:eastAsia="Times New Roman" w:hAnsi="Calibri" w:cs="Times New Roman"/>
        </w:rPr>
        <w:t>,</w:t>
      </w:r>
      <w:r w:rsidR="00B56DC0" w:rsidRPr="00B10A2D">
        <w:rPr>
          <w:rFonts w:ascii="Calibri" w:eastAsia="Times New Roman" w:hAnsi="Calibri" w:cs="Times New Roman"/>
        </w:rPr>
        <w:t xml:space="preserve"> 2016, </w:t>
      </w:r>
      <w:proofErr w:type="spellStart"/>
      <w:r w:rsidR="003653D1" w:rsidRPr="00B10A2D">
        <w:rPr>
          <w:rFonts w:ascii="Calibri" w:eastAsia="Times New Roman" w:hAnsi="Calibri" w:cs="Times New Roman"/>
        </w:rPr>
        <w:t>Razack</w:t>
      </w:r>
      <w:proofErr w:type="spellEnd"/>
      <w:r w:rsidR="003653D1" w:rsidRPr="00B10A2D">
        <w:rPr>
          <w:rFonts w:ascii="Calibri" w:eastAsia="Times New Roman" w:hAnsi="Calibri" w:cs="Times New Roman"/>
        </w:rPr>
        <w:t xml:space="preserve"> 2015, </w:t>
      </w:r>
      <w:r w:rsidR="00354F6E" w:rsidRPr="00B10A2D">
        <w:rPr>
          <w:rFonts w:ascii="Calibri" w:eastAsia="Times New Roman" w:hAnsi="Calibri" w:cs="Times New Roman"/>
        </w:rPr>
        <w:t>Storey</w:t>
      </w:r>
      <w:r w:rsidR="0052444C" w:rsidRPr="00B10A2D">
        <w:rPr>
          <w:rFonts w:ascii="Calibri" w:eastAsia="Times New Roman" w:hAnsi="Calibri" w:cs="Times New Roman"/>
        </w:rPr>
        <w:t>,</w:t>
      </w:r>
      <w:r w:rsidR="00354F6E" w:rsidRPr="00B10A2D">
        <w:rPr>
          <w:rFonts w:ascii="Calibri" w:eastAsia="Times New Roman" w:hAnsi="Calibri" w:cs="Times New Roman"/>
        </w:rPr>
        <w:t xml:space="preserve"> 2012, </w:t>
      </w:r>
      <w:proofErr w:type="spellStart"/>
      <w:r w:rsidR="003653D1" w:rsidRPr="00B10A2D">
        <w:rPr>
          <w:rFonts w:ascii="Calibri" w:eastAsia="Times New Roman" w:hAnsi="Calibri" w:cs="Times New Roman"/>
        </w:rPr>
        <w:t>Brodeur</w:t>
      </w:r>
      <w:proofErr w:type="spellEnd"/>
      <w:r w:rsidR="003653D1" w:rsidRPr="00B10A2D">
        <w:rPr>
          <w:rFonts w:ascii="Calibri" w:eastAsia="Times New Roman" w:hAnsi="Calibri" w:cs="Times New Roman"/>
        </w:rPr>
        <w:t xml:space="preserve"> 2010, </w:t>
      </w:r>
      <w:proofErr w:type="spellStart"/>
      <w:r w:rsidR="00B56DC0" w:rsidRPr="00B10A2D">
        <w:rPr>
          <w:rFonts w:ascii="Calibri" w:eastAsia="Times New Roman" w:hAnsi="Calibri" w:cs="Times New Roman"/>
        </w:rPr>
        <w:t>Wetli</w:t>
      </w:r>
      <w:proofErr w:type="spellEnd"/>
      <w:r w:rsidR="0052444C" w:rsidRPr="00B10A2D">
        <w:rPr>
          <w:rFonts w:ascii="Calibri" w:eastAsia="Times New Roman" w:hAnsi="Calibri" w:cs="Times New Roman"/>
        </w:rPr>
        <w:t>,</w:t>
      </w:r>
      <w:r w:rsidR="00B56DC0" w:rsidRPr="00B10A2D">
        <w:rPr>
          <w:rFonts w:ascii="Calibri" w:eastAsia="Times New Roman" w:hAnsi="Calibri" w:cs="Times New Roman"/>
        </w:rPr>
        <w:t xml:space="preserve"> 2006). </w:t>
      </w:r>
    </w:p>
    <w:p w14:paraId="602051A2" w14:textId="77777777" w:rsidR="00CD7417" w:rsidRPr="00B10A2D" w:rsidRDefault="00CD7417" w:rsidP="00CD7417">
      <w:pPr>
        <w:spacing w:after="0" w:line="360" w:lineRule="auto"/>
        <w:jc w:val="both"/>
        <w:rPr>
          <w:rFonts w:ascii="Calibri" w:eastAsia="Times New Roman" w:hAnsi="Calibri" w:cs="Times New Roman"/>
        </w:rPr>
      </w:pPr>
    </w:p>
    <w:p w14:paraId="52E8AF8F" w14:textId="1EE46A9E" w:rsidR="00CD7417" w:rsidRPr="00B10A2D" w:rsidRDefault="00CD7417" w:rsidP="00CD7417">
      <w:pPr>
        <w:spacing w:after="0" w:line="360" w:lineRule="auto"/>
        <w:jc w:val="both"/>
        <w:rPr>
          <w:rFonts w:ascii="Calibri" w:eastAsia="Times New Roman" w:hAnsi="Calibri" w:cs="Calibri"/>
        </w:rPr>
      </w:pPr>
      <w:r w:rsidRPr="00B10A2D">
        <w:rPr>
          <w:rFonts w:ascii="Calibri" w:eastAsia="Times New Roman" w:hAnsi="Calibri" w:cs="Calibri"/>
        </w:rPr>
        <w:t xml:space="preserve">A consistent theme in the literature is that while restraint might be necessary in such cases, it should wherever possible be avoided in favour of de-escalation techniques and containment until medical </w:t>
      </w:r>
      <w:r w:rsidRPr="00B10A2D">
        <w:rPr>
          <w:rFonts w:ascii="Calibri" w:eastAsia="Times New Roman" w:hAnsi="Calibri" w:cs="Calibri"/>
        </w:rPr>
        <w:lastRenderedPageBreak/>
        <w:t>teams can attend (FFLM</w:t>
      </w:r>
      <w:r w:rsidR="0052444C" w:rsidRPr="00B10A2D">
        <w:rPr>
          <w:rFonts w:ascii="Calibri" w:eastAsia="Times New Roman" w:hAnsi="Calibri" w:cs="Calibri"/>
        </w:rPr>
        <w:t>,</w:t>
      </w:r>
      <w:r w:rsidRPr="00B10A2D">
        <w:rPr>
          <w:rFonts w:ascii="Calibri" w:eastAsia="Times New Roman" w:hAnsi="Calibri" w:cs="Calibri"/>
        </w:rPr>
        <w:t xml:space="preserve"> 2010, Kutcher </w:t>
      </w:r>
      <w:r w:rsidRPr="00B10A2D">
        <w:rPr>
          <w:rFonts w:ascii="Calibri" w:eastAsia="Times New Roman" w:hAnsi="Calibri" w:cs="Calibri"/>
          <w:i/>
        </w:rPr>
        <w:t>et al</w:t>
      </w:r>
      <w:r w:rsidRPr="00B10A2D">
        <w:rPr>
          <w:rFonts w:ascii="Calibri" w:eastAsia="Times New Roman" w:hAnsi="Calibri" w:cs="Calibri"/>
        </w:rPr>
        <w:t>. 2009, Paquette</w:t>
      </w:r>
      <w:r w:rsidR="0052444C" w:rsidRPr="00B10A2D">
        <w:rPr>
          <w:rFonts w:ascii="Calibri" w:eastAsia="Times New Roman" w:hAnsi="Calibri" w:cs="Calibri"/>
        </w:rPr>
        <w:t>,</w:t>
      </w:r>
      <w:r w:rsidRPr="00B10A2D">
        <w:rPr>
          <w:rFonts w:ascii="Calibri" w:eastAsia="Times New Roman" w:hAnsi="Calibri" w:cs="Calibri"/>
        </w:rPr>
        <w:t xml:space="preserve"> 2003). However, there is a consistent thread in the literature on ED that restraint might not be the key issue in deaths where the phenomenon known as excited delirium is identified (Kutcher </w:t>
      </w:r>
      <w:r w:rsidRPr="00B10A2D">
        <w:rPr>
          <w:rFonts w:ascii="Calibri" w:eastAsia="Times New Roman" w:hAnsi="Calibri" w:cs="Calibri"/>
          <w:i/>
        </w:rPr>
        <w:t>et al.</w:t>
      </w:r>
      <w:r w:rsidRPr="00B10A2D">
        <w:rPr>
          <w:rFonts w:ascii="Calibri" w:eastAsia="Times New Roman" w:hAnsi="Calibri" w:cs="Calibri"/>
        </w:rPr>
        <w:t xml:space="preserve"> 2009, Marsh </w:t>
      </w:r>
      <w:r w:rsidRPr="00B10A2D">
        <w:rPr>
          <w:rFonts w:ascii="Calibri" w:eastAsia="Times New Roman" w:hAnsi="Calibri" w:cs="Calibri"/>
          <w:i/>
        </w:rPr>
        <w:t>et al</w:t>
      </w:r>
      <w:r w:rsidRPr="00B10A2D">
        <w:rPr>
          <w:rFonts w:ascii="Calibri" w:eastAsia="Times New Roman" w:hAnsi="Calibri" w:cs="Calibri"/>
        </w:rPr>
        <w:t xml:space="preserve">. 2009, </w:t>
      </w:r>
      <w:proofErr w:type="spellStart"/>
      <w:r w:rsidRPr="00B10A2D">
        <w:rPr>
          <w:rFonts w:ascii="Calibri" w:eastAsia="Times New Roman" w:hAnsi="Calibri" w:cs="Calibri"/>
        </w:rPr>
        <w:t>Wetli</w:t>
      </w:r>
      <w:proofErr w:type="spellEnd"/>
      <w:r w:rsidR="0052444C" w:rsidRPr="00B10A2D">
        <w:rPr>
          <w:rFonts w:ascii="Calibri" w:eastAsia="Times New Roman" w:hAnsi="Calibri" w:cs="Calibri"/>
        </w:rPr>
        <w:t>,</w:t>
      </w:r>
      <w:r w:rsidRPr="00B10A2D">
        <w:rPr>
          <w:rFonts w:ascii="Calibri" w:eastAsia="Times New Roman" w:hAnsi="Calibri" w:cs="Calibri"/>
        </w:rPr>
        <w:t xml:space="preserve"> 2006), for example: </w:t>
      </w:r>
    </w:p>
    <w:p w14:paraId="43A3D684" w14:textId="77777777" w:rsidR="00CD7417" w:rsidRPr="00B10A2D" w:rsidRDefault="00CD7417" w:rsidP="00CD7417">
      <w:pPr>
        <w:spacing w:after="0" w:line="240" w:lineRule="auto"/>
        <w:jc w:val="both"/>
        <w:rPr>
          <w:rFonts w:ascii="Calibri" w:eastAsia="Times New Roman" w:hAnsi="Calibri" w:cs="Calibri"/>
        </w:rPr>
      </w:pPr>
    </w:p>
    <w:p w14:paraId="7F69706C" w14:textId="77777777" w:rsidR="00CD7417" w:rsidRPr="00B10A2D" w:rsidRDefault="00CD7417" w:rsidP="00CD7417">
      <w:pPr>
        <w:spacing w:after="0" w:line="240" w:lineRule="auto"/>
        <w:ind w:left="284" w:right="284"/>
        <w:jc w:val="both"/>
        <w:rPr>
          <w:rFonts w:ascii="Calibri" w:eastAsia="Times New Roman" w:hAnsi="Calibri" w:cs="Calibri"/>
        </w:rPr>
      </w:pPr>
      <w:r w:rsidRPr="00B10A2D">
        <w:rPr>
          <w:rFonts w:ascii="Calibri" w:eastAsia="Times New Roman" w:hAnsi="Calibri" w:cs="Calibri"/>
          <w:b/>
        </w:rPr>
        <w:t>Case 46</w:t>
      </w:r>
      <w:r w:rsidRPr="00B10A2D">
        <w:rPr>
          <w:rFonts w:ascii="Calibri" w:eastAsia="Times New Roman" w:hAnsi="Calibri" w:cs="Calibri"/>
        </w:rPr>
        <w:t xml:space="preserve">: </w:t>
      </w:r>
      <w:r w:rsidRPr="00B10A2D">
        <w:rPr>
          <w:rFonts w:ascii="Calibri" w:eastAsia="Times New Roman" w:hAnsi="Calibri" w:cs="Calibri"/>
          <w:i/>
        </w:rPr>
        <w:t>‘[The deceased] died from non dependant [sic] abuse of cocaine triggering an episode of excited delirium (which had not been fully appreciated), further aggravated by restraint.’</w:t>
      </w:r>
    </w:p>
    <w:p w14:paraId="0B0AE3B6" w14:textId="77777777" w:rsidR="00CD7417" w:rsidRPr="00B10A2D" w:rsidRDefault="00CD7417" w:rsidP="00CD7417">
      <w:pPr>
        <w:spacing w:after="0" w:line="240" w:lineRule="auto"/>
        <w:jc w:val="both"/>
        <w:rPr>
          <w:rFonts w:ascii="Calibri" w:eastAsia="Times New Roman" w:hAnsi="Calibri" w:cs="Calibri"/>
        </w:rPr>
      </w:pPr>
    </w:p>
    <w:p w14:paraId="3BCE75FD" w14:textId="77777777" w:rsidR="00CD7417" w:rsidRPr="00B10A2D" w:rsidRDefault="00CD7417" w:rsidP="00CD7417">
      <w:pPr>
        <w:spacing w:after="0" w:line="360" w:lineRule="auto"/>
        <w:jc w:val="both"/>
        <w:rPr>
          <w:rFonts w:ascii="Calibri" w:eastAsia="Times New Roman" w:hAnsi="Calibri" w:cs="Calibri"/>
        </w:rPr>
      </w:pPr>
      <w:r w:rsidRPr="00B10A2D">
        <w:rPr>
          <w:rFonts w:ascii="Calibri" w:eastAsia="Times New Roman" w:hAnsi="Calibri" w:cs="Calibri"/>
        </w:rPr>
        <w:t xml:space="preserve">Kutcher </w:t>
      </w:r>
      <w:r w:rsidRPr="00B10A2D">
        <w:rPr>
          <w:rFonts w:ascii="Calibri" w:eastAsia="Times New Roman" w:hAnsi="Calibri" w:cs="Calibri"/>
          <w:i/>
        </w:rPr>
        <w:t>et al</w:t>
      </w:r>
      <w:r w:rsidRPr="00B10A2D">
        <w:rPr>
          <w:rFonts w:ascii="Calibri" w:eastAsia="Times New Roman" w:hAnsi="Calibri" w:cs="Calibri"/>
        </w:rPr>
        <w:t xml:space="preserve">. (2009) and the UK Forum for Preventing Deaths in Custody (Aiken </w:t>
      </w:r>
      <w:r w:rsidRPr="00B10A2D">
        <w:rPr>
          <w:rFonts w:ascii="Calibri" w:eastAsia="Times New Roman" w:hAnsi="Calibri" w:cs="Calibri"/>
          <w:i/>
        </w:rPr>
        <w:t>et al</w:t>
      </w:r>
      <w:r w:rsidRPr="00B10A2D">
        <w:rPr>
          <w:rFonts w:ascii="Calibri" w:eastAsia="Times New Roman" w:hAnsi="Calibri" w:cs="Calibri"/>
        </w:rPr>
        <w:t xml:space="preserve">. 2011) agree that there should be a national monitoring system for the use of restraint in order to be able to analyse patterns and trends in cases of DAPC, at the time of writing there is no sign that this might occur.  </w:t>
      </w:r>
    </w:p>
    <w:p w14:paraId="7A913F93" w14:textId="77777777" w:rsidR="00CD7417" w:rsidRPr="00B10A2D" w:rsidRDefault="00CD7417" w:rsidP="00910B48">
      <w:pPr>
        <w:spacing w:after="0" w:line="360" w:lineRule="auto"/>
        <w:jc w:val="both"/>
        <w:rPr>
          <w:rFonts w:ascii="Calibri" w:eastAsia="Times New Roman" w:hAnsi="Calibri" w:cs="Calibri"/>
        </w:rPr>
      </w:pPr>
    </w:p>
    <w:p w14:paraId="28361C37" w14:textId="61B31212" w:rsidR="00910B48" w:rsidRPr="00B10A2D" w:rsidRDefault="00B035D2" w:rsidP="00910B48">
      <w:pPr>
        <w:spacing w:after="0" w:line="360" w:lineRule="auto"/>
        <w:jc w:val="both"/>
        <w:rPr>
          <w:rFonts w:ascii="Calibri" w:eastAsia="Times New Roman" w:hAnsi="Calibri" w:cs="Calibri"/>
        </w:rPr>
      </w:pPr>
      <w:r w:rsidRPr="00B10A2D">
        <w:rPr>
          <w:rFonts w:ascii="Calibri" w:eastAsia="Times New Roman" w:hAnsi="Calibri" w:cs="Times New Roman"/>
        </w:rPr>
        <w:t>In six</w:t>
      </w:r>
      <w:r w:rsidR="003A5AF2" w:rsidRPr="00B10A2D">
        <w:rPr>
          <w:rFonts w:ascii="Calibri" w:eastAsia="Times New Roman" w:hAnsi="Calibri" w:cs="Times New Roman"/>
        </w:rPr>
        <w:t xml:space="preserve"> </w:t>
      </w:r>
      <w:r w:rsidRPr="00B10A2D">
        <w:rPr>
          <w:rFonts w:ascii="Calibri" w:eastAsia="Times New Roman" w:hAnsi="Calibri" w:cs="Times New Roman"/>
        </w:rPr>
        <w:t>out of twelve</w:t>
      </w:r>
      <w:r w:rsidR="006563CE" w:rsidRPr="00B10A2D">
        <w:rPr>
          <w:rFonts w:ascii="Calibri" w:eastAsia="Times New Roman" w:hAnsi="Calibri" w:cs="Times New Roman"/>
        </w:rPr>
        <w:t xml:space="preserve"> cases in the dataset juries note</w:t>
      </w:r>
      <w:r w:rsidR="003A5AF2" w:rsidRPr="00B10A2D">
        <w:rPr>
          <w:rFonts w:ascii="Calibri" w:eastAsia="Times New Roman" w:hAnsi="Calibri" w:cs="Times New Roman"/>
        </w:rPr>
        <w:t xml:space="preserve"> that police attending the scene were not aware of </w:t>
      </w:r>
      <w:r w:rsidRPr="00B10A2D">
        <w:rPr>
          <w:rFonts w:ascii="Calibri" w:eastAsia="Times New Roman" w:hAnsi="Calibri" w:cs="Times New Roman"/>
        </w:rPr>
        <w:t xml:space="preserve">ED and </w:t>
      </w:r>
      <w:r w:rsidR="008F0527" w:rsidRPr="00B10A2D">
        <w:rPr>
          <w:rFonts w:ascii="Calibri" w:eastAsia="Times New Roman" w:hAnsi="Calibri" w:cs="Times New Roman"/>
        </w:rPr>
        <w:t xml:space="preserve">could therefore not identify it. </w:t>
      </w:r>
      <w:r w:rsidR="00E4385F" w:rsidRPr="00B10A2D">
        <w:rPr>
          <w:rFonts w:ascii="Calibri" w:eastAsia="Times New Roman" w:hAnsi="Calibri" w:cs="Times New Roman"/>
        </w:rPr>
        <w:t xml:space="preserve">Whilst training and protocols exist for police in identifying ED (see, for example ACPO 2012, IAP 2010, FFLM 2010), juries appear to note that such training is not always followed in practice. </w:t>
      </w:r>
      <w:r w:rsidR="00104998" w:rsidRPr="00B10A2D">
        <w:rPr>
          <w:rFonts w:ascii="Calibri" w:eastAsia="Times New Roman" w:hAnsi="Calibri" w:cs="Times New Roman"/>
        </w:rPr>
        <w:t>Thus juries use policy documents in order to benchmark police actions or omissions in cases of DAPC (</w:t>
      </w:r>
      <w:r w:rsidR="00082C8A" w:rsidRPr="00B10A2D">
        <w:rPr>
          <w:rFonts w:ascii="Calibri" w:eastAsia="Times New Roman" w:hAnsi="Calibri" w:cs="Times New Roman"/>
        </w:rPr>
        <w:t>Baker</w:t>
      </w:r>
      <w:r w:rsidR="00104998" w:rsidRPr="00B10A2D">
        <w:rPr>
          <w:rFonts w:ascii="Calibri" w:eastAsia="Times New Roman" w:hAnsi="Calibri" w:cs="Times New Roman"/>
        </w:rPr>
        <w:t xml:space="preserve"> 2016a). </w:t>
      </w:r>
      <w:r w:rsidR="008F0527" w:rsidRPr="00B10A2D">
        <w:rPr>
          <w:rFonts w:ascii="Calibri" w:eastAsia="Times New Roman" w:hAnsi="Calibri" w:cs="Times New Roman"/>
        </w:rPr>
        <w:t>Clearly an inability to recognise a syndrome, or</w:t>
      </w:r>
      <w:r w:rsidR="003D6128" w:rsidRPr="00B10A2D">
        <w:rPr>
          <w:rFonts w:ascii="Calibri" w:eastAsia="Times New Roman" w:hAnsi="Calibri" w:cs="Times New Roman"/>
        </w:rPr>
        <w:t xml:space="preserve"> constellation of symptoms mean</w:t>
      </w:r>
      <w:r w:rsidR="008F0527" w:rsidRPr="00B10A2D">
        <w:rPr>
          <w:rFonts w:ascii="Calibri" w:eastAsia="Times New Roman" w:hAnsi="Calibri" w:cs="Times New Roman"/>
        </w:rPr>
        <w:t xml:space="preserve"> that police cannot follow guidelines when responding to such an incident. </w:t>
      </w:r>
      <w:r w:rsidR="00910B48" w:rsidRPr="00B10A2D">
        <w:rPr>
          <w:rFonts w:ascii="Calibri" w:eastAsia="Times New Roman" w:hAnsi="Calibri" w:cs="Calibri"/>
        </w:rPr>
        <w:t>For</w:t>
      </w:r>
      <w:r w:rsidR="00512DCB" w:rsidRPr="00B10A2D">
        <w:rPr>
          <w:rFonts w:ascii="Calibri" w:eastAsia="Times New Roman" w:hAnsi="Calibri" w:cs="Calibri"/>
        </w:rPr>
        <w:t xml:space="preserve"> example, the following comment</w:t>
      </w:r>
      <w:r w:rsidR="00910B48" w:rsidRPr="00B10A2D">
        <w:rPr>
          <w:rFonts w:ascii="Calibri" w:eastAsia="Times New Roman" w:hAnsi="Calibri" w:cs="Calibri"/>
        </w:rPr>
        <w:t>:</w:t>
      </w:r>
    </w:p>
    <w:p w14:paraId="3EE53835" w14:textId="77777777" w:rsidR="00910B48" w:rsidRPr="00B10A2D" w:rsidRDefault="00910B48" w:rsidP="00910B48">
      <w:pPr>
        <w:spacing w:after="0" w:line="240" w:lineRule="auto"/>
        <w:jc w:val="both"/>
        <w:rPr>
          <w:rFonts w:ascii="Calibri" w:eastAsia="Times New Roman" w:hAnsi="Calibri" w:cs="Calibri"/>
        </w:rPr>
      </w:pPr>
    </w:p>
    <w:p w14:paraId="00783A0F" w14:textId="6C850F6C" w:rsidR="00910B48" w:rsidRPr="00B10A2D" w:rsidRDefault="00910B48" w:rsidP="00910B48">
      <w:pPr>
        <w:spacing w:after="0" w:line="240" w:lineRule="auto"/>
        <w:ind w:left="284" w:right="284"/>
        <w:jc w:val="both"/>
        <w:rPr>
          <w:rFonts w:ascii="Calibri" w:eastAsia="Times New Roman" w:hAnsi="Calibri" w:cs="Calibri"/>
        </w:rPr>
      </w:pPr>
      <w:r w:rsidRPr="00B10A2D">
        <w:rPr>
          <w:rFonts w:ascii="Calibri" w:eastAsia="Times New Roman" w:hAnsi="Calibri" w:cs="Calibri"/>
          <w:b/>
        </w:rPr>
        <w:t>Case 25</w:t>
      </w:r>
      <w:r w:rsidRPr="00B10A2D">
        <w:rPr>
          <w:rFonts w:ascii="Calibri" w:eastAsia="Times New Roman" w:hAnsi="Calibri" w:cs="Calibri"/>
        </w:rPr>
        <w:t xml:space="preserve">: </w:t>
      </w:r>
      <w:r w:rsidRPr="00B10A2D">
        <w:rPr>
          <w:rFonts w:ascii="Calibri" w:eastAsia="Times New Roman" w:hAnsi="Calibri" w:cs="Calibri"/>
          <w:i/>
        </w:rPr>
        <w:t>‘The police did not recognise the Classic Symptoms of excited delirium, as detailed in Centrex Documentation.’</w:t>
      </w:r>
      <w:r w:rsidRPr="00B10A2D">
        <w:rPr>
          <w:rFonts w:ascii="Calibri" w:eastAsia="Times New Roman" w:hAnsi="Calibri" w:cs="Calibri"/>
          <w:i/>
          <w:vertAlign w:val="superscript"/>
        </w:rPr>
        <w:footnoteReference w:id="10"/>
      </w:r>
    </w:p>
    <w:p w14:paraId="42690B93" w14:textId="77777777" w:rsidR="008E4514" w:rsidRPr="00B10A2D" w:rsidRDefault="008E4514" w:rsidP="00266790">
      <w:pPr>
        <w:spacing w:after="0" w:line="360" w:lineRule="auto"/>
        <w:jc w:val="both"/>
        <w:rPr>
          <w:rFonts w:ascii="Calibri" w:eastAsia="Times New Roman" w:hAnsi="Calibri" w:cs="Times New Roman"/>
        </w:rPr>
      </w:pPr>
    </w:p>
    <w:p w14:paraId="241026E4" w14:textId="55A56B57" w:rsidR="00CD7417" w:rsidRPr="00B10A2D" w:rsidRDefault="001924E0" w:rsidP="00CD7417">
      <w:pPr>
        <w:spacing w:after="0" w:line="360" w:lineRule="auto"/>
        <w:jc w:val="both"/>
        <w:rPr>
          <w:rFonts w:ascii="Calibri" w:eastAsia="Times New Roman" w:hAnsi="Calibri" w:cs="Calibri"/>
        </w:rPr>
      </w:pPr>
      <w:r w:rsidRPr="00B10A2D">
        <w:rPr>
          <w:rFonts w:ascii="Calibri" w:eastAsia="Times New Roman" w:hAnsi="Calibri" w:cs="Times New Roman"/>
        </w:rPr>
        <w:t>I</w:t>
      </w:r>
      <w:r w:rsidR="00B035D2" w:rsidRPr="00B10A2D">
        <w:rPr>
          <w:rFonts w:ascii="Calibri" w:eastAsia="Times New Roman" w:hAnsi="Calibri" w:cs="Times New Roman"/>
        </w:rPr>
        <w:t xml:space="preserve">n five cases police training is </w:t>
      </w:r>
      <w:r w:rsidR="00F34463" w:rsidRPr="00B10A2D">
        <w:rPr>
          <w:rFonts w:ascii="Calibri" w:eastAsia="Times New Roman" w:hAnsi="Calibri" w:cs="Times New Roman"/>
        </w:rPr>
        <w:t>identified by coronial juries as being</w:t>
      </w:r>
      <w:r w:rsidR="00B035D2" w:rsidRPr="00B10A2D">
        <w:rPr>
          <w:rFonts w:ascii="Calibri" w:eastAsia="Times New Roman" w:hAnsi="Calibri" w:cs="Times New Roman"/>
        </w:rPr>
        <w:t xml:space="preserve"> related to the death of the individual with ED</w:t>
      </w:r>
      <w:r w:rsidR="00CD7417" w:rsidRPr="00B10A2D">
        <w:rPr>
          <w:rFonts w:ascii="Calibri" w:eastAsia="Times New Roman" w:hAnsi="Calibri" w:cs="Calibri"/>
        </w:rPr>
        <w:t xml:space="preserve"> either in relation to police but also to medical staff for example:</w:t>
      </w:r>
    </w:p>
    <w:p w14:paraId="1AB0AC62" w14:textId="77777777" w:rsidR="00CD7417" w:rsidRPr="00B10A2D" w:rsidRDefault="00CD7417" w:rsidP="00CD7417">
      <w:pPr>
        <w:spacing w:after="0" w:line="240" w:lineRule="auto"/>
        <w:jc w:val="both"/>
        <w:rPr>
          <w:rFonts w:ascii="Calibri" w:eastAsia="Times New Roman" w:hAnsi="Calibri" w:cs="Calibri"/>
        </w:rPr>
      </w:pPr>
    </w:p>
    <w:p w14:paraId="06D1DDE2" w14:textId="77777777" w:rsidR="00CD7417" w:rsidRPr="00B10A2D" w:rsidRDefault="00CD7417" w:rsidP="00CD7417">
      <w:pPr>
        <w:spacing w:after="0" w:line="240" w:lineRule="auto"/>
        <w:ind w:left="284" w:right="284"/>
        <w:jc w:val="both"/>
        <w:rPr>
          <w:rFonts w:ascii="Calibri" w:eastAsia="Times New Roman" w:hAnsi="Calibri" w:cs="Calibri"/>
          <w:i/>
        </w:rPr>
      </w:pPr>
      <w:r w:rsidRPr="00B10A2D">
        <w:rPr>
          <w:rFonts w:ascii="Calibri" w:eastAsia="Times New Roman" w:hAnsi="Calibri" w:cs="Calibri"/>
          <w:b/>
        </w:rPr>
        <w:t>Case 53</w:t>
      </w:r>
      <w:r w:rsidRPr="00B10A2D">
        <w:rPr>
          <w:rFonts w:ascii="Calibri" w:eastAsia="Times New Roman" w:hAnsi="Calibri" w:cs="Calibri"/>
        </w:rPr>
        <w:t xml:space="preserve">: </w:t>
      </w:r>
      <w:r w:rsidRPr="00B10A2D">
        <w:rPr>
          <w:rFonts w:ascii="Calibri" w:eastAsia="Times New Roman" w:hAnsi="Calibri" w:cs="Calibri"/>
          <w:i/>
        </w:rPr>
        <w:t>‘Ineffective force staff training, failure to follow force procedures, failure to perform a timely medical assessment leading to a delayed call for assistance…may also have contributed to the death.’</w:t>
      </w:r>
    </w:p>
    <w:p w14:paraId="074533C0" w14:textId="77777777" w:rsidR="00CD7417" w:rsidRPr="00B10A2D" w:rsidRDefault="00CD7417" w:rsidP="00266790">
      <w:pPr>
        <w:spacing w:after="0" w:line="360" w:lineRule="auto"/>
        <w:jc w:val="both"/>
        <w:rPr>
          <w:rFonts w:ascii="Calibri" w:eastAsia="Times New Roman" w:hAnsi="Calibri" w:cs="Times New Roman"/>
        </w:rPr>
      </w:pPr>
    </w:p>
    <w:p w14:paraId="39CFD67A" w14:textId="1912BA64" w:rsidR="00FF5778" w:rsidRPr="00B10A2D" w:rsidRDefault="003A5AF2" w:rsidP="00FF5778">
      <w:pPr>
        <w:widowControl w:val="0"/>
        <w:autoSpaceDE w:val="0"/>
        <w:autoSpaceDN w:val="0"/>
        <w:adjustRightInd w:val="0"/>
        <w:spacing w:after="240"/>
        <w:jc w:val="both"/>
        <w:rPr>
          <w:rFonts w:cs="Times"/>
          <w:lang w:val="en-US"/>
        </w:rPr>
      </w:pPr>
      <w:r w:rsidRPr="00B10A2D">
        <w:rPr>
          <w:rFonts w:ascii="Calibri" w:eastAsia="Times New Roman" w:hAnsi="Calibri" w:cs="Times New Roman"/>
        </w:rPr>
        <w:t xml:space="preserve">Thus </w:t>
      </w:r>
      <w:r w:rsidR="00B035D2" w:rsidRPr="00B10A2D">
        <w:rPr>
          <w:rFonts w:ascii="Calibri" w:eastAsia="Times New Roman" w:hAnsi="Calibri" w:cs="Times New Roman"/>
        </w:rPr>
        <w:t>ED</w:t>
      </w:r>
      <w:r w:rsidRPr="00B10A2D">
        <w:rPr>
          <w:rFonts w:ascii="Calibri" w:eastAsia="Times New Roman" w:hAnsi="Calibri" w:cs="Times New Roman"/>
        </w:rPr>
        <w:t xml:space="preserve"> is </w:t>
      </w:r>
      <w:r w:rsidR="00F34463" w:rsidRPr="00B10A2D">
        <w:rPr>
          <w:rFonts w:ascii="Calibri" w:eastAsia="Times New Roman" w:hAnsi="Calibri" w:cs="Times New Roman"/>
        </w:rPr>
        <w:t xml:space="preserve">identified by juries as being </w:t>
      </w:r>
      <w:r w:rsidRPr="00B10A2D">
        <w:rPr>
          <w:rFonts w:ascii="Calibri" w:eastAsia="Times New Roman" w:hAnsi="Calibri" w:cs="Times New Roman"/>
        </w:rPr>
        <w:t>either ‘not recognised’ or ‘not appreciated’ by officers attending an incident</w:t>
      </w:r>
      <w:r w:rsidR="008F0527" w:rsidRPr="00B10A2D">
        <w:rPr>
          <w:rFonts w:ascii="Calibri" w:eastAsia="Times New Roman" w:hAnsi="Calibri" w:cs="Times New Roman"/>
        </w:rPr>
        <w:t>, echoing the observations above with regards to a failure to identify ED</w:t>
      </w:r>
      <w:r w:rsidRPr="00B10A2D">
        <w:rPr>
          <w:rFonts w:ascii="Calibri" w:eastAsia="Times New Roman" w:hAnsi="Calibri" w:cs="Times New Roman"/>
        </w:rPr>
        <w:t xml:space="preserve">. </w:t>
      </w:r>
      <w:r w:rsidR="00FF5778" w:rsidRPr="00B10A2D">
        <w:rPr>
          <w:rFonts w:cs="Times"/>
          <w:lang w:val="en-US"/>
        </w:rPr>
        <w:t>Literature on other cases of DAPC has identified that officers have not always adhered to guidance or protocol despite having received the requisite training (</w:t>
      </w:r>
      <w:r w:rsidR="00082C8A" w:rsidRPr="00B10A2D">
        <w:rPr>
          <w:rFonts w:cs="Times"/>
          <w:lang w:val="en-US"/>
        </w:rPr>
        <w:t>Baker</w:t>
      </w:r>
      <w:r w:rsidR="00FF5778" w:rsidRPr="00B10A2D">
        <w:rPr>
          <w:rFonts w:cs="Times"/>
          <w:lang w:val="en-US"/>
        </w:rPr>
        <w:t xml:space="preserve"> 2016a, </w:t>
      </w:r>
      <w:proofErr w:type="spellStart"/>
      <w:r w:rsidR="00FF5778" w:rsidRPr="00B10A2D">
        <w:rPr>
          <w:rFonts w:cs="Times"/>
          <w:lang w:val="en-US"/>
        </w:rPr>
        <w:t>Casale</w:t>
      </w:r>
      <w:proofErr w:type="spellEnd"/>
      <w:r w:rsidR="00FF5778" w:rsidRPr="00B10A2D">
        <w:rPr>
          <w:rFonts w:cs="Times"/>
          <w:lang w:val="en-US"/>
        </w:rPr>
        <w:t xml:space="preserve"> </w:t>
      </w:r>
      <w:r w:rsidR="00FF5778" w:rsidRPr="00B10A2D">
        <w:rPr>
          <w:rFonts w:cs="Times"/>
          <w:i/>
          <w:lang w:val="en-US"/>
        </w:rPr>
        <w:t>et al.</w:t>
      </w:r>
      <w:r w:rsidR="00FF5778" w:rsidRPr="00B10A2D">
        <w:rPr>
          <w:rFonts w:cs="Times"/>
          <w:lang w:val="en-US"/>
        </w:rPr>
        <w:t xml:space="preserve"> 2013, Coles and Shaw 2012). </w:t>
      </w:r>
    </w:p>
    <w:p w14:paraId="417A2F94" w14:textId="17F8AB49" w:rsidR="003A5AF2" w:rsidRPr="00B10A2D" w:rsidRDefault="00E4385F" w:rsidP="00266790">
      <w:pPr>
        <w:spacing w:after="0" w:line="360" w:lineRule="auto"/>
        <w:jc w:val="both"/>
        <w:rPr>
          <w:rFonts w:ascii="Calibri" w:eastAsia="Times New Roman" w:hAnsi="Calibri" w:cs="Calibri"/>
        </w:rPr>
      </w:pPr>
      <w:r w:rsidRPr="00B10A2D">
        <w:rPr>
          <w:rFonts w:ascii="Calibri" w:eastAsia="Times New Roman" w:hAnsi="Calibri" w:cs="Times New Roman"/>
        </w:rPr>
        <w:lastRenderedPageBreak/>
        <w:t xml:space="preserve">It should not necessarily be a surprise that juries therefore note police failure to adhere to training or protocols in this regard. </w:t>
      </w:r>
      <w:r w:rsidR="003A5AF2" w:rsidRPr="00B10A2D">
        <w:rPr>
          <w:rFonts w:ascii="Calibri" w:eastAsia="Times New Roman" w:hAnsi="Calibri" w:cs="Times New Roman"/>
        </w:rPr>
        <w:t xml:space="preserve">It may be that a qualification recording a lack of knowledge in some way legitimises the use of restraint. </w:t>
      </w:r>
      <w:r w:rsidR="003A5AF2" w:rsidRPr="00B10A2D">
        <w:rPr>
          <w:rFonts w:ascii="Calibri" w:eastAsia="Times New Roman" w:hAnsi="Calibri" w:cs="Calibri"/>
        </w:rPr>
        <w:t>The issue of ‘medical emergency’ is un</w:t>
      </w:r>
      <w:r w:rsidR="00FC6B23" w:rsidRPr="00B10A2D">
        <w:rPr>
          <w:rFonts w:ascii="Calibri" w:eastAsia="Times New Roman" w:hAnsi="Calibri" w:cs="Calibri"/>
        </w:rPr>
        <w:t>derlined in three</w:t>
      </w:r>
      <w:r w:rsidR="003A5AF2" w:rsidRPr="00B10A2D">
        <w:rPr>
          <w:rFonts w:ascii="Calibri" w:eastAsia="Times New Roman" w:hAnsi="Calibri" w:cs="Calibri"/>
        </w:rPr>
        <w:t xml:space="preserve"> cases, for example:</w:t>
      </w:r>
    </w:p>
    <w:p w14:paraId="07801450" w14:textId="77777777" w:rsidR="003A5AF2" w:rsidRPr="00B10A2D" w:rsidRDefault="003A5AF2" w:rsidP="00266790">
      <w:pPr>
        <w:spacing w:after="0" w:line="240" w:lineRule="auto"/>
        <w:jc w:val="both"/>
        <w:rPr>
          <w:rFonts w:ascii="Calibri" w:eastAsia="Times New Roman" w:hAnsi="Calibri" w:cs="Calibri"/>
        </w:rPr>
      </w:pPr>
    </w:p>
    <w:p w14:paraId="579808D8" w14:textId="77777777" w:rsidR="003A5AF2" w:rsidRPr="00B10A2D" w:rsidRDefault="003A5AF2" w:rsidP="00266790">
      <w:pPr>
        <w:spacing w:after="0" w:line="240" w:lineRule="auto"/>
        <w:ind w:left="284" w:right="284"/>
        <w:jc w:val="both"/>
        <w:rPr>
          <w:rFonts w:ascii="Calibri" w:eastAsia="Times New Roman" w:hAnsi="Calibri" w:cs="Calibri"/>
          <w:i/>
        </w:rPr>
      </w:pPr>
      <w:r w:rsidRPr="00B10A2D">
        <w:rPr>
          <w:rFonts w:ascii="Calibri" w:eastAsia="Times New Roman" w:hAnsi="Calibri" w:cs="Calibri"/>
          <w:b/>
        </w:rPr>
        <w:t>Case 33</w:t>
      </w:r>
      <w:r w:rsidRPr="00B10A2D">
        <w:rPr>
          <w:rFonts w:ascii="Calibri" w:eastAsia="Times New Roman" w:hAnsi="Calibri" w:cs="Calibri"/>
        </w:rPr>
        <w:t xml:space="preserve">: </w:t>
      </w:r>
      <w:r w:rsidRPr="00B10A2D">
        <w:rPr>
          <w:rFonts w:ascii="Calibri" w:eastAsia="Times New Roman" w:hAnsi="Calibri" w:cs="Calibri"/>
          <w:i/>
        </w:rPr>
        <w:t>‘There was an inability to recognise that [the deceased] was suffering from excited delirium, which is a medical emergency.’</w:t>
      </w:r>
    </w:p>
    <w:p w14:paraId="7E9820C1" w14:textId="77777777" w:rsidR="003A5AF2" w:rsidRPr="00B10A2D" w:rsidRDefault="003A5AF2" w:rsidP="00266790">
      <w:pPr>
        <w:spacing w:after="0" w:line="240" w:lineRule="auto"/>
        <w:jc w:val="both"/>
        <w:rPr>
          <w:rFonts w:ascii="Calibri" w:eastAsia="Times New Roman" w:hAnsi="Calibri" w:cs="Calibri"/>
        </w:rPr>
      </w:pPr>
    </w:p>
    <w:p w14:paraId="1ACB3E39" w14:textId="12039AF3" w:rsidR="00BC72CC" w:rsidRPr="00B10A2D" w:rsidRDefault="00F34463" w:rsidP="00266790">
      <w:pPr>
        <w:spacing w:after="0" w:line="360" w:lineRule="auto"/>
        <w:jc w:val="both"/>
        <w:rPr>
          <w:rFonts w:ascii="Calibri" w:eastAsia="Times New Roman" w:hAnsi="Calibri" w:cs="Calibri"/>
        </w:rPr>
      </w:pPr>
      <w:r w:rsidRPr="00B10A2D">
        <w:rPr>
          <w:rFonts w:ascii="Calibri" w:eastAsia="Times New Roman" w:hAnsi="Calibri" w:cs="Calibri"/>
        </w:rPr>
        <w:t>Juries chose to</w:t>
      </w:r>
      <w:r w:rsidR="008F0527" w:rsidRPr="00B10A2D">
        <w:rPr>
          <w:rFonts w:ascii="Calibri" w:eastAsia="Times New Roman" w:hAnsi="Calibri" w:cs="Calibri"/>
        </w:rPr>
        <w:t xml:space="preserve"> highlight</w:t>
      </w:r>
      <w:r w:rsidR="003A5AF2" w:rsidRPr="00B10A2D">
        <w:rPr>
          <w:rFonts w:ascii="Calibri" w:eastAsia="Times New Roman" w:hAnsi="Calibri" w:cs="Calibri"/>
        </w:rPr>
        <w:t xml:space="preserve"> failures of communication</w:t>
      </w:r>
      <w:r w:rsidRPr="00B10A2D">
        <w:rPr>
          <w:rFonts w:ascii="Calibri" w:eastAsia="Times New Roman" w:hAnsi="Calibri" w:cs="Calibri"/>
        </w:rPr>
        <w:t xml:space="preserve"> in five cases</w:t>
      </w:r>
      <w:r w:rsidR="00FC6B23" w:rsidRPr="00B10A2D">
        <w:rPr>
          <w:rFonts w:ascii="Calibri" w:eastAsia="Times New Roman" w:hAnsi="Calibri" w:cs="Calibri"/>
        </w:rPr>
        <w:t xml:space="preserve"> between police at the scene, </w:t>
      </w:r>
      <w:r w:rsidR="00BC72CC" w:rsidRPr="00B10A2D">
        <w:rPr>
          <w:rFonts w:ascii="Calibri" w:eastAsia="Times New Roman" w:hAnsi="Calibri" w:cs="Calibri"/>
        </w:rPr>
        <w:t>as illustrated by the following statement:</w:t>
      </w:r>
    </w:p>
    <w:p w14:paraId="7AADFC04" w14:textId="77777777" w:rsidR="00CD7417" w:rsidRPr="00B10A2D" w:rsidRDefault="00CD7417" w:rsidP="00266790">
      <w:pPr>
        <w:spacing w:after="0" w:line="360" w:lineRule="auto"/>
        <w:jc w:val="both"/>
        <w:rPr>
          <w:rFonts w:ascii="Calibri" w:eastAsia="Times New Roman" w:hAnsi="Calibri" w:cs="Calibri"/>
        </w:rPr>
      </w:pPr>
    </w:p>
    <w:p w14:paraId="021ED62B" w14:textId="6F377C20" w:rsidR="00BC72CC" w:rsidRPr="00B10A2D" w:rsidRDefault="00BC72CC" w:rsidP="00BC72CC">
      <w:pPr>
        <w:spacing w:after="0" w:line="360" w:lineRule="auto"/>
        <w:ind w:left="227" w:right="-227"/>
        <w:jc w:val="both"/>
        <w:rPr>
          <w:rFonts w:ascii="Calibri" w:eastAsia="Times New Roman" w:hAnsi="Calibri" w:cs="Calibri"/>
        </w:rPr>
      </w:pPr>
      <w:r w:rsidRPr="00B10A2D">
        <w:rPr>
          <w:rFonts w:ascii="Calibri" w:eastAsia="Times New Roman" w:hAnsi="Calibri" w:cs="Calibri"/>
          <w:b/>
        </w:rPr>
        <w:t>Case 66</w:t>
      </w:r>
      <w:r w:rsidRPr="00B10A2D">
        <w:rPr>
          <w:rFonts w:ascii="Calibri" w:eastAsia="Times New Roman" w:hAnsi="Calibri" w:cs="Calibri"/>
        </w:rPr>
        <w:t xml:space="preserve">: </w:t>
      </w:r>
      <w:r w:rsidRPr="00B10A2D">
        <w:rPr>
          <w:rFonts w:ascii="Calibri" w:eastAsia="Times New Roman" w:hAnsi="Calibri" w:cs="Calibri"/>
          <w:i/>
        </w:rPr>
        <w:t>‘The only communication amongst the police officers were the words “break his arm”.’</w:t>
      </w:r>
    </w:p>
    <w:p w14:paraId="1F4234EA" w14:textId="77777777" w:rsidR="00BC72CC" w:rsidRPr="00B10A2D" w:rsidRDefault="00BC72CC" w:rsidP="00266790">
      <w:pPr>
        <w:spacing w:after="0" w:line="360" w:lineRule="auto"/>
        <w:jc w:val="both"/>
        <w:rPr>
          <w:rFonts w:ascii="Calibri" w:eastAsia="Times New Roman" w:hAnsi="Calibri" w:cs="Calibri"/>
        </w:rPr>
      </w:pPr>
    </w:p>
    <w:p w14:paraId="71DED51C" w14:textId="6781411D" w:rsidR="00FC6B23" w:rsidRPr="00B10A2D" w:rsidRDefault="00BC72CC" w:rsidP="00266790">
      <w:pPr>
        <w:spacing w:after="0" w:line="360" w:lineRule="auto"/>
        <w:jc w:val="both"/>
        <w:rPr>
          <w:rFonts w:ascii="Calibri" w:eastAsia="Times New Roman" w:hAnsi="Calibri" w:cs="Calibri"/>
        </w:rPr>
      </w:pPr>
      <w:r w:rsidRPr="00B10A2D">
        <w:rPr>
          <w:rFonts w:ascii="Calibri" w:eastAsia="Times New Roman" w:hAnsi="Calibri" w:cs="Calibri"/>
        </w:rPr>
        <w:t>Juries are also critical of the lack of communication</w:t>
      </w:r>
      <w:r w:rsidR="00FC6B23" w:rsidRPr="00B10A2D">
        <w:rPr>
          <w:rFonts w:ascii="Calibri" w:eastAsia="Times New Roman" w:hAnsi="Calibri" w:cs="Calibri"/>
        </w:rPr>
        <w:t xml:space="preserve"> between police and medical </w:t>
      </w:r>
      <w:r w:rsidR="003D6128" w:rsidRPr="00B10A2D">
        <w:rPr>
          <w:rFonts w:ascii="Calibri" w:eastAsia="Times New Roman" w:hAnsi="Calibri" w:cs="Calibri"/>
        </w:rPr>
        <w:t>teams</w:t>
      </w:r>
      <w:r w:rsidR="00FC6B23" w:rsidRPr="00B10A2D">
        <w:rPr>
          <w:rFonts w:ascii="Calibri" w:eastAsia="Times New Roman" w:hAnsi="Calibri" w:cs="Calibri"/>
        </w:rPr>
        <w:t>, for example:</w:t>
      </w:r>
    </w:p>
    <w:p w14:paraId="6729764D" w14:textId="77777777" w:rsidR="007F75C2" w:rsidRPr="00B10A2D" w:rsidRDefault="007F75C2" w:rsidP="00CD386E">
      <w:pPr>
        <w:spacing w:after="0" w:line="360" w:lineRule="auto"/>
        <w:ind w:left="227" w:right="227"/>
        <w:jc w:val="both"/>
        <w:rPr>
          <w:rFonts w:ascii="Calibri" w:eastAsia="Times New Roman" w:hAnsi="Calibri" w:cs="Calibri"/>
          <w:b/>
        </w:rPr>
      </w:pPr>
    </w:p>
    <w:p w14:paraId="10A3F2A5" w14:textId="50B24146" w:rsidR="00FC6B23" w:rsidRPr="00B10A2D" w:rsidRDefault="00FC6B23" w:rsidP="00AE7B14">
      <w:pPr>
        <w:spacing w:after="0" w:line="240" w:lineRule="auto"/>
        <w:ind w:left="227" w:right="227"/>
        <w:jc w:val="both"/>
        <w:rPr>
          <w:rFonts w:ascii="Calibri" w:eastAsia="Times New Roman" w:hAnsi="Calibri" w:cs="Calibri"/>
          <w:i/>
        </w:rPr>
      </w:pPr>
      <w:r w:rsidRPr="00B10A2D">
        <w:rPr>
          <w:rFonts w:ascii="Calibri" w:eastAsia="Times New Roman" w:hAnsi="Calibri" w:cs="Calibri"/>
          <w:b/>
        </w:rPr>
        <w:t>Case 32</w:t>
      </w:r>
      <w:r w:rsidRPr="00B10A2D">
        <w:rPr>
          <w:rFonts w:ascii="Calibri" w:eastAsia="Times New Roman" w:hAnsi="Calibri" w:cs="Calibri"/>
        </w:rPr>
        <w:t xml:space="preserve">: </w:t>
      </w:r>
      <w:r w:rsidRPr="00B10A2D">
        <w:rPr>
          <w:rFonts w:ascii="Calibri" w:eastAsia="Times New Roman" w:hAnsi="Calibri" w:cs="Calibri"/>
          <w:i/>
        </w:rPr>
        <w:t xml:space="preserve">Question ‘Were adequate instructions give to police staff by the doctor in respect of the care and observations of [the deceased] both before and after an ambulance was called?’ </w:t>
      </w:r>
    </w:p>
    <w:p w14:paraId="3AF128AD" w14:textId="0AE3089D" w:rsidR="00FC6B23" w:rsidRPr="00B10A2D" w:rsidRDefault="00FC6B23" w:rsidP="00AE7B14">
      <w:pPr>
        <w:spacing w:after="0" w:line="240" w:lineRule="auto"/>
        <w:ind w:left="227"/>
        <w:jc w:val="both"/>
        <w:rPr>
          <w:rFonts w:ascii="Calibri" w:eastAsia="Times New Roman" w:hAnsi="Calibri" w:cs="Calibri"/>
          <w:i/>
        </w:rPr>
      </w:pPr>
      <w:r w:rsidRPr="00B10A2D">
        <w:rPr>
          <w:rFonts w:ascii="Calibri" w:eastAsia="Times New Roman" w:hAnsi="Calibri" w:cs="Calibri"/>
          <w:i/>
        </w:rPr>
        <w:t xml:space="preserve">Answer ‘No, the instructions were insufficiently clear.’ </w:t>
      </w:r>
    </w:p>
    <w:p w14:paraId="7E8F3FFF" w14:textId="77777777" w:rsidR="008F0527" w:rsidRPr="00B10A2D" w:rsidRDefault="008F0527" w:rsidP="00CD386E">
      <w:pPr>
        <w:spacing w:after="0" w:line="360" w:lineRule="auto"/>
        <w:ind w:left="227"/>
        <w:jc w:val="both"/>
        <w:rPr>
          <w:rFonts w:ascii="Calibri" w:eastAsia="Times New Roman" w:hAnsi="Calibri" w:cs="Calibri"/>
          <w:i/>
        </w:rPr>
      </w:pPr>
    </w:p>
    <w:p w14:paraId="70AB8468" w14:textId="7545138D" w:rsidR="003A5AF2" w:rsidRPr="00B10A2D" w:rsidRDefault="008F0527" w:rsidP="00682874">
      <w:pPr>
        <w:spacing w:after="0" w:line="360" w:lineRule="auto"/>
        <w:jc w:val="both"/>
        <w:rPr>
          <w:rFonts w:ascii="Calibri" w:eastAsia="Times New Roman" w:hAnsi="Calibri" w:cs="Calibri"/>
        </w:rPr>
      </w:pPr>
      <w:r w:rsidRPr="00B10A2D">
        <w:rPr>
          <w:rFonts w:ascii="Calibri" w:eastAsia="Times New Roman" w:hAnsi="Calibri" w:cs="Calibri"/>
        </w:rPr>
        <w:t xml:space="preserve">Multi-agency working when responding </w:t>
      </w:r>
      <w:r w:rsidR="00CD7417" w:rsidRPr="00B10A2D">
        <w:rPr>
          <w:rFonts w:ascii="Calibri" w:eastAsia="Times New Roman" w:hAnsi="Calibri" w:cs="Calibri"/>
        </w:rPr>
        <w:t>to medical emergencies is key to</w:t>
      </w:r>
      <w:r w:rsidRPr="00B10A2D">
        <w:rPr>
          <w:rFonts w:ascii="Calibri" w:eastAsia="Times New Roman" w:hAnsi="Calibri" w:cs="Calibri"/>
        </w:rPr>
        <w:t xml:space="preserve"> </w:t>
      </w:r>
      <w:r w:rsidR="002A2849" w:rsidRPr="00B10A2D">
        <w:rPr>
          <w:rFonts w:ascii="Calibri" w:eastAsia="Times New Roman" w:hAnsi="Calibri" w:cs="Calibri"/>
        </w:rPr>
        <w:t>managing</w:t>
      </w:r>
      <w:r w:rsidRPr="00B10A2D">
        <w:rPr>
          <w:rFonts w:ascii="Calibri" w:eastAsia="Times New Roman" w:hAnsi="Calibri" w:cs="Calibri"/>
        </w:rPr>
        <w:t xml:space="preserve"> complex cases, and thus communication is paramount between agencies when it comes to the prevention of death (</w:t>
      </w:r>
      <w:r w:rsidR="00B10A2D" w:rsidRPr="00B10A2D">
        <w:rPr>
          <w:rFonts w:ascii="Calibri" w:eastAsia="Times New Roman" w:hAnsi="Calibri" w:cs="Calibri"/>
        </w:rPr>
        <w:t>Baker</w:t>
      </w:r>
      <w:r w:rsidR="0066576B" w:rsidRPr="00B10A2D">
        <w:rPr>
          <w:rFonts w:ascii="Calibri" w:eastAsia="Times New Roman" w:hAnsi="Calibri" w:cs="Calibri"/>
        </w:rPr>
        <w:t xml:space="preserve"> 2016a</w:t>
      </w:r>
      <w:r w:rsidR="003C097E" w:rsidRPr="00B10A2D">
        <w:rPr>
          <w:rFonts w:ascii="Calibri" w:eastAsia="Times New Roman" w:hAnsi="Calibri" w:cs="Calibri"/>
        </w:rPr>
        <w:t xml:space="preserve">, </w:t>
      </w:r>
      <w:proofErr w:type="spellStart"/>
      <w:r w:rsidR="003C097E" w:rsidRPr="00B10A2D">
        <w:rPr>
          <w:rFonts w:ascii="Calibri" w:eastAsia="Times New Roman" w:hAnsi="Calibri" w:cs="Calibri"/>
        </w:rPr>
        <w:t>Vilke</w:t>
      </w:r>
      <w:proofErr w:type="spellEnd"/>
      <w:r w:rsidR="003C097E" w:rsidRPr="00B10A2D">
        <w:rPr>
          <w:rFonts w:ascii="Calibri" w:eastAsia="Times New Roman" w:hAnsi="Calibri" w:cs="Calibri"/>
        </w:rPr>
        <w:t xml:space="preserve"> </w:t>
      </w:r>
      <w:r w:rsidR="003C097E" w:rsidRPr="00B10A2D">
        <w:rPr>
          <w:rFonts w:ascii="Calibri" w:eastAsia="Times New Roman" w:hAnsi="Calibri" w:cs="Calibri"/>
          <w:i/>
        </w:rPr>
        <w:t>et al.</w:t>
      </w:r>
      <w:r w:rsidR="003C097E" w:rsidRPr="00B10A2D">
        <w:rPr>
          <w:rFonts w:ascii="Calibri" w:eastAsia="Times New Roman" w:hAnsi="Calibri" w:cs="Calibri"/>
        </w:rPr>
        <w:t xml:space="preserve"> 2012</w:t>
      </w:r>
      <w:r w:rsidRPr="00B10A2D">
        <w:rPr>
          <w:rFonts w:ascii="Calibri" w:eastAsia="Times New Roman" w:hAnsi="Calibri" w:cs="Calibri"/>
        </w:rPr>
        <w:t>). If de-esca</w:t>
      </w:r>
      <w:r w:rsidR="00BC72CC" w:rsidRPr="00B10A2D">
        <w:rPr>
          <w:rFonts w:ascii="Calibri" w:eastAsia="Times New Roman" w:hAnsi="Calibri" w:cs="Calibri"/>
        </w:rPr>
        <w:t xml:space="preserve">lating the situation is held to be central to preserving life in cases of ED (see, for example </w:t>
      </w:r>
      <w:r w:rsidR="00CD7417" w:rsidRPr="00B10A2D">
        <w:rPr>
          <w:rFonts w:ascii="Calibri" w:eastAsia="Times New Roman" w:hAnsi="Calibri" w:cs="Calibri"/>
        </w:rPr>
        <w:t>RCEM</w:t>
      </w:r>
      <w:r w:rsidR="0052444C" w:rsidRPr="00B10A2D">
        <w:rPr>
          <w:rFonts w:ascii="Calibri" w:eastAsia="Times New Roman" w:hAnsi="Calibri" w:cs="Calibri"/>
        </w:rPr>
        <w:t>,</w:t>
      </w:r>
      <w:r w:rsidR="00CD7417" w:rsidRPr="00B10A2D">
        <w:rPr>
          <w:rFonts w:ascii="Calibri" w:eastAsia="Times New Roman" w:hAnsi="Calibri" w:cs="Calibri"/>
        </w:rPr>
        <w:t xml:space="preserve"> 2016, </w:t>
      </w:r>
      <w:r w:rsidR="003C097E" w:rsidRPr="00B10A2D">
        <w:rPr>
          <w:rFonts w:ascii="Calibri" w:eastAsia="Times New Roman" w:hAnsi="Calibri" w:cs="Calibri"/>
        </w:rPr>
        <w:t>Paquette</w:t>
      </w:r>
      <w:r w:rsidR="0052444C" w:rsidRPr="00B10A2D">
        <w:rPr>
          <w:rFonts w:ascii="Calibri" w:eastAsia="Times New Roman" w:hAnsi="Calibri" w:cs="Calibri"/>
        </w:rPr>
        <w:t>,</w:t>
      </w:r>
      <w:r w:rsidR="003C097E" w:rsidRPr="00B10A2D">
        <w:rPr>
          <w:rFonts w:ascii="Calibri" w:eastAsia="Times New Roman" w:hAnsi="Calibri" w:cs="Calibri"/>
        </w:rPr>
        <w:t xml:space="preserve"> 2003</w:t>
      </w:r>
      <w:r w:rsidR="002A2849" w:rsidRPr="00B10A2D">
        <w:rPr>
          <w:rFonts w:ascii="Calibri" w:eastAsia="Times New Roman" w:hAnsi="Calibri" w:cs="Calibri"/>
        </w:rPr>
        <w:t>) then communication is fundamentally important in establishing how de-escal</w:t>
      </w:r>
      <w:r w:rsidR="00CD7417" w:rsidRPr="00B10A2D">
        <w:rPr>
          <w:rFonts w:ascii="Calibri" w:eastAsia="Times New Roman" w:hAnsi="Calibri" w:cs="Calibri"/>
        </w:rPr>
        <w:t xml:space="preserve">ation is to be managed in </w:t>
      </w:r>
      <w:r w:rsidR="002A2849" w:rsidRPr="00B10A2D">
        <w:rPr>
          <w:rFonts w:ascii="Calibri" w:eastAsia="Times New Roman" w:hAnsi="Calibri" w:cs="Calibri"/>
        </w:rPr>
        <w:t>crisis situation</w:t>
      </w:r>
      <w:r w:rsidR="00CD7417" w:rsidRPr="00B10A2D">
        <w:rPr>
          <w:rFonts w:ascii="Calibri" w:eastAsia="Times New Roman" w:hAnsi="Calibri" w:cs="Calibri"/>
        </w:rPr>
        <w:t>s</w:t>
      </w:r>
      <w:r w:rsidR="002A2849" w:rsidRPr="00B10A2D">
        <w:rPr>
          <w:rFonts w:ascii="Calibri" w:eastAsia="Times New Roman" w:hAnsi="Calibri" w:cs="Calibri"/>
        </w:rPr>
        <w:t xml:space="preserve">. </w:t>
      </w:r>
    </w:p>
    <w:p w14:paraId="6D6C7DFE" w14:textId="77777777" w:rsidR="00CB1EEE" w:rsidRPr="00B10A2D" w:rsidRDefault="00CB1EEE" w:rsidP="00266790">
      <w:pPr>
        <w:spacing w:after="0" w:line="360" w:lineRule="auto"/>
        <w:jc w:val="both"/>
        <w:rPr>
          <w:rFonts w:ascii="Calibri" w:eastAsia="Times New Roman" w:hAnsi="Calibri" w:cs="Calibri"/>
          <w:b/>
          <w:i/>
        </w:rPr>
      </w:pPr>
    </w:p>
    <w:p w14:paraId="7EFF8EC6" w14:textId="2215B56E" w:rsidR="002A2849" w:rsidRPr="00B10A2D" w:rsidRDefault="002A2849" w:rsidP="00266790">
      <w:pPr>
        <w:spacing w:after="0" w:line="360" w:lineRule="auto"/>
        <w:jc w:val="both"/>
        <w:rPr>
          <w:rFonts w:ascii="Calibri" w:eastAsia="Times New Roman" w:hAnsi="Calibri" w:cs="Calibri"/>
          <w:b/>
          <w:i/>
        </w:rPr>
      </w:pPr>
      <w:r w:rsidRPr="00B10A2D">
        <w:rPr>
          <w:rFonts w:ascii="Calibri" w:eastAsia="Times New Roman" w:hAnsi="Calibri" w:cs="Calibri"/>
          <w:b/>
          <w:i/>
        </w:rPr>
        <w:t xml:space="preserve">How useful is ED as a term? </w:t>
      </w:r>
    </w:p>
    <w:p w14:paraId="2D153818" w14:textId="77777777" w:rsidR="002A2849" w:rsidRPr="00B10A2D" w:rsidRDefault="002A2849" w:rsidP="00266790">
      <w:pPr>
        <w:spacing w:after="0" w:line="360" w:lineRule="auto"/>
        <w:jc w:val="both"/>
        <w:rPr>
          <w:rFonts w:ascii="Calibri" w:eastAsia="Times New Roman" w:hAnsi="Calibri" w:cs="Calibri"/>
        </w:rPr>
      </w:pPr>
    </w:p>
    <w:p w14:paraId="4EE18683" w14:textId="47DC479E" w:rsidR="003A5AF2" w:rsidRPr="00B10A2D" w:rsidRDefault="003A5AF2" w:rsidP="00266790">
      <w:pPr>
        <w:spacing w:after="0" w:line="360" w:lineRule="auto"/>
        <w:jc w:val="both"/>
        <w:rPr>
          <w:rFonts w:ascii="Calibri" w:eastAsia="Times New Roman" w:hAnsi="Calibri" w:cs="Calibri"/>
        </w:rPr>
      </w:pPr>
      <w:r w:rsidRPr="00B10A2D">
        <w:rPr>
          <w:rFonts w:ascii="Calibri" w:eastAsia="Times New Roman" w:hAnsi="Calibri" w:cs="Calibri"/>
        </w:rPr>
        <w:t xml:space="preserve">Whilst it is evident that the medical and scientific community cannot agree on whether </w:t>
      </w:r>
      <w:r w:rsidR="00301591" w:rsidRPr="00B10A2D">
        <w:rPr>
          <w:rFonts w:ascii="Calibri" w:eastAsia="Times New Roman" w:hAnsi="Calibri" w:cs="Calibri"/>
        </w:rPr>
        <w:t>ED</w:t>
      </w:r>
      <w:r w:rsidRPr="00B10A2D">
        <w:rPr>
          <w:rFonts w:ascii="Calibri" w:eastAsia="Times New Roman" w:hAnsi="Calibri" w:cs="Calibri"/>
        </w:rPr>
        <w:t xml:space="preserve"> is a medical condition, it seems clear that there is agreement that there is some type of syndrome that encapsulates a combination of factors. Thus there are numerous terms for </w:t>
      </w:r>
      <w:r w:rsidR="00301591" w:rsidRPr="00B10A2D">
        <w:rPr>
          <w:rFonts w:ascii="Calibri" w:eastAsia="Times New Roman" w:hAnsi="Calibri" w:cs="Calibri"/>
        </w:rPr>
        <w:t>ED</w:t>
      </w:r>
      <w:r w:rsidRPr="00B10A2D">
        <w:rPr>
          <w:rFonts w:ascii="Calibri" w:eastAsia="Times New Roman" w:hAnsi="Calibri" w:cs="Calibri"/>
        </w:rPr>
        <w:t xml:space="preserve"> in addition to a potential ‘constellation of symptoms’ (</w:t>
      </w:r>
      <w:r w:rsidR="00257E31" w:rsidRPr="00B10A2D">
        <w:rPr>
          <w:rFonts w:ascii="Calibri" w:eastAsia="Times New Roman" w:hAnsi="Calibri" w:cs="Calibri"/>
        </w:rPr>
        <w:t xml:space="preserve">Hall </w:t>
      </w:r>
      <w:r w:rsidR="00257E31" w:rsidRPr="00B10A2D">
        <w:rPr>
          <w:rFonts w:ascii="Calibri" w:eastAsia="Times New Roman" w:hAnsi="Calibri" w:cs="Calibri"/>
          <w:i/>
        </w:rPr>
        <w:t>et al.</w:t>
      </w:r>
      <w:r w:rsidR="00257E31" w:rsidRPr="00B10A2D">
        <w:rPr>
          <w:rFonts w:ascii="Calibri" w:eastAsia="Times New Roman" w:hAnsi="Calibri" w:cs="Calibri"/>
        </w:rPr>
        <w:t xml:space="preserve"> 2013, </w:t>
      </w:r>
      <w:r w:rsidRPr="00B10A2D">
        <w:rPr>
          <w:rFonts w:ascii="Calibri" w:eastAsia="Times New Roman" w:hAnsi="Calibri" w:cs="Calibri"/>
        </w:rPr>
        <w:t>Storey</w:t>
      </w:r>
      <w:r w:rsidR="0052444C" w:rsidRPr="00B10A2D">
        <w:rPr>
          <w:rFonts w:ascii="Calibri" w:eastAsia="Times New Roman" w:hAnsi="Calibri" w:cs="Calibri"/>
        </w:rPr>
        <w:t>,</w:t>
      </w:r>
      <w:r w:rsidRPr="00B10A2D">
        <w:rPr>
          <w:rFonts w:ascii="Calibri" w:eastAsia="Times New Roman" w:hAnsi="Calibri" w:cs="Calibri"/>
        </w:rPr>
        <w:t xml:space="preserve"> 2012, </w:t>
      </w:r>
      <w:proofErr w:type="spellStart"/>
      <w:r w:rsidRPr="00B10A2D">
        <w:rPr>
          <w:rFonts w:ascii="Calibri" w:eastAsia="Times New Roman" w:hAnsi="Calibri" w:cs="Calibri"/>
        </w:rPr>
        <w:t>Vilke</w:t>
      </w:r>
      <w:proofErr w:type="spellEnd"/>
      <w:r w:rsidRPr="00B10A2D">
        <w:rPr>
          <w:rFonts w:ascii="Calibri" w:eastAsia="Times New Roman" w:hAnsi="Calibri" w:cs="Calibri"/>
        </w:rPr>
        <w:t xml:space="preserve"> </w:t>
      </w:r>
      <w:r w:rsidRPr="00B10A2D">
        <w:rPr>
          <w:rFonts w:ascii="Calibri" w:eastAsia="Times New Roman" w:hAnsi="Calibri" w:cs="Calibri"/>
          <w:i/>
        </w:rPr>
        <w:t>et al</w:t>
      </w:r>
      <w:r w:rsidR="00415643" w:rsidRPr="00B10A2D">
        <w:rPr>
          <w:rFonts w:ascii="Calibri" w:eastAsia="Times New Roman" w:hAnsi="Calibri" w:cs="Calibri"/>
        </w:rPr>
        <w:t>. 2012, NIJ 2011</w:t>
      </w:r>
      <w:r w:rsidRPr="00B10A2D">
        <w:rPr>
          <w:rFonts w:ascii="Calibri" w:eastAsia="Times New Roman" w:hAnsi="Calibri" w:cs="Calibri"/>
        </w:rPr>
        <w:t xml:space="preserve">). This appears to echo the research of Langer </w:t>
      </w:r>
      <w:r w:rsidRPr="00B10A2D">
        <w:rPr>
          <w:rFonts w:ascii="Calibri" w:eastAsia="Times New Roman" w:hAnsi="Calibri" w:cs="Calibri"/>
          <w:i/>
        </w:rPr>
        <w:t>et al.</w:t>
      </w:r>
      <w:r w:rsidRPr="00B10A2D">
        <w:rPr>
          <w:rFonts w:ascii="Calibri" w:eastAsia="Times New Roman" w:hAnsi="Calibri" w:cs="Calibri"/>
        </w:rPr>
        <w:t xml:space="preserve"> (2011: 150) who noted that the medico-scientific discourse that existed in inquests tended to aim: </w:t>
      </w:r>
      <w:r w:rsidRPr="00B10A2D">
        <w:t>‘to separate human states into distinct illnesses that were due to well-defined causes.’</w:t>
      </w:r>
      <w:r w:rsidR="00301591" w:rsidRPr="00B10A2D">
        <w:t xml:space="preserve"> </w:t>
      </w:r>
    </w:p>
    <w:p w14:paraId="3CF22F80" w14:textId="77777777" w:rsidR="003A5AF2" w:rsidRPr="00B10A2D" w:rsidRDefault="003A5AF2" w:rsidP="00266790">
      <w:pPr>
        <w:spacing w:after="0" w:line="360" w:lineRule="auto"/>
        <w:jc w:val="both"/>
        <w:rPr>
          <w:rFonts w:ascii="Calibri" w:eastAsia="Times New Roman" w:hAnsi="Calibri" w:cs="Calibri"/>
        </w:rPr>
      </w:pPr>
    </w:p>
    <w:p w14:paraId="3ECFBE59" w14:textId="47FF4015" w:rsidR="00DD2174" w:rsidRPr="00B10A2D" w:rsidRDefault="003A5AF2" w:rsidP="00DD2174">
      <w:pPr>
        <w:spacing w:after="0" w:line="360" w:lineRule="auto"/>
        <w:jc w:val="both"/>
        <w:rPr>
          <w:rFonts w:ascii="Calibri" w:eastAsia="Times New Roman" w:hAnsi="Calibri" w:cs="Calibri"/>
        </w:rPr>
      </w:pPr>
      <w:r w:rsidRPr="00B10A2D">
        <w:rPr>
          <w:rFonts w:ascii="Calibri" w:eastAsia="Times New Roman" w:hAnsi="Calibri" w:cs="Calibri"/>
        </w:rPr>
        <w:t xml:space="preserve">The difficulty in establishing causes of death in cases of DAPC has been previously noted. One thread of agreement in the literature on </w:t>
      </w:r>
      <w:r w:rsidR="00FB52D9" w:rsidRPr="00B10A2D">
        <w:rPr>
          <w:rFonts w:ascii="Calibri" w:eastAsia="Times New Roman" w:hAnsi="Calibri" w:cs="Calibri"/>
        </w:rPr>
        <w:t xml:space="preserve">deaths after </w:t>
      </w:r>
      <w:r w:rsidR="00301591" w:rsidRPr="00B10A2D">
        <w:rPr>
          <w:rFonts w:ascii="Calibri" w:eastAsia="Times New Roman" w:hAnsi="Calibri" w:cs="Calibri"/>
        </w:rPr>
        <w:t>ED</w:t>
      </w:r>
      <w:r w:rsidRPr="00B10A2D">
        <w:rPr>
          <w:rFonts w:ascii="Calibri" w:eastAsia="Times New Roman" w:hAnsi="Calibri" w:cs="Calibri"/>
        </w:rPr>
        <w:t xml:space="preserve"> is that a single factor can se</w:t>
      </w:r>
      <w:r w:rsidR="0066576B" w:rsidRPr="00B10A2D">
        <w:rPr>
          <w:rFonts w:ascii="Calibri" w:eastAsia="Times New Roman" w:hAnsi="Calibri" w:cs="Calibri"/>
        </w:rPr>
        <w:t xml:space="preserve">ldom be attributed to </w:t>
      </w:r>
      <w:r w:rsidR="00F34463" w:rsidRPr="00B10A2D">
        <w:rPr>
          <w:rFonts w:ascii="Calibri" w:eastAsia="Times New Roman" w:hAnsi="Calibri" w:cs="Calibri"/>
        </w:rPr>
        <w:lastRenderedPageBreak/>
        <w:t>such</w:t>
      </w:r>
      <w:r w:rsidR="0066576B" w:rsidRPr="00B10A2D">
        <w:rPr>
          <w:rFonts w:ascii="Calibri" w:eastAsia="Times New Roman" w:hAnsi="Calibri" w:cs="Calibri"/>
        </w:rPr>
        <w:t xml:space="preserve"> death</w:t>
      </w:r>
      <w:r w:rsidR="00F34463" w:rsidRPr="00B10A2D">
        <w:rPr>
          <w:rFonts w:ascii="Calibri" w:eastAsia="Times New Roman" w:hAnsi="Calibri" w:cs="Calibri"/>
        </w:rPr>
        <w:t>s</w:t>
      </w:r>
      <w:r w:rsidR="0066576B" w:rsidRPr="00B10A2D">
        <w:rPr>
          <w:rFonts w:ascii="Calibri" w:eastAsia="Times New Roman" w:hAnsi="Calibri" w:cs="Calibri"/>
        </w:rPr>
        <w:t>, underscoring</w:t>
      </w:r>
      <w:r w:rsidRPr="00B10A2D">
        <w:rPr>
          <w:rFonts w:ascii="Calibri" w:eastAsia="Times New Roman" w:hAnsi="Calibri" w:cs="Calibri"/>
        </w:rPr>
        <w:t xml:space="preserve"> the complexity of these cases. </w:t>
      </w:r>
      <w:r w:rsidR="00707725" w:rsidRPr="00B10A2D">
        <w:rPr>
          <w:rFonts w:ascii="Calibri" w:eastAsia="Times New Roman" w:hAnsi="Calibri" w:cs="Calibri"/>
        </w:rPr>
        <w:t>Highlighting</w:t>
      </w:r>
      <w:r w:rsidRPr="00B10A2D">
        <w:rPr>
          <w:rFonts w:ascii="Calibri" w:eastAsia="Times New Roman" w:hAnsi="Calibri" w:cs="Calibri"/>
        </w:rPr>
        <w:t xml:space="preserve"> particular conditions may, at least partially, enable a case to be explained primarily on the basis of that condition. If the physical or medical characteristics of the deceased can be identified as being causal in their </w:t>
      </w:r>
      <w:r w:rsidR="002A2849" w:rsidRPr="00B10A2D">
        <w:rPr>
          <w:rFonts w:ascii="Calibri" w:eastAsia="Times New Roman" w:hAnsi="Calibri" w:cs="Calibri"/>
        </w:rPr>
        <w:t>death</w:t>
      </w:r>
      <w:r w:rsidRPr="00B10A2D">
        <w:rPr>
          <w:rFonts w:ascii="Calibri" w:eastAsia="Times New Roman" w:hAnsi="Calibri" w:cs="Calibri"/>
        </w:rPr>
        <w:t>, then to some degree this may deflect attention from the actions or omissions of organisations involved</w:t>
      </w:r>
      <w:r w:rsidR="00707725" w:rsidRPr="00B10A2D">
        <w:rPr>
          <w:rFonts w:ascii="Calibri" w:eastAsia="Times New Roman" w:hAnsi="Calibri" w:cs="Calibri"/>
        </w:rPr>
        <w:t xml:space="preserve"> (see, for examp</w:t>
      </w:r>
      <w:r w:rsidR="00F76AA8" w:rsidRPr="00B10A2D">
        <w:rPr>
          <w:rFonts w:ascii="Calibri" w:eastAsia="Times New Roman" w:hAnsi="Calibri" w:cs="Calibri"/>
        </w:rPr>
        <w:t xml:space="preserve">le </w:t>
      </w:r>
      <w:r w:rsidR="00B10A2D" w:rsidRPr="00B10A2D">
        <w:rPr>
          <w:rFonts w:ascii="Calibri" w:eastAsia="Times New Roman" w:hAnsi="Calibri" w:cs="Calibri"/>
        </w:rPr>
        <w:t>Baker</w:t>
      </w:r>
      <w:r w:rsidR="0052444C" w:rsidRPr="00B10A2D">
        <w:rPr>
          <w:rFonts w:ascii="Calibri" w:eastAsia="Times New Roman" w:hAnsi="Calibri" w:cs="Calibri"/>
        </w:rPr>
        <w:t>,</w:t>
      </w:r>
      <w:r w:rsidR="004B11CA" w:rsidRPr="00B10A2D">
        <w:rPr>
          <w:rFonts w:ascii="Calibri" w:eastAsia="Times New Roman" w:hAnsi="Calibri" w:cs="Calibri"/>
        </w:rPr>
        <w:t xml:space="preserve"> 2016a</w:t>
      </w:r>
      <w:r w:rsidR="00F76AA8" w:rsidRPr="00B10A2D">
        <w:rPr>
          <w:rFonts w:ascii="Calibri" w:eastAsia="Times New Roman" w:hAnsi="Calibri" w:cs="Calibri"/>
        </w:rPr>
        <w:t xml:space="preserve">, </w:t>
      </w:r>
      <w:proofErr w:type="spellStart"/>
      <w:r w:rsidR="00F76AA8" w:rsidRPr="00B10A2D">
        <w:rPr>
          <w:rFonts w:ascii="Calibri" w:eastAsia="Times New Roman" w:hAnsi="Calibri" w:cs="Calibri"/>
        </w:rPr>
        <w:t>Razack</w:t>
      </w:r>
      <w:proofErr w:type="spellEnd"/>
      <w:r w:rsidR="0052444C" w:rsidRPr="00B10A2D">
        <w:rPr>
          <w:rFonts w:ascii="Calibri" w:eastAsia="Times New Roman" w:hAnsi="Calibri" w:cs="Calibri"/>
        </w:rPr>
        <w:t>,</w:t>
      </w:r>
      <w:r w:rsidR="00F76AA8" w:rsidRPr="00B10A2D">
        <w:rPr>
          <w:rFonts w:ascii="Calibri" w:eastAsia="Times New Roman" w:hAnsi="Calibri" w:cs="Calibri"/>
        </w:rPr>
        <w:t xml:space="preserve"> 2015, </w:t>
      </w:r>
      <w:proofErr w:type="spellStart"/>
      <w:r w:rsidR="00F76AA8" w:rsidRPr="00B10A2D">
        <w:rPr>
          <w:rFonts w:ascii="Calibri" w:eastAsia="Times New Roman" w:hAnsi="Calibri" w:cs="Calibri"/>
        </w:rPr>
        <w:t>Anaï</w:t>
      </w:r>
      <w:r w:rsidR="00707725" w:rsidRPr="00B10A2D">
        <w:rPr>
          <w:rFonts w:ascii="Calibri" w:eastAsia="Times New Roman" w:hAnsi="Calibri" w:cs="Calibri"/>
        </w:rPr>
        <w:t>s</w:t>
      </w:r>
      <w:proofErr w:type="spellEnd"/>
      <w:r w:rsidR="0052444C" w:rsidRPr="00B10A2D">
        <w:rPr>
          <w:rFonts w:ascii="Calibri" w:eastAsia="Times New Roman" w:hAnsi="Calibri" w:cs="Calibri"/>
        </w:rPr>
        <w:t>,</w:t>
      </w:r>
      <w:r w:rsidR="00707725" w:rsidRPr="00B10A2D">
        <w:rPr>
          <w:rFonts w:ascii="Calibri" w:eastAsia="Times New Roman" w:hAnsi="Calibri" w:cs="Calibri"/>
        </w:rPr>
        <w:t xml:space="preserve"> 2014)</w:t>
      </w:r>
      <w:r w:rsidRPr="00B10A2D">
        <w:rPr>
          <w:rFonts w:ascii="Calibri" w:eastAsia="Times New Roman" w:hAnsi="Calibri" w:cs="Calibri"/>
        </w:rPr>
        <w:t xml:space="preserve">. </w:t>
      </w:r>
      <w:r w:rsidR="00DD2174" w:rsidRPr="00B10A2D">
        <w:rPr>
          <w:rFonts w:ascii="Calibri" w:eastAsia="Times New Roman" w:hAnsi="Calibri" w:cs="Calibri"/>
        </w:rPr>
        <w:t xml:space="preserve">This supports Hallam </w:t>
      </w:r>
      <w:r w:rsidR="00DD2174" w:rsidRPr="00B10A2D">
        <w:rPr>
          <w:rFonts w:ascii="Calibri" w:eastAsia="Times New Roman" w:hAnsi="Calibri" w:cs="Calibri"/>
          <w:i/>
        </w:rPr>
        <w:t>et al.</w:t>
      </w:r>
      <w:r w:rsidR="00DD2174" w:rsidRPr="00B10A2D">
        <w:rPr>
          <w:rFonts w:ascii="Calibri" w:eastAsia="Times New Roman" w:hAnsi="Calibri" w:cs="Calibri"/>
        </w:rPr>
        <w:t xml:space="preserve">’s </w:t>
      </w:r>
      <w:r w:rsidR="00DF4712" w:rsidRPr="00B10A2D">
        <w:rPr>
          <w:rFonts w:ascii="Calibri" w:eastAsia="Times New Roman" w:hAnsi="Calibri" w:cs="Calibri"/>
        </w:rPr>
        <w:t>(1999</w:t>
      </w:r>
      <w:r w:rsidR="007A0C84" w:rsidRPr="00B10A2D">
        <w:rPr>
          <w:rFonts w:ascii="Calibri" w:eastAsia="Times New Roman" w:hAnsi="Calibri" w:cs="Calibri"/>
        </w:rPr>
        <w:t xml:space="preserve">: 98) </w:t>
      </w:r>
      <w:r w:rsidR="00DD2174" w:rsidRPr="00B10A2D">
        <w:rPr>
          <w:rFonts w:ascii="Calibri" w:eastAsia="Times New Roman" w:hAnsi="Calibri" w:cs="Calibri"/>
        </w:rPr>
        <w:t xml:space="preserve">assertion that in the case of sudden death, it is unsurprising that a coroner’s narrative: ‘makes the death possible, indeed inevitable, for that person, in that place </w:t>
      </w:r>
      <w:r w:rsidR="002A2849" w:rsidRPr="00B10A2D">
        <w:rPr>
          <w:rFonts w:ascii="Calibri" w:eastAsia="Times New Roman" w:hAnsi="Calibri" w:cs="Calibri"/>
        </w:rPr>
        <w:t xml:space="preserve">and at that time.’ </w:t>
      </w:r>
    </w:p>
    <w:p w14:paraId="5DB574E1" w14:textId="77777777" w:rsidR="002A2849" w:rsidRPr="00B10A2D" w:rsidRDefault="002A2849" w:rsidP="00DD2174">
      <w:pPr>
        <w:spacing w:after="0" w:line="360" w:lineRule="auto"/>
        <w:jc w:val="both"/>
        <w:rPr>
          <w:rFonts w:ascii="Calibri" w:eastAsia="Times New Roman" w:hAnsi="Calibri" w:cs="Calibri"/>
        </w:rPr>
      </w:pPr>
    </w:p>
    <w:p w14:paraId="32150829" w14:textId="0C33C6A8" w:rsidR="003A5AF2" w:rsidRPr="00B10A2D" w:rsidRDefault="003A5AF2" w:rsidP="00266790">
      <w:pPr>
        <w:spacing w:after="0" w:line="360" w:lineRule="auto"/>
        <w:jc w:val="both"/>
        <w:rPr>
          <w:rFonts w:ascii="Calibri" w:eastAsia="Times New Roman" w:hAnsi="Calibri" w:cs="Calibri"/>
        </w:rPr>
      </w:pPr>
      <w:r w:rsidRPr="00B10A2D">
        <w:rPr>
          <w:rFonts w:ascii="Calibri" w:eastAsia="Times New Roman" w:hAnsi="Calibri" w:cs="Calibri"/>
        </w:rPr>
        <w:t>If these characteristics can be ascribed with a degree of scientific or medical veracity, then they may be seen to be persuasive</w:t>
      </w:r>
      <w:r w:rsidR="007A0C84" w:rsidRPr="00B10A2D">
        <w:rPr>
          <w:rFonts w:ascii="Calibri" w:eastAsia="Times New Roman" w:hAnsi="Calibri" w:cs="Calibri"/>
        </w:rPr>
        <w:t xml:space="preserve"> in explaining the cause of death. Research by </w:t>
      </w:r>
      <w:proofErr w:type="spellStart"/>
      <w:r w:rsidR="007A0C84" w:rsidRPr="00B10A2D">
        <w:rPr>
          <w:rFonts w:ascii="Calibri" w:eastAsia="Times New Roman" w:hAnsi="Calibri" w:cs="Calibri"/>
        </w:rPr>
        <w:t>Daftary-Kapur</w:t>
      </w:r>
      <w:proofErr w:type="spellEnd"/>
      <w:r w:rsidR="007A0C84" w:rsidRPr="00B10A2D">
        <w:rPr>
          <w:rFonts w:ascii="Calibri" w:eastAsia="Times New Roman" w:hAnsi="Calibri" w:cs="Calibri"/>
        </w:rPr>
        <w:t xml:space="preserve"> </w:t>
      </w:r>
      <w:r w:rsidR="007A0C84" w:rsidRPr="00B10A2D">
        <w:rPr>
          <w:rFonts w:ascii="Calibri" w:eastAsia="Times New Roman" w:hAnsi="Calibri" w:cs="Calibri"/>
          <w:i/>
        </w:rPr>
        <w:t>et al.</w:t>
      </w:r>
      <w:r w:rsidR="007A0C84" w:rsidRPr="00B10A2D">
        <w:rPr>
          <w:rFonts w:ascii="Calibri" w:eastAsia="Times New Roman" w:hAnsi="Calibri" w:cs="Calibri"/>
        </w:rPr>
        <w:t xml:space="preserve"> (2010) and </w:t>
      </w:r>
      <w:proofErr w:type="spellStart"/>
      <w:r w:rsidR="007A0C84" w:rsidRPr="00B10A2D">
        <w:rPr>
          <w:rFonts w:ascii="Calibri" w:eastAsia="Times New Roman" w:hAnsi="Calibri" w:cs="Calibri"/>
        </w:rPr>
        <w:t>Spottswood</w:t>
      </w:r>
      <w:proofErr w:type="spellEnd"/>
      <w:r w:rsidR="007A0C84" w:rsidRPr="00B10A2D">
        <w:rPr>
          <w:rFonts w:ascii="Calibri" w:eastAsia="Times New Roman" w:hAnsi="Calibri" w:cs="Calibri"/>
        </w:rPr>
        <w:t xml:space="preserve"> (2013) asserts that juries tend to valorise medical and scientific evidence as objective truths. Having said</w:t>
      </w:r>
      <w:r w:rsidR="00E21C0B" w:rsidRPr="00B10A2D">
        <w:rPr>
          <w:rFonts w:ascii="Calibri" w:eastAsia="Times New Roman" w:hAnsi="Calibri" w:cs="Calibri"/>
        </w:rPr>
        <w:t xml:space="preserve"> that</w:t>
      </w:r>
      <w:r w:rsidR="007A0C84" w:rsidRPr="00B10A2D">
        <w:rPr>
          <w:rFonts w:ascii="Calibri" w:eastAsia="Times New Roman" w:hAnsi="Calibri" w:cs="Calibri"/>
        </w:rPr>
        <w:t>,</w:t>
      </w:r>
      <w:r w:rsidR="00E21C0B" w:rsidRPr="00B10A2D">
        <w:rPr>
          <w:rFonts w:ascii="Calibri" w:eastAsia="Times New Roman" w:hAnsi="Calibri" w:cs="Calibri"/>
        </w:rPr>
        <w:t xml:space="preserve"> Wozniak (2016: 199) notes that </w:t>
      </w:r>
      <w:r w:rsidR="00DC380C" w:rsidRPr="00B10A2D">
        <w:rPr>
          <w:rFonts w:ascii="Calibri" w:eastAsia="Times New Roman" w:hAnsi="Calibri" w:cs="Calibri"/>
        </w:rPr>
        <w:t xml:space="preserve">ED is </w:t>
      </w:r>
      <w:r w:rsidR="00125D26" w:rsidRPr="00B10A2D">
        <w:rPr>
          <w:rFonts w:ascii="Calibri" w:eastAsia="Times New Roman" w:hAnsi="Calibri" w:cs="Calibri"/>
        </w:rPr>
        <w:t>a ‘controversial medical explanation offered for a range of in-custody deaths’</w:t>
      </w:r>
      <w:r w:rsidR="00707725" w:rsidRPr="00B10A2D">
        <w:rPr>
          <w:rFonts w:ascii="Calibri" w:eastAsia="Times New Roman" w:hAnsi="Calibri" w:cs="Calibri"/>
        </w:rPr>
        <w:t xml:space="preserve">, and that </w:t>
      </w:r>
      <w:r w:rsidR="00F34463" w:rsidRPr="00B10A2D">
        <w:rPr>
          <w:rFonts w:ascii="Calibri" w:eastAsia="Times New Roman" w:hAnsi="Calibri" w:cs="Calibri"/>
        </w:rPr>
        <w:t>elements</w:t>
      </w:r>
      <w:r w:rsidR="00416121" w:rsidRPr="00B10A2D">
        <w:rPr>
          <w:rFonts w:ascii="Calibri" w:eastAsia="Times New Roman" w:hAnsi="Calibri" w:cs="Calibri"/>
        </w:rPr>
        <w:t xml:space="preserve"> of </w:t>
      </w:r>
      <w:r w:rsidR="00707725" w:rsidRPr="00B10A2D">
        <w:rPr>
          <w:rFonts w:ascii="Calibri" w:eastAsia="Times New Roman" w:hAnsi="Calibri" w:cs="Calibri"/>
        </w:rPr>
        <w:t xml:space="preserve">the scientific and medical community </w:t>
      </w:r>
      <w:r w:rsidR="00416121" w:rsidRPr="00B10A2D">
        <w:rPr>
          <w:rFonts w:ascii="Calibri" w:eastAsia="Times New Roman" w:hAnsi="Calibri" w:cs="Calibri"/>
        </w:rPr>
        <w:t>are</w:t>
      </w:r>
      <w:r w:rsidR="00707725" w:rsidRPr="00B10A2D">
        <w:rPr>
          <w:rFonts w:ascii="Calibri" w:eastAsia="Times New Roman" w:hAnsi="Calibri" w:cs="Calibri"/>
        </w:rPr>
        <w:t xml:space="preserve"> deeply sceptical about the existence of ED.</w:t>
      </w:r>
      <w:r w:rsidRPr="00B10A2D">
        <w:rPr>
          <w:rFonts w:ascii="Calibri" w:eastAsia="Times New Roman" w:hAnsi="Calibri" w:cs="Calibri"/>
        </w:rPr>
        <w:t xml:space="preserve"> </w:t>
      </w:r>
      <w:r w:rsidR="002A2849" w:rsidRPr="00B10A2D">
        <w:rPr>
          <w:rFonts w:ascii="Calibri" w:eastAsia="Times New Roman" w:hAnsi="Calibri" w:cs="Calibri"/>
        </w:rPr>
        <w:t>This scepticism is echoed by Canadian</w:t>
      </w:r>
      <w:r w:rsidR="00A66CD0" w:rsidRPr="00B10A2D">
        <w:rPr>
          <w:rFonts w:ascii="Calibri" w:eastAsia="Times New Roman" w:hAnsi="Calibri" w:cs="Calibri"/>
        </w:rPr>
        <w:t xml:space="preserve"> authors writing about ED from the perspective of</w:t>
      </w:r>
      <w:r w:rsidR="000D4A97" w:rsidRPr="00B10A2D">
        <w:rPr>
          <w:rFonts w:ascii="Calibri" w:eastAsia="Times New Roman" w:hAnsi="Calibri" w:cs="Calibri"/>
        </w:rPr>
        <w:t xml:space="preserve"> the police use of force</w:t>
      </w:r>
      <w:r w:rsidR="002A2849" w:rsidRPr="00B10A2D">
        <w:rPr>
          <w:rFonts w:ascii="Calibri" w:eastAsia="Times New Roman" w:hAnsi="Calibri" w:cs="Calibri"/>
        </w:rPr>
        <w:t xml:space="preserve"> (se</w:t>
      </w:r>
      <w:r w:rsidR="00F76AA8" w:rsidRPr="00B10A2D">
        <w:rPr>
          <w:rFonts w:ascii="Calibri" w:eastAsia="Times New Roman" w:hAnsi="Calibri" w:cs="Calibri"/>
        </w:rPr>
        <w:t xml:space="preserve">e, for example </w:t>
      </w:r>
      <w:proofErr w:type="spellStart"/>
      <w:r w:rsidR="00F76AA8" w:rsidRPr="00B10A2D">
        <w:rPr>
          <w:rFonts w:ascii="Calibri" w:eastAsia="Times New Roman" w:hAnsi="Calibri" w:cs="Calibri"/>
        </w:rPr>
        <w:t>Razack</w:t>
      </w:r>
      <w:proofErr w:type="spellEnd"/>
      <w:r w:rsidR="0052444C" w:rsidRPr="00B10A2D">
        <w:rPr>
          <w:rFonts w:ascii="Calibri" w:eastAsia="Times New Roman" w:hAnsi="Calibri" w:cs="Calibri"/>
        </w:rPr>
        <w:t>,</w:t>
      </w:r>
      <w:r w:rsidR="00F76AA8" w:rsidRPr="00B10A2D">
        <w:rPr>
          <w:rFonts w:ascii="Calibri" w:eastAsia="Times New Roman" w:hAnsi="Calibri" w:cs="Calibri"/>
        </w:rPr>
        <w:t xml:space="preserve"> 2015, </w:t>
      </w:r>
      <w:proofErr w:type="spellStart"/>
      <w:r w:rsidR="00F76AA8" w:rsidRPr="00B10A2D">
        <w:rPr>
          <w:rFonts w:ascii="Calibri" w:eastAsia="Times New Roman" w:hAnsi="Calibri" w:cs="Calibri"/>
        </w:rPr>
        <w:t>Anaï</w:t>
      </w:r>
      <w:r w:rsidR="002A2849" w:rsidRPr="00B10A2D">
        <w:rPr>
          <w:rFonts w:ascii="Calibri" w:eastAsia="Times New Roman" w:hAnsi="Calibri" w:cs="Calibri"/>
        </w:rPr>
        <w:t>s</w:t>
      </w:r>
      <w:proofErr w:type="spellEnd"/>
      <w:r w:rsidR="0052444C" w:rsidRPr="00B10A2D">
        <w:rPr>
          <w:rFonts w:ascii="Calibri" w:eastAsia="Times New Roman" w:hAnsi="Calibri" w:cs="Calibri"/>
        </w:rPr>
        <w:t>,</w:t>
      </w:r>
      <w:r w:rsidR="002A2849" w:rsidRPr="00B10A2D">
        <w:rPr>
          <w:rFonts w:ascii="Calibri" w:eastAsia="Times New Roman" w:hAnsi="Calibri" w:cs="Calibri"/>
        </w:rPr>
        <w:t xml:space="preserve"> 2014, </w:t>
      </w:r>
      <w:proofErr w:type="spellStart"/>
      <w:r w:rsidR="002A2849" w:rsidRPr="00B10A2D">
        <w:rPr>
          <w:rFonts w:ascii="Calibri" w:eastAsia="Times New Roman" w:hAnsi="Calibri" w:cs="Calibri"/>
        </w:rPr>
        <w:t>Brodeur</w:t>
      </w:r>
      <w:proofErr w:type="spellEnd"/>
      <w:r w:rsidR="0052444C" w:rsidRPr="00B10A2D">
        <w:rPr>
          <w:rFonts w:ascii="Calibri" w:eastAsia="Times New Roman" w:hAnsi="Calibri" w:cs="Calibri"/>
        </w:rPr>
        <w:t>,</w:t>
      </w:r>
      <w:r w:rsidR="002A2849" w:rsidRPr="00B10A2D">
        <w:rPr>
          <w:rFonts w:ascii="Calibri" w:eastAsia="Times New Roman" w:hAnsi="Calibri" w:cs="Calibri"/>
        </w:rPr>
        <w:t xml:space="preserve"> 2010). </w:t>
      </w:r>
      <w:r w:rsidR="00BF2DE8" w:rsidRPr="00B10A2D">
        <w:rPr>
          <w:rFonts w:ascii="Calibri" w:eastAsia="Times New Roman" w:hAnsi="Calibri" w:cs="Calibri"/>
        </w:rPr>
        <w:t xml:space="preserve">The US law-enforcement perspective, as stated by the NIJ (2011: 3) is more equivocal: ‘It is important to point out that the fact that the AMA and APA having no official position regarding </w:t>
      </w:r>
      <w:proofErr w:type="spellStart"/>
      <w:r w:rsidR="00BF2DE8" w:rsidRPr="00B10A2D">
        <w:rPr>
          <w:rFonts w:ascii="Calibri" w:eastAsia="Times New Roman" w:hAnsi="Calibri" w:cs="Calibri"/>
        </w:rPr>
        <w:t>ExDS</w:t>
      </w:r>
      <w:proofErr w:type="spellEnd"/>
      <w:r w:rsidR="00BF2DE8" w:rsidRPr="00B10A2D">
        <w:rPr>
          <w:rFonts w:ascii="Calibri" w:eastAsia="Times New Roman" w:hAnsi="Calibri" w:cs="Calibri"/>
        </w:rPr>
        <w:t xml:space="preserve"> is not the same as officially stating that it does not exist.’ </w:t>
      </w:r>
    </w:p>
    <w:p w14:paraId="6BE6CB62" w14:textId="77777777" w:rsidR="003A5AF2" w:rsidRPr="00B10A2D" w:rsidRDefault="003A5AF2" w:rsidP="00266790">
      <w:pPr>
        <w:spacing w:after="0" w:line="360" w:lineRule="auto"/>
        <w:jc w:val="both"/>
        <w:rPr>
          <w:rFonts w:ascii="Calibri" w:eastAsia="Times New Roman" w:hAnsi="Calibri" w:cs="Calibri"/>
        </w:rPr>
      </w:pPr>
    </w:p>
    <w:p w14:paraId="65A3CB2D" w14:textId="63C1693E" w:rsidR="0074784F" w:rsidRPr="00B10A2D" w:rsidRDefault="003A5AF2" w:rsidP="00266790">
      <w:pPr>
        <w:spacing w:after="0" w:line="360" w:lineRule="auto"/>
        <w:jc w:val="both"/>
        <w:rPr>
          <w:rFonts w:ascii="Calibri" w:eastAsia="Times New Roman" w:hAnsi="Calibri" w:cs="Calibri"/>
          <w:b/>
        </w:rPr>
      </w:pPr>
      <w:r w:rsidRPr="00B10A2D">
        <w:rPr>
          <w:rFonts w:ascii="Calibri" w:eastAsia="Times New Roman" w:hAnsi="Calibri" w:cs="Calibri"/>
        </w:rPr>
        <w:t>The medicalisation of an issue is a precondition to it being accepted in mainstream terminology and also being ‘treated’</w:t>
      </w:r>
      <w:r w:rsidR="00BC72CC" w:rsidRPr="00B10A2D">
        <w:rPr>
          <w:rFonts w:ascii="Calibri" w:eastAsia="Times New Roman" w:hAnsi="Calibri" w:cs="Calibri"/>
        </w:rPr>
        <w:t>; something Wozniak (2016: 200</w:t>
      </w:r>
      <w:r w:rsidR="00811320" w:rsidRPr="00B10A2D">
        <w:rPr>
          <w:rFonts w:ascii="Calibri" w:eastAsia="Times New Roman" w:hAnsi="Calibri" w:cs="Calibri"/>
        </w:rPr>
        <w:t>)</w:t>
      </w:r>
      <w:r w:rsidR="00BC72CC" w:rsidRPr="00B10A2D">
        <w:rPr>
          <w:rFonts w:ascii="Calibri" w:eastAsia="Times New Roman" w:hAnsi="Calibri" w:cs="Calibri"/>
        </w:rPr>
        <w:t xml:space="preserve"> terms the ‘sickness as deviance model</w:t>
      </w:r>
      <w:r w:rsidRPr="00B10A2D">
        <w:rPr>
          <w:rFonts w:ascii="Calibri" w:eastAsia="Times New Roman" w:hAnsi="Calibri" w:cs="Calibri"/>
        </w:rPr>
        <w:t>.</w:t>
      </w:r>
      <w:r w:rsidR="00BC72CC" w:rsidRPr="00B10A2D">
        <w:rPr>
          <w:rFonts w:ascii="Calibri" w:eastAsia="Times New Roman" w:hAnsi="Calibri" w:cs="Calibri"/>
        </w:rPr>
        <w:t>’</w:t>
      </w:r>
      <w:r w:rsidRPr="00B10A2D">
        <w:rPr>
          <w:rFonts w:ascii="Calibri" w:eastAsia="Times New Roman" w:hAnsi="Calibri" w:cs="Calibri"/>
        </w:rPr>
        <w:t xml:space="preserve"> The fact that there is little agreement on what </w:t>
      </w:r>
      <w:r w:rsidR="003A3C02" w:rsidRPr="00B10A2D">
        <w:rPr>
          <w:rFonts w:ascii="Calibri" w:eastAsia="Times New Roman" w:hAnsi="Calibri" w:cs="Calibri"/>
        </w:rPr>
        <w:t xml:space="preserve">ED </w:t>
      </w:r>
      <w:r w:rsidRPr="00B10A2D">
        <w:rPr>
          <w:rFonts w:ascii="Calibri" w:eastAsia="Times New Roman" w:hAnsi="Calibri" w:cs="Calibri"/>
        </w:rPr>
        <w:t xml:space="preserve">should be called, or what its symptoms are, or whether it is recognised by medical or psychiatric bodies should raise critical questions as to how relevant its use </w:t>
      </w:r>
      <w:r w:rsidR="00F15277" w:rsidRPr="00B10A2D">
        <w:rPr>
          <w:rFonts w:ascii="Calibri" w:eastAsia="Times New Roman" w:hAnsi="Calibri" w:cs="Calibri"/>
        </w:rPr>
        <w:t xml:space="preserve">as a classificatory tool </w:t>
      </w:r>
      <w:r w:rsidR="009127DA" w:rsidRPr="00B10A2D">
        <w:rPr>
          <w:rFonts w:ascii="Calibri" w:eastAsia="Times New Roman" w:hAnsi="Calibri" w:cs="Calibri"/>
        </w:rPr>
        <w:t xml:space="preserve">by coronial juries </w:t>
      </w:r>
      <w:r w:rsidRPr="00B10A2D">
        <w:rPr>
          <w:rFonts w:ascii="Calibri" w:eastAsia="Times New Roman" w:hAnsi="Calibri" w:cs="Calibri"/>
        </w:rPr>
        <w:t xml:space="preserve">is in cases of DAPC. </w:t>
      </w:r>
      <w:r w:rsidR="00BF2DE8" w:rsidRPr="00B10A2D">
        <w:rPr>
          <w:rFonts w:ascii="Calibri" w:eastAsia="Times New Roman" w:hAnsi="Calibri" w:cs="Calibri"/>
        </w:rPr>
        <w:t xml:space="preserve">Writing on behalf of the UK Independent Advisory Panel on Deaths in Custody (IAP), Aiken </w:t>
      </w:r>
      <w:r w:rsidR="00BF2DE8" w:rsidRPr="00B10A2D">
        <w:rPr>
          <w:rFonts w:ascii="Calibri" w:eastAsia="Times New Roman" w:hAnsi="Calibri" w:cs="Calibri"/>
          <w:i/>
        </w:rPr>
        <w:t>et al.</w:t>
      </w:r>
      <w:r w:rsidR="00BF2DE8" w:rsidRPr="00B10A2D">
        <w:rPr>
          <w:rFonts w:ascii="Calibri" w:eastAsia="Times New Roman" w:hAnsi="Calibri" w:cs="Calibri"/>
        </w:rPr>
        <w:t xml:space="preserve"> (2009: 53) suggest that: ‘”Sudden death in restraint syndrome” should be used to describe inquest verdicts rather than any euphemism in order to enhance clarity as this is a class of death we don’t fully understand and is multifactorial.’ </w:t>
      </w:r>
      <w:r w:rsidRPr="00B10A2D">
        <w:rPr>
          <w:rFonts w:ascii="Calibri" w:eastAsia="Times New Roman" w:hAnsi="Calibri" w:cs="Calibri"/>
        </w:rPr>
        <w:t>The use of conditions as an explanatory tool by discourses of health and criminal justice has been noted previously by Dyson and Boswell (2006) in relation to sickle-cell anaemia</w:t>
      </w:r>
      <w:r w:rsidR="00811320" w:rsidRPr="00B10A2D">
        <w:rPr>
          <w:rFonts w:ascii="Calibri" w:eastAsia="Times New Roman" w:hAnsi="Calibri" w:cs="Calibri"/>
        </w:rPr>
        <w:t xml:space="preserve"> as a way of explaining custody deaths of BME individuals</w:t>
      </w:r>
      <w:r w:rsidRPr="00B10A2D">
        <w:rPr>
          <w:rFonts w:ascii="Calibri" w:eastAsia="Times New Roman" w:hAnsi="Calibri" w:cs="Calibri"/>
        </w:rPr>
        <w:t>. They believe the use of medical ‘conditions’ corresponds with a strand of ‘reductionist genetics’ in these discourses (</w:t>
      </w:r>
      <w:r w:rsidR="007A0C84" w:rsidRPr="00B10A2D">
        <w:rPr>
          <w:rFonts w:ascii="Calibri" w:eastAsia="Times New Roman" w:hAnsi="Calibri" w:cs="Calibri"/>
        </w:rPr>
        <w:t>Dyson and Boswell</w:t>
      </w:r>
      <w:r w:rsidR="0052444C" w:rsidRPr="00B10A2D">
        <w:rPr>
          <w:rFonts w:ascii="Calibri" w:eastAsia="Times New Roman" w:hAnsi="Calibri" w:cs="Calibri"/>
        </w:rPr>
        <w:t>,</w:t>
      </w:r>
      <w:r w:rsidR="007A0C84" w:rsidRPr="00B10A2D">
        <w:rPr>
          <w:rFonts w:ascii="Calibri" w:eastAsia="Times New Roman" w:hAnsi="Calibri" w:cs="Calibri"/>
        </w:rPr>
        <w:t xml:space="preserve"> </w:t>
      </w:r>
      <w:r w:rsidRPr="00B10A2D">
        <w:rPr>
          <w:rFonts w:ascii="Calibri" w:eastAsia="Times New Roman" w:hAnsi="Calibri" w:cs="Calibri"/>
        </w:rPr>
        <w:t xml:space="preserve">2006: 14). Similarly, </w:t>
      </w:r>
      <w:proofErr w:type="spellStart"/>
      <w:r w:rsidR="00F76AA8" w:rsidRPr="00B10A2D">
        <w:rPr>
          <w:rFonts w:ascii="Calibri" w:eastAsia="Times New Roman" w:hAnsi="Calibri" w:cs="Calibri"/>
        </w:rPr>
        <w:t>Anaï</w:t>
      </w:r>
      <w:r w:rsidR="0074784F" w:rsidRPr="00B10A2D">
        <w:rPr>
          <w:rFonts w:ascii="Calibri" w:eastAsia="Times New Roman" w:hAnsi="Calibri" w:cs="Calibri"/>
        </w:rPr>
        <w:t>s</w:t>
      </w:r>
      <w:proofErr w:type="spellEnd"/>
      <w:r w:rsidR="0074784F" w:rsidRPr="00B10A2D">
        <w:rPr>
          <w:rFonts w:ascii="Calibri" w:eastAsia="Times New Roman" w:hAnsi="Calibri" w:cs="Calibri"/>
        </w:rPr>
        <w:t xml:space="preserve"> (2014) and Storey (2012) note ‘Sudden Infant Death Syndrome’ was at one time considered to be an objective cause of death but is now viewed with scepticism by both medical and legal professions. </w:t>
      </w:r>
    </w:p>
    <w:p w14:paraId="0C0FFD86" w14:textId="77777777" w:rsidR="0074784F" w:rsidRPr="00B10A2D" w:rsidRDefault="0074784F" w:rsidP="00266790">
      <w:pPr>
        <w:spacing w:after="0" w:line="360" w:lineRule="auto"/>
        <w:jc w:val="both"/>
        <w:rPr>
          <w:rFonts w:ascii="Calibri" w:eastAsia="Times New Roman" w:hAnsi="Calibri" w:cs="Calibri"/>
        </w:rPr>
      </w:pPr>
    </w:p>
    <w:p w14:paraId="6B73AC83" w14:textId="3F24D63B" w:rsidR="005E5C91" w:rsidRPr="00B10A2D" w:rsidRDefault="003A5AF2" w:rsidP="00266790">
      <w:pPr>
        <w:spacing w:after="0" w:line="360" w:lineRule="auto"/>
        <w:jc w:val="both"/>
        <w:rPr>
          <w:rFonts w:ascii="Calibri" w:eastAsia="Times New Roman" w:hAnsi="Calibri" w:cs="Calibri"/>
        </w:rPr>
      </w:pPr>
      <w:r w:rsidRPr="00B10A2D">
        <w:rPr>
          <w:rFonts w:ascii="Calibri" w:eastAsia="Times New Roman" w:hAnsi="Calibri" w:cs="Calibri"/>
        </w:rPr>
        <w:lastRenderedPageBreak/>
        <w:t xml:space="preserve">Conversely, it must be recognised that if the advice </w:t>
      </w:r>
      <w:r w:rsidR="000D4A97" w:rsidRPr="00B10A2D">
        <w:rPr>
          <w:rFonts w:ascii="Calibri" w:eastAsia="Times New Roman" w:hAnsi="Calibri" w:cs="Calibri"/>
        </w:rPr>
        <w:t>much of the literature on ED</w:t>
      </w:r>
      <w:r w:rsidRPr="00B10A2D">
        <w:rPr>
          <w:rFonts w:ascii="Calibri" w:eastAsia="Times New Roman" w:hAnsi="Calibri" w:cs="Calibri"/>
        </w:rPr>
        <w:t xml:space="preserve"> is </w:t>
      </w:r>
      <w:r w:rsidR="0098312D" w:rsidRPr="00B10A2D">
        <w:rPr>
          <w:rFonts w:ascii="Calibri" w:eastAsia="Times New Roman" w:hAnsi="Calibri" w:cs="Calibri"/>
        </w:rPr>
        <w:t>adopted by emergency services</w:t>
      </w:r>
      <w:r w:rsidRPr="00B10A2D">
        <w:rPr>
          <w:rFonts w:ascii="Calibri" w:eastAsia="Times New Roman" w:hAnsi="Calibri" w:cs="Calibri"/>
        </w:rPr>
        <w:t>, and the phenomenon is treated as a medical emergency where de-escalation techniques and containment are used prior to medical intervention, then it might be that the number</w:t>
      </w:r>
      <w:r w:rsidR="009D5EBA" w:rsidRPr="00B10A2D">
        <w:rPr>
          <w:rFonts w:ascii="Calibri" w:eastAsia="Times New Roman" w:hAnsi="Calibri" w:cs="Calibri"/>
        </w:rPr>
        <w:t xml:space="preserve"> of deaths in ED</w:t>
      </w:r>
      <w:r w:rsidRPr="00B10A2D">
        <w:rPr>
          <w:rFonts w:ascii="Calibri" w:eastAsia="Times New Roman" w:hAnsi="Calibri" w:cs="Calibri"/>
        </w:rPr>
        <w:t xml:space="preserve"> cases could be reduced.</w:t>
      </w:r>
      <w:r w:rsidR="009D5EBA" w:rsidRPr="00B10A2D">
        <w:rPr>
          <w:rFonts w:ascii="Calibri" w:eastAsia="Times New Roman" w:hAnsi="Calibri" w:cs="Calibri"/>
        </w:rPr>
        <w:t xml:space="preserve"> </w:t>
      </w:r>
      <w:r w:rsidR="00BF2DE8" w:rsidRPr="00B10A2D">
        <w:rPr>
          <w:rFonts w:ascii="Calibri" w:eastAsia="Times New Roman" w:hAnsi="Calibri" w:cs="Calibri"/>
        </w:rPr>
        <w:t>The NIJ</w:t>
      </w:r>
      <w:r w:rsidR="008D75C2" w:rsidRPr="00B10A2D">
        <w:rPr>
          <w:rFonts w:ascii="Calibri" w:eastAsia="Times New Roman" w:hAnsi="Calibri" w:cs="Calibri"/>
        </w:rPr>
        <w:t xml:space="preserve"> (in the US)</w:t>
      </w:r>
      <w:r w:rsidR="00BF2DE8" w:rsidRPr="00B10A2D">
        <w:rPr>
          <w:rFonts w:ascii="Calibri" w:eastAsia="Times New Roman" w:hAnsi="Calibri" w:cs="Calibri"/>
        </w:rPr>
        <w:t>, and IAP</w:t>
      </w:r>
      <w:r w:rsidR="008D75C2" w:rsidRPr="00B10A2D">
        <w:rPr>
          <w:rFonts w:ascii="Calibri" w:eastAsia="Times New Roman" w:hAnsi="Calibri" w:cs="Calibri"/>
        </w:rPr>
        <w:t xml:space="preserve"> (in the UK) concur with the assertion of Aiken </w:t>
      </w:r>
      <w:r w:rsidR="008D75C2" w:rsidRPr="00B10A2D">
        <w:rPr>
          <w:rFonts w:ascii="Calibri" w:eastAsia="Times New Roman" w:hAnsi="Calibri" w:cs="Calibri"/>
          <w:i/>
        </w:rPr>
        <w:t>et al.</w:t>
      </w:r>
      <w:r w:rsidR="008D75C2" w:rsidRPr="00B10A2D">
        <w:rPr>
          <w:rFonts w:ascii="Calibri" w:eastAsia="Times New Roman" w:hAnsi="Calibri" w:cs="Calibri"/>
        </w:rPr>
        <w:t xml:space="preserve"> (2009: 56) that ‘the management of ED is more important than aetiology.’</w:t>
      </w:r>
      <w:r w:rsidR="00BF2DE8" w:rsidRPr="00B10A2D">
        <w:rPr>
          <w:rFonts w:ascii="Calibri" w:eastAsia="Times New Roman" w:hAnsi="Calibri" w:cs="Calibri"/>
        </w:rPr>
        <w:t xml:space="preserve"> </w:t>
      </w:r>
      <w:r w:rsidR="007205A6" w:rsidRPr="00B10A2D">
        <w:rPr>
          <w:rFonts w:ascii="Calibri" w:eastAsia="Times New Roman" w:hAnsi="Calibri" w:cs="Calibri"/>
        </w:rPr>
        <w:t>K</w:t>
      </w:r>
      <w:r w:rsidR="005E5C91" w:rsidRPr="00B10A2D">
        <w:rPr>
          <w:rFonts w:ascii="Calibri" w:eastAsia="Times New Roman" w:hAnsi="Calibri" w:cs="Calibri"/>
        </w:rPr>
        <w:t xml:space="preserve">nowledge </w:t>
      </w:r>
      <w:r w:rsidR="007205A6" w:rsidRPr="00B10A2D">
        <w:rPr>
          <w:rFonts w:ascii="Calibri" w:eastAsia="Times New Roman" w:hAnsi="Calibri" w:cs="Calibri"/>
        </w:rPr>
        <w:t>accrued</w:t>
      </w:r>
      <w:r w:rsidR="005E5C91" w:rsidRPr="00B10A2D">
        <w:rPr>
          <w:rFonts w:ascii="Calibri" w:eastAsia="Times New Roman" w:hAnsi="Calibri" w:cs="Calibri"/>
        </w:rPr>
        <w:t xml:space="preserve"> through multi-agency experiences </w:t>
      </w:r>
      <w:r w:rsidR="007205A6" w:rsidRPr="00B10A2D">
        <w:rPr>
          <w:rFonts w:ascii="Calibri" w:eastAsia="Times New Roman" w:hAnsi="Calibri" w:cs="Calibri"/>
        </w:rPr>
        <w:t>with</w:t>
      </w:r>
      <w:r w:rsidR="005E5C91" w:rsidRPr="00B10A2D">
        <w:rPr>
          <w:rFonts w:ascii="Calibri" w:eastAsia="Times New Roman" w:hAnsi="Calibri" w:cs="Calibri"/>
        </w:rPr>
        <w:t xml:space="preserve"> ED </w:t>
      </w:r>
      <w:r w:rsidR="007205A6" w:rsidRPr="00B10A2D">
        <w:rPr>
          <w:rFonts w:ascii="Calibri" w:eastAsia="Times New Roman" w:hAnsi="Calibri" w:cs="Calibri"/>
        </w:rPr>
        <w:t xml:space="preserve">has been adopted </w:t>
      </w:r>
      <w:r w:rsidR="005E5C91" w:rsidRPr="00B10A2D">
        <w:rPr>
          <w:rFonts w:ascii="Calibri" w:eastAsia="Times New Roman" w:hAnsi="Calibri" w:cs="Calibri"/>
        </w:rPr>
        <w:t>by the College of Policing (2017) in England</w:t>
      </w:r>
      <w:r w:rsidR="007205A6" w:rsidRPr="00B10A2D">
        <w:rPr>
          <w:rFonts w:ascii="Calibri" w:eastAsia="Times New Roman" w:hAnsi="Calibri" w:cs="Calibri"/>
        </w:rPr>
        <w:t xml:space="preserve"> and Wales in their guidelines on</w:t>
      </w:r>
      <w:r w:rsidR="005E5C91" w:rsidRPr="00B10A2D">
        <w:rPr>
          <w:rFonts w:ascii="Calibri" w:eastAsia="Times New Roman" w:hAnsi="Calibri" w:cs="Calibri"/>
        </w:rPr>
        <w:t xml:space="preserve"> Authorised Professional Practice</w:t>
      </w:r>
      <w:r w:rsidR="007205A6" w:rsidRPr="00B10A2D">
        <w:rPr>
          <w:rFonts w:ascii="Calibri" w:eastAsia="Times New Roman" w:hAnsi="Calibri" w:cs="Calibri"/>
        </w:rPr>
        <w:t>. This</w:t>
      </w:r>
      <w:r w:rsidR="005E5C91" w:rsidRPr="00B10A2D">
        <w:rPr>
          <w:rFonts w:ascii="Calibri" w:eastAsia="Times New Roman" w:hAnsi="Calibri" w:cs="Calibri"/>
        </w:rPr>
        <w:t xml:space="preserve"> demonstrates </w:t>
      </w:r>
      <w:r w:rsidR="007205A6" w:rsidRPr="00B10A2D">
        <w:rPr>
          <w:rFonts w:ascii="Calibri" w:eastAsia="Times New Roman" w:hAnsi="Calibri" w:cs="Calibri"/>
        </w:rPr>
        <w:t>that</w:t>
      </w:r>
      <w:r w:rsidR="005E5C91" w:rsidRPr="00B10A2D">
        <w:rPr>
          <w:rFonts w:ascii="Calibri" w:eastAsia="Times New Roman" w:hAnsi="Calibri" w:cs="Calibri"/>
        </w:rPr>
        <w:t xml:space="preserve"> police training and guidelines have begun to shift on</w:t>
      </w:r>
      <w:r w:rsidR="007205A6" w:rsidRPr="00B10A2D">
        <w:rPr>
          <w:rFonts w:ascii="Calibri" w:eastAsia="Times New Roman" w:hAnsi="Calibri" w:cs="Calibri"/>
        </w:rPr>
        <w:t xml:space="preserve"> the</w:t>
      </w:r>
      <w:r w:rsidR="005E5C91" w:rsidRPr="00B10A2D">
        <w:rPr>
          <w:rFonts w:ascii="Calibri" w:eastAsia="Times New Roman" w:hAnsi="Calibri" w:cs="Calibri"/>
        </w:rPr>
        <w:t xml:space="preserve"> issue</w:t>
      </w:r>
      <w:r w:rsidR="007205A6" w:rsidRPr="00B10A2D">
        <w:rPr>
          <w:rFonts w:ascii="Calibri" w:eastAsia="Times New Roman" w:hAnsi="Calibri" w:cs="Calibri"/>
        </w:rPr>
        <w:t xml:space="preserve"> of ED</w:t>
      </w:r>
      <w:r w:rsidR="005E5C91" w:rsidRPr="00B10A2D">
        <w:rPr>
          <w:rFonts w:ascii="Calibri" w:eastAsia="Times New Roman" w:hAnsi="Calibri" w:cs="Calibri"/>
        </w:rPr>
        <w:t xml:space="preserve">. </w:t>
      </w:r>
    </w:p>
    <w:p w14:paraId="441377AC" w14:textId="77777777" w:rsidR="000D4A97" w:rsidRPr="00AC45CB" w:rsidRDefault="000D4A97" w:rsidP="00266790">
      <w:pPr>
        <w:spacing w:after="0" w:line="360" w:lineRule="auto"/>
        <w:jc w:val="both"/>
        <w:rPr>
          <w:rFonts w:ascii="Calibri" w:eastAsia="Times New Roman" w:hAnsi="Calibri" w:cs="Calibri"/>
        </w:rPr>
      </w:pPr>
    </w:p>
    <w:p w14:paraId="3C9D2296" w14:textId="36EF3F54" w:rsidR="00416121" w:rsidRDefault="0065337A" w:rsidP="00CB1EEE">
      <w:pPr>
        <w:spacing w:after="0" w:line="360" w:lineRule="auto"/>
        <w:jc w:val="both"/>
        <w:rPr>
          <w:rFonts w:ascii="Calibri" w:eastAsia="Times New Roman" w:hAnsi="Calibri" w:cs="Calibri"/>
        </w:rPr>
      </w:pPr>
      <w:r>
        <w:rPr>
          <w:rFonts w:ascii="Calibri" w:eastAsia="Times New Roman" w:hAnsi="Calibri" w:cs="Calibri"/>
        </w:rPr>
        <w:t xml:space="preserve">Police </w:t>
      </w:r>
      <w:r w:rsidR="00E66947">
        <w:rPr>
          <w:rFonts w:ascii="Calibri" w:eastAsia="Times New Roman" w:hAnsi="Calibri" w:cs="Calibri"/>
        </w:rPr>
        <w:t xml:space="preserve">in the US, Australia and the UK </w:t>
      </w:r>
      <w:r>
        <w:rPr>
          <w:rFonts w:ascii="Calibri" w:eastAsia="Times New Roman" w:hAnsi="Calibri" w:cs="Calibri"/>
        </w:rPr>
        <w:t>have begun to engage in different methods to</w:t>
      </w:r>
      <w:r w:rsidR="00E66947">
        <w:rPr>
          <w:rFonts w:ascii="Calibri" w:eastAsia="Times New Roman" w:hAnsi="Calibri" w:cs="Calibri"/>
        </w:rPr>
        <w:t xml:space="preserve"> deal with mental health issues</w:t>
      </w:r>
      <w:r>
        <w:rPr>
          <w:rFonts w:ascii="Calibri" w:eastAsia="Times New Roman" w:hAnsi="Calibri" w:cs="Calibri"/>
        </w:rPr>
        <w:t xml:space="preserve">. </w:t>
      </w:r>
      <w:r w:rsidR="0088486F">
        <w:rPr>
          <w:rFonts w:ascii="Calibri" w:eastAsia="Times New Roman" w:hAnsi="Calibri" w:cs="Calibri"/>
        </w:rPr>
        <w:t>Typically this occurs by combining police units with mental health professionals and</w:t>
      </w:r>
      <w:r w:rsidR="00B90EBB">
        <w:rPr>
          <w:rFonts w:ascii="Calibri" w:eastAsia="Times New Roman" w:hAnsi="Calibri" w:cs="Calibri"/>
        </w:rPr>
        <w:t>/or</w:t>
      </w:r>
      <w:r w:rsidR="0088486F">
        <w:rPr>
          <w:rFonts w:ascii="Calibri" w:eastAsia="Times New Roman" w:hAnsi="Calibri" w:cs="Calibri"/>
        </w:rPr>
        <w:t xml:space="preserve"> paramedics to respond to emergency calls that highlight the possibility of mental health being an aspect of the emergency. </w:t>
      </w:r>
      <w:r>
        <w:rPr>
          <w:rFonts w:ascii="Calibri" w:eastAsia="Times New Roman" w:hAnsi="Calibri" w:cs="Calibri"/>
        </w:rPr>
        <w:t xml:space="preserve">In the US </w:t>
      </w:r>
      <w:r w:rsidR="0088486F">
        <w:rPr>
          <w:rFonts w:ascii="Calibri" w:eastAsia="Times New Roman" w:hAnsi="Calibri" w:cs="Calibri"/>
        </w:rPr>
        <w:t xml:space="preserve">these units are termed </w:t>
      </w:r>
      <w:r>
        <w:rPr>
          <w:rFonts w:ascii="Calibri" w:eastAsia="Times New Roman" w:hAnsi="Calibri" w:cs="Calibri"/>
        </w:rPr>
        <w:t>‘Crisis Intervention Teams’</w:t>
      </w:r>
      <w:r w:rsidR="00330BEE">
        <w:rPr>
          <w:rFonts w:ascii="Calibri" w:eastAsia="Times New Roman" w:hAnsi="Calibri" w:cs="Calibri"/>
        </w:rPr>
        <w:t xml:space="preserve"> (CITs)</w:t>
      </w:r>
      <w:r>
        <w:rPr>
          <w:rFonts w:ascii="Calibri" w:eastAsia="Times New Roman" w:hAnsi="Calibri" w:cs="Calibri"/>
        </w:rPr>
        <w:t xml:space="preserve"> (</w:t>
      </w:r>
      <w:proofErr w:type="spellStart"/>
      <w:r w:rsidR="00E66947">
        <w:rPr>
          <w:rFonts w:ascii="Calibri" w:eastAsia="Times New Roman" w:hAnsi="Calibri" w:cs="Calibri"/>
        </w:rPr>
        <w:t>Arey</w:t>
      </w:r>
      <w:proofErr w:type="spellEnd"/>
      <w:r w:rsidR="00E66947">
        <w:rPr>
          <w:rFonts w:ascii="Calibri" w:eastAsia="Times New Roman" w:hAnsi="Calibri" w:cs="Calibri"/>
        </w:rPr>
        <w:t xml:space="preserve"> </w:t>
      </w:r>
      <w:r w:rsidR="00E66947" w:rsidRPr="00E66947">
        <w:rPr>
          <w:rFonts w:ascii="Calibri" w:eastAsia="Times New Roman" w:hAnsi="Calibri" w:cs="Calibri"/>
          <w:i/>
        </w:rPr>
        <w:t>et al.</w:t>
      </w:r>
      <w:r w:rsidR="00E66947">
        <w:rPr>
          <w:rFonts w:ascii="Calibri" w:eastAsia="Times New Roman" w:hAnsi="Calibri" w:cs="Calibri"/>
        </w:rPr>
        <w:t xml:space="preserve"> 2016, </w:t>
      </w:r>
      <w:r>
        <w:rPr>
          <w:rFonts w:ascii="Calibri" w:eastAsia="Times New Roman" w:hAnsi="Calibri" w:cs="Calibri"/>
        </w:rPr>
        <w:t xml:space="preserve">Bonfire </w:t>
      </w:r>
      <w:r w:rsidRPr="0065337A">
        <w:rPr>
          <w:rFonts w:ascii="Calibri" w:eastAsia="Times New Roman" w:hAnsi="Calibri" w:cs="Calibri"/>
          <w:i/>
        </w:rPr>
        <w:t>et al.</w:t>
      </w:r>
      <w:r>
        <w:rPr>
          <w:rFonts w:ascii="Calibri" w:eastAsia="Times New Roman" w:hAnsi="Calibri" w:cs="Calibri"/>
        </w:rPr>
        <w:t xml:space="preserve"> 2014,</w:t>
      </w:r>
      <w:r w:rsidR="0088486F">
        <w:rPr>
          <w:rFonts w:ascii="Calibri" w:eastAsia="Times New Roman" w:hAnsi="Calibri" w:cs="Calibri"/>
        </w:rPr>
        <w:t xml:space="preserve"> Steadman </w:t>
      </w:r>
      <w:r w:rsidR="0088486F" w:rsidRPr="0088486F">
        <w:rPr>
          <w:rFonts w:ascii="Calibri" w:eastAsia="Times New Roman" w:hAnsi="Calibri" w:cs="Calibri"/>
          <w:i/>
        </w:rPr>
        <w:t>et al.</w:t>
      </w:r>
      <w:r w:rsidR="0088486F">
        <w:rPr>
          <w:rFonts w:ascii="Calibri" w:eastAsia="Times New Roman" w:hAnsi="Calibri" w:cs="Calibri"/>
        </w:rPr>
        <w:t xml:space="preserve"> 2000</w:t>
      </w:r>
      <w:r>
        <w:rPr>
          <w:rFonts w:ascii="Calibri" w:eastAsia="Times New Roman" w:hAnsi="Calibri" w:cs="Calibri"/>
        </w:rPr>
        <w:t>)</w:t>
      </w:r>
      <w:r w:rsidR="0088486F">
        <w:rPr>
          <w:rFonts w:ascii="Calibri" w:eastAsia="Times New Roman" w:hAnsi="Calibri" w:cs="Calibri"/>
        </w:rPr>
        <w:t>;</w:t>
      </w:r>
      <w:r>
        <w:rPr>
          <w:rFonts w:ascii="Calibri" w:eastAsia="Times New Roman" w:hAnsi="Calibri" w:cs="Calibri"/>
        </w:rPr>
        <w:t xml:space="preserve"> </w:t>
      </w:r>
      <w:r w:rsidR="0088486F">
        <w:rPr>
          <w:rFonts w:ascii="Calibri" w:eastAsia="Times New Roman" w:hAnsi="Calibri" w:cs="Calibri"/>
        </w:rPr>
        <w:t>s</w:t>
      </w:r>
      <w:r>
        <w:rPr>
          <w:rFonts w:ascii="Calibri" w:eastAsia="Times New Roman" w:hAnsi="Calibri" w:cs="Calibri"/>
        </w:rPr>
        <w:t>imilarly</w:t>
      </w:r>
      <w:r w:rsidR="0088486F">
        <w:rPr>
          <w:rFonts w:ascii="Calibri" w:eastAsia="Times New Roman" w:hAnsi="Calibri" w:cs="Calibri"/>
        </w:rPr>
        <w:t>,</w:t>
      </w:r>
      <w:r>
        <w:rPr>
          <w:rFonts w:ascii="Calibri" w:eastAsia="Times New Roman" w:hAnsi="Calibri" w:cs="Calibri"/>
        </w:rPr>
        <w:t xml:space="preserve"> Critical Incident Response Teams</w:t>
      </w:r>
      <w:r w:rsidR="00330BEE">
        <w:rPr>
          <w:rFonts w:ascii="Calibri" w:eastAsia="Times New Roman" w:hAnsi="Calibri" w:cs="Calibri"/>
        </w:rPr>
        <w:t xml:space="preserve"> (CI</w:t>
      </w:r>
      <w:r w:rsidR="00A22D0F">
        <w:rPr>
          <w:rFonts w:ascii="Calibri" w:eastAsia="Times New Roman" w:hAnsi="Calibri" w:cs="Calibri"/>
        </w:rPr>
        <w:t>R</w:t>
      </w:r>
      <w:r w:rsidR="00330BEE">
        <w:rPr>
          <w:rFonts w:ascii="Calibri" w:eastAsia="Times New Roman" w:hAnsi="Calibri" w:cs="Calibri"/>
        </w:rPr>
        <w:t>Ts)</w:t>
      </w:r>
      <w:r>
        <w:rPr>
          <w:rFonts w:ascii="Calibri" w:eastAsia="Times New Roman" w:hAnsi="Calibri" w:cs="Calibri"/>
        </w:rPr>
        <w:t xml:space="preserve"> are used </w:t>
      </w:r>
      <w:r w:rsidR="00E66947">
        <w:rPr>
          <w:rFonts w:ascii="Calibri" w:eastAsia="Times New Roman" w:hAnsi="Calibri" w:cs="Calibri"/>
        </w:rPr>
        <w:t xml:space="preserve">in Australia </w:t>
      </w:r>
      <w:r>
        <w:rPr>
          <w:rFonts w:ascii="Calibri" w:eastAsia="Times New Roman" w:hAnsi="Calibri" w:cs="Calibri"/>
        </w:rPr>
        <w:t>by Victoria police (see for example Cross</w:t>
      </w:r>
      <w:r w:rsidR="00134B55">
        <w:rPr>
          <w:rFonts w:ascii="Calibri" w:eastAsia="Times New Roman" w:hAnsi="Calibri" w:cs="Calibri"/>
        </w:rPr>
        <w:t>,</w:t>
      </w:r>
      <w:r>
        <w:rPr>
          <w:rFonts w:ascii="Calibri" w:eastAsia="Times New Roman" w:hAnsi="Calibri" w:cs="Calibri"/>
        </w:rPr>
        <w:t xml:space="preserve"> 2014, </w:t>
      </w:r>
      <w:r w:rsidR="00724866">
        <w:rPr>
          <w:rFonts w:ascii="Calibri" w:eastAsia="Times New Roman" w:hAnsi="Calibri" w:cs="Calibri"/>
        </w:rPr>
        <w:t xml:space="preserve">Chappell and </w:t>
      </w:r>
      <w:r w:rsidR="00DD6FE1">
        <w:rPr>
          <w:rFonts w:ascii="Calibri" w:eastAsia="Times New Roman" w:hAnsi="Calibri" w:cs="Calibri"/>
        </w:rPr>
        <w:t>O’Brien</w:t>
      </w:r>
      <w:r w:rsidR="00134B55">
        <w:rPr>
          <w:rFonts w:ascii="Calibri" w:eastAsia="Times New Roman" w:hAnsi="Calibri" w:cs="Calibri"/>
        </w:rPr>
        <w:t>,</w:t>
      </w:r>
      <w:r w:rsidR="00DD6FE1">
        <w:rPr>
          <w:rFonts w:ascii="Calibri" w:eastAsia="Times New Roman" w:hAnsi="Calibri" w:cs="Calibri"/>
        </w:rPr>
        <w:t xml:space="preserve"> 2014, </w:t>
      </w:r>
      <w:r>
        <w:rPr>
          <w:rFonts w:ascii="Calibri" w:eastAsia="Times New Roman" w:hAnsi="Calibri" w:cs="Calibri"/>
        </w:rPr>
        <w:t xml:space="preserve">Compton </w:t>
      </w:r>
      <w:r w:rsidRPr="0065337A">
        <w:rPr>
          <w:rFonts w:ascii="Calibri" w:eastAsia="Times New Roman" w:hAnsi="Calibri" w:cs="Calibri"/>
          <w:i/>
        </w:rPr>
        <w:t>et al.</w:t>
      </w:r>
      <w:r>
        <w:rPr>
          <w:rFonts w:ascii="Calibri" w:eastAsia="Times New Roman" w:hAnsi="Calibri" w:cs="Calibri"/>
        </w:rPr>
        <w:t xml:space="preserve"> 2008)</w:t>
      </w:r>
      <w:r w:rsidR="0088486F">
        <w:rPr>
          <w:rFonts w:ascii="Calibri" w:eastAsia="Times New Roman" w:hAnsi="Calibri" w:cs="Calibri"/>
        </w:rPr>
        <w:t>. In the UK, police</w:t>
      </w:r>
      <w:r w:rsidR="00E66947">
        <w:rPr>
          <w:rFonts w:ascii="Calibri" w:eastAsia="Times New Roman" w:hAnsi="Calibri" w:cs="Calibri"/>
        </w:rPr>
        <w:t xml:space="preserve"> in nine different forces</w:t>
      </w:r>
      <w:r w:rsidR="0088486F">
        <w:rPr>
          <w:rFonts w:ascii="Calibri" w:eastAsia="Times New Roman" w:hAnsi="Calibri" w:cs="Calibri"/>
        </w:rPr>
        <w:t xml:space="preserve"> </w:t>
      </w:r>
      <w:r w:rsidR="00E66947">
        <w:rPr>
          <w:rFonts w:ascii="Calibri" w:eastAsia="Times New Roman" w:hAnsi="Calibri" w:cs="Calibri"/>
        </w:rPr>
        <w:t xml:space="preserve">have </w:t>
      </w:r>
      <w:r w:rsidR="0088486F">
        <w:rPr>
          <w:rFonts w:ascii="Calibri" w:eastAsia="Times New Roman" w:hAnsi="Calibri" w:cs="Calibri"/>
        </w:rPr>
        <w:t>oper</w:t>
      </w:r>
      <w:r w:rsidR="00E66947">
        <w:rPr>
          <w:rFonts w:ascii="Calibri" w:eastAsia="Times New Roman" w:hAnsi="Calibri" w:cs="Calibri"/>
        </w:rPr>
        <w:t>ated a Mental Health Triage pilot since</w:t>
      </w:r>
      <w:r w:rsidR="00B90EBB">
        <w:rPr>
          <w:rFonts w:ascii="Calibri" w:eastAsia="Times New Roman" w:hAnsi="Calibri" w:cs="Calibri"/>
        </w:rPr>
        <w:t xml:space="preserve"> 2013-14</w:t>
      </w:r>
      <w:r w:rsidR="008D75C2">
        <w:rPr>
          <w:rFonts w:ascii="Calibri" w:eastAsia="Times New Roman" w:hAnsi="Calibri" w:cs="Calibri"/>
        </w:rPr>
        <w:t xml:space="preserve"> (</w:t>
      </w:r>
      <w:proofErr w:type="spellStart"/>
      <w:r w:rsidR="008D75C2">
        <w:rPr>
          <w:rFonts w:ascii="Calibri" w:eastAsia="Times New Roman" w:hAnsi="Calibri" w:cs="Calibri"/>
        </w:rPr>
        <w:t>Reveruzzi</w:t>
      </w:r>
      <w:proofErr w:type="spellEnd"/>
      <w:r w:rsidR="008D75C2">
        <w:rPr>
          <w:rFonts w:ascii="Calibri" w:eastAsia="Times New Roman" w:hAnsi="Calibri" w:cs="Calibri"/>
        </w:rPr>
        <w:t xml:space="preserve"> and Pilling, 2016)</w:t>
      </w:r>
      <w:r w:rsidR="00E66947">
        <w:rPr>
          <w:rFonts w:ascii="Calibri" w:eastAsia="Times New Roman" w:hAnsi="Calibri" w:cs="Calibri"/>
        </w:rPr>
        <w:t xml:space="preserve">. Early indications from the </w:t>
      </w:r>
      <w:r w:rsidR="00B90EBB">
        <w:rPr>
          <w:rFonts w:ascii="Calibri" w:eastAsia="Times New Roman" w:hAnsi="Calibri" w:cs="Calibri"/>
        </w:rPr>
        <w:t xml:space="preserve">evaluation of these pilots suggest that multi-agency working becomes more effective, communication between emergency services improves, and the number of individuals detained by police under s136 of the Mental Health 1983 </w:t>
      </w:r>
      <w:r w:rsidR="00416121">
        <w:rPr>
          <w:rFonts w:ascii="Calibri" w:eastAsia="Times New Roman" w:hAnsi="Calibri" w:cs="Calibri"/>
        </w:rPr>
        <w:t>decreases</w:t>
      </w:r>
      <w:r w:rsidR="00B90EBB">
        <w:rPr>
          <w:rFonts w:ascii="Calibri" w:eastAsia="Times New Roman" w:hAnsi="Calibri" w:cs="Calibri"/>
        </w:rPr>
        <w:t xml:space="preserve"> </w:t>
      </w:r>
      <w:r w:rsidR="00E66947">
        <w:rPr>
          <w:rFonts w:ascii="Calibri" w:eastAsia="Times New Roman" w:hAnsi="Calibri" w:cs="Calibri"/>
        </w:rPr>
        <w:t>(</w:t>
      </w:r>
      <w:r w:rsidR="009E739E">
        <w:rPr>
          <w:rFonts w:ascii="Calibri" w:eastAsia="Times New Roman" w:hAnsi="Calibri" w:cs="Calibri"/>
        </w:rPr>
        <w:t xml:space="preserve">Cummins and </w:t>
      </w:r>
      <w:proofErr w:type="spellStart"/>
      <w:r w:rsidR="009E739E">
        <w:rPr>
          <w:rFonts w:ascii="Calibri" w:eastAsia="Times New Roman" w:hAnsi="Calibri" w:cs="Calibri"/>
        </w:rPr>
        <w:t>Edmonson</w:t>
      </w:r>
      <w:proofErr w:type="spellEnd"/>
      <w:r w:rsidR="009E739E">
        <w:rPr>
          <w:rFonts w:ascii="Calibri" w:eastAsia="Times New Roman" w:hAnsi="Calibri" w:cs="Calibri"/>
        </w:rPr>
        <w:t xml:space="preserve">, 2016, </w:t>
      </w:r>
      <w:proofErr w:type="spellStart"/>
      <w:r w:rsidR="00E66947">
        <w:rPr>
          <w:rFonts w:ascii="Calibri" w:eastAsia="Times New Roman" w:hAnsi="Calibri" w:cs="Calibri"/>
        </w:rPr>
        <w:t>Reveruzzi</w:t>
      </w:r>
      <w:proofErr w:type="spellEnd"/>
      <w:r w:rsidR="00E66947">
        <w:rPr>
          <w:rFonts w:ascii="Calibri" w:eastAsia="Times New Roman" w:hAnsi="Calibri" w:cs="Calibri"/>
        </w:rPr>
        <w:t xml:space="preserve"> and Pilling</w:t>
      </w:r>
      <w:r w:rsidR="00134B55">
        <w:rPr>
          <w:rFonts w:ascii="Calibri" w:eastAsia="Times New Roman" w:hAnsi="Calibri" w:cs="Calibri"/>
        </w:rPr>
        <w:t>,</w:t>
      </w:r>
      <w:r w:rsidR="00E66947">
        <w:rPr>
          <w:rFonts w:ascii="Calibri" w:eastAsia="Times New Roman" w:hAnsi="Calibri" w:cs="Calibri"/>
        </w:rPr>
        <w:t xml:space="preserve"> 2016)</w:t>
      </w:r>
      <w:r w:rsidR="00B90EBB">
        <w:rPr>
          <w:rFonts w:ascii="Calibri" w:eastAsia="Times New Roman" w:hAnsi="Calibri" w:cs="Calibri"/>
        </w:rPr>
        <w:t xml:space="preserve">. </w:t>
      </w:r>
      <w:r w:rsidR="00416121">
        <w:rPr>
          <w:rFonts w:ascii="Calibri" w:eastAsia="Times New Roman" w:hAnsi="Calibri" w:cs="Calibri"/>
        </w:rPr>
        <w:t>A</w:t>
      </w:r>
      <w:r w:rsidR="00B90EBB">
        <w:rPr>
          <w:rFonts w:ascii="Calibri" w:eastAsia="Times New Roman" w:hAnsi="Calibri" w:cs="Calibri"/>
        </w:rPr>
        <w:t xml:space="preserve"> more holistic understanding of the individual’s mental health needs in a crisis situation</w:t>
      </w:r>
      <w:r w:rsidR="00416121">
        <w:rPr>
          <w:rFonts w:ascii="Calibri" w:eastAsia="Times New Roman" w:hAnsi="Calibri" w:cs="Calibri"/>
        </w:rPr>
        <w:t xml:space="preserve"> appears</w:t>
      </w:r>
      <w:r w:rsidR="00B90EBB">
        <w:rPr>
          <w:rFonts w:ascii="Calibri" w:eastAsia="Times New Roman" w:hAnsi="Calibri" w:cs="Calibri"/>
        </w:rPr>
        <w:t xml:space="preserve"> </w:t>
      </w:r>
      <w:r w:rsidR="00416121">
        <w:rPr>
          <w:rFonts w:ascii="Calibri" w:eastAsia="Times New Roman" w:hAnsi="Calibri" w:cs="Calibri"/>
        </w:rPr>
        <w:t xml:space="preserve">to be </w:t>
      </w:r>
      <w:r w:rsidR="00B90EBB">
        <w:rPr>
          <w:rFonts w:ascii="Calibri" w:eastAsia="Times New Roman" w:hAnsi="Calibri" w:cs="Calibri"/>
        </w:rPr>
        <w:t xml:space="preserve">enabled by the diverse skill sets that each </w:t>
      </w:r>
      <w:r w:rsidR="00416121">
        <w:rPr>
          <w:rFonts w:ascii="Calibri" w:eastAsia="Times New Roman" w:hAnsi="Calibri" w:cs="Calibri"/>
        </w:rPr>
        <w:t>emergency service brings.</w:t>
      </w:r>
      <w:r w:rsidR="00B90EBB">
        <w:rPr>
          <w:rFonts w:ascii="Calibri" w:eastAsia="Times New Roman" w:hAnsi="Calibri" w:cs="Calibri"/>
        </w:rPr>
        <w:t xml:space="preserve"> I</w:t>
      </w:r>
      <w:r w:rsidR="00E66947">
        <w:rPr>
          <w:rFonts w:ascii="Calibri" w:eastAsia="Times New Roman" w:hAnsi="Calibri" w:cs="Calibri"/>
        </w:rPr>
        <w:t xml:space="preserve">t seems </w:t>
      </w:r>
      <w:r w:rsidR="00B90EBB">
        <w:rPr>
          <w:rFonts w:ascii="Calibri" w:eastAsia="Times New Roman" w:hAnsi="Calibri" w:cs="Calibri"/>
        </w:rPr>
        <w:t xml:space="preserve">possible that these developments might be transferrable to the way emergency services manage </w:t>
      </w:r>
      <w:r w:rsidR="00E66947">
        <w:rPr>
          <w:rFonts w:ascii="Calibri" w:eastAsia="Times New Roman" w:hAnsi="Calibri" w:cs="Calibri"/>
        </w:rPr>
        <w:t>cases of ED.</w:t>
      </w:r>
      <w:r w:rsidR="009E739E">
        <w:rPr>
          <w:rFonts w:ascii="Calibri" w:eastAsia="Times New Roman" w:hAnsi="Calibri" w:cs="Calibri"/>
        </w:rPr>
        <w:t xml:space="preserve"> </w:t>
      </w:r>
    </w:p>
    <w:p w14:paraId="59A6C1FA" w14:textId="77777777" w:rsidR="00CB1EEE" w:rsidRDefault="00CB1EEE" w:rsidP="00266790">
      <w:pPr>
        <w:jc w:val="both"/>
        <w:rPr>
          <w:b/>
          <w:i/>
        </w:rPr>
      </w:pPr>
    </w:p>
    <w:p w14:paraId="72FDC5A7" w14:textId="4B7CD38B" w:rsidR="001D1FD8" w:rsidRPr="00B90EBB" w:rsidRDefault="00B90EBB" w:rsidP="00266790">
      <w:pPr>
        <w:jc w:val="both"/>
        <w:rPr>
          <w:b/>
          <w:i/>
        </w:rPr>
      </w:pPr>
      <w:r w:rsidRPr="00B90EBB">
        <w:rPr>
          <w:b/>
          <w:i/>
        </w:rPr>
        <w:t>Conclusion</w:t>
      </w:r>
    </w:p>
    <w:p w14:paraId="3F407E18" w14:textId="77777777" w:rsidR="003F73A8" w:rsidRDefault="003F73A8" w:rsidP="008D0C5A">
      <w:pPr>
        <w:spacing w:line="360" w:lineRule="auto"/>
        <w:jc w:val="both"/>
      </w:pPr>
    </w:p>
    <w:p w14:paraId="127A11D0" w14:textId="21D2627F" w:rsidR="00062978" w:rsidRDefault="00062978" w:rsidP="008D0C5A">
      <w:pPr>
        <w:spacing w:line="360" w:lineRule="auto"/>
        <w:jc w:val="both"/>
      </w:pPr>
      <w:r>
        <w:t>It has been established that cases of DAPC can be highly contentious and i</w:t>
      </w:r>
      <w:r w:rsidR="00ED7C2A">
        <w:t>llustrative of</w:t>
      </w:r>
      <w:r>
        <w:t xml:space="preserve"> the perceived excessive use of force against marginalised memb</w:t>
      </w:r>
      <w:r w:rsidR="008D75C2">
        <w:t>ers of society. ED</w:t>
      </w:r>
      <w:r>
        <w:t xml:space="preserve"> has apparently become one way of explaining how these deaths occur, but it too is highly contentious. There is a good deal of </w:t>
      </w:r>
      <w:r w:rsidR="00461B9E">
        <w:t>societal</w:t>
      </w:r>
      <w:r>
        <w:t xml:space="preserve"> scepticism about both phenomena </w:t>
      </w:r>
      <w:r w:rsidR="00ED7C2A">
        <w:t>in addition to</w:t>
      </w:r>
      <w:r>
        <w:t xml:space="preserve"> professional scepticism about the existence of ED as</w:t>
      </w:r>
      <w:r w:rsidR="008D75C2">
        <w:t xml:space="preserve"> a ‘condition’. ED</w:t>
      </w:r>
      <w:r>
        <w:t xml:space="preserve"> is marked by </w:t>
      </w:r>
      <w:r w:rsidR="00ED7C2A">
        <w:t>definitional ambiguity</w:t>
      </w:r>
      <w:r>
        <w:t xml:space="preserve">, uncertain aetiology, and a very broad palette of possible symptoms. Whilst it is not recognised by a number of medical bodies, it clearly </w:t>
      </w:r>
      <w:r>
        <w:lastRenderedPageBreak/>
        <w:t>exists as a ‘lexical item’ in policies and guidelines issued to emergency services in England and Wales, and as a cause of death in narrative verdicts returned by coroners’ juries in cases of DAPC.</w:t>
      </w:r>
    </w:p>
    <w:p w14:paraId="01FE0ED9" w14:textId="25DBE5AA" w:rsidR="00062978" w:rsidRDefault="00062978" w:rsidP="008D0C5A">
      <w:pPr>
        <w:spacing w:line="360" w:lineRule="auto"/>
        <w:jc w:val="both"/>
      </w:pPr>
      <w:r>
        <w:t xml:space="preserve">The dataset used in this paper identifies the importance of multi-agency working in </w:t>
      </w:r>
      <w:r w:rsidR="00ED7C2A">
        <w:t>crisis</w:t>
      </w:r>
      <w:r>
        <w:t xml:space="preserve"> situations when citizens are at risk of death. It highlights the importance of identifying </w:t>
      </w:r>
      <w:r w:rsidR="00ED7C2A">
        <w:t>factors</w:t>
      </w:r>
      <w:r>
        <w:t xml:space="preserve"> specific to individuals </w:t>
      </w:r>
      <w:r w:rsidR="00330BEE">
        <w:t xml:space="preserve">in </w:t>
      </w:r>
      <w:r w:rsidR="00ED7C2A">
        <w:t>critical</w:t>
      </w:r>
      <w:r w:rsidR="00330BEE">
        <w:t xml:space="preserve"> </w:t>
      </w:r>
      <w:r w:rsidR="00ED7C2A">
        <w:t>incidents</w:t>
      </w:r>
      <w:r w:rsidR="00330BEE">
        <w:t xml:space="preserve"> </w:t>
      </w:r>
      <w:r>
        <w:t xml:space="preserve">and dealing with them appropriately. This requires </w:t>
      </w:r>
      <w:r w:rsidR="008D75C2">
        <w:t>multi-agency cooperation</w:t>
      </w:r>
      <w:r w:rsidR="00330BEE">
        <w:t>, better communication and more focus on de</w:t>
      </w:r>
      <w:r w:rsidR="00ED7C2A">
        <w:t>-escalatin</w:t>
      </w:r>
      <w:r w:rsidR="008D75C2">
        <w:t>g</w:t>
      </w:r>
      <w:r w:rsidR="00461B9E">
        <w:t xml:space="preserve"> </w:t>
      </w:r>
      <w:r w:rsidR="00ED7C2A">
        <w:t xml:space="preserve">crisis situations. </w:t>
      </w:r>
      <w:r w:rsidR="00330BEE">
        <w:t xml:space="preserve">It suggests </w:t>
      </w:r>
      <w:r w:rsidR="00ED7C2A">
        <w:t>it is preferable to approach</w:t>
      </w:r>
      <w:r w:rsidR="00330BEE">
        <w:t xml:space="preserve"> individuals in critical situations </w:t>
      </w:r>
      <w:r w:rsidR="00ED7C2A">
        <w:t>as though they are experiencing</w:t>
      </w:r>
      <w:r w:rsidR="00330BEE">
        <w:t xml:space="preserve"> a medical emergency rather than restraining them due to a </w:t>
      </w:r>
      <w:r w:rsidR="00ED7C2A">
        <w:t xml:space="preserve">perceived </w:t>
      </w:r>
      <w:r w:rsidR="00330BEE">
        <w:t xml:space="preserve">need to enforce control. </w:t>
      </w:r>
      <w:r w:rsidR="00ED7C2A">
        <w:t>Whilst acknowledging the reservations that exist over ED</w:t>
      </w:r>
      <w:r w:rsidR="00330BEE">
        <w:t xml:space="preserve">, however, </w:t>
      </w:r>
      <w:r w:rsidR="00ED7C2A">
        <w:t xml:space="preserve">it does </w:t>
      </w:r>
      <w:r w:rsidR="00330BEE">
        <w:t xml:space="preserve">appear to </w:t>
      </w:r>
      <w:r w:rsidR="00ED7C2A">
        <w:t>be manifest</w:t>
      </w:r>
      <w:r w:rsidR="00330BEE">
        <w:t xml:space="preserve"> as a constellation of symptoms and could </w:t>
      </w:r>
      <w:r w:rsidR="00ED7C2A">
        <w:t xml:space="preserve">thus </w:t>
      </w:r>
      <w:r w:rsidR="00330BEE">
        <w:t>be a useful to</w:t>
      </w:r>
      <w:r w:rsidR="00CB1EEE">
        <w:t>ol in helping police identify</w:t>
      </w:r>
      <w:r w:rsidR="00330BEE">
        <w:t xml:space="preserve"> individuals in crisis situations. </w:t>
      </w:r>
      <w:r w:rsidR="00CB1EEE">
        <w:t>T</w:t>
      </w:r>
      <w:r w:rsidR="00A22D0F">
        <w:t>he increasing use of CITs, C</w:t>
      </w:r>
      <w:r w:rsidR="00330BEE">
        <w:t>I</w:t>
      </w:r>
      <w:r w:rsidR="00A22D0F">
        <w:t>R</w:t>
      </w:r>
      <w:r w:rsidR="00330BEE">
        <w:t xml:space="preserve">Ts and Mental Health Triage schemes, </w:t>
      </w:r>
      <w:r w:rsidR="00CB1EEE">
        <w:t xml:space="preserve">and </w:t>
      </w:r>
      <w:r w:rsidR="00330BEE">
        <w:t>the use of multi-agency emergency responses seems to suggest that de-escalation is key to reducing incidents of harm to citizens</w:t>
      </w:r>
      <w:r w:rsidR="00CB1EEE">
        <w:t>;</w:t>
      </w:r>
      <w:r w:rsidR="00ED7C2A">
        <w:t xml:space="preserve"> and this appears to fit with the approach suggested in the literature on ED</w:t>
      </w:r>
      <w:r w:rsidR="00330BEE">
        <w:t xml:space="preserve">. As a term that exists to record </w:t>
      </w:r>
      <w:r w:rsidR="00ED7C2A">
        <w:t xml:space="preserve">causes of </w:t>
      </w:r>
      <w:r w:rsidR="00330BEE">
        <w:t>dea</w:t>
      </w:r>
      <w:r w:rsidR="006E6AE8">
        <w:t>th after police contact, ED represents one of a number of causes of death recorded by juries in the coronial system</w:t>
      </w:r>
      <w:r w:rsidR="009E739E">
        <w:t xml:space="preserve"> in contestable cases of DAPC</w:t>
      </w:r>
      <w:r w:rsidR="00330BEE">
        <w:t xml:space="preserve">. But as a term that might help police identify individuals in crisis situations, ED might </w:t>
      </w:r>
      <w:r w:rsidR="009E739E">
        <w:t>prove</w:t>
      </w:r>
      <w:r w:rsidR="00330BEE">
        <w:t xml:space="preserve"> helpful in reducing the number of deaths after police contact. </w:t>
      </w:r>
    </w:p>
    <w:p w14:paraId="513F3C6D" w14:textId="77777777" w:rsidR="00062978" w:rsidRDefault="00062978" w:rsidP="008D0C5A">
      <w:pPr>
        <w:spacing w:line="360" w:lineRule="auto"/>
        <w:jc w:val="both"/>
      </w:pPr>
    </w:p>
    <w:p w14:paraId="3974381E" w14:textId="7C4B51F3" w:rsidR="008F1061" w:rsidRDefault="00062978" w:rsidP="00354F6E">
      <w:pPr>
        <w:spacing w:line="360" w:lineRule="auto"/>
        <w:jc w:val="both"/>
      </w:pPr>
      <w:r>
        <w:br w:type="page"/>
      </w:r>
    </w:p>
    <w:p w14:paraId="623A588C" w14:textId="77777777" w:rsidR="008F1061" w:rsidRPr="008F1061" w:rsidRDefault="008F1061" w:rsidP="008F1061">
      <w:pPr>
        <w:jc w:val="both"/>
        <w:rPr>
          <w:b/>
          <w:i/>
        </w:rPr>
      </w:pPr>
      <w:r w:rsidRPr="008F1061">
        <w:rPr>
          <w:b/>
          <w:i/>
        </w:rPr>
        <w:lastRenderedPageBreak/>
        <w:t>Bibliography</w:t>
      </w:r>
    </w:p>
    <w:p w14:paraId="00E3523A" w14:textId="37F89EA0" w:rsidR="00A958A8" w:rsidRPr="00265A04" w:rsidRDefault="00F64E96" w:rsidP="00265A04">
      <w:pPr>
        <w:jc w:val="both"/>
        <w:rPr>
          <w:lang w:val="en-US"/>
        </w:rPr>
      </w:pPr>
      <w:proofErr w:type="spellStart"/>
      <w:r w:rsidRPr="00265A04">
        <w:rPr>
          <w:lang w:val="en-US"/>
        </w:rPr>
        <w:t>Adebowale</w:t>
      </w:r>
      <w:proofErr w:type="spellEnd"/>
      <w:r w:rsidRPr="00265A04">
        <w:rPr>
          <w:lang w:val="en-US"/>
        </w:rPr>
        <w:t>, V</w:t>
      </w:r>
      <w:r w:rsidR="00856886">
        <w:rPr>
          <w:lang w:val="en-US"/>
        </w:rPr>
        <w:t>.</w:t>
      </w:r>
      <w:r w:rsidRPr="00265A04">
        <w:rPr>
          <w:lang w:val="en-US"/>
        </w:rPr>
        <w:t xml:space="preserve"> (2013) </w:t>
      </w:r>
      <w:r w:rsidRPr="00265A04">
        <w:rPr>
          <w:i/>
          <w:iCs/>
          <w:lang w:val="en-US"/>
        </w:rPr>
        <w:t xml:space="preserve">Independent Commission on Mental Health and Policing.  </w:t>
      </w:r>
      <w:r w:rsidRPr="00265A04">
        <w:rPr>
          <w:lang w:val="en-US"/>
        </w:rPr>
        <w:t xml:space="preserve">Available at: </w:t>
      </w:r>
      <w:hyperlink r:id="rId8" w:history="1">
        <w:r w:rsidRPr="00265A04">
          <w:rPr>
            <w:rStyle w:val="Hyperlink"/>
            <w:lang w:val="en-US"/>
          </w:rPr>
          <w:t xml:space="preserve">http://news.bbc.co.uk/1/shared/bsp/hi/pdfs/10_05_13_report.pdf.   </w:t>
        </w:r>
      </w:hyperlink>
      <w:r w:rsidRPr="00265A04">
        <w:rPr>
          <w:lang w:val="en-US"/>
        </w:rPr>
        <w:t>Accessed 23/6/13.</w:t>
      </w:r>
    </w:p>
    <w:p w14:paraId="7363EB1E" w14:textId="130C232E" w:rsidR="008F1061" w:rsidRDefault="008F1061" w:rsidP="008F1061">
      <w:pPr>
        <w:jc w:val="both"/>
      </w:pPr>
      <w:r>
        <w:t>Aiken, F</w:t>
      </w:r>
      <w:r w:rsidR="00DF066E">
        <w:t>.</w:t>
      </w:r>
      <w:r>
        <w:t>, Duxbury, J</w:t>
      </w:r>
      <w:r w:rsidR="00DF066E">
        <w:t>.</w:t>
      </w:r>
      <w:r>
        <w:t>, Dale, C</w:t>
      </w:r>
      <w:r w:rsidR="00DF066E">
        <w:t>. and</w:t>
      </w:r>
      <w:r>
        <w:t xml:space="preserve"> Harbison, I</w:t>
      </w:r>
      <w:r w:rsidR="00856886">
        <w:t>.</w:t>
      </w:r>
      <w:r>
        <w:t xml:space="preserve"> (2011) </w:t>
      </w:r>
      <w:r w:rsidRPr="005E3149">
        <w:rPr>
          <w:i/>
        </w:rPr>
        <w:t>Review of the Medical Theories and Research Relating to Restraint Deaths.</w:t>
      </w:r>
      <w:r>
        <w:t xml:space="preserve"> Available at: http://iapdeathsincustody.independent.gov.uk/wp-content/uploads/2011/11/Caring-Solutions-UK-Ltd-Review-of-Medical-Theories-of-Restraint-Deaths.pdf. Accessed 19/12/13</w:t>
      </w:r>
    </w:p>
    <w:p w14:paraId="5B3FCC31" w14:textId="4DCA60E8" w:rsidR="008F1061" w:rsidRDefault="008F1061" w:rsidP="008F1061">
      <w:pPr>
        <w:jc w:val="both"/>
      </w:pPr>
      <w:proofErr w:type="spellStart"/>
      <w:r>
        <w:t>Anaïs</w:t>
      </w:r>
      <w:proofErr w:type="spellEnd"/>
      <w:r>
        <w:t>, S</w:t>
      </w:r>
      <w:r w:rsidR="00856886">
        <w:t>.</w:t>
      </w:r>
      <w:r>
        <w:t xml:space="preserve"> (2014) ‘Making Up Excited Delirium.’ </w:t>
      </w:r>
      <w:r w:rsidRPr="005E3149">
        <w:rPr>
          <w:i/>
        </w:rPr>
        <w:t>Canadian Journal of Sociology.</w:t>
      </w:r>
      <w:r>
        <w:t xml:space="preserve"> 39 (1). 45-64.</w:t>
      </w:r>
    </w:p>
    <w:p w14:paraId="39895C07" w14:textId="77777777" w:rsidR="008F1061" w:rsidRDefault="008F1061" w:rsidP="008F1061">
      <w:pPr>
        <w:jc w:val="both"/>
      </w:pPr>
      <w:r>
        <w:t xml:space="preserve">ACPO (2012) </w:t>
      </w:r>
      <w:r w:rsidRPr="005E3149">
        <w:rPr>
          <w:i/>
        </w:rPr>
        <w:t xml:space="preserve">Guidance on the Safer Detention and Handling of Persons in Police Custody. 2nd </w:t>
      </w:r>
      <w:proofErr w:type="spellStart"/>
      <w:r w:rsidRPr="005E3149">
        <w:rPr>
          <w:i/>
        </w:rPr>
        <w:t>edn</w:t>
      </w:r>
      <w:proofErr w:type="spellEnd"/>
      <w:r w:rsidRPr="005E3149">
        <w:rPr>
          <w:i/>
        </w:rPr>
        <w:t>.</w:t>
      </w:r>
      <w:r>
        <w:t xml:space="preserve"> Available at: https://www.gov.uk/government/uploads/system/uploads/attachment_data/file/117555/safer-detention-guidance-2012.pdf. Accessed 5/1/14. </w:t>
      </w:r>
    </w:p>
    <w:p w14:paraId="659C456B" w14:textId="73278DF1" w:rsidR="008F1061" w:rsidRDefault="008F1061" w:rsidP="008F1061">
      <w:pPr>
        <w:jc w:val="both"/>
      </w:pPr>
      <w:proofErr w:type="spellStart"/>
      <w:r>
        <w:t>Arey</w:t>
      </w:r>
      <w:proofErr w:type="spellEnd"/>
      <w:r>
        <w:t>, J</w:t>
      </w:r>
      <w:r w:rsidR="00DF066E">
        <w:t>.</w:t>
      </w:r>
      <w:r>
        <w:t>, Wilder, A</w:t>
      </w:r>
      <w:r w:rsidR="00DF066E">
        <w:t>.</w:t>
      </w:r>
      <w:r>
        <w:t xml:space="preserve">, </w:t>
      </w:r>
      <w:proofErr w:type="spellStart"/>
      <w:r>
        <w:t>Normore</w:t>
      </w:r>
      <w:proofErr w:type="spellEnd"/>
      <w:r>
        <w:t>, A</w:t>
      </w:r>
      <w:r w:rsidR="00DF066E">
        <w:t>.</w:t>
      </w:r>
      <w:r>
        <w:t xml:space="preserve">, </w:t>
      </w:r>
      <w:proofErr w:type="spellStart"/>
      <w:r>
        <w:t>Iannazo</w:t>
      </w:r>
      <w:proofErr w:type="spellEnd"/>
      <w:r>
        <w:t>, M</w:t>
      </w:r>
      <w:r w:rsidR="00DF066E">
        <w:t>.</w:t>
      </w:r>
      <w:r>
        <w:t xml:space="preserve"> and </w:t>
      </w:r>
      <w:proofErr w:type="spellStart"/>
      <w:r>
        <w:t>Javidi</w:t>
      </w:r>
      <w:proofErr w:type="spellEnd"/>
      <w:r>
        <w:t>, M</w:t>
      </w:r>
      <w:r w:rsidR="00DF066E">
        <w:t>.</w:t>
      </w:r>
      <w:r>
        <w:t xml:space="preserve"> (2016) ‘Crisis Intervention Teams: An Evolution of Leadership in Community and Policing.’ </w:t>
      </w:r>
      <w:r w:rsidRPr="005E3149">
        <w:rPr>
          <w:i/>
        </w:rPr>
        <w:t>Policing: A Journal of Policy and Practice.</w:t>
      </w:r>
      <w:r>
        <w:t xml:space="preserve"> 10 (2). 143-149. </w:t>
      </w:r>
    </w:p>
    <w:p w14:paraId="20E079AB" w14:textId="139D89F6" w:rsidR="00082C8A" w:rsidRDefault="00082C8A" w:rsidP="008F1061">
      <w:pPr>
        <w:jc w:val="both"/>
      </w:pPr>
      <w:r>
        <w:t xml:space="preserve">Baker, D (2016a) </w:t>
      </w:r>
      <w:r w:rsidRPr="00082C8A">
        <w:rPr>
          <w:i/>
        </w:rPr>
        <w:t>Deaths after police contact: constructing accountability in the 21</w:t>
      </w:r>
      <w:r w:rsidRPr="00082C8A">
        <w:rPr>
          <w:i/>
          <w:vertAlign w:val="superscript"/>
        </w:rPr>
        <w:t>st</w:t>
      </w:r>
      <w:r w:rsidRPr="00082C8A">
        <w:rPr>
          <w:i/>
        </w:rPr>
        <w:t xml:space="preserve"> century</w:t>
      </w:r>
      <w:r>
        <w:t>. London. Palgrave-MacMillan</w:t>
      </w:r>
    </w:p>
    <w:p w14:paraId="1DC24E5A" w14:textId="6D2DEFB0" w:rsidR="00082C8A" w:rsidRDefault="00082C8A" w:rsidP="008F1061">
      <w:pPr>
        <w:jc w:val="both"/>
      </w:pPr>
      <w:r>
        <w:t xml:space="preserve">Baker, D (2016b) </w:t>
      </w:r>
      <w:r w:rsidR="00B10A2D">
        <w:t xml:space="preserve">‘Deaths after police contact in England and Wales: the effects of Article 2 of the European Convention on Human Rights on coronial practice.’ </w:t>
      </w:r>
      <w:r w:rsidR="00B10A2D" w:rsidRPr="00B10A2D">
        <w:rPr>
          <w:i/>
        </w:rPr>
        <w:t>International Journal of Law in Context</w:t>
      </w:r>
      <w:r w:rsidR="00B10A2D">
        <w:t xml:space="preserve">. 12 (2) 162-177. </w:t>
      </w:r>
    </w:p>
    <w:p w14:paraId="165132C5" w14:textId="2E99592C" w:rsidR="00B10A2D" w:rsidRDefault="00B10A2D" w:rsidP="008F1061">
      <w:pPr>
        <w:jc w:val="both"/>
      </w:pPr>
      <w:r>
        <w:t xml:space="preserve">Baker, D (2016c) ‘Researching deaths after police contact: challenges and solutions.’ </w:t>
      </w:r>
      <w:r w:rsidRPr="00B10A2D">
        <w:rPr>
          <w:i/>
        </w:rPr>
        <w:t xml:space="preserve">Journal of Criminological Research, Policy and Practice. </w:t>
      </w:r>
      <w:r>
        <w:t xml:space="preserve">2 (1) 15-27. </w:t>
      </w:r>
    </w:p>
    <w:p w14:paraId="2CA773DF" w14:textId="2EF541C5" w:rsidR="008F1061" w:rsidRDefault="008F1061" w:rsidP="008F1061">
      <w:pPr>
        <w:jc w:val="both"/>
      </w:pPr>
      <w:r>
        <w:t>Best, D</w:t>
      </w:r>
      <w:r w:rsidR="00DF066E">
        <w:t>.</w:t>
      </w:r>
      <w:r>
        <w:t xml:space="preserve">, </w:t>
      </w:r>
      <w:proofErr w:type="spellStart"/>
      <w:r>
        <w:t>Havis</w:t>
      </w:r>
      <w:proofErr w:type="spellEnd"/>
      <w:r>
        <w:t>, S</w:t>
      </w:r>
      <w:r w:rsidR="00DF066E">
        <w:t>.</w:t>
      </w:r>
      <w:r>
        <w:t xml:space="preserve">, </w:t>
      </w:r>
      <w:proofErr w:type="spellStart"/>
      <w:r>
        <w:t>Gossop</w:t>
      </w:r>
      <w:proofErr w:type="spellEnd"/>
      <w:r>
        <w:t>, M</w:t>
      </w:r>
      <w:r w:rsidR="00DF066E">
        <w:t>.</w:t>
      </w:r>
      <w:r>
        <w:t>, Gross, S</w:t>
      </w:r>
      <w:r w:rsidR="00DF066E">
        <w:t>.</w:t>
      </w:r>
      <w:r>
        <w:t xml:space="preserve">, </w:t>
      </w:r>
      <w:proofErr w:type="spellStart"/>
      <w:r>
        <w:t>Witton</w:t>
      </w:r>
      <w:proofErr w:type="spellEnd"/>
      <w:r>
        <w:t>, J</w:t>
      </w:r>
      <w:r w:rsidR="00DF066E">
        <w:t>.</w:t>
      </w:r>
      <w:r>
        <w:t xml:space="preserve">, </w:t>
      </w:r>
      <w:proofErr w:type="spellStart"/>
      <w:r>
        <w:t>Keaney</w:t>
      </w:r>
      <w:proofErr w:type="spellEnd"/>
      <w:r>
        <w:t>, F</w:t>
      </w:r>
      <w:r w:rsidR="00DF066E">
        <w:t>.</w:t>
      </w:r>
      <w:r>
        <w:t xml:space="preserve"> and </w:t>
      </w:r>
      <w:proofErr w:type="spellStart"/>
      <w:r>
        <w:t>Strang</w:t>
      </w:r>
      <w:proofErr w:type="spellEnd"/>
      <w:r>
        <w:t xml:space="preserve">, J. (2004) ‘The Risk of Drug Swallowing at the Point of Arrest: An Analysis of 24 Cocaine-related Deaths Following Police Care or Custody in England and Wales.’  </w:t>
      </w:r>
      <w:r w:rsidRPr="005E3149">
        <w:rPr>
          <w:i/>
        </w:rPr>
        <w:t>Policing and Society.</w:t>
      </w:r>
      <w:r>
        <w:t xml:space="preserve"> 14 (4) 380-391.</w:t>
      </w:r>
    </w:p>
    <w:p w14:paraId="2F14FAEB" w14:textId="0CE568CE" w:rsidR="008F1061" w:rsidRDefault="008F1061" w:rsidP="008F1061">
      <w:pPr>
        <w:jc w:val="both"/>
      </w:pPr>
      <w:r>
        <w:t>Bonfire, N</w:t>
      </w:r>
      <w:r w:rsidR="00DF066E">
        <w:t>.</w:t>
      </w:r>
      <w:r>
        <w:t>, Ritter, C</w:t>
      </w:r>
      <w:r w:rsidR="00DF066E">
        <w:t>. and</w:t>
      </w:r>
      <w:r>
        <w:t xml:space="preserve"> </w:t>
      </w:r>
      <w:proofErr w:type="spellStart"/>
      <w:r>
        <w:t>Munetz</w:t>
      </w:r>
      <w:proofErr w:type="spellEnd"/>
      <w:r>
        <w:t>, R</w:t>
      </w:r>
      <w:r w:rsidR="00DF066E">
        <w:t>.</w:t>
      </w:r>
      <w:r>
        <w:t xml:space="preserve"> (2014) ‘Police officers' perceptions of the impact of the Crisis Intervention Team (CIT) programs’. </w:t>
      </w:r>
      <w:r w:rsidRPr="005E3149">
        <w:rPr>
          <w:i/>
        </w:rPr>
        <w:t>International Journal of Law and Psychiatry.</w:t>
      </w:r>
      <w:r>
        <w:t xml:space="preserve"> 37 (4). 341- 350. </w:t>
      </w:r>
    </w:p>
    <w:p w14:paraId="52EAD918" w14:textId="77777777" w:rsidR="008F1061" w:rsidRDefault="008F1061" w:rsidP="008F1061">
      <w:pPr>
        <w:jc w:val="both"/>
      </w:pPr>
      <w:r>
        <w:t xml:space="preserve">British Medical Association (2009) </w:t>
      </w:r>
      <w:r w:rsidRPr="005E3149">
        <w:rPr>
          <w:i/>
        </w:rPr>
        <w:t>Health care of detainees in police stations.</w:t>
      </w:r>
      <w:r>
        <w:t xml:space="preserve"> Available at: bma.org.uk/-/media/Files/PDFs/.../Ethics/healthdetainees0209.pdf. Accessed 6/9/13.</w:t>
      </w:r>
    </w:p>
    <w:p w14:paraId="169751C0" w14:textId="633FCDDF" w:rsidR="008F1061" w:rsidRDefault="008F1061" w:rsidP="008F1061">
      <w:pPr>
        <w:jc w:val="both"/>
      </w:pPr>
      <w:proofErr w:type="spellStart"/>
      <w:r>
        <w:t>Brodeur</w:t>
      </w:r>
      <w:proofErr w:type="spellEnd"/>
      <w:r>
        <w:t>, J-P</w:t>
      </w:r>
      <w:r w:rsidR="00DF066E">
        <w:t>.</w:t>
      </w:r>
      <w:r>
        <w:t xml:space="preserve"> (2010) </w:t>
      </w:r>
      <w:r w:rsidRPr="005E3149">
        <w:rPr>
          <w:i/>
        </w:rPr>
        <w:t>The Policing Web.</w:t>
      </w:r>
      <w:r>
        <w:t xml:space="preserve"> New York. Oxford University Press.</w:t>
      </w:r>
    </w:p>
    <w:p w14:paraId="3A1FA7D3" w14:textId="77777777" w:rsidR="00592F34" w:rsidRPr="00592F34" w:rsidRDefault="00592F34" w:rsidP="00592F34">
      <w:pPr>
        <w:pStyle w:val="Heading1"/>
        <w:rPr>
          <w:rFonts w:asciiTheme="minorHAnsi" w:hAnsiTheme="minorHAnsi" w:cs="Calibri"/>
          <w:b w:val="0"/>
          <w:sz w:val="22"/>
          <w:szCs w:val="22"/>
        </w:rPr>
      </w:pPr>
      <w:proofErr w:type="spellStart"/>
      <w:r w:rsidRPr="00592F34">
        <w:rPr>
          <w:rFonts w:asciiTheme="minorHAnsi" w:hAnsiTheme="minorHAnsi" w:cs="Calibri"/>
          <w:b w:val="0"/>
          <w:sz w:val="22"/>
          <w:szCs w:val="22"/>
        </w:rPr>
        <w:t>Casale</w:t>
      </w:r>
      <w:proofErr w:type="spellEnd"/>
      <w:r w:rsidRPr="00592F34">
        <w:rPr>
          <w:rFonts w:asciiTheme="minorHAnsi" w:hAnsiTheme="minorHAnsi" w:cs="Calibri"/>
          <w:b w:val="0"/>
          <w:sz w:val="22"/>
          <w:szCs w:val="22"/>
        </w:rPr>
        <w:t xml:space="preserve">, S, Corfe, M and Lewis, J (2013) ‘Report of the independent external review of the IPCC investigation into the death of Sean </w:t>
      </w:r>
      <w:proofErr w:type="spellStart"/>
      <w:r w:rsidRPr="00592F34">
        <w:rPr>
          <w:rFonts w:asciiTheme="minorHAnsi" w:hAnsiTheme="minorHAnsi" w:cs="Calibri"/>
          <w:b w:val="0"/>
          <w:sz w:val="22"/>
          <w:szCs w:val="22"/>
        </w:rPr>
        <w:t>Rigg</w:t>
      </w:r>
      <w:proofErr w:type="spellEnd"/>
      <w:r w:rsidRPr="00592F34">
        <w:rPr>
          <w:rFonts w:asciiTheme="minorHAnsi" w:hAnsiTheme="minorHAnsi" w:cs="Calibri"/>
          <w:b w:val="0"/>
          <w:sz w:val="22"/>
          <w:szCs w:val="22"/>
        </w:rPr>
        <w:t xml:space="preserve">.’ Available at: </w:t>
      </w:r>
      <w:r w:rsidRPr="00592F34">
        <w:rPr>
          <w:rFonts w:asciiTheme="minorHAnsi" w:hAnsiTheme="minorHAnsi" w:cs="Calibri"/>
          <w:b w:val="0"/>
          <w:sz w:val="22"/>
          <w:szCs w:val="22"/>
        </w:rPr>
        <w:fldChar w:fldCharType="begin"/>
      </w:r>
      <w:r w:rsidRPr="00592F34">
        <w:rPr>
          <w:rFonts w:asciiTheme="minorHAnsi" w:hAnsiTheme="minorHAnsi" w:cs="Calibri"/>
          <w:b w:val="0"/>
          <w:sz w:val="22"/>
          <w:szCs w:val="22"/>
        </w:rPr>
        <w:instrText xml:space="preserve"> HYPERLINK "http://www.ipcc.gov.uk/news/Pages/pr_170513_Riggreview.aspx. Accessed 21/5/13</w:instrText>
      </w:r>
    </w:p>
    <w:p w14:paraId="6B762510" w14:textId="77777777" w:rsidR="00592F34" w:rsidRPr="00592F34" w:rsidRDefault="00592F34" w:rsidP="00592F34">
      <w:pPr>
        <w:pStyle w:val="Heading1"/>
        <w:rPr>
          <w:rStyle w:val="Hyperlink"/>
          <w:rFonts w:asciiTheme="minorHAnsi" w:hAnsiTheme="minorHAnsi" w:cs="Calibri"/>
          <w:b w:val="0"/>
          <w:sz w:val="22"/>
          <w:szCs w:val="22"/>
        </w:rPr>
      </w:pPr>
      <w:r w:rsidRPr="00592F34">
        <w:rPr>
          <w:rFonts w:asciiTheme="minorHAnsi" w:hAnsiTheme="minorHAnsi" w:cs="Calibri"/>
          <w:b w:val="0"/>
          <w:sz w:val="22"/>
          <w:szCs w:val="22"/>
        </w:rPr>
        <w:instrText xml:space="preserve">" </w:instrText>
      </w:r>
      <w:r w:rsidRPr="00592F34">
        <w:rPr>
          <w:rFonts w:asciiTheme="minorHAnsi" w:hAnsiTheme="minorHAnsi" w:cs="Calibri"/>
          <w:b w:val="0"/>
          <w:sz w:val="22"/>
          <w:szCs w:val="22"/>
        </w:rPr>
        <w:fldChar w:fldCharType="separate"/>
      </w:r>
      <w:r w:rsidRPr="00592F34">
        <w:rPr>
          <w:rStyle w:val="Hyperlink"/>
          <w:rFonts w:asciiTheme="minorHAnsi" w:hAnsiTheme="minorHAnsi" w:cs="Calibri"/>
          <w:b w:val="0"/>
          <w:sz w:val="22"/>
          <w:szCs w:val="22"/>
        </w:rPr>
        <w:t>http://www.ipcc.gov.uk/news/Pages/pr_170513_Riggreview.aspx. Accessed 21/5/13</w:t>
      </w:r>
    </w:p>
    <w:p w14:paraId="4627F908" w14:textId="6A932095" w:rsidR="008F1061" w:rsidRDefault="00592F34" w:rsidP="008F1061">
      <w:pPr>
        <w:jc w:val="both"/>
      </w:pPr>
      <w:r w:rsidRPr="00592F34">
        <w:rPr>
          <w:rFonts w:cs="Calibri"/>
          <w:b/>
        </w:rPr>
        <w:fldChar w:fldCharType="end"/>
      </w:r>
      <w:r w:rsidR="008F1061">
        <w:t>Chappell, D</w:t>
      </w:r>
      <w:r w:rsidR="00DF066E">
        <w:t>. and</w:t>
      </w:r>
      <w:r w:rsidR="008F1061">
        <w:t xml:space="preserve"> O’Brien, A</w:t>
      </w:r>
      <w:r w:rsidR="00DF066E">
        <w:t>.</w:t>
      </w:r>
      <w:r w:rsidR="008F1061">
        <w:t xml:space="preserve"> (2014) ‘Police responses to persons with mental illness: International perspectives’. </w:t>
      </w:r>
      <w:r w:rsidR="008F1061" w:rsidRPr="005E3149">
        <w:rPr>
          <w:i/>
        </w:rPr>
        <w:t>International journal of law and psychiatry.</w:t>
      </w:r>
      <w:r w:rsidR="008F1061">
        <w:t xml:space="preserve"> 37 (4). 321-324. </w:t>
      </w:r>
    </w:p>
    <w:p w14:paraId="124525B1" w14:textId="498537CE" w:rsidR="008F73F1" w:rsidRDefault="008F73F1" w:rsidP="008F73F1">
      <w:pPr>
        <w:spacing w:line="240" w:lineRule="auto"/>
        <w:jc w:val="both"/>
      </w:pPr>
      <w:r w:rsidRPr="00A1798C">
        <w:t>Coles, D</w:t>
      </w:r>
      <w:r w:rsidR="00DF066E">
        <w:t>.,</w:t>
      </w:r>
      <w:r w:rsidRPr="00A1798C">
        <w:t xml:space="preserve"> </w:t>
      </w:r>
      <w:r w:rsidR="00DF066E">
        <w:t>and</w:t>
      </w:r>
      <w:r w:rsidRPr="00A1798C">
        <w:t xml:space="preserve"> Shaw, H</w:t>
      </w:r>
      <w:r w:rsidR="00DF066E">
        <w:t>.</w:t>
      </w:r>
      <w:r w:rsidRPr="00A1798C">
        <w:t xml:space="preserve"> (2012) </w:t>
      </w:r>
      <w:r w:rsidRPr="00A1798C">
        <w:rPr>
          <w:i/>
        </w:rPr>
        <w:t>Learning from Death in Custody Inquests: A New Framework for Action and Accountability.</w:t>
      </w:r>
      <w:r w:rsidRPr="00A1798C">
        <w:t xml:space="preserve"> London: Russell Press.</w:t>
      </w:r>
    </w:p>
    <w:p w14:paraId="0DBC84E7" w14:textId="33A12D39" w:rsidR="00997F7E" w:rsidRPr="00A1798C" w:rsidRDefault="00997F7E" w:rsidP="004211A2">
      <w:pPr>
        <w:spacing w:line="240" w:lineRule="auto"/>
      </w:pPr>
      <w:r>
        <w:t xml:space="preserve">College of Policing </w:t>
      </w:r>
      <w:r w:rsidR="004211A2">
        <w:t xml:space="preserve">(2017) </w:t>
      </w:r>
      <w:r w:rsidR="004211A2" w:rsidRPr="004211A2">
        <w:rPr>
          <w:i/>
        </w:rPr>
        <w:t>Authorised Professional Practice</w:t>
      </w:r>
      <w:r w:rsidR="004211A2">
        <w:t xml:space="preserve">. Available at: </w:t>
      </w:r>
      <w:hyperlink r:id="rId9" w:history="1">
        <w:r w:rsidR="004211A2" w:rsidRPr="000C512A">
          <w:rPr>
            <w:rStyle w:val="Hyperlink"/>
          </w:rPr>
          <w:t>https://www.app.college.police.uk/app-content/</w:t>
        </w:r>
      </w:hyperlink>
      <w:r w:rsidR="004211A2">
        <w:t xml:space="preserve">. Accessed 30/3/17. </w:t>
      </w:r>
    </w:p>
    <w:p w14:paraId="1672ADA1" w14:textId="0F59AA9B" w:rsidR="008F1061" w:rsidRDefault="008F1061" w:rsidP="008F1061">
      <w:pPr>
        <w:jc w:val="both"/>
      </w:pPr>
      <w:r>
        <w:lastRenderedPageBreak/>
        <w:t>Compton, M</w:t>
      </w:r>
      <w:r w:rsidR="00DF066E">
        <w:t>.</w:t>
      </w:r>
      <w:r w:rsidR="005E3149">
        <w:t>, Hanafi, S</w:t>
      </w:r>
      <w:r w:rsidR="00DF066E">
        <w:t>.</w:t>
      </w:r>
      <w:r w:rsidR="005E3149">
        <w:t xml:space="preserve">, </w:t>
      </w:r>
      <w:proofErr w:type="spellStart"/>
      <w:r w:rsidR="005E3149">
        <w:t>Bahor</w:t>
      </w:r>
      <w:proofErr w:type="spellEnd"/>
      <w:r w:rsidR="005E3149">
        <w:t>, M</w:t>
      </w:r>
      <w:r w:rsidR="00DF066E">
        <w:t>. and</w:t>
      </w:r>
      <w:r w:rsidR="005E3149">
        <w:t xml:space="preserve"> </w:t>
      </w:r>
      <w:proofErr w:type="spellStart"/>
      <w:r w:rsidR="005E3149">
        <w:t>Demir</w:t>
      </w:r>
      <w:proofErr w:type="spellEnd"/>
      <w:r w:rsidR="005E3149">
        <w:t>, B</w:t>
      </w:r>
      <w:r w:rsidR="00DF066E">
        <w:t>.</w:t>
      </w:r>
      <w:r>
        <w:t xml:space="preserve"> (2008) ‘Incorporating Crisis Intervention Team (CIT) knowledge and skills into the daily work of police officers: A focus group study’. </w:t>
      </w:r>
      <w:r w:rsidRPr="005E3149">
        <w:rPr>
          <w:i/>
        </w:rPr>
        <w:t>Community Mental Health Journal.</w:t>
      </w:r>
      <w:r>
        <w:t xml:space="preserve"> 44 (6), 427–432</w:t>
      </w:r>
      <w:r w:rsidR="009E739E">
        <w:t>.</w:t>
      </w:r>
    </w:p>
    <w:p w14:paraId="4F0E4A37" w14:textId="77777777" w:rsidR="008F1061" w:rsidRDefault="008F1061" w:rsidP="008F1061">
      <w:pPr>
        <w:jc w:val="both"/>
      </w:pPr>
      <w:r>
        <w:t xml:space="preserve">Chief Coroner (2014) </w:t>
      </w:r>
      <w:r w:rsidRPr="005E3149">
        <w:rPr>
          <w:i/>
        </w:rPr>
        <w:t>Report of the Chief Coroner to the Lord Chancellor. First Annual Report 2013-2014.</w:t>
      </w:r>
      <w:r>
        <w:t xml:space="preserve"> Available at: https://www.gov.uk/government/publications/chief-coroners-annual-report-2013-to-2014. Accessed 14/8/15. </w:t>
      </w:r>
    </w:p>
    <w:p w14:paraId="72420AAD" w14:textId="62B31F2A" w:rsidR="008F1061" w:rsidRDefault="005E3149" w:rsidP="008F1061">
      <w:pPr>
        <w:jc w:val="both"/>
      </w:pPr>
      <w:r>
        <w:t>Cross, A</w:t>
      </w:r>
      <w:r w:rsidR="00DF066E">
        <w:t>.</w:t>
      </w:r>
      <w:r>
        <w:t xml:space="preserve">, </w:t>
      </w:r>
      <w:proofErr w:type="spellStart"/>
      <w:r>
        <w:t>Mulvey</w:t>
      </w:r>
      <w:proofErr w:type="spellEnd"/>
      <w:r>
        <w:t>, E</w:t>
      </w:r>
      <w:r w:rsidR="00DF066E">
        <w:t>.</w:t>
      </w:r>
      <w:r>
        <w:t>, Schubert, C</w:t>
      </w:r>
      <w:r w:rsidR="00DF066E">
        <w:t>.</w:t>
      </w:r>
      <w:r>
        <w:t>, Griffin, P</w:t>
      </w:r>
      <w:r w:rsidR="00DF066E">
        <w:t xml:space="preserve">. and </w:t>
      </w:r>
      <w:proofErr w:type="spellStart"/>
      <w:r w:rsidR="00DF066E">
        <w:t>Filone</w:t>
      </w:r>
      <w:proofErr w:type="spellEnd"/>
      <w:r w:rsidR="00DF066E">
        <w:t>, S</w:t>
      </w:r>
      <w:r w:rsidR="008F1061">
        <w:t xml:space="preserve">. (2014). ‘An agenda for advancing research on Crisis Intervention Teams for mental health emergencies’. </w:t>
      </w:r>
      <w:r w:rsidR="008F1061" w:rsidRPr="005E3149">
        <w:rPr>
          <w:i/>
        </w:rPr>
        <w:t>Psychiatric Services</w:t>
      </w:r>
      <w:r w:rsidR="009E739E">
        <w:t xml:space="preserve"> 65(4), 530–536.</w:t>
      </w:r>
    </w:p>
    <w:p w14:paraId="22323FB3" w14:textId="19B6A80D" w:rsidR="009E739E" w:rsidRPr="009E739E" w:rsidRDefault="009E739E" w:rsidP="009E739E">
      <w:pPr>
        <w:pStyle w:val="NormalWeb"/>
        <w:rPr>
          <w:rFonts w:asciiTheme="minorHAnsi" w:hAnsiTheme="minorHAnsi"/>
          <w:sz w:val="22"/>
          <w:szCs w:val="22"/>
        </w:rPr>
      </w:pPr>
      <w:r w:rsidRPr="009E739E">
        <w:rPr>
          <w:rFonts w:asciiTheme="minorHAnsi" w:hAnsiTheme="minorHAnsi" w:cs="ArialMT"/>
          <w:sz w:val="22"/>
          <w:szCs w:val="22"/>
        </w:rPr>
        <w:t xml:space="preserve">Cummins, I, Edmondson, D. (2016). ‘Policing and street triage’. </w:t>
      </w:r>
      <w:r w:rsidRPr="009E739E">
        <w:rPr>
          <w:rFonts w:asciiTheme="minorHAnsi" w:hAnsiTheme="minorHAnsi" w:cs="ArialMT"/>
          <w:i/>
          <w:sz w:val="22"/>
          <w:szCs w:val="22"/>
        </w:rPr>
        <w:t>Journal of Adult Protection</w:t>
      </w:r>
      <w:r w:rsidRPr="009E739E">
        <w:rPr>
          <w:rFonts w:asciiTheme="minorHAnsi" w:hAnsiTheme="minorHAnsi" w:cs="ArialMT"/>
          <w:sz w:val="22"/>
          <w:szCs w:val="22"/>
        </w:rPr>
        <w:t xml:space="preserve">. 18 (1), 40-52. </w:t>
      </w:r>
    </w:p>
    <w:p w14:paraId="4DA2F462" w14:textId="4A2EB6B3" w:rsidR="00964D13" w:rsidRPr="00964D13" w:rsidRDefault="00964D13" w:rsidP="00964D13">
      <w:pPr>
        <w:widowControl w:val="0"/>
        <w:autoSpaceDE w:val="0"/>
        <w:autoSpaceDN w:val="0"/>
        <w:adjustRightInd w:val="0"/>
        <w:spacing w:after="240" w:line="240" w:lineRule="auto"/>
        <w:jc w:val="both"/>
        <w:rPr>
          <w:rFonts w:cs="Times"/>
          <w:lang w:val="en-US"/>
        </w:rPr>
      </w:pPr>
      <w:proofErr w:type="spellStart"/>
      <w:r w:rsidRPr="00964D13">
        <w:rPr>
          <w:rFonts w:cs="Times"/>
          <w:lang w:val="en-US"/>
        </w:rPr>
        <w:t>Daftary-Kapur</w:t>
      </w:r>
      <w:proofErr w:type="spellEnd"/>
      <w:r w:rsidRPr="00964D13">
        <w:rPr>
          <w:rFonts w:cs="Times"/>
          <w:lang w:val="en-US"/>
        </w:rPr>
        <w:t>, T</w:t>
      </w:r>
      <w:r w:rsidR="00DF066E">
        <w:rPr>
          <w:rFonts w:cs="Times"/>
          <w:lang w:val="en-US"/>
        </w:rPr>
        <w:t>.</w:t>
      </w:r>
      <w:r w:rsidRPr="00964D13">
        <w:rPr>
          <w:rFonts w:cs="Times"/>
          <w:lang w:val="en-US"/>
        </w:rPr>
        <w:t>, Dumas, R</w:t>
      </w:r>
      <w:r w:rsidR="00DF066E">
        <w:rPr>
          <w:rFonts w:cs="Times"/>
          <w:lang w:val="en-US"/>
        </w:rPr>
        <w:t>.</w:t>
      </w:r>
      <w:r w:rsidRPr="00964D13">
        <w:rPr>
          <w:rFonts w:cs="Times"/>
          <w:lang w:val="en-US"/>
        </w:rPr>
        <w:t xml:space="preserve"> and Penrod, S</w:t>
      </w:r>
      <w:r w:rsidR="00DF066E">
        <w:rPr>
          <w:rFonts w:cs="Times"/>
          <w:lang w:val="en-US"/>
        </w:rPr>
        <w:t>.</w:t>
      </w:r>
      <w:r w:rsidRPr="00964D13">
        <w:rPr>
          <w:rFonts w:cs="Times"/>
          <w:lang w:val="en-US"/>
        </w:rPr>
        <w:t xml:space="preserve"> (2010) ‘Jury decision-making biases and methods to counter them.’ Legal and Criminological Psychology. 15 (1). 133-154. </w:t>
      </w:r>
    </w:p>
    <w:p w14:paraId="2AA2CE3B" w14:textId="6C8D4A07" w:rsidR="008F1061" w:rsidRDefault="008F1061" w:rsidP="008F1061">
      <w:pPr>
        <w:jc w:val="both"/>
      </w:pPr>
      <w:proofErr w:type="spellStart"/>
      <w:r>
        <w:t>Dorries</w:t>
      </w:r>
      <w:proofErr w:type="spellEnd"/>
      <w:r>
        <w:t>, C</w:t>
      </w:r>
      <w:r w:rsidR="00DF066E">
        <w:t>.</w:t>
      </w:r>
      <w:r>
        <w:t xml:space="preserve"> (2004) </w:t>
      </w:r>
      <w:r w:rsidRPr="005E3149">
        <w:rPr>
          <w:i/>
        </w:rPr>
        <w:t xml:space="preserve">Coroners’ Courts: A Guide to Law and Practice, 2nd </w:t>
      </w:r>
      <w:proofErr w:type="spellStart"/>
      <w:r w:rsidRPr="005E3149">
        <w:rPr>
          <w:i/>
        </w:rPr>
        <w:t>edn</w:t>
      </w:r>
      <w:proofErr w:type="spellEnd"/>
      <w:r w:rsidRPr="005E3149">
        <w:rPr>
          <w:i/>
        </w:rPr>
        <w:t>.</w:t>
      </w:r>
      <w:r>
        <w:t xml:space="preserve"> Oxford: Oxford University Press. </w:t>
      </w:r>
    </w:p>
    <w:p w14:paraId="42CE8A32" w14:textId="7D23D44E" w:rsidR="008F1061" w:rsidRDefault="008F1061" w:rsidP="008F1061">
      <w:pPr>
        <w:jc w:val="both"/>
      </w:pPr>
      <w:r>
        <w:t>Dyson, S</w:t>
      </w:r>
      <w:r w:rsidR="00DF066E">
        <w:t>.</w:t>
      </w:r>
      <w:r>
        <w:t xml:space="preserve"> and Boswell, G</w:t>
      </w:r>
      <w:r w:rsidR="00DF066E">
        <w:t>.</w:t>
      </w:r>
      <w:r>
        <w:t xml:space="preserve"> (2006) ‘Sickle Cell Anaemia and Deaths in Custody in the UK and the USA.’ </w:t>
      </w:r>
      <w:r w:rsidRPr="005E3149">
        <w:rPr>
          <w:i/>
        </w:rPr>
        <w:t>The Howard Journal.</w:t>
      </w:r>
      <w:r>
        <w:t xml:space="preserve"> 45 (1). 14-28.</w:t>
      </w:r>
    </w:p>
    <w:p w14:paraId="08987510" w14:textId="77777777" w:rsidR="008F1061" w:rsidRDefault="008F1061" w:rsidP="005E3149">
      <w:r>
        <w:t xml:space="preserve">Faculty of Forensic and Legal Medicine (2010) </w:t>
      </w:r>
      <w:r w:rsidRPr="005E3149">
        <w:rPr>
          <w:i/>
        </w:rPr>
        <w:t>Acute Behavioural Disorder: guidelines on management in police custody.</w:t>
      </w:r>
      <w:r>
        <w:t xml:space="preserve"> Available at: http://www.fflm.ac.uk/wp-content/uploads/documentstore/1310745561.pdf. Accessed 6/9/13. </w:t>
      </w:r>
    </w:p>
    <w:p w14:paraId="5BCF9292" w14:textId="45328BFE" w:rsidR="008F1061" w:rsidRDefault="008F1061" w:rsidP="008F1061">
      <w:pPr>
        <w:jc w:val="both"/>
      </w:pPr>
      <w:r>
        <w:t>Fairclough, N</w:t>
      </w:r>
      <w:r w:rsidR="00DF066E">
        <w:t>.</w:t>
      </w:r>
      <w:r>
        <w:t xml:space="preserve"> (1992) </w:t>
      </w:r>
      <w:r w:rsidRPr="005E3149">
        <w:rPr>
          <w:i/>
        </w:rPr>
        <w:t>Discourse and Social Change.</w:t>
      </w:r>
      <w:r>
        <w:t xml:space="preserve"> Cambridge: Polity.</w:t>
      </w:r>
    </w:p>
    <w:p w14:paraId="4536C7E0" w14:textId="6294A806" w:rsidR="008F1061" w:rsidRDefault="008F1061" w:rsidP="008F1061">
      <w:pPr>
        <w:jc w:val="both"/>
      </w:pPr>
      <w:r>
        <w:t>Fulton, R</w:t>
      </w:r>
      <w:r w:rsidR="00DF066E">
        <w:t>.</w:t>
      </w:r>
      <w:r>
        <w:t xml:space="preserve"> (2008) Review of the Forum for Preventing Deaths in Custody: Report of the Independent Reviewer.</w:t>
      </w:r>
    </w:p>
    <w:p w14:paraId="619EB83C" w14:textId="7BFED966" w:rsidR="008F1061" w:rsidRDefault="008F1061" w:rsidP="008F1061">
      <w:pPr>
        <w:jc w:val="both"/>
      </w:pPr>
      <w:r>
        <w:t>Goodman, D</w:t>
      </w:r>
      <w:r w:rsidR="00DF066E">
        <w:t>.</w:t>
      </w:r>
      <w:r>
        <w:t xml:space="preserve"> (2015) ‘Eric Garner case is settled by New York City for $5.9 million.’ </w:t>
      </w:r>
      <w:r w:rsidRPr="005E3149">
        <w:rPr>
          <w:i/>
        </w:rPr>
        <w:t>New York Times.</w:t>
      </w:r>
      <w:r>
        <w:t xml:space="preserve"> Available at:http://www.nytimes.com/2015/07/14/nyregion/eric-garner-case-is-settled-by-new-york-city-for-5-9-million.html. Accessed 9/6/16. </w:t>
      </w:r>
    </w:p>
    <w:p w14:paraId="210ECA2A" w14:textId="0F164096" w:rsidR="008F1061" w:rsidRDefault="008F1061" w:rsidP="008F1061">
      <w:pPr>
        <w:jc w:val="both"/>
      </w:pPr>
      <w:r>
        <w:t>Greer, C</w:t>
      </w:r>
      <w:r w:rsidR="00DF066E">
        <w:t>.</w:t>
      </w:r>
      <w:r>
        <w:t xml:space="preserve"> and McLaughlin, E</w:t>
      </w:r>
      <w:r w:rsidR="00DF066E">
        <w:t>.</w:t>
      </w:r>
      <w:r>
        <w:t xml:space="preserve"> (2012) ‘This Is Not Justice: Ian Tomlinson, Institutional Failure and the Press Politics of Outrage.’ </w:t>
      </w:r>
      <w:r w:rsidRPr="005E3149">
        <w:rPr>
          <w:i/>
        </w:rPr>
        <w:t>British Journal of Criminology.</w:t>
      </w:r>
      <w:r>
        <w:t xml:space="preserve"> 52 (2) 274-293.</w:t>
      </w:r>
    </w:p>
    <w:p w14:paraId="4F6E641B" w14:textId="65BE8CE0" w:rsidR="008F1061" w:rsidRDefault="008F1061" w:rsidP="005E3149">
      <w:r>
        <w:t>Guardian/London School of Economic</w:t>
      </w:r>
      <w:r w:rsidR="005E3149">
        <w:t xml:space="preserve">s and Political Science (2012) </w:t>
      </w:r>
      <w:r w:rsidRPr="005E3149">
        <w:rPr>
          <w:i/>
        </w:rPr>
        <w:t>Reading the riots: Investigatin</w:t>
      </w:r>
      <w:r w:rsidR="005E3149" w:rsidRPr="005E3149">
        <w:rPr>
          <w:i/>
        </w:rPr>
        <w:t>g England’s summer of disorder.</w:t>
      </w:r>
      <w:r>
        <w:t xml:space="preserve"> Available at: http://eprints.lse.ac.uk/46297/1/Reading%20the%20riots(published).pdf. Accessed 8/2/16. </w:t>
      </w:r>
    </w:p>
    <w:p w14:paraId="76D2400C" w14:textId="4D6BE099" w:rsidR="007135CE" w:rsidRDefault="007135CE" w:rsidP="005E3149">
      <w:r>
        <w:t xml:space="preserve">Hall, C. A, Kader, A. S, McHale, A. M. D, Stewart, L, Fick, G. H, and </w:t>
      </w:r>
      <w:proofErr w:type="spellStart"/>
      <w:r>
        <w:t>Vilke</w:t>
      </w:r>
      <w:proofErr w:type="spellEnd"/>
      <w:r>
        <w:t xml:space="preserve">, G. M (2013) ‘Frequency of signs of excited delirium syndrome in subjects undergoing police use of force: Descriptive evaluation of a prospective, consecutive cohort.’ </w:t>
      </w:r>
      <w:r w:rsidRPr="007135CE">
        <w:rPr>
          <w:i/>
        </w:rPr>
        <w:t>Journal of Forensic and Legal Medicine.</w:t>
      </w:r>
      <w:r>
        <w:t xml:space="preserve"> 20. 102-107. </w:t>
      </w:r>
    </w:p>
    <w:p w14:paraId="59033826" w14:textId="0D107A3A" w:rsidR="008F1061" w:rsidRDefault="008F1061" w:rsidP="008F1061">
      <w:pPr>
        <w:jc w:val="both"/>
      </w:pPr>
      <w:r>
        <w:t>Hallam, E</w:t>
      </w:r>
      <w:r w:rsidR="00DF066E">
        <w:t>.</w:t>
      </w:r>
      <w:r>
        <w:t>, Hockey, J</w:t>
      </w:r>
      <w:r w:rsidR="00DF066E">
        <w:t>.</w:t>
      </w:r>
      <w:r>
        <w:t xml:space="preserve"> and Howarth, G</w:t>
      </w:r>
      <w:r w:rsidR="00DF066E">
        <w:t>.</w:t>
      </w:r>
      <w:r>
        <w:t xml:space="preserve"> (1999) </w:t>
      </w:r>
      <w:r w:rsidRPr="005E3149">
        <w:rPr>
          <w:i/>
        </w:rPr>
        <w:t>Beyond the Body: Death and Social Identity.</w:t>
      </w:r>
      <w:r>
        <w:t xml:space="preserve"> London. Routledge. </w:t>
      </w:r>
    </w:p>
    <w:p w14:paraId="6B8DE990" w14:textId="01FFFB6F" w:rsidR="008F1061" w:rsidRDefault="008F1061" w:rsidP="008F1061">
      <w:pPr>
        <w:jc w:val="both"/>
      </w:pPr>
      <w:proofErr w:type="spellStart"/>
      <w:r>
        <w:t>Hannan</w:t>
      </w:r>
      <w:proofErr w:type="spellEnd"/>
      <w:r>
        <w:t>, M</w:t>
      </w:r>
      <w:r w:rsidR="00DF066E">
        <w:t>.</w:t>
      </w:r>
      <w:r>
        <w:t xml:space="preserve">, </w:t>
      </w:r>
      <w:proofErr w:type="spellStart"/>
      <w:r>
        <w:t>Hearnden</w:t>
      </w:r>
      <w:proofErr w:type="spellEnd"/>
      <w:r>
        <w:t>, I</w:t>
      </w:r>
      <w:r w:rsidR="00DF066E">
        <w:t>.</w:t>
      </w:r>
      <w:r>
        <w:t>, Grace, K</w:t>
      </w:r>
      <w:r w:rsidR="00DF066E">
        <w:t>.</w:t>
      </w:r>
      <w:r>
        <w:t xml:space="preserve"> </w:t>
      </w:r>
      <w:r w:rsidR="00DF066E">
        <w:t>and</w:t>
      </w:r>
      <w:r>
        <w:t xml:space="preserve"> </w:t>
      </w:r>
      <w:proofErr w:type="spellStart"/>
      <w:r>
        <w:t>Bucke</w:t>
      </w:r>
      <w:proofErr w:type="spellEnd"/>
      <w:r>
        <w:t>, T</w:t>
      </w:r>
      <w:r w:rsidR="00DF066E">
        <w:t>.</w:t>
      </w:r>
      <w:r>
        <w:t xml:space="preserve"> (2010) </w:t>
      </w:r>
      <w:r w:rsidRPr="005E3149">
        <w:rPr>
          <w:i/>
        </w:rPr>
        <w:t xml:space="preserve">Deaths in or following police custody: An examination of the cases 1998/99 – 2008/09. </w:t>
      </w:r>
      <w:r>
        <w:t>IPCC Research Series Paper: 17.</w:t>
      </w:r>
    </w:p>
    <w:p w14:paraId="0C889BB9" w14:textId="77777777" w:rsidR="00A958A8" w:rsidRPr="003C6CFA" w:rsidRDefault="00F64E96" w:rsidP="003C6CFA">
      <w:pPr>
        <w:jc w:val="both"/>
        <w:rPr>
          <w:lang w:val="en-US"/>
        </w:rPr>
      </w:pPr>
      <w:r w:rsidRPr="003C6CFA">
        <w:lastRenderedPageBreak/>
        <w:t xml:space="preserve">HMIC (2013) </w:t>
      </w:r>
      <w:r w:rsidRPr="003C6CFA">
        <w:rPr>
          <w:i/>
          <w:iCs/>
        </w:rPr>
        <w:t>A Criminal Use of Police Cells?</w:t>
      </w:r>
      <w:r w:rsidRPr="003C6CFA">
        <w:t xml:space="preserve"> Available at: </w:t>
      </w:r>
      <w:hyperlink r:id="rId10" w:history="1">
        <w:r w:rsidRPr="003C6CFA">
          <w:rPr>
            <w:rStyle w:val="Hyperlink"/>
          </w:rPr>
          <w:t>http://www.hmic.gov.uk/media/a-criminal-use-of-police-cells-20130620.pdf Accessed 14/7/13</w:t>
        </w:r>
      </w:hyperlink>
      <w:r w:rsidRPr="003C6CFA">
        <w:t>.</w:t>
      </w:r>
    </w:p>
    <w:p w14:paraId="7093D71A" w14:textId="209D3697" w:rsidR="00354F6E" w:rsidRDefault="00354F6E" w:rsidP="00354F6E">
      <w:pPr>
        <w:spacing w:after="0" w:line="240" w:lineRule="auto"/>
        <w:jc w:val="both"/>
        <w:rPr>
          <w:rFonts w:eastAsia="Times New Roman" w:cs="Times New Roman"/>
        </w:rPr>
      </w:pPr>
      <w:r w:rsidRPr="00A1798C">
        <w:rPr>
          <w:rFonts w:eastAsia="Times New Roman" w:cs="Times New Roman"/>
        </w:rPr>
        <w:t>Hirschfield, P</w:t>
      </w:r>
      <w:r w:rsidR="00DF066E">
        <w:rPr>
          <w:rFonts w:eastAsia="Times New Roman" w:cs="Times New Roman"/>
        </w:rPr>
        <w:t>.</w:t>
      </w:r>
      <w:r w:rsidRPr="00A1798C">
        <w:rPr>
          <w:rFonts w:eastAsia="Times New Roman" w:cs="Times New Roman"/>
        </w:rPr>
        <w:t xml:space="preserve"> and Simon, D</w:t>
      </w:r>
      <w:r w:rsidR="00DF066E">
        <w:rPr>
          <w:rFonts w:eastAsia="Times New Roman" w:cs="Times New Roman"/>
        </w:rPr>
        <w:t>.</w:t>
      </w:r>
      <w:r w:rsidRPr="00A1798C">
        <w:rPr>
          <w:rFonts w:eastAsia="Times New Roman" w:cs="Times New Roman"/>
        </w:rPr>
        <w:t xml:space="preserve"> (2010) ‘Legitimating police violence – newspaper narratives of deadly force.’ </w:t>
      </w:r>
      <w:r w:rsidRPr="00A1798C">
        <w:rPr>
          <w:rFonts w:eastAsia="Times New Roman" w:cs="Times New Roman"/>
          <w:i/>
          <w:iCs/>
        </w:rPr>
        <w:t xml:space="preserve">Theoretical Criminology. </w:t>
      </w:r>
      <w:r w:rsidRPr="00A1798C">
        <w:rPr>
          <w:rFonts w:eastAsia="Times New Roman" w:cs="Times New Roman"/>
        </w:rPr>
        <w:t>14 (2). 155-182.</w:t>
      </w:r>
    </w:p>
    <w:p w14:paraId="0E235AE3" w14:textId="77777777" w:rsidR="00974F15" w:rsidRDefault="00974F15" w:rsidP="00354F6E">
      <w:pPr>
        <w:spacing w:after="0" w:line="240" w:lineRule="auto"/>
        <w:jc w:val="both"/>
        <w:rPr>
          <w:rFonts w:eastAsia="Times New Roman" w:cs="Times New Roman"/>
        </w:rPr>
      </w:pPr>
    </w:p>
    <w:p w14:paraId="7D625E40" w14:textId="7B9C2B3F" w:rsidR="00974F15" w:rsidRDefault="00974F15" w:rsidP="00354F6E">
      <w:pPr>
        <w:spacing w:after="0" w:line="240" w:lineRule="auto"/>
        <w:jc w:val="both"/>
        <w:rPr>
          <w:rFonts w:eastAsia="Times New Roman" w:cs="Times New Roman"/>
        </w:rPr>
      </w:pPr>
      <w:r>
        <w:rPr>
          <w:rFonts w:eastAsia="Times New Roman" w:cs="Times New Roman"/>
        </w:rPr>
        <w:t xml:space="preserve">IAP (2010) </w:t>
      </w:r>
      <w:r w:rsidRPr="00974F15">
        <w:rPr>
          <w:rFonts w:eastAsia="Times New Roman" w:cs="Times New Roman"/>
          <w:i/>
        </w:rPr>
        <w:t>Progress Report on the Six Working Groups Being Taken Forward by the Independent Advisory Panel (IAP) on Deaths in Custody.</w:t>
      </w:r>
      <w:r>
        <w:rPr>
          <w:rFonts w:eastAsia="Times New Roman" w:cs="Times New Roman"/>
        </w:rPr>
        <w:t xml:space="preserve"> Available at: </w:t>
      </w:r>
      <w:hyperlink r:id="rId11" w:history="1">
        <w:r w:rsidRPr="00BB5D72">
          <w:rPr>
            <w:rStyle w:val="Hyperlink"/>
            <w:rFonts w:eastAsia="Times New Roman" w:cs="Times New Roman"/>
          </w:rPr>
          <w:t>http://iapdeathsincustody.independent.gov.uk/wp-content/uploads/2011/12/Progress-Report-on-IAPs-Working-Groups-Feb-2010.pdf</w:t>
        </w:r>
      </w:hyperlink>
      <w:r>
        <w:rPr>
          <w:rFonts w:eastAsia="Times New Roman" w:cs="Times New Roman"/>
        </w:rPr>
        <w:t xml:space="preserve"> Accessed 13/2/17. </w:t>
      </w:r>
    </w:p>
    <w:p w14:paraId="33DBABB7" w14:textId="77777777" w:rsidR="00354F6E" w:rsidRPr="00354F6E" w:rsidRDefault="00354F6E" w:rsidP="00354F6E">
      <w:pPr>
        <w:spacing w:after="0" w:line="240" w:lineRule="auto"/>
        <w:jc w:val="both"/>
        <w:rPr>
          <w:rFonts w:eastAsia="Times New Roman" w:cs="Times New Roman"/>
        </w:rPr>
      </w:pPr>
    </w:p>
    <w:p w14:paraId="3E461866" w14:textId="77777777" w:rsidR="008F1061" w:rsidRDefault="008F1061" w:rsidP="008F1061">
      <w:pPr>
        <w:jc w:val="both"/>
      </w:pPr>
      <w:r>
        <w:t xml:space="preserve">IPCC (2016) </w:t>
      </w:r>
      <w:r w:rsidRPr="005E3149">
        <w:rPr>
          <w:i/>
        </w:rPr>
        <w:t>Police use of force: evidence from complaints, investigations and public perception.</w:t>
      </w:r>
      <w:r>
        <w:t xml:space="preserve"> Available at: https://www.ipcc.gov.uk/page/use-of-force. Accessed 12/6/16. </w:t>
      </w:r>
    </w:p>
    <w:p w14:paraId="2222C7DD" w14:textId="53ECF95A" w:rsidR="008F1061" w:rsidRDefault="008F1061" w:rsidP="008F1061">
      <w:pPr>
        <w:jc w:val="both"/>
      </w:pPr>
      <w:proofErr w:type="spellStart"/>
      <w:r>
        <w:t>Kodikara</w:t>
      </w:r>
      <w:proofErr w:type="spellEnd"/>
      <w:r>
        <w:t>, S</w:t>
      </w:r>
      <w:r w:rsidR="00DF066E">
        <w:t>.</w:t>
      </w:r>
      <w:r>
        <w:t>, Cunningham, K</w:t>
      </w:r>
      <w:r w:rsidR="00DF066E">
        <w:t>. and</w:t>
      </w:r>
      <w:r>
        <w:t xml:space="preserve"> </w:t>
      </w:r>
      <w:proofErr w:type="spellStart"/>
      <w:r>
        <w:t>Pollanen</w:t>
      </w:r>
      <w:proofErr w:type="spellEnd"/>
      <w:r>
        <w:t>, M</w:t>
      </w:r>
      <w:r w:rsidR="00DF066E">
        <w:t>.</w:t>
      </w:r>
      <w:r>
        <w:t xml:space="preserve"> (2012) ‘”Excited delirium syndrome”: Is it a cause of death?’ </w:t>
      </w:r>
      <w:r w:rsidRPr="005E3149">
        <w:rPr>
          <w:i/>
        </w:rPr>
        <w:t>Legal Medicine.</w:t>
      </w:r>
      <w:r>
        <w:t xml:space="preserve"> 14 (1). 252-254.</w:t>
      </w:r>
    </w:p>
    <w:p w14:paraId="2B5A35B7" w14:textId="7C786AA3" w:rsidR="008F1061" w:rsidRDefault="008F1061" w:rsidP="008F1061">
      <w:pPr>
        <w:jc w:val="both"/>
      </w:pPr>
      <w:r>
        <w:t>Kutcher, S</w:t>
      </w:r>
      <w:r w:rsidR="00DF066E">
        <w:t>.</w:t>
      </w:r>
      <w:r>
        <w:t>, Bowes, M</w:t>
      </w:r>
      <w:r w:rsidR="00DF066E">
        <w:t>.</w:t>
      </w:r>
      <w:r>
        <w:t xml:space="preserve">, </w:t>
      </w:r>
      <w:proofErr w:type="spellStart"/>
      <w:r>
        <w:t>Sanfold</w:t>
      </w:r>
      <w:proofErr w:type="spellEnd"/>
      <w:r>
        <w:t>, F</w:t>
      </w:r>
      <w:r w:rsidR="00DF066E">
        <w:t>.</w:t>
      </w:r>
      <w:r>
        <w:t xml:space="preserve">, </w:t>
      </w:r>
      <w:proofErr w:type="spellStart"/>
      <w:r>
        <w:t>Teehan</w:t>
      </w:r>
      <w:proofErr w:type="spellEnd"/>
      <w:r>
        <w:t>, M</w:t>
      </w:r>
      <w:r w:rsidR="00DF066E">
        <w:t>.</w:t>
      </w:r>
      <w:r>
        <w:t>, Ayer, S</w:t>
      </w:r>
      <w:r w:rsidR="00DF066E">
        <w:t>.</w:t>
      </w:r>
      <w:r>
        <w:t>, Ross, J</w:t>
      </w:r>
      <w:r w:rsidR="00DF066E">
        <w:t>.</w:t>
      </w:r>
      <w:r>
        <w:t>, Smith, L</w:t>
      </w:r>
      <w:r w:rsidR="00DF066E">
        <w:t>. and</w:t>
      </w:r>
      <w:r>
        <w:t xml:space="preserve"> Thornhill, S. (2009) </w:t>
      </w:r>
      <w:r w:rsidRPr="005E3149">
        <w:rPr>
          <w:i/>
        </w:rPr>
        <w:t>Report of the Panel of Mental Health and Medical Experts Review of ED.</w:t>
      </w:r>
      <w:r>
        <w:t xml:space="preserve"> Available at: http://novascotia.ca/just/Public_Safety/_docs/Excited%20Delirium%20Report.pdf Accessed 30/9/13.</w:t>
      </w:r>
    </w:p>
    <w:p w14:paraId="52EE26E8" w14:textId="551FA8F5" w:rsidR="00437643" w:rsidRPr="00437643" w:rsidRDefault="00437643" w:rsidP="00437643">
      <w:pPr>
        <w:widowControl w:val="0"/>
        <w:autoSpaceDE w:val="0"/>
        <w:autoSpaceDN w:val="0"/>
        <w:adjustRightInd w:val="0"/>
        <w:spacing w:after="240" w:line="240" w:lineRule="auto"/>
        <w:jc w:val="both"/>
        <w:rPr>
          <w:rFonts w:cs="Times"/>
          <w:lang w:val="en-US"/>
        </w:rPr>
      </w:pPr>
      <w:r w:rsidRPr="00437643">
        <w:rPr>
          <w:rFonts w:cs="Times"/>
          <w:lang w:val="en-US"/>
        </w:rPr>
        <w:t>Langer, S</w:t>
      </w:r>
      <w:r w:rsidR="00DF066E">
        <w:rPr>
          <w:rFonts w:cs="Times"/>
          <w:lang w:val="en-US"/>
        </w:rPr>
        <w:t>.</w:t>
      </w:r>
      <w:r w:rsidRPr="00437643">
        <w:rPr>
          <w:rFonts w:cs="Times"/>
          <w:lang w:val="en-US"/>
        </w:rPr>
        <w:t xml:space="preserve">, </w:t>
      </w:r>
      <w:proofErr w:type="spellStart"/>
      <w:r w:rsidRPr="00437643">
        <w:rPr>
          <w:rFonts w:cs="Times"/>
          <w:lang w:val="en-US"/>
        </w:rPr>
        <w:t>Scourfield</w:t>
      </w:r>
      <w:proofErr w:type="spellEnd"/>
      <w:r w:rsidRPr="00437643">
        <w:rPr>
          <w:rFonts w:cs="Times"/>
          <w:lang w:val="en-US"/>
        </w:rPr>
        <w:t xml:space="preserve">, </w:t>
      </w:r>
      <w:r w:rsidR="00DF066E">
        <w:rPr>
          <w:rFonts w:cs="Times"/>
          <w:lang w:val="en-US"/>
        </w:rPr>
        <w:t>J.</w:t>
      </w:r>
      <w:r w:rsidRPr="00437643">
        <w:rPr>
          <w:rFonts w:cs="Times"/>
          <w:lang w:val="en-US"/>
        </w:rPr>
        <w:t xml:space="preserve"> and </w:t>
      </w:r>
      <w:proofErr w:type="spellStart"/>
      <w:r w:rsidRPr="00437643">
        <w:rPr>
          <w:rFonts w:cs="Times"/>
          <w:lang w:val="en-US"/>
        </w:rPr>
        <w:t>Fincham</w:t>
      </w:r>
      <w:proofErr w:type="spellEnd"/>
      <w:r w:rsidRPr="00437643">
        <w:rPr>
          <w:rFonts w:cs="Times"/>
          <w:lang w:val="en-US"/>
        </w:rPr>
        <w:t>, B</w:t>
      </w:r>
      <w:r w:rsidR="00DF066E">
        <w:rPr>
          <w:rFonts w:cs="Times"/>
          <w:lang w:val="en-US"/>
        </w:rPr>
        <w:t>.</w:t>
      </w:r>
      <w:r w:rsidRPr="00437643">
        <w:rPr>
          <w:rFonts w:cs="Times"/>
          <w:lang w:val="en-US"/>
        </w:rPr>
        <w:t xml:space="preserve"> (2011) ‘Documenting the Quick and the Dead: A Study of Suicide Case Files in a Coroner’s </w:t>
      </w:r>
      <w:r>
        <w:rPr>
          <w:rFonts w:cs="Times"/>
          <w:lang w:val="en-US"/>
        </w:rPr>
        <w:t>Office.’ In Prior, L (</w:t>
      </w:r>
      <w:proofErr w:type="spellStart"/>
      <w:r>
        <w:rPr>
          <w:rFonts w:cs="Times"/>
          <w:lang w:val="en-US"/>
        </w:rPr>
        <w:t>ed</w:t>
      </w:r>
      <w:proofErr w:type="spellEnd"/>
      <w:r>
        <w:rPr>
          <w:rFonts w:cs="Times"/>
          <w:lang w:val="en-US"/>
        </w:rPr>
        <w:t>) (2011</w:t>
      </w:r>
      <w:r w:rsidRPr="00437643">
        <w:rPr>
          <w:rFonts w:cs="Times"/>
          <w:lang w:val="en-US"/>
        </w:rPr>
        <w:t xml:space="preserve">) </w:t>
      </w:r>
      <w:r w:rsidRPr="00437643">
        <w:rPr>
          <w:rFonts w:cs="Times"/>
          <w:i/>
          <w:lang w:val="en-US"/>
        </w:rPr>
        <w:t>Using Documents and Records in Social Research. Vol 2: The Social Construction of Documents and Records.</w:t>
      </w:r>
      <w:r w:rsidRPr="00437643">
        <w:rPr>
          <w:rFonts w:cs="Times"/>
          <w:lang w:val="en-US"/>
        </w:rPr>
        <w:t xml:space="preserve"> London. Sage. 143-158. </w:t>
      </w:r>
    </w:p>
    <w:p w14:paraId="3ECB6B72" w14:textId="3AA1B2D8" w:rsidR="008F1061" w:rsidRDefault="005E3149" w:rsidP="008F1061">
      <w:pPr>
        <w:jc w:val="both"/>
      </w:pPr>
      <w:r>
        <w:t>Levine, M</w:t>
      </w:r>
      <w:r w:rsidR="00DF066E">
        <w:t>.</w:t>
      </w:r>
      <w:r>
        <w:t xml:space="preserve"> </w:t>
      </w:r>
      <w:r w:rsidR="008F1061">
        <w:t xml:space="preserve">(1999) </w:t>
      </w:r>
      <w:r w:rsidR="008F1061" w:rsidRPr="005E3149">
        <w:rPr>
          <w:i/>
        </w:rPr>
        <w:t>Levine on Coroners’ Courts.</w:t>
      </w:r>
      <w:r w:rsidR="008F1061">
        <w:t xml:space="preserve"> London: Sweet and Maxwell.</w:t>
      </w:r>
    </w:p>
    <w:p w14:paraId="1CE5D693" w14:textId="6856DB43" w:rsidR="008F1061" w:rsidRDefault="008F1061" w:rsidP="008F1061">
      <w:pPr>
        <w:jc w:val="both"/>
      </w:pPr>
      <w:proofErr w:type="spellStart"/>
      <w:r>
        <w:t>Luce</w:t>
      </w:r>
      <w:proofErr w:type="spellEnd"/>
      <w:r>
        <w:t>, T</w:t>
      </w:r>
      <w:r w:rsidR="00DF066E">
        <w:t>.</w:t>
      </w:r>
      <w:r>
        <w:t xml:space="preserve"> (2003) </w:t>
      </w:r>
      <w:r w:rsidRPr="005E3149">
        <w:rPr>
          <w:i/>
        </w:rPr>
        <w:t xml:space="preserve">Death Certification and Investigation in England, Wales and Northern Ireland: the Report of a Fundamental Review. </w:t>
      </w:r>
      <w:r>
        <w:t xml:space="preserve">London: The Stationery Office. </w:t>
      </w:r>
    </w:p>
    <w:p w14:paraId="2F99C8AF" w14:textId="6BFC76B6" w:rsidR="005419EF" w:rsidRPr="00BF7299" w:rsidRDefault="005419EF" w:rsidP="005419EF">
      <w:pPr>
        <w:spacing w:line="240" w:lineRule="auto"/>
        <w:jc w:val="both"/>
      </w:pPr>
      <w:r w:rsidRPr="00BF7299">
        <w:t>Marsh, D</w:t>
      </w:r>
      <w:r w:rsidR="006E4D6E">
        <w:t>.</w:t>
      </w:r>
      <w:r w:rsidRPr="00BF7299">
        <w:t>, Duque, L</w:t>
      </w:r>
      <w:r w:rsidR="006E4D6E">
        <w:t>.</w:t>
      </w:r>
      <w:r w:rsidRPr="00BF7299">
        <w:t>, Pablo, J</w:t>
      </w:r>
      <w:r w:rsidR="006E4D6E">
        <w:t>.</w:t>
      </w:r>
      <w:r w:rsidRPr="00BF7299">
        <w:t>, Qin, Y</w:t>
      </w:r>
      <w:r w:rsidR="006E4D6E">
        <w:t>.</w:t>
      </w:r>
      <w:r w:rsidRPr="00BF7299">
        <w:t xml:space="preserve">, </w:t>
      </w:r>
      <w:proofErr w:type="spellStart"/>
      <w:r w:rsidRPr="00BF7299">
        <w:t>Adi</w:t>
      </w:r>
      <w:proofErr w:type="spellEnd"/>
      <w:r w:rsidRPr="00BF7299">
        <w:t>, N</w:t>
      </w:r>
      <w:r w:rsidR="006E4D6E">
        <w:t>.</w:t>
      </w:r>
      <w:r w:rsidRPr="00BF7299">
        <w:t>, Hearn, W</w:t>
      </w:r>
      <w:r w:rsidR="006E4D6E">
        <w:t>.</w:t>
      </w:r>
      <w:r w:rsidRPr="00BF7299">
        <w:t xml:space="preserve">, </w:t>
      </w:r>
      <w:proofErr w:type="spellStart"/>
      <w:r w:rsidRPr="00BF7299">
        <w:t>Hyma</w:t>
      </w:r>
      <w:proofErr w:type="spellEnd"/>
      <w:r w:rsidRPr="00BF7299">
        <w:t>, B</w:t>
      </w:r>
      <w:r w:rsidR="006E4D6E">
        <w:t>.</w:t>
      </w:r>
      <w:r w:rsidRPr="00BF7299">
        <w:t xml:space="preserve">, </w:t>
      </w:r>
      <w:proofErr w:type="spellStart"/>
      <w:r w:rsidRPr="00BF7299">
        <w:t>Karch</w:t>
      </w:r>
      <w:proofErr w:type="spellEnd"/>
      <w:r w:rsidRPr="00BF7299">
        <w:t>, S</w:t>
      </w:r>
      <w:r w:rsidR="006E4D6E">
        <w:t>.</w:t>
      </w:r>
      <w:r w:rsidRPr="00BF7299">
        <w:t>, Druid, H</w:t>
      </w:r>
      <w:r w:rsidR="006E4D6E">
        <w:t>.</w:t>
      </w:r>
      <w:r w:rsidRPr="00BF7299">
        <w:t xml:space="preserve"> and </w:t>
      </w:r>
      <w:proofErr w:type="spellStart"/>
      <w:r w:rsidRPr="00BF7299">
        <w:t>Wetli</w:t>
      </w:r>
      <w:proofErr w:type="spellEnd"/>
      <w:r w:rsidRPr="00BF7299">
        <w:t>, C</w:t>
      </w:r>
      <w:r w:rsidR="006E4D6E">
        <w:t>.</w:t>
      </w:r>
      <w:r w:rsidRPr="00BF7299">
        <w:t xml:space="preserve"> (2009) ‘Brain biomarkers for identifying excited delirium as a cause of sudden death.’ </w:t>
      </w:r>
      <w:r w:rsidRPr="00BF7299">
        <w:rPr>
          <w:i/>
        </w:rPr>
        <w:t>Forensic Science International</w:t>
      </w:r>
      <w:r w:rsidRPr="00BF7299">
        <w:t>. 190 (3). 13-19.</w:t>
      </w:r>
    </w:p>
    <w:p w14:paraId="39B4B08D" w14:textId="4F6326FB" w:rsidR="005419EF" w:rsidRPr="00BF7299" w:rsidRDefault="005419EF" w:rsidP="005419EF">
      <w:pPr>
        <w:jc w:val="both"/>
      </w:pPr>
      <w:r w:rsidRPr="00BF7299">
        <w:t>Matthews, P</w:t>
      </w:r>
      <w:r w:rsidR="006E4D6E">
        <w:t>.</w:t>
      </w:r>
      <w:r w:rsidRPr="00BF7299">
        <w:t xml:space="preserve"> (2014) </w:t>
      </w:r>
      <w:r w:rsidRPr="00BF7299">
        <w:rPr>
          <w:i/>
        </w:rPr>
        <w:t>Jervis on the Office and Duties of Coroners; with Forms and Precedents. Thirteenth edition.</w:t>
      </w:r>
      <w:r w:rsidRPr="00BF7299">
        <w:t xml:space="preserve"> London. Sweet and Maxwell.</w:t>
      </w:r>
    </w:p>
    <w:p w14:paraId="63E5D5EE" w14:textId="29DB3AFC" w:rsidR="005419EF" w:rsidRPr="00BF7299" w:rsidRDefault="005419EF" w:rsidP="005419EF">
      <w:pPr>
        <w:spacing w:line="240" w:lineRule="auto"/>
        <w:jc w:val="both"/>
      </w:pPr>
      <w:r w:rsidRPr="00BF7299">
        <w:t>Matthews, P</w:t>
      </w:r>
      <w:r w:rsidR="006E4D6E">
        <w:t>.</w:t>
      </w:r>
      <w:r w:rsidRPr="00BF7299">
        <w:t xml:space="preserve"> (2011) </w:t>
      </w:r>
      <w:r w:rsidRPr="00BF7299">
        <w:rPr>
          <w:i/>
        </w:rPr>
        <w:t>Jervis on the Office and Duties of Coroners: with forms and precedents. Fourth Cumulative Supplement to the Twelfth Edition.</w:t>
      </w:r>
      <w:r w:rsidRPr="00BF7299">
        <w:t xml:space="preserve"> London: Sweet and Maxwell. </w:t>
      </w:r>
    </w:p>
    <w:p w14:paraId="0E4B3ABA" w14:textId="7E1FE4EA" w:rsidR="008F1061" w:rsidRDefault="005419EF" w:rsidP="008F1061">
      <w:pPr>
        <w:jc w:val="both"/>
      </w:pPr>
      <w:proofErr w:type="spellStart"/>
      <w:r>
        <w:t>Menaker</w:t>
      </w:r>
      <w:proofErr w:type="spellEnd"/>
      <w:r>
        <w:t>, J</w:t>
      </w:r>
      <w:r w:rsidR="006E4D6E">
        <w:t>.</w:t>
      </w:r>
      <w:r>
        <w:t>, Farcy, D</w:t>
      </w:r>
      <w:r w:rsidR="006E4D6E">
        <w:t>.</w:t>
      </w:r>
      <w:r>
        <w:t>,</w:t>
      </w:r>
      <w:r w:rsidR="008F1061">
        <w:t xml:space="preserve"> Boswell, S</w:t>
      </w:r>
      <w:r w:rsidR="006E4D6E">
        <w:t>.</w:t>
      </w:r>
      <w:r w:rsidR="008F1061">
        <w:t>, Stein, D</w:t>
      </w:r>
      <w:r w:rsidR="006E4D6E">
        <w:t>.</w:t>
      </w:r>
      <w:r w:rsidR="008F1061">
        <w:t>, Dutton, R</w:t>
      </w:r>
      <w:r w:rsidR="006E4D6E">
        <w:t>.</w:t>
      </w:r>
      <w:r w:rsidR="008F1061">
        <w:t>, Hess, J</w:t>
      </w:r>
      <w:r w:rsidR="006E4D6E">
        <w:t>.</w:t>
      </w:r>
      <w:r w:rsidR="008F1061">
        <w:t xml:space="preserve"> and </w:t>
      </w:r>
      <w:proofErr w:type="spellStart"/>
      <w:r w:rsidR="008F1061">
        <w:t>Scalea</w:t>
      </w:r>
      <w:proofErr w:type="spellEnd"/>
      <w:r w:rsidR="008F1061">
        <w:t xml:space="preserve">, T. (2011) ‘Cocaine-induced agitated delirium with associated hyperthermia: a case report.’ </w:t>
      </w:r>
      <w:r w:rsidR="008F1061" w:rsidRPr="005E3149">
        <w:rPr>
          <w:i/>
        </w:rPr>
        <w:t>Journal of Emergency Medicine.</w:t>
      </w:r>
      <w:r w:rsidR="008F1061">
        <w:t xml:space="preserve"> 41 (3). 49-53.</w:t>
      </w:r>
    </w:p>
    <w:p w14:paraId="70A31343" w14:textId="75ACB4B1" w:rsidR="00FF4540" w:rsidRDefault="00FF4540" w:rsidP="008F1061">
      <w:pPr>
        <w:jc w:val="both"/>
      </w:pPr>
      <w:r>
        <w:t xml:space="preserve">National Institute for Justice (2011) </w:t>
      </w:r>
      <w:r w:rsidRPr="00FF4540">
        <w:rPr>
          <w:i/>
        </w:rPr>
        <w:t>Special Panel Review of Excited Delirium.</w:t>
      </w:r>
      <w:r>
        <w:t xml:space="preserve"> Available at: </w:t>
      </w:r>
      <w:hyperlink r:id="rId12" w:history="1">
        <w:r w:rsidRPr="00BB5D72">
          <w:rPr>
            <w:rStyle w:val="Hyperlink"/>
          </w:rPr>
          <w:t>https://www.justnet.org/pdf/exds-panel-report-final.pdf</w:t>
        </w:r>
      </w:hyperlink>
      <w:r>
        <w:t xml:space="preserve">. Accessed 20/1/17. </w:t>
      </w:r>
    </w:p>
    <w:p w14:paraId="7718A5CB" w14:textId="289DCD9C" w:rsidR="008F1061" w:rsidRDefault="008F1061" w:rsidP="008F1061">
      <w:pPr>
        <w:jc w:val="both"/>
      </w:pPr>
      <w:r>
        <w:t>Paquette, M</w:t>
      </w:r>
      <w:r w:rsidR="006E4D6E">
        <w:t>.</w:t>
      </w:r>
      <w:r>
        <w:t xml:space="preserve"> (2003) ‘Excited Delirium: Does It Exist?’ </w:t>
      </w:r>
      <w:r w:rsidRPr="005E3149">
        <w:rPr>
          <w:i/>
        </w:rPr>
        <w:t>Perspectives in Psychiatric Care.</w:t>
      </w:r>
      <w:r>
        <w:t xml:space="preserve"> 39 (3). 93-94.</w:t>
      </w:r>
    </w:p>
    <w:p w14:paraId="079D4DBE" w14:textId="48E5A307" w:rsidR="008F1061" w:rsidRDefault="008F1061" w:rsidP="008F1061">
      <w:pPr>
        <w:jc w:val="both"/>
      </w:pPr>
      <w:proofErr w:type="spellStart"/>
      <w:r>
        <w:t>Razack</w:t>
      </w:r>
      <w:proofErr w:type="spellEnd"/>
      <w:r>
        <w:t>, S</w:t>
      </w:r>
      <w:r w:rsidR="006E4D6E">
        <w:t>.</w:t>
      </w:r>
      <w:r>
        <w:t xml:space="preserve"> (2015) </w:t>
      </w:r>
      <w:r w:rsidRPr="005E3149">
        <w:rPr>
          <w:i/>
        </w:rPr>
        <w:t>Dying from Improvement: Inquests and Inquiries into Indigenous Deaths in Custody.</w:t>
      </w:r>
      <w:r>
        <w:t xml:space="preserve"> Toronto. University of Toronto Press. </w:t>
      </w:r>
    </w:p>
    <w:p w14:paraId="38BC2234" w14:textId="2CAC16B7" w:rsidR="008F1061" w:rsidRDefault="008F1061" w:rsidP="008F1061">
      <w:pPr>
        <w:jc w:val="both"/>
      </w:pPr>
      <w:r>
        <w:t>Reiner, R</w:t>
      </w:r>
      <w:r w:rsidR="006E4D6E">
        <w:t>.</w:t>
      </w:r>
      <w:r>
        <w:t xml:space="preserve"> (2010) </w:t>
      </w:r>
      <w:r w:rsidRPr="005E3149">
        <w:rPr>
          <w:i/>
        </w:rPr>
        <w:t xml:space="preserve">The Politics of the Police. 4th </w:t>
      </w:r>
      <w:proofErr w:type="spellStart"/>
      <w:r w:rsidRPr="005E3149">
        <w:rPr>
          <w:i/>
        </w:rPr>
        <w:t>edn</w:t>
      </w:r>
      <w:proofErr w:type="spellEnd"/>
      <w:r w:rsidRPr="005E3149">
        <w:rPr>
          <w:i/>
        </w:rPr>
        <w:t>.</w:t>
      </w:r>
      <w:r>
        <w:t xml:space="preserve"> Oxford. Oxford University Press. </w:t>
      </w:r>
    </w:p>
    <w:p w14:paraId="4FA34B2F" w14:textId="7A4C288C" w:rsidR="008F1061" w:rsidRDefault="008F1061" w:rsidP="008F1061">
      <w:pPr>
        <w:jc w:val="both"/>
      </w:pPr>
      <w:proofErr w:type="spellStart"/>
      <w:r>
        <w:lastRenderedPageBreak/>
        <w:t>Reveruzzi</w:t>
      </w:r>
      <w:proofErr w:type="spellEnd"/>
      <w:r>
        <w:t>, B</w:t>
      </w:r>
      <w:r w:rsidR="006E4D6E">
        <w:t>.</w:t>
      </w:r>
      <w:r>
        <w:t xml:space="preserve"> and Pilling, S</w:t>
      </w:r>
      <w:r w:rsidR="006E4D6E">
        <w:t>.</w:t>
      </w:r>
      <w:r>
        <w:t xml:space="preserve"> (2016</w:t>
      </w:r>
      <w:r w:rsidRPr="005E3149">
        <w:rPr>
          <w:i/>
        </w:rPr>
        <w:t>) Street Triage: Report on the evaluation of nine pilot schemes in England. University College London.</w:t>
      </w:r>
      <w:r>
        <w:t xml:space="preserve"> Available at: http://www.crisiscareconcordat.org.uk/wp-content/uploads/2016/03/Street-Triage-Evaluation-Final-Report.pdf. Accessed 8/7/16. </w:t>
      </w:r>
    </w:p>
    <w:p w14:paraId="46882E2E" w14:textId="17FFD9F1" w:rsidR="008F1061" w:rsidRDefault="008F1061" w:rsidP="008F1061">
      <w:pPr>
        <w:jc w:val="both"/>
      </w:pPr>
      <w:r>
        <w:t>Ritchie, J</w:t>
      </w:r>
      <w:r w:rsidR="006E4D6E">
        <w:t>.</w:t>
      </w:r>
      <w:r>
        <w:t xml:space="preserve"> and Spencer, L</w:t>
      </w:r>
      <w:r w:rsidR="006E4D6E">
        <w:t>.</w:t>
      </w:r>
      <w:r>
        <w:t xml:space="preserve"> (1994) ‘Qualitative data analysis for applied policy research.’ In Bryman, A and Burgess, R (</w:t>
      </w:r>
      <w:proofErr w:type="spellStart"/>
      <w:r>
        <w:t>eds</w:t>
      </w:r>
      <w:proofErr w:type="spellEnd"/>
      <w:r>
        <w:t xml:space="preserve">) (1994) </w:t>
      </w:r>
      <w:r w:rsidRPr="005E3149">
        <w:rPr>
          <w:i/>
        </w:rPr>
        <w:t>Analysing Qualitative Data.</w:t>
      </w:r>
      <w:r>
        <w:t xml:space="preserve"> London. Routledge. 188-209.</w:t>
      </w:r>
    </w:p>
    <w:p w14:paraId="716067F6" w14:textId="77777777" w:rsidR="008F1061" w:rsidRDefault="008F1061" w:rsidP="00D449A3">
      <w:r>
        <w:t xml:space="preserve">Royal College of Emergency Medicine (2016) </w:t>
      </w:r>
      <w:r w:rsidRPr="00D449A3">
        <w:rPr>
          <w:i/>
        </w:rPr>
        <w:t>Guidelines for the Management of Excited Delirium/Acute Behavioural Disturbance (ABD).</w:t>
      </w:r>
      <w:r>
        <w:t xml:space="preserve"> Available at: www.rcem.ac.uk/CEM/document?id=10065. Accessed 6/7/16. </w:t>
      </w:r>
    </w:p>
    <w:p w14:paraId="1A812CA0" w14:textId="1F4D0A33" w:rsidR="008F1061" w:rsidRDefault="008F1061" w:rsidP="008F1061">
      <w:pPr>
        <w:jc w:val="both"/>
      </w:pPr>
      <w:r>
        <w:t>Samuel, E</w:t>
      </w:r>
      <w:r w:rsidR="006E4D6E">
        <w:t>.</w:t>
      </w:r>
      <w:r>
        <w:t>, Williams, R</w:t>
      </w:r>
      <w:r w:rsidR="006E4D6E">
        <w:t>. and</w:t>
      </w:r>
      <w:r>
        <w:t xml:space="preserve"> Ferrell, R</w:t>
      </w:r>
      <w:r w:rsidR="006E4D6E">
        <w:t>.</w:t>
      </w:r>
      <w:r>
        <w:t xml:space="preserve"> (2009) ‘Excited delirium: Consideration of selected medical and psychiatric issues.’ </w:t>
      </w:r>
      <w:r w:rsidRPr="00D449A3">
        <w:rPr>
          <w:i/>
        </w:rPr>
        <w:t>Neuropsychiatric Disease and Treatment.</w:t>
      </w:r>
      <w:r>
        <w:t xml:space="preserve"> 5. 61-66.</w:t>
      </w:r>
    </w:p>
    <w:p w14:paraId="6899AAF3" w14:textId="3BC6BFA7" w:rsidR="008F1061" w:rsidRDefault="008F1061" w:rsidP="008F1061">
      <w:pPr>
        <w:jc w:val="both"/>
      </w:pPr>
      <w:r>
        <w:t>Savage, S</w:t>
      </w:r>
      <w:r w:rsidR="006E4D6E">
        <w:t>.</w:t>
      </w:r>
      <w:r>
        <w:t xml:space="preserve"> (2008) ‘Deaths in Police Custody’ In </w:t>
      </w:r>
      <w:proofErr w:type="spellStart"/>
      <w:r>
        <w:t>Newburn</w:t>
      </w:r>
      <w:proofErr w:type="spellEnd"/>
      <w:r>
        <w:t>, T</w:t>
      </w:r>
      <w:r w:rsidR="006E4D6E">
        <w:t>.</w:t>
      </w:r>
      <w:r>
        <w:t xml:space="preserve"> and </w:t>
      </w:r>
      <w:proofErr w:type="spellStart"/>
      <w:r>
        <w:t>Neyroud</w:t>
      </w:r>
      <w:proofErr w:type="spellEnd"/>
      <w:r>
        <w:t>, P</w:t>
      </w:r>
      <w:r w:rsidR="006E4D6E">
        <w:t>.</w:t>
      </w:r>
      <w:r>
        <w:t xml:space="preserve"> (</w:t>
      </w:r>
      <w:proofErr w:type="spellStart"/>
      <w:r>
        <w:t>eds</w:t>
      </w:r>
      <w:proofErr w:type="spellEnd"/>
      <w:r>
        <w:t xml:space="preserve">) </w:t>
      </w:r>
      <w:r w:rsidRPr="00D449A3">
        <w:rPr>
          <w:i/>
        </w:rPr>
        <w:t>Dictionary of Policing.</w:t>
      </w:r>
      <w:r>
        <w:t xml:space="preserve"> </w:t>
      </w:r>
      <w:proofErr w:type="spellStart"/>
      <w:r>
        <w:t>Cullompton</w:t>
      </w:r>
      <w:proofErr w:type="spellEnd"/>
      <w:r>
        <w:t xml:space="preserve">. </w:t>
      </w:r>
      <w:proofErr w:type="spellStart"/>
      <w:r>
        <w:t>Willan</w:t>
      </w:r>
      <w:proofErr w:type="spellEnd"/>
      <w:r>
        <w:t>. pp. 77-78.</w:t>
      </w:r>
    </w:p>
    <w:p w14:paraId="6A400849" w14:textId="7542A87E" w:rsidR="008F1061" w:rsidRDefault="008F1061" w:rsidP="008F1061">
      <w:pPr>
        <w:jc w:val="both"/>
      </w:pPr>
      <w:r>
        <w:t>Shaw, H</w:t>
      </w:r>
      <w:r w:rsidR="006E4D6E">
        <w:t>.</w:t>
      </w:r>
      <w:r>
        <w:t xml:space="preserve"> </w:t>
      </w:r>
      <w:r w:rsidR="006E4D6E">
        <w:t>and</w:t>
      </w:r>
      <w:r>
        <w:t xml:space="preserve"> Coles, D</w:t>
      </w:r>
      <w:r w:rsidR="006E4D6E">
        <w:t>.</w:t>
      </w:r>
      <w:r>
        <w:t xml:space="preserve"> (2007) </w:t>
      </w:r>
      <w:r w:rsidRPr="00D449A3">
        <w:rPr>
          <w:i/>
        </w:rPr>
        <w:t xml:space="preserve">Unlocking the Truth: Families’ Experiences of the Investigation of Deaths in Custody. </w:t>
      </w:r>
      <w:r>
        <w:t>London: Inquest.</w:t>
      </w:r>
    </w:p>
    <w:p w14:paraId="7766A0E6" w14:textId="497080D8" w:rsidR="001D6779" w:rsidRPr="00A1798C" w:rsidRDefault="001D6779" w:rsidP="001D6779">
      <w:pPr>
        <w:spacing w:line="240" w:lineRule="auto"/>
        <w:jc w:val="both"/>
      </w:pPr>
      <w:r w:rsidRPr="00A1798C">
        <w:t>Spray, J</w:t>
      </w:r>
      <w:r w:rsidR="006E4D6E">
        <w:t>.</w:t>
      </w:r>
      <w:r w:rsidRPr="00A1798C">
        <w:t xml:space="preserve">, </w:t>
      </w:r>
      <w:proofErr w:type="spellStart"/>
      <w:r w:rsidRPr="00A1798C">
        <w:t>Draycott</w:t>
      </w:r>
      <w:proofErr w:type="spellEnd"/>
      <w:r w:rsidRPr="00A1798C">
        <w:t>, S</w:t>
      </w:r>
      <w:r w:rsidR="006E4D6E">
        <w:t>.</w:t>
      </w:r>
      <w:r w:rsidRPr="00A1798C">
        <w:t xml:space="preserve"> and Taylor, C</w:t>
      </w:r>
      <w:r w:rsidR="006E4D6E">
        <w:t>.</w:t>
      </w:r>
      <w:r w:rsidRPr="00A1798C">
        <w:t xml:space="preserve"> (2012) </w:t>
      </w:r>
      <w:r w:rsidRPr="00A1798C">
        <w:rPr>
          <w:i/>
        </w:rPr>
        <w:t>Deaths in Custody: The Impact of Rule 43 Reports on Organisational Learning.</w:t>
      </w:r>
      <w:r w:rsidRPr="00A1798C">
        <w:t xml:space="preserve"> Available at:   </w:t>
      </w:r>
      <w:hyperlink r:id="rId13" w:history="1">
        <w:r w:rsidRPr="00A1798C">
          <w:rPr>
            <w:color w:val="0000FF"/>
            <w:u w:val="single"/>
          </w:rPr>
          <w:t>http://iapdeathsincustody.independent.gov.uk/wp-content/uploads/2012/10/IAP-Impact-of-R43-analysis.pdf</w:t>
        </w:r>
      </w:hyperlink>
      <w:r w:rsidRPr="00A1798C">
        <w:t>. Accessed 20/2/14.</w:t>
      </w:r>
    </w:p>
    <w:p w14:paraId="63C61A3C" w14:textId="564887F6" w:rsidR="00F36ED5" w:rsidRPr="00F36ED5" w:rsidRDefault="00F36ED5" w:rsidP="00F36ED5">
      <w:pPr>
        <w:widowControl w:val="0"/>
        <w:autoSpaceDE w:val="0"/>
        <w:autoSpaceDN w:val="0"/>
        <w:adjustRightInd w:val="0"/>
        <w:spacing w:after="240" w:line="240" w:lineRule="auto"/>
        <w:rPr>
          <w:rFonts w:cs="Times"/>
          <w:lang w:val="en-US"/>
        </w:rPr>
      </w:pPr>
      <w:proofErr w:type="spellStart"/>
      <w:r w:rsidRPr="00F36ED5">
        <w:rPr>
          <w:rFonts w:cs="Times"/>
          <w:lang w:val="en-US"/>
        </w:rPr>
        <w:t>Spottswood</w:t>
      </w:r>
      <w:proofErr w:type="spellEnd"/>
      <w:r w:rsidRPr="00F36ED5">
        <w:rPr>
          <w:rFonts w:cs="Times"/>
          <w:lang w:val="en-US"/>
        </w:rPr>
        <w:t>, M</w:t>
      </w:r>
      <w:r w:rsidR="00052883">
        <w:rPr>
          <w:rFonts w:cs="Times"/>
          <w:lang w:val="en-US"/>
        </w:rPr>
        <w:t>.</w:t>
      </w:r>
      <w:r w:rsidRPr="00F36ED5">
        <w:rPr>
          <w:rFonts w:cs="Times"/>
          <w:lang w:val="en-US"/>
        </w:rPr>
        <w:t xml:space="preserve"> (2013) ‘The Hidden Structure of Fact-Finding.’ Case Western Reserve Law Review. 64 (1). 131-200. </w:t>
      </w:r>
    </w:p>
    <w:p w14:paraId="358ADAD2" w14:textId="69C7EC5C" w:rsidR="008F1061" w:rsidRDefault="00052883" w:rsidP="008F1061">
      <w:pPr>
        <w:jc w:val="both"/>
      </w:pPr>
      <w:r>
        <w:t>Steadman, H.</w:t>
      </w:r>
      <w:r w:rsidR="008F1061">
        <w:t>, Deane, M.</w:t>
      </w:r>
      <w:r>
        <w:t xml:space="preserve"> and</w:t>
      </w:r>
      <w:r w:rsidR="008F1061">
        <w:t xml:space="preserve"> </w:t>
      </w:r>
      <w:proofErr w:type="spellStart"/>
      <w:r w:rsidR="008F1061">
        <w:t>Borum</w:t>
      </w:r>
      <w:proofErr w:type="spellEnd"/>
      <w:r w:rsidR="008F1061">
        <w:t>, R. (2000) ‘Comparing outcomes of major models of police responses to mental health eme</w:t>
      </w:r>
      <w:r w:rsidR="00D449A3">
        <w:t xml:space="preserve">rgencies’. </w:t>
      </w:r>
      <w:r w:rsidR="00D449A3" w:rsidRPr="00D449A3">
        <w:rPr>
          <w:i/>
        </w:rPr>
        <w:t>Psychiatric Services.</w:t>
      </w:r>
      <w:r w:rsidR="008F1061">
        <w:t xml:space="preserve"> 51 (5), 645–649.</w:t>
      </w:r>
    </w:p>
    <w:p w14:paraId="4093E011" w14:textId="35C37E6F" w:rsidR="008F1061" w:rsidRDefault="008F1061" w:rsidP="008F1061">
      <w:pPr>
        <w:jc w:val="both"/>
      </w:pPr>
      <w:r>
        <w:t>Storey, M</w:t>
      </w:r>
      <w:r w:rsidR="00052883">
        <w:t>.</w:t>
      </w:r>
      <w:r>
        <w:t xml:space="preserve"> (2012) ‘Explaining the Unexplainable: ED Syndrome and its Impact on the Objective Reasonableness Standard for Allegations of Excessive Force.’ </w:t>
      </w:r>
      <w:r w:rsidRPr="00D449A3">
        <w:rPr>
          <w:i/>
        </w:rPr>
        <w:t>Saint Louis University Law Journal.</w:t>
      </w:r>
      <w:r>
        <w:t xml:space="preserve"> 56. 633-663.</w:t>
      </w:r>
    </w:p>
    <w:p w14:paraId="0407C4E5" w14:textId="0CD5060C" w:rsidR="008F1061" w:rsidRDefault="008F1061" w:rsidP="008F1061">
      <w:pPr>
        <w:jc w:val="both"/>
      </w:pPr>
      <w:r>
        <w:t>Thomas, L.</w:t>
      </w:r>
      <w:r w:rsidR="00052883">
        <w:t>,</w:t>
      </w:r>
      <w:r>
        <w:t xml:space="preserve"> Straw, A</w:t>
      </w:r>
      <w:r w:rsidR="00052883">
        <w:t>.</w:t>
      </w:r>
      <w:r>
        <w:t xml:space="preserve"> </w:t>
      </w:r>
      <w:r w:rsidR="00052883">
        <w:t xml:space="preserve">and </w:t>
      </w:r>
      <w:r>
        <w:t>Friedman, D</w:t>
      </w:r>
      <w:r w:rsidR="00052883">
        <w:t>.</w:t>
      </w:r>
      <w:r>
        <w:t xml:space="preserve"> (2008) </w:t>
      </w:r>
      <w:r w:rsidRPr="00D449A3">
        <w:rPr>
          <w:i/>
        </w:rPr>
        <w:t xml:space="preserve">Inquests: a practitioner’s guide, 2nd </w:t>
      </w:r>
      <w:proofErr w:type="spellStart"/>
      <w:r w:rsidRPr="00D449A3">
        <w:rPr>
          <w:i/>
        </w:rPr>
        <w:t>edn</w:t>
      </w:r>
      <w:proofErr w:type="spellEnd"/>
      <w:r w:rsidRPr="00D449A3">
        <w:rPr>
          <w:i/>
        </w:rPr>
        <w:t>.</w:t>
      </w:r>
      <w:r>
        <w:t xml:space="preserve"> London: Legal Action Group.</w:t>
      </w:r>
    </w:p>
    <w:p w14:paraId="39193B11" w14:textId="4C2287DE" w:rsidR="008F1061" w:rsidRDefault="008F1061" w:rsidP="008F1061">
      <w:pPr>
        <w:jc w:val="both"/>
      </w:pPr>
      <w:r>
        <w:t xml:space="preserve">USA Today (2014) </w:t>
      </w:r>
      <w:r w:rsidR="00D449A3">
        <w:t>‘</w:t>
      </w:r>
      <w:r>
        <w:t>Police in Ferguson ignite</w:t>
      </w:r>
      <w:r w:rsidR="00D449A3">
        <w:t xml:space="preserve"> debate about military tactics.’ </w:t>
      </w:r>
      <w:r>
        <w:t xml:space="preserve">Available at: </w:t>
      </w:r>
    </w:p>
    <w:p w14:paraId="17FBC5A8" w14:textId="77777777" w:rsidR="008F1061" w:rsidRDefault="008F1061" w:rsidP="008F1061">
      <w:pPr>
        <w:jc w:val="both"/>
      </w:pPr>
      <w:r>
        <w:t xml:space="preserve">http://www.usatoday.com/story/news/nation/2014/08/14/ferguson-militarized-police/14064675/. Accessed 8/2/16. </w:t>
      </w:r>
    </w:p>
    <w:p w14:paraId="30DA86A3" w14:textId="2960E62A" w:rsidR="008F1061" w:rsidRDefault="008F1061" w:rsidP="008F1061">
      <w:pPr>
        <w:jc w:val="both"/>
      </w:pPr>
      <w:proofErr w:type="spellStart"/>
      <w:r>
        <w:t>Vilke</w:t>
      </w:r>
      <w:proofErr w:type="spellEnd"/>
      <w:r>
        <w:t>, G</w:t>
      </w:r>
      <w:r w:rsidR="00052883">
        <w:t>.</w:t>
      </w:r>
      <w:r>
        <w:t>, Payne-James, J</w:t>
      </w:r>
      <w:r w:rsidR="00052883">
        <w:t>.</w:t>
      </w:r>
      <w:r>
        <w:t xml:space="preserve"> and </w:t>
      </w:r>
      <w:proofErr w:type="spellStart"/>
      <w:r>
        <w:t>Karch</w:t>
      </w:r>
      <w:proofErr w:type="spellEnd"/>
      <w:r>
        <w:t>, S</w:t>
      </w:r>
      <w:r w:rsidR="00052883">
        <w:t>.</w:t>
      </w:r>
      <w:r>
        <w:t xml:space="preserve"> (2012) ‘Excited delirium syndrome (</w:t>
      </w:r>
      <w:proofErr w:type="spellStart"/>
      <w:r>
        <w:t>ExDS</w:t>
      </w:r>
      <w:proofErr w:type="spellEnd"/>
      <w:r>
        <w:t xml:space="preserve">): Redefining an old diagnosis.’ </w:t>
      </w:r>
      <w:r w:rsidRPr="00D449A3">
        <w:rPr>
          <w:i/>
        </w:rPr>
        <w:t>Journal of Forensic and Legal Medicine.</w:t>
      </w:r>
      <w:r>
        <w:t xml:space="preserve"> 19 (1). 7-11.</w:t>
      </w:r>
    </w:p>
    <w:p w14:paraId="4A6BF56E" w14:textId="77777777" w:rsidR="008F1061" w:rsidRDefault="008F1061" w:rsidP="008F1061">
      <w:pPr>
        <w:jc w:val="both"/>
      </w:pPr>
      <w:r>
        <w:t xml:space="preserve">Waddington, P. A. J. (1999) </w:t>
      </w:r>
      <w:r w:rsidRPr="00D449A3">
        <w:rPr>
          <w:i/>
        </w:rPr>
        <w:t>Policing Citizens.</w:t>
      </w:r>
      <w:r>
        <w:t xml:space="preserve"> London: UCL Press.</w:t>
      </w:r>
    </w:p>
    <w:p w14:paraId="3B555C52" w14:textId="3536DAC6" w:rsidR="008F1061" w:rsidRDefault="008F1061" w:rsidP="008F1061">
      <w:pPr>
        <w:jc w:val="both"/>
      </w:pPr>
      <w:bookmarkStart w:id="0" w:name="_GoBack"/>
      <w:proofErr w:type="spellStart"/>
      <w:r>
        <w:t>Wetli</w:t>
      </w:r>
      <w:proofErr w:type="spellEnd"/>
      <w:r>
        <w:t>, C</w:t>
      </w:r>
      <w:r w:rsidR="00052883">
        <w:t>.</w:t>
      </w:r>
      <w:r>
        <w:t xml:space="preserve"> (2006) ‘Excited Delirium.’ In Ross, D</w:t>
      </w:r>
      <w:r w:rsidR="00052883">
        <w:t>.</w:t>
      </w:r>
      <w:r>
        <w:t xml:space="preserve"> and Chan, T</w:t>
      </w:r>
      <w:r w:rsidR="00052883">
        <w:t>.</w:t>
      </w:r>
      <w:r>
        <w:t xml:space="preserve"> (</w:t>
      </w:r>
      <w:proofErr w:type="spellStart"/>
      <w:r>
        <w:t>eds</w:t>
      </w:r>
      <w:proofErr w:type="spellEnd"/>
      <w:r>
        <w:t xml:space="preserve">) </w:t>
      </w:r>
      <w:r w:rsidRPr="00D449A3">
        <w:rPr>
          <w:i/>
        </w:rPr>
        <w:t xml:space="preserve">Forensic Science and Medicine: Sudden Deaths in Custody. </w:t>
      </w:r>
      <w:r>
        <w:t xml:space="preserve">Totowa. Humana Press. 99-112. </w:t>
      </w:r>
    </w:p>
    <w:p w14:paraId="54C385E3" w14:textId="54D8A5E5" w:rsidR="008F1061" w:rsidRDefault="008F1061" w:rsidP="008F1061">
      <w:pPr>
        <w:jc w:val="both"/>
      </w:pPr>
      <w:proofErr w:type="spellStart"/>
      <w:r>
        <w:t>Wetli</w:t>
      </w:r>
      <w:proofErr w:type="spellEnd"/>
      <w:r>
        <w:t xml:space="preserve"> C</w:t>
      </w:r>
      <w:r w:rsidR="00052883">
        <w:t>.</w:t>
      </w:r>
      <w:r>
        <w:t xml:space="preserve"> and </w:t>
      </w:r>
      <w:proofErr w:type="spellStart"/>
      <w:r>
        <w:t>Fishbain</w:t>
      </w:r>
      <w:proofErr w:type="spellEnd"/>
      <w:r>
        <w:t xml:space="preserve"> D</w:t>
      </w:r>
      <w:r w:rsidR="00052883">
        <w:t>.</w:t>
      </w:r>
      <w:r>
        <w:t xml:space="preserve"> (1985) ‘Cocaine-induced psychosis and sudden death in recreational cocaine users.’  </w:t>
      </w:r>
      <w:r w:rsidRPr="00D449A3">
        <w:rPr>
          <w:i/>
        </w:rPr>
        <w:t>Journal of Forensic Science.</w:t>
      </w:r>
      <w:r>
        <w:t xml:space="preserve"> 30 (3). 873-880.</w:t>
      </w:r>
    </w:p>
    <w:p w14:paraId="12C76980" w14:textId="16611FA1" w:rsidR="008F1061" w:rsidRDefault="008F1061" w:rsidP="008F1061">
      <w:pPr>
        <w:jc w:val="both"/>
      </w:pPr>
      <w:r>
        <w:t>Wozniak, J</w:t>
      </w:r>
      <w:r w:rsidR="00052883">
        <w:t>.</w:t>
      </w:r>
      <w:r>
        <w:t xml:space="preserve"> (2016) ‘Missing the moral: Excited delirium as a negative case study of moral panic.’ </w:t>
      </w:r>
      <w:r w:rsidRPr="00D449A3">
        <w:rPr>
          <w:i/>
        </w:rPr>
        <w:t>Punishment and Society.</w:t>
      </w:r>
      <w:r>
        <w:t xml:space="preserve"> 18 (2). 198-219.</w:t>
      </w:r>
    </w:p>
    <w:bookmarkEnd w:id="0"/>
    <w:p w14:paraId="07271777" w14:textId="77777777" w:rsidR="008F1061" w:rsidRDefault="008F1061" w:rsidP="008F1061">
      <w:pPr>
        <w:jc w:val="both"/>
      </w:pPr>
    </w:p>
    <w:p w14:paraId="22C68DDA" w14:textId="77777777" w:rsidR="001D1FD8" w:rsidRPr="00AC45CB" w:rsidRDefault="001D1FD8" w:rsidP="00266790">
      <w:pPr>
        <w:jc w:val="both"/>
      </w:pPr>
    </w:p>
    <w:sectPr w:rsidR="001D1FD8" w:rsidRPr="00AC45CB">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3E741" w14:textId="77777777" w:rsidR="001775DA" w:rsidRDefault="001775DA" w:rsidP="003A5AF2">
      <w:pPr>
        <w:spacing w:after="0" w:line="240" w:lineRule="auto"/>
      </w:pPr>
      <w:r>
        <w:separator/>
      </w:r>
    </w:p>
  </w:endnote>
  <w:endnote w:type="continuationSeparator" w:id="0">
    <w:p w14:paraId="510A35B8" w14:textId="77777777" w:rsidR="001775DA" w:rsidRDefault="001775DA" w:rsidP="003A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7035A" w14:textId="77777777" w:rsidR="007816AE" w:rsidRDefault="007816AE" w:rsidP="0018009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80472B" w14:textId="77777777" w:rsidR="007816AE" w:rsidRDefault="007816AE" w:rsidP="007816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F833" w14:textId="77777777" w:rsidR="007816AE" w:rsidRDefault="007816AE" w:rsidP="0018009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441">
      <w:rPr>
        <w:rStyle w:val="PageNumber"/>
        <w:noProof/>
      </w:rPr>
      <w:t>16</w:t>
    </w:r>
    <w:r>
      <w:rPr>
        <w:rStyle w:val="PageNumber"/>
      </w:rPr>
      <w:fldChar w:fldCharType="end"/>
    </w:r>
  </w:p>
  <w:p w14:paraId="6B90D367" w14:textId="77777777" w:rsidR="007816AE" w:rsidRDefault="007816AE" w:rsidP="007816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F39DA" w14:textId="77777777" w:rsidR="001775DA" w:rsidRDefault="001775DA" w:rsidP="003A5AF2">
      <w:pPr>
        <w:spacing w:after="0" w:line="240" w:lineRule="auto"/>
      </w:pPr>
      <w:r>
        <w:separator/>
      </w:r>
    </w:p>
  </w:footnote>
  <w:footnote w:type="continuationSeparator" w:id="0">
    <w:p w14:paraId="228C8DA5" w14:textId="77777777" w:rsidR="001775DA" w:rsidRDefault="001775DA" w:rsidP="003A5AF2">
      <w:pPr>
        <w:spacing w:after="0" w:line="240" w:lineRule="auto"/>
      </w:pPr>
      <w:r>
        <w:continuationSeparator/>
      </w:r>
    </w:p>
  </w:footnote>
  <w:footnote w:id="1">
    <w:p w14:paraId="0679893F" w14:textId="04D78FAF" w:rsidR="00493DA2" w:rsidRDefault="00493DA2">
      <w:pPr>
        <w:pStyle w:val="FootnoteText"/>
      </w:pPr>
      <w:r>
        <w:rPr>
          <w:rStyle w:val="FootnoteReference"/>
        </w:rPr>
        <w:footnoteRef/>
      </w:r>
      <w:r>
        <w:t xml:space="preserve"> </w:t>
      </w:r>
      <w:r w:rsidR="00167720">
        <w:t xml:space="preserve">Died after being restrained in a choke hold by police officers on Staten Island in 2014. His family </w:t>
      </w:r>
      <w:r w:rsidR="0034619F">
        <w:t>were</w:t>
      </w:r>
      <w:r w:rsidR="00167720">
        <w:t xml:space="preserve"> offered $5.9M in da</w:t>
      </w:r>
      <w:r w:rsidR="002B5B37">
        <w:t>mages from the city of New York (Goodman</w:t>
      </w:r>
      <w:r w:rsidR="00DF7B0A">
        <w:t>,</w:t>
      </w:r>
      <w:r w:rsidR="002B5B37">
        <w:t xml:space="preserve"> 2015). </w:t>
      </w:r>
    </w:p>
  </w:footnote>
  <w:footnote w:id="2">
    <w:p w14:paraId="408D7759" w14:textId="4020DE29" w:rsidR="009B4B01" w:rsidRDefault="009B4B01">
      <w:pPr>
        <w:pStyle w:val="FootnoteText"/>
      </w:pPr>
      <w:r>
        <w:rPr>
          <w:rStyle w:val="FootnoteReference"/>
        </w:rPr>
        <w:footnoteRef/>
      </w:r>
      <w:r>
        <w:t xml:space="preserve"> </w:t>
      </w:r>
      <w:r w:rsidR="004725CD">
        <w:t xml:space="preserve">Died after being shot by a police officer in Ferguson, Missouri in 2014. </w:t>
      </w:r>
      <w:r w:rsidR="008E539D">
        <w:t>His</w:t>
      </w:r>
      <w:r w:rsidR="004725CD">
        <w:t xml:space="preserve"> death caused widespread disorder and rioting in the Ferguson area (USA Today, 2014). </w:t>
      </w:r>
    </w:p>
  </w:footnote>
  <w:footnote w:id="3">
    <w:p w14:paraId="45334F7D" w14:textId="5CAFEEA9" w:rsidR="00E14995" w:rsidRDefault="00E14995">
      <w:pPr>
        <w:pStyle w:val="FootnoteText"/>
      </w:pPr>
      <w:r>
        <w:rPr>
          <w:rStyle w:val="FootnoteReference"/>
        </w:rPr>
        <w:footnoteRef/>
      </w:r>
      <w:r>
        <w:t xml:space="preserve"> </w:t>
      </w:r>
      <w:r w:rsidR="007574A4">
        <w:t xml:space="preserve">Shot dead by a police officer in London in 2011. Widely believed to have precipitated </w:t>
      </w:r>
      <w:r w:rsidR="008E6C84">
        <w:t xml:space="preserve">the London riots that followed </w:t>
      </w:r>
      <w:r w:rsidR="00B91880">
        <w:t>(</w:t>
      </w:r>
      <w:r w:rsidR="008E6C84">
        <w:t>Guardian/LSE</w:t>
      </w:r>
      <w:r w:rsidR="00DF7B0A">
        <w:t>,</w:t>
      </w:r>
      <w:r w:rsidR="008E6C84">
        <w:t xml:space="preserve"> 2012</w:t>
      </w:r>
      <w:r w:rsidR="007574A4">
        <w:t xml:space="preserve">). </w:t>
      </w:r>
    </w:p>
  </w:footnote>
  <w:footnote w:id="4">
    <w:p w14:paraId="276066C2" w14:textId="6463AB2D" w:rsidR="007574A4" w:rsidRDefault="007574A4">
      <w:pPr>
        <w:pStyle w:val="FootnoteText"/>
      </w:pPr>
      <w:r>
        <w:rPr>
          <w:rStyle w:val="FootnoteReference"/>
        </w:rPr>
        <w:footnoteRef/>
      </w:r>
      <w:r>
        <w:t xml:space="preserve"> Died after being struck with a police baton and pushed to the ground in London by a police officer during the London G20 protests in 2009. Determined to have been ‘unlawfully killed’ by a coroner’s court jury in 2011</w:t>
      </w:r>
      <w:r w:rsidR="00162126">
        <w:t xml:space="preserve"> (Greer and McLaughlin</w:t>
      </w:r>
      <w:r w:rsidR="00DF7B0A">
        <w:t>,</w:t>
      </w:r>
      <w:r w:rsidR="00162126">
        <w:t xml:space="preserve"> 2012)</w:t>
      </w:r>
      <w:r>
        <w:t>.</w:t>
      </w:r>
    </w:p>
  </w:footnote>
  <w:footnote w:id="5">
    <w:p w14:paraId="5037266F" w14:textId="132DDB41" w:rsidR="00F759B4" w:rsidRDefault="00F759B4">
      <w:pPr>
        <w:pStyle w:val="FootnoteText"/>
      </w:pPr>
      <w:r>
        <w:rPr>
          <w:rStyle w:val="FootnoteReference"/>
        </w:rPr>
        <w:footnoteRef/>
      </w:r>
      <w:r>
        <w:t xml:space="preserve"> Sometimes referred to as ‘</w:t>
      </w:r>
      <w:proofErr w:type="spellStart"/>
      <w:r>
        <w:t>ExDS</w:t>
      </w:r>
      <w:proofErr w:type="spellEnd"/>
      <w:r>
        <w:t>’ (Excited Delir</w:t>
      </w:r>
      <w:r w:rsidR="000C4425">
        <w:t>i</w:t>
      </w:r>
      <w:r>
        <w:t>um Syndro</w:t>
      </w:r>
      <w:r w:rsidR="00D71BA0">
        <w:t xml:space="preserve">me). See, for example </w:t>
      </w:r>
      <w:proofErr w:type="spellStart"/>
      <w:r w:rsidR="00D71BA0">
        <w:t>Vilke</w:t>
      </w:r>
      <w:proofErr w:type="spellEnd"/>
      <w:r w:rsidR="00D71BA0">
        <w:t xml:space="preserve"> </w:t>
      </w:r>
      <w:r w:rsidR="00D71BA0" w:rsidRPr="00D71BA0">
        <w:rPr>
          <w:i/>
        </w:rPr>
        <w:t>et al.</w:t>
      </w:r>
      <w:r w:rsidR="00D71BA0">
        <w:t xml:space="preserve"> 2012, Storey</w:t>
      </w:r>
      <w:r w:rsidR="00DF7B0A">
        <w:t>,</w:t>
      </w:r>
      <w:r w:rsidR="00D71BA0">
        <w:t xml:space="preserve"> 2012. </w:t>
      </w:r>
    </w:p>
  </w:footnote>
  <w:footnote w:id="6">
    <w:p w14:paraId="05301135" w14:textId="4EE71C19" w:rsidR="00BE0275" w:rsidRDefault="00BE0275">
      <w:pPr>
        <w:pStyle w:val="FootnoteText"/>
      </w:pPr>
      <w:r>
        <w:rPr>
          <w:rStyle w:val="FootnoteReference"/>
        </w:rPr>
        <w:footnoteRef/>
      </w:r>
      <w:r>
        <w:t xml:space="preserve">  Termed determina</w:t>
      </w:r>
      <w:r w:rsidR="00925A41">
        <w:t>tions, or conclusions since July 2013</w:t>
      </w:r>
      <w:r>
        <w:t xml:space="preserve"> after direct</w:t>
      </w:r>
      <w:r w:rsidR="00AA6A54">
        <w:t>ion from the Chief Coroner</w:t>
      </w:r>
      <w:r w:rsidR="00D776CA">
        <w:t xml:space="preserve"> of England and Wales</w:t>
      </w:r>
      <w:r w:rsidR="00AA6A54">
        <w:t xml:space="preserve"> (Chief Coroner</w:t>
      </w:r>
      <w:r w:rsidR="00DF7B0A">
        <w:t>,</w:t>
      </w:r>
      <w:r w:rsidR="00AA6A54">
        <w:t xml:space="preserve"> 2014</w:t>
      </w:r>
      <w:r>
        <w:t>)</w:t>
      </w:r>
      <w:r w:rsidR="00CB154E">
        <w:t xml:space="preserve">. Matthews (2014) notes that </w:t>
      </w:r>
      <w:r w:rsidR="00462639">
        <w:t xml:space="preserve">the </w:t>
      </w:r>
      <w:r w:rsidR="00CB154E">
        <w:t xml:space="preserve">media still tend to report them as ‘verdicts’. </w:t>
      </w:r>
    </w:p>
  </w:footnote>
  <w:footnote w:id="7">
    <w:p w14:paraId="5D00C632" w14:textId="6140FCDE" w:rsidR="000E4851" w:rsidRDefault="000E4851">
      <w:pPr>
        <w:pStyle w:val="FootnoteText"/>
      </w:pPr>
      <w:r>
        <w:rPr>
          <w:rStyle w:val="FootnoteReference"/>
        </w:rPr>
        <w:footnoteRef/>
      </w:r>
      <w:r>
        <w:t xml:space="preserve"> There is insufficient space here to list all short form verdicts, but common examples are ‘open’, ‘suicide’, and </w:t>
      </w:r>
      <w:r w:rsidR="00FC168B">
        <w:t>‘death by misadventure’ (</w:t>
      </w:r>
      <w:proofErr w:type="spellStart"/>
      <w:r w:rsidR="00FC168B">
        <w:t>Luce</w:t>
      </w:r>
      <w:proofErr w:type="spellEnd"/>
      <w:r w:rsidR="00DF7B0A">
        <w:t>,</w:t>
      </w:r>
      <w:r w:rsidR="00FC168B">
        <w:t xml:space="preserve"> 2003</w:t>
      </w:r>
      <w:r>
        <w:t xml:space="preserve">).  </w:t>
      </w:r>
    </w:p>
  </w:footnote>
  <w:footnote w:id="8">
    <w:p w14:paraId="66483DBD" w14:textId="46690A40" w:rsidR="00DB6EA7" w:rsidRDefault="00DB6EA7">
      <w:pPr>
        <w:pStyle w:val="FootnoteText"/>
      </w:pPr>
      <w:r>
        <w:rPr>
          <w:rStyle w:val="FootnoteReference"/>
        </w:rPr>
        <w:footnoteRef/>
      </w:r>
      <w:r>
        <w:t xml:space="preserve"> Replaced by the National Police Chiefs’ Council (NPCC) in April 2015. </w:t>
      </w:r>
    </w:p>
  </w:footnote>
  <w:footnote w:id="9">
    <w:p w14:paraId="5DFFB204" w14:textId="0C4BCF6C" w:rsidR="006E53ED" w:rsidRDefault="006E53ED">
      <w:pPr>
        <w:pStyle w:val="FootnoteText"/>
      </w:pPr>
      <w:r>
        <w:rPr>
          <w:rStyle w:val="FootnoteReference"/>
        </w:rPr>
        <w:footnoteRef/>
      </w:r>
      <w:r>
        <w:t xml:space="preserve"> </w:t>
      </w:r>
      <w:r w:rsidR="00B10A2D">
        <w:t>Baker</w:t>
      </w:r>
      <w:r w:rsidR="001037F7">
        <w:t xml:space="preserve"> (2016a</w:t>
      </w:r>
      <w:r w:rsidR="00287BFC">
        <w:t xml:space="preserve">) </w:t>
      </w:r>
    </w:p>
  </w:footnote>
  <w:footnote w:id="10">
    <w:p w14:paraId="69F4B9B4" w14:textId="0189FD86" w:rsidR="00910B48" w:rsidRDefault="00910B48" w:rsidP="00910B48">
      <w:pPr>
        <w:pStyle w:val="FootnoteText"/>
        <w:jc w:val="both"/>
        <w:rPr>
          <w:rFonts w:ascii="Calibri" w:hAnsi="Calibri"/>
        </w:rPr>
      </w:pPr>
      <w:r>
        <w:rPr>
          <w:rStyle w:val="FootnoteReference"/>
        </w:rPr>
        <w:footnoteRef/>
      </w:r>
      <w:r>
        <w:t xml:space="preserve"> </w:t>
      </w:r>
      <w:r>
        <w:rPr>
          <w:rFonts w:ascii="Calibri" w:hAnsi="Calibri"/>
        </w:rPr>
        <w:t>Centrex documentation was produced by the National Centre for Policing Excellence. This was the precursor to the National Police Improvement Agency (NPIA) in disseminating policy and practice to police in England and Wales. The NPIA was replaced by the College of Policing (CP) in 2013.</w:t>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23184"/>
    <w:multiLevelType w:val="hybridMultilevel"/>
    <w:tmpl w:val="C35087FA"/>
    <w:lvl w:ilvl="0" w:tplc="F3D82EE8">
      <w:start w:val="1"/>
      <w:numFmt w:val="bullet"/>
      <w:lvlText w:val="•"/>
      <w:lvlJc w:val="left"/>
      <w:pPr>
        <w:tabs>
          <w:tab w:val="num" w:pos="720"/>
        </w:tabs>
        <w:ind w:left="720" w:hanging="360"/>
      </w:pPr>
      <w:rPr>
        <w:rFonts w:ascii="Arial" w:hAnsi="Arial" w:hint="default"/>
      </w:rPr>
    </w:lvl>
    <w:lvl w:ilvl="1" w:tplc="C1F43270" w:tentative="1">
      <w:start w:val="1"/>
      <w:numFmt w:val="bullet"/>
      <w:lvlText w:val="•"/>
      <w:lvlJc w:val="left"/>
      <w:pPr>
        <w:tabs>
          <w:tab w:val="num" w:pos="1440"/>
        </w:tabs>
        <w:ind w:left="1440" w:hanging="360"/>
      </w:pPr>
      <w:rPr>
        <w:rFonts w:ascii="Arial" w:hAnsi="Arial" w:hint="default"/>
      </w:rPr>
    </w:lvl>
    <w:lvl w:ilvl="2" w:tplc="55366B26" w:tentative="1">
      <w:start w:val="1"/>
      <w:numFmt w:val="bullet"/>
      <w:lvlText w:val="•"/>
      <w:lvlJc w:val="left"/>
      <w:pPr>
        <w:tabs>
          <w:tab w:val="num" w:pos="2160"/>
        </w:tabs>
        <w:ind w:left="2160" w:hanging="360"/>
      </w:pPr>
      <w:rPr>
        <w:rFonts w:ascii="Arial" w:hAnsi="Arial" w:hint="default"/>
      </w:rPr>
    </w:lvl>
    <w:lvl w:ilvl="3" w:tplc="ECCE225E" w:tentative="1">
      <w:start w:val="1"/>
      <w:numFmt w:val="bullet"/>
      <w:lvlText w:val="•"/>
      <w:lvlJc w:val="left"/>
      <w:pPr>
        <w:tabs>
          <w:tab w:val="num" w:pos="2880"/>
        </w:tabs>
        <w:ind w:left="2880" w:hanging="360"/>
      </w:pPr>
      <w:rPr>
        <w:rFonts w:ascii="Arial" w:hAnsi="Arial" w:hint="default"/>
      </w:rPr>
    </w:lvl>
    <w:lvl w:ilvl="4" w:tplc="F140CD94" w:tentative="1">
      <w:start w:val="1"/>
      <w:numFmt w:val="bullet"/>
      <w:lvlText w:val="•"/>
      <w:lvlJc w:val="left"/>
      <w:pPr>
        <w:tabs>
          <w:tab w:val="num" w:pos="3600"/>
        </w:tabs>
        <w:ind w:left="3600" w:hanging="360"/>
      </w:pPr>
      <w:rPr>
        <w:rFonts w:ascii="Arial" w:hAnsi="Arial" w:hint="default"/>
      </w:rPr>
    </w:lvl>
    <w:lvl w:ilvl="5" w:tplc="26F4B0E2" w:tentative="1">
      <w:start w:val="1"/>
      <w:numFmt w:val="bullet"/>
      <w:lvlText w:val="•"/>
      <w:lvlJc w:val="left"/>
      <w:pPr>
        <w:tabs>
          <w:tab w:val="num" w:pos="4320"/>
        </w:tabs>
        <w:ind w:left="4320" w:hanging="360"/>
      </w:pPr>
      <w:rPr>
        <w:rFonts w:ascii="Arial" w:hAnsi="Arial" w:hint="default"/>
      </w:rPr>
    </w:lvl>
    <w:lvl w:ilvl="6" w:tplc="6D025CA8" w:tentative="1">
      <w:start w:val="1"/>
      <w:numFmt w:val="bullet"/>
      <w:lvlText w:val="•"/>
      <w:lvlJc w:val="left"/>
      <w:pPr>
        <w:tabs>
          <w:tab w:val="num" w:pos="5040"/>
        </w:tabs>
        <w:ind w:left="5040" w:hanging="360"/>
      </w:pPr>
      <w:rPr>
        <w:rFonts w:ascii="Arial" w:hAnsi="Arial" w:hint="default"/>
      </w:rPr>
    </w:lvl>
    <w:lvl w:ilvl="7" w:tplc="03180CEE" w:tentative="1">
      <w:start w:val="1"/>
      <w:numFmt w:val="bullet"/>
      <w:lvlText w:val="•"/>
      <w:lvlJc w:val="left"/>
      <w:pPr>
        <w:tabs>
          <w:tab w:val="num" w:pos="5760"/>
        </w:tabs>
        <w:ind w:left="5760" w:hanging="360"/>
      </w:pPr>
      <w:rPr>
        <w:rFonts w:ascii="Arial" w:hAnsi="Arial" w:hint="default"/>
      </w:rPr>
    </w:lvl>
    <w:lvl w:ilvl="8" w:tplc="6D84FB16" w:tentative="1">
      <w:start w:val="1"/>
      <w:numFmt w:val="bullet"/>
      <w:lvlText w:val="•"/>
      <w:lvlJc w:val="left"/>
      <w:pPr>
        <w:tabs>
          <w:tab w:val="num" w:pos="6480"/>
        </w:tabs>
        <w:ind w:left="6480" w:hanging="360"/>
      </w:pPr>
      <w:rPr>
        <w:rFonts w:ascii="Arial" w:hAnsi="Arial" w:hint="default"/>
      </w:rPr>
    </w:lvl>
  </w:abstractNum>
  <w:abstractNum w:abstractNumId="1">
    <w:nsid w:val="66B21471"/>
    <w:multiLevelType w:val="hybridMultilevel"/>
    <w:tmpl w:val="B32666E0"/>
    <w:lvl w:ilvl="0" w:tplc="12267AA4">
      <w:start w:val="1"/>
      <w:numFmt w:val="bullet"/>
      <w:lvlText w:val="•"/>
      <w:lvlJc w:val="left"/>
      <w:pPr>
        <w:tabs>
          <w:tab w:val="num" w:pos="720"/>
        </w:tabs>
        <w:ind w:left="720" w:hanging="360"/>
      </w:pPr>
      <w:rPr>
        <w:rFonts w:ascii="Arial" w:hAnsi="Arial" w:hint="default"/>
      </w:rPr>
    </w:lvl>
    <w:lvl w:ilvl="1" w:tplc="78A256DA" w:tentative="1">
      <w:start w:val="1"/>
      <w:numFmt w:val="bullet"/>
      <w:lvlText w:val="•"/>
      <w:lvlJc w:val="left"/>
      <w:pPr>
        <w:tabs>
          <w:tab w:val="num" w:pos="1440"/>
        </w:tabs>
        <w:ind w:left="1440" w:hanging="360"/>
      </w:pPr>
      <w:rPr>
        <w:rFonts w:ascii="Arial" w:hAnsi="Arial" w:hint="default"/>
      </w:rPr>
    </w:lvl>
    <w:lvl w:ilvl="2" w:tplc="618242F0" w:tentative="1">
      <w:start w:val="1"/>
      <w:numFmt w:val="bullet"/>
      <w:lvlText w:val="•"/>
      <w:lvlJc w:val="left"/>
      <w:pPr>
        <w:tabs>
          <w:tab w:val="num" w:pos="2160"/>
        </w:tabs>
        <w:ind w:left="2160" w:hanging="360"/>
      </w:pPr>
      <w:rPr>
        <w:rFonts w:ascii="Arial" w:hAnsi="Arial" w:hint="default"/>
      </w:rPr>
    </w:lvl>
    <w:lvl w:ilvl="3" w:tplc="3C52A112" w:tentative="1">
      <w:start w:val="1"/>
      <w:numFmt w:val="bullet"/>
      <w:lvlText w:val="•"/>
      <w:lvlJc w:val="left"/>
      <w:pPr>
        <w:tabs>
          <w:tab w:val="num" w:pos="2880"/>
        </w:tabs>
        <w:ind w:left="2880" w:hanging="360"/>
      </w:pPr>
      <w:rPr>
        <w:rFonts w:ascii="Arial" w:hAnsi="Arial" w:hint="default"/>
      </w:rPr>
    </w:lvl>
    <w:lvl w:ilvl="4" w:tplc="D448453C" w:tentative="1">
      <w:start w:val="1"/>
      <w:numFmt w:val="bullet"/>
      <w:lvlText w:val="•"/>
      <w:lvlJc w:val="left"/>
      <w:pPr>
        <w:tabs>
          <w:tab w:val="num" w:pos="3600"/>
        </w:tabs>
        <w:ind w:left="3600" w:hanging="360"/>
      </w:pPr>
      <w:rPr>
        <w:rFonts w:ascii="Arial" w:hAnsi="Arial" w:hint="default"/>
      </w:rPr>
    </w:lvl>
    <w:lvl w:ilvl="5" w:tplc="69C2A1CA" w:tentative="1">
      <w:start w:val="1"/>
      <w:numFmt w:val="bullet"/>
      <w:lvlText w:val="•"/>
      <w:lvlJc w:val="left"/>
      <w:pPr>
        <w:tabs>
          <w:tab w:val="num" w:pos="4320"/>
        </w:tabs>
        <w:ind w:left="4320" w:hanging="360"/>
      </w:pPr>
      <w:rPr>
        <w:rFonts w:ascii="Arial" w:hAnsi="Arial" w:hint="default"/>
      </w:rPr>
    </w:lvl>
    <w:lvl w:ilvl="6" w:tplc="3730B8E2" w:tentative="1">
      <w:start w:val="1"/>
      <w:numFmt w:val="bullet"/>
      <w:lvlText w:val="•"/>
      <w:lvlJc w:val="left"/>
      <w:pPr>
        <w:tabs>
          <w:tab w:val="num" w:pos="5040"/>
        </w:tabs>
        <w:ind w:left="5040" w:hanging="360"/>
      </w:pPr>
      <w:rPr>
        <w:rFonts w:ascii="Arial" w:hAnsi="Arial" w:hint="default"/>
      </w:rPr>
    </w:lvl>
    <w:lvl w:ilvl="7" w:tplc="48CE5636" w:tentative="1">
      <w:start w:val="1"/>
      <w:numFmt w:val="bullet"/>
      <w:lvlText w:val="•"/>
      <w:lvlJc w:val="left"/>
      <w:pPr>
        <w:tabs>
          <w:tab w:val="num" w:pos="5760"/>
        </w:tabs>
        <w:ind w:left="5760" w:hanging="360"/>
      </w:pPr>
      <w:rPr>
        <w:rFonts w:ascii="Arial" w:hAnsi="Arial" w:hint="default"/>
      </w:rPr>
    </w:lvl>
    <w:lvl w:ilvl="8" w:tplc="D458E7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B02"/>
    <w:rsid w:val="000001AA"/>
    <w:rsid w:val="000030C9"/>
    <w:rsid w:val="00005147"/>
    <w:rsid w:val="00005778"/>
    <w:rsid w:val="000063A0"/>
    <w:rsid w:val="000252D8"/>
    <w:rsid w:val="00027441"/>
    <w:rsid w:val="0003487D"/>
    <w:rsid w:val="000456CF"/>
    <w:rsid w:val="0004632D"/>
    <w:rsid w:val="00052883"/>
    <w:rsid w:val="0005670B"/>
    <w:rsid w:val="00057B8C"/>
    <w:rsid w:val="00057EA9"/>
    <w:rsid w:val="00062978"/>
    <w:rsid w:val="0007406C"/>
    <w:rsid w:val="00076C50"/>
    <w:rsid w:val="000826A6"/>
    <w:rsid w:val="00082C8A"/>
    <w:rsid w:val="00082EE3"/>
    <w:rsid w:val="0008415E"/>
    <w:rsid w:val="000A1610"/>
    <w:rsid w:val="000A45BC"/>
    <w:rsid w:val="000A5292"/>
    <w:rsid w:val="000A6C70"/>
    <w:rsid w:val="000B655F"/>
    <w:rsid w:val="000C4425"/>
    <w:rsid w:val="000D0B05"/>
    <w:rsid w:val="000D4A97"/>
    <w:rsid w:val="000E4851"/>
    <w:rsid w:val="000E791A"/>
    <w:rsid w:val="000F2821"/>
    <w:rsid w:val="000F4CA7"/>
    <w:rsid w:val="000F64C1"/>
    <w:rsid w:val="001037F7"/>
    <w:rsid w:val="00104998"/>
    <w:rsid w:val="00105707"/>
    <w:rsid w:val="0011057B"/>
    <w:rsid w:val="00116E6D"/>
    <w:rsid w:val="001229F7"/>
    <w:rsid w:val="00123BA0"/>
    <w:rsid w:val="00125D26"/>
    <w:rsid w:val="00134B55"/>
    <w:rsid w:val="001356AE"/>
    <w:rsid w:val="001406E7"/>
    <w:rsid w:val="00141B55"/>
    <w:rsid w:val="0014417E"/>
    <w:rsid w:val="00147B73"/>
    <w:rsid w:val="00152807"/>
    <w:rsid w:val="00155A5E"/>
    <w:rsid w:val="00157635"/>
    <w:rsid w:val="001620B6"/>
    <w:rsid w:val="00162126"/>
    <w:rsid w:val="00164D8A"/>
    <w:rsid w:val="00167720"/>
    <w:rsid w:val="001711B6"/>
    <w:rsid w:val="001775DA"/>
    <w:rsid w:val="00187F03"/>
    <w:rsid w:val="00192072"/>
    <w:rsid w:val="001924E0"/>
    <w:rsid w:val="001B6674"/>
    <w:rsid w:val="001C0E48"/>
    <w:rsid w:val="001C1BA3"/>
    <w:rsid w:val="001C1F61"/>
    <w:rsid w:val="001D1861"/>
    <w:rsid w:val="001D1FD8"/>
    <w:rsid w:val="001D28C9"/>
    <w:rsid w:val="001D6779"/>
    <w:rsid w:val="001E1EFD"/>
    <w:rsid w:val="001E3F50"/>
    <w:rsid w:val="00200C11"/>
    <w:rsid w:val="00200EB2"/>
    <w:rsid w:val="0021725A"/>
    <w:rsid w:val="00224EF7"/>
    <w:rsid w:val="00224FBA"/>
    <w:rsid w:val="00231ED9"/>
    <w:rsid w:val="002435CE"/>
    <w:rsid w:val="00244DCC"/>
    <w:rsid w:val="0024521A"/>
    <w:rsid w:val="00251633"/>
    <w:rsid w:val="00257E31"/>
    <w:rsid w:val="00265A04"/>
    <w:rsid w:val="00266790"/>
    <w:rsid w:val="00267C43"/>
    <w:rsid w:val="00277EFC"/>
    <w:rsid w:val="00286C95"/>
    <w:rsid w:val="00287BFC"/>
    <w:rsid w:val="002960D4"/>
    <w:rsid w:val="002973A8"/>
    <w:rsid w:val="002A206F"/>
    <w:rsid w:val="002A2849"/>
    <w:rsid w:val="002A64DB"/>
    <w:rsid w:val="002B1111"/>
    <w:rsid w:val="002B29D6"/>
    <w:rsid w:val="002B4358"/>
    <w:rsid w:val="002B5B37"/>
    <w:rsid w:val="002C4813"/>
    <w:rsid w:val="002E2B11"/>
    <w:rsid w:val="002E5308"/>
    <w:rsid w:val="0030117A"/>
    <w:rsid w:val="00301591"/>
    <w:rsid w:val="00304FC2"/>
    <w:rsid w:val="00307519"/>
    <w:rsid w:val="0031024C"/>
    <w:rsid w:val="00316522"/>
    <w:rsid w:val="00320875"/>
    <w:rsid w:val="003242B1"/>
    <w:rsid w:val="00326ECE"/>
    <w:rsid w:val="003304F7"/>
    <w:rsid w:val="00330BEE"/>
    <w:rsid w:val="00332589"/>
    <w:rsid w:val="00340627"/>
    <w:rsid w:val="0034619F"/>
    <w:rsid w:val="003462AB"/>
    <w:rsid w:val="00354F6E"/>
    <w:rsid w:val="00363E05"/>
    <w:rsid w:val="003653D1"/>
    <w:rsid w:val="00373A65"/>
    <w:rsid w:val="0037503E"/>
    <w:rsid w:val="0037604E"/>
    <w:rsid w:val="00385083"/>
    <w:rsid w:val="00386178"/>
    <w:rsid w:val="00392FB5"/>
    <w:rsid w:val="003942A2"/>
    <w:rsid w:val="003A292D"/>
    <w:rsid w:val="003A3C02"/>
    <w:rsid w:val="003A5AF2"/>
    <w:rsid w:val="003B288F"/>
    <w:rsid w:val="003B5B0F"/>
    <w:rsid w:val="003B7D22"/>
    <w:rsid w:val="003C097E"/>
    <w:rsid w:val="003C1006"/>
    <w:rsid w:val="003C26D1"/>
    <w:rsid w:val="003C3CC9"/>
    <w:rsid w:val="003C61FB"/>
    <w:rsid w:val="003C6CFA"/>
    <w:rsid w:val="003D5BB0"/>
    <w:rsid w:val="003D6128"/>
    <w:rsid w:val="003E43D6"/>
    <w:rsid w:val="003F19BE"/>
    <w:rsid w:val="003F73A8"/>
    <w:rsid w:val="004044C4"/>
    <w:rsid w:val="0040717F"/>
    <w:rsid w:val="00415643"/>
    <w:rsid w:val="00416121"/>
    <w:rsid w:val="004207B3"/>
    <w:rsid w:val="004211A2"/>
    <w:rsid w:val="004227BA"/>
    <w:rsid w:val="0042665D"/>
    <w:rsid w:val="004333AF"/>
    <w:rsid w:val="00437643"/>
    <w:rsid w:val="004416FC"/>
    <w:rsid w:val="00442E58"/>
    <w:rsid w:val="00443246"/>
    <w:rsid w:val="0044441D"/>
    <w:rsid w:val="00444944"/>
    <w:rsid w:val="00445294"/>
    <w:rsid w:val="004465CE"/>
    <w:rsid w:val="00447DA7"/>
    <w:rsid w:val="00450DBD"/>
    <w:rsid w:val="004516BA"/>
    <w:rsid w:val="00455204"/>
    <w:rsid w:val="00461B9E"/>
    <w:rsid w:val="00462150"/>
    <w:rsid w:val="00462639"/>
    <w:rsid w:val="00465D42"/>
    <w:rsid w:val="004710C4"/>
    <w:rsid w:val="004725CD"/>
    <w:rsid w:val="004760DF"/>
    <w:rsid w:val="004765B8"/>
    <w:rsid w:val="004843C8"/>
    <w:rsid w:val="00492A8E"/>
    <w:rsid w:val="00493DA2"/>
    <w:rsid w:val="00493E1F"/>
    <w:rsid w:val="004A3D44"/>
    <w:rsid w:val="004B083B"/>
    <w:rsid w:val="004B11CA"/>
    <w:rsid w:val="004C13C8"/>
    <w:rsid w:val="004D4BD3"/>
    <w:rsid w:val="004E10AB"/>
    <w:rsid w:val="004E7360"/>
    <w:rsid w:val="004F1A3A"/>
    <w:rsid w:val="00502E34"/>
    <w:rsid w:val="0050439C"/>
    <w:rsid w:val="00506085"/>
    <w:rsid w:val="00512DCB"/>
    <w:rsid w:val="0051628A"/>
    <w:rsid w:val="005211EE"/>
    <w:rsid w:val="00522485"/>
    <w:rsid w:val="0052444C"/>
    <w:rsid w:val="00524E6B"/>
    <w:rsid w:val="00525ACC"/>
    <w:rsid w:val="0053346A"/>
    <w:rsid w:val="00536352"/>
    <w:rsid w:val="005367AF"/>
    <w:rsid w:val="00536EAC"/>
    <w:rsid w:val="00540816"/>
    <w:rsid w:val="005419EF"/>
    <w:rsid w:val="00543F92"/>
    <w:rsid w:val="00547406"/>
    <w:rsid w:val="00552747"/>
    <w:rsid w:val="0055549E"/>
    <w:rsid w:val="00555B91"/>
    <w:rsid w:val="005606EC"/>
    <w:rsid w:val="00566DED"/>
    <w:rsid w:val="0057041F"/>
    <w:rsid w:val="005756C9"/>
    <w:rsid w:val="005819CF"/>
    <w:rsid w:val="005826CD"/>
    <w:rsid w:val="0058404B"/>
    <w:rsid w:val="005844D7"/>
    <w:rsid w:val="00584CE7"/>
    <w:rsid w:val="00592F34"/>
    <w:rsid w:val="00595ED9"/>
    <w:rsid w:val="005979D0"/>
    <w:rsid w:val="005A005A"/>
    <w:rsid w:val="005A15E8"/>
    <w:rsid w:val="005A2407"/>
    <w:rsid w:val="005B1CAC"/>
    <w:rsid w:val="005B318B"/>
    <w:rsid w:val="005B7000"/>
    <w:rsid w:val="005B795B"/>
    <w:rsid w:val="005C2014"/>
    <w:rsid w:val="005C247A"/>
    <w:rsid w:val="005C26BB"/>
    <w:rsid w:val="005C3A95"/>
    <w:rsid w:val="005C52F7"/>
    <w:rsid w:val="005D1CC0"/>
    <w:rsid w:val="005E302E"/>
    <w:rsid w:val="005E3149"/>
    <w:rsid w:val="005E3C1C"/>
    <w:rsid w:val="005E5C91"/>
    <w:rsid w:val="005F2014"/>
    <w:rsid w:val="00600316"/>
    <w:rsid w:val="00604A0F"/>
    <w:rsid w:val="00607514"/>
    <w:rsid w:val="00610E3B"/>
    <w:rsid w:val="00612A9D"/>
    <w:rsid w:val="0061456F"/>
    <w:rsid w:val="00615DED"/>
    <w:rsid w:val="00621050"/>
    <w:rsid w:val="00632A9B"/>
    <w:rsid w:val="00633A86"/>
    <w:rsid w:val="00634779"/>
    <w:rsid w:val="00634C0F"/>
    <w:rsid w:val="0063519E"/>
    <w:rsid w:val="00641371"/>
    <w:rsid w:val="006422A9"/>
    <w:rsid w:val="00645E83"/>
    <w:rsid w:val="0065337A"/>
    <w:rsid w:val="006563CE"/>
    <w:rsid w:val="0066576B"/>
    <w:rsid w:val="00670A3C"/>
    <w:rsid w:val="00674799"/>
    <w:rsid w:val="006802D1"/>
    <w:rsid w:val="00682705"/>
    <w:rsid w:val="00682874"/>
    <w:rsid w:val="0068291E"/>
    <w:rsid w:val="00684DF7"/>
    <w:rsid w:val="0068606E"/>
    <w:rsid w:val="00697773"/>
    <w:rsid w:val="00697AF4"/>
    <w:rsid w:val="006B3780"/>
    <w:rsid w:val="006C0ED1"/>
    <w:rsid w:val="006C4A3E"/>
    <w:rsid w:val="006C7608"/>
    <w:rsid w:val="006E4D6E"/>
    <w:rsid w:val="006E53ED"/>
    <w:rsid w:val="006E6112"/>
    <w:rsid w:val="006E6AE8"/>
    <w:rsid w:val="006F0025"/>
    <w:rsid w:val="006F58C8"/>
    <w:rsid w:val="007044C8"/>
    <w:rsid w:val="00704C94"/>
    <w:rsid w:val="00707725"/>
    <w:rsid w:val="007105F5"/>
    <w:rsid w:val="007135CE"/>
    <w:rsid w:val="00714045"/>
    <w:rsid w:val="007205A6"/>
    <w:rsid w:val="0072272A"/>
    <w:rsid w:val="00724866"/>
    <w:rsid w:val="00726298"/>
    <w:rsid w:val="00727355"/>
    <w:rsid w:val="007316FD"/>
    <w:rsid w:val="00732E88"/>
    <w:rsid w:val="0073538B"/>
    <w:rsid w:val="007379AE"/>
    <w:rsid w:val="00737BEB"/>
    <w:rsid w:val="0074302A"/>
    <w:rsid w:val="00743BFB"/>
    <w:rsid w:val="00745C23"/>
    <w:rsid w:val="0074784F"/>
    <w:rsid w:val="007512D2"/>
    <w:rsid w:val="007574A4"/>
    <w:rsid w:val="00761336"/>
    <w:rsid w:val="00762594"/>
    <w:rsid w:val="007637EA"/>
    <w:rsid w:val="007654F0"/>
    <w:rsid w:val="00770895"/>
    <w:rsid w:val="00770C71"/>
    <w:rsid w:val="00771415"/>
    <w:rsid w:val="00771971"/>
    <w:rsid w:val="00771D6F"/>
    <w:rsid w:val="007770F7"/>
    <w:rsid w:val="007816AE"/>
    <w:rsid w:val="007818DD"/>
    <w:rsid w:val="00791B41"/>
    <w:rsid w:val="00793BBF"/>
    <w:rsid w:val="00794E08"/>
    <w:rsid w:val="0079578A"/>
    <w:rsid w:val="0079605C"/>
    <w:rsid w:val="007A0C84"/>
    <w:rsid w:val="007A29A8"/>
    <w:rsid w:val="007A420E"/>
    <w:rsid w:val="007B464E"/>
    <w:rsid w:val="007C5C12"/>
    <w:rsid w:val="007C62E3"/>
    <w:rsid w:val="007D35D2"/>
    <w:rsid w:val="007D7E78"/>
    <w:rsid w:val="007E03F5"/>
    <w:rsid w:val="007E066E"/>
    <w:rsid w:val="007E4332"/>
    <w:rsid w:val="007E4A44"/>
    <w:rsid w:val="007F0982"/>
    <w:rsid w:val="007F2096"/>
    <w:rsid w:val="007F75C2"/>
    <w:rsid w:val="00803941"/>
    <w:rsid w:val="008073B8"/>
    <w:rsid w:val="008107DA"/>
    <w:rsid w:val="00811320"/>
    <w:rsid w:val="0082555F"/>
    <w:rsid w:val="0082564F"/>
    <w:rsid w:val="008261A3"/>
    <w:rsid w:val="00827E11"/>
    <w:rsid w:val="00833342"/>
    <w:rsid w:val="00833C29"/>
    <w:rsid w:val="00834F47"/>
    <w:rsid w:val="0084030F"/>
    <w:rsid w:val="00843B70"/>
    <w:rsid w:val="00847DF0"/>
    <w:rsid w:val="00850C2A"/>
    <w:rsid w:val="00856886"/>
    <w:rsid w:val="00857C81"/>
    <w:rsid w:val="00860CC2"/>
    <w:rsid w:val="00862321"/>
    <w:rsid w:val="00862CCD"/>
    <w:rsid w:val="00864636"/>
    <w:rsid w:val="00867C0E"/>
    <w:rsid w:val="00870A0A"/>
    <w:rsid w:val="00875C9E"/>
    <w:rsid w:val="0087601C"/>
    <w:rsid w:val="0088041B"/>
    <w:rsid w:val="00883CBF"/>
    <w:rsid w:val="0088486F"/>
    <w:rsid w:val="00896BFB"/>
    <w:rsid w:val="008973F8"/>
    <w:rsid w:val="008A059A"/>
    <w:rsid w:val="008A1734"/>
    <w:rsid w:val="008A46E0"/>
    <w:rsid w:val="008A77F0"/>
    <w:rsid w:val="008B6D92"/>
    <w:rsid w:val="008C35F6"/>
    <w:rsid w:val="008C3E92"/>
    <w:rsid w:val="008C4018"/>
    <w:rsid w:val="008C584D"/>
    <w:rsid w:val="008C673B"/>
    <w:rsid w:val="008D0C5A"/>
    <w:rsid w:val="008D2813"/>
    <w:rsid w:val="008D446B"/>
    <w:rsid w:val="008D4FA1"/>
    <w:rsid w:val="008D50B9"/>
    <w:rsid w:val="008D56F3"/>
    <w:rsid w:val="008D75C2"/>
    <w:rsid w:val="008E4514"/>
    <w:rsid w:val="008E539D"/>
    <w:rsid w:val="008E579A"/>
    <w:rsid w:val="008E6C84"/>
    <w:rsid w:val="008E77BD"/>
    <w:rsid w:val="008F0527"/>
    <w:rsid w:val="008F0BD4"/>
    <w:rsid w:val="008F1061"/>
    <w:rsid w:val="008F14AA"/>
    <w:rsid w:val="008F4936"/>
    <w:rsid w:val="008F73F1"/>
    <w:rsid w:val="009017F3"/>
    <w:rsid w:val="00902990"/>
    <w:rsid w:val="009034C5"/>
    <w:rsid w:val="00906F05"/>
    <w:rsid w:val="00910B48"/>
    <w:rsid w:val="00910BDE"/>
    <w:rsid w:val="009127DA"/>
    <w:rsid w:val="00914D77"/>
    <w:rsid w:val="0092214A"/>
    <w:rsid w:val="009229BA"/>
    <w:rsid w:val="00925A41"/>
    <w:rsid w:val="00942B2C"/>
    <w:rsid w:val="00943E34"/>
    <w:rsid w:val="009549C9"/>
    <w:rsid w:val="00961576"/>
    <w:rsid w:val="00964320"/>
    <w:rsid w:val="00964D13"/>
    <w:rsid w:val="009662AA"/>
    <w:rsid w:val="009702DB"/>
    <w:rsid w:val="00974F15"/>
    <w:rsid w:val="00977E4F"/>
    <w:rsid w:val="0098312D"/>
    <w:rsid w:val="00987AAA"/>
    <w:rsid w:val="00987CE1"/>
    <w:rsid w:val="00993FD4"/>
    <w:rsid w:val="0099547D"/>
    <w:rsid w:val="009954EB"/>
    <w:rsid w:val="009977B3"/>
    <w:rsid w:val="00997F7E"/>
    <w:rsid w:val="009A2F16"/>
    <w:rsid w:val="009A4DB3"/>
    <w:rsid w:val="009B4B01"/>
    <w:rsid w:val="009D358B"/>
    <w:rsid w:val="009D5EBA"/>
    <w:rsid w:val="009E6656"/>
    <w:rsid w:val="009E739E"/>
    <w:rsid w:val="009F262D"/>
    <w:rsid w:val="009F7A84"/>
    <w:rsid w:val="00A038BB"/>
    <w:rsid w:val="00A120BB"/>
    <w:rsid w:val="00A12E1A"/>
    <w:rsid w:val="00A20EF5"/>
    <w:rsid w:val="00A22D0F"/>
    <w:rsid w:val="00A23DAC"/>
    <w:rsid w:val="00A250C6"/>
    <w:rsid w:val="00A3024A"/>
    <w:rsid w:val="00A30F61"/>
    <w:rsid w:val="00A34C4A"/>
    <w:rsid w:val="00A37C06"/>
    <w:rsid w:val="00A50174"/>
    <w:rsid w:val="00A66CD0"/>
    <w:rsid w:val="00A72F6C"/>
    <w:rsid w:val="00A73270"/>
    <w:rsid w:val="00A73DB0"/>
    <w:rsid w:val="00A76ABB"/>
    <w:rsid w:val="00A80DE0"/>
    <w:rsid w:val="00A958A8"/>
    <w:rsid w:val="00AA1C19"/>
    <w:rsid w:val="00AA2C59"/>
    <w:rsid w:val="00AA2E93"/>
    <w:rsid w:val="00AA3E10"/>
    <w:rsid w:val="00AA5659"/>
    <w:rsid w:val="00AA6A54"/>
    <w:rsid w:val="00AA6C9A"/>
    <w:rsid w:val="00AC3211"/>
    <w:rsid w:val="00AC45CB"/>
    <w:rsid w:val="00AC4978"/>
    <w:rsid w:val="00AE4CF9"/>
    <w:rsid w:val="00AE6B98"/>
    <w:rsid w:val="00AE7B14"/>
    <w:rsid w:val="00AF1976"/>
    <w:rsid w:val="00AF2DF0"/>
    <w:rsid w:val="00AF4498"/>
    <w:rsid w:val="00B00719"/>
    <w:rsid w:val="00B007D5"/>
    <w:rsid w:val="00B035D2"/>
    <w:rsid w:val="00B03C51"/>
    <w:rsid w:val="00B10A2D"/>
    <w:rsid w:val="00B14109"/>
    <w:rsid w:val="00B37F0A"/>
    <w:rsid w:val="00B463EB"/>
    <w:rsid w:val="00B519F7"/>
    <w:rsid w:val="00B51D02"/>
    <w:rsid w:val="00B54952"/>
    <w:rsid w:val="00B56DC0"/>
    <w:rsid w:val="00B5732A"/>
    <w:rsid w:val="00B631E1"/>
    <w:rsid w:val="00B6667F"/>
    <w:rsid w:val="00B70EFB"/>
    <w:rsid w:val="00B76DA1"/>
    <w:rsid w:val="00B77937"/>
    <w:rsid w:val="00B821F8"/>
    <w:rsid w:val="00B82AD7"/>
    <w:rsid w:val="00B841A8"/>
    <w:rsid w:val="00B84702"/>
    <w:rsid w:val="00B908C6"/>
    <w:rsid w:val="00B90EBB"/>
    <w:rsid w:val="00B91880"/>
    <w:rsid w:val="00B9344F"/>
    <w:rsid w:val="00BA6448"/>
    <w:rsid w:val="00BB0B8B"/>
    <w:rsid w:val="00BB55F2"/>
    <w:rsid w:val="00BB7773"/>
    <w:rsid w:val="00BC72CC"/>
    <w:rsid w:val="00BD5741"/>
    <w:rsid w:val="00BE0275"/>
    <w:rsid w:val="00BE17CD"/>
    <w:rsid w:val="00BE28E5"/>
    <w:rsid w:val="00BE435A"/>
    <w:rsid w:val="00BE5777"/>
    <w:rsid w:val="00BE712D"/>
    <w:rsid w:val="00BE7C71"/>
    <w:rsid w:val="00BF26B9"/>
    <w:rsid w:val="00BF2DE8"/>
    <w:rsid w:val="00BF312F"/>
    <w:rsid w:val="00BF5D2F"/>
    <w:rsid w:val="00C01F42"/>
    <w:rsid w:val="00C02303"/>
    <w:rsid w:val="00C06815"/>
    <w:rsid w:val="00C14AD2"/>
    <w:rsid w:val="00C169C4"/>
    <w:rsid w:val="00C2428E"/>
    <w:rsid w:val="00C266CB"/>
    <w:rsid w:val="00C31B02"/>
    <w:rsid w:val="00C359FB"/>
    <w:rsid w:val="00C44509"/>
    <w:rsid w:val="00C46C83"/>
    <w:rsid w:val="00C840F3"/>
    <w:rsid w:val="00C8619D"/>
    <w:rsid w:val="00C9173E"/>
    <w:rsid w:val="00C947C9"/>
    <w:rsid w:val="00CB154E"/>
    <w:rsid w:val="00CB1DCC"/>
    <w:rsid w:val="00CB1EEE"/>
    <w:rsid w:val="00CC0800"/>
    <w:rsid w:val="00CC4897"/>
    <w:rsid w:val="00CC5A7F"/>
    <w:rsid w:val="00CD386E"/>
    <w:rsid w:val="00CD43BF"/>
    <w:rsid w:val="00CD7417"/>
    <w:rsid w:val="00D063F6"/>
    <w:rsid w:val="00D075C8"/>
    <w:rsid w:val="00D1361E"/>
    <w:rsid w:val="00D21D7E"/>
    <w:rsid w:val="00D240EE"/>
    <w:rsid w:val="00D247E9"/>
    <w:rsid w:val="00D27B8D"/>
    <w:rsid w:val="00D33A7A"/>
    <w:rsid w:val="00D34266"/>
    <w:rsid w:val="00D34A99"/>
    <w:rsid w:val="00D431AA"/>
    <w:rsid w:val="00D43F57"/>
    <w:rsid w:val="00D449A3"/>
    <w:rsid w:val="00D44BA9"/>
    <w:rsid w:val="00D465C3"/>
    <w:rsid w:val="00D466D2"/>
    <w:rsid w:val="00D53DD8"/>
    <w:rsid w:val="00D54CDD"/>
    <w:rsid w:val="00D60AB0"/>
    <w:rsid w:val="00D61758"/>
    <w:rsid w:val="00D61CDD"/>
    <w:rsid w:val="00D63D01"/>
    <w:rsid w:val="00D71BA0"/>
    <w:rsid w:val="00D72508"/>
    <w:rsid w:val="00D776CA"/>
    <w:rsid w:val="00D820B9"/>
    <w:rsid w:val="00D91DE8"/>
    <w:rsid w:val="00D946A1"/>
    <w:rsid w:val="00D957FD"/>
    <w:rsid w:val="00DA0072"/>
    <w:rsid w:val="00DA60FC"/>
    <w:rsid w:val="00DA7A47"/>
    <w:rsid w:val="00DB4E0E"/>
    <w:rsid w:val="00DB53D1"/>
    <w:rsid w:val="00DB5A87"/>
    <w:rsid w:val="00DB6EA7"/>
    <w:rsid w:val="00DC380C"/>
    <w:rsid w:val="00DC42EF"/>
    <w:rsid w:val="00DD2174"/>
    <w:rsid w:val="00DD6FD3"/>
    <w:rsid w:val="00DD6FE1"/>
    <w:rsid w:val="00DD73D8"/>
    <w:rsid w:val="00DE1FFE"/>
    <w:rsid w:val="00DE38C3"/>
    <w:rsid w:val="00DE3D80"/>
    <w:rsid w:val="00DE43FB"/>
    <w:rsid w:val="00DE6235"/>
    <w:rsid w:val="00DF066E"/>
    <w:rsid w:val="00DF4712"/>
    <w:rsid w:val="00DF5368"/>
    <w:rsid w:val="00DF7B0A"/>
    <w:rsid w:val="00E06279"/>
    <w:rsid w:val="00E14995"/>
    <w:rsid w:val="00E21C0B"/>
    <w:rsid w:val="00E30FAD"/>
    <w:rsid w:val="00E347FB"/>
    <w:rsid w:val="00E362AC"/>
    <w:rsid w:val="00E36A97"/>
    <w:rsid w:val="00E40F07"/>
    <w:rsid w:val="00E42C44"/>
    <w:rsid w:val="00E4385F"/>
    <w:rsid w:val="00E4445E"/>
    <w:rsid w:val="00E44BE5"/>
    <w:rsid w:val="00E46A93"/>
    <w:rsid w:val="00E52667"/>
    <w:rsid w:val="00E56776"/>
    <w:rsid w:val="00E628CD"/>
    <w:rsid w:val="00E64A4E"/>
    <w:rsid w:val="00E66947"/>
    <w:rsid w:val="00E9238E"/>
    <w:rsid w:val="00E93966"/>
    <w:rsid w:val="00E951E0"/>
    <w:rsid w:val="00E96228"/>
    <w:rsid w:val="00EA044B"/>
    <w:rsid w:val="00EC1C1D"/>
    <w:rsid w:val="00EC1DA1"/>
    <w:rsid w:val="00ED1EF6"/>
    <w:rsid w:val="00ED31AB"/>
    <w:rsid w:val="00ED3C9F"/>
    <w:rsid w:val="00ED7C2A"/>
    <w:rsid w:val="00EE187E"/>
    <w:rsid w:val="00EF4C50"/>
    <w:rsid w:val="00F115C3"/>
    <w:rsid w:val="00F12E77"/>
    <w:rsid w:val="00F15277"/>
    <w:rsid w:val="00F327AA"/>
    <w:rsid w:val="00F32A3E"/>
    <w:rsid w:val="00F34463"/>
    <w:rsid w:val="00F36EAE"/>
    <w:rsid w:val="00F36ED5"/>
    <w:rsid w:val="00F418AA"/>
    <w:rsid w:val="00F439A6"/>
    <w:rsid w:val="00F4578E"/>
    <w:rsid w:val="00F52F34"/>
    <w:rsid w:val="00F6049C"/>
    <w:rsid w:val="00F609A8"/>
    <w:rsid w:val="00F64E96"/>
    <w:rsid w:val="00F759B4"/>
    <w:rsid w:val="00F76AA8"/>
    <w:rsid w:val="00F800D1"/>
    <w:rsid w:val="00F84550"/>
    <w:rsid w:val="00F85CA8"/>
    <w:rsid w:val="00F86652"/>
    <w:rsid w:val="00F90E05"/>
    <w:rsid w:val="00FA11F1"/>
    <w:rsid w:val="00FA2540"/>
    <w:rsid w:val="00FA43B9"/>
    <w:rsid w:val="00FB16EC"/>
    <w:rsid w:val="00FB2E58"/>
    <w:rsid w:val="00FB52D9"/>
    <w:rsid w:val="00FB773A"/>
    <w:rsid w:val="00FB7B78"/>
    <w:rsid w:val="00FC168B"/>
    <w:rsid w:val="00FC6B23"/>
    <w:rsid w:val="00FC7889"/>
    <w:rsid w:val="00FD1EF0"/>
    <w:rsid w:val="00FE0C85"/>
    <w:rsid w:val="00FE2E07"/>
    <w:rsid w:val="00FE302C"/>
    <w:rsid w:val="00FE34EC"/>
    <w:rsid w:val="00FE495E"/>
    <w:rsid w:val="00FE6705"/>
    <w:rsid w:val="00FF39A9"/>
    <w:rsid w:val="00FF4540"/>
    <w:rsid w:val="00FF577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ACD1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92F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A5AF2"/>
    <w:pPr>
      <w:spacing w:after="0" w:line="240" w:lineRule="auto"/>
    </w:pPr>
    <w:rPr>
      <w:sz w:val="20"/>
      <w:szCs w:val="20"/>
    </w:rPr>
  </w:style>
  <w:style w:type="character" w:customStyle="1" w:styleId="FootnoteTextChar">
    <w:name w:val="Footnote Text Char"/>
    <w:basedOn w:val="DefaultParagraphFont"/>
    <w:link w:val="FootnoteText"/>
    <w:uiPriority w:val="99"/>
    <w:rsid w:val="003A5AF2"/>
    <w:rPr>
      <w:sz w:val="20"/>
      <w:szCs w:val="20"/>
    </w:rPr>
  </w:style>
  <w:style w:type="character" w:styleId="FootnoteReference">
    <w:name w:val="footnote reference"/>
    <w:basedOn w:val="DefaultParagraphFont"/>
    <w:uiPriority w:val="99"/>
    <w:unhideWhenUsed/>
    <w:rsid w:val="003A5AF2"/>
    <w:rPr>
      <w:vertAlign w:val="superscript"/>
    </w:rPr>
  </w:style>
  <w:style w:type="character" w:styleId="Hyperlink">
    <w:name w:val="Hyperlink"/>
    <w:uiPriority w:val="99"/>
    <w:unhideWhenUsed/>
    <w:rsid w:val="007770F7"/>
    <w:rPr>
      <w:color w:val="0000FF"/>
      <w:u w:val="single"/>
    </w:rPr>
  </w:style>
  <w:style w:type="paragraph" w:styleId="Footer">
    <w:name w:val="footer"/>
    <w:basedOn w:val="Normal"/>
    <w:link w:val="FooterChar"/>
    <w:uiPriority w:val="99"/>
    <w:unhideWhenUsed/>
    <w:rsid w:val="00781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AE"/>
  </w:style>
  <w:style w:type="character" w:styleId="PageNumber">
    <w:name w:val="page number"/>
    <w:basedOn w:val="DefaultParagraphFont"/>
    <w:uiPriority w:val="99"/>
    <w:semiHidden/>
    <w:unhideWhenUsed/>
    <w:rsid w:val="007816AE"/>
  </w:style>
  <w:style w:type="paragraph" w:styleId="BalloonText">
    <w:name w:val="Balloon Text"/>
    <w:basedOn w:val="Normal"/>
    <w:link w:val="BalloonTextChar"/>
    <w:uiPriority w:val="99"/>
    <w:semiHidden/>
    <w:unhideWhenUsed/>
    <w:rsid w:val="00987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CE1"/>
    <w:rPr>
      <w:rFonts w:ascii="Tahoma" w:hAnsi="Tahoma" w:cs="Tahoma"/>
      <w:sz w:val="16"/>
      <w:szCs w:val="16"/>
    </w:rPr>
  </w:style>
  <w:style w:type="character" w:styleId="PlaceholderText">
    <w:name w:val="Placeholder Text"/>
    <w:basedOn w:val="DefaultParagraphFont"/>
    <w:uiPriority w:val="99"/>
    <w:semiHidden/>
    <w:rsid w:val="00F76AA8"/>
    <w:rPr>
      <w:color w:val="808080"/>
    </w:rPr>
  </w:style>
  <w:style w:type="character" w:styleId="FollowedHyperlink">
    <w:name w:val="FollowedHyperlink"/>
    <w:basedOn w:val="DefaultParagraphFont"/>
    <w:uiPriority w:val="99"/>
    <w:semiHidden/>
    <w:unhideWhenUsed/>
    <w:rsid w:val="00FF4540"/>
    <w:rPr>
      <w:color w:val="954F72" w:themeColor="followedHyperlink"/>
      <w:u w:val="single"/>
    </w:rPr>
  </w:style>
  <w:style w:type="paragraph" w:styleId="NormalWeb">
    <w:name w:val="Normal (Web)"/>
    <w:basedOn w:val="Normal"/>
    <w:uiPriority w:val="99"/>
    <w:semiHidden/>
    <w:unhideWhenUsed/>
    <w:rsid w:val="009E739E"/>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592F34"/>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865860">
      <w:bodyDiv w:val="1"/>
      <w:marLeft w:val="0"/>
      <w:marRight w:val="0"/>
      <w:marTop w:val="0"/>
      <w:marBottom w:val="0"/>
      <w:divBdr>
        <w:top w:val="none" w:sz="0" w:space="0" w:color="auto"/>
        <w:left w:val="none" w:sz="0" w:space="0" w:color="auto"/>
        <w:bottom w:val="none" w:sz="0" w:space="0" w:color="auto"/>
        <w:right w:val="none" w:sz="0" w:space="0" w:color="auto"/>
      </w:divBdr>
      <w:divsChild>
        <w:div w:id="95249019">
          <w:marLeft w:val="0"/>
          <w:marRight w:val="0"/>
          <w:marTop w:val="0"/>
          <w:marBottom w:val="0"/>
          <w:divBdr>
            <w:top w:val="none" w:sz="0" w:space="0" w:color="auto"/>
            <w:left w:val="none" w:sz="0" w:space="0" w:color="auto"/>
            <w:bottom w:val="none" w:sz="0" w:space="0" w:color="auto"/>
            <w:right w:val="none" w:sz="0" w:space="0" w:color="auto"/>
          </w:divBdr>
          <w:divsChild>
            <w:div w:id="52385992">
              <w:marLeft w:val="0"/>
              <w:marRight w:val="0"/>
              <w:marTop w:val="0"/>
              <w:marBottom w:val="0"/>
              <w:divBdr>
                <w:top w:val="none" w:sz="0" w:space="0" w:color="auto"/>
                <w:left w:val="none" w:sz="0" w:space="0" w:color="auto"/>
                <w:bottom w:val="none" w:sz="0" w:space="0" w:color="auto"/>
                <w:right w:val="none" w:sz="0" w:space="0" w:color="auto"/>
              </w:divBdr>
              <w:divsChild>
                <w:div w:id="14268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31276">
      <w:bodyDiv w:val="1"/>
      <w:marLeft w:val="0"/>
      <w:marRight w:val="0"/>
      <w:marTop w:val="0"/>
      <w:marBottom w:val="0"/>
      <w:divBdr>
        <w:top w:val="none" w:sz="0" w:space="0" w:color="auto"/>
        <w:left w:val="none" w:sz="0" w:space="0" w:color="auto"/>
        <w:bottom w:val="none" w:sz="0" w:space="0" w:color="auto"/>
        <w:right w:val="none" w:sz="0" w:space="0" w:color="auto"/>
      </w:divBdr>
      <w:divsChild>
        <w:div w:id="1558054951">
          <w:marLeft w:val="360"/>
          <w:marRight w:val="0"/>
          <w:marTop w:val="200"/>
          <w:marBottom w:val="0"/>
          <w:divBdr>
            <w:top w:val="none" w:sz="0" w:space="0" w:color="auto"/>
            <w:left w:val="none" w:sz="0" w:space="0" w:color="auto"/>
            <w:bottom w:val="none" w:sz="0" w:space="0" w:color="auto"/>
            <w:right w:val="none" w:sz="0" w:space="0" w:color="auto"/>
          </w:divBdr>
        </w:div>
      </w:divsChild>
    </w:div>
    <w:div w:id="1815878202">
      <w:bodyDiv w:val="1"/>
      <w:marLeft w:val="0"/>
      <w:marRight w:val="0"/>
      <w:marTop w:val="0"/>
      <w:marBottom w:val="0"/>
      <w:divBdr>
        <w:top w:val="none" w:sz="0" w:space="0" w:color="auto"/>
        <w:left w:val="none" w:sz="0" w:space="0" w:color="auto"/>
        <w:bottom w:val="none" w:sz="0" w:space="0" w:color="auto"/>
        <w:right w:val="none" w:sz="0" w:space="0" w:color="auto"/>
      </w:divBdr>
      <w:divsChild>
        <w:div w:id="202338847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apdeathsincustody.independent.gov.uk/wp-content/uploads/2011/12/Progress-Report-on-IAPs-Working-Groups-Feb-2010.pdf" TargetMode="External"/><Relationship Id="rId12" Type="http://schemas.openxmlformats.org/officeDocument/2006/relationships/hyperlink" Target="https://www.justnet.org/pdf/exds-panel-report-final.pdf" TargetMode="External"/><Relationship Id="rId13" Type="http://schemas.openxmlformats.org/officeDocument/2006/relationships/hyperlink" Target="http://iapdeathsincustody.independent.gov.uk/wp-content/uploads/2012/10/IAP-Impact-of-R43-analysis.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ews.bbc.co.uk/1/shared/bsp/hi/pdfs/10_05_13_report.pdf." TargetMode="External"/><Relationship Id="rId9" Type="http://schemas.openxmlformats.org/officeDocument/2006/relationships/hyperlink" Target="https://www.app.college.police.uk/app-content/" TargetMode="External"/><Relationship Id="rId10" Type="http://schemas.openxmlformats.org/officeDocument/2006/relationships/hyperlink" Target="http://www.hmic.gov.uk/media/a-criminal-use-of-police-cells-20130620.pdf%20Accessed%2014/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25A4A6-3243-E546-8496-A0056228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6098</Words>
  <Characters>34760</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Baker</dc:creator>
  <cp:keywords/>
  <dc:description/>
  <cp:lastModifiedBy>David Baker</cp:lastModifiedBy>
  <cp:revision>9</cp:revision>
  <cp:lastPrinted>2016-07-09T07:15:00Z</cp:lastPrinted>
  <dcterms:created xsi:type="dcterms:W3CDTF">2017-04-03T08:57:00Z</dcterms:created>
  <dcterms:modified xsi:type="dcterms:W3CDTF">2017-07-24T09:38:00Z</dcterms:modified>
</cp:coreProperties>
</file>