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DEADE" w14:textId="77777777" w:rsidR="00DA1E65" w:rsidRPr="00726852" w:rsidRDefault="00DF2D01" w:rsidP="00F80CE1">
      <w:pPr>
        <w:ind w:firstLine="0"/>
        <w:rPr>
          <w:i/>
        </w:rPr>
      </w:pPr>
      <w:bookmarkStart w:id="0" w:name="_GoBack"/>
      <w:bookmarkEnd w:id="0"/>
      <w:r w:rsidRPr="00726852">
        <w:rPr>
          <w:i/>
        </w:rPr>
        <w:t>Deaths after police contact in England and Wales: t</w:t>
      </w:r>
      <w:r w:rsidR="00DD13A3" w:rsidRPr="00726852">
        <w:rPr>
          <w:i/>
        </w:rPr>
        <w:t xml:space="preserve">he effects of </w:t>
      </w:r>
      <w:r w:rsidR="00BC7E26" w:rsidRPr="00726852">
        <w:rPr>
          <w:i/>
        </w:rPr>
        <w:t>a</w:t>
      </w:r>
      <w:r w:rsidR="00DD13A3" w:rsidRPr="00726852">
        <w:rPr>
          <w:i/>
        </w:rPr>
        <w:t>rticle 2 of the European Convention on Hu</w:t>
      </w:r>
      <w:r w:rsidRPr="00726852">
        <w:rPr>
          <w:i/>
        </w:rPr>
        <w:t>man Rights on coronial practice.</w:t>
      </w:r>
    </w:p>
    <w:p w14:paraId="20380C69" w14:textId="77777777" w:rsidR="009616EB" w:rsidRPr="00EB0AA7" w:rsidRDefault="009616EB" w:rsidP="00D84B7C">
      <w:pPr>
        <w:ind w:firstLine="0"/>
        <w:rPr>
          <w:b/>
          <w:i/>
        </w:rPr>
      </w:pPr>
      <w:r w:rsidRPr="00EB0AA7">
        <w:rPr>
          <w:b/>
          <w:i/>
        </w:rPr>
        <w:t>Abstract:</w:t>
      </w:r>
    </w:p>
    <w:p w14:paraId="2140CFBE" w14:textId="023B3661" w:rsidR="009616EB" w:rsidRPr="00726852" w:rsidRDefault="00116DF7" w:rsidP="00BC7E26">
      <w:r w:rsidRPr="00726852">
        <w:t>This</w:t>
      </w:r>
      <w:r w:rsidR="009616EB" w:rsidRPr="00726852">
        <w:t xml:space="preserve"> </w:t>
      </w:r>
      <w:r w:rsidR="004B7343" w:rsidRPr="00726852">
        <w:t>paper</w:t>
      </w:r>
      <w:r w:rsidR="009616EB" w:rsidRPr="00726852">
        <w:t xml:space="preserve"> examines the role of coroners in investigating and reporting on cases of death after police contact</w:t>
      </w:r>
      <w:r w:rsidR="00BC7E26" w:rsidRPr="00726852">
        <w:t xml:space="preserve"> (DAPC)</w:t>
      </w:r>
      <w:r w:rsidR="009616EB" w:rsidRPr="00726852">
        <w:t xml:space="preserve"> in England and Wales. It considers </w:t>
      </w:r>
      <w:r w:rsidR="00BC7E26" w:rsidRPr="00726852">
        <w:t>how</w:t>
      </w:r>
      <w:r w:rsidR="009616EB" w:rsidRPr="00726852">
        <w:t xml:space="preserve"> </w:t>
      </w:r>
      <w:r w:rsidR="00BC7E26" w:rsidRPr="00726852">
        <w:t>a</w:t>
      </w:r>
      <w:r w:rsidR="009616EB" w:rsidRPr="00726852">
        <w:t>rticle 2</w:t>
      </w:r>
      <w:r w:rsidR="00C20B3A" w:rsidRPr="00726852">
        <w:t xml:space="preserve"> (the right to life)</w:t>
      </w:r>
      <w:r w:rsidR="009616EB" w:rsidRPr="00726852">
        <w:t xml:space="preserve"> of the European Convention on Human Rights</w:t>
      </w:r>
      <w:r w:rsidR="00BC7E26" w:rsidRPr="00726852">
        <w:t xml:space="preserve"> (ECHR)</w:t>
      </w:r>
      <w:r w:rsidR="009616EB" w:rsidRPr="00726852">
        <w:t xml:space="preserve"> </w:t>
      </w:r>
      <w:r w:rsidR="00BC7E26" w:rsidRPr="00726852">
        <w:t>has affected coronial process</w:t>
      </w:r>
      <w:r w:rsidR="00E15B69" w:rsidRPr="00726852">
        <w:t>es and practices</w:t>
      </w:r>
      <w:r w:rsidR="00BC7E26" w:rsidRPr="00726852">
        <w:t xml:space="preserve">. It argues that the effects </w:t>
      </w:r>
      <w:r w:rsidR="00C20B3A" w:rsidRPr="00726852">
        <w:t xml:space="preserve">of article 2 </w:t>
      </w:r>
      <w:r w:rsidR="00BC7E26" w:rsidRPr="00726852">
        <w:t>represent an evolution</w:t>
      </w:r>
      <w:r w:rsidR="00750069" w:rsidRPr="00726852">
        <w:t>ary shift</w:t>
      </w:r>
      <w:r w:rsidR="00BC7E26" w:rsidRPr="00726852">
        <w:t xml:space="preserve"> in accountability </w:t>
      </w:r>
      <w:r w:rsidR="00750069" w:rsidRPr="00726852">
        <w:t>processes surrounding</w:t>
      </w:r>
      <w:r w:rsidR="00BC7E26" w:rsidRPr="00726852">
        <w:t xml:space="preserve"> cases of DAPC in England and Wales</w:t>
      </w:r>
      <w:r w:rsidR="00921959" w:rsidRPr="00726852">
        <w:t>, but that this shift has in turn been mediated by aspects of institutional structure in the coronial system</w:t>
      </w:r>
      <w:r w:rsidR="00BC7E26" w:rsidRPr="00726852">
        <w:t>.</w:t>
      </w:r>
      <w:r w:rsidR="00D76DE4">
        <w:t xml:space="preserve"> I</w:t>
      </w:r>
      <w:r w:rsidR="00BC7E26" w:rsidRPr="00726852">
        <w:t xml:space="preserve">t discusses how this </w:t>
      </w:r>
      <w:r w:rsidR="00597EE4" w:rsidRPr="00726852">
        <w:t>shift</w:t>
      </w:r>
      <w:r w:rsidR="00BC7E26" w:rsidRPr="00726852">
        <w:t xml:space="preserve"> demonstrates the</w:t>
      </w:r>
      <w:r w:rsidR="00597EE4" w:rsidRPr="00726852">
        <w:t xml:space="preserve"> dynamic</w:t>
      </w:r>
      <w:r w:rsidR="00BC7E26" w:rsidRPr="00726852">
        <w:t xml:space="preserve"> relationship between the coronial system, state and society </w:t>
      </w:r>
      <w:r w:rsidR="00597EE4" w:rsidRPr="00726852">
        <w:t>and how this has continued to evolve as a result of external demands</w:t>
      </w:r>
      <w:r w:rsidR="00BC7E26" w:rsidRPr="00726852">
        <w:t xml:space="preserve">. </w:t>
      </w:r>
    </w:p>
    <w:p w14:paraId="4E6E7D52" w14:textId="77777777" w:rsidR="00021DCF" w:rsidRPr="00726852" w:rsidRDefault="00021DCF" w:rsidP="00C41E9E">
      <w:pPr>
        <w:pStyle w:val="ListParagraph"/>
        <w:numPr>
          <w:ilvl w:val="0"/>
          <w:numId w:val="5"/>
        </w:numPr>
        <w:spacing w:after="200"/>
        <w:rPr>
          <w:rFonts w:eastAsia="Calibri"/>
          <w:b/>
          <w:i/>
        </w:rPr>
      </w:pPr>
      <w:r w:rsidRPr="00726852">
        <w:rPr>
          <w:rFonts w:eastAsia="Calibri"/>
          <w:b/>
          <w:i/>
        </w:rPr>
        <w:t>Introduction</w:t>
      </w:r>
    </w:p>
    <w:p w14:paraId="7FCA8FB2" w14:textId="34A1DE9C" w:rsidR="00DF2D01" w:rsidRPr="00726852" w:rsidRDefault="004B7343" w:rsidP="00DA1E65">
      <w:pPr>
        <w:spacing w:after="200"/>
        <w:rPr>
          <w:rFonts w:eastAsia="Calibri"/>
        </w:rPr>
      </w:pPr>
      <w:r w:rsidRPr="00726852">
        <w:rPr>
          <w:rFonts w:eastAsia="Calibri"/>
        </w:rPr>
        <w:t>This paper</w:t>
      </w:r>
      <w:r w:rsidR="00020495" w:rsidRPr="00726852">
        <w:rPr>
          <w:rFonts w:eastAsia="Calibri"/>
        </w:rPr>
        <w:t xml:space="preserve"> examines </w:t>
      </w:r>
      <w:r w:rsidR="00C20B3A" w:rsidRPr="00726852">
        <w:rPr>
          <w:rFonts w:eastAsia="Calibri"/>
        </w:rPr>
        <w:t>how</w:t>
      </w:r>
      <w:r w:rsidR="00020495" w:rsidRPr="00726852">
        <w:rPr>
          <w:rFonts w:eastAsia="Calibri"/>
        </w:rPr>
        <w:t xml:space="preserve"> </w:t>
      </w:r>
      <w:r w:rsidR="00203286" w:rsidRPr="00726852">
        <w:rPr>
          <w:rFonts w:eastAsia="Calibri"/>
        </w:rPr>
        <w:t>a</w:t>
      </w:r>
      <w:r w:rsidR="00020495" w:rsidRPr="00726852">
        <w:rPr>
          <w:rFonts w:eastAsia="Calibri"/>
        </w:rPr>
        <w:t>rticle 2</w:t>
      </w:r>
      <w:r w:rsidR="00C20B3A" w:rsidRPr="00726852">
        <w:rPr>
          <w:rFonts w:eastAsia="Calibri"/>
        </w:rPr>
        <w:t xml:space="preserve"> (the right to life)</w:t>
      </w:r>
      <w:r w:rsidR="00020495" w:rsidRPr="00726852">
        <w:rPr>
          <w:rFonts w:eastAsia="Calibri"/>
        </w:rPr>
        <w:t xml:space="preserve"> of the European Convention on Human Rights (ECHR) has affected coronial practice and processes</w:t>
      </w:r>
      <w:r w:rsidR="00F93299" w:rsidRPr="00726852">
        <w:rPr>
          <w:rFonts w:eastAsia="Calibri"/>
        </w:rPr>
        <w:t xml:space="preserve"> in relation to</w:t>
      </w:r>
      <w:r w:rsidR="002E7215" w:rsidRPr="00726852">
        <w:rPr>
          <w:rFonts w:eastAsia="Calibri"/>
        </w:rPr>
        <w:t xml:space="preserve"> cases of death after police contact (DAPC) in England and Wales</w:t>
      </w:r>
      <w:r w:rsidR="00020495" w:rsidRPr="00726852">
        <w:rPr>
          <w:rFonts w:eastAsia="Calibri"/>
        </w:rPr>
        <w:t xml:space="preserve">. </w:t>
      </w:r>
      <w:r w:rsidR="00903974" w:rsidRPr="00726852">
        <w:rPr>
          <w:rFonts w:eastAsia="Calibri"/>
        </w:rPr>
        <w:t xml:space="preserve">It </w:t>
      </w:r>
      <w:r w:rsidR="00325435" w:rsidRPr="00726852">
        <w:rPr>
          <w:rFonts w:eastAsia="Calibri"/>
        </w:rPr>
        <w:t>review</w:t>
      </w:r>
      <w:r w:rsidR="009625E8">
        <w:rPr>
          <w:rFonts w:eastAsia="Calibri"/>
        </w:rPr>
        <w:t>s</w:t>
      </w:r>
      <w:r w:rsidR="00325435" w:rsidRPr="00726852">
        <w:rPr>
          <w:rFonts w:eastAsia="Calibri"/>
        </w:rPr>
        <w:t xml:space="preserve"> literature from practitioners in the coronial sphere, from organisational research connected to the coronial system, and from the limited canon of academ</w:t>
      </w:r>
      <w:r w:rsidR="00597EE4" w:rsidRPr="00726852">
        <w:rPr>
          <w:rFonts w:eastAsia="Calibri"/>
        </w:rPr>
        <w:t>ic research on coroners’ courts.</w:t>
      </w:r>
      <w:r w:rsidR="00325435" w:rsidRPr="00726852">
        <w:rPr>
          <w:rFonts w:eastAsia="Calibri"/>
        </w:rPr>
        <w:t xml:space="preserve"> </w:t>
      </w:r>
      <w:r w:rsidR="002E7215" w:rsidRPr="00726852">
        <w:rPr>
          <w:rFonts w:eastAsia="Calibri"/>
        </w:rPr>
        <w:t>It considers the historical and legal underpinnings of the coronial system that provide its current institutional framework and examines how this framework mediates the effects of article 2 of the ECHR in practice</w:t>
      </w:r>
      <w:r w:rsidR="00921959" w:rsidRPr="00726852">
        <w:rPr>
          <w:rFonts w:eastAsia="Calibri"/>
        </w:rPr>
        <w:t xml:space="preserve"> when investigating and reporting on cases of DAPC</w:t>
      </w:r>
      <w:r w:rsidR="002E7215" w:rsidRPr="00726852">
        <w:rPr>
          <w:rFonts w:eastAsia="Calibri"/>
        </w:rPr>
        <w:t xml:space="preserve">. </w:t>
      </w:r>
    </w:p>
    <w:p w14:paraId="18F7A8DC" w14:textId="28F43AB9" w:rsidR="00FE3974" w:rsidRPr="00726852" w:rsidRDefault="00325435" w:rsidP="00DA1E65">
      <w:pPr>
        <w:spacing w:after="200"/>
        <w:rPr>
          <w:rFonts w:eastAsia="Calibri"/>
        </w:rPr>
      </w:pPr>
      <w:r w:rsidRPr="00726852">
        <w:rPr>
          <w:rFonts w:eastAsia="Calibri"/>
        </w:rPr>
        <w:t xml:space="preserve">The </w:t>
      </w:r>
      <w:r w:rsidR="004B7343" w:rsidRPr="00726852">
        <w:rPr>
          <w:rFonts w:eastAsia="Calibri"/>
        </w:rPr>
        <w:t>paper</w:t>
      </w:r>
      <w:r w:rsidR="00020495" w:rsidRPr="00726852">
        <w:rPr>
          <w:rFonts w:eastAsia="Calibri"/>
        </w:rPr>
        <w:t xml:space="preserve"> argue</w:t>
      </w:r>
      <w:r w:rsidRPr="00726852">
        <w:rPr>
          <w:rFonts w:eastAsia="Calibri"/>
        </w:rPr>
        <w:t>s</w:t>
      </w:r>
      <w:r w:rsidR="00020495" w:rsidRPr="00726852">
        <w:rPr>
          <w:rFonts w:eastAsia="Calibri"/>
        </w:rPr>
        <w:t xml:space="preserve"> that three key areas of coronial practice and processes</w:t>
      </w:r>
      <w:r w:rsidR="000A4B91" w:rsidRPr="00726852">
        <w:rPr>
          <w:rFonts w:eastAsia="Calibri"/>
        </w:rPr>
        <w:t xml:space="preserve"> in England and Wales</w:t>
      </w:r>
      <w:r w:rsidR="00020495" w:rsidRPr="00726852">
        <w:rPr>
          <w:rFonts w:eastAsia="Calibri"/>
        </w:rPr>
        <w:t xml:space="preserve"> </w:t>
      </w:r>
      <w:r w:rsidR="003127D9">
        <w:rPr>
          <w:rFonts w:eastAsia="Calibri"/>
        </w:rPr>
        <w:t>are</w:t>
      </w:r>
      <w:r w:rsidR="00020495" w:rsidRPr="00726852">
        <w:rPr>
          <w:rFonts w:eastAsia="Calibri"/>
        </w:rPr>
        <w:t xml:space="preserve"> affected by obligations imposed by </w:t>
      </w:r>
      <w:r w:rsidR="00203286" w:rsidRPr="00726852">
        <w:rPr>
          <w:rFonts w:eastAsia="Calibri"/>
        </w:rPr>
        <w:t>a</w:t>
      </w:r>
      <w:r w:rsidR="00020495" w:rsidRPr="00726852">
        <w:rPr>
          <w:rFonts w:eastAsia="Calibri"/>
        </w:rPr>
        <w:t xml:space="preserve">rticle 2 of the ECHR. First, </w:t>
      </w:r>
      <w:r w:rsidR="00F93299" w:rsidRPr="00726852">
        <w:rPr>
          <w:rFonts w:eastAsia="Calibri"/>
        </w:rPr>
        <w:t xml:space="preserve">such cases </w:t>
      </w:r>
      <w:r w:rsidR="00227043" w:rsidRPr="00726852">
        <w:rPr>
          <w:rFonts w:eastAsia="Calibri"/>
        </w:rPr>
        <w:t>require</w:t>
      </w:r>
      <w:r w:rsidR="00F93299" w:rsidRPr="00726852">
        <w:rPr>
          <w:rFonts w:eastAsia="Calibri"/>
        </w:rPr>
        <w:t xml:space="preserve"> that a more </w:t>
      </w:r>
      <w:r w:rsidR="00227043" w:rsidRPr="00726852">
        <w:rPr>
          <w:rFonts w:eastAsia="Calibri"/>
        </w:rPr>
        <w:t xml:space="preserve">thorough and </w:t>
      </w:r>
      <w:r w:rsidR="00F93299" w:rsidRPr="00726852">
        <w:rPr>
          <w:rFonts w:eastAsia="Calibri"/>
        </w:rPr>
        <w:t>rigorous inquest is undertaken</w:t>
      </w:r>
      <w:r w:rsidR="00227043" w:rsidRPr="00726852">
        <w:rPr>
          <w:rFonts w:eastAsia="Calibri"/>
        </w:rPr>
        <w:t xml:space="preserve"> than was typical </w:t>
      </w:r>
      <w:r w:rsidR="00903974" w:rsidRPr="00726852">
        <w:rPr>
          <w:rFonts w:eastAsia="Calibri"/>
        </w:rPr>
        <w:t>prior to the implementation of the Human Rights Act in 2000</w:t>
      </w:r>
      <w:r w:rsidR="00F36654" w:rsidRPr="00726852">
        <w:rPr>
          <w:rFonts w:eastAsia="Calibri"/>
        </w:rPr>
        <w:t>;</w:t>
      </w:r>
      <w:r w:rsidR="00F93299" w:rsidRPr="00726852">
        <w:rPr>
          <w:rFonts w:eastAsia="Calibri"/>
        </w:rPr>
        <w:t xml:space="preserve"> these are termed ‘</w:t>
      </w:r>
      <w:r w:rsidR="00203286" w:rsidRPr="00726852">
        <w:rPr>
          <w:rFonts w:eastAsia="Calibri"/>
        </w:rPr>
        <w:t>a</w:t>
      </w:r>
      <w:r w:rsidR="00F93299" w:rsidRPr="00726852">
        <w:rPr>
          <w:rFonts w:eastAsia="Calibri"/>
        </w:rPr>
        <w:t xml:space="preserve">rticle 2 </w:t>
      </w:r>
      <w:proofErr w:type="gramStart"/>
      <w:r w:rsidR="00F93299" w:rsidRPr="00726852">
        <w:rPr>
          <w:rFonts w:eastAsia="Calibri"/>
        </w:rPr>
        <w:t>inquests’</w:t>
      </w:r>
      <w:proofErr w:type="gramEnd"/>
      <w:r w:rsidR="00021DCF" w:rsidRPr="00726852">
        <w:rPr>
          <w:rFonts w:eastAsia="Calibri"/>
        </w:rPr>
        <w:t>.</w:t>
      </w:r>
      <w:r w:rsidR="00F36654" w:rsidRPr="00726852">
        <w:rPr>
          <w:rFonts w:eastAsia="Calibri"/>
        </w:rPr>
        <w:t xml:space="preserve"> </w:t>
      </w:r>
      <w:r w:rsidR="00021DCF" w:rsidRPr="00726852">
        <w:rPr>
          <w:rFonts w:eastAsia="Calibri"/>
        </w:rPr>
        <w:t>T</w:t>
      </w:r>
      <w:r w:rsidR="00F36654" w:rsidRPr="00726852">
        <w:rPr>
          <w:rFonts w:eastAsia="Calibri"/>
        </w:rPr>
        <w:t xml:space="preserve">his has affected the scale </w:t>
      </w:r>
      <w:r w:rsidR="00021DCF" w:rsidRPr="00726852">
        <w:rPr>
          <w:rFonts w:eastAsia="Calibri"/>
        </w:rPr>
        <w:t xml:space="preserve">and scope of the inquest </w:t>
      </w:r>
      <w:r w:rsidR="00021BEC" w:rsidRPr="00726852">
        <w:rPr>
          <w:rFonts w:eastAsia="Calibri"/>
        </w:rPr>
        <w:t xml:space="preserve">process and </w:t>
      </w:r>
      <w:r w:rsidR="00F36654" w:rsidRPr="00726852">
        <w:rPr>
          <w:rFonts w:eastAsia="Calibri"/>
        </w:rPr>
        <w:t>highlight</w:t>
      </w:r>
      <w:r w:rsidR="00021BEC" w:rsidRPr="00726852">
        <w:rPr>
          <w:rFonts w:eastAsia="Calibri"/>
        </w:rPr>
        <w:t>ed</w:t>
      </w:r>
      <w:r w:rsidR="00F36654" w:rsidRPr="00726852">
        <w:rPr>
          <w:rFonts w:eastAsia="Calibri"/>
        </w:rPr>
        <w:t xml:space="preserve"> an increasing array of acts and omissions</w:t>
      </w:r>
      <w:r w:rsidR="00457518" w:rsidRPr="00726852">
        <w:rPr>
          <w:rStyle w:val="FootnoteReference"/>
          <w:rFonts w:eastAsia="Calibri"/>
        </w:rPr>
        <w:footnoteReference w:id="1"/>
      </w:r>
      <w:r w:rsidR="00455E5E" w:rsidRPr="00726852">
        <w:rPr>
          <w:rFonts w:eastAsia="Calibri"/>
        </w:rPr>
        <w:t xml:space="preserve"> by</w:t>
      </w:r>
      <w:r w:rsidR="00F36654" w:rsidRPr="00726852">
        <w:rPr>
          <w:rFonts w:eastAsia="Calibri"/>
        </w:rPr>
        <w:t xml:space="preserve"> state organisations </w:t>
      </w:r>
      <w:r w:rsidR="00021DCF" w:rsidRPr="00726852">
        <w:rPr>
          <w:rFonts w:eastAsia="Calibri"/>
        </w:rPr>
        <w:t>in</w:t>
      </w:r>
      <w:r w:rsidR="00F36654" w:rsidRPr="00726852">
        <w:rPr>
          <w:rFonts w:eastAsia="Calibri"/>
        </w:rPr>
        <w:t xml:space="preserve"> cases of DAPC (Shaw and Coles</w:t>
      </w:r>
      <w:r w:rsidR="00ED57BA" w:rsidRPr="00726852">
        <w:rPr>
          <w:rFonts w:eastAsia="Calibri"/>
        </w:rPr>
        <w:t>,</w:t>
      </w:r>
      <w:r w:rsidR="00F36654" w:rsidRPr="00726852">
        <w:rPr>
          <w:rFonts w:eastAsia="Calibri"/>
        </w:rPr>
        <w:t xml:space="preserve"> 2007).</w:t>
      </w:r>
      <w:r w:rsidR="00F93299" w:rsidRPr="00726852">
        <w:rPr>
          <w:rFonts w:eastAsia="Calibri"/>
        </w:rPr>
        <w:t xml:space="preserve"> </w:t>
      </w:r>
      <w:r w:rsidR="00F36654" w:rsidRPr="00726852">
        <w:rPr>
          <w:rFonts w:eastAsia="Calibri"/>
        </w:rPr>
        <w:t>S</w:t>
      </w:r>
      <w:r w:rsidR="00F93299" w:rsidRPr="00726852">
        <w:rPr>
          <w:rFonts w:eastAsia="Calibri"/>
        </w:rPr>
        <w:t>econdly, a new type of verdict tends to be recorded in these cases, known as ‘narrative verdicts’</w:t>
      </w:r>
      <w:r w:rsidR="00F36654" w:rsidRPr="00726852">
        <w:rPr>
          <w:rFonts w:eastAsia="Calibri"/>
        </w:rPr>
        <w:t>; these reflect the way in which actions and omissions may be recorded by juries sitting in article 2 inquests and</w:t>
      </w:r>
      <w:r w:rsidR="009616EB" w:rsidRPr="00726852">
        <w:rPr>
          <w:rFonts w:eastAsia="Calibri"/>
        </w:rPr>
        <w:t xml:space="preserve"> have increasingly highlighted issues such as failures of multi-agency working, communication, training and risk assessment </w:t>
      </w:r>
      <w:r w:rsidR="00EA7177" w:rsidRPr="00726852">
        <w:rPr>
          <w:rFonts w:eastAsia="Calibri"/>
        </w:rPr>
        <w:t>(</w:t>
      </w:r>
      <w:proofErr w:type="spellStart"/>
      <w:r w:rsidR="009616EB" w:rsidRPr="00726852">
        <w:rPr>
          <w:rFonts w:eastAsia="Calibri"/>
        </w:rPr>
        <w:t>Xxxxx</w:t>
      </w:r>
      <w:proofErr w:type="spellEnd"/>
      <w:r w:rsidR="00ED57BA" w:rsidRPr="00726852">
        <w:rPr>
          <w:rFonts w:eastAsia="Calibri"/>
        </w:rPr>
        <w:t>,</w:t>
      </w:r>
      <w:r w:rsidR="009616EB" w:rsidRPr="00726852">
        <w:rPr>
          <w:rFonts w:eastAsia="Calibri"/>
        </w:rPr>
        <w:t xml:space="preserve"> 2015</w:t>
      </w:r>
      <w:r w:rsidR="00EA7177" w:rsidRPr="00726852">
        <w:rPr>
          <w:rFonts w:eastAsia="Calibri"/>
        </w:rPr>
        <w:t>)</w:t>
      </w:r>
      <w:r w:rsidR="009616EB" w:rsidRPr="00726852">
        <w:rPr>
          <w:rFonts w:eastAsia="Calibri"/>
        </w:rPr>
        <w:t>.</w:t>
      </w:r>
      <w:r w:rsidR="00F93299" w:rsidRPr="00726852">
        <w:rPr>
          <w:rFonts w:eastAsia="Calibri"/>
        </w:rPr>
        <w:t xml:space="preserve"> </w:t>
      </w:r>
      <w:r w:rsidR="009616EB" w:rsidRPr="00726852">
        <w:rPr>
          <w:rFonts w:eastAsia="Calibri"/>
        </w:rPr>
        <w:t>T</w:t>
      </w:r>
      <w:r w:rsidR="00F93299" w:rsidRPr="00726852">
        <w:rPr>
          <w:rFonts w:eastAsia="Calibri"/>
        </w:rPr>
        <w:t xml:space="preserve">hirdly, the use </w:t>
      </w:r>
      <w:r w:rsidR="00F93299" w:rsidRPr="00726852">
        <w:rPr>
          <w:rFonts w:eastAsia="Calibri"/>
        </w:rPr>
        <w:lastRenderedPageBreak/>
        <w:t xml:space="preserve">of coroners’ reports in these cases is now held to be </w:t>
      </w:r>
      <w:r w:rsidR="003127D9">
        <w:rPr>
          <w:rFonts w:eastAsia="Calibri"/>
        </w:rPr>
        <w:t>mandatory</w:t>
      </w:r>
      <w:r w:rsidR="00F93299" w:rsidRPr="00726852">
        <w:rPr>
          <w:rFonts w:eastAsia="Calibri"/>
        </w:rPr>
        <w:t xml:space="preserve"> rather than discretionary, as was previously the case</w:t>
      </w:r>
      <w:r w:rsidR="00EA7177" w:rsidRPr="00726852">
        <w:rPr>
          <w:rFonts w:eastAsia="Calibri"/>
        </w:rPr>
        <w:t xml:space="preserve"> (Chief Coroner</w:t>
      </w:r>
      <w:r w:rsidR="0076400E" w:rsidRPr="00726852">
        <w:rPr>
          <w:rFonts w:eastAsia="Calibri"/>
        </w:rPr>
        <w:t>’s Office</w:t>
      </w:r>
      <w:r w:rsidR="00ED57BA" w:rsidRPr="00726852">
        <w:rPr>
          <w:rFonts w:eastAsia="Calibri"/>
        </w:rPr>
        <w:t>,</w:t>
      </w:r>
      <w:r w:rsidR="00EA7177" w:rsidRPr="00726852">
        <w:rPr>
          <w:rFonts w:eastAsia="Calibri"/>
        </w:rPr>
        <w:t xml:space="preserve"> 2013)</w:t>
      </w:r>
      <w:r w:rsidR="00FE3974" w:rsidRPr="00726852">
        <w:rPr>
          <w:rFonts w:eastAsia="Calibri"/>
        </w:rPr>
        <w:t>.</w:t>
      </w:r>
      <w:r w:rsidR="009616EB" w:rsidRPr="00726852">
        <w:rPr>
          <w:rFonts w:eastAsia="Calibri"/>
        </w:rPr>
        <w:t xml:space="preserve"> </w:t>
      </w:r>
      <w:r w:rsidR="00FE3974" w:rsidRPr="00726852">
        <w:rPr>
          <w:rFonts w:eastAsia="Calibri"/>
        </w:rPr>
        <w:t>T</w:t>
      </w:r>
      <w:r w:rsidR="009616EB" w:rsidRPr="00726852">
        <w:rPr>
          <w:rFonts w:eastAsia="Calibri"/>
        </w:rPr>
        <w:t xml:space="preserve">hese reports are produced by the coroner post-inquest </w:t>
      </w:r>
      <w:r w:rsidR="00021DCF" w:rsidRPr="00726852">
        <w:rPr>
          <w:rFonts w:eastAsia="Calibri"/>
        </w:rPr>
        <w:t>and</w:t>
      </w:r>
      <w:r w:rsidR="009616EB" w:rsidRPr="00726852">
        <w:rPr>
          <w:rFonts w:eastAsia="Calibri"/>
        </w:rPr>
        <w:t xml:space="preserve"> contain recommendations that may lead to the prevention of further deaths</w:t>
      </w:r>
      <w:r w:rsidR="00066036" w:rsidRPr="00726852">
        <w:rPr>
          <w:rFonts w:eastAsia="Calibri"/>
        </w:rPr>
        <w:t xml:space="preserve"> and</w:t>
      </w:r>
      <w:r w:rsidR="009616EB" w:rsidRPr="00726852">
        <w:rPr>
          <w:rFonts w:eastAsia="Calibri"/>
        </w:rPr>
        <w:t xml:space="preserve"> </w:t>
      </w:r>
      <w:r w:rsidR="00D76DE4">
        <w:rPr>
          <w:rFonts w:eastAsia="Calibri"/>
        </w:rPr>
        <w:t>can be</w:t>
      </w:r>
      <w:r w:rsidR="009616EB" w:rsidRPr="00726852">
        <w:rPr>
          <w:rFonts w:eastAsia="Calibri"/>
        </w:rPr>
        <w:t xml:space="preserve"> sent to any relevant organisation that </w:t>
      </w:r>
      <w:r w:rsidR="00032DED">
        <w:rPr>
          <w:rFonts w:eastAsia="Calibri"/>
        </w:rPr>
        <w:t>has</w:t>
      </w:r>
      <w:r w:rsidR="009616EB" w:rsidRPr="00726852">
        <w:rPr>
          <w:rFonts w:eastAsia="Calibri"/>
        </w:rPr>
        <w:t xml:space="preserve"> been identified during the inquest. </w:t>
      </w:r>
      <w:r w:rsidR="008E7A18">
        <w:rPr>
          <w:rFonts w:eastAsia="Calibri"/>
        </w:rPr>
        <w:t xml:space="preserve">The paper begins by examining how </w:t>
      </w:r>
      <w:r w:rsidR="008361A1">
        <w:rPr>
          <w:rFonts w:eastAsia="Calibri"/>
        </w:rPr>
        <w:t xml:space="preserve">these changes to coronial practice have occurred, and what their significance might be. </w:t>
      </w:r>
    </w:p>
    <w:p w14:paraId="7015C9E0" w14:textId="43F6ECC0" w:rsidR="00F7707F" w:rsidRPr="00726852" w:rsidRDefault="005138B8" w:rsidP="00DA1E65">
      <w:pPr>
        <w:spacing w:after="200"/>
        <w:rPr>
          <w:rFonts w:eastAsia="Calibri"/>
        </w:rPr>
      </w:pPr>
      <w:r w:rsidRPr="00726852">
        <w:rPr>
          <w:rFonts w:eastAsia="Calibri"/>
        </w:rPr>
        <w:t>T</w:t>
      </w:r>
      <w:r w:rsidR="00F93299" w:rsidRPr="00726852">
        <w:rPr>
          <w:rFonts w:eastAsia="Calibri"/>
        </w:rPr>
        <w:t xml:space="preserve">he </w:t>
      </w:r>
      <w:r w:rsidR="004B7343" w:rsidRPr="00726852">
        <w:rPr>
          <w:rFonts w:eastAsia="Calibri"/>
        </w:rPr>
        <w:t>paper</w:t>
      </w:r>
      <w:r w:rsidR="00F93299" w:rsidRPr="00726852">
        <w:rPr>
          <w:rFonts w:eastAsia="Calibri"/>
        </w:rPr>
        <w:t xml:space="preserve"> </w:t>
      </w:r>
      <w:r w:rsidR="00021DCF" w:rsidRPr="00726852">
        <w:rPr>
          <w:rFonts w:eastAsia="Calibri"/>
        </w:rPr>
        <w:t>focuses on</w:t>
      </w:r>
      <w:r w:rsidR="00F93299" w:rsidRPr="00726852">
        <w:rPr>
          <w:rFonts w:eastAsia="Calibri"/>
        </w:rPr>
        <w:t xml:space="preserve"> the nexus between coro</w:t>
      </w:r>
      <w:r w:rsidR="00DF2D01" w:rsidRPr="00726852">
        <w:rPr>
          <w:rFonts w:eastAsia="Calibri"/>
        </w:rPr>
        <w:t>nial practice, criminal justice</w:t>
      </w:r>
      <w:r w:rsidR="00F93299" w:rsidRPr="00726852">
        <w:rPr>
          <w:rFonts w:eastAsia="Calibri"/>
        </w:rPr>
        <w:t xml:space="preserve">, and human rights. </w:t>
      </w:r>
      <w:r w:rsidRPr="00726852">
        <w:rPr>
          <w:rFonts w:eastAsia="Calibri"/>
        </w:rPr>
        <w:t xml:space="preserve">The issue of death after police contact and accountability is one that is particularly in the public eye with </w:t>
      </w:r>
      <w:r w:rsidR="00F7707F" w:rsidRPr="00726852">
        <w:rPr>
          <w:rFonts w:eastAsia="Calibri"/>
        </w:rPr>
        <w:t xml:space="preserve">recent </w:t>
      </w:r>
      <w:r w:rsidRPr="00726852">
        <w:rPr>
          <w:rFonts w:eastAsia="Calibri"/>
        </w:rPr>
        <w:t>cases such as Mark Duggan</w:t>
      </w:r>
      <w:r w:rsidR="00066036" w:rsidRPr="00726852">
        <w:rPr>
          <w:rStyle w:val="FootnoteReference"/>
          <w:rFonts w:eastAsia="Calibri"/>
        </w:rPr>
        <w:footnoteReference w:id="2"/>
      </w:r>
      <w:r w:rsidR="00F7707F" w:rsidRPr="00726852">
        <w:rPr>
          <w:rFonts w:eastAsia="Calibri"/>
        </w:rPr>
        <w:t xml:space="preserve"> </w:t>
      </w:r>
      <w:r w:rsidRPr="00726852">
        <w:rPr>
          <w:rFonts w:eastAsia="Calibri"/>
        </w:rPr>
        <w:t xml:space="preserve">in the UK, </w:t>
      </w:r>
      <w:r w:rsidR="00F7707F" w:rsidRPr="00726852">
        <w:rPr>
          <w:rFonts w:eastAsia="Calibri"/>
        </w:rPr>
        <w:t>Michael Brown</w:t>
      </w:r>
      <w:r w:rsidR="00066036" w:rsidRPr="00726852">
        <w:rPr>
          <w:rStyle w:val="FootnoteReference"/>
          <w:rFonts w:eastAsia="Calibri"/>
        </w:rPr>
        <w:footnoteReference w:id="3"/>
      </w:r>
      <w:r w:rsidR="00F7707F" w:rsidRPr="00726852">
        <w:rPr>
          <w:rFonts w:eastAsia="Calibri"/>
        </w:rPr>
        <w:t xml:space="preserve"> </w:t>
      </w:r>
      <w:r w:rsidR="005E0DC5" w:rsidRPr="00726852">
        <w:rPr>
          <w:rFonts w:eastAsia="Calibri"/>
        </w:rPr>
        <w:t xml:space="preserve">in the US, Robert </w:t>
      </w:r>
      <w:proofErr w:type="spellStart"/>
      <w:r w:rsidR="005E0DC5" w:rsidRPr="00726852">
        <w:rPr>
          <w:rFonts w:eastAsia="Calibri"/>
        </w:rPr>
        <w:t>Dziekanski</w:t>
      </w:r>
      <w:proofErr w:type="spellEnd"/>
      <w:r w:rsidR="00066036" w:rsidRPr="00726852">
        <w:rPr>
          <w:rStyle w:val="FootnoteReference"/>
          <w:rFonts w:eastAsia="Calibri"/>
        </w:rPr>
        <w:footnoteReference w:id="4"/>
      </w:r>
      <w:r w:rsidR="005E0DC5" w:rsidRPr="00726852">
        <w:rPr>
          <w:rFonts w:eastAsia="Calibri"/>
        </w:rPr>
        <w:t xml:space="preserve"> </w:t>
      </w:r>
      <w:r w:rsidR="00F7707F" w:rsidRPr="00726852">
        <w:rPr>
          <w:rFonts w:eastAsia="Calibri"/>
        </w:rPr>
        <w:t xml:space="preserve">in Canada and </w:t>
      </w:r>
      <w:r w:rsidR="007C7628" w:rsidRPr="00726852">
        <w:t xml:space="preserve">Roberto </w:t>
      </w:r>
      <w:proofErr w:type="spellStart"/>
      <w:r w:rsidR="007C7628" w:rsidRPr="00726852">
        <w:t>Laudisio</w:t>
      </w:r>
      <w:proofErr w:type="spellEnd"/>
      <w:r w:rsidR="007C7628" w:rsidRPr="00726852">
        <w:t xml:space="preserve"> </w:t>
      </w:r>
      <w:proofErr w:type="spellStart"/>
      <w:r w:rsidR="007C7628" w:rsidRPr="00726852">
        <w:t>Curti</w:t>
      </w:r>
      <w:proofErr w:type="spellEnd"/>
      <w:r w:rsidR="00066036" w:rsidRPr="00726852">
        <w:rPr>
          <w:rStyle w:val="FootnoteReference"/>
          <w:rFonts w:eastAsia="Calibri"/>
        </w:rPr>
        <w:footnoteReference w:id="5"/>
      </w:r>
      <w:r w:rsidR="005E0DC5" w:rsidRPr="00726852">
        <w:t xml:space="preserve"> </w:t>
      </w:r>
      <w:r w:rsidR="00F7707F" w:rsidRPr="00726852">
        <w:rPr>
          <w:rFonts w:eastAsia="Calibri"/>
        </w:rPr>
        <w:t xml:space="preserve">in Australia provoking widespread calls for police to be held to account. These cases touch on societal concerns such as open justice, transparency of process, and fairness and legitimacy in the justice </w:t>
      </w:r>
      <w:r w:rsidR="001648E3" w:rsidRPr="00726852">
        <w:rPr>
          <w:rFonts w:eastAsia="Calibri"/>
        </w:rPr>
        <w:t>system</w:t>
      </w:r>
      <w:r w:rsidR="00F7707F" w:rsidRPr="00726852">
        <w:rPr>
          <w:rFonts w:eastAsia="Calibri"/>
        </w:rPr>
        <w:t xml:space="preserve">. In common law systems, the state response </w:t>
      </w:r>
      <w:r w:rsidR="00DF2D01" w:rsidRPr="00726852">
        <w:rPr>
          <w:rFonts w:eastAsia="Calibri"/>
        </w:rPr>
        <w:t xml:space="preserve">to allaying these societal concerns </w:t>
      </w:r>
      <w:r w:rsidR="00021DCF" w:rsidRPr="00726852">
        <w:rPr>
          <w:rFonts w:eastAsia="Calibri"/>
        </w:rPr>
        <w:t xml:space="preserve">tends to be </w:t>
      </w:r>
      <w:r w:rsidR="00DF2D01" w:rsidRPr="00726852">
        <w:rPr>
          <w:rFonts w:eastAsia="Calibri"/>
        </w:rPr>
        <w:t xml:space="preserve">to </w:t>
      </w:r>
      <w:r w:rsidR="00703F07">
        <w:rPr>
          <w:rFonts w:eastAsia="Calibri"/>
        </w:rPr>
        <w:t>utilise</w:t>
      </w:r>
      <w:r w:rsidR="00DF2D01" w:rsidRPr="00726852">
        <w:rPr>
          <w:rFonts w:eastAsia="Calibri"/>
        </w:rPr>
        <w:t xml:space="preserve"> coroners to </w:t>
      </w:r>
      <w:r w:rsidR="00F7707F" w:rsidRPr="00726852">
        <w:rPr>
          <w:rFonts w:eastAsia="Calibri"/>
        </w:rPr>
        <w:t>investigat</w:t>
      </w:r>
      <w:r w:rsidR="00DF2D01" w:rsidRPr="00726852">
        <w:rPr>
          <w:rFonts w:eastAsia="Calibri"/>
        </w:rPr>
        <w:t>e</w:t>
      </w:r>
      <w:r w:rsidR="00F7707F" w:rsidRPr="00726852">
        <w:rPr>
          <w:rFonts w:eastAsia="Calibri"/>
        </w:rPr>
        <w:t xml:space="preserve"> and report on such deaths</w:t>
      </w:r>
      <w:r w:rsidR="00823051" w:rsidRPr="00726852">
        <w:rPr>
          <w:rFonts w:eastAsia="Calibri"/>
        </w:rPr>
        <w:t xml:space="preserve"> (Matthews, 2014)</w:t>
      </w:r>
      <w:r w:rsidR="00F7707F" w:rsidRPr="00726852">
        <w:rPr>
          <w:rFonts w:eastAsia="Calibri"/>
        </w:rPr>
        <w:t xml:space="preserve">. </w:t>
      </w:r>
    </w:p>
    <w:p w14:paraId="0EEE7AEF" w14:textId="07BC20C7" w:rsidR="00F26BE6" w:rsidRPr="00726852" w:rsidRDefault="00645014" w:rsidP="00CD221A">
      <w:pPr>
        <w:spacing w:after="200"/>
        <w:rPr>
          <w:rFonts w:eastAsia="Calibri"/>
        </w:rPr>
      </w:pPr>
      <w:r w:rsidRPr="00726852">
        <w:t>Clearly the effects of article 2 of the ECHR are applied to the pre-existing structure of the coronial system. Any changes are mediated by institutional structure</w:t>
      </w:r>
      <w:r w:rsidR="008361A1">
        <w:t>s</w:t>
      </w:r>
      <w:r w:rsidRPr="00726852">
        <w:t xml:space="preserve"> </w:t>
      </w:r>
      <w:r w:rsidR="008361A1">
        <w:t>in</w:t>
      </w:r>
      <w:r w:rsidRPr="00726852">
        <w:t xml:space="preserve"> coroners’ courts. </w:t>
      </w:r>
      <w:r w:rsidR="008361A1">
        <w:t xml:space="preserve">After outlining recent changes in coronial practice, the paper moves on to consider how structural constraints affect practice </w:t>
      </w:r>
      <w:r w:rsidRPr="00726852">
        <w:rPr>
          <w:rFonts w:eastAsia="Calibri"/>
        </w:rPr>
        <w:t xml:space="preserve">by </w:t>
      </w:r>
      <w:r w:rsidR="008361A1">
        <w:rPr>
          <w:rFonts w:eastAsia="Calibri"/>
        </w:rPr>
        <w:t xml:space="preserve">examining </w:t>
      </w:r>
      <w:r w:rsidR="00CD221A">
        <w:rPr>
          <w:rFonts w:eastAsia="Calibri"/>
        </w:rPr>
        <w:t xml:space="preserve">the </w:t>
      </w:r>
      <w:r w:rsidR="008361A1">
        <w:rPr>
          <w:rFonts w:eastAsia="Calibri"/>
        </w:rPr>
        <w:t xml:space="preserve">coronial </w:t>
      </w:r>
      <w:r w:rsidR="00CD221A">
        <w:rPr>
          <w:rFonts w:eastAsia="Calibri"/>
        </w:rPr>
        <w:t>system</w:t>
      </w:r>
      <w:r w:rsidR="008361A1">
        <w:rPr>
          <w:rFonts w:eastAsia="Calibri"/>
        </w:rPr>
        <w:t xml:space="preserve"> in England and Wales</w:t>
      </w:r>
      <w:r w:rsidRPr="00726852">
        <w:rPr>
          <w:rFonts w:eastAsia="Calibri"/>
        </w:rPr>
        <w:t xml:space="preserve">. This section of the paper examines key </w:t>
      </w:r>
      <w:r w:rsidR="00304D7E" w:rsidRPr="00726852">
        <w:rPr>
          <w:rFonts w:eastAsia="Calibri"/>
        </w:rPr>
        <w:t>issues</w:t>
      </w:r>
      <w:r w:rsidRPr="00726852">
        <w:rPr>
          <w:rFonts w:eastAsia="Calibri"/>
        </w:rPr>
        <w:t xml:space="preserve"> such as the tension between statute and precedent, the ambiguity inherent in </w:t>
      </w:r>
      <w:r w:rsidR="00CD221A">
        <w:rPr>
          <w:rFonts w:eastAsia="Calibri"/>
        </w:rPr>
        <w:t>coronial role and function</w:t>
      </w:r>
      <w:r w:rsidRPr="00726852">
        <w:rPr>
          <w:rFonts w:eastAsia="Calibri"/>
        </w:rPr>
        <w:t xml:space="preserve">, and how coroners’ courts might be best imagined as a regional rather than a national system. </w:t>
      </w:r>
      <w:r w:rsidR="00304D7E" w:rsidRPr="00726852">
        <w:rPr>
          <w:rFonts w:eastAsia="Calibri"/>
        </w:rPr>
        <w:t xml:space="preserve">These issues affect how article 2 of the ECHR is implemented in practice in the coronial system. For example, the increasing use of narrative verdicts </w:t>
      </w:r>
      <w:r w:rsidR="00921959" w:rsidRPr="00726852">
        <w:rPr>
          <w:rFonts w:eastAsia="Calibri"/>
        </w:rPr>
        <w:t>to identify actions and omissions in relation to a case of DAPC</w:t>
      </w:r>
      <w:r w:rsidR="00304D7E" w:rsidRPr="00726852">
        <w:rPr>
          <w:rFonts w:eastAsia="Calibri"/>
        </w:rPr>
        <w:t xml:space="preserve"> </w:t>
      </w:r>
      <w:r w:rsidR="00921959" w:rsidRPr="00726852">
        <w:rPr>
          <w:rFonts w:eastAsia="Calibri"/>
        </w:rPr>
        <w:t xml:space="preserve">occurs </w:t>
      </w:r>
      <w:r w:rsidR="00304D7E" w:rsidRPr="00726852">
        <w:rPr>
          <w:rFonts w:eastAsia="Calibri"/>
        </w:rPr>
        <w:t>with</w:t>
      </w:r>
      <w:r w:rsidR="00921959" w:rsidRPr="00726852">
        <w:rPr>
          <w:rFonts w:eastAsia="Calibri"/>
        </w:rPr>
        <w:t>in</w:t>
      </w:r>
      <w:r w:rsidR="00304D7E" w:rsidRPr="00726852">
        <w:rPr>
          <w:rFonts w:eastAsia="Calibri"/>
        </w:rPr>
        <w:t xml:space="preserve"> a system that is essentially regional. In order to learn lessons from the increasingly complex verdicts recorded by juries in these cases, it would be reasonable to expect some sort of overview at a national level, and this does not currently exist. Finally, i</w:t>
      </w:r>
      <w:r w:rsidRPr="00726852">
        <w:rPr>
          <w:rFonts w:eastAsia="Calibri"/>
        </w:rPr>
        <w:t xml:space="preserve">t is argued that the coronial system is </w:t>
      </w:r>
      <w:r w:rsidR="00703F07">
        <w:rPr>
          <w:rFonts w:eastAsia="Calibri"/>
        </w:rPr>
        <w:t>historically</w:t>
      </w:r>
      <w:r w:rsidRPr="00726852">
        <w:rPr>
          <w:rFonts w:eastAsia="Calibri"/>
        </w:rPr>
        <w:t xml:space="preserve"> subject to reform and stasis, and that the evolution </w:t>
      </w:r>
      <w:r w:rsidR="00EE386E">
        <w:rPr>
          <w:rFonts w:eastAsia="Calibri"/>
        </w:rPr>
        <w:t xml:space="preserve">in practice </w:t>
      </w:r>
      <w:r w:rsidRPr="00726852">
        <w:rPr>
          <w:rFonts w:eastAsia="Calibri"/>
        </w:rPr>
        <w:t xml:space="preserve">wrought by article 2 of the ECHR can be to some extent characterised by both reform and stasis. </w:t>
      </w:r>
    </w:p>
    <w:p w14:paraId="6DEECD4E" w14:textId="3FA0EF73" w:rsidR="00645014" w:rsidRDefault="00645014" w:rsidP="00645014">
      <w:pPr>
        <w:spacing w:after="200"/>
        <w:ind w:firstLine="0"/>
        <w:rPr>
          <w:rFonts w:eastAsia="Calibri"/>
        </w:rPr>
      </w:pPr>
      <w:r w:rsidRPr="00726852">
        <w:rPr>
          <w:rFonts w:eastAsia="Calibri"/>
        </w:rPr>
        <w:lastRenderedPageBreak/>
        <w:t>The paper examine</w:t>
      </w:r>
      <w:r w:rsidR="00ED21B5">
        <w:rPr>
          <w:rFonts w:eastAsia="Calibri"/>
        </w:rPr>
        <w:t>s</w:t>
      </w:r>
      <w:r w:rsidRPr="00726852">
        <w:rPr>
          <w:rFonts w:eastAsia="Calibri"/>
        </w:rPr>
        <w:t xml:space="preserve"> how and why these changes have occurred and what they might suggest about state responses to cases of </w:t>
      </w:r>
      <w:r w:rsidR="00EE386E">
        <w:rPr>
          <w:rFonts w:eastAsia="Calibri"/>
        </w:rPr>
        <w:t>DAPC</w:t>
      </w:r>
      <w:r w:rsidRPr="00726852">
        <w:rPr>
          <w:rFonts w:eastAsia="Calibri"/>
        </w:rPr>
        <w:t xml:space="preserve"> in the 21</w:t>
      </w:r>
      <w:r w:rsidRPr="00726852">
        <w:rPr>
          <w:rFonts w:eastAsia="Calibri"/>
          <w:vertAlign w:val="superscript"/>
        </w:rPr>
        <w:t>st</w:t>
      </w:r>
      <w:r w:rsidRPr="00726852">
        <w:rPr>
          <w:rFonts w:eastAsia="Calibri"/>
        </w:rPr>
        <w:t xml:space="preserve"> century.</w:t>
      </w:r>
      <w:r w:rsidR="00F26BE6" w:rsidRPr="00726852">
        <w:rPr>
          <w:rFonts w:eastAsia="Calibri"/>
        </w:rPr>
        <w:t xml:space="preserve"> On the one hand</w:t>
      </w:r>
      <w:r w:rsidR="00CB3D3F">
        <w:rPr>
          <w:rFonts w:eastAsia="Calibri"/>
        </w:rPr>
        <w:t>,</w:t>
      </w:r>
      <w:r w:rsidR="00F26BE6" w:rsidRPr="00726852">
        <w:rPr>
          <w:rFonts w:eastAsia="Calibri"/>
        </w:rPr>
        <w:t xml:space="preserve"> the enhanced focus on investigating and reporting on cases of DAPC in the coronial system has been imposed by obligations imposed on the state by article 2 of the ECHR. This means that more information is being uncovered about these cases, and it appears that juries are being increasingly critical of police and other state agencies</w:t>
      </w:r>
      <w:r w:rsidR="00921959" w:rsidRPr="00726852">
        <w:rPr>
          <w:rFonts w:eastAsia="Calibri"/>
        </w:rPr>
        <w:t xml:space="preserve"> (</w:t>
      </w:r>
      <w:proofErr w:type="spellStart"/>
      <w:r w:rsidR="00921959" w:rsidRPr="00726852">
        <w:rPr>
          <w:rFonts w:eastAsia="Calibri"/>
        </w:rPr>
        <w:t>Xxxxx</w:t>
      </w:r>
      <w:proofErr w:type="spellEnd"/>
      <w:r w:rsidR="00921959" w:rsidRPr="00726852">
        <w:rPr>
          <w:rFonts w:eastAsia="Calibri"/>
        </w:rPr>
        <w:t xml:space="preserve"> 2015)</w:t>
      </w:r>
      <w:r w:rsidR="00F26BE6" w:rsidRPr="00726852">
        <w:rPr>
          <w:rFonts w:eastAsia="Calibri"/>
        </w:rPr>
        <w:t xml:space="preserve">. On the other hand, the obligations imposed by article 2 of the ECHR are met through a coronial system that has inherent structural </w:t>
      </w:r>
      <w:r w:rsidR="00EE386E">
        <w:rPr>
          <w:rFonts w:eastAsia="Calibri"/>
        </w:rPr>
        <w:t>constraints</w:t>
      </w:r>
      <w:r w:rsidR="00F26BE6" w:rsidRPr="00726852">
        <w:rPr>
          <w:rFonts w:eastAsia="Calibri"/>
        </w:rPr>
        <w:t xml:space="preserve">. </w:t>
      </w:r>
      <w:proofErr w:type="gramStart"/>
      <w:r w:rsidR="00F26BE6" w:rsidRPr="00726852">
        <w:rPr>
          <w:rFonts w:eastAsia="Calibri"/>
        </w:rPr>
        <w:t>Thus</w:t>
      </w:r>
      <w:proofErr w:type="gramEnd"/>
      <w:r w:rsidR="00F26BE6" w:rsidRPr="00726852">
        <w:rPr>
          <w:rFonts w:eastAsia="Calibri"/>
        </w:rPr>
        <w:t xml:space="preserve"> the increasingly critical tone adopted by juries does not necessarily equate to </w:t>
      </w:r>
      <w:r w:rsidR="00ED21B5">
        <w:rPr>
          <w:rFonts w:eastAsia="Calibri"/>
        </w:rPr>
        <w:t>consequential</w:t>
      </w:r>
      <w:r w:rsidR="00F26BE6" w:rsidRPr="00726852">
        <w:rPr>
          <w:rFonts w:eastAsia="Calibri"/>
        </w:rPr>
        <w:t xml:space="preserve"> action being taken by the state. The relationship between the obligations imposed by article 2 of the ECHR in cases of DAPC and their practical implementation in the coronial system is a central focus of this paper. </w:t>
      </w:r>
    </w:p>
    <w:p w14:paraId="1F96F001" w14:textId="77777777" w:rsidR="006054BC" w:rsidRPr="00726852" w:rsidRDefault="006054BC" w:rsidP="006054BC">
      <w:pPr>
        <w:pStyle w:val="ListParagraph"/>
        <w:numPr>
          <w:ilvl w:val="0"/>
          <w:numId w:val="5"/>
        </w:numPr>
        <w:spacing w:after="200"/>
        <w:rPr>
          <w:rFonts w:eastAsia="Calibri"/>
          <w:b/>
          <w:i/>
        </w:rPr>
      </w:pPr>
      <w:r w:rsidRPr="00726852">
        <w:rPr>
          <w:rFonts w:eastAsia="Calibri"/>
          <w:b/>
          <w:i/>
        </w:rPr>
        <w:t>Coroners and death after police contact</w:t>
      </w:r>
    </w:p>
    <w:p w14:paraId="7C822615" w14:textId="77777777" w:rsidR="006054BC" w:rsidRPr="00726852" w:rsidRDefault="006054BC" w:rsidP="006054BC">
      <w:pPr>
        <w:spacing w:after="200"/>
        <w:rPr>
          <w:rFonts w:eastAsia="Calibri"/>
          <w:i/>
        </w:rPr>
      </w:pPr>
      <w:r w:rsidRPr="00726852">
        <w:rPr>
          <w:rFonts w:eastAsia="Calibri"/>
          <w:i/>
        </w:rPr>
        <w:t>‘It is the duty of the coroner as the public official responsible for the conduct of inquests…to ensure that the relevant facts are fully, fairly and fearlessly investigated. He is bound to recognise the acute concern rightly aroused where deaths occur in custody. He must ensure that the relevant facts are exposed to public scrutiny particularly if there is evidence of foul play, abuse or inhumanity.’</w:t>
      </w:r>
    </w:p>
    <w:p w14:paraId="27FBFE06" w14:textId="20B20C58" w:rsidR="006054BC" w:rsidRPr="00726852" w:rsidRDefault="006054BC" w:rsidP="006054BC">
      <w:pPr>
        <w:spacing w:after="200"/>
        <w:jc w:val="right"/>
        <w:rPr>
          <w:rFonts w:eastAsia="Calibri"/>
          <w:color w:val="FF0000"/>
        </w:rPr>
      </w:pPr>
      <w:r w:rsidRPr="00726852">
        <w:rPr>
          <w:rFonts w:eastAsia="Calibri"/>
        </w:rPr>
        <w:t>(</w:t>
      </w:r>
      <w:r w:rsidR="00411056">
        <w:rPr>
          <w:rFonts w:eastAsia="Calibri"/>
        </w:rPr>
        <w:t xml:space="preserve">R v Coroner for North Humberside, ex </w:t>
      </w:r>
      <w:proofErr w:type="spellStart"/>
      <w:r w:rsidR="00411056">
        <w:rPr>
          <w:rFonts w:eastAsia="Calibri"/>
        </w:rPr>
        <w:t>parte</w:t>
      </w:r>
      <w:proofErr w:type="spellEnd"/>
      <w:r w:rsidR="00411056">
        <w:rPr>
          <w:rFonts w:eastAsia="Calibri"/>
        </w:rPr>
        <w:t xml:space="preserve"> Jamieson [1995] QB1</w:t>
      </w:r>
      <w:r w:rsidRPr="00726852">
        <w:rPr>
          <w:rFonts w:eastAsia="Calibri"/>
        </w:rPr>
        <w:t xml:space="preserve">) </w:t>
      </w:r>
    </w:p>
    <w:p w14:paraId="094CF28B" w14:textId="42AF51F3" w:rsidR="006054BC" w:rsidRDefault="006054BC" w:rsidP="006054BC">
      <w:pPr>
        <w:spacing w:after="200"/>
        <w:rPr>
          <w:rFonts w:eastAsia="Calibri"/>
        </w:rPr>
      </w:pPr>
      <w:r w:rsidRPr="00726852">
        <w:rPr>
          <w:rFonts w:eastAsia="Calibri"/>
        </w:rPr>
        <w:t xml:space="preserve">Coroners have long played a significant role in the investigation of deaths in suspicious or unnatural circumstances in England and Wales. </w:t>
      </w:r>
      <w:r>
        <w:rPr>
          <w:rFonts w:eastAsia="Calibri"/>
        </w:rPr>
        <w:t>They</w:t>
      </w:r>
      <w:r w:rsidRPr="00726852">
        <w:rPr>
          <w:rFonts w:eastAsia="Calibri"/>
        </w:rPr>
        <w:t xml:space="preserve"> aim to fulfil a number of</w:t>
      </w:r>
      <w:r>
        <w:rPr>
          <w:rFonts w:eastAsia="Calibri"/>
        </w:rPr>
        <w:t xml:space="preserve"> functions on behalf of society:</w:t>
      </w:r>
      <w:r w:rsidRPr="00726852">
        <w:rPr>
          <w:rFonts w:eastAsia="Calibri"/>
        </w:rPr>
        <w:t xml:space="preserve"> to provide an independent examination of deaths in custody; to provide it in a manner that is open to public scrutiny; and to attempt to learn lessons in relation to these deaths so that future preventable deaths may be avoided (</w:t>
      </w:r>
      <w:proofErr w:type="spellStart"/>
      <w:r w:rsidRPr="00726852">
        <w:rPr>
          <w:rFonts w:eastAsia="Calibri"/>
        </w:rPr>
        <w:t>Dorries</w:t>
      </w:r>
      <w:proofErr w:type="spellEnd"/>
      <w:r w:rsidRPr="00726852">
        <w:rPr>
          <w:rFonts w:eastAsia="Calibri"/>
        </w:rPr>
        <w:t>, 2004). As such, coroners have a significant role to play in protecting the public from avoidable death</w:t>
      </w:r>
      <w:r>
        <w:rPr>
          <w:rFonts w:eastAsia="Calibri"/>
        </w:rPr>
        <w:t>s</w:t>
      </w:r>
      <w:r w:rsidRPr="00726852">
        <w:rPr>
          <w:rFonts w:eastAsia="Calibri"/>
        </w:rPr>
        <w:t xml:space="preserve"> and holding state organisations to account in such circumstances (</w:t>
      </w:r>
      <w:proofErr w:type="spellStart"/>
      <w:r w:rsidRPr="00726852">
        <w:rPr>
          <w:rFonts w:eastAsia="Calibri"/>
        </w:rPr>
        <w:t>Luce</w:t>
      </w:r>
      <w:proofErr w:type="spellEnd"/>
      <w:r w:rsidRPr="00726852">
        <w:rPr>
          <w:rFonts w:eastAsia="Calibri"/>
        </w:rPr>
        <w:t>, 2003). The quotation above by Lord Bingham</w:t>
      </w:r>
      <w:r w:rsidR="00161C32">
        <w:rPr>
          <w:rFonts w:eastAsia="Calibri"/>
        </w:rPr>
        <w:t xml:space="preserve"> </w:t>
      </w:r>
      <w:r w:rsidR="00460735">
        <w:rPr>
          <w:rFonts w:eastAsia="Calibri"/>
        </w:rPr>
        <w:t>in the Jamieson case,</w:t>
      </w:r>
      <w:r w:rsidRPr="00726852">
        <w:rPr>
          <w:rFonts w:eastAsia="Calibri"/>
        </w:rPr>
        <w:t xml:space="preserve"> </w:t>
      </w:r>
      <w:r w:rsidR="00460735">
        <w:rPr>
          <w:rFonts w:eastAsia="Calibri"/>
        </w:rPr>
        <w:t>sets out</w:t>
      </w:r>
      <w:r w:rsidRPr="00726852">
        <w:rPr>
          <w:rFonts w:eastAsia="Calibri"/>
        </w:rPr>
        <w:t xml:space="preserve"> the fundamentally important role of the coroner in demonstrating open justice when investigating cases of DAPC. It acknowledges the need for such investigations to be demonstrably fair and transparent, and the need for process</w:t>
      </w:r>
      <w:r>
        <w:rPr>
          <w:rFonts w:eastAsia="Calibri"/>
        </w:rPr>
        <w:t>es</w:t>
      </w:r>
      <w:r w:rsidRPr="00726852">
        <w:rPr>
          <w:rFonts w:eastAsia="Calibri"/>
        </w:rPr>
        <w:t xml:space="preserve"> to be seen to be rigorous and independent. </w:t>
      </w:r>
      <w:r w:rsidRPr="00726852">
        <w:t>An independent role in publicly scrutinising suspicious deaths is central to the coroner’s raison d’</w:t>
      </w:r>
      <w:r>
        <w:rPr>
          <w:rFonts w:ascii="Calibri" w:hAnsi="Calibri"/>
        </w:rPr>
        <w:t>ê</w:t>
      </w:r>
      <w:r w:rsidR="00161C32">
        <w:t>tre</w:t>
      </w:r>
      <w:r w:rsidRPr="00726852">
        <w:rPr>
          <w:rFonts w:eastAsia="Calibri"/>
        </w:rPr>
        <w:t xml:space="preserve">. </w:t>
      </w:r>
    </w:p>
    <w:p w14:paraId="5E21A537" w14:textId="7229DC07" w:rsidR="001418E1" w:rsidRPr="001418E1" w:rsidRDefault="001418E1" w:rsidP="001418E1">
      <w:pPr>
        <w:spacing w:after="200"/>
        <w:rPr>
          <w:rFonts w:eastAsia="Calibri"/>
          <w:color w:val="FF0000"/>
        </w:rPr>
      </w:pPr>
      <w:r w:rsidRPr="00726852">
        <w:rPr>
          <w:rFonts w:eastAsia="Calibri"/>
        </w:rPr>
        <w:t xml:space="preserve">In England and Wales cases of DAPC are investigated independently and publicly in the coronial system. The investigation takes the form of an inquest, and is based on fact-finding into the death (Matthews, 2002). Coroners are not expected to ascribe guilt or liability to individuals or organisations. Their role is to establish who died, when and where they died, and how they died (Davis </w:t>
      </w:r>
      <w:r w:rsidRPr="00726852">
        <w:rPr>
          <w:rFonts w:eastAsia="Calibri"/>
          <w:i/>
        </w:rPr>
        <w:t>et al</w:t>
      </w:r>
      <w:r w:rsidRPr="00726852">
        <w:rPr>
          <w:rFonts w:eastAsia="Calibri"/>
        </w:rPr>
        <w:t xml:space="preserve">. 2002). The question of ‘how’ an individual died can be subject to contention due to the way in </w:t>
      </w:r>
      <w:r w:rsidRPr="00726852">
        <w:rPr>
          <w:rFonts w:eastAsia="Calibri"/>
        </w:rPr>
        <w:lastRenderedPageBreak/>
        <w:t xml:space="preserve">which the word ‘how’ might be interpreted in relation to the death (Thomas </w:t>
      </w:r>
      <w:r w:rsidRPr="00726852">
        <w:rPr>
          <w:rFonts w:eastAsia="Calibri"/>
          <w:i/>
        </w:rPr>
        <w:t>et al</w:t>
      </w:r>
      <w:r w:rsidRPr="00726852">
        <w:rPr>
          <w:rFonts w:eastAsia="Calibri"/>
        </w:rPr>
        <w:t xml:space="preserve">. 2008). The parameters governing the scope of the inquest are largely dictated by ‘how’ an individual meets their death. This is one area that has been affected by article 2 of the ECHR and </w:t>
      </w:r>
      <w:r>
        <w:rPr>
          <w:rFonts w:eastAsia="Calibri"/>
        </w:rPr>
        <w:t>is</w:t>
      </w:r>
      <w:r w:rsidRPr="00726852">
        <w:rPr>
          <w:rFonts w:eastAsia="Calibri"/>
        </w:rPr>
        <w:t xml:space="preserve"> discussed </w:t>
      </w:r>
      <w:r>
        <w:rPr>
          <w:rFonts w:eastAsia="Calibri"/>
        </w:rPr>
        <w:t>directly</w:t>
      </w:r>
      <w:r w:rsidRPr="00726852">
        <w:rPr>
          <w:rFonts w:eastAsia="Calibri"/>
        </w:rPr>
        <w:t xml:space="preserve">. </w:t>
      </w:r>
    </w:p>
    <w:p w14:paraId="6118405E" w14:textId="1726C94F" w:rsidR="001418E1" w:rsidRPr="001418E1" w:rsidRDefault="001418E1" w:rsidP="001418E1">
      <w:pPr>
        <w:spacing w:after="200"/>
      </w:pPr>
      <w:r w:rsidRPr="00726852">
        <w:rPr>
          <w:rFonts w:eastAsia="Calibri"/>
        </w:rPr>
        <w:t>Under the 2009 Coroners and Justice Act (</w:t>
      </w:r>
      <w:r w:rsidRPr="00726852">
        <w:t xml:space="preserve">s1, (2)) an inquest is compulsory if ‘the deceased died while in custody or otherwise in state detention’ (Parliament, 2009). This Act is the fundamental statutory instrument for coroners in England and Wales having replaced the 1988 Coroners Act. They are further guided in practice by a framework termed ‘Coroners Rules’ dating from 2013. These replaced the 1984 Coroners Rules that functioned in tandem with the 1988 Coroners Act. These rules are updated by Home Office circulars and the Chief Coroner and reflect current developments in case law and precedent in coroners’ courts. </w:t>
      </w:r>
      <w:proofErr w:type="gramStart"/>
      <w:r w:rsidRPr="00726852">
        <w:t>Thus</w:t>
      </w:r>
      <w:proofErr w:type="gramEnd"/>
      <w:r w:rsidRPr="00726852">
        <w:t xml:space="preserve"> coronial practice is guided by statute but also by precedent. </w:t>
      </w:r>
    </w:p>
    <w:p w14:paraId="6801611C" w14:textId="57422551" w:rsidR="006054BC" w:rsidRDefault="006054BC" w:rsidP="006054BC">
      <w:pPr>
        <w:spacing w:after="200"/>
      </w:pPr>
      <w:r w:rsidRPr="00726852">
        <w:t>The term DAPC</w:t>
      </w:r>
      <w:r w:rsidR="00CD221A">
        <w:t xml:space="preserve"> (used throughout the paper)</w:t>
      </w:r>
      <w:r w:rsidRPr="00726852">
        <w:t xml:space="preserve"> is used by the IPCC in regard to ‘deaths during or following police contact’ as stated in their annual statistical analyses on this issue (see, for example IPCC, 2012). It covers the following categories: road traffic fatalities, fatal shootings, deaths in or following police custody, apparent suicides following police custody, and other deaths following police contact (IPCC, 2012, p. 1). Parliamentary reports from, for example</w:t>
      </w:r>
      <w:r>
        <w:t>,</w:t>
      </w:r>
      <w:r w:rsidRPr="00726852">
        <w:t xml:space="preserve"> the House of Commons Home Affairs Select Committee (HAC) and the House of Commons Joint Committee on Human Rights (JCHR) have highlighted the significance of the issue of DAPC over a sustained period of time, and have noted the symbolic importance of such deaths to wider society with regard to police being held to account (see, for example HAC, 2013, 2010, 1980; JCHR, 2004; Fulton, 2008). </w:t>
      </w:r>
      <w:r w:rsidR="001418E1">
        <w:t xml:space="preserve">The socio-political focus on these deaths has been mirrored by legal obligations imposed by article 2 of the ECHR and the paper now turns to consider how these obligations have affected coronial practice. </w:t>
      </w:r>
    </w:p>
    <w:p w14:paraId="300FA95B" w14:textId="77777777" w:rsidR="00837EC6" w:rsidRPr="00726852" w:rsidRDefault="00837EC6" w:rsidP="00837EC6">
      <w:pPr>
        <w:pStyle w:val="ListParagraph"/>
        <w:numPr>
          <w:ilvl w:val="0"/>
          <w:numId w:val="5"/>
        </w:numPr>
        <w:rPr>
          <w:b/>
          <w:i/>
        </w:rPr>
      </w:pPr>
      <w:r w:rsidRPr="00726852">
        <w:rPr>
          <w:b/>
          <w:i/>
        </w:rPr>
        <w:t>The impact of article 2 of the European Convention on Human Rights</w:t>
      </w:r>
    </w:p>
    <w:p w14:paraId="63E0C341" w14:textId="32B3A102" w:rsidR="00837EC6" w:rsidRPr="00726852" w:rsidRDefault="003127D9" w:rsidP="00837EC6">
      <w:r>
        <w:t>T</w:t>
      </w:r>
      <w:r w:rsidR="00837EC6" w:rsidRPr="00726852">
        <w:t xml:space="preserve">he most significant changes to </w:t>
      </w:r>
      <w:r>
        <w:t>coronial practice</w:t>
      </w:r>
      <w:r w:rsidR="00837EC6" w:rsidRPr="00726852">
        <w:t xml:space="preserve"> in relation to cases of DAPC have been </w:t>
      </w:r>
      <w:proofErr w:type="gramStart"/>
      <w:r w:rsidR="00837EC6" w:rsidRPr="00726852">
        <w:t>effected</w:t>
      </w:r>
      <w:proofErr w:type="gramEnd"/>
      <w:r w:rsidR="00837EC6" w:rsidRPr="00726852">
        <w:t xml:space="preserve"> not by governmental action but by precedents driven by the ECHR. It has affected the coronial system</w:t>
      </w:r>
      <w:r>
        <w:t xml:space="preserve"> in three distinct ways: first,</w:t>
      </w:r>
      <w:r w:rsidR="00837EC6" w:rsidRPr="00726852">
        <w:t xml:space="preserve"> with regard to the inquest process; secondly in the type of verdict delivered; and thirdly through the use of coroners’ reports. The ECHR has major ramifications to the procedural duty of the state when investigating deaths relating to its agents (Wadham, 2004). The convention is viewed as constituting a ‘living instrument’ in that it should dynamically reflect and react to changes within society. Thomas </w:t>
      </w:r>
      <w:r w:rsidR="00837EC6" w:rsidRPr="00726852">
        <w:rPr>
          <w:i/>
        </w:rPr>
        <w:t>et al.</w:t>
      </w:r>
      <w:r w:rsidR="00837EC6" w:rsidRPr="00726852">
        <w:t xml:space="preserve"> (2008) assert that it does not merely </w:t>
      </w:r>
      <w:r w:rsidR="00837EC6" w:rsidRPr="00726852">
        <w:rPr>
          <w:i/>
        </w:rPr>
        <w:t>protect</w:t>
      </w:r>
      <w:r w:rsidR="00837EC6" w:rsidRPr="00726852">
        <w:t xml:space="preserve"> the rights of citizens, but actively seeks to </w:t>
      </w:r>
      <w:r w:rsidR="00837EC6" w:rsidRPr="00726852">
        <w:rPr>
          <w:i/>
        </w:rPr>
        <w:t>enable</w:t>
      </w:r>
      <w:r w:rsidR="00837EC6" w:rsidRPr="00726852">
        <w:t xml:space="preserve"> an environment where the right to life is enshrined. The key component of the ECHR germane to this discussion is article 2: the right to life. This is seen as being a fundamental right from which all other rights necessarily follow.</w:t>
      </w:r>
    </w:p>
    <w:tbl>
      <w:tblPr>
        <w:tblStyle w:val="PlainTable41"/>
        <w:tblW w:w="8079" w:type="dxa"/>
        <w:tblInd w:w="534" w:type="dxa"/>
        <w:tblLook w:val="04A0" w:firstRow="1" w:lastRow="0" w:firstColumn="1" w:lastColumn="0" w:noHBand="0" w:noVBand="1"/>
      </w:tblPr>
      <w:tblGrid>
        <w:gridCol w:w="8079"/>
      </w:tblGrid>
      <w:tr w:rsidR="00837EC6" w:rsidRPr="00726852" w14:paraId="25BA037A" w14:textId="77777777" w:rsidTr="00F60A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9" w:type="dxa"/>
          </w:tcPr>
          <w:p w14:paraId="40AF7220" w14:textId="5C9A2319" w:rsidR="00837EC6" w:rsidRPr="00726852" w:rsidRDefault="00837EC6" w:rsidP="008361A1">
            <w:pPr>
              <w:spacing w:line="360" w:lineRule="auto"/>
              <w:rPr>
                <w:rFonts w:asciiTheme="minorHAnsi" w:hAnsiTheme="minorHAnsi"/>
                <w:b w:val="0"/>
                <w:sz w:val="22"/>
                <w:szCs w:val="22"/>
              </w:rPr>
            </w:pPr>
            <w:r w:rsidRPr="00726852">
              <w:rPr>
                <w:rFonts w:asciiTheme="minorHAnsi" w:hAnsiTheme="minorHAnsi"/>
                <w:b w:val="0"/>
                <w:sz w:val="22"/>
                <w:szCs w:val="22"/>
              </w:rPr>
              <w:lastRenderedPageBreak/>
              <w:t xml:space="preserve">Article 2 states: </w:t>
            </w:r>
          </w:p>
        </w:tc>
      </w:tr>
      <w:tr w:rsidR="00837EC6" w:rsidRPr="00726852" w14:paraId="3247608F" w14:textId="77777777" w:rsidTr="00F60A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9" w:type="dxa"/>
            <w:shd w:val="clear" w:color="auto" w:fill="FFFFFF" w:themeFill="background1"/>
          </w:tcPr>
          <w:p w14:paraId="6C242E98" w14:textId="77777777" w:rsidR="00837EC6" w:rsidRPr="00726852" w:rsidRDefault="00837EC6" w:rsidP="00F60ABA">
            <w:pPr>
              <w:pStyle w:val="ListParagraph"/>
              <w:numPr>
                <w:ilvl w:val="0"/>
                <w:numId w:val="3"/>
              </w:numPr>
              <w:spacing w:line="360" w:lineRule="auto"/>
              <w:jc w:val="left"/>
              <w:rPr>
                <w:rFonts w:asciiTheme="minorHAnsi" w:hAnsiTheme="minorHAnsi" w:cs="Arial"/>
                <w:b w:val="0"/>
                <w:sz w:val="22"/>
                <w:szCs w:val="22"/>
              </w:rPr>
            </w:pPr>
            <w:r w:rsidRPr="00726852">
              <w:rPr>
                <w:rFonts w:asciiTheme="minorHAnsi" w:hAnsiTheme="minorHAnsi" w:cs="Arial"/>
                <w:b w:val="0"/>
                <w:sz w:val="22"/>
                <w:szCs w:val="22"/>
              </w:rPr>
              <w:t>‘Everyone’s right to life shall be protected by law. No one shall be deprived of his life intentionally save in the execution of a sentence of a court following his conviction of a crime for which this penalty is provided by law.</w:t>
            </w:r>
          </w:p>
          <w:p w14:paraId="431C5DCD" w14:textId="77777777" w:rsidR="00837EC6" w:rsidRPr="00726852" w:rsidRDefault="00837EC6" w:rsidP="00F60ABA">
            <w:pPr>
              <w:jc w:val="left"/>
              <w:rPr>
                <w:rFonts w:asciiTheme="minorHAnsi" w:hAnsiTheme="minorHAnsi"/>
                <w:b w:val="0"/>
                <w:sz w:val="22"/>
                <w:szCs w:val="22"/>
              </w:rPr>
            </w:pPr>
          </w:p>
        </w:tc>
      </w:tr>
      <w:tr w:rsidR="00837EC6" w:rsidRPr="00726852" w14:paraId="7AB6726E" w14:textId="77777777" w:rsidTr="00F60ABA">
        <w:tc>
          <w:tcPr>
            <w:cnfStyle w:val="001000000000" w:firstRow="0" w:lastRow="0" w:firstColumn="1" w:lastColumn="0" w:oddVBand="0" w:evenVBand="0" w:oddHBand="0" w:evenHBand="0" w:firstRowFirstColumn="0" w:firstRowLastColumn="0" w:lastRowFirstColumn="0" w:lastRowLastColumn="0"/>
            <w:tcW w:w="8079" w:type="dxa"/>
            <w:shd w:val="clear" w:color="auto" w:fill="FFFFFF" w:themeFill="background1"/>
          </w:tcPr>
          <w:p w14:paraId="775014AE" w14:textId="77777777" w:rsidR="00837EC6" w:rsidRPr="00726852" w:rsidRDefault="00837EC6" w:rsidP="00F60ABA">
            <w:pPr>
              <w:pStyle w:val="ListParagraph"/>
              <w:numPr>
                <w:ilvl w:val="0"/>
                <w:numId w:val="3"/>
              </w:numPr>
              <w:spacing w:line="360" w:lineRule="auto"/>
              <w:jc w:val="left"/>
              <w:rPr>
                <w:rFonts w:asciiTheme="minorHAnsi" w:hAnsiTheme="minorHAnsi" w:cs="Arial"/>
                <w:b w:val="0"/>
                <w:sz w:val="22"/>
                <w:szCs w:val="22"/>
              </w:rPr>
            </w:pPr>
            <w:r w:rsidRPr="00726852">
              <w:rPr>
                <w:rFonts w:asciiTheme="minorHAnsi" w:hAnsiTheme="minorHAnsi" w:cs="Arial"/>
                <w:b w:val="0"/>
                <w:sz w:val="22"/>
                <w:szCs w:val="22"/>
              </w:rPr>
              <w:t>Deprivation of life shall not be regarded as inflicted in contravention of this Article when it results from the use of force which is no more than absolutely necessary:</w:t>
            </w:r>
          </w:p>
          <w:p w14:paraId="56364308" w14:textId="77777777" w:rsidR="00837EC6" w:rsidRPr="00726852" w:rsidRDefault="00837EC6" w:rsidP="00F60ABA">
            <w:pPr>
              <w:jc w:val="left"/>
              <w:rPr>
                <w:rFonts w:asciiTheme="minorHAnsi" w:hAnsiTheme="minorHAnsi"/>
                <w:b w:val="0"/>
                <w:sz w:val="22"/>
                <w:szCs w:val="22"/>
              </w:rPr>
            </w:pPr>
          </w:p>
        </w:tc>
      </w:tr>
      <w:tr w:rsidR="00837EC6" w:rsidRPr="00726852" w14:paraId="6B16F38E" w14:textId="77777777" w:rsidTr="00F60A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9" w:type="dxa"/>
            <w:shd w:val="clear" w:color="auto" w:fill="FFFFFF" w:themeFill="background1"/>
          </w:tcPr>
          <w:p w14:paraId="4450CEB6" w14:textId="77777777" w:rsidR="00837EC6" w:rsidRPr="00726852" w:rsidRDefault="00837EC6" w:rsidP="00F60ABA">
            <w:pPr>
              <w:spacing w:line="360" w:lineRule="auto"/>
              <w:ind w:left="720"/>
              <w:jc w:val="left"/>
              <w:rPr>
                <w:rFonts w:asciiTheme="minorHAnsi" w:hAnsiTheme="minorHAnsi" w:cs="Arial"/>
                <w:b w:val="0"/>
                <w:sz w:val="22"/>
                <w:szCs w:val="22"/>
              </w:rPr>
            </w:pPr>
            <w:r w:rsidRPr="00726852">
              <w:rPr>
                <w:rFonts w:asciiTheme="minorHAnsi" w:hAnsiTheme="minorHAnsi" w:cs="Arial"/>
                <w:b w:val="0"/>
                <w:sz w:val="22"/>
                <w:szCs w:val="22"/>
              </w:rPr>
              <w:t>(a) in defence of any person from unlawful violence;</w:t>
            </w:r>
          </w:p>
        </w:tc>
      </w:tr>
      <w:tr w:rsidR="00837EC6" w:rsidRPr="00726852" w14:paraId="606F4EE2" w14:textId="77777777" w:rsidTr="00F60ABA">
        <w:tc>
          <w:tcPr>
            <w:cnfStyle w:val="001000000000" w:firstRow="0" w:lastRow="0" w:firstColumn="1" w:lastColumn="0" w:oddVBand="0" w:evenVBand="0" w:oddHBand="0" w:evenHBand="0" w:firstRowFirstColumn="0" w:firstRowLastColumn="0" w:lastRowFirstColumn="0" w:lastRowLastColumn="0"/>
            <w:tcW w:w="8079" w:type="dxa"/>
            <w:shd w:val="clear" w:color="auto" w:fill="FFFFFF" w:themeFill="background1"/>
          </w:tcPr>
          <w:p w14:paraId="6A8A8DD0" w14:textId="77777777" w:rsidR="00837EC6" w:rsidRPr="00726852" w:rsidRDefault="00837EC6" w:rsidP="00F60ABA">
            <w:pPr>
              <w:spacing w:line="360" w:lineRule="auto"/>
              <w:ind w:left="1440" w:firstLine="0"/>
              <w:jc w:val="left"/>
              <w:rPr>
                <w:rFonts w:asciiTheme="minorHAnsi" w:hAnsiTheme="minorHAnsi" w:cs="Arial"/>
                <w:b w:val="0"/>
                <w:sz w:val="22"/>
                <w:szCs w:val="22"/>
              </w:rPr>
            </w:pPr>
            <w:r w:rsidRPr="00726852">
              <w:rPr>
                <w:rFonts w:asciiTheme="minorHAnsi" w:hAnsiTheme="minorHAnsi" w:cs="Arial"/>
                <w:b w:val="0"/>
                <w:sz w:val="22"/>
                <w:szCs w:val="22"/>
              </w:rPr>
              <w:t>(b) in order to effect a lawful arrest or to prevent the escape of a person lawfully detained;</w:t>
            </w:r>
          </w:p>
        </w:tc>
      </w:tr>
      <w:tr w:rsidR="00837EC6" w:rsidRPr="00726852" w14:paraId="049A96B2" w14:textId="77777777" w:rsidTr="00F60A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9" w:type="dxa"/>
            <w:shd w:val="clear" w:color="auto" w:fill="FFFFFF" w:themeFill="background1"/>
          </w:tcPr>
          <w:p w14:paraId="29322AA4" w14:textId="77777777" w:rsidR="00837EC6" w:rsidRPr="00726852" w:rsidRDefault="00837EC6" w:rsidP="00F60ABA">
            <w:pPr>
              <w:spacing w:line="360" w:lineRule="auto"/>
              <w:ind w:left="1440" w:firstLine="0"/>
              <w:jc w:val="left"/>
              <w:rPr>
                <w:rFonts w:asciiTheme="minorHAnsi" w:hAnsiTheme="minorHAnsi" w:cs="Arial"/>
                <w:b w:val="0"/>
                <w:sz w:val="22"/>
                <w:szCs w:val="22"/>
              </w:rPr>
            </w:pPr>
            <w:r w:rsidRPr="00726852">
              <w:rPr>
                <w:rFonts w:asciiTheme="minorHAnsi" w:hAnsiTheme="minorHAnsi" w:cs="Arial"/>
                <w:b w:val="0"/>
                <w:sz w:val="22"/>
                <w:szCs w:val="22"/>
              </w:rPr>
              <w:t>(c) in action lawfully taken for the purpose of quelling a riot or insurrection.’</w:t>
            </w:r>
          </w:p>
        </w:tc>
      </w:tr>
    </w:tbl>
    <w:p w14:paraId="3993D839" w14:textId="77777777" w:rsidR="00837EC6" w:rsidRPr="00726852" w:rsidRDefault="00837EC6" w:rsidP="00837EC6">
      <w:pPr>
        <w:spacing w:after="0" w:line="240" w:lineRule="auto"/>
      </w:pPr>
    </w:p>
    <w:p w14:paraId="77DAC6F7" w14:textId="77777777" w:rsidR="00837EC6" w:rsidRPr="00726852" w:rsidRDefault="00837EC6" w:rsidP="00837EC6">
      <w:pPr>
        <w:jc w:val="right"/>
      </w:pPr>
      <w:r w:rsidRPr="00726852">
        <w:t>(European Court of Human Rights, 2010, p.6)</w:t>
      </w:r>
    </w:p>
    <w:p w14:paraId="1F0FDDC8" w14:textId="4A7591CC" w:rsidR="00837EC6" w:rsidRPr="00726852" w:rsidRDefault="00837EC6" w:rsidP="00837EC6">
      <w:r w:rsidRPr="00726852">
        <w:t>It is clear, then, that it is accepted that deaths will occur as a result of interaction with state agents.</w:t>
      </w:r>
      <w:r w:rsidRPr="00726852">
        <w:rPr>
          <w:color w:val="FF0000"/>
        </w:rPr>
        <w:t xml:space="preserve"> </w:t>
      </w:r>
      <w:r>
        <w:t>Consequently, deaths that occur</w:t>
      </w:r>
      <w:r w:rsidRPr="00726852">
        <w:t xml:space="preserve"> after contact with agents of the state should be investigated with a rigour and thoroughness that demonstrates the state has met the criteria set out in article 2 in actively seeking to enable citizens’ right to life. The Human Rights Act (HRA) 1998 is the UK’s statutory response to the ECHR. Since its ena</w:t>
      </w:r>
      <w:r w:rsidR="006B2FBF">
        <w:t>ctment in October 2000 coronial practice</w:t>
      </w:r>
      <w:r w:rsidRPr="00726852">
        <w:t xml:space="preserve"> must be interpreted in a manner compatible with the ECHR (Davis </w:t>
      </w:r>
      <w:r w:rsidRPr="00726852">
        <w:rPr>
          <w:i/>
        </w:rPr>
        <w:t>et al</w:t>
      </w:r>
      <w:r w:rsidRPr="00726852">
        <w:t xml:space="preserve">. 2002). </w:t>
      </w:r>
    </w:p>
    <w:p w14:paraId="3EBBF26F" w14:textId="77777777" w:rsidR="00837EC6" w:rsidRPr="00726852" w:rsidRDefault="00837EC6" w:rsidP="00837EC6">
      <w:pPr>
        <w:ind w:firstLine="0"/>
        <w:rPr>
          <w:b/>
          <w:i/>
        </w:rPr>
      </w:pPr>
      <w:r w:rsidRPr="00726852">
        <w:rPr>
          <w:b/>
          <w:i/>
        </w:rPr>
        <w:t>3.1 How an individual comes to meet their death</w:t>
      </w:r>
    </w:p>
    <w:p w14:paraId="4B506FAE" w14:textId="31F816F5" w:rsidR="00837EC6" w:rsidRPr="00726852" w:rsidRDefault="00E80255" w:rsidP="00837EC6">
      <w:r>
        <w:t>C</w:t>
      </w:r>
      <w:r w:rsidR="00837EC6" w:rsidRPr="00726852">
        <w:t xml:space="preserve">urrent coronial practice in cases of DAPC is set out cogently by Matthews (2014) in the thirteenth edition of </w:t>
      </w:r>
      <w:r w:rsidR="00837EC6" w:rsidRPr="00726852">
        <w:rPr>
          <w:i/>
        </w:rPr>
        <w:t>Jervis on the Office and Duties of Coroners</w:t>
      </w:r>
      <w:r w:rsidR="00837EC6" w:rsidRPr="00726852">
        <w:t xml:space="preserve">, the primary text used by coroners in daily practice. </w:t>
      </w:r>
      <w:r w:rsidR="006B2FBF">
        <w:t>T</w:t>
      </w:r>
      <w:r w:rsidR="00837EC6" w:rsidRPr="00726852">
        <w:t>he key change brought about by article 2 of the ECHR is the definition of ‘how an individual came to meet their death’. Prior to the enactment of the HRA 1998, this was considered to be ‘by what means’ they came to meet their death, whereas it is now interpreted as ‘in what circumstances’ (Matthews, 2014, p.123). The immediate effect of this on coronial practice was to broaden the scope of the inquest to consider a wider range of issues that might have led to the death of an individual. These issues tend to relate to organisational actions or omissions as distinct fro</w:t>
      </w:r>
      <w:r w:rsidR="003127D9">
        <w:t xml:space="preserve">m individual acts or omissions </w:t>
      </w:r>
      <w:r w:rsidR="00837EC6" w:rsidRPr="00726852">
        <w:t>(</w:t>
      </w:r>
      <w:proofErr w:type="spellStart"/>
      <w:r w:rsidR="00837EC6" w:rsidRPr="00726852">
        <w:t>Xxxxx</w:t>
      </w:r>
      <w:proofErr w:type="spellEnd"/>
      <w:r w:rsidR="00837EC6" w:rsidRPr="00726852">
        <w:t xml:space="preserve">, 2015). </w:t>
      </w:r>
    </w:p>
    <w:p w14:paraId="67D93A81" w14:textId="220A5A69" w:rsidR="00837EC6" w:rsidRDefault="00837EC6" w:rsidP="00837EC6">
      <w:r w:rsidRPr="00726852">
        <w:t xml:space="preserve">Matthews (2014, pp.506-508) notes that article 2 imposes three obligations on the state. First, that it has a ‘positive obligation to protect the right of life by law’. This </w:t>
      </w:r>
      <w:r w:rsidR="003127D9">
        <w:t>breaks</w:t>
      </w:r>
      <w:r w:rsidRPr="00726852">
        <w:t xml:space="preserve"> down </w:t>
      </w:r>
      <w:r w:rsidR="003127D9">
        <w:t>to</w:t>
      </w:r>
      <w:r w:rsidRPr="00726852">
        <w:t xml:space="preserve"> two further </w:t>
      </w:r>
      <w:r w:rsidRPr="00726852">
        <w:lastRenderedPageBreak/>
        <w:t xml:space="preserve">categories: one being a ‘general and systemic duty’ in the form of laws and official policies enacted by state agencies that reflect the requirements of the act; the other being ‘an operational duty’. Regarding police and cases of DAPC the operational duty is manifest as ‘the duty…to take reasonable steps to prevent the risk [of death] materialising.’ A corollary of this is the necessity to demonstrate that policies and training are in place that reflect obligations imposed by article 2. The second obligation is that the state should ‘refrain from intentionally and unlawfully taking life.’ Thirdly, article 2 embodies a procedural obligation that requires the state to investigate such deaths in the light of the two principles outlined above, hence the more rigorous approach adopted by article 2 inquests.  </w:t>
      </w:r>
    </w:p>
    <w:p w14:paraId="13A64DF8" w14:textId="6EC51234" w:rsidR="00837EC6" w:rsidRPr="00930F4D" w:rsidRDefault="00837EC6" w:rsidP="00837EC6">
      <w:r>
        <w:t>A</w:t>
      </w:r>
      <w:r w:rsidRPr="00726852">
        <w:t>rticle 2 inquests</w:t>
      </w:r>
      <w:r w:rsidRPr="00726852">
        <w:rPr>
          <w:color w:val="FF0000"/>
        </w:rPr>
        <w:t xml:space="preserve"> </w:t>
      </w:r>
      <w:r w:rsidRPr="00726852">
        <w:t xml:space="preserve">are typically heard before juries and </w:t>
      </w:r>
      <w:r>
        <w:t>have a wider scope of investigation</w:t>
      </w:r>
      <w:r w:rsidRPr="00726852">
        <w:t xml:space="preserve"> than any other type (</w:t>
      </w:r>
      <w:proofErr w:type="spellStart"/>
      <w:r w:rsidRPr="00726852">
        <w:t>Dorries</w:t>
      </w:r>
      <w:proofErr w:type="spellEnd"/>
      <w:r w:rsidRPr="00726852">
        <w:t>, 2004). Consequently, they are more complex, often more contested and more likely to be subject to appeal via judicial review (Matthews, 2011). One change that reflects the requirements of open justice is that the ECHR demands the state is transparent in disclosing documents and making witnesses available to whichever court</w:t>
      </w:r>
      <w:r w:rsidR="00152259">
        <w:t xml:space="preserve"> hears such cases (Wadham, 2004</w:t>
      </w:r>
      <w:r w:rsidRPr="00726852">
        <w:t>). The significance of article 2 of the ECHR has been to impose an ‘evidential burden’ upon the state in terms of how it investigates these types of cases. It requires the state to provide an explanation of such a death that is satisfactory and convincing. However, there is apparently no explicit direction stating how coroners shoul</w:t>
      </w:r>
      <w:r w:rsidR="00E36DDD">
        <w:t xml:space="preserve">d undertake article 2 inquests </w:t>
      </w:r>
      <w:r w:rsidRPr="00726852">
        <w:t xml:space="preserve">(Thomas </w:t>
      </w:r>
      <w:r w:rsidRPr="00726852">
        <w:rPr>
          <w:i/>
        </w:rPr>
        <w:t>et al.</w:t>
      </w:r>
      <w:r w:rsidRPr="00726852">
        <w:t xml:space="preserve"> 2008). Evidently, this might be exacerbated by the fact that despite the introduction of a Chief Coroner: ‘Coroners are still largely a local and not national service’ (Matthews, 2014, </w:t>
      </w:r>
      <w:proofErr w:type="spellStart"/>
      <w:r w:rsidRPr="00726852">
        <w:t>p.vii</w:t>
      </w:r>
      <w:proofErr w:type="spellEnd"/>
      <w:r w:rsidRPr="00726852">
        <w:t xml:space="preserve">). Whilst there may be a lack of direction from government and legislators, it appears that article 2 of the ECHR is effecting change in the coronial system by way of precedent. </w:t>
      </w:r>
    </w:p>
    <w:p w14:paraId="6E09D42B" w14:textId="77777777" w:rsidR="00837EC6" w:rsidRPr="00726852" w:rsidRDefault="00837EC6" w:rsidP="00837EC6">
      <w:pPr>
        <w:ind w:firstLine="0"/>
        <w:rPr>
          <w:b/>
          <w:i/>
        </w:rPr>
      </w:pPr>
      <w:r w:rsidRPr="00726852">
        <w:rPr>
          <w:b/>
          <w:i/>
        </w:rPr>
        <w:t>3.2 Narrative verdicts</w:t>
      </w:r>
    </w:p>
    <w:p w14:paraId="0A1D74DA" w14:textId="27448F56" w:rsidR="00837EC6" w:rsidRPr="00726852" w:rsidRDefault="00837EC6" w:rsidP="00837EC6">
      <w:r w:rsidRPr="00726852">
        <w:t xml:space="preserve">A similarly unanticipated development since the advent of article 2 inquests is the increasing use of what are termed ‘narrative </w:t>
      </w:r>
      <w:proofErr w:type="gramStart"/>
      <w:r w:rsidRPr="00726852">
        <w:t>verdicts’</w:t>
      </w:r>
      <w:proofErr w:type="gramEnd"/>
      <w:r w:rsidRPr="00726852">
        <w:t>. These replace the typically used short-form verdicts</w:t>
      </w:r>
      <w:r w:rsidRPr="00726852">
        <w:rPr>
          <w:rStyle w:val="FootnoteReference"/>
        </w:rPr>
        <w:footnoteReference w:id="6"/>
      </w:r>
      <w:r w:rsidRPr="00726852">
        <w:t xml:space="preserve"> and set out a narrative description of key ‘facts found’ in the inquest. Narrative verdicts do not have a standardised format and can vary in length from three sentences to three pages (Matthews, 2011). Numerous judgements have been set forth from judges in the process of judicial reviews noting the relevance and appropriateness of narrative verdicts in fulfilling the state’s response to article 2 of the ECHR. Most notably in the landmark 2002 case of Middleton, the House of Lords stated that: ‘To meet the procedural requirement of article 2 an inquest ought ordinarily to culminate in an expression, however brief, of the jury’s conclusion on the disputed factual issues at the heart of the case’</w:t>
      </w:r>
      <w:r w:rsidR="009703CD">
        <w:t xml:space="preserve"> </w:t>
      </w:r>
      <w:r w:rsidR="00EA2181" w:rsidRPr="00EA2181">
        <w:rPr>
          <w:bCs/>
        </w:rPr>
        <w:t>(</w:t>
      </w:r>
      <w:r w:rsidR="009703CD" w:rsidRPr="00EA2181">
        <w:rPr>
          <w:bCs/>
        </w:rPr>
        <w:t xml:space="preserve">Regina </w:t>
      </w:r>
      <w:r w:rsidR="009703CD" w:rsidRPr="00EA2181">
        <w:rPr>
          <w:bCs/>
        </w:rPr>
        <w:lastRenderedPageBreak/>
        <w:t xml:space="preserve">v. Her Majesty's Coroner for the Western District of Somerset (Respondent) and another (Appellant) ex </w:t>
      </w:r>
      <w:proofErr w:type="spellStart"/>
      <w:r w:rsidR="009703CD" w:rsidRPr="00EA2181">
        <w:rPr>
          <w:bCs/>
        </w:rPr>
        <w:t>parte</w:t>
      </w:r>
      <w:proofErr w:type="spellEnd"/>
      <w:r w:rsidR="009703CD" w:rsidRPr="00EA2181">
        <w:rPr>
          <w:bCs/>
        </w:rPr>
        <w:t xml:space="preserve"> Middleton (FC) (Respondent)</w:t>
      </w:r>
      <w:r w:rsidR="00EA2181" w:rsidRPr="00EA2181">
        <w:rPr>
          <w:bCs/>
        </w:rPr>
        <w:t xml:space="preserve"> </w:t>
      </w:r>
      <w:r w:rsidR="00EA2181" w:rsidRPr="00EA2181">
        <w:rPr>
          <w:rFonts w:cs="Times"/>
          <w:color w:val="202020"/>
          <w:lang w:val="en-US"/>
        </w:rPr>
        <w:t>HL 11 March 2004</w:t>
      </w:r>
      <w:r w:rsidR="00EA2181" w:rsidRPr="00EA2181">
        <w:t xml:space="preserve">). </w:t>
      </w:r>
    </w:p>
    <w:p w14:paraId="27189328" w14:textId="77777777" w:rsidR="00837EC6" w:rsidRPr="00726852" w:rsidRDefault="00837EC6" w:rsidP="00837EC6">
      <w:r w:rsidRPr="00726852">
        <w:t xml:space="preserve">As coronial practice is shaped partly by statute and partly by precedent it is important to note the key case that established precedent for narrative verdicts. Colin Middleton died in HMP Bristol in 1999. The first inquest into his death was quashed due to an insufficiently rigorous enquiry. In the second, the coroner did not grant the jury the option of ‘neglect’ as a verdict. The jury chose instead to record their findings by hand in a narrative format, stating (in part) that the Prison Service had failed in its duty of care to the deceased (Widdicombe, 2012). This leads </w:t>
      </w:r>
      <w:proofErr w:type="spellStart"/>
      <w:r w:rsidRPr="00726852">
        <w:t>Dorries</w:t>
      </w:r>
      <w:proofErr w:type="spellEnd"/>
      <w:r w:rsidRPr="00726852">
        <w:t xml:space="preserve"> (2004) to note that narrative verdicts function as a statement of findings rather than a label as is the case in short-form verdicts which are typically used in the coronial system. Indeed in 2013 the Chief Coroner stated that the term ‘verdict’ was to be replaced with ‘determination’, albeit that it still tends to be reported as a verdict by the media (Matthews, 2014). Coroners typically now refer to it variously as a ‘conclusion’, a ‘determination’ or as ‘findings’ (Chief Coroner, 2014). Table one (below) illustrates the increasing use of narrative verdicts in inquests in England and Wales</w:t>
      </w:r>
      <w:r w:rsidRPr="00726852">
        <w:rPr>
          <w:rStyle w:val="FootnoteReference"/>
        </w:rPr>
        <w:footnoteReference w:id="7"/>
      </w:r>
      <w:r w:rsidRPr="00726852">
        <w:t>.</w:t>
      </w:r>
      <w:r w:rsidRPr="00EB0AA7">
        <w:t xml:space="preserve"> </w:t>
      </w:r>
      <w:r w:rsidRPr="00726852">
        <w:t xml:space="preserve">If two purposes of an inquest are to find facts in public and attempt to learn lessons that prevent future deaths, then a narrative verdict dovetails with these principles in that they record factual details of that death. </w:t>
      </w:r>
      <w:proofErr w:type="spellStart"/>
      <w:r w:rsidRPr="00726852">
        <w:t>Luce</w:t>
      </w:r>
      <w:proofErr w:type="spellEnd"/>
      <w:r w:rsidRPr="00726852">
        <w:t xml:space="preserve"> (2003) supported the use of these verdicts as a way of satisfying public interest and believed that the </w:t>
      </w:r>
    </w:p>
    <w:p w14:paraId="74D235B4" w14:textId="77777777" w:rsidR="00837EC6" w:rsidRPr="00726852" w:rsidRDefault="00837EC6" w:rsidP="00837EC6">
      <w:pPr>
        <w:ind w:firstLine="0"/>
      </w:pPr>
      <w:r w:rsidRPr="00726852">
        <w:rPr>
          <w:noProof/>
          <w:lang w:val="en-US"/>
        </w:rPr>
        <w:drawing>
          <wp:inline distT="0" distB="0" distL="0" distR="0" wp14:anchorId="2CBDD107" wp14:editId="0908BB69">
            <wp:extent cx="5731510" cy="2957830"/>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F6321DE" w14:textId="77DFC9F2" w:rsidR="00837EC6" w:rsidRPr="00726852" w:rsidRDefault="00837EC6" w:rsidP="00837EC6">
      <w:pPr>
        <w:ind w:firstLine="0"/>
      </w:pPr>
      <w:r w:rsidRPr="00726852">
        <w:t>narrative should involve systemic issues if thought to be relevant to the specific case. However, the Office for National Statistics (ONS) have cautioned that</w:t>
      </w:r>
      <w:r>
        <w:t xml:space="preserve"> </w:t>
      </w:r>
      <w:r w:rsidRPr="00726852">
        <w:t xml:space="preserve">the increasing use of narrative verdicts could </w:t>
      </w:r>
      <w:r w:rsidRPr="00726852">
        <w:lastRenderedPageBreak/>
        <w:t xml:space="preserve">create ambiguity in the statistical reporting of deaths </w:t>
      </w:r>
      <w:r w:rsidR="00027E15">
        <w:t>as they</w:t>
      </w:r>
      <w:r w:rsidRPr="00726852">
        <w:t xml:space="preserve"> occur under the umbrella category of ‘other deaths’ (</w:t>
      </w:r>
      <w:r w:rsidR="00027E15">
        <w:t xml:space="preserve">see Carroll </w:t>
      </w:r>
      <w:r w:rsidR="00027E15" w:rsidRPr="00027E15">
        <w:rPr>
          <w:i/>
        </w:rPr>
        <w:t>et al</w:t>
      </w:r>
      <w:r w:rsidR="00027E15">
        <w:rPr>
          <w:i/>
        </w:rPr>
        <w:t>.</w:t>
      </w:r>
      <w:r w:rsidR="00027E15">
        <w:t xml:space="preserve"> 2012, </w:t>
      </w:r>
      <w:r w:rsidRPr="00726852">
        <w:t xml:space="preserve">Hill and Cook, 2011). The exercise of narrative verdicts as a state response to the ECHR illustrates a number of themes apparent in the coronial system. Firstly, their use in principle is not codified, but is consistent with the discretion afforded the coroner as an autonomous judicial officer, and the jury, as was demonstrated in the landmark Middleton case. Secondly, their use in practice differs depending on coronial areas, underlining the essentially regional nature of the coronial system. Thirdly, their </w:t>
      </w:r>
      <w:r>
        <w:t>content</w:t>
      </w:r>
      <w:r w:rsidRPr="00726852">
        <w:t xml:space="preserve"> is unclear at a central level as they are grouped under the heading of ‘other verdict’ – this means that their meaning is ambiguous in terms of statistical representation, and their content is effectively unknown to those who have not had direct access to the content of each narrative verdict.</w:t>
      </w:r>
    </w:p>
    <w:p w14:paraId="591715A4" w14:textId="07D2C2EF" w:rsidR="00837EC6" w:rsidRPr="00726852" w:rsidRDefault="00837EC6" w:rsidP="00837EC6">
      <w:r w:rsidRPr="00726852">
        <w:t xml:space="preserve">The narrative verdict enables juries to consider circumstantial factors if they are able to demonstrate a ‘sensible direct relationship’ between those factors and the death. If systemic weaknesses are noted, then it opens up the possibility that under article 2 the preventability of death is focused upon as distinct from issues purely relating to the cause of death. Thomas </w:t>
      </w:r>
      <w:r w:rsidRPr="00726852">
        <w:rPr>
          <w:i/>
        </w:rPr>
        <w:t>et al.</w:t>
      </w:r>
      <w:r w:rsidRPr="00726852">
        <w:t xml:space="preserve"> (2008) believe this could lead to a process termed ‘accountable learning’. This envisages organisations making changes to their policies, procedures and practice based on narrative verdicts and coroners’ reports. In essence, this would seek to minimise future loss of life and consequently promote an environment whereby the right to life was actively enabled. The issue of lessons not being learned in cases of DAPC is a persistent theme in literature on this topic (see, for example Fulton, 2008; JCHR, 2004). Whether narrative verdicts might enable the learning of lessons is questionable due to the lack of central oversight of the coronial system. This means that there is no central collation of these verdicts, let alone any analysis of them (</w:t>
      </w:r>
      <w:r w:rsidR="004463BF">
        <w:t>Goldson 2006</w:t>
      </w:r>
      <w:r w:rsidRPr="00726852">
        <w:t xml:space="preserve">). </w:t>
      </w:r>
      <w:r w:rsidRPr="00726852">
        <w:rPr>
          <w:rFonts w:cs="Times New Roman"/>
        </w:rPr>
        <w:t xml:space="preserve">To date the subject of narrative verdicts has received little attention from academic writers. Exceptions are </w:t>
      </w:r>
      <w:proofErr w:type="spellStart"/>
      <w:r w:rsidR="00460735">
        <w:rPr>
          <w:rFonts w:cs="Times New Roman"/>
        </w:rPr>
        <w:t>Scraton</w:t>
      </w:r>
      <w:proofErr w:type="spellEnd"/>
      <w:r w:rsidR="00460735">
        <w:rPr>
          <w:rFonts w:cs="Times New Roman"/>
        </w:rPr>
        <w:t xml:space="preserve"> (2006) who examined their use in holding the prison system to account for deaths in custody; </w:t>
      </w:r>
      <w:r w:rsidR="00802CB6">
        <w:rPr>
          <w:rFonts w:cs="Times New Roman"/>
        </w:rPr>
        <w:t xml:space="preserve">Carroll </w:t>
      </w:r>
      <w:r w:rsidR="00802CB6" w:rsidRPr="00802CB6">
        <w:rPr>
          <w:rFonts w:cs="Times New Roman"/>
          <w:i/>
        </w:rPr>
        <w:t>et al</w:t>
      </w:r>
      <w:r w:rsidR="00802CB6">
        <w:rPr>
          <w:rFonts w:cs="Times New Roman"/>
        </w:rPr>
        <w:t xml:space="preserve">. (2012) and </w:t>
      </w:r>
      <w:r w:rsidRPr="00726852">
        <w:rPr>
          <w:rFonts w:cs="Times New Roman"/>
        </w:rPr>
        <w:t xml:space="preserve">Hill and Cook (2011), who focused on the effect of narrative verdicts on general mortality data; McIntosh (2012), who examined narrative verdicts in relation to providing accountability to children’s next of kin; and Pilkington </w:t>
      </w:r>
      <w:r w:rsidRPr="00726852">
        <w:rPr>
          <w:rFonts w:cs="Times New Roman"/>
          <w:i/>
        </w:rPr>
        <w:t>et al</w:t>
      </w:r>
      <w:r w:rsidRPr="00726852">
        <w:rPr>
          <w:rFonts w:cs="Times New Roman"/>
        </w:rPr>
        <w:t xml:space="preserve">. (2014), who considered the possible use of narrative verdicts to learn lessons in the aftermath of road traffic accidents. It appears that narrative verdicts are an under-researched area with regards to open justice and cases of DAPC.  </w:t>
      </w:r>
    </w:p>
    <w:p w14:paraId="65A6262B" w14:textId="77777777" w:rsidR="00837EC6" w:rsidRPr="00726852" w:rsidRDefault="00837EC6" w:rsidP="00837EC6">
      <w:pPr>
        <w:ind w:firstLine="0"/>
        <w:rPr>
          <w:rFonts w:eastAsia="Calibri" w:cs="Times New Roman"/>
          <w:b/>
          <w:i/>
        </w:rPr>
      </w:pPr>
      <w:r w:rsidRPr="00726852">
        <w:rPr>
          <w:rFonts w:eastAsia="Calibri" w:cs="Times New Roman"/>
          <w:b/>
          <w:i/>
        </w:rPr>
        <w:t>3.3 Coroners’ reports</w:t>
      </w:r>
    </w:p>
    <w:p w14:paraId="3213278C" w14:textId="3FA7A9C2" w:rsidR="00837EC6" w:rsidRPr="00726852" w:rsidRDefault="00837EC6" w:rsidP="00837EC6">
      <w:r w:rsidRPr="00726852">
        <w:t>In addition to the use of article 2 inquests and narrative verdicts, the third major development under the requirements of article 2 of the ECHR is the use of the coroner’s report</w:t>
      </w:r>
      <w:r w:rsidR="009B7B04">
        <w:t xml:space="preserve"> to prevent future </w:t>
      </w:r>
      <w:r w:rsidR="009B7B04">
        <w:lastRenderedPageBreak/>
        <w:t>deaths</w:t>
      </w:r>
      <w:r w:rsidR="009B7B04">
        <w:rPr>
          <w:rStyle w:val="FootnoteReference"/>
        </w:rPr>
        <w:footnoteReference w:id="8"/>
      </w:r>
      <w:r w:rsidRPr="00726852">
        <w:t xml:space="preserve">. Coroners have long reserved the right to report to relevant organisations </w:t>
      </w:r>
      <w:r>
        <w:t>post-</w:t>
      </w:r>
      <w:r w:rsidRPr="00726852">
        <w:t>inquest with recommendations suggesting potential changes in training, practice, or issues of a technical nature which might reduce future fatalities (</w:t>
      </w:r>
      <w:proofErr w:type="spellStart"/>
      <w:r w:rsidRPr="00726852">
        <w:t>Dorries</w:t>
      </w:r>
      <w:proofErr w:type="spellEnd"/>
      <w:r w:rsidRPr="00726852">
        <w:t>, 2004). This facility exists within the Coroners Rules and was discretionary until July 2013 except in the case of a death on the rail system, in which case the coroner was statutorily bound to report to the relevant agency/</w:t>
      </w:r>
      <w:proofErr w:type="spellStart"/>
      <w:r w:rsidRPr="00726852">
        <w:t>ies</w:t>
      </w:r>
      <w:proofErr w:type="spellEnd"/>
      <w:r w:rsidRPr="00726852">
        <w:t xml:space="preserve"> (Levine, 1999). Directions from the Chief Coroner in 2013 indicated that the requirements of article 2 of the ECHR made such a report mandatory if coroners believed it may prevent future deaths. In Davis </w:t>
      </w:r>
      <w:r w:rsidRPr="00726852">
        <w:rPr>
          <w:i/>
        </w:rPr>
        <w:t>et al.’s</w:t>
      </w:r>
      <w:r w:rsidRPr="00726852">
        <w:t xml:space="preserve"> (2002) research, coroners felt this function to be a key aspect of their role when promoting public safety, preventing future fatalities, and regulating agencies. This should be tempered by </w:t>
      </w:r>
      <w:proofErr w:type="spellStart"/>
      <w:r w:rsidRPr="00726852">
        <w:t>Luce’s</w:t>
      </w:r>
      <w:proofErr w:type="spellEnd"/>
      <w:r w:rsidRPr="00726852">
        <w:t xml:space="preserve"> findings (2003, p.93) which noted that coroners’ reports were used in less than 2% of inquests. It is also important to note that although the coroner may write to an agency, that agency is under no obligation to act on their recommendations, as is also the case in Australia and New Zealand (see, respectively, Corrin and Douglas, 2008; </w:t>
      </w:r>
      <w:proofErr w:type="spellStart"/>
      <w:r w:rsidRPr="00726852">
        <w:t>Mok</w:t>
      </w:r>
      <w:proofErr w:type="spellEnd"/>
      <w:r w:rsidRPr="00726852">
        <w:t>, 2014). In England and Wales there is an expectation that agencies who receive such a report should reply to the coroner with</w:t>
      </w:r>
      <w:r>
        <w:t>in 56 days, although there is no sanction</w:t>
      </w:r>
      <w:r w:rsidRPr="00726852">
        <w:t xml:space="preserve"> should such a reply not be forthcoming. </w:t>
      </w:r>
    </w:p>
    <w:p w14:paraId="23E0FD3A" w14:textId="5BA617AA" w:rsidR="00837EC6" w:rsidRPr="00726852" w:rsidRDefault="00837EC6" w:rsidP="00837EC6">
      <w:r w:rsidRPr="00726852">
        <w:t>From October 2009 the Ministry of Justice began to compile six-monthly statistical bulletins dealing with coroners’ reports, the intention being to make them p</w:t>
      </w:r>
      <w:r w:rsidR="00DD67E6">
        <w:t>ublicly accessible in a nod to</w:t>
      </w:r>
      <w:r w:rsidRPr="00726852">
        <w:t xml:space="preserve"> more transparent coronial process</w:t>
      </w:r>
      <w:r w:rsidR="00DD67E6">
        <w:t>es</w:t>
      </w:r>
      <w:r w:rsidRPr="00726852">
        <w:t xml:space="preserve"> (Ministry of Justice, 2010). The first bulletin noted that the majority of these reports were sent to </w:t>
      </w:r>
      <w:r w:rsidR="0008771F">
        <w:t>National Health Service (</w:t>
      </w:r>
      <w:r w:rsidRPr="00726852">
        <w:t>NHS</w:t>
      </w:r>
      <w:r w:rsidR="0008771F">
        <w:t>)</w:t>
      </w:r>
      <w:r w:rsidRPr="00726852">
        <w:t xml:space="preserve"> hospitals. In research into NHS trusts that had received a coroner’s report, Claridge </w:t>
      </w:r>
      <w:r w:rsidRPr="00726852">
        <w:rPr>
          <w:i/>
        </w:rPr>
        <w:t>et al.</w:t>
      </w:r>
      <w:r w:rsidRPr="00726852">
        <w:t xml:space="preserve"> (2008) found that whilst the principles underpinning these reports were well intentioned, their usefulness in reality was equivocal. Many of the senior hospital staff who received such reports were not aware what the role of a coroner was, or how these reports could be shared or disseminated to promulgate better practice resulting in a reduction of future fatalities. Furthermore, </w:t>
      </w:r>
      <w:proofErr w:type="spellStart"/>
      <w:r w:rsidRPr="00726852">
        <w:t>Luce</w:t>
      </w:r>
      <w:proofErr w:type="spellEnd"/>
      <w:r w:rsidRPr="00726852">
        <w:t xml:space="preserve"> (2003) commented on the divergent reporting practices used. One coroner used the report sixty times in one year whilst one third of coroners </w:t>
      </w:r>
      <w:r>
        <w:t xml:space="preserve">in </w:t>
      </w:r>
      <w:proofErr w:type="spellStart"/>
      <w:r w:rsidRPr="00726852">
        <w:t>Luce’s</w:t>
      </w:r>
      <w:proofErr w:type="spellEnd"/>
      <w:r w:rsidRPr="00726852">
        <w:t xml:space="preserve"> sample had not used it at all. From 2013 the Chief Coroner undertook to compile an annual report providing an overview of the usage of coroners’ reports. At the time of writing, this has not yet come to pass. The last available bulletin from the Ministry of Justice on these reports dates from June 2013 and it is not clear when or if reports for the two years to 2015 will be made public. </w:t>
      </w:r>
    </w:p>
    <w:p w14:paraId="02B33547" w14:textId="26075415" w:rsidR="00837EC6" w:rsidRPr="00837EC6" w:rsidRDefault="00837EC6" w:rsidP="00837EC6">
      <w:r w:rsidRPr="00726852">
        <w:t xml:space="preserve">The two key outputs of the article 2 inquest are both affected by the regional nature of the coronial system in England and Wales. With 99 coronial areas and little oversight or collation of data at a national level, the effectiveness of these outputs in terms of learning lessons that might prevent </w:t>
      </w:r>
      <w:r w:rsidRPr="00726852">
        <w:lastRenderedPageBreak/>
        <w:t xml:space="preserve">future deaths must be questioned. In Australia, where the coronial system is organised on a state basis, there is a national overview of outputs </w:t>
      </w:r>
      <w:r>
        <w:t>from</w:t>
      </w:r>
      <w:r w:rsidRPr="00726852">
        <w:t xml:space="preserve"> the coronial process in the form of the National Coroners Information System (NCIS) (</w:t>
      </w:r>
      <w:proofErr w:type="spellStart"/>
      <w:r w:rsidRPr="00726852">
        <w:t>Dodds</w:t>
      </w:r>
      <w:proofErr w:type="spellEnd"/>
      <w:r w:rsidRPr="00726852">
        <w:t xml:space="preserve"> </w:t>
      </w:r>
      <w:r w:rsidRPr="00726852">
        <w:rPr>
          <w:i/>
        </w:rPr>
        <w:t>et al.</w:t>
      </w:r>
      <w:r w:rsidRPr="00726852">
        <w:t xml:space="preserve"> 2014). It is also notable that whilst article 2 of the ECHR affects all signatories, the only two jurisdictions which use coronial systems to fulfil its obligations are Ireland and the United Kingdom. </w:t>
      </w:r>
      <w:proofErr w:type="gramStart"/>
      <w:r w:rsidRPr="00726852">
        <w:t>Thus</w:t>
      </w:r>
      <w:proofErr w:type="gramEnd"/>
      <w:r w:rsidRPr="00726852">
        <w:t xml:space="preserve"> it might be said that not only is the coronial system regionalised and discretionary, but that the signatories to the ECHR fulfil their obligations to article 2 cases in different ways using different processes. Clearly, this means that the response of signatories to the ECHR at a national level to investigating and reporting on cases of DAPC is not uniform and occurs at the discretion of the national state. Finally, given that this paper considers the socio-legal and socio-political aspects of coronial practice and human rights, it is necessary to note that the current government in the UK came to power in 2015 with a manifesto that included a stated intention to quit the ECHR and introduce instead a ‘British bill of rights’ (Stone, 2015). Thus, as ever, future developments in coronial practice remain difficult to predict. </w:t>
      </w:r>
      <w:r w:rsidR="00FE5135">
        <w:t xml:space="preserve">To some extent, future developments are mediated by institutional structures in the coronial system, and the paper now turns to examine how these structures might affect the changes to coronial practice wrought by article 2 of the ECHR. </w:t>
      </w:r>
    </w:p>
    <w:p w14:paraId="3CD98E54" w14:textId="6F3E9BC2" w:rsidR="00DA1E65" w:rsidRPr="00C57E4B" w:rsidRDefault="00263F29" w:rsidP="00C57E4B">
      <w:pPr>
        <w:pStyle w:val="ListParagraph"/>
        <w:numPr>
          <w:ilvl w:val="0"/>
          <w:numId w:val="5"/>
        </w:numPr>
        <w:rPr>
          <w:rFonts w:eastAsia="Calibri"/>
          <w:b/>
          <w:i/>
        </w:rPr>
      </w:pPr>
      <w:r w:rsidRPr="00C57E4B">
        <w:rPr>
          <w:rFonts w:eastAsia="Calibri"/>
          <w:b/>
          <w:i/>
        </w:rPr>
        <w:t xml:space="preserve"> </w:t>
      </w:r>
      <w:r w:rsidR="00F93299" w:rsidRPr="00C57E4B">
        <w:rPr>
          <w:rFonts w:eastAsia="Calibri"/>
          <w:b/>
          <w:i/>
        </w:rPr>
        <w:t>The coronial system in England and Wales in context</w:t>
      </w:r>
    </w:p>
    <w:p w14:paraId="447D01D8" w14:textId="02316487" w:rsidR="006054BC" w:rsidRPr="00FE5135" w:rsidRDefault="006054BC" w:rsidP="00FE5135">
      <w:pPr>
        <w:spacing w:after="200"/>
        <w:rPr>
          <w:rFonts w:eastAsia="Calibri"/>
          <w:color w:val="FF0000"/>
        </w:rPr>
      </w:pPr>
      <w:r w:rsidRPr="00726852">
        <w:rPr>
          <w:rFonts w:eastAsia="Calibri"/>
        </w:rPr>
        <w:t xml:space="preserve">In order to understand how the coronial system works today, both in terms of its role in state and societal terms, in addition to how it practically functions, it is first necessary to consider its historical roots. Reflecting on her experience of being the coroner conducting inquests into the 7/7 attacks in London, Heather Hallett noted that she was struck by the fact that: </w:t>
      </w:r>
      <w:r w:rsidRPr="00726852">
        <w:t xml:space="preserve">‘Coronial law and practice seemed to be a curious mixture of arcane history and obscure legislation’ (cited in Matthews, 2014, </w:t>
      </w:r>
      <w:proofErr w:type="spellStart"/>
      <w:r w:rsidRPr="00726852">
        <w:t>p.v</w:t>
      </w:r>
      <w:proofErr w:type="spellEnd"/>
      <w:r w:rsidRPr="00726852">
        <w:t>). This appears to sum up the coronial system in England and Wales</w:t>
      </w:r>
      <w:r>
        <w:t xml:space="preserve"> neatly</w:t>
      </w:r>
      <w:r w:rsidRPr="00726852">
        <w:t>: it is the default state response to investigating suspicious deaths, but according to the Home Office appears to be a ‘forgotten service’ (</w:t>
      </w:r>
      <w:proofErr w:type="spellStart"/>
      <w:r w:rsidRPr="00726852">
        <w:t>Dorries</w:t>
      </w:r>
      <w:proofErr w:type="spellEnd"/>
      <w:r w:rsidRPr="00726852">
        <w:t xml:space="preserve">, 2004, </w:t>
      </w:r>
      <w:proofErr w:type="spellStart"/>
      <w:r w:rsidRPr="00726852">
        <w:t>p.vii</w:t>
      </w:r>
      <w:proofErr w:type="spellEnd"/>
      <w:r w:rsidRPr="00726852">
        <w:t>). The following section discusses this past in more detail and considers what its institutional legacy might mean for coronial practice with regards to cases of DAPC in the 21</w:t>
      </w:r>
      <w:r w:rsidRPr="00726852">
        <w:rPr>
          <w:vertAlign w:val="superscript"/>
        </w:rPr>
        <w:t>st</w:t>
      </w:r>
      <w:r w:rsidRPr="00726852">
        <w:t xml:space="preserve"> century.  </w:t>
      </w:r>
    </w:p>
    <w:p w14:paraId="0D79C6F2" w14:textId="1E2A4B4B" w:rsidR="0048613B" w:rsidRPr="00726852" w:rsidRDefault="00DA1E65" w:rsidP="00FE5135">
      <w:pPr>
        <w:spacing w:after="200"/>
        <w:rPr>
          <w:rFonts w:eastAsia="Calibri"/>
        </w:rPr>
      </w:pPr>
      <w:r w:rsidRPr="00726852">
        <w:rPr>
          <w:rFonts w:eastAsia="Calibri"/>
        </w:rPr>
        <w:t xml:space="preserve">The </w:t>
      </w:r>
      <w:r w:rsidR="0013571D" w:rsidRPr="00726852">
        <w:rPr>
          <w:rFonts w:eastAsia="Calibri"/>
        </w:rPr>
        <w:t>c</w:t>
      </w:r>
      <w:r w:rsidRPr="00726852">
        <w:rPr>
          <w:rFonts w:eastAsia="Calibri"/>
        </w:rPr>
        <w:t xml:space="preserve">oronial system is by some margin the longest established </w:t>
      </w:r>
      <w:r w:rsidR="007E2BF7" w:rsidRPr="00726852">
        <w:rPr>
          <w:rFonts w:eastAsia="Calibri"/>
        </w:rPr>
        <w:t>element</w:t>
      </w:r>
      <w:r w:rsidRPr="00726852">
        <w:rPr>
          <w:rFonts w:eastAsia="Calibri"/>
        </w:rPr>
        <w:t xml:space="preserve"> of the justice system in the United Kingdom</w:t>
      </w:r>
      <w:r w:rsidR="004A10B7" w:rsidRPr="00726852">
        <w:rPr>
          <w:rFonts w:eastAsia="Calibri"/>
        </w:rPr>
        <w:t xml:space="preserve"> (Levine</w:t>
      </w:r>
      <w:r w:rsidR="00B43C50" w:rsidRPr="00726852">
        <w:rPr>
          <w:rFonts w:eastAsia="Calibri"/>
        </w:rPr>
        <w:t>,</w:t>
      </w:r>
      <w:r w:rsidR="004A10B7" w:rsidRPr="00726852">
        <w:rPr>
          <w:rFonts w:eastAsia="Calibri"/>
        </w:rPr>
        <w:t xml:space="preserve"> 1999)</w:t>
      </w:r>
      <w:r w:rsidRPr="00726852">
        <w:rPr>
          <w:rFonts w:eastAsia="Calibri"/>
        </w:rPr>
        <w:t xml:space="preserve">. It dates back to the twelfth century when its role was primarily to investigate suspicious or unexplained death. Coroners were </w:t>
      </w:r>
      <w:r w:rsidR="009128D3" w:rsidRPr="00726852">
        <w:rPr>
          <w:rFonts w:eastAsia="Calibri"/>
        </w:rPr>
        <w:t xml:space="preserve">typically </w:t>
      </w:r>
      <w:r w:rsidRPr="00726852">
        <w:rPr>
          <w:rFonts w:eastAsia="Calibri"/>
        </w:rPr>
        <w:t>located within the local community and used juries drawn from local people (</w:t>
      </w:r>
      <w:r w:rsidR="005500E7" w:rsidRPr="00726852">
        <w:rPr>
          <w:rFonts w:eastAsia="Calibri"/>
        </w:rPr>
        <w:t>Sharpe and Dickinson</w:t>
      </w:r>
      <w:r w:rsidR="00B43C50" w:rsidRPr="00726852">
        <w:rPr>
          <w:rFonts w:eastAsia="Calibri"/>
        </w:rPr>
        <w:t>,</w:t>
      </w:r>
      <w:r w:rsidR="005500E7" w:rsidRPr="00726852">
        <w:rPr>
          <w:rFonts w:eastAsia="Calibri"/>
        </w:rPr>
        <w:t xml:space="preserve"> 2011</w:t>
      </w:r>
      <w:r w:rsidRPr="00726852">
        <w:rPr>
          <w:rFonts w:eastAsia="Calibri"/>
        </w:rPr>
        <w:t>). The first codificati</w:t>
      </w:r>
      <w:r w:rsidR="00044440">
        <w:rPr>
          <w:rFonts w:eastAsia="Calibri"/>
        </w:rPr>
        <w:t>on of the role and function of c</w:t>
      </w:r>
      <w:r w:rsidRPr="00726852">
        <w:rPr>
          <w:rFonts w:eastAsia="Calibri"/>
        </w:rPr>
        <w:t>oroners was set out in</w:t>
      </w:r>
      <w:r w:rsidR="009128D3" w:rsidRPr="00726852">
        <w:rPr>
          <w:rFonts w:eastAsia="Calibri"/>
        </w:rPr>
        <w:t xml:space="preserve"> the 1275 Treaty </w:t>
      </w:r>
      <w:r w:rsidR="006214EA" w:rsidRPr="00726852">
        <w:rPr>
          <w:rFonts w:eastAsia="Calibri"/>
        </w:rPr>
        <w:t>o</w:t>
      </w:r>
      <w:r w:rsidR="009128D3" w:rsidRPr="00726852">
        <w:rPr>
          <w:rFonts w:eastAsia="Calibri"/>
        </w:rPr>
        <w:t>f Westminster.</w:t>
      </w:r>
      <w:r w:rsidRPr="00726852">
        <w:rPr>
          <w:rFonts w:eastAsia="Calibri"/>
        </w:rPr>
        <w:t xml:space="preserve"> </w:t>
      </w:r>
      <w:proofErr w:type="spellStart"/>
      <w:r w:rsidRPr="00726852">
        <w:rPr>
          <w:rFonts w:eastAsia="Calibri"/>
        </w:rPr>
        <w:t>Dorries</w:t>
      </w:r>
      <w:proofErr w:type="spellEnd"/>
      <w:r w:rsidRPr="00726852">
        <w:rPr>
          <w:rFonts w:eastAsia="Calibri"/>
        </w:rPr>
        <w:t xml:space="preserve"> (2004) notes that to some degree, all subsequent statutory instruments have been a consolidation of </w:t>
      </w:r>
      <w:r w:rsidRPr="00726852">
        <w:rPr>
          <w:rFonts w:eastAsia="Calibri"/>
        </w:rPr>
        <w:lastRenderedPageBreak/>
        <w:t>this document. Coron</w:t>
      </w:r>
      <w:r w:rsidR="008808BD" w:rsidRPr="00726852">
        <w:rPr>
          <w:rFonts w:eastAsia="Calibri"/>
        </w:rPr>
        <w:t>ial</w:t>
      </w:r>
      <w:r w:rsidRPr="00726852">
        <w:rPr>
          <w:rFonts w:eastAsia="Calibri"/>
        </w:rPr>
        <w:t xml:space="preserve"> </w:t>
      </w:r>
      <w:r w:rsidR="000A6D21" w:rsidRPr="00726852">
        <w:rPr>
          <w:rFonts w:eastAsia="Calibri"/>
        </w:rPr>
        <w:t xml:space="preserve">systems </w:t>
      </w:r>
      <w:r w:rsidR="00BF0C6E" w:rsidRPr="00726852">
        <w:rPr>
          <w:rFonts w:eastAsia="Calibri"/>
        </w:rPr>
        <w:t>tend to be</w:t>
      </w:r>
      <w:r w:rsidR="000A6D21" w:rsidRPr="00726852">
        <w:rPr>
          <w:rFonts w:eastAsia="Calibri"/>
        </w:rPr>
        <w:t xml:space="preserve"> </w:t>
      </w:r>
      <w:r w:rsidR="00BF0C6E" w:rsidRPr="00726852">
        <w:rPr>
          <w:rFonts w:eastAsia="Calibri"/>
        </w:rPr>
        <w:t>located</w:t>
      </w:r>
      <w:r w:rsidR="000A6D21" w:rsidRPr="00726852">
        <w:rPr>
          <w:rFonts w:eastAsia="Calibri"/>
        </w:rPr>
        <w:t xml:space="preserve"> in common law systems and as such </w:t>
      </w:r>
      <w:r w:rsidR="0087686D" w:rsidRPr="00726852">
        <w:rPr>
          <w:rFonts w:eastAsia="Calibri"/>
        </w:rPr>
        <w:t xml:space="preserve">are </w:t>
      </w:r>
      <w:r w:rsidR="00160DEE" w:rsidRPr="00726852">
        <w:rPr>
          <w:rFonts w:eastAsia="Calibri"/>
        </w:rPr>
        <w:t>found</w:t>
      </w:r>
      <w:r w:rsidR="000A6D21" w:rsidRPr="00726852">
        <w:rPr>
          <w:rFonts w:eastAsia="Calibri"/>
        </w:rPr>
        <w:t xml:space="preserve"> in </w:t>
      </w:r>
      <w:r w:rsidR="00FE5135">
        <w:rPr>
          <w:rFonts w:eastAsia="Calibri"/>
        </w:rPr>
        <w:t>nation-</w:t>
      </w:r>
      <w:r w:rsidR="000A6D21" w:rsidRPr="00726852">
        <w:rPr>
          <w:rFonts w:eastAsia="Calibri"/>
        </w:rPr>
        <w:t xml:space="preserve">states whose legal systems have </w:t>
      </w:r>
      <w:r w:rsidR="007E2BF7" w:rsidRPr="00726852">
        <w:rPr>
          <w:rFonts w:eastAsia="Calibri"/>
        </w:rPr>
        <w:t xml:space="preserve">their </w:t>
      </w:r>
      <w:r w:rsidR="000A6D21" w:rsidRPr="00726852">
        <w:rPr>
          <w:rFonts w:eastAsia="Calibri"/>
        </w:rPr>
        <w:t>origins in the English</w:t>
      </w:r>
      <w:r w:rsidRPr="00726852">
        <w:rPr>
          <w:rFonts w:eastAsia="Calibri"/>
        </w:rPr>
        <w:t xml:space="preserve"> </w:t>
      </w:r>
      <w:r w:rsidR="000A6D21" w:rsidRPr="00726852">
        <w:rPr>
          <w:rFonts w:eastAsia="Calibri"/>
        </w:rPr>
        <w:t>system of justice (</w:t>
      </w:r>
      <w:proofErr w:type="spellStart"/>
      <w:r w:rsidR="00FE5135">
        <w:rPr>
          <w:rFonts w:eastAsia="Calibri"/>
        </w:rPr>
        <w:t>Luce</w:t>
      </w:r>
      <w:proofErr w:type="spellEnd"/>
      <w:r w:rsidR="00B43C50" w:rsidRPr="00726852">
        <w:rPr>
          <w:rFonts w:eastAsia="Calibri"/>
        </w:rPr>
        <w:t>,</w:t>
      </w:r>
      <w:r w:rsidR="00FE5135">
        <w:rPr>
          <w:rFonts w:eastAsia="Calibri"/>
        </w:rPr>
        <w:t xml:space="preserve"> 2003</w:t>
      </w:r>
      <w:r w:rsidR="000A6D21" w:rsidRPr="00726852">
        <w:rPr>
          <w:rFonts w:eastAsia="Calibri"/>
        </w:rPr>
        <w:t xml:space="preserve">). </w:t>
      </w:r>
      <w:r w:rsidR="007E6A44" w:rsidRPr="00726852">
        <w:rPr>
          <w:rFonts w:eastAsia="Calibri"/>
        </w:rPr>
        <w:t>Coroners’ courts</w:t>
      </w:r>
      <w:r w:rsidR="000A6D21" w:rsidRPr="00726852">
        <w:rPr>
          <w:rFonts w:eastAsia="Calibri"/>
        </w:rPr>
        <w:t xml:space="preserve"> </w:t>
      </w:r>
      <w:r w:rsidR="009128D3" w:rsidRPr="00726852">
        <w:rPr>
          <w:rFonts w:eastAsia="Calibri"/>
        </w:rPr>
        <w:t>are</w:t>
      </w:r>
      <w:r w:rsidR="00344507" w:rsidRPr="00726852">
        <w:rPr>
          <w:rFonts w:eastAsia="Calibri"/>
        </w:rPr>
        <w:t xml:space="preserve"> used to</w:t>
      </w:r>
      <w:r w:rsidRPr="00726852">
        <w:rPr>
          <w:rFonts w:eastAsia="Calibri"/>
        </w:rPr>
        <w:t xml:space="preserve"> investigat</w:t>
      </w:r>
      <w:r w:rsidR="00344507" w:rsidRPr="00726852">
        <w:rPr>
          <w:rFonts w:eastAsia="Calibri"/>
        </w:rPr>
        <w:t>e</w:t>
      </w:r>
      <w:r w:rsidRPr="00726852">
        <w:rPr>
          <w:rFonts w:eastAsia="Calibri"/>
        </w:rPr>
        <w:t xml:space="preserve"> unnatural or suspicious deaths </w:t>
      </w:r>
      <w:r w:rsidR="000A6D21" w:rsidRPr="00726852">
        <w:rPr>
          <w:rFonts w:eastAsia="Calibri"/>
        </w:rPr>
        <w:t xml:space="preserve">in </w:t>
      </w:r>
      <w:r w:rsidRPr="00726852">
        <w:rPr>
          <w:rFonts w:eastAsia="Calibri"/>
        </w:rPr>
        <w:t>jurisdictions such as</w:t>
      </w:r>
      <w:r w:rsidR="0010753A" w:rsidRPr="00726852">
        <w:rPr>
          <w:rFonts w:eastAsia="Calibri"/>
        </w:rPr>
        <w:t xml:space="preserve"> Australia,</w:t>
      </w:r>
      <w:r w:rsidRPr="00726852">
        <w:rPr>
          <w:rFonts w:eastAsia="Calibri"/>
        </w:rPr>
        <w:t xml:space="preserve"> Canada, </w:t>
      </w:r>
      <w:r w:rsidR="0010753A" w:rsidRPr="00726852">
        <w:rPr>
          <w:rFonts w:eastAsia="Calibri"/>
        </w:rPr>
        <w:t>New Zealand, and the United States</w:t>
      </w:r>
      <w:r w:rsidRPr="00726852">
        <w:rPr>
          <w:rFonts w:eastAsia="Calibri"/>
        </w:rPr>
        <w:t xml:space="preserve">. </w:t>
      </w:r>
      <w:r w:rsidR="000A6D21" w:rsidRPr="00726852">
        <w:rPr>
          <w:rFonts w:eastAsia="Calibri"/>
        </w:rPr>
        <w:t xml:space="preserve">It should be noted, though, that some of these states </w:t>
      </w:r>
      <w:r w:rsidR="0010753A" w:rsidRPr="00726852">
        <w:rPr>
          <w:rFonts w:eastAsia="Calibri"/>
        </w:rPr>
        <w:t xml:space="preserve">also </w:t>
      </w:r>
      <w:r w:rsidR="000A6D21" w:rsidRPr="00726852">
        <w:rPr>
          <w:rFonts w:eastAsia="Calibri"/>
        </w:rPr>
        <w:t>use Medical Exami</w:t>
      </w:r>
      <w:r w:rsidR="00B43C50" w:rsidRPr="00726852">
        <w:rPr>
          <w:rFonts w:eastAsia="Calibri"/>
        </w:rPr>
        <w:t xml:space="preserve">ners (ME) rather than </w:t>
      </w:r>
      <w:r w:rsidR="00EE386E">
        <w:rPr>
          <w:rFonts w:eastAsia="Calibri"/>
        </w:rPr>
        <w:t xml:space="preserve">(or in addition to) </w:t>
      </w:r>
      <w:r w:rsidR="00B43C50" w:rsidRPr="00726852">
        <w:rPr>
          <w:rFonts w:eastAsia="Calibri"/>
        </w:rPr>
        <w:t xml:space="preserve">coroners. </w:t>
      </w:r>
      <w:r w:rsidRPr="00726852">
        <w:rPr>
          <w:rFonts w:eastAsia="Calibri"/>
        </w:rPr>
        <w:t xml:space="preserve">Medical Examiners tend to focus more on the forensic pathology of cases as distinct from providing the more public medico-legal inquiry that coroners undertake in </w:t>
      </w:r>
      <w:r w:rsidR="000A6D21" w:rsidRPr="00726852">
        <w:rPr>
          <w:rFonts w:eastAsia="Calibri"/>
        </w:rPr>
        <w:t>such states</w:t>
      </w:r>
      <w:r w:rsidR="00344507" w:rsidRPr="00726852">
        <w:rPr>
          <w:rFonts w:eastAsia="Calibri"/>
        </w:rPr>
        <w:t xml:space="preserve"> (Matthews</w:t>
      </w:r>
      <w:r w:rsidR="00B43C50" w:rsidRPr="00726852">
        <w:rPr>
          <w:rFonts w:eastAsia="Calibri"/>
        </w:rPr>
        <w:t>,</w:t>
      </w:r>
      <w:r w:rsidR="00344507" w:rsidRPr="00726852">
        <w:rPr>
          <w:rFonts w:eastAsia="Calibri"/>
        </w:rPr>
        <w:t xml:space="preserve"> 2014)</w:t>
      </w:r>
      <w:r w:rsidRPr="00726852">
        <w:rPr>
          <w:rFonts w:eastAsia="Calibri"/>
        </w:rPr>
        <w:t xml:space="preserve">. </w:t>
      </w:r>
    </w:p>
    <w:p w14:paraId="13D1E7F1" w14:textId="708815E2" w:rsidR="00C20B3A" w:rsidRPr="00726852" w:rsidRDefault="0010753A" w:rsidP="008808BD">
      <w:pPr>
        <w:spacing w:before="240" w:after="200"/>
        <w:rPr>
          <w:rFonts w:eastAsia="Calibri"/>
        </w:rPr>
      </w:pPr>
      <w:r w:rsidRPr="00726852">
        <w:rPr>
          <w:rFonts w:eastAsia="Calibri"/>
        </w:rPr>
        <w:t>The coronial system is unique within the wider system of justice in England and Wales in that there is no defendant and no accused (Levine</w:t>
      </w:r>
      <w:r w:rsidR="00B43C50" w:rsidRPr="00726852">
        <w:rPr>
          <w:rFonts w:eastAsia="Calibri"/>
        </w:rPr>
        <w:t>,</w:t>
      </w:r>
      <w:r w:rsidRPr="00726852">
        <w:rPr>
          <w:rFonts w:eastAsia="Calibri"/>
        </w:rPr>
        <w:t xml:space="preserve"> 1999).</w:t>
      </w:r>
      <w:r w:rsidR="00DA1E65" w:rsidRPr="00726852">
        <w:rPr>
          <w:rFonts w:eastAsia="Calibri"/>
        </w:rPr>
        <w:t xml:space="preserve"> The system is, in theory at least, inquisitorial as distinct from adversarial (</w:t>
      </w:r>
      <w:proofErr w:type="spellStart"/>
      <w:r w:rsidR="00DA1E65" w:rsidRPr="00726852">
        <w:rPr>
          <w:rFonts w:eastAsia="Calibri"/>
        </w:rPr>
        <w:t>Luce</w:t>
      </w:r>
      <w:proofErr w:type="spellEnd"/>
      <w:r w:rsidR="00B43C50" w:rsidRPr="00726852">
        <w:rPr>
          <w:rFonts w:eastAsia="Calibri"/>
        </w:rPr>
        <w:t>, 2003;</w:t>
      </w:r>
      <w:r w:rsidR="00DA1E65" w:rsidRPr="00726852">
        <w:rPr>
          <w:rFonts w:eastAsia="Calibri"/>
        </w:rPr>
        <w:t xml:space="preserve"> Tarling</w:t>
      </w:r>
      <w:r w:rsidR="00B43C50" w:rsidRPr="00726852">
        <w:rPr>
          <w:rFonts w:eastAsia="Calibri"/>
        </w:rPr>
        <w:t>,</w:t>
      </w:r>
      <w:r w:rsidR="00DA1E65" w:rsidRPr="00726852">
        <w:rPr>
          <w:rFonts w:eastAsia="Calibri"/>
        </w:rPr>
        <w:t xml:space="preserve"> 1999). </w:t>
      </w:r>
      <w:proofErr w:type="spellStart"/>
      <w:r w:rsidR="00DA1E65" w:rsidRPr="00726852">
        <w:rPr>
          <w:rFonts w:eastAsia="Calibri"/>
        </w:rPr>
        <w:t>Adversarialism</w:t>
      </w:r>
      <w:proofErr w:type="spellEnd"/>
      <w:r w:rsidR="00DA1E65" w:rsidRPr="00726852">
        <w:rPr>
          <w:rFonts w:eastAsia="Calibri"/>
        </w:rPr>
        <w:t xml:space="preserve"> is based on legal proceedings whereby one party attempts to secure a favourable verdict at the expense of the other party. In coronial proceedings there are no parties to ‘take sides’, the coroner directs an inquisition into the facts of the case to determine the cause/s of death.</w:t>
      </w:r>
      <w:r w:rsidR="00DA1E65" w:rsidRPr="00726852">
        <w:rPr>
          <w:rFonts w:eastAsia="Calibri"/>
          <w:color w:val="FF0000"/>
        </w:rPr>
        <w:t xml:space="preserve"> </w:t>
      </w:r>
      <w:r w:rsidR="00DA1E65" w:rsidRPr="00726852">
        <w:rPr>
          <w:rFonts w:eastAsia="Calibri"/>
        </w:rPr>
        <w:t xml:space="preserve">As such, there is no intention to ascribe liability or guilt on individuals. </w:t>
      </w:r>
      <w:r w:rsidR="00E75D38" w:rsidRPr="00726852">
        <w:rPr>
          <w:rFonts w:eastAsia="Calibri"/>
        </w:rPr>
        <w:t>It follows that</w:t>
      </w:r>
      <w:r w:rsidR="00DA1E65" w:rsidRPr="00726852">
        <w:rPr>
          <w:rFonts w:eastAsia="Calibri"/>
        </w:rPr>
        <w:t xml:space="preserve"> the emphasis </w:t>
      </w:r>
      <w:r w:rsidR="00044440">
        <w:rPr>
          <w:rFonts w:eastAsia="Calibri"/>
        </w:rPr>
        <w:t>is on fact-</w:t>
      </w:r>
      <w:r w:rsidR="00DA1E65" w:rsidRPr="00726852">
        <w:rPr>
          <w:rFonts w:eastAsia="Calibri"/>
        </w:rPr>
        <w:t xml:space="preserve">finding as distinct from </w:t>
      </w:r>
      <w:r w:rsidR="002039F4" w:rsidRPr="00726852">
        <w:rPr>
          <w:rFonts w:eastAsia="Calibri"/>
        </w:rPr>
        <w:t xml:space="preserve">the apportionment of </w:t>
      </w:r>
      <w:r w:rsidR="00DA1E65" w:rsidRPr="00726852">
        <w:rPr>
          <w:rFonts w:eastAsia="Calibri"/>
        </w:rPr>
        <w:t>blame. The reality of this process, however, is widely disputed</w:t>
      </w:r>
      <w:r w:rsidR="0048613B" w:rsidRPr="00726852">
        <w:rPr>
          <w:rFonts w:eastAsia="Calibri"/>
        </w:rPr>
        <w:t xml:space="preserve"> both in England and Wales</w:t>
      </w:r>
      <w:r w:rsidR="00DA1E65" w:rsidRPr="00726852">
        <w:rPr>
          <w:rFonts w:eastAsia="Calibri"/>
        </w:rPr>
        <w:t xml:space="preserve"> (</w:t>
      </w:r>
      <w:r w:rsidR="00E75D38" w:rsidRPr="00726852">
        <w:rPr>
          <w:rFonts w:eastAsia="Calibri"/>
        </w:rPr>
        <w:t xml:space="preserve">see, for example </w:t>
      </w:r>
      <w:r w:rsidR="00A77614">
        <w:rPr>
          <w:rFonts w:eastAsia="Calibri"/>
        </w:rPr>
        <w:t xml:space="preserve">Shaw and Coles, 2007, </w:t>
      </w:r>
      <w:r w:rsidR="0048613B" w:rsidRPr="00726852">
        <w:rPr>
          <w:rFonts w:eastAsia="Calibri"/>
        </w:rPr>
        <w:t xml:space="preserve">Davis </w:t>
      </w:r>
      <w:r w:rsidR="0048613B" w:rsidRPr="00726852">
        <w:rPr>
          <w:rFonts w:eastAsia="Calibri"/>
          <w:i/>
        </w:rPr>
        <w:t>et al</w:t>
      </w:r>
      <w:r w:rsidR="0048132F" w:rsidRPr="00726852">
        <w:rPr>
          <w:rFonts w:eastAsia="Calibri"/>
          <w:i/>
        </w:rPr>
        <w:t>.</w:t>
      </w:r>
      <w:r w:rsidR="0048613B" w:rsidRPr="00726852">
        <w:rPr>
          <w:rFonts w:eastAsia="Calibri"/>
        </w:rPr>
        <w:t xml:space="preserve"> 2002), and in Australia</w:t>
      </w:r>
      <w:r w:rsidR="00BF0C6E" w:rsidRPr="00726852">
        <w:rPr>
          <w:rFonts w:eastAsia="Calibri"/>
        </w:rPr>
        <w:t xml:space="preserve"> (see, for example </w:t>
      </w:r>
      <w:r w:rsidR="00A77614">
        <w:rPr>
          <w:rFonts w:eastAsia="Calibri"/>
        </w:rPr>
        <w:t xml:space="preserve">Scott Bray, 2008, </w:t>
      </w:r>
      <w:r w:rsidR="00BF0C6E" w:rsidRPr="00726852">
        <w:rPr>
          <w:rFonts w:eastAsia="Calibri"/>
        </w:rPr>
        <w:t>Corrin and Douglas</w:t>
      </w:r>
      <w:r w:rsidR="00A77614">
        <w:rPr>
          <w:rFonts w:eastAsia="Calibri"/>
        </w:rPr>
        <w:t>,</w:t>
      </w:r>
      <w:r w:rsidR="00BF0C6E" w:rsidRPr="00726852">
        <w:rPr>
          <w:rFonts w:eastAsia="Calibri"/>
        </w:rPr>
        <w:t xml:space="preserve"> 2008).</w:t>
      </w:r>
      <w:r w:rsidR="002039F4" w:rsidRPr="00726852">
        <w:rPr>
          <w:rFonts w:eastAsia="Calibri"/>
        </w:rPr>
        <w:t xml:space="preserve"> The principal reason for this </w:t>
      </w:r>
      <w:r w:rsidR="002F2452" w:rsidRPr="00726852">
        <w:rPr>
          <w:rFonts w:eastAsia="Calibri"/>
        </w:rPr>
        <w:t>in cases of DAPC is due to the</w:t>
      </w:r>
      <w:r w:rsidR="002039F4" w:rsidRPr="00726852">
        <w:rPr>
          <w:rFonts w:eastAsia="Calibri"/>
        </w:rPr>
        <w:t xml:space="preserve"> often highly contentious matter of how an individual died (see, for example Thomas </w:t>
      </w:r>
      <w:r w:rsidR="002039F4" w:rsidRPr="00726852">
        <w:rPr>
          <w:rFonts w:eastAsia="Calibri"/>
          <w:i/>
        </w:rPr>
        <w:t>et al.</w:t>
      </w:r>
      <w:r w:rsidR="002039F4" w:rsidRPr="00726852">
        <w:rPr>
          <w:rFonts w:eastAsia="Calibri"/>
        </w:rPr>
        <w:t xml:space="preserve"> 2008)</w:t>
      </w:r>
    </w:p>
    <w:p w14:paraId="1CABC8D3" w14:textId="26F7259A" w:rsidR="00DA1E65" w:rsidRPr="00726852" w:rsidRDefault="00DA1E65" w:rsidP="00502EFC">
      <w:r w:rsidRPr="00726852">
        <w:t xml:space="preserve">A number of </w:t>
      </w:r>
      <w:r w:rsidR="000B4BC7" w:rsidRPr="00726852">
        <w:t xml:space="preserve">widely publicised </w:t>
      </w:r>
      <w:r w:rsidRPr="00726852">
        <w:t xml:space="preserve">cases since the 1990s focused attention upon the role of the coroner in socio-political and socio-legal terms. These cases include: the Hillsborough disaster in 1989 when 96 people died </w:t>
      </w:r>
      <w:r w:rsidR="001A5117" w:rsidRPr="00726852">
        <w:t>at a high-profile domestic English football game</w:t>
      </w:r>
      <w:r w:rsidR="0083767C" w:rsidRPr="00726852">
        <w:t xml:space="preserve"> </w:t>
      </w:r>
      <w:r w:rsidRPr="00726852">
        <w:t>(</w:t>
      </w:r>
      <w:proofErr w:type="spellStart"/>
      <w:r w:rsidRPr="00726852">
        <w:t>Scraton</w:t>
      </w:r>
      <w:proofErr w:type="spellEnd"/>
      <w:r w:rsidR="0027105F" w:rsidRPr="00726852">
        <w:t xml:space="preserve"> </w:t>
      </w:r>
      <w:r w:rsidR="0027105F" w:rsidRPr="00726852">
        <w:rPr>
          <w:i/>
        </w:rPr>
        <w:t>et al.</w:t>
      </w:r>
      <w:r w:rsidRPr="00726852">
        <w:t xml:space="preserve"> 1995); the Marchioness pleasure cruiser</w:t>
      </w:r>
      <w:r w:rsidR="001A5117" w:rsidRPr="00726852">
        <w:t xml:space="preserve"> disaster</w:t>
      </w:r>
      <w:r w:rsidRPr="00726852">
        <w:t xml:space="preserve"> in 1989 where 51 people died</w:t>
      </w:r>
      <w:r w:rsidR="001A5117" w:rsidRPr="00726852">
        <w:t xml:space="preserve"> as a result of it sinking in the River Thames</w:t>
      </w:r>
      <w:r w:rsidRPr="00726852">
        <w:t xml:space="preserve">; </w:t>
      </w:r>
      <w:r w:rsidR="008808BD" w:rsidRPr="00726852">
        <w:t xml:space="preserve">and </w:t>
      </w:r>
      <w:r w:rsidRPr="00726852">
        <w:t xml:space="preserve">the </w:t>
      </w:r>
      <w:r w:rsidR="001A5117" w:rsidRPr="00726852">
        <w:t xml:space="preserve">Harold </w:t>
      </w:r>
      <w:r w:rsidRPr="00726852">
        <w:t>Shipman case in 2000 where a registered general practitioner was found to have murdered at least 15 patients and unlawfully killed 166 others</w:t>
      </w:r>
      <w:r w:rsidR="00B70297" w:rsidRPr="00726852">
        <w:t xml:space="preserve"> in Greater Manchester</w:t>
      </w:r>
      <w:r w:rsidR="008808BD" w:rsidRPr="00726852">
        <w:t xml:space="preserve"> </w:t>
      </w:r>
      <w:r w:rsidRPr="00726852">
        <w:t>(</w:t>
      </w:r>
      <w:proofErr w:type="spellStart"/>
      <w:r w:rsidRPr="00726852">
        <w:t>Luce</w:t>
      </w:r>
      <w:proofErr w:type="spellEnd"/>
      <w:r w:rsidR="0027105F" w:rsidRPr="00726852">
        <w:t>,</w:t>
      </w:r>
      <w:r w:rsidRPr="00726852">
        <w:t xml:space="preserve"> 2003). These cases raised significant questions about the capa</w:t>
      </w:r>
      <w:r w:rsidR="00CE619E" w:rsidRPr="00726852">
        <w:t>c</w:t>
      </w:r>
      <w:r w:rsidRPr="00726852">
        <w:t>ity of coroner</w:t>
      </w:r>
      <w:r w:rsidR="000B4BC7" w:rsidRPr="00726852">
        <w:t>s</w:t>
      </w:r>
      <w:r w:rsidRPr="00726852">
        <w:t xml:space="preserve"> </w:t>
      </w:r>
      <w:r w:rsidR="00CE619E" w:rsidRPr="00726852">
        <w:t>to</w:t>
      </w:r>
      <w:r w:rsidRPr="00726852">
        <w:t xml:space="preserve"> hold organisations to account for avoidable deaths; for promoting public safety; and in attempting to avoid future fatalities by learning from failures in organisational practice, training or policy. It is no surprise therefore, that the coronial system which had been long held to be archaic and anachronistic, became subject to a number of significant public reviews in this period as the</w:t>
      </w:r>
      <w:r w:rsidR="00526CC4" w:rsidRPr="00726852">
        <w:t xml:space="preserve"> then L</w:t>
      </w:r>
      <w:r w:rsidR="0048613B" w:rsidRPr="00726852">
        <w:t>abour</w:t>
      </w:r>
      <w:r w:rsidRPr="00726852">
        <w:t xml:space="preserve"> government sought to reform and modernise the coronial system in order that it should be more representative of societal needs and expectations</w:t>
      </w:r>
      <w:r w:rsidR="000B4BC7" w:rsidRPr="00726852">
        <w:t xml:space="preserve"> (see, for example Thomas</w:t>
      </w:r>
      <w:r w:rsidR="0027105F" w:rsidRPr="00726852">
        <w:t xml:space="preserve"> </w:t>
      </w:r>
      <w:r w:rsidR="0027105F" w:rsidRPr="00726852">
        <w:rPr>
          <w:i/>
        </w:rPr>
        <w:t>et al.</w:t>
      </w:r>
      <w:r w:rsidR="0027105F" w:rsidRPr="00726852">
        <w:t xml:space="preserve"> 2008;</w:t>
      </w:r>
      <w:r w:rsidR="000B4BC7" w:rsidRPr="00726852">
        <w:t xml:space="preserve"> Shaw and Coles</w:t>
      </w:r>
      <w:r w:rsidR="0027105F" w:rsidRPr="00726852">
        <w:t>,</w:t>
      </w:r>
      <w:r w:rsidR="000B4BC7" w:rsidRPr="00726852">
        <w:t xml:space="preserve"> 2007)</w:t>
      </w:r>
      <w:r w:rsidRPr="00726852">
        <w:t>.</w:t>
      </w:r>
      <w:r w:rsidR="00C43B18" w:rsidRPr="00726852">
        <w:t xml:space="preserve"> The coincident effects on coronial practice wrought by article 2 of the ECHR from 2000 onwards ensured that the coronial </w:t>
      </w:r>
      <w:r w:rsidR="00C43B18" w:rsidRPr="00726852">
        <w:lastRenderedPageBreak/>
        <w:t xml:space="preserve">system </w:t>
      </w:r>
      <w:r w:rsidR="00EE386E">
        <w:t>became</w:t>
      </w:r>
      <w:r w:rsidR="00C43B18" w:rsidRPr="00726852">
        <w:t xml:space="preserve"> increasingly relevant to the state and society</w:t>
      </w:r>
      <w:r w:rsidR="00044440">
        <w:t xml:space="preserve"> in terms of highlighting wrong-</w:t>
      </w:r>
      <w:r w:rsidR="00C43B18" w:rsidRPr="00726852">
        <w:t xml:space="preserve">doing, learning lessons, and holding organisations accountable. </w:t>
      </w:r>
    </w:p>
    <w:p w14:paraId="0543FBC8" w14:textId="65759863" w:rsidR="0048613B" w:rsidRPr="00726852" w:rsidRDefault="0048613B" w:rsidP="000B4BC7">
      <w:pPr>
        <w:rPr>
          <w:rFonts w:cs="Times New Roman"/>
        </w:rPr>
      </w:pPr>
      <w:r w:rsidRPr="00726852">
        <w:rPr>
          <w:rFonts w:eastAsia="Calibri"/>
        </w:rPr>
        <w:t xml:space="preserve">Although </w:t>
      </w:r>
      <w:r w:rsidR="000705E8">
        <w:rPr>
          <w:rFonts w:eastAsia="Calibri"/>
        </w:rPr>
        <w:t>coroners</w:t>
      </w:r>
      <w:r w:rsidRPr="00726852">
        <w:rPr>
          <w:rFonts w:eastAsia="Calibri"/>
        </w:rPr>
        <w:t xml:space="preserve"> </w:t>
      </w:r>
      <w:r w:rsidR="000705E8">
        <w:rPr>
          <w:rFonts w:eastAsia="Calibri"/>
        </w:rPr>
        <w:t>fulfil</w:t>
      </w:r>
      <w:r w:rsidRPr="00726852">
        <w:rPr>
          <w:rFonts w:eastAsia="Calibri"/>
        </w:rPr>
        <w:t xml:space="preserve"> an important function for state and society</w:t>
      </w:r>
      <w:r w:rsidR="00044440">
        <w:rPr>
          <w:rFonts w:eastAsia="Calibri"/>
        </w:rPr>
        <w:t>,</w:t>
      </w:r>
      <w:r w:rsidRPr="00726852">
        <w:rPr>
          <w:rFonts w:eastAsia="Calibri"/>
        </w:rPr>
        <w:t xml:space="preserve"> </w:t>
      </w:r>
      <w:r w:rsidR="000705E8">
        <w:rPr>
          <w:rFonts w:eastAsia="Calibri"/>
        </w:rPr>
        <w:t>they are</w:t>
      </w:r>
      <w:r w:rsidRPr="00726852">
        <w:rPr>
          <w:rFonts w:eastAsia="Calibri"/>
        </w:rPr>
        <w:t xml:space="preserve"> notable for being under-researched by academic</w:t>
      </w:r>
      <w:r w:rsidR="00277A26" w:rsidRPr="00726852">
        <w:rPr>
          <w:rFonts w:eastAsia="Calibri"/>
        </w:rPr>
        <w:t>s</w:t>
      </w:r>
      <w:r w:rsidRPr="00726852">
        <w:rPr>
          <w:rFonts w:eastAsia="Calibri"/>
        </w:rPr>
        <w:t xml:space="preserve">. </w:t>
      </w:r>
      <w:r w:rsidR="00CD5642" w:rsidRPr="00726852">
        <w:rPr>
          <w:rFonts w:eastAsia="Calibri"/>
        </w:rPr>
        <w:t xml:space="preserve">Indeed, some </w:t>
      </w:r>
      <w:r w:rsidR="000B4BC7" w:rsidRPr="00726852">
        <w:rPr>
          <w:rFonts w:cs="Times New Roman"/>
        </w:rPr>
        <w:t xml:space="preserve">have speculated that </w:t>
      </w:r>
      <w:r w:rsidR="00CD5642" w:rsidRPr="00726852">
        <w:rPr>
          <w:rFonts w:cs="Times New Roman"/>
        </w:rPr>
        <w:t>such investigation is long overdue</w:t>
      </w:r>
      <w:r w:rsidR="000B4BC7" w:rsidRPr="00726852">
        <w:rPr>
          <w:rFonts w:cs="Times New Roman"/>
        </w:rPr>
        <w:t xml:space="preserve"> (see, for example, McLaughlin, 2007; Beckett, 1999; </w:t>
      </w:r>
      <w:proofErr w:type="spellStart"/>
      <w:r w:rsidR="000B4BC7" w:rsidRPr="00726852">
        <w:rPr>
          <w:rFonts w:cs="Times New Roman"/>
        </w:rPr>
        <w:t>Scraton</w:t>
      </w:r>
      <w:proofErr w:type="spellEnd"/>
      <w:r w:rsidR="000B4BC7" w:rsidRPr="00726852">
        <w:rPr>
          <w:rFonts w:cs="Times New Roman"/>
        </w:rPr>
        <w:t xml:space="preserve"> and Chadwick, 1987). </w:t>
      </w:r>
      <w:r w:rsidR="004F73A7" w:rsidRPr="00726852">
        <w:rPr>
          <w:rFonts w:eastAsia="Calibri"/>
        </w:rPr>
        <w:t>In England and Wales, recent high-profile cases of DAPC such as Sean Rigg</w:t>
      </w:r>
      <w:r w:rsidR="00CD5642" w:rsidRPr="00726852">
        <w:rPr>
          <w:rStyle w:val="FootnoteReference"/>
          <w:rFonts w:eastAsia="Calibri"/>
        </w:rPr>
        <w:footnoteReference w:id="9"/>
      </w:r>
      <w:r w:rsidR="004F73A7" w:rsidRPr="00726852">
        <w:rPr>
          <w:rFonts w:eastAsia="Calibri"/>
        </w:rPr>
        <w:t xml:space="preserve"> and </w:t>
      </w:r>
      <w:r w:rsidR="007E2BF7" w:rsidRPr="00726852">
        <w:rPr>
          <w:rFonts w:eastAsia="Calibri"/>
        </w:rPr>
        <w:t>Ian Tomlinson</w:t>
      </w:r>
      <w:r w:rsidR="0083767C" w:rsidRPr="00726852">
        <w:rPr>
          <w:rStyle w:val="FootnoteReference"/>
          <w:rFonts w:eastAsia="Calibri"/>
        </w:rPr>
        <w:footnoteReference w:id="10"/>
      </w:r>
      <w:r w:rsidR="004F73A7" w:rsidRPr="00726852">
        <w:rPr>
          <w:rFonts w:eastAsia="Calibri"/>
        </w:rPr>
        <w:t xml:space="preserve"> have highlighted the effectiveness of the coronial system in identifying errors and also suggesting </w:t>
      </w:r>
      <w:r w:rsidR="003C17D1" w:rsidRPr="00726852">
        <w:rPr>
          <w:rFonts w:eastAsia="Calibri"/>
        </w:rPr>
        <w:t xml:space="preserve">how </w:t>
      </w:r>
      <w:r w:rsidR="004F73A7" w:rsidRPr="00726852">
        <w:rPr>
          <w:rFonts w:eastAsia="Calibri"/>
        </w:rPr>
        <w:t xml:space="preserve">lessons </w:t>
      </w:r>
      <w:r w:rsidR="003C17D1" w:rsidRPr="00726852">
        <w:rPr>
          <w:rFonts w:eastAsia="Calibri"/>
        </w:rPr>
        <w:t>might</w:t>
      </w:r>
      <w:r w:rsidR="004F73A7" w:rsidRPr="00726852">
        <w:rPr>
          <w:rFonts w:eastAsia="Calibri"/>
        </w:rPr>
        <w:t xml:space="preserve"> be learned to prevent future deaths. </w:t>
      </w:r>
      <w:r w:rsidR="001E0DBB" w:rsidRPr="00726852">
        <w:rPr>
          <w:rFonts w:eastAsia="Calibri"/>
        </w:rPr>
        <w:t>T</w:t>
      </w:r>
      <w:r w:rsidR="004F73A7" w:rsidRPr="00726852">
        <w:rPr>
          <w:rFonts w:eastAsia="Calibri"/>
        </w:rPr>
        <w:t xml:space="preserve">wo </w:t>
      </w:r>
      <w:r w:rsidR="000B4BC7" w:rsidRPr="00726852">
        <w:rPr>
          <w:rFonts w:eastAsia="Calibri"/>
        </w:rPr>
        <w:t>recent major</w:t>
      </w:r>
      <w:r w:rsidR="004F73A7" w:rsidRPr="00726852">
        <w:rPr>
          <w:rFonts w:eastAsia="Calibri"/>
        </w:rPr>
        <w:t xml:space="preserve"> reviews have made clear that the coronial system provides a more thorough, rigorous and independent investigation into such deaths than the IPCC, and that the IPCC could itself learn lessons from coronial practice (</w:t>
      </w:r>
      <w:proofErr w:type="spellStart"/>
      <w:r w:rsidR="004F73A7" w:rsidRPr="00726852">
        <w:rPr>
          <w:rFonts w:eastAsia="Calibri"/>
        </w:rPr>
        <w:t>Casale</w:t>
      </w:r>
      <w:proofErr w:type="spellEnd"/>
      <w:r w:rsidR="004F73A7" w:rsidRPr="00726852">
        <w:rPr>
          <w:rFonts w:eastAsia="Calibri"/>
        </w:rPr>
        <w:t xml:space="preserve"> </w:t>
      </w:r>
      <w:r w:rsidR="004F73A7" w:rsidRPr="00726852">
        <w:rPr>
          <w:rFonts w:eastAsia="Calibri"/>
          <w:i/>
        </w:rPr>
        <w:t>et al</w:t>
      </w:r>
      <w:r w:rsidR="007C55D0" w:rsidRPr="00726852">
        <w:rPr>
          <w:rFonts w:eastAsia="Calibri"/>
          <w:i/>
        </w:rPr>
        <w:t>.</w:t>
      </w:r>
      <w:r w:rsidR="0027105F" w:rsidRPr="00726852">
        <w:rPr>
          <w:rFonts w:eastAsia="Calibri"/>
        </w:rPr>
        <w:t xml:space="preserve"> 2013;</w:t>
      </w:r>
      <w:r w:rsidR="004F73A7" w:rsidRPr="00726852">
        <w:rPr>
          <w:rFonts w:eastAsia="Calibri"/>
        </w:rPr>
        <w:t xml:space="preserve"> IPCC</w:t>
      </w:r>
      <w:r w:rsidR="0027105F" w:rsidRPr="00726852">
        <w:rPr>
          <w:rFonts w:eastAsia="Calibri"/>
        </w:rPr>
        <w:t>,</w:t>
      </w:r>
      <w:r w:rsidR="004F73A7" w:rsidRPr="00726852">
        <w:rPr>
          <w:rFonts w:eastAsia="Calibri"/>
        </w:rPr>
        <w:t xml:space="preserve"> 2014). </w:t>
      </w:r>
      <w:r w:rsidR="002051CD" w:rsidRPr="00726852">
        <w:rPr>
          <w:rFonts w:eastAsia="Calibri"/>
        </w:rPr>
        <w:t xml:space="preserve">These reviews also noted the fundamental importance of article 2 of the ECHR in guiding coronial process and practice to ensure a rigorous, independent and public investigation into cases of DAPC.  </w:t>
      </w:r>
    </w:p>
    <w:p w14:paraId="1C1ED2D1" w14:textId="1FEE0BF9" w:rsidR="0048613B" w:rsidRPr="00726852" w:rsidRDefault="00A34C41" w:rsidP="001A3E11">
      <w:pPr>
        <w:ind w:firstLine="0"/>
        <w:rPr>
          <w:b/>
          <w:i/>
        </w:rPr>
      </w:pPr>
      <w:r>
        <w:rPr>
          <w:b/>
          <w:i/>
        </w:rPr>
        <w:t>4.1</w:t>
      </w:r>
      <w:r w:rsidR="00C41E9E" w:rsidRPr="00726852">
        <w:rPr>
          <w:b/>
          <w:i/>
        </w:rPr>
        <w:t xml:space="preserve"> </w:t>
      </w:r>
      <w:r w:rsidR="00164828" w:rsidRPr="00726852">
        <w:rPr>
          <w:b/>
          <w:i/>
        </w:rPr>
        <w:t xml:space="preserve">Organisational characteristics </w:t>
      </w:r>
    </w:p>
    <w:p w14:paraId="09ACCAB6" w14:textId="5B2B49E3" w:rsidR="00D43487" w:rsidRPr="00726852" w:rsidRDefault="0008771F" w:rsidP="0008771F">
      <w:r w:rsidRPr="00726852">
        <w:t xml:space="preserve">The coronial system is best imagined not as a national service but as a collection of local services (Chief Coroner, 2014). </w:t>
      </w:r>
      <w:r w:rsidR="00FB3492" w:rsidRPr="00726852">
        <w:t xml:space="preserve">There are currently 99 coronial areas in England and Wales (Ministry of Justice, 2014). This number has decreased markedly since the 1980s, largely due to a desire on the part of local authorities to reduce costs as coroners retire </w:t>
      </w:r>
      <w:r w:rsidR="00FB3492">
        <w:t xml:space="preserve">from </w:t>
      </w:r>
      <w:r w:rsidR="00FB3492" w:rsidRPr="00726852">
        <w:t>their positions (Matthews, 2014).</w:t>
      </w:r>
      <w:r w:rsidR="00F23F11">
        <w:t xml:space="preserve"> </w:t>
      </w:r>
      <w:r>
        <w:t>T</w:t>
      </w:r>
      <w:r w:rsidRPr="00726852">
        <w:t xml:space="preserve">he number of coronial areas pose a challenge in terms of learning lessons that may prevent future deaths in that the coronial system has long been noted as lacking central oversight (see, for example, </w:t>
      </w:r>
      <w:r w:rsidR="00F23F11">
        <w:t>Shaw and Coles, 2007</w:t>
      </w:r>
      <w:r w:rsidRPr="00726852">
        <w:t xml:space="preserve">; Smith, 2003). </w:t>
      </w:r>
      <w:r>
        <w:t>This</w:t>
      </w:r>
      <w:r w:rsidRPr="00726852">
        <w:t xml:space="preserve"> highly regionalised demarcation can lead to coroners becoming protective of their autonomy (Davis </w:t>
      </w:r>
      <w:r w:rsidRPr="00726852">
        <w:rPr>
          <w:i/>
        </w:rPr>
        <w:t>et al.</w:t>
      </w:r>
      <w:r w:rsidRPr="00726852">
        <w:t xml:space="preserve"> 2002). </w:t>
      </w:r>
      <w:r w:rsidR="00290A77" w:rsidRPr="00726852">
        <w:t>Coronial areas</w:t>
      </w:r>
      <w:r w:rsidR="00BC02AC" w:rsidRPr="00726852">
        <w:t xml:space="preserve"> are not necessarily contiguous with the local </w:t>
      </w:r>
      <w:r w:rsidR="00526CC4" w:rsidRPr="00726852">
        <w:t xml:space="preserve">government </w:t>
      </w:r>
      <w:r w:rsidR="00BC02AC" w:rsidRPr="00726852">
        <w:t xml:space="preserve">authority, the </w:t>
      </w:r>
      <w:r>
        <w:t>NHS</w:t>
      </w:r>
      <w:r w:rsidR="00BC02AC" w:rsidRPr="00726852">
        <w:t xml:space="preserve"> authority, or to the area of police authority. The organisation of coronial districts appears to be without regard for specific requirements such as case load or capability</w:t>
      </w:r>
      <w:r w:rsidR="00526CC4" w:rsidRPr="00726852">
        <w:t xml:space="preserve"> (</w:t>
      </w:r>
      <w:proofErr w:type="spellStart"/>
      <w:r w:rsidR="00526CC4" w:rsidRPr="00726852">
        <w:t>Luce</w:t>
      </w:r>
      <w:proofErr w:type="spellEnd"/>
      <w:r w:rsidR="0027105F" w:rsidRPr="00726852">
        <w:t>,</w:t>
      </w:r>
      <w:r w:rsidR="00526CC4" w:rsidRPr="00726852">
        <w:t xml:space="preserve"> 2003)</w:t>
      </w:r>
      <w:r w:rsidR="00BC02AC" w:rsidRPr="00726852">
        <w:t xml:space="preserve">. </w:t>
      </w:r>
      <w:r w:rsidRPr="00726852">
        <w:t xml:space="preserve">The place where the deceased meets their death dictates which coroner the death is reported to (Matthews, 2011). Geographical jurisdiction may also dictate the type of knowledge and expertise that the coroner possesses (Thomas </w:t>
      </w:r>
      <w:r w:rsidRPr="00726852">
        <w:rPr>
          <w:i/>
        </w:rPr>
        <w:t>et al.</w:t>
      </w:r>
      <w:r w:rsidRPr="00726852">
        <w:t xml:space="preserve"> 2008). </w:t>
      </w:r>
    </w:p>
    <w:p w14:paraId="44E94CC2" w14:textId="1FD259AB" w:rsidR="00CD5344" w:rsidRPr="00726852" w:rsidRDefault="00D43487" w:rsidP="00FE2D31">
      <w:r w:rsidRPr="00726852">
        <w:lastRenderedPageBreak/>
        <w:t>Coroners in urban areas typically have a greater volume of cases than those in rural area</w:t>
      </w:r>
      <w:r w:rsidR="00044440">
        <w:t>s. A coroner may also have an a</w:t>
      </w:r>
      <w:r w:rsidRPr="00726852">
        <w:t xml:space="preserve">typical preponderance of secure facilities within their regional jurisdiction. </w:t>
      </w:r>
      <w:r w:rsidR="00EB3EFE" w:rsidRPr="00726852">
        <w:t xml:space="preserve">This could result in them performing a greater proportion of inquests into deaths in these facilities than coroners whose geographical boundaries do not include such facilities </w:t>
      </w:r>
      <w:r w:rsidRPr="00726852">
        <w:t>(Shaw and Coles</w:t>
      </w:r>
      <w:r w:rsidR="0027105F" w:rsidRPr="00726852">
        <w:t>,</w:t>
      </w:r>
      <w:r w:rsidRPr="00726852">
        <w:t xml:space="preserve"> 2007). Conversely, it may be that a coroner seldom encounters such cases and is consequently less well prepared for </w:t>
      </w:r>
      <w:r w:rsidR="00CD5344" w:rsidRPr="00726852">
        <w:t>an inquest into a custody death</w:t>
      </w:r>
      <w:r w:rsidRPr="00726852">
        <w:t xml:space="preserve">. This can result in cases where </w:t>
      </w:r>
      <w:r w:rsidR="00164828" w:rsidRPr="00726852">
        <w:t>the</w:t>
      </w:r>
      <w:r w:rsidRPr="00726852">
        <w:t xml:space="preserve"> coroner is unaware of changes in statute or policy and thus needs to adjourn the inquest while s</w:t>
      </w:r>
      <w:r w:rsidR="008F4DAB" w:rsidRPr="00726852">
        <w:t>/</w:t>
      </w:r>
      <w:r w:rsidRPr="00726852">
        <w:t>he brings her</w:t>
      </w:r>
      <w:r w:rsidR="008F4DAB" w:rsidRPr="00726852">
        <w:t>/him</w:t>
      </w:r>
      <w:r w:rsidRPr="00726852">
        <w:t xml:space="preserve">self up to date </w:t>
      </w:r>
      <w:r w:rsidR="0027105F" w:rsidRPr="00726852">
        <w:t>with these developments (Thomas</w:t>
      </w:r>
      <w:r w:rsidRPr="00726852">
        <w:t xml:space="preserve"> </w:t>
      </w:r>
      <w:r w:rsidR="0027105F" w:rsidRPr="00726852">
        <w:rPr>
          <w:i/>
        </w:rPr>
        <w:t>et al.</w:t>
      </w:r>
      <w:r w:rsidRPr="00726852">
        <w:t xml:space="preserve"> 2008). It follows that the ability of the coroner to be able to conduct a rigorous inquest into a </w:t>
      </w:r>
      <w:r w:rsidR="00164828" w:rsidRPr="00726852">
        <w:t>case of DAPC</w:t>
      </w:r>
      <w:r w:rsidRPr="00726852">
        <w:t xml:space="preserve"> may have more to do with geographical jurisdiction and case load than experience, tra</w:t>
      </w:r>
      <w:r w:rsidR="00497EB2" w:rsidRPr="00726852">
        <w:t xml:space="preserve">ining or statutory requirements (see </w:t>
      </w:r>
      <w:r w:rsidRPr="00726852">
        <w:t>Matthews</w:t>
      </w:r>
      <w:r w:rsidR="00497EB2" w:rsidRPr="00726852">
        <w:t>, 2014).</w:t>
      </w:r>
      <w:r w:rsidRPr="00726852">
        <w:t xml:space="preserve"> </w:t>
      </w:r>
      <w:proofErr w:type="gramStart"/>
      <w:r w:rsidR="00C43B18" w:rsidRPr="00726852">
        <w:t>Thus</w:t>
      </w:r>
      <w:proofErr w:type="gramEnd"/>
      <w:r w:rsidR="00C43B18" w:rsidRPr="00726852">
        <w:t xml:space="preserve"> while article 2 inquests are considered to be more rigorous and </w:t>
      </w:r>
      <w:r w:rsidR="007250D9" w:rsidRPr="00726852">
        <w:t>wide-ranging than was previously the case, it does not necessarily mean that the coroner is adept at overseeing such an inquest. This underlines the tension between the obligations imposed by article 2 of the ECHR and their practical app</w:t>
      </w:r>
      <w:r w:rsidR="00142548">
        <w:t>lication in the coronial system</w:t>
      </w:r>
      <w:r w:rsidR="00092955" w:rsidRPr="00726852">
        <w:t xml:space="preserve">. </w:t>
      </w:r>
      <w:r w:rsidR="007250D9" w:rsidRPr="00726852">
        <w:t xml:space="preserve"> </w:t>
      </w:r>
    </w:p>
    <w:p w14:paraId="4532817F" w14:textId="72F89D9E" w:rsidR="0026774F" w:rsidRPr="00726852" w:rsidRDefault="00FE12F0" w:rsidP="001A3E11">
      <w:pPr>
        <w:ind w:firstLine="0"/>
        <w:rPr>
          <w:b/>
          <w:i/>
          <w:color w:val="FF0000"/>
        </w:rPr>
      </w:pPr>
      <w:r>
        <w:rPr>
          <w:b/>
          <w:i/>
        </w:rPr>
        <w:t>4.2</w:t>
      </w:r>
      <w:r w:rsidR="00C41E9E" w:rsidRPr="00726852">
        <w:rPr>
          <w:b/>
          <w:i/>
        </w:rPr>
        <w:t xml:space="preserve"> </w:t>
      </w:r>
      <w:r w:rsidR="0026774F" w:rsidRPr="00726852">
        <w:rPr>
          <w:b/>
          <w:i/>
        </w:rPr>
        <w:t>Role and function: themes in coronial practice</w:t>
      </w:r>
    </w:p>
    <w:p w14:paraId="3D9EC8DE" w14:textId="1DD79591" w:rsidR="00BC02AC" w:rsidRPr="00726852" w:rsidRDefault="006A4086" w:rsidP="00BC02AC">
      <w:r w:rsidRPr="00726852">
        <w:t>T</w:t>
      </w:r>
      <w:r w:rsidR="00BC02AC" w:rsidRPr="00726852">
        <w:t>he</w:t>
      </w:r>
      <w:r w:rsidRPr="00726852">
        <w:t xml:space="preserve"> practitioner</w:t>
      </w:r>
      <w:r w:rsidR="00BC02AC" w:rsidRPr="00726852">
        <w:t xml:space="preserve"> literature</w:t>
      </w:r>
      <w:r w:rsidRPr="00726852">
        <w:t xml:space="preserve"> available on coroners </w:t>
      </w:r>
      <w:r w:rsidR="004E3202" w:rsidRPr="00726852">
        <w:t xml:space="preserve">notes that </w:t>
      </w:r>
      <w:r w:rsidR="007B4576" w:rsidRPr="00726852">
        <w:t xml:space="preserve">the role and function of the coroner </w:t>
      </w:r>
      <w:r w:rsidR="004E3202" w:rsidRPr="00726852">
        <w:t>is</w:t>
      </w:r>
      <w:r w:rsidR="007B4576" w:rsidRPr="00726852">
        <w:t xml:space="preserve"> ambiguous</w:t>
      </w:r>
      <w:r w:rsidR="00BC02AC" w:rsidRPr="00726852">
        <w:t xml:space="preserve">. </w:t>
      </w:r>
      <w:r w:rsidR="004E3202" w:rsidRPr="00726852">
        <w:t>It</w:t>
      </w:r>
      <w:r w:rsidR="00BC02AC" w:rsidRPr="00726852">
        <w:t xml:space="preserve"> suggest</w:t>
      </w:r>
      <w:r w:rsidR="004E3202" w:rsidRPr="00726852">
        <w:t>s</w:t>
      </w:r>
      <w:r w:rsidR="00BC02AC" w:rsidRPr="00726852">
        <w:t xml:space="preserve"> that the form and function of the coroner’s inquest is either misunderstood, ill defined, ambiguous, discretionary or any combination thereof</w:t>
      </w:r>
      <w:r w:rsidR="004E3202" w:rsidRPr="00726852">
        <w:t xml:space="preserve"> (see, for example Smith, 2003; Davis </w:t>
      </w:r>
      <w:r w:rsidR="004E3202" w:rsidRPr="00726852">
        <w:rPr>
          <w:i/>
        </w:rPr>
        <w:t>et al</w:t>
      </w:r>
      <w:r w:rsidR="004E3202" w:rsidRPr="00726852">
        <w:t>. 2002)</w:t>
      </w:r>
      <w:r w:rsidR="00BC02AC" w:rsidRPr="00726852">
        <w:t xml:space="preserve">. In the most recent fundamental review </w:t>
      </w:r>
      <w:r w:rsidR="00E43C87" w:rsidRPr="00726852">
        <w:t>of the</w:t>
      </w:r>
      <w:r w:rsidR="00732144" w:rsidRPr="00726852">
        <w:t xml:space="preserve"> coronial</w:t>
      </w:r>
      <w:r w:rsidR="00E43C87" w:rsidRPr="00726852">
        <w:t xml:space="preserve"> system </w:t>
      </w:r>
      <w:proofErr w:type="spellStart"/>
      <w:r w:rsidR="00E43C87" w:rsidRPr="00726852">
        <w:t>Luce</w:t>
      </w:r>
      <w:proofErr w:type="spellEnd"/>
      <w:r w:rsidR="00E43C87" w:rsidRPr="00726852">
        <w:t xml:space="preserve"> (2003) stated</w:t>
      </w:r>
      <w:r w:rsidR="00BC02AC" w:rsidRPr="00726852">
        <w:t xml:space="preserve"> unequivocally that when imagining a reformed </w:t>
      </w:r>
      <w:proofErr w:type="gramStart"/>
      <w:r w:rsidR="00BC02AC" w:rsidRPr="00726852">
        <w:t>service</w:t>
      </w:r>
      <w:proofErr w:type="gramEnd"/>
      <w:r w:rsidR="00BC02AC" w:rsidRPr="00726852">
        <w:t xml:space="preserve"> it would be helpful to consider </w:t>
      </w:r>
      <w:r w:rsidR="00D61E6F">
        <w:t xml:space="preserve">overtly </w:t>
      </w:r>
      <w:r w:rsidR="00BC02AC" w:rsidRPr="00726852">
        <w:t xml:space="preserve">what it </w:t>
      </w:r>
      <w:r w:rsidR="00BC02AC" w:rsidRPr="00726852">
        <w:rPr>
          <w:i/>
        </w:rPr>
        <w:t>can</w:t>
      </w:r>
      <w:r w:rsidR="00455E5E" w:rsidRPr="00726852">
        <w:t xml:space="preserve"> do</w:t>
      </w:r>
      <w:r w:rsidR="004E3202" w:rsidRPr="00726852">
        <w:t xml:space="preserve"> in terms of aims and purpose</w:t>
      </w:r>
      <w:r w:rsidR="00455E5E" w:rsidRPr="00726852">
        <w:t>, particularly regarding</w:t>
      </w:r>
      <w:r w:rsidR="00BC02AC" w:rsidRPr="00726852">
        <w:t xml:space="preserve"> what other service</w:t>
      </w:r>
      <w:r w:rsidR="00E43C87" w:rsidRPr="00726852">
        <w:t>s and/or organisations cannot. It appears that rather than the government or legislators shaping this function it is the requirements o</w:t>
      </w:r>
      <w:r w:rsidR="00B902DE" w:rsidRPr="00726852">
        <w:t>f article 2 of the ECHR that have</w:t>
      </w:r>
      <w:r w:rsidR="00E43C87" w:rsidRPr="00726852">
        <w:t xml:space="preserve"> determined what the coronial system might do. </w:t>
      </w:r>
    </w:p>
    <w:p w14:paraId="0F8CBD6D" w14:textId="36B69DDB" w:rsidR="004E3202" w:rsidRPr="00726852" w:rsidRDefault="00BC02AC" w:rsidP="00497411">
      <w:r w:rsidRPr="00726852">
        <w:t>Discretion is a recurring theme within the key</w:t>
      </w:r>
      <w:r w:rsidR="00E43C87" w:rsidRPr="00726852">
        <w:t xml:space="preserve"> practitioner</w:t>
      </w:r>
      <w:r w:rsidRPr="00726852">
        <w:t xml:space="preserve"> texts</w:t>
      </w:r>
      <w:r w:rsidR="00E43C87" w:rsidRPr="00726852">
        <w:t xml:space="preserve"> </w:t>
      </w:r>
      <w:r w:rsidRPr="00726852">
        <w:t>(</w:t>
      </w:r>
      <w:r w:rsidR="002D4DE9" w:rsidRPr="00726852">
        <w:t xml:space="preserve">see, for example </w:t>
      </w:r>
      <w:r w:rsidRPr="00726852">
        <w:t>Levine</w:t>
      </w:r>
      <w:r w:rsidR="0027105F" w:rsidRPr="00726852">
        <w:t>, 1999; Thomas</w:t>
      </w:r>
      <w:r w:rsidRPr="00726852">
        <w:t xml:space="preserve"> </w:t>
      </w:r>
      <w:r w:rsidR="0027105F" w:rsidRPr="00726852">
        <w:rPr>
          <w:i/>
        </w:rPr>
        <w:t>et al.</w:t>
      </w:r>
      <w:r w:rsidRPr="00726852">
        <w:t xml:space="preserve"> 2</w:t>
      </w:r>
      <w:r w:rsidR="0027105F" w:rsidRPr="00726852">
        <w:t>008;</w:t>
      </w:r>
      <w:r w:rsidRPr="00726852">
        <w:t xml:space="preserve"> </w:t>
      </w:r>
      <w:proofErr w:type="spellStart"/>
      <w:r w:rsidRPr="00726852">
        <w:t>Dorries</w:t>
      </w:r>
      <w:proofErr w:type="spellEnd"/>
      <w:r w:rsidR="0027105F" w:rsidRPr="00726852">
        <w:t>, 2004;</w:t>
      </w:r>
      <w:r w:rsidRPr="00726852">
        <w:t xml:space="preserve"> Matthews</w:t>
      </w:r>
      <w:r w:rsidR="0027105F" w:rsidRPr="00726852">
        <w:t>,</w:t>
      </w:r>
      <w:r w:rsidRPr="00726852">
        <w:t xml:space="preserve"> 2002). In </w:t>
      </w:r>
      <w:proofErr w:type="spellStart"/>
      <w:r w:rsidRPr="00726852">
        <w:t>Luce’s</w:t>
      </w:r>
      <w:proofErr w:type="spellEnd"/>
      <w:r w:rsidR="00732144" w:rsidRPr="00726852">
        <w:t xml:space="preserve"> (2003, p.71)</w:t>
      </w:r>
      <w:r w:rsidR="00D654DC">
        <w:t xml:space="preserve"> review, he noted</w:t>
      </w:r>
      <w:r w:rsidRPr="00726852">
        <w:t>: ‘The phrase we have heard more than any other during the Review is “the coroner is a law unto himself”’</w:t>
      </w:r>
      <w:r w:rsidR="00F75779" w:rsidRPr="00726852">
        <w:t>.</w:t>
      </w:r>
      <w:r w:rsidRPr="00726852">
        <w:t xml:space="preserve"> There is insufficient space here to detail every example of discretion, but </w:t>
      </w:r>
      <w:r w:rsidR="006A4086" w:rsidRPr="00726852">
        <w:t>the</w:t>
      </w:r>
      <w:r w:rsidRPr="00726852">
        <w:t xml:space="preserve"> following </w:t>
      </w:r>
      <w:r w:rsidR="006A4086" w:rsidRPr="00726852">
        <w:t xml:space="preserve">are noted </w:t>
      </w:r>
      <w:r w:rsidRPr="00726852">
        <w:t xml:space="preserve">as </w:t>
      </w:r>
      <w:r w:rsidR="006A4086" w:rsidRPr="00726852">
        <w:t>being</w:t>
      </w:r>
      <w:r w:rsidRPr="00726852">
        <w:t xml:space="preserve"> relevant to the issue of </w:t>
      </w:r>
      <w:r w:rsidR="005041F5" w:rsidRPr="00726852">
        <w:t>DAPC</w:t>
      </w:r>
      <w:r w:rsidRPr="00726852">
        <w:t>. At the most fundamental level, the coroner has discretion over when and where the inquest is held; over what evidence is presented; and which witnesses should attend in what order. The coroner has discretion over who has access to documents pre</w:t>
      </w:r>
      <w:r w:rsidR="006448C5">
        <w:t>-</w:t>
      </w:r>
      <w:r w:rsidRPr="00726852">
        <w:t xml:space="preserve"> and </w:t>
      </w:r>
      <w:proofErr w:type="spellStart"/>
      <w:r w:rsidRPr="00726852">
        <w:t>post inquest</w:t>
      </w:r>
      <w:proofErr w:type="spellEnd"/>
      <w:r w:rsidRPr="00726852">
        <w:t xml:space="preserve"> – the specific term </w:t>
      </w:r>
      <w:r w:rsidR="00FD0743" w:rsidRPr="00726852">
        <w:t>being ‘any</w:t>
      </w:r>
      <w:r w:rsidRPr="00726852">
        <w:t xml:space="preserve"> properly interested person.’ Perhaps </w:t>
      </w:r>
      <w:r w:rsidRPr="00726852">
        <w:lastRenderedPageBreak/>
        <w:t>unsurprisingly, those individuals who may or may not match this criterion are subject to the coroner’s discretion</w:t>
      </w:r>
      <w:r w:rsidR="00F75779" w:rsidRPr="00726852">
        <w:t xml:space="preserve"> (</w:t>
      </w:r>
      <w:proofErr w:type="spellStart"/>
      <w:r w:rsidR="00F75779" w:rsidRPr="00726852">
        <w:t>Dorries</w:t>
      </w:r>
      <w:proofErr w:type="spellEnd"/>
      <w:r w:rsidR="00A43A69" w:rsidRPr="00726852">
        <w:t>,</w:t>
      </w:r>
      <w:r w:rsidR="00F75779" w:rsidRPr="00726852">
        <w:t xml:space="preserve"> 2004)</w:t>
      </w:r>
      <w:r w:rsidRPr="00726852">
        <w:t xml:space="preserve">. </w:t>
      </w:r>
    </w:p>
    <w:p w14:paraId="254BAABB" w14:textId="3E5F94B3" w:rsidR="00BC02AC" w:rsidRPr="00726852" w:rsidRDefault="004E3202" w:rsidP="00497411">
      <w:r w:rsidRPr="00726852">
        <w:t xml:space="preserve">The issue of discretion can be seen in the way in which narrative verdicts are recorded in cases of DAPC. These </w:t>
      </w:r>
      <w:r w:rsidR="00B95EED">
        <w:t>vary considerably</w:t>
      </w:r>
      <w:r w:rsidRPr="00726852">
        <w:t xml:space="preserve"> depending on the discretion of the particular jury, some being recorded as questionnaires; others as free-form handwritten narrative; some being 3 lines long and others mo</w:t>
      </w:r>
      <w:r w:rsidR="00B95EED">
        <w:t>re than three</w:t>
      </w:r>
      <w:r w:rsidRPr="00726852">
        <w:t xml:space="preserve"> pages (</w:t>
      </w:r>
      <w:proofErr w:type="spellStart"/>
      <w:r w:rsidRPr="00726852">
        <w:t>Xxxxx</w:t>
      </w:r>
      <w:proofErr w:type="spellEnd"/>
      <w:r w:rsidRPr="00726852">
        <w:t xml:space="preserve"> 2015). </w:t>
      </w:r>
      <w:proofErr w:type="gramStart"/>
      <w:r w:rsidRPr="00726852">
        <w:t>Thus</w:t>
      </w:r>
      <w:proofErr w:type="gramEnd"/>
      <w:r w:rsidRPr="00726852">
        <w:t xml:space="preserve"> although article 2 of the ECHR has produced a change in practice through the introduction of narrative verdicts, </w:t>
      </w:r>
      <w:r w:rsidR="003F3E46" w:rsidRPr="00726852">
        <w:t>this has</w:t>
      </w:r>
      <w:r w:rsidRPr="00726852">
        <w:t xml:space="preserve"> been mediated by the institutional structures present in the coronial system. </w:t>
      </w:r>
      <w:r w:rsidR="00BC02AC" w:rsidRPr="00726852">
        <w:t xml:space="preserve">As </w:t>
      </w:r>
      <w:proofErr w:type="spellStart"/>
      <w:r w:rsidR="00BC02AC" w:rsidRPr="00726852">
        <w:t>Scraton</w:t>
      </w:r>
      <w:proofErr w:type="spellEnd"/>
      <w:r w:rsidR="00BC02AC" w:rsidRPr="00726852">
        <w:t xml:space="preserve"> and Chadwick </w:t>
      </w:r>
      <w:r w:rsidR="00A43A69" w:rsidRPr="00726852">
        <w:t>(1987) note</w:t>
      </w:r>
      <w:r w:rsidR="00BC02AC" w:rsidRPr="00726852">
        <w:t xml:space="preserve">, </w:t>
      </w:r>
      <w:r w:rsidR="00FD0743" w:rsidRPr="00726852">
        <w:t>C</w:t>
      </w:r>
      <w:r w:rsidR="00BC02AC" w:rsidRPr="00726852">
        <w:t>oroners</w:t>
      </w:r>
      <w:r w:rsidR="00E43C87" w:rsidRPr="00726852">
        <w:t>’</w:t>
      </w:r>
      <w:r w:rsidR="00BC02AC" w:rsidRPr="00726852">
        <w:t xml:space="preserve"> Rules reflect the discretionary nature of proceedings in that they effectively represent a set of guidelines as distinct from a ‘hard and</w:t>
      </w:r>
      <w:r w:rsidR="00F75779" w:rsidRPr="00726852">
        <w:t xml:space="preserve"> fast’ framework. The 1971 </w:t>
      </w:r>
      <w:proofErr w:type="spellStart"/>
      <w:r w:rsidR="00F75779" w:rsidRPr="00726852">
        <w:t>Brod</w:t>
      </w:r>
      <w:r w:rsidR="00BC02AC" w:rsidRPr="00726852">
        <w:t>rick</w:t>
      </w:r>
      <w:proofErr w:type="spellEnd"/>
      <w:r w:rsidR="00BC02AC" w:rsidRPr="00726852">
        <w:t xml:space="preserve"> report (the last major report on the coronial system prior to </w:t>
      </w:r>
      <w:proofErr w:type="spellStart"/>
      <w:r w:rsidR="00BC02AC" w:rsidRPr="00726852">
        <w:t>Luce</w:t>
      </w:r>
      <w:proofErr w:type="spellEnd"/>
      <w:r w:rsidR="00BC02AC" w:rsidRPr="00726852">
        <w:t>) was emphatic in stating</w:t>
      </w:r>
      <w:r w:rsidR="005A1521" w:rsidRPr="00726852">
        <w:t xml:space="preserve"> that</w:t>
      </w:r>
      <w:r w:rsidR="00BC02AC" w:rsidRPr="00726852">
        <w:t>: ‘The law is flexible, but only because it is archaic and exiguous. The coroner can determine his own “style” and method because he is independent</w:t>
      </w:r>
      <w:r w:rsidR="002D4DE9" w:rsidRPr="00726852">
        <w:t xml:space="preserve"> and largely beyond challenge’ </w:t>
      </w:r>
      <w:r w:rsidR="00BC02AC" w:rsidRPr="00726852">
        <w:t>(</w:t>
      </w:r>
      <w:r w:rsidR="00A43A69" w:rsidRPr="00726852">
        <w:t>c</w:t>
      </w:r>
      <w:r w:rsidR="00BC02AC" w:rsidRPr="00726852">
        <w:t xml:space="preserve">ited in </w:t>
      </w:r>
      <w:proofErr w:type="spellStart"/>
      <w:r w:rsidR="00BC02AC" w:rsidRPr="00726852">
        <w:t>Luce</w:t>
      </w:r>
      <w:proofErr w:type="spellEnd"/>
      <w:r w:rsidR="00A43A69" w:rsidRPr="00726852">
        <w:t>, 2003, p.</w:t>
      </w:r>
      <w:r w:rsidR="00BC02AC" w:rsidRPr="00726852">
        <w:t>100)</w:t>
      </w:r>
      <w:r w:rsidR="00FD0743" w:rsidRPr="00726852">
        <w:t>.</w:t>
      </w:r>
      <w:r w:rsidR="00BC02AC" w:rsidRPr="00726852">
        <w:t xml:space="preserve"> </w:t>
      </w:r>
    </w:p>
    <w:p w14:paraId="62E1A13F" w14:textId="77777777" w:rsidR="00BC02AC" w:rsidRPr="00726852" w:rsidRDefault="00BC02AC" w:rsidP="00497411">
      <w:r w:rsidRPr="00726852">
        <w:t xml:space="preserve">Smith (2003) and Davis </w:t>
      </w:r>
      <w:r w:rsidRPr="00726852">
        <w:rPr>
          <w:i/>
        </w:rPr>
        <w:t>et al</w:t>
      </w:r>
      <w:r w:rsidR="00FD0743" w:rsidRPr="00726852">
        <w:t>.</w:t>
      </w:r>
      <w:r w:rsidRPr="00726852">
        <w:t xml:space="preserve"> (2002) note that there are significant differences of interpretation by coroners at inquests with factors as diverse as family involvement, post-mortem procedure, verdict framing and jury direction all having demonstrably divergent interpretations dependent on coronial jurisdiction. </w:t>
      </w:r>
      <w:r w:rsidR="00F75779" w:rsidRPr="00726852">
        <w:t xml:space="preserve">Smith (2003), Davis </w:t>
      </w:r>
      <w:r w:rsidR="00F75779" w:rsidRPr="00726852">
        <w:rPr>
          <w:i/>
        </w:rPr>
        <w:t>et al</w:t>
      </w:r>
      <w:r w:rsidR="00332D25" w:rsidRPr="00726852">
        <w:t>.</w:t>
      </w:r>
      <w:r w:rsidR="00F75779" w:rsidRPr="00726852">
        <w:t xml:space="preserve"> (2002) and </w:t>
      </w:r>
      <w:proofErr w:type="spellStart"/>
      <w:r w:rsidR="00F75779" w:rsidRPr="00726852">
        <w:t>Luce</w:t>
      </w:r>
      <w:proofErr w:type="spellEnd"/>
      <w:r w:rsidR="00F75779" w:rsidRPr="00726852">
        <w:t xml:space="preserve"> (2003) all</w:t>
      </w:r>
      <w:r w:rsidRPr="00726852">
        <w:t xml:space="preserve"> note that these differences are the result of structural issues as oppose</w:t>
      </w:r>
      <w:r w:rsidR="008273F4" w:rsidRPr="00726852">
        <w:t xml:space="preserve">d to individual idiosyncrasies. </w:t>
      </w:r>
      <w:proofErr w:type="spellStart"/>
      <w:r w:rsidRPr="00726852">
        <w:t>Luce</w:t>
      </w:r>
      <w:proofErr w:type="spellEnd"/>
      <w:r w:rsidR="00821263" w:rsidRPr="00726852">
        <w:t xml:space="preserve"> (2003, p.72) </w:t>
      </w:r>
      <w:r w:rsidRPr="00726852">
        <w:t xml:space="preserve">believes </w:t>
      </w:r>
      <w:r w:rsidR="00821263" w:rsidRPr="00726852">
        <w:t>such</w:t>
      </w:r>
      <w:r w:rsidRPr="00726852">
        <w:t xml:space="preserve"> structural issues indicate a lack of consistency in training and appointment, an ambiguous procedural framework and a general ‘</w:t>
      </w:r>
      <w:r w:rsidR="00A43A69" w:rsidRPr="00726852">
        <w:t xml:space="preserve">lack of clear </w:t>
      </w:r>
      <w:proofErr w:type="gramStart"/>
      <w:r w:rsidR="00A43A69" w:rsidRPr="00726852">
        <w:t>objectives’</w:t>
      </w:r>
      <w:proofErr w:type="gramEnd"/>
      <w:r w:rsidR="00651FFB" w:rsidRPr="00726852">
        <w:t>.</w:t>
      </w:r>
      <w:r w:rsidRPr="00726852">
        <w:t xml:space="preserve"> To these, Smith</w:t>
      </w:r>
      <w:r w:rsidR="00821263" w:rsidRPr="00726852">
        <w:t xml:space="preserve"> (2003, p.57) </w:t>
      </w:r>
      <w:r w:rsidRPr="00726852">
        <w:t>adds a lack of leadership and regulation, noting that when compared to the rest of the judiciary, coroners are: ‘to a very large extent…left to their own devices’</w:t>
      </w:r>
      <w:r w:rsidR="00821263" w:rsidRPr="00726852">
        <w:t>.</w:t>
      </w:r>
      <w:r w:rsidR="00A43A69" w:rsidRPr="00726852">
        <w:t xml:space="preserve"> </w:t>
      </w:r>
      <w:r w:rsidRPr="00726852">
        <w:t xml:space="preserve">Davis </w:t>
      </w:r>
      <w:r w:rsidRPr="00726852">
        <w:rPr>
          <w:i/>
        </w:rPr>
        <w:t>et al</w:t>
      </w:r>
      <w:r w:rsidR="00332D25" w:rsidRPr="00726852">
        <w:rPr>
          <w:i/>
        </w:rPr>
        <w:t>.</w:t>
      </w:r>
      <w:r w:rsidRPr="00726852">
        <w:t xml:space="preserve"> </w:t>
      </w:r>
      <w:r w:rsidR="00821263" w:rsidRPr="00726852">
        <w:t xml:space="preserve">(2002, p.78) </w:t>
      </w:r>
      <w:r w:rsidRPr="00726852">
        <w:t>acknowledge that there will always be differences in styles between coroners: ‘but the present level of idiosyncrasy goes beyond this, suggesting that there is not always a consensus even with regards to the purpose of an inquest</w:t>
      </w:r>
      <w:r w:rsidR="00651FFB" w:rsidRPr="00726852">
        <w:t>’.</w:t>
      </w:r>
    </w:p>
    <w:p w14:paraId="04F3DB83" w14:textId="46A3B6B1" w:rsidR="00EA0F91" w:rsidRPr="00726852" w:rsidRDefault="00EA0F91" w:rsidP="00497411">
      <w:r w:rsidRPr="00726852">
        <w:t xml:space="preserve">Structural idiosyncrasy </w:t>
      </w:r>
      <w:r w:rsidR="00753A22">
        <w:t>affects</w:t>
      </w:r>
      <w:r w:rsidRPr="00726852">
        <w:t xml:space="preserve"> </w:t>
      </w:r>
      <w:r w:rsidR="00753A22">
        <w:t>how</w:t>
      </w:r>
      <w:r w:rsidRPr="00726852">
        <w:t xml:space="preserve"> </w:t>
      </w:r>
      <w:r w:rsidR="003F3E46" w:rsidRPr="00726852">
        <w:t xml:space="preserve">the </w:t>
      </w:r>
      <w:r w:rsidRPr="00726852">
        <w:t>effects of articl</w:t>
      </w:r>
      <w:r w:rsidR="00753A22">
        <w:t>e 2 of the ECHR are mediated. Whilst a</w:t>
      </w:r>
      <w:r w:rsidRPr="00726852">
        <w:t>rticle 2 inquests are more rigorous and wi</w:t>
      </w:r>
      <w:r w:rsidR="003F3E46" w:rsidRPr="00726852">
        <w:t>d</w:t>
      </w:r>
      <w:r w:rsidRPr="00726852">
        <w:t xml:space="preserve">e-ranging than was previously the case, it must be noted that </w:t>
      </w:r>
      <w:r w:rsidR="00753A22">
        <w:t>they</w:t>
      </w:r>
      <w:r w:rsidRPr="00726852">
        <w:t xml:space="preserve"> can only occur in light of the comments made above regarding consensus over the purpose of an inquest. With 99 coroner areas, it seems unproblematic to assert that the terms ‘rigorous’ and ‘wide-ranging’ are relative in terms of how an article 2 inquest is undertaken. Similarly, the use of coroners</w:t>
      </w:r>
      <w:r w:rsidR="00B95EED">
        <w:t>’</w:t>
      </w:r>
      <w:r w:rsidRPr="00726852">
        <w:t xml:space="preserve"> reports, which are now held to be mandatory in cases of DAPC in the coronial system need to be considered in this light. </w:t>
      </w:r>
    </w:p>
    <w:p w14:paraId="1A38DA1A" w14:textId="77777777" w:rsidR="00651FFB" w:rsidRPr="00726852" w:rsidRDefault="00C458B8" w:rsidP="00497411">
      <w:r w:rsidRPr="00726852">
        <w:lastRenderedPageBreak/>
        <w:t>T</w:t>
      </w:r>
      <w:r w:rsidR="00651FFB" w:rsidRPr="00726852">
        <w:t>he coronial system</w:t>
      </w:r>
      <w:r w:rsidRPr="00726852">
        <w:t>, then,</w:t>
      </w:r>
      <w:r w:rsidR="00651FFB" w:rsidRPr="00726852">
        <w:t xml:space="preserve"> is regionalised, has ambiguous roles and functions, and is notable for its use of discretion. </w:t>
      </w:r>
      <w:r w:rsidRPr="00726852">
        <w:t>T</w:t>
      </w:r>
      <w:r w:rsidR="00903126" w:rsidRPr="00726852">
        <w:t xml:space="preserve">hese </w:t>
      </w:r>
      <w:r w:rsidRPr="00726852">
        <w:t>characteristics might</w:t>
      </w:r>
      <w:r w:rsidR="00903126" w:rsidRPr="00726852">
        <w:t xml:space="preserve"> </w:t>
      </w:r>
      <w:r w:rsidR="00EA0F91" w:rsidRPr="00726852">
        <w:t xml:space="preserve">also </w:t>
      </w:r>
      <w:r w:rsidR="00903126" w:rsidRPr="00726852">
        <w:t xml:space="preserve">be viewed </w:t>
      </w:r>
      <w:r w:rsidRPr="00726852">
        <w:t>favourably</w:t>
      </w:r>
      <w:r w:rsidR="00903126" w:rsidRPr="00726852">
        <w:t xml:space="preserve"> </w:t>
      </w:r>
      <w:r w:rsidR="0046632B" w:rsidRPr="00726852">
        <w:t>when considering</w:t>
      </w:r>
      <w:r w:rsidR="00903126" w:rsidRPr="00726852">
        <w:t xml:space="preserve"> the role and function of the </w:t>
      </w:r>
      <w:r w:rsidR="00F7727A" w:rsidRPr="00726852">
        <w:t>coroner</w:t>
      </w:r>
      <w:r w:rsidR="00332D25" w:rsidRPr="00726852">
        <w:t xml:space="preserve"> </w:t>
      </w:r>
      <w:r w:rsidR="0046632B" w:rsidRPr="00726852">
        <w:t>in</w:t>
      </w:r>
      <w:r w:rsidR="00332D25" w:rsidRPr="00726852">
        <w:t xml:space="preserve"> investigating</w:t>
      </w:r>
      <w:r w:rsidR="00903126" w:rsidRPr="00726852">
        <w:t xml:space="preserve"> and reporting on cases of DAPC. The regionalised nature of the system might reflect </w:t>
      </w:r>
      <w:r w:rsidR="00332D25" w:rsidRPr="00726852">
        <w:t>both the</w:t>
      </w:r>
      <w:r w:rsidR="00903126" w:rsidRPr="00726852">
        <w:t xml:space="preserve"> relative autonomy </w:t>
      </w:r>
      <w:r w:rsidR="00332D25" w:rsidRPr="00726852">
        <w:t xml:space="preserve">of coroners </w:t>
      </w:r>
      <w:r w:rsidR="00903126" w:rsidRPr="00726852">
        <w:t xml:space="preserve">and </w:t>
      </w:r>
      <w:r w:rsidR="00332D25" w:rsidRPr="00726852">
        <w:t>of them</w:t>
      </w:r>
      <w:r w:rsidR="00903126" w:rsidRPr="00726852">
        <w:t xml:space="preserve"> being grounded in local communities, in a way that other elements of the justice system </w:t>
      </w:r>
      <w:r w:rsidR="00F7727A" w:rsidRPr="00726852">
        <w:t>may</w:t>
      </w:r>
      <w:r w:rsidR="00903126" w:rsidRPr="00726852">
        <w:t xml:space="preserve"> not be. </w:t>
      </w:r>
      <w:r w:rsidR="00F7727A" w:rsidRPr="00726852">
        <w:t>Indeed, it could be argued that t</w:t>
      </w:r>
      <w:r w:rsidR="00903126" w:rsidRPr="00726852">
        <w:t xml:space="preserve">he ambiguity of role and function and the large degree of discretion </w:t>
      </w:r>
      <w:r w:rsidR="00013DD3" w:rsidRPr="00726852">
        <w:t xml:space="preserve">may enable </w:t>
      </w:r>
      <w:r w:rsidR="00555F3C" w:rsidRPr="00726852">
        <w:t xml:space="preserve">coroners and juries to examine complex cases with greater rigour as a result of not being hidebound by statutory structures. In this sense, it might be argued that the system meets the requirements of open justice, transparency and legitimacy reflected in the obligations imposed by article 2 of the ECHR in a way that, for example, the IPCC as a more structured and rigid organisation does not, as was noted earlier in this </w:t>
      </w:r>
      <w:r w:rsidR="004B7343" w:rsidRPr="00726852">
        <w:t>paper</w:t>
      </w:r>
      <w:r w:rsidR="00555F3C" w:rsidRPr="00726852">
        <w:t xml:space="preserve"> (see, for example </w:t>
      </w:r>
      <w:proofErr w:type="spellStart"/>
      <w:r w:rsidR="00555F3C" w:rsidRPr="00726852">
        <w:t>Xxxxx</w:t>
      </w:r>
      <w:proofErr w:type="spellEnd"/>
      <w:r w:rsidR="00A43A69" w:rsidRPr="00726852">
        <w:t>,</w:t>
      </w:r>
      <w:r w:rsidR="00555F3C" w:rsidRPr="00726852">
        <w:t xml:space="preserve"> 2015</w:t>
      </w:r>
      <w:r w:rsidR="00A43A69" w:rsidRPr="00726852">
        <w:t>;</w:t>
      </w:r>
      <w:r w:rsidR="00555F3C" w:rsidRPr="00726852">
        <w:t xml:space="preserve"> IPCC</w:t>
      </w:r>
      <w:r w:rsidR="00A43A69" w:rsidRPr="00726852">
        <w:t>, 2014;</w:t>
      </w:r>
      <w:r w:rsidR="00555F3C" w:rsidRPr="00726852">
        <w:t xml:space="preserve"> </w:t>
      </w:r>
      <w:proofErr w:type="spellStart"/>
      <w:r w:rsidR="00555F3C" w:rsidRPr="00726852">
        <w:t>Casale</w:t>
      </w:r>
      <w:proofErr w:type="spellEnd"/>
      <w:r w:rsidR="00555F3C" w:rsidRPr="00726852">
        <w:t xml:space="preserve"> </w:t>
      </w:r>
      <w:r w:rsidR="00555F3C" w:rsidRPr="00726852">
        <w:rPr>
          <w:i/>
        </w:rPr>
        <w:t>et al</w:t>
      </w:r>
      <w:r w:rsidR="00555F3C" w:rsidRPr="00726852">
        <w:t xml:space="preserve">. 2013). </w:t>
      </w:r>
    </w:p>
    <w:p w14:paraId="1213E30D" w14:textId="5AD9DF5E" w:rsidR="006B63AA" w:rsidRPr="00726852" w:rsidRDefault="00FE12F0" w:rsidP="001A3E11">
      <w:pPr>
        <w:ind w:firstLine="0"/>
        <w:rPr>
          <w:b/>
          <w:i/>
        </w:rPr>
      </w:pPr>
      <w:r>
        <w:rPr>
          <w:b/>
          <w:i/>
        </w:rPr>
        <w:t>4.3</w:t>
      </w:r>
      <w:r w:rsidR="00C41E9E" w:rsidRPr="00726852">
        <w:rPr>
          <w:b/>
          <w:i/>
        </w:rPr>
        <w:t xml:space="preserve"> </w:t>
      </w:r>
      <w:r w:rsidR="006B63AA" w:rsidRPr="00726852">
        <w:rPr>
          <w:b/>
          <w:i/>
        </w:rPr>
        <w:t>Reform and stasis</w:t>
      </w:r>
    </w:p>
    <w:p w14:paraId="1FFA27C4" w14:textId="11A47141" w:rsidR="00E27574" w:rsidRPr="00726852" w:rsidRDefault="006B63AA" w:rsidP="00497411">
      <w:r w:rsidRPr="00726852">
        <w:t xml:space="preserve">The most recent attempts to reform the </w:t>
      </w:r>
      <w:r w:rsidR="00B902DE" w:rsidRPr="00726852">
        <w:t xml:space="preserve">coronial </w:t>
      </w:r>
      <w:r w:rsidRPr="00726852">
        <w:t xml:space="preserve">system illustrate </w:t>
      </w:r>
      <w:r w:rsidR="00A2336F" w:rsidRPr="00726852">
        <w:t>the ‘forgotten’ nature of coroners’ courts</w:t>
      </w:r>
      <w:r w:rsidRPr="00726852">
        <w:t xml:space="preserve">. In the aftermath of the </w:t>
      </w:r>
      <w:proofErr w:type="spellStart"/>
      <w:r w:rsidRPr="00726852">
        <w:t>Luce</w:t>
      </w:r>
      <w:proofErr w:type="spellEnd"/>
      <w:r w:rsidRPr="00726852">
        <w:t xml:space="preserve"> report (2003</w:t>
      </w:r>
      <w:r w:rsidR="00F7727A" w:rsidRPr="00726852">
        <w:t>, p.16</w:t>
      </w:r>
      <w:r w:rsidRPr="00726852">
        <w:t>) which deemed the coronial system ‘</w:t>
      </w:r>
      <w:r w:rsidR="00E43C87" w:rsidRPr="00726852">
        <w:t>un</w:t>
      </w:r>
      <w:r w:rsidRPr="00726852">
        <w:t xml:space="preserve">fit </w:t>
      </w:r>
      <w:r w:rsidR="00A43A69" w:rsidRPr="00726852">
        <w:t>for purpose’</w:t>
      </w:r>
      <w:r w:rsidRPr="00726852">
        <w:t xml:space="preserve"> there was protracted debate in government and parliament about how a new bill </w:t>
      </w:r>
      <w:r w:rsidR="000578BB" w:rsidRPr="00726852">
        <w:t>might</w:t>
      </w:r>
      <w:r w:rsidRPr="00726852">
        <w:t xml:space="preserve"> re-shape the coronial system. </w:t>
      </w:r>
      <w:r w:rsidR="00CB7331" w:rsidRPr="00726852">
        <w:t xml:space="preserve">The re-shaping was partly driven by </w:t>
      </w:r>
      <w:r w:rsidR="00332D25" w:rsidRPr="00726852">
        <w:t>numerous official</w:t>
      </w:r>
      <w:r w:rsidR="00CB7331" w:rsidRPr="00726852">
        <w:t xml:space="preserve"> reviews, but also by the demands of t</w:t>
      </w:r>
      <w:r w:rsidR="003F3E46" w:rsidRPr="00726852">
        <w:t>he HRA 1998 and its requirement</w:t>
      </w:r>
      <w:r w:rsidR="00CB7331" w:rsidRPr="00726852">
        <w:t xml:space="preserve"> to meet the obligations of the ECHR</w:t>
      </w:r>
      <w:r w:rsidR="00332D25" w:rsidRPr="00726852">
        <w:t xml:space="preserve"> (see, for example </w:t>
      </w:r>
      <w:r w:rsidR="00E743E9" w:rsidRPr="00726852">
        <w:t>JCHR,</w:t>
      </w:r>
      <w:r w:rsidR="00332D25" w:rsidRPr="00726852">
        <w:t xml:space="preserve"> 2004)</w:t>
      </w:r>
      <w:r w:rsidR="00CB7331" w:rsidRPr="00726852">
        <w:t xml:space="preserve">. </w:t>
      </w:r>
      <w:r w:rsidRPr="00726852">
        <w:t>Th</w:t>
      </w:r>
      <w:r w:rsidR="00CB7331" w:rsidRPr="00726852">
        <w:t>e debate about how the coronial system in England and Wales would look in the 21</w:t>
      </w:r>
      <w:r w:rsidR="00CB7331" w:rsidRPr="00726852">
        <w:rPr>
          <w:vertAlign w:val="superscript"/>
        </w:rPr>
        <w:t>st</w:t>
      </w:r>
      <w:r w:rsidR="00CB7331" w:rsidRPr="00726852">
        <w:t xml:space="preserve"> century </w:t>
      </w:r>
      <w:r w:rsidRPr="00726852">
        <w:t xml:space="preserve">eventually </w:t>
      </w:r>
      <w:r w:rsidR="00CB7331" w:rsidRPr="00726852">
        <w:t>produced</w:t>
      </w:r>
      <w:r w:rsidRPr="00726852">
        <w:t xml:space="preserve"> the Coroners and Justice Act, initially passed in 2009 but not </w:t>
      </w:r>
      <w:r w:rsidR="005349FF" w:rsidRPr="00726852">
        <w:t>enacted</w:t>
      </w:r>
      <w:r w:rsidRPr="00726852">
        <w:t xml:space="preserve"> until July 2013</w:t>
      </w:r>
      <w:r w:rsidR="00C108F5" w:rsidRPr="00726852">
        <w:t xml:space="preserve">. </w:t>
      </w:r>
    </w:p>
    <w:p w14:paraId="5AD44CF7" w14:textId="590FB267" w:rsidR="00C108F5" w:rsidRPr="00726852" w:rsidRDefault="003943EC" w:rsidP="00497411">
      <w:r w:rsidRPr="00726852">
        <w:t xml:space="preserve">The coronial system is marked by significant gaps between reform being proposed and then enacted. </w:t>
      </w:r>
      <w:r w:rsidR="00C108F5" w:rsidRPr="00726852">
        <w:t xml:space="preserve">Ten years passed </w:t>
      </w:r>
      <w:r w:rsidRPr="00726852">
        <w:t>from</w:t>
      </w:r>
      <w:r w:rsidR="00C108F5" w:rsidRPr="00726852">
        <w:t xml:space="preserve"> the </w:t>
      </w:r>
      <w:proofErr w:type="spellStart"/>
      <w:r w:rsidR="00C108F5" w:rsidRPr="00726852">
        <w:t>Luce</w:t>
      </w:r>
      <w:proofErr w:type="spellEnd"/>
      <w:r w:rsidR="00C108F5" w:rsidRPr="00726852">
        <w:t xml:space="preserve"> (2003) review</w:t>
      </w:r>
      <w:r w:rsidRPr="00726852">
        <w:t xml:space="preserve"> to the enactment of the Coroners and Justice Act 2013</w:t>
      </w:r>
      <w:r w:rsidR="00A02D79" w:rsidRPr="00726852">
        <w:t>;</w:t>
      </w:r>
      <w:r w:rsidR="00C108F5" w:rsidRPr="00726852">
        <w:t xml:space="preserve"> </w:t>
      </w:r>
      <w:proofErr w:type="gramStart"/>
      <w:r w:rsidR="00F7727A" w:rsidRPr="00726852">
        <w:t>similarly</w:t>
      </w:r>
      <w:proofErr w:type="gramEnd"/>
      <w:r w:rsidR="00C108F5" w:rsidRPr="00726852">
        <w:t xml:space="preserve"> the Wright (1936) review </w:t>
      </w:r>
      <w:r w:rsidR="00F7727A" w:rsidRPr="00726852">
        <w:t>was</w:t>
      </w:r>
      <w:r w:rsidR="00C108F5" w:rsidRPr="00726852">
        <w:t xml:space="preserve"> discarded for </w:t>
      </w:r>
      <w:r w:rsidR="00C31632" w:rsidRPr="00726852">
        <w:t>17</w:t>
      </w:r>
      <w:r w:rsidR="00C108F5" w:rsidRPr="00726852">
        <w:t xml:space="preserve"> years</w:t>
      </w:r>
      <w:r w:rsidR="00C31632" w:rsidRPr="00726852">
        <w:t xml:space="preserve"> until it eventually formed the basis of the 1953 Coroners Rules (Levine</w:t>
      </w:r>
      <w:r w:rsidR="00A43A69" w:rsidRPr="00726852">
        <w:t>,</w:t>
      </w:r>
      <w:r w:rsidR="00C31632" w:rsidRPr="00726852">
        <w:t xml:space="preserve"> 1999)</w:t>
      </w:r>
      <w:r w:rsidR="00A02D79" w:rsidRPr="00726852">
        <w:t>;</w:t>
      </w:r>
      <w:r w:rsidR="00C108F5" w:rsidRPr="00726852">
        <w:t xml:space="preserve"> and the </w:t>
      </w:r>
      <w:proofErr w:type="spellStart"/>
      <w:r w:rsidR="00C108F5" w:rsidRPr="00726852">
        <w:t>Brodrick</w:t>
      </w:r>
      <w:proofErr w:type="spellEnd"/>
      <w:r w:rsidR="00C108F5" w:rsidRPr="00726852">
        <w:t xml:space="preserve"> (1971) review was largely ignored, as was noted in the summary of the Shipman review more than thirty years later</w:t>
      </w:r>
      <w:r w:rsidR="00C31632" w:rsidRPr="00726852">
        <w:t xml:space="preserve"> (Smith</w:t>
      </w:r>
      <w:r w:rsidR="00A43A69" w:rsidRPr="00726852">
        <w:t>,</w:t>
      </w:r>
      <w:r w:rsidR="00C31632" w:rsidRPr="00726852">
        <w:t xml:space="preserve"> 2003)</w:t>
      </w:r>
      <w:r w:rsidR="00C108F5" w:rsidRPr="00726852">
        <w:t xml:space="preserve">. </w:t>
      </w:r>
      <w:r w:rsidR="00332D25" w:rsidRPr="00726852">
        <w:t>In the four years</w:t>
      </w:r>
      <w:r w:rsidR="00C108F5" w:rsidRPr="00726852">
        <w:t xml:space="preserve"> </w:t>
      </w:r>
      <w:r w:rsidR="00332D25" w:rsidRPr="00726852">
        <w:t>b</w:t>
      </w:r>
      <w:r w:rsidR="00C108F5" w:rsidRPr="00726852">
        <w:t xml:space="preserve">etween the Coroners and Justice Act being passed and enacted, </w:t>
      </w:r>
      <w:r w:rsidR="006B63AA" w:rsidRPr="00726852">
        <w:t>aspects</w:t>
      </w:r>
      <w:r w:rsidR="005349FF" w:rsidRPr="00726852">
        <w:t xml:space="preserve"> </w:t>
      </w:r>
      <w:r w:rsidR="006B63AA" w:rsidRPr="00726852">
        <w:t>of the 2009 Act were repealed</w:t>
      </w:r>
      <w:r w:rsidR="00C108F5" w:rsidRPr="00726852">
        <w:t>, for example the right of appeal</w:t>
      </w:r>
      <w:r w:rsidR="006B63AA" w:rsidRPr="00726852">
        <w:t>.</w:t>
      </w:r>
      <w:r w:rsidR="00E27574" w:rsidRPr="00726852">
        <w:t xml:space="preserve"> It might also be noted that the 2009 Act created an entirely new function of death reporting which was intended to work both adjacent and complementary to the coronial system. The intention was that a National Medical Examiner would oversee a </w:t>
      </w:r>
      <w:r w:rsidR="00DD686F" w:rsidRPr="00726852">
        <w:t>network</w:t>
      </w:r>
      <w:r w:rsidR="00E27574" w:rsidRPr="00726852">
        <w:t xml:space="preserve"> of Medical Examiners </w:t>
      </w:r>
      <w:r w:rsidR="00DD686F" w:rsidRPr="00726852">
        <w:t>working</w:t>
      </w:r>
      <w:r w:rsidR="00E27574" w:rsidRPr="00726852">
        <w:t xml:space="preserve"> as medical experts alongside but independent of coroners, who were now required to be practising lawyers (Chief Coroner</w:t>
      </w:r>
      <w:r w:rsidR="0076400E" w:rsidRPr="00726852">
        <w:t>’s Office</w:t>
      </w:r>
      <w:r w:rsidR="00A43A69" w:rsidRPr="00726852">
        <w:t>,</w:t>
      </w:r>
      <w:r w:rsidR="00E27574" w:rsidRPr="00726852">
        <w:t xml:space="preserve"> 2013). This system </w:t>
      </w:r>
      <w:r w:rsidR="00E27574" w:rsidRPr="00726852">
        <w:lastRenderedPageBreak/>
        <w:t xml:space="preserve">has not yet been implemented, and there is no indication </w:t>
      </w:r>
      <w:r w:rsidR="00F7727A" w:rsidRPr="00726852">
        <w:t>as to when this might occur</w:t>
      </w:r>
      <w:r w:rsidR="008C6635" w:rsidRPr="00726852">
        <w:t xml:space="preserve"> (Matthews, 2014)</w:t>
      </w:r>
      <w:r w:rsidR="00E27574" w:rsidRPr="00726852">
        <w:t>.</w:t>
      </w:r>
    </w:p>
    <w:p w14:paraId="1D997381" w14:textId="2155EF81" w:rsidR="00DD686F" w:rsidRPr="00726852" w:rsidRDefault="00C108F5" w:rsidP="00497411">
      <w:r w:rsidRPr="00726852">
        <w:t>My point in highlighting the issue of reform and stasis is to draw attention to a number of relevant issues pertinent to the</w:t>
      </w:r>
      <w:r w:rsidR="00F7727A" w:rsidRPr="00726852">
        <w:t xml:space="preserve"> present</w:t>
      </w:r>
      <w:r w:rsidRPr="00726852">
        <w:t xml:space="preserve"> discussion. First, a trend of governmental desire to reform a non-centralised system in which ambiguity of purpose is well e</w:t>
      </w:r>
      <w:r w:rsidR="003F3E46" w:rsidRPr="00726852">
        <w:t>stablished. Secondly, a similar tendency</w:t>
      </w:r>
      <w:r w:rsidRPr="00726852">
        <w:t xml:space="preserve"> of government to </w:t>
      </w:r>
      <w:r w:rsidR="00F7727A" w:rsidRPr="00726852">
        <w:t>seemingly</w:t>
      </w:r>
      <w:r w:rsidRPr="00726852">
        <w:t xml:space="preserve"> discard, ignore, or significantly circumscribe recommendations produced by official reviews. Thirdly, this </w:t>
      </w:r>
      <w:r w:rsidR="00E27574" w:rsidRPr="00726852">
        <w:t>indicates</w:t>
      </w:r>
      <w:r w:rsidRPr="00726852">
        <w:t xml:space="preserve"> that reform of the system in the last one hundred years has been piecemeal, perhaps unsurprising</w:t>
      </w:r>
      <w:r w:rsidR="00B95EED">
        <w:t>ly</w:t>
      </w:r>
      <w:r w:rsidRPr="00726852">
        <w:t xml:space="preserve"> given that </w:t>
      </w:r>
      <w:r w:rsidR="00E27574" w:rsidRPr="00726852">
        <w:t xml:space="preserve">significant aspects of </w:t>
      </w:r>
      <w:r w:rsidRPr="00726852">
        <w:t xml:space="preserve">the system itself </w:t>
      </w:r>
      <w:r w:rsidR="00E27574" w:rsidRPr="00726852">
        <w:t xml:space="preserve">are </w:t>
      </w:r>
      <w:r w:rsidRPr="00726852">
        <w:t xml:space="preserve">held to be </w:t>
      </w:r>
      <w:r w:rsidR="00E27574" w:rsidRPr="00726852">
        <w:t>characterised by ambiguity and discretion</w:t>
      </w:r>
      <w:r w:rsidRPr="00726852">
        <w:t xml:space="preserve">. </w:t>
      </w:r>
      <w:r w:rsidR="008C6635" w:rsidRPr="00726852">
        <w:t xml:space="preserve">Although reform of the coronial system has often been on the governmental agenda, it might be argued that precedents resulting from article 2 of the ECHR have </w:t>
      </w:r>
      <w:proofErr w:type="gramStart"/>
      <w:r w:rsidR="008C6635" w:rsidRPr="00726852">
        <w:t>effected</w:t>
      </w:r>
      <w:proofErr w:type="gramEnd"/>
      <w:r w:rsidR="008C6635" w:rsidRPr="00726852">
        <w:t xml:space="preserve"> more substantiv</w:t>
      </w:r>
      <w:r w:rsidR="00753A22">
        <w:t>e change in coroners’ practices</w:t>
      </w:r>
      <w:r w:rsidR="008C6635" w:rsidRPr="00726852">
        <w:t xml:space="preserve">. </w:t>
      </w:r>
      <w:r w:rsidR="006B63AA" w:rsidRPr="00726852">
        <w:t xml:space="preserve">The key change </w:t>
      </w:r>
      <w:r w:rsidR="00A02D79" w:rsidRPr="00726852">
        <w:t xml:space="preserve">that </w:t>
      </w:r>
      <w:r w:rsidR="006B63AA" w:rsidRPr="00726852">
        <w:t>emerge</w:t>
      </w:r>
      <w:r w:rsidR="00A02D79" w:rsidRPr="00726852">
        <w:t>d</w:t>
      </w:r>
      <w:r w:rsidR="00CE2294" w:rsidRPr="00726852">
        <w:t>, after much parliamentary debate,</w:t>
      </w:r>
      <w:r w:rsidR="006B63AA" w:rsidRPr="00726852">
        <w:t xml:space="preserve"> from the 2009 Act was the creation of the role of Chief Coroner for England and Wales</w:t>
      </w:r>
      <w:r w:rsidR="00F7727A" w:rsidRPr="00726852">
        <w:t xml:space="preserve">, a position </w:t>
      </w:r>
      <w:r w:rsidR="00A2336F" w:rsidRPr="00726852">
        <w:t>taken</w:t>
      </w:r>
      <w:r w:rsidR="00F7727A" w:rsidRPr="00726852">
        <w:t xml:space="preserve"> up in September 2012</w:t>
      </w:r>
      <w:r w:rsidR="006B63AA" w:rsidRPr="00726852">
        <w:t xml:space="preserve"> (Matthews</w:t>
      </w:r>
      <w:r w:rsidR="00A43A69" w:rsidRPr="00726852">
        <w:t>,</w:t>
      </w:r>
      <w:r w:rsidR="00F7727A" w:rsidRPr="00726852">
        <w:t xml:space="preserve"> 2014). </w:t>
      </w:r>
    </w:p>
    <w:p w14:paraId="22F0D230" w14:textId="77777777" w:rsidR="00BB1A15" w:rsidRPr="00726852" w:rsidRDefault="00651601" w:rsidP="00497411">
      <w:r w:rsidRPr="00726852">
        <w:t>‘</w:t>
      </w:r>
      <w:r w:rsidR="00BB1A15" w:rsidRPr="00726852">
        <w:t xml:space="preserve">The role of the Chief Coroner is </w:t>
      </w:r>
      <w:r w:rsidR="005349FF" w:rsidRPr="00726852">
        <w:t xml:space="preserve">intended </w:t>
      </w:r>
      <w:r w:rsidR="00BB1A15" w:rsidRPr="00726852">
        <w:t>to:</w:t>
      </w:r>
    </w:p>
    <w:p w14:paraId="0BBC495E" w14:textId="77777777" w:rsidR="00FD7B4C" w:rsidRPr="00726852" w:rsidRDefault="00BB1A15" w:rsidP="007E2BF7">
      <w:pPr>
        <w:pStyle w:val="ListParagraph"/>
        <w:numPr>
          <w:ilvl w:val="0"/>
          <w:numId w:val="2"/>
        </w:numPr>
        <w:ind w:left="714" w:hanging="357"/>
      </w:pPr>
      <w:r w:rsidRPr="00726852">
        <w:t xml:space="preserve">Improve liaison between the government (both central and local) and the </w:t>
      </w:r>
    </w:p>
    <w:p w14:paraId="51574B07" w14:textId="77777777" w:rsidR="00BB1A15" w:rsidRPr="00726852" w:rsidRDefault="00BB1A15" w:rsidP="00FD7B4C">
      <w:pPr>
        <w:pStyle w:val="ListParagraph"/>
        <w:ind w:left="714" w:firstLine="0"/>
      </w:pPr>
      <w:r w:rsidRPr="00726852">
        <w:t>coroners operating the system;</w:t>
      </w:r>
    </w:p>
    <w:p w14:paraId="1CE62802" w14:textId="77777777" w:rsidR="00BB1A15" w:rsidRPr="00726852" w:rsidRDefault="00BB1A15" w:rsidP="007E2BF7">
      <w:pPr>
        <w:pStyle w:val="ListParagraph"/>
        <w:numPr>
          <w:ilvl w:val="0"/>
          <w:numId w:val="2"/>
        </w:numPr>
        <w:ind w:left="714" w:hanging="357"/>
      </w:pPr>
      <w:r w:rsidRPr="00726852">
        <w:t>A role in the appointment of coroners;</w:t>
      </w:r>
    </w:p>
    <w:p w14:paraId="44998DBF" w14:textId="77777777" w:rsidR="00BB1A15" w:rsidRPr="00726852" w:rsidRDefault="00BB1A15" w:rsidP="007E2BF7">
      <w:pPr>
        <w:pStyle w:val="ListParagraph"/>
        <w:numPr>
          <w:ilvl w:val="0"/>
          <w:numId w:val="2"/>
        </w:numPr>
        <w:ind w:left="714" w:hanging="357"/>
      </w:pPr>
      <w:r w:rsidRPr="00726852">
        <w:t>Provide national leadership and guidance to coroners;</w:t>
      </w:r>
    </w:p>
    <w:p w14:paraId="51DFBAFE" w14:textId="77777777" w:rsidR="00BB1A15" w:rsidRPr="00726852" w:rsidRDefault="00BB1A15" w:rsidP="007E2BF7">
      <w:pPr>
        <w:pStyle w:val="ListParagraph"/>
        <w:numPr>
          <w:ilvl w:val="0"/>
          <w:numId w:val="2"/>
        </w:numPr>
        <w:ind w:left="714" w:hanging="357"/>
      </w:pPr>
      <w:r w:rsidRPr="00726852">
        <w:t>Increase the efficiency of the coroner system.</w:t>
      </w:r>
      <w:r w:rsidR="00651601" w:rsidRPr="00726852">
        <w:t>’</w:t>
      </w:r>
    </w:p>
    <w:p w14:paraId="0F157D9D" w14:textId="77777777" w:rsidR="00BB1A15" w:rsidRPr="00726852" w:rsidRDefault="005349FF" w:rsidP="00FD7B4C">
      <w:pPr>
        <w:jc w:val="right"/>
      </w:pPr>
      <w:r w:rsidRPr="00726852">
        <w:t>(Matthews</w:t>
      </w:r>
      <w:r w:rsidR="00A43A69" w:rsidRPr="00726852">
        <w:t>, 2014, p.</w:t>
      </w:r>
      <w:r w:rsidRPr="00726852">
        <w:t>31</w:t>
      </w:r>
      <w:r w:rsidR="00BB1A15" w:rsidRPr="00726852">
        <w:t>)</w:t>
      </w:r>
    </w:p>
    <w:p w14:paraId="4680B39F" w14:textId="07EFFE3B" w:rsidR="00CE2294" w:rsidRPr="00726852" w:rsidRDefault="00E27574" w:rsidP="00497411">
      <w:r w:rsidRPr="00726852">
        <w:t>The Chief Coroner’s first major act was to draft a set of directions</w:t>
      </w:r>
      <w:r w:rsidR="00DD23A3" w:rsidRPr="00726852">
        <w:t xml:space="preserve"> to all coroners in England and Wales</w:t>
      </w:r>
      <w:r w:rsidRPr="00726852">
        <w:t xml:space="preserve"> </w:t>
      </w:r>
      <w:r w:rsidR="000E6EEE" w:rsidRPr="00726852">
        <w:t>about</w:t>
      </w:r>
      <w:r w:rsidRPr="00726852">
        <w:t xml:space="preserve"> how the 2009 Coroners and Justice Act should be put into practice</w:t>
      </w:r>
      <w:r w:rsidR="000D7D66">
        <w:t>;</w:t>
      </w:r>
      <w:r w:rsidR="00396EEF" w:rsidRPr="00726852">
        <w:t xml:space="preserve"> this was published in late 2013 (Chief Coroner’s Office</w:t>
      </w:r>
      <w:r w:rsidR="00A43A69" w:rsidRPr="00726852">
        <w:t>,</w:t>
      </w:r>
      <w:r w:rsidR="00396EEF" w:rsidRPr="00726852">
        <w:t xml:space="preserve"> 2013)</w:t>
      </w:r>
      <w:r w:rsidR="0076400E" w:rsidRPr="00726852">
        <w:t xml:space="preserve">. Broadly </w:t>
      </w:r>
      <w:r w:rsidR="00DD23A3" w:rsidRPr="00726852">
        <w:t>stated,</w:t>
      </w:r>
      <w:r w:rsidR="0076400E" w:rsidRPr="00726852">
        <w:t xml:space="preserve"> </w:t>
      </w:r>
      <w:r w:rsidR="000D7D66">
        <w:t>it</w:t>
      </w:r>
      <w:r w:rsidR="0076400E" w:rsidRPr="00726852">
        <w:t xml:space="preserve"> set out a series of expected standar</w:t>
      </w:r>
      <w:r w:rsidR="00DD23A3" w:rsidRPr="00726852">
        <w:t>ds and requirements of coroners.</w:t>
      </w:r>
      <w:r w:rsidR="0076400E" w:rsidRPr="00726852">
        <w:t xml:space="preserve"> </w:t>
      </w:r>
      <w:r w:rsidR="00DD23A3" w:rsidRPr="00726852">
        <w:t>A</w:t>
      </w:r>
      <w:r w:rsidR="0076400E" w:rsidRPr="00726852">
        <w:t xml:space="preserve">s such, the directions may be seen to be an updated and consolidated version of Coroners Rules. </w:t>
      </w:r>
      <w:r w:rsidR="008C6635" w:rsidRPr="00726852">
        <w:t xml:space="preserve">Of particular </w:t>
      </w:r>
      <w:r w:rsidR="0076400E" w:rsidRPr="00726852">
        <w:t xml:space="preserve">relevance is that the Chief Coroner must produce an annual report on the coronial system and </w:t>
      </w:r>
      <w:r w:rsidR="00651601" w:rsidRPr="00726852">
        <w:t>send</w:t>
      </w:r>
      <w:r w:rsidR="0076400E" w:rsidRPr="00726852">
        <w:t xml:space="preserve"> </w:t>
      </w:r>
      <w:r w:rsidR="00651601" w:rsidRPr="00726852">
        <w:t>this</w:t>
      </w:r>
      <w:r w:rsidR="0076400E" w:rsidRPr="00726852">
        <w:t xml:space="preserve"> to the Lord Chancellor (Matthews</w:t>
      </w:r>
      <w:r w:rsidR="00A43A69" w:rsidRPr="00726852">
        <w:t>,</w:t>
      </w:r>
      <w:r w:rsidR="0076400E" w:rsidRPr="00726852">
        <w:t xml:space="preserve"> 2014). This arguably represents the first time a nat</w:t>
      </w:r>
      <w:r w:rsidR="00455E5E" w:rsidRPr="00726852">
        <w:t>ional report has been compiled about</w:t>
      </w:r>
      <w:r w:rsidR="0076400E" w:rsidRPr="00726852">
        <w:t xml:space="preserve"> the coronial system and therefore indicates an attempt at a more ‘national’ type of system. It is, however, notable that the Chief Coroner does not have a deputy, although the provision of one is enabled through the 2009 Coroners and Justice Act. </w:t>
      </w:r>
      <w:r w:rsidR="00776109" w:rsidRPr="00726852">
        <w:t>Matthews (2014</w:t>
      </w:r>
      <w:r w:rsidR="00A43A69" w:rsidRPr="00726852">
        <w:t>, p.</w:t>
      </w:r>
      <w:r w:rsidR="00776109" w:rsidRPr="00726852">
        <w:t>22) further notes that there is no obligation in the Act for the role of Chief Coroner to be filled, rather that the Lord Chief Justice ‘m</w:t>
      </w:r>
      <w:r w:rsidR="008C6635" w:rsidRPr="00726852">
        <w:t xml:space="preserve">ay’ appoint a Chief Coroner. At the time of writing </w:t>
      </w:r>
      <w:r w:rsidR="00776109" w:rsidRPr="00726852">
        <w:t xml:space="preserve">it is too early to comment on how the Chief Coroner may affect the </w:t>
      </w:r>
      <w:r w:rsidR="00776109" w:rsidRPr="00726852">
        <w:lastRenderedPageBreak/>
        <w:t xml:space="preserve">coronial system, but there might be concern over the relatively limited resources at his disposal to enforce Coroners Rules and consolidate a national coronial system. </w:t>
      </w:r>
    </w:p>
    <w:p w14:paraId="61DAA39E" w14:textId="77777777" w:rsidR="00663E75" w:rsidRPr="00726852" w:rsidRDefault="00663E75" w:rsidP="00C41E9E">
      <w:pPr>
        <w:pStyle w:val="ListParagraph"/>
        <w:numPr>
          <w:ilvl w:val="0"/>
          <w:numId w:val="5"/>
        </w:numPr>
        <w:rPr>
          <w:b/>
          <w:i/>
        </w:rPr>
      </w:pPr>
      <w:r w:rsidRPr="00726852">
        <w:rPr>
          <w:b/>
          <w:i/>
        </w:rPr>
        <w:t>Conclusion</w:t>
      </w:r>
    </w:p>
    <w:p w14:paraId="405D30B6" w14:textId="16958518" w:rsidR="00EE0729" w:rsidRPr="00726852" w:rsidRDefault="00BF3DD7" w:rsidP="00BF3DD7">
      <w:r>
        <w:t>T</w:t>
      </w:r>
      <w:r w:rsidR="000D5EC6" w:rsidRPr="00726852">
        <w:t>his paper discuss</w:t>
      </w:r>
      <w:r>
        <w:t>ed</w:t>
      </w:r>
      <w:r w:rsidR="000D5EC6" w:rsidRPr="00726852">
        <w:t xml:space="preserve"> changes effected by article 2 of the ECHR to coronial practice when investigating and reporting on cases of DAPC in England and Wales. </w:t>
      </w:r>
      <w:r>
        <w:t>T</w:t>
      </w:r>
      <w:r w:rsidR="00663E75" w:rsidRPr="00726852">
        <w:t xml:space="preserve">he coronial system plays a key role in investigating and reporting on cases of DAPC in England and Wales. </w:t>
      </w:r>
      <w:r w:rsidR="00B50841" w:rsidRPr="00726852">
        <w:t xml:space="preserve">A fundamental aspect of </w:t>
      </w:r>
      <w:r w:rsidR="00AA5DB5" w:rsidRPr="00726852">
        <w:t>the coronial</w:t>
      </w:r>
      <w:r w:rsidR="00B50841" w:rsidRPr="00726852">
        <w:t xml:space="preserve"> role is to provide an independent and public investigation into such deaths with a view to fact finding that may prevent future deaths. As such, </w:t>
      </w:r>
      <w:r w:rsidR="00AA5DB5" w:rsidRPr="00726852">
        <w:t>the coronial system</w:t>
      </w:r>
      <w:r w:rsidR="00147E5D">
        <w:t xml:space="preserve"> exists as</w:t>
      </w:r>
      <w:r w:rsidR="00B50841" w:rsidRPr="00726852">
        <w:t xml:space="preserve"> a key nexus in the relationship between police accountability, open justice and legitimacy; and between state and society.  </w:t>
      </w:r>
      <w:r w:rsidR="00EE0729" w:rsidRPr="00726852">
        <w:t xml:space="preserve">The most recent evolution of these relationships is manifest in changes effected by article 2 of the ECHR on the coronial system. In England and Wales, the state meets </w:t>
      </w:r>
      <w:r>
        <w:t>the</w:t>
      </w:r>
      <w:r w:rsidR="00EE0729" w:rsidRPr="00726852">
        <w:t xml:space="preserve"> obligation </w:t>
      </w:r>
      <w:r>
        <w:t xml:space="preserve">of the ECHR </w:t>
      </w:r>
      <w:r w:rsidR="00EE0729" w:rsidRPr="00726852">
        <w:t>though article 2 inquests in the coronial system. There is no hard and fast statutory framework that defines or determines how this should occur, rather it happens as a result of principle and precedent</w:t>
      </w:r>
      <w:r w:rsidR="00575BA8" w:rsidRPr="00726852">
        <w:t xml:space="preserve"> in the common law system</w:t>
      </w:r>
      <w:r w:rsidR="00EE0729" w:rsidRPr="00726852">
        <w:t xml:space="preserve">, as was demonstrated in the </w:t>
      </w:r>
      <w:r w:rsidR="007C3DEE" w:rsidRPr="00726852">
        <w:t>previously discussed case of Middleton</w:t>
      </w:r>
      <w:r w:rsidR="00EE0729" w:rsidRPr="00726852">
        <w:t xml:space="preserve">. </w:t>
      </w:r>
    </w:p>
    <w:p w14:paraId="5222865D" w14:textId="1814BD68" w:rsidR="00852FD0" w:rsidRPr="00726852" w:rsidRDefault="00D27402" w:rsidP="007E6A44">
      <w:r w:rsidRPr="00726852">
        <w:t>R</w:t>
      </w:r>
      <w:r w:rsidR="00852FD0" w:rsidRPr="00726852">
        <w:t xml:space="preserve">eform and stasis in the coronial system </w:t>
      </w:r>
      <w:r w:rsidR="007C3DEE" w:rsidRPr="00726852">
        <w:t>are</w:t>
      </w:r>
      <w:r w:rsidR="00852FD0" w:rsidRPr="00726852">
        <w:t xml:space="preserve"> evident in the evolution that has occurred as a result of article 2 of the ECHR. The </w:t>
      </w:r>
      <w:r w:rsidRPr="00726852">
        <w:t>article</w:t>
      </w:r>
      <w:r w:rsidR="00852FD0" w:rsidRPr="00726852">
        <w:t xml:space="preserve"> established that proposed reforms have consistently been delayed, ignored, or diluted. I</w:t>
      </w:r>
      <w:r w:rsidR="006D0342">
        <w:t>t</w:t>
      </w:r>
      <w:r w:rsidR="00852FD0" w:rsidRPr="00726852">
        <w:t xml:space="preserve"> argued that the reform of the coronial system with regard to cases of DAPC has been </w:t>
      </w:r>
      <w:r w:rsidR="006A0885" w:rsidRPr="00726852">
        <w:t xml:space="preserve">most evidently </w:t>
      </w:r>
      <w:proofErr w:type="gramStart"/>
      <w:r w:rsidR="006A0885" w:rsidRPr="00726852">
        <w:t>effected</w:t>
      </w:r>
      <w:proofErr w:type="gramEnd"/>
      <w:r w:rsidR="00852FD0" w:rsidRPr="00726852">
        <w:t xml:space="preserve"> by article 2 of the ECHR. </w:t>
      </w:r>
      <w:proofErr w:type="gramStart"/>
      <w:r w:rsidR="00852FD0" w:rsidRPr="00726852">
        <w:t>Thus</w:t>
      </w:r>
      <w:proofErr w:type="gramEnd"/>
      <w:r w:rsidR="00852FD0" w:rsidRPr="00726852">
        <w:t xml:space="preserve"> the state has </w:t>
      </w:r>
      <w:r w:rsidR="00E844BD" w:rsidRPr="00726852">
        <w:t>principally had</w:t>
      </w:r>
      <w:r w:rsidR="00852FD0" w:rsidRPr="00726852">
        <w:t xml:space="preserve"> </w:t>
      </w:r>
      <w:r w:rsidR="007C3DEE" w:rsidRPr="00726852">
        <w:t xml:space="preserve">coronial </w:t>
      </w:r>
      <w:r w:rsidR="00852FD0" w:rsidRPr="00726852">
        <w:t>reform imposed</w:t>
      </w:r>
      <w:r w:rsidR="00E844BD" w:rsidRPr="00726852">
        <w:t xml:space="preserve"> on it by </w:t>
      </w:r>
      <w:r w:rsidR="007C3DEE" w:rsidRPr="00726852">
        <w:t xml:space="preserve">the </w:t>
      </w:r>
      <w:r w:rsidR="00E844BD" w:rsidRPr="00726852">
        <w:t xml:space="preserve">obligations </w:t>
      </w:r>
      <w:r w:rsidR="007C3DEE" w:rsidRPr="00726852">
        <w:t>of</w:t>
      </w:r>
      <w:r w:rsidR="00E844BD" w:rsidRPr="00726852">
        <w:t xml:space="preserve"> the</w:t>
      </w:r>
      <w:r w:rsidR="00852FD0" w:rsidRPr="00726852">
        <w:t xml:space="preserve"> ECHR</w:t>
      </w:r>
      <w:r w:rsidR="007C3DEE" w:rsidRPr="00726852">
        <w:t xml:space="preserve">. </w:t>
      </w:r>
      <w:r w:rsidR="00852FD0" w:rsidRPr="00726852">
        <w:t xml:space="preserve">In this sense, reform has been driven by </w:t>
      </w:r>
      <w:r w:rsidR="00896CBD" w:rsidRPr="00726852">
        <w:t xml:space="preserve">precedents which </w:t>
      </w:r>
      <w:r w:rsidRPr="00726852">
        <w:t xml:space="preserve">were </w:t>
      </w:r>
      <w:r w:rsidR="00896CBD" w:rsidRPr="00726852">
        <w:t xml:space="preserve">obliged as a result of demands external to the state. </w:t>
      </w:r>
      <w:r w:rsidR="007C3DEE" w:rsidRPr="00726852">
        <w:t xml:space="preserve">Reform has </w:t>
      </w:r>
      <w:r w:rsidR="00BF3DD7">
        <w:t>been</w:t>
      </w:r>
      <w:r w:rsidR="007C3DEE" w:rsidRPr="00726852">
        <w:t xml:space="preserve"> unplanned and reactive rather than planned and p</w:t>
      </w:r>
      <w:r w:rsidR="00BF3DD7">
        <w:t>roactive on behalf of the state</w:t>
      </w:r>
      <w:r w:rsidR="007C3DEE" w:rsidRPr="00726852">
        <w:t xml:space="preserve">. </w:t>
      </w:r>
      <w:r w:rsidR="00F5048D" w:rsidRPr="00726852">
        <w:t>Stasis is represented in the relatively unchanged aspects of coronial practice set out in statute</w:t>
      </w:r>
      <w:r w:rsidR="007C3DEE" w:rsidRPr="00726852">
        <w:t>, and characterised by ongoing coronial themes outlined below</w:t>
      </w:r>
      <w:r w:rsidR="00F5048D" w:rsidRPr="00726852">
        <w:t xml:space="preserve">. </w:t>
      </w:r>
    </w:p>
    <w:p w14:paraId="64D5833B" w14:textId="74131E63" w:rsidR="00AD4459" w:rsidRPr="00726852" w:rsidRDefault="00F82FF0" w:rsidP="006D0342">
      <w:r w:rsidRPr="00726852">
        <w:t xml:space="preserve">The coronial system </w:t>
      </w:r>
      <w:r w:rsidR="006D0342">
        <w:t>is</w:t>
      </w:r>
      <w:r w:rsidRPr="00726852">
        <w:t xml:space="preserve"> characterised by issues such as ambiguity of aims and purpose; of being an essentially regional r</w:t>
      </w:r>
      <w:r w:rsidR="00EE0729" w:rsidRPr="00726852">
        <w:t xml:space="preserve">ather than </w:t>
      </w:r>
      <w:r w:rsidR="007C3DEE" w:rsidRPr="00726852">
        <w:t xml:space="preserve">a </w:t>
      </w:r>
      <w:r w:rsidR="00EE0729" w:rsidRPr="00726852">
        <w:t xml:space="preserve">national system; </w:t>
      </w:r>
      <w:r w:rsidR="003E4929" w:rsidRPr="00726852">
        <w:t xml:space="preserve">and </w:t>
      </w:r>
      <w:r w:rsidR="00EE0729" w:rsidRPr="00726852">
        <w:t xml:space="preserve">of having significant </w:t>
      </w:r>
      <w:r w:rsidR="003E4929" w:rsidRPr="00726852">
        <w:t>discretion in terms of the processes and practices it employs. It is therefore unsurprising that changes effected by article 2 of the ECHR have been piecemeal and driven primarily by precedent. With 99 coronial areas in England and Wales, issues of autonomy, discretion and ambiguity mean that there are a variety of different approaches e</w:t>
      </w:r>
      <w:r w:rsidR="00D27402" w:rsidRPr="00726852">
        <w:t>m</w:t>
      </w:r>
      <w:r w:rsidR="003E4929" w:rsidRPr="00726852">
        <w:t>ployed in the investigation of cases of DAPC</w:t>
      </w:r>
      <w:r w:rsidR="00D3554F" w:rsidRPr="00726852">
        <w:t xml:space="preserve"> through article 2 inquest</w:t>
      </w:r>
      <w:r w:rsidR="006D0342">
        <w:t>s</w:t>
      </w:r>
      <w:r w:rsidR="003E4929" w:rsidRPr="00726852">
        <w:t>. Similarly, narrative verdicts are notable for the variety of ways in which they are recorded, appearing to be largely determined by the specific issues the jury considers relevant, and this has produced divergent approaches</w:t>
      </w:r>
      <w:r w:rsidR="00AD4459" w:rsidRPr="00726852">
        <w:t xml:space="preserve"> in terms of their content, format and length</w:t>
      </w:r>
      <w:r w:rsidR="003E4929" w:rsidRPr="00726852">
        <w:t xml:space="preserve">. Finally, the coroner's report </w:t>
      </w:r>
      <w:r w:rsidR="00583CF8" w:rsidRPr="00726852">
        <w:t xml:space="preserve">is now </w:t>
      </w:r>
      <w:r w:rsidR="006D0342">
        <w:t>mandatory</w:t>
      </w:r>
      <w:r w:rsidR="00583CF8" w:rsidRPr="00726852">
        <w:t xml:space="preserve"> if </w:t>
      </w:r>
      <w:r w:rsidR="00147E5D">
        <w:t xml:space="preserve">the coroner </w:t>
      </w:r>
      <w:r w:rsidR="00583CF8" w:rsidRPr="00726852">
        <w:t>believe</w:t>
      </w:r>
      <w:r w:rsidR="00147E5D">
        <w:t>s</w:t>
      </w:r>
      <w:r w:rsidR="00583CF8" w:rsidRPr="00726852">
        <w:t xml:space="preserve"> that lessons could be learned that may prevent future deaths. </w:t>
      </w:r>
      <w:r w:rsidR="006D0342">
        <w:lastRenderedPageBreak/>
        <w:t>Although coroners may make recommendations</w:t>
      </w:r>
      <w:r w:rsidR="00583CF8" w:rsidRPr="00726852">
        <w:t>,</w:t>
      </w:r>
      <w:r w:rsidR="006D0342">
        <w:t xml:space="preserve"> </w:t>
      </w:r>
      <w:r w:rsidR="00826444">
        <w:t>they</w:t>
      </w:r>
      <w:r w:rsidR="00583CF8" w:rsidRPr="00726852">
        <w:t xml:space="preserve"> ha</w:t>
      </w:r>
      <w:r w:rsidR="00826444">
        <w:t>ve</w:t>
      </w:r>
      <w:r w:rsidR="00583CF8" w:rsidRPr="00726852">
        <w:t xml:space="preserve"> no power to enforce </w:t>
      </w:r>
      <w:r w:rsidR="006D0342">
        <w:t>them. With</w:t>
      </w:r>
      <w:r w:rsidR="00583CF8" w:rsidRPr="00726852">
        <w:t xml:space="preserve"> 99 autonomous coroners writing such report</w:t>
      </w:r>
      <w:r w:rsidR="006D0342">
        <w:t>s</w:t>
      </w:r>
      <w:r w:rsidR="00583CF8" w:rsidRPr="00726852">
        <w:t>,</w:t>
      </w:r>
      <w:r w:rsidR="006D0342">
        <w:t xml:space="preserve"> there is clearly scope for divergent interpretations and this might also affect</w:t>
      </w:r>
      <w:r w:rsidR="00583CF8" w:rsidRPr="00726852">
        <w:t xml:space="preserve"> the way in which a plethora of public organisations may or may not chose to react to such a report. </w:t>
      </w:r>
    </w:p>
    <w:p w14:paraId="6E18596E" w14:textId="77777777" w:rsidR="00D27402" w:rsidRPr="00726852" w:rsidRDefault="00AD4459" w:rsidP="007E6A44">
      <w:proofErr w:type="gramStart"/>
      <w:r w:rsidRPr="00726852">
        <w:t>Thus</w:t>
      </w:r>
      <w:proofErr w:type="gramEnd"/>
      <w:r w:rsidRPr="00726852">
        <w:t xml:space="preserve"> it appears clear that the ambiguous role and function of the coroner, the regionalised nature of the coronial system, and the significant degree of discretion afforded the coroner all represent enduring themes in coronial practices and processes in England and Wales. Whilst there has been an evolution in the way in which cases of DAPC in England and Wales are investigated and reported on due to the obligations imposed by article 2 of the ECHR, this evolution has occurred within the institutional restraints inherent within the coronial system. </w:t>
      </w:r>
      <w:r w:rsidR="00EE6069" w:rsidRPr="00726852">
        <w:t xml:space="preserve">Although changes in coronial practice have been </w:t>
      </w:r>
      <w:proofErr w:type="gramStart"/>
      <w:r w:rsidR="00EE6069" w:rsidRPr="00726852">
        <w:t>effected</w:t>
      </w:r>
      <w:proofErr w:type="gramEnd"/>
      <w:r w:rsidR="00EE6069" w:rsidRPr="00726852">
        <w:t xml:space="preserve"> by obligations imposed by article 2 of the ECHR these changes are in turn affected by pre-existing structures and issues inherent in the coronial system in England and Wales. </w:t>
      </w:r>
    </w:p>
    <w:p w14:paraId="372BB97D" w14:textId="77777777" w:rsidR="00D27402" w:rsidRPr="00726852" w:rsidRDefault="00D27402">
      <w:r w:rsidRPr="00726852">
        <w:br w:type="page"/>
      </w:r>
    </w:p>
    <w:p w14:paraId="2377B2E0" w14:textId="77777777" w:rsidR="00F82FF0" w:rsidRPr="00726852" w:rsidRDefault="00F82FF0" w:rsidP="007E6A44"/>
    <w:p w14:paraId="4215F346" w14:textId="77777777" w:rsidR="00ED40E7" w:rsidRPr="00726852" w:rsidRDefault="00EB0AA7" w:rsidP="0010597F">
      <w:pPr>
        <w:ind w:firstLine="0"/>
        <w:rPr>
          <w:b/>
          <w:i/>
        </w:rPr>
      </w:pPr>
      <w:r>
        <w:rPr>
          <w:b/>
          <w:i/>
        </w:rPr>
        <w:t>Bibliography</w:t>
      </w:r>
    </w:p>
    <w:p w14:paraId="5F228B3C" w14:textId="77777777" w:rsidR="00F33005" w:rsidRPr="00726852" w:rsidRDefault="00F33005" w:rsidP="00322FC4">
      <w:pPr>
        <w:spacing w:line="240" w:lineRule="auto"/>
        <w:ind w:firstLine="0"/>
      </w:pPr>
      <w:r w:rsidRPr="00726852">
        <w:t xml:space="preserve">ACPO (2006) </w:t>
      </w:r>
      <w:r w:rsidRPr="00726852">
        <w:rPr>
          <w:i/>
        </w:rPr>
        <w:t xml:space="preserve">Guidance on the Safer Detention and Handling of Persons in Police Custody. </w:t>
      </w:r>
      <w:r w:rsidRPr="00726852">
        <w:t xml:space="preserve">Available at: </w:t>
      </w:r>
      <w:hyperlink r:id="rId9" w:history="1">
        <w:r w:rsidRPr="00726852">
          <w:rPr>
            <w:color w:val="0000FF"/>
            <w:u w:val="single"/>
          </w:rPr>
          <w:t>http://www.nacro.org.uk/data/files/nacro-2006021400-469.pdf</w:t>
        </w:r>
      </w:hyperlink>
      <w:r w:rsidRPr="00726852">
        <w:t>. Accessed 9/12/13.</w:t>
      </w:r>
    </w:p>
    <w:p w14:paraId="4B446F96" w14:textId="77777777" w:rsidR="0059766E" w:rsidRPr="00726852" w:rsidRDefault="0059766E" w:rsidP="00322FC4">
      <w:pPr>
        <w:spacing w:line="240" w:lineRule="auto"/>
        <w:ind w:firstLine="0"/>
      </w:pPr>
      <w:r w:rsidRPr="00726852">
        <w:t xml:space="preserve">Baker, D (2015) </w:t>
      </w:r>
      <w:r w:rsidRPr="00726852">
        <w:rPr>
          <w:i/>
        </w:rPr>
        <w:t xml:space="preserve">Analysing the Construction of Accountability in Cases of Death After Police Contact. </w:t>
      </w:r>
      <w:r w:rsidRPr="00726852">
        <w:t xml:space="preserve">Unpublished PhD thesis. Milton Keynes. Open University. </w:t>
      </w:r>
    </w:p>
    <w:p w14:paraId="1B79B1D3" w14:textId="77777777" w:rsidR="00A23A51" w:rsidRPr="00726852" w:rsidRDefault="00A23A51" w:rsidP="00322FC4">
      <w:pPr>
        <w:spacing w:line="240" w:lineRule="auto"/>
        <w:ind w:firstLine="0"/>
      </w:pPr>
      <w:r w:rsidRPr="00726852">
        <w:t xml:space="preserve">Beckett, C (1999) ‘Deaths in Custody and the Inquest System.’ </w:t>
      </w:r>
      <w:r w:rsidRPr="00726852">
        <w:rPr>
          <w:i/>
        </w:rPr>
        <w:t>Critical Social Policy</w:t>
      </w:r>
      <w:r w:rsidRPr="00726852">
        <w:t xml:space="preserve">. 19 (2) 271-280. </w:t>
      </w:r>
    </w:p>
    <w:p w14:paraId="26A7A772" w14:textId="77777777" w:rsidR="00306ED7" w:rsidRPr="00726852" w:rsidRDefault="00306ED7" w:rsidP="00322FC4">
      <w:pPr>
        <w:spacing w:line="240" w:lineRule="auto"/>
        <w:ind w:firstLine="0"/>
      </w:pPr>
      <w:r w:rsidRPr="00726852">
        <w:t xml:space="preserve">Braidwood, T (2010) </w:t>
      </w:r>
      <w:r w:rsidRPr="00726852">
        <w:rPr>
          <w:i/>
        </w:rPr>
        <w:t xml:space="preserve">Why? The Robert </w:t>
      </w:r>
      <w:proofErr w:type="spellStart"/>
      <w:r w:rsidRPr="00726852">
        <w:rPr>
          <w:i/>
        </w:rPr>
        <w:t>Dziekanski</w:t>
      </w:r>
      <w:proofErr w:type="spellEnd"/>
      <w:r w:rsidRPr="00726852">
        <w:rPr>
          <w:i/>
        </w:rPr>
        <w:t xml:space="preserve"> Tragedy.</w:t>
      </w:r>
      <w:r w:rsidRPr="00726852">
        <w:t xml:space="preserve"> Available at: </w:t>
      </w:r>
      <w:hyperlink r:id="rId10" w:history="1">
        <w:r w:rsidRPr="00726852">
          <w:rPr>
            <w:rStyle w:val="Hyperlink"/>
          </w:rPr>
          <w:t>http://www.ag.gov.bc.ca/public_inquiries/docs/BraidwoodPhase2Report.pdf</w:t>
        </w:r>
      </w:hyperlink>
      <w:r w:rsidRPr="00726852">
        <w:t>. Accessed 5/6/15.</w:t>
      </w:r>
    </w:p>
    <w:p w14:paraId="6A0DF644" w14:textId="7A695013" w:rsidR="002A264C" w:rsidRPr="00833FD0" w:rsidRDefault="002A264C" w:rsidP="00322FC4">
      <w:pPr>
        <w:spacing w:before="100" w:beforeAutospacing="1" w:after="100" w:afterAutospacing="1" w:line="240" w:lineRule="auto"/>
        <w:ind w:firstLine="0"/>
        <w:outlineLvl w:val="0"/>
        <w:rPr>
          <w:rFonts w:eastAsia="Times New Roman" w:cs="Calibri"/>
          <w:bCs/>
          <w:kern w:val="36"/>
          <w:lang w:val="en-US"/>
        </w:rPr>
      </w:pPr>
      <w:r>
        <w:rPr>
          <w:rFonts w:cs="Arial"/>
          <w:bCs/>
          <w:lang w:val="en-US"/>
        </w:rPr>
        <w:t xml:space="preserve">Carroll, R, </w:t>
      </w:r>
      <w:proofErr w:type="spellStart"/>
      <w:r>
        <w:rPr>
          <w:rFonts w:cs="Arial"/>
          <w:bCs/>
          <w:lang w:val="en-US"/>
        </w:rPr>
        <w:t>Hawton</w:t>
      </w:r>
      <w:proofErr w:type="spellEnd"/>
      <w:r>
        <w:rPr>
          <w:rFonts w:cs="Arial"/>
          <w:bCs/>
          <w:lang w:val="en-US"/>
        </w:rPr>
        <w:t xml:space="preserve">, K, </w:t>
      </w:r>
      <w:proofErr w:type="spellStart"/>
      <w:r>
        <w:rPr>
          <w:rFonts w:cs="Arial"/>
          <w:bCs/>
          <w:lang w:val="en-US"/>
        </w:rPr>
        <w:t>Kapur</w:t>
      </w:r>
      <w:proofErr w:type="spellEnd"/>
      <w:r>
        <w:rPr>
          <w:rFonts w:cs="Arial"/>
          <w:bCs/>
          <w:lang w:val="en-US"/>
        </w:rPr>
        <w:t xml:space="preserve">, N, </w:t>
      </w:r>
      <w:proofErr w:type="spellStart"/>
      <w:r>
        <w:rPr>
          <w:rFonts w:cs="Arial"/>
          <w:bCs/>
          <w:lang w:val="en-US"/>
        </w:rPr>
        <w:t>Bennewith</w:t>
      </w:r>
      <w:proofErr w:type="spellEnd"/>
      <w:r>
        <w:rPr>
          <w:rFonts w:cs="Arial"/>
          <w:bCs/>
          <w:lang w:val="en-US"/>
        </w:rPr>
        <w:t xml:space="preserve">, O and Gunnell, D (2012) </w:t>
      </w:r>
      <w:r w:rsidRPr="002A264C">
        <w:rPr>
          <w:rFonts w:cs="Arial"/>
          <w:bCs/>
          <w:i/>
          <w:lang w:val="en-US"/>
        </w:rPr>
        <w:t>Impact of the growing use of narrative verdicts by coroners on geographic variations in suicide: analysis of coroners' inquest data.</w:t>
      </w:r>
      <w:r w:rsidR="00833FD0">
        <w:rPr>
          <w:rFonts w:cs="Arial"/>
          <w:bCs/>
          <w:lang w:val="en-US"/>
        </w:rPr>
        <w:t xml:space="preserve"> Journal of Public Health</w:t>
      </w:r>
      <w:r w:rsidR="006054BC">
        <w:rPr>
          <w:rFonts w:cs="Arial"/>
          <w:bCs/>
          <w:lang w:val="en-US"/>
        </w:rPr>
        <w:t>.</w:t>
      </w:r>
      <w:r w:rsidR="00833FD0">
        <w:rPr>
          <w:rFonts w:cs="Arial"/>
          <w:bCs/>
          <w:lang w:val="en-US"/>
        </w:rPr>
        <w:t xml:space="preserve"> 34 (3). 447-453. </w:t>
      </w:r>
    </w:p>
    <w:p w14:paraId="08CF984F" w14:textId="77777777" w:rsidR="00694D38" w:rsidRPr="00726852" w:rsidRDefault="00694D38" w:rsidP="00322FC4">
      <w:pPr>
        <w:spacing w:before="100" w:beforeAutospacing="1" w:after="100" w:afterAutospacing="1" w:line="240" w:lineRule="auto"/>
        <w:ind w:firstLine="0"/>
        <w:outlineLvl w:val="0"/>
        <w:rPr>
          <w:rFonts w:eastAsia="Times New Roman" w:cs="Calibri"/>
          <w:bCs/>
          <w:kern w:val="36"/>
          <w:lang w:val="en-US"/>
        </w:rPr>
      </w:pPr>
      <w:proofErr w:type="spellStart"/>
      <w:r w:rsidRPr="00726852">
        <w:rPr>
          <w:rFonts w:eastAsia="Times New Roman" w:cs="Calibri"/>
          <w:bCs/>
          <w:kern w:val="36"/>
          <w:lang w:val="en-US"/>
        </w:rPr>
        <w:t>Casale</w:t>
      </w:r>
      <w:proofErr w:type="spellEnd"/>
      <w:r w:rsidRPr="00726852">
        <w:rPr>
          <w:rFonts w:eastAsia="Times New Roman" w:cs="Calibri"/>
          <w:bCs/>
          <w:kern w:val="36"/>
          <w:lang w:val="en-US"/>
        </w:rPr>
        <w:t>, S</w:t>
      </w:r>
      <w:r w:rsidR="00D01BF1" w:rsidRPr="00726852">
        <w:rPr>
          <w:rFonts w:eastAsia="Times New Roman" w:cs="Calibri"/>
          <w:bCs/>
          <w:kern w:val="36"/>
          <w:lang w:val="en-US"/>
        </w:rPr>
        <w:t xml:space="preserve">, Corfe, M and Lewis, J (2013) </w:t>
      </w:r>
      <w:r w:rsidRPr="00726852">
        <w:rPr>
          <w:rFonts w:eastAsia="Times New Roman" w:cs="Calibri"/>
          <w:bCs/>
          <w:i/>
          <w:kern w:val="36"/>
          <w:lang w:val="en-US"/>
        </w:rPr>
        <w:t>Report of the independent external review of the IPCC investigati</w:t>
      </w:r>
      <w:r w:rsidR="00D01BF1" w:rsidRPr="00726852">
        <w:rPr>
          <w:rFonts w:eastAsia="Times New Roman" w:cs="Calibri"/>
          <w:bCs/>
          <w:i/>
          <w:kern w:val="36"/>
          <w:lang w:val="en-US"/>
        </w:rPr>
        <w:t>on into the death of Sean Rigg.</w:t>
      </w:r>
      <w:r w:rsidRPr="00726852">
        <w:rPr>
          <w:rFonts w:eastAsia="Times New Roman" w:cs="Calibri"/>
          <w:bCs/>
          <w:kern w:val="36"/>
          <w:lang w:val="en-US"/>
        </w:rPr>
        <w:t xml:space="preserve"> Available at: </w:t>
      </w:r>
      <w:r w:rsidR="00F566FC" w:rsidRPr="00726852">
        <w:rPr>
          <w:rFonts w:eastAsia="Times New Roman" w:cs="Calibri"/>
          <w:bCs/>
          <w:kern w:val="36"/>
          <w:lang w:val="en-US"/>
        </w:rPr>
        <w:fldChar w:fldCharType="begin"/>
      </w:r>
      <w:r w:rsidRPr="00726852">
        <w:rPr>
          <w:rFonts w:eastAsia="Times New Roman" w:cs="Calibri"/>
          <w:bCs/>
          <w:kern w:val="36"/>
          <w:lang w:val="en-US"/>
        </w:rPr>
        <w:instrText xml:space="preserve"> HYPERLINK "http://www.ipcc.gov.uk/news/Pages/pr_170513_Riggreview.aspx. Accessed 21/5/13</w:instrText>
      </w:r>
    </w:p>
    <w:p w14:paraId="1F12C4A6" w14:textId="77777777" w:rsidR="00694D38" w:rsidRPr="00726852" w:rsidRDefault="00694D38" w:rsidP="00322FC4">
      <w:pPr>
        <w:spacing w:before="100" w:beforeAutospacing="1" w:after="100" w:afterAutospacing="1" w:line="240" w:lineRule="auto"/>
        <w:outlineLvl w:val="0"/>
        <w:rPr>
          <w:rFonts w:eastAsia="Times New Roman" w:cs="Calibri"/>
          <w:bCs/>
          <w:color w:val="0000FF"/>
          <w:kern w:val="36"/>
          <w:u w:val="single"/>
          <w:lang w:val="en-US"/>
        </w:rPr>
      </w:pPr>
      <w:r w:rsidRPr="00726852">
        <w:rPr>
          <w:rFonts w:eastAsia="Times New Roman" w:cs="Calibri"/>
          <w:bCs/>
          <w:kern w:val="36"/>
          <w:lang w:val="en-US"/>
        </w:rPr>
        <w:instrText xml:space="preserve">" </w:instrText>
      </w:r>
      <w:r w:rsidR="00F566FC" w:rsidRPr="00726852">
        <w:rPr>
          <w:rFonts w:eastAsia="Times New Roman" w:cs="Calibri"/>
          <w:bCs/>
          <w:kern w:val="36"/>
          <w:lang w:val="en-US"/>
        </w:rPr>
        <w:fldChar w:fldCharType="separate"/>
      </w:r>
      <w:r w:rsidRPr="00726852">
        <w:rPr>
          <w:rFonts w:eastAsia="Times New Roman" w:cs="Calibri"/>
          <w:bCs/>
          <w:color w:val="0000FF"/>
          <w:kern w:val="36"/>
          <w:u w:val="single"/>
          <w:lang w:val="en-US"/>
        </w:rPr>
        <w:t>http://www.ipcc.gov.uk/news/Pages/pr_170513_Riggreview.aspx. Accessed 21/5/13</w:t>
      </w:r>
    </w:p>
    <w:p w14:paraId="2E0EE5C1" w14:textId="77777777" w:rsidR="00471C88" w:rsidRPr="00726852" w:rsidRDefault="00F566FC" w:rsidP="00322FC4">
      <w:pPr>
        <w:spacing w:line="240" w:lineRule="auto"/>
        <w:ind w:firstLine="0"/>
      </w:pPr>
      <w:r w:rsidRPr="00726852">
        <w:rPr>
          <w:rFonts w:cs="Calibri"/>
          <w:b/>
        </w:rPr>
        <w:fldChar w:fldCharType="end"/>
      </w:r>
      <w:r w:rsidR="00471C88" w:rsidRPr="00726852">
        <w:rPr>
          <w:rFonts w:cs="Calibri"/>
        </w:rPr>
        <w:t xml:space="preserve">Chief Coroner (2014) </w:t>
      </w:r>
      <w:r w:rsidR="00471C88" w:rsidRPr="00726852">
        <w:rPr>
          <w:rFonts w:cs="Calibri"/>
          <w:i/>
        </w:rPr>
        <w:t>Report of the Chief Coroner to the Lord Chancellor. First Annual Report 2013-2014.</w:t>
      </w:r>
      <w:r w:rsidR="00471C88" w:rsidRPr="00726852">
        <w:rPr>
          <w:rFonts w:cs="Calibri"/>
        </w:rPr>
        <w:t xml:space="preserve"> Available at: </w:t>
      </w:r>
      <w:hyperlink r:id="rId11" w:history="1">
        <w:r w:rsidR="00471C88" w:rsidRPr="00726852">
          <w:rPr>
            <w:rStyle w:val="Hyperlink"/>
            <w:rFonts w:cs="Calibri"/>
          </w:rPr>
          <w:t>https://www.gov.uk/government/publications/chief-coroners-annual-report-2013-to-2014</w:t>
        </w:r>
      </w:hyperlink>
      <w:r w:rsidR="00471C88" w:rsidRPr="00726852">
        <w:rPr>
          <w:rFonts w:cs="Calibri"/>
        </w:rPr>
        <w:t xml:space="preserve">. Accessed 14/8/15. </w:t>
      </w:r>
    </w:p>
    <w:p w14:paraId="0C90E19A" w14:textId="77777777" w:rsidR="00937827" w:rsidRPr="00726852" w:rsidRDefault="00937827" w:rsidP="00322FC4">
      <w:pPr>
        <w:spacing w:line="240" w:lineRule="auto"/>
        <w:ind w:firstLine="0"/>
      </w:pPr>
      <w:r w:rsidRPr="00726852">
        <w:t xml:space="preserve">Chief Coroner’s Office (2013) </w:t>
      </w:r>
      <w:r w:rsidRPr="00726852">
        <w:rPr>
          <w:i/>
        </w:rPr>
        <w:t>The Chief Coroner’s Guide to the Coroners and Justice Act 2009.</w:t>
      </w:r>
      <w:r w:rsidRPr="00726852">
        <w:t xml:space="preserve"> Available at: </w:t>
      </w:r>
      <w:hyperlink r:id="rId12" w:history="1">
        <w:r w:rsidRPr="00726852">
          <w:rPr>
            <w:rStyle w:val="Hyperlink"/>
          </w:rPr>
          <w:t>http://www.judiciary.gov.uk/wp-content/uploads/JCO/Documents/coroners/guidance/chief-coroners-guide-to-act-sept2013.pdf</w:t>
        </w:r>
      </w:hyperlink>
      <w:r w:rsidRPr="00726852">
        <w:t xml:space="preserve">. Accessed 20/12/13. </w:t>
      </w:r>
    </w:p>
    <w:p w14:paraId="2D2B852C" w14:textId="77777777" w:rsidR="00891A65" w:rsidRPr="00726852" w:rsidRDefault="00891A65" w:rsidP="00322FC4">
      <w:pPr>
        <w:spacing w:line="240" w:lineRule="auto"/>
        <w:ind w:firstLine="0"/>
      </w:pPr>
      <w:r w:rsidRPr="00726852">
        <w:t xml:space="preserve">Claridge, T. Cook, G. Hale, R (2008) ‘Organisational learning and patient safety in the NHS: an exploration of the organisational learning that occurs following a coroner’s report under Rule 43.’ </w:t>
      </w:r>
      <w:r w:rsidRPr="00726852">
        <w:rPr>
          <w:i/>
        </w:rPr>
        <w:t>Clinical Risk.</w:t>
      </w:r>
      <w:r w:rsidRPr="00726852">
        <w:t xml:space="preserve"> (14): 8-13. </w:t>
      </w:r>
    </w:p>
    <w:p w14:paraId="79A0B39C" w14:textId="77777777" w:rsidR="00EB080C" w:rsidRPr="00726852" w:rsidRDefault="00EB080C" w:rsidP="00322FC4">
      <w:pPr>
        <w:spacing w:line="240" w:lineRule="auto"/>
        <w:ind w:firstLine="0"/>
      </w:pPr>
      <w:r w:rsidRPr="00726852">
        <w:t xml:space="preserve">Corrin, J and Douglas, H (2008) ‘Another Aboriginal death in custody: uneasy alliances and tensions in the </w:t>
      </w:r>
      <w:proofErr w:type="spellStart"/>
      <w:r w:rsidRPr="00726852">
        <w:t>Mulrunji</w:t>
      </w:r>
      <w:proofErr w:type="spellEnd"/>
      <w:r w:rsidRPr="00726852">
        <w:t xml:space="preserve"> case.’ </w:t>
      </w:r>
      <w:r w:rsidRPr="00726852">
        <w:rPr>
          <w:i/>
        </w:rPr>
        <w:t>Legal Studies</w:t>
      </w:r>
      <w:r w:rsidRPr="00726852">
        <w:t>. 28 (4). 531-558.</w:t>
      </w:r>
    </w:p>
    <w:p w14:paraId="25176494" w14:textId="77777777" w:rsidR="00A23A51" w:rsidRPr="00726852" w:rsidRDefault="00A23A51" w:rsidP="00322FC4">
      <w:pPr>
        <w:spacing w:line="240" w:lineRule="auto"/>
        <w:ind w:firstLine="0"/>
      </w:pPr>
      <w:r w:rsidRPr="00726852">
        <w:t xml:space="preserve">Davis, G. Lindsey, R. </w:t>
      </w:r>
      <w:proofErr w:type="spellStart"/>
      <w:r w:rsidRPr="00726852">
        <w:t>Seabourne</w:t>
      </w:r>
      <w:proofErr w:type="spellEnd"/>
      <w:r w:rsidRPr="00726852">
        <w:t xml:space="preserve">, G. Griffiths-Baker, J. (2002) </w:t>
      </w:r>
      <w:r w:rsidRPr="00726852">
        <w:rPr>
          <w:i/>
        </w:rPr>
        <w:t>Experiencing Inquests. Home Office Research Study 241.</w:t>
      </w:r>
      <w:r w:rsidRPr="00726852">
        <w:t xml:space="preserve"> Home Office Research, Development and Statistics Directorate.</w:t>
      </w:r>
    </w:p>
    <w:p w14:paraId="0D7A53D1" w14:textId="77777777" w:rsidR="00A23A51" w:rsidRPr="00726852" w:rsidRDefault="00185C9A" w:rsidP="00322FC4">
      <w:pPr>
        <w:spacing w:line="240" w:lineRule="auto"/>
        <w:ind w:firstLine="0"/>
      </w:pPr>
      <w:proofErr w:type="spellStart"/>
      <w:r w:rsidRPr="00726852">
        <w:t>Dodds</w:t>
      </w:r>
      <w:proofErr w:type="spellEnd"/>
      <w:r w:rsidRPr="00726852">
        <w:t xml:space="preserve">, L, Robinson, K, </w:t>
      </w:r>
      <w:proofErr w:type="spellStart"/>
      <w:r w:rsidRPr="00726852">
        <w:t>Daking</w:t>
      </w:r>
      <w:proofErr w:type="spellEnd"/>
      <w:r w:rsidRPr="00726852">
        <w:t xml:space="preserve">, L and Paul, L (2014) ‘The concept of “intent” within Australian coronial data: factors affecting the National Coronial Information System’s classification of mortality attributable to intentional self-harm.’ </w:t>
      </w:r>
      <w:r w:rsidRPr="00726852">
        <w:rPr>
          <w:i/>
        </w:rPr>
        <w:t>Health Information Management Journal</w:t>
      </w:r>
      <w:r w:rsidRPr="00726852">
        <w:t>. 43 (3). 13-22.</w:t>
      </w:r>
    </w:p>
    <w:p w14:paraId="28EE286F" w14:textId="77777777" w:rsidR="00A23A51" w:rsidRPr="00726852" w:rsidRDefault="00A23A51" w:rsidP="00322FC4">
      <w:pPr>
        <w:spacing w:line="240" w:lineRule="auto"/>
        <w:ind w:firstLine="0"/>
      </w:pPr>
      <w:proofErr w:type="spellStart"/>
      <w:r w:rsidRPr="00726852">
        <w:t>Dorries</w:t>
      </w:r>
      <w:proofErr w:type="spellEnd"/>
      <w:r w:rsidRPr="00726852">
        <w:t xml:space="preserve">, C (2004) </w:t>
      </w:r>
      <w:r w:rsidRPr="00726852">
        <w:rPr>
          <w:i/>
        </w:rPr>
        <w:t>Coroners’ Courts: A Guide to Law and Practice</w:t>
      </w:r>
      <w:r w:rsidRPr="00726852">
        <w:t>, 2</w:t>
      </w:r>
      <w:r w:rsidRPr="00726852">
        <w:rPr>
          <w:vertAlign w:val="superscript"/>
        </w:rPr>
        <w:t>nd</w:t>
      </w:r>
      <w:r w:rsidRPr="00726852">
        <w:t xml:space="preserve"> </w:t>
      </w:r>
      <w:proofErr w:type="spellStart"/>
      <w:r w:rsidRPr="00726852">
        <w:t>edn</w:t>
      </w:r>
      <w:proofErr w:type="spellEnd"/>
      <w:r w:rsidRPr="00726852">
        <w:t xml:space="preserve">. Oxford: Oxford University Press. </w:t>
      </w:r>
    </w:p>
    <w:p w14:paraId="5391E3F1" w14:textId="77777777" w:rsidR="00670EEC" w:rsidRPr="00726852" w:rsidRDefault="00670EEC" w:rsidP="00322FC4">
      <w:pPr>
        <w:spacing w:line="240" w:lineRule="auto"/>
        <w:ind w:firstLine="0"/>
      </w:pPr>
      <w:r w:rsidRPr="00726852">
        <w:t xml:space="preserve">European Court of Human Rights (2010) </w:t>
      </w:r>
      <w:r w:rsidRPr="00726852">
        <w:rPr>
          <w:i/>
        </w:rPr>
        <w:t>European Convention on Human Rights.</w:t>
      </w:r>
      <w:r w:rsidRPr="00726852">
        <w:t xml:space="preserve"> Available at: </w:t>
      </w:r>
      <w:hyperlink r:id="rId13" w:history="1">
        <w:r w:rsidRPr="00726852">
          <w:rPr>
            <w:color w:val="0000FF"/>
            <w:u w:val="single"/>
          </w:rPr>
          <w:t>http://www.echr.coe.int/Documents/Convention_ENG.pdf</w:t>
        </w:r>
      </w:hyperlink>
      <w:r w:rsidRPr="00726852">
        <w:t xml:space="preserve">. Accessed 1/6/14. </w:t>
      </w:r>
    </w:p>
    <w:p w14:paraId="1EE2888B" w14:textId="77777777" w:rsidR="007912E3" w:rsidRDefault="007912E3" w:rsidP="00322FC4">
      <w:pPr>
        <w:spacing w:line="240" w:lineRule="auto"/>
        <w:ind w:firstLine="0"/>
      </w:pPr>
      <w:r w:rsidRPr="00726852">
        <w:t xml:space="preserve">Fulton, R (2008) </w:t>
      </w:r>
      <w:r w:rsidRPr="00726852">
        <w:rPr>
          <w:i/>
        </w:rPr>
        <w:t>Review of the Forum for Preventing Deaths in Custody: Report of the Independent Reviewer.</w:t>
      </w:r>
      <w:r w:rsidRPr="00726852">
        <w:t xml:space="preserve"> London. TSO. </w:t>
      </w:r>
    </w:p>
    <w:p w14:paraId="1070C158" w14:textId="6BF8D56A" w:rsidR="00D51FC5" w:rsidRPr="00726852" w:rsidRDefault="00D51FC5" w:rsidP="00322FC4">
      <w:pPr>
        <w:spacing w:line="240" w:lineRule="auto"/>
        <w:ind w:firstLine="0"/>
      </w:pPr>
      <w:r>
        <w:lastRenderedPageBreak/>
        <w:t xml:space="preserve">Goldson, B (2006) ‘Fatal Injustice: Rampant Punitiveness, Child Prisoner Deaths, and Institutional Denial – A Case for Comprehensive Independent Inquiry in England and Wales.’ </w:t>
      </w:r>
      <w:r w:rsidRPr="00D51FC5">
        <w:rPr>
          <w:i/>
        </w:rPr>
        <w:t>Social Justice</w:t>
      </w:r>
      <w:r>
        <w:t xml:space="preserve">. 33 (4). </w:t>
      </w:r>
      <w:r w:rsidR="00897EC9">
        <w:t xml:space="preserve">52-68. </w:t>
      </w:r>
    </w:p>
    <w:p w14:paraId="739CF6DD" w14:textId="77777777" w:rsidR="00694D38" w:rsidRPr="00726852" w:rsidRDefault="00694D38" w:rsidP="00322FC4">
      <w:pPr>
        <w:spacing w:line="240" w:lineRule="auto"/>
        <w:ind w:firstLine="0"/>
      </w:pPr>
      <w:proofErr w:type="spellStart"/>
      <w:r w:rsidRPr="00726852">
        <w:t>Gournay</w:t>
      </w:r>
      <w:proofErr w:type="spellEnd"/>
      <w:r w:rsidRPr="00726852">
        <w:t xml:space="preserve">, K (2005) ‘Deaths in Custody.’ </w:t>
      </w:r>
      <w:r w:rsidRPr="00726852">
        <w:rPr>
          <w:i/>
        </w:rPr>
        <w:t>Mental Health Practice</w:t>
      </w:r>
      <w:r w:rsidRPr="00726852">
        <w:t>. 8 (5) 42-3.</w:t>
      </w:r>
    </w:p>
    <w:p w14:paraId="67B7693B" w14:textId="77777777" w:rsidR="0083767C" w:rsidRPr="00726852" w:rsidRDefault="0083767C" w:rsidP="00322FC4">
      <w:pPr>
        <w:spacing w:line="240" w:lineRule="auto"/>
        <w:ind w:firstLine="0"/>
      </w:pPr>
      <w:r w:rsidRPr="00726852">
        <w:t xml:space="preserve">Greer, C and McLaughlin, E (2012) ‘This Is Not Justice: Ian Tomlinson, Institutional Failure and the Press Politics of Outrage.’ </w:t>
      </w:r>
      <w:r w:rsidRPr="00726852">
        <w:rPr>
          <w:i/>
        </w:rPr>
        <w:t xml:space="preserve">British Journal of Criminology. </w:t>
      </w:r>
      <w:r w:rsidRPr="00726852">
        <w:t>52 (2) 274-293.</w:t>
      </w:r>
    </w:p>
    <w:p w14:paraId="024CDA79" w14:textId="77777777" w:rsidR="00694D38" w:rsidRPr="00726852" w:rsidRDefault="00694D38" w:rsidP="00322FC4">
      <w:pPr>
        <w:spacing w:line="240" w:lineRule="auto"/>
        <w:ind w:firstLine="0"/>
      </w:pPr>
      <w:r w:rsidRPr="00726852">
        <w:t xml:space="preserve">Griffith, R and </w:t>
      </w:r>
      <w:proofErr w:type="spellStart"/>
      <w:r w:rsidRPr="00726852">
        <w:t>Thngnah</w:t>
      </w:r>
      <w:proofErr w:type="spellEnd"/>
      <w:r w:rsidRPr="00726852">
        <w:t xml:space="preserve">, C (2008) ‘The role of the district nurse when involved in the coronial process.’ </w:t>
      </w:r>
      <w:r w:rsidRPr="00726852">
        <w:rPr>
          <w:i/>
        </w:rPr>
        <w:t>British Journal of Community Nursing</w:t>
      </w:r>
      <w:r w:rsidRPr="00726852">
        <w:t>. 13 (2). 93-97.</w:t>
      </w:r>
    </w:p>
    <w:p w14:paraId="24FD248A" w14:textId="2B7A2AE4" w:rsidR="00C3798F" w:rsidRDefault="00C3798F" w:rsidP="00E921CB">
      <w:pPr>
        <w:spacing w:line="240" w:lineRule="auto"/>
        <w:ind w:firstLine="0"/>
        <w:jc w:val="left"/>
      </w:pPr>
      <w:r>
        <w:t xml:space="preserve">Guardian/London School of Economics and Political Science (2012) </w:t>
      </w:r>
      <w:r w:rsidRPr="00E921CB">
        <w:rPr>
          <w:i/>
        </w:rPr>
        <w:t>‘Reading the riots: Investigating England’s summer of disorder.’</w:t>
      </w:r>
      <w:r>
        <w:t xml:space="preserve"> Available at: </w:t>
      </w:r>
      <w:hyperlink r:id="rId14" w:history="1">
        <w:r w:rsidRPr="0077678F">
          <w:rPr>
            <w:rStyle w:val="Hyperlink"/>
          </w:rPr>
          <w:t>http://eprints.lse.ac.uk/46297/1/Reading%20the%20riots(published).pdf</w:t>
        </w:r>
      </w:hyperlink>
      <w:r>
        <w:t xml:space="preserve">. Accessed </w:t>
      </w:r>
      <w:r w:rsidR="00E921CB">
        <w:t xml:space="preserve">8/2/16. </w:t>
      </w:r>
    </w:p>
    <w:p w14:paraId="596605DC" w14:textId="1E6F9515" w:rsidR="00772216" w:rsidRPr="00726852" w:rsidRDefault="00772216" w:rsidP="00322FC4">
      <w:pPr>
        <w:spacing w:line="240" w:lineRule="auto"/>
        <w:ind w:firstLine="0"/>
      </w:pPr>
      <w:r w:rsidRPr="00726852">
        <w:t xml:space="preserve">Hill, C &amp; Cook, L (2011) ‘Narrative Verdicts and their impact on mortality statistics in England and Wales.’ </w:t>
      </w:r>
      <w:r w:rsidRPr="00726852">
        <w:rPr>
          <w:i/>
        </w:rPr>
        <w:t>Health Statistics Quarterly.</w:t>
      </w:r>
      <w:r w:rsidRPr="00726852">
        <w:t xml:space="preserve"> 49 (1). 1-20.</w:t>
      </w:r>
    </w:p>
    <w:p w14:paraId="39FBA1B7" w14:textId="77777777" w:rsidR="00957309" w:rsidRPr="00726852" w:rsidRDefault="00E743E9" w:rsidP="00322FC4">
      <w:pPr>
        <w:spacing w:line="240" w:lineRule="auto"/>
        <w:ind w:firstLine="0"/>
        <w:rPr>
          <w:rFonts w:cs="Calibri"/>
        </w:rPr>
      </w:pPr>
      <w:r w:rsidRPr="00726852">
        <w:rPr>
          <w:rFonts w:cs="Calibri"/>
        </w:rPr>
        <w:t>HAC</w:t>
      </w:r>
      <w:r w:rsidR="00957309" w:rsidRPr="00726852">
        <w:rPr>
          <w:rFonts w:cs="Calibri"/>
        </w:rPr>
        <w:t xml:space="preserve"> (2013) </w:t>
      </w:r>
      <w:r w:rsidR="00957309" w:rsidRPr="00726852">
        <w:rPr>
          <w:rFonts w:cs="Calibri"/>
          <w:i/>
        </w:rPr>
        <w:t>Independent Police Complaints Commission.</w:t>
      </w:r>
      <w:r w:rsidR="00957309" w:rsidRPr="00726852">
        <w:rPr>
          <w:rFonts w:cs="Calibri"/>
        </w:rPr>
        <w:t xml:space="preserve"> London: TSO</w:t>
      </w:r>
    </w:p>
    <w:p w14:paraId="0577BD54" w14:textId="77777777" w:rsidR="00957309" w:rsidRPr="00726852" w:rsidRDefault="00E743E9" w:rsidP="00322FC4">
      <w:pPr>
        <w:spacing w:line="240" w:lineRule="auto"/>
        <w:ind w:firstLine="0"/>
        <w:rPr>
          <w:rFonts w:cs="Calibri"/>
        </w:rPr>
      </w:pPr>
      <w:r w:rsidRPr="00726852">
        <w:rPr>
          <w:rFonts w:cs="Calibri"/>
        </w:rPr>
        <w:t>HAC</w:t>
      </w:r>
      <w:r w:rsidR="00957309" w:rsidRPr="00726852">
        <w:rPr>
          <w:rFonts w:cs="Calibri"/>
        </w:rPr>
        <w:t xml:space="preserve"> (2010) </w:t>
      </w:r>
      <w:r w:rsidR="00957309" w:rsidRPr="00726852">
        <w:rPr>
          <w:rFonts w:cs="Calibri"/>
          <w:i/>
        </w:rPr>
        <w:t>The work of the Independent Police Complaints Commission.</w:t>
      </w:r>
      <w:r w:rsidR="00957309" w:rsidRPr="00726852">
        <w:rPr>
          <w:rFonts w:cs="Calibri"/>
        </w:rPr>
        <w:t xml:space="preserve"> London: TSO. </w:t>
      </w:r>
    </w:p>
    <w:p w14:paraId="5DA6FCCE" w14:textId="77777777" w:rsidR="0018105E" w:rsidRPr="00726852" w:rsidRDefault="00E743E9" w:rsidP="00322FC4">
      <w:pPr>
        <w:spacing w:line="240" w:lineRule="auto"/>
        <w:ind w:firstLine="0"/>
      </w:pPr>
      <w:r w:rsidRPr="00726852">
        <w:t>HAC</w:t>
      </w:r>
      <w:r w:rsidR="0018105E" w:rsidRPr="00726852">
        <w:t xml:space="preserve"> (1980). </w:t>
      </w:r>
      <w:r w:rsidR="0018105E" w:rsidRPr="00726852">
        <w:rPr>
          <w:i/>
        </w:rPr>
        <w:t>Deaths in Police Custody: Together with the Proceedings of the Committee, and the Minutes of Evidence and Appendices</w:t>
      </w:r>
      <w:r w:rsidR="0018105E" w:rsidRPr="00726852">
        <w:t xml:space="preserve">. London. HMSO. </w:t>
      </w:r>
    </w:p>
    <w:p w14:paraId="6A3D5B00" w14:textId="77777777" w:rsidR="00694D38" w:rsidRPr="00726852" w:rsidRDefault="00694D38" w:rsidP="00322FC4">
      <w:pPr>
        <w:spacing w:line="240" w:lineRule="auto"/>
        <w:ind w:firstLine="0"/>
        <w:rPr>
          <w:rFonts w:cs="Times New Roman"/>
        </w:rPr>
      </w:pPr>
      <w:r w:rsidRPr="00726852">
        <w:rPr>
          <w:rFonts w:cs="Times New Roman"/>
        </w:rPr>
        <w:t xml:space="preserve">House of Lords (2004) </w:t>
      </w:r>
      <w:r w:rsidRPr="00726852">
        <w:rPr>
          <w:bCs/>
          <w:i/>
        </w:rPr>
        <w:t xml:space="preserve">Judgments - Regina v. Her Majesty's Coroner for the Western District of Somerset (Respondent) and another (Appellant) ex </w:t>
      </w:r>
      <w:proofErr w:type="spellStart"/>
      <w:r w:rsidRPr="00726852">
        <w:rPr>
          <w:bCs/>
          <w:i/>
        </w:rPr>
        <w:t>parte</w:t>
      </w:r>
      <w:proofErr w:type="spellEnd"/>
      <w:r w:rsidRPr="00726852">
        <w:rPr>
          <w:bCs/>
          <w:i/>
        </w:rPr>
        <w:t xml:space="preserve"> Middleton (FC) (Respondent)</w:t>
      </w:r>
      <w:r w:rsidR="007A7014" w:rsidRPr="00726852">
        <w:rPr>
          <w:rFonts w:cs="Times New Roman"/>
        </w:rPr>
        <w:t>.</w:t>
      </w:r>
    </w:p>
    <w:p w14:paraId="4ED90BFB" w14:textId="77777777" w:rsidR="000150D9" w:rsidRPr="00726852" w:rsidRDefault="000150D9" w:rsidP="00322FC4">
      <w:pPr>
        <w:spacing w:line="240" w:lineRule="auto"/>
        <w:ind w:firstLine="0"/>
        <w:rPr>
          <w:rFonts w:cs="Times New Roman"/>
          <w:i/>
        </w:rPr>
      </w:pPr>
      <w:r w:rsidRPr="00726852">
        <w:rPr>
          <w:rFonts w:cs="Times New Roman"/>
        </w:rPr>
        <w:t xml:space="preserve">House of Lords (1995) </w:t>
      </w:r>
      <w:r w:rsidRPr="00726852">
        <w:rPr>
          <w:rFonts w:cs="Times New Roman"/>
          <w:i/>
        </w:rPr>
        <w:t xml:space="preserve">Judgements – Regina v. Her Majesty’s Coroner for North Humberside ex </w:t>
      </w:r>
      <w:proofErr w:type="spellStart"/>
      <w:r w:rsidRPr="00726852">
        <w:rPr>
          <w:rFonts w:cs="Times New Roman"/>
          <w:i/>
        </w:rPr>
        <w:t>parte</w:t>
      </w:r>
      <w:proofErr w:type="spellEnd"/>
      <w:r w:rsidRPr="00726852">
        <w:rPr>
          <w:rFonts w:cs="Times New Roman"/>
          <w:i/>
        </w:rPr>
        <w:t xml:space="preserve"> Jamieson [1995]</w:t>
      </w:r>
      <w:r w:rsidR="000C39F2" w:rsidRPr="00726852">
        <w:rPr>
          <w:rFonts w:cs="Times New Roman"/>
          <w:i/>
        </w:rPr>
        <w:t xml:space="preserve"> QB1</w:t>
      </w:r>
      <w:r w:rsidRPr="00726852">
        <w:rPr>
          <w:rFonts w:cs="Times New Roman"/>
          <w:i/>
        </w:rPr>
        <w:t xml:space="preserve">.  </w:t>
      </w:r>
    </w:p>
    <w:p w14:paraId="77AD751F" w14:textId="77777777" w:rsidR="002A7515" w:rsidRPr="00726852" w:rsidRDefault="002A7515" w:rsidP="00322FC4">
      <w:pPr>
        <w:pStyle w:val="Heading1"/>
        <w:ind w:firstLine="0"/>
        <w:rPr>
          <w:rFonts w:asciiTheme="minorHAnsi" w:hAnsiTheme="minorHAnsi"/>
          <w:b w:val="0"/>
          <w:sz w:val="22"/>
          <w:szCs w:val="22"/>
        </w:rPr>
      </w:pPr>
      <w:r w:rsidRPr="00726852">
        <w:rPr>
          <w:rFonts w:asciiTheme="minorHAnsi" w:hAnsiTheme="minorHAnsi" w:cs="Calibri"/>
          <w:b w:val="0"/>
          <w:sz w:val="22"/>
          <w:szCs w:val="22"/>
        </w:rPr>
        <w:t xml:space="preserve">IPCC (2014) </w:t>
      </w:r>
      <w:r w:rsidRPr="00726852">
        <w:rPr>
          <w:rFonts w:asciiTheme="minorHAnsi" w:hAnsiTheme="minorHAnsi"/>
          <w:b w:val="0"/>
          <w:i/>
          <w:sz w:val="22"/>
          <w:szCs w:val="22"/>
        </w:rPr>
        <w:t>Review of the IPCC’s work in investigating deaths: Final report.</w:t>
      </w:r>
      <w:r w:rsidRPr="00726852">
        <w:rPr>
          <w:rFonts w:asciiTheme="minorHAnsi" w:hAnsiTheme="minorHAnsi"/>
          <w:b w:val="0"/>
          <w:sz w:val="22"/>
          <w:szCs w:val="22"/>
        </w:rPr>
        <w:t xml:space="preserve"> Available at: </w:t>
      </w:r>
      <w:hyperlink r:id="rId15" w:history="1">
        <w:r w:rsidR="000F4D44" w:rsidRPr="00726852">
          <w:rPr>
            <w:rStyle w:val="Hyperlink"/>
            <w:rFonts w:asciiTheme="minorHAnsi" w:hAnsiTheme="minorHAnsi"/>
            <w:b w:val="0"/>
            <w:sz w:val="22"/>
            <w:szCs w:val="22"/>
          </w:rPr>
          <w:t>http://www.ipcc.gov.uk/sites/default/files/Documents/deaths_review/Review_of_the_IPCCs_work_in_investigating_deaths_2014.pdf. Accessed 17/3/14</w:t>
        </w:r>
      </w:hyperlink>
      <w:r w:rsidRPr="00726852">
        <w:rPr>
          <w:rFonts w:asciiTheme="minorHAnsi" w:hAnsiTheme="minorHAnsi"/>
          <w:b w:val="0"/>
          <w:sz w:val="22"/>
          <w:szCs w:val="22"/>
        </w:rPr>
        <w:t>.</w:t>
      </w:r>
    </w:p>
    <w:p w14:paraId="54731767" w14:textId="77777777" w:rsidR="000F4D44" w:rsidRPr="00726852" w:rsidRDefault="000F4D44" w:rsidP="00322FC4">
      <w:pPr>
        <w:spacing w:line="240" w:lineRule="auto"/>
        <w:ind w:firstLine="0"/>
        <w:rPr>
          <w:rFonts w:eastAsia="Times New Roman"/>
        </w:rPr>
      </w:pPr>
      <w:r w:rsidRPr="00726852">
        <w:rPr>
          <w:rFonts w:eastAsia="Times New Roman"/>
        </w:rPr>
        <w:t xml:space="preserve">IPCC (2012) </w:t>
      </w:r>
      <w:r w:rsidRPr="00726852">
        <w:rPr>
          <w:rFonts w:eastAsia="Times New Roman"/>
          <w:i/>
        </w:rPr>
        <w:t>Deaths During or Following Police Contact: Statistics for England and Wales 2011/12.</w:t>
      </w:r>
      <w:r w:rsidRPr="00726852">
        <w:rPr>
          <w:rFonts w:eastAsia="Times New Roman"/>
        </w:rPr>
        <w:t xml:space="preserve"> Available at: </w:t>
      </w:r>
      <w:hyperlink r:id="rId16" w:history="1">
        <w:r w:rsidR="007912E3" w:rsidRPr="00726852">
          <w:rPr>
            <w:rStyle w:val="Hyperlink"/>
            <w:rFonts w:eastAsia="Times New Roman"/>
          </w:rPr>
          <w:t>http://www.ipcc.gov.uk/en/Pages/reports_polcustody.aspx. Accessed 7/11/12</w:t>
        </w:r>
      </w:hyperlink>
      <w:r w:rsidRPr="00726852">
        <w:rPr>
          <w:rFonts w:eastAsia="Times New Roman"/>
        </w:rPr>
        <w:t xml:space="preserve">. </w:t>
      </w:r>
    </w:p>
    <w:p w14:paraId="5E55AF0C" w14:textId="77777777" w:rsidR="007912E3" w:rsidRPr="00726852" w:rsidRDefault="00E743E9" w:rsidP="00322FC4">
      <w:pPr>
        <w:spacing w:line="240" w:lineRule="auto"/>
        <w:ind w:firstLine="0"/>
      </w:pPr>
      <w:r w:rsidRPr="00726852">
        <w:t>JCHR</w:t>
      </w:r>
      <w:r w:rsidR="007912E3" w:rsidRPr="00726852">
        <w:t xml:space="preserve"> (2004). </w:t>
      </w:r>
      <w:r w:rsidR="007F74B2" w:rsidRPr="00726852">
        <w:rPr>
          <w:i/>
        </w:rPr>
        <w:t xml:space="preserve">Deaths in Custody: </w:t>
      </w:r>
      <w:r w:rsidR="007912E3" w:rsidRPr="00726852">
        <w:rPr>
          <w:i/>
        </w:rPr>
        <w:t>Third Report</w:t>
      </w:r>
      <w:r w:rsidR="007F74B2" w:rsidRPr="00726852">
        <w:rPr>
          <w:i/>
        </w:rPr>
        <w:t xml:space="preserve"> of Session 2004-05</w:t>
      </w:r>
      <w:r w:rsidR="007912E3" w:rsidRPr="00726852">
        <w:t xml:space="preserve">. Available at: </w:t>
      </w:r>
      <w:hyperlink r:id="rId17" w:anchor="a46" w:history="1">
        <w:r w:rsidR="007912E3" w:rsidRPr="00726852">
          <w:rPr>
            <w:rStyle w:val="Hyperlink"/>
          </w:rPr>
          <w:t>http://www.publications.parliament.uk/pa/jt200405/jtselect/jtrights/15/1510.htm#a46</w:t>
        </w:r>
      </w:hyperlink>
      <w:r w:rsidR="007912E3" w:rsidRPr="00726852">
        <w:t>. Accessed 6.6.13</w:t>
      </w:r>
    </w:p>
    <w:p w14:paraId="18293707" w14:textId="77777777" w:rsidR="00A23A51" w:rsidRPr="00726852" w:rsidRDefault="00A23A51" w:rsidP="00322FC4">
      <w:pPr>
        <w:spacing w:line="240" w:lineRule="auto"/>
        <w:ind w:firstLine="0"/>
      </w:pPr>
      <w:r w:rsidRPr="00726852">
        <w:t xml:space="preserve">Levine, M (and Pyke, J) (1999) </w:t>
      </w:r>
      <w:r w:rsidRPr="00726852">
        <w:rPr>
          <w:i/>
        </w:rPr>
        <w:t xml:space="preserve">Levine on Coroners’ Courts. </w:t>
      </w:r>
      <w:r w:rsidRPr="00726852">
        <w:t>London: Sweet and Maxwell.</w:t>
      </w:r>
    </w:p>
    <w:p w14:paraId="0030CEF4" w14:textId="77777777" w:rsidR="00A23A51" w:rsidRPr="00726852" w:rsidRDefault="00A23A51" w:rsidP="00322FC4">
      <w:pPr>
        <w:spacing w:line="240" w:lineRule="auto"/>
        <w:ind w:firstLine="0"/>
      </w:pPr>
      <w:proofErr w:type="spellStart"/>
      <w:r w:rsidRPr="00726852">
        <w:t>Luce</w:t>
      </w:r>
      <w:proofErr w:type="spellEnd"/>
      <w:r w:rsidRPr="00726852">
        <w:t xml:space="preserve">, T (2003) </w:t>
      </w:r>
      <w:r w:rsidRPr="00726852">
        <w:rPr>
          <w:i/>
        </w:rPr>
        <w:t xml:space="preserve">Death Certification and Investigation in England, Wales and Northern Ireland: </w:t>
      </w:r>
      <w:proofErr w:type="gramStart"/>
      <w:r w:rsidRPr="00726852">
        <w:rPr>
          <w:i/>
        </w:rPr>
        <w:t>the</w:t>
      </w:r>
      <w:proofErr w:type="gramEnd"/>
      <w:r w:rsidRPr="00726852">
        <w:rPr>
          <w:i/>
        </w:rPr>
        <w:t xml:space="preserve"> Report of a Fundamental Review</w:t>
      </w:r>
      <w:r w:rsidRPr="00726852">
        <w:t xml:space="preserve">. London: The Stationery Office. </w:t>
      </w:r>
    </w:p>
    <w:p w14:paraId="6B801E16" w14:textId="77777777" w:rsidR="00891A65" w:rsidRPr="00726852" w:rsidRDefault="00891A65" w:rsidP="00322FC4">
      <w:pPr>
        <w:spacing w:line="240" w:lineRule="auto"/>
        <w:ind w:firstLine="0"/>
      </w:pPr>
      <w:r w:rsidRPr="00726852">
        <w:t xml:space="preserve">Matthews, P (2014) </w:t>
      </w:r>
      <w:r w:rsidRPr="00726852">
        <w:rPr>
          <w:i/>
        </w:rPr>
        <w:t xml:space="preserve">Jervis on the Office and Duties of Coroners: with forms and precedents. 13th </w:t>
      </w:r>
      <w:proofErr w:type="spellStart"/>
      <w:r w:rsidRPr="00726852">
        <w:rPr>
          <w:i/>
        </w:rPr>
        <w:t>edn</w:t>
      </w:r>
      <w:proofErr w:type="spellEnd"/>
      <w:r w:rsidRPr="00726852">
        <w:t>. London. Sweet and Maxwell.</w:t>
      </w:r>
    </w:p>
    <w:p w14:paraId="2D0F1BB8" w14:textId="77777777" w:rsidR="00891A65" w:rsidRPr="00726852" w:rsidRDefault="00891A65" w:rsidP="00322FC4">
      <w:pPr>
        <w:spacing w:line="240" w:lineRule="auto"/>
        <w:ind w:firstLine="0"/>
      </w:pPr>
      <w:r w:rsidRPr="00726852">
        <w:t xml:space="preserve">Matthews, P (2011) </w:t>
      </w:r>
      <w:r w:rsidRPr="00726852">
        <w:rPr>
          <w:i/>
        </w:rPr>
        <w:t>Jervis on the Office and Duties of Coroners: with forms and precedents. Fourth Cumulative Supplement to the Twelfth Edition.</w:t>
      </w:r>
      <w:r w:rsidRPr="00726852">
        <w:t xml:space="preserve"> London: Sweet and Maxwell. </w:t>
      </w:r>
    </w:p>
    <w:p w14:paraId="37A72F18" w14:textId="77777777" w:rsidR="00DA1889" w:rsidRPr="00726852" w:rsidRDefault="00DA1889" w:rsidP="00322FC4">
      <w:pPr>
        <w:spacing w:line="240" w:lineRule="auto"/>
        <w:ind w:firstLine="0"/>
      </w:pPr>
      <w:r w:rsidRPr="00726852">
        <w:t xml:space="preserve">Matthews, P (2007) ‘Show Me the Money: </w:t>
      </w:r>
      <w:proofErr w:type="gramStart"/>
      <w:r w:rsidRPr="00726852">
        <w:t>the</w:t>
      </w:r>
      <w:proofErr w:type="gramEnd"/>
      <w:r w:rsidRPr="00726852">
        <w:t xml:space="preserve"> New Death Investigation System.’ </w:t>
      </w:r>
      <w:r w:rsidRPr="00726852">
        <w:rPr>
          <w:i/>
        </w:rPr>
        <w:t xml:space="preserve">Medico-Legal Journal. </w:t>
      </w:r>
      <w:r w:rsidRPr="00726852">
        <w:t xml:space="preserve">75 (4). 123-138. </w:t>
      </w:r>
    </w:p>
    <w:p w14:paraId="23C68FFA" w14:textId="77777777" w:rsidR="00891A65" w:rsidRPr="00726852" w:rsidRDefault="00891A65" w:rsidP="00322FC4">
      <w:pPr>
        <w:spacing w:line="240" w:lineRule="auto"/>
        <w:ind w:firstLine="0"/>
      </w:pPr>
      <w:r w:rsidRPr="00726852">
        <w:lastRenderedPageBreak/>
        <w:t xml:space="preserve">Matthews, P (2002) </w:t>
      </w:r>
      <w:r w:rsidRPr="00726852">
        <w:rPr>
          <w:i/>
        </w:rPr>
        <w:t>Jervis on the Office and Duties of Coroners: with forms and precedents</w:t>
      </w:r>
      <w:r w:rsidRPr="00726852">
        <w:t xml:space="preserve"> </w:t>
      </w:r>
      <w:r w:rsidRPr="00726852">
        <w:rPr>
          <w:i/>
        </w:rPr>
        <w:t>12</w:t>
      </w:r>
      <w:r w:rsidRPr="00726852">
        <w:rPr>
          <w:i/>
          <w:vertAlign w:val="superscript"/>
        </w:rPr>
        <w:t>th</w:t>
      </w:r>
      <w:r w:rsidRPr="00726852">
        <w:rPr>
          <w:i/>
        </w:rPr>
        <w:t xml:space="preserve"> </w:t>
      </w:r>
      <w:proofErr w:type="spellStart"/>
      <w:r w:rsidRPr="00726852">
        <w:rPr>
          <w:i/>
        </w:rPr>
        <w:t>edn</w:t>
      </w:r>
      <w:proofErr w:type="spellEnd"/>
      <w:r w:rsidRPr="00726852">
        <w:t xml:space="preserve">. London: Sweet and Maxwell. </w:t>
      </w:r>
    </w:p>
    <w:p w14:paraId="138E1EA6" w14:textId="77777777" w:rsidR="00694D38" w:rsidRPr="00726852" w:rsidRDefault="00694D38" w:rsidP="00322FC4">
      <w:pPr>
        <w:spacing w:line="240" w:lineRule="auto"/>
        <w:ind w:firstLine="0"/>
      </w:pPr>
      <w:r w:rsidRPr="00726852">
        <w:t xml:space="preserve">McIntosh, S (2012) ‘Fulfilling their purpose: inquests, article 2 and next of kin.’ </w:t>
      </w:r>
      <w:r w:rsidRPr="00726852">
        <w:rPr>
          <w:i/>
        </w:rPr>
        <w:t>Public Law</w:t>
      </w:r>
      <w:r w:rsidRPr="00726852">
        <w:t>. July. 407-415.</w:t>
      </w:r>
    </w:p>
    <w:p w14:paraId="4E3A7BF4" w14:textId="77777777" w:rsidR="001A2622" w:rsidRPr="00726852" w:rsidRDefault="001A2622" w:rsidP="00322FC4">
      <w:pPr>
        <w:spacing w:after="0" w:line="240" w:lineRule="auto"/>
        <w:ind w:firstLine="0"/>
        <w:rPr>
          <w:rFonts w:eastAsia="Times New Roman" w:cs="Times New Roman"/>
        </w:rPr>
      </w:pPr>
      <w:r w:rsidRPr="00726852">
        <w:rPr>
          <w:rFonts w:eastAsia="Times New Roman" w:cs="Times New Roman"/>
        </w:rPr>
        <w:t xml:space="preserve">McLaughlin, E (2007) </w:t>
      </w:r>
      <w:r w:rsidRPr="00726852">
        <w:rPr>
          <w:rFonts w:eastAsia="Times New Roman" w:cs="Times New Roman"/>
          <w:i/>
          <w:iCs/>
        </w:rPr>
        <w:t xml:space="preserve">The New Policing. </w:t>
      </w:r>
      <w:r w:rsidRPr="00726852">
        <w:rPr>
          <w:rFonts w:eastAsia="Times New Roman" w:cs="Times New Roman"/>
        </w:rPr>
        <w:t>London. Sage.</w:t>
      </w:r>
    </w:p>
    <w:p w14:paraId="34B21B94" w14:textId="77777777" w:rsidR="001A2622" w:rsidRPr="00726852" w:rsidRDefault="001A2622" w:rsidP="00322FC4">
      <w:pPr>
        <w:spacing w:after="0" w:line="240" w:lineRule="auto"/>
        <w:rPr>
          <w:rFonts w:eastAsia="Times New Roman" w:cs="Times New Roman"/>
        </w:rPr>
      </w:pPr>
    </w:p>
    <w:p w14:paraId="2FD8D1BC" w14:textId="77777777" w:rsidR="00334D10" w:rsidRPr="00726852" w:rsidRDefault="00334D10" w:rsidP="00322FC4">
      <w:pPr>
        <w:spacing w:line="240" w:lineRule="auto"/>
        <w:ind w:firstLine="0"/>
      </w:pPr>
      <w:r w:rsidRPr="00726852">
        <w:t xml:space="preserve">Ministry of Justice (2014) </w:t>
      </w:r>
      <w:r w:rsidRPr="00726852">
        <w:rPr>
          <w:i/>
        </w:rPr>
        <w:t>Coroners Statistics 2014: England and Wales</w:t>
      </w:r>
      <w:r w:rsidRPr="00726852">
        <w:t xml:space="preserve">. Available at:  </w:t>
      </w:r>
      <w:hyperlink r:id="rId18" w:history="1">
        <w:r w:rsidRPr="00726852">
          <w:rPr>
            <w:rStyle w:val="Hyperlink"/>
          </w:rPr>
          <w:t>https://www.gov.uk/government/uploads/system/uploads/attachment_data/file/427720/coroners-statistics-2014.pdf</w:t>
        </w:r>
      </w:hyperlink>
      <w:r w:rsidRPr="00726852">
        <w:t xml:space="preserve">. Accessed on 5/8/15. </w:t>
      </w:r>
    </w:p>
    <w:p w14:paraId="2BF2F263" w14:textId="77777777" w:rsidR="00ED5150" w:rsidRPr="00726852" w:rsidRDefault="00ED5150" w:rsidP="00322FC4">
      <w:pPr>
        <w:spacing w:line="240" w:lineRule="auto"/>
        <w:ind w:firstLine="0"/>
      </w:pPr>
      <w:r w:rsidRPr="00726852">
        <w:t xml:space="preserve">Ministry of Justice (2010) </w:t>
      </w:r>
      <w:r w:rsidRPr="00726852">
        <w:rPr>
          <w:i/>
        </w:rPr>
        <w:t>Summary of Reports and Responses under Rule 43 of the Coroners’ Rules: September 2010.</w:t>
      </w:r>
      <w:r w:rsidR="009E14EC" w:rsidRPr="00726852">
        <w:rPr>
          <w:i/>
        </w:rPr>
        <w:t xml:space="preserve"> </w:t>
      </w:r>
      <w:r w:rsidR="009E14EC" w:rsidRPr="00726852">
        <w:t xml:space="preserve">London. TSO. </w:t>
      </w:r>
    </w:p>
    <w:p w14:paraId="224998AF" w14:textId="77777777" w:rsidR="00203286" w:rsidRPr="00726852" w:rsidRDefault="00203286" w:rsidP="00322FC4">
      <w:pPr>
        <w:spacing w:line="240" w:lineRule="auto"/>
        <w:ind w:firstLine="0"/>
      </w:pPr>
      <w:proofErr w:type="spellStart"/>
      <w:r w:rsidRPr="00726852">
        <w:t>Mok</w:t>
      </w:r>
      <w:proofErr w:type="spellEnd"/>
      <w:r w:rsidRPr="00726852">
        <w:t xml:space="preserve">, E (2014) ‘Harnessing the Full Potential of Coroners’ Recommendations.’ </w:t>
      </w:r>
      <w:r w:rsidRPr="00726852">
        <w:rPr>
          <w:i/>
        </w:rPr>
        <w:t>Victoria University of Wellington Law Review.</w:t>
      </w:r>
      <w:r w:rsidRPr="00726852">
        <w:t xml:space="preserve"> 44 (1). 321-366.</w:t>
      </w:r>
    </w:p>
    <w:p w14:paraId="7C732772" w14:textId="77777777" w:rsidR="00D52553" w:rsidRPr="00726852" w:rsidRDefault="00D52553" w:rsidP="00322FC4">
      <w:pPr>
        <w:spacing w:line="240" w:lineRule="auto"/>
        <w:ind w:firstLine="0"/>
      </w:pPr>
      <w:r w:rsidRPr="00726852">
        <w:t xml:space="preserve">New South Wales Police Ombudsman (2013) </w:t>
      </w:r>
      <w:r w:rsidRPr="00726852">
        <w:rPr>
          <w:i/>
        </w:rPr>
        <w:t xml:space="preserve">Ombudsman monitoring of the police investigation into the death of Roberto </w:t>
      </w:r>
      <w:proofErr w:type="spellStart"/>
      <w:r w:rsidRPr="00726852">
        <w:rPr>
          <w:i/>
        </w:rPr>
        <w:t>Laudisio-Curti</w:t>
      </w:r>
      <w:proofErr w:type="spellEnd"/>
      <w:r w:rsidRPr="00726852">
        <w:rPr>
          <w:i/>
        </w:rPr>
        <w:t>.</w:t>
      </w:r>
      <w:r w:rsidRPr="00726852">
        <w:t xml:space="preserve"> Available at: </w:t>
      </w:r>
      <w:hyperlink r:id="rId19" w:history="1">
        <w:r w:rsidRPr="00726852">
          <w:rPr>
            <w:rStyle w:val="Hyperlink"/>
          </w:rPr>
          <w:t>http://www.theioi.org/downloads/5sngu/NSW%20OM%20Report%20on%20Police%20INvestigation.pdf</w:t>
        </w:r>
      </w:hyperlink>
      <w:r w:rsidRPr="00726852">
        <w:t xml:space="preserve">. Accessed 18/8/15. </w:t>
      </w:r>
    </w:p>
    <w:p w14:paraId="68BD3141" w14:textId="77777777" w:rsidR="00CD1861" w:rsidRPr="00726852" w:rsidRDefault="00CD1861" w:rsidP="00322FC4">
      <w:pPr>
        <w:spacing w:line="240" w:lineRule="auto"/>
        <w:ind w:firstLine="0"/>
      </w:pPr>
      <w:r w:rsidRPr="00726852">
        <w:t xml:space="preserve">Parliament (2009) </w:t>
      </w:r>
      <w:r w:rsidRPr="00726852">
        <w:rPr>
          <w:i/>
        </w:rPr>
        <w:t>Coroners and Justice Act.</w:t>
      </w:r>
      <w:r w:rsidRPr="00726852">
        <w:t xml:space="preserve"> Available at: </w:t>
      </w:r>
      <w:hyperlink r:id="rId20" w:history="1">
        <w:r w:rsidRPr="00726852">
          <w:rPr>
            <w:rStyle w:val="Hyperlink"/>
          </w:rPr>
          <w:t>http://www.legislation.gov.uk/ukpga/2009/25/section/1</w:t>
        </w:r>
      </w:hyperlink>
      <w:r w:rsidRPr="00726852">
        <w:t xml:space="preserve">. Accessed 10/8/15. </w:t>
      </w:r>
    </w:p>
    <w:p w14:paraId="3D1779BC" w14:textId="77777777" w:rsidR="00694D38" w:rsidRDefault="00694D38" w:rsidP="00322FC4">
      <w:pPr>
        <w:spacing w:line="240" w:lineRule="auto"/>
        <w:ind w:firstLine="0"/>
      </w:pPr>
      <w:r w:rsidRPr="00726852">
        <w:t xml:space="preserve">Pilkington, P, Bird, E, </w:t>
      </w:r>
      <w:proofErr w:type="spellStart"/>
      <w:r w:rsidRPr="00726852">
        <w:t>Gray</w:t>
      </w:r>
      <w:proofErr w:type="spellEnd"/>
      <w:r w:rsidRPr="00726852">
        <w:t xml:space="preserve">, S, Towner, E, Weld, S and McKibben, M (2014) ‘Understanding the social context of fatal road traffic collisions among young people: a qualitative analysis of narrative text in coroners’ records.’ </w:t>
      </w:r>
      <w:r w:rsidRPr="00726852">
        <w:rPr>
          <w:i/>
        </w:rPr>
        <w:t>BMC Public Health</w:t>
      </w:r>
      <w:r w:rsidRPr="00726852">
        <w:t xml:space="preserve">. 14. 78. </w:t>
      </w:r>
    </w:p>
    <w:p w14:paraId="3DE4B1C8" w14:textId="7174A286" w:rsidR="006A3BE1" w:rsidRDefault="006A3BE1" w:rsidP="00322FC4">
      <w:pPr>
        <w:spacing w:line="240" w:lineRule="auto"/>
        <w:ind w:firstLine="0"/>
      </w:pPr>
      <w:r>
        <w:t xml:space="preserve">Scott Bray, R (2013) ‘Paradoxical Justice: the case of Ian Tomlinson.’ </w:t>
      </w:r>
      <w:r w:rsidRPr="006A3BE1">
        <w:rPr>
          <w:i/>
        </w:rPr>
        <w:t>Journal of Law and Medicine</w:t>
      </w:r>
      <w:r>
        <w:t xml:space="preserve">. 21 (2). 447-472. </w:t>
      </w:r>
    </w:p>
    <w:p w14:paraId="2FBC83CD" w14:textId="62219883" w:rsidR="00A77614" w:rsidRDefault="00A77614" w:rsidP="00322FC4">
      <w:pPr>
        <w:spacing w:line="240" w:lineRule="auto"/>
        <w:ind w:firstLine="0"/>
      </w:pPr>
      <w:r>
        <w:t xml:space="preserve">Scott Bray, R (2008) </w:t>
      </w:r>
      <w:proofErr w:type="gramStart"/>
      <w:r>
        <w:t>‘”Why</w:t>
      </w:r>
      <w:proofErr w:type="gramEnd"/>
      <w:r>
        <w:t xml:space="preserve"> this law?” Vagaries of jurisdiction in coronial reform and indigenous death prevention.’ </w:t>
      </w:r>
      <w:r w:rsidRPr="006A3BE1">
        <w:rPr>
          <w:i/>
        </w:rPr>
        <w:t>Australian Indigenous Law Review</w:t>
      </w:r>
      <w:r>
        <w:t xml:space="preserve">. 12 (2). </w:t>
      </w:r>
      <w:r w:rsidR="006A3BE1">
        <w:t xml:space="preserve">27-44. </w:t>
      </w:r>
    </w:p>
    <w:p w14:paraId="338EE032" w14:textId="6D9799EC" w:rsidR="00897EC9" w:rsidRPr="00726852" w:rsidRDefault="00897EC9" w:rsidP="00322FC4">
      <w:pPr>
        <w:spacing w:line="240" w:lineRule="auto"/>
        <w:ind w:firstLine="0"/>
      </w:pPr>
      <w:proofErr w:type="spellStart"/>
      <w:r>
        <w:t>Scraton</w:t>
      </w:r>
      <w:proofErr w:type="spellEnd"/>
      <w:r>
        <w:t xml:space="preserve">, P (2006) </w:t>
      </w:r>
      <w:proofErr w:type="gramStart"/>
      <w:r>
        <w:t>‘”They’d</w:t>
      </w:r>
      <w:proofErr w:type="gramEnd"/>
      <w:r>
        <w:t xml:space="preserve"> all love me dead…” Implications of the Death of Annie Kelly.’ </w:t>
      </w:r>
      <w:r w:rsidRPr="00D51FC5">
        <w:rPr>
          <w:i/>
        </w:rPr>
        <w:t>Social Justice</w:t>
      </w:r>
      <w:r>
        <w:t xml:space="preserve">. 33 (4). 118-135. </w:t>
      </w:r>
    </w:p>
    <w:p w14:paraId="48A5E315" w14:textId="77777777" w:rsidR="005A1C95" w:rsidRDefault="005A1C95" w:rsidP="00322FC4">
      <w:pPr>
        <w:spacing w:line="240" w:lineRule="auto"/>
        <w:ind w:firstLine="0"/>
      </w:pPr>
      <w:proofErr w:type="spellStart"/>
      <w:r w:rsidRPr="00726852">
        <w:t>Scraton</w:t>
      </w:r>
      <w:proofErr w:type="spellEnd"/>
      <w:r w:rsidRPr="00726852">
        <w:t xml:space="preserve">, P, </w:t>
      </w:r>
      <w:proofErr w:type="spellStart"/>
      <w:r w:rsidRPr="00726852">
        <w:t>Jemphrey</w:t>
      </w:r>
      <w:proofErr w:type="spellEnd"/>
      <w:r w:rsidRPr="00726852">
        <w:t xml:space="preserve">, A &amp; Coleman, S (1995) </w:t>
      </w:r>
      <w:r w:rsidRPr="00726852">
        <w:rPr>
          <w:i/>
        </w:rPr>
        <w:t xml:space="preserve">No last rights: the denial of justice and the promotion of myth in the aftermath of the Hillsborough disaster. </w:t>
      </w:r>
      <w:r w:rsidRPr="00726852">
        <w:t>Liverpool: Liverpool City Council.</w:t>
      </w:r>
    </w:p>
    <w:p w14:paraId="1F0588E7" w14:textId="77777777" w:rsidR="00A23A51" w:rsidRPr="00726852" w:rsidRDefault="00A23A51" w:rsidP="00322FC4">
      <w:pPr>
        <w:spacing w:line="240" w:lineRule="auto"/>
        <w:ind w:firstLine="0"/>
      </w:pPr>
      <w:proofErr w:type="spellStart"/>
      <w:r w:rsidRPr="00726852">
        <w:t>Scraton</w:t>
      </w:r>
      <w:proofErr w:type="spellEnd"/>
      <w:r w:rsidRPr="00726852">
        <w:t xml:space="preserve">, P &amp; Chadwick, K (1987) </w:t>
      </w:r>
      <w:r w:rsidRPr="00726852">
        <w:rPr>
          <w:i/>
        </w:rPr>
        <w:t xml:space="preserve">In the Arms of the Law: Coroners’ Inquests and Deaths in Custody. </w:t>
      </w:r>
      <w:r w:rsidRPr="00726852">
        <w:t>London: Pluto.</w:t>
      </w:r>
    </w:p>
    <w:p w14:paraId="3261CB74" w14:textId="77777777" w:rsidR="005500E7" w:rsidRPr="00726852" w:rsidRDefault="005500E7" w:rsidP="00322FC4">
      <w:pPr>
        <w:spacing w:line="240" w:lineRule="auto"/>
        <w:ind w:firstLine="0"/>
      </w:pPr>
      <w:r w:rsidRPr="00726852">
        <w:t xml:space="preserve">Sharpe, J &amp; Dickinson, J (2011) ‘Coroners’ Inquests </w:t>
      </w:r>
      <w:proofErr w:type="gramStart"/>
      <w:r w:rsidRPr="00726852">
        <w:t>In</w:t>
      </w:r>
      <w:proofErr w:type="gramEnd"/>
      <w:r w:rsidRPr="00726852">
        <w:t xml:space="preserve"> An English County, 1600-1800: A Preliminary Survey.’ </w:t>
      </w:r>
      <w:r w:rsidRPr="00726852">
        <w:rPr>
          <w:i/>
        </w:rPr>
        <w:t>Northern History</w:t>
      </w:r>
      <w:r w:rsidRPr="00726852">
        <w:t>. 48 (2). 253-269.</w:t>
      </w:r>
    </w:p>
    <w:p w14:paraId="6CC6EA31" w14:textId="77777777" w:rsidR="00A23A51" w:rsidRPr="00726852" w:rsidRDefault="00A23A51" w:rsidP="00322FC4">
      <w:pPr>
        <w:spacing w:line="240" w:lineRule="auto"/>
        <w:ind w:firstLine="0"/>
      </w:pPr>
      <w:r w:rsidRPr="00726852">
        <w:t xml:space="preserve">Shaw, H &amp; Coles, D (2007) </w:t>
      </w:r>
      <w:r w:rsidRPr="00726852">
        <w:rPr>
          <w:i/>
        </w:rPr>
        <w:t>Unlocking the Truth: Families’ Experiences of the Investigation of Deaths in Custody.</w:t>
      </w:r>
      <w:r w:rsidRPr="00726852">
        <w:t xml:space="preserve"> London: Inquest.</w:t>
      </w:r>
    </w:p>
    <w:p w14:paraId="26135DD4" w14:textId="77777777" w:rsidR="00A23A51" w:rsidRPr="00726852" w:rsidRDefault="00A23A51" w:rsidP="00322FC4">
      <w:pPr>
        <w:spacing w:line="240" w:lineRule="auto"/>
        <w:ind w:firstLine="0"/>
      </w:pPr>
      <w:r w:rsidRPr="00726852">
        <w:t xml:space="preserve">Smith, J (2003) </w:t>
      </w:r>
      <w:r w:rsidR="005A1C95">
        <w:rPr>
          <w:i/>
        </w:rPr>
        <w:t xml:space="preserve">The </w:t>
      </w:r>
      <w:r w:rsidRPr="00726852">
        <w:rPr>
          <w:i/>
        </w:rPr>
        <w:t>Shipman Inquiry (Third Report): Death Certification and the Investigation of Deaths by Coroners.</w:t>
      </w:r>
      <w:r w:rsidRPr="00726852">
        <w:t xml:space="preserve"> London: T</w:t>
      </w:r>
      <w:r w:rsidR="009E14EC" w:rsidRPr="00726852">
        <w:t>S</w:t>
      </w:r>
      <w:r w:rsidRPr="00726852">
        <w:t xml:space="preserve">O. </w:t>
      </w:r>
    </w:p>
    <w:p w14:paraId="50034397" w14:textId="77777777" w:rsidR="00A23A51" w:rsidRPr="00726852" w:rsidRDefault="00A23A51" w:rsidP="00322FC4">
      <w:pPr>
        <w:spacing w:line="240" w:lineRule="auto"/>
        <w:ind w:firstLine="0"/>
      </w:pPr>
      <w:proofErr w:type="spellStart"/>
      <w:r w:rsidRPr="00726852">
        <w:t>Starmer</w:t>
      </w:r>
      <w:proofErr w:type="spellEnd"/>
      <w:r w:rsidRPr="00726852">
        <w:t xml:space="preserve">, K (2000) </w:t>
      </w:r>
      <w:r w:rsidRPr="00726852">
        <w:rPr>
          <w:i/>
        </w:rPr>
        <w:t>European human rights law: The Human Rights Act 1998 and the European Convention on Human Rights.</w:t>
      </w:r>
      <w:r w:rsidRPr="00726852">
        <w:t xml:space="preserve"> London: Legal Action Group. </w:t>
      </w:r>
    </w:p>
    <w:p w14:paraId="2844CCD3" w14:textId="77777777" w:rsidR="006A5F6D" w:rsidRPr="00726852" w:rsidRDefault="006A5F6D" w:rsidP="00322FC4">
      <w:pPr>
        <w:spacing w:line="240" w:lineRule="auto"/>
        <w:ind w:firstLine="0"/>
      </w:pPr>
      <w:r w:rsidRPr="00726852">
        <w:lastRenderedPageBreak/>
        <w:t xml:space="preserve">Stone, J (2015) ‘Human Rights Act: What is it and why does Michael Gove want to scrap the policy.’ In </w:t>
      </w:r>
      <w:proofErr w:type="gramStart"/>
      <w:r w:rsidRPr="00726852">
        <w:rPr>
          <w:i/>
        </w:rPr>
        <w:t>The</w:t>
      </w:r>
      <w:proofErr w:type="gramEnd"/>
      <w:r w:rsidRPr="00726852">
        <w:rPr>
          <w:i/>
        </w:rPr>
        <w:t xml:space="preserve"> Independent</w:t>
      </w:r>
      <w:r w:rsidRPr="00726852">
        <w:t xml:space="preserve">. Available at: </w:t>
      </w:r>
      <w:hyperlink r:id="rId21" w:history="1">
        <w:r w:rsidRPr="00726852">
          <w:rPr>
            <w:rStyle w:val="Hyperlink"/>
          </w:rPr>
          <w:t>http://www.independent.co.uk/news/uk/politics/what-is-the-human-rights-act-and-why-does-michael-gove-want-to-scrap-it-10240527.html</w:t>
        </w:r>
      </w:hyperlink>
      <w:r w:rsidRPr="00726852">
        <w:t xml:space="preserve">. Accessed 8/9/15. </w:t>
      </w:r>
    </w:p>
    <w:p w14:paraId="727293BD" w14:textId="77777777" w:rsidR="00A23A51" w:rsidRPr="00726852" w:rsidRDefault="00A23A51" w:rsidP="00322FC4">
      <w:pPr>
        <w:spacing w:line="240" w:lineRule="auto"/>
        <w:ind w:firstLine="0"/>
        <w:rPr>
          <w:rFonts w:eastAsia="Calibri"/>
        </w:rPr>
      </w:pPr>
      <w:r w:rsidRPr="00726852">
        <w:t xml:space="preserve">Tarling, R </w:t>
      </w:r>
      <w:r w:rsidRPr="00726852">
        <w:rPr>
          <w:rFonts w:eastAsia="Calibri"/>
        </w:rPr>
        <w:t xml:space="preserve">(1998) </w:t>
      </w:r>
      <w:r w:rsidRPr="00726852">
        <w:rPr>
          <w:rFonts w:eastAsia="Calibri"/>
          <w:i/>
        </w:rPr>
        <w:t>Coroner Service Survey. Home Office Research Study 181.</w:t>
      </w:r>
      <w:r w:rsidRPr="00726852">
        <w:rPr>
          <w:rFonts w:eastAsia="Calibri"/>
        </w:rPr>
        <w:t xml:space="preserve"> London: Home Office.</w:t>
      </w:r>
    </w:p>
    <w:p w14:paraId="309AB8BD" w14:textId="77777777" w:rsidR="00A23A51" w:rsidRDefault="00A23A51" w:rsidP="00322FC4">
      <w:pPr>
        <w:spacing w:line="240" w:lineRule="auto"/>
        <w:ind w:firstLine="0"/>
      </w:pPr>
      <w:r w:rsidRPr="00726852">
        <w:t xml:space="preserve">Thomas, L. Straw, A, &amp; Friedman, D (2008) </w:t>
      </w:r>
      <w:r w:rsidRPr="00726852">
        <w:rPr>
          <w:i/>
        </w:rPr>
        <w:t>Inquests: a practitioner’s guide</w:t>
      </w:r>
      <w:r w:rsidRPr="00726852">
        <w:t>, 2</w:t>
      </w:r>
      <w:r w:rsidRPr="00726852">
        <w:rPr>
          <w:vertAlign w:val="superscript"/>
        </w:rPr>
        <w:t>nd</w:t>
      </w:r>
      <w:r w:rsidRPr="00726852">
        <w:t xml:space="preserve"> </w:t>
      </w:r>
      <w:proofErr w:type="spellStart"/>
      <w:r w:rsidRPr="00726852">
        <w:t>edn</w:t>
      </w:r>
      <w:proofErr w:type="spellEnd"/>
      <w:r w:rsidRPr="00726852">
        <w:t>. London: Legal Action Group.</w:t>
      </w:r>
    </w:p>
    <w:p w14:paraId="59073A53" w14:textId="4DF7B275" w:rsidR="00DB39F6" w:rsidRDefault="00DB39F6" w:rsidP="00322FC4">
      <w:pPr>
        <w:spacing w:line="240" w:lineRule="auto"/>
        <w:ind w:firstLine="0"/>
      </w:pPr>
      <w:r>
        <w:t xml:space="preserve">USA Today (2014) </w:t>
      </w:r>
      <w:r w:rsidRPr="00DB39F6">
        <w:rPr>
          <w:i/>
        </w:rPr>
        <w:t>Police in Ferguson ignite debate about military tactics.</w:t>
      </w:r>
      <w:r>
        <w:t xml:space="preserve"> Available at: </w:t>
      </w:r>
    </w:p>
    <w:p w14:paraId="3A7FA55D" w14:textId="27213EA6" w:rsidR="00DB39F6" w:rsidRPr="00726852" w:rsidRDefault="00013673" w:rsidP="00322FC4">
      <w:pPr>
        <w:spacing w:line="240" w:lineRule="auto"/>
        <w:ind w:firstLine="0"/>
      </w:pPr>
      <w:hyperlink r:id="rId22" w:history="1">
        <w:r w:rsidR="00DB39F6" w:rsidRPr="0077678F">
          <w:rPr>
            <w:rStyle w:val="Hyperlink"/>
          </w:rPr>
          <w:t>http://www.usatoday.com/story/news/nation/2014/08/14/ferguson-militarized-police/14064675/</w:t>
        </w:r>
      </w:hyperlink>
      <w:r w:rsidR="00DB39F6">
        <w:t xml:space="preserve">. Accessed 8/2/16. </w:t>
      </w:r>
    </w:p>
    <w:p w14:paraId="3AAE06E6" w14:textId="77777777" w:rsidR="00A23A51" w:rsidRPr="00726852" w:rsidRDefault="00A23A51" w:rsidP="00322FC4">
      <w:pPr>
        <w:spacing w:line="240" w:lineRule="auto"/>
        <w:ind w:firstLine="0"/>
      </w:pPr>
      <w:r w:rsidRPr="00726852">
        <w:t xml:space="preserve">Wadham, J (2004) ‘Investigations into deaths in police custody and the Independent Police Complaints Commission.’ </w:t>
      </w:r>
      <w:r w:rsidRPr="00726852">
        <w:rPr>
          <w:i/>
        </w:rPr>
        <w:t>European Human Rights Law Review.</w:t>
      </w:r>
      <w:r w:rsidRPr="00726852">
        <w:t xml:space="preserve"> (4): 353-361.</w:t>
      </w:r>
    </w:p>
    <w:p w14:paraId="414B7009" w14:textId="77777777" w:rsidR="002C081D" w:rsidRPr="00726852" w:rsidRDefault="002C081D" w:rsidP="00322FC4">
      <w:pPr>
        <w:spacing w:line="240" w:lineRule="auto"/>
        <w:ind w:firstLine="0"/>
        <w:rPr>
          <w:rFonts w:cs="Calibri"/>
        </w:rPr>
      </w:pPr>
      <w:r w:rsidRPr="00726852">
        <w:rPr>
          <w:rFonts w:cs="Calibri"/>
        </w:rPr>
        <w:t xml:space="preserve">Widdicombe, K (2012) ‘How...The Deceased Came </w:t>
      </w:r>
      <w:proofErr w:type="gramStart"/>
      <w:r w:rsidRPr="00726852">
        <w:rPr>
          <w:rFonts w:cs="Calibri"/>
        </w:rPr>
        <w:t>By</w:t>
      </w:r>
      <w:proofErr w:type="gramEnd"/>
      <w:r w:rsidRPr="00726852">
        <w:rPr>
          <w:rFonts w:cs="Calibri"/>
        </w:rPr>
        <w:t xml:space="preserve"> His Death.’ In McDougall, I (</w:t>
      </w:r>
      <w:proofErr w:type="spellStart"/>
      <w:r w:rsidRPr="00726852">
        <w:rPr>
          <w:rFonts w:cs="Calibri"/>
        </w:rPr>
        <w:t>ed</w:t>
      </w:r>
      <w:proofErr w:type="spellEnd"/>
      <w:r w:rsidRPr="00726852">
        <w:rPr>
          <w:rFonts w:cs="Calibri"/>
        </w:rPr>
        <w:t xml:space="preserve">) </w:t>
      </w:r>
      <w:r w:rsidRPr="00726852">
        <w:rPr>
          <w:rFonts w:cs="Calibri"/>
          <w:i/>
        </w:rPr>
        <w:t>Cases That Changed Our Lives.</w:t>
      </w:r>
      <w:r w:rsidRPr="00726852">
        <w:rPr>
          <w:rFonts w:cs="Calibri"/>
        </w:rPr>
        <w:t xml:space="preserve"> London: Lexis Nexis. 175-181.</w:t>
      </w:r>
    </w:p>
    <w:p w14:paraId="0615D1E1" w14:textId="77777777" w:rsidR="00891A65" w:rsidRPr="00726852" w:rsidRDefault="00891A65" w:rsidP="00ED40E7"/>
    <w:sectPr w:rsidR="00891A65" w:rsidRPr="00726852" w:rsidSect="00F566FC">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E4579" w14:textId="77777777" w:rsidR="00013673" w:rsidRDefault="00013673" w:rsidP="00AB236D">
      <w:pPr>
        <w:spacing w:after="0" w:line="240" w:lineRule="auto"/>
      </w:pPr>
      <w:r>
        <w:separator/>
      </w:r>
    </w:p>
  </w:endnote>
  <w:endnote w:type="continuationSeparator" w:id="0">
    <w:p w14:paraId="7B787A76" w14:textId="77777777" w:rsidR="00013673" w:rsidRDefault="00013673" w:rsidP="00AB2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6498797"/>
      <w:docPartObj>
        <w:docPartGallery w:val="Page Numbers (Bottom of Page)"/>
        <w:docPartUnique/>
      </w:docPartObj>
    </w:sdtPr>
    <w:sdtEndPr>
      <w:rPr>
        <w:noProof/>
      </w:rPr>
    </w:sdtEndPr>
    <w:sdtContent>
      <w:p w14:paraId="4B5642CB" w14:textId="77777777" w:rsidR="00CD5642" w:rsidRDefault="00CD5642">
        <w:pPr>
          <w:pStyle w:val="Footer"/>
          <w:jc w:val="right"/>
        </w:pPr>
        <w:r>
          <w:fldChar w:fldCharType="begin"/>
        </w:r>
        <w:r>
          <w:instrText xml:space="preserve"> PAGE   \* MERGEFORMAT </w:instrText>
        </w:r>
        <w:r>
          <w:fldChar w:fldCharType="separate"/>
        </w:r>
        <w:r w:rsidR="00F23F11">
          <w:rPr>
            <w:noProof/>
          </w:rPr>
          <w:t>12</w:t>
        </w:r>
        <w:r>
          <w:rPr>
            <w:noProof/>
          </w:rPr>
          <w:fldChar w:fldCharType="end"/>
        </w:r>
      </w:p>
    </w:sdtContent>
  </w:sdt>
  <w:p w14:paraId="474D51CB" w14:textId="77777777" w:rsidR="00CD5642" w:rsidRDefault="00CD5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E8FF9" w14:textId="77777777" w:rsidR="00013673" w:rsidRDefault="00013673" w:rsidP="00AB236D">
      <w:pPr>
        <w:spacing w:after="0" w:line="240" w:lineRule="auto"/>
      </w:pPr>
      <w:r>
        <w:separator/>
      </w:r>
    </w:p>
  </w:footnote>
  <w:footnote w:type="continuationSeparator" w:id="0">
    <w:p w14:paraId="00D696CD" w14:textId="77777777" w:rsidR="00013673" w:rsidRDefault="00013673" w:rsidP="00AB236D">
      <w:pPr>
        <w:spacing w:after="0" w:line="240" w:lineRule="auto"/>
      </w:pPr>
      <w:r>
        <w:continuationSeparator/>
      </w:r>
    </w:p>
  </w:footnote>
  <w:footnote w:id="1">
    <w:p w14:paraId="266ECACE" w14:textId="77777777" w:rsidR="00457518" w:rsidRDefault="00457518">
      <w:pPr>
        <w:pStyle w:val="FootnoteText"/>
      </w:pPr>
      <w:r>
        <w:rPr>
          <w:rStyle w:val="FootnoteReference"/>
        </w:rPr>
        <w:footnoteRef/>
      </w:r>
      <w:r>
        <w:t xml:space="preserve"> Examples of acts include the use of restraint or tasers; examples of omissions include failure to uphold a duty of care under article 2 of the ECHR</w:t>
      </w:r>
      <w:r w:rsidR="00921959">
        <w:t>, or to recognise individuals as coming from vulnerable population groups</w:t>
      </w:r>
      <w:r>
        <w:t xml:space="preserve"> (</w:t>
      </w:r>
      <w:proofErr w:type="spellStart"/>
      <w:r>
        <w:t>Xxxxx</w:t>
      </w:r>
      <w:proofErr w:type="spellEnd"/>
      <w:r>
        <w:t xml:space="preserve"> 2015). </w:t>
      </w:r>
    </w:p>
  </w:footnote>
  <w:footnote w:id="2">
    <w:p w14:paraId="036700D4" w14:textId="1A40CAAB" w:rsidR="00CD5642" w:rsidRDefault="00CD5642">
      <w:pPr>
        <w:pStyle w:val="FootnoteText"/>
      </w:pPr>
      <w:r>
        <w:rPr>
          <w:rStyle w:val="FootnoteReference"/>
        </w:rPr>
        <w:footnoteRef/>
      </w:r>
      <w:r>
        <w:t xml:space="preserve"> Died after being shot by a police officer in London in 2011, this was widely viewed as the precipitating event that sparked the London riots</w:t>
      </w:r>
      <w:r w:rsidR="0013668B">
        <w:t xml:space="preserve"> (Guardian/LSE</w:t>
      </w:r>
      <w:r w:rsidR="002137B7">
        <w:t>,</w:t>
      </w:r>
      <w:r w:rsidR="0013668B">
        <w:t xml:space="preserve"> 2012)</w:t>
      </w:r>
      <w:r>
        <w:t xml:space="preserve">. </w:t>
      </w:r>
    </w:p>
  </w:footnote>
  <w:footnote w:id="3">
    <w:p w14:paraId="21977D24" w14:textId="42ABC03D" w:rsidR="00CD5642" w:rsidRDefault="00CD5642">
      <w:pPr>
        <w:pStyle w:val="FootnoteText"/>
      </w:pPr>
      <w:r>
        <w:rPr>
          <w:rStyle w:val="FootnoteReference"/>
        </w:rPr>
        <w:footnoteRef/>
      </w:r>
      <w:r>
        <w:t xml:space="preserve"> Died after being shot by a police officer in Ferguson, Missouri in 2014. </w:t>
      </w:r>
      <w:r w:rsidR="00C45018">
        <w:t>The death caused widespread disorder and rioting in the Ferguson area (USA Today</w:t>
      </w:r>
      <w:r w:rsidR="002137B7">
        <w:t>,</w:t>
      </w:r>
      <w:r w:rsidR="00C45018">
        <w:t xml:space="preserve"> 2014). </w:t>
      </w:r>
    </w:p>
  </w:footnote>
  <w:footnote w:id="4">
    <w:p w14:paraId="4BA8836D" w14:textId="77777777" w:rsidR="00CD5642" w:rsidRDefault="00CD5642">
      <w:pPr>
        <w:pStyle w:val="FootnoteText"/>
      </w:pPr>
      <w:r>
        <w:rPr>
          <w:rStyle w:val="FootnoteReference"/>
        </w:rPr>
        <w:footnoteRef/>
      </w:r>
      <w:r>
        <w:t xml:space="preserve"> Died after being shot by a police officer with a taser in Vancouver in 2007. An official inquiry led by </w:t>
      </w:r>
      <w:r w:rsidR="00F80CE1">
        <w:t>a j</w:t>
      </w:r>
      <w:r>
        <w:t>udge found the officers to have shown ‘shameful conduct’ (Braidwood, 2010, p.14)</w:t>
      </w:r>
      <w:r w:rsidR="00F80CE1">
        <w:t>.</w:t>
      </w:r>
    </w:p>
  </w:footnote>
  <w:footnote w:id="5">
    <w:p w14:paraId="1AC6D307" w14:textId="77777777" w:rsidR="00CD5642" w:rsidRDefault="00CD5642">
      <w:pPr>
        <w:pStyle w:val="FootnoteText"/>
      </w:pPr>
      <w:r>
        <w:rPr>
          <w:rStyle w:val="FootnoteReference"/>
        </w:rPr>
        <w:footnoteRef/>
      </w:r>
      <w:r>
        <w:t xml:space="preserve"> Died after being shot by a police officer with a taser in Sydney in 2012. The coroner stated that the actions of the police amounted to an ‘abuse of police powers’ (NSW Police Ombudsman, 2013, p.36)</w:t>
      </w:r>
      <w:r w:rsidR="00F80CE1">
        <w:t>.</w:t>
      </w:r>
    </w:p>
  </w:footnote>
  <w:footnote w:id="6">
    <w:p w14:paraId="2F0A51A9" w14:textId="77777777" w:rsidR="00837EC6" w:rsidRDefault="00837EC6" w:rsidP="00837EC6">
      <w:pPr>
        <w:pStyle w:val="FootnoteText"/>
        <w:ind w:firstLine="0"/>
      </w:pPr>
      <w:r>
        <w:rPr>
          <w:rStyle w:val="FootnoteReference"/>
        </w:rPr>
        <w:footnoteRef/>
      </w:r>
      <w:r>
        <w:t xml:space="preserve"> There is insufficient space to list all of these, but common types are ‘suicide’, ‘death by misadventure’, ‘open’, and ‘natural causes’ (see, for example, Ministry of Justice, 2014; </w:t>
      </w:r>
      <w:proofErr w:type="spellStart"/>
      <w:r>
        <w:t>Dorries</w:t>
      </w:r>
      <w:proofErr w:type="spellEnd"/>
      <w:r>
        <w:t>, 2004)</w:t>
      </w:r>
    </w:p>
  </w:footnote>
  <w:footnote w:id="7">
    <w:p w14:paraId="39EB81CF" w14:textId="77777777" w:rsidR="00837EC6" w:rsidRDefault="00837EC6" w:rsidP="00837EC6">
      <w:pPr>
        <w:pStyle w:val="FootnoteText"/>
        <w:ind w:firstLine="0"/>
      </w:pPr>
      <w:r>
        <w:rPr>
          <w:rStyle w:val="FootnoteReference"/>
        </w:rPr>
        <w:footnoteRef/>
      </w:r>
      <w:r>
        <w:t xml:space="preserve"> It should be noted that the data in table one </w:t>
      </w:r>
      <w:proofErr w:type="gramStart"/>
      <w:r>
        <w:t>represent</w:t>
      </w:r>
      <w:proofErr w:type="gramEnd"/>
      <w:r>
        <w:t xml:space="preserve"> all narrative verdicts in any type of inquest, not purely those into cases of DAPC. </w:t>
      </w:r>
    </w:p>
  </w:footnote>
  <w:footnote w:id="8">
    <w:p w14:paraId="1E284149" w14:textId="69350ADB" w:rsidR="009B7B04" w:rsidRDefault="009B7B04">
      <w:pPr>
        <w:pStyle w:val="FootnoteText"/>
      </w:pPr>
      <w:r>
        <w:rPr>
          <w:rStyle w:val="FootnoteReference"/>
        </w:rPr>
        <w:footnoteRef/>
      </w:r>
      <w:r>
        <w:t xml:space="preserve"> Until 2013 termed ‘rule 43 reports’ (Matthews 2014). </w:t>
      </w:r>
    </w:p>
  </w:footnote>
  <w:footnote w:id="9">
    <w:p w14:paraId="589A72A2" w14:textId="77777777" w:rsidR="00CD5642" w:rsidRPr="0083767C" w:rsidRDefault="00CD5642">
      <w:pPr>
        <w:pStyle w:val="FootnoteText"/>
      </w:pPr>
      <w:r>
        <w:rPr>
          <w:rStyle w:val="FootnoteReference"/>
        </w:rPr>
        <w:footnoteRef/>
      </w:r>
      <w:r>
        <w:t xml:space="preserve"> Died in a London police station in 2008 after being restrained by police officers. An independent review into the IPCC investigation into his death concluded that the </w:t>
      </w:r>
      <w:r w:rsidR="001E0DBB">
        <w:t xml:space="preserve">coroner’s </w:t>
      </w:r>
      <w:r>
        <w:t xml:space="preserve">inquest was able to </w:t>
      </w:r>
      <w:r w:rsidR="0083767C">
        <w:t xml:space="preserve">uncover a number of failings that the IPCC were not, noting: </w:t>
      </w:r>
      <w:r w:rsidR="0083767C" w:rsidRPr="0083767C">
        <w:t>‘The preventive role of the IPCC requires a more proactive and holistic approach to understanding the circ</w:t>
      </w:r>
      <w:r w:rsidR="001E0DBB">
        <w:t>um</w:t>
      </w:r>
      <w:r w:rsidR="0083767C" w:rsidRPr="0083767C">
        <w:t>s</w:t>
      </w:r>
      <w:r w:rsidR="001E0DBB">
        <w:t>tances</w:t>
      </w:r>
      <w:r w:rsidR="0083767C" w:rsidRPr="0083767C">
        <w:t xml:space="preserve"> surrounding deaths in custody’</w:t>
      </w:r>
      <w:r w:rsidR="0083767C">
        <w:t xml:space="preserve"> (</w:t>
      </w:r>
      <w:proofErr w:type="spellStart"/>
      <w:r w:rsidR="0083767C">
        <w:t>Casale</w:t>
      </w:r>
      <w:proofErr w:type="spellEnd"/>
      <w:r w:rsidR="0083767C">
        <w:t xml:space="preserve"> </w:t>
      </w:r>
      <w:r w:rsidR="0083767C" w:rsidRPr="0083767C">
        <w:rPr>
          <w:i/>
        </w:rPr>
        <w:t>et al.</w:t>
      </w:r>
      <w:r w:rsidR="0083767C">
        <w:t xml:space="preserve"> 2013, p.98).</w:t>
      </w:r>
    </w:p>
  </w:footnote>
  <w:footnote w:id="10">
    <w:p w14:paraId="382C8872" w14:textId="01B0477E" w:rsidR="0083767C" w:rsidRDefault="0083767C">
      <w:pPr>
        <w:pStyle w:val="FootnoteText"/>
      </w:pPr>
      <w:r>
        <w:rPr>
          <w:rStyle w:val="FootnoteReference"/>
        </w:rPr>
        <w:footnoteRef/>
      </w:r>
      <w:r>
        <w:t xml:space="preserve"> Died as a result of being hit with a baton and pushed to the ground by a police officer during the G20 protests in London, 2009. The coroner’s inquest produced markedly different findings to that of the IPCC investigation leading to a criminal case to be called against the police officer in question (see </w:t>
      </w:r>
      <w:r w:rsidR="004E7000">
        <w:t xml:space="preserve">Scott Bray, 2013, </w:t>
      </w:r>
      <w:r>
        <w:t xml:space="preserve">Greer and McLaughlin, 2012)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E4357"/>
    <w:multiLevelType w:val="hybridMultilevel"/>
    <w:tmpl w:val="9318A3B0"/>
    <w:lvl w:ilvl="0" w:tplc="08090011">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39373E92"/>
    <w:multiLevelType w:val="hybridMultilevel"/>
    <w:tmpl w:val="86969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195C00"/>
    <w:multiLevelType w:val="hybridMultilevel"/>
    <w:tmpl w:val="08E0DF64"/>
    <w:lvl w:ilvl="0" w:tplc="C1D0D9A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4D6AE2"/>
    <w:multiLevelType w:val="hybridMultilevel"/>
    <w:tmpl w:val="B29EF24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7DA54DB"/>
    <w:multiLevelType w:val="hybridMultilevel"/>
    <w:tmpl w:val="73C25FD0"/>
    <w:lvl w:ilvl="0" w:tplc="3B4652F2">
      <w:start w:val="1"/>
      <w:numFmt w:val="upperRoman"/>
      <w:lvlText w:val="%1."/>
      <w:lvlJc w:val="left"/>
      <w:pPr>
        <w:ind w:left="720" w:hanging="72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3A3"/>
    <w:rsid w:val="00011B72"/>
    <w:rsid w:val="00013673"/>
    <w:rsid w:val="00013DD3"/>
    <w:rsid w:val="000150D9"/>
    <w:rsid w:val="00020495"/>
    <w:rsid w:val="00021BEC"/>
    <w:rsid w:val="00021DCF"/>
    <w:rsid w:val="00027E15"/>
    <w:rsid w:val="00032DED"/>
    <w:rsid w:val="00032EFA"/>
    <w:rsid w:val="0003487D"/>
    <w:rsid w:val="0003546A"/>
    <w:rsid w:val="000417A7"/>
    <w:rsid w:val="00044440"/>
    <w:rsid w:val="000578BB"/>
    <w:rsid w:val="00063854"/>
    <w:rsid w:val="00066036"/>
    <w:rsid w:val="000705E8"/>
    <w:rsid w:val="00070759"/>
    <w:rsid w:val="00072413"/>
    <w:rsid w:val="0007406C"/>
    <w:rsid w:val="00074ED9"/>
    <w:rsid w:val="0008771F"/>
    <w:rsid w:val="00092955"/>
    <w:rsid w:val="000A4B91"/>
    <w:rsid w:val="000A6D21"/>
    <w:rsid w:val="000B4BC7"/>
    <w:rsid w:val="000C39F2"/>
    <w:rsid w:val="000D5EC6"/>
    <w:rsid w:val="000D6A13"/>
    <w:rsid w:val="000D7D66"/>
    <w:rsid w:val="000E0ECA"/>
    <w:rsid w:val="000E4F8D"/>
    <w:rsid w:val="000E6EEE"/>
    <w:rsid w:val="000F4D44"/>
    <w:rsid w:val="001004A3"/>
    <w:rsid w:val="0010597F"/>
    <w:rsid w:val="0010753A"/>
    <w:rsid w:val="00113692"/>
    <w:rsid w:val="00116191"/>
    <w:rsid w:val="00116DF7"/>
    <w:rsid w:val="001274F4"/>
    <w:rsid w:val="0013064A"/>
    <w:rsid w:val="0013076B"/>
    <w:rsid w:val="0013571D"/>
    <w:rsid w:val="0013668B"/>
    <w:rsid w:val="00136782"/>
    <w:rsid w:val="001406E7"/>
    <w:rsid w:val="001418E1"/>
    <w:rsid w:val="00142548"/>
    <w:rsid w:val="00142FD7"/>
    <w:rsid w:val="00147B73"/>
    <w:rsid w:val="00147E5D"/>
    <w:rsid w:val="00151D15"/>
    <w:rsid w:val="00152259"/>
    <w:rsid w:val="00152807"/>
    <w:rsid w:val="00160191"/>
    <w:rsid w:val="00160DEE"/>
    <w:rsid w:val="00161C32"/>
    <w:rsid w:val="001620B6"/>
    <w:rsid w:val="00164828"/>
    <w:rsid w:val="001648E3"/>
    <w:rsid w:val="00164D8A"/>
    <w:rsid w:val="00171123"/>
    <w:rsid w:val="0018105E"/>
    <w:rsid w:val="00185C9A"/>
    <w:rsid w:val="0019226A"/>
    <w:rsid w:val="001958DE"/>
    <w:rsid w:val="001A2622"/>
    <w:rsid w:val="001A3E11"/>
    <w:rsid w:val="001A50E2"/>
    <w:rsid w:val="001A5117"/>
    <w:rsid w:val="001A6943"/>
    <w:rsid w:val="001B31E8"/>
    <w:rsid w:val="001B6674"/>
    <w:rsid w:val="001B6925"/>
    <w:rsid w:val="001C1BA3"/>
    <w:rsid w:val="001D28C9"/>
    <w:rsid w:val="001D338E"/>
    <w:rsid w:val="001E0DBB"/>
    <w:rsid w:val="001E3F50"/>
    <w:rsid w:val="00203286"/>
    <w:rsid w:val="002039F4"/>
    <w:rsid w:val="002051CD"/>
    <w:rsid w:val="002137B7"/>
    <w:rsid w:val="0021725A"/>
    <w:rsid w:val="00225E9C"/>
    <w:rsid w:val="00227043"/>
    <w:rsid w:val="00243E2E"/>
    <w:rsid w:val="00251633"/>
    <w:rsid w:val="00252D9C"/>
    <w:rsid w:val="002622C0"/>
    <w:rsid w:val="00263F29"/>
    <w:rsid w:val="00264B1D"/>
    <w:rsid w:val="00266EEF"/>
    <w:rsid w:val="0026774F"/>
    <w:rsid w:val="0027105F"/>
    <w:rsid w:val="00271CD9"/>
    <w:rsid w:val="00277A26"/>
    <w:rsid w:val="002851FE"/>
    <w:rsid w:val="00286C95"/>
    <w:rsid w:val="00290A77"/>
    <w:rsid w:val="002A264C"/>
    <w:rsid w:val="002A2F33"/>
    <w:rsid w:val="002A4210"/>
    <w:rsid w:val="002A7515"/>
    <w:rsid w:val="002B31CD"/>
    <w:rsid w:val="002C081D"/>
    <w:rsid w:val="002D2901"/>
    <w:rsid w:val="002D4DE9"/>
    <w:rsid w:val="002D5E7A"/>
    <w:rsid w:val="002E5308"/>
    <w:rsid w:val="002E672F"/>
    <w:rsid w:val="002E7215"/>
    <w:rsid w:val="002F2452"/>
    <w:rsid w:val="00304D7E"/>
    <w:rsid w:val="00306ED7"/>
    <w:rsid w:val="00310941"/>
    <w:rsid w:val="003127D9"/>
    <w:rsid w:val="00320875"/>
    <w:rsid w:val="00321A59"/>
    <w:rsid w:val="00322297"/>
    <w:rsid w:val="00322FC4"/>
    <w:rsid w:val="00325435"/>
    <w:rsid w:val="00326ECE"/>
    <w:rsid w:val="00332D25"/>
    <w:rsid w:val="00334D10"/>
    <w:rsid w:val="00340627"/>
    <w:rsid w:val="00344507"/>
    <w:rsid w:val="00351A48"/>
    <w:rsid w:val="003553AC"/>
    <w:rsid w:val="003615E3"/>
    <w:rsid w:val="00363E05"/>
    <w:rsid w:val="003643B1"/>
    <w:rsid w:val="00386178"/>
    <w:rsid w:val="003918B1"/>
    <w:rsid w:val="003943EC"/>
    <w:rsid w:val="00396EEF"/>
    <w:rsid w:val="00397EBF"/>
    <w:rsid w:val="003B288F"/>
    <w:rsid w:val="003B5B0F"/>
    <w:rsid w:val="003C17D1"/>
    <w:rsid w:val="003C7C01"/>
    <w:rsid w:val="003D49D6"/>
    <w:rsid w:val="003E4929"/>
    <w:rsid w:val="003F1B44"/>
    <w:rsid w:val="003F24CE"/>
    <w:rsid w:val="003F2EAC"/>
    <w:rsid w:val="003F3E46"/>
    <w:rsid w:val="003F5141"/>
    <w:rsid w:val="00405FB7"/>
    <w:rsid w:val="0040611D"/>
    <w:rsid w:val="00411056"/>
    <w:rsid w:val="00412A08"/>
    <w:rsid w:val="004214E5"/>
    <w:rsid w:val="00422867"/>
    <w:rsid w:val="0044441D"/>
    <w:rsid w:val="004463BF"/>
    <w:rsid w:val="004465CE"/>
    <w:rsid w:val="00455E5E"/>
    <w:rsid w:val="004569DE"/>
    <w:rsid w:val="00457518"/>
    <w:rsid w:val="00460735"/>
    <w:rsid w:val="0046632B"/>
    <w:rsid w:val="00467A29"/>
    <w:rsid w:val="004710C4"/>
    <w:rsid w:val="00471C88"/>
    <w:rsid w:val="0048132F"/>
    <w:rsid w:val="0048613B"/>
    <w:rsid w:val="00491C97"/>
    <w:rsid w:val="00492A8E"/>
    <w:rsid w:val="0049379F"/>
    <w:rsid w:val="00497411"/>
    <w:rsid w:val="00497EB2"/>
    <w:rsid w:val="004A10B7"/>
    <w:rsid w:val="004B7343"/>
    <w:rsid w:val="004C13C8"/>
    <w:rsid w:val="004D4BD3"/>
    <w:rsid w:val="004E1CD7"/>
    <w:rsid w:val="004E3202"/>
    <w:rsid w:val="004E4D8A"/>
    <w:rsid w:val="004E7000"/>
    <w:rsid w:val="004E7360"/>
    <w:rsid w:val="004F48C7"/>
    <w:rsid w:val="004F6CE7"/>
    <w:rsid w:val="004F73A7"/>
    <w:rsid w:val="00502EFC"/>
    <w:rsid w:val="005041F5"/>
    <w:rsid w:val="00510536"/>
    <w:rsid w:val="005138B8"/>
    <w:rsid w:val="00514458"/>
    <w:rsid w:val="00525520"/>
    <w:rsid w:val="00526CC4"/>
    <w:rsid w:val="005349FF"/>
    <w:rsid w:val="00534AA6"/>
    <w:rsid w:val="005500E7"/>
    <w:rsid w:val="00554B62"/>
    <w:rsid w:val="00555F3C"/>
    <w:rsid w:val="005756C9"/>
    <w:rsid w:val="00575BA8"/>
    <w:rsid w:val="00583CF8"/>
    <w:rsid w:val="00584CE7"/>
    <w:rsid w:val="0058531E"/>
    <w:rsid w:val="00585EC1"/>
    <w:rsid w:val="00594739"/>
    <w:rsid w:val="0059766E"/>
    <w:rsid w:val="00597EE4"/>
    <w:rsid w:val="005A1521"/>
    <w:rsid w:val="005A1AF9"/>
    <w:rsid w:val="005A1C95"/>
    <w:rsid w:val="005A2407"/>
    <w:rsid w:val="005A628E"/>
    <w:rsid w:val="005C26BB"/>
    <w:rsid w:val="005C6C13"/>
    <w:rsid w:val="005D71FA"/>
    <w:rsid w:val="005E0DC5"/>
    <w:rsid w:val="005E302E"/>
    <w:rsid w:val="005F7DCA"/>
    <w:rsid w:val="006054BC"/>
    <w:rsid w:val="006214EA"/>
    <w:rsid w:val="00622995"/>
    <w:rsid w:val="00641D9E"/>
    <w:rsid w:val="00641F97"/>
    <w:rsid w:val="006448C5"/>
    <w:rsid w:val="00645014"/>
    <w:rsid w:val="0065119A"/>
    <w:rsid w:val="00651601"/>
    <w:rsid w:val="00651FFB"/>
    <w:rsid w:val="00655491"/>
    <w:rsid w:val="00660B14"/>
    <w:rsid w:val="006628C7"/>
    <w:rsid w:val="00663E75"/>
    <w:rsid w:val="00670EEC"/>
    <w:rsid w:val="00673431"/>
    <w:rsid w:val="0068606E"/>
    <w:rsid w:val="00694D38"/>
    <w:rsid w:val="006A036F"/>
    <w:rsid w:val="006A0885"/>
    <w:rsid w:val="006A3BE1"/>
    <w:rsid w:val="006A4086"/>
    <w:rsid w:val="006A47CE"/>
    <w:rsid w:val="006A5F6D"/>
    <w:rsid w:val="006B2FBF"/>
    <w:rsid w:val="006B63AA"/>
    <w:rsid w:val="006C74DF"/>
    <w:rsid w:val="006D0342"/>
    <w:rsid w:val="006D2F16"/>
    <w:rsid w:val="006E1DCC"/>
    <w:rsid w:val="006F0025"/>
    <w:rsid w:val="006F1EEB"/>
    <w:rsid w:val="00703F07"/>
    <w:rsid w:val="007105F5"/>
    <w:rsid w:val="007117A3"/>
    <w:rsid w:val="00713D9C"/>
    <w:rsid w:val="007250D9"/>
    <w:rsid w:val="00726852"/>
    <w:rsid w:val="00732144"/>
    <w:rsid w:val="00750069"/>
    <w:rsid w:val="00753A22"/>
    <w:rsid w:val="0076400E"/>
    <w:rsid w:val="00770895"/>
    <w:rsid w:val="00771415"/>
    <w:rsid w:val="007720E3"/>
    <w:rsid w:val="00772216"/>
    <w:rsid w:val="00773083"/>
    <w:rsid w:val="00776109"/>
    <w:rsid w:val="0078177B"/>
    <w:rsid w:val="00782323"/>
    <w:rsid w:val="007912E3"/>
    <w:rsid w:val="00793BBF"/>
    <w:rsid w:val="007A3F1F"/>
    <w:rsid w:val="007A7014"/>
    <w:rsid w:val="007B4576"/>
    <w:rsid w:val="007B464E"/>
    <w:rsid w:val="007C3DEE"/>
    <w:rsid w:val="007C55D0"/>
    <w:rsid w:val="007C7628"/>
    <w:rsid w:val="007E2BF7"/>
    <w:rsid w:val="007E6A44"/>
    <w:rsid w:val="007E7448"/>
    <w:rsid w:val="007F0982"/>
    <w:rsid w:val="007F0B29"/>
    <w:rsid w:val="007F243D"/>
    <w:rsid w:val="007F3D83"/>
    <w:rsid w:val="007F525D"/>
    <w:rsid w:val="007F74B2"/>
    <w:rsid w:val="00802CB6"/>
    <w:rsid w:val="00803941"/>
    <w:rsid w:val="008073B8"/>
    <w:rsid w:val="008109D3"/>
    <w:rsid w:val="0081122A"/>
    <w:rsid w:val="00821263"/>
    <w:rsid w:val="00822C9B"/>
    <w:rsid w:val="00823051"/>
    <w:rsid w:val="00826444"/>
    <w:rsid w:val="008273F4"/>
    <w:rsid w:val="00833FD0"/>
    <w:rsid w:val="008361A1"/>
    <w:rsid w:val="0083767C"/>
    <w:rsid w:val="00837EC6"/>
    <w:rsid w:val="00843B70"/>
    <w:rsid w:val="0084467E"/>
    <w:rsid w:val="00850CC2"/>
    <w:rsid w:val="00852FD0"/>
    <w:rsid w:val="008750E6"/>
    <w:rsid w:val="0087686D"/>
    <w:rsid w:val="008808BD"/>
    <w:rsid w:val="00884A54"/>
    <w:rsid w:val="00887204"/>
    <w:rsid w:val="00891A65"/>
    <w:rsid w:val="00896BFB"/>
    <w:rsid w:val="00896CBD"/>
    <w:rsid w:val="00897EC9"/>
    <w:rsid w:val="008A46E0"/>
    <w:rsid w:val="008A657C"/>
    <w:rsid w:val="008C6635"/>
    <w:rsid w:val="008D4FA1"/>
    <w:rsid w:val="008E7A18"/>
    <w:rsid w:val="008F4DAB"/>
    <w:rsid w:val="0090224A"/>
    <w:rsid w:val="00902C2E"/>
    <w:rsid w:val="00903126"/>
    <w:rsid w:val="0090313A"/>
    <w:rsid w:val="00903974"/>
    <w:rsid w:val="00906F05"/>
    <w:rsid w:val="009128D3"/>
    <w:rsid w:val="00920A3A"/>
    <w:rsid w:val="00921959"/>
    <w:rsid w:val="00930F4D"/>
    <w:rsid w:val="00937827"/>
    <w:rsid w:val="0094241A"/>
    <w:rsid w:val="00943E34"/>
    <w:rsid w:val="009441E4"/>
    <w:rsid w:val="00950FD2"/>
    <w:rsid w:val="00954253"/>
    <w:rsid w:val="00954A69"/>
    <w:rsid w:val="00957309"/>
    <w:rsid w:val="00957C18"/>
    <w:rsid w:val="009616EB"/>
    <w:rsid w:val="009625E8"/>
    <w:rsid w:val="009662AA"/>
    <w:rsid w:val="009703CD"/>
    <w:rsid w:val="00970DAF"/>
    <w:rsid w:val="009940F2"/>
    <w:rsid w:val="009954EB"/>
    <w:rsid w:val="009A7024"/>
    <w:rsid w:val="009A7233"/>
    <w:rsid w:val="009B7B04"/>
    <w:rsid w:val="009C5CED"/>
    <w:rsid w:val="009D7819"/>
    <w:rsid w:val="009E0F54"/>
    <w:rsid w:val="009E14EC"/>
    <w:rsid w:val="009F7A84"/>
    <w:rsid w:val="00A02D79"/>
    <w:rsid w:val="00A1780E"/>
    <w:rsid w:val="00A2336F"/>
    <w:rsid w:val="00A23A51"/>
    <w:rsid w:val="00A3065D"/>
    <w:rsid w:val="00A30F61"/>
    <w:rsid w:val="00A34C41"/>
    <w:rsid w:val="00A43A69"/>
    <w:rsid w:val="00A52156"/>
    <w:rsid w:val="00A66535"/>
    <w:rsid w:val="00A714AE"/>
    <w:rsid w:val="00A77614"/>
    <w:rsid w:val="00A77ECF"/>
    <w:rsid w:val="00A80112"/>
    <w:rsid w:val="00A8089D"/>
    <w:rsid w:val="00A85BC3"/>
    <w:rsid w:val="00A97C9C"/>
    <w:rsid w:val="00AA5DB5"/>
    <w:rsid w:val="00AB14CA"/>
    <w:rsid w:val="00AB236D"/>
    <w:rsid w:val="00AD4459"/>
    <w:rsid w:val="00AF2DF0"/>
    <w:rsid w:val="00B03C51"/>
    <w:rsid w:val="00B0627F"/>
    <w:rsid w:val="00B40E8B"/>
    <w:rsid w:val="00B43C50"/>
    <w:rsid w:val="00B50841"/>
    <w:rsid w:val="00B526ED"/>
    <w:rsid w:val="00B5383E"/>
    <w:rsid w:val="00B56F4F"/>
    <w:rsid w:val="00B70297"/>
    <w:rsid w:val="00B70EFB"/>
    <w:rsid w:val="00B7136F"/>
    <w:rsid w:val="00B7776D"/>
    <w:rsid w:val="00B821F8"/>
    <w:rsid w:val="00B83D8A"/>
    <w:rsid w:val="00B902DE"/>
    <w:rsid w:val="00B95EED"/>
    <w:rsid w:val="00BA5B2D"/>
    <w:rsid w:val="00BB1A15"/>
    <w:rsid w:val="00BB59A3"/>
    <w:rsid w:val="00BC02AC"/>
    <w:rsid w:val="00BC7E26"/>
    <w:rsid w:val="00BE712D"/>
    <w:rsid w:val="00BE7C71"/>
    <w:rsid w:val="00BF0C6E"/>
    <w:rsid w:val="00BF3DD7"/>
    <w:rsid w:val="00C00E26"/>
    <w:rsid w:val="00C01F42"/>
    <w:rsid w:val="00C06C12"/>
    <w:rsid w:val="00C108F5"/>
    <w:rsid w:val="00C1166C"/>
    <w:rsid w:val="00C20766"/>
    <w:rsid w:val="00C20B3A"/>
    <w:rsid w:val="00C244AF"/>
    <w:rsid w:val="00C266CB"/>
    <w:rsid w:val="00C31632"/>
    <w:rsid w:val="00C3798F"/>
    <w:rsid w:val="00C41E9E"/>
    <w:rsid w:val="00C42BC4"/>
    <w:rsid w:val="00C43B18"/>
    <w:rsid w:val="00C45018"/>
    <w:rsid w:val="00C458B8"/>
    <w:rsid w:val="00C45BFA"/>
    <w:rsid w:val="00C57E4B"/>
    <w:rsid w:val="00C65F67"/>
    <w:rsid w:val="00C7329D"/>
    <w:rsid w:val="00C73E48"/>
    <w:rsid w:val="00C77F03"/>
    <w:rsid w:val="00C8619D"/>
    <w:rsid w:val="00CA1B11"/>
    <w:rsid w:val="00CA1DE1"/>
    <w:rsid w:val="00CB3BD3"/>
    <w:rsid w:val="00CB3D3F"/>
    <w:rsid w:val="00CB7156"/>
    <w:rsid w:val="00CB7331"/>
    <w:rsid w:val="00CC5A7F"/>
    <w:rsid w:val="00CD1861"/>
    <w:rsid w:val="00CD221A"/>
    <w:rsid w:val="00CD3AEF"/>
    <w:rsid w:val="00CD4FD3"/>
    <w:rsid w:val="00CD5344"/>
    <w:rsid w:val="00CD5642"/>
    <w:rsid w:val="00CE221D"/>
    <w:rsid w:val="00CE2294"/>
    <w:rsid w:val="00CE619E"/>
    <w:rsid w:val="00D01BF1"/>
    <w:rsid w:val="00D27402"/>
    <w:rsid w:val="00D3554F"/>
    <w:rsid w:val="00D40F4D"/>
    <w:rsid w:val="00D43487"/>
    <w:rsid w:val="00D46739"/>
    <w:rsid w:val="00D47268"/>
    <w:rsid w:val="00D51FC5"/>
    <w:rsid w:val="00D52553"/>
    <w:rsid w:val="00D528D5"/>
    <w:rsid w:val="00D6104C"/>
    <w:rsid w:val="00D61758"/>
    <w:rsid w:val="00D61E6F"/>
    <w:rsid w:val="00D654DC"/>
    <w:rsid w:val="00D76DE4"/>
    <w:rsid w:val="00D84B7C"/>
    <w:rsid w:val="00D856C6"/>
    <w:rsid w:val="00DA1889"/>
    <w:rsid w:val="00DA1E65"/>
    <w:rsid w:val="00DA60FC"/>
    <w:rsid w:val="00DA7F2B"/>
    <w:rsid w:val="00DB39F6"/>
    <w:rsid w:val="00DB4E0E"/>
    <w:rsid w:val="00DB53D1"/>
    <w:rsid w:val="00DB714B"/>
    <w:rsid w:val="00DD13A3"/>
    <w:rsid w:val="00DD23A3"/>
    <w:rsid w:val="00DD67E6"/>
    <w:rsid w:val="00DD686F"/>
    <w:rsid w:val="00DE38C3"/>
    <w:rsid w:val="00DF2D01"/>
    <w:rsid w:val="00E00854"/>
    <w:rsid w:val="00E032F6"/>
    <w:rsid w:val="00E06279"/>
    <w:rsid w:val="00E109C7"/>
    <w:rsid w:val="00E15B69"/>
    <w:rsid w:val="00E27574"/>
    <w:rsid w:val="00E36DDD"/>
    <w:rsid w:val="00E43C87"/>
    <w:rsid w:val="00E46A93"/>
    <w:rsid w:val="00E56776"/>
    <w:rsid w:val="00E743E9"/>
    <w:rsid w:val="00E748BC"/>
    <w:rsid w:val="00E75D38"/>
    <w:rsid w:val="00E76527"/>
    <w:rsid w:val="00E80255"/>
    <w:rsid w:val="00E844BD"/>
    <w:rsid w:val="00E921CB"/>
    <w:rsid w:val="00EA0F91"/>
    <w:rsid w:val="00EA2181"/>
    <w:rsid w:val="00EA6CEE"/>
    <w:rsid w:val="00EA7177"/>
    <w:rsid w:val="00EB080C"/>
    <w:rsid w:val="00EB0AA7"/>
    <w:rsid w:val="00EB3EFE"/>
    <w:rsid w:val="00EC1DA1"/>
    <w:rsid w:val="00EC1F49"/>
    <w:rsid w:val="00EC3F9B"/>
    <w:rsid w:val="00EC4B2E"/>
    <w:rsid w:val="00ED21B5"/>
    <w:rsid w:val="00ED31AB"/>
    <w:rsid w:val="00ED3688"/>
    <w:rsid w:val="00ED385D"/>
    <w:rsid w:val="00ED40E7"/>
    <w:rsid w:val="00ED5150"/>
    <w:rsid w:val="00ED57BA"/>
    <w:rsid w:val="00EE0729"/>
    <w:rsid w:val="00EE386E"/>
    <w:rsid w:val="00EE6069"/>
    <w:rsid w:val="00EF4C50"/>
    <w:rsid w:val="00EF7469"/>
    <w:rsid w:val="00F00051"/>
    <w:rsid w:val="00F04898"/>
    <w:rsid w:val="00F05FB6"/>
    <w:rsid w:val="00F115C3"/>
    <w:rsid w:val="00F1208E"/>
    <w:rsid w:val="00F160A2"/>
    <w:rsid w:val="00F22FC9"/>
    <w:rsid w:val="00F23371"/>
    <w:rsid w:val="00F23F11"/>
    <w:rsid w:val="00F261C1"/>
    <w:rsid w:val="00F26BE6"/>
    <w:rsid w:val="00F31260"/>
    <w:rsid w:val="00F33005"/>
    <w:rsid w:val="00F36654"/>
    <w:rsid w:val="00F5048D"/>
    <w:rsid w:val="00F566FC"/>
    <w:rsid w:val="00F6049C"/>
    <w:rsid w:val="00F609A8"/>
    <w:rsid w:val="00F62632"/>
    <w:rsid w:val="00F71527"/>
    <w:rsid w:val="00F75779"/>
    <w:rsid w:val="00F7707F"/>
    <w:rsid w:val="00F7727A"/>
    <w:rsid w:val="00F800D1"/>
    <w:rsid w:val="00F80CE1"/>
    <w:rsid w:val="00F82FF0"/>
    <w:rsid w:val="00F84550"/>
    <w:rsid w:val="00F93299"/>
    <w:rsid w:val="00FB16EC"/>
    <w:rsid w:val="00FB3492"/>
    <w:rsid w:val="00FD0743"/>
    <w:rsid w:val="00FD329E"/>
    <w:rsid w:val="00FD718F"/>
    <w:rsid w:val="00FD7B4C"/>
    <w:rsid w:val="00FE12F0"/>
    <w:rsid w:val="00FE2D31"/>
    <w:rsid w:val="00FE3974"/>
    <w:rsid w:val="00FE5135"/>
    <w:rsid w:val="00FE6705"/>
    <w:rsid w:val="00FE72C3"/>
    <w:rsid w:val="00FF5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5B803"/>
  <w15:docId w15:val="{26556417-C2EF-4A8B-8EDE-2870D3FE4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360" w:lineRule="auto"/>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6FC"/>
  </w:style>
  <w:style w:type="paragraph" w:styleId="Heading1">
    <w:name w:val="heading 1"/>
    <w:basedOn w:val="Normal"/>
    <w:link w:val="Heading1Char"/>
    <w:uiPriority w:val="9"/>
    <w:qFormat/>
    <w:rsid w:val="002A751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D38"/>
    <w:rPr>
      <w:color w:val="0563C1" w:themeColor="hyperlink"/>
      <w:u w:val="single"/>
    </w:rPr>
  </w:style>
  <w:style w:type="paragraph" w:styleId="Header">
    <w:name w:val="header"/>
    <w:basedOn w:val="Normal"/>
    <w:link w:val="HeaderChar"/>
    <w:uiPriority w:val="99"/>
    <w:unhideWhenUsed/>
    <w:rsid w:val="00AB2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36D"/>
  </w:style>
  <w:style w:type="paragraph" w:styleId="Footer">
    <w:name w:val="footer"/>
    <w:basedOn w:val="Normal"/>
    <w:link w:val="FooterChar"/>
    <w:uiPriority w:val="99"/>
    <w:unhideWhenUsed/>
    <w:rsid w:val="00AB2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36D"/>
  </w:style>
  <w:style w:type="paragraph" w:styleId="ListParagraph">
    <w:name w:val="List Paragraph"/>
    <w:basedOn w:val="Normal"/>
    <w:uiPriority w:val="34"/>
    <w:qFormat/>
    <w:rsid w:val="00BB1A15"/>
    <w:pPr>
      <w:ind w:left="720"/>
      <w:contextualSpacing/>
    </w:pPr>
  </w:style>
  <w:style w:type="character" w:customStyle="1" w:styleId="Heading1Char">
    <w:name w:val="Heading 1 Char"/>
    <w:basedOn w:val="DefaultParagraphFont"/>
    <w:link w:val="Heading1"/>
    <w:uiPriority w:val="9"/>
    <w:rsid w:val="002A7515"/>
    <w:rPr>
      <w:rFonts w:ascii="Times New Roman" w:eastAsia="Times New Roman" w:hAnsi="Times New Roman" w:cs="Times New Roman"/>
      <w:b/>
      <w:bCs/>
      <w:kern w:val="36"/>
      <w:sz w:val="48"/>
      <w:szCs w:val="48"/>
      <w:lang w:val="en-US"/>
    </w:rPr>
  </w:style>
  <w:style w:type="table" w:customStyle="1" w:styleId="PlainTable41">
    <w:name w:val="Plain Table 41"/>
    <w:basedOn w:val="TableNormal"/>
    <w:uiPriority w:val="44"/>
    <w:rsid w:val="00670EEC"/>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021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DCF"/>
    <w:rPr>
      <w:rFonts w:ascii="Tahoma" w:hAnsi="Tahoma" w:cs="Tahoma"/>
      <w:sz w:val="16"/>
      <w:szCs w:val="16"/>
    </w:rPr>
  </w:style>
  <w:style w:type="paragraph" w:styleId="FootnoteText">
    <w:name w:val="footnote text"/>
    <w:basedOn w:val="Normal"/>
    <w:link w:val="FootnoteTextChar"/>
    <w:uiPriority w:val="99"/>
    <w:unhideWhenUsed/>
    <w:rsid w:val="00066036"/>
    <w:pPr>
      <w:spacing w:after="0" w:line="240" w:lineRule="auto"/>
    </w:pPr>
    <w:rPr>
      <w:sz w:val="20"/>
      <w:szCs w:val="20"/>
    </w:rPr>
  </w:style>
  <w:style w:type="character" w:customStyle="1" w:styleId="FootnoteTextChar">
    <w:name w:val="Footnote Text Char"/>
    <w:basedOn w:val="DefaultParagraphFont"/>
    <w:link w:val="FootnoteText"/>
    <w:uiPriority w:val="99"/>
    <w:rsid w:val="00066036"/>
    <w:rPr>
      <w:sz w:val="20"/>
      <w:szCs w:val="20"/>
    </w:rPr>
  </w:style>
  <w:style w:type="character" w:styleId="FootnoteReference">
    <w:name w:val="footnote reference"/>
    <w:basedOn w:val="DefaultParagraphFont"/>
    <w:uiPriority w:val="99"/>
    <w:unhideWhenUsed/>
    <w:rsid w:val="000660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929034">
      <w:bodyDiv w:val="1"/>
      <w:marLeft w:val="0"/>
      <w:marRight w:val="0"/>
      <w:marTop w:val="0"/>
      <w:marBottom w:val="0"/>
      <w:divBdr>
        <w:top w:val="none" w:sz="0" w:space="0" w:color="auto"/>
        <w:left w:val="none" w:sz="0" w:space="0" w:color="auto"/>
        <w:bottom w:val="none" w:sz="0" w:space="0" w:color="auto"/>
        <w:right w:val="none" w:sz="0" w:space="0" w:color="auto"/>
      </w:divBdr>
    </w:div>
    <w:div w:id="862287790">
      <w:bodyDiv w:val="1"/>
      <w:marLeft w:val="0"/>
      <w:marRight w:val="0"/>
      <w:marTop w:val="0"/>
      <w:marBottom w:val="0"/>
      <w:divBdr>
        <w:top w:val="none" w:sz="0" w:space="0" w:color="auto"/>
        <w:left w:val="none" w:sz="0" w:space="0" w:color="auto"/>
        <w:bottom w:val="none" w:sz="0" w:space="0" w:color="auto"/>
        <w:right w:val="none" w:sz="0" w:space="0" w:color="auto"/>
      </w:divBdr>
    </w:div>
    <w:div w:id="88521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echr.coe.int/Documents/Convention_ENG.pdf" TargetMode="External"/><Relationship Id="rId18" Type="http://schemas.openxmlformats.org/officeDocument/2006/relationships/hyperlink" Target="https://www.gov.uk/government/uploads/system/uploads/attachment_data/file/427720/coroners-statistics-2014.pdf" TargetMode="External"/><Relationship Id="rId3" Type="http://schemas.openxmlformats.org/officeDocument/2006/relationships/styles" Target="styles.xml"/><Relationship Id="rId21" Type="http://schemas.openxmlformats.org/officeDocument/2006/relationships/hyperlink" Target="http://www.independent.co.uk/news/uk/politics/what-is-the-human-rights-act-and-why-does-michael-gove-want-to-scrap-it-10240527.html" TargetMode="External"/><Relationship Id="rId7" Type="http://schemas.openxmlformats.org/officeDocument/2006/relationships/endnotes" Target="endnotes.xml"/><Relationship Id="rId12" Type="http://schemas.openxmlformats.org/officeDocument/2006/relationships/hyperlink" Target="http://www.judiciary.gov.uk/wp-content/uploads/JCO/Documents/coroners/guidance/chief-coroners-guide-to-act-sept2013.pdf" TargetMode="External"/><Relationship Id="rId17" Type="http://schemas.openxmlformats.org/officeDocument/2006/relationships/hyperlink" Target="http://www.publications.parliament.uk/pa/jt200405/jtselect/jtrights/15/1510.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pcc.gov.uk/en/Pages/reports_polcustody.aspx.%20Accessed%207/11/12" TargetMode="External"/><Relationship Id="rId20" Type="http://schemas.openxmlformats.org/officeDocument/2006/relationships/hyperlink" Target="http://www.legislation.gov.uk/ukpga/2009/25/section/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hief-coroners-annual-report-2013-to-201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cc.gov.uk/sites/default/files/Documents/deaths_review/Review_of_the_IPCCs_work_in_investigating_deaths_2014.pdf.%20Accessed%2017/3/14" TargetMode="External"/><Relationship Id="rId23" Type="http://schemas.openxmlformats.org/officeDocument/2006/relationships/footer" Target="footer1.xml"/><Relationship Id="rId10" Type="http://schemas.openxmlformats.org/officeDocument/2006/relationships/hyperlink" Target="http://www.ag.gov.bc.ca/public_inquiries/docs/BraidwoodPhase2Report.pdf" TargetMode="External"/><Relationship Id="rId19" Type="http://schemas.openxmlformats.org/officeDocument/2006/relationships/hyperlink" Target="http://www.theioi.org/downloads/5sngu/NSW%20OM%20Report%20on%20Police%20INvestigation.pdf" TargetMode="External"/><Relationship Id="rId4" Type="http://schemas.openxmlformats.org/officeDocument/2006/relationships/settings" Target="settings.xml"/><Relationship Id="rId9" Type="http://schemas.openxmlformats.org/officeDocument/2006/relationships/hyperlink" Target="http://www.nacro.org.uk/data/files/nacro-2006021400-469.pdf" TargetMode="External"/><Relationship Id="rId14" Type="http://schemas.openxmlformats.org/officeDocument/2006/relationships/hyperlink" Target="http://eprints.lse.ac.uk/46297/1/Reading%20the%20riots(published).pdf" TargetMode="External"/><Relationship Id="rId22" Type="http://schemas.openxmlformats.org/officeDocument/2006/relationships/hyperlink" Target="http://www.usatoday.com/story/news/nation/2014/08/14/ferguson-militarized-police/14064675/"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100" b="1" i="1"/>
              <a:t>Table</a:t>
            </a:r>
            <a:r>
              <a:rPr lang="en-US" sz="1100" b="1" i="1" baseline="0"/>
              <a:t> 1: </a:t>
            </a:r>
            <a:r>
              <a:rPr lang="en-US" sz="1100" b="1" i="1"/>
              <a:t>Narrative v</a:t>
            </a:r>
            <a:r>
              <a:rPr lang="en-US" sz="1100" b="1" i="1" baseline="0"/>
              <a:t>erdicts recorded</a:t>
            </a:r>
            <a:r>
              <a:rPr lang="en-US" sz="1100" b="1" i="1"/>
              <a:t> </a:t>
            </a:r>
            <a:br>
              <a:rPr lang="en-US" sz="1100" b="1" i="1"/>
            </a:br>
            <a:r>
              <a:rPr lang="en-US" sz="1100" b="1" i="1"/>
              <a:t>2000 - 2014  </a:t>
            </a:r>
            <a:r>
              <a:rPr lang="en-US" sz="1100" b="0" i="0"/>
              <a:t>(Ministry</a:t>
            </a:r>
            <a:r>
              <a:rPr lang="en-US" sz="1100" b="0" i="0" baseline="0"/>
              <a:t> of Justice 2014) </a:t>
            </a:r>
            <a:endParaRPr lang="en-US" sz="1100" b="1" i="1"/>
          </a:p>
        </c:rich>
      </c:tx>
      <c:overlay val="0"/>
    </c:title>
    <c:autoTitleDeleted val="0"/>
    <c:plotArea>
      <c:layout/>
      <c:lineChart>
        <c:grouping val="standard"/>
        <c:varyColors val="0"/>
        <c:ser>
          <c:idx val="0"/>
          <c:order val="0"/>
          <c:tx>
            <c:v>Total</c:v>
          </c:tx>
          <c:marker>
            <c:symbol val="none"/>
          </c:marker>
          <c:cat>
            <c:strRef>
              <c:f>'[Copy of coroners-statistics-2014-statistical-tables.xls]Table 7'!$A$11:$A$25</c:f>
              <c:strCach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strCache>
            </c:strRef>
          </c:cat>
          <c:val>
            <c:numRef>
              <c:f>'[Copy of coroners-statistics-2014-statistical-tables.xls]Table 7'!$BD$11:$BD$25</c:f>
              <c:numCache>
                <c:formatCode>#,##0</c:formatCode>
                <c:ptCount val="15"/>
                <c:pt idx="0">
                  <c:v>156</c:v>
                </c:pt>
                <c:pt idx="1">
                  <c:v>225</c:v>
                </c:pt>
                <c:pt idx="2">
                  <c:v>583</c:v>
                </c:pt>
                <c:pt idx="3">
                  <c:v>873</c:v>
                </c:pt>
                <c:pt idx="4">
                  <c:v>1412</c:v>
                </c:pt>
                <c:pt idx="5">
                  <c:v>1952</c:v>
                </c:pt>
                <c:pt idx="6">
                  <c:v>2406</c:v>
                </c:pt>
                <c:pt idx="7">
                  <c:v>2923</c:v>
                </c:pt>
                <c:pt idx="8">
                  <c:v>3333</c:v>
                </c:pt>
                <c:pt idx="9">
                  <c:v>3797</c:v>
                </c:pt>
                <c:pt idx="10">
                  <c:v>4180</c:v>
                </c:pt>
                <c:pt idx="11">
                  <c:v>4400</c:v>
                </c:pt>
                <c:pt idx="12">
                  <c:v>4634</c:v>
                </c:pt>
                <c:pt idx="13">
                  <c:v>5343</c:v>
                </c:pt>
                <c:pt idx="14">
                  <c:v>5261</c:v>
                </c:pt>
              </c:numCache>
            </c:numRef>
          </c:val>
          <c:smooth val="0"/>
          <c:extLst>
            <c:ext xmlns:c16="http://schemas.microsoft.com/office/drawing/2014/chart" uri="{C3380CC4-5D6E-409C-BE32-E72D297353CC}">
              <c16:uniqueId val="{00000000-1694-5D4F-8463-D37134A8B162}"/>
            </c:ext>
          </c:extLst>
        </c:ser>
        <c:dLbls>
          <c:showLegendKey val="0"/>
          <c:showVal val="0"/>
          <c:showCatName val="0"/>
          <c:showSerName val="0"/>
          <c:showPercent val="0"/>
          <c:showBubbleSize val="0"/>
        </c:dLbls>
        <c:smooth val="0"/>
        <c:axId val="2087840848"/>
        <c:axId val="2101105376"/>
      </c:lineChart>
      <c:catAx>
        <c:axId val="2087840848"/>
        <c:scaling>
          <c:orientation val="minMax"/>
        </c:scaling>
        <c:delete val="0"/>
        <c:axPos val="b"/>
        <c:numFmt formatCode="General" sourceLinked="0"/>
        <c:majorTickMark val="out"/>
        <c:minorTickMark val="none"/>
        <c:tickLblPos val="nextTo"/>
        <c:txPr>
          <a:bodyPr rot="0" vert="horz"/>
          <a:lstStyle/>
          <a:p>
            <a:pPr>
              <a:defRPr/>
            </a:pPr>
            <a:endParaRPr lang="en-US"/>
          </a:p>
        </c:txPr>
        <c:crossAx val="2101105376"/>
        <c:crosses val="autoZero"/>
        <c:auto val="1"/>
        <c:lblAlgn val="ctr"/>
        <c:lblOffset val="100"/>
        <c:noMultiLvlLbl val="0"/>
      </c:catAx>
      <c:valAx>
        <c:axId val="2101105376"/>
        <c:scaling>
          <c:orientation val="minMax"/>
        </c:scaling>
        <c:delete val="0"/>
        <c:axPos val="l"/>
        <c:majorGridlines/>
        <c:numFmt formatCode="#,##0" sourceLinked="1"/>
        <c:majorTickMark val="out"/>
        <c:minorTickMark val="none"/>
        <c:tickLblPos val="nextTo"/>
        <c:crossAx val="208784084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452DD-DEBC-1143-8719-73C3F82E0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8927</Words>
  <Characters>50889</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Baker</dc:creator>
  <cp:keywords/>
  <dc:description/>
  <cp:lastModifiedBy>Microsoft Office User</cp:lastModifiedBy>
  <cp:revision>2</cp:revision>
  <cp:lastPrinted>2015-09-10T19:13:00Z</cp:lastPrinted>
  <dcterms:created xsi:type="dcterms:W3CDTF">2019-10-29T15:24:00Z</dcterms:created>
  <dcterms:modified xsi:type="dcterms:W3CDTF">2019-10-29T15:24:00Z</dcterms:modified>
</cp:coreProperties>
</file>