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79693" w14:textId="493CCE5B" w:rsidR="00102005" w:rsidRPr="00E15289" w:rsidRDefault="007C6152" w:rsidP="003E5B7A">
      <w:pPr>
        <w:spacing w:afterLines="60" w:after="144" w:line="360" w:lineRule="auto"/>
        <w:rPr>
          <w:rFonts w:ascii="Arial" w:hAnsi="Arial"/>
          <w:b/>
          <w:bCs/>
          <w:iCs/>
          <w:lang w:val="en-GB"/>
        </w:rPr>
      </w:pPr>
      <w:r w:rsidRPr="00E15289">
        <w:rPr>
          <w:rFonts w:ascii="Arial" w:hAnsi="Arial"/>
          <w:b/>
          <w:bCs/>
          <w:iCs/>
          <w:lang w:val="en-GB"/>
        </w:rPr>
        <w:t xml:space="preserve">The </w:t>
      </w:r>
      <w:r w:rsidR="00F22678" w:rsidRPr="00E15289">
        <w:rPr>
          <w:rFonts w:ascii="Arial" w:hAnsi="Arial"/>
          <w:b/>
          <w:bCs/>
          <w:iCs/>
          <w:lang w:val="en-GB"/>
        </w:rPr>
        <w:t>i</w:t>
      </w:r>
      <w:r w:rsidR="003F4AA1" w:rsidRPr="00E15289">
        <w:rPr>
          <w:rFonts w:ascii="Arial" w:hAnsi="Arial"/>
          <w:b/>
          <w:bCs/>
          <w:iCs/>
          <w:lang w:val="en-GB"/>
        </w:rPr>
        <w:t xml:space="preserve">nfluence of </w:t>
      </w:r>
      <w:r w:rsidR="00F22678" w:rsidRPr="00E15289">
        <w:rPr>
          <w:rFonts w:ascii="Arial" w:hAnsi="Arial"/>
          <w:b/>
          <w:bCs/>
          <w:iCs/>
          <w:lang w:val="en-GB"/>
        </w:rPr>
        <w:t>h</w:t>
      </w:r>
      <w:r w:rsidR="003F4AA1" w:rsidRPr="00E15289">
        <w:rPr>
          <w:rFonts w:ascii="Arial" w:hAnsi="Arial"/>
          <w:b/>
          <w:bCs/>
          <w:iCs/>
          <w:lang w:val="en-GB"/>
        </w:rPr>
        <w:t xml:space="preserve">ypoxia on </w:t>
      </w:r>
      <w:r w:rsidR="00F22678" w:rsidRPr="00E15289">
        <w:rPr>
          <w:rFonts w:ascii="Arial" w:hAnsi="Arial"/>
          <w:b/>
          <w:bCs/>
          <w:iCs/>
          <w:lang w:val="en-GB"/>
        </w:rPr>
        <w:t>t</w:t>
      </w:r>
      <w:r w:rsidR="003F4AA1" w:rsidRPr="00E15289">
        <w:rPr>
          <w:rFonts w:ascii="Arial" w:hAnsi="Arial"/>
          <w:b/>
          <w:bCs/>
          <w:iCs/>
          <w:lang w:val="en-GB"/>
        </w:rPr>
        <w:t xml:space="preserve">he </w:t>
      </w:r>
      <w:r w:rsidR="00F22678" w:rsidRPr="00E15289">
        <w:rPr>
          <w:rFonts w:ascii="Arial" w:hAnsi="Arial"/>
          <w:b/>
          <w:bCs/>
          <w:iCs/>
          <w:lang w:val="en-GB"/>
        </w:rPr>
        <w:t>p</w:t>
      </w:r>
      <w:r w:rsidR="003F4AA1" w:rsidRPr="00E15289">
        <w:rPr>
          <w:rFonts w:ascii="Arial" w:hAnsi="Arial"/>
          <w:b/>
          <w:bCs/>
          <w:iCs/>
          <w:lang w:val="en-GB"/>
        </w:rPr>
        <w:t xml:space="preserve">rostate </w:t>
      </w:r>
      <w:r w:rsidR="00F22678" w:rsidRPr="00E15289">
        <w:rPr>
          <w:rFonts w:ascii="Arial" w:hAnsi="Arial"/>
          <w:b/>
          <w:bCs/>
          <w:iCs/>
          <w:lang w:val="en-GB"/>
        </w:rPr>
        <w:t>cancer p</w:t>
      </w:r>
      <w:r w:rsidR="003F4AA1" w:rsidRPr="00E15289">
        <w:rPr>
          <w:rFonts w:ascii="Arial" w:hAnsi="Arial"/>
          <w:b/>
          <w:bCs/>
          <w:iCs/>
          <w:lang w:val="en-GB"/>
        </w:rPr>
        <w:t>roteome</w:t>
      </w:r>
    </w:p>
    <w:p w14:paraId="40318DE9" w14:textId="77777777" w:rsidR="0079263F" w:rsidRPr="00E15289" w:rsidRDefault="0079263F" w:rsidP="003E5B7A">
      <w:pPr>
        <w:spacing w:afterLines="60" w:after="144" w:line="360" w:lineRule="auto"/>
        <w:rPr>
          <w:rFonts w:ascii="Arial" w:hAnsi="Arial"/>
          <w:bCs/>
          <w:iCs/>
          <w:sz w:val="4"/>
          <w:lang w:val="en-GB"/>
        </w:rPr>
      </w:pPr>
    </w:p>
    <w:p w14:paraId="15CBF13E" w14:textId="7C19F4C4" w:rsidR="007C6152" w:rsidRDefault="007C6152" w:rsidP="003E5B7A">
      <w:pPr>
        <w:spacing w:afterLines="60" w:after="144" w:line="360" w:lineRule="auto"/>
        <w:rPr>
          <w:rFonts w:ascii="Arial" w:hAnsi="Arial"/>
          <w:bCs/>
          <w:iCs/>
          <w:lang w:val="en-GB"/>
        </w:rPr>
      </w:pPr>
      <w:r w:rsidRPr="00E15289">
        <w:rPr>
          <w:rFonts w:ascii="Arial" w:hAnsi="Arial"/>
          <w:bCs/>
          <w:iCs/>
          <w:lang w:val="en-GB"/>
        </w:rPr>
        <w:t>James A</w:t>
      </w:r>
      <w:r w:rsidR="00F22678" w:rsidRPr="00E15289">
        <w:rPr>
          <w:rFonts w:ascii="Arial" w:hAnsi="Arial"/>
          <w:bCs/>
          <w:iCs/>
          <w:lang w:val="en-GB"/>
        </w:rPr>
        <w:t>.</w:t>
      </w:r>
      <w:r w:rsidRPr="00E15289">
        <w:rPr>
          <w:rFonts w:ascii="Arial" w:hAnsi="Arial"/>
          <w:bCs/>
          <w:iCs/>
          <w:lang w:val="en-GB"/>
        </w:rPr>
        <w:t xml:space="preserve"> Ross</w:t>
      </w:r>
      <w:proofErr w:type="gramStart"/>
      <w:r w:rsidRPr="00E15289">
        <w:rPr>
          <w:rFonts w:ascii="Arial" w:hAnsi="Arial"/>
          <w:bCs/>
          <w:iCs/>
          <w:vertAlign w:val="superscript"/>
          <w:lang w:val="en-GB"/>
        </w:rPr>
        <w:t>1</w:t>
      </w:r>
      <w:r w:rsidR="003F4AA1" w:rsidRPr="00E15289">
        <w:rPr>
          <w:rFonts w:ascii="Arial" w:hAnsi="Arial"/>
          <w:bCs/>
          <w:iCs/>
          <w:vertAlign w:val="superscript"/>
          <w:lang w:val="en-GB"/>
        </w:rPr>
        <w:t>,</w:t>
      </w:r>
      <w:r w:rsidR="00E15289" w:rsidRPr="00E15289">
        <w:rPr>
          <w:rFonts w:ascii="Arial" w:hAnsi="Arial" w:cs="Arial"/>
          <w:bCs/>
          <w:iCs/>
          <w:vertAlign w:val="superscript"/>
          <w:lang w:val="en-GB"/>
        </w:rPr>
        <w:t>a</w:t>
      </w:r>
      <w:proofErr w:type="gramEnd"/>
      <w:r w:rsidRPr="00E15289">
        <w:rPr>
          <w:rFonts w:ascii="Arial" w:hAnsi="Arial"/>
          <w:bCs/>
          <w:iCs/>
          <w:lang w:val="en-GB"/>
        </w:rPr>
        <w:t>, Johannes P</w:t>
      </w:r>
      <w:r w:rsidR="00F22678" w:rsidRPr="00E15289">
        <w:rPr>
          <w:rFonts w:ascii="Arial" w:hAnsi="Arial"/>
          <w:bCs/>
          <w:iCs/>
          <w:lang w:val="en-GB"/>
        </w:rPr>
        <w:t>.</w:t>
      </w:r>
      <w:r w:rsidRPr="00E15289">
        <w:rPr>
          <w:rFonts w:ascii="Arial" w:hAnsi="Arial"/>
          <w:bCs/>
          <w:iCs/>
          <w:lang w:val="en-GB"/>
        </w:rPr>
        <w:t>C</w:t>
      </w:r>
      <w:r w:rsidR="00F22678" w:rsidRPr="00E15289">
        <w:rPr>
          <w:rFonts w:ascii="Arial" w:hAnsi="Arial"/>
          <w:bCs/>
          <w:iCs/>
          <w:lang w:val="en-GB"/>
        </w:rPr>
        <w:t>.</w:t>
      </w:r>
      <w:r w:rsidRPr="00E15289">
        <w:rPr>
          <w:rFonts w:ascii="Arial" w:hAnsi="Arial"/>
          <w:bCs/>
          <w:iCs/>
          <w:lang w:val="en-GB"/>
        </w:rPr>
        <w:t xml:space="preserve"> Vissers</w:t>
      </w:r>
      <w:r w:rsidRPr="00E15289">
        <w:rPr>
          <w:rFonts w:ascii="Arial" w:hAnsi="Arial"/>
          <w:bCs/>
          <w:iCs/>
          <w:vertAlign w:val="superscript"/>
          <w:lang w:val="en-GB"/>
        </w:rPr>
        <w:t>2</w:t>
      </w:r>
      <w:r w:rsidR="003F4AA1" w:rsidRPr="00E15289">
        <w:rPr>
          <w:rFonts w:ascii="Arial" w:hAnsi="Arial"/>
          <w:bCs/>
          <w:iCs/>
          <w:vertAlign w:val="superscript"/>
          <w:lang w:val="en-GB"/>
        </w:rPr>
        <w:t>,</w:t>
      </w:r>
      <w:r w:rsidR="00E15289" w:rsidRPr="00E15289">
        <w:rPr>
          <w:rFonts w:ascii="Arial" w:hAnsi="Arial" w:cs="Arial"/>
          <w:bCs/>
          <w:iCs/>
          <w:vertAlign w:val="superscript"/>
          <w:lang w:val="en-GB"/>
        </w:rPr>
        <w:t>a</w:t>
      </w:r>
      <w:r w:rsidRPr="00E15289">
        <w:rPr>
          <w:rFonts w:ascii="Arial" w:hAnsi="Arial"/>
          <w:bCs/>
          <w:iCs/>
          <w:lang w:val="en-GB"/>
        </w:rPr>
        <w:t>, Jyoti Nanda</w:t>
      </w:r>
      <w:r w:rsidRPr="00E15289">
        <w:rPr>
          <w:rFonts w:ascii="Arial" w:hAnsi="Arial"/>
          <w:bCs/>
          <w:iCs/>
          <w:vertAlign w:val="superscript"/>
          <w:lang w:val="en-GB"/>
        </w:rPr>
        <w:t>3</w:t>
      </w:r>
      <w:r w:rsidRPr="00E15289">
        <w:rPr>
          <w:rFonts w:ascii="Arial" w:hAnsi="Arial"/>
          <w:bCs/>
          <w:iCs/>
          <w:lang w:val="en-GB"/>
        </w:rPr>
        <w:t>, Grant</w:t>
      </w:r>
      <w:r w:rsidR="0044677C" w:rsidRPr="00E15289">
        <w:rPr>
          <w:rFonts w:ascii="Arial" w:hAnsi="Arial"/>
          <w:bCs/>
          <w:iCs/>
          <w:lang w:val="en-GB"/>
        </w:rPr>
        <w:t> </w:t>
      </w:r>
      <w:r w:rsidRPr="00E15289">
        <w:rPr>
          <w:rFonts w:ascii="Arial" w:hAnsi="Arial"/>
          <w:bCs/>
          <w:iCs/>
          <w:lang w:val="en-GB"/>
        </w:rPr>
        <w:t>D</w:t>
      </w:r>
      <w:r w:rsidR="00F22678" w:rsidRPr="00E15289">
        <w:rPr>
          <w:rFonts w:ascii="Arial" w:hAnsi="Arial"/>
          <w:bCs/>
          <w:iCs/>
          <w:lang w:val="en-GB"/>
        </w:rPr>
        <w:t>.</w:t>
      </w:r>
      <w:r w:rsidR="0044677C" w:rsidRPr="00E15289">
        <w:rPr>
          <w:rFonts w:ascii="Arial" w:hAnsi="Arial"/>
          <w:bCs/>
          <w:iCs/>
          <w:lang w:val="en-GB"/>
        </w:rPr>
        <w:t> </w:t>
      </w:r>
      <w:r w:rsidRPr="00E15289">
        <w:rPr>
          <w:rFonts w:ascii="Arial" w:hAnsi="Arial"/>
          <w:bCs/>
          <w:iCs/>
          <w:lang w:val="en-GB"/>
        </w:rPr>
        <w:t>Stewart</w:t>
      </w:r>
      <w:r w:rsidRPr="00E15289">
        <w:rPr>
          <w:rFonts w:ascii="Arial" w:hAnsi="Arial"/>
          <w:bCs/>
          <w:iCs/>
          <w:vertAlign w:val="superscript"/>
          <w:lang w:val="en-GB"/>
        </w:rPr>
        <w:t>4</w:t>
      </w:r>
      <w:r w:rsidRPr="00E15289">
        <w:rPr>
          <w:rFonts w:ascii="Arial" w:hAnsi="Arial"/>
          <w:bCs/>
          <w:iCs/>
          <w:lang w:val="en-GB"/>
        </w:rPr>
        <w:t>, Holger Husi</w:t>
      </w:r>
      <w:r w:rsidRPr="00E15289">
        <w:rPr>
          <w:rFonts w:ascii="Arial" w:hAnsi="Arial"/>
          <w:bCs/>
          <w:iCs/>
          <w:vertAlign w:val="superscript"/>
          <w:lang w:val="en-GB"/>
        </w:rPr>
        <w:t>5</w:t>
      </w:r>
      <w:r w:rsidRPr="00E15289">
        <w:rPr>
          <w:rFonts w:ascii="Arial" w:hAnsi="Arial"/>
          <w:bCs/>
          <w:iCs/>
          <w:lang w:val="en-GB"/>
        </w:rPr>
        <w:t>,</w:t>
      </w:r>
      <w:r w:rsidR="001D1A9A" w:rsidRPr="00E15289">
        <w:rPr>
          <w:rFonts w:ascii="Arial" w:hAnsi="Arial"/>
          <w:bCs/>
          <w:iCs/>
          <w:lang w:val="en-GB"/>
        </w:rPr>
        <w:t xml:space="preserve"> Fouad K</w:t>
      </w:r>
      <w:r w:rsidR="00F22678" w:rsidRPr="00E15289">
        <w:rPr>
          <w:rFonts w:ascii="Arial" w:hAnsi="Arial"/>
          <w:bCs/>
          <w:iCs/>
          <w:lang w:val="en-GB"/>
        </w:rPr>
        <w:t>.</w:t>
      </w:r>
      <w:r w:rsidR="001D1A9A" w:rsidRPr="00E15289">
        <w:rPr>
          <w:rFonts w:ascii="Arial" w:hAnsi="Arial"/>
          <w:bCs/>
          <w:iCs/>
          <w:lang w:val="en-GB"/>
        </w:rPr>
        <w:t xml:space="preserve"> Habib</w:t>
      </w:r>
      <w:r w:rsidR="001D1A9A" w:rsidRPr="00E15289">
        <w:rPr>
          <w:rFonts w:ascii="Arial" w:hAnsi="Arial"/>
          <w:bCs/>
          <w:iCs/>
          <w:vertAlign w:val="superscript"/>
          <w:lang w:val="en-GB"/>
        </w:rPr>
        <w:t>3</w:t>
      </w:r>
      <w:r w:rsidR="001D1A9A" w:rsidRPr="00E15289">
        <w:rPr>
          <w:rFonts w:ascii="Arial" w:hAnsi="Arial"/>
          <w:bCs/>
          <w:iCs/>
          <w:lang w:val="en-GB"/>
        </w:rPr>
        <w:t xml:space="preserve">, </w:t>
      </w:r>
      <w:r w:rsidRPr="00E15289">
        <w:rPr>
          <w:rFonts w:ascii="Arial" w:hAnsi="Arial"/>
          <w:bCs/>
          <w:iCs/>
          <w:lang w:val="en-GB"/>
        </w:rPr>
        <w:t>Dean E</w:t>
      </w:r>
      <w:r w:rsidR="00F22678" w:rsidRPr="00E15289">
        <w:rPr>
          <w:rFonts w:ascii="Arial" w:hAnsi="Arial"/>
          <w:bCs/>
          <w:iCs/>
          <w:lang w:val="en-GB"/>
        </w:rPr>
        <w:t>.</w:t>
      </w:r>
      <w:r w:rsidRPr="00E15289">
        <w:rPr>
          <w:rFonts w:ascii="Arial" w:hAnsi="Arial"/>
          <w:bCs/>
          <w:iCs/>
          <w:lang w:val="en-GB"/>
        </w:rPr>
        <w:t xml:space="preserve"> Hammond</w:t>
      </w:r>
      <w:r w:rsidRPr="00E15289">
        <w:rPr>
          <w:rFonts w:ascii="Arial" w:hAnsi="Arial"/>
          <w:bCs/>
          <w:iCs/>
          <w:vertAlign w:val="superscript"/>
          <w:lang w:val="en-GB"/>
        </w:rPr>
        <w:t>6,</w:t>
      </w:r>
      <w:r w:rsidR="00BF73FA" w:rsidRPr="00E15289">
        <w:rPr>
          <w:rFonts w:ascii="Arial" w:hAnsi="Arial" w:cs="Arial"/>
          <w:bCs/>
          <w:iCs/>
          <w:vertAlign w:val="superscript"/>
          <w:lang w:val="en-GB"/>
        </w:rPr>
        <w:t>Δ</w:t>
      </w:r>
      <w:r w:rsidR="0012472D" w:rsidRPr="00E15289">
        <w:rPr>
          <w:rFonts w:ascii="Arial" w:hAnsi="Arial"/>
          <w:bCs/>
          <w:iCs/>
          <w:vertAlign w:val="superscript"/>
          <w:lang w:val="en-GB"/>
        </w:rPr>
        <w:t>,</w:t>
      </w:r>
      <w:r w:rsidRPr="00E15289">
        <w:rPr>
          <w:rFonts w:ascii="Arial" w:hAnsi="Arial"/>
          <w:bCs/>
          <w:iCs/>
          <w:lang w:val="en-GB"/>
        </w:rPr>
        <w:t>*, Lee A</w:t>
      </w:r>
      <w:r w:rsidR="00F22678" w:rsidRPr="00E15289">
        <w:rPr>
          <w:rFonts w:ascii="Arial" w:hAnsi="Arial"/>
          <w:bCs/>
          <w:iCs/>
          <w:lang w:val="en-GB"/>
        </w:rPr>
        <w:t>.</w:t>
      </w:r>
      <w:r w:rsidRPr="00E15289">
        <w:rPr>
          <w:rFonts w:ascii="Arial" w:hAnsi="Arial"/>
          <w:bCs/>
          <w:iCs/>
          <w:lang w:val="en-GB"/>
        </w:rPr>
        <w:t xml:space="preserve"> Gethings</w:t>
      </w:r>
      <w:r w:rsidRPr="00E15289">
        <w:rPr>
          <w:rFonts w:ascii="Arial" w:hAnsi="Arial"/>
          <w:bCs/>
          <w:iCs/>
          <w:vertAlign w:val="superscript"/>
          <w:lang w:val="en-GB"/>
        </w:rPr>
        <w:t>2,</w:t>
      </w:r>
      <w:r w:rsidR="003D3530">
        <w:rPr>
          <w:rFonts w:ascii="Arial" w:hAnsi="Arial"/>
          <w:bCs/>
          <w:iCs/>
          <w:vertAlign w:val="superscript"/>
          <w:lang w:val="en-GB"/>
        </w:rPr>
        <w:t>7</w:t>
      </w:r>
      <w:r w:rsidRPr="00E15289">
        <w:rPr>
          <w:rFonts w:ascii="Arial" w:hAnsi="Arial"/>
          <w:bCs/>
          <w:iCs/>
          <w:lang w:val="en-GB"/>
        </w:rPr>
        <w:t>*</w:t>
      </w:r>
    </w:p>
    <w:p w14:paraId="52037CEB" w14:textId="77777777" w:rsidR="009F349D" w:rsidRPr="00E15289" w:rsidRDefault="009F349D" w:rsidP="003E5B7A">
      <w:pPr>
        <w:spacing w:afterLines="60" w:after="144" w:line="360" w:lineRule="auto"/>
        <w:rPr>
          <w:rFonts w:ascii="Arial" w:hAnsi="Arial"/>
          <w:b/>
          <w:bCs/>
          <w:iCs/>
          <w:lang w:val="en-GB"/>
        </w:rPr>
      </w:pPr>
    </w:p>
    <w:p w14:paraId="0CE24294" w14:textId="0ABB644C" w:rsidR="007C6152" w:rsidRDefault="009F349D" w:rsidP="003E5B7A">
      <w:pPr>
        <w:spacing w:afterLines="60" w:after="144" w:line="360" w:lineRule="auto"/>
        <w:rPr>
          <w:rFonts w:ascii="Arial" w:hAnsi="Arial"/>
          <w:bCs/>
          <w:iCs/>
          <w:lang w:val="en-GB"/>
        </w:rPr>
      </w:pPr>
      <w:r>
        <w:rPr>
          <w:rFonts w:ascii="Arial" w:hAnsi="Arial"/>
          <w:bCs/>
          <w:iCs/>
          <w:lang w:val="en-GB"/>
        </w:rPr>
        <w:t xml:space="preserve">Short title: </w:t>
      </w:r>
      <w:r>
        <w:t>The influence of hypoxia on the prostate cancer proteome</w:t>
      </w:r>
    </w:p>
    <w:p w14:paraId="628AB77D" w14:textId="77777777" w:rsidR="009F349D" w:rsidRPr="00E15289" w:rsidRDefault="009F349D" w:rsidP="003E5B7A">
      <w:pPr>
        <w:spacing w:afterLines="60" w:after="144" w:line="360" w:lineRule="auto"/>
        <w:rPr>
          <w:rFonts w:ascii="Arial" w:hAnsi="Arial"/>
          <w:bCs/>
          <w:iCs/>
          <w:lang w:val="en-GB"/>
        </w:rPr>
      </w:pPr>
    </w:p>
    <w:p w14:paraId="0FFBF2A1" w14:textId="3AC525DC" w:rsidR="00115CC7" w:rsidRPr="00E15289" w:rsidRDefault="007C6152" w:rsidP="00F137CD">
      <w:pPr>
        <w:spacing w:line="360" w:lineRule="auto"/>
        <w:ind w:left="360" w:hanging="360"/>
        <w:rPr>
          <w:rFonts w:ascii="Arial" w:hAnsi="Arial"/>
          <w:bCs/>
          <w:iCs/>
          <w:lang w:val="en-GB"/>
        </w:rPr>
      </w:pPr>
      <w:r w:rsidRPr="00E15289">
        <w:rPr>
          <w:rFonts w:ascii="Arial" w:hAnsi="Arial"/>
          <w:bCs/>
          <w:iCs/>
          <w:lang w:val="en-GB"/>
        </w:rPr>
        <w:t>1</w:t>
      </w:r>
      <w:r w:rsidRPr="00E15289">
        <w:rPr>
          <w:rFonts w:ascii="Arial" w:hAnsi="Arial"/>
          <w:bCs/>
          <w:iCs/>
          <w:lang w:val="en-GB"/>
        </w:rPr>
        <w:tab/>
      </w:r>
      <w:r w:rsidR="00115CC7" w:rsidRPr="00E15289">
        <w:rPr>
          <w:rFonts w:ascii="Arial" w:hAnsi="Arial"/>
          <w:bCs/>
          <w:iCs/>
          <w:lang w:val="en-GB"/>
        </w:rPr>
        <w:t xml:space="preserve">Tissue Injury and Repair Group, University of Edinburgh, </w:t>
      </w:r>
      <w:r w:rsidR="00F22678" w:rsidRPr="00E15289">
        <w:rPr>
          <w:rFonts w:ascii="Arial" w:hAnsi="Arial"/>
          <w:bCs/>
          <w:iCs/>
          <w:lang w:val="en-GB"/>
        </w:rPr>
        <w:t xml:space="preserve">Edinburgh, </w:t>
      </w:r>
      <w:r w:rsidR="00115CC7" w:rsidRPr="00E15289">
        <w:rPr>
          <w:rFonts w:ascii="Arial" w:hAnsi="Arial"/>
          <w:bCs/>
          <w:iCs/>
          <w:lang w:val="en-GB"/>
        </w:rPr>
        <w:t>United Kingdom</w:t>
      </w:r>
    </w:p>
    <w:p w14:paraId="57FEBB01" w14:textId="33F628D8" w:rsidR="007C6152" w:rsidRPr="00E15289" w:rsidRDefault="007C6152" w:rsidP="00F137CD">
      <w:pPr>
        <w:spacing w:line="360" w:lineRule="auto"/>
        <w:ind w:left="360" w:hanging="360"/>
        <w:rPr>
          <w:rFonts w:ascii="Arial" w:hAnsi="Arial"/>
          <w:bCs/>
          <w:iCs/>
          <w:lang w:val="en-GB"/>
        </w:rPr>
      </w:pPr>
      <w:r w:rsidRPr="00E15289">
        <w:rPr>
          <w:rFonts w:ascii="Arial" w:hAnsi="Arial"/>
          <w:bCs/>
          <w:iCs/>
          <w:lang w:val="en-GB"/>
        </w:rPr>
        <w:t>2</w:t>
      </w:r>
      <w:r w:rsidRPr="00E15289">
        <w:rPr>
          <w:rFonts w:ascii="Arial" w:hAnsi="Arial"/>
          <w:bCs/>
          <w:iCs/>
          <w:lang w:val="en-GB"/>
        </w:rPr>
        <w:tab/>
        <w:t>Waters Corporation, Wilmslow, United Kingdom</w:t>
      </w:r>
    </w:p>
    <w:p w14:paraId="0A3C1FCA" w14:textId="07D373CA" w:rsidR="007C6152" w:rsidRPr="00E15289" w:rsidRDefault="007C6152" w:rsidP="00F137CD">
      <w:pPr>
        <w:spacing w:line="360" w:lineRule="auto"/>
        <w:ind w:left="360" w:hanging="360"/>
        <w:rPr>
          <w:rFonts w:ascii="Arial" w:hAnsi="Arial"/>
          <w:bCs/>
          <w:iCs/>
          <w:lang w:val="en-GB"/>
        </w:rPr>
      </w:pPr>
      <w:r w:rsidRPr="00E15289">
        <w:rPr>
          <w:rFonts w:ascii="Arial" w:hAnsi="Arial"/>
          <w:bCs/>
          <w:iCs/>
          <w:lang w:val="en-GB"/>
        </w:rPr>
        <w:t>3</w:t>
      </w:r>
      <w:r w:rsidRPr="00E15289">
        <w:rPr>
          <w:rFonts w:ascii="Arial" w:hAnsi="Arial"/>
          <w:bCs/>
          <w:iCs/>
          <w:lang w:val="en-GB"/>
        </w:rPr>
        <w:tab/>
        <w:t xml:space="preserve">Prostate Research Group, University of Edinburgh, United Kingdom/ Tissue Injury and Repair Group, University of Edinburgh, </w:t>
      </w:r>
      <w:r w:rsidR="00E15289" w:rsidRPr="00E15289">
        <w:rPr>
          <w:rFonts w:ascii="Arial" w:hAnsi="Arial"/>
          <w:bCs/>
          <w:iCs/>
          <w:lang w:val="en-GB"/>
        </w:rPr>
        <w:t xml:space="preserve">Edinburgh, </w:t>
      </w:r>
      <w:r w:rsidRPr="00E15289">
        <w:rPr>
          <w:rFonts w:ascii="Arial" w:hAnsi="Arial"/>
          <w:bCs/>
          <w:iCs/>
          <w:lang w:val="en-GB"/>
        </w:rPr>
        <w:t>United Kingdom</w:t>
      </w:r>
    </w:p>
    <w:p w14:paraId="1085414B" w14:textId="560DCC12" w:rsidR="007C6152" w:rsidRPr="00E15289" w:rsidRDefault="007C6152" w:rsidP="00F137CD">
      <w:pPr>
        <w:spacing w:line="360" w:lineRule="auto"/>
        <w:ind w:left="360" w:hanging="360"/>
        <w:rPr>
          <w:rFonts w:ascii="Arial" w:hAnsi="Arial"/>
          <w:bCs/>
          <w:iCs/>
          <w:lang w:val="en-GB"/>
        </w:rPr>
      </w:pPr>
      <w:r w:rsidRPr="00E15289">
        <w:rPr>
          <w:rFonts w:ascii="Arial" w:hAnsi="Arial"/>
          <w:bCs/>
          <w:iCs/>
          <w:lang w:val="en-GB"/>
        </w:rPr>
        <w:t>4</w:t>
      </w:r>
      <w:r w:rsidRPr="00E15289">
        <w:rPr>
          <w:rFonts w:ascii="Arial" w:hAnsi="Arial"/>
          <w:bCs/>
          <w:iCs/>
          <w:lang w:val="en-GB"/>
        </w:rPr>
        <w:tab/>
        <w:t xml:space="preserve">Department of Surgery, University of Cambridge, </w:t>
      </w:r>
      <w:r w:rsidR="00E15289" w:rsidRPr="00E15289">
        <w:rPr>
          <w:rFonts w:ascii="Arial" w:hAnsi="Arial"/>
          <w:bCs/>
          <w:iCs/>
          <w:lang w:val="en-GB"/>
        </w:rPr>
        <w:t xml:space="preserve">Cambridge, </w:t>
      </w:r>
      <w:r w:rsidRPr="00E15289">
        <w:rPr>
          <w:rFonts w:ascii="Arial" w:hAnsi="Arial"/>
          <w:bCs/>
          <w:iCs/>
          <w:lang w:val="en-GB"/>
        </w:rPr>
        <w:t>United Kingdom</w:t>
      </w:r>
    </w:p>
    <w:p w14:paraId="63269776" w14:textId="6A5AB783" w:rsidR="007C6152" w:rsidRPr="00E15289" w:rsidRDefault="007C6152" w:rsidP="00F137CD">
      <w:pPr>
        <w:spacing w:line="360" w:lineRule="auto"/>
        <w:ind w:left="360" w:hanging="360"/>
        <w:rPr>
          <w:rFonts w:ascii="Arial" w:hAnsi="Arial"/>
          <w:bCs/>
          <w:iCs/>
          <w:lang w:val="en-GB"/>
        </w:rPr>
      </w:pPr>
      <w:r w:rsidRPr="00E15289">
        <w:rPr>
          <w:rFonts w:ascii="Arial" w:hAnsi="Arial"/>
          <w:bCs/>
          <w:iCs/>
          <w:lang w:val="en-GB"/>
        </w:rPr>
        <w:t>5</w:t>
      </w:r>
      <w:r w:rsidRPr="00E15289">
        <w:rPr>
          <w:rFonts w:ascii="Arial" w:hAnsi="Arial"/>
          <w:bCs/>
          <w:iCs/>
          <w:lang w:val="en-GB"/>
        </w:rPr>
        <w:tab/>
        <w:t xml:space="preserve">Institute of Cardiovascular &amp; Medical Sciences, University of Glasgow, </w:t>
      </w:r>
      <w:r w:rsidR="00E15289" w:rsidRPr="00E15289">
        <w:rPr>
          <w:rFonts w:ascii="Arial" w:hAnsi="Arial"/>
          <w:bCs/>
          <w:iCs/>
          <w:lang w:val="en-GB"/>
        </w:rPr>
        <w:t xml:space="preserve">Glasgow, </w:t>
      </w:r>
      <w:r w:rsidRPr="00E15289">
        <w:rPr>
          <w:rFonts w:ascii="Arial" w:hAnsi="Arial"/>
          <w:bCs/>
          <w:iCs/>
          <w:lang w:val="en-GB"/>
        </w:rPr>
        <w:t xml:space="preserve">United Kingdom </w:t>
      </w:r>
    </w:p>
    <w:p w14:paraId="5A8D7311" w14:textId="3CA3ABB3" w:rsidR="007C6152" w:rsidRDefault="007C6152" w:rsidP="00F137CD">
      <w:pPr>
        <w:spacing w:line="360" w:lineRule="auto"/>
        <w:ind w:left="360" w:hanging="360"/>
        <w:rPr>
          <w:rFonts w:ascii="Arial" w:hAnsi="Arial"/>
          <w:bCs/>
          <w:iCs/>
          <w:lang w:val="en-GB"/>
        </w:rPr>
      </w:pPr>
      <w:r w:rsidRPr="00E15289">
        <w:rPr>
          <w:rFonts w:ascii="Arial" w:hAnsi="Arial"/>
          <w:bCs/>
          <w:iCs/>
          <w:lang w:val="en-GB"/>
        </w:rPr>
        <w:t>6</w:t>
      </w:r>
      <w:r w:rsidRPr="00E15289">
        <w:rPr>
          <w:rFonts w:ascii="Arial" w:hAnsi="Arial"/>
          <w:bCs/>
          <w:iCs/>
          <w:lang w:val="en-GB"/>
        </w:rPr>
        <w:tab/>
      </w:r>
      <w:r w:rsidR="00372DEF" w:rsidRPr="00E15289">
        <w:rPr>
          <w:rFonts w:ascii="Arial" w:hAnsi="Arial"/>
          <w:bCs/>
          <w:iCs/>
          <w:lang w:val="en-GB"/>
        </w:rPr>
        <w:t xml:space="preserve">Department of </w:t>
      </w:r>
      <w:r w:rsidRPr="00E15289">
        <w:rPr>
          <w:rFonts w:ascii="Arial" w:hAnsi="Arial"/>
          <w:bCs/>
          <w:iCs/>
          <w:lang w:val="en-GB"/>
        </w:rPr>
        <w:t xml:space="preserve">Cellular and Molecular Physiology, University of Liverpool, </w:t>
      </w:r>
      <w:r w:rsidR="00E15289" w:rsidRPr="00E15289">
        <w:rPr>
          <w:rFonts w:ascii="Arial" w:hAnsi="Arial"/>
          <w:bCs/>
          <w:iCs/>
          <w:lang w:val="en-GB"/>
        </w:rPr>
        <w:t xml:space="preserve">Liverpool, </w:t>
      </w:r>
      <w:r w:rsidRPr="00E15289">
        <w:rPr>
          <w:rFonts w:ascii="Arial" w:hAnsi="Arial"/>
          <w:bCs/>
          <w:iCs/>
          <w:lang w:val="en-GB"/>
        </w:rPr>
        <w:t>United Kingdom</w:t>
      </w:r>
    </w:p>
    <w:p w14:paraId="6DFED11C" w14:textId="62449521" w:rsidR="003D3530" w:rsidRPr="00E15289" w:rsidRDefault="003D3530" w:rsidP="00F137CD">
      <w:pPr>
        <w:spacing w:line="360" w:lineRule="auto"/>
        <w:ind w:left="360" w:hanging="360"/>
        <w:rPr>
          <w:rFonts w:ascii="Arial" w:hAnsi="Arial"/>
          <w:bCs/>
          <w:iCs/>
          <w:lang w:val="en-GB"/>
        </w:rPr>
      </w:pPr>
      <w:r>
        <w:rPr>
          <w:rFonts w:ascii="Arial" w:hAnsi="Arial"/>
          <w:bCs/>
          <w:iCs/>
          <w:lang w:val="en-GB"/>
        </w:rPr>
        <w:t>7</w:t>
      </w:r>
      <w:r>
        <w:rPr>
          <w:rFonts w:ascii="Arial" w:hAnsi="Arial"/>
          <w:bCs/>
          <w:iCs/>
          <w:lang w:val="en-GB"/>
        </w:rPr>
        <w:tab/>
      </w:r>
      <w:r w:rsidRPr="00366D10">
        <w:rPr>
          <w:rStyle w:val="normaltextrun"/>
          <w:rFonts w:ascii="Arial" w:hAnsi="Arial" w:cs="Arial"/>
          <w:color w:val="000000"/>
          <w:bdr w:val="none" w:sz="0" w:space="0" w:color="auto" w:frame="1"/>
        </w:rPr>
        <w:t>Manchester Institute of Biotechnology, Division of Infection, Immunity and Respiratory Medicine, Faculty of Biology, Medicine and Health, University of Manchester, Manchester, U</w:t>
      </w:r>
      <w:r>
        <w:rPr>
          <w:rStyle w:val="normaltextrun"/>
          <w:rFonts w:ascii="Arial" w:hAnsi="Arial" w:cs="Arial"/>
          <w:color w:val="000000"/>
          <w:bdr w:val="none" w:sz="0" w:space="0" w:color="auto" w:frame="1"/>
        </w:rPr>
        <w:t xml:space="preserve">nited </w:t>
      </w:r>
      <w:r w:rsidRPr="00366D10">
        <w:rPr>
          <w:rStyle w:val="normaltextrun"/>
          <w:rFonts w:ascii="Arial" w:hAnsi="Arial" w:cs="Arial"/>
          <w:color w:val="000000"/>
          <w:bdr w:val="none" w:sz="0" w:space="0" w:color="auto" w:frame="1"/>
        </w:rPr>
        <w:t>K</w:t>
      </w:r>
      <w:r>
        <w:rPr>
          <w:rStyle w:val="normaltextrun"/>
          <w:rFonts w:ascii="Arial" w:hAnsi="Arial" w:cs="Arial"/>
          <w:color w:val="000000"/>
          <w:bdr w:val="none" w:sz="0" w:space="0" w:color="auto" w:frame="1"/>
        </w:rPr>
        <w:t>ingdom</w:t>
      </w:r>
    </w:p>
    <w:p w14:paraId="61A026D6" w14:textId="30C517EF" w:rsidR="007C6152" w:rsidRPr="00E15289" w:rsidRDefault="007C6152" w:rsidP="003E5B7A">
      <w:pPr>
        <w:spacing w:afterLines="60" w:after="144" w:line="360" w:lineRule="auto"/>
        <w:rPr>
          <w:rFonts w:ascii="Arial" w:hAnsi="Arial"/>
          <w:bCs/>
          <w:iCs/>
          <w:lang w:val="en-GB"/>
        </w:rPr>
      </w:pPr>
    </w:p>
    <w:p w14:paraId="143405BE" w14:textId="63151740" w:rsidR="003F4AA1" w:rsidRPr="00E15289" w:rsidRDefault="00E15289" w:rsidP="00F137CD">
      <w:pPr>
        <w:spacing w:line="360" w:lineRule="auto"/>
        <w:rPr>
          <w:rFonts w:ascii="Arial" w:hAnsi="Arial"/>
          <w:bCs/>
          <w:iCs/>
          <w:lang w:val="en-GB"/>
        </w:rPr>
      </w:pPr>
      <w:r w:rsidRPr="00E15289">
        <w:rPr>
          <w:rFonts w:ascii="Arial" w:hAnsi="Arial" w:cs="Arial"/>
          <w:bCs/>
          <w:iCs/>
          <w:vertAlign w:val="superscript"/>
          <w:lang w:val="en-GB"/>
        </w:rPr>
        <w:t>a</w:t>
      </w:r>
      <w:r w:rsidR="003F4AA1" w:rsidRPr="00E15289">
        <w:rPr>
          <w:rFonts w:ascii="Arial" w:hAnsi="Arial" w:cs="Arial"/>
          <w:bCs/>
          <w:iCs/>
          <w:lang w:val="en-GB"/>
        </w:rPr>
        <w:t xml:space="preserve"> </w:t>
      </w:r>
      <w:r w:rsidRPr="00E15289">
        <w:rPr>
          <w:rFonts w:ascii="Arial" w:hAnsi="Arial"/>
          <w:bCs/>
          <w:iCs/>
          <w:lang w:val="en-GB"/>
        </w:rPr>
        <w:t>James A. Ross</w:t>
      </w:r>
      <w:proofErr w:type="gramStart"/>
      <w:r w:rsidRPr="00E15289">
        <w:rPr>
          <w:rFonts w:ascii="Arial" w:hAnsi="Arial"/>
          <w:bCs/>
          <w:iCs/>
          <w:vertAlign w:val="superscript"/>
          <w:lang w:val="en-GB"/>
        </w:rPr>
        <w:t>1,</w:t>
      </w:r>
      <w:r w:rsidRPr="00E15289">
        <w:rPr>
          <w:rFonts w:ascii="Arial" w:hAnsi="Arial" w:cs="Arial"/>
          <w:bCs/>
          <w:iCs/>
          <w:vertAlign w:val="superscript"/>
          <w:lang w:val="en-GB"/>
        </w:rPr>
        <w:t>a</w:t>
      </w:r>
      <w:proofErr w:type="gramEnd"/>
      <w:r w:rsidRPr="00E15289">
        <w:rPr>
          <w:rFonts w:ascii="Arial" w:hAnsi="Arial"/>
          <w:bCs/>
          <w:iCs/>
          <w:lang w:val="en-GB"/>
        </w:rPr>
        <w:t>, Johannes P.C. Vissers</w:t>
      </w:r>
      <w:r w:rsidRPr="00E15289">
        <w:rPr>
          <w:rFonts w:ascii="Arial" w:hAnsi="Arial" w:cs="Arial"/>
          <w:bCs/>
          <w:iCs/>
          <w:lang w:val="en-GB"/>
        </w:rPr>
        <w:t xml:space="preserve"> </w:t>
      </w:r>
      <w:r w:rsidR="003F4AA1" w:rsidRPr="00E15289">
        <w:rPr>
          <w:rFonts w:ascii="Arial" w:hAnsi="Arial" w:cs="Arial"/>
          <w:bCs/>
          <w:iCs/>
          <w:lang w:val="en-GB"/>
        </w:rPr>
        <w:t>contributed equally</w:t>
      </w:r>
      <w:r w:rsidRPr="00E15289">
        <w:rPr>
          <w:rFonts w:ascii="Arial" w:hAnsi="Arial" w:cs="Arial"/>
          <w:bCs/>
          <w:iCs/>
          <w:lang w:val="en-GB"/>
        </w:rPr>
        <w:t xml:space="preserve"> to this work</w:t>
      </w:r>
    </w:p>
    <w:p w14:paraId="6B3E90D6" w14:textId="34DC53BD" w:rsidR="007C6152" w:rsidRPr="00E15289" w:rsidRDefault="007C6152" w:rsidP="00F137CD">
      <w:pPr>
        <w:spacing w:line="360" w:lineRule="auto"/>
        <w:rPr>
          <w:rFonts w:ascii="Arial" w:hAnsi="Arial"/>
          <w:bCs/>
          <w:iCs/>
          <w:lang w:val="en-GB"/>
        </w:rPr>
      </w:pPr>
      <w:r w:rsidRPr="00E15289">
        <w:rPr>
          <w:rFonts w:ascii="Arial" w:hAnsi="Arial"/>
          <w:bCs/>
          <w:iCs/>
          <w:lang w:val="en-GB"/>
        </w:rPr>
        <w:t xml:space="preserve">* </w:t>
      </w:r>
      <w:r w:rsidR="00E15289" w:rsidRPr="00E15289">
        <w:rPr>
          <w:rFonts w:ascii="Arial" w:hAnsi="Arial"/>
          <w:bCs/>
          <w:iCs/>
          <w:lang w:val="en-GB"/>
        </w:rPr>
        <w:t>C</w:t>
      </w:r>
      <w:r w:rsidRPr="00E15289">
        <w:rPr>
          <w:rFonts w:ascii="Arial" w:hAnsi="Arial"/>
          <w:bCs/>
          <w:iCs/>
          <w:lang w:val="en-GB"/>
        </w:rPr>
        <w:t>orrespond</w:t>
      </w:r>
      <w:r w:rsidR="00E15289" w:rsidRPr="00E15289">
        <w:rPr>
          <w:rFonts w:ascii="Arial" w:hAnsi="Arial"/>
          <w:bCs/>
          <w:iCs/>
          <w:lang w:val="en-GB"/>
        </w:rPr>
        <w:t>ing authors:</w:t>
      </w:r>
    </w:p>
    <w:p w14:paraId="1CB0119E" w14:textId="4E0BABA8" w:rsidR="003F4AA1" w:rsidRPr="00E15289" w:rsidRDefault="003F4AA1" w:rsidP="00F137CD">
      <w:pPr>
        <w:spacing w:line="360" w:lineRule="auto"/>
        <w:ind w:left="450"/>
        <w:rPr>
          <w:rFonts w:ascii="Arial" w:hAnsi="Arial"/>
          <w:bCs/>
          <w:iCs/>
          <w:lang w:val="en-GB"/>
        </w:rPr>
      </w:pPr>
      <w:r w:rsidRPr="00E15289">
        <w:rPr>
          <w:rFonts w:ascii="Arial" w:hAnsi="Arial"/>
          <w:bCs/>
          <w:iCs/>
          <w:lang w:val="en-GB"/>
        </w:rPr>
        <w:t>d.e.hammond@liverpool.ac.uk</w:t>
      </w:r>
    </w:p>
    <w:p w14:paraId="1F846443" w14:textId="266C1D62" w:rsidR="007C6152" w:rsidRPr="00E15289" w:rsidRDefault="007C6152" w:rsidP="00F137CD">
      <w:pPr>
        <w:spacing w:line="360" w:lineRule="auto"/>
        <w:ind w:left="450"/>
        <w:rPr>
          <w:rFonts w:ascii="Arial" w:hAnsi="Arial"/>
          <w:bCs/>
          <w:iCs/>
          <w:lang w:val="en-GB"/>
        </w:rPr>
      </w:pPr>
      <w:r w:rsidRPr="00E15289">
        <w:rPr>
          <w:rFonts w:ascii="Arial" w:hAnsi="Arial"/>
          <w:bCs/>
          <w:iCs/>
          <w:lang w:val="en-GB"/>
        </w:rPr>
        <w:t>lee_gethings@waters.com</w:t>
      </w:r>
    </w:p>
    <w:p w14:paraId="487DFD30" w14:textId="77777777" w:rsidR="007C6152" w:rsidRPr="00E15289" w:rsidRDefault="007C6152" w:rsidP="003E5B7A">
      <w:pPr>
        <w:spacing w:afterLines="60" w:after="144" w:line="360" w:lineRule="auto"/>
        <w:rPr>
          <w:rFonts w:ascii="Arial" w:hAnsi="Arial"/>
          <w:bCs/>
          <w:iCs/>
          <w:lang w:val="en-GB"/>
        </w:rPr>
      </w:pPr>
    </w:p>
    <w:p w14:paraId="41389C7A" w14:textId="77777777" w:rsidR="00A1256D" w:rsidRPr="00E15289" w:rsidRDefault="00A1256D" w:rsidP="003E5B7A">
      <w:pPr>
        <w:spacing w:afterLines="60" w:after="144" w:line="360" w:lineRule="auto"/>
        <w:rPr>
          <w:rFonts w:ascii="Arial" w:hAnsi="Arial"/>
          <w:b/>
          <w:bCs/>
          <w:iCs/>
          <w:lang w:val="en-GB"/>
        </w:rPr>
      </w:pPr>
      <w:r w:rsidRPr="00E15289">
        <w:rPr>
          <w:rFonts w:ascii="Arial" w:hAnsi="Arial"/>
          <w:b/>
          <w:bCs/>
          <w:iCs/>
          <w:lang w:val="en-GB"/>
        </w:rPr>
        <w:t>Keywords</w:t>
      </w:r>
    </w:p>
    <w:p w14:paraId="5A1AEF58" w14:textId="29DEC9D5" w:rsidR="003F1691" w:rsidRPr="00E15289" w:rsidRDefault="00E15289" w:rsidP="003E5B7A">
      <w:pPr>
        <w:spacing w:afterLines="60" w:after="144" w:line="360" w:lineRule="auto"/>
        <w:rPr>
          <w:rFonts w:ascii="Arial" w:hAnsi="Arial" w:cs="Arial Unicode MS"/>
          <w:bCs/>
          <w:iCs/>
          <w:lang w:val="en-GB" w:eastAsia="en-GB"/>
        </w:rPr>
      </w:pPr>
      <w:r w:rsidRPr="00E15289">
        <w:rPr>
          <w:rFonts w:ascii="Arial" w:hAnsi="Arial"/>
          <w:bCs/>
          <w:iCs/>
          <w:lang w:val="en-GB"/>
        </w:rPr>
        <w:t>p</w:t>
      </w:r>
      <w:r w:rsidR="0038437A" w:rsidRPr="00E15289">
        <w:rPr>
          <w:rFonts w:ascii="Arial" w:hAnsi="Arial"/>
          <w:bCs/>
          <w:iCs/>
          <w:lang w:val="en-GB"/>
        </w:rPr>
        <w:t xml:space="preserve">rostate cancer, </w:t>
      </w:r>
      <w:r w:rsidR="0022795C" w:rsidRPr="00E15289">
        <w:rPr>
          <w:rFonts w:ascii="Arial" w:hAnsi="Arial"/>
          <w:bCs/>
          <w:iCs/>
          <w:lang w:val="en-GB"/>
        </w:rPr>
        <w:t>liquid chromatography,</w:t>
      </w:r>
      <w:r w:rsidR="0038437A" w:rsidRPr="00E15289">
        <w:rPr>
          <w:rFonts w:ascii="Arial" w:hAnsi="Arial"/>
          <w:bCs/>
          <w:iCs/>
          <w:lang w:val="en-GB"/>
        </w:rPr>
        <w:t xml:space="preserve"> mass spectrometry, </w:t>
      </w:r>
      <w:r w:rsidR="0022795C" w:rsidRPr="00E15289">
        <w:rPr>
          <w:rFonts w:ascii="Arial" w:hAnsi="Arial"/>
          <w:bCs/>
          <w:iCs/>
          <w:lang w:val="en-GB"/>
        </w:rPr>
        <w:t xml:space="preserve">ion mobility, </w:t>
      </w:r>
      <w:r w:rsidR="0038437A" w:rsidRPr="00E15289">
        <w:rPr>
          <w:rFonts w:ascii="Arial" w:hAnsi="Arial"/>
          <w:bCs/>
          <w:iCs/>
          <w:lang w:val="en-GB"/>
        </w:rPr>
        <w:t xml:space="preserve">proteomics, </w:t>
      </w:r>
      <w:r w:rsidR="003C36C5" w:rsidRPr="00E15289">
        <w:rPr>
          <w:rFonts w:ascii="Arial" w:hAnsi="Arial"/>
          <w:bCs/>
          <w:iCs/>
          <w:lang w:val="en-GB"/>
        </w:rPr>
        <w:t xml:space="preserve">label-free </w:t>
      </w:r>
      <w:r w:rsidR="0040725D" w:rsidRPr="00E15289">
        <w:rPr>
          <w:rFonts w:ascii="Arial" w:hAnsi="Arial"/>
          <w:bCs/>
          <w:iCs/>
          <w:lang w:val="en-GB"/>
        </w:rPr>
        <w:t xml:space="preserve">quantitation, </w:t>
      </w:r>
      <w:r w:rsidR="0038437A" w:rsidRPr="00E15289">
        <w:rPr>
          <w:rFonts w:ascii="Arial" w:hAnsi="Arial"/>
          <w:bCs/>
          <w:iCs/>
          <w:lang w:val="en-GB"/>
        </w:rPr>
        <w:t>hypoxia, nitric oxide donors</w:t>
      </w:r>
      <w:r w:rsidR="0040725D" w:rsidRPr="00E15289">
        <w:rPr>
          <w:rFonts w:ascii="Arial" w:hAnsi="Arial"/>
          <w:bCs/>
          <w:iCs/>
          <w:lang w:val="en-GB"/>
        </w:rPr>
        <w:t>.</w:t>
      </w:r>
      <w:r w:rsidR="003F1691" w:rsidRPr="00E15289">
        <w:rPr>
          <w:rFonts w:ascii="Arial" w:hAnsi="Arial"/>
          <w:bCs/>
          <w:iCs/>
          <w:lang w:val="en-GB"/>
        </w:rPr>
        <w:br w:type="page"/>
      </w:r>
    </w:p>
    <w:p w14:paraId="4E70817F" w14:textId="77777777" w:rsidR="003F4AA1" w:rsidRPr="00E15289" w:rsidRDefault="003F4AA1" w:rsidP="0025140D">
      <w:pPr>
        <w:spacing w:afterLines="80" w:after="192" w:line="400" w:lineRule="exact"/>
        <w:rPr>
          <w:rFonts w:ascii="Arial" w:hAnsi="Arial"/>
          <w:b/>
          <w:bCs/>
          <w:i/>
          <w:iCs/>
          <w:lang w:val="en-GB"/>
        </w:rPr>
      </w:pPr>
      <w:r w:rsidRPr="00E15289">
        <w:rPr>
          <w:rFonts w:ascii="Arial" w:hAnsi="Arial"/>
          <w:b/>
          <w:bCs/>
          <w:i/>
          <w:iCs/>
          <w:lang w:val="en-GB"/>
        </w:rPr>
        <w:lastRenderedPageBreak/>
        <w:t>Abstract</w:t>
      </w:r>
    </w:p>
    <w:p w14:paraId="07BCCE87" w14:textId="7346923D" w:rsidR="00011944" w:rsidRPr="00E15289" w:rsidRDefault="00A1710F" w:rsidP="00454FB0">
      <w:pPr>
        <w:spacing w:afterLines="80" w:after="192" w:line="400" w:lineRule="exact"/>
        <w:jc w:val="both"/>
        <w:rPr>
          <w:rFonts w:ascii="Arial" w:hAnsi="Arial"/>
          <w:bCs/>
          <w:iCs/>
          <w:lang w:val="en-GB"/>
        </w:rPr>
      </w:pPr>
      <w:r w:rsidRPr="00E15289">
        <w:rPr>
          <w:rFonts w:ascii="Arial" w:hAnsi="Arial"/>
          <w:bCs/>
          <w:iCs/>
          <w:lang w:val="en-GB"/>
        </w:rPr>
        <w:t xml:space="preserve">Prostate cancer accounts for around 15% of male deaths in Western Europe and is the second cause of cancer death in men after lung cancer. Mounting evidence suggests that prostate cancer deposits exist within a hypoxic environment and this </w:t>
      </w:r>
      <w:r w:rsidR="00C55EE0" w:rsidRPr="00E15289">
        <w:rPr>
          <w:rFonts w:ascii="Arial" w:hAnsi="Arial"/>
          <w:bCs/>
          <w:iCs/>
          <w:lang w:val="en-GB"/>
        </w:rPr>
        <w:t xml:space="preserve">contributes to </w:t>
      </w:r>
      <w:r w:rsidRPr="00E15289">
        <w:rPr>
          <w:rFonts w:ascii="Arial" w:hAnsi="Arial"/>
          <w:bCs/>
          <w:iCs/>
          <w:lang w:val="en-GB"/>
        </w:rPr>
        <w:t xml:space="preserve">radio-resistance thus hampering one of the major therapies for this cancer. Recent reports have shown that nitric oxide </w:t>
      </w:r>
      <w:r w:rsidR="00E25986" w:rsidRPr="00E15289">
        <w:rPr>
          <w:rFonts w:ascii="Arial" w:hAnsi="Arial"/>
          <w:bCs/>
          <w:iCs/>
          <w:lang w:val="en-GB"/>
        </w:rPr>
        <w:t xml:space="preserve">(NO) </w:t>
      </w:r>
      <w:r w:rsidRPr="00E15289">
        <w:rPr>
          <w:rFonts w:ascii="Arial" w:hAnsi="Arial"/>
          <w:bCs/>
          <w:iCs/>
          <w:lang w:val="en-GB"/>
        </w:rPr>
        <w:t xml:space="preserve">donating </w:t>
      </w:r>
      <w:r w:rsidR="00E15289" w:rsidRPr="00E15289">
        <w:rPr>
          <w:rFonts w:ascii="Arial" w:hAnsi="Arial"/>
          <w:lang w:val="en-GB"/>
        </w:rPr>
        <w:t>non-steroidal anti-inflammatory drugs</w:t>
      </w:r>
      <w:r w:rsidR="00E15289" w:rsidRPr="00E15289">
        <w:rPr>
          <w:rFonts w:ascii="Arial" w:hAnsi="Arial"/>
          <w:bCs/>
          <w:iCs/>
          <w:lang w:val="en-GB"/>
        </w:rPr>
        <w:t xml:space="preserve"> </w:t>
      </w:r>
      <w:r w:rsidR="00E15289">
        <w:rPr>
          <w:rFonts w:ascii="Arial" w:hAnsi="Arial"/>
          <w:bCs/>
          <w:iCs/>
          <w:lang w:val="en-GB"/>
        </w:rPr>
        <w:t>(</w:t>
      </w:r>
      <w:r w:rsidRPr="00E15289">
        <w:rPr>
          <w:rFonts w:ascii="Arial" w:hAnsi="Arial"/>
          <w:bCs/>
          <w:iCs/>
          <w:lang w:val="en-GB"/>
        </w:rPr>
        <w:t>NSAIDs</w:t>
      </w:r>
      <w:r w:rsidR="00E15289">
        <w:rPr>
          <w:rFonts w:ascii="Arial" w:hAnsi="Arial"/>
          <w:bCs/>
          <w:iCs/>
          <w:lang w:val="en-GB"/>
        </w:rPr>
        <w:t>)</w:t>
      </w:r>
      <w:r w:rsidRPr="00E15289">
        <w:rPr>
          <w:rFonts w:ascii="Arial" w:hAnsi="Arial"/>
          <w:bCs/>
          <w:iCs/>
          <w:lang w:val="en-GB"/>
        </w:rPr>
        <w:t xml:space="preserve"> reduced tumour hypoxia as well as </w:t>
      </w:r>
      <w:r w:rsidR="00E25986" w:rsidRPr="00E15289">
        <w:rPr>
          <w:rFonts w:ascii="Arial" w:hAnsi="Arial"/>
          <w:bCs/>
          <w:iCs/>
          <w:lang w:val="en-GB"/>
        </w:rPr>
        <w:t>maintaining</w:t>
      </w:r>
      <w:r w:rsidRPr="00E15289">
        <w:rPr>
          <w:rFonts w:ascii="Arial" w:hAnsi="Arial"/>
          <w:bCs/>
          <w:iCs/>
          <w:lang w:val="en-GB"/>
        </w:rPr>
        <w:t xml:space="preserve"> a radio</w:t>
      </w:r>
      <w:r w:rsidR="003A53C8" w:rsidRPr="00E15289">
        <w:rPr>
          <w:rFonts w:ascii="Arial" w:hAnsi="Arial"/>
          <w:bCs/>
          <w:iCs/>
          <w:lang w:val="en-GB"/>
        </w:rPr>
        <w:t>-</w:t>
      </w:r>
      <w:r w:rsidRPr="00E15289">
        <w:rPr>
          <w:rFonts w:ascii="Arial" w:hAnsi="Arial"/>
          <w:bCs/>
          <w:iCs/>
          <w:lang w:val="en-GB"/>
        </w:rPr>
        <w:t>sensitising/therapeutic effect on prostate cancer cells.</w:t>
      </w:r>
      <w:r w:rsidR="003A53C8" w:rsidRPr="00E15289">
        <w:rPr>
          <w:rFonts w:ascii="Arial" w:hAnsi="Arial"/>
          <w:bCs/>
          <w:iCs/>
          <w:lang w:val="en-GB"/>
        </w:rPr>
        <w:t xml:space="preserve"> </w:t>
      </w:r>
      <w:r w:rsidRPr="00E15289">
        <w:rPr>
          <w:rFonts w:ascii="Arial" w:hAnsi="Arial"/>
          <w:bCs/>
          <w:iCs/>
          <w:lang w:val="en-GB"/>
        </w:rPr>
        <w:t>The aim of this study was to evaluate the impact of hypoxia on the proteome of the prostate</w:t>
      </w:r>
      <w:r w:rsidR="003A53C8" w:rsidRPr="00E15289">
        <w:rPr>
          <w:rFonts w:ascii="Arial" w:hAnsi="Arial"/>
          <w:bCs/>
          <w:iCs/>
          <w:lang w:val="en-GB"/>
        </w:rPr>
        <w:t xml:space="preserve"> </w:t>
      </w:r>
      <w:r w:rsidRPr="00E15289">
        <w:rPr>
          <w:rFonts w:ascii="Arial" w:hAnsi="Arial"/>
          <w:bCs/>
          <w:iCs/>
          <w:lang w:val="en-GB"/>
        </w:rPr>
        <w:t xml:space="preserve">and to establish whether NO-NSAID treatment reverted the protein profiles back to their </w:t>
      </w:r>
      <w:proofErr w:type="spellStart"/>
      <w:r w:rsidRPr="00E15289">
        <w:rPr>
          <w:rFonts w:ascii="Arial" w:hAnsi="Arial"/>
          <w:bCs/>
          <w:iCs/>
          <w:lang w:val="en-GB"/>
        </w:rPr>
        <w:t>normoxic</w:t>
      </w:r>
      <w:proofErr w:type="spellEnd"/>
      <w:r w:rsidRPr="00E15289">
        <w:rPr>
          <w:rFonts w:ascii="Arial" w:hAnsi="Arial"/>
          <w:bCs/>
          <w:iCs/>
          <w:lang w:val="en-GB"/>
        </w:rPr>
        <w:t xml:space="preserve"> status. To this end an established hormone insensitive prostate cancer cell line, PC-3, </w:t>
      </w:r>
      <w:r w:rsidR="00E25986" w:rsidRPr="00E15289">
        <w:rPr>
          <w:rFonts w:ascii="Arial" w:hAnsi="Arial"/>
          <w:bCs/>
          <w:iCs/>
          <w:lang w:val="en-GB"/>
        </w:rPr>
        <w:t xml:space="preserve">was cultured </w:t>
      </w:r>
      <w:r w:rsidRPr="00E15289">
        <w:rPr>
          <w:rFonts w:ascii="Arial" w:hAnsi="Arial"/>
          <w:bCs/>
          <w:iCs/>
          <w:lang w:val="en-GB"/>
        </w:rPr>
        <w:t xml:space="preserve">under hypoxic and </w:t>
      </w:r>
      <w:proofErr w:type="spellStart"/>
      <w:r w:rsidRPr="00E15289">
        <w:rPr>
          <w:rFonts w:ascii="Arial" w:hAnsi="Arial"/>
          <w:bCs/>
          <w:iCs/>
          <w:lang w:val="en-GB"/>
        </w:rPr>
        <w:t>normoxic</w:t>
      </w:r>
      <w:proofErr w:type="spellEnd"/>
      <w:r w:rsidRPr="00E15289">
        <w:rPr>
          <w:rFonts w:ascii="Arial" w:hAnsi="Arial"/>
          <w:bCs/>
          <w:iCs/>
          <w:lang w:val="en-GB"/>
        </w:rPr>
        <w:t xml:space="preserve"> conditions before and following exposure to NO-NSAID</w:t>
      </w:r>
      <w:r w:rsidR="00011944" w:rsidRPr="00E15289">
        <w:rPr>
          <w:rFonts w:ascii="Arial" w:hAnsi="Arial"/>
          <w:bCs/>
          <w:iCs/>
          <w:lang w:val="en-GB"/>
        </w:rPr>
        <w:t xml:space="preserve"> in combination with </w:t>
      </w:r>
      <w:r w:rsidR="00F46858" w:rsidRPr="00E15289">
        <w:rPr>
          <w:rFonts w:ascii="Arial" w:hAnsi="Arial"/>
          <w:bCs/>
          <w:iCs/>
          <w:lang w:val="en-GB"/>
        </w:rPr>
        <w:t xml:space="preserve">selected </w:t>
      </w:r>
      <w:r w:rsidR="00011944" w:rsidRPr="00E15289">
        <w:rPr>
          <w:rFonts w:ascii="Arial" w:hAnsi="Arial"/>
          <w:bCs/>
          <w:iCs/>
          <w:lang w:val="en-GB"/>
        </w:rPr>
        <w:t xml:space="preserve">other common </w:t>
      </w:r>
      <w:r w:rsidR="00F46858" w:rsidRPr="00E15289">
        <w:rPr>
          <w:rFonts w:ascii="Arial" w:hAnsi="Arial"/>
          <w:bCs/>
          <w:iCs/>
          <w:lang w:val="en-GB"/>
        </w:rPr>
        <w:t xml:space="preserve">prostate cancer </w:t>
      </w:r>
      <w:r w:rsidR="00011944" w:rsidRPr="00E15289">
        <w:rPr>
          <w:rFonts w:ascii="Arial" w:hAnsi="Arial"/>
          <w:bCs/>
          <w:iCs/>
          <w:lang w:val="en-GB"/>
        </w:rPr>
        <w:t>treatment</w:t>
      </w:r>
      <w:r w:rsidR="00F46858" w:rsidRPr="00E15289">
        <w:rPr>
          <w:rFonts w:ascii="Arial" w:hAnsi="Arial"/>
          <w:bCs/>
          <w:iCs/>
          <w:lang w:val="en-GB"/>
        </w:rPr>
        <w:t xml:space="preserve"> type</w:t>
      </w:r>
      <w:r w:rsidR="00011944" w:rsidRPr="00E15289">
        <w:rPr>
          <w:rFonts w:ascii="Arial" w:hAnsi="Arial"/>
          <w:bCs/>
          <w:iCs/>
          <w:lang w:val="en-GB"/>
        </w:rPr>
        <w:t>s</w:t>
      </w:r>
      <w:r w:rsidR="00E25986" w:rsidRPr="00E15289">
        <w:rPr>
          <w:rFonts w:ascii="Arial" w:hAnsi="Arial"/>
          <w:bCs/>
          <w:iCs/>
          <w:lang w:val="en-GB"/>
        </w:rPr>
        <w:t>.</w:t>
      </w:r>
      <w:r w:rsidRPr="00E15289">
        <w:rPr>
          <w:rFonts w:ascii="Arial" w:hAnsi="Arial"/>
          <w:bCs/>
          <w:iCs/>
          <w:lang w:val="en-GB"/>
        </w:rPr>
        <w:t xml:space="preserve"> </w:t>
      </w:r>
      <w:r w:rsidR="00E25986" w:rsidRPr="00E15289">
        <w:rPr>
          <w:rFonts w:ascii="Arial" w:hAnsi="Arial"/>
          <w:bCs/>
          <w:iCs/>
          <w:lang w:val="en-GB"/>
        </w:rPr>
        <w:t>The extracted proteins were</w:t>
      </w:r>
      <w:r w:rsidRPr="00E15289">
        <w:rPr>
          <w:rFonts w:ascii="Arial" w:hAnsi="Arial"/>
          <w:bCs/>
          <w:iCs/>
          <w:lang w:val="en-GB"/>
        </w:rPr>
        <w:t xml:space="preserve"> analysed by ion mobility-assisted data independent acquisition mass spectrometry</w:t>
      </w:r>
      <w:r w:rsidR="00E31AE2" w:rsidRPr="00E15289">
        <w:rPr>
          <w:rFonts w:ascii="Arial" w:hAnsi="Arial"/>
          <w:bCs/>
          <w:iCs/>
          <w:lang w:val="en-GB"/>
        </w:rPr>
        <w:t>,</w:t>
      </w:r>
      <w:r w:rsidRPr="00E15289">
        <w:rPr>
          <w:rFonts w:ascii="Arial" w:hAnsi="Arial"/>
          <w:bCs/>
          <w:iCs/>
          <w:lang w:val="en-GB"/>
        </w:rPr>
        <w:t xml:space="preserve"> combined with multivariate statistical analyses, to measure hypoxia</w:t>
      </w:r>
      <w:r w:rsidR="00C55EE0" w:rsidRPr="00E15289">
        <w:rPr>
          <w:rFonts w:ascii="Arial" w:hAnsi="Arial"/>
          <w:bCs/>
          <w:iCs/>
          <w:lang w:val="en-GB"/>
        </w:rPr>
        <w:t>-</w:t>
      </w:r>
      <w:r w:rsidRPr="00E15289">
        <w:rPr>
          <w:rFonts w:ascii="Arial" w:hAnsi="Arial"/>
          <w:bCs/>
          <w:iCs/>
          <w:lang w:val="en-GB"/>
        </w:rPr>
        <w:t>induced alterations in the proteome of these cells.</w:t>
      </w:r>
      <w:r w:rsidR="003A53C8" w:rsidRPr="00E15289">
        <w:rPr>
          <w:rFonts w:ascii="Arial" w:hAnsi="Arial"/>
          <w:bCs/>
          <w:iCs/>
          <w:lang w:val="en-GB"/>
        </w:rPr>
        <w:t xml:space="preserve"> </w:t>
      </w:r>
      <w:r w:rsidRPr="00E15289">
        <w:rPr>
          <w:rFonts w:ascii="Arial" w:hAnsi="Arial"/>
          <w:bCs/>
          <w:iCs/>
          <w:lang w:val="en-GB"/>
        </w:rPr>
        <w:t>The analyses</w:t>
      </w:r>
      <w:r w:rsidR="003A53C8" w:rsidRPr="00E15289">
        <w:rPr>
          <w:rFonts w:ascii="Arial" w:hAnsi="Arial"/>
          <w:bCs/>
          <w:iCs/>
          <w:lang w:val="en-GB"/>
        </w:rPr>
        <w:t xml:space="preserve"> </w:t>
      </w:r>
      <w:r w:rsidRPr="00E15289">
        <w:rPr>
          <w:rFonts w:ascii="Arial" w:hAnsi="Arial"/>
          <w:bCs/>
          <w:iCs/>
          <w:lang w:val="en-GB"/>
        </w:rPr>
        <w:t>demonstrated that under hypoxic conditions there were</w:t>
      </w:r>
      <w:r w:rsidR="003A53C8" w:rsidRPr="00E15289">
        <w:rPr>
          <w:rFonts w:ascii="Arial" w:hAnsi="Arial"/>
          <w:bCs/>
          <w:iCs/>
          <w:lang w:val="en-GB"/>
        </w:rPr>
        <w:t xml:space="preserve"> </w:t>
      </w:r>
      <w:r w:rsidRPr="00E15289">
        <w:rPr>
          <w:rFonts w:ascii="Arial" w:hAnsi="Arial"/>
          <w:bCs/>
          <w:iCs/>
          <w:lang w:val="en-GB"/>
        </w:rPr>
        <w:t>well defined, significantly regulated</w:t>
      </w:r>
      <w:r w:rsidR="00E31AE2" w:rsidRPr="00E15289">
        <w:rPr>
          <w:rFonts w:ascii="Arial" w:hAnsi="Arial"/>
          <w:bCs/>
          <w:iCs/>
          <w:lang w:val="en-GB"/>
        </w:rPr>
        <w:t>/</w:t>
      </w:r>
      <w:r w:rsidRPr="00E15289">
        <w:rPr>
          <w:rFonts w:ascii="Arial" w:hAnsi="Arial"/>
          <w:bCs/>
          <w:iCs/>
          <w:lang w:val="en-GB"/>
        </w:rPr>
        <w:t>differentially expressed</w:t>
      </w:r>
      <w:r w:rsidR="003A53C8" w:rsidRPr="00E15289">
        <w:rPr>
          <w:rFonts w:ascii="Arial" w:hAnsi="Arial"/>
          <w:bCs/>
          <w:iCs/>
          <w:lang w:val="en-GB"/>
        </w:rPr>
        <w:t xml:space="preserve"> </w:t>
      </w:r>
      <w:r w:rsidRPr="00E15289">
        <w:rPr>
          <w:rFonts w:ascii="Arial" w:hAnsi="Arial"/>
          <w:bCs/>
          <w:iCs/>
          <w:lang w:val="en-GB"/>
        </w:rPr>
        <w:t xml:space="preserve">proteins </w:t>
      </w:r>
      <w:r w:rsidR="00CF4E3B" w:rsidRPr="00E15289">
        <w:rPr>
          <w:rFonts w:ascii="Arial" w:hAnsi="Arial"/>
          <w:bCs/>
          <w:iCs/>
          <w:lang w:val="en-GB"/>
        </w:rPr>
        <w:t xml:space="preserve">primarily involved </w:t>
      </w:r>
      <w:r w:rsidR="00E70196" w:rsidRPr="00E15289">
        <w:rPr>
          <w:rFonts w:ascii="Arial" w:hAnsi="Arial"/>
          <w:bCs/>
          <w:iCs/>
          <w:lang w:val="en-GB"/>
        </w:rPr>
        <w:t>with</w:t>
      </w:r>
      <w:r w:rsidR="00CF4E3B" w:rsidRPr="00E15289">
        <w:rPr>
          <w:rFonts w:ascii="Arial" w:hAnsi="Arial"/>
          <w:bCs/>
          <w:iCs/>
          <w:lang w:val="en-GB"/>
        </w:rPr>
        <w:t xml:space="preserve"> </w:t>
      </w:r>
      <w:r w:rsidR="009F03D1" w:rsidRPr="00E15289">
        <w:rPr>
          <w:rFonts w:ascii="Arial" w:hAnsi="Arial"/>
          <w:bCs/>
          <w:iCs/>
          <w:lang w:val="en-GB"/>
        </w:rPr>
        <w:t xml:space="preserve">structural and binding processes </w:t>
      </w:r>
      <w:r w:rsidR="000607D2" w:rsidRPr="00E15289">
        <w:rPr>
          <w:rFonts w:ascii="Arial" w:hAnsi="Arial"/>
          <w:bCs/>
          <w:iCs/>
          <w:lang w:val="en-GB"/>
        </w:rPr>
        <w:t>including</w:t>
      </w:r>
      <w:r w:rsidR="00C55EE0" w:rsidRPr="00E15289">
        <w:rPr>
          <w:rFonts w:ascii="Arial" w:hAnsi="Arial"/>
          <w:bCs/>
          <w:iCs/>
          <w:lang w:val="en-GB"/>
        </w:rPr>
        <w:t>, for example,</w:t>
      </w:r>
      <w:r w:rsidR="009F03D1" w:rsidRPr="00E15289">
        <w:rPr>
          <w:rFonts w:ascii="Arial" w:hAnsi="Arial"/>
          <w:bCs/>
          <w:iCs/>
          <w:lang w:val="en-GB"/>
        </w:rPr>
        <w:t xml:space="preserve"> </w:t>
      </w:r>
      <w:r w:rsidRPr="00E15289">
        <w:rPr>
          <w:rFonts w:ascii="Arial" w:hAnsi="Arial"/>
          <w:bCs/>
          <w:iCs/>
          <w:lang w:val="en-GB"/>
        </w:rPr>
        <w:t>TUBB4A</w:t>
      </w:r>
      <w:r w:rsidR="00D501B2" w:rsidRPr="00E15289">
        <w:rPr>
          <w:rFonts w:ascii="Arial" w:hAnsi="Arial"/>
          <w:bCs/>
          <w:iCs/>
          <w:lang w:val="en-GB"/>
        </w:rPr>
        <w:t>,</w:t>
      </w:r>
      <w:r w:rsidR="00D501B2" w:rsidRPr="00E15289">
        <w:rPr>
          <w:rFonts w:ascii="Arial" w:hAnsi="Arial" w:cs="Arial"/>
          <w:u w:color="642A8F"/>
        </w:rPr>
        <w:t xml:space="preserve"> CIRP</w:t>
      </w:r>
      <w:r w:rsidR="009F03D1" w:rsidRPr="00E15289">
        <w:rPr>
          <w:rFonts w:ascii="Arial" w:hAnsi="Arial"/>
          <w:bCs/>
          <w:iCs/>
          <w:lang w:val="en-GB"/>
        </w:rPr>
        <w:t xml:space="preserve"> and </w:t>
      </w:r>
      <w:r w:rsidR="00D501B2" w:rsidRPr="00E15289">
        <w:rPr>
          <w:rFonts w:ascii="Arial" w:hAnsi="Arial" w:cs="Arial"/>
          <w:u w:color="642A8F"/>
        </w:rPr>
        <w:t>PLOD1</w:t>
      </w:r>
      <w:r w:rsidRPr="00E15289">
        <w:rPr>
          <w:rFonts w:ascii="Arial" w:hAnsi="Arial"/>
          <w:bCs/>
          <w:iCs/>
          <w:lang w:val="en-GB"/>
        </w:rPr>
        <w:t xml:space="preserve">. </w:t>
      </w:r>
      <w:r w:rsidR="00F57C29" w:rsidRPr="00E15289">
        <w:rPr>
          <w:rFonts w:ascii="Arial" w:hAnsi="Arial"/>
          <w:bCs/>
          <w:iCs/>
          <w:lang w:val="en-GB"/>
        </w:rPr>
        <w:t xml:space="preserve">Additionally, the </w:t>
      </w:r>
      <w:r w:rsidRPr="00E15289">
        <w:rPr>
          <w:rFonts w:ascii="Arial" w:hAnsi="Arial"/>
          <w:bCs/>
          <w:iCs/>
          <w:lang w:val="en-GB"/>
        </w:rPr>
        <w:t xml:space="preserve">exposure of hypoxic cells to </w:t>
      </w:r>
      <w:r w:rsidR="00E25986" w:rsidRPr="00E15289">
        <w:rPr>
          <w:rFonts w:ascii="Arial" w:hAnsi="Arial"/>
          <w:bCs/>
          <w:iCs/>
          <w:lang w:val="en-GB"/>
        </w:rPr>
        <w:t>NSAID and</w:t>
      </w:r>
      <w:r w:rsidRPr="00E15289">
        <w:rPr>
          <w:rFonts w:ascii="Arial" w:hAnsi="Arial"/>
          <w:bCs/>
          <w:iCs/>
          <w:lang w:val="en-GB"/>
        </w:rPr>
        <w:t xml:space="preserve"> NO-NSAID agent</w:t>
      </w:r>
      <w:r w:rsidR="006321E5" w:rsidRPr="00E15289">
        <w:rPr>
          <w:rFonts w:ascii="Arial" w:hAnsi="Arial"/>
          <w:bCs/>
          <w:iCs/>
          <w:lang w:val="en-GB"/>
        </w:rPr>
        <w:t>s</w:t>
      </w:r>
      <w:r w:rsidR="00F57C29" w:rsidRPr="00E15289">
        <w:rPr>
          <w:rFonts w:ascii="Arial" w:hAnsi="Arial"/>
          <w:bCs/>
          <w:iCs/>
          <w:lang w:val="en-GB"/>
        </w:rPr>
        <w:t>, resulted in</w:t>
      </w:r>
      <w:r w:rsidRPr="00E15289">
        <w:rPr>
          <w:rFonts w:ascii="Arial" w:hAnsi="Arial"/>
          <w:bCs/>
          <w:iCs/>
          <w:lang w:val="en-GB"/>
        </w:rPr>
        <w:t xml:space="preserve"> some of these proteins </w:t>
      </w:r>
      <w:r w:rsidR="00F57C29" w:rsidRPr="00E15289">
        <w:rPr>
          <w:rFonts w:ascii="Arial" w:hAnsi="Arial"/>
          <w:bCs/>
          <w:iCs/>
          <w:lang w:val="en-GB"/>
        </w:rPr>
        <w:t>being differentially expressed</w:t>
      </w:r>
      <w:r w:rsidR="003216B1" w:rsidRPr="00E15289">
        <w:rPr>
          <w:rFonts w:ascii="Arial" w:hAnsi="Arial"/>
          <w:bCs/>
          <w:iCs/>
          <w:lang w:val="en-GB"/>
        </w:rPr>
        <w:t>;</w:t>
      </w:r>
      <w:r w:rsidRPr="00E15289">
        <w:rPr>
          <w:rFonts w:ascii="Arial" w:hAnsi="Arial"/>
          <w:bCs/>
          <w:iCs/>
          <w:lang w:val="en-GB"/>
        </w:rPr>
        <w:t xml:space="preserve"> </w:t>
      </w:r>
      <w:r w:rsidR="003216B1" w:rsidRPr="00E15289">
        <w:rPr>
          <w:rFonts w:ascii="Arial" w:hAnsi="Arial"/>
          <w:bCs/>
          <w:iCs/>
          <w:lang w:val="en-GB"/>
        </w:rPr>
        <w:t>for example</w:t>
      </w:r>
      <w:r w:rsidR="00F57C29" w:rsidRPr="00E15289">
        <w:rPr>
          <w:rFonts w:ascii="Arial" w:hAnsi="Arial"/>
          <w:bCs/>
          <w:iCs/>
          <w:lang w:val="en-GB"/>
        </w:rPr>
        <w:t xml:space="preserve">, </w:t>
      </w:r>
      <w:r w:rsidR="003216B1" w:rsidRPr="00E15289">
        <w:rPr>
          <w:rFonts w:ascii="Arial" w:hAnsi="Arial"/>
          <w:bCs/>
          <w:iCs/>
          <w:lang w:val="en-GB"/>
        </w:rPr>
        <w:t xml:space="preserve">both </w:t>
      </w:r>
      <w:r w:rsidR="00E70196" w:rsidRPr="00E15289">
        <w:rPr>
          <w:rFonts w:ascii="Arial" w:hAnsi="Arial"/>
          <w:bCs/>
          <w:iCs/>
          <w:lang w:val="en-GB"/>
        </w:rPr>
        <w:t>PCNA and HNRNPA1L</w:t>
      </w:r>
      <w:r w:rsidRPr="00E15289">
        <w:rPr>
          <w:rFonts w:ascii="Arial" w:hAnsi="Arial"/>
          <w:bCs/>
          <w:iCs/>
          <w:lang w:val="en-GB"/>
        </w:rPr>
        <w:t xml:space="preserve"> </w:t>
      </w:r>
      <w:r w:rsidR="00F57C29" w:rsidRPr="00E15289">
        <w:rPr>
          <w:rFonts w:ascii="Arial" w:hAnsi="Arial"/>
          <w:bCs/>
          <w:iCs/>
          <w:lang w:val="en-GB"/>
        </w:rPr>
        <w:t>were down</w:t>
      </w:r>
      <w:r w:rsidR="00C55EE0" w:rsidRPr="00E15289">
        <w:rPr>
          <w:rFonts w:ascii="Arial" w:hAnsi="Arial"/>
          <w:bCs/>
          <w:iCs/>
          <w:lang w:val="en-GB"/>
        </w:rPr>
        <w:t>-</w:t>
      </w:r>
      <w:r w:rsidR="00F57C29" w:rsidRPr="00E15289">
        <w:rPr>
          <w:rFonts w:ascii="Arial" w:hAnsi="Arial"/>
          <w:bCs/>
          <w:iCs/>
          <w:lang w:val="en-GB"/>
        </w:rPr>
        <w:t xml:space="preserve">regulated, corresponding with </w:t>
      </w:r>
      <w:r w:rsidR="006F077A" w:rsidRPr="00E15289">
        <w:rPr>
          <w:rFonts w:ascii="Arial" w:hAnsi="Arial"/>
          <w:bCs/>
          <w:iCs/>
          <w:lang w:val="en-GB"/>
        </w:rPr>
        <w:t>disruption in the nucleocytoplasmic shuttling process</w:t>
      </w:r>
      <w:r w:rsidR="00DA536B" w:rsidRPr="00E15289">
        <w:rPr>
          <w:rFonts w:ascii="Arial" w:hAnsi="Arial"/>
          <w:bCs/>
          <w:iCs/>
          <w:lang w:val="en-GB"/>
        </w:rPr>
        <w:t>.</w:t>
      </w:r>
      <w:r w:rsidR="00A82711" w:rsidRPr="00E15289">
        <w:rPr>
          <w:rFonts w:ascii="Arial" w:hAnsi="Arial"/>
          <w:bCs/>
          <w:iCs/>
          <w:lang w:val="en-GB"/>
        </w:rPr>
        <w:t xml:space="preserve"> </w:t>
      </w:r>
    </w:p>
    <w:p w14:paraId="537379E2" w14:textId="6F1B5C9C" w:rsidR="003F4AA1" w:rsidRPr="00E15289" w:rsidRDefault="003F4AA1" w:rsidP="00454FB0">
      <w:pPr>
        <w:spacing w:afterLines="80" w:after="192" w:line="400" w:lineRule="exact"/>
        <w:jc w:val="both"/>
        <w:rPr>
          <w:rFonts w:ascii="Arial" w:hAnsi="Arial"/>
          <w:bCs/>
          <w:iCs/>
          <w:lang w:val="en-GB"/>
        </w:rPr>
      </w:pPr>
      <w:r w:rsidRPr="00E15289">
        <w:rPr>
          <w:rFonts w:ascii="Arial" w:hAnsi="Arial"/>
          <w:b/>
          <w:bCs/>
          <w:i/>
          <w:iCs/>
          <w:lang w:val="en-GB"/>
        </w:rPr>
        <w:br w:type="page"/>
      </w:r>
    </w:p>
    <w:p w14:paraId="628A4729" w14:textId="55744DB2" w:rsidR="0055283A" w:rsidRPr="00E15289" w:rsidRDefault="005514C0" w:rsidP="0025140D">
      <w:pPr>
        <w:pStyle w:val="Default"/>
        <w:tabs>
          <w:tab w:val="left" w:pos="576"/>
        </w:tabs>
        <w:spacing w:afterLines="80" w:after="192" w:line="400" w:lineRule="exact"/>
        <w:ind w:left="576" w:hanging="576"/>
        <w:jc w:val="both"/>
        <w:rPr>
          <w:rFonts w:ascii="Arial" w:hAnsi="Arial"/>
          <w:b/>
          <w:bCs/>
          <w:i/>
          <w:iCs/>
          <w:color w:val="auto"/>
          <w:sz w:val="24"/>
          <w:szCs w:val="24"/>
          <w:lang w:val="en-GB"/>
        </w:rPr>
      </w:pPr>
      <w:r w:rsidRPr="00E15289">
        <w:rPr>
          <w:rFonts w:ascii="Arial" w:hAnsi="Arial"/>
          <w:b/>
          <w:bCs/>
          <w:i/>
          <w:iCs/>
          <w:color w:val="auto"/>
          <w:sz w:val="24"/>
          <w:szCs w:val="24"/>
          <w:lang w:val="en-GB"/>
        </w:rPr>
        <w:lastRenderedPageBreak/>
        <w:t>Introduction</w:t>
      </w:r>
    </w:p>
    <w:p w14:paraId="6DD8CB14" w14:textId="1F2C0489" w:rsidR="0055283A" w:rsidRPr="00E15289" w:rsidRDefault="005514C0" w:rsidP="0025140D">
      <w:pPr>
        <w:pStyle w:val="Default"/>
        <w:spacing w:afterLines="80" w:after="192" w:line="400" w:lineRule="exact"/>
        <w:jc w:val="both"/>
        <w:rPr>
          <w:rFonts w:ascii="Arial" w:hAnsi="Arial"/>
          <w:color w:val="auto"/>
          <w:sz w:val="24"/>
          <w:szCs w:val="24"/>
          <w:lang w:val="en-GB"/>
        </w:rPr>
      </w:pPr>
      <w:r w:rsidRPr="00E15289">
        <w:rPr>
          <w:rFonts w:ascii="Arial" w:hAnsi="Arial"/>
          <w:color w:val="auto"/>
          <w:sz w:val="24"/>
          <w:szCs w:val="24"/>
          <w:lang w:val="en-GB"/>
        </w:rPr>
        <w:t xml:space="preserve">Solid tumours, including prostate cancer, exist under fluctuating oxygen tension and are exposed to both acute and chronic hypoxia. The presence of hypoxia in the tumour environment contributes to </w:t>
      </w:r>
      <w:r w:rsidR="00860391" w:rsidRPr="00E15289">
        <w:rPr>
          <w:rFonts w:ascii="Arial" w:hAnsi="Arial"/>
          <w:color w:val="auto"/>
          <w:sz w:val="24"/>
          <w:szCs w:val="24"/>
          <w:lang w:val="en-GB"/>
        </w:rPr>
        <w:t>tumorigenicity</w:t>
      </w:r>
      <w:r w:rsidRPr="00E15289">
        <w:rPr>
          <w:rFonts w:ascii="Arial" w:hAnsi="Arial"/>
          <w:color w:val="auto"/>
          <w:sz w:val="24"/>
          <w:szCs w:val="24"/>
          <w:lang w:val="en-GB"/>
        </w:rPr>
        <w:t xml:space="preserve"> through positive effects on angiogenesis, energy production, genetic instability, inhibition of apoptosis and upregulation of growth factors</w:t>
      </w:r>
      <w:r w:rsidR="00737A59" w:rsidRPr="00E15289">
        <w:rPr>
          <w:rFonts w:ascii="Arial" w:hAnsi="Arial"/>
          <w:color w:val="auto"/>
          <w:sz w:val="24"/>
          <w:szCs w:val="24"/>
          <w:lang w:val="en-GB"/>
        </w:rPr>
        <w:t xml:space="preserve"> </w:t>
      </w:r>
      <w:r w:rsidRPr="00E15289">
        <w:rPr>
          <w:rFonts w:ascii="Arial" w:hAnsi="Arial"/>
          <w:color w:val="auto"/>
          <w:sz w:val="24"/>
          <w:szCs w:val="24"/>
          <w:lang w:val="en-GB"/>
        </w:rPr>
        <w:t>leading to a pro-survival phenotype</w:t>
      </w:r>
      <w:r w:rsidR="00737A59" w:rsidRPr="00E15289">
        <w:rPr>
          <w:rFonts w:ascii="Arial" w:hAnsi="Arial"/>
          <w:color w:val="auto"/>
          <w:sz w:val="24"/>
          <w:szCs w:val="24"/>
          <w:lang w:val="en-GB"/>
        </w:rPr>
        <w:t xml:space="preserve"> </w:t>
      </w:r>
      <w:r w:rsidR="00737A59" w:rsidRPr="00E15289">
        <w:rPr>
          <w:rFonts w:ascii="Arial" w:hAnsi="Arial"/>
          <w:color w:val="auto"/>
          <w:sz w:val="24"/>
          <w:szCs w:val="24"/>
          <w:lang w:val="en-GB"/>
        </w:rPr>
        <w:fldChar w:fldCharType="begin" w:fldLock="1"/>
      </w:r>
      <w:r w:rsidR="00737A59" w:rsidRPr="00E15289">
        <w:rPr>
          <w:rFonts w:ascii="Arial" w:hAnsi="Arial"/>
          <w:color w:val="auto"/>
          <w:sz w:val="24"/>
          <w:szCs w:val="24"/>
          <w:lang w:val="en-GB"/>
        </w:rPr>
        <w:instrText>ADDIN CSL_CITATION {"citationItems":[{"id":"ITEM-1","itemData":{"DOI":"10.1038/nrc2540","ISSN":"1474175X","abstract":"During the past century it has been established that regions within solid tumours experience mild to severe O(2) deprivation owing to aberrant vascular function. These hypoxic regions are associated with altered cellular metabolism, as well as increased resistance to radiation and chemotherapy. As discussed in this Timeline, over the past decade work from many laboratories has elucidated the mechanisms by which hypoxia-inducible factors (HIFs) modulate tumour cell metabolism, angiogenesis, growth and metastasis. The central role played by intra-tumoural hypoxia and HIF in these processes has made them attractive therapeutic targets in the treatment of multiple human malignancies.","author":[{"dropping-particle":"","family":"Bertout","given":"Jessica A.","non-dropping-particle":"","parse-names":false,"suffix":""},{"dropping-particle":"","family":"Patel","given":"Shetal A.","non-dropping-particle":"","parse-names":false,"suffix":""},{"dropping-particle":"","family":"Simon","given":"M. Celeste","non-dropping-particle":"","parse-names":false,"suffix":""}],"container-title":"Nature Reviews Cancer","id":"ITEM-1","issued":{"date-parts":[["2008"]]},"title":"The impact of O2 availability on human cancer","type":"article"},"uris":["http://www.mendeley.com/documents/?uuid=a95e5a60-f5e0-4986-bb6e-f5d1e632459f"]},{"id":"ITEM-2","itemData":{"DOI":"10.1016/j.tips.2012.01.005","ISSN":"01656147","abstract":"Hypoxia-inducible factors (HIFs) mediate adaptive physiological responses to hypoxia. In human cancers that are accessible for O 2 electrode measurements, intratumoral hypoxia is common and severe hypoxia is associated with increased risk of mortality. HIF activity in regions of intratumoral hypoxia mediates angiogenesis, epithelial-mesenchymal transition, stem-cell maintenance, invasion, metastasis, and resistance to radiation therapy and chemotherapy. A growing number of drugs have been identified that inhibit HIF activity by a variety of molecular mechanisms. Because many of these drugs are already FDA-approved for other indications, clinical trials can (and should) be initiated to test the hypothesis that incorporation of HIF inhibitors into current standard-of-care therapy will increase the survival of cancer patients. © 2012 Elsevier Ltd.","author":[{"dropping-particle":"","family":"Semenza","given":"Gregg L.","non-dropping-particle":"","parse-names":false,"suffix":""}],"container-title":"Trends in Pharmacological Sciences","id":"ITEM-2","issued":{"date-parts":[["2012"]]},"title":"Hypoxia-inducible factors: Mediators of cancer progression and targets for cancer therapy","type":"article"},"uris":["http://www.mendeley.com/documents/?uuid=a1436bb3-6fdd-4a4a-b097-eb7c42cf1512"]}],"mendeley":{"formattedCitation":"(1,2)","plainTextFormattedCitation":"(1,2)","previouslyFormattedCitation":"(1,2)"},"properties":{"noteIndex":0},"schema":"https://github.com/citation-style-language/schema/raw/master/csl-citation.json"}</w:instrText>
      </w:r>
      <w:r w:rsidR="00737A59" w:rsidRPr="00E15289">
        <w:rPr>
          <w:rFonts w:ascii="Arial" w:hAnsi="Arial"/>
          <w:color w:val="auto"/>
          <w:sz w:val="24"/>
          <w:szCs w:val="24"/>
          <w:lang w:val="en-GB"/>
        </w:rPr>
        <w:fldChar w:fldCharType="separate"/>
      </w:r>
      <w:r w:rsidR="00737A59" w:rsidRPr="00E15289">
        <w:rPr>
          <w:rFonts w:ascii="Arial" w:hAnsi="Arial"/>
          <w:noProof/>
          <w:color w:val="auto"/>
          <w:sz w:val="24"/>
          <w:szCs w:val="24"/>
          <w:lang w:val="en-GB"/>
        </w:rPr>
        <w:t>(1,2)</w:t>
      </w:r>
      <w:r w:rsidR="00737A59" w:rsidRPr="00E15289">
        <w:rPr>
          <w:rFonts w:ascii="Arial" w:hAnsi="Arial"/>
          <w:color w:val="auto"/>
          <w:sz w:val="24"/>
          <w:szCs w:val="24"/>
          <w:lang w:val="en-GB"/>
        </w:rPr>
        <w:fldChar w:fldCharType="end"/>
      </w:r>
      <w:r w:rsidRPr="00E15289">
        <w:rPr>
          <w:rFonts w:ascii="Arial" w:hAnsi="Arial"/>
          <w:color w:val="auto"/>
          <w:sz w:val="24"/>
          <w:szCs w:val="24"/>
          <w:lang w:val="en-GB"/>
        </w:rPr>
        <w:t>. Hypoxia is a complicating factor in the microenvironment of most solid tumours where it contributes to chemo-resistance and radio-resistance</w:t>
      </w:r>
      <w:r w:rsidR="00737A59" w:rsidRPr="00E15289">
        <w:rPr>
          <w:rFonts w:ascii="Arial" w:hAnsi="Arial"/>
          <w:color w:val="auto"/>
          <w:sz w:val="24"/>
          <w:szCs w:val="24"/>
          <w:lang w:val="en-GB"/>
        </w:rPr>
        <w:t xml:space="preserve"> </w:t>
      </w:r>
      <w:r w:rsidR="00737A59" w:rsidRPr="00E15289">
        <w:rPr>
          <w:rFonts w:ascii="Arial" w:hAnsi="Arial"/>
          <w:color w:val="auto"/>
          <w:sz w:val="24"/>
          <w:szCs w:val="24"/>
          <w:lang w:val="en-GB"/>
        </w:rPr>
        <w:fldChar w:fldCharType="begin" w:fldLock="1"/>
      </w:r>
      <w:r w:rsidR="00737A59" w:rsidRPr="00E15289">
        <w:rPr>
          <w:rFonts w:ascii="Arial" w:hAnsi="Arial"/>
          <w:color w:val="auto"/>
          <w:sz w:val="24"/>
          <w:szCs w:val="24"/>
          <w:lang w:val="en-GB"/>
        </w:rPr>
        <w:instrText>ADDIN CSL_CITATION {"citationItems":[{"id":"ITEM-1","itemData":{"DOI":"10.1111/j.1464-410X.2009.08921.x","ISSN":"14644096","abstract":"Research into the hypoxic tumour microenvironment is accelerating and the reversal of hypoxia is increasingly being suggested as a mechanism for improving cancer treatment. Recent studies have suggested that hypoxia is also a feature in prostate cancer and is associated with a poor prognosis. Hypoxia has been shown to cause radio-resistance and hence hamper one of the major treatments for prostate cancer. However, unlike other solid tumours, such as cervical and head-and-neck cancer, there are inconsistencies and unanswered questions about the relevance of hypoxia in prostate cancer. This review outlines the role of low-oxygen conditions in prostate cancer and the areas where further studies are required.","author":[{"dropping-particle":"","family":"Stewart","given":"Grant D.","non-dropping-particle":"","parse-names":false,"suffix":""},{"dropping-particle":"","family":"Ross","given":"James A.","non-dropping-particle":"","parse-names":false,"suffix":""},{"dropping-particle":"","family":"McLaren","given":"Duncan B.","non-dropping-particle":"","parse-names":false,"suffix":""},{"dropping-particle":"","family":"Parker","given":"Christopher C.","non-dropping-particle":"","parse-names":false,"suffix":""},{"dropping-particle":"","family":"Habib","given":"Fouad K.","non-dropping-particle":"","parse-names":false,"suffix":""},{"dropping-particle":"","family":"Riddick","given":"Antony C.P.","non-dropping-particle":"","parse-names":false,"suffix":""}],"container-title":"BJU International","id":"ITEM-1","issued":{"date-parts":[["2010"]]},"title":"The relevance of a hypoxic tumour microenvironment in prostate cancer","type":"article"},"uris":["http://www.mendeley.com/documents/?uuid=a0c8a1d2-b2d7-4f80-b9d4-936911494fb6"]},{"id":"ITEM-2","itemData":{"DOI":"10.1371/journal.pone.0054251","ISSN":"19326203","abstract":"BACKGROUND: Castrate-resistant prostate cancer (CRPC) is a lethal condition in patients receiving androgen deprivation therapy for prostate cancer (PC). Despite numerous studies showing the expression of HIF1α protein under normoxia in PC cell lines, the role of this normoxic HIF1α expression in chemo-resistance and migration has not been investigated previously. As no method is currently available to determine which tumors will progress to CRPC, the role of HIF1α in PC and its potential for predicting the development of CRPC was also investigated.\\n\\nMETHODS: The effect of HIF1α protein knockdown on chemo-resistance and migration of PC3 cells was assessed by cell counting and Transwell assays, respectively. Translation efficiency of HIF1α mRNA was determined in PC cells using a HIF1α 5'UTR-luciferase construct. Clinical outcomes were correlated following the staining of 100 prostate tumors for HIF1α expression.\\n\\nRESULTS: The CRPC-like cell lines (PC3 and DU145) expressed more HIF1α protein than an androgen sensitive cell line (LNCaP). Migration rate and chemo-resistance were higher in the PC3 cells and both were decreased when HIF1α expression was reduced. Increased translation of HIF1α mRNA may be responsible for HIF1α overexpression in PC3 cells. Patients whose tumors expressed HIF1α had significantly decreased metastasis-free survival and the patients who were on androgen-deprivation therapy had decreased CRPC-free survival on Kaplan-Meier analysis. On multivariate analysis HIF1α was an independent risk factor for progression to metastatic PC (Hazard ratio (HR) 9.8, p = 0.017) and development of CRPC (HR 10.0, p = 0.021) in patients on androgen-deprivation therapy. Notably the tumors which did not express HIF1α did not metastasize or develop CRPC.\\n\\nCONCLUSIONS: HIF1α is likely to contribute to metastasis and chemo-resistance of CRPC and targeted reduction of HIF1α may increase the responsiveness of CRPCs to chemotherapy. Expression of HIF1α may be a useful screening tool for development of CRPC.","author":[{"dropping-particle":"","family":"Ranasinghe","given":"Weranja K.B.","non-dropping-particle":"","parse-names":false,"suffix":""},{"dropping-particle":"","family":"Xiao","given":"Lin","non-dropping-particle":"","parse-names":false,"suffix":""},{"dropping-particle":"","family":"Kovac","given":"Suzana","non-dropping-particle":"","parse-names":false,"suffix":""},{"dropping-particle":"","family":"Chang","given":"Mike","non-dropping-particle":"","parse-names":false,"suffix":""},{"dropping-particle":"","family":"Michiels","given":"Carine","non-dropping-particle":"","parse-names":false,"suffix":""},{"dropping-particle":"","family":"Bolton","given":"Damien","non-dropping-particle":"","parse-names":false,"suffix":""},{"dropping-particle":"","family":"Shulkes","given":"Arthur","non-dropping-particle":"","parse-names":false,"suffix":""},{"dropping-particle":"","family":"Baldwin","given":"Graham S.","non-dropping-particle":"","parse-names":false,"suffix":""},{"dropping-particle":"","family":"Patel","given":"Oneel","non-dropping-particle":"","parse-names":false,"suffix":""}],"container-title":"PLoS ONE","id":"ITEM-2","issued":{"date-parts":[["2013"]]},"title":"The Role of Hypoxia-Inducible Factor 1α in Determining the Properties of Castrate-Resistant Prostate Cancers","type":"article-journal"},"uris":["http://www.mendeley.com/documents/?uuid=4aca5fae-a11c-42a9-baec-19e7e873a94c"]}],"mendeley":{"formattedCitation":"(3,4)","plainTextFormattedCitation":"(3,4)","previouslyFormattedCitation":"(3,4)"},"properties":{"noteIndex":0},"schema":"https://github.com/citation-style-language/schema/raw/master/csl-citation.json"}</w:instrText>
      </w:r>
      <w:r w:rsidR="00737A59" w:rsidRPr="00E15289">
        <w:rPr>
          <w:rFonts w:ascii="Arial" w:hAnsi="Arial"/>
          <w:color w:val="auto"/>
          <w:sz w:val="24"/>
          <w:szCs w:val="24"/>
          <w:lang w:val="en-GB"/>
        </w:rPr>
        <w:fldChar w:fldCharType="separate"/>
      </w:r>
      <w:r w:rsidR="00737A59" w:rsidRPr="00E15289">
        <w:rPr>
          <w:rFonts w:ascii="Arial" w:hAnsi="Arial"/>
          <w:noProof/>
          <w:color w:val="auto"/>
          <w:sz w:val="24"/>
          <w:szCs w:val="24"/>
          <w:lang w:val="en-GB"/>
        </w:rPr>
        <w:t>(3,4)</w:t>
      </w:r>
      <w:r w:rsidR="00737A59" w:rsidRPr="00E15289">
        <w:rPr>
          <w:rFonts w:ascii="Arial" w:hAnsi="Arial"/>
          <w:color w:val="auto"/>
          <w:sz w:val="24"/>
          <w:szCs w:val="24"/>
          <w:lang w:val="en-GB"/>
        </w:rPr>
        <w:fldChar w:fldCharType="end"/>
      </w:r>
      <w:r w:rsidR="00737A59" w:rsidRPr="00E15289">
        <w:rPr>
          <w:rFonts w:ascii="Arial" w:hAnsi="Arial"/>
          <w:color w:val="auto"/>
          <w:sz w:val="24"/>
          <w:szCs w:val="24"/>
          <w:lang w:val="en-GB"/>
        </w:rPr>
        <w:t xml:space="preserve">. </w:t>
      </w:r>
      <w:r w:rsidRPr="00E15289">
        <w:rPr>
          <w:rFonts w:ascii="Arial" w:hAnsi="Arial"/>
          <w:color w:val="auto"/>
          <w:sz w:val="24"/>
          <w:szCs w:val="24"/>
          <w:lang w:val="en-GB"/>
        </w:rPr>
        <w:t>This phenomenon complicates common treatments for prostate cancer such as brachytherapy or external beam radiotherapy. Therefore</w:t>
      </w:r>
      <w:r w:rsidR="00742069" w:rsidRPr="00E15289">
        <w:rPr>
          <w:rFonts w:ascii="Arial" w:hAnsi="Arial"/>
          <w:color w:val="auto"/>
          <w:sz w:val="24"/>
          <w:szCs w:val="24"/>
          <w:lang w:val="en-GB"/>
        </w:rPr>
        <w:t>,</w:t>
      </w:r>
      <w:r w:rsidRPr="00E15289">
        <w:rPr>
          <w:rFonts w:ascii="Arial" w:hAnsi="Arial"/>
          <w:color w:val="auto"/>
          <w:sz w:val="24"/>
          <w:szCs w:val="24"/>
          <w:lang w:val="en-GB"/>
        </w:rPr>
        <w:t xml:space="preserve"> mechanisms for modulating the hypoxia response in prostate cancer would potentially improve the outcome of chemotherapy and radiotherapy treatment in this disease.</w:t>
      </w:r>
    </w:p>
    <w:p w14:paraId="30F3C0A4" w14:textId="76B13BA0" w:rsidR="0055283A" w:rsidRPr="00E15289" w:rsidRDefault="005514C0" w:rsidP="0025140D">
      <w:pPr>
        <w:pStyle w:val="Default"/>
        <w:spacing w:afterLines="80" w:after="192" w:line="400" w:lineRule="exact"/>
        <w:jc w:val="both"/>
        <w:rPr>
          <w:rFonts w:ascii="Arial" w:hAnsi="Arial"/>
          <w:color w:val="auto"/>
          <w:sz w:val="24"/>
          <w:szCs w:val="24"/>
          <w:lang w:val="en-GB"/>
        </w:rPr>
      </w:pPr>
      <w:r w:rsidRPr="00E15289">
        <w:rPr>
          <w:rFonts w:ascii="Arial" w:hAnsi="Arial"/>
          <w:color w:val="auto"/>
          <w:sz w:val="24"/>
          <w:szCs w:val="24"/>
          <w:lang w:val="en-GB"/>
        </w:rPr>
        <w:t>The cellular response to hypoxia is largely governed by the basic helix-loop-helix (</w:t>
      </w:r>
      <w:proofErr w:type="spellStart"/>
      <w:r w:rsidRPr="00E15289">
        <w:rPr>
          <w:rFonts w:ascii="Arial" w:hAnsi="Arial"/>
          <w:color w:val="auto"/>
          <w:sz w:val="24"/>
          <w:szCs w:val="24"/>
          <w:lang w:val="en-GB"/>
        </w:rPr>
        <w:t>bHLH</w:t>
      </w:r>
      <w:proofErr w:type="spellEnd"/>
      <w:r w:rsidRPr="00E15289">
        <w:rPr>
          <w:rFonts w:ascii="Arial" w:hAnsi="Arial"/>
          <w:color w:val="auto"/>
          <w:sz w:val="24"/>
          <w:szCs w:val="24"/>
          <w:lang w:val="en-GB"/>
        </w:rPr>
        <w:t>) transcription factor hypoxia-inducible factor (HIF)</w:t>
      </w:r>
      <w:r w:rsidR="00DE55A6" w:rsidRPr="00E15289">
        <w:rPr>
          <w:rFonts w:ascii="Arial" w:hAnsi="Arial"/>
          <w:color w:val="auto"/>
          <w:sz w:val="24"/>
          <w:szCs w:val="24"/>
          <w:lang w:val="en-GB"/>
        </w:rPr>
        <w:t xml:space="preserve"> </w:t>
      </w:r>
      <w:r w:rsidR="00DE55A6" w:rsidRPr="00E15289">
        <w:rPr>
          <w:rFonts w:ascii="Arial" w:hAnsi="Arial"/>
          <w:color w:val="auto"/>
          <w:sz w:val="24"/>
          <w:szCs w:val="24"/>
          <w:lang w:val="en-GB"/>
        </w:rPr>
        <w:fldChar w:fldCharType="begin" w:fldLock="1"/>
      </w:r>
      <w:r w:rsidR="00737A59" w:rsidRPr="00E15289">
        <w:rPr>
          <w:rFonts w:ascii="Arial" w:hAnsi="Arial"/>
          <w:color w:val="auto"/>
          <w:sz w:val="24"/>
          <w:szCs w:val="24"/>
          <w:lang w:val="en-GB"/>
        </w:rPr>
        <w:instrText>ADDIN CSL_CITATION {"citationItems":[{"id":"ITEM-1","itemData":{"DOI":"10.1152/jappl.2000.88.4.1474","ISSN":"8750-7587","abstract":"All organisms can sense O(2) concentration and respond to hypoxia with adaptive changes in gene expression. The large body size of mammals necessitates the development of multiple complex physiological systems to ensure adequate O(2) delivery to all cells under normal conditions. The transcriptional regulator hypoxia-inducible factor 1 (HIF-1) is an essential mediator of O(2) homeostasis. HIF-1 is required for the establishment of key physiological systems during development and their subsequent utilization in fetal and postnatal life. HIF-1 also appears to play a key role in the pathophysiology of cancer, cardiovascular disease, and chronic lung disease, which represent the major causes of mortality among industrialized societies. Genetic or pharmacological modulation of HIF-1 activity in vivo may represent a novel therapeutic approach to these disorders.","author":[{"dropping-particle":"","family":"Semenza","given":"Gregg L.","non-dropping-particle":"","parse-names":false,"suffix":""}],"container-title":"Journal of Applied Physiology","id":"ITEM-1","issued":{"date-parts":[["2017"]]},"title":"HIF-1: mediator of physiological and  pathophysiological responses to hypoxia","type":"article-journal"},"uris":["http://www.mendeley.com/documents/?uuid=b611d2d7-f69a-4caa-919b-8379c1c4645a"]}],"mendeley":{"formattedCitation":"(5)","plainTextFormattedCitation":"(5)","previouslyFormattedCitation":"(5)"},"properties":{"noteIndex":0},"schema":"https://github.com/citation-style-language/schema/raw/master/csl-citation.json"}</w:instrText>
      </w:r>
      <w:r w:rsidR="00DE55A6" w:rsidRPr="00E15289">
        <w:rPr>
          <w:rFonts w:ascii="Arial" w:hAnsi="Arial"/>
          <w:color w:val="auto"/>
          <w:sz w:val="24"/>
          <w:szCs w:val="24"/>
          <w:lang w:val="en-GB"/>
        </w:rPr>
        <w:fldChar w:fldCharType="separate"/>
      </w:r>
      <w:r w:rsidR="00737A59" w:rsidRPr="00E15289">
        <w:rPr>
          <w:rFonts w:ascii="Arial" w:hAnsi="Arial"/>
          <w:noProof/>
          <w:color w:val="auto"/>
          <w:sz w:val="24"/>
          <w:szCs w:val="24"/>
          <w:lang w:val="en-GB"/>
        </w:rPr>
        <w:t>(5)</w:t>
      </w:r>
      <w:r w:rsidR="00DE55A6" w:rsidRPr="00E15289">
        <w:rPr>
          <w:rFonts w:ascii="Arial" w:hAnsi="Arial"/>
          <w:color w:val="auto"/>
          <w:sz w:val="24"/>
          <w:szCs w:val="24"/>
          <w:lang w:val="en-GB"/>
        </w:rPr>
        <w:fldChar w:fldCharType="end"/>
      </w:r>
      <w:r w:rsidRPr="00E15289">
        <w:rPr>
          <w:rFonts w:ascii="Arial" w:hAnsi="Arial"/>
          <w:color w:val="auto"/>
          <w:sz w:val="24"/>
          <w:szCs w:val="24"/>
          <w:lang w:val="en-GB"/>
        </w:rPr>
        <w:t xml:space="preserve">. Prototypical HIF is a heterodimer consisting of HIF-1α and HIF-1β, </w:t>
      </w:r>
      <w:bookmarkStart w:id="0" w:name="OLE_LINK1"/>
      <w:bookmarkStart w:id="1" w:name="OLE_LINK2"/>
      <w:r w:rsidRPr="00E15289">
        <w:rPr>
          <w:rFonts w:ascii="Arial" w:hAnsi="Arial"/>
          <w:color w:val="auto"/>
          <w:sz w:val="24"/>
          <w:szCs w:val="24"/>
          <w:lang w:val="en-GB"/>
        </w:rPr>
        <w:t>the aryl hydrocarbon nuclear translocator (ARNT</w:t>
      </w:r>
      <w:bookmarkEnd w:id="0"/>
      <w:bookmarkEnd w:id="1"/>
      <w:r w:rsidRPr="00E15289">
        <w:rPr>
          <w:rFonts w:ascii="Arial" w:hAnsi="Arial"/>
          <w:color w:val="auto"/>
          <w:sz w:val="24"/>
          <w:szCs w:val="24"/>
          <w:lang w:val="en-GB"/>
        </w:rPr>
        <w:t>)</w:t>
      </w:r>
      <w:r w:rsidR="00737A59" w:rsidRPr="00E15289">
        <w:rPr>
          <w:rFonts w:ascii="Arial" w:hAnsi="Arial"/>
          <w:color w:val="auto"/>
          <w:sz w:val="24"/>
          <w:szCs w:val="24"/>
          <w:lang w:val="en-GB"/>
        </w:rPr>
        <w:t xml:space="preserve"> </w:t>
      </w:r>
      <w:r w:rsidR="00737A59" w:rsidRPr="00E15289">
        <w:rPr>
          <w:rFonts w:ascii="Arial" w:hAnsi="Arial"/>
          <w:color w:val="auto"/>
          <w:sz w:val="24"/>
          <w:szCs w:val="24"/>
          <w:lang w:val="en-GB"/>
        </w:rPr>
        <w:fldChar w:fldCharType="begin" w:fldLock="1"/>
      </w:r>
      <w:r w:rsidR="000B550B" w:rsidRPr="00E15289">
        <w:rPr>
          <w:rFonts w:ascii="Arial" w:hAnsi="Arial"/>
          <w:color w:val="auto"/>
          <w:sz w:val="24"/>
          <w:szCs w:val="24"/>
          <w:lang w:val="en-GB"/>
        </w:rPr>
        <w:instrText>ADDIN CSL_CITATION {"citationItems":[{"id":"ITEM-1","itemData":{"DOI":"10.1152/jappl.2000.88.4.1474","ISSN":"8750-7587","abstract":"All organisms can sense O(2) concentration and respond to hypoxia with adaptive changes in gene expression. The large body size of mammals necessitates the development of multiple complex physiological systems to ensure adequate O(2) delivery to all cells under normal conditions. The transcriptional regulator hypoxia-inducible factor 1 (HIF-1) is an essential mediator of O(2) homeostasis. HIF-1 is required for the establishment of key physiological systems during development and their subsequent utilization in fetal and postnatal life. HIF-1 also appears to play a key role in the pathophysiology of cancer, cardiovascular disease, and chronic lung disease, which represent the major causes of mortality among industrialized societies. Genetic or pharmacological modulation of HIF-1 activity in vivo may represent a novel therapeutic approach to these disorders.","author":[{"dropping-particle":"","family":"Semenza","given":"Gregg L.","non-dropping-particle":"","parse-names":false,"suffix":""}],"container-title":"Journal of Applied Physiology","id":"ITEM-1","issued":{"date-parts":[["2017"]]},"title":"HIF-1: mediator of physiological and  pathophysiological responses to hypoxia","type":"article-journal"},"uris":["http://www.mendeley.com/documents/?uuid=b611d2d7-f69a-4caa-919b-8379c1c4645a"]},{"id":"ITEM-2","itemData":{"DOI":"10.1038/nrc3183","ISSN":"1474-1768","abstract":"Hypoxia-inducible factors (HIFs) are broadly expressed in human cancers, and HIF1α and HIF2α were previously suspected to promote tumour progression through largely overlapping functions. However, this relatively simple model has now been challenged in light of recent data from various approaches that reveal unique and sometimes opposing activities of these HIFα isoforms in both normal physiology and disease. These effects are mediated in part through the regulation of unique target genes, as well as through direct and indirect interactions with important oncoproteins and tumour suppressors, including MYC and p53. As HIF inhibitors are currently undergoing clinical evaluation as cancer therapeutics, a more thorough understanding of the unique roles performed by HIF1α and HIF2α in human neoplasia is warranted.","author":[{"dropping-particle":"","family":"Keith","given":"Brian","non-dropping-particle":"","parse-names":false,"suffix":""},{"dropping-particle":"","family":"Johnson","given":"Randall S","non-dropping-particle":"","parse-names":false,"suffix":""},{"dropping-particle":"","family":"Simon","given":"M Celeste","non-dropping-particle":"","parse-names":false,"suffix":""}],"container-title":"Nature reviews. Cancer","id":"ITEM-2","issue":"1","issued":{"date-parts":[["2011","12","15"]]},"language":"eng","page":"9-22","title":"HIF1α and HIF2α: sibling rivalry in hypoxic tumour growth and progression","type":"article-journal","volume":"12"},"uris":["http://www.mendeley.com/documents/?uuid=72dbdb8a-5040-4433-8dec-dea6fc6a5a3f"]}],"mendeley":{"formattedCitation":"(5,6)","plainTextFormattedCitation":"(5,6)","previouslyFormattedCitation":"(5,6)"},"properties":{"noteIndex":0},"schema":"https://github.com/citation-style-language/schema/raw/master/csl-citation.json"}</w:instrText>
      </w:r>
      <w:r w:rsidR="00737A59" w:rsidRPr="00E15289">
        <w:rPr>
          <w:rFonts w:ascii="Arial" w:hAnsi="Arial"/>
          <w:color w:val="auto"/>
          <w:sz w:val="24"/>
          <w:szCs w:val="24"/>
          <w:lang w:val="en-GB"/>
        </w:rPr>
        <w:fldChar w:fldCharType="separate"/>
      </w:r>
      <w:r w:rsidR="00737A59" w:rsidRPr="00E15289">
        <w:rPr>
          <w:rFonts w:ascii="Arial" w:hAnsi="Arial"/>
          <w:noProof/>
          <w:color w:val="auto"/>
          <w:sz w:val="24"/>
          <w:szCs w:val="24"/>
          <w:lang w:val="en-GB"/>
        </w:rPr>
        <w:t>(5,6)</w:t>
      </w:r>
      <w:r w:rsidR="00737A59" w:rsidRPr="00E15289">
        <w:rPr>
          <w:rFonts w:ascii="Arial" w:hAnsi="Arial"/>
          <w:color w:val="auto"/>
          <w:sz w:val="24"/>
          <w:szCs w:val="24"/>
          <w:lang w:val="en-GB"/>
        </w:rPr>
        <w:fldChar w:fldCharType="end"/>
      </w:r>
      <w:r w:rsidRPr="00E15289">
        <w:rPr>
          <w:rFonts w:ascii="Arial" w:hAnsi="Arial"/>
          <w:color w:val="auto"/>
          <w:sz w:val="24"/>
          <w:szCs w:val="24"/>
          <w:lang w:val="en-GB"/>
        </w:rPr>
        <w:t>. HIF</w:t>
      </w:r>
      <w:r w:rsidR="0044677C" w:rsidRPr="00E15289">
        <w:rPr>
          <w:rFonts w:ascii="Arial" w:hAnsi="Arial"/>
          <w:color w:val="auto"/>
          <w:sz w:val="24"/>
          <w:szCs w:val="24"/>
          <w:lang w:val="en-GB"/>
        </w:rPr>
        <w:noBreakHyphen/>
      </w:r>
      <w:r w:rsidRPr="00E15289">
        <w:rPr>
          <w:rFonts w:ascii="Arial" w:hAnsi="Arial"/>
          <w:color w:val="auto"/>
          <w:sz w:val="24"/>
          <w:szCs w:val="24"/>
          <w:lang w:val="en-GB"/>
        </w:rPr>
        <w:t>1β can also form heterodimers with two other α- subunits, HIF-2α (EPAS) and HIF-3α</w:t>
      </w:r>
      <w:r w:rsidR="00A02480" w:rsidRPr="00E15289">
        <w:rPr>
          <w:rFonts w:ascii="Arial" w:hAnsi="Arial"/>
          <w:color w:val="auto"/>
          <w:sz w:val="24"/>
          <w:szCs w:val="24"/>
          <w:lang w:val="en-GB"/>
        </w:rPr>
        <w:t xml:space="preserve">, </w:t>
      </w:r>
      <w:r w:rsidRPr="00E15289">
        <w:rPr>
          <w:rFonts w:ascii="Arial" w:hAnsi="Arial"/>
          <w:color w:val="auto"/>
          <w:sz w:val="24"/>
          <w:szCs w:val="24"/>
          <w:lang w:val="en-GB"/>
        </w:rPr>
        <w:t>in a tissue restricted manner</w:t>
      </w:r>
      <w:r w:rsidR="00737A59" w:rsidRPr="00E15289">
        <w:rPr>
          <w:rFonts w:ascii="Arial" w:hAnsi="Arial"/>
          <w:color w:val="auto"/>
          <w:sz w:val="24"/>
          <w:szCs w:val="24"/>
          <w:lang w:val="en-GB"/>
        </w:rPr>
        <w:t xml:space="preserve"> </w:t>
      </w:r>
      <w:r w:rsidR="00737A59"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{"citationItems":[{"id":"ITEM-1","itemData":{"DOI":"10.1016/j.biocel.2010.04.008","ISSN":"13572725","abstract":"The hypoxia-inducible transcription factors (HIFs) play a central role in the response of cells to hypoxia. HIFs are αβ dimers, the human α subunit having three isoforms. HIF-3α is unique among the HIF-α isoforms in that its gene is subject to extensive alternative splicing. Database analyses have predicted the generation of six HIF-3α splice variants that utilize three alternative transcription initiation sites. None of these variants is likely to act as an efficient transcription factor, but some of them have been reported to inhibit HIF-1 and HIF-2 functions. We analyzed here for the first time in detail whether these six variants are indeed generated in various human tissues and cell lines. We identified four novel variants, named here HIF-3α7 to HIF-3α10, whereas we obtained no evidence for the predicted HIF-3α3 and HIF-3α5. Distinct differences in the expression patterns of the variants were found between human tissues, the levels being particularly low in many cancer cell lines. Hypoxia upregulated transcription from all three alternative HIF-3α promoters. siRNA experiments showed that this induction is mediated specifically by HIF-1 and not by HIF-2. The tissue-specific differences in the expression patterns and levels of the HIF-3α variants can be expected to modulate the hypoxia response of various tissues and cell types to different extents during development and in pathological situations. A further level of regulation is brought about by the fact that the levels of the HIF-3α transcripts themselves are regulated by hypoxia and by changes in HIF-1 levels. © 2010 Elsevier Ltd.","author":[{"dropping-particle":"","family":"Pasanen","given":"Annika","non-dropping-particle":"","parse-names":false,"suffix":""},{"dropping-particle":"","family":"Heikkilä","given":"Minna","non-dropping-particle":"","parse-names":false,"suffix":""},{"dropping-particle":"","family":"Rautavuoma","given":"Kati","non-dropping-particle":"","parse-names":false,"suffix":""},{"dropping-particle":"","family":"Hirsilä","given":"Maija","non-dropping-particle":"","parse-names":false,"suffix":""},{"dropping-particle":"","family":"Kivirikko","given":"Kari I.","non-dropping-particle":"","parse-names":false,"suffix":""},{"dropping-particle":"","family":"Myllyharju","given":"Johanna","non-dropping-particle":"","parse-names":false,"suffix":""}],"container-title":"International Journal of Biochemistry and Cell Biology","id":"ITEM-1","issued":{"date-parts":[["2010"]]},"title":"Hypoxia-inducible factor (HIF)-3α is subject to extensive alternative splicing in human tissues and cancer cells and is regulated by HIF-1 but not HIF-2","type":"article-journal"},"uris":["http://www.mendeley.com/documents/?uuid=a7bd3c4a-4fda-4ad3-8dc5-b418e9b2f42a"]}],"mendeley":{"formattedCitation":"(7)","plainTextFormattedCitation":"(7)","previouslyFormattedCitation":"(7)"},"properties":{"noteIndex":0},"schema":"https://github.com/citation-style-language/schema/raw/master/csl-citation.json"}</w:instrText>
      </w:r>
      <w:r w:rsidR="00737A59"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(7)</w:t>
      </w:r>
      <w:r w:rsidR="00737A59" w:rsidRPr="00E15289">
        <w:rPr>
          <w:rFonts w:ascii="Arial" w:hAnsi="Arial"/>
          <w:color w:val="auto"/>
          <w:sz w:val="24"/>
          <w:szCs w:val="24"/>
          <w:lang w:val="en-GB"/>
        </w:rPr>
        <w:fldChar w:fldCharType="end"/>
      </w:r>
      <w:r w:rsidRPr="00E15289">
        <w:rPr>
          <w:rFonts w:ascii="Arial" w:hAnsi="Arial"/>
          <w:color w:val="auto"/>
          <w:sz w:val="24"/>
          <w:szCs w:val="24"/>
          <w:lang w:val="en-GB"/>
        </w:rPr>
        <w:t xml:space="preserve">. Control of the hypoxia response through HIF-1α is </w:t>
      </w:r>
      <w:r w:rsidR="00F87C9A" w:rsidRPr="00E15289">
        <w:rPr>
          <w:rFonts w:ascii="Arial" w:hAnsi="Arial"/>
          <w:color w:val="auto"/>
          <w:sz w:val="24"/>
          <w:szCs w:val="24"/>
          <w:lang w:val="en-GB"/>
        </w:rPr>
        <w:t>affected</w:t>
      </w:r>
      <w:r w:rsidRPr="00E15289">
        <w:rPr>
          <w:rFonts w:ascii="Arial" w:hAnsi="Arial"/>
          <w:color w:val="auto"/>
          <w:sz w:val="24"/>
          <w:szCs w:val="24"/>
          <w:lang w:val="en-GB"/>
        </w:rPr>
        <w:t xml:space="preserve"> at multiple levels</w:t>
      </w:r>
      <w:r w:rsidR="000F1EC8" w:rsidRPr="00E15289">
        <w:rPr>
          <w:rFonts w:ascii="Arial" w:hAnsi="Arial"/>
          <w:color w:val="auto"/>
          <w:sz w:val="24"/>
          <w:szCs w:val="24"/>
          <w:lang w:val="en-GB"/>
        </w:rPr>
        <w:t xml:space="preserve"> </w:t>
      </w:r>
      <w:r w:rsidR="000F1EC8"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{"citationItems":[{"id":"ITEM-1","itemData":{"DOI":"10.1038/sj.onc.1210826","ISSN":"09509232","abstract":"Hypoxia-inducible factor-1alpha (HIF-1alpha) is destabilized via the ubiquitin-proteasome system. Thus HIF-1alpha expression is robustly upregulated by proteasome inhibition, but paradoxically its activity is reduced. In the present study, we investigated the mechanism underlying the paradoxical response of HIF-1alpha to proteasome inhibition. In both Hep3B and HEK293 cells, a proteasome inhibitor MG132 noticeably attenuated hypoxic induction of erythropoietin and VEGF mRNAs. MG132 inactivated HIF-1alpha C-terminal transactivation domain (CAD), independently of factor inhibiting HIF-1 (FIH) and inhibited p300 recruitment by HIF-1alpha. We next tested the possibility that CITED2 is involved in the HIF-1 inactivation. CITED2 was found to be degraded via the ubiquitin-proteasome system and thus was stabilized by proteasome inhibition. Both the activity and the p300 binding of HIF-1alpha were inhibited by CITED2 expression and recovered by CITED2 siRNA in the presence of MG132. These results suggest that CITED2 is stabilized by proteasome inhibition and inactivates HIF-1 by interfering with the HIF-1alpha-p300 interaction. This may be an important mode-of-action for proteasome inhibition-based cancer therapy.","author":[{"dropping-particle":"","family":"Shin","given":"D. H.","non-dropping-particle":"","parse-names":false,"suffix":""},{"dropping-particle":"","family":"Li","given":"S. H.","non-dropping-particle":"","parse-names":false,"suffix":""},{"dropping-particle":"","family":"Chun","given":"Y. S.","non-dropping-particle":"","parse-names":false,"suffix":""},{"dropping-particle":"","family":"Huang","given":"L. E.","non-dropping-particle":"","parse-names":false,"suffix":""},{"dropping-particle":"","family":"Kim","given":"M. S.","non-dropping-particle":"","parse-names":false,"suffix":""},{"dropping-particle":"","family":"Park","given":"J. W.","non-dropping-particle":"","parse-names":false,"suffix":""}],"container-title":"Oncogene","id":"ITEM-1","issued":{"date-parts":[["2008"]]},"title":"CITED2 mediates the paradoxical responses of HIF-1α to proteasome inhibition","type":"article-journal"},"uris":["http://www.mendeley.com/documents/?uuid=34b19fef-975c-4174-9ea1-59c926b69920"]}],"mendeley":{"formattedCitation":"(8)","plainTextFormattedCitation":"(8)","previouslyFormattedCitation":"(8)"},"properties":{"noteIndex":0},"schema":"https://github.com/citation-style-language/schema/raw/master/csl-citation.json"}</w:instrText>
      </w:r>
      <w:r w:rsidR="000F1EC8"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(8)</w:t>
      </w:r>
      <w:r w:rsidR="000F1EC8" w:rsidRPr="00E15289">
        <w:rPr>
          <w:rFonts w:ascii="Arial" w:hAnsi="Arial"/>
          <w:color w:val="auto"/>
          <w:sz w:val="24"/>
          <w:szCs w:val="24"/>
          <w:lang w:val="en-GB"/>
        </w:rPr>
        <w:fldChar w:fldCharType="end"/>
      </w:r>
      <w:r w:rsidRPr="00E15289">
        <w:rPr>
          <w:rFonts w:ascii="Arial" w:hAnsi="Arial"/>
          <w:color w:val="auto"/>
          <w:sz w:val="24"/>
          <w:szCs w:val="24"/>
          <w:lang w:val="en-GB"/>
        </w:rPr>
        <w:t>.</w:t>
      </w:r>
    </w:p>
    <w:p w14:paraId="12322F85" w14:textId="5BA64BF6" w:rsidR="0055283A" w:rsidRPr="00E15289" w:rsidRDefault="005514C0" w:rsidP="0025140D">
      <w:pPr>
        <w:pStyle w:val="Default"/>
        <w:spacing w:afterLines="80" w:after="192" w:line="400" w:lineRule="exact"/>
        <w:jc w:val="both"/>
        <w:rPr>
          <w:rFonts w:ascii="Arial" w:hAnsi="Arial"/>
          <w:color w:val="auto"/>
          <w:sz w:val="24"/>
          <w:szCs w:val="24"/>
          <w:lang w:val="en-GB"/>
        </w:rPr>
      </w:pPr>
      <w:r w:rsidRPr="00E15289">
        <w:rPr>
          <w:rFonts w:ascii="Arial" w:hAnsi="Arial"/>
          <w:color w:val="auto"/>
          <w:sz w:val="24"/>
          <w:szCs w:val="24"/>
          <w:lang w:val="en-GB"/>
        </w:rPr>
        <w:t>Independently, nitric oxide (NO) and non-steroidal anti-inflammatory drugs (NSAIDs) have both been shown to be</w:t>
      </w:r>
      <w:r w:rsidR="0045581E" w:rsidRPr="00E15289">
        <w:rPr>
          <w:rFonts w:ascii="Arial" w:hAnsi="Arial"/>
          <w:color w:val="auto"/>
          <w:sz w:val="24"/>
          <w:szCs w:val="24"/>
          <w:lang w:val="en-GB"/>
        </w:rPr>
        <w:t>have as radio</w:t>
      </w:r>
      <w:r w:rsidR="0023096D" w:rsidRPr="00E15289">
        <w:rPr>
          <w:rFonts w:ascii="Arial" w:hAnsi="Arial"/>
          <w:color w:val="auto"/>
          <w:sz w:val="24"/>
          <w:szCs w:val="24"/>
          <w:lang w:val="en-GB"/>
        </w:rPr>
        <w:t>-</w:t>
      </w:r>
      <w:r w:rsidR="0045581E" w:rsidRPr="00E15289">
        <w:rPr>
          <w:rFonts w:ascii="Arial" w:hAnsi="Arial"/>
          <w:color w:val="auto"/>
          <w:sz w:val="24"/>
          <w:szCs w:val="24"/>
          <w:lang w:val="en-GB"/>
        </w:rPr>
        <w:t>sensitising agents</w:t>
      </w:r>
      <w:r w:rsidRPr="00E15289">
        <w:rPr>
          <w:rFonts w:ascii="Arial" w:hAnsi="Arial"/>
          <w:color w:val="auto"/>
          <w:sz w:val="24"/>
          <w:szCs w:val="24"/>
          <w:lang w:val="en-GB"/>
        </w:rPr>
        <w:t xml:space="preserve"> </w:t>
      </w:r>
      <w:r w:rsidR="006F0327"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{"citationItems":[{"id":"ITEM-1","itemData":{"DOI":"10.1038/186780a0","ISSN":"00280836","author":[{"dropping-particle":"","family":"Dewey","given":"D. L.","non-dropping-particle":"","parse-names":false,"suffix":""}],"container-title":"Nature","id":"ITEM-1","issued":{"date-parts":[["1960"]]},"title":"Effect of oxygen and nitric oxide on the radiosensitivity of human cells in tissue culture","type":"article-journal"},"uris":["http://www.mendeley.com/documents/?uuid=1292480d-259e-4415-b3e2-61b42ee12263"]},{"id":"ITEM-2","itemData":{"ISSN":"15387445","abstract":"Indomethacin, an inhibitor of prostaglandin (PG) synthesis, was investigated for its ability to increase radioresponse of two fibrosarcomas, FSA and NFSA, in C3Hf/Kam mice. In addition, the effect of indomethacin on radioresponse of hematopoietic tissue, jejunum, hair follicles, and tissues involved in the development of radiation-induced leg contractures was determined. Indomethacin greatly increased radioresponse of 8-mm tumors, as assessed by both tumor growth delay and TCD50 assays. Enhancement factors for tumor growth delay and tumor radiocurability (TCD50) were 1.55 and 1.39, respectively, for FSA, and 1.4 and 1.26, respectively, for NFSA tumors. Of four normal tissues assessed, two (hair follicles and tissues responsible for development of leg contractures) showed no change in radioresponse after treatment with indomethacin, one (hematopoietic tissue) exhibited radioprotection, and one (jejunum) exhibited slight radiosensitization (enhancement factor, 1.12). Therefore, indomethacin significantly augmented tumor radiocurability but had minimal effect on radioresponse of some normal tissues.","author":[{"dropping-particle":"","family":"Furuta","given":"Yuichi","non-dropping-particle":"","parse-names":false,"suffix":""},{"dropping-particle":"","family":"Hunter","given":"Nancy","non-dropping-particle":"","parse-names":false,"suffix":""},{"dropping-particle":"","family":"Barkley","given":"Thomas","non-dropping-particle":"","parse-names":false,"suffix":""},{"dropping-particle":"","family":"Hall","given":"Elizabeth","non-dropping-particle":"","parse-names":false,"suffix":""},{"dropping-particle":"","family":"Milas","given":"Luka","non-dropping-particle":"","parse-names":false,"suffix":""}],"container-title":"Cancer Research","id":"ITEM-2","issued":{"date-parts":[["1988"]]},"title":"Increase in Radioresponse of Murine Tumors by Treatment with Indomethacin","type":"article-journal"},"uris":["http://www.mendeley.com/documents/?uuid=11d9deff-01be-4077-99a3-76bf7dd14abd"]}],"mendeley":{"formattedCitation":"(9,10)","plainTextFormattedCitation":"(9,10)","previouslyFormattedCitation":"(9,10)"},"properties":{"noteIndex":0},"schema":"https://github.com/citation-style-language/schema/raw/master/csl-citation.json"}</w:instrText>
      </w:r>
      <w:r w:rsidR="006F0327"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(9,10)</w:t>
      </w:r>
      <w:r w:rsidR="006F0327" w:rsidRPr="00E15289">
        <w:rPr>
          <w:rFonts w:ascii="Arial" w:hAnsi="Arial"/>
          <w:color w:val="auto"/>
          <w:sz w:val="24"/>
          <w:szCs w:val="24"/>
          <w:lang w:val="en-GB"/>
        </w:rPr>
        <w:fldChar w:fldCharType="end"/>
      </w:r>
      <w:r w:rsidRPr="00E15289">
        <w:rPr>
          <w:rFonts w:ascii="Arial" w:hAnsi="Arial"/>
          <w:color w:val="auto"/>
          <w:sz w:val="24"/>
          <w:szCs w:val="24"/>
          <w:lang w:val="en-GB"/>
        </w:rPr>
        <w:t xml:space="preserve">. We and others have demonstrated that nitric oxide-donating non-steroidal anti-inflammatory drugs (NO-NSAIDs) prevent the development of malignancy and are powerful agents against established cancer deposits </w:t>
      </w:r>
      <w:r w:rsidRPr="00E15289">
        <w:rPr>
          <w:rFonts w:ascii="Arial" w:hAnsi="Arial"/>
          <w:i/>
          <w:iCs/>
          <w:color w:val="auto"/>
          <w:sz w:val="24"/>
          <w:szCs w:val="24"/>
          <w:lang w:val="en-GB"/>
        </w:rPr>
        <w:t xml:space="preserve">in vitro </w:t>
      </w:r>
      <w:r w:rsidRPr="00E15289">
        <w:rPr>
          <w:rFonts w:ascii="Arial" w:hAnsi="Arial"/>
          <w:color w:val="auto"/>
          <w:sz w:val="24"/>
          <w:szCs w:val="24"/>
          <w:lang w:val="en-GB"/>
        </w:rPr>
        <w:t xml:space="preserve">and </w:t>
      </w:r>
      <w:r w:rsidRPr="00E15289">
        <w:rPr>
          <w:rFonts w:ascii="Arial" w:hAnsi="Arial"/>
          <w:i/>
          <w:iCs/>
          <w:color w:val="auto"/>
          <w:sz w:val="24"/>
          <w:szCs w:val="24"/>
          <w:lang w:val="en-GB"/>
        </w:rPr>
        <w:t>in vivo</w:t>
      </w:r>
      <w:r w:rsidR="00DE55A6" w:rsidRPr="00E15289">
        <w:rPr>
          <w:rFonts w:ascii="Arial" w:hAnsi="Arial"/>
          <w:color w:val="auto"/>
          <w:sz w:val="24"/>
          <w:szCs w:val="24"/>
          <w:lang w:val="en-GB"/>
        </w:rPr>
        <w:t xml:space="preserve"> </w:t>
      </w:r>
      <w:r w:rsidR="00DE55A6"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{"citationItems":[{"id":"ITEM-1","itemData":{"DOI":"10.1016/j.bbrc.2003.12.015","ISSN":"0006291X","abstract":"The chemopreventive effect of nitric oxide-releasing aspirin (NO-ASA) against gastrointestinal tumorigenesis was evaluated in Min (APC Min/+) mice. NO-ASA consists of a traditional ASA that bears covalently attached to it an NO-releasing moiety. Four groups (N=10) of six-week-old female C57BL/6J APCMin/+ and the corresponding C57BL/6J+/+ wild type mice were treated either with vehicle or NO-ASA 100mg/kg/day intrarectally for 21 days. There were no signs of overt toxicity including gastrointestinal toxicity from NO-ASA. Vehicle treated Min mice had 24.7±3.8 tumors (mean± SEM) and NO-ASA treated Min mice had 10.1±1.4 tumors (59% reduction; P&lt;0.001). Wild type mice showed no tumors. NO-ASA did not affect cell proliferation in small intestinal mucosa, determined by immunohistochemical staining for PCNA. Our findings establish the strong inhibitory effect of NO-ASA in intestinal carcinogenesis in the Min mouse and suggest that this agent merits further evaluation as a chemopreventive agent against colon cancer. © 2003 Elsevier Inc. All rights reserved.","author":[{"dropping-particle":"","family":"Williams","given":"Jennie L.","non-dropping-particle":"","parse-names":false,"suffix":""},{"dropping-particle":"","family":"Kashfi","given":"Khosrow","non-dropping-particle":"","parse-names":false,"suffix":""},{"dropping-particle":"","family":"Ouyang","given":"Nengtai","non-dropping-particle":"","parse-names":false,"suffix":""},{"dropping-particle":"","family":"Soldato","given":"Piero","non-dropping-particle":"Del","parse-names":false,"suffix":""},{"dropping-particle":"","family":"Kopelovich","given":"Levy","non-dropping-particle":"","parse-names":false,"suffix":""},{"dropping-particle":"","family":"Rigas","given":"Basil","non-dropping-particle":"","parse-names":false,"suffix":""}],"container-title":"Biochemical and Biophysical Research Communications","id":"ITEM-1","issued":{"date-parts":[["2004"]]},"title":"NO-donating aspirin inhibits intestinal carcinogenesis in Min (APC Min/+) mice","type":"article-journal"},"uris":["http://www.mendeley.com/documents/?uuid=4eccf0b0-9025-4348-8bf7-51933a734c10"]},{"id":"ITEM-2","itemData":{"DOI":"10.1097/01.ju.0000132367.02834.41","ISSN":"00225347","abstract":"New nitric oxide (NO) donating nonsteroidal anti-inflammatory drugs (NSAIDs) have been synthesized to counteract the side effects of conventional NSAIDs. Mounting evidence suggests that NSAIDs may have a possible chemopreventative/therapeutic role in prostate cancer. NO is a powerful biological messenger with multiple cellular effects. We established the effects of 2 of these new drugs in prostate cell systems.","author":[{"dropping-particle":"","family":"Royle","given":"Justine Sarah","non-dropping-particle":"","parse-names":false,"suffix":""},{"dropping-particle":"","family":"Ross","given":"James A.","non-dropping-particle":"","parse-names":false,"suffix":""},{"dropping-particle":"","family":"Ansell","given":"Ian","non-dropping-particle":"","parse-names":false,"suffix":""},{"dropping-particle":"","family":"Bollina","given":"Prasad","non-dropping-particle":"","parse-names":false,"suffix":""},{"dropping-particle":"","family":"Tulloch","given":"David N.","non-dropping-particle":"","parse-names":false,"suffix":""},{"dropping-particle":"","family":"Habib","given":"Fouad K.","non-dropping-particle":"","parse-names":false,"suffix":""}],"container-title":"The Journal of urology","id":"ITEM-2","issued":{"date-parts":[["2004"]]},"title":"Nitric oxide donating nonsteroidal anti-inflammatory drugs induce apoptosis in human prostate cancer cell systems and human prostatic stroma via caspase-3.","type":"article-journal"},"uris":["http://www.mendeley.com/documents/?uuid=fb253dd5-1e06-4c8c-9025-99589930b8ab"]},{"id":"ITEM-3","itemData":{"DOI":"10.1186/1479-5876-3-7","ISSN":"14795876","abstract":"BACKGROUND: Nitric oxide-releasing nonsteroidal antiinflammatory drugs (NO-NSAIDs) are reported to be safer than NSAIDs because of their lower gastric toxicity. We compared the effect of a novel NO-releasing derivate, NCX 4040, with that of aspirin and its denitrated analog, NCX 4042, in in vitro and in vivo human colon cancer models and investigated the mechanisms of action underlying its antitumor activity. METHODS: In vitro cytotoxicity was evaluated on a panel of colon cancer lines (LoVo, LoVo Dx, WiDr and LRWZ) by sulforhodamine B assay. Cell cycle perturbations and apoptosis were evaluated by flow cytometry. Protein expression was detected by Western blot. In the in vivo experiments, tumor-bearing mice were treated with NCX 4040, five times a week, for six consecutive weeks. RESULTS: In the in vitro studies, aspirin and NCX 4042 did not induce an effect on any of the cell lines, whereas NCX 4040 produced a marked cytostatic dose-related effect, indicating a pivotal role of the -NO2 group. Furthermore, in LoVo and LRWZ cell lines, we observed caspase-9 and -3-mediated apoptosis, whereas no apoptotic effect was observed after drug exposure in WiDr or LoVo Dx cell lines. In in vivo studies, both NCX 4040 and its parental compound were administered per os. NCX 4040 induced a 40% reduction in tumor weight. Conversely, aspirin did not influence tumor growth at all. CONCLUSIONS: NCX 4040, but not its parental compound, aspirin, showed an in vitro and in vivo antiproliferative activity, indicating its potential usefulness to treat colon cancer.","author":[{"dropping-particle":"","family":"Tesei","given":"Anna","non-dropping-particle":"","parse-names":false,"suffix":""},{"dropping-particle":"","family":"Ulivi","given":"Paola","non-dropping-particle":"","parse-names":false,"suffix":""},{"dropping-particle":"","family":"Fabbri","given":"Francesco","non-dropping-particle":"","parse-names":false,"suffix":""},{"dropping-particle":"","family":"Rosetti","given":"Marco","non-dropping-particle":"","parse-names":false,"suffix":""},{"dropping-particle":"","family":"Leonetti","given":"Carlo","non-dropping-particle":"","parse-names":false,"suffix":""},{"dropping-particle":"","family":"Scarsella","given":"Marco","non-dropping-particle":"","parse-names":false,"suffix":""},{"dropping-particle":"","family":"Zupi","given":"Gabriella","non-dropping-particle":"","parse-names":false,"suffix":""},{"dropping-particle":"","family":"Amadori","given":"Dino","non-dropping-particle":"","parse-names":false,"suffix":""},{"dropping-particle":"","family":"Bolla","given":"Manlio","non-dropping-particle":"","parse-names":false,"suffix":""},{"dropping-particle":"","family":"Zoli","given":"Wainer","non-dropping-particle":"","parse-names":false,"suffix":""}],"container-title":"Journal of Translational Medicine","id":"ITEM-3","issued":{"date-parts":[["2005"]]},"title":"In vitro and in vivo evaluation of NCX 4040 cytotoxic activity in human colon cancer cell lines","type":"article-journal"},"uris":["http://www.mendeley.com/documents/?uuid=e6e99b3f-7c93-4276-8820-ac30e7b08f4c"]},{"id":"ITEM-4","itemData":{"DOI":"10.1002/ijc.23934","ISSN":"00207136","abstract":"Nitric oxide-donating non-steroidal anti-inflammatory drugs are safer than traditional NSAIDs and inhibit the growth of prostate cancer cells with greater potency than NSAIDs. In vivo, prostate cancer deposits are found in a hypoxic environment which induces resistance to chemotherapy. The aim of this study was to assess the effects and mechanism of action of a NO-NSAID called NO-sulindac on the PC-3 prostate cancer cell line under hypoxic conditions. NO-sulindac was found to have pro-apoptotic, cytotoxic, and anti-invasive effect on PC-3 cells under normoxia and hypoxia. NO-sulindac was significantly more cytotoxic than sulindac at all oxygen levels. The sulindac/linker and NO-releasing subunits both contributed to the cytotoxic effects of NO-sulindac. Resistance of PC-3 cells to NO-sulindac was induced as the oxygen concentration declined. Hypoxia-induced chemoresistance was reversed by knocking-down hypoxia-inducible factor-1alpha (HIF-1alpha) mRNA using RNAi. Nuclear HIF-1alpha levels were upregulated at 0.2% oxygen but reduced by treatment with NO-sulindac, as was Akt phosphorylation. NO-sulindac treatment of hypoxic PC-3 cells transfected with a reporter construct, downregulated activation of the hypoxia response element (HRE) promoter. Co-transfection of PC-3 cells with the HRE promoter reporter construct and myr-Akt (constitutively active Akt) plasmids reversed the NO-sulindac induced reduction in HRE activation. Real-time polymerase chain reaction analysis of hypoxic, NO-sulindac treated PC-3 cells showed downregulation of lysyl oxidase and carbonic anhydrase IX mRNA expression. Collectively, these novel findings demonstrate that NO-sulindac directly inhibits the hypoxia response of PC-3 prostate cancer cells by inhibiting HIF-1alpha translation via the Akt signalling pathway. The ability of NO-sulindac to inhibit tumour adaption to hypoxia has considerable relevance to the future management of prostate cancer with the same cellular properties as PC-3.","author":[{"dropping-particle":"","family":"Stewart","given":"Grant D.","non-dropping-particle":"","parse-names":false,"suffix":""},{"dropping-particle":"","family":"Nanda","given":"Jyoti","non-dropping-particle":"","parse-names":false,"suffix":""},{"dropping-particle":"","family":"Brown","given":"David J.G.","non-dropping-particle":"","parse-names":false,"suffix":""},{"dropping-particle":"","family":"Riddick","given":"Antony C.P.","non-dropping-particle":"","parse-names":false,"suffix":""},{"dropping-particle":"","family":"Ross","given":"James A.","non-dropping-particle":"","parse-names":false,"suffix":""},{"dropping-particle":"","family":"Habib","given":"Fouad K.","non-dropping-particle":"","parse-names":false,"suffix":""}],"container-title":"International Journal of Cancer","id":"ITEM-4","issued":{"date-parts":[["2009"]]},"title":"NO-sulindac inhibits the hypoxia response of PC-3 prostate cancer cells via the Akt signalling pathway","type":"article-journal"},"uris":["http://www.mendeley.com/documents/?uuid=ec7a4365-3523-4654-b020-bbca2fa7d351"]}],"mendeley":{"formattedCitation":"(11–14)","plainTextFormattedCitation":"(11–14)","previouslyFormattedCitation":"(11–14)"},"properties":{"noteIndex":0},"schema":"https://github.com/citation-style-language/schema/raw/master/csl-citation.json"}</w:instrText>
      </w:r>
      <w:r w:rsidR="00DE55A6"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(11–14)</w:t>
      </w:r>
      <w:r w:rsidR="00DE55A6" w:rsidRPr="00E15289">
        <w:rPr>
          <w:rFonts w:ascii="Arial" w:hAnsi="Arial"/>
          <w:color w:val="auto"/>
          <w:sz w:val="24"/>
          <w:szCs w:val="24"/>
          <w:lang w:val="en-GB"/>
        </w:rPr>
        <w:fldChar w:fldCharType="end"/>
      </w:r>
      <w:r w:rsidRPr="00E15289">
        <w:rPr>
          <w:rFonts w:ascii="Arial" w:hAnsi="Arial"/>
          <w:color w:val="auto"/>
          <w:sz w:val="24"/>
          <w:szCs w:val="24"/>
          <w:lang w:val="en-GB"/>
        </w:rPr>
        <w:t>. The NO group on these drugs confers a protective effect on the gastric mucosa by increasing mucous secretion and mucosal blood supply</w:t>
      </w:r>
      <w:r w:rsidR="00BD2239" w:rsidRPr="00E15289">
        <w:rPr>
          <w:rFonts w:ascii="Arial" w:hAnsi="Arial"/>
          <w:color w:val="auto"/>
          <w:sz w:val="24"/>
          <w:szCs w:val="24"/>
          <w:lang w:val="en-GB"/>
        </w:rPr>
        <w:t>,</w:t>
      </w:r>
      <w:r w:rsidRPr="00E15289">
        <w:rPr>
          <w:rFonts w:ascii="Arial" w:hAnsi="Arial"/>
          <w:color w:val="auto"/>
          <w:sz w:val="24"/>
          <w:szCs w:val="24"/>
          <w:lang w:val="en-GB"/>
        </w:rPr>
        <w:t xml:space="preserve"> helping to protect against the most serious side effect of NSAIDs</w:t>
      </w:r>
      <w:r w:rsidR="00C94727" w:rsidRPr="00E15289">
        <w:rPr>
          <w:rFonts w:ascii="Arial" w:hAnsi="Arial"/>
          <w:color w:val="auto"/>
          <w:sz w:val="24"/>
          <w:szCs w:val="24"/>
          <w:lang w:val="en-GB"/>
        </w:rPr>
        <w:t xml:space="preserve"> such as</w:t>
      </w:r>
      <w:r w:rsidRPr="00E15289">
        <w:rPr>
          <w:rFonts w:ascii="Arial" w:hAnsi="Arial"/>
          <w:color w:val="auto"/>
          <w:sz w:val="24"/>
          <w:szCs w:val="24"/>
          <w:lang w:val="en-GB"/>
        </w:rPr>
        <w:t xml:space="preserve"> gastric erosion</w:t>
      </w:r>
      <w:r w:rsidR="0044677C" w:rsidRPr="00E15289">
        <w:rPr>
          <w:rFonts w:ascii="Arial" w:hAnsi="Arial"/>
          <w:color w:val="auto"/>
          <w:sz w:val="24"/>
          <w:szCs w:val="24"/>
          <w:lang w:val="en-GB"/>
        </w:rPr>
        <w:t xml:space="preserve"> </w:t>
      </w:r>
      <w:r w:rsidR="0044677C"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{"citationItems":[{"id":"ITEM-1","itemData":{"DOI":"10.1053/gast.2003.50096","ISSN":"00165085","abstract":"Background &amp; Aims: NCX-4016 is a nitric oxide-releasing derivative of aspirin with antiplatelet activity. The aim of this study was to investigate the effect of NCX-4016 on gastrointestinal mucosa and platelet functions in healthy human volunteers. Methods: This was a parallel-group, double-blind, placebo-controlled study. Forty healthy subjects were randomly allocated to receive 7 days of treatment with NCX-4016 (400 and 800 mg twice daily), equimolar doses of aspirin (200 and 420 mg twice daily), or placebo. Upper endoscopies were performed before and at the end of the treatment period, and gastroduodenal lesions were graded using a predefined scoring system. Basal and posttreatment platelet aggregation in response to arachidonic acid (AA) and serum thromboxane (TX) B2and AA-stimulated platelet TXB2production were investigated. Results: Mucosal endoscopic injury score on day 7 was 0.63 ± 0.16 in the placebo group and 11.0 ± 3.0 and 16.1 ± 1.6 in healthy volunteers treated with 200 and 420 mg aspirin twice daily (P &lt; 0.0001 vs. placebo). NCX-4016 was virtually devoid of gastric and duodenal toxicity, resulting in a total gastric and duodenal endoscopic score of 1.38 ± 0.3 and 1.25 ± 0.5 (P &lt; 0.0001 vs. aspirin, not significant vs. placebo). NCX-4016 inhibited AA-induced platelet aggregation as well as serum TXB2and platelet TXB2generation induced by AA to the same extent as aspirin (not significant vs. aspirin). Conclusions: In this study, we have proven the concept that addition of an NO-donating moiety to aspirin results in a new chemical entity that maintains cyclooxygenase-1 and platelet inhibitory activity while nearly avoiding gastrointestinal damage.","author":[{"dropping-particle":"","family":"Fiorucci","given":"Stefano","non-dropping-particle":"","parse-names":false,"suffix":""},{"dropping-particle":"","family":"Santucci","given":"Luca","non-dropping-particle":"","parse-names":false,"suffix":""},{"dropping-particle":"","family":"Gresele","given":"Paolo","non-dropping-particle":"","parse-names":false,"suffix":""},{"dropping-particle":"","family":"Faccino","given":"Roberto Maffei","non-dropping-particle":"","parse-names":false,"suffix":""},{"dropping-particle":"","family":"Soldato","given":"Piero","non-dropping-particle":"Del","parse-names":false,"suffix":""},{"dropping-particle":"","family":"Morelli","given":"Antonio","non-dropping-particle":"","parse-names":false,"suffix":""}],"container-title":"Gastroenterology","id":"ITEM-1","issued":{"date-parts":[["2003"]]},"title":"Gastrointestinal safety of NO-aspirin (NCX-4016) in healthy human volunteers: A proof of concept endoscopic study","type":"article-journal"},"uris":["http://www.mendeley.com/documents/?uuid=5ddd1e12-47e2-4c41-b0f4-0a4088708ec5"]}],"mendeley":{"formattedCitation":"(15)","plainTextFormattedCitation":"(15)","previouslyFormattedCitation":"(15)"},"properties":{"noteIndex":0},"schema":"https://github.com/citation-style-language/schema/raw/master/csl-citation.json"}</w:instrText>
      </w:r>
      <w:r w:rsidR="0044677C"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(15)</w:t>
      </w:r>
      <w:r w:rsidR="0044677C" w:rsidRPr="00E15289">
        <w:rPr>
          <w:rFonts w:ascii="Arial" w:hAnsi="Arial"/>
          <w:color w:val="auto"/>
          <w:sz w:val="24"/>
          <w:szCs w:val="24"/>
          <w:lang w:val="en-GB"/>
        </w:rPr>
        <w:fldChar w:fldCharType="end"/>
      </w:r>
      <w:r w:rsidRPr="00E15289">
        <w:rPr>
          <w:rFonts w:ascii="Arial" w:hAnsi="Arial"/>
          <w:color w:val="auto"/>
          <w:sz w:val="24"/>
          <w:szCs w:val="24"/>
          <w:lang w:val="en-GB"/>
        </w:rPr>
        <w:t>. Thus</w:t>
      </w:r>
      <w:r w:rsidR="00976AB4" w:rsidRPr="00E15289">
        <w:rPr>
          <w:rFonts w:ascii="Arial" w:hAnsi="Arial"/>
          <w:color w:val="auto"/>
          <w:sz w:val="24"/>
          <w:szCs w:val="24"/>
          <w:lang w:val="en-GB"/>
        </w:rPr>
        <w:t>,</w:t>
      </w:r>
      <w:r w:rsidRPr="00E15289">
        <w:rPr>
          <w:rFonts w:ascii="Arial" w:hAnsi="Arial"/>
          <w:color w:val="auto"/>
          <w:sz w:val="24"/>
          <w:szCs w:val="24"/>
          <w:lang w:val="en-GB"/>
        </w:rPr>
        <w:t xml:space="preserve"> NO-NSAIDs combine the anti-proliferative effects of NSAIDs with the gastric protection and potential </w:t>
      </w:r>
      <w:r w:rsidR="00860391" w:rsidRPr="00E15289">
        <w:rPr>
          <w:rFonts w:ascii="Arial" w:hAnsi="Arial"/>
          <w:color w:val="auto"/>
          <w:sz w:val="24"/>
          <w:szCs w:val="24"/>
          <w:lang w:val="en-GB"/>
        </w:rPr>
        <w:t>tumoricidal</w:t>
      </w:r>
      <w:r w:rsidRPr="00E15289">
        <w:rPr>
          <w:rFonts w:ascii="Arial" w:hAnsi="Arial"/>
          <w:color w:val="auto"/>
          <w:sz w:val="24"/>
          <w:szCs w:val="24"/>
          <w:lang w:val="en-GB"/>
        </w:rPr>
        <w:t xml:space="preserve"> effects of NO </w:t>
      </w:r>
      <w:r w:rsidR="0044677C"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{"citationItems":[{"id":"ITEM-1","itemData":{"DOI":"10.1016/S0065-230X(01)82004-2","ISSN":"0065230X","abstract":"Nitric oxide (NO), an important molecule involved in neurotransmission, vascular homeostasis, immune regulation, and host defense, is generated from a guanido nitrogen of L-arginine by the family of NO synthase enzymes. Large amounts of NO produced for relatively long periods of time (days to weeks) by inducible NO synthase in macrophages and vascular endothelial cells after challenge with lipopolysaccharide or cytokines (such as interferons, tumor necrosis factor-α, and interleukin-1), are cytotoxic for various pathogenes and tumor cells. This cytotoxic effect against tumor cells was found to be associated with apoptosis (programmed cell death). The mechanism of NO-mediated apoptosis involves accumulation of the tumor suppressor protein p53, damage of different mitochondrial functions, alterations in the expression of members of the Bcl-2 family, activation of the caspase cascade, and DNA fragmentation. Depending on the amount, duration, and the site of NO production, this molecule may not only mediate apoptosis in target cells but also protect cells from apoptotis induced by other apoptotic stimuli. In this review, we will concentrate on the current knowledge about the role of NO as an effector of apoptosis in tumor cells and discuss the mechanisms of NO-mediated apoptosis.","author":[{"dropping-particle":"","family":"Umansky","given":"Victor","non-dropping-particle":"","parse-names":false,"suffix":""},{"dropping-particle":"","family":"Schirrmacher","given":"Volker","non-dropping-particle":"","parse-names":false,"suffix":""}],"container-title":"Advances in Cancer Research","id":"ITEM-1","issued":{"date-parts":[["2001"]]},"title":"Nitric oxide-induced apoptosis in tumor cells","type":"article"},"uris":["http://www.mendeley.com/documents/?uuid=1ceaff72-8174-4387-8c04-2bc6523be175"]}],"mendeley":{"formattedCitation":"(16)","plainTextFormattedCitation":"(16)","previouslyFormattedCitation":"(16)"},"properties":{"noteIndex":0},"schema":"https://github.com/citation-style-language/schema/raw/master/csl-citation.json"}</w:instrText>
      </w:r>
      <w:r w:rsidR="0044677C"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(16)</w:t>
      </w:r>
      <w:r w:rsidR="0044677C" w:rsidRPr="00E15289">
        <w:rPr>
          <w:rFonts w:ascii="Arial" w:hAnsi="Arial"/>
          <w:color w:val="auto"/>
          <w:sz w:val="24"/>
          <w:szCs w:val="24"/>
          <w:lang w:val="en-GB"/>
        </w:rPr>
        <w:fldChar w:fldCharType="end"/>
      </w:r>
      <w:r w:rsidRPr="00E15289">
        <w:rPr>
          <w:rFonts w:ascii="Arial" w:hAnsi="Arial"/>
          <w:color w:val="auto"/>
          <w:sz w:val="24"/>
          <w:szCs w:val="24"/>
          <w:lang w:val="en-GB"/>
        </w:rPr>
        <w:t xml:space="preserve">. </w:t>
      </w:r>
      <w:r w:rsidR="0079263F" w:rsidRPr="00E15289">
        <w:rPr>
          <w:rFonts w:ascii="Arial" w:hAnsi="Arial"/>
          <w:color w:val="auto"/>
          <w:sz w:val="24"/>
          <w:szCs w:val="24"/>
          <w:lang w:val="en-GB"/>
        </w:rPr>
        <w:t>W</w:t>
      </w:r>
      <w:r w:rsidRPr="00E15289">
        <w:rPr>
          <w:rFonts w:ascii="Arial" w:hAnsi="Arial"/>
          <w:color w:val="auto"/>
          <w:sz w:val="24"/>
          <w:szCs w:val="24"/>
          <w:lang w:val="en-GB"/>
        </w:rPr>
        <w:t xml:space="preserve">e have </w:t>
      </w:r>
      <w:r w:rsidR="0079263F" w:rsidRPr="00E15289">
        <w:rPr>
          <w:rFonts w:ascii="Arial" w:hAnsi="Arial"/>
          <w:color w:val="auto"/>
          <w:sz w:val="24"/>
          <w:szCs w:val="24"/>
          <w:lang w:val="en-GB"/>
        </w:rPr>
        <w:t xml:space="preserve">previously </w:t>
      </w:r>
      <w:r w:rsidRPr="00E15289">
        <w:rPr>
          <w:rFonts w:ascii="Arial" w:hAnsi="Arial"/>
          <w:color w:val="auto"/>
          <w:sz w:val="24"/>
          <w:szCs w:val="24"/>
          <w:lang w:val="en-GB"/>
        </w:rPr>
        <w:t xml:space="preserve">demonstrated that the NO-NSAID </w:t>
      </w:r>
      <w:r w:rsidR="007C29FD" w:rsidRPr="00E15289">
        <w:rPr>
          <w:rFonts w:ascii="Arial" w:hAnsi="Arial"/>
          <w:color w:val="auto"/>
          <w:sz w:val="24"/>
          <w:szCs w:val="24"/>
          <w:lang w:val="en-GB"/>
        </w:rPr>
        <w:t>NO-Su</w:t>
      </w:r>
      <w:r w:rsidRPr="00E15289">
        <w:rPr>
          <w:rFonts w:ascii="Arial" w:hAnsi="Arial"/>
          <w:color w:val="auto"/>
          <w:sz w:val="24"/>
          <w:szCs w:val="24"/>
          <w:lang w:val="en-GB"/>
        </w:rPr>
        <w:t>lindac inhibits the hypoxia response in prostate cancer cells</w:t>
      </w:r>
      <w:r w:rsidR="00BD2239" w:rsidRPr="00E15289">
        <w:rPr>
          <w:rFonts w:ascii="Arial" w:hAnsi="Arial"/>
          <w:color w:val="auto"/>
          <w:sz w:val="24"/>
          <w:szCs w:val="24"/>
          <w:lang w:val="en-GB"/>
        </w:rPr>
        <w:t>;</w:t>
      </w:r>
      <w:r w:rsidR="00956116" w:rsidRPr="00E15289">
        <w:rPr>
          <w:rFonts w:ascii="Arial" w:hAnsi="Arial"/>
          <w:color w:val="auto"/>
          <w:sz w:val="24"/>
          <w:szCs w:val="24"/>
          <w:lang w:val="en-GB"/>
        </w:rPr>
        <w:t xml:space="preserve"> </w:t>
      </w:r>
      <w:r w:rsidR="00BD2239" w:rsidRPr="00E15289">
        <w:rPr>
          <w:rFonts w:ascii="Arial" w:hAnsi="Arial"/>
          <w:color w:val="auto"/>
          <w:sz w:val="24"/>
          <w:szCs w:val="24"/>
          <w:lang w:val="en-GB"/>
        </w:rPr>
        <w:t>an</w:t>
      </w:r>
      <w:r w:rsidRPr="00E15289">
        <w:rPr>
          <w:rFonts w:ascii="Arial" w:hAnsi="Arial"/>
          <w:color w:val="auto"/>
          <w:sz w:val="24"/>
          <w:szCs w:val="24"/>
          <w:lang w:val="en-GB"/>
        </w:rPr>
        <w:t xml:space="preserve"> effect at least partially due to a reduction of </w:t>
      </w:r>
      <w:proofErr w:type="spellStart"/>
      <w:r w:rsidRPr="00E15289">
        <w:rPr>
          <w:rFonts w:ascii="Arial" w:hAnsi="Arial"/>
          <w:color w:val="auto"/>
          <w:sz w:val="24"/>
          <w:szCs w:val="24"/>
          <w:lang w:val="en-GB"/>
        </w:rPr>
        <w:t>Akt</w:t>
      </w:r>
      <w:proofErr w:type="spellEnd"/>
      <w:r w:rsidRPr="00E15289">
        <w:rPr>
          <w:rFonts w:ascii="Arial" w:hAnsi="Arial"/>
          <w:color w:val="auto"/>
          <w:sz w:val="24"/>
          <w:szCs w:val="24"/>
          <w:lang w:val="en-GB"/>
        </w:rPr>
        <w:t xml:space="preserve"> phosphorylation and subsequent inhibition of HIF-1α nuclear translocation </w:t>
      </w:r>
      <w:r w:rsidR="00FC65A1"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{"citationItems":[{"id":"ITEM-1","itemData":{"DOI":"10.1002/ijc.23934","ISSN":"00207136","abstract":"Nitric oxide-donating non-steroidal anti-inflammatory drugs are safer than traditional NSAIDs and inhibit the growth of prostate cancer cells with greater potency than NSAIDs. In vivo, prostate cancer deposits are found in a hypoxic environment which induces resistance to chemotherapy. The aim of this study was to assess the effects and mechanism of action of a NO-NSAID called NO-sulindac on the PC-3 prostate cancer cell line under hypoxic conditions. NO-sulindac was found to have pro-apoptotic, cytotoxic, and anti-invasive effect on PC-3 cells under normoxia and hypoxia. NO-sulindac was significantly more cytotoxic than sulindac at all oxygen levels. The sulindac/linker and NO-releasing subunits both contributed to the cytotoxic effects of NO-sulindac. Resistance of PC-3 cells to NO-sulindac was induced as the oxygen concentration declined. Hypoxia-induced chemoresistance was reversed by knocking-down hypoxia-inducible factor-1alpha (HIF-1alpha) mRNA using RNAi. Nuclear HIF-1alpha levels were upregulated at 0.2% oxygen but reduced by treatment with NO-sulindac, as was Akt phosphorylation. NO-sulindac treatment of hypoxic PC-3 cells transfected with a reporter construct, downregulated activation of the hypoxia response element (HRE) promoter. Co-transfection of PC-3 cells with the HRE promoter reporter construct and myr-Akt (constitutively active Akt) plasmids reversed the NO-sulindac induced reduction in HRE activation. Real-time polymerase chain reaction analysis of hypoxic, NO-sulindac treated PC-3 cells showed downregulation of lysyl oxidase and carbonic anhydrase IX mRNA expression. Collectively, these novel findings demonstrate that NO-sulindac directly inhibits the hypoxia response of PC-3 prostate cancer cells by inhibiting HIF-1alpha translation via the Akt signalling pathway. The ability of NO-sulindac to inhibit tumour adaption to hypoxia has considerable relevance to the future management of prostate cancer with the same cellular properties as PC-3.","author":[{"dropping-particle":"","family":"Stewart","given":"Grant D.","non-dropping-particle":"","parse-names":false,"suffix":""},{"dropping-particle":"","family":"Nanda","given":"Jyoti","non-dropping-particle":"","parse-names":false,"suffix":""},{"dropping-particle":"","family":"Brown","given":"David J.G.","non-dropping-particle":"","parse-names":false,"suffix":""},{"dropping-particle":"","family":"Riddick","given":"Antony C.P.","non-dropping-particle":"","parse-names":false,"suffix":""},{"dropping-particle":"","family":"Ross","given":"James A.","non-dropping-particle":"","parse-names":false,"suffix":""},{"dropping-particle":"","family":"Habib","given":"Fouad K.","non-dropping-particle":"","parse-names":false,"suffix":""}],"container-title":"International Journal of Cancer","id":"ITEM-1","issued":{"date-parts":[["2009"]]},"title":"NO-sulindac inhibits the hypoxia response of PC-3 prostate cancer cells via the Akt signalling pathway","type":"article-journal"},"uris":["http://www.mendeley.com/documents/?uuid=ec7a4365-3523-4654-b020-bbca2fa7d351"]}],"mendeley":{"formattedCitation":"(14)","plainTextFormattedCitation":"(14)","previouslyFormattedCitation":"(14)"},"properties":{"noteIndex":0},"schema":"https://github.com/citation-style-language/schema/raw/master/csl-citation.json"}</w:instrText>
      </w:r>
      <w:r w:rsidR="00FC65A1"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(14)</w:t>
      </w:r>
      <w:r w:rsidR="00FC65A1" w:rsidRPr="00E15289">
        <w:rPr>
          <w:rFonts w:ascii="Arial" w:hAnsi="Arial"/>
          <w:color w:val="auto"/>
          <w:sz w:val="24"/>
          <w:szCs w:val="24"/>
          <w:lang w:val="en-GB"/>
        </w:rPr>
        <w:fldChar w:fldCharType="end"/>
      </w:r>
      <w:r w:rsidRPr="00E15289">
        <w:rPr>
          <w:rFonts w:ascii="Arial" w:hAnsi="Arial"/>
          <w:color w:val="auto"/>
          <w:sz w:val="24"/>
          <w:szCs w:val="24"/>
          <w:lang w:val="en-GB"/>
        </w:rPr>
        <w:t xml:space="preserve">. Further studies demonstrated that </w:t>
      </w:r>
      <w:r w:rsidR="007C29FD" w:rsidRPr="00E15289">
        <w:rPr>
          <w:rFonts w:ascii="Arial" w:hAnsi="Arial"/>
          <w:color w:val="auto"/>
          <w:sz w:val="24"/>
          <w:szCs w:val="24"/>
          <w:lang w:val="en-GB"/>
        </w:rPr>
        <w:t>NO-Su</w:t>
      </w:r>
      <w:r w:rsidRPr="00E15289">
        <w:rPr>
          <w:rFonts w:ascii="Arial" w:hAnsi="Arial"/>
          <w:color w:val="auto"/>
          <w:sz w:val="24"/>
          <w:szCs w:val="24"/>
          <w:lang w:val="en-GB"/>
        </w:rPr>
        <w:t xml:space="preserve">lindac treatment also increased single and double strand DNA damage, independently of irradiation, as well as reducing the repair rate of these lesions in </w:t>
      </w:r>
      <w:r w:rsidR="00F65550" w:rsidRPr="00E15289">
        <w:rPr>
          <w:rFonts w:ascii="Arial" w:hAnsi="Arial"/>
          <w:color w:val="auto"/>
          <w:sz w:val="24"/>
          <w:szCs w:val="24"/>
          <w:lang w:val="en-GB"/>
        </w:rPr>
        <w:t>cancer</w:t>
      </w:r>
      <w:r w:rsidRPr="00E15289">
        <w:rPr>
          <w:rFonts w:ascii="Arial" w:hAnsi="Arial"/>
          <w:color w:val="auto"/>
          <w:sz w:val="24"/>
          <w:szCs w:val="24"/>
          <w:lang w:val="en-GB"/>
        </w:rPr>
        <w:t xml:space="preserve"> </w:t>
      </w:r>
      <w:r w:rsidR="00605DF0"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{"citationItems":[{"id":"ITEM-1","itemData":{"DOI":"10.1016/j.bcp.2010.09.022","ISSN":"00062952","abstract":"Prostate cancer cells can exist in a hypoxic microenvironment, causing radioresistance. Nitric oxide (NO) is a radiosensitiser of mammalian cells. NO-NSAIDs are a potential means of delivering NO to prostate cancer cells. This study aimed to determine the effect and mechanism of action of NO-sulindac and radiation, on prostate cancer cells and stroma, under normoxia (21% oxygen) and chronic hypoxia (0.2% oxygen). Using clonogenic assays, at a surviving fraction of 10% the sensitisation enhancement ratios of radiation plus NO-sulindac over radiation alone on PC-3 cells were 1.22 and 1.42 under normoxia and hypoxia, respectively. 3D culture of PC-3 cells revealed significantly reduced sphere diameter in irradiated spheres treated with NO-sulindac. Neither NO-sulindac nor sulindac radiosensitised prostate stromal cells under normoxia or hypoxia. HIF-1α protein levels were reduced by NO-sulindac exposure and radiation at 21 and 0.2% oxygen. Alkaline Comet assay analysis suggested an increased rate of single strand DNA breaks and slower repair of these lesions in PC-3 cells treated with NO-sulindac prior to irradiation. There was a higher level of γ-H2AX production and hence double strand DNA breaks following irradiation of NO-sulindac treated PC-3 cells. At all radiation doses and oxygen levels tested, treatment of 2D and 3D cultures of PC-3 cells with NO-sulindac prior to irradiation radiosensitised PC-3, with minimal effect on stromal cells. Hypoxia response inhibition and increased DNA double strand breaks are potential mechanisms of action. Neoadjuvent and concurrent use of NO-NSAIDs have the potential to improve radiotherapy treatment of prostate cancer under normoxia and hypoxia. © 2010 Elsevier Inc. All rights reserved.","author":[{"dropping-particle":"","family":"Stewart","given":"Grant D.","non-dropping-particle":"","parse-names":false,"suffix":""},{"dropping-particle":"","family":"Nanda","given":"Jyoti","non-dropping-particle":"","parse-names":false,"suffix":""},{"dropping-particle":"","family":"Katz","given":"Elad","non-dropping-particle":"","parse-names":false,"suffix":""},{"dropping-particle":"","family":"Bowman","given":"Karen J.","non-dropping-particle":"","parse-names":false,"suffix":""},{"dropping-particle":"","family":"Christie","given":"Jill G.","non-dropping-particle":"","parse-names":false,"suffix":""},{"dropping-particle":"","family":"Brown","given":"D. J.Gordon","non-dropping-particle":"","parse-names":false,"suffix":""},{"dropping-particle":"","family":"McLaren","given":"Duncan B.","non-dropping-particle":"","parse-names":false,"suffix":""},{"dropping-particle":"","family":"Riddick","given":"Antony C.P.","non-dropping-particle":"","parse-names":false,"suffix":""},{"dropping-particle":"","family":"Ross","given":"James A.","non-dropping-particle":"","parse-names":false,"suffix":""},{"dropping-particle":"","family":"Jones","given":"George D.D.","non-dropping-particle":"","parse-names":false,"suffix":""},{"dropping-particle":"","family":"Habib","given":"Fouad K.","non-dropping-particle":"","parse-names":false,"suffix":""}],"container-title":"Biochemical Pharmacology","id":"ITEM-1","issued":{"date-parts":[["2011"]]},"title":"DNA strand breaks and hypoxia response inhibition mediate the radiosensitisation effect of nitric oxide donors on prostate cancer under varying oxygen conditions","type":"article-journal"},"uris":["http://www.mendeley.com/documents/?uuid=f93e57d2-01bf-4c81-bd98-3c15f31310fc"]}],"mendeley":{"formattedCitation":"(17)","plainTextFormattedCitation":"(17)","previouslyFormattedCitation":"(17)"},"properties":{"noteIndex":0},"schema":"https://github.com/citation-style-language/schema/raw/master/csl-citation.json"}</w:instrText>
      </w:r>
      <w:r w:rsidR="00605DF0"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(17)</w:t>
      </w:r>
      <w:r w:rsidR="00605DF0" w:rsidRPr="00E15289">
        <w:rPr>
          <w:rFonts w:ascii="Arial" w:hAnsi="Arial"/>
          <w:color w:val="auto"/>
          <w:sz w:val="24"/>
          <w:szCs w:val="24"/>
          <w:lang w:val="en-GB"/>
        </w:rPr>
        <w:fldChar w:fldCharType="end"/>
      </w:r>
      <w:r w:rsidRPr="00E15289">
        <w:rPr>
          <w:rFonts w:ascii="Arial" w:hAnsi="Arial"/>
          <w:color w:val="auto"/>
          <w:sz w:val="24"/>
          <w:szCs w:val="24"/>
          <w:lang w:val="en-GB"/>
        </w:rPr>
        <w:t>. Notably</w:t>
      </w:r>
      <w:r w:rsidR="0045581E" w:rsidRPr="00E15289">
        <w:rPr>
          <w:rFonts w:ascii="Arial" w:hAnsi="Arial"/>
          <w:color w:val="auto"/>
          <w:sz w:val="24"/>
          <w:szCs w:val="24"/>
          <w:lang w:val="en-GB"/>
        </w:rPr>
        <w:t>,</w:t>
      </w:r>
      <w:r w:rsidRPr="00E15289">
        <w:rPr>
          <w:rFonts w:ascii="Arial" w:hAnsi="Arial"/>
          <w:color w:val="auto"/>
          <w:sz w:val="24"/>
          <w:szCs w:val="24"/>
          <w:lang w:val="en-GB"/>
        </w:rPr>
        <w:t xml:space="preserve"> there were no tangible effects reported for prostate stromal cells </w:t>
      </w:r>
      <w:r w:rsidRPr="00E15289">
        <w:rPr>
          <w:rFonts w:ascii="Arial" w:hAnsi="Arial"/>
          <w:i/>
          <w:iCs/>
          <w:color w:val="auto"/>
          <w:sz w:val="24"/>
          <w:szCs w:val="24"/>
          <w:lang w:val="en-GB"/>
        </w:rPr>
        <w:t>in vitro</w:t>
      </w:r>
      <w:r w:rsidRPr="00E15289">
        <w:rPr>
          <w:rFonts w:ascii="Arial" w:hAnsi="Arial"/>
          <w:color w:val="auto"/>
          <w:sz w:val="24"/>
          <w:szCs w:val="24"/>
          <w:lang w:val="en-GB"/>
        </w:rPr>
        <w:t xml:space="preserve">, under both </w:t>
      </w:r>
      <w:proofErr w:type="spellStart"/>
      <w:r w:rsidRPr="00E15289">
        <w:rPr>
          <w:rFonts w:ascii="Arial" w:hAnsi="Arial"/>
          <w:color w:val="auto"/>
          <w:sz w:val="24"/>
          <w:szCs w:val="24"/>
          <w:lang w:val="en-GB"/>
        </w:rPr>
        <w:t>normoxic</w:t>
      </w:r>
      <w:proofErr w:type="spellEnd"/>
      <w:r w:rsidRPr="00E15289">
        <w:rPr>
          <w:rFonts w:ascii="Arial" w:hAnsi="Arial"/>
          <w:color w:val="auto"/>
          <w:sz w:val="24"/>
          <w:szCs w:val="24"/>
          <w:lang w:val="en-GB"/>
        </w:rPr>
        <w:t xml:space="preserve"> and hypoxic conditions</w:t>
      </w:r>
      <w:r w:rsidR="00605DF0" w:rsidRPr="00E15289">
        <w:rPr>
          <w:rFonts w:ascii="Arial" w:hAnsi="Arial"/>
          <w:color w:val="auto"/>
          <w:sz w:val="24"/>
          <w:szCs w:val="24"/>
          <w:lang w:val="en-GB"/>
        </w:rPr>
        <w:t xml:space="preserve"> </w:t>
      </w:r>
      <w:r w:rsidR="00605DF0" w:rsidRPr="00E15289">
        <w:rPr>
          <w:rFonts w:ascii="Arial" w:hAnsi="Arial"/>
          <w:color w:val="auto"/>
          <w:sz w:val="24"/>
          <w:szCs w:val="24"/>
          <w:lang w:val="en-GB"/>
        </w:rPr>
        <w:fldChar w:fldCharType="begin" w:fldLock="1"/>
      </w:r>
      <w:r w:rsidR="00576812" w:rsidRPr="00E15289">
        <w:rPr>
          <w:rFonts w:ascii="Arial" w:hAnsi="Arial"/>
          <w:color w:val="auto"/>
          <w:sz w:val="24"/>
          <w:szCs w:val="24"/>
          <w:lang w:val="en-GB"/>
        </w:rPr>
        <w:instrText>ADDIN CSL_CITATION {"citationItems":[{"id":"ITEM-1","itemData":{"DOI":"10.1016/j.bcp.2010.09.022","ISSN":"00062952","abstract":"Prostate cancer cells can exist in a hypoxic microenvironment, causing radioresistance. Nitric oxide (NO) is a radiosensitiser of mammalian cells. NO-NSAIDs are a potential means of delivering NO to prostate cancer cells. This study aimed to determine the effect and mechanism of action of NO-sulindac and radiation, on prostate cancer cells and stroma, under normoxia (21% oxygen) and chronic hypoxia (0.2% oxygen). Using clonogenic assays, at a surviving fraction of 10% the sensitisation enhancement ratios of radiation plus NO-sulindac over radiation alone on PC-3 cells were 1.22 and 1.42 under normoxia and hypoxia, respectively. 3D culture of PC-3 cells revealed significantly reduced sphere diameter in irradiated spheres treated with NO-sulindac. Neither NO-sulindac nor sulindac radiosensitised prostate stromal cells under normoxia or hypoxia. HIF-1α protein levels were reduced by NO-sulindac exposure and radiation at 21 and 0.2% oxygen. Alkaline Comet assay analysis suggested an increased rate of single strand DNA breaks and slower repair of these lesions in PC-3 cells treated with NO-sulindac prior to irradiation. There was a higher level of γ-H2AX production and hence double strand DNA breaks following irradiation of NO-sulindac treated PC-3 cells. At all radiation doses and oxygen levels tested, treatment of 2D and 3D cultures of PC-3 cells with NO-sulindac prior to irradiation radiosensitised PC-3, with minimal effect on stromal cells. Hypoxia response inhibition and increased DNA double strand breaks are potential mechanisms of action. Neoadjuvent and concurrent use of NO-NSAIDs have the potential to improve radiotherapy treatment of prostate cancer under normoxia and hypoxia. © 2010 Elsevier Inc. All rights reserved.","author":[{"dropping-particle":"","family":"Stewart","given":"Grant D.","non-dropping-particle":"","parse-names":false,"suffix":""},{"dropping-particle":"","family":"Nanda","given":"Jyoti","non-dropping-particle":"","parse-names":false,"suffix":""},{"dropping-particle":"","family":"Katz","given":"Elad","non-dropping-particle":"","parse-names":false,"suffix":""},{"dropping-particle":"","family":"Bowman","given":"Karen J.","non-dropping-particle":"","parse-names":false,"suffix":""},{"dropping-particle":"","family":"Christie","given":"Jill G.","non-dropping-particle":"","parse-names":false,"suffix":""},{"dropping-particle":"","family":"Brown","given":"D. J.Gordon","non-dropping-particle":"","parse-names":false,"suffix":""},{"dropping-particle":"","family":"McLaren","given":"Duncan B.","non-dropping-particle":"","parse-names":false,"suffix":""},{"dropping-particle":"","family":"Riddick","given":"Antony C.P.","non-dropping-particle":"","parse-names":false,"suffix":""},{"dropping-particle":"","family":"Ross","given":"James A.","non-dropping-particle":"","parse-names":false,"suffix":""},{"dropping-particle":"","family":"Jones","given":"George D.D.","non-dropping-particle":"","parse-names":false,"suffix":""},{"dropping-particle":"","family":"Habib","given":"Fouad K.","non-dropping-particle":"","parse-names":false,"suffix":""}],"container-title":"Biochemical Pharmacology","id":"ITEM-1","issued":{"date-parts":[["2011"]]},"title":"DNA strand breaks and hypoxia response inhibition mediate the radiosensitisation effect of nitric oxide donors on prostate cancer under varying oxygen conditions","type":"article-journal"},"uris":["http://www.mendeley.com/documents/?uuid=f93e57d2-01bf-4c81-bd98-3c15f31310fc"]}],"mendeley":{"formattedCitation":"(17)","plainTextFormattedCitation":"(17)","previouslyFormattedCitation":"(17)"},"properties":{"noteIndex":0},"schema":"https://github.com/citation-style-language/schema/raw/master/csl-citation.json"}</w:instrText>
      </w:r>
      <w:r w:rsidR="00605DF0" w:rsidRPr="00E15289">
        <w:rPr>
          <w:rFonts w:ascii="Arial" w:hAnsi="Arial"/>
          <w:color w:val="auto"/>
          <w:sz w:val="24"/>
          <w:szCs w:val="24"/>
          <w:lang w:val="en-GB"/>
        </w:rPr>
        <w:fldChar w:fldCharType="separate"/>
      </w:r>
      <w:r w:rsidR="000B550B" w:rsidRPr="00E15289">
        <w:rPr>
          <w:rFonts w:ascii="Arial" w:hAnsi="Arial"/>
          <w:noProof/>
          <w:color w:val="auto"/>
          <w:sz w:val="24"/>
          <w:szCs w:val="24"/>
          <w:lang w:val="en-GB"/>
        </w:rPr>
        <w:t>(17)</w:t>
      </w:r>
      <w:r w:rsidR="00605DF0" w:rsidRPr="00E15289">
        <w:rPr>
          <w:rFonts w:ascii="Arial" w:hAnsi="Arial"/>
          <w:color w:val="auto"/>
          <w:sz w:val="24"/>
          <w:szCs w:val="24"/>
          <w:lang w:val="en-GB"/>
        </w:rPr>
        <w:fldChar w:fldCharType="end"/>
      </w:r>
      <w:r w:rsidRPr="00E15289">
        <w:rPr>
          <w:rFonts w:ascii="Arial" w:hAnsi="Arial"/>
          <w:color w:val="auto"/>
          <w:sz w:val="24"/>
          <w:szCs w:val="24"/>
          <w:lang w:val="en-GB"/>
        </w:rPr>
        <w:t>.</w:t>
      </w:r>
    </w:p>
    <w:p w14:paraId="2D994578" w14:textId="040C83EE" w:rsidR="00A3158D" w:rsidRPr="00E15289" w:rsidRDefault="0038437A" w:rsidP="00A82711">
      <w:pPr>
        <w:pStyle w:val="Default"/>
        <w:spacing w:afterLines="80" w:after="192" w:line="400" w:lineRule="exact"/>
        <w:jc w:val="both"/>
        <w:rPr>
          <w:rFonts w:ascii="Arial" w:hAnsi="Arial"/>
          <w:color w:val="auto"/>
          <w:sz w:val="24"/>
          <w:szCs w:val="24"/>
          <w:lang w:val="en-GB"/>
        </w:rPr>
      </w:pPr>
      <w:r w:rsidRPr="00E15289">
        <w:rPr>
          <w:rFonts w:ascii="Arial" w:hAnsi="Arial"/>
          <w:color w:val="auto"/>
          <w:sz w:val="24"/>
          <w:szCs w:val="24"/>
          <w:lang w:val="en-GB"/>
        </w:rPr>
        <w:lastRenderedPageBreak/>
        <w:t>Given the multiplicity of potential mechanisms for HIF-1α inhibition and the resultant alterations in protein expression</w:t>
      </w:r>
      <w:r w:rsidR="003216B1" w:rsidRPr="00E15289">
        <w:rPr>
          <w:rFonts w:ascii="Arial" w:hAnsi="Arial"/>
          <w:color w:val="auto"/>
          <w:sz w:val="24"/>
          <w:szCs w:val="24"/>
          <w:lang w:val="en-GB"/>
        </w:rPr>
        <w:t>,</w:t>
      </w:r>
      <w:r w:rsidRPr="00E15289">
        <w:rPr>
          <w:rFonts w:ascii="Arial" w:hAnsi="Arial"/>
          <w:color w:val="auto"/>
          <w:sz w:val="24"/>
          <w:szCs w:val="24"/>
          <w:lang w:val="en-GB"/>
        </w:rPr>
        <w:t xml:space="preserve"> we undertook a proteomic study to examine global changes in protein expression in both </w:t>
      </w:r>
      <w:proofErr w:type="spellStart"/>
      <w:r w:rsidRPr="00E15289">
        <w:rPr>
          <w:rFonts w:ascii="Arial" w:hAnsi="Arial"/>
          <w:color w:val="auto"/>
          <w:sz w:val="24"/>
          <w:szCs w:val="24"/>
          <w:lang w:val="en-GB"/>
        </w:rPr>
        <w:t>normoxic</w:t>
      </w:r>
      <w:proofErr w:type="spellEnd"/>
      <w:r w:rsidRPr="00E15289">
        <w:rPr>
          <w:rFonts w:ascii="Arial" w:hAnsi="Arial"/>
          <w:color w:val="auto"/>
          <w:sz w:val="24"/>
          <w:szCs w:val="24"/>
          <w:lang w:val="en-GB"/>
        </w:rPr>
        <w:t xml:space="preserve"> and hypoxic PC-3 prostate cancer cells. </w:t>
      </w:r>
      <w:r w:rsidR="00A82711" w:rsidRPr="00E15289">
        <w:rPr>
          <w:rFonts w:ascii="Arial" w:hAnsi="Arial"/>
          <w:color w:val="auto"/>
          <w:sz w:val="24"/>
          <w:szCs w:val="24"/>
          <w:lang w:val="en-GB"/>
        </w:rPr>
        <w:t xml:space="preserve"> </w:t>
      </w:r>
      <w:r w:rsidR="003216B1" w:rsidRPr="00E15289">
        <w:rPr>
          <w:rFonts w:ascii="Arial" w:hAnsi="Arial"/>
          <w:color w:val="auto"/>
          <w:sz w:val="24"/>
          <w:szCs w:val="24"/>
          <w:lang w:val="en-GB"/>
        </w:rPr>
        <w:t>The</w:t>
      </w:r>
      <w:r w:rsidR="00011944" w:rsidRPr="00E15289">
        <w:rPr>
          <w:rFonts w:ascii="Arial" w:hAnsi="Arial"/>
          <w:color w:val="auto"/>
          <w:sz w:val="24"/>
          <w:szCs w:val="24"/>
          <w:lang w:val="en-GB"/>
        </w:rPr>
        <w:t xml:space="preserve"> </w:t>
      </w:r>
      <w:r w:rsidR="00A82711" w:rsidRPr="00E15289">
        <w:rPr>
          <w:rFonts w:ascii="Arial" w:hAnsi="Arial"/>
          <w:color w:val="auto"/>
          <w:sz w:val="24"/>
          <w:szCs w:val="24"/>
          <w:lang w:val="en-GB"/>
        </w:rPr>
        <w:t>potential</w:t>
      </w:r>
      <w:r w:rsidR="00CC2B89" w:rsidRPr="00E15289">
        <w:rPr>
          <w:rFonts w:ascii="Arial" w:hAnsi="Arial"/>
          <w:color w:val="auto"/>
          <w:sz w:val="24"/>
          <w:szCs w:val="24"/>
          <w:lang w:val="en-GB"/>
        </w:rPr>
        <w:t xml:space="preserve"> </w:t>
      </w:r>
      <w:r w:rsidR="00A43A3C" w:rsidRPr="00E15289">
        <w:rPr>
          <w:rFonts w:ascii="Arial" w:hAnsi="Arial"/>
          <w:color w:val="auto"/>
          <w:sz w:val="24"/>
          <w:szCs w:val="24"/>
          <w:lang w:val="en-GB"/>
        </w:rPr>
        <w:t xml:space="preserve">use </w:t>
      </w:r>
      <w:r w:rsidR="00CC2B89" w:rsidRPr="00E15289">
        <w:rPr>
          <w:rFonts w:ascii="Arial" w:hAnsi="Arial"/>
          <w:color w:val="auto"/>
          <w:sz w:val="24"/>
          <w:szCs w:val="24"/>
          <w:lang w:val="en-GB"/>
        </w:rPr>
        <w:t>of</w:t>
      </w:r>
      <w:r w:rsidR="00A82711" w:rsidRPr="00E15289">
        <w:rPr>
          <w:rFonts w:ascii="Arial" w:hAnsi="Arial"/>
          <w:color w:val="auto"/>
          <w:sz w:val="24"/>
          <w:szCs w:val="24"/>
          <w:lang w:val="en-GB"/>
        </w:rPr>
        <w:t xml:space="preserve"> tissue or fluid </w:t>
      </w:r>
      <w:r w:rsidR="003216B1" w:rsidRPr="00E15289">
        <w:rPr>
          <w:rFonts w:ascii="Arial" w:hAnsi="Arial"/>
          <w:color w:val="auto"/>
          <w:sz w:val="24"/>
          <w:szCs w:val="24"/>
          <w:lang w:val="en-GB"/>
        </w:rPr>
        <w:t xml:space="preserve">proteomic </w:t>
      </w:r>
      <w:r w:rsidR="00A82711" w:rsidRPr="00E15289">
        <w:rPr>
          <w:rFonts w:ascii="Arial" w:hAnsi="Arial"/>
          <w:color w:val="auto"/>
          <w:sz w:val="24"/>
          <w:szCs w:val="24"/>
          <w:lang w:val="en-GB"/>
        </w:rPr>
        <w:t xml:space="preserve">biomarkers </w:t>
      </w:r>
      <w:r w:rsidR="003216B1" w:rsidRPr="00E15289">
        <w:rPr>
          <w:rFonts w:ascii="Arial" w:hAnsi="Arial"/>
          <w:color w:val="auto"/>
          <w:sz w:val="24"/>
          <w:szCs w:val="24"/>
          <w:lang w:val="en-GB"/>
        </w:rPr>
        <w:t xml:space="preserve">in clinical tests and </w:t>
      </w:r>
      <w:r w:rsidR="00011944" w:rsidRPr="00E15289">
        <w:rPr>
          <w:rFonts w:ascii="Arial" w:hAnsi="Arial"/>
          <w:color w:val="auto"/>
          <w:sz w:val="24"/>
          <w:szCs w:val="24"/>
          <w:lang w:val="en-GB"/>
        </w:rPr>
        <w:t xml:space="preserve">for </w:t>
      </w:r>
      <w:r w:rsidR="003216B1" w:rsidRPr="00E15289">
        <w:rPr>
          <w:rFonts w:ascii="Arial" w:hAnsi="Arial"/>
          <w:color w:val="auto"/>
          <w:sz w:val="24"/>
          <w:szCs w:val="24"/>
          <w:lang w:val="en-GB"/>
        </w:rPr>
        <w:t xml:space="preserve">diagnostics </w:t>
      </w:r>
      <w:r w:rsidR="00A43A3C" w:rsidRPr="00E15289">
        <w:rPr>
          <w:rFonts w:ascii="Arial" w:hAnsi="Arial"/>
          <w:color w:val="auto"/>
          <w:sz w:val="24"/>
          <w:szCs w:val="24"/>
          <w:lang w:val="en-GB"/>
        </w:rPr>
        <w:t>w</w:t>
      </w:r>
      <w:r w:rsidR="003216B1" w:rsidRPr="00E15289">
        <w:rPr>
          <w:rFonts w:ascii="Arial" w:hAnsi="Arial"/>
          <w:color w:val="auto"/>
          <w:sz w:val="24"/>
          <w:szCs w:val="24"/>
          <w:lang w:val="en-GB"/>
        </w:rPr>
        <w:t xml:space="preserve">as recently highlighted by </w:t>
      </w:r>
      <w:proofErr w:type="spellStart"/>
      <w:r w:rsidR="003216B1" w:rsidRPr="00E15289">
        <w:rPr>
          <w:rFonts w:ascii="Arial" w:hAnsi="Arial"/>
          <w:color w:val="auto"/>
          <w:sz w:val="24"/>
          <w:szCs w:val="24"/>
          <w:lang w:val="en-GB"/>
        </w:rPr>
        <w:t>Tanase</w:t>
      </w:r>
      <w:proofErr w:type="spellEnd"/>
      <w:r w:rsidR="003216B1" w:rsidRPr="00E15289">
        <w:rPr>
          <w:rFonts w:ascii="Arial" w:hAnsi="Arial"/>
          <w:color w:val="auto"/>
          <w:sz w:val="24"/>
          <w:szCs w:val="24"/>
          <w:lang w:val="en-GB"/>
        </w:rPr>
        <w:t xml:space="preserve"> </w:t>
      </w:r>
      <w:r w:rsidR="003216B1" w:rsidRPr="00E15289">
        <w:rPr>
          <w:rFonts w:ascii="Arial" w:hAnsi="Arial"/>
          <w:i/>
          <w:color w:val="auto"/>
          <w:sz w:val="24"/>
          <w:szCs w:val="24"/>
          <w:lang w:val="en-GB"/>
        </w:rPr>
        <w:t>et al.</w:t>
      </w:r>
      <w:r w:rsidR="003216B1" w:rsidRPr="00E15289">
        <w:rPr>
          <w:rFonts w:ascii="Arial" w:hAnsi="Arial"/>
          <w:color w:val="auto"/>
          <w:sz w:val="24"/>
          <w:szCs w:val="24"/>
          <w:lang w:val="en-GB"/>
        </w:rPr>
        <w:t xml:space="preserve"> </w:t>
      </w:r>
      <w:r w:rsidR="003216B1" w:rsidRPr="00E15289">
        <w:rPr>
          <w:rFonts w:ascii="Arial" w:hAnsi="Arial"/>
          <w:color w:val="auto"/>
          <w:sz w:val="24"/>
          <w:szCs w:val="24"/>
          <w:lang w:val="en-GB"/>
        </w:rPr>
        <w:fldChar w:fldCharType="begin" w:fldLock="1"/>
      </w:r>
      <w:r w:rsidR="003216B1" w:rsidRPr="00E15289">
        <w:rPr>
          <w:rFonts w:ascii="Arial" w:hAnsi="Arial"/>
          <w:color w:val="auto"/>
          <w:sz w:val="24"/>
          <w:szCs w:val="24"/>
          <w:lang w:val="en-GB"/>
        </w:rPr>
        <w:instrText>ADDIN CSL_CITATION {"citationItems":[{"id":"ITEM-1","itemData":{"DOI":"10.18632/oncotarget.14501","ISSN":"1949-2553","abstract":"The clinical and fundamental research in prostate cancer - the most common urological cancer in men - is currently entering the proteomic and genomic era. The focus has switched from one single marker (PSA) to panels of biomarkers (including proteins involved in ribosomal function and heat shock proteins). Novel genetic markers (such as Transmembrane protease serine 2 (TMPRSS2)-ERG fusion gene mRNA) or prostate cancer gene 3 (PCA3) had already entered the clinical practice, raising the question whether subsequent protein changes impact the evolution of the disease and the response to treatment. Proteomic technologies such as MALDI-MS, SELDI-MS, i-TRAQ allow a qualitative/quantitative analysis of the proteome variations, in both serum and tumor tissue. A new trend in prostate cancer research is proteomic analysis of prostasomes (prostate-specific exosomes), for the discovery of new biomarkers. This paper provides an update of novel clinical tests used in research and clinical diagnostic, as well as of potential tissue or fluid biomarkers provided by extensive proteomic research data.","author":[{"dropping-particle":"","family":"Tanase","given":"Cristiana Pistol","non-dropping-particle":"","parse-names":false,"suffix":""},{"dropping-particle":"","family":"Codrici","given":"Elena","non-dropping-particle":"","parse-names":false,"suffix":""},{"dropping-particle":"","family":"Popescu","given":"Ionela Daniela","non-dropping-particle":"","parse-names":false,"suffix":""},{"dropping-particle":"","family":"Mihai","given":"Simona","non-dropping-particle":"","parse-names":false,"suffix":""},{"dropping-particle":"","family":"Enciu","given":"Ana-Maria","non-dropping-particle":"","parse-names":false,"suffix":""},{"dropping-particle":"","family":"Necula","given":"Laura Georgiana","non-dropping-particle":"","parse-names":false,"suffix":""},{"dropping-particle":"","family":"Preda","given":"Adrian","non-dropping-particle":"","parse-names":false,"suffix":""},{"dropping-particle":"","family":"Ismail","given":"Gener","non-dropping-particle":"","parse-names":false,"suffix":""},{"dropping-particle":"","family":"Albulescu","given":"Radu","non-dropping-particle":"","parse-names":false,"suffix":""}],"container-title":"Oncotarget","id":"ITEM-1","issue":"11","issued":{"date-parts":[["2017","3","14"]]},"language":"eng","page":"18497-18512","publisher":"Impact Journals LLC","title":"Prostate cancer proteomics: Current trends and future perspectives for biomarker discovery","type":"article-journal","volume":"8"},"uris":["http://www.mendeley.com/documents/?uuid=e0cb3d62-5f59-410b-80a8-04b2b83269e0"]}],"mendeley":{"formattedCitation":"(18)","plainTextFormattedCitation":"(18)","previouslyFormattedCitation":"(18)"},"properties":{"noteIndex":0},"schema":"https://github.com/citation-style-language/schema/raw/master/csl-citation.json"}</w:instrText>
      </w:r>
      <w:r w:rsidR="003216B1" w:rsidRPr="00E15289">
        <w:rPr>
          <w:rFonts w:ascii="Arial" w:hAnsi="Arial"/>
          <w:color w:val="auto"/>
          <w:sz w:val="24"/>
          <w:szCs w:val="24"/>
          <w:lang w:val="en-GB"/>
        </w:rPr>
        <w:fldChar w:fldCharType="separate"/>
      </w:r>
      <w:r w:rsidR="003216B1" w:rsidRPr="00E15289">
        <w:rPr>
          <w:rFonts w:ascii="Arial" w:hAnsi="Arial"/>
          <w:noProof/>
          <w:color w:val="auto"/>
          <w:sz w:val="24"/>
          <w:szCs w:val="24"/>
          <w:lang w:val="en-GB"/>
        </w:rPr>
        <w:t>(18)</w:t>
      </w:r>
      <w:r w:rsidR="003216B1" w:rsidRPr="00E15289">
        <w:rPr>
          <w:rFonts w:ascii="Arial" w:hAnsi="Arial"/>
          <w:color w:val="auto"/>
          <w:sz w:val="24"/>
          <w:szCs w:val="24"/>
          <w:lang w:val="en-GB"/>
        </w:rPr>
        <w:fldChar w:fldCharType="end"/>
      </w:r>
      <w:r w:rsidR="003216B1" w:rsidRPr="00E15289">
        <w:rPr>
          <w:rFonts w:ascii="Arial" w:hAnsi="Arial"/>
          <w:color w:val="auto"/>
          <w:sz w:val="24"/>
          <w:szCs w:val="24"/>
          <w:lang w:val="en-GB"/>
        </w:rPr>
        <w:t>.</w:t>
      </w:r>
      <w:r w:rsidR="00A82711" w:rsidRPr="00E15289">
        <w:rPr>
          <w:rFonts w:ascii="Arial" w:hAnsi="Arial"/>
          <w:color w:val="auto"/>
          <w:sz w:val="24"/>
          <w:szCs w:val="24"/>
          <w:lang w:val="en-GB"/>
        </w:rPr>
        <w:t xml:space="preserve"> </w:t>
      </w:r>
      <w:r w:rsidRPr="00E15289">
        <w:rPr>
          <w:rFonts w:ascii="Arial" w:hAnsi="Arial"/>
          <w:color w:val="auto"/>
          <w:sz w:val="24"/>
          <w:szCs w:val="24"/>
          <w:lang w:val="en-GB"/>
        </w:rPr>
        <w:t>Here, using ion mobility-assisted data independent acquisition ((U)(</w:t>
      </w:r>
      <w:proofErr w:type="gramStart"/>
      <w:r w:rsidRPr="00E15289">
        <w:rPr>
          <w:rFonts w:ascii="Arial" w:hAnsi="Arial"/>
          <w:color w:val="auto"/>
          <w:sz w:val="24"/>
          <w:szCs w:val="24"/>
          <w:lang w:val="en-GB"/>
        </w:rPr>
        <w:t>H)DMS</w:t>
      </w:r>
      <w:r w:rsidRPr="00E15289">
        <w:rPr>
          <w:rFonts w:ascii="Arial" w:hAnsi="Arial"/>
          <w:color w:val="auto"/>
          <w:sz w:val="24"/>
          <w:szCs w:val="24"/>
          <w:vertAlign w:val="superscript"/>
          <w:lang w:val="en-GB"/>
        </w:rPr>
        <w:t>E</w:t>
      </w:r>
      <w:proofErr w:type="gramEnd"/>
      <w:r w:rsidRPr="00E15289">
        <w:rPr>
          <w:rFonts w:ascii="Arial" w:hAnsi="Arial"/>
          <w:color w:val="auto"/>
          <w:sz w:val="24"/>
          <w:szCs w:val="24"/>
          <w:lang w:val="en-GB"/>
        </w:rPr>
        <w:t xml:space="preserve">) mass spectrometry, combined with multivariate statistical analyses, we assessed hypoxia-induced alterations in the proteome of prostate cancer cells. This work provides novel insights into the proteome of PC-3 cells under </w:t>
      </w:r>
      <w:proofErr w:type="spellStart"/>
      <w:r w:rsidRPr="00E15289">
        <w:rPr>
          <w:rFonts w:ascii="Arial" w:hAnsi="Arial"/>
          <w:color w:val="auto"/>
          <w:sz w:val="24"/>
          <w:szCs w:val="24"/>
          <w:lang w:val="en-GB"/>
        </w:rPr>
        <w:t>normoxic</w:t>
      </w:r>
      <w:proofErr w:type="spellEnd"/>
      <w:r w:rsidRPr="00E15289">
        <w:rPr>
          <w:rFonts w:ascii="Arial" w:hAnsi="Arial"/>
          <w:color w:val="auto"/>
          <w:sz w:val="24"/>
          <w:szCs w:val="24"/>
          <w:lang w:val="en-GB"/>
        </w:rPr>
        <w:t xml:space="preserve"> and hypoxic conditions. It also provides a platform for further work on the role of </w:t>
      </w:r>
      <w:r w:rsidR="001B43A4" w:rsidRPr="00E15289">
        <w:rPr>
          <w:rFonts w:ascii="Arial" w:hAnsi="Arial"/>
          <w:color w:val="auto"/>
          <w:sz w:val="24"/>
          <w:szCs w:val="24"/>
          <w:lang w:val="en-GB"/>
        </w:rPr>
        <w:t xml:space="preserve">NSAIDs, and potentially, </w:t>
      </w:r>
      <w:r w:rsidRPr="00E15289">
        <w:rPr>
          <w:rFonts w:ascii="Arial" w:hAnsi="Arial"/>
          <w:color w:val="auto"/>
          <w:sz w:val="24"/>
          <w:szCs w:val="24"/>
          <w:lang w:val="en-GB"/>
        </w:rPr>
        <w:t>NO-donating drugs as candidates for neoadjuvant therapy to modulate the hypoxic response of tumour cells and improve outcome in the radiotherapeutic treatment of prostate cancer.</w:t>
      </w:r>
    </w:p>
    <w:p w14:paraId="4CCECE80" w14:textId="5822E9DD" w:rsidR="00421507" w:rsidRPr="00E15289" w:rsidRDefault="00421507">
      <w:pPr>
        <w:rPr>
          <w:rFonts w:ascii="Arial" w:eastAsia="Arial" w:hAnsi="Arial" w:cs="Arial"/>
          <w:lang w:val="en-GB" w:eastAsia="en-GB"/>
        </w:rPr>
      </w:pPr>
      <w:r w:rsidRPr="00E15289">
        <w:rPr>
          <w:rFonts w:ascii="Arial" w:eastAsia="Arial" w:hAnsi="Arial" w:cs="Arial"/>
          <w:lang w:val="en-GB"/>
        </w:rPr>
        <w:br w:type="page"/>
      </w:r>
    </w:p>
    <w:p w14:paraId="344AC9D3" w14:textId="4579D9EA" w:rsidR="0055283A" w:rsidRPr="00E15289" w:rsidRDefault="005514C0" w:rsidP="0025140D">
      <w:pPr>
        <w:pStyle w:val="Default"/>
        <w:tabs>
          <w:tab w:val="left" w:pos="576"/>
          <w:tab w:val="left" w:pos="6940"/>
        </w:tabs>
        <w:spacing w:afterLines="80" w:after="192" w:line="400" w:lineRule="exact"/>
        <w:jc w:val="both"/>
        <w:rPr>
          <w:rFonts w:ascii="Arial" w:hAnsi="Arial"/>
          <w:b/>
          <w:bCs/>
          <w:i/>
          <w:color w:val="auto"/>
          <w:sz w:val="24"/>
          <w:szCs w:val="24"/>
          <w:lang w:val="en-GB"/>
        </w:rPr>
      </w:pPr>
      <w:r w:rsidRPr="00E15289">
        <w:rPr>
          <w:rFonts w:ascii="Arial" w:hAnsi="Arial"/>
          <w:b/>
          <w:bCs/>
          <w:i/>
          <w:color w:val="auto"/>
          <w:sz w:val="24"/>
          <w:szCs w:val="24"/>
          <w:lang w:val="en-GB"/>
        </w:rPr>
        <w:lastRenderedPageBreak/>
        <w:t>M</w:t>
      </w:r>
      <w:r w:rsidR="00E15289">
        <w:rPr>
          <w:rFonts w:ascii="Arial" w:hAnsi="Arial"/>
          <w:b/>
          <w:bCs/>
          <w:i/>
          <w:color w:val="auto"/>
          <w:sz w:val="24"/>
          <w:szCs w:val="24"/>
          <w:lang w:val="en-GB"/>
        </w:rPr>
        <w:t>aterials and methods</w:t>
      </w:r>
    </w:p>
    <w:p w14:paraId="342D7C5E" w14:textId="6D99F224" w:rsidR="0055283A" w:rsidRPr="00E15289" w:rsidRDefault="005514C0" w:rsidP="0025140D">
      <w:pPr>
        <w:pStyle w:val="Default"/>
        <w:tabs>
          <w:tab w:val="left" w:pos="720"/>
        </w:tabs>
        <w:spacing w:afterLines="80" w:after="192" w:line="400" w:lineRule="exact"/>
        <w:ind w:left="720" w:hanging="720"/>
        <w:jc w:val="both"/>
        <w:rPr>
          <w:rFonts w:ascii="Arial" w:hAnsi="Arial"/>
          <w:i/>
          <w:iCs/>
          <w:color w:val="auto"/>
          <w:sz w:val="24"/>
          <w:szCs w:val="24"/>
          <w:lang w:val="en-GB"/>
        </w:rPr>
      </w:pPr>
      <w:r w:rsidRPr="00E15289">
        <w:rPr>
          <w:rFonts w:ascii="Arial" w:hAnsi="Arial"/>
          <w:i/>
          <w:iCs/>
          <w:color w:val="auto"/>
          <w:sz w:val="24"/>
          <w:szCs w:val="24"/>
          <w:lang w:val="en-GB"/>
        </w:rPr>
        <w:t>Cell culture</w:t>
      </w:r>
    </w:p>
    <w:p w14:paraId="5008FE62" w14:textId="015FB770" w:rsidR="0055283A" w:rsidRPr="00E15289" w:rsidRDefault="005514C0" w:rsidP="0025140D">
      <w:pPr>
        <w:pStyle w:val="Default"/>
        <w:spacing w:afterLines="80" w:after="192" w:line="400" w:lineRule="exact"/>
        <w:jc w:val="both"/>
        <w:rPr>
          <w:rFonts w:ascii="Arial" w:hAnsi="Arial"/>
          <w:color w:val="auto"/>
          <w:sz w:val="24"/>
          <w:szCs w:val="24"/>
          <w:lang w:val="en-GB"/>
        </w:rPr>
      </w:pPr>
      <w:r w:rsidRPr="00E15289">
        <w:rPr>
          <w:rFonts w:ascii="Arial" w:hAnsi="Arial"/>
          <w:color w:val="auto"/>
          <w:sz w:val="24"/>
          <w:szCs w:val="24"/>
          <w:lang w:val="en-GB"/>
        </w:rPr>
        <w:t>PC-3 cells</w:t>
      </w:r>
      <w:r w:rsidR="003A53C8" w:rsidRPr="00E15289">
        <w:rPr>
          <w:rFonts w:ascii="Arial" w:hAnsi="Arial"/>
          <w:color w:val="auto"/>
          <w:sz w:val="24"/>
          <w:szCs w:val="24"/>
          <w:lang w:val="en-GB"/>
        </w:rPr>
        <w:t xml:space="preserve">, obtained from the European Collection of Cell Cultures, Salisbury, UK, </w:t>
      </w:r>
      <w:r w:rsidRPr="00E15289">
        <w:rPr>
          <w:rFonts w:ascii="Arial" w:hAnsi="Arial"/>
          <w:color w:val="auto"/>
          <w:sz w:val="24"/>
          <w:szCs w:val="24"/>
          <w:lang w:val="en-GB"/>
        </w:rPr>
        <w:t>were cultured in RPMI 1640 media supplemented with 10% foetal calf serum, 2</w:t>
      </w:r>
      <w:r w:rsidR="00BD2239" w:rsidRPr="00E15289">
        <w:rPr>
          <w:rFonts w:ascii="Arial" w:hAnsi="Arial"/>
          <w:color w:val="auto"/>
          <w:sz w:val="24"/>
          <w:szCs w:val="24"/>
          <w:lang w:val="en-GB"/>
        </w:rPr>
        <w:t xml:space="preserve"> </w:t>
      </w:r>
      <w:r w:rsidRPr="00E15289">
        <w:rPr>
          <w:rFonts w:ascii="Arial" w:hAnsi="Arial"/>
          <w:color w:val="auto"/>
          <w:sz w:val="24"/>
          <w:szCs w:val="24"/>
          <w:lang w:val="en-GB"/>
        </w:rPr>
        <w:t>mM L</w:t>
      </w:r>
      <w:r w:rsidR="001D1A9A" w:rsidRPr="00E15289">
        <w:rPr>
          <w:rFonts w:ascii="Arial" w:hAnsi="Arial"/>
          <w:color w:val="auto"/>
          <w:sz w:val="24"/>
          <w:szCs w:val="24"/>
          <w:lang w:val="en-GB"/>
        </w:rPr>
        <w:noBreakHyphen/>
      </w:r>
      <w:r w:rsidRPr="00E15289">
        <w:rPr>
          <w:rFonts w:ascii="Arial" w:hAnsi="Arial"/>
          <w:color w:val="auto"/>
          <w:sz w:val="24"/>
          <w:szCs w:val="24"/>
          <w:lang w:val="en-GB"/>
        </w:rPr>
        <w:t>glutamine, penicillin 100</w:t>
      </w:r>
      <w:r w:rsidR="00A334A0" w:rsidRPr="00E15289">
        <w:rPr>
          <w:rFonts w:ascii="Arial" w:hAnsi="Arial"/>
          <w:color w:val="auto"/>
          <w:sz w:val="24"/>
          <w:szCs w:val="24"/>
          <w:lang w:val="en-GB"/>
        </w:rPr>
        <w:t xml:space="preserve"> </w:t>
      </w:r>
      <w:proofErr w:type="spellStart"/>
      <w:r w:rsidRPr="00E15289">
        <w:rPr>
          <w:rFonts w:ascii="Arial" w:hAnsi="Arial"/>
          <w:color w:val="auto"/>
          <w:sz w:val="24"/>
          <w:szCs w:val="24"/>
          <w:lang w:val="en-GB"/>
        </w:rPr>
        <w:t>iu</w:t>
      </w:r>
      <w:proofErr w:type="spellEnd"/>
      <w:r w:rsidRPr="00E15289">
        <w:rPr>
          <w:rFonts w:ascii="Arial" w:hAnsi="Arial"/>
          <w:color w:val="auto"/>
          <w:sz w:val="24"/>
          <w:szCs w:val="24"/>
          <w:lang w:val="en-GB"/>
        </w:rPr>
        <w:t>/ml, streptomycin 100</w:t>
      </w:r>
      <w:r w:rsidR="00A334A0" w:rsidRPr="00E15289">
        <w:rPr>
          <w:rFonts w:ascii="Arial" w:hAnsi="Arial"/>
          <w:color w:val="auto"/>
          <w:sz w:val="24"/>
          <w:szCs w:val="24"/>
          <w:lang w:val="en-GB"/>
        </w:rPr>
        <w:t xml:space="preserve"> </w:t>
      </w:r>
      <w:r w:rsidR="00A334A0" w:rsidRPr="00E15289">
        <w:rPr>
          <w:rFonts w:ascii="Symbol" w:hAnsi="Symbol"/>
          <w:color w:val="auto"/>
          <w:sz w:val="24"/>
          <w:szCs w:val="24"/>
          <w:lang w:val="en-GB"/>
        </w:rPr>
        <w:t></w:t>
      </w:r>
      <w:r w:rsidR="00A334A0" w:rsidRPr="00E15289">
        <w:rPr>
          <w:rFonts w:ascii="Arial" w:hAnsi="Arial"/>
          <w:color w:val="auto"/>
          <w:sz w:val="24"/>
          <w:szCs w:val="24"/>
          <w:lang w:val="en-GB"/>
        </w:rPr>
        <w:t>g</w:t>
      </w:r>
      <w:r w:rsidRPr="00E15289">
        <w:rPr>
          <w:rFonts w:ascii="Arial" w:hAnsi="Arial"/>
          <w:color w:val="auto"/>
          <w:sz w:val="24"/>
          <w:szCs w:val="24"/>
          <w:lang w:val="en-GB"/>
        </w:rPr>
        <w:t xml:space="preserve">/ml (all from Invitrogen, Paisley, UK). On </w:t>
      </w:r>
      <w:r w:rsidR="00A94F48" w:rsidRPr="00E15289">
        <w:rPr>
          <w:rFonts w:ascii="Arial" w:hAnsi="Arial"/>
          <w:color w:val="auto"/>
          <w:sz w:val="24"/>
          <w:szCs w:val="24"/>
          <w:lang w:val="en-GB"/>
        </w:rPr>
        <w:t>d</w:t>
      </w:r>
      <w:r w:rsidRPr="00E15289">
        <w:rPr>
          <w:rFonts w:ascii="Arial" w:hAnsi="Arial"/>
          <w:color w:val="auto"/>
          <w:sz w:val="24"/>
          <w:szCs w:val="24"/>
          <w:lang w:val="en-GB"/>
        </w:rPr>
        <w:t>ay 0, cells were seeded at 2x10</w:t>
      </w:r>
      <w:r w:rsidRPr="00E15289">
        <w:rPr>
          <w:rFonts w:ascii="Arial" w:hAnsi="Arial"/>
          <w:color w:val="auto"/>
          <w:sz w:val="24"/>
          <w:szCs w:val="24"/>
          <w:vertAlign w:val="superscript"/>
          <w:lang w:val="en-GB"/>
        </w:rPr>
        <w:t>6</w:t>
      </w:r>
      <w:r w:rsidRPr="00E15289">
        <w:rPr>
          <w:rFonts w:ascii="Arial" w:hAnsi="Arial"/>
          <w:color w:val="auto"/>
          <w:sz w:val="24"/>
          <w:szCs w:val="24"/>
          <w:lang w:val="en-GB"/>
        </w:rPr>
        <w:t xml:space="preserve"> cells/25</w:t>
      </w:r>
      <w:r w:rsidR="002A6030" w:rsidRPr="00E15289">
        <w:rPr>
          <w:rFonts w:ascii="Arial" w:hAnsi="Arial"/>
          <w:color w:val="auto"/>
          <w:sz w:val="24"/>
          <w:szCs w:val="24"/>
          <w:lang w:val="en-GB"/>
        </w:rPr>
        <w:t xml:space="preserve"> </w:t>
      </w:r>
      <w:r w:rsidRPr="00E15289">
        <w:rPr>
          <w:rFonts w:ascii="Arial" w:hAnsi="Arial"/>
          <w:color w:val="auto"/>
          <w:sz w:val="24"/>
          <w:szCs w:val="24"/>
          <w:lang w:val="en-GB"/>
        </w:rPr>
        <w:t>cm</w:t>
      </w:r>
      <w:r w:rsidRPr="00E15289">
        <w:rPr>
          <w:rFonts w:ascii="Arial" w:hAnsi="Arial"/>
          <w:color w:val="auto"/>
          <w:sz w:val="24"/>
          <w:szCs w:val="24"/>
          <w:vertAlign w:val="superscript"/>
          <w:lang w:val="en-GB"/>
        </w:rPr>
        <w:t>2</w:t>
      </w:r>
      <w:r w:rsidRPr="00E15289">
        <w:rPr>
          <w:rFonts w:ascii="Arial" w:hAnsi="Arial"/>
          <w:color w:val="auto"/>
          <w:sz w:val="24"/>
          <w:szCs w:val="24"/>
          <w:lang w:val="en-GB"/>
        </w:rPr>
        <w:t xml:space="preserve"> </w:t>
      </w:r>
      <w:r w:rsidR="00A334A0" w:rsidRPr="00E15289">
        <w:rPr>
          <w:rFonts w:ascii="Arial" w:hAnsi="Arial"/>
          <w:color w:val="auto"/>
          <w:sz w:val="24"/>
          <w:szCs w:val="24"/>
          <w:lang w:val="en-GB"/>
        </w:rPr>
        <w:t>flask and left overnight in a 37</w:t>
      </w:r>
      <w:r w:rsidR="00A334A0" w:rsidRPr="00E15289">
        <w:rPr>
          <w:rFonts w:ascii="Arial" w:hAnsi="Arial"/>
          <w:color w:val="auto"/>
          <w:sz w:val="24"/>
          <w:szCs w:val="24"/>
          <w:vertAlign w:val="superscript"/>
          <w:lang w:val="en-GB"/>
        </w:rPr>
        <w:t>o</w:t>
      </w:r>
      <w:r w:rsidR="00A334A0" w:rsidRPr="00E15289">
        <w:rPr>
          <w:rFonts w:ascii="Arial" w:hAnsi="Arial"/>
          <w:color w:val="auto"/>
          <w:sz w:val="24"/>
          <w:szCs w:val="24"/>
          <w:lang w:val="en-GB"/>
        </w:rPr>
        <w:t>C</w:t>
      </w:r>
      <w:r w:rsidRPr="00E15289">
        <w:rPr>
          <w:rFonts w:ascii="Arial" w:hAnsi="Arial"/>
          <w:color w:val="auto"/>
          <w:sz w:val="24"/>
          <w:szCs w:val="24"/>
          <w:lang w:val="en-GB"/>
        </w:rPr>
        <w:t xml:space="preserve"> incubator, 5% CO</w:t>
      </w:r>
      <w:r w:rsidRPr="00E15289">
        <w:rPr>
          <w:rFonts w:ascii="Arial" w:hAnsi="Arial"/>
          <w:color w:val="auto"/>
          <w:sz w:val="24"/>
          <w:szCs w:val="24"/>
          <w:vertAlign w:val="subscript"/>
          <w:lang w:val="en-GB"/>
        </w:rPr>
        <w:t>2</w:t>
      </w:r>
      <w:r w:rsidRPr="00E15289">
        <w:rPr>
          <w:rFonts w:ascii="Arial" w:hAnsi="Arial"/>
          <w:color w:val="auto"/>
          <w:sz w:val="24"/>
          <w:szCs w:val="24"/>
          <w:lang w:val="en-GB"/>
        </w:rPr>
        <w:t>. Nex</w:t>
      </w:r>
      <w:r w:rsidR="00E15289">
        <w:rPr>
          <w:rFonts w:ascii="Arial" w:hAnsi="Arial"/>
          <w:color w:val="auto"/>
          <w:sz w:val="24"/>
          <w:szCs w:val="24"/>
          <w:lang w:val="en-GB"/>
        </w:rPr>
        <w:t>t day (day 1) 0.05% DMSO (Sigma-</w:t>
      </w:r>
      <w:r w:rsidRPr="00E15289">
        <w:rPr>
          <w:rFonts w:ascii="Arial" w:hAnsi="Arial"/>
          <w:color w:val="auto"/>
          <w:sz w:val="24"/>
          <w:szCs w:val="24"/>
          <w:lang w:val="en-GB"/>
        </w:rPr>
        <w:t>Aldrich, Gillingham, UK), 25</w:t>
      </w:r>
      <w:r w:rsidR="00476ADC" w:rsidRPr="00E15289">
        <w:rPr>
          <w:rFonts w:ascii="Arial" w:hAnsi="Arial"/>
          <w:color w:val="auto"/>
          <w:sz w:val="24"/>
          <w:szCs w:val="24"/>
          <w:lang w:val="en-GB"/>
        </w:rPr>
        <w:t xml:space="preserve"> </w:t>
      </w:r>
      <w:r w:rsidRPr="00E15289">
        <w:rPr>
          <w:rFonts w:ascii="Arial" w:hAnsi="Arial"/>
          <w:color w:val="auto"/>
          <w:sz w:val="24"/>
          <w:szCs w:val="24"/>
          <w:lang w:val="en-GB"/>
        </w:rPr>
        <w:t>µM of NCX1102 (</w:t>
      </w:r>
      <w:r w:rsidR="007C29FD" w:rsidRPr="00E15289">
        <w:rPr>
          <w:rFonts w:ascii="Arial" w:hAnsi="Arial"/>
          <w:color w:val="auto"/>
          <w:sz w:val="24"/>
          <w:szCs w:val="24"/>
          <w:lang w:val="en-GB"/>
        </w:rPr>
        <w:t>NO-Su</w:t>
      </w:r>
      <w:r w:rsidRPr="00E15289">
        <w:rPr>
          <w:rFonts w:ascii="Arial" w:hAnsi="Arial"/>
          <w:color w:val="auto"/>
          <w:sz w:val="24"/>
          <w:szCs w:val="24"/>
          <w:lang w:val="en-GB"/>
        </w:rPr>
        <w:t xml:space="preserve">lindac; donated by </w:t>
      </w:r>
      <w:proofErr w:type="spellStart"/>
      <w:r w:rsidRPr="00E15289">
        <w:rPr>
          <w:rFonts w:ascii="Arial" w:hAnsi="Arial"/>
          <w:color w:val="auto"/>
          <w:sz w:val="24"/>
          <w:szCs w:val="24"/>
          <w:lang w:val="en-GB"/>
        </w:rPr>
        <w:t>NicOx</w:t>
      </w:r>
      <w:proofErr w:type="spellEnd"/>
      <w:r w:rsidRPr="00E15289">
        <w:rPr>
          <w:rFonts w:ascii="Arial" w:hAnsi="Arial"/>
          <w:color w:val="auto"/>
          <w:sz w:val="24"/>
          <w:szCs w:val="24"/>
          <w:lang w:val="en-GB"/>
        </w:rPr>
        <w:t xml:space="preserve"> SA (Sophia Antipolis, France)), and 25</w:t>
      </w:r>
      <w:r w:rsidR="00476ADC" w:rsidRPr="00E15289">
        <w:rPr>
          <w:rFonts w:ascii="Arial" w:hAnsi="Arial"/>
          <w:color w:val="auto"/>
          <w:sz w:val="24"/>
          <w:szCs w:val="24"/>
          <w:lang w:val="en-GB"/>
        </w:rPr>
        <w:t xml:space="preserve"> </w:t>
      </w:r>
      <w:r w:rsidRPr="00E15289">
        <w:rPr>
          <w:rFonts w:ascii="Arial" w:hAnsi="Arial"/>
          <w:color w:val="auto"/>
          <w:sz w:val="24"/>
          <w:szCs w:val="24"/>
          <w:lang w:val="en-GB"/>
        </w:rPr>
        <w:t xml:space="preserve">µM of </w:t>
      </w:r>
      <w:r w:rsidR="00421507" w:rsidRPr="00E15289">
        <w:rPr>
          <w:rFonts w:ascii="Arial" w:hAnsi="Arial"/>
          <w:color w:val="auto"/>
          <w:sz w:val="24"/>
          <w:szCs w:val="24"/>
          <w:lang w:val="en-GB"/>
        </w:rPr>
        <w:t>Sulindac</w:t>
      </w:r>
      <w:r w:rsidRPr="00E15289">
        <w:rPr>
          <w:rFonts w:ascii="Arial" w:hAnsi="Arial"/>
          <w:color w:val="auto"/>
          <w:sz w:val="24"/>
          <w:szCs w:val="24"/>
          <w:lang w:val="en-GB"/>
        </w:rPr>
        <w:t xml:space="preserve"> (</w:t>
      </w:r>
      <w:proofErr w:type="spellStart"/>
      <w:r w:rsidRPr="00E15289">
        <w:rPr>
          <w:rFonts w:ascii="Arial" w:hAnsi="Arial"/>
          <w:color w:val="auto"/>
          <w:sz w:val="24"/>
          <w:szCs w:val="24"/>
          <w:lang w:val="en-GB"/>
        </w:rPr>
        <w:t>NicOx</w:t>
      </w:r>
      <w:proofErr w:type="spellEnd"/>
      <w:r w:rsidRPr="00E15289">
        <w:rPr>
          <w:rFonts w:ascii="Arial" w:hAnsi="Arial"/>
          <w:color w:val="auto"/>
          <w:sz w:val="24"/>
          <w:szCs w:val="24"/>
          <w:lang w:val="en-GB"/>
        </w:rPr>
        <w:t>) w</w:t>
      </w:r>
      <w:r w:rsidR="00976AB4" w:rsidRPr="00E15289">
        <w:rPr>
          <w:rFonts w:ascii="Arial" w:hAnsi="Arial"/>
          <w:color w:val="auto"/>
          <w:sz w:val="24"/>
          <w:szCs w:val="24"/>
          <w:lang w:val="en-GB"/>
        </w:rPr>
        <w:t>ere</w:t>
      </w:r>
      <w:r w:rsidRPr="00E15289">
        <w:rPr>
          <w:rFonts w:ascii="Arial" w:hAnsi="Arial"/>
          <w:color w:val="auto"/>
          <w:sz w:val="24"/>
          <w:szCs w:val="24"/>
          <w:lang w:val="en-GB"/>
        </w:rPr>
        <w:t xml:space="preserve"> prepared in DMSO and added to the corresponding flasks. Flasks were placed in </w:t>
      </w:r>
      <w:proofErr w:type="spellStart"/>
      <w:r w:rsidRPr="00E15289">
        <w:rPr>
          <w:rFonts w:ascii="Arial" w:hAnsi="Arial"/>
          <w:color w:val="auto"/>
          <w:sz w:val="24"/>
          <w:szCs w:val="24"/>
          <w:lang w:val="en-GB"/>
        </w:rPr>
        <w:t>normoxic</w:t>
      </w:r>
      <w:proofErr w:type="spellEnd"/>
      <w:r w:rsidRPr="00E15289">
        <w:rPr>
          <w:rFonts w:ascii="Arial" w:hAnsi="Arial"/>
          <w:color w:val="auto"/>
          <w:sz w:val="24"/>
          <w:szCs w:val="24"/>
          <w:lang w:val="en-GB"/>
        </w:rPr>
        <w:t xml:space="preserve"> (21% O</w:t>
      </w:r>
      <w:r w:rsidRPr="00E15289">
        <w:rPr>
          <w:rFonts w:ascii="Arial" w:hAnsi="Arial"/>
          <w:color w:val="auto"/>
          <w:sz w:val="24"/>
          <w:szCs w:val="24"/>
          <w:vertAlign w:val="subscript"/>
          <w:lang w:val="en-GB"/>
        </w:rPr>
        <w:t>2</w:t>
      </w:r>
      <w:r w:rsidRPr="00E15289">
        <w:rPr>
          <w:rFonts w:ascii="Arial" w:hAnsi="Arial"/>
          <w:color w:val="auto"/>
          <w:sz w:val="24"/>
          <w:szCs w:val="24"/>
          <w:lang w:val="en-GB"/>
        </w:rPr>
        <w:t>, 37</w:t>
      </w:r>
      <w:r w:rsidR="00476ADC" w:rsidRPr="00E15289">
        <w:rPr>
          <w:rFonts w:ascii="Arial Unicode MS" w:hAnsi="Arial Unicode MS" w:hint="eastAsia"/>
          <w:color w:val="auto"/>
          <w:sz w:val="24"/>
          <w:szCs w:val="24"/>
          <w:lang w:val="en-GB"/>
        </w:rPr>
        <w:t>°</w:t>
      </w:r>
      <w:r w:rsidRPr="00E15289">
        <w:rPr>
          <w:rFonts w:ascii="Arial" w:hAnsi="Arial"/>
          <w:color w:val="auto"/>
          <w:sz w:val="24"/>
          <w:szCs w:val="24"/>
          <w:lang w:val="en-GB"/>
        </w:rPr>
        <w:t>C, 5% CO</w:t>
      </w:r>
      <w:r w:rsidRPr="00E15289">
        <w:rPr>
          <w:rFonts w:ascii="Arial" w:hAnsi="Arial"/>
          <w:color w:val="auto"/>
          <w:sz w:val="24"/>
          <w:szCs w:val="24"/>
          <w:vertAlign w:val="subscript"/>
          <w:lang w:val="en-GB"/>
        </w:rPr>
        <w:t>2</w:t>
      </w:r>
      <w:r w:rsidRPr="00E15289">
        <w:rPr>
          <w:rFonts w:ascii="Arial" w:hAnsi="Arial"/>
          <w:color w:val="auto"/>
          <w:sz w:val="24"/>
          <w:szCs w:val="24"/>
          <w:lang w:val="en-GB"/>
        </w:rPr>
        <w:t>) or hypoxic (0.2% O</w:t>
      </w:r>
      <w:r w:rsidRPr="00E15289">
        <w:rPr>
          <w:rFonts w:ascii="Arial" w:hAnsi="Arial"/>
          <w:color w:val="auto"/>
          <w:sz w:val="24"/>
          <w:szCs w:val="24"/>
          <w:vertAlign w:val="subscript"/>
          <w:lang w:val="en-GB"/>
        </w:rPr>
        <w:t>2</w:t>
      </w:r>
      <w:r w:rsidRPr="00E15289">
        <w:rPr>
          <w:rFonts w:ascii="Arial" w:hAnsi="Arial"/>
          <w:color w:val="auto"/>
          <w:sz w:val="24"/>
          <w:szCs w:val="24"/>
          <w:lang w:val="en-GB"/>
        </w:rPr>
        <w:t>, 37</w:t>
      </w:r>
      <w:r w:rsidR="00476ADC" w:rsidRPr="00E15289">
        <w:rPr>
          <w:rFonts w:ascii="Arial Unicode MS" w:hAnsi="Arial Unicode MS" w:hint="eastAsia"/>
          <w:color w:val="auto"/>
          <w:sz w:val="24"/>
          <w:szCs w:val="24"/>
          <w:lang w:val="en-GB"/>
        </w:rPr>
        <w:t>°</w:t>
      </w:r>
      <w:r w:rsidRPr="00E15289">
        <w:rPr>
          <w:rFonts w:ascii="Arial" w:hAnsi="Arial"/>
          <w:color w:val="auto"/>
          <w:sz w:val="24"/>
          <w:szCs w:val="24"/>
          <w:lang w:val="en-GB"/>
        </w:rPr>
        <w:t>C, 95% CO</w:t>
      </w:r>
      <w:r w:rsidRPr="00E15289">
        <w:rPr>
          <w:rFonts w:ascii="Arial" w:hAnsi="Arial"/>
          <w:color w:val="auto"/>
          <w:sz w:val="24"/>
          <w:szCs w:val="24"/>
          <w:vertAlign w:val="subscript"/>
          <w:lang w:val="en-GB"/>
        </w:rPr>
        <w:t xml:space="preserve">2 </w:t>
      </w:r>
      <w:r w:rsidR="00476ADC" w:rsidRPr="00E15289">
        <w:rPr>
          <w:rFonts w:ascii="Arial" w:hAnsi="Arial"/>
          <w:color w:val="auto"/>
          <w:sz w:val="24"/>
          <w:szCs w:val="24"/>
          <w:lang w:val="en-GB"/>
        </w:rPr>
        <w:t>and</w:t>
      </w:r>
      <w:r w:rsidRPr="00E15289">
        <w:rPr>
          <w:rFonts w:ascii="Arial" w:hAnsi="Arial"/>
          <w:color w:val="auto"/>
          <w:sz w:val="24"/>
          <w:szCs w:val="24"/>
          <w:lang w:val="en-GB"/>
        </w:rPr>
        <w:t xml:space="preserve"> 5% N</w:t>
      </w:r>
      <w:r w:rsidRPr="00E15289">
        <w:rPr>
          <w:rFonts w:ascii="Arial" w:hAnsi="Arial"/>
          <w:color w:val="auto"/>
          <w:sz w:val="24"/>
          <w:szCs w:val="24"/>
          <w:vertAlign w:val="subscript"/>
          <w:lang w:val="en-GB"/>
        </w:rPr>
        <w:t>2</w:t>
      </w:r>
      <w:r w:rsidRPr="00E15289">
        <w:rPr>
          <w:rFonts w:ascii="Arial" w:hAnsi="Arial"/>
          <w:color w:val="auto"/>
          <w:sz w:val="24"/>
          <w:szCs w:val="24"/>
          <w:lang w:val="en-GB"/>
        </w:rPr>
        <w:t>) conditions in a PROOX 110 oxygen controller (</w:t>
      </w:r>
      <w:proofErr w:type="spellStart"/>
      <w:r w:rsidRPr="00E15289">
        <w:rPr>
          <w:rFonts w:ascii="Arial" w:hAnsi="Arial"/>
          <w:color w:val="auto"/>
          <w:sz w:val="24"/>
          <w:szCs w:val="24"/>
          <w:lang w:val="en-GB"/>
        </w:rPr>
        <w:t>BioSpherix</w:t>
      </w:r>
      <w:proofErr w:type="spellEnd"/>
      <w:r w:rsidRPr="00E15289">
        <w:rPr>
          <w:rFonts w:ascii="Arial" w:hAnsi="Arial"/>
          <w:color w:val="auto"/>
          <w:sz w:val="24"/>
          <w:szCs w:val="24"/>
          <w:lang w:val="en-GB"/>
        </w:rPr>
        <w:t xml:space="preserve"> Ltd., Redfield, NY) for 48</w:t>
      </w:r>
      <w:r w:rsidR="00A94F48" w:rsidRPr="00E15289">
        <w:rPr>
          <w:rFonts w:ascii="Arial" w:hAnsi="Arial"/>
          <w:color w:val="auto"/>
          <w:sz w:val="24"/>
          <w:szCs w:val="24"/>
          <w:lang w:val="en-GB"/>
        </w:rPr>
        <w:t xml:space="preserve"> </w:t>
      </w:r>
      <w:r w:rsidRPr="00E15289">
        <w:rPr>
          <w:rFonts w:ascii="Arial" w:hAnsi="Arial"/>
          <w:color w:val="auto"/>
          <w:sz w:val="24"/>
          <w:szCs w:val="24"/>
          <w:lang w:val="en-GB"/>
        </w:rPr>
        <w:t>hrs.</w:t>
      </w:r>
    </w:p>
    <w:p w14:paraId="0A7C6C06" w14:textId="270ECB90" w:rsidR="003902CC" w:rsidRPr="00E15289" w:rsidRDefault="00804170" w:rsidP="0025140D">
      <w:pPr>
        <w:pStyle w:val="Default"/>
        <w:spacing w:afterLines="80" w:after="192" w:line="400" w:lineRule="exact"/>
        <w:jc w:val="both"/>
        <w:rPr>
          <w:rFonts w:ascii="Arial" w:eastAsia="Arial" w:hAnsi="Arial" w:cs="Arial"/>
          <w:i/>
          <w:color w:val="auto"/>
          <w:sz w:val="24"/>
          <w:szCs w:val="24"/>
          <w:lang w:val="en-GB"/>
        </w:rPr>
      </w:pPr>
      <w:r w:rsidRPr="00E15289">
        <w:rPr>
          <w:rFonts w:ascii="Arial" w:eastAsia="Arial" w:hAnsi="Arial" w:cs="Arial"/>
          <w:i/>
          <w:color w:val="auto"/>
          <w:sz w:val="24"/>
          <w:szCs w:val="24"/>
          <w:lang w:val="en-GB"/>
        </w:rPr>
        <w:t>Protein digestion</w:t>
      </w:r>
    </w:p>
    <w:p w14:paraId="6248D607" w14:textId="1FB2A180" w:rsidR="003902CC" w:rsidRPr="00E15289" w:rsidRDefault="003902CC" w:rsidP="0025140D">
      <w:pPr>
        <w:pStyle w:val="Default"/>
        <w:spacing w:afterLines="80" w:after="192" w:line="400" w:lineRule="exact"/>
        <w:jc w:val="both"/>
        <w:rPr>
          <w:rFonts w:ascii="Arial" w:eastAsia="Arial" w:hAnsi="Arial" w:cs="Arial"/>
          <w:color w:val="auto"/>
          <w:sz w:val="24"/>
          <w:szCs w:val="24"/>
          <w:lang w:val="en-GB"/>
        </w:rPr>
      </w:pPr>
      <w:r w:rsidRPr="00E15289">
        <w:rPr>
          <w:rFonts w:ascii="Arial" w:eastAsia="Arial" w:hAnsi="Arial" w:cs="Arial"/>
          <w:color w:val="auto"/>
          <w:sz w:val="24"/>
          <w:szCs w:val="24"/>
          <w:lang w:val="en-GB"/>
        </w:rPr>
        <w:t xml:space="preserve">20 µg of each sample was dissolved in 0.1% (w/v) </w:t>
      </w:r>
      <w:proofErr w:type="spellStart"/>
      <w:r w:rsidRPr="00E15289">
        <w:rPr>
          <w:rFonts w:ascii="Arial" w:eastAsia="Arial" w:hAnsi="Arial" w:cs="Arial"/>
          <w:color w:val="auto"/>
          <w:sz w:val="24"/>
          <w:szCs w:val="24"/>
          <w:lang w:val="en-GB"/>
        </w:rPr>
        <w:t>RapiGest</w:t>
      </w:r>
      <w:proofErr w:type="spellEnd"/>
      <w:r w:rsidRPr="00E15289">
        <w:rPr>
          <w:rFonts w:ascii="Arial" w:eastAsia="Arial" w:hAnsi="Arial" w:cs="Arial"/>
          <w:color w:val="auto"/>
          <w:sz w:val="24"/>
          <w:szCs w:val="24"/>
          <w:lang w:val="en-GB"/>
        </w:rPr>
        <w:t xml:space="preserve"> (Waters Corporation, Milford, USA) in 50 mM ammonium bicarbonate (Sigma Aldrich, St. Louis, MO) and heated at 80</w:t>
      </w:r>
      <w:r w:rsidR="00E15289">
        <w:rPr>
          <w:rFonts w:ascii="Arial" w:eastAsia="Arial" w:hAnsi="Arial" w:cs="Arial"/>
          <w:color w:val="auto"/>
          <w:sz w:val="24"/>
          <w:szCs w:val="24"/>
          <w:lang w:val="en-GB"/>
        </w:rPr>
        <w:t xml:space="preserve"> </w:t>
      </w:r>
      <w:r w:rsidRPr="00E15289">
        <w:rPr>
          <w:rFonts w:ascii="Arial" w:eastAsia="Arial" w:hAnsi="Arial" w:cs="Arial"/>
          <w:color w:val="auto"/>
          <w:sz w:val="24"/>
          <w:szCs w:val="24"/>
          <w:lang w:val="en-GB"/>
        </w:rPr>
        <w:t>ºC for 45 min. The samples were reduced in the presence of 5 mM dithi</w:t>
      </w:r>
      <w:r w:rsidR="00A334A0" w:rsidRPr="00E15289">
        <w:rPr>
          <w:rFonts w:ascii="Arial" w:eastAsia="Arial" w:hAnsi="Arial" w:cs="Arial"/>
          <w:color w:val="auto"/>
          <w:sz w:val="24"/>
          <w:szCs w:val="24"/>
          <w:lang w:val="en-GB"/>
        </w:rPr>
        <w:t>o</w:t>
      </w:r>
      <w:r w:rsidRPr="00E15289">
        <w:rPr>
          <w:rFonts w:ascii="Arial" w:eastAsia="Arial" w:hAnsi="Arial" w:cs="Arial"/>
          <w:color w:val="auto"/>
          <w:sz w:val="24"/>
          <w:szCs w:val="24"/>
          <w:lang w:val="en-GB"/>
        </w:rPr>
        <w:t>t</w:t>
      </w:r>
      <w:r w:rsidR="00A334A0" w:rsidRPr="00E15289">
        <w:rPr>
          <w:rFonts w:ascii="Arial" w:eastAsia="Arial" w:hAnsi="Arial" w:cs="Arial"/>
          <w:color w:val="auto"/>
          <w:sz w:val="24"/>
          <w:szCs w:val="24"/>
          <w:lang w:val="en-GB"/>
        </w:rPr>
        <w:t>h</w:t>
      </w:r>
      <w:r w:rsidRPr="00E15289">
        <w:rPr>
          <w:rFonts w:ascii="Arial" w:eastAsia="Arial" w:hAnsi="Arial" w:cs="Arial"/>
          <w:color w:val="auto"/>
          <w:sz w:val="24"/>
          <w:szCs w:val="24"/>
          <w:lang w:val="en-GB"/>
        </w:rPr>
        <w:t>reitol (Sigma Aldrich) at 60</w:t>
      </w:r>
      <w:r w:rsidR="00E15289">
        <w:rPr>
          <w:rFonts w:ascii="Arial" w:eastAsia="Arial" w:hAnsi="Arial" w:cs="Arial"/>
          <w:color w:val="auto"/>
          <w:sz w:val="24"/>
          <w:szCs w:val="24"/>
          <w:lang w:val="en-GB"/>
        </w:rPr>
        <w:t xml:space="preserve"> </w:t>
      </w:r>
      <w:r w:rsidRPr="00E15289">
        <w:rPr>
          <w:rFonts w:ascii="Arial" w:eastAsia="Arial" w:hAnsi="Arial" w:cs="Arial"/>
          <w:color w:val="auto"/>
          <w:sz w:val="24"/>
          <w:szCs w:val="24"/>
          <w:lang w:val="en-GB"/>
        </w:rPr>
        <w:t xml:space="preserve">ºC for 30 min and alkylated in the presence of 10 mM iodoacetamide (Sigma Aldrich) at ambient temperature in the dark for another 30 min. Proteolytic digestion was initiated by adding sequencing grade TMPK-treated trypsin (Promega, Madison, MI) at a 1:50 (w/w) ratio and incubation conducted for 4 </w:t>
      </w:r>
      <w:r w:rsidR="002A6030" w:rsidRPr="00E15289">
        <w:rPr>
          <w:rFonts w:ascii="Arial" w:eastAsia="Arial" w:hAnsi="Arial" w:cs="Arial"/>
          <w:color w:val="auto"/>
          <w:sz w:val="24"/>
          <w:szCs w:val="24"/>
          <w:lang w:val="en-GB"/>
        </w:rPr>
        <w:t>h</w:t>
      </w:r>
      <w:r w:rsidRPr="00E15289">
        <w:rPr>
          <w:rFonts w:ascii="Arial" w:eastAsia="Arial" w:hAnsi="Arial" w:cs="Arial"/>
          <w:color w:val="auto"/>
          <w:sz w:val="24"/>
          <w:szCs w:val="24"/>
          <w:lang w:val="en-GB"/>
        </w:rPr>
        <w:t xml:space="preserve"> at 37ºC. A further aliquot of </w:t>
      </w:r>
      <w:r w:rsidR="002A6030" w:rsidRPr="00E15289">
        <w:rPr>
          <w:rFonts w:ascii="Arial" w:eastAsia="Arial" w:hAnsi="Arial" w:cs="Arial"/>
          <w:color w:val="auto"/>
          <w:sz w:val="24"/>
          <w:szCs w:val="24"/>
          <w:lang w:val="en-GB"/>
        </w:rPr>
        <w:t>t</w:t>
      </w:r>
      <w:r w:rsidRPr="00E15289">
        <w:rPr>
          <w:rFonts w:ascii="Arial" w:eastAsia="Arial" w:hAnsi="Arial" w:cs="Arial"/>
          <w:color w:val="auto"/>
          <w:sz w:val="24"/>
          <w:szCs w:val="24"/>
          <w:lang w:val="en-GB"/>
        </w:rPr>
        <w:t>rypsin was added at a 1:50 (w/w) ratio and followed by incubation overnight at 37ºC. TFA was added to a final concentration of 0.5% (v/v)</w:t>
      </w:r>
      <w:r w:rsidR="00B75EB1" w:rsidRPr="00E15289">
        <w:rPr>
          <w:rFonts w:ascii="Arial" w:eastAsia="Arial" w:hAnsi="Arial" w:cs="Arial"/>
          <w:color w:val="auto"/>
          <w:sz w:val="24"/>
          <w:szCs w:val="24"/>
          <w:lang w:val="en-GB"/>
        </w:rPr>
        <w:t xml:space="preserve">, </w:t>
      </w:r>
      <w:r w:rsidR="00223E83" w:rsidRPr="00E15289">
        <w:rPr>
          <w:rFonts w:ascii="Arial" w:eastAsia="Arial" w:hAnsi="Arial" w:cs="Arial"/>
          <w:color w:val="auto"/>
          <w:sz w:val="24"/>
          <w:szCs w:val="24"/>
          <w:lang w:val="en-GB"/>
        </w:rPr>
        <w:t>to</w:t>
      </w:r>
      <w:r w:rsidRPr="00E15289">
        <w:rPr>
          <w:rFonts w:ascii="Arial" w:eastAsia="Arial" w:hAnsi="Arial" w:cs="Arial"/>
          <w:color w:val="auto"/>
          <w:sz w:val="24"/>
          <w:szCs w:val="24"/>
          <w:lang w:val="en-GB"/>
        </w:rPr>
        <w:t xml:space="preserve"> </w:t>
      </w:r>
      <w:r w:rsidR="004D7B83" w:rsidRPr="00E15289">
        <w:rPr>
          <w:rFonts w:ascii="Arial" w:eastAsia="Arial" w:hAnsi="Arial" w:cs="Arial"/>
          <w:color w:val="auto"/>
          <w:sz w:val="24"/>
          <w:szCs w:val="24"/>
          <w:lang w:val="en-GB"/>
        </w:rPr>
        <w:t>hydrolyse</w:t>
      </w:r>
      <w:r w:rsidRPr="00E15289">
        <w:rPr>
          <w:rFonts w:ascii="Arial" w:eastAsia="Arial" w:hAnsi="Arial" w:cs="Arial"/>
          <w:color w:val="auto"/>
          <w:sz w:val="24"/>
          <w:szCs w:val="24"/>
          <w:lang w:val="en-GB"/>
        </w:rPr>
        <w:t xml:space="preserve"> the </w:t>
      </w:r>
      <w:proofErr w:type="spellStart"/>
      <w:r w:rsidRPr="00E15289">
        <w:rPr>
          <w:rFonts w:ascii="Arial" w:eastAsia="Arial" w:hAnsi="Arial" w:cs="Arial"/>
          <w:color w:val="auto"/>
          <w:sz w:val="24"/>
          <w:szCs w:val="24"/>
          <w:lang w:val="en-GB"/>
        </w:rPr>
        <w:t>RapiGest</w:t>
      </w:r>
      <w:proofErr w:type="spellEnd"/>
      <w:r w:rsidR="00B75EB1" w:rsidRPr="00E15289">
        <w:rPr>
          <w:rFonts w:ascii="Arial" w:eastAsia="Arial" w:hAnsi="Arial" w:cs="Arial"/>
          <w:color w:val="auto"/>
          <w:sz w:val="24"/>
          <w:szCs w:val="24"/>
          <w:lang w:val="en-GB"/>
        </w:rPr>
        <w:t>,</w:t>
      </w:r>
      <w:r w:rsidRPr="00E15289">
        <w:rPr>
          <w:rFonts w:ascii="Arial" w:eastAsia="Arial" w:hAnsi="Arial" w:cs="Arial"/>
          <w:color w:val="auto"/>
          <w:sz w:val="24"/>
          <w:szCs w:val="24"/>
          <w:lang w:val="en-GB"/>
        </w:rPr>
        <w:t xml:space="preserve"> and the solutions incubated at 37°C for 20 min before being vortexed and centrifuged for 30 min at </w:t>
      </w:r>
      <w:r w:rsidR="001130FA">
        <w:rPr>
          <w:rFonts w:ascii="Arial" w:eastAsia="Arial" w:hAnsi="Arial" w:cs="Arial"/>
          <w:color w:val="auto"/>
          <w:sz w:val="24"/>
          <w:szCs w:val="24"/>
          <w:lang w:val="en-GB"/>
        </w:rPr>
        <w:t>18,000</w:t>
      </w:r>
      <w:r w:rsidRPr="00E15289">
        <w:rPr>
          <w:rFonts w:ascii="Arial" w:eastAsia="Arial" w:hAnsi="Arial" w:cs="Arial"/>
          <w:color w:val="auto"/>
          <w:sz w:val="24"/>
          <w:szCs w:val="24"/>
          <w:lang w:val="en-GB"/>
        </w:rPr>
        <w:t xml:space="preserve"> </w:t>
      </w:r>
      <w:r w:rsidR="001130FA">
        <w:rPr>
          <w:rFonts w:ascii="Arial" w:eastAsia="Arial" w:hAnsi="Arial" w:cs="Arial"/>
          <w:color w:val="auto"/>
          <w:sz w:val="24"/>
          <w:szCs w:val="24"/>
          <w:lang w:val="en-GB"/>
        </w:rPr>
        <w:t>g</w:t>
      </w:r>
      <w:r w:rsidRPr="00E15289">
        <w:rPr>
          <w:rFonts w:ascii="Arial" w:eastAsia="Arial" w:hAnsi="Arial" w:cs="Arial"/>
          <w:color w:val="auto"/>
          <w:sz w:val="24"/>
          <w:szCs w:val="24"/>
          <w:lang w:val="en-GB"/>
        </w:rPr>
        <w:t>.</w:t>
      </w:r>
    </w:p>
    <w:p w14:paraId="1E79673C" w14:textId="7049844E" w:rsidR="003902CC" w:rsidRPr="00E15289" w:rsidRDefault="00804170" w:rsidP="0025140D">
      <w:pPr>
        <w:pStyle w:val="Default"/>
        <w:spacing w:afterLines="80" w:after="192" w:line="400" w:lineRule="exact"/>
        <w:jc w:val="both"/>
        <w:rPr>
          <w:rFonts w:ascii="Arial" w:eastAsia="Arial" w:hAnsi="Arial" w:cs="Arial"/>
          <w:i/>
          <w:color w:val="auto"/>
          <w:sz w:val="24"/>
          <w:szCs w:val="24"/>
          <w:lang w:val="en-GB"/>
        </w:rPr>
      </w:pPr>
      <w:r w:rsidRPr="00E15289">
        <w:rPr>
          <w:rFonts w:ascii="Arial" w:eastAsia="Arial" w:hAnsi="Arial" w:cs="Arial"/>
          <w:i/>
          <w:color w:val="auto"/>
          <w:sz w:val="24"/>
          <w:szCs w:val="24"/>
          <w:lang w:val="en-GB"/>
        </w:rPr>
        <w:t>LC-MS configuration</w:t>
      </w:r>
    </w:p>
    <w:p w14:paraId="47EDB826" w14:textId="0D3BB794" w:rsidR="0035476B" w:rsidRPr="00E15289" w:rsidRDefault="0035476B" w:rsidP="0035476B">
      <w:pPr>
        <w:pStyle w:val="Default"/>
        <w:spacing w:afterLines="80" w:after="192" w:line="400" w:lineRule="exact"/>
        <w:jc w:val="both"/>
        <w:rPr>
          <w:rFonts w:ascii="Arial" w:eastAsia="Arial" w:hAnsi="Arial" w:cs="Arial"/>
          <w:color w:val="auto"/>
          <w:sz w:val="24"/>
          <w:szCs w:val="24"/>
          <w:lang w:val="en-GB"/>
        </w:rPr>
      </w:pPr>
      <w:r w:rsidRPr="00E15289">
        <w:rPr>
          <w:rFonts w:ascii="Arial" w:eastAsia="Arial" w:hAnsi="Arial" w:cs="Arial"/>
          <w:color w:val="auto"/>
          <w:sz w:val="24"/>
          <w:szCs w:val="24"/>
          <w:lang w:val="en-GB"/>
        </w:rPr>
        <w:t>One-dimensional nanoscale LC separation of tryptic peptides was performed with an ACQUITY M Class system (Waters Corporation), equipped with a Symmetry C18 5 µm, 2 cm x 180 µm precolumn and an HSS T3 C18 1.7 µm, 15 cm x 75 µm analytical RP column (Waters Corporation). Samples were transferred with aqueous 0.1% (v/v) formic acid to the precolumn at a flow rate of 15 µ</w:t>
      </w:r>
      <w:r w:rsidR="002A6030" w:rsidRPr="00E15289">
        <w:rPr>
          <w:rFonts w:ascii="Arial" w:eastAsia="Arial" w:hAnsi="Arial" w:cs="Arial"/>
          <w:color w:val="auto"/>
          <w:sz w:val="24"/>
          <w:szCs w:val="24"/>
          <w:lang w:val="en-GB"/>
        </w:rPr>
        <w:t>L</w:t>
      </w:r>
      <w:r w:rsidRPr="00E15289">
        <w:rPr>
          <w:rFonts w:ascii="Arial" w:eastAsia="Arial" w:hAnsi="Arial" w:cs="Arial"/>
          <w:color w:val="auto"/>
          <w:sz w:val="24"/>
          <w:szCs w:val="24"/>
          <w:lang w:val="en-GB"/>
        </w:rPr>
        <w:t xml:space="preserve">/min for 2 min. Mobile phase A was water containing 0.1% (v/v) formic acid, whilst mobile phase B was acetonitrile containing 0.1% (v/v) formic acid. Peptides were eluted from the precolumn and separated with a gradient of 3-40% mobile phase B over 60 min at a flow rate of 400 </w:t>
      </w:r>
      <w:proofErr w:type="spellStart"/>
      <w:r w:rsidRPr="00E15289">
        <w:rPr>
          <w:rFonts w:ascii="Arial" w:eastAsia="Arial" w:hAnsi="Arial" w:cs="Arial"/>
          <w:color w:val="auto"/>
          <w:sz w:val="24"/>
          <w:szCs w:val="24"/>
          <w:lang w:val="en-GB"/>
        </w:rPr>
        <w:t>n</w:t>
      </w:r>
      <w:r w:rsidR="006A1351" w:rsidRPr="00E15289">
        <w:rPr>
          <w:rFonts w:ascii="Arial" w:eastAsia="Arial" w:hAnsi="Arial" w:cs="Arial"/>
          <w:color w:val="auto"/>
          <w:sz w:val="24"/>
          <w:szCs w:val="24"/>
          <w:lang w:val="en-GB"/>
        </w:rPr>
        <w:t>L</w:t>
      </w:r>
      <w:proofErr w:type="spellEnd"/>
      <w:r w:rsidRPr="00E15289">
        <w:rPr>
          <w:rFonts w:ascii="Arial" w:eastAsia="Arial" w:hAnsi="Arial" w:cs="Arial"/>
          <w:color w:val="auto"/>
          <w:sz w:val="24"/>
          <w:szCs w:val="24"/>
          <w:lang w:val="en-GB"/>
        </w:rPr>
        <w:t>/min. The analytical column temperature was maintained at 35ºC. Lock mass solution was delivered by the auxiliary pump of the LC system at 1 µ</w:t>
      </w:r>
      <w:r w:rsidR="006A1351" w:rsidRPr="00E15289">
        <w:rPr>
          <w:rFonts w:ascii="Arial" w:eastAsia="Arial" w:hAnsi="Arial" w:cs="Arial"/>
          <w:color w:val="auto"/>
          <w:sz w:val="24"/>
          <w:szCs w:val="24"/>
          <w:lang w:val="en-GB"/>
        </w:rPr>
        <w:t>L</w:t>
      </w:r>
      <w:r w:rsidRPr="00E15289">
        <w:rPr>
          <w:rFonts w:ascii="Arial" w:eastAsia="Arial" w:hAnsi="Arial" w:cs="Arial"/>
          <w:color w:val="auto"/>
          <w:sz w:val="24"/>
          <w:szCs w:val="24"/>
          <w:lang w:val="en-GB"/>
        </w:rPr>
        <w:t>/min to the reference sprayer of the source of the mass spectrometer.</w:t>
      </w:r>
    </w:p>
    <w:p w14:paraId="41C9465B" w14:textId="79BD7B66" w:rsidR="00BD158D" w:rsidRPr="00E15289" w:rsidRDefault="00BD158D" w:rsidP="0025140D">
      <w:pPr>
        <w:pStyle w:val="Default"/>
        <w:spacing w:afterLines="80" w:after="192" w:line="400" w:lineRule="exact"/>
        <w:jc w:val="both"/>
        <w:rPr>
          <w:rFonts w:ascii="Arial" w:eastAsia="Arial" w:hAnsi="Arial" w:cs="Arial"/>
          <w:color w:val="auto"/>
          <w:sz w:val="24"/>
          <w:szCs w:val="24"/>
          <w:lang w:val="en-GB"/>
        </w:rPr>
      </w:pPr>
      <w:r w:rsidRPr="00E15289">
        <w:rPr>
          <w:rFonts w:ascii="Arial" w:eastAsia="Arial" w:hAnsi="Arial" w:cs="Arial"/>
          <w:color w:val="auto"/>
          <w:sz w:val="24"/>
          <w:szCs w:val="24"/>
          <w:lang w:val="en-GB"/>
        </w:rPr>
        <w:lastRenderedPageBreak/>
        <w:t xml:space="preserve">Mass spectrometric analysis was performed using a </w:t>
      </w:r>
      <w:proofErr w:type="spellStart"/>
      <w:r w:rsidRPr="00E15289">
        <w:rPr>
          <w:rFonts w:ascii="Arial" w:eastAsia="Arial" w:hAnsi="Arial" w:cs="Arial"/>
          <w:color w:val="auto"/>
          <w:sz w:val="24"/>
          <w:szCs w:val="24"/>
          <w:lang w:val="en-GB"/>
        </w:rPr>
        <w:t>Synapt</w:t>
      </w:r>
      <w:proofErr w:type="spellEnd"/>
      <w:r w:rsidR="006315E2" w:rsidRPr="00E15289">
        <w:rPr>
          <w:rFonts w:ascii="Arial" w:eastAsia="Arial" w:hAnsi="Arial" w:cs="Arial"/>
          <w:color w:val="auto"/>
          <w:sz w:val="24"/>
          <w:szCs w:val="24"/>
          <w:lang w:val="en-GB"/>
        </w:rPr>
        <w:t xml:space="preserve"> G</w:t>
      </w:r>
      <w:r w:rsidR="007A3374" w:rsidRPr="00E15289">
        <w:rPr>
          <w:rFonts w:ascii="Arial" w:eastAsia="Arial" w:hAnsi="Arial" w:cs="Arial"/>
          <w:color w:val="auto"/>
          <w:sz w:val="24"/>
          <w:szCs w:val="24"/>
          <w:lang w:val="en-GB"/>
        </w:rPr>
        <w:t>2</w:t>
      </w:r>
      <w:r w:rsidRPr="00E15289">
        <w:rPr>
          <w:rFonts w:ascii="Arial" w:eastAsia="Arial" w:hAnsi="Arial" w:cs="Arial"/>
          <w:color w:val="auto"/>
          <w:sz w:val="24"/>
          <w:szCs w:val="24"/>
          <w:lang w:val="en-GB"/>
        </w:rPr>
        <w:t xml:space="preserve"> mass spectrometer (Waters Corporation, Wilmslow, United Kingdom). For all measurements, the mass spectrometer was operated in v-mode with nominal resolution of 2</w:t>
      </w:r>
      <w:r w:rsidR="00FF4308" w:rsidRPr="00E15289">
        <w:rPr>
          <w:rFonts w:ascii="Arial" w:eastAsia="Arial" w:hAnsi="Arial" w:cs="Arial"/>
          <w:color w:val="auto"/>
          <w:sz w:val="24"/>
          <w:szCs w:val="24"/>
          <w:lang w:val="en-GB"/>
        </w:rPr>
        <w:t>5</w:t>
      </w:r>
      <w:r w:rsidRPr="00E15289">
        <w:rPr>
          <w:rFonts w:ascii="Arial" w:eastAsia="Arial" w:hAnsi="Arial" w:cs="Arial"/>
          <w:color w:val="auto"/>
          <w:sz w:val="24"/>
          <w:szCs w:val="24"/>
          <w:lang w:val="en-GB"/>
        </w:rPr>
        <w:t xml:space="preserve">,000 FWHM. All analyses were performed in positive mode ESI. The ion source block temperature and capillary voltage were set to 100ºC and </w:t>
      </w:r>
      <w:r w:rsidR="005E1237" w:rsidRPr="00E15289">
        <w:rPr>
          <w:rFonts w:ascii="Arial" w:eastAsia="Arial" w:hAnsi="Arial" w:cs="Arial"/>
          <w:color w:val="auto"/>
          <w:sz w:val="24"/>
          <w:szCs w:val="24"/>
          <w:lang w:val="en-GB"/>
        </w:rPr>
        <w:t>2.8</w:t>
      </w:r>
      <w:r w:rsidRPr="00E15289">
        <w:rPr>
          <w:rFonts w:ascii="Arial" w:eastAsia="Arial" w:hAnsi="Arial" w:cs="Arial"/>
          <w:color w:val="auto"/>
          <w:sz w:val="24"/>
          <w:szCs w:val="24"/>
          <w:lang w:val="en-GB"/>
        </w:rPr>
        <w:t xml:space="preserve"> kV, respectively. The time</w:t>
      </w:r>
      <w:r w:rsidR="002F00FA" w:rsidRPr="00E15289">
        <w:rPr>
          <w:rFonts w:ascii="Arial" w:eastAsia="Arial" w:hAnsi="Arial" w:cs="Arial"/>
          <w:color w:val="auto"/>
          <w:sz w:val="24"/>
          <w:szCs w:val="24"/>
          <w:lang w:val="en-GB"/>
        </w:rPr>
        <w:t>-</w:t>
      </w:r>
      <w:r w:rsidRPr="00E15289">
        <w:rPr>
          <w:rFonts w:ascii="Arial" w:eastAsia="Arial" w:hAnsi="Arial" w:cs="Arial"/>
          <w:color w:val="auto"/>
          <w:sz w:val="24"/>
          <w:szCs w:val="24"/>
          <w:lang w:val="en-GB"/>
        </w:rPr>
        <w:t>of</w:t>
      </w:r>
      <w:r w:rsidR="002F00FA" w:rsidRPr="00E15289">
        <w:rPr>
          <w:rFonts w:ascii="Arial" w:eastAsia="Arial" w:hAnsi="Arial" w:cs="Arial"/>
          <w:color w:val="auto"/>
          <w:sz w:val="24"/>
          <w:szCs w:val="24"/>
          <w:lang w:val="en-GB"/>
        </w:rPr>
        <w:t>-</w:t>
      </w:r>
      <w:r w:rsidRPr="00E15289">
        <w:rPr>
          <w:rFonts w:ascii="Arial" w:eastAsia="Arial" w:hAnsi="Arial" w:cs="Arial"/>
          <w:color w:val="auto"/>
          <w:sz w:val="24"/>
          <w:szCs w:val="24"/>
          <w:lang w:val="en-GB"/>
        </w:rPr>
        <w:t xml:space="preserve">flight </w:t>
      </w:r>
      <w:r w:rsidR="004D7B83" w:rsidRPr="00E15289">
        <w:rPr>
          <w:rFonts w:ascii="Arial" w:eastAsia="Arial" w:hAnsi="Arial" w:cs="Arial"/>
          <w:color w:val="auto"/>
          <w:sz w:val="24"/>
          <w:szCs w:val="24"/>
          <w:lang w:val="en-GB"/>
        </w:rPr>
        <w:t>analyser</w:t>
      </w:r>
      <w:r w:rsidRPr="00E15289">
        <w:rPr>
          <w:rFonts w:ascii="Arial" w:eastAsia="Arial" w:hAnsi="Arial" w:cs="Arial"/>
          <w:color w:val="auto"/>
          <w:sz w:val="24"/>
          <w:szCs w:val="24"/>
          <w:lang w:val="en-GB"/>
        </w:rPr>
        <w:t xml:space="preserve"> of the mass spectrometer was externally calibrated with a </w:t>
      </w:r>
      <w:proofErr w:type="spellStart"/>
      <w:r w:rsidRPr="00E15289">
        <w:rPr>
          <w:rFonts w:ascii="Arial" w:eastAsia="Arial" w:hAnsi="Arial" w:cs="Arial"/>
          <w:color w:val="auto"/>
          <w:sz w:val="24"/>
          <w:szCs w:val="24"/>
          <w:lang w:val="en-GB"/>
        </w:rPr>
        <w:t>NaCsI</w:t>
      </w:r>
      <w:proofErr w:type="spellEnd"/>
      <w:r w:rsidRPr="00E15289">
        <w:rPr>
          <w:rFonts w:ascii="Arial" w:eastAsia="Arial" w:hAnsi="Arial" w:cs="Arial"/>
          <w:color w:val="auto"/>
          <w:sz w:val="24"/>
          <w:szCs w:val="24"/>
          <w:lang w:val="en-GB"/>
        </w:rPr>
        <w:t xml:space="preserve"> mixture from </w:t>
      </w:r>
      <w:r w:rsidRPr="00E15289">
        <w:rPr>
          <w:rFonts w:ascii="Arial" w:eastAsia="Arial" w:hAnsi="Arial" w:cs="Arial"/>
          <w:i/>
          <w:color w:val="auto"/>
          <w:sz w:val="24"/>
          <w:szCs w:val="24"/>
          <w:lang w:val="en-GB"/>
        </w:rPr>
        <w:t>m/z</w:t>
      </w:r>
      <w:r w:rsidRPr="00E15289">
        <w:rPr>
          <w:rFonts w:ascii="Arial" w:eastAsia="Arial" w:hAnsi="Arial" w:cs="Arial"/>
          <w:color w:val="auto"/>
          <w:sz w:val="24"/>
          <w:szCs w:val="24"/>
          <w:lang w:val="en-GB"/>
        </w:rPr>
        <w:t xml:space="preserve"> 50 to 1990. The data were post-acquisition lock mass</w:t>
      </w:r>
      <w:r w:rsidR="002F00FA" w:rsidRPr="00E15289">
        <w:rPr>
          <w:rFonts w:ascii="Arial" w:eastAsia="Arial" w:hAnsi="Arial" w:cs="Arial"/>
          <w:color w:val="auto"/>
          <w:sz w:val="24"/>
          <w:szCs w:val="24"/>
          <w:lang w:val="en-GB"/>
        </w:rPr>
        <w:t>-</w:t>
      </w:r>
      <w:r w:rsidRPr="00E15289">
        <w:rPr>
          <w:rFonts w:ascii="Arial" w:eastAsia="Arial" w:hAnsi="Arial" w:cs="Arial"/>
          <w:color w:val="auto"/>
          <w:sz w:val="24"/>
          <w:szCs w:val="24"/>
          <w:lang w:val="en-GB"/>
        </w:rPr>
        <w:t>corrected using the doubly charged monoisotopic ion of [Glu1]-Fibrinopeptide B. The reference sprayer was sampled with a frequency of 60 s. Accurate mass LC-MS data were collected in HDMS</w:t>
      </w:r>
      <w:r w:rsidRPr="00E15289">
        <w:rPr>
          <w:rFonts w:ascii="Arial" w:eastAsia="Arial" w:hAnsi="Arial" w:cs="Arial"/>
          <w:color w:val="auto"/>
          <w:sz w:val="24"/>
          <w:szCs w:val="24"/>
          <w:vertAlign w:val="superscript"/>
          <w:lang w:val="en-GB"/>
        </w:rPr>
        <w:t>E</w:t>
      </w:r>
      <w:r w:rsidRPr="00E15289">
        <w:rPr>
          <w:rFonts w:ascii="Arial" w:eastAsia="Arial" w:hAnsi="Arial" w:cs="Arial"/>
          <w:color w:val="auto"/>
          <w:sz w:val="24"/>
          <w:szCs w:val="24"/>
          <w:lang w:val="en-GB"/>
        </w:rPr>
        <w:t xml:space="preserve"> mode of acquisition </w:t>
      </w:r>
      <w:r w:rsidR="00FC3C47" w:rsidRPr="00E15289">
        <w:rPr>
          <w:rFonts w:ascii="Arial" w:eastAsia="Arial" w:hAnsi="Arial" w:cs="Arial"/>
          <w:color w:val="auto"/>
          <w:sz w:val="24"/>
          <w:szCs w:val="24"/>
          <w:lang w:val="en-GB"/>
        </w:rPr>
        <w:fldChar w:fldCharType="begin" w:fldLock="1"/>
      </w:r>
      <w:r w:rsidR="00782E8D" w:rsidRPr="00E15289">
        <w:rPr>
          <w:rFonts w:ascii="Arial" w:eastAsia="Arial" w:hAnsi="Arial" w:cs="Arial"/>
          <w:color w:val="auto"/>
          <w:sz w:val="24"/>
          <w:szCs w:val="24"/>
          <w:lang w:val="en-GB"/>
        </w:rPr>
        <w:instrText>ADDIN CSL_CITATION {"citationItems":[{"id":"ITEM-1","itemData":{"DOI":"10.2174/1573411011309020006","ISSN":"15734110","abstract":"The use of gas-phase ion mobility separation in LC-MS based bottom-up proteomic experiments is described. A data-independent acquisition approach was employed in combination with one and two dimensional reversed phase liquid chromatography separations. The ion mobility component in the acquisition schema affords additional acquisition specificity and improved peptide resolution in terms of system peak capacity. The additional acquisition specificity was mainly achieved by means of the combined retention and drift time association of product to precursor ions and chemical noise reduction. Experimental data from replicate experiments were utilized to determine the rate of increase for the number of detected ions and deconvoluted accurate mass &amp;#8211; retention time pairs and protein and peptide identifications as a measure of peak capacity by varying mass spectral resolution, consideration of multidimensional separations and the incorporation of ion mobility into the analytical schema. The presented data reveals a high degree of reproducibility at the ion detection, peptide and protein level, when analyzed under identical conditions, with a concurrent average increase in the number of identified peptides and proteins of 160% in the instance of mobility assisted acquisitions. Two-dimensional separations independently improved the peptide and protein identification rates by another 260% and 320%, respectively. Collectively, both separation techniques, reversed phase chromatography and ion mobility, increased the peak capacity and number of peptides and proteins significantly. The applicability of the technique and instrument platform for qualitative and quantitative proteomics studies will be demonstrated.","author":[{"dropping-particle":"","family":"Rodriguez-Suarez","given":"Eva","non-dropping-particle":"","parse-names":false,"suffix":""},{"dropping-particle":"","family":"Hughes","given":"Chris","non-dropping-particle":"","parse-names":false,"suffix":""},{"dropping-particle":"","family":"Gethings","given":"Lee","non-dropping-particle":"","parse-names":false,"suffix":""},{"dropping-particle":"","family":"Giles","given":"Kevin","non-dropping-particle":"","parse-names":false,"suffix":""},{"dropping-particle":"","family":"Wildgoose","given":"Jason","non-dropping-particle":"","parse-names":false,"suffix":""},{"dropping-particle":"","family":"Stapels","given":"Martha","non-dropping-particle":"","parse-names":false,"suffix":""},{"dropping-particle":"","family":"E. Fadgen","given":"Keith","non-dropping-particle":"","parse-names":false,"suffix":""},{"dropping-particle":"","family":"J. Geromanos","given":"Scott","non-dropping-particle":"","parse-names":false,"suffix":""},{"dropping-particle":"","family":"P.C. Vissers","given":"Johannes","non-dropping-particle":"","parse-names":false,"suffix":""},{"dropping-particle":"","family":"Elortza","given":"Felix","non-dropping-particle":"","parse-names":false,"suffix":""},{"dropping-particle":"","family":"I. Langridge","given":"James","non-dropping-particle":"","parse-names":false,"suffix":""}],"container-title":"Current Analytical Chemistry","id":"ITEM-1","issue":"2","issued":{"date-parts":[["2013"]]},"page":"199-211","title":"An Ion Mobility Assisted Data Independent LC-MS Strategy for the Analysis of Complex Biological Samples","type":"bill","volume":"9"},"uris":["http://www.mendeley.com/documents/?uuid=3b0d50b6-1b50-45d2-a12f-979df8a5a245"]},{"id":"ITEM-2","itemData":{"ISSN":"1548-7091","author":[{"dropping-particle":"","family":"Distler","given":"Ute","non-dropping-particle":"","parse-names":false,"suffix":""},{"dropping-particle":"","family":"Kuharev","given":"Jorg Jörg","non-dropping-particle":"","parse-names":false,"suffix":""},{"dropping-particle":"","family":"Navarro","given":"Pedro","non-dropping-particle":"","parse-names":false,"suffix":""},{"dropping-particle":"","family":"Levin","given":"Yishai","non-dropping-particle":"","parse-names":false,"suffix":""},{"dropping-particle":"","family":"Schild","given":"Hansjorg Hansjörg","non-dropping-particle":"","parse-names":false,"suffix":""},{"dropping-particle":"","family":"Tenzer","given":"Stefan","non-dropping-particle":"","parse-names":false,"suffix":""}],"container-title":"Nat Meth","id":"ITEM-2","issue":"2","issued":{"date-parts":[["2014","2","15"]]},"page":"167-170","publisher":"Nature Publishing Group, a division of Macmillan Publishers Limited. All Rights Reserved.","title":"Drift time-specific collision energies enable deep-coverage data-independent acquisition proteomics","type":"article-journal","volume":"11"},"uris":["http://www.mendeley.com/documents/?uuid=8f65fa89-b15d-441d-8d8a-3635fce75173"]}],"mendeley":{"formattedCitation":"(19,20)","plainTextFormattedCitation":"(19,20)","previouslyFormattedCitation":"(19,20)"},"properties":{"noteIndex":0},"schema":"https://github.com/citation-style-language/schema/raw/master/csl-citation.json"}</w:instrText>
      </w:r>
      <w:r w:rsidR="00FC3C47" w:rsidRPr="00E15289">
        <w:rPr>
          <w:rFonts w:ascii="Arial" w:eastAsia="Arial" w:hAnsi="Arial" w:cs="Arial"/>
          <w:color w:val="auto"/>
          <w:sz w:val="24"/>
          <w:szCs w:val="24"/>
          <w:lang w:val="en-GB"/>
        </w:rPr>
        <w:fldChar w:fldCharType="separate"/>
      </w:r>
      <w:r w:rsidR="00A82711" w:rsidRPr="00E15289">
        <w:rPr>
          <w:rFonts w:ascii="Arial" w:eastAsia="Arial" w:hAnsi="Arial" w:cs="Arial"/>
          <w:noProof/>
          <w:color w:val="auto"/>
          <w:sz w:val="24"/>
          <w:szCs w:val="24"/>
          <w:lang w:val="en-GB"/>
        </w:rPr>
        <w:t>(19,20)</w:t>
      </w:r>
      <w:r w:rsidR="00FC3C47" w:rsidRPr="00E15289">
        <w:rPr>
          <w:rFonts w:ascii="Arial" w:eastAsia="Arial" w:hAnsi="Arial" w:cs="Arial"/>
          <w:color w:val="auto"/>
          <w:sz w:val="24"/>
          <w:szCs w:val="24"/>
          <w:lang w:val="en-GB"/>
        </w:rPr>
        <w:fldChar w:fldCharType="end"/>
      </w:r>
      <w:r w:rsidRPr="00E15289">
        <w:rPr>
          <w:rFonts w:ascii="Arial" w:eastAsia="Arial" w:hAnsi="Arial" w:cs="Arial"/>
          <w:color w:val="auto"/>
          <w:sz w:val="24"/>
          <w:szCs w:val="24"/>
          <w:lang w:val="en-GB"/>
        </w:rPr>
        <w:t xml:space="preserve">. The spectral acquisition time in each mode was 0.5 s with a 0.02 s interscan delay. In low energy MS mode, data were collected at constant </w:t>
      </w:r>
      <w:r w:rsidR="009E3F70" w:rsidRPr="00E15289">
        <w:rPr>
          <w:rFonts w:ascii="Arial" w:eastAsia="Arial" w:hAnsi="Arial" w:cs="Arial"/>
          <w:color w:val="auto"/>
          <w:sz w:val="24"/>
          <w:szCs w:val="24"/>
          <w:lang w:val="en-GB"/>
        </w:rPr>
        <w:t>t</w:t>
      </w:r>
      <w:r w:rsidRPr="00E15289">
        <w:rPr>
          <w:rFonts w:ascii="Arial" w:eastAsia="Arial" w:hAnsi="Arial" w:cs="Arial"/>
          <w:color w:val="auto"/>
          <w:sz w:val="24"/>
          <w:szCs w:val="24"/>
          <w:lang w:val="en-GB"/>
        </w:rPr>
        <w:t>rap</w:t>
      </w:r>
      <w:r w:rsidR="007A3374" w:rsidRPr="00E15289">
        <w:rPr>
          <w:rFonts w:ascii="Arial" w:eastAsia="Arial" w:hAnsi="Arial" w:cs="Arial"/>
          <w:color w:val="auto"/>
          <w:sz w:val="24"/>
          <w:szCs w:val="24"/>
          <w:lang w:val="en-GB"/>
        </w:rPr>
        <w:t xml:space="preserve"> and transfer</w:t>
      </w:r>
      <w:r w:rsidRPr="00E15289">
        <w:rPr>
          <w:rFonts w:ascii="Arial" w:eastAsia="Arial" w:hAnsi="Arial" w:cs="Arial"/>
          <w:color w:val="auto"/>
          <w:sz w:val="24"/>
          <w:szCs w:val="24"/>
          <w:lang w:val="en-GB"/>
        </w:rPr>
        <w:t xml:space="preserve"> collision energy of </w:t>
      </w:r>
      <w:r w:rsidR="007A3374" w:rsidRPr="00E15289">
        <w:rPr>
          <w:rFonts w:ascii="Arial" w:eastAsia="Arial" w:hAnsi="Arial" w:cs="Arial"/>
          <w:color w:val="auto"/>
          <w:sz w:val="24"/>
          <w:szCs w:val="24"/>
          <w:lang w:val="en-GB"/>
        </w:rPr>
        <w:t>6</w:t>
      </w:r>
      <w:r w:rsidRPr="00E15289">
        <w:rPr>
          <w:rFonts w:ascii="Arial" w:eastAsia="Arial" w:hAnsi="Arial" w:cs="Arial"/>
          <w:color w:val="auto"/>
          <w:sz w:val="24"/>
          <w:szCs w:val="24"/>
          <w:lang w:val="en-GB"/>
        </w:rPr>
        <w:t xml:space="preserve"> eV (per unit charge)</w:t>
      </w:r>
      <w:r w:rsidR="007A3374" w:rsidRPr="00E15289">
        <w:rPr>
          <w:rFonts w:ascii="Arial" w:eastAsia="Arial" w:hAnsi="Arial" w:cs="Arial"/>
          <w:color w:val="auto"/>
          <w:sz w:val="24"/>
          <w:szCs w:val="24"/>
          <w:lang w:val="en-GB"/>
        </w:rPr>
        <w:t>.</w:t>
      </w:r>
      <w:r w:rsidRPr="00E15289">
        <w:rPr>
          <w:rFonts w:ascii="Arial" w:eastAsia="Arial" w:hAnsi="Arial" w:cs="Arial"/>
          <w:color w:val="auto"/>
          <w:sz w:val="24"/>
          <w:szCs w:val="24"/>
          <w:lang w:val="en-GB"/>
        </w:rPr>
        <w:t xml:space="preserve"> In the elevated energy mode, the </w:t>
      </w:r>
      <w:r w:rsidR="009E3F70" w:rsidRPr="00E15289">
        <w:rPr>
          <w:rFonts w:ascii="Arial" w:eastAsia="Arial" w:hAnsi="Arial" w:cs="Arial"/>
          <w:color w:val="auto"/>
          <w:sz w:val="24"/>
          <w:szCs w:val="24"/>
          <w:lang w:val="en-GB"/>
        </w:rPr>
        <w:t>t</w:t>
      </w:r>
      <w:r w:rsidRPr="00E15289">
        <w:rPr>
          <w:rFonts w:ascii="Arial" w:eastAsia="Arial" w:hAnsi="Arial" w:cs="Arial"/>
          <w:color w:val="auto"/>
          <w:sz w:val="24"/>
          <w:szCs w:val="24"/>
          <w:lang w:val="en-GB"/>
        </w:rPr>
        <w:t xml:space="preserve">rap collision energy was ramped from </w:t>
      </w:r>
      <w:r w:rsidR="00A944B2" w:rsidRPr="00E15289">
        <w:rPr>
          <w:rFonts w:ascii="Arial" w:eastAsia="Arial" w:hAnsi="Arial" w:cs="Arial"/>
          <w:color w:val="auto"/>
          <w:sz w:val="24"/>
          <w:szCs w:val="24"/>
          <w:lang w:val="en-GB"/>
        </w:rPr>
        <w:t>19</w:t>
      </w:r>
      <w:r w:rsidRPr="00E15289">
        <w:rPr>
          <w:rFonts w:ascii="Arial" w:eastAsia="Arial" w:hAnsi="Arial" w:cs="Arial"/>
          <w:color w:val="auto"/>
          <w:sz w:val="24"/>
          <w:szCs w:val="24"/>
          <w:lang w:val="en-GB"/>
        </w:rPr>
        <w:t xml:space="preserve"> eV to </w:t>
      </w:r>
      <w:r w:rsidR="00A944B2" w:rsidRPr="00E15289">
        <w:rPr>
          <w:rFonts w:ascii="Arial" w:eastAsia="Arial" w:hAnsi="Arial" w:cs="Arial"/>
          <w:color w:val="auto"/>
          <w:sz w:val="24"/>
          <w:szCs w:val="24"/>
          <w:lang w:val="en-GB"/>
        </w:rPr>
        <w:t>4</w:t>
      </w:r>
      <w:r w:rsidRPr="00E15289">
        <w:rPr>
          <w:rFonts w:ascii="Arial" w:eastAsia="Arial" w:hAnsi="Arial" w:cs="Arial"/>
          <w:color w:val="auto"/>
          <w:sz w:val="24"/>
          <w:szCs w:val="24"/>
          <w:lang w:val="en-GB"/>
        </w:rPr>
        <w:t>5 eV (per unit charge) in 0.5 s</w:t>
      </w:r>
      <w:r w:rsidR="00A944B2" w:rsidRPr="00E15289">
        <w:rPr>
          <w:rFonts w:ascii="Arial" w:eastAsia="Arial" w:hAnsi="Arial" w:cs="Arial"/>
          <w:color w:val="auto"/>
          <w:sz w:val="24"/>
          <w:szCs w:val="24"/>
          <w:lang w:val="en-GB"/>
        </w:rPr>
        <w:t xml:space="preserve">. </w:t>
      </w:r>
      <w:r w:rsidRPr="00E15289">
        <w:rPr>
          <w:rFonts w:ascii="Arial" w:eastAsia="Arial" w:hAnsi="Arial" w:cs="Arial"/>
          <w:color w:val="auto"/>
          <w:sz w:val="24"/>
          <w:szCs w:val="24"/>
          <w:lang w:val="en-GB"/>
        </w:rPr>
        <w:t>One cycle of low and elevated energy data was acquired every 1 s.</w:t>
      </w:r>
      <w:r w:rsidR="006A0AC1" w:rsidRPr="00E15289">
        <w:rPr>
          <w:rFonts w:ascii="Arial" w:eastAsia="Arial" w:hAnsi="Arial" w:cs="Arial"/>
          <w:color w:val="auto"/>
          <w:sz w:val="24"/>
          <w:szCs w:val="24"/>
          <w:lang w:val="en-GB"/>
        </w:rPr>
        <w:t xml:space="preserve"> </w:t>
      </w:r>
      <w:r w:rsidR="007A3374" w:rsidRPr="00E15289">
        <w:rPr>
          <w:rFonts w:ascii="Arial" w:eastAsia="Arial" w:hAnsi="Arial" w:cs="Arial"/>
          <w:color w:val="auto"/>
          <w:sz w:val="24"/>
          <w:szCs w:val="24"/>
          <w:lang w:val="en-GB"/>
        </w:rPr>
        <w:t xml:space="preserve">Data were acquired in random order and a QC sample injected every tenth injection. </w:t>
      </w:r>
      <w:r w:rsidR="006A0AC1" w:rsidRPr="00E15289">
        <w:rPr>
          <w:rFonts w:ascii="Arial" w:eastAsia="Arial" w:hAnsi="Arial" w:cs="Arial"/>
          <w:color w:val="auto"/>
          <w:sz w:val="24"/>
          <w:szCs w:val="24"/>
          <w:lang w:val="en-GB"/>
        </w:rPr>
        <w:t>Label-free data independent acquisition, including ion mobility separation, to increase specificity of the experiment, as applied here, is an emerging LC-MS method applied for the quantitation of (sub) proteomes, and recently applied, in a</w:t>
      </w:r>
      <w:r w:rsidR="00336DAE" w:rsidRPr="00E15289">
        <w:rPr>
          <w:rFonts w:ascii="Arial" w:eastAsia="Arial" w:hAnsi="Arial" w:cs="Arial"/>
          <w:color w:val="auto"/>
          <w:sz w:val="24"/>
          <w:szCs w:val="24"/>
          <w:lang w:val="en-GB"/>
        </w:rPr>
        <w:t>n</w:t>
      </w:r>
      <w:r w:rsidR="006A0AC1" w:rsidRPr="00E15289">
        <w:rPr>
          <w:rFonts w:ascii="Arial" w:eastAsia="Arial" w:hAnsi="Arial" w:cs="Arial"/>
          <w:color w:val="auto"/>
          <w:sz w:val="24"/>
          <w:szCs w:val="24"/>
          <w:lang w:val="en-GB"/>
        </w:rPr>
        <w:t xml:space="preserve"> alternative fo</w:t>
      </w:r>
      <w:r w:rsidR="00956116" w:rsidRPr="00E15289">
        <w:rPr>
          <w:rFonts w:ascii="Arial" w:eastAsia="Arial" w:hAnsi="Arial" w:cs="Arial"/>
          <w:color w:val="auto"/>
          <w:sz w:val="24"/>
          <w:szCs w:val="24"/>
          <w:lang w:val="en-GB"/>
        </w:rPr>
        <w:t>rm</w:t>
      </w:r>
      <w:r w:rsidR="006A0AC1" w:rsidRPr="00E15289">
        <w:rPr>
          <w:rFonts w:ascii="Arial" w:eastAsia="Arial" w:hAnsi="Arial" w:cs="Arial"/>
          <w:color w:val="auto"/>
          <w:sz w:val="24"/>
          <w:szCs w:val="24"/>
          <w:lang w:val="en-GB"/>
        </w:rPr>
        <w:t xml:space="preserve">, for the analysis of prostate cancer samples </w:t>
      </w:r>
      <w:r w:rsidR="00A02EB1" w:rsidRPr="00E15289">
        <w:rPr>
          <w:rFonts w:ascii="Arial" w:eastAsia="Arial" w:hAnsi="Arial" w:cs="Arial"/>
          <w:color w:val="auto"/>
          <w:sz w:val="24"/>
          <w:szCs w:val="24"/>
          <w:lang w:val="en-GB"/>
        </w:rPr>
        <w:fldChar w:fldCharType="begin" w:fldLock="1"/>
      </w:r>
      <w:r w:rsidR="00782E8D" w:rsidRPr="00E15289">
        <w:rPr>
          <w:rFonts w:ascii="Arial" w:eastAsia="Arial" w:hAnsi="Arial" w:cs="Arial"/>
          <w:color w:val="auto"/>
          <w:sz w:val="24"/>
          <w:szCs w:val="24"/>
          <w:lang w:val="en-GB"/>
        </w:rPr>
        <w:instrText>ADDIN CSL_CITATION {"citationItems":[{"id":"ITEM-1","itemData":{"DOI":"10.1002/pros.23500","ISSN":"10970045","abstract":"INTRODUCTION The development of radioresistance in prostate cancer (PCa) is an important clinical issue and is still largely uninformed by personalized molecular characteristics. The aim of this study was to establish a platform that describes the early oncoproteomic response of human prostate tissue to radiation therapy (RT) using a prospective human tissue cohort. METHODS Fresh and fixed transperineal biopsies from eight men with clinically localized tumors were taken prior to and 14 days following a single fraction of high-dose-rate brachytherapy. Quantitative protein analysis was achieved using an optimized protein extraction pipeline and subsequent data-independent acquisition mass spectroscopy (DIA-MS). Ontology analyses were used to identify enriched functional pathways, with the candidates further interrogated in formalin-fixed paraffin-embedded tissue biopsies from five additional patients. RESULTS We obtained a mean coverage of 5660 proteins from fresh tissue biopsies; with the principal post-radiation change observed being an increase in levels amongst a total of 49 proteins exhibiting abundance changes. Many of these changes in abundance varied between patients and, typically to prostate cancer tissue, exhibited a high level of heterogeneity. Ontological analysis revealed the enrichment of the protein activation cascades of three immunological pathways: humoral immune response, leukocyte mediated immunity and complement activation. These were predominantly associated with the extracellular space. We validated significant expression differences in between 20% and 61% of these candidates using the separate fixed-tissue cohort and established their feasibility as an experimental tissue resource by acquiring quantitative data for a mean of 5152 proteins per patient. DISCUSSION In this prospective study, we have established a sensitive and reliable oncoproteomic pipeline for the analysis of both fresh and formalin-fixed human PCa tissue. We identified multiple pathways known to be radiation-responsive and have established a powerful database of candidates and pathways with no current association with RT. This information may be beneficial in the advancement of personalized therapies and potentially, predictive biomarkers.","author":[{"dropping-particle":"","family":"Keam","given":"Simon P.","non-dropping-particle":"","parse-names":false,"suffix":""},{"dropping-particle":"","family":"Gulati","given":"Twishi","non-dropping-particle":"","parse-names":false,"suffix":""},{"dropping-particle":"","family":"Gamell","given":"Cristina","non-dropping-particle":"","parse-names":false,"suffix":""},{"dropping-particle":"","family":"Caramia","given":"Franco","non-dropping-particle":"","parse-names":false,"suffix":""},{"dropping-particle":"","family":"Huang","given":"Cheng","non-dropping-particle":"","parse-names":false,"suffix":""},{"dropping-particle":"","family":"Schittenhelm","given":"Ralf B.","non-dropping-particle":"","parse-names":false,"suffix":""},{"dropping-particle":"","family":"Kleifeld","given":"Oded","non-dropping-particle":"","parse-names":false,"suffix":""},{"dropping-particle":"","family":"Neeson","given":"Paul J.","non-dropping-particle":"","parse-names":false,"suffix":""},{"dropping-particle":"","family":"Haupt","given":"Ygal","non-dropping-particle":"","parse-names":false,"suffix":""},{"dropping-particle":"","family":"Williams","given":"Scott G.","non-dropping-particle":"","parse-names":false,"suffix":""}],"container-title":"Prostate","id":"ITEM-1","issued":{"date-parts":[["2018"]]},"title":"Exploring the oncoproteomic response of human prostate cancer to therapeutic radiation using data-independent acquisition (DIA) mass spectrometry","type":"article-journal"},"uris":["http://www.mendeley.com/documents/?uuid=da303a1b-a8cb-428b-9289-4bd00e461883"]}],"mendeley":{"formattedCitation":"(21)","plainTextFormattedCitation":"(21)","previouslyFormattedCitation":"(21)"},"properties":{"noteIndex":0},"schema":"https://github.com/citation-style-language/schema/raw/master/csl-citation.json"}</w:instrText>
      </w:r>
      <w:r w:rsidR="00A02EB1" w:rsidRPr="00E15289">
        <w:rPr>
          <w:rFonts w:ascii="Arial" w:eastAsia="Arial" w:hAnsi="Arial" w:cs="Arial"/>
          <w:color w:val="auto"/>
          <w:sz w:val="24"/>
          <w:szCs w:val="24"/>
          <w:lang w:val="en-GB"/>
        </w:rPr>
        <w:fldChar w:fldCharType="separate"/>
      </w:r>
      <w:r w:rsidR="00A82711" w:rsidRPr="00E15289">
        <w:rPr>
          <w:rFonts w:ascii="Arial" w:eastAsia="Arial" w:hAnsi="Arial" w:cs="Arial"/>
          <w:noProof/>
          <w:color w:val="auto"/>
          <w:sz w:val="24"/>
          <w:szCs w:val="24"/>
          <w:lang w:val="en-GB"/>
        </w:rPr>
        <w:t>(21)</w:t>
      </w:r>
      <w:r w:rsidR="00A02EB1" w:rsidRPr="00E15289">
        <w:rPr>
          <w:rFonts w:ascii="Arial" w:eastAsia="Arial" w:hAnsi="Arial" w:cs="Arial"/>
          <w:color w:val="auto"/>
          <w:sz w:val="24"/>
          <w:szCs w:val="24"/>
          <w:lang w:val="en-GB"/>
        </w:rPr>
        <w:fldChar w:fldCharType="end"/>
      </w:r>
      <w:r w:rsidR="00956116" w:rsidRPr="00E15289">
        <w:rPr>
          <w:rFonts w:ascii="Arial" w:eastAsia="Arial" w:hAnsi="Arial" w:cs="Arial"/>
          <w:color w:val="auto"/>
          <w:sz w:val="24"/>
          <w:szCs w:val="24"/>
          <w:lang w:val="en-GB"/>
        </w:rPr>
        <w:t>.</w:t>
      </w:r>
      <w:r w:rsidR="009A5921" w:rsidRPr="00E15289">
        <w:rPr>
          <w:rFonts w:ascii="Arial" w:eastAsia="Arial" w:hAnsi="Arial" w:cs="Arial"/>
          <w:color w:val="auto"/>
          <w:sz w:val="24"/>
          <w:szCs w:val="24"/>
          <w:lang w:val="en-GB"/>
        </w:rPr>
        <w:t xml:space="preserve"> </w:t>
      </w:r>
    </w:p>
    <w:p w14:paraId="5951803B" w14:textId="4A684DBF" w:rsidR="00BD158D" w:rsidRPr="00E15289" w:rsidRDefault="00BD158D" w:rsidP="0025140D">
      <w:pPr>
        <w:pStyle w:val="Default"/>
        <w:spacing w:afterLines="80" w:after="192" w:line="400" w:lineRule="exact"/>
        <w:jc w:val="both"/>
        <w:rPr>
          <w:rFonts w:ascii="Arial" w:eastAsia="Arial" w:hAnsi="Arial" w:cs="Arial"/>
          <w:i/>
          <w:color w:val="auto"/>
          <w:sz w:val="24"/>
          <w:szCs w:val="24"/>
          <w:lang w:val="en-GB"/>
        </w:rPr>
      </w:pPr>
      <w:r w:rsidRPr="00E15289">
        <w:rPr>
          <w:rFonts w:ascii="Arial" w:eastAsia="Arial" w:hAnsi="Arial" w:cs="Arial"/>
          <w:i/>
          <w:color w:val="auto"/>
          <w:sz w:val="24"/>
          <w:szCs w:val="24"/>
          <w:lang w:val="en-GB"/>
        </w:rPr>
        <w:t>Data processing and database searching</w:t>
      </w:r>
    </w:p>
    <w:p w14:paraId="1726ECCE" w14:textId="6BD73D10" w:rsidR="003902CC" w:rsidRPr="00E15289" w:rsidRDefault="00BD158D" w:rsidP="0025140D">
      <w:pPr>
        <w:pStyle w:val="Default"/>
        <w:spacing w:afterLines="80" w:after="192" w:line="400" w:lineRule="exact"/>
        <w:jc w:val="both"/>
        <w:rPr>
          <w:rFonts w:ascii="Arial" w:eastAsia="Arial" w:hAnsi="Arial" w:cs="Arial"/>
          <w:b/>
          <w:color w:val="auto"/>
          <w:sz w:val="24"/>
          <w:szCs w:val="24"/>
          <w:lang w:val="en-GB"/>
        </w:rPr>
      </w:pPr>
      <w:proofErr w:type="spellStart"/>
      <w:r w:rsidRPr="00E15289">
        <w:rPr>
          <w:rFonts w:ascii="Arial" w:eastAsia="Arial" w:hAnsi="Arial" w:cs="Arial"/>
          <w:color w:val="auto"/>
          <w:sz w:val="24"/>
          <w:szCs w:val="24"/>
          <w:lang w:val="en-GB"/>
        </w:rPr>
        <w:t>ProteinLynx</w:t>
      </w:r>
      <w:proofErr w:type="spellEnd"/>
      <w:r w:rsidRPr="00E15289">
        <w:rPr>
          <w:rFonts w:ascii="Arial" w:eastAsia="Arial" w:hAnsi="Arial" w:cs="Arial"/>
          <w:color w:val="auto"/>
          <w:sz w:val="24"/>
          <w:szCs w:val="24"/>
          <w:lang w:val="en-GB"/>
        </w:rPr>
        <w:t xml:space="preserve"> </w:t>
      </w:r>
      <w:proofErr w:type="spellStart"/>
      <w:r w:rsidRPr="00E15289">
        <w:rPr>
          <w:rFonts w:ascii="Arial" w:eastAsia="Arial" w:hAnsi="Arial" w:cs="Arial"/>
          <w:color w:val="auto"/>
          <w:sz w:val="24"/>
          <w:szCs w:val="24"/>
          <w:lang w:val="en-GB"/>
        </w:rPr>
        <w:t>GlobalSERVER</w:t>
      </w:r>
      <w:proofErr w:type="spellEnd"/>
      <w:r w:rsidRPr="00E15289">
        <w:rPr>
          <w:rFonts w:ascii="Arial" w:eastAsia="Arial" w:hAnsi="Arial" w:cs="Arial"/>
          <w:color w:val="auto"/>
          <w:sz w:val="24"/>
          <w:szCs w:val="24"/>
          <w:lang w:val="en-GB"/>
        </w:rPr>
        <w:t xml:space="preserve"> version 3.0.2 (Waters Corporation) was used to process all data acquired. Protein identifications were obtained by the reviewed entries of a </w:t>
      </w:r>
      <w:r w:rsidRPr="00E15289">
        <w:rPr>
          <w:rFonts w:ascii="Arial" w:eastAsia="Arial" w:hAnsi="Arial" w:cs="Arial"/>
          <w:i/>
          <w:color w:val="auto"/>
          <w:sz w:val="24"/>
          <w:szCs w:val="24"/>
          <w:lang w:val="en-GB"/>
        </w:rPr>
        <w:t>H</w:t>
      </w:r>
      <w:r w:rsidR="009E3F70" w:rsidRPr="00E15289">
        <w:rPr>
          <w:rFonts w:ascii="Arial" w:eastAsia="Arial" w:hAnsi="Arial" w:cs="Arial"/>
          <w:i/>
          <w:color w:val="auto"/>
          <w:sz w:val="24"/>
          <w:szCs w:val="24"/>
          <w:lang w:val="en-GB"/>
        </w:rPr>
        <w:t>.</w:t>
      </w:r>
      <w:r w:rsidR="00956116" w:rsidRPr="00E15289">
        <w:rPr>
          <w:rFonts w:ascii="Arial" w:eastAsia="Arial" w:hAnsi="Arial" w:cs="Arial"/>
          <w:i/>
          <w:color w:val="auto"/>
          <w:sz w:val="24"/>
          <w:szCs w:val="24"/>
          <w:lang w:val="en-GB"/>
        </w:rPr>
        <w:t> </w:t>
      </w:r>
      <w:r w:rsidRPr="00E15289">
        <w:rPr>
          <w:rFonts w:ascii="Arial" w:eastAsia="Arial" w:hAnsi="Arial" w:cs="Arial"/>
          <w:i/>
          <w:color w:val="auto"/>
          <w:sz w:val="24"/>
          <w:szCs w:val="24"/>
          <w:lang w:val="en-GB"/>
        </w:rPr>
        <w:t>Sapiens</w:t>
      </w:r>
      <w:r w:rsidRPr="00E15289">
        <w:rPr>
          <w:rFonts w:ascii="Arial" w:eastAsia="Arial" w:hAnsi="Arial" w:cs="Arial"/>
          <w:color w:val="auto"/>
          <w:sz w:val="24"/>
          <w:szCs w:val="24"/>
          <w:lang w:val="en-GB"/>
        </w:rPr>
        <w:t xml:space="preserve"> </w:t>
      </w:r>
      <w:proofErr w:type="spellStart"/>
      <w:r w:rsidRPr="00E15289">
        <w:rPr>
          <w:rFonts w:ascii="Arial" w:eastAsia="Arial" w:hAnsi="Arial" w:cs="Arial"/>
          <w:color w:val="auto"/>
          <w:sz w:val="24"/>
          <w:szCs w:val="24"/>
          <w:lang w:val="en-GB"/>
        </w:rPr>
        <w:t>UniProt</w:t>
      </w:r>
      <w:proofErr w:type="spellEnd"/>
      <w:r w:rsidRPr="00E15289">
        <w:rPr>
          <w:rFonts w:ascii="Arial" w:eastAsia="Arial" w:hAnsi="Arial" w:cs="Arial"/>
          <w:color w:val="auto"/>
          <w:sz w:val="24"/>
          <w:szCs w:val="24"/>
          <w:lang w:val="en-GB"/>
        </w:rPr>
        <w:t xml:space="preserve"> database </w:t>
      </w:r>
      <w:r w:rsidR="001D5222" w:rsidRPr="00E15289">
        <w:rPr>
          <w:rFonts w:ascii="Arial" w:eastAsia="Arial" w:hAnsi="Arial" w:cs="Arial"/>
          <w:color w:val="auto"/>
          <w:sz w:val="24"/>
          <w:szCs w:val="24"/>
          <w:lang w:val="en-GB"/>
        </w:rPr>
        <w:t>(20,161 reviewed entries, release 2016_10</w:t>
      </w:r>
      <w:r w:rsidRPr="00E15289">
        <w:rPr>
          <w:rFonts w:ascii="Arial" w:eastAsia="Arial" w:hAnsi="Arial" w:cs="Arial"/>
          <w:color w:val="auto"/>
          <w:sz w:val="24"/>
          <w:szCs w:val="24"/>
          <w:lang w:val="en-GB"/>
        </w:rPr>
        <w:t>). In order to detect and monitor protein and peptide identification error rates, decoy database strategies were utilised as previously described</w:t>
      </w:r>
      <w:r w:rsidR="00BA25DA" w:rsidRPr="00E15289">
        <w:rPr>
          <w:rFonts w:ascii="Arial" w:eastAsia="Arial" w:hAnsi="Arial" w:cs="Arial"/>
          <w:color w:val="auto"/>
          <w:sz w:val="24"/>
          <w:szCs w:val="24"/>
          <w:lang w:val="en-GB"/>
        </w:rPr>
        <w:t xml:space="preserve"> </w:t>
      </w:r>
      <w:r w:rsidR="00BA25DA" w:rsidRPr="00E15289">
        <w:rPr>
          <w:rFonts w:ascii="Arial" w:eastAsia="Arial" w:hAnsi="Arial" w:cs="Arial"/>
          <w:color w:val="auto"/>
          <w:sz w:val="24"/>
          <w:szCs w:val="24"/>
          <w:lang w:val="en-GB"/>
        </w:rPr>
        <w:fldChar w:fldCharType="begin" w:fldLock="1"/>
      </w:r>
      <w:r w:rsidR="00782E8D" w:rsidRPr="00E15289">
        <w:rPr>
          <w:rFonts w:ascii="Arial" w:eastAsia="Arial" w:hAnsi="Arial" w:cs="Arial"/>
          <w:color w:val="auto"/>
          <w:sz w:val="24"/>
          <w:szCs w:val="24"/>
          <w:lang w:val="en-GB"/>
        </w:rPr>
        <w:instrText>ADDIN CSL_CITATION {"citationItems":[{"id":"ITEM-1","itemData":{"DOI":"10.1002/pmic.200800564","ISSN":"1615-9861","abstract":"A novel database search algorithm is presented for the qualitative identification of proteins over a wide dynamic range, both in simple and complex biological samples. The algorithm has been designed for the analysis of data originating from data independent acquisitions, whereby multiple precursor ions are fragmented simultaneously. Measurements used by the algorithm include retention time, ion intensities, charge state, and accurate masses on both precursor and product ions from LC-MS data. The search algorithm uses an iterative process whereby each iteration incrementally increases the selectivity, specificity, and sensitivity of the overall strategy. Increased specificity is obtained by utilizing a subset database search approach, whereby for each subsequent stage of the search, only those peptides from securely identified proteins are queried. Tentative peptide and protein identifications are ranked and scored by their relative correlation to a number of models of known and empirically derived physicochemical attributes of proteins and peptides. In addition, the algorithm utilizes decoy database techniques for automatically determining the false positive identification rates. The search algorithm has been tested by comparing the search results from a four-protein mixture, the same four-protein mixture spiked into a complex biological background, and a variety of other \"system\" type protein digest mixtures. The method was validated independently by data dependent methods, while concurrently relying on replication and selectivity. Comparisons were also performed with other commercially and publicly available peptide fragmentation search algorithms. The presented results demonstrate the ability to correctly identify peptides and proteins from data independent acquisition strategies with high sensitivity and specificity. They also illustrate a more comprehensive analysis of the samples studied; providing approximately 20% more protein identifications, compared to a more conventional data directed approach using the same identification criteria, with a concurrent increase in both sequence coverage and the number of modified peptides.","author":[{"dropping-particle":"","family":"Li","given":"Guo-Zhong Zhong","non-dropping-particle":"","parse-names":false,"suffix":""},{"dropping-particle":"","family":"Vissers","given":"Johannes P.C. C","non-dropping-particle":"","parse-names":false,"suffix":""},{"dropping-particle":"","family":"Silva","given":"Jeffrey C.","non-dropping-particle":"","parse-names":false,"suffix":""},{"dropping-particle":"","family":"Golick","given":"Dan","non-dropping-particle":"","parse-names":false,"suffix":""},{"dropping-particle":"V.","family":"Gorenstein","given":"Marc","non-dropping-particle":"","parse-names":false,"suffix":""},{"dropping-particle":"","family":"Geromanos","given":"Scott J.","non-dropping-particle":"","parse-names":false,"suffix":""}],"container-title":"PROTEOMICS","id":"ITEM-1","issue":"6","issued":{"date-parts":[["2009","3","1"]]},"page":"1696-1719","publisher":"WILEY-VCH Verlag","title":"Database searching and accounting of multiplexed precursor and product ion spectra from the data independent analysis of simple and complex peptide mixtures","type":"article-journal","volume":"9"},"uris":["http://www.mendeley.com/documents/?uuid=070b1ff9-f44a-4f7f-b0b1-3dcb39c5132b"]}],"mendeley":{"formattedCitation":"(22)","plainTextFormattedCitation":"(22)","previouslyFormattedCitation":"(22)"},"properties":{"noteIndex":0},"schema":"https://github.com/citation-style-language/schema/raw/master/csl-citation.json"}</w:instrText>
      </w:r>
      <w:r w:rsidR="00BA25DA" w:rsidRPr="00E15289">
        <w:rPr>
          <w:rFonts w:ascii="Arial" w:eastAsia="Arial" w:hAnsi="Arial" w:cs="Arial"/>
          <w:color w:val="auto"/>
          <w:sz w:val="24"/>
          <w:szCs w:val="24"/>
          <w:lang w:val="en-GB"/>
        </w:rPr>
        <w:fldChar w:fldCharType="separate"/>
      </w:r>
      <w:r w:rsidR="00A82711" w:rsidRPr="00E15289">
        <w:rPr>
          <w:rFonts w:ascii="Arial" w:eastAsia="Arial" w:hAnsi="Arial" w:cs="Arial"/>
          <w:noProof/>
          <w:color w:val="auto"/>
          <w:sz w:val="24"/>
          <w:szCs w:val="24"/>
          <w:lang w:val="en-GB"/>
        </w:rPr>
        <w:t>(22)</w:t>
      </w:r>
      <w:r w:rsidR="00BA25DA" w:rsidRPr="00E15289">
        <w:rPr>
          <w:rFonts w:ascii="Arial" w:eastAsia="Arial" w:hAnsi="Arial" w:cs="Arial"/>
          <w:color w:val="auto"/>
          <w:sz w:val="24"/>
          <w:szCs w:val="24"/>
          <w:lang w:val="en-GB"/>
        </w:rPr>
        <w:fldChar w:fldCharType="end"/>
      </w:r>
      <w:r w:rsidRPr="00E15289">
        <w:rPr>
          <w:rFonts w:ascii="Arial" w:eastAsia="Arial" w:hAnsi="Arial" w:cs="Arial"/>
          <w:color w:val="auto"/>
          <w:sz w:val="24"/>
          <w:szCs w:val="24"/>
          <w:lang w:val="en-GB"/>
        </w:rPr>
        <w:t xml:space="preserve">. Peptide and fragment ion tolerances were determined automatically, one missed cleavage site was allowed, as well as fixed modification </w:t>
      </w:r>
      <w:proofErr w:type="spellStart"/>
      <w:r w:rsidRPr="00E15289">
        <w:rPr>
          <w:rFonts w:ascii="Arial" w:eastAsia="Arial" w:hAnsi="Arial" w:cs="Arial"/>
          <w:color w:val="auto"/>
          <w:sz w:val="24"/>
          <w:szCs w:val="24"/>
          <w:lang w:val="en-GB"/>
        </w:rPr>
        <w:t>carbamidomethylation</w:t>
      </w:r>
      <w:proofErr w:type="spellEnd"/>
      <w:r w:rsidRPr="00E15289">
        <w:rPr>
          <w:rFonts w:ascii="Arial" w:eastAsia="Arial" w:hAnsi="Arial" w:cs="Arial"/>
          <w:color w:val="auto"/>
          <w:sz w:val="24"/>
          <w:szCs w:val="24"/>
          <w:lang w:val="en-GB"/>
        </w:rPr>
        <w:t xml:space="preserve"> of cysteine and variable modification oxidation of methionine. </w:t>
      </w:r>
      <w:proofErr w:type="spellStart"/>
      <w:r w:rsidRPr="00E15289">
        <w:rPr>
          <w:rFonts w:ascii="Arial" w:eastAsia="Arial" w:hAnsi="Arial" w:cs="Arial"/>
          <w:color w:val="auto"/>
          <w:sz w:val="24"/>
          <w:szCs w:val="24"/>
          <w:lang w:val="en-GB"/>
        </w:rPr>
        <w:t>ISOQuant</w:t>
      </w:r>
      <w:proofErr w:type="spellEnd"/>
      <w:r w:rsidRPr="00E15289">
        <w:rPr>
          <w:rFonts w:ascii="Arial" w:eastAsia="Arial" w:hAnsi="Arial" w:cs="Arial"/>
          <w:color w:val="auto"/>
          <w:sz w:val="24"/>
          <w:szCs w:val="24"/>
          <w:lang w:val="en-GB"/>
        </w:rPr>
        <w:t xml:space="preserve"> was applied for the co-detection based quantitative analysis of data derived from multiple LC-MS runs (http://www.isoquant.net).</w:t>
      </w:r>
      <w:r w:rsidR="00CA5352" w:rsidRPr="00E15289">
        <w:rPr>
          <w:rFonts w:ascii="Arial" w:eastAsia="Arial" w:hAnsi="Arial" w:cs="Arial"/>
          <w:color w:val="auto"/>
          <w:sz w:val="24"/>
          <w:szCs w:val="24"/>
          <w:lang w:val="en-GB"/>
        </w:rPr>
        <w:t xml:space="preserve"> </w:t>
      </w:r>
    </w:p>
    <w:p w14:paraId="720D6615" w14:textId="0430D395" w:rsidR="0045581E" w:rsidRPr="00E15289" w:rsidRDefault="003902CC" w:rsidP="0025140D">
      <w:pPr>
        <w:pStyle w:val="Default"/>
        <w:spacing w:afterLines="80" w:after="192" w:line="400" w:lineRule="exact"/>
        <w:jc w:val="both"/>
        <w:rPr>
          <w:rFonts w:ascii="Arial" w:eastAsia="Arial" w:hAnsi="Arial" w:cs="Arial"/>
          <w:i/>
          <w:color w:val="auto"/>
          <w:sz w:val="24"/>
          <w:szCs w:val="24"/>
          <w:lang w:val="en-GB"/>
        </w:rPr>
      </w:pPr>
      <w:r w:rsidRPr="00E15289">
        <w:rPr>
          <w:rFonts w:ascii="Arial" w:eastAsia="Arial" w:hAnsi="Arial" w:cs="Arial"/>
          <w:i/>
          <w:color w:val="auto"/>
          <w:sz w:val="24"/>
          <w:szCs w:val="24"/>
          <w:lang w:val="en-GB"/>
        </w:rPr>
        <w:t>Inform</w:t>
      </w:r>
      <w:r w:rsidR="00804170" w:rsidRPr="00E15289">
        <w:rPr>
          <w:rFonts w:ascii="Arial" w:eastAsia="Arial" w:hAnsi="Arial" w:cs="Arial"/>
          <w:i/>
          <w:color w:val="auto"/>
          <w:sz w:val="24"/>
          <w:szCs w:val="24"/>
          <w:lang w:val="en-GB"/>
        </w:rPr>
        <w:t>atics and statistical analysis</w:t>
      </w:r>
    </w:p>
    <w:p w14:paraId="522B0635" w14:textId="5B7F8795" w:rsidR="00A944B2" w:rsidRPr="00E15289" w:rsidRDefault="003902CC" w:rsidP="00AF04CF">
      <w:pPr>
        <w:pStyle w:val="Default"/>
        <w:spacing w:afterLines="80" w:after="192" w:line="400" w:lineRule="exact"/>
        <w:jc w:val="both"/>
        <w:rPr>
          <w:rFonts w:ascii="Arial" w:eastAsia="Arial" w:hAnsi="Arial" w:cs="Arial"/>
          <w:color w:val="auto"/>
          <w:lang w:val="en-GB"/>
        </w:rPr>
      </w:pPr>
      <w:r w:rsidRPr="00E15289">
        <w:rPr>
          <w:rFonts w:ascii="Arial" w:eastAsia="Arial" w:hAnsi="Arial" w:cs="Arial"/>
          <w:color w:val="auto"/>
          <w:sz w:val="24"/>
          <w:szCs w:val="24"/>
          <w:lang w:val="en-GB"/>
        </w:rPr>
        <w:t>The results data matrix, that is, normali</w:t>
      </w:r>
      <w:r w:rsidR="00FB01F8" w:rsidRPr="00E15289">
        <w:rPr>
          <w:rFonts w:ascii="Arial" w:eastAsia="Arial" w:hAnsi="Arial" w:cs="Arial"/>
          <w:color w:val="auto"/>
          <w:sz w:val="24"/>
          <w:szCs w:val="24"/>
          <w:lang w:val="en-GB"/>
        </w:rPr>
        <w:t>s</w:t>
      </w:r>
      <w:r w:rsidRPr="00E15289">
        <w:rPr>
          <w:rFonts w:ascii="Arial" w:eastAsia="Arial" w:hAnsi="Arial" w:cs="Arial"/>
          <w:color w:val="auto"/>
          <w:sz w:val="24"/>
          <w:szCs w:val="24"/>
          <w:lang w:val="en-GB"/>
        </w:rPr>
        <w:t xml:space="preserve">ed total abundance values based on the estimation of the amount of the proteins present within the samples </w:t>
      </w:r>
      <w:r w:rsidR="00513849" w:rsidRPr="00E15289">
        <w:rPr>
          <w:rFonts w:ascii="Arial" w:eastAsia="Arial" w:hAnsi="Arial" w:cs="Arial"/>
          <w:color w:val="auto"/>
          <w:sz w:val="24"/>
          <w:szCs w:val="24"/>
          <w:lang w:val="en-GB"/>
        </w:rPr>
        <w:fldChar w:fldCharType="begin" w:fldLock="1"/>
      </w:r>
      <w:r w:rsidR="002B48EE" w:rsidRPr="00E15289">
        <w:rPr>
          <w:rFonts w:ascii="Arial" w:eastAsia="Arial" w:hAnsi="Arial" w:cs="Arial"/>
          <w:color w:val="auto"/>
          <w:sz w:val="24"/>
          <w:szCs w:val="24"/>
          <w:lang w:val="en-GB"/>
        </w:rPr>
        <w:instrText>ADDIN CSL_CITATION {"citationItems":[{"id":"ITEM-1","itemData":{"DOI":"10.1074/mcp.M500230-MCP200","abstract":"Relative quantification methods have dominated the quantitative proteomics field. There is a need, however, to conduct absolute quantification studies to accurately model and understand the complex molecular biology that results in proteome variability among biological samples. A new method of absolute quantification of proteins is described. This method is based on the discovery of an unexpected relationship between MS signal response and protein concentration: the average MS signal response for the three most intense tryptic peptides per mole of protein is constant within a coefficient of variation of less than {+/-}10%. Given an internal standard, this relationship is used to calculate a universal signal response factor. The universal signal response factor (counts/mol) was shown to be the same for all proteins tested in this study. A controlled set of six exogenous proteins of varying concentrations was studied in the absence and presence of human serum. The absolute quantity of the standard proteins was determined with a relative error of less than {+/-}15%. The average MS signal responses of the three most intense peptides from each protein were plotted against their calculated protein concentrations, and this plot resulted in a linear relationship with an R2 value of 0.9939. The analyses were applied to determine the absolute concentration of 11 common serum proteins, and these concentrations were then compared with known values available in the literature. Additionally within an unfractionated Escherichia coli lysate, a subset of identified proteins known to exist as functional complexes was studied. The calculated absolute quantities were used to accurately determine their stoichiometry.\\n","author":[{"dropping-particle":"","family":"Li","given":"Guo-Zhong","non-dropping-particle":"","parse-names":false,"suffix":""},{"dropping-particle":"","family":"Geromanos","given":"Scott J.","non-dropping-particle":"","parse-names":false,"suffix":""},{"dropping-particle":"","family":"Silva","given":"Jeffrey C.","non-dropping-particle":"","parse-names":false,"suffix":""},{"dropping-particle":"V.","family":"Gorenstein","given":"Marc","non-dropping-particle":"","parse-names":false,"suffix":""},{"dropping-particle":"","family":"Vissers","given":"Johannes P. C.","non-dropping-particle":"","parse-names":false,"suffix":""}],"container-title":"Mol Cell Proteomics","id":"ITEM-1","issued":{"date-parts":[["2006"]]},"title":"Absolute Quantification of Proteins by LCMSE: A Virtue of Parallel ms Acquisition ","type":"article-journal"},"uris":["http://www.mendeley.com/documents/?uuid=866fd40e-f7ed-45c8-bec4-c73c2b721817"]}],"mendeley":{"formattedCitation":"(23)","plainTextFormattedCitation":"(23)","previouslyFormattedCitation":"(23)"},"properties":{"noteIndex":0},"schema":"https://github.com/citation-style-language/schema/raw/master/csl-citation.json"}</w:instrText>
      </w:r>
      <w:r w:rsidR="00513849" w:rsidRPr="00E15289">
        <w:rPr>
          <w:rFonts w:ascii="Arial" w:eastAsia="Arial" w:hAnsi="Arial" w:cs="Arial"/>
          <w:color w:val="auto"/>
          <w:sz w:val="24"/>
          <w:szCs w:val="24"/>
          <w:lang w:val="en-GB"/>
        </w:rPr>
        <w:fldChar w:fldCharType="separate"/>
      </w:r>
      <w:r w:rsidR="00491098" w:rsidRPr="00E15289">
        <w:rPr>
          <w:rFonts w:ascii="Arial" w:eastAsia="Arial" w:hAnsi="Arial" w:cs="Arial"/>
          <w:noProof/>
          <w:color w:val="auto"/>
          <w:sz w:val="24"/>
          <w:szCs w:val="24"/>
          <w:lang w:val="en-GB"/>
        </w:rPr>
        <w:t>(23)</w:t>
      </w:r>
      <w:r w:rsidR="00513849" w:rsidRPr="00E15289">
        <w:rPr>
          <w:rFonts w:ascii="Arial" w:eastAsia="Arial" w:hAnsi="Arial" w:cs="Arial"/>
          <w:color w:val="auto"/>
          <w:sz w:val="24"/>
          <w:szCs w:val="24"/>
          <w:lang w:val="en-GB"/>
        </w:rPr>
        <w:fldChar w:fldCharType="end"/>
      </w:r>
      <w:r w:rsidRPr="00E15289">
        <w:rPr>
          <w:rFonts w:ascii="Arial" w:eastAsia="Arial" w:hAnsi="Arial" w:cs="Arial"/>
          <w:color w:val="auto"/>
          <w:sz w:val="24"/>
          <w:szCs w:val="24"/>
          <w:lang w:val="en-GB"/>
        </w:rPr>
        <w:t xml:space="preserve">, was imported into </w:t>
      </w:r>
      <w:proofErr w:type="spellStart"/>
      <w:r w:rsidRPr="00E15289">
        <w:rPr>
          <w:rFonts w:ascii="Arial" w:eastAsia="Arial" w:hAnsi="Arial" w:cs="Arial"/>
          <w:color w:val="auto"/>
          <w:sz w:val="24"/>
          <w:szCs w:val="24"/>
          <w:lang w:val="en-GB"/>
        </w:rPr>
        <w:t>EZinfo</w:t>
      </w:r>
      <w:proofErr w:type="spellEnd"/>
      <w:r w:rsidRPr="00E15289">
        <w:rPr>
          <w:rFonts w:ascii="Arial" w:eastAsia="Arial" w:hAnsi="Arial" w:cs="Arial"/>
          <w:color w:val="auto"/>
          <w:sz w:val="24"/>
          <w:szCs w:val="24"/>
          <w:lang w:val="en-GB"/>
        </w:rPr>
        <w:t xml:space="preserve"> (</w:t>
      </w:r>
      <w:proofErr w:type="spellStart"/>
      <w:r w:rsidRPr="00E15289">
        <w:rPr>
          <w:rFonts w:ascii="Arial" w:eastAsia="Arial" w:hAnsi="Arial" w:cs="Arial"/>
          <w:color w:val="auto"/>
          <w:sz w:val="24"/>
          <w:szCs w:val="24"/>
          <w:lang w:val="en-GB"/>
        </w:rPr>
        <w:t>Umetrics</w:t>
      </w:r>
      <w:proofErr w:type="spellEnd"/>
      <w:r w:rsidRPr="00E15289">
        <w:rPr>
          <w:rFonts w:ascii="Arial" w:eastAsia="Arial" w:hAnsi="Arial" w:cs="Arial"/>
          <w:color w:val="auto"/>
          <w:sz w:val="24"/>
          <w:szCs w:val="24"/>
          <w:lang w:val="en-GB"/>
        </w:rPr>
        <w:t xml:space="preserve">, </w:t>
      </w:r>
      <w:proofErr w:type="spellStart"/>
      <w:r w:rsidRPr="00E15289">
        <w:rPr>
          <w:rFonts w:ascii="Arial" w:eastAsia="Arial" w:hAnsi="Arial" w:cs="Arial"/>
          <w:color w:val="auto"/>
          <w:sz w:val="24"/>
          <w:szCs w:val="24"/>
          <w:lang w:val="en-GB"/>
        </w:rPr>
        <w:t>Umeå</w:t>
      </w:r>
      <w:proofErr w:type="spellEnd"/>
      <w:r w:rsidRPr="00E15289">
        <w:rPr>
          <w:rFonts w:ascii="Arial" w:eastAsia="Arial" w:hAnsi="Arial" w:cs="Arial"/>
          <w:color w:val="auto"/>
          <w:sz w:val="24"/>
          <w:szCs w:val="24"/>
          <w:lang w:val="en-GB"/>
        </w:rPr>
        <w:t xml:space="preserve">, Sweden) for multivariate statistical analysis, using Principal Component Analysis (PCA) followed by orthogonal projection to latent structures discriminant analysis (OPLS-DA) to identify group differences based on covariance and correlation. Pareto scaling </w:t>
      </w:r>
      <w:r w:rsidRPr="00E15289">
        <w:rPr>
          <w:rFonts w:ascii="Arial" w:eastAsia="Arial" w:hAnsi="Arial" w:cs="Arial"/>
          <w:color w:val="auto"/>
          <w:sz w:val="24"/>
          <w:szCs w:val="24"/>
          <w:lang w:val="en-GB"/>
        </w:rPr>
        <w:lastRenderedPageBreak/>
        <w:t xml:space="preserve">was used in which each variable was </w:t>
      </w:r>
      <w:r w:rsidR="001130FA" w:rsidRPr="00E15289">
        <w:rPr>
          <w:rFonts w:ascii="Arial" w:eastAsia="Arial" w:hAnsi="Arial" w:cs="Arial"/>
          <w:color w:val="auto"/>
          <w:sz w:val="24"/>
          <w:szCs w:val="24"/>
          <w:lang w:val="en-GB"/>
        </w:rPr>
        <w:t>centred</w:t>
      </w:r>
      <w:r w:rsidRPr="00E15289">
        <w:rPr>
          <w:rFonts w:ascii="Arial" w:eastAsia="Arial" w:hAnsi="Arial" w:cs="Arial"/>
          <w:color w:val="auto"/>
          <w:sz w:val="24"/>
          <w:szCs w:val="24"/>
          <w:lang w:val="en-GB"/>
        </w:rPr>
        <w:t xml:space="preserve"> and multiplied by 1/√</w:t>
      </w:r>
      <w:proofErr w:type="spellStart"/>
      <w:r w:rsidRPr="00E15289">
        <w:rPr>
          <w:rFonts w:ascii="Arial" w:eastAsia="Arial" w:hAnsi="Arial" w:cs="Arial"/>
          <w:color w:val="auto"/>
          <w:sz w:val="24"/>
          <w:szCs w:val="24"/>
          <w:lang w:val="en-GB"/>
        </w:rPr>
        <w:t>Sk</w:t>
      </w:r>
      <w:proofErr w:type="spellEnd"/>
      <w:r w:rsidRPr="00E15289">
        <w:rPr>
          <w:rFonts w:ascii="Arial" w:eastAsia="Arial" w:hAnsi="Arial" w:cs="Arial"/>
          <w:color w:val="auto"/>
          <w:sz w:val="24"/>
          <w:szCs w:val="24"/>
          <w:lang w:val="en-GB"/>
        </w:rPr>
        <w:t xml:space="preserve">, where </w:t>
      </w:r>
      <w:proofErr w:type="spellStart"/>
      <w:r w:rsidRPr="00E15289">
        <w:rPr>
          <w:rFonts w:ascii="Arial" w:eastAsia="Arial" w:hAnsi="Arial" w:cs="Arial"/>
          <w:color w:val="auto"/>
          <w:sz w:val="24"/>
          <w:szCs w:val="24"/>
          <w:lang w:val="en-GB"/>
        </w:rPr>
        <w:t>Sk</w:t>
      </w:r>
      <w:proofErr w:type="spellEnd"/>
      <w:r w:rsidRPr="00E15289">
        <w:rPr>
          <w:rFonts w:ascii="Arial" w:eastAsia="Arial" w:hAnsi="Arial" w:cs="Arial"/>
          <w:color w:val="auto"/>
          <w:sz w:val="24"/>
          <w:szCs w:val="24"/>
          <w:lang w:val="en-GB"/>
        </w:rPr>
        <w:t xml:space="preserve"> is the standard deviation of the variable. Identification of variable protein perturbations was achieved by examination of the OPLS-DA loadings dist</w:t>
      </w:r>
      <w:r w:rsidR="00A334A0" w:rsidRPr="00E15289">
        <w:rPr>
          <w:rFonts w:ascii="Arial" w:eastAsia="Arial" w:hAnsi="Arial" w:cs="Arial"/>
          <w:color w:val="auto"/>
          <w:sz w:val="24"/>
          <w:szCs w:val="24"/>
          <w:lang w:val="en-GB"/>
        </w:rPr>
        <w:t>r</w:t>
      </w:r>
      <w:r w:rsidRPr="00E15289">
        <w:rPr>
          <w:rFonts w:ascii="Arial" w:eastAsia="Arial" w:hAnsi="Arial" w:cs="Arial"/>
          <w:color w:val="auto"/>
          <w:sz w:val="24"/>
          <w:szCs w:val="24"/>
          <w:lang w:val="en-GB"/>
        </w:rPr>
        <w:t>ibutions where variables with high covariance and correlation where selected for further investigation.</w:t>
      </w:r>
      <w:r w:rsidR="00867EE7" w:rsidRPr="00E15289">
        <w:rPr>
          <w:rFonts w:ascii="Arial" w:eastAsia="Arial" w:hAnsi="Arial" w:cs="Arial"/>
          <w:color w:val="auto"/>
          <w:sz w:val="24"/>
          <w:szCs w:val="24"/>
          <w:lang w:val="en-GB"/>
        </w:rPr>
        <w:t xml:space="preserve"> </w:t>
      </w:r>
      <w:r w:rsidR="00282F44" w:rsidRPr="00E15289">
        <w:rPr>
          <w:rFonts w:ascii="Arial" w:eastAsia="Arial" w:hAnsi="Arial" w:cs="Arial"/>
          <w:color w:val="auto"/>
          <w:sz w:val="24"/>
          <w:szCs w:val="24"/>
          <w:lang w:val="en-GB"/>
        </w:rPr>
        <w:t>The r</w:t>
      </w:r>
      <w:r w:rsidR="00867EE7" w:rsidRPr="00E15289">
        <w:rPr>
          <w:rFonts w:ascii="Arial" w:eastAsia="Arial" w:hAnsi="Arial" w:cs="Arial"/>
          <w:color w:val="auto"/>
          <w:sz w:val="24"/>
          <w:szCs w:val="24"/>
          <w:lang w:val="en-GB"/>
        </w:rPr>
        <w:t>esultant data w</w:t>
      </w:r>
      <w:r w:rsidR="00D22E9B" w:rsidRPr="00E15289">
        <w:rPr>
          <w:rFonts w:ascii="Arial" w:eastAsia="Arial" w:hAnsi="Arial" w:cs="Arial"/>
          <w:color w:val="auto"/>
          <w:sz w:val="24"/>
          <w:szCs w:val="24"/>
          <w:lang w:val="en-GB"/>
        </w:rPr>
        <w:t>ere visualized using R v3.3.2, ggplot2 v2.2.1, STRING</w:t>
      </w:r>
      <w:r w:rsidR="007B7577" w:rsidRPr="00E15289">
        <w:rPr>
          <w:rFonts w:ascii="Arial" w:eastAsia="Arial" w:hAnsi="Arial" w:cs="Arial"/>
          <w:color w:val="auto"/>
          <w:sz w:val="24"/>
          <w:szCs w:val="24"/>
          <w:lang w:val="en-GB"/>
        </w:rPr>
        <w:t xml:space="preserve"> </w:t>
      </w:r>
      <w:r w:rsidR="007B7577" w:rsidRPr="00E15289">
        <w:rPr>
          <w:rFonts w:ascii="Arial" w:eastAsia="Arial" w:hAnsi="Arial" w:cs="Arial"/>
          <w:color w:val="auto"/>
          <w:sz w:val="24"/>
          <w:szCs w:val="24"/>
          <w:lang w:val="en-GB"/>
        </w:rPr>
        <w:fldChar w:fldCharType="begin" w:fldLock="1"/>
      </w:r>
      <w:r w:rsidR="002B48EE" w:rsidRPr="00E15289">
        <w:rPr>
          <w:rFonts w:ascii="Arial" w:eastAsia="Arial" w:hAnsi="Arial" w:cs="Arial"/>
          <w:color w:val="auto"/>
          <w:sz w:val="24"/>
          <w:szCs w:val="24"/>
          <w:lang w:val="en-GB"/>
        </w:rPr>
        <w:instrText>ADDIN CSL_CITATION {"citationItems":[{"id":"ITEM-1","itemData":{"DOI":"10.1186/s12859-015-0615-z","ISSN":"14712105","abstract":"BACKGROUND: Understanding living systems is crucial for curing diseases. To achieve this task we have to understand biological networks based on protein-protein interactions. Bioinformatics has come up with a great amount of databases and tools that support analysts in exploring protein-protein interactions on an integrated level for knowledge discovery. They provide predictions and correlations, indicate possibilities for future experimental research and fill the gaps to complete the picture of biochemical processes. There are numerous and huge databases of protein-protein interactions used to gain insights into answering some of the many questions of systems biology. Many computational resources integrate interaction data with additional information on molecular background. However, the vast number of diverse Bioinformatics resources poses an obstacle to the goal of understanding. We present a survey of databases that enable the visual analysis of protein networks.\\n\\nRESULTS: We selected M=10 out of N=53 resources supporting visualization, and we tested against the following set of criteria: interoperability, data integration, quantity of possible interactions, data visualization quality and data coverage. The study reveals differences in usability, visualization features and quality as well as the quantity of interactions. StringDB is the recommended first choice. CPDB presents a comprehensive dataset and IntAct lets the user change the network layout. A comprehensive comparison table is available via web. The supplementary table can be accessed on http://tinyurl.com/PPI-DB-Comparison-2015.\\n\\nCONCLUSIONS: Only some web resources featuring graph visualization can be successfully applied to interactive visual analysis of protein-protein interaction. Study results underline the necessity for further enhancements of visualization integration in biochemical analysis tools. Identified challenges are data comprehensiveness, confidence, interactive feature and visualization maturing.","author":[{"dropping-particle":"","family":"Jeanquartier","given":"Fleur","non-dropping-particle":"","parse-names":false,"suffix":""},{"dropping-particle":"","family":"Jean-Quartier","given":"Claire","non-dropping-particle":"","parse-names":false,"suffix":""},{"dropping-particle":"","family":"Holzinger","given":"Andreas","non-dropping-particle":"","parse-names":false,"suffix":""}],"container-title":"BMC Bioinformatics","id":"ITEM-1","issued":{"date-parts":[["2015"]]},"title":"Integrated web visualizations for protein-protein interaction databases","type":"article-journal"},"uris":["http://www.mendeley.com/documents/?uuid=49483f7c-effd-4b32-ba99-5470320daa0d"]}],"mendeley":{"formattedCitation":"(24)","plainTextFormattedCitation":"(24)","previouslyFormattedCitation":"(24)"},"properties":{"noteIndex":0},"schema":"https://github.com/citation-style-language/schema/raw/master/csl-citation.json"}</w:instrText>
      </w:r>
      <w:r w:rsidR="007B7577" w:rsidRPr="00E15289">
        <w:rPr>
          <w:rFonts w:ascii="Arial" w:eastAsia="Arial" w:hAnsi="Arial" w:cs="Arial"/>
          <w:color w:val="auto"/>
          <w:sz w:val="24"/>
          <w:szCs w:val="24"/>
          <w:lang w:val="en-GB"/>
        </w:rPr>
        <w:fldChar w:fldCharType="separate"/>
      </w:r>
      <w:r w:rsidR="00491098" w:rsidRPr="00E15289">
        <w:rPr>
          <w:rFonts w:ascii="Arial" w:eastAsia="Arial" w:hAnsi="Arial" w:cs="Arial"/>
          <w:noProof/>
          <w:color w:val="auto"/>
          <w:sz w:val="24"/>
          <w:szCs w:val="24"/>
          <w:lang w:val="en-GB"/>
        </w:rPr>
        <w:t>(24)</w:t>
      </w:r>
      <w:r w:rsidR="007B7577" w:rsidRPr="00E15289">
        <w:rPr>
          <w:rFonts w:ascii="Arial" w:eastAsia="Arial" w:hAnsi="Arial" w:cs="Arial"/>
          <w:color w:val="auto"/>
          <w:sz w:val="24"/>
          <w:szCs w:val="24"/>
          <w:lang w:val="en-GB"/>
        </w:rPr>
        <w:fldChar w:fldCharType="end"/>
      </w:r>
      <w:r w:rsidR="007548AE" w:rsidRPr="00E15289">
        <w:rPr>
          <w:rFonts w:ascii="Arial" w:eastAsia="Arial" w:hAnsi="Arial" w:cs="Arial"/>
          <w:color w:val="auto"/>
          <w:sz w:val="24"/>
          <w:szCs w:val="24"/>
          <w:lang w:val="en-GB"/>
        </w:rPr>
        <w:t xml:space="preserve"> </w:t>
      </w:r>
      <w:r w:rsidR="00D22E9B" w:rsidRPr="00E15289">
        <w:rPr>
          <w:rFonts w:ascii="Arial" w:eastAsia="Arial" w:hAnsi="Arial" w:cs="Arial"/>
          <w:color w:val="auto"/>
          <w:sz w:val="24"/>
          <w:szCs w:val="24"/>
          <w:lang w:val="en-GB"/>
        </w:rPr>
        <w:t xml:space="preserve">and </w:t>
      </w:r>
      <w:proofErr w:type="spellStart"/>
      <w:r w:rsidR="00D22E9B" w:rsidRPr="00E15289">
        <w:rPr>
          <w:rFonts w:ascii="Arial" w:eastAsia="Arial" w:hAnsi="Arial" w:cs="Arial"/>
          <w:color w:val="auto"/>
          <w:sz w:val="24"/>
          <w:szCs w:val="24"/>
          <w:lang w:val="en-GB"/>
        </w:rPr>
        <w:t>Reactome</w:t>
      </w:r>
      <w:proofErr w:type="spellEnd"/>
      <w:r w:rsidR="007657C4" w:rsidRPr="00E15289">
        <w:rPr>
          <w:rFonts w:ascii="Arial" w:eastAsia="Arial" w:hAnsi="Arial" w:cs="Arial"/>
          <w:color w:val="auto"/>
          <w:sz w:val="24"/>
          <w:szCs w:val="24"/>
          <w:lang w:val="en-GB"/>
        </w:rPr>
        <w:t xml:space="preserve"> </w:t>
      </w:r>
      <w:r w:rsidR="007657C4" w:rsidRPr="00E15289">
        <w:rPr>
          <w:rFonts w:ascii="Arial" w:eastAsia="Arial" w:hAnsi="Arial" w:cs="Arial"/>
          <w:color w:val="auto"/>
          <w:sz w:val="24"/>
          <w:szCs w:val="24"/>
          <w:lang w:val="en-GB"/>
        </w:rPr>
        <w:fldChar w:fldCharType="begin" w:fldLock="1"/>
      </w:r>
      <w:r w:rsidR="002B48EE" w:rsidRPr="00E15289">
        <w:rPr>
          <w:rFonts w:ascii="Arial" w:eastAsia="Arial" w:hAnsi="Arial" w:cs="Arial"/>
          <w:color w:val="auto"/>
          <w:sz w:val="24"/>
          <w:szCs w:val="24"/>
          <w:lang w:val="en-GB"/>
        </w:rPr>
        <w:instrText>ADDIN CSL_CITATION {"citationItems":[{"id":"ITEM-1","itemData":{"DOI":"10.1093/nar/gkx1132","ISSN":"1362-4962","PMID":"29145629","abstract":"The Reactome Knowledgebase (https://reactome.org) provides molecular details of signal transduction, transport, DNA replication, metabolism, and other cellular processes as an ordered network of molecular transformations-an extended version of a classic metabolic map, in a single consistent data model. Reactome functions both as an archive of biological processes and as a tool for discovering unexpected functional relationships in data such as gene expression profiles or somatic mutation catalogues from tumor cells. To support the continued brisk growth in the size and complexity of Reactome, we have implemented a graph database, improved performance of data analysis tools, and designed new data structures and strategies to boost diagram viewer performance. To make our website more accessible to human users, we have improved pathway display and navigation by implementing interactive Enhanced High Level Diagrams (EHLDs) with an associated icon library, and subpathway highlighting and zooming, in a simplified and reorganized web site with adaptive design. To encourage re-use of our content, we have enabled export of pathway diagrams as 'PowerPoint' files.","author":[{"dropping-particle":"","family":"Fabregat","given":"Antonio","non-dropping-particle":"","parse-names":false,"suffix":""},{"dropping-particle":"","family":"Jupe","given":"Steven","non-dropping-particle":"","parse-names":false,"suffix":""},{"dropping-particle":"","family":"Matthews","given":"Lisa","non-dropping-particle":"","parse-names":false,"suffix":""},{"dropping-particle":"","family":"Sidiropoulos","given":"Konstantinos","non-dropping-particle":"","parse-names":false,"suffix":""},{"dropping-particle":"","family":"Gillespie","given":"Marc","non-dropping-particle":"","parse-names":false,"suffix":""},{"dropping-particle":"","family":"Garapati","given":"Phani","non-dropping-particle":"","parse-names":false,"suffix":""},{"dropping-particle":"","family":"Haw","given":"Robin","non-dropping-particle":"","parse-names":false,"suffix":""},{"dropping-particle":"","family":"Jassal","given":"Bijay","non-dropping-particle":"","parse-names":false,"suffix":""},{"dropping-particle":"","family":"Korninger","given":"Florian","non-dropping-particle":"","parse-names":false,"suffix":""},{"dropping-particle":"","family":"May","given":"Bruce","non-dropping-particle":"","parse-names":false,"suffix":""},{"dropping-particle":"","family":"Milacic","given":"Marija","non-dropping-particle":"","parse-names":false,"suffix":""},{"dropping-particle":"","family":"Roca","given":"Corina Duenas","non-dropping-particle":"","parse-names":false,"suffix":""},{"dropping-particle":"","family":"Rothfels","given":"Karen","non-dropping-particle":"","parse-names":false,"suffix":""},{"dropping-particle":"","family":"Sevilla","given":"Cristoffer","non-dropping-particle":"","parse-names":false,"suffix":""},{"dropping-particle":"","family":"Shamovsky","given":"Veronica","non-dropping-particle":"","parse-names":false,"suffix":""},{"dropping-particle":"","family":"Shorser","given":"Solomon","non-dropping-particle":"","parse-names":false,"suffix":""},{"dropping-particle":"","family":"Varusai","given":"Thawfeek","non-dropping-particle":"","parse-names":false,"suffix":""},{"dropping-particle":"","family":"Viteri","given":"Guilherme","non-dropping-particle":"","parse-names":false,"suffix":""},{"dropping-particle":"","family":"Weiser","given":"Joel","non-dropping-particle":"","parse-names":false,"suffix":""},{"dropping-particle":"","family":"Wu","given":"Guanming","non-dropping-particle":"","parse-names":false,"suffix":""},{"dropping-particle":"","family":"Stein","given":"Lincoln","non-dropping-particle":"","parse-names":false,"suffix":""},{"dropping-particle":"","family":"Hermjakob","given":"Henning","non-dropping-particle":"","parse-names":false,"suffix":""},{"dropping-particle":"","family":"D'Eustachio","given":"Peter","non-dropping-particle":"","parse-names":false,"suffix":""}],"container-title":"Nucleic acids research","id":"ITEM-1","issued":{"date-parts":[["2018"]]},"title":"The Reactome Pathway Knowledgebase.","type":"article-journal"},"uris":["http://www.mendeley.com/documents/?uuid=1e24b305-d1a9-4536-aefe-e4133a99f9f9"]}],"mendeley":{"formattedCitation":"(25)","plainTextFormattedCitation":"(25)","previouslyFormattedCitation":"(25)"},"properties":{"noteIndex":0},"schema":"https://github.com/citation-style-language/schema/raw/master/csl-citation.json"}</w:instrText>
      </w:r>
      <w:r w:rsidR="007657C4" w:rsidRPr="00E15289">
        <w:rPr>
          <w:rFonts w:ascii="Arial" w:eastAsia="Arial" w:hAnsi="Arial" w:cs="Arial"/>
          <w:color w:val="auto"/>
          <w:sz w:val="24"/>
          <w:szCs w:val="24"/>
          <w:lang w:val="en-GB"/>
        </w:rPr>
        <w:fldChar w:fldCharType="separate"/>
      </w:r>
      <w:r w:rsidR="00491098" w:rsidRPr="00E15289">
        <w:rPr>
          <w:rFonts w:ascii="Arial" w:eastAsia="Arial" w:hAnsi="Arial" w:cs="Arial"/>
          <w:noProof/>
          <w:color w:val="auto"/>
          <w:sz w:val="24"/>
          <w:szCs w:val="24"/>
          <w:lang w:val="en-GB"/>
        </w:rPr>
        <w:t>(25)</w:t>
      </w:r>
      <w:r w:rsidR="007657C4" w:rsidRPr="00E15289">
        <w:rPr>
          <w:rFonts w:ascii="Arial" w:eastAsia="Arial" w:hAnsi="Arial" w:cs="Arial"/>
          <w:color w:val="auto"/>
          <w:sz w:val="24"/>
          <w:szCs w:val="24"/>
          <w:lang w:val="en-GB"/>
        </w:rPr>
        <w:fldChar w:fldCharType="end"/>
      </w:r>
      <w:r w:rsidR="00D22E9B" w:rsidRPr="00E15289">
        <w:rPr>
          <w:rFonts w:ascii="Arial" w:eastAsia="Arial" w:hAnsi="Arial" w:cs="Arial"/>
          <w:color w:val="auto"/>
          <w:sz w:val="24"/>
          <w:szCs w:val="24"/>
          <w:lang w:val="en-GB"/>
        </w:rPr>
        <w:t>.</w:t>
      </w:r>
      <w:r w:rsidR="00576812" w:rsidRPr="00E15289">
        <w:rPr>
          <w:rFonts w:ascii="Arial" w:eastAsia="Arial" w:hAnsi="Arial" w:cs="Arial"/>
          <w:color w:val="auto"/>
          <w:sz w:val="24"/>
          <w:szCs w:val="24"/>
          <w:lang w:val="en-GB"/>
        </w:rPr>
        <w:t xml:space="preserve"> Gene ontology</w:t>
      </w:r>
      <w:r w:rsidR="007B7577" w:rsidRPr="00E15289">
        <w:rPr>
          <w:rFonts w:ascii="Arial" w:eastAsia="Arial" w:hAnsi="Arial" w:cs="Arial"/>
          <w:color w:val="auto"/>
          <w:sz w:val="24"/>
          <w:szCs w:val="24"/>
          <w:lang w:val="en-GB"/>
        </w:rPr>
        <w:t xml:space="preserve"> annotation</w:t>
      </w:r>
      <w:r w:rsidR="00576812" w:rsidRPr="00E15289">
        <w:rPr>
          <w:rFonts w:ascii="Arial" w:eastAsia="Arial" w:hAnsi="Arial" w:cs="Arial"/>
          <w:color w:val="auto"/>
          <w:sz w:val="24"/>
          <w:szCs w:val="24"/>
          <w:lang w:val="en-GB"/>
        </w:rPr>
        <w:t xml:space="preserve"> was conducted</w:t>
      </w:r>
      <w:r w:rsidR="007B7577" w:rsidRPr="00E15289">
        <w:rPr>
          <w:rFonts w:ascii="Arial" w:eastAsia="Arial" w:hAnsi="Arial" w:cs="Arial"/>
          <w:color w:val="auto"/>
          <w:sz w:val="24"/>
          <w:szCs w:val="24"/>
          <w:lang w:val="en-GB"/>
        </w:rPr>
        <w:t xml:space="preserve"> with </w:t>
      </w:r>
      <w:r w:rsidR="00782E8D" w:rsidRPr="00E15289">
        <w:rPr>
          <w:rFonts w:ascii="Arial" w:eastAsia="Arial" w:hAnsi="Arial" w:cs="Arial"/>
          <w:color w:val="auto"/>
          <w:sz w:val="24"/>
          <w:szCs w:val="24"/>
          <w:lang w:val="en-GB"/>
        </w:rPr>
        <w:t xml:space="preserve">DAVID Bioinformatics Resources 6.8 </w:t>
      </w:r>
      <w:r w:rsidR="007B7577" w:rsidRPr="00E15289">
        <w:rPr>
          <w:rFonts w:ascii="Arial" w:eastAsia="Arial" w:hAnsi="Arial" w:cs="Arial"/>
          <w:color w:val="auto"/>
          <w:sz w:val="24"/>
          <w:szCs w:val="24"/>
          <w:lang w:val="en-GB"/>
        </w:rPr>
        <w:fldChar w:fldCharType="begin" w:fldLock="1"/>
      </w:r>
      <w:r w:rsidR="002B48EE" w:rsidRPr="00E15289">
        <w:rPr>
          <w:rFonts w:ascii="Arial" w:eastAsia="Arial" w:hAnsi="Arial" w:cs="Arial"/>
          <w:color w:val="auto"/>
          <w:sz w:val="24"/>
          <w:szCs w:val="24"/>
          <w:lang w:val="en-GB"/>
        </w:rPr>
        <w:instrText>ADDIN CSL_CITATION {"citationItems":[{"id":"ITEM-1","itemData":{"DOI":"10.1093/nar/gkn923","ISSN":"03051048","abstract":"Functional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interests.","author":[{"dropping-particle":"","family":"Huang","given":"Da Wei","non-dropping-particle":"","parse-names":false,"suffix":""},{"dropping-particle":"","family":"Sherman","given":"Brad T.","non-dropping-particle":"","parse-names":false,"suffix":""},{"dropping-particle":"","family":"Lempicki","given":"Richard A.","non-dropping-particle":"","parse-names":false,"suffix":""}],"container-title":"Nucleic Acids Research","id":"ITEM-1","issued":{"date-parts":[["2009"]]},"title":"Bioinformatics enrichment tools: Paths toward the comprehensive functional analysis of large gene lists","type":"article-journal"},"uris":["http://www.mendeley.com/documents/?uuid=1c60cc90-e636-4f71-baad-dc3adf65621e"]}],"mendeley":{"formattedCitation":"(26)","plainTextFormattedCitation":"(26)","previouslyFormattedCitation":"(26)"},"properties":{"noteIndex":0},"schema":"https://github.com/citation-style-language/schema/raw/master/csl-citation.json"}</w:instrText>
      </w:r>
      <w:r w:rsidR="007B7577" w:rsidRPr="00E15289">
        <w:rPr>
          <w:rFonts w:ascii="Arial" w:eastAsia="Arial" w:hAnsi="Arial" w:cs="Arial"/>
          <w:color w:val="auto"/>
          <w:sz w:val="24"/>
          <w:szCs w:val="24"/>
          <w:lang w:val="en-GB"/>
        </w:rPr>
        <w:fldChar w:fldCharType="separate"/>
      </w:r>
      <w:r w:rsidR="00491098" w:rsidRPr="00E15289">
        <w:rPr>
          <w:rFonts w:ascii="Arial" w:eastAsia="Arial" w:hAnsi="Arial" w:cs="Arial"/>
          <w:noProof/>
          <w:color w:val="auto"/>
          <w:sz w:val="24"/>
          <w:szCs w:val="24"/>
          <w:lang w:val="en-GB"/>
        </w:rPr>
        <w:t>(26)</w:t>
      </w:r>
      <w:r w:rsidR="007B7577" w:rsidRPr="00E15289">
        <w:rPr>
          <w:rFonts w:ascii="Arial" w:eastAsia="Arial" w:hAnsi="Arial" w:cs="Arial"/>
          <w:color w:val="auto"/>
          <w:sz w:val="24"/>
          <w:szCs w:val="24"/>
          <w:lang w:val="en-GB"/>
        </w:rPr>
        <w:fldChar w:fldCharType="end"/>
      </w:r>
      <w:r w:rsidR="007B7577" w:rsidRPr="00E15289">
        <w:rPr>
          <w:rFonts w:ascii="Arial" w:eastAsia="Arial" w:hAnsi="Arial" w:cs="Arial"/>
          <w:color w:val="auto"/>
          <w:sz w:val="24"/>
          <w:szCs w:val="24"/>
          <w:lang w:val="en-GB"/>
        </w:rPr>
        <w:t xml:space="preserve">. </w:t>
      </w:r>
    </w:p>
    <w:p w14:paraId="0B73C2D3" w14:textId="7A66469C" w:rsidR="0099326F" w:rsidRPr="00E15289" w:rsidRDefault="0099326F" w:rsidP="0025140D">
      <w:pPr>
        <w:pStyle w:val="Default"/>
        <w:spacing w:afterLines="80" w:after="192" w:line="400" w:lineRule="exact"/>
        <w:jc w:val="both"/>
        <w:rPr>
          <w:rFonts w:ascii="Arial" w:eastAsia="Arial" w:hAnsi="Arial" w:cs="Arial"/>
          <w:i/>
          <w:color w:val="auto"/>
          <w:sz w:val="24"/>
          <w:szCs w:val="24"/>
          <w:lang w:val="en-GB"/>
        </w:rPr>
      </w:pPr>
      <w:r w:rsidRPr="00E15289">
        <w:rPr>
          <w:rFonts w:ascii="Arial" w:eastAsia="Arial" w:hAnsi="Arial" w:cs="Arial"/>
          <w:i/>
          <w:color w:val="auto"/>
          <w:sz w:val="24"/>
          <w:szCs w:val="24"/>
          <w:lang w:val="en-GB"/>
        </w:rPr>
        <w:t>Disease-based network</w:t>
      </w:r>
      <w:r w:rsidR="00282F44" w:rsidRPr="00E15289">
        <w:rPr>
          <w:rFonts w:ascii="Arial" w:eastAsia="Arial" w:hAnsi="Arial" w:cs="Arial"/>
          <w:i/>
          <w:color w:val="auto"/>
          <w:sz w:val="24"/>
          <w:szCs w:val="24"/>
          <w:lang w:val="en-GB"/>
        </w:rPr>
        <w:t xml:space="preserve"> analysis</w:t>
      </w:r>
    </w:p>
    <w:p w14:paraId="0DE19686" w14:textId="506D361D" w:rsidR="00AF04CF" w:rsidRPr="00E15289" w:rsidRDefault="0099326F" w:rsidP="00CC2B89">
      <w:pPr>
        <w:pStyle w:val="Default"/>
        <w:spacing w:afterLines="80" w:after="192" w:line="400" w:lineRule="exact"/>
        <w:jc w:val="both"/>
        <w:rPr>
          <w:rFonts w:ascii="Arial" w:eastAsia="Arial" w:hAnsi="Arial" w:cs="Arial"/>
          <w:color w:val="auto"/>
          <w:lang w:val="en-GB"/>
        </w:rPr>
      </w:pPr>
      <w:r w:rsidRPr="00E15289">
        <w:rPr>
          <w:rFonts w:ascii="Arial" w:eastAsia="Arial" w:hAnsi="Arial" w:cs="Arial"/>
          <w:color w:val="auto"/>
          <w:sz w:val="24"/>
          <w:szCs w:val="24"/>
          <w:lang w:val="en-GB"/>
        </w:rPr>
        <w:t xml:space="preserve">The </w:t>
      </w:r>
      <w:proofErr w:type="spellStart"/>
      <w:r w:rsidRPr="00E15289">
        <w:rPr>
          <w:rFonts w:ascii="Arial" w:eastAsia="Arial" w:hAnsi="Arial" w:cs="Arial"/>
          <w:color w:val="auto"/>
          <w:sz w:val="24"/>
          <w:szCs w:val="24"/>
          <w:lang w:val="en-GB"/>
        </w:rPr>
        <w:t>cBio</w:t>
      </w:r>
      <w:proofErr w:type="spellEnd"/>
      <w:r w:rsidRPr="00E15289">
        <w:rPr>
          <w:rFonts w:ascii="Arial" w:eastAsia="Arial" w:hAnsi="Arial" w:cs="Arial"/>
          <w:color w:val="auto"/>
          <w:sz w:val="24"/>
          <w:szCs w:val="24"/>
          <w:lang w:val="en-GB"/>
        </w:rPr>
        <w:t xml:space="preserve"> Cancer Genomics Portal</w:t>
      </w:r>
      <w:r w:rsidR="00AE79BB" w:rsidRPr="00E15289">
        <w:rPr>
          <w:rFonts w:ascii="Arial" w:eastAsia="Arial" w:hAnsi="Arial" w:cs="Arial"/>
          <w:color w:val="auto"/>
          <w:sz w:val="24"/>
          <w:szCs w:val="24"/>
          <w:lang w:val="en-GB"/>
        </w:rPr>
        <w:t xml:space="preserve"> </w:t>
      </w:r>
      <w:r w:rsidR="00AE79BB" w:rsidRPr="00E15289">
        <w:rPr>
          <w:rFonts w:ascii="Arial" w:eastAsia="Arial" w:hAnsi="Arial" w:cs="Arial"/>
          <w:color w:val="auto"/>
          <w:sz w:val="24"/>
          <w:szCs w:val="24"/>
          <w:lang w:val="en-GB"/>
        </w:rPr>
        <w:fldChar w:fldCharType="begin" w:fldLock="1"/>
      </w:r>
      <w:r w:rsidR="002B48EE" w:rsidRPr="00E15289">
        <w:rPr>
          <w:rFonts w:ascii="Arial" w:eastAsia="Arial" w:hAnsi="Arial" w:cs="Arial"/>
          <w:color w:val="auto"/>
          <w:sz w:val="24"/>
          <w:szCs w:val="24"/>
          <w:lang w:val="en-GB"/>
        </w:rPr>
        <w:instrText>ADDIN CSL_CITATION {"citationItems":[{"id":"ITEM-1","itemData":{"DOI":"10.1158/2159-8290.CD-12-0095","ISSN":"2159-8290","abstract":"The cBio Cancer Genomics Portal (http://cbioportal.org) is an open-access resource for interactive exploration of multidimensional cancer genomics data sets, currently providing access to data from more than 5,000 tumor samples from 20 cancer studies. The cBio Cancer Genomics Portal significantly lowers the barriers between complex genomic data and cancer researchers who want rapid, intuitive, and high-quality access to molecular profiles and clinical attributes from large-scale cancer genomics projects and empowers researchers to translate these rich data sets into biologic insights and clinical applications.","author":[{"dropping-particle":"","family":"Cerami","given":"Ethan","non-dropping-particle":"","parse-names":false,"suffix":""},{"dropping-particle":"","family":"Gao","given":"Jianjiong","non-dropping-particle":"","parse-names":false,"suffix":""},{"dropping-particle":"","family":"Dogrusoz","given":"Ugur","non-dropping-particle":"","parse-names":false,"suffix":""},{"dropping-particle":"","family":"Gross","given":"Benjamin E","non-dropping-particle":"","parse-names":false,"suffix":""},{"dropping-particle":"","family":"Sumer","given":"Selcuk Onur","non-dropping-particle":"","parse-names":false,"suffix":""},{"dropping-particle":"","family":"Aksoy","given":"Bülent Arman","non-dropping-particle":"","parse-names":false,"suffix":""},{"dropping-particle":"","family":"Jacobsen","given":"Anders","non-dropping-particle":"","parse-names":false,"suffix":""},{"dropping-particle":"","family":"Byrne","given":"Caitlin J","non-dropping-particle":"","parse-names":false,"suffix":""},{"dropping-particle":"","family":"Heuer","given":"Michael L","non-dropping-particle":"","parse-names":false,"suffix":""},{"dropping-particle":"","family":"Larsson","given":"Erik","non-dropping-particle":"","parse-names":false,"suffix":""},{"dropping-particle":"","family":"Antipin","given":"Yevgeniy","non-dropping-particle":"","parse-names":false,"suffix":""},{"dropping-particle":"","family":"Reva","given":"Boris","non-dropping-particle":"","parse-names":false,"suffix":""},{"dropping-particle":"","family":"Goldberg","given":"Arthur P","non-dropping-particle":"","parse-names":false,"suffix":""},{"dropping-particle":"","family":"Sander","given":"Chris","non-dropping-particle":"","parse-names":false,"suffix":""},{"dropping-particle":"","family":"Schultz","given":"Nikolaus","non-dropping-particle":"","parse-names":false,"suffix":""}],"container-title":"Cancer discovery","id":"ITEM-1","issue":"5","issued":{"date-parts":[["2012","5"]]},"language":"eng","page":"401-404","title":"The cBio cancer genomics portal: an open platform for exploring multidimensional cancer genomics data","type":"article-journal","volume":"2"},"uris":["http://www.mendeley.com/documents/?uuid=04ad681d-6064-43d0-86d1-4c0b678ee000"]}],"mendeley":{"formattedCitation":"(27)","plainTextFormattedCitation":"(27)","previouslyFormattedCitation":"(27)"},"properties":{"noteIndex":0},"schema":"https://github.com/citation-style-language/schema/raw/master/csl-citation.json"}</w:instrText>
      </w:r>
      <w:r w:rsidR="00AE79BB" w:rsidRPr="00E15289">
        <w:rPr>
          <w:rFonts w:ascii="Arial" w:eastAsia="Arial" w:hAnsi="Arial" w:cs="Arial"/>
          <w:color w:val="auto"/>
          <w:sz w:val="24"/>
          <w:szCs w:val="24"/>
          <w:lang w:val="en-GB"/>
        </w:rPr>
        <w:fldChar w:fldCharType="separate"/>
      </w:r>
      <w:r w:rsidR="00491098" w:rsidRPr="00E15289">
        <w:rPr>
          <w:rFonts w:ascii="Arial" w:eastAsia="Arial" w:hAnsi="Arial" w:cs="Arial"/>
          <w:noProof/>
          <w:color w:val="auto"/>
          <w:sz w:val="24"/>
          <w:szCs w:val="24"/>
          <w:lang w:val="en-GB"/>
        </w:rPr>
        <w:t>(27)</w:t>
      </w:r>
      <w:r w:rsidR="00AE79BB" w:rsidRPr="00E15289">
        <w:rPr>
          <w:rFonts w:ascii="Arial" w:eastAsia="Arial" w:hAnsi="Arial" w:cs="Arial"/>
          <w:color w:val="auto"/>
          <w:sz w:val="24"/>
          <w:szCs w:val="24"/>
          <w:lang w:val="en-GB"/>
        </w:rPr>
        <w:fldChar w:fldCharType="end"/>
      </w:r>
      <w:r w:rsidRPr="00E15289">
        <w:rPr>
          <w:rFonts w:ascii="Arial" w:eastAsia="Arial" w:hAnsi="Arial" w:cs="Arial"/>
          <w:color w:val="auto"/>
          <w:sz w:val="24"/>
          <w:szCs w:val="24"/>
          <w:lang w:val="en-GB"/>
        </w:rPr>
        <w:t xml:space="preserve"> (http://www.cbioportal.or</w:t>
      </w:r>
      <w:r w:rsidR="00AA39BD" w:rsidRPr="00E15289">
        <w:rPr>
          <w:rFonts w:ascii="Arial" w:eastAsia="Arial" w:hAnsi="Arial" w:cs="Arial"/>
          <w:color w:val="auto"/>
          <w:sz w:val="24"/>
          <w:szCs w:val="24"/>
          <w:lang w:val="en-GB"/>
        </w:rPr>
        <w:t>g/) was used to overlap</w:t>
      </w:r>
      <w:r w:rsidR="00282F44" w:rsidRPr="00E15289">
        <w:rPr>
          <w:rFonts w:ascii="Arial" w:eastAsia="Arial" w:hAnsi="Arial" w:cs="Arial"/>
          <w:color w:val="auto"/>
          <w:sz w:val="24"/>
          <w:szCs w:val="24"/>
          <w:lang w:val="en-GB"/>
        </w:rPr>
        <w:t xml:space="preserve"> mRNA expression profiles of major</w:t>
      </w:r>
      <w:r w:rsidRPr="00E15289">
        <w:rPr>
          <w:rFonts w:ascii="Arial" w:eastAsia="Arial" w:hAnsi="Arial" w:cs="Arial"/>
          <w:color w:val="auto"/>
          <w:sz w:val="24"/>
          <w:szCs w:val="24"/>
          <w:lang w:val="en-GB"/>
        </w:rPr>
        <w:t xml:space="preserve"> cancer</w:t>
      </w:r>
      <w:r w:rsidR="00282F44" w:rsidRPr="00E15289">
        <w:rPr>
          <w:rFonts w:ascii="Arial" w:eastAsia="Arial" w:hAnsi="Arial" w:cs="Arial"/>
          <w:color w:val="auto"/>
          <w:sz w:val="24"/>
          <w:szCs w:val="24"/>
          <w:lang w:val="en-GB"/>
        </w:rPr>
        <w:t xml:space="preserve"> type</w:t>
      </w:r>
      <w:r w:rsidRPr="00E15289">
        <w:rPr>
          <w:rFonts w:ascii="Arial" w:eastAsia="Arial" w:hAnsi="Arial" w:cs="Arial"/>
          <w:color w:val="auto"/>
          <w:sz w:val="24"/>
          <w:szCs w:val="24"/>
          <w:lang w:val="en-GB"/>
        </w:rPr>
        <w:t xml:space="preserve">s (clinical data) </w:t>
      </w:r>
      <w:r w:rsidR="00282F44" w:rsidRPr="00E15289">
        <w:rPr>
          <w:rFonts w:ascii="Arial" w:eastAsia="Arial" w:hAnsi="Arial" w:cs="Arial"/>
          <w:color w:val="auto"/>
          <w:sz w:val="24"/>
          <w:szCs w:val="24"/>
          <w:lang w:val="en-GB"/>
        </w:rPr>
        <w:t xml:space="preserve">from all published </w:t>
      </w:r>
      <w:r w:rsidR="004E5439" w:rsidRPr="00E15289">
        <w:rPr>
          <w:rFonts w:ascii="Arial" w:eastAsia="Arial" w:hAnsi="Arial" w:cs="Arial"/>
          <w:color w:val="auto"/>
          <w:sz w:val="24"/>
          <w:szCs w:val="24"/>
          <w:lang w:val="en-GB"/>
        </w:rPr>
        <w:t xml:space="preserve">Cancer Genome Atlas (TCGA) and Prostate Cancer data-sets, </w:t>
      </w:r>
      <w:r w:rsidRPr="00E15289">
        <w:rPr>
          <w:rFonts w:ascii="Arial" w:eastAsia="Arial" w:hAnsi="Arial" w:cs="Arial"/>
          <w:color w:val="auto"/>
          <w:sz w:val="24"/>
          <w:szCs w:val="24"/>
          <w:lang w:val="en-GB"/>
        </w:rPr>
        <w:t xml:space="preserve">with </w:t>
      </w:r>
      <w:r w:rsidR="004C4CAB" w:rsidRPr="00E15289">
        <w:rPr>
          <w:rFonts w:ascii="Arial" w:eastAsia="Arial" w:hAnsi="Arial" w:cs="Arial"/>
          <w:color w:val="auto"/>
          <w:sz w:val="24"/>
          <w:szCs w:val="24"/>
          <w:lang w:val="en-GB"/>
        </w:rPr>
        <w:t>the</w:t>
      </w:r>
      <w:r w:rsidRPr="00E15289">
        <w:rPr>
          <w:rFonts w:ascii="Arial" w:eastAsia="Arial" w:hAnsi="Arial" w:cs="Arial"/>
          <w:color w:val="auto"/>
          <w:sz w:val="24"/>
          <w:szCs w:val="24"/>
          <w:lang w:val="en-GB"/>
        </w:rPr>
        <w:t xml:space="preserve"> </w:t>
      </w:r>
      <w:r w:rsidR="004C4CAB" w:rsidRPr="00E15289">
        <w:rPr>
          <w:rFonts w:ascii="Arial" w:eastAsia="Arial" w:hAnsi="Arial" w:cs="Arial"/>
          <w:color w:val="auto"/>
          <w:sz w:val="24"/>
          <w:szCs w:val="24"/>
          <w:lang w:val="en-GB"/>
        </w:rPr>
        <w:t xml:space="preserve">experimental </w:t>
      </w:r>
      <w:r w:rsidR="008D0907" w:rsidRPr="00E15289">
        <w:rPr>
          <w:rFonts w:ascii="Arial" w:eastAsia="Arial" w:hAnsi="Arial" w:cs="Arial"/>
          <w:color w:val="auto"/>
          <w:sz w:val="24"/>
          <w:szCs w:val="24"/>
          <w:lang w:val="en-GB"/>
        </w:rPr>
        <w:t xml:space="preserve">protein-level </w:t>
      </w:r>
      <w:r w:rsidRPr="00E15289">
        <w:rPr>
          <w:rFonts w:ascii="Arial" w:eastAsia="Arial" w:hAnsi="Arial" w:cs="Arial"/>
          <w:color w:val="auto"/>
          <w:sz w:val="24"/>
          <w:szCs w:val="24"/>
          <w:lang w:val="en-GB"/>
        </w:rPr>
        <w:t>dat</w:t>
      </w:r>
      <w:r w:rsidR="00282F44" w:rsidRPr="00E15289">
        <w:rPr>
          <w:rFonts w:ascii="Arial" w:eastAsia="Arial" w:hAnsi="Arial" w:cs="Arial"/>
          <w:color w:val="auto"/>
          <w:sz w:val="24"/>
          <w:szCs w:val="24"/>
          <w:lang w:val="en-GB"/>
        </w:rPr>
        <w:t>a</w:t>
      </w:r>
      <w:r w:rsidRPr="00E15289">
        <w:rPr>
          <w:rFonts w:ascii="Arial" w:eastAsia="Arial" w:hAnsi="Arial" w:cs="Arial"/>
          <w:color w:val="auto"/>
          <w:sz w:val="24"/>
          <w:szCs w:val="24"/>
          <w:lang w:val="en-GB"/>
        </w:rPr>
        <w:t xml:space="preserve">. </w:t>
      </w:r>
      <w:r w:rsidR="004E5439" w:rsidRPr="00E15289">
        <w:rPr>
          <w:rFonts w:ascii="Arial" w:eastAsia="Arial" w:hAnsi="Arial" w:cs="Arial"/>
          <w:color w:val="auto"/>
          <w:sz w:val="24"/>
          <w:szCs w:val="24"/>
          <w:lang w:val="en-GB"/>
        </w:rPr>
        <w:t xml:space="preserve">Data from female-only cancers (Cervical, Ovarian) was excluded. Only cancers in which changes in </w:t>
      </w:r>
      <w:r w:rsidR="004C4CAB" w:rsidRPr="00E15289">
        <w:rPr>
          <w:rFonts w:ascii="Arial" w:eastAsia="Arial" w:hAnsi="Arial" w:cs="Arial"/>
          <w:color w:val="auto"/>
          <w:sz w:val="24"/>
          <w:szCs w:val="24"/>
          <w:lang w:val="en-GB"/>
        </w:rPr>
        <w:t>the</w:t>
      </w:r>
      <w:r w:rsidR="004E5439" w:rsidRPr="00E15289">
        <w:rPr>
          <w:rFonts w:ascii="Arial" w:eastAsia="Arial" w:hAnsi="Arial" w:cs="Arial"/>
          <w:color w:val="auto"/>
          <w:sz w:val="24"/>
          <w:szCs w:val="24"/>
          <w:lang w:val="en-GB"/>
        </w:rPr>
        <w:t xml:space="preserve"> significantly-changing differentially-expressed proteins are evident in &gt; 5% of cases were considered </w:t>
      </w:r>
      <w:r w:rsidR="00860391" w:rsidRPr="00E15289">
        <w:rPr>
          <w:rFonts w:ascii="Arial" w:eastAsia="Arial" w:hAnsi="Arial" w:cs="Arial"/>
          <w:color w:val="auto"/>
          <w:sz w:val="24"/>
          <w:szCs w:val="24"/>
          <w:lang w:val="en-GB"/>
        </w:rPr>
        <w:t>to</w:t>
      </w:r>
      <w:r w:rsidR="004E5439" w:rsidRPr="00E15289">
        <w:rPr>
          <w:rFonts w:ascii="Arial" w:eastAsia="Arial" w:hAnsi="Arial" w:cs="Arial"/>
          <w:color w:val="auto"/>
          <w:sz w:val="24"/>
          <w:szCs w:val="24"/>
          <w:lang w:val="en-GB"/>
        </w:rPr>
        <w:t xml:space="preserve"> simplify the network</w:t>
      </w:r>
      <w:r w:rsidR="00AA39BD" w:rsidRPr="00E15289">
        <w:rPr>
          <w:rFonts w:ascii="Arial" w:eastAsia="Arial" w:hAnsi="Arial" w:cs="Arial"/>
          <w:color w:val="auto"/>
          <w:sz w:val="24"/>
          <w:szCs w:val="24"/>
          <w:lang w:val="en-GB"/>
        </w:rPr>
        <w:t>(s)</w:t>
      </w:r>
      <w:r w:rsidR="004E5439" w:rsidRPr="00E15289">
        <w:rPr>
          <w:rFonts w:ascii="Arial" w:eastAsia="Arial" w:hAnsi="Arial" w:cs="Arial"/>
          <w:color w:val="auto"/>
          <w:sz w:val="24"/>
          <w:szCs w:val="24"/>
          <w:lang w:val="en-GB"/>
        </w:rPr>
        <w:t xml:space="preserve">. </w:t>
      </w:r>
      <w:r w:rsidR="004C4CAB" w:rsidRPr="00E15289">
        <w:rPr>
          <w:rFonts w:ascii="Arial" w:eastAsia="Arial" w:hAnsi="Arial" w:cs="Arial"/>
          <w:color w:val="auto"/>
          <w:sz w:val="24"/>
          <w:szCs w:val="24"/>
          <w:lang w:val="en-GB"/>
        </w:rPr>
        <w:t>The</w:t>
      </w:r>
      <w:r w:rsidR="004E5439" w:rsidRPr="00E15289">
        <w:rPr>
          <w:rFonts w:ascii="Arial" w:eastAsia="Arial" w:hAnsi="Arial" w:cs="Arial"/>
          <w:color w:val="auto"/>
          <w:sz w:val="24"/>
          <w:szCs w:val="24"/>
          <w:lang w:val="en-GB"/>
        </w:rPr>
        <w:t xml:space="preserve"> significantly-changing differentially-expressed protein</w:t>
      </w:r>
      <w:r w:rsidRPr="00E15289">
        <w:rPr>
          <w:rFonts w:ascii="Arial" w:eastAsia="Arial" w:hAnsi="Arial" w:cs="Arial"/>
          <w:color w:val="auto"/>
          <w:sz w:val="24"/>
          <w:szCs w:val="24"/>
          <w:lang w:val="en-GB"/>
        </w:rPr>
        <w:t xml:space="preserve"> list</w:t>
      </w:r>
      <w:r w:rsidR="004E5439" w:rsidRPr="00E15289">
        <w:rPr>
          <w:rFonts w:ascii="Arial" w:eastAsia="Arial" w:hAnsi="Arial" w:cs="Arial"/>
          <w:color w:val="auto"/>
          <w:sz w:val="24"/>
          <w:szCs w:val="24"/>
          <w:lang w:val="en-GB"/>
        </w:rPr>
        <w:t>(s)</w:t>
      </w:r>
      <w:r w:rsidRPr="00E15289">
        <w:rPr>
          <w:rFonts w:ascii="Arial" w:eastAsia="Arial" w:hAnsi="Arial" w:cs="Arial"/>
          <w:color w:val="auto"/>
          <w:sz w:val="24"/>
          <w:szCs w:val="24"/>
          <w:lang w:val="en-GB"/>
        </w:rPr>
        <w:t xml:space="preserve"> w</w:t>
      </w:r>
      <w:r w:rsidR="004E5439" w:rsidRPr="00E15289">
        <w:rPr>
          <w:rFonts w:ascii="Arial" w:eastAsia="Arial" w:hAnsi="Arial" w:cs="Arial"/>
          <w:color w:val="auto"/>
          <w:sz w:val="24"/>
          <w:szCs w:val="24"/>
          <w:lang w:val="en-GB"/>
        </w:rPr>
        <w:t>ere</w:t>
      </w:r>
      <w:r w:rsidRPr="00E15289">
        <w:rPr>
          <w:rFonts w:ascii="Arial" w:eastAsia="Arial" w:hAnsi="Arial" w:cs="Arial"/>
          <w:color w:val="auto"/>
          <w:sz w:val="24"/>
          <w:szCs w:val="24"/>
          <w:lang w:val="en-GB"/>
        </w:rPr>
        <w:t xml:space="preserve"> </w:t>
      </w:r>
      <w:r w:rsidR="00AA39BD" w:rsidRPr="00E15289">
        <w:rPr>
          <w:rFonts w:ascii="Arial" w:eastAsia="Arial" w:hAnsi="Arial" w:cs="Arial"/>
          <w:color w:val="auto"/>
          <w:sz w:val="24"/>
          <w:szCs w:val="24"/>
          <w:lang w:val="en-GB"/>
        </w:rPr>
        <w:t xml:space="preserve">also </w:t>
      </w:r>
      <w:r w:rsidRPr="00E15289">
        <w:rPr>
          <w:rFonts w:ascii="Arial" w:eastAsia="Arial" w:hAnsi="Arial" w:cs="Arial"/>
          <w:color w:val="auto"/>
          <w:sz w:val="24"/>
          <w:szCs w:val="24"/>
          <w:lang w:val="en-GB"/>
        </w:rPr>
        <w:t xml:space="preserve">submitted to </w:t>
      </w:r>
      <w:r w:rsidR="00AA39BD" w:rsidRPr="00E15289">
        <w:rPr>
          <w:rFonts w:ascii="Arial" w:eastAsia="Arial" w:hAnsi="Arial" w:cs="Arial"/>
          <w:color w:val="auto"/>
          <w:sz w:val="24"/>
          <w:szCs w:val="24"/>
          <w:lang w:val="en-GB"/>
        </w:rPr>
        <w:t xml:space="preserve">the </w:t>
      </w:r>
      <w:proofErr w:type="spellStart"/>
      <w:r w:rsidRPr="00E15289">
        <w:rPr>
          <w:rFonts w:ascii="Arial" w:eastAsia="Arial" w:hAnsi="Arial" w:cs="Arial"/>
          <w:color w:val="auto"/>
          <w:sz w:val="24"/>
          <w:szCs w:val="24"/>
          <w:lang w:val="en-GB"/>
        </w:rPr>
        <w:t>Reactome</w:t>
      </w:r>
      <w:proofErr w:type="spellEnd"/>
      <w:r w:rsidRPr="00E15289">
        <w:rPr>
          <w:rFonts w:ascii="Arial" w:eastAsia="Arial" w:hAnsi="Arial" w:cs="Arial"/>
          <w:color w:val="auto"/>
          <w:sz w:val="24"/>
          <w:szCs w:val="24"/>
          <w:lang w:val="en-GB"/>
        </w:rPr>
        <w:t xml:space="preserve"> FI p</w:t>
      </w:r>
      <w:r w:rsidR="00AA39BD" w:rsidRPr="00E15289">
        <w:rPr>
          <w:rFonts w:ascii="Arial" w:eastAsia="Arial" w:hAnsi="Arial" w:cs="Arial"/>
          <w:color w:val="auto"/>
          <w:sz w:val="24"/>
          <w:szCs w:val="24"/>
          <w:lang w:val="en-GB"/>
        </w:rPr>
        <w:t xml:space="preserve">lugin </w:t>
      </w:r>
      <w:r w:rsidR="00740069" w:rsidRPr="00E15289">
        <w:rPr>
          <w:rFonts w:ascii="Arial" w:eastAsia="Arial" w:hAnsi="Arial" w:cs="Arial"/>
          <w:color w:val="auto"/>
          <w:sz w:val="24"/>
          <w:szCs w:val="24"/>
          <w:lang w:val="en-GB"/>
        </w:rPr>
        <w:fldChar w:fldCharType="begin" w:fldLock="1"/>
      </w:r>
      <w:r w:rsidR="002B48EE" w:rsidRPr="00E15289">
        <w:rPr>
          <w:rFonts w:ascii="Arial" w:eastAsia="Arial" w:hAnsi="Arial" w:cs="Arial"/>
          <w:color w:val="auto"/>
          <w:sz w:val="24"/>
          <w:szCs w:val="24"/>
          <w:lang w:val="en-GB"/>
        </w:rPr>
        <w:instrText>ADDIN CSL_CITATION {"citationItems":[{"id":"ITEM-1","itemData":{"DOI":"10.12688/f1000research.4431.2","ISSN":"2046-1402","abstract":"High-throughput experiments are routinely performed in modern biological studies. However, extracting meaningful results from massive experimental data sets is a challenging task for biologists. Projecting data onto pathway and network contexts is a powerful way to unravel patterns embedded in seemingly scattered large data sets and assist knowledge discovery related to cancer and other complex diseases. We have developed a Cytoscape app called \"ReactomeFIViz\", which utilizes a highly reliable gene functional interaction network combined with human curated pathways derived from Reactome and other pathway databases. This app provides a suite of features to assist biologists in performing pathway- and network-based data analysis in a biologically intuitive and user-friendly way. Biologists can use this app to uncover network and pathway patterns related to their studies, search for gene signatures from gene expression data sets, reveal pathways significantly enriched by genes in a list, and integrate multiple genomic data types into a pathway context using probabilistic graphical models. We believe our app will give researchers substantial power to analyze intrinsically noisy high-throughput experimental data to find biologically relevant information.","author":[{"dropping-particle":"","family":"Wu","given":"Guanming","non-dropping-particle":"","parse-names":false,"suffix":""},{"dropping-particle":"","family":"Dawson","given":"Eric","non-dropping-particle":"","parse-names":false,"suffix":""},{"dropping-particle":"","family":"Duong","given":"Adrian","non-dropping-particle":"","parse-names":false,"suffix":""},{"dropping-particle":"","family":"Haw","given":"Robin","non-dropping-particle":"","parse-names":false,"suffix":""},{"dropping-particle":"","family":"Stein","given":"Lincoln","non-dropping-particle":"","parse-names":false,"suffix":""}],"container-title":"F1000Research","id":"ITEM-1","issued":{"date-parts":[["2014","9","12"]]},"language":"eng","page":"146","publisher":"F1000Research","title":"ReactomeFIViz: a Cytoscape app for pathway and network-based data analysis","type":"article-journal","volume":"3"},"uris":["http://www.mendeley.com/documents/?uuid=5163efd5-7cba-4b1d-818f-4e35e7afc93c"]}],"mendeley":{"formattedCitation":"(28)","plainTextFormattedCitation":"(28)","previouslyFormattedCitation":"(28)"},"properties":{"noteIndex":0},"schema":"https://github.com/citation-style-language/schema/raw/master/csl-citation.json"}</w:instrText>
      </w:r>
      <w:r w:rsidR="00740069" w:rsidRPr="00E15289">
        <w:rPr>
          <w:rFonts w:ascii="Arial" w:eastAsia="Arial" w:hAnsi="Arial" w:cs="Arial"/>
          <w:color w:val="auto"/>
          <w:sz w:val="24"/>
          <w:szCs w:val="24"/>
          <w:lang w:val="en-GB"/>
        </w:rPr>
        <w:fldChar w:fldCharType="separate"/>
      </w:r>
      <w:r w:rsidR="00491098" w:rsidRPr="00E15289">
        <w:rPr>
          <w:rFonts w:ascii="Arial" w:eastAsia="Arial" w:hAnsi="Arial" w:cs="Arial"/>
          <w:noProof/>
          <w:color w:val="auto"/>
          <w:sz w:val="24"/>
          <w:szCs w:val="24"/>
          <w:lang w:val="en-GB"/>
        </w:rPr>
        <w:t>(28)</w:t>
      </w:r>
      <w:r w:rsidR="00740069" w:rsidRPr="00E15289">
        <w:rPr>
          <w:rFonts w:ascii="Arial" w:eastAsia="Arial" w:hAnsi="Arial" w:cs="Arial"/>
          <w:color w:val="auto"/>
          <w:sz w:val="24"/>
          <w:szCs w:val="24"/>
          <w:lang w:val="en-GB"/>
        </w:rPr>
        <w:fldChar w:fldCharType="end"/>
      </w:r>
      <w:r w:rsidR="00AA39BD" w:rsidRPr="00E15289">
        <w:rPr>
          <w:rFonts w:ascii="Arial" w:eastAsia="Arial" w:hAnsi="Arial" w:cs="Arial"/>
          <w:color w:val="auto"/>
          <w:sz w:val="24"/>
          <w:szCs w:val="24"/>
          <w:lang w:val="en-GB"/>
        </w:rPr>
        <w:t xml:space="preserve"> via</w:t>
      </w:r>
      <w:r w:rsidRPr="00E15289">
        <w:rPr>
          <w:rFonts w:ascii="Arial" w:eastAsia="Arial" w:hAnsi="Arial" w:cs="Arial"/>
          <w:color w:val="auto"/>
          <w:sz w:val="24"/>
          <w:szCs w:val="24"/>
          <w:lang w:val="en-GB"/>
        </w:rPr>
        <w:t xml:space="preserve"> </w:t>
      </w:r>
      <w:proofErr w:type="spellStart"/>
      <w:r w:rsidRPr="00E15289">
        <w:rPr>
          <w:rFonts w:ascii="Arial" w:eastAsia="Arial" w:hAnsi="Arial" w:cs="Arial"/>
          <w:color w:val="auto"/>
          <w:sz w:val="24"/>
          <w:szCs w:val="24"/>
          <w:lang w:val="en-GB"/>
        </w:rPr>
        <w:t>Cytoscape</w:t>
      </w:r>
      <w:proofErr w:type="spellEnd"/>
      <w:r w:rsidR="00AA39BD" w:rsidRPr="00E15289">
        <w:rPr>
          <w:rFonts w:ascii="Arial" w:eastAsia="Arial" w:hAnsi="Arial" w:cs="Arial"/>
          <w:color w:val="auto"/>
          <w:sz w:val="24"/>
          <w:szCs w:val="24"/>
          <w:lang w:val="en-GB"/>
        </w:rPr>
        <w:t xml:space="preserve"> v3.5.0</w:t>
      </w:r>
      <w:r w:rsidR="00945A43" w:rsidRPr="00E15289">
        <w:rPr>
          <w:rFonts w:ascii="Arial" w:eastAsia="Arial" w:hAnsi="Arial" w:cs="Arial"/>
          <w:color w:val="auto"/>
          <w:sz w:val="24"/>
          <w:szCs w:val="24"/>
          <w:lang w:val="en-GB"/>
        </w:rPr>
        <w:t xml:space="preserve"> </w:t>
      </w:r>
      <w:r w:rsidR="00945A43" w:rsidRPr="00E15289">
        <w:rPr>
          <w:rFonts w:ascii="Arial" w:eastAsia="Arial" w:hAnsi="Arial" w:cs="Arial"/>
          <w:color w:val="auto"/>
          <w:sz w:val="24"/>
          <w:szCs w:val="24"/>
          <w:lang w:val="en-GB"/>
        </w:rPr>
        <w:fldChar w:fldCharType="begin" w:fldLock="1"/>
      </w:r>
      <w:r w:rsidR="002B48EE" w:rsidRPr="00E15289">
        <w:rPr>
          <w:rFonts w:ascii="Arial" w:eastAsia="Arial" w:hAnsi="Arial" w:cs="Arial"/>
          <w:color w:val="auto"/>
          <w:sz w:val="24"/>
          <w:szCs w:val="24"/>
          <w:lang w:val="en-GB"/>
        </w:rPr>
        <w:instrText>ADDIN CSL_CITATION {"citationItems":[{"id":"ITEM-1","itemData":{"DOI":"10.1101/gr.1239303","ISSN":"1088-9051","abstract":"Cytoscape is an open source software project for integrating biomolecular interaction networks with high-throughput expression data and other molecular states into a unified conceptual framework. Although applicable to any system of molecular components and interactions, Cytoscape is most powerful when used in conjunction with large databases of protein-protein, protein-DNA, and genetic interactions that are increasingly available for humans and model organisms. Cytoscape's software Core provides basic functionality to layout and query the network; to visually integrate the network with expression profiles, phenotypes, and other molecular states; and to link the network to databases of functional annotations. The Core is extensible through a straightforward plug-in architecture, allowing rapid development of additional computational analyses and features. Several case studies of Cytoscape plug-ins are surveyed, including a search for interaction pathways correlating with changes in gene expression, a study of protein complexes involved in cellular recovery to DNA damage, inference of a combined physical/functional interaction network for Halobacterium, and an interface to detailed stochastic/kinetic gene regulatory models.","author":[{"dropping-particle":"","family":"Shannon","given":"Paul","non-dropping-particle":"","parse-names":false,"suffix":""},{"dropping-particle":"","family":"Markiel","given":"Andrew","non-dropping-particle":"","parse-names":false,"suffix":""},{"dropping-particle":"","family":"Ozier","given":"Owen","non-dropping-particle":"","parse-names":false,"suffix":""},{"dropping-particle":"","family":"Baliga","given":"Nitin S","non-dropping-particle":"","parse-names":false,"suffix":""},{"dropping-particle":"","family":"Wang","given":"Jonathan T","non-dropping-particle":"","parse-names":false,"suffix":""},{"dropping-particle":"","family":"Ramage","given":"Daniel","non-dropping-particle":"","parse-names":false,"suffix":""},{"dropping-particle":"","family":"Amin","given":"Nada","non-dropping-particle":"","parse-names":false,"suffix":""},{"dropping-particle":"","family":"Schwikowski","given":"Benno","non-dropping-particle":"","parse-names":false,"suffix":""},{"dropping-particle":"","family":"Ideker","given":"Trey","non-dropping-particle":"","parse-names":false,"suffix":""}],"container-title":"Genome research","id":"ITEM-1","issue":"11","issued":{"date-parts":[["2003","11"]]},"language":"eng","page":"2498-2504","publisher":"Cold Spring Harbor Laboratory Press","title":"Cytoscape: a software environment for integrated models of biomolecular interaction networks","type":"article-journal","volume":"13"},"uris":["http://www.mendeley.com/documents/?uuid=ea5f5911-a572-498c-a569-c0b6d4f176d8"]}],"mendeley":{"formattedCitation":"(29)","plainTextFormattedCitation":"(29)","previouslyFormattedCitation":"(29)"},"properties":{"noteIndex":0},"schema":"https://github.com/citation-style-language/schema/raw/master/csl-citation.json"}</w:instrText>
      </w:r>
      <w:r w:rsidR="00945A43" w:rsidRPr="00E15289">
        <w:rPr>
          <w:rFonts w:ascii="Arial" w:eastAsia="Arial" w:hAnsi="Arial" w:cs="Arial"/>
          <w:color w:val="auto"/>
          <w:sz w:val="24"/>
          <w:szCs w:val="24"/>
          <w:lang w:val="en-GB"/>
        </w:rPr>
        <w:fldChar w:fldCharType="separate"/>
      </w:r>
      <w:r w:rsidR="00491098" w:rsidRPr="00E15289">
        <w:rPr>
          <w:rFonts w:ascii="Arial" w:eastAsia="Arial" w:hAnsi="Arial" w:cs="Arial"/>
          <w:noProof/>
          <w:color w:val="auto"/>
          <w:sz w:val="24"/>
          <w:szCs w:val="24"/>
          <w:lang w:val="en-GB"/>
        </w:rPr>
        <w:t>(29)</w:t>
      </w:r>
      <w:r w:rsidR="00945A43" w:rsidRPr="00E15289">
        <w:rPr>
          <w:rFonts w:ascii="Arial" w:eastAsia="Arial" w:hAnsi="Arial" w:cs="Arial"/>
          <w:color w:val="auto"/>
          <w:sz w:val="24"/>
          <w:szCs w:val="24"/>
          <w:lang w:val="en-GB"/>
        </w:rPr>
        <w:fldChar w:fldCharType="end"/>
      </w:r>
      <w:r w:rsidR="008D0907" w:rsidRPr="00E15289">
        <w:rPr>
          <w:rFonts w:ascii="Arial" w:eastAsia="Arial" w:hAnsi="Arial" w:cs="Arial"/>
          <w:color w:val="auto"/>
          <w:sz w:val="24"/>
          <w:szCs w:val="24"/>
          <w:lang w:val="en-GB"/>
        </w:rPr>
        <w:t xml:space="preserve"> </w:t>
      </w:r>
      <w:r w:rsidR="004E5439" w:rsidRPr="00E15289">
        <w:rPr>
          <w:rFonts w:ascii="Arial" w:eastAsia="Arial" w:hAnsi="Arial" w:cs="Arial"/>
          <w:color w:val="auto"/>
          <w:sz w:val="24"/>
          <w:szCs w:val="24"/>
          <w:lang w:val="en-GB"/>
        </w:rPr>
        <w:t>to predict</w:t>
      </w:r>
      <w:r w:rsidRPr="00E15289">
        <w:rPr>
          <w:rFonts w:ascii="Arial" w:eastAsia="Arial" w:hAnsi="Arial" w:cs="Arial"/>
          <w:color w:val="auto"/>
          <w:sz w:val="24"/>
          <w:szCs w:val="24"/>
          <w:lang w:val="en-GB"/>
        </w:rPr>
        <w:t xml:space="preserve"> function</w:t>
      </w:r>
      <w:r w:rsidR="00EA0B8D" w:rsidRPr="00E15289">
        <w:rPr>
          <w:rFonts w:ascii="Arial" w:eastAsia="Arial" w:hAnsi="Arial" w:cs="Arial"/>
          <w:color w:val="auto"/>
          <w:sz w:val="24"/>
          <w:szCs w:val="24"/>
          <w:lang w:val="en-GB"/>
        </w:rPr>
        <w:t>al</w:t>
      </w:r>
      <w:r w:rsidRPr="00E15289">
        <w:rPr>
          <w:rFonts w:ascii="Arial" w:eastAsia="Arial" w:hAnsi="Arial" w:cs="Arial"/>
          <w:color w:val="auto"/>
          <w:sz w:val="24"/>
          <w:szCs w:val="24"/>
          <w:lang w:val="en-GB"/>
        </w:rPr>
        <w:t xml:space="preserve"> interaction network</w:t>
      </w:r>
      <w:r w:rsidR="008D0907" w:rsidRPr="00E15289">
        <w:rPr>
          <w:rFonts w:ascii="Arial" w:eastAsia="Arial" w:hAnsi="Arial" w:cs="Arial"/>
          <w:color w:val="auto"/>
          <w:sz w:val="24"/>
          <w:szCs w:val="24"/>
          <w:lang w:val="en-GB"/>
        </w:rPr>
        <w:t xml:space="preserve">s, and the resultant data integrated with </w:t>
      </w:r>
      <w:r w:rsidR="004C4CAB" w:rsidRPr="00E15289">
        <w:rPr>
          <w:rFonts w:ascii="Arial" w:eastAsia="Arial" w:hAnsi="Arial" w:cs="Arial"/>
          <w:color w:val="auto"/>
          <w:sz w:val="24"/>
          <w:szCs w:val="24"/>
          <w:lang w:val="en-GB"/>
        </w:rPr>
        <w:t>the</w:t>
      </w:r>
      <w:r w:rsidR="008D0907" w:rsidRPr="00E15289">
        <w:rPr>
          <w:rFonts w:ascii="Arial" w:eastAsia="Arial" w:hAnsi="Arial" w:cs="Arial"/>
          <w:color w:val="auto"/>
          <w:sz w:val="24"/>
          <w:szCs w:val="24"/>
          <w:lang w:val="en-GB"/>
        </w:rPr>
        <w:t xml:space="preserve"> protein expression data, also in </w:t>
      </w:r>
      <w:proofErr w:type="spellStart"/>
      <w:r w:rsidR="008D0907" w:rsidRPr="00E15289">
        <w:rPr>
          <w:rFonts w:ascii="Arial" w:eastAsia="Arial" w:hAnsi="Arial" w:cs="Arial"/>
          <w:color w:val="auto"/>
          <w:sz w:val="24"/>
          <w:szCs w:val="24"/>
          <w:lang w:val="en-GB"/>
        </w:rPr>
        <w:t>Cytoscape</w:t>
      </w:r>
      <w:proofErr w:type="spellEnd"/>
      <w:r w:rsidR="008D0907" w:rsidRPr="00E15289">
        <w:rPr>
          <w:rFonts w:ascii="Arial" w:eastAsia="Arial" w:hAnsi="Arial" w:cs="Arial"/>
          <w:color w:val="auto"/>
          <w:sz w:val="24"/>
          <w:szCs w:val="24"/>
          <w:lang w:val="en-GB"/>
        </w:rPr>
        <w:t>.</w:t>
      </w:r>
      <w:r w:rsidR="00F03DEA" w:rsidRPr="00E15289">
        <w:rPr>
          <w:rFonts w:ascii="Arial" w:eastAsia="Arial" w:hAnsi="Arial" w:cs="Arial"/>
          <w:color w:val="auto"/>
          <w:sz w:val="24"/>
          <w:szCs w:val="24"/>
          <w:lang w:val="en-GB"/>
        </w:rPr>
        <w:t xml:space="preserve"> </w:t>
      </w:r>
      <w:r w:rsidR="00EC052C" w:rsidRPr="00E15289">
        <w:rPr>
          <w:rFonts w:ascii="Arial" w:eastAsia="Arial" w:hAnsi="Arial" w:cs="Arial"/>
          <w:color w:val="auto"/>
          <w:sz w:val="24"/>
          <w:szCs w:val="24"/>
          <w:lang w:val="en-GB"/>
        </w:rPr>
        <w:t xml:space="preserve">Gene network searches were conducted with </w:t>
      </w:r>
      <w:proofErr w:type="spellStart"/>
      <w:r w:rsidR="00EC052C" w:rsidRPr="00E15289">
        <w:rPr>
          <w:rFonts w:ascii="Arial" w:eastAsia="Arial" w:hAnsi="Arial" w:cs="Arial"/>
          <w:color w:val="auto"/>
          <w:sz w:val="24"/>
          <w:szCs w:val="24"/>
          <w:lang w:val="en-GB"/>
        </w:rPr>
        <w:t>GeneNetwork</w:t>
      </w:r>
      <w:proofErr w:type="spellEnd"/>
      <w:r w:rsidR="00EC052C" w:rsidRPr="00E15289">
        <w:rPr>
          <w:rFonts w:ascii="Arial" w:eastAsia="Arial" w:hAnsi="Arial" w:cs="Arial"/>
          <w:color w:val="auto"/>
          <w:sz w:val="24"/>
          <w:szCs w:val="24"/>
          <w:lang w:val="en-GB"/>
        </w:rPr>
        <w:t xml:space="preserve"> v2</w:t>
      </w:r>
      <w:r w:rsidR="00730D8E" w:rsidRPr="00E15289">
        <w:rPr>
          <w:rFonts w:ascii="Arial" w:eastAsia="Arial" w:hAnsi="Arial" w:cs="Arial"/>
          <w:color w:val="auto"/>
          <w:sz w:val="24"/>
          <w:szCs w:val="24"/>
          <w:lang w:val="en-GB"/>
        </w:rPr>
        <w:t xml:space="preserve"> </w:t>
      </w:r>
      <w:r w:rsidR="00730D8E" w:rsidRPr="00E15289">
        <w:rPr>
          <w:rFonts w:ascii="Arial" w:eastAsia="Arial" w:hAnsi="Arial" w:cs="Arial"/>
          <w:color w:val="auto"/>
          <w:sz w:val="24"/>
          <w:szCs w:val="24"/>
          <w:lang w:val="en-GB"/>
        </w:rPr>
        <w:fldChar w:fldCharType="begin" w:fldLock="1"/>
      </w:r>
      <w:r w:rsidR="002B48EE" w:rsidRPr="00E15289">
        <w:rPr>
          <w:rFonts w:ascii="Arial" w:eastAsia="Arial" w:hAnsi="Arial" w:cs="Arial"/>
          <w:color w:val="auto"/>
          <w:sz w:val="24"/>
          <w:szCs w:val="24"/>
          <w:lang w:val="en-GB"/>
        </w:rPr>
        <w:instrText>ADDIN CSL_CITATION {"citationItems":[{"id":"ITEM-1","itemData":{"DOI":"10.1007/978-1-4939-6427-7_4","ISSN":"10643745","abstract":"The goal of systems genetics is to understand the impact of genetic variation across all levels of biological organization, from mRNAs, proteins, and metabolites, to higher-order physiological and behavioral traits. This approach requires the accumulation and integration of many types of data, and also requires the use of many types of statistical tools to extract relevant patterns of covariation and causal relations as a function of genetics, environment, stage, and treatment. In this protocol we explain how to use the GeneNetwork web service, a powerful and free online resource for systems genetics. We provide workflows and methods to navigate massive multiscalar data sets and we explain how to use an extensive systems genetics toolkit for analysis and synthesis. Finally, we provide two detailed case studies that take advantage of human and mouse cohorts to evaluate linkage between gene variants, addiction, and aging.","author":[{"dropping-particle":"","family":"Mulligan","given":"Megan K.","non-dropping-particle":"","parse-names":false,"suffix":""},{"dropping-particle":"","family":"Mozhui","given":"Khyobeni","non-dropping-particle":"","parse-names":false,"suffix":""},{"dropping-particle":"","family":"Prins","given":"Pjotr","non-dropping-particle":"","parse-names":false,"suffix":""},{"dropping-particle":"","family":"Williams","given":"Robert W.","non-dropping-particle":"","parse-names":false,"suffix":""}],"container-title":"Methods in Molecular Biology","id":"ITEM-1","issued":{"date-parts":[["2017"]]},"title":"Genenetwork: A toolbox for systems genetics","type":"chapter"},"uris":["http://www.mendeley.com/documents/?uuid=8d9f8084-1435-43dc-9cb3-66185a560a8d"]},{"id":"ITEM-2","itemData":{"author":[{"dropping-particle":"","family":"Zachary","given":"Sloan","non-dropping-particle":"","parse-names":false,"suffix":""},{"dropping-particle":"","family":"Danny","given":"Arends","non-dropping-particle":"","parse-names":false,"suffix":""},{"dropping-particle":"","family":"Karl W.","given":"Broman","non-dropping-particle":"","parse-names":false,"suffix":""},{"dropping-particle":"","family":"Arthur","given":"Centeno","non-dropping-particle":"","parse-names":false,"suffix":""},{"dropping-particle":"","family":"Nicholas","given":"Furlotte","non-dropping-particle":"","parse-names":false,"suffix":""},{"dropping-particle":"","family":"Harm","given":"Nijveen","non-dropping-particle":"","parse-names":false,"suffix":""},{"dropping-particle":"","family":"Lei","given":"Yan","non-dropping-particle":"","parse-names":false,"suffix":""},{"dropping-particle":"","family":"Xiang","given":"Zhou","non-dropping-particle":"","parse-names":false,"suffix":""},{"dropping-particle":"","family":"Robert W.","given":"Williams","non-dropping-particle":"","parse-names":false,"suffix":""},{"dropping-particle":"","family":"Pjotr","given":"Prins","non-dropping-particle":"","parse-names":false,"suffix":""}],"container-title":"Journal of Open Source Software","id":"ITEM-2","issue":"2","issued":{"date-parts":[["2016"]]},"page":"1-3","title":"GeneNetwork: framework for web-based genetics","type":"article-journal","volume":"1"},"uris":["http://www.mendeley.com/documents/?uuid=473c1a0b-d728-4a83-89d0-2272b71c3186"]}],"mendeley":{"formattedCitation":"(30,31)","plainTextFormattedCitation":"(30,31)","previouslyFormattedCitation":"(30,31)"},"properties":{"noteIndex":0},"schema":"https://github.com/citation-style-language/schema/raw/master/csl-citation.json"}</w:instrText>
      </w:r>
      <w:r w:rsidR="00730D8E" w:rsidRPr="00E15289">
        <w:rPr>
          <w:rFonts w:ascii="Arial" w:eastAsia="Arial" w:hAnsi="Arial" w:cs="Arial"/>
          <w:color w:val="auto"/>
          <w:sz w:val="24"/>
          <w:szCs w:val="24"/>
          <w:lang w:val="en-GB"/>
        </w:rPr>
        <w:fldChar w:fldCharType="separate"/>
      </w:r>
      <w:r w:rsidR="00491098" w:rsidRPr="00E15289">
        <w:rPr>
          <w:rFonts w:ascii="Arial" w:eastAsia="Arial" w:hAnsi="Arial" w:cs="Arial"/>
          <w:noProof/>
          <w:color w:val="auto"/>
          <w:sz w:val="24"/>
          <w:szCs w:val="24"/>
          <w:lang w:val="en-GB"/>
        </w:rPr>
        <w:t>(30,31)</w:t>
      </w:r>
      <w:r w:rsidR="00730D8E" w:rsidRPr="00E15289">
        <w:rPr>
          <w:rFonts w:ascii="Arial" w:eastAsia="Arial" w:hAnsi="Arial" w:cs="Arial"/>
          <w:color w:val="auto"/>
          <w:sz w:val="24"/>
          <w:szCs w:val="24"/>
          <w:lang w:val="en-GB"/>
        </w:rPr>
        <w:fldChar w:fldCharType="end"/>
      </w:r>
      <w:r w:rsidR="00E31AE2" w:rsidRPr="00E15289">
        <w:rPr>
          <w:rFonts w:ascii="Arial" w:eastAsia="Arial" w:hAnsi="Arial" w:cs="Arial"/>
          <w:color w:val="auto"/>
          <w:sz w:val="24"/>
          <w:szCs w:val="24"/>
          <w:lang w:val="en-GB"/>
        </w:rPr>
        <w:t xml:space="preserve"> using the GTEXv5 Human Prostate </w:t>
      </w:r>
      <w:proofErr w:type="spellStart"/>
      <w:r w:rsidR="00E31AE2" w:rsidRPr="00E15289">
        <w:rPr>
          <w:rFonts w:ascii="Arial" w:eastAsia="Arial" w:hAnsi="Arial" w:cs="Arial"/>
          <w:color w:val="auto"/>
          <w:sz w:val="24"/>
          <w:szCs w:val="24"/>
          <w:lang w:val="en-GB"/>
        </w:rPr>
        <w:t>RefSeq</w:t>
      </w:r>
      <w:proofErr w:type="spellEnd"/>
      <w:r w:rsidR="00E31AE2" w:rsidRPr="00E15289">
        <w:rPr>
          <w:rFonts w:ascii="Arial" w:eastAsia="Arial" w:hAnsi="Arial" w:cs="Arial"/>
          <w:color w:val="auto"/>
          <w:sz w:val="24"/>
          <w:szCs w:val="24"/>
          <w:lang w:val="en-GB"/>
        </w:rPr>
        <w:t xml:space="preserve"> data set.</w:t>
      </w:r>
    </w:p>
    <w:p w14:paraId="61421F49" w14:textId="06988806" w:rsidR="001B43A4" w:rsidRPr="00E15289" w:rsidRDefault="00E15289" w:rsidP="001B43A4">
      <w:pPr>
        <w:pStyle w:val="Default"/>
        <w:spacing w:afterLines="80" w:after="192" w:line="400" w:lineRule="exact"/>
        <w:jc w:val="both"/>
        <w:rPr>
          <w:rFonts w:ascii="Arial" w:eastAsia="Arial" w:hAnsi="Arial" w:cs="Arial"/>
          <w:i/>
          <w:color w:val="auto"/>
          <w:sz w:val="24"/>
          <w:szCs w:val="24"/>
          <w:lang w:val="en-GB"/>
        </w:rPr>
      </w:pPr>
      <w:r>
        <w:rPr>
          <w:rFonts w:ascii="Arial" w:eastAsia="Arial" w:hAnsi="Arial" w:cs="Arial"/>
          <w:i/>
          <w:color w:val="auto"/>
          <w:sz w:val="24"/>
          <w:szCs w:val="24"/>
          <w:lang w:val="en-GB"/>
        </w:rPr>
        <w:t>Data a</w:t>
      </w:r>
      <w:r w:rsidR="001B43A4" w:rsidRPr="00E15289">
        <w:rPr>
          <w:rFonts w:ascii="Arial" w:eastAsia="Arial" w:hAnsi="Arial" w:cs="Arial"/>
          <w:i/>
          <w:color w:val="auto"/>
          <w:sz w:val="24"/>
          <w:szCs w:val="24"/>
          <w:lang w:val="en-GB"/>
        </w:rPr>
        <w:t>vailability</w:t>
      </w:r>
    </w:p>
    <w:p w14:paraId="4AD58286" w14:textId="4F381C71" w:rsidR="00CC2B89" w:rsidRPr="00E15289" w:rsidRDefault="001B43A4" w:rsidP="0025140D">
      <w:pPr>
        <w:spacing w:afterLines="80" w:after="192" w:line="400" w:lineRule="exact"/>
        <w:jc w:val="both"/>
        <w:rPr>
          <w:rFonts w:ascii="Arial" w:eastAsia="Arial" w:hAnsi="Arial" w:cs="Arial"/>
          <w:lang w:val="en-GB"/>
        </w:rPr>
      </w:pPr>
      <w:r w:rsidRPr="00E15289">
        <w:rPr>
          <w:rFonts w:ascii="Arial" w:eastAsia="Arial" w:hAnsi="Arial" w:cs="Arial"/>
          <w:lang w:val="en-GB"/>
        </w:rPr>
        <w:t xml:space="preserve">The mass spectrometry proteomics data described in this manuscript have been deposited to the </w:t>
      </w:r>
      <w:proofErr w:type="spellStart"/>
      <w:r w:rsidRPr="00E15289">
        <w:rPr>
          <w:rFonts w:ascii="Arial" w:eastAsia="Arial" w:hAnsi="Arial" w:cs="Arial"/>
          <w:lang w:val="en-GB"/>
        </w:rPr>
        <w:t>ProteomeXchange</w:t>
      </w:r>
      <w:proofErr w:type="spellEnd"/>
      <w:r w:rsidRPr="00E15289">
        <w:rPr>
          <w:rFonts w:ascii="Arial" w:eastAsia="Arial" w:hAnsi="Arial" w:cs="Arial"/>
          <w:lang w:val="en-GB"/>
        </w:rPr>
        <w:t xml:space="preserve"> Consortium </w:t>
      </w:r>
      <w:r w:rsidRPr="00E15289">
        <w:rPr>
          <w:rFonts w:ascii="Arial" w:eastAsia="Arial" w:hAnsi="Arial" w:cs="Arial"/>
          <w:lang w:val="en-GB"/>
        </w:rPr>
        <w:fldChar w:fldCharType="begin" w:fldLock="1"/>
      </w:r>
      <w:r w:rsidR="002B48EE" w:rsidRPr="00E15289">
        <w:rPr>
          <w:rFonts w:ascii="Arial" w:eastAsia="Arial" w:hAnsi="Arial" w:cs="Arial"/>
          <w:lang w:val="en-GB"/>
        </w:rPr>
        <w:instrText>ADDIN CSL_CITATION {"citationItems":[{"id":"ITEM-1","itemData":{"DOI":"10.1038/nbt.2839","ISSN":"1546-1696","author":[{"dropping-particle":"","family":"Vizcaíno","given":"Juan A","non-dropping-particle":"","parse-names":false,"suffix":""},{"dropping-particle":"","family":"Deutsch","given":"Eric W","non-dropping-particle":"","parse-names":false,"suffix":""},{"dropping-particle":"","family":"Wang","given":"Rui","non-dropping-particle":"","parse-names":false,"suffix":""},{"dropping-particle":"","family":"Csordas","given":"Attila","non-dropping-particle":"","parse-names":false,"suffix":""},{"dropping-particle":"","family":"Reisinger","given":"Florian","non-dropping-particle":"","parse-names":false,"suffix":""},{"dropping-particle":"","family":"Ríos","given":"Daniel","non-dropping-particle":"","parse-names":false,"suffix":""},{"dropping-particle":"","family":"Dianes","given":"José A","non-dropping-particle":"","parse-names":false,"suffix":""},{"dropping-particle":"","family":"Sun","given":"Zhi","non-dropping-particle":"","parse-names":false,"suffix":""},{"dropping-particle":"","family":"Farrah","given":"Terry","non-dropping-particle":"","parse-names":false,"suffix":""},{"dropping-particle":"","family":"Bandeira","given":"Nuno","non-dropping-particle":"","parse-names":false,"suffix":""},{"dropping-particle":"","family":"Binz","given":"Pierre-Alain","non-dropping-particle":"","parse-names":false,"suffix":""},{"dropping-particle":"","family":"Xenarios","given":"Ioannis","non-dropping-particle":"","parse-names":false,"suffix":""},{"dropping-particle":"","family":"Eisenacher","given":"Martin","non-dropping-particle":"","parse-names":false,"suffix":""},{"dropping-particle":"","family":"Mayer","given":"Gerhard","non-dropping-particle":"","parse-names":false,"suffix":""},{"dropping-particle":"","family":"Gatto","given":"Laurent","non-dropping-particle":"","parse-names":false,"suffix":""},{"dropping-particle":"","family":"Campos","given":"Alex","non-dropping-particle":"","parse-names":false,"suffix":""},{"dropping-particle":"","family":"Chalkley","given":"Robert J","non-dropping-particle":"","parse-names":false,"suffix":""},{"dropping-particle":"","family":"Kraus","given":"Hans-Joachim","non-dropping-particle":"","parse-names":false,"suffix":""},{"dropping-particle":"","family":"Albar","given":"Juan Pablo","non-dropping-particle":"","parse-names":false,"suffix":""},{"dropping-particle":"","family":"Martinez-Bartolomé","given":"Salvador","non-dropping-particle":"","parse-names":false,"suffix":""},{"dropping-particle":"","family":"Apweiler","given":"Rolf","non-dropping-particle":"","parse-names":false,"suffix":""},{"dropping-particle":"","family":"Omenn","given":"Gilbert S","non-dropping-particle":"","parse-names":false,"suffix":""},{"dropping-particle":"","family":"Martens","given":"Lennart","non-dropping-particle":"","parse-names":false,"suffix":""},{"dropping-particle":"","family":"Jones","given":"Andrew R","non-dropping-particle":"","parse-names":false,"suffix":""},{"dropping-particle":"","family":"Hermjakob","given":"Henning","non-dropping-particle":"","parse-names":false,"suffix":""}],"container-title":"Nature biotechnology","id":"ITEM-1","issue":"3","issued":{"date-parts":[["2014","3"]]},"language":"eng","page":"223-226","title":"ProteomeXchange provides globally coordinated proteomics data submission and dissemination","type":"article-journal","volume":"32"},"uris":["http://www.mendeley.com/documents/?uuid=4a9d38dd-1f3e-4729-b3b4-d72af9167414"]}],"mendeley":{"formattedCitation":"(32)","plainTextFormattedCitation":"(32)","previouslyFormattedCitation":"(32)"},"properties":{"noteIndex":0},"schema":"https://github.com/citation-style-language/schema/raw/master/csl-citation.json"}</w:instrText>
      </w:r>
      <w:r w:rsidRPr="00E15289">
        <w:rPr>
          <w:rFonts w:ascii="Arial" w:eastAsia="Arial" w:hAnsi="Arial" w:cs="Arial"/>
          <w:lang w:val="en-GB"/>
        </w:rPr>
        <w:fldChar w:fldCharType="separate"/>
      </w:r>
      <w:r w:rsidR="00491098" w:rsidRPr="00E15289">
        <w:rPr>
          <w:rFonts w:ascii="Arial" w:eastAsia="Arial" w:hAnsi="Arial" w:cs="Arial"/>
          <w:noProof/>
          <w:lang w:val="en-GB"/>
        </w:rPr>
        <w:t>(32)</w:t>
      </w:r>
      <w:r w:rsidRPr="00E15289">
        <w:rPr>
          <w:rFonts w:ascii="Arial" w:eastAsia="Arial" w:hAnsi="Arial" w:cs="Arial"/>
          <w:lang w:val="en-GB"/>
        </w:rPr>
        <w:fldChar w:fldCharType="end"/>
      </w:r>
      <w:r w:rsidRPr="00E15289">
        <w:rPr>
          <w:rFonts w:ascii="Arial" w:eastAsia="Arial" w:hAnsi="Arial" w:cs="Arial"/>
          <w:lang w:val="en-GB"/>
        </w:rPr>
        <w:t xml:space="preserve"> via the </w:t>
      </w:r>
      <w:proofErr w:type="spellStart"/>
      <w:r w:rsidRPr="00E15289">
        <w:rPr>
          <w:rFonts w:ascii="Arial" w:eastAsia="Arial" w:hAnsi="Arial" w:cs="Arial"/>
          <w:lang w:val="en-GB"/>
        </w:rPr>
        <w:t>PRoteomics</w:t>
      </w:r>
      <w:proofErr w:type="spellEnd"/>
      <w:r w:rsidRPr="00E15289">
        <w:rPr>
          <w:rFonts w:ascii="Arial" w:eastAsia="Arial" w:hAnsi="Arial" w:cs="Arial"/>
          <w:lang w:val="en-GB"/>
        </w:rPr>
        <w:t xml:space="preserve"> </w:t>
      </w:r>
      <w:proofErr w:type="spellStart"/>
      <w:r w:rsidRPr="00E15289">
        <w:rPr>
          <w:rFonts w:ascii="Arial" w:eastAsia="Arial" w:hAnsi="Arial" w:cs="Arial"/>
          <w:lang w:val="en-GB"/>
        </w:rPr>
        <w:t>IDEntifications</w:t>
      </w:r>
      <w:proofErr w:type="spellEnd"/>
      <w:r w:rsidRPr="00E15289">
        <w:rPr>
          <w:rFonts w:ascii="Arial" w:eastAsia="Arial" w:hAnsi="Arial" w:cs="Arial"/>
          <w:lang w:val="en-GB"/>
        </w:rPr>
        <w:t xml:space="preserve"> (PRIDE) partner repository with the dataset identifier PXD009047.</w:t>
      </w:r>
    </w:p>
    <w:p w14:paraId="4CAF75B2" w14:textId="1DAC6A2E" w:rsidR="00421507" w:rsidRPr="00E15289" w:rsidRDefault="00421507">
      <w:pPr>
        <w:rPr>
          <w:rFonts w:ascii="Arial" w:eastAsia="Arial" w:hAnsi="Arial" w:cs="Arial"/>
          <w:b/>
          <w:i/>
          <w:lang w:val="en-GB"/>
        </w:rPr>
      </w:pPr>
      <w:r w:rsidRPr="00E15289">
        <w:rPr>
          <w:rFonts w:ascii="Arial" w:eastAsia="Arial" w:hAnsi="Arial" w:cs="Arial"/>
          <w:b/>
          <w:i/>
          <w:lang w:val="en-GB"/>
        </w:rPr>
        <w:br w:type="page"/>
      </w:r>
    </w:p>
    <w:p w14:paraId="133A2152" w14:textId="67FC0841" w:rsidR="00804170" w:rsidRPr="00E15289" w:rsidRDefault="00804170" w:rsidP="0025140D">
      <w:pPr>
        <w:spacing w:afterLines="80" w:after="192" w:line="400" w:lineRule="exact"/>
        <w:jc w:val="both"/>
        <w:rPr>
          <w:rFonts w:ascii="Arial" w:eastAsia="Arial" w:hAnsi="Arial" w:cs="Arial"/>
          <w:b/>
          <w:i/>
          <w:lang w:val="en-GB"/>
        </w:rPr>
      </w:pPr>
      <w:r w:rsidRPr="00E15289">
        <w:rPr>
          <w:rFonts w:ascii="Arial" w:eastAsia="Arial" w:hAnsi="Arial" w:cs="Arial"/>
          <w:b/>
          <w:i/>
          <w:lang w:val="en-GB"/>
        </w:rPr>
        <w:lastRenderedPageBreak/>
        <w:t>Results</w:t>
      </w:r>
    </w:p>
    <w:p w14:paraId="536B84CB" w14:textId="3CA32A4A" w:rsidR="001B43A4" w:rsidRPr="00E15289" w:rsidRDefault="001B43A4" w:rsidP="001B43A4">
      <w:pPr>
        <w:spacing w:afterLines="80" w:after="192" w:line="400" w:lineRule="exact"/>
        <w:jc w:val="both"/>
        <w:rPr>
          <w:rFonts w:ascii="Arial" w:eastAsia="Arial" w:hAnsi="Arial" w:cs="Arial"/>
          <w:i/>
          <w:lang w:val="en-GB"/>
        </w:rPr>
      </w:pPr>
      <w:r w:rsidRPr="00E15289">
        <w:rPr>
          <w:rFonts w:ascii="Arial" w:eastAsia="Arial" w:hAnsi="Arial" w:cs="Arial"/>
          <w:i/>
          <w:lang w:val="en-GB"/>
        </w:rPr>
        <w:t>Experimental design</w:t>
      </w:r>
    </w:p>
    <w:p w14:paraId="5EA966DF" w14:textId="44373A4A" w:rsidR="001B43A4" w:rsidRPr="00E15289" w:rsidRDefault="001B43A4" w:rsidP="001B43A4">
      <w:pPr>
        <w:spacing w:afterLines="80" w:after="192" w:line="400" w:lineRule="exact"/>
        <w:jc w:val="both"/>
        <w:rPr>
          <w:rFonts w:ascii="Arial" w:eastAsia="Arial" w:hAnsi="Arial" w:cs="Arial"/>
          <w:lang w:val="en-GB"/>
        </w:rPr>
      </w:pPr>
      <w:r w:rsidRPr="00E15289">
        <w:rPr>
          <w:rFonts w:ascii="Arial" w:eastAsia="Arial" w:hAnsi="Arial" w:cs="Arial"/>
          <w:lang w:val="en-GB"/>
        </w:rPr>
        <w:t xml:space="preserve">The prime objective of the present study was to identify the differentially expressed proteins in PC-3 cell lines following the induction of hypoxia and to determine whether the differentially regulated proteins were restored to their initial concentrations following treatment of the hypoxic cells with NSAID or NO-NSAID. Earlier studies </w:t>
      </w:r>
      <w:r w:rsidR="00491098" w:rsidRPr="00E15289">
        <w:rPr>
          <w:rFonts w:ascii="Arial" w:eastAsia="Arial" w:hAnsi="Arial" w:cs="Arial"/>
          <w:lang w:val="en-GB"/>
        </w:rPr>
        <w:fldChar w:fldCharType="begin" w:fldLock="1"/>
      </w:r>
      <w:r w:rsidR="002B48EE" w:rsidRPr="00E15289">
        <w:rPr>
          <w:rFonts w:ascii="Arial" w:eastAsia="Arial" w:hAnsi="Arial" w:cs="Arial"/>
          <w:lang w:val="en-GB"/>
        </w:rPr>
        <w:instrText>ADDIN CSL_CITATION {"citationItems":[{"id":"ITEM-1","itemData":{"DOI":"10.1002/ijc.23934","ISSN":"00207136","abstract":"Nitric oxide-donating non-steroidal anti-inflammatory drugs are safer than traditional NSAIDs and inhibit the growth of prostate cancer cells with greater potency than NSAIDs. In vivo, prostate cancer deposits are found in a hypoxic environment which induces resistance to chemotherapy. The aim of this study was to assess the effects and mechanism of action of a NO-NSAID called NO-sulindac on the PC-3 prostate cancer cell line under hypoxic conditions. NO-sulindac was found to have pro-apoptotic, cytotoxic, and anti-invasive effect on PC-3 cells under normoxia and hypoxia. NO-sulindac was significantly more cytotoxic than sulindac at all oxygen levels. The sulindac/linker and NO-releasing subunits both contributed to the cytotoxic effects of NO-sulindac. Resistance of PC-3 cells to NO-sulindac was induced as the oxygen concentration declined. Hypoxia-induced chemoresistance was reversed by knocking-down hypoxia-inducible factor-1alpha (HIF-1alpha) mRNA using RNAi. Nuclear HIF-1alpha levels were upregulated at 0.2% oxygen but reduced by treatment with NO-sulindac, as was Akt phosphorylation. NO-sulindac treatment of hypoxic PC-3 cells transfected with a reporter construct, downregulated activation of the hypoxia response element (HRE) promoter. Co-transfection of PC-3 cells with the HRE promoter reporter construct and myr-Akt (constitutively active Akt) plasmids reversed the NO-sulindac induced reduction in HRE activation. Real-time polymerase chain reaction analysis of hypoxic, NO-sulindac treated PC-3 cells showed downregulation of lysyl oxidase and carbonic anhydrase IX mRNA expression. Collectively, these novel findings demonstrate that NO-sulindac directly inhibits the hypoxia response of PC-3 prostate cancer cells by inhibiting HIF-1alpha translation via the Akt signalling pathway. The ability of NO-sulindac to inhibit tumour adaption to hypoxia has considerable relevance to the future management of prostate cancer with the same cellular properties as PC-3.","author":[{"dropping-particle":"","family":"Stewart","given":"Grant D.","non-dropping-particle":"","parse-names":false,"suffix":""},{"dropping-particle":"","family":"Nanda","given":"Jyoti","non-dropping-particle":"","parse-names":false,"suffix":""},{"dropping-particle":"","family":"Brown","given":"David J.G.","non-dropping-particle":"","parse-names":false,"suffix":""},{"dropping-particle":"","family":"Riddick","given":"Antony C.P.","non-dropping-particle":"","parse-names":false,"suffix":""},{"dropping-particle":"","family":"Ross","given":"James A.","non-dropping-particle":"","parse-names":false,"suffix":""},{"dropping-particle":"","family":"Habib","given":"Fouad K.","non-dropping-particle":"","parse-names":false,"suffix":""}],"container-title":"International Journal of Cancer","id":"ITEM-1","issued":{"date-parts":[["2009"]]},"title":"NO-sulindac inhibits the hypoxia response of PC-3 prostate cancer cells via the Akt signalling pathway","type":"article-journal"},"uris":["http://www.mendeley.com/documents/?uuid=ec7a4365-3523-4654-b020-bbca2fa7d351"]}],"mendeley":{"formattedCitation":"(14)","plainTextFormattedCitation":"(14)","previouslyFormattedCitation":"(14)"},"properties":{"noteIndex":0},"schema":"https://github.com/citation-style-language/schema/raw/master/csl-citation.json"}</w:instrText>
      </w:r>
      <w:r w:rsidR="00491098" w:rsidRPr="00E15289">
        <w:rPr>
          <w:rFonts w:ascii="Arial" w:eastAsia="Arial" w:hAnsi="Arial" w:cs="Arial"/>
          <w:lang w:val="en-GB"/>
        </w:rPr>
        <w:fldChar w:fldCharType="separate"/>
      </w:r>
      <w:r w:rsidR="00491098" w:rsidRPr="00E15289">
        <w:rPr>
          <w:rFonts w:ascii="Arial" w:eastAsia="Arial" w:hAnsi="Arial" w:cs="Arial"/>
          <w:noProof/>
          <w:lang w:val="en-GB"/>
        </w:rPr>
        <w:t>(14)</w:t>
      </w:r>
      <w:r w:rsidR="00491098" w:rsidRPr="00E15289">
        <w:rPr>
          <w:rFonts w:ascii="Arial" w:eastAsia="Arial" w:hAnsi="Arial" w:cs="Arial"/>
          <w:lang w:val="en-GB"/>
        </w:rPr>
        <w:fldChar w:fldCharType="end"/>
      </w:r>
      <w:r w:rsidRPr="00E15289">
        <w:rPr>
          <w:rFonts w:ascii="Arial" w:eastAsia="Arial" w:hAnsi="Arial" w:cs="Arial"/>
          <w:lang w:val="en-GB"/>
        </w:rPr>
        <w:t xml:space="preserve"> had demonstrated that NO-NSAIDs, unlike NSAIDs, were effective agents in suppressing the hypoxic response in prostate cancer cells. Potential candidate proteins identified in these preliminary studies will be earmarked as potential biomarkers for further investigations and will also offer an insight into the mechanism by which the NO-NSAIDs</w:t>
      </w:r>
      <w:r w:rsidR="00491098" w:rsidRPr="00E15289">
        <w:rPr>
          <w:rFonts w:ascii="Arial" w:eastAsia="Arial" w:hAnsi="Arial" w:cs="Arial"/>
          <w:lang w:val="en-GB"/>
        </w:rPr>
        <w:t xml:space="preserve"> </w:t>
      </w:r>
      <w:r w:rsidRPr="00E15289">
        <w:rPr>
          <w:rFonts w:ascii="Arial" w:eastAsia="Arial" w:hAnsi="Arial" w:cs="Arial"/>
          <w:lang w:val="en-GB"/>
        </w:rPr>
        <w:t>drug treatments might inhibit the hypoxic process in the prostate. The workflow for the experiments carried out</w:t>
      </w:r>
      <w:r w:rsidR="00491098" w:rsidRPr="00E15289">
        <w:rPr>
          <w:rFonts w:ascii="Arial" w:eastAsia="Arial" w:hAnsi="Arial" w:cs="Arial"/>
          <w:lang w:val="en-GB"/>
        </w:rPr>
        <w:t>, which affords both discovery and hypothesis driven analysis strategies,</w:t>
      </w:r>
      <w:r w:rsidRPr="00E15289">
        <w:rPr>
          <w:rFonts w:ascii="Arial" w:eastAsia="Arial" w:hAnsi="Arial" w:cs="Arial"/>
          <w:lang w:val="en-GB"/>
        </w:rPr>
        <w:t xml:space="preserve"> is summarized in </w:t>
      </w:r>
      <w:r w:rsidRPr="00E15289">
        <w:rPr>
          <w:rFonts w:ascii="Arial" w:eastAsia="Arial" w:hAnsi="Arial" w:cs="Arial"/>
          <w:b/>
          <w:lang w:val="en-GB"/>
        </w:rPr>
        <w:t>Figure 1</w:t>
      </w:r>
      <w:r w:rsidRPr="00E15289">
        <w:rPr>
          <w:rFonts w:ascii="Arial" w:eastAsia="Arial" w:hAnsi="Arial" w:cs="Arial"/>
          <w:lang w:val="en-GB"/>
        </w:rPr>
        <w:t>.</w:t>
      </w:r>
    </w:p>
    <w:p w14:paraId="34F515AE" w14:textId="490557B2" w:rsidR="000B7ECC" w:rsidRPr="00E15289" w:rsidRDefault="00DE55A6" w:rsidP="001B43A4">
      <w:pPr>
        <w:spacing w:afterLines="80" w:after="192" w:line="400" w:lineRule="exact"/>
        <w:jc w:val="both"/>
        <w:rPr>
          <w:rFonts w:ascii="Arial" w:eastAsia="Arial" w:hAnsi="Arial" w:cs="Arial"/>
          <w:i/>
          <w:lang w:val="en-GB"/>
        </w:rPr>
      </w:pPr>
      <w:r w:rsidRPr="00E15289">
        <w:rPr>
          <w:rFonts w:ascii="Arial" w:eastAsia="Arial" w:hAnsi="Arial" w:cs="Arial"/>
          <w:i/>
          <w:lang w:val="en-GB"/>
        </w:rPr>
        <w:t xml:space="preserve">Quantitative </w:t>
      </w:r>
      <w:r w:rsidR="00312CBF" w:rsidRPr="00E15289">
        <w:rPr>
          <w:rFonts w:ascii="Arial" w:eastAsia="Arial" w:hAnsi="Arial" w:cs="Arial"/>
          <w:i/>
          <w:lang w:val="en-GB"/>
        </w:rPr>
        <w:t>p</w:t>
      </w:r>
      <w:r w:rsidR="000B7ECC" w:rsidRPr="00E15289">
        <w:rPr>
          <w:rFonts w:ascii="Arial" w:eastAsia="Arial" w:hAnsi="Arial" w:cs="Arial"/>
          <w:i/>
          <w:lang w:val="en-GB"/>
        </w:rPr>
        <w:t>recision</w:t>
      </w:r>
      <w:r w:rsidR="00312CBF" w:rsidRPr="00E15289">
        <w:rPr>
          <w:rFonts w:ascii="Arial" w:eastAsia="Arial" w:hAnsi="Arial" w:cs="Arial"/>
          <w:i/>
          <w:lang w:val="en-GB"/>
        </w:rPr>
        <w:t xml:space="preserve"> </w:t>
      </w:r>
      <w:r w:rsidR="00F46858" w:rsidRPr="00E15289">
        <w:rPr>
          <w:rFonts w:ascii="Arial" w:eastAsia="Arial" w:hAnsi="Arial" w:cs="Arial"/>
          <w:i/>
          <w:lang w:val="en-GB"/>
        </w:rPr>
        <w:t xml:space="preserve">and profiling </w:t>
      </w:r>
      <w:r w:rsidR="00312CBF" w:rsidRPr="00E15289">
        <w:rPr>
          <w:rFonts w:ascii="Arial" w:eastAsia="Arial" w:hAnsi="Arial" w:cs="Arial"/>
          <w:i/>
          <w:lang w:val="en-GB"/>
        </w:rPr>
        <w:t>label-free</w:t>
      </w:r>
      <w:r w:rsidRPr="00E15289">
        <w:rPr>
          <w:rFonts w:ascii="Arial" w:eastAsia="Arial" w:hAnsi="Arial" w:cs="Arial"/>
          <w:i/>
          <w:lang w:val="en-GB"/>
        </w:rPr>
        <w:t xml:space="preserve"> LC-MS</w:t>
      </w:r>
      <w:r w:rsidR="00F46858" w:rsidRPr="00E15289">
        <w:rPr>
          <w:rFonts w:ascii="Arial" w:eastAsia="Arial" w:hAnsi="Arial" w:cs="Arial"/>
          <w:i/>
          <w:lang w:val="en-GB"/>
        </w:rPr>
        <w:t xml:space="preserve"> proteomic data</w:t>
      </w:r>
    </w:p>
    <w:p w14:paraId="6718FF7E" w14:textId="71161333" w:rsidR="003F1691" w:rsidRPr="00E15289" w:rsidRDefault="00491098" w:rsidP="0025140D">
      <w:pPr>
        <w:spacing w:afterLines="80" w:after="192" w:line="400" w:lineRule="exact"/>
        <w:jc w:val="both"/>
        <w:rPr>
          <w:rFonts w:ascii="Arial" w:eastAsia="Arial" w:hAnsi="Arial" w:cs="Arial"/>
          <w:lang w:val="en-GB"/>
        </w:rPr>
      </w:pPr>
      <w:r w:rsidRPr="00E15289">
        <w:rPr>
          <w:rFonts w:ascii="Arial" w:eastAsia="Arial" w:hAnsi="Arial" w:cs="Arial"/>
          <w:lang w:val="en-GB"/>
        </w:rPr>
        <w:t xml:space="preserve">PC-3 prostate cancer cells were grown under </w:t>
      </w:r>
      <w:proofErr w:type="spellStart"/>
      <w:r w:rsidRPr="00E15289">
        <w:rPr>
          <w:rFonts w:ascii="Arial" w:eastAsia="Arial" w:hAnsi="Arial" w:cs="Arial"/>
          <w:lang w:val="en-GB"/>
        </w:rPr>
        <w:t>normoxic</w:t>
      </w:r>
      <w:proofErr w:type="spellEnd"/>
      <w:r w:rsidRPr="00E15289">
        <w:rPr>
          <w:rFonts w:ascii="Arial" w:eastAsia="Arial" w:hAnsi="Arial" w:cs="Arial"/>
          <w:lang w:val="en-GB"/>
        </w:rPr>
        <w:t xml:space="preserve"> and hypoxic conditions in the presence and absence of </w:t>
      </w:r>
      <w:r w:rsidR="00421507" w:rsidRPr="00E15289">
        <w:rPr>
          <w:rFonts w:ascii="Arial" w:eastAsia="Arial" w:hAnsi="Arial" w:cs="Arial"/>
          <w:lang w:val="en-GB"/>
        </w:rPr>
        <w:t>Sulindac</w:t>
      </w:r>
      <w:r w:rsidRPr="00E15289">
        <w:rPr>
          <w:rFonts w:ascii="Arial" w:eastAsia="Arial" w:hAnsi="Arial" w:cs="Arial"/>
          <w:lang w:val="en-GB"/>
        </w:rPr>
        <w:t xml:space="preserve"> or NO-</w:t>
      </w:r>
      <w:r w:rsidR="00421507" w:rsidRPr="00E15289">
        <w:rPr>
          <w:rFonts w:ascii="Arial" w:eastAsia="Arial" w:hAnsi="Arial" w:cs="Arial"/>
          <w:lang w:val="en-GB"/>
        </w:rPr>
        <w:t>Sulindac</w:t>
      </w:r>
      <w:r w:rsidRPr="00E15289">
        <w:rPr>
          <w:rFonts w:ascii="Arial" w:eastAsia="Arial" w:hAnsi="Arial" w:cs="Arial"/>
          <w:lang w:val="en-GB"/>
        </w:rPr>
        <w:t xml:space="preserve"> and optionally exposed to radiation. </w:t>
      </w:r>
      <w:r w:rsidR="00804170" w:rsidRPr="00E15289">
        <w:rPr>
          <w:rFonts w:ascii="Arial" w:eastAsia="Arial" w:hAnsi="Arial" w:cs="Arial"/>
          <w:lang w:val="en-GB"/>
        </w:rPr>
        <w:t xml:space="preserve">Three </w:t>
      </w:r>
      <w:r w:rsidR="00F338C4" w:rsidRPr="00E15289">
        <w:rPr>
          <w:rFonts w:ascii="Arial" w:eastAsia="Arial" w:hAnsi="Arial" w:cs="Arial"/>
          <w:lang w:val="en-GB"/>
        </w:rPr>
        <w:t xml:space="preserve">plates of PC-3 cells (biological replicates) were each </w:t>
      </w:r>
      <w:r w:rsidR="00293E55" w:rsidRPr="00E15289">
        <w:rPr>
          <w:rFonts w:ascii="Arial" w:eastAsia="Arial" w:hAnsi="Arial" w:cs="Arial"/>
          <w:lang w:val="en-GB"/>
        </w:rPr>
        <w:t>divided</w:t>
      </w:r>
      <w:r w:rsidR="00F338C4" w:rsidRPr="00E15289">
        <w:rPr>
          <w:rFonts w:ascii="Arial" w:eastAsia="Arial" w:hAnsi="Arial" w:cs="Arial"/>
          <w:lang w:val="en-GB"/>
        </w:rPr>
        <w:t xml:space="preserve"> into three aliquots for parallel processing (technical replications), through all sample preparation steps and LC-MS proteomics, as described in the Methods section</w:t>
      </w:r>
      <w:r w:rsidR="00B119A4" w:rsidRPr="00E15289">
        <w:rPr>
          <w:rFonts w:ascii="Arial" w:eastAsia="Arial" w:hAnsi="Arial" w:cs="Arial"/>
          <w:lang w:val="en-GB"/>
        </w:rPr>
        <w:t>.</w:t>
      </w:r>
      <w:r w:rsidR="00CA5352" w:rsidRPr="00E15289">
        <w:rPr>
          <w:rFonts w:ascii="Arial" w:eastAsia="Arial" w:hAnsi="Arial" w:cs="Arial"/>
          <w:lang w:val="en-GB"/>
        </w:rPr>
        <w:t xml:space="preserve"> </w:t>
      </w:r>
      <w:r w:rsidR="00804170" w:rsidRPr="00E15289">
        <w:rPr>
          <w:rFonts w:ascii="Arial" w:eastAsia="Arial" w:hAnsi="Arial" w:cs="Arial"/>
          <w:lang w:val="en-GB"/>
        </w:rPr>
        <w:t xml:space="preserve">In total, </w:t>
      </w:r>
      <w:r w:rsidR="00A410D1" w:rsidRPr="00E15289">
        <w:rPr>
          <w:rFonts w:ascii="Arial" w:eastAsia="Arial" w:hAnsi="Arial" w:cs="Arial"/>
          <w:lang w:val="en-GB"/>
        </w:rPr>
        <w:t xml:space="preserve">from </w:t>
      </w:r>
      <w:r w:rsidR="00822C7A" w:rsidRPr="00E15289">
        <w:rPr>
          <w:rFonts w:ascii="Arial" w:eastAsia="Arial" w:hAnsi="Arial" w:cs="Arial"/>
          <w:lang w:val="en-GB"/>
        </w:rPr>
        <w:t>117</w:t>
      </w:r>
      <w:r w:rsidR="00A410D1" w:rsidRPr="00E15289">
        <w:rPr>
          <w:rFonts w:ascii="Arial" w:eastAsia="Arial" w:hAnsi="Arial" w:cs="Arial"/>
          <w:lang w:val="en-GB"/>
        </w:rPr>
        <w:t xml:space="preserve"> LC-MS runs, </w:t>
      </w:r>
      <w:r w:rsidR="00804170" w:rsidRPr="00E15289">
        <w:rPr>
          <w:rFonts w:ascii="Arial" w:eastAsia="Arial" w:hAnsi="Arial" w:cs="Arial"/>
          <w:lang w:val="en-GB"/>
        </w:rPr>
        <w:t>1,122 protein groups were identified and quantified in at least two replicates with a protein and peptide false discovery rate of 1%, representing a total of 1,378 proteins.</w:t>
      </w:r>
      <w:r w:rsidR="00BD158D" w:rsidRPr="00E15289">
        <w:rPr>
          <w:rFonts w:ascii="Arial" w:eastAsia="Arial" w:hAnsi="Arial" w:cs="Arial"/>
          <w:lang w:val="en-GB"/>
        </w:rPr>
        <w:t xml:space="preserve"> </w:t>
      </w:r>
      <w:r w:rsidR="00CC25FD" w:rsidRPr="00E15289">
        <w:rPr>
          <w:rFonts w:ascii="Arial" w:eastAsia="Arial" w:hAnsi="Arial" w:cs="Arial"/>
          <w:lang w:val="en-GB"/>
        </w:rPr>
        <w:t xml:space="preserve">A semi-quantitative overview of the identified proteins </w:t>
      </w:r>
      <w:r w:rsidR="000B550B" w:rsidRPr="00E15289">
        <w:rPr>
          <w:rFonts w:ascii="Arial" w:eastAsia="Arial" w:hAnsi="Arial" w:cs="Arial"/>
          <w:lang w:val="en-GB"/>
        </w:rPr>
        <w:t xml:space="preserve">and protein homology (protein groups) </w:t>
      </w:r>
      <w:r w:rsidR="00CC25FD" w:rsidRPr="00E15289">
        <w:rPr>
          <w:rFonts w:ascii="Arial" w:eastAsia="Arial" w:hAnsi="Arial" w:cs="Arial"/>
          <w:lang w:val="en-GB"/>
        </w:rPr>
        <w:t xml:space="preserve">is provided in </w:t>
      </w:r>
      <w:r w:rsidR="00CC25FD" w:rsidRPr="00E15289">
        <w:rPr>
          <w:rFonts w:ascii="Arial" w:eastAsia="Arial" w:hAnsi="Arial" w:cs="Arial"/>
          <w:b/>
          <w:lang w:val="en-GB"/>
        </w:rPr>
        <w:t>Supplementary Table</w:t>
      </w:r>
      <w:r w:rsidR="000B550B" w:rsidRPr="00E15289">
        <w:rPr>
          <w:rFonts w:ascii="Arial" w:eastAsia="Arial" w:hAnsi="Arial" w:cs="Arial"/>
          <w:b/>
          <w:lang w:val="en-GB"/>
        </w:rPr>
        <w:t>s</w:t>
      </w:r>
      <w:r w:rsidR="00CC25FD" w:rsidRPr="00E15289">
        <w:rPr>
          <w:rFonts w:ascii="Arial" w:eastAsia="Arial" w:hAnsi="Arial" w:cs="Arial"/>
          <w:b/>
          <w:lang w:val="en-GB"/>
        </w:rPr>
        <w:t xml:space="preserve"> 1</w:t>
      </w:r>
      <w:r w:rsidR="006D06DA">
        <w:rPr>
          <w:rFonts w:ascii="Arial" w:eastAsia="Arial" w:hAnsi="Arial" w:cs="Arial"/>
          <w:b/>
          <w:lang w:val="en-GB"/>
        </w:rPr>
        <w:t>A</w:t>
      </w:r>
      <w:r w:rsidR="000B550B" w:rsidRPr="00E15289">
        <w:rPr>
          <w:rFonts w:ascii="Arial" w:eastAsia="Arial" w:hAnsi="Arial" w:cs="Arial"/>
          <w:b/>
          <w:lang w:val="en-GB"/>
        </w:rPr>
        <w:t xml:space="preserve"> and 1</w:t>
      </w:r>
      <w:r w:rsidR="006D06DA">
        <w:rPr>
          <w:rFonts w:ascii="Arial" w:eastAsia="Arial" w:hAnsi="Arial" w:cs="Arial"/>
          <w:b/>
          <w:lang w:val="en-GB"/>
        </w:rPr>
        <w:t>B</w:t>
      </w:r>
      <w:r w:rsidR="000B550B" w:rsidRPr="00E15289">
        <w:rPr>
          <w:rFonts w:ascii="Arial" w:eastAsia="Arial" w:hAnsi="Arial" w:cs="Arial"/>
          <w:lang w:val="en-GB"/>
        </w:rPr>
        <w:t>, respectively</w:t>
      </w:r>
      <w:r w:rsidR="00CC25FD" w:rsidRPr="00E15289">
        <w:rPr>
          <w:rFonts w:ascii="Arial" w:eastAsia="Arial" w:hAnsi="Arial" w:cs="Arial"/>
          <w:lang w:val="en-GB"/>
        </w:rPr>
        <w:t xml:space="preserve">. </w:t>
      </w:r>
      <w:r w:rsidR="00BD158D" w:rsidRPr="00E15289">
        <w:rPr>
          <w:rFonts w:ascii="Arial" w:eastAsia="Arial" w:hAnsi="Arial" w:cs="Arial"/>
          <w:lang w:val="en-GB"/>
        </w:rPr>
        <w:t xml:space="preserve">As part of the </w:t>
      </w:r>
      <w:r w:rsidR="00A410D1" w:rsidRPr="00E15289">
        <w:rPr>
          <w:rFonts w:ascii="Arial" w:eastAsia="Arial" w:hAnsi="Arial" w:cs="Arial"/>
          <w:lang w:val="en-GB"/>
        </w:rPr>
        <w:t>experiment</w:t>
      </w:r>
      <w:r w:rsidR="00F35A71" w:rsidRPr="00E15289">
        <w:rPr>
          <w:rFonts w:ascii="Arial" w:eastAsia="Arial" w:hAnsi="Arial" w:cs="Arial"/>
          <w:lang w:val="en-GB"/>
        </w:rPr>
        <w:t xml:space="preserve">, study pool </w:t>
      </w:r>
      <w:r w:rsidR="00AE23CE" w:rsidRPr="00E15289">
        <w:rPr>
          <w:rFonts w:ascii="Arial" w:eastAsia="Arial" w:hAnsi="Arial" w:cs="Arial"/>
          <w:lang w:val="en-GB"/>
        </w:rPr>
        <w:t>quality control (</w:t>
      </w:r>
      <w:r w:rsidR="00F35A71" w:rsidRPr="00E15289">
        <w:rPr>
          <w:rFonts w:ascii="Arial" w:eastAsia="Arial" w:hAnsi="Arial" w:cs="Arial"/>
          <w:lang w:val="en-GB"/>
        </w:rPr>
        <w:t>QC</w:t>
      </w:r>
      <w:r w:rsidR="00AE23CE" w:rsidRPr="00E15289">
        <w:rPr>
          <w:rFonts w:ascii="Arial" w:eastAsia="Arial" w:hAnsi="Arial" w:cs="Arial"/>
          <w:lang w:val="en-GB"/>
        </w:rPr>
        <w:t>)</w:t>
      </w:r>
      <w:r w:rsidR="00F35A71" w:rsidRPr="00E15289">
        <w:rPr>
          <w:rFonts w:ascii="Arial" w:eastAsia="Arial" w:hAnsi="Arial" w:cs="Arial"/>
          <w:lang w:val="en-GB"/>
        </w:rPr>
        <w:t xml:space="preserve"> samples, comprising equal amount aliquots of each sample, were interspersed every tenth LC-MS experiment, </w:t>
      </w:r>
      <w:r w:rsidR="00AE23CE" w:rsidRPr="00E15289">
        <w:rPr>
          <w:rFonts w:ascii="Arial" w:eastAsia="Arial" w:hAnsi="Arial" w:cs="Arial"/>
          <w:lang w:val="en-GB"/>
        </w:rPr>
        <w:t>thus</w:t>
      </w:r>
      <w:r w:rsidR="00F35A71" w:rsidRPr="00E15289">
        <w:rPr>
          <w:rFonts w:ascii="Arial" w:eastAsia="Arial" w:hAnsi="Arial" w:cs="Arial"/>
          <w:lang w:val="en-GB"/>
        </w:rPr>
        <w:t xml:space="preserve"> </w:t>
      </w:r>
      <w:r w:rsidR="00AE23CE" w:rsidRPr="00E15289">
        <w:rPr>
          <w:rFonts w:ascii="Arial" w:eastAsia="Arial" w:hAnsi="Arial" w:cs="Arial"/>
          <w:lang w:val="en-GB"/>
        </w:rPr>
        <w:t xml:space="preserve">providing a </w:t>
      </w:r>
      <w:r w:rsidR="00F35A71" w:rsidRPr="00E15289">
        <w:rPr>
          <w:rFonts w:ascii="Arial" w:eastAsia="Arial" w:hAnsi="Arial" w:cs="Arial"/>
          <w:lang w:val="en-GB"/>
        </w:rPr>
        <w:t xml:space="preserve">precision estimation </w:t>
      </w:r>
      <w:r w:rsidR="00AE23CE" w:rsidRPr="00E15289">
        <w:rPr>
          <w:rFonts w:ascii="Arial" w:eastAsia="Arial" w:hAnsi="Arial" w:cs="Arial"/>
          <w:lang w:val="en-GB"/>
        </w:rPr>
        <w:t xml:space="preserve">method </w:t>
      </w:r>
      <w:r w:rsidR="00F35A71" w:rsidRPr="00E15289">
        <w:rPr>
          <w:rFonts w:ascii="Arial" w:eastAsia="Arial" w:hAnsi="Arial" w:cs="Arial"/>
          <w:lang w:val="en-GB"/>
        </w:rPr>
        <w:t xml:space="preserve">of </w:t>
      </w:r>
      <w:r w:rsidR="00DE5513" w:rsidRPr="00E15289">
        <w:rPr>
          <w:rFonts w:ascii="Arial" w:eastAsia="Arial" w:hAnsi="Arial" w:cs="Arial"/>
          <w:lang w:val="en-GB"/>
        </w:rPr>
        <w:t xml:space="preserve">the applied </w:t>
      </w:r>
      <w:r w:rsidR="000B550B" w:rsidRPr="00E15289">
        <w:rPr>
          <w:rFonts w:ascii="Arial" w:eastAsia="Arial" w:hAnsi="Arial" w:cs="Arial"/>
          <w:lang w:val="en-GB"/>
        </w:rPr>
        <w:t xml:space="preserve">ion mobility assisted </w:t>
      </w:r>
      <w:r w:rsidR="00F35A71" w:rsidRPr="00E15289">
        <w:rPr>
          <w:rFonts w:ascii="Arial" w:eastAsia="Arial" w:hAnsi="Arial" w:cs="Arial"/>
          <w:lang w:val="en-GB"/>
        </w:rPr>
        <w:t>label</w:t>
      </w:r>
      <w:r w:rsidR="002F2AFF" w:rsidRPr="00E15289">
        <w:rPr>
          <w:rFonts w:ascii="Arial" w:eastAsia="Arial" w:hAnsi="Arial" w:cs="Arial"/>
          <w:lang w:val="en-GB"/>
        </w:rPr>
        <w:t xml:space="preserve">-free LC-MS </w:t>
      </w:r>
      <w:r w:rsidR="00AE23CE" w:rsidRPr="00E15289">
        <w:rPr>
          <w:rFonts w:ascii="Arial" w:eastAsia="Arial" w:hAnsi="Arial" w:cs="Arial"/>
          <w:lang w:val="en-GB"/>
        </w:rPr>
        <w:t>approach</w:t>
      </w:r>
      <w:r w:rsidR="002F2AFF" w:rsidRPr="00E15289">
        <w:rPr>
          <w:rFonts w:ascii="Arial" w:eastAsia="Arial" w:hAnsi="Arial" w:cs="Arial"/>
          <w:lang w:val="en-GB"/>
        </w:rPr>
        <w:t xml:space="preserve">. As </w:t>
      </w:r>
      <w:r w:rsidR="00A410D1" w:rsidRPr="00E15289">
        <w:rPr>
          <w:rFonts w:ascii="Arial" w:eastAsia="Arial" w:hAnsi="Arial" w:cs="Arial"/>
          <w:lang w:val="en-GB"/>
        </w:rPr>
        <w:t>shown</w:t>
      </w:r>
      <w:r w:rsidR="002F2AFF" w:rsidRPr="00E15289">
        <w:rPr>
          <w:rFonts w:ascii="Arial" w:eastAsia="Arial" w:hAnsi="Arial" w:cs="Arial"/>
          <w:lang w:val="en-GB"/>
        </w:rPr>
        <w:t xml:space="preserve"> in </w:t>
      </w:r>
      <w:r w:rsidR="002F2AFF" w:rsidRPr="00E15289">
        <w:rPr>
          <w:rFonts w:ascii="Arial" w:eastAsia="Arial" w:hAnsi="Arial" w:cs="Arial"/>
          <w:b/>
          <w:lang w:val="en-GB"/>
        </w:rPr>
        <w:t xml:space="preserve">Supplementary Figure </w:t>
      </w:r>
      <w:r w:rsidR="004649F5" w:rsidRPr="00E15289">
        <w:rPr>
          <w:rFonts w:ascii="Arial" w:eastAsia="Arial" w:hAnsi="Arial" w:cs="Arial"/>
          <w:b/>
          <w:lang w:val="en-GB"/>
        </w:rPr>
        <w:t>1</w:t>
      </w:r>
      <w:r w:rsidR="008F0AF2" w:rsidRPr="00E15289">
        <w:rPr>
          <w:rFonts w:ascii="Arial" w:eastAsia="Arial" w:hAnsi="Arial" w:cs="Arial"/>
          <w:lang w:val="en-GB"/>
        </w:rPr>
        <w:t xml:space="preserve">, with the average amount in ppm values distributed over 8 bins, the median abundance estimation </w:t>
      </w:r>
      <w:r w:rsidR="00A6047D" w:rsidRPr="00E15289">
        <w:rPr>
          <w:rFonts w:ascii="Arial" w:eastAsia="Arial" w:hAnsi="Arial" w:cs="Arial"/>
          <w:lang w:val="en-GB"/>
        </w:rPr>
        <w:t>of the coefficient of variation</w:t>
      </w:r>
      <w:r w:rsidR="008F0AF2" w:rsidRPr="00E15289">
        <w:rPr>
          <w:rFonts w:ascii="Arial" w:eastAsia="Arial" w:hAnsi="Arial" w:cs="Arial"/>
          <w:lang w:val="en-GB"/>
        </w:rPr>
        <w:t xml:space="preserve"> was well below 10%</w:t>
      </w:r>
      <w:r w:rsidR="00A410D1" w:rsidRPr="00E15289">
        <w:rPr>
          <w:rFonts w:ascii="Arial" w:eastAsia="Arial" w:hAnsi="Arial" w:cs="Arial"/>
          <w:lang w:val="en-GB"/>
        </w:rPr>
        <w:t>, which affords the detection of minor changes in concentration</w:t>
      </w:r>
      <w:r w:rsidR="008F0AF2" w:rsidRPr="00E15289">
        <w:rPr>
          <w:rFonts w:ascii="Arial" w:eastAsia="Arial" w:hAnsi="Arial" w:cs="Arial"/>
          <w:lang w:val="en-GB"/>
        </w:rPr>
        <w:t xml:space="preserve">. </w:t>
      </w:r>
      <w:r w:rsidR="00804170" w:rsidRPr="00E15289">
        <w:rPr>
          <w:rFonts w:ascii="Arial" w:eastAsia="Arial" w:hAnsi="Arial" w:cs="Arial"/>
          <w:lang w:val="en-GB"/>
        </w:rPr>
        <w:t>In terms of overall label-free quantification, the protein abundance profiles were very similar with only a very small number of proteins demonstrating subtle but significant changes.</w:t>
      </w:r>
      <w:r w:rsidR="00B119A4" w:rsidRPr="00E15289">
        <w:rPr>
          <w:rFonts w:ascii="Arial" w:eastAsia="Arial" w:hAnsi="Arial" w:cs="Arial"/>
          <w:lang w:val="en-GB"/>
        </w:rPr>
        <w:t xml:space="preserve"> However, given the very high precision of the label-free LC-MS </w:t>
      </w:r>
      <w:r w:rsidR="0031120F" w:rsidRPr="00E15289">
        <w:rPr>
          <w:rFonts w:ascii="Arial" w:eastAsia="Arial" w:hAnsi="Arial" w:cs="Arial"/>
          <w:lang w:val="en-GB"/>
        </w:rPr>
        <w:t>data and resu</w:t>
      </w:r>
      <w:r w:rsidR="004C4CAB" w:rsidRPr="00E15289">
        <w:rPr>
          <w:rFonts w:ascii="Arial" w:eastAsia="Arial" w:hAnsi="Arial" w:cs="Arial"/>
          <w:lang w:val="en-GB"/>
        </w:rPr>
        <w:t xml:space="preserve">lts, statistically significant </w:t>
      </w:r>
      <w:r w:rsidR="0031120F" w:rsidRPr="00E15289">
        <w:rPr>
          <w:rFonts w:ascii="Arial" w:eastAsia="Arial" w:hAnsi="Arial" w:cs="Arial"/>
          <w:lang w:val="en-GB"/>
        </w:rPr>
        <w:t xml:space="preserve">protein </w:t>
      </w:r>
      <w:r w:rsidR="00B119A4" w:rsidRPr="00E15289">
        <w:rPr>
          <w:rFonts w:ascii="Arial" w:eastAsia="Arial" w:hAnsi="Arial" w:cs="Arial"/>
          <w:lang w:val="en-GB"/>
        </w:rPr>
        <w:t xml:space="preserve">abundance changes were </w:t>
      </w:r>
      <w:r w:rsidR="00A73800" w:rsidRPr="00E15289">
        <w:rPr>
          <w:rFonts w:ascii="Arial" w:eastAsia="Arial" w:hAnsi="Arial" w:cs="Arial"/>
          <w:lang w:val="en-GB"/>
        </w:rPr>
        <w:t xml:space="preserve">readily </w:t>
      </w:r>
      <w:r w:rsidR="00B119A4" w:rsidRPr="00E15289">
        <w:rPr>
          <w:rFonts w:ascii="Arial" w:eastAsia="Arial" w:hAnsi="Arial" w:cs="Arial"/>
          <w:lang w:val="en-GB"/>
        </w:rPr>
        <w:t xml:space="preserve">detected for </w:t>
      </w:r>
      <w:r w:rsidR="00FA6BC7" w:rsidRPr="00E15289">
        <w:rPr>
          <w:rFonts w:ascii="Arial" w:eastAsia="Arial" w:hAnsi="Arial" w:cs="Arial"/>
          <w:lang w:val="en-GB"/>
        </w:rPr>
        <w:t>several</w:t>
      </w:r>
      <w:r w:rsidR="00B119A4" w:rsidRPr="00E15289">
        <w:rPr>
          <w:rFonts w:ascii="Arial" w:eastAsia="Arial" w:hAnsi="Arial" w:cs="Arial"/>
          <w:lang w:val="en-GB"/>
        </w:rPr>
        <w:t xml:space="preserve"> proteins.</w:t>
      </w:r>
    </w:p>
    <w:p w14:paraId="3EE07B19" w14:textId="233D301D" w:rsidR="00F46858" w:rsidRPr="00E15289" w:rsidRDefault="00F46858" w:rsidP="0025140D">
      <w:pPr>
        <w:spacing w:afterLines="80" w:after="192" w:line="400" w:lineRule="exact"/>
        <w:jc w:val="both"/>
        <w:rPr>
          <w:rFonts w:ascii="Arial" w:eastAsia="Arial" w:hAnsi="Arial" w:cs="Arial"/>
          <w:lang w:val="en-GB"/>
        </w:rPr>
      </w:pPr>
      <w:r w:rsidRPr="00E15289">
        <w:rPr>
          <w:rFonts w:ascii="Arial" w:eastAsia="Arial" w:hAnsi="Arial" w:cs="Arial"/>
          <w:lang w:val="en-GB"/>
        </w:rPr>
        <w:lastRenderedPageBreak/>
        <w:t xml:space="preserve">The results shown in </w:t>
      </w:r>
      <w:r w:rsidRPr="00E15289">
        <w:rPr>
          <w:rFonts w:ascii="Arial" w:eastAsia="Arial" w:hAnsi="Arial" w:cs="Arial"/>
          <w:b/>
          <w:lang w:val="en-GB"/>
        </w:rPr>
        <w:t>Figure 2</w:t>
      </w:r>
      <w:r w:rsidRPr="00E15289">
        <w:rPr>
          <w:rFonts w:ascii="Arial" w:eastAsia="Arial" w:hAnsi="Arial" w:cs="Arial"/>
          <w:lang w:val="en-GB"/>
        </w:rPr>
        <w:t xml:space="preserve"> provide a treatment-associated functional profile of the data, summarising the overall </w:t>
      </w:r>
      <w:proofErr w:type="spellStart"/>
      <w:r w:rsidRPr="00E15289">
        <w:rPr>
          <w:rFonts w:ascii="Arial" w:eastAsia="Arial" w:hAnsi="Arial" w:cs="Arial"/>
          <w:lang w:val="en-GB"/>
        </w:rPr>
        <w:t>STRINGdb</w:t>
      </w:r>
      <w:proofErr w:type="spellEnd"/>
      <w:r w:rsidRPr="00E15289">
        <w:rPr>
          <w:rFonts w:ascii="Arial" w:eastAsia="Arial" w:hAnsi="Arial" w:cs="Arial"/>
          <w:lang w:val="en-GB"/>
        </w:rPr>
        <w:t xml:space="preserve"> protein-protein interaction network (</w:t>
      </w:r>
      <w:r w:rsidR="006D06DA">
        <w:rPr>
          <w:rFonts w:ascii="Arial" w:eastAsia="Arial" w:hAnsi="Arial" w:cs="Arial"/>
          <w:lang w:val="en-GB"/>
        </w:rPr>
        <w:t>Figure 2</w:t>
      </w:r>
      <w:r w:rsidRPr="00E15289">
        <w:rPr>
          <w:rFonts w:ascii="Arial" w:eastAsia="Arial" w:hAnsi="Arial" w:cs="Arial"/>
          <w:b/>
          <w:lang w:val="en-GB"/>
        </w:rPr>
        <w:t>A</w:t>
      </w:r>
      <w:r w:rsidRPr="00E15289">
        <w:rPr>
          <w:rFonts w:ascii="Arial" w:eastAsia="Arial" w:hAnsi="Arial" w:cs="Arial"/>
          <w:lang w:val="en-GB"/>
        </w:rPr>
        <w:t xml:space="preserve">), the most significantly-enriched </w:t>
      </w:r>
      <w:proofErr w:type="spellStart"/>
      <w:r w:rsidRPr="00E15289">
        <w:rPr>
          <w:rFonts w:ascii="Arial" w:eastAsia="Arial" w:hAnsi="Arial" w:cs="Arial"/>
          <w:lang w:val="en-GB"/>
        </w:rPr>
        <w:t>Reactome</w:t>
      </w:r>
      <w:proofErr w:type="spellEnd"/>
      <w:r w:rsidRPr="00E15289">
        <w:rPr>
          <w:rFonts w:ascii="Arial" w:eastAsia="Arial" w:hAnsi="Arial" w:cs="Arial"/>
          <w:lang w:val="en-GB"/>
        </w:rPr>
        <w:t xml:space="preserve"> pathway(s) (</w:t>
      </w:r>
      <w:r w:rsidR="006D06DA">
        <w:rPr>
          <w:rFonts w:ascii="Arial" w:eastAsia="Arial" w:hAnsi="Arial" w:cs="Arial"/>
          <w:lang w:val="en-GB"/>
        </w:rPr>
        <w:t>Figure 2</w:t>
      </w:r>
      <w:r w:rsidRPr="00E15289">
        <w:rPr>
          <w:rFonts w:ascii="Arial" w:eastAsia="Arial" w:hAnsi="Arial" w:cs="Arial"/>
          <w:b/>
          <w:lang w:val="en-GB"/>
        </w:rPr>
        <w:t>B</w:t>
      </w:r>
      <w:r w:rsidRPr="00E15289">
        <w:rPr>
          <w:rFonts w:ascii="Arial" w:eastAsia="Arial" w:hAnsi="Arial" w:cs="Arial"/>
          <w:lang w:val="en-GB"/>
        </w:rPr>
        <w:t>), as well as the frequency of gene ontology annotations specifically of the biological processes and molecular functions (</w:t>
      </w:r>
      <w:r w:rsidR="006D06DA">
        <w:rPr>
          <w:rFonts w:ascii="Arial" w:eastAsia="Arial" w:hAnsi="Arial" w:cs="Arial"/>
          <w:lang w:val="en-GB"/>
        </w:rPr>
        <w:t>Figure 2</w:t>
      </w:r>
      <w:r w:rsidRPr="00E15289">
        <w:rPr>
          <w:rFonts w:ascii="Arial" w:eastAsia="Arial" w:hAnsi="Arial" w:cs="Arial"/>
          <w:b/>
          <w:lang w:val="en-GB"/>
        </w:rPr>
        <w:t>C</w:t>
      </w:r>
      <w:r w:rsidRPr="00E15289">
        <w:rPr>
          <w:rFonts w:ascii="Arial" w:eastAsia="Arial" w:hAnsi="Arial" w:cs="Arial"/>
          <w:lang w:val="en-GB"/>
        </w:rPr>
        <w:t xml:space="preserve">), for the differentially-expressed part of the PC-3 proteome detected by label-free LC-MS. As shown in </w:t>
      </w:r>
      <w:r w:rsidRPr="00E15289">
        <w:rPr>
          <w:rFonts w:ascii="Arial" w:eastAsia="Arial" w:hAnsi="Arial" w:cs="Arial"/>
          <w:b/>
          <w:lang w:val="en-GB"/>
        </w:rPr>
        <w:t>Figure 2B</w:t>
      </w:r>
      <w:r w:rsidRPr="00E15289">
        <w:rPr>
          <w:rFonts w:ascii="Arial" w:eastAsia="Arial" w:hAnsi="Arial" w:cs="Arial"/>
          <w:lang w:val="en-GB"/>
        </w:rPr>
        <w:t xml:space="preserve"> and </w:t>
      </w:r>
      <w:r w:rsidRPr="00E15289">
        <w:rPr>
          <w:rFonts w:ascii="Arial" w:eastAsia="Arial" w:hAnsi="Arial" w:cs="Arial"/>
          <w:b/>
          <w:lang w:val="en-GB"/>
        </w:rPr>
        <w:t xml:space="preserve">Supplementary Figure </w:t>
      </w:r>
      <w:r w:rsidR="004649F5" w:rsidRPr="00E15289">
        <w:rPr>
          <w:rFonts w:ascii="Arial" w:eastAsia="Arial" w:hAnsi="Arial" w:cs="Arial"/>
          <w:b/>
          <w:lang w:val="en-GB"/>
        </w:rPr>
        <w:t>2</w:t>
      </w:r>
      <w:r w:rsidRPr="00E15289">
        <w:rPr>
          <w:rFonts w:ascii="Arial" w:eastAsia="Arial" w:hAnsi="Arial" w:cs="Arial"/>
          <w:lang w:val="en-GB"/>
        </w:rPr>
        <w:t xml:space="preserve">, showing the complete </w:t>
      </w:r>
      <w:proofErr w:type="spellStart"/>
      <w:r w:rsidRPr="00E15289">
        <w:rPr>
          <w:rFonts w:ascii="Arial" w:eastAsia="Arial" w:hAnsi="Arial" w:cs="Arial"/>
          <w:lang w:val="en-GB"/>
        </w:rPr>
        <w:t>Reactome</w:t>
      </w:r>
      <w:proofErr w:type="spellEnd"/>
      <w:r w:rsidRPr="00E15289">
        <w:rPr>
          <w:rFonts w:ascii="Arial" w:eastAsia="Arial" w:hAnsi="Arial" w:cs="Arial"/>
          <w:lang w:val="en-GB"/>
        </w:rPr>
        <w:t xml:space="preserve"> pathway, high relative detection coverage was observed for </w:t>
      </w:r>
      <w:r w:rsidR="00307E9A">
        <w:rPr>
          <w:rFonts w:ascii="Arial" w:eastAsia="Arial" w:hAnsi="Arial" w:cs="Arial"/>
          <w:lang w:val="en-GB"/>
        </w:rPr>
        <w:t xml:space="preserve">proteins associated with </w:t>
      </w:r>
      <w:r w:rsidRPr="00E15289">
        <w:rPr>
          <w:rFonts w:ascii="Arial" w:eastAsia="Arial" w:hAnsi="Arial" w:cs="Arial"/>
          <w:lang w:val="en-GB"/>
        </w:rPr>
        <w:t xml:space="preserve">the immune system, cell cycle </w:t>
      </w:r>
      <w:r w:rsidR="00307E9A">
        <w:rPr>
          <w:rFonts w:ascii="Arial" w:eastAsia="Arial" w:hAnsi="Arial" w:cs="Arial"/>
          <w:lang w:val="en-GB"/>
        </w:rPr>
        <w:t xml:space="preserve">regulation </w:t>
      </w:r>
      <w:r w:rsidRPr="00E15289">
        <w:rPr>
          <w:rFonts w:ascii="Arial" w:eastAsia="Arial" w:hAnsi="Arial" w:cs="Arial"/>
          <w:lang w:val="en-GB"/>
        </w:rPr>
        <w:t>and developmental biology. This observation is not unsurprising given the close interactions between these pathways. The proteins detected that illustrated quantitative change under hypoxic conditions are accentuated in panels (</w:t>
      </w:r>
      <w:r w:rsidR="006D06DA">
        <w:rPr>
          <w:rFonts w:ascii="Arial" w:eastAsia="Arial" w:hAnsi="Arial" w:cs="Arial"/>
          <w:lang w:val="en-GB"/>
        </w:rPr>
        <w:t>Figure 2</w:t>
      </w:r>
      <w:r w:rsidRPr="00E15289">
        <w:rPr>
          <w:rFonts w:ascii="Arial" w:eastAsia="Arial" w:hAnsi="Arial" w:cs="Arial"/>
          <w:b/>
          <w:lang w:val="en-GB"/>
        </w:rPr>
        <w:t>A</w:t>
      </w:r>
      <w:r w:rsidRPr="00E15289">
        <w:rPr>
          <w:rFonts w:ascii="Arial" w:eastAsia="Arial" w:hAnsi="Arial" w:cs="Arial"/>
          <w:lang w:val="en-GB"/>
        </w:rPr>
        <w:t>) and (</w:t>
      </w:r>
      <w:r w:rsidR="006D06DA">
        <w:rPr>
          <w:rFonts w:ascii="Arial" w:eastAsia="Arial" w:hAnsi="Arial" w:cs="Arial"/>
          <w:lang w:val="en-GB"/>
        </w:rPr>
        <w:t>Figure 2</w:t>
      </w:r>
      <w:r w:rsidRPr="00E15289">
        <w:rPr>
          <w:rFonts w:ascii="Arial" w:eastAsia="Arial" w:hAnsi="Arial" w:cs="Arial"/>
          <w:b/>
          <w:lang w:val="en-GB"/>
        </w:rPr>
        <w:t>C</w:t>
      </w:r>
      <w:r w:rsidRPr="00E15289">
        <w:rPr>
          <w:rFonts w:ascii="Arial" w:eastAsia="Arial" w:hAnsi="Arial" w:cs="Arial"/>
          <w:lang w:val="en-GB"/>
        </w:rPr>
        <w:t xml:space="preserve">), suggesting a specific hypoxia response is underway at the </w:t>
      </w:r>
      <w:proofErr w:type="gramStart"/>
      <w:r w:rsidRPr="00E15289">
        <w:rPr>
          <w:rFonts w:ascii="Arial" w:eastAsia="Arial" w:hAnsi="Arial" w:cs="Arial"/>
          <w:lang w:val="en-GB"/>
        </w:rPr>
        <w:t>particular time-points</w:t>
      </w:r>
      <w:proofErr w:type="gramEnd"/>
      <w:r w:rsidRPr="00E15289">
        <w:rPr>
          <w:rFonts w:ascii="Arial" w:eastAsia="Arial" w:hAnsi="Arial" w:cs="Arial"/>
          <w:lang w:val="en-GB"/>
        </w:rPr>
        <w:t xml:space="preserve"> examined. The results from the hypoxia </w:t>
      </w:r>
      <w:r w:rsidRPr="00E15289">
        <w:rPr>
          <w:rFonts w:ascii="Arial" w:eastAsia="Arial" w:hAnsi="Arial" w:cs="Arial"/>
          <w:i/>
          <w:lang w:val="en-GB"/>
        </w:rPr>
        <w:t>vs.</w:t>
      </w:r>
      <w:r w:rsidRPr="00E15289">
        <w:rPr>
          <w:rFonts w:ascii="Arial" w:eastAsia="Arial" w:hAnsi="Arial" w:cs="Arial"/>
          <w:lang w:val="en-GB"/>
        </w:rPr>
        <w:t xml:space="preserve"> </w:t>
      </w:r>
      <w:proofErr w:type="spellStart"/>
      <w:r w:rsidRPr="00E15289">
        <w:rPr>
          <w:rFonts w:ascii="Arial" w:eastAsia="Arial" w:hAnsi="Arial" w:cs="Arial"/>
          <w:lang w:val="en-GB"/>
        </w:rPr>
        <w:t>normoxia</w:t>
      </w:r>
      <w:proofErr w:type="spellEnd"/>
      <w:r w:rsidRPr="00E15289">
        <w:rPr>
          <w:rFonts w:ascii="Arial" w:eastAsia="Arial" w:hAnsi="Arial" w:cs="Arial"/>
          <w:lang w:val="en-GB"/>
        </w:rPr>
        <w:t xml:space="preserve">, hypoxia </w:t>
      </w:r>
      <w:r w:rsidRPr="00E15289">
        <w:rPr>
          <w:rFonts w:ascii="Arial" w:eastAsia="Arial" w:hAnsi="Arial" w:cs="Arial"/>
          <w:i/>
          <w:lang w:val="en-GB"/>
        </w:rPr>
        <w:t>vs.</w:t>
      </w:r>
      <w:r w:rsidRPr="00E15289">
        <w:rPr>
          <w:rFonts w:ascii="Arial" w:eastAsia="Arial" w:hAnsi="Arial" w:cs="Arial"/>
          <w:lang w:val="en-GB"/>
        </w:rPr>
        <w:t xml:space="preserve"> Sulindac and hypoxia vs NO-Sulindac hypothesis-driven comparisons are discussed and contrasted in the Discussion section. As previously mentioned, the additional binary hypothesis-driven comparisons revealed only a few additional regulated proteins. Moreover, since the observed changes were substantially smaller and less significant, they were not included in the primary analysis and discussion.</w:t>
      </w:r>
    </w:p>
    <w:p w14:paraId="6BAC044B" w14:textId="741F17C2" w:rsidR="000B7ECC" w:rsidRPr="00E15289" w:rsidRDefault="000B7ECC" w:rsidP="0025140D">
      <w:pPr>
        <w:spacing w:afterLines="80" w:after="192" w:line="400" w:lineRule="exact"/>
        <w:jc w:val="both"/>
        <w:rPr>
          <w:rFonts w:ascii="Arial" w:eastAsia="Arial" w:hAnsi="Arial" w:cs="Arial"/>
          <w:i/>
          <w:lang w:val="en-GB"/>
        </w:rPr>
      </w:pPr>
      <w:r w:rsidRPr="00E15289">
        <w:rPr>
          <w:rFonts w:ascii="Arial" w:eastAsia="Arial" w:hAnsi="Arial" w:cs="Arial"/>
          <w:i/>
          <w:lang w:val="en-GB"/>
        </w:rPr>
        <w:t>Discovery</w:t>
      </w:r>
      <w:r w:rsidR="00370B46" w:rsidRPr="00E15289">
        <w:rPr>
          <w:rFonts w:ascii="Arial" w:eastAsia="Arial" w:hAnsi="Arial" w:cs="Arial"/>
          <w:i/>
          <w:lang w:val="en-GB"/>
        </w:rPr>
        <w:t>-</w:t>
      </w:r>
      <w:r w:rsidRPr="00E15289">
        <w:rPr>
          <w:rFonts w:ascii="Arial" w:eastAsia="Arial" w:hAnsi="Arial" w:cs="Arial"/>
          <w:i/>
          <w:lang w:val="en-GB"/>
        </w:rPr>
        <w:t>driven data and results analysis</w:t>
      </w:r>
    </w:p>
    <w:p w14:paraId="6E2454FF" w14:textId="639CA4A9" w:rsidR="00CC25FD" w:rsidRPr="00E15289" w:rsidRDefault="00A73800" w:rsidP="0025140D">
      <w:pPr>
        <w:spacing w:afterLines="80" w:after="192" w:line="400" w:lineRule="exact"/>
        <w:jc w:val="both"/>
        <w:rPr>
          <w:rFonts w:ascii="Arial" w:eastAsia="Arial" w:hAnsi="Arial" w:cs="Arial"/>
          <w:lang w:val="en-GB"/>
        </w:rPr>
      </w:pPr>
      <w:r w:rsidRPr="00E15289">
        <w:rPr>
          <w:rFonts w:ascii="Arial" w:eastAsia="Arial" w:hAnsi="Arial" w:cs="Arial"/>
          <w:lang w:val="en-GB"/>
        </w:rPr>
        <w:t>The normalised protein concentration data of the complete data set, following co-detection based quantitative analysis of data derived from multiple LC-MS runs, were subject</w:t>
      </w:r>
      <w:r w:rsidR="007B7425" w:rsidRPr="00E15289">
        <w:rPr>
          <w:rFonts w:ascii="Arial" w:eastAsia="Arial" w:hAnsi="Arial" w:cs="Arial"/>
          <w:lang w:val="en-GB"/>
        </w:rPr>
        <w:t>ed</w:t>
      </w:r>
      <w:r w:rsidRPr="00E15289">
        <w:rPr>
          <w:rFonts w:ascii="Arial" w:eastAsia="Arial" w:hAnsi="Arial" w:cs="Arial"/>
          <w:lang w:val="en-GB"/>
        </w:rPr>
        <w:t xml:space="preserve"> to unsupervised </w:t>
      </w:r>
      <w:r w:rsidR="008A130D" w:rsidRPr="00E15289">
        <w:rPr>
          <w:rFonts w:ascii="Arial" w:eastAsia="Arial" w:hAnsi="Arial" w:cs="Arial"/>
          <w:lang w:val="en-GB"/>
        </w:rPr>
        <w:t>principle components analysis (</w:t>
      </w:r>
      <w:r w:rsidRPr="00E15289">
        <w:rPr>
          <w:rFonts w:ascii="Arial" w:eastAsia="Arial" w:hAnsi="Arial" w:cs="Arial"/>
          <w:lang w:val="en-GB"/>
        </w:rPr>
        <w:t>PCA</w:t>
      </w:r>
      <w:r w:rsidR="008A130D" w:rsidRPr="00E15289">
        <w:rPr>
          <w:rFonts w:ascii="Arial" w:eastAsia="Arial" w:hAnsi="Arial" w:cs="Arial"/>
          <w:lang w:val="en-GB"/>
        </w:rPr>
        <w:t>)</w:t>
      </w:r>
      <w:r w:rsidRPr="00E15289">
        <w:rPr>
          <w:rFonts w:ascii="Arial" w:eastAsia="Arial" w:hAnsi="Arial" w:cs="Arial"/>
          <w:lang w:val="en-GB"/>
        </w:rPr>
        <w:t xml:space="preserve">. The resulting scores distribution shown in </w:t>
      </w:r>
      <w:r w:rsidRPr="00E15289">
        <w:rPr>
          <w:rFonts w:ascii="Arial" w:eastAsia="Arial" w:hAnsi="Arial" w:cs="Arial"/>
          <w:b/>
          <w:lang w:val="en-GB"/>
        </w:rPr>
        <w:t xml:space="preserve">Supplementary Figure </w:t>
      </w:r>
      <w:r w:rsidR="008A130D" w:rsidRPr="00E15289">
        <w:rPr>
          <w:rFonts w:ascii="Arial" w:eastAsia="Arial" w:hAnsi="Arial" w:cs="Arial"/>
          <w:b/>
          <w:lang w:val="en-GB"/>
        </w:rPr>
        <w:t>3</w:t>
      </w:r>
      <w:r w:rsidRPr="00E15289">
        <w:rPr>
          <w:rFonts w:ascii="Arial" w:eastAsia="Arial" w:hAnsi="Arial" w:cs="Arial"/>
          <w:lang w:val="en-GB"/>
        </w:rPr>
        <w:t xml:space="preserve"> demonstrates that hypoxia</w:t>
      </w:r>
      <w:r w:rsidR="00540ABA" w:rsidRPr="00E15289">
        <w:rPr>
          <w:rFonts w:ascii="Arial" w:eastAsia="Arial" w:hAnsi="Arial" w:cs="Arial"/>
          <w:lang w:val="en-GB"/>
        </w:rPr>
        <w:t xml:space="preserve"> and </w:t>
      </w:r>
      <w:proofErr w:type="spellStart"/>
      <w:r w:rsidRPr="00E15289">
        <w:rPr>
          <w:rFonts w:ascii="Arial" w:eastAsia="Arial" w:hAnsi="Arial" w:cs="Arial"/>
          <w:lang w:val="en-GB"/>
        </w:rPr>
        <w:t>normoxia</w:t>
      </w:r>
      <w:proofErr w:type="spellEnd"/>
      <w:r w:rsidRPr="00E15289">
        <w:rPr>
          <w:rFonts w:ascii="Arial" w:eastAsia="Arial" w:hAnsi="Arial" w:cs="Arial"/>
          <w:lang w:val="en-GB"/>
        </w:rPr>
        <w:t xml:space="preserve"> </w:t>
      </w:r>
      <w:r w:rsidR="00540ABA" w:rsidRPr="00E15289">
        <w:rPr>
          <w:rFonts w:ascii="Arial" w:eastAsia="Arial" w:hAnsi="Arial" w:cs="Arial"/>
          <w:lang w:val="en-GB"/>
        </w:rPr>
        <w:t>are</w:t>
      </w:r>
      <w:r w:rsidRPr="00E15289">
        <w:rPr>
          <w:rFonts w:ascii="Arial" w:eastAsia="Arial" w:hAnsi="Arial" w:cs="Arial"/>
          <w:lang w:val="en-GB"/>
        </w:rPr>
        <w:t xml:space="preserve"> the most discriminating PC</w:t>
      </w:r>
      <w:r w:rsidR="00E6750A" w:rsidRPr="00E15289">
        <w:rPr>
          <w:rFonts w:ascii="Arial" w:eastAsia="Arial" w:hAnsi="Arial" w:cs="Arial"/>
          <w:lang w:val="en-GB"/>
        </w:rPr>
        <w:t>-</w:t>
      </w:r>
      <w:r w:rsidRPr="00E15289">
        <w:rPr>
          <w:rFonts w:ascii="Arial" w:eastAsia="Arial" w:hAnsi="Arial" w:cs="Arial"/>
          <w:lang w:val="en-GB"/>
        </w:rPr>
        <w:t>3 cell factor</w:t>
      </w:r>
      <w:r w:rsidR="00540ABA" w:rsidRPr="00E15289">
        <w:rPr>
          <w:rFonts w:ascii="Arial" w:eastAsia="Arial" w:hAnsi="Arial" w:cs="Arial"/>
          <w:lang w:val="en-GB"/>
        </w:rPr>
        <w:t>s</w:t>
      </w:r>
      <w:r w:rsidRPr="00E15289">
        <w:rPr>
          <w:rFonts w:ascii="Arial" w:eastAsia="Arial" w:hAnsi="Arial" w:cs="Arial"/>
          <w:lang w:val="en-GB"/>
        </w:rPr>
        <w:t xml:space="preserve"> </w:t>
      </w:r>
      <w:r w:rsidR="008A130D" w:rsidRPr="00E15289">
        <w:rPr>
          <w:rFonts w:ascii="Arial" w:eastAsia="Arial" w:hAnsi="Arial" w:cs="Arial"/>
          <w:lang w:val="en-GB"/>
        </w:rPr>
        <w:t xml:space="preserve">with respect to </w:t>
      </w:r>
      <w:r w:rsidRPr="00E15289">
        <w:rPr>
          <w:rFonts w:ascii="Arial" w:eastAsia="Arial" w:hAnsi="Arial" w:cs="Arial"/>
          <w:lang w:val="en-GB"/>
        </w:rPr>
        <w:t>inducing protein abundance changes as a fu</w:t>
      </w:r>
      <w:r w:rsidR="00162A40" w:rsidRPr="00E15289">
        <w:rPr>
          <w:rFonts w:ascii="Arial" w:eastAsia="Arial" w:hAnsi="Arial" w:cs="Arial"/>
          <w:lang w:val="en-GB"/>
        </w:rPr>
        <w:t>nction of treatment type</w:t>
      </w:r>
      <w:r w:rsidR="00CB3D15" w:rsidRPr="00E15289">
        <w:rPr>
          <w:rFonts w:ascii="Arial" w:eastAsia="Arial" w:hAnsi="Arial" w:cs="Arial"/>
          <w:lang w:val="en-GB"/>
        </w:rPr>
        <w:t xml:space="preserve">, which is in agreement with the work of </w:t>
      </w:r>
      <w:proofErr w:type="spellStart"/>
      <w:r w:rsidR="00CB3D15" w:rsidRPr="00E15289">
        <w:rPr>
          <w:rFonts w:ascii="Arial" w:eastAsia="Arial" w:hAnsi="Arial" w:cs="Arial"/>
          <w:lang w:val="en-GB"/>
        </w:rPr>
        <w:t>Ihling</w:t>
      </w:r>
      <w:proofErr w:type="spellEnd"/>
      <w:r w:rsidR="00CB3D15" w:rsidRPr="00E15289">
        <w:rPr>
          <w:rFonts w:ascii="Arial" w:eastAsia="Arial" w:hAnsi="Arial" w:cs="Arial"/>
          <w:lang w:val="en-GB"/>
        </w:rPr>
        <w:t xml:space="preserve"> </w:t>
      </w:r>
      <w:r w:rsidR="00CB3D15" w:rsidRPr="00E15289">
        <w:rPr>
          <w:rFonts w:ascii="Arial" w:eastAsia="Arial" w:hAnsi="Arial" w:cs="Arial"/>
          <w:i/>
          <w:lang w:val="en-GB"/>
        </w:rPr>
        <w:t>et al.</w:t>
      </w:r>
      <w:r w:rsidR="00CB3D15" w:rsidRPr="00E15289">
        <w:rPr>
          <w:rFonts w:ascii="Arial" w:eastAsia="Arial" w:hAnsi="Arial" w:cs="Arial"/>
          <w:lang w:val="en-GB"/>
        </w:rPr>
        <w:t xml:space="preserve"> </w:t>
      </w:r>
      <w:r w:rsidR="004F107A" w:rsidRPr="00E15289">
        <w:rPr>
          <w:rFonts w:ascii="Arial" w:eastAsia="Arial" w:hAnsi="Arial" w:cs="Arial"/>
          <w:lang w:val="en-GB"/>
        </w:rPr>
        <w:fldChar w:fldCharType="begin" w:fldLock="1"/>
      </w:r>
      <w:r w:rsidR="00782E8D" w:rsidRPr="00E15289">
        <w:rPr>
          <w:rFonts w:ascii="Arial" w:eastAsia="Arial" w:hAnsi="Arial" w:cs="Arial"/>
          <w:lang w:val="en-GB"/>
        </w:rPr>
        <w:instrText>ADDIN CSL_CITATION {"citationItems":[{"id":"ITEM-1","itemData":{"DOI":"10.1021/acs.jproteome.5b00503","ISSN":"15353907","abstract":"Under various pathological conditions, such as inflammation, ischemia and in solid tumors, physiological parameters (local oxygen tension or extracellular pH) show distinct tissue abnormalities (hypoxia and acidosis). For tumors, the prevailing microenvironment exerts a strong influence on the phenotype with respect to proliferation, invasion, and metastasis formation and therefore influences prognosis. In this study, we investigate the impact of extracellular metabolic acidosis (pH 7.4 versus 6.6) on the proteome patterns of a prostate cancer-derived tumor cell type (AT-1) using isobaric labeling and LC-MS/MS analysis. In total, 2710 proteins were identified and quantified across four biological replicates, of which seven were significantly affected with changes &gt;50% and used for validation. Glucose transporter 1 and farnesyl pyrophosphatase were found to be down-regulated after 48 h of acidic treatment, and metallothionein 2A was reduced after 24 h and returned to control values after 48 h. After 24 and 48 h at pH 6.6, glutathione S transferase A3 and NAD(P)H dehydrogenase 1, cellular retinoic acid-binding protein 2, and Na-bicarbonate transporter 3 levels were found to be increased. The changes in protein levels were confirmed by transcriptome and functional analyses. In addition to the experimental in-depth investigation of proteins with changes &gt;50%, functional profiling (statistical enrichment analysis) including proteins with changes &gt;20% revealed that acidosis upregulates GSH metabolic processes, citric acid cycle, and respiratory electron transport. Metabolism of lipids and cholesterol biosynthesis were downregulated. Our data comprise the first comprehensive report on acidosis-induced changes in proteome patterns of a tumor cell line.","author":[{"dropping-particle":"","family":"Ihling","given":"Angelika","non-dropping-particle":"","parse-names":false,"suffix":""},{"dropping-particle":"","family":"Ihling","given":"Christian H.","non-dropping-particle":"","parse-names":false,"suffix":""},{"dropping-particle":"","family":"Sinz","given":"Andrea","non-dropping-particle":"","parse-names":false,"suffix":""},{"dropping-particle":"","family":"Gekle","given":"Michael","non-dropping-particle":"","parse-names":false,"suffix":""}],"container-title":"Journal of Proteome Research","id":"ITEM-1","issued":{"date-parts":[["2015"]]},"title":"Acidosis-induced changes in proteome patterns of the prostate cancer-derived tumor cell line AT-1","type":"article-journal"},"uris":["http://www.mendeley.com/documents/?uuid=5adc9b0d-baff-42a4-9322-d153651e2154"]}],"mendeley":{"formattedCitation":"(33)","plainTextFormattedCitation":"(33)","previouslyFormattedCitation":"(33)"},"properties":{"noteIndex":0},"schema":"https://github.com/citation-style-language/schema/raw/master/csl-citation.json"}</w:instrText>
      </w:r>
      <w:r w:rsidR="004F107A" w:rsidRPr="00E15289">
        <w:rPr>
          <w:rFonts w:ascii="Arial" w:eastAsia="Arial" w:hAnsi="Arial" w:cs="Arial"/>
          <w:lang w:val="en-GB"/>
        </w:rPr>
        <w:fldChar w:fldCharType="separate"/>
      </w:r>
      <w:r w:rsidR="00A82711" w:rsidRPr="00E15289">
        <w:rPr>
          <w:rFonts w:ascii="Arial" w:eastAsia="Arial" w:hAnsi="Arial" w:cs="Arial"/>
          <w:noProof/>
          <w:lang w:val="en-GB"/>
        </w:rPr>
        <w:t>(33)</w:t>
      </w:r>
      <w:r w:rsidR="004F107A" w:rsidRPr="00E15289">
        <w:rPr>
          <w:rFonts w:ascii="Arial" w:eastAsia="Arial" w:hAnsi="Arial" w:cs="Arial"/>
          <w:lang w:val="en-GB"/>
        </w:rPr>
        <w:fldChar w:fldCharType="end"/>
      </w:r>
      <w:r w:rsidR="00CB3D15" w:rsidRPr="00E15289">
        <w:rPr>
          <w:rFonts w:ascii="Arial" w:eastAsia="Arial" w:hAnsi="Arial" w:cs="Arial"/>
          <w:lang w:val="en-GB"/>
        </w:rPr>
        <w:t>, who noted acidosis-</w:t>
      </w:r>
      <w:r w:rsidR="00EA0B8D" w:rsidRPr="00E15289">
        <w:rPr>
          <w:rFonts w:ascii="Arial" w:eastAsia="Arial" w:hAnsi="Arial" w:cs="Arial"/>
          <w:lang w:val="en-GB"/>
        </w:rPr>
        <w:t>i</w:t>
      </w:r>
      <w:r w:rsidR="00CB3D15" w:rsidRPr="00E15289">
        <w:rPr>
          <w:rFonts w:ascii="Arial" w:eastAsia="Arial" w:hAnsi="Arial" w:cs="Arial"/>
          <w:lang w:val="en-GB"/>
        </w:rPr>
        <w:t>nduced changes in the proteome of the prostate cancer-derived tumour cell line AT-1</w:t>
      </w:r>
      <w:r w:rsidR="00CC25FD" w:rsidRPr="00E15289">
        <w:rPr>
          <w:rFonts w:ascii="Arial" w:eastAsia="Arial" w:hAnsi="Arial" w:cs="Arial"/>
          <w:lang w:val="en-GB"/>
        </w:rPr>
        <w:t>.</w:t>
      </w:r>
    </w:p>
    <w:p w14:paraId="3E182FA9" w14:textId="54D41874" w:rsidR="00491098" w:rsidRPr="00E15289" w:rsidRDefault="00491098" w:rsidP="0025140D">
      <w:pPr>
        <w:spacing w:afterLines="80" w:after="192" w:line="400" w:lineRule="exact"/>
        <w:jc w:val="both"/>
        <w:rPr>
          <w:rFonts w:ascii="Arial" w:eastAsia="Arial" w:hAnsi="Arial" w:cs="Arial"/>
          <w:lang w:val="en-GB"/>
        </w:rPr>
      </w:pPr>
      <w:r w:rsidRPr="00E15289">
        <w:rPr>
          <w:rFonts w:ascii="Arial" w:eastAsia="Arial" w:hAnsi="Arial" w:cs="Arial"/>
          <w:lang w:val="en-GB"/>
        </w:rPr>
        <w:t>Next, the full data set was partitioned into two distinct subsets based on the result of the primary PCA experiment, and the two subsets re-analysed again by means of unsupervised PCA. This second level of analysis revealed that under hypoxic conditions (</w:t>
      </w:r>
      <w:r w:rsidRPr="00E15289">
        <w:rPr>
          <w:rFonts w:ascii="Arial" w:hAnsi="Arial"/>
          <w:lang w:val="en-GB"/>
        </w:rPr>
        <w:t>0.2% O</w:t>
      </w:r>
      <w:r w:rsidRPr="00E15289">
        <w:rPr>
          <w:rFonts w:ascii="Arial" w:hAnsi="Arial"/>
          <w:vertAlign w:val="subscript"/>
          <w:lang w:val="en-GB"/>
        </w:rPr>
        <w:t>2</w:t>
      </w:r>
      <w:r w:rsidRPr="00E15289">
        <w:rPr>
          <w:rFonts w:ascii="Arial" w:hAnsi="Arial"/>
          <w:lang w:val="en-GB"/>
        </w:rPr>
        <w:t>, 37</w:t>
      </w:r>
      <w:r w:rsidRPr="00E15289">
        <w:rPr>
          <w:rFonts w:ascii="Arial Unicode MS" w:hAnsi="Arial Unicode MS" w:hint="eastAsia"/>
          <w:lang w:val="en-GB"/>
        </w:rPr>
        <w:t>°</w:t>
      </w:r>
      <w:r w:rsidRPr="00E15289">
        <w:rPr>
          <w:rFonts w:ascii="Arial" w:hAnsi="Arial"/>
          <w:lang w:val="en-GB"/>
        </w:rPr>
        <w:t>C, 95% CO</w:t>
      </w:r>
      <w:r w:rsidRPr="00E15289">
        <w:rPr>
          <w:rFonts w:ascii="Arial" w:hAnsi="Arial"/>
          <w:vertAlign w:val="subscript"/>
          <w:lang w:val="en-GB"/>
        </w:rPr>
        <w:t xml:space="preserve">2 </w:t>
      </w:r>
      <w:r w:rsidRPr="00E15289">
        <w:rPr>
          <w:rFonts w:ascii="Arial" w:hAnsi="Arial"/>
          <w:lang w:val="en-GB"/>
        </w:rPr>
        <w:t>and 5% N</w:t>
      </w:r>
      <w:r w:rsidRPr="00E15289">
        <w:rPr>
          <w:rFonts w:ascii="Arial" w:hAnsi="Arial"/>
          <w:vertAlign w:val="subscript"/>
          <w:lang w:val="en-GB"/>
        </w:rPr>
        <w:t>2</w:t>
      </w:r>
      <w:r w:rsidRPr="00E15289">
        <w:rPr>
          <w:rFonts w:ascii="Arial" w:eastAsia="Arial" w:hAnsi="Arial" w:cs="Arial"/>
          <w:lang w:val="en-GB"/>
        </w:rPr>
        <w:t xml:space="preserve">), treatment with NO-Sulindac also induced significant changes in the concentrations of </w:t>
      </w:r>
      <w:proofErr w:type="gramStart"/>
      <w:r w:rsidRPr="00E15289">
        <w:rPr>
          <w:rFonts w:ascii="Arial" w:eastAsia="Arial" w:hAnsi="Arial" w:cs="Arial"/>
          <w:lang w:val="en-GB"/>
        </w:rPr>
        <w:t>a number of</w:t>
      </w:r>
      <w:proofErr w:type="gramEnd"/>
      <w:r w:rsidRPr="00E15289">
        <w:rPr>
          <w:rFonts w:ascii="Arial" w:eastAsia="Arial" w:hAnsi="Arial" w:cs="Arial"/>
          <w:lang w:val="en-GB"/>
        </w:rPr>
        <w:t xml:space="preserve"> proteins as illustrated by the inset in </w:t>
      </w:r>
      <w:r w:rsidRPr="00E15289">
        <w:rPr>
          <w:rFonts w:ascii="Arial" w:eastAsia="Arial" w:hAnsi="Arial" w:cs="Arial"/>
          <w:b/>
          <w:lang w:val="en-GB"/>
        </w:rPr>
        <w:t>Supplementary Figure 3</w:t>
      </w:r>
      <w:r w:rsidRPr="00E15289">
        <w:rPr>
          <w:rFonts w:ascii="Arial" w:eastAsia="Arial" w:hAnsi="Arial" w:cs="Arial"/>
          <w:lang w:val="en-GB"/>
        </w:rPr>
        <w:t xml:space="preserve">. The analyses process was </w:t>
      </w:r>
      <w:r w:rsidR="00906B68" w:rsidRPr="00E15289">
        <w:rPr>
          <w:rFonts w:ascii="Arial" w:eastAsia="Arial" w:hAnsi="Arial" w:cs="Arial"/>
          <w:lang w:val="en-GB"/>
        </w:rPr>
        <w:t>continued until</w:t>
      </w:r>
      <w:r w:rsidRPr="00E15289">
        <w:rPr>
          <w:rFonts w:ascii="Arial" w:eastAsia="Arial" w:hAnsi="Arial" w:cs="Arial"/>
          <w:lang w:val="en-GB"/>
        </w:rPr>
        <w:t xml:space="preserve"> no further discriminatory factors were detected. The outcome of the analyses is graphically summarised in </w:t>
      </w:r>
      <w:r w:rsidRPr="00E15289">
        <w:rPr>
          <w:rFonts w:ascii="Arial" w:eastAsia="Arial" w:hAnsi="Arial" w:cs="Arial"/>
          <w:b/>
          <w:lang w:val="en-GB"/>
        </w:rPr>
        <w:t>Supplementary Figure 4</w:t>
      </w:r>
      <w:r w:rsidR="00906B68" w:rsidRPr="00E15289">
        <w:rPr>
          <w:rFonts w:ascii="Arial" w:eastAsia="Arial" w:hAnsi="Arial" w:cs="Arial"/>
          <w:lang w:val="en-GB"/>
        </w:rPr>
        <w:t>,</w:t>
      </w:r>
      <w:r w:rsidRPr="00E15289">
        <w:rPr>
          <w:rFonts w:ascii="Arial" w:eastAsia="Arial" w:hAnsi="Arial" w:cs="Arial"/>
          <w:lang w:val="en-GB"/>
        </w:rPr>
        <w:t xml:space="preserve"> </w:t>
      </w:r>
      <w:r w:rsidR="00906B68" w:rsidRPr="00E15289">
        <w:rPr>
          <w:rFonts w:ascii="Arial" w:eastAsia="Arial" w:hAnsi="Arial" w:cs="Arial"/>
          <w:lang w:val="en-GB"/>
        </w:rPr>
        <w:t xml:space="preserve">which </w:t>
      </w:r>
      <w:r w:rsidR="00906B68" w:rsidRPr="00E15289">
        <w:rPr>
          <w:rFonts w:ascii="Arial" w:eastAsia="Arial" w:hAnsi="Arial" w:cs="Arial"/>
          <w:lang w:val="en-GB"/>
        </w:rPr>
        <w:lastRenderedPageBreak/>
        <w:t>demonstrates</w:t>
      </w:r>
      <w:r w:rsidRPr="00E15289">
        <w:rPr>
          <w:rFonts w:ascii="Arial" w:eastAsia="Arial" w:hAnsi="Arial" w:cs="Arial"/>
          <w:lang w:val="en-GB"/>
        </w:rPr>
        <w:t xml:space="preserve"> the relative changes in protein concentrations following the different treatments.</w:t>
      </w:r>
    </w:p>
    <w:p w14:paraId="49E54355" w14:textId="40BBF805" w:rsidR="00B119A4" w:rsidRPr="00E15289" w:rsidRDefault="009279B2" w:rsidP="0025140D">
      <w:pPr>
        <w:spacing w:afterLines="80" w:after="192" w:line="400" w:lineRule="exact"/>
        <w:jc w:val="both"/>
        <w:rPr>
          <w:rFonts w:ascii="Arial" w:eastAsia="Arial" w:hAnsi="Arial" w:cs="Arial"/>
          <w:lang w:val="en-GB"/>
        </w:rPr>
      </w:pPr>
      <w:r w:rsidRPr="00E15289">
        <w:rPr>
          <w:rFonts w:ascii="Arial" w:eastAsia="Arial" w:hAnsi="Arial" w:cs="Arial"/>
          <w:lang w:val="en-GB"/>
        </w:rPr>
        <w:t xml:space="preserve">Following these initial discriminative multivariate analysis experiments, </w:t>
      </w:r>
      <w:r w:rsidR="00A6047D" w:rsidRPr="00E15289">
        <w:rPr>
          <w:rFonts w:ascii="Arial" w:eastAsia="Arial" w:hAnsi="Arial" w:cs="Arial"/>
          <w:lang w:val="en-GB"/>
        </w:rPr>
        <w:t xml:space="preserve">independent </w:t>
      </w:r>
      <w:r w:rsidR="002E599C" w:rsidRPr="00E15289">
        <w:rPr>
          <w:rFonts w:ascii="Arial" w:eastAsia="Arial" w:hAnsi="Arial" w:cs="Arial"/>
          <w:lang w:val="en-GB"/>
        </w:rPr>
        <w:t>orthogonal projections to latent structures discrimina</w:t>
      </w:r>
      <w:r w:rsidR="00453CB5" w:rsidRPr="00E15289">
        <w:rPr>
          <w:rFonts w:ascii="Arial" w:eastAsia="Arial" w:hAnsi="Arial" w:cs="Arial"/>
          <w:lang w:val="en-GB"/>
        </w:rPr>
        <w:t>nt</w:t>
      </w:r>
      <w:r w:rsidR="002E599C" w:rsidRPr="00E15289">
        <w:rPr>
          <w:rFonts w:ascii="Arial" w:eastAsia="Arial" w:hAnsi="Arial" w:cs="Arial"/>
          <w:lang w:val="en-GB"/>
        </w:rPr>
        <w:t xml:space="preserve"> analysis (</w:t>
      </w:r>
      <w:r w:rsidR="00A6047D" w:rsidRPr="00E15289">
        <w:rPr>
          <w:rFonts w:ascii="Arial" w:eastAsia="Arial" w:hAnsi="Arial" w:cs="Arial"/>
          <w:lang w:val="en-GB"/>
        </w:rPr>
        <w:t>OPLS-DA</w:t>
      </w:r>
      <w:r w:rsidR="002E599C" w:rsidRPr="00E15289">
        <w:rPr>
          <w:rFonts w:ascii="Arial" w:eastAsia="Arial" w:hAnsi="Arial" w:cs="Arial"/>
          <w:lang w:val="en-GB"/>
        </w:rPr>
        <w:t>)</w:t>
      </w:r>
      <w:r w:rsidR="00A3158D" w:rsidRPr="00E15289">
        <w:rPr>
          <w:rFonts w:ascii="Arial" w:eastAsia="Arial" w:hAnsi="Arial" w:cs="Arial"/>
          <w:lang w:val="en-GB"/>
        </w:rPr>
        <w:t xml:space="preserve"> </w:t>
      </w:r>
      <w:r w:rsidR="006D06DA">
        <w:rPr>
          <w:rFonts w:ascii="Arial" w:eastAsia="Arial" w:hAnsi="Arial" w:cs="Arial"/>
          <w:lang w:val="en-GB"/>
        </w:rPr>
        <w:t>and Student’s t</w:t>
      </w:r>
      <w:r w:rsidR="00A6047D" w:rsidRPr="00E15289">
        <w:rPr>
          <w:rFonts w:ascii="Arial" w:eastAsia="Arial" w:hAnsi="Arial" w:cs="Arial"/>
          <w:lang w:val="en-GB"/>
        </w:rPr>
        <w:t>-test analys</w:t>
      </w:r>
      <w:r w:rsidRPr="00E15289">
        <w:rPr>
          <w:rFonts w:ascii="Arial" w:eastAsia="Arial" w:hAnsi="Arial" w:cs="Arial"/>
          <w:lang w:val="en-GB"/>
        </w:rPr>
        <w:t>e</w:t>
      </w:r>
      <w:r w:rsidR="00A6047D" w:rsidRPr="00E15289">
        <w:rPr>
          <w:rFonts w:ascii="Arial" w:eastAsia="Arial" w:hAnsi="Arial" w:cs="Arial"/>
          <w:lang w:val="en-GB"/>
        </w:rPr>
        <w:t>s of the data subsets</w:t>
      </w:r>
      <w:r w:rsidRPr="00E15289">
        <w:rPr>
          <w:rFonts w:ascii="Arial" w:eastAsia="Arial" w:hAnsi="Arial" w:cs="Arial"/>
          <w:lang w:val="en-GB"/>
        </w:rPr>
        <w:t xml:space="preserve"> </w:t>
      </w:r>
      <w:r w:rsidR="007B7425" w:rsidRPr="00E15289">
        <w:rPr>
          <w:rFonts w:ascii="Arial" w:eastAsia="Arial" w:hAnsi="Arial" w:cs="Arial"/>
          <w:lang w:val="en-GB"/>
        </w:rPr>
        <w:t>were</w:t>
      </w:r>
      <w:r w:rsidRPr="00E15289">
        <w:rPr>
          <w:rFonts w:ascii="Arial" w:eastAsia="Arial" w:hAnsi="Arial" w:cs="Arial"/>
          <w:lang w:val="en-GB"/>
        </w:rPr>
        <w:t xml:space="preserve"> used to identify the most discriminating proteins, which </w:t>
      </w:r>
      <w:r w:rsidR="00A6047D" w:rsidRPr="00E15289">
        <w:rPr>
          <w:rFonts w:ascii="Arial" w:eastAsia="Arial" w:hAnsi="Arial" w:cs="Arial"/>
          <w:lang w:val="en-GB"/>
        </w:rPr>
        <w:t xml:space="preserve">are summarised in </w:t>
      </w:r>
      <w:r w:rsidR="00A6047D" w:rsidRPr="00E15289">
        <w:rPr>
          <w:rFonts w:ascii="Arial" w:eastAsia="Arial" w:hAnsi="Arial" w:cs="Arial"/>
          <w:b/>
          <w:lang w:val="en-GB"/>
        </w:rPr>
        <w:t xml:space="preserve">Supplementary Table </w:t>
      </w:r>
      <w:r w:rsidR="00C4455D" w:rsidRPr="00E15289">
        <w:rPr>
          <w:rFonts w:ascii="Arial" w:eastAsia="Arial" w:hAnsi="Arial" w:cs="Arial"/>
          <w:b/>
          <w:lang w:val="en-GB"/>
        </w:rPr>
        <w:t>1</w:t>
      </w:r>
      <w:r w:rsidRPr="00E15289">
        <w:rPr>
          <w:rFonts w:ascii="Arial" w:eastAsia="Arial" w:hAnsi="Arial" w:cs="Arial"/>
          <w:lang w:val="en-GB"/>
        </w:rPr>
        <w:t xml:space="preserve">. </w:t>
      </w:r>
      <w:r w:rsidR="00CB3D15" w:rsidRPr="00E15289">
        <w:rPr>
          <w:rFonts w:ascii="Arial" w:eastAsia="Arial" w:hAnsi="Arial" w:cs="Arial"/>
          <w:lang w:val="en-GB"/>
        </w:rPr>
        <w:t>Both statistical tests had to be passed, using comparison-specific criteria, before a quantitative protein result was reported. This provided complementary and guiding information to the hypothesis-driven analyses of the data because of the reoccurrence of certain proteins and proteins classes in certain treatments or combinations of treatments. Since some of the factors comprise of one or more treatment type, interpretation of these results can be challenging. However, the results of this exploratory data analysis experiments strengthen the selection of the primary hypothesis-driven analysis experiments.</w:t>
      </w:r>
    </w:p>
    <w:p w14:paraId="235D1E6E" w14:textId="77777777" w:rsidR="003E5B7A" w:rsidRPr="00E15289" w:rsidRDefault="000B7ECC" w:rsidP="0025140D">
      <w:pPr>
        <w:spacing w:afterLines="80" w:after="192" w:line="400" w:lineRule="exact"/>
        <w:jc w:val="both"/>
        <w:rPr>
          <w:rFonts w:ascii="Arial" w:eastAsia="Arial" w:hAnsi="Arial" w:cs="Arial"/>
          <w:i/>
          <w:lang w:val="en-GB"/>
        </w:rPr>
      </w:pPr>
      <w:r w:rsidRPr="00E15289">
        <w:rPr>
          <w:rFonts w:ascii="Arial" w:eastAsia="Arial" w:hAnsi="Arial" w:cs="Arial"/>
          <w:i/>
          <w:lang w:val="en-GB"/>
        </w:rPr>
        <w:t>Hypothesis</w:t>
      </w:r>
      <w:r w:rsidR="00370B46" w:rsidRPr="00E15289">
        <w:rPr>
          <w:rFonts w:ascii="Arial" w:eastAsia="Arial" w:hAnsi="Arial" w:cs="Arial"/>
          <w:i/>
          <w:lang w:val="en-GB"/>
        </w:rPr>
        <w:t>-</w:t>
      </w:r>
      <w:r w:rsidRPr="00E15289">
        <w:rPr>
          <w:rFonts w:ascii="Arial" w:eastAsia="Arial" w:hAnsi="Arial" w:cs="Arial"/>
          <w:i/>
          <w:lang w:val="en-GB"/>
        </w:rPr>
        <w:t>driven data and results analysis</w:t>
      </w:r>
    </w:p>
    <w:p w14:paraId="58EC81D0" w14:textId="1D8A8D7D" w:rsidR="0075600C" w:rsidRPr="00E15289" w:rsidRDefault="006B1D7A" w:rsidP="0025140D">
      <w:pPr>
        <w:spacing w:afterLines="80" w:after="192" w:line="400" w:lineRule="exact"/>
        <w:jc w:val="both"/>
        <w:rPr>
          <w:rFonts w:ascii="Arial" w:eastAsia="Arial" w:hAnsi="Arial" w:cs="Arial"/>
          <w:lang w:val="en-GB"/>
        </w:rPr>
      </w:pPr>
      <w:r w:rsidRPr="00E15289">
        <w:rPr>
          <w:rFonts w:ascii="Arial" w:eastAsia="Arial" w:hAnsi="Arial" w:cs="Arial"/>
          <w:lang w:val="en-GB"/>
        </w:rPr>
        <w:t xml:space="preserve">Following the exploratory analysis outlined above, </w:t>
      </w:r>
      <w:r w:rsidR="002775CB" w:rsidRPr="00E15289">
        <w:rPr>
          <w:rFonts w:ascii="Arial" w:eastAsia="Arial" w:hAnsi="Arial" w:cs="Arial"/>
          <w:lang w:val="en-GB"/>
        </w:rPr>
        <w:t>several</w:t>
      </w:r>
      <w:r w:rsidRPr="00E15289">
        <w:rPr>
          <w:rFonts w:ascii="Arial" w:eastAsia="Arial" w:hAnsi="Arial" w:cs="Arial"/>
          <w:lang w:val="en-GB"/>
        </w:rPr>
        <w:t xml:space="preserve"> hypothesis-driven data analysis experiments were conducted to investigate the contribution of individual treatment parameters in a more univariate manner. The cases included the following </w:t>
      </w:r>
      <w:r w:rsidR="000B550B" w:rsidRPr="00E15289">
        <w:rPr>
          <w:rFonts w:ascii="Arial" w:eastAsia="Arial" w:hAnsi="Arial" w:cs="Arial"/>
          <w:lang w:val="en-GB"/>
        </w:rPr>
        <w:t>three</w:t>
      </w:r>
      <w:r w:rsidR="00F137CD" w:rsidRPr="00E15289">
        <w:rPr>
          <w:rFonts w:ascii="Arial" w:eastAsia="Arial" w:hAnsi="Arial" w:cs="Arial"/>
          <w:lang w:val="en-GB"/>
        </w:rPr>
        <w:t xml:space="preserve"> </w:t>
      </w:r>
      <w:r w:rsidRPr="00E15289">
        <w:rPr>
          <w:rFonts w:ascii="Arial" w:eastAsia="Arial" w:hAnsi="Arial" w:cs="Arial"/>
          <w:lang w:val="en-GB"/>
        </w:rPr>
        <w:t xml:space="preserve">binary </w:t>
      </w:r>
      <w:r w:rsidRPr="006D06DA">
        <w:rPr>
          <w:rFonts w:ascii="Arial" w:eastAsia="Arial" w:hAnsi="Arial" w:cs="Arial"/>
          <w:lang w:val="en-GB"/>
        </w:rPr>
        <w:t xml:space="preserve">comparisons, </w:t>
      </w:r>
      <w:proofErr w:type="spellStart"/>
      <w:r w:rsidR="004F107A" w:rsidRPr="006D06DA">
        <w:rPr>
          <w:rFonts w:ascii="Arial" w:eastAsia="Arial" w:hAnsi="Arial" w:cs="Arial"/>
          <w:lang w:val="en-GB"/>
        </w:rPr>
        <w:t>i</w:t>
      </w:r>
      <w:proofErr w:type="spellEnd"/>
      <w:r w:rsidRPr="006D06DA">
        <w:rPr>
          <w:rFonts w:ascii="Arial" w:eastAsia="Arial" w:hAnsi="Arial" w:cs="Arial"/>
          <w:lang w:val="en-GB"/>
        </w:rPr>
        <w:t xml:space="preserve">) </w:t>
      </w:r>
      <w:r w:rsidR="00906B68" w:rsidRPr="006D06DA">
        <w:rPr>
          <w:rFonts w:ascii="Arial" w:eastAsia="Arial" w:hAnsi="Arial" w:cs="Arial"/>
          <w:lang w:val="en-GB"/>
        </w:rPr>
        <w:t>‘</w:t>
      </w:r>
      <w:r w:rsidRPr="006D06DA">
        <w:rPr>
          <w:rFonts w:ascii="Arial" w:eastAsia="Arial" w:hAnsi="Arial" w:cs="Arial"/>
          <w:lang w:val="en-GB"/>
        </w:rPr>
        <w:t>hypoxia</w:t>
      </w:r>
      <w:r w:rsidR="00906B68" w:rsidRPr="006D06DA">
        <w:rPr>
          <w:rFonts w:ascii="Arial" w:eastAsia="Arial" w:hAnsi="Arial" w:cs="Arial"/>
          <w:lang w:val="en-GB"/>
        </w:rPr>
        <w:t>’</w:t>
      </w:r>
      <w:r w:rsidRPr="006D06DA">
        <w:rPr>
          <w:rFonts w:ascii="Arial" w:eastAsia="Arial" w:hAnsi="Arial" w:cs="Arial"/>
          <w:lang w:val="en-GB"/>
        </w:rPr>
        <w:t xml:space="preserve"> vs. </w:t>
      </w:r>
      <w:r w:rsidR="00906B68" w:rsidRPr="006D06DA">
        <w:rPr>
          <w:rFonts w:ascii="Arial" w:eastAsia="Arial" w:hAnsi="Arial" w:cs="Arial"/>
          <w:lang w:val="en-GB"/>
        </w:rPr>
        <w:t>‘</w:t>
      </w:r>
      <w:proofErr w:type="spellStart"/>
      <w:r w:rsidRPr="006D06DA">
        <w:rPr>
          <w:rFonts w:ascii="Arial" w:eastAsia="Arial" w:hAnsi="Arial" w:cs="Arial"/>
          <w:lang w:val="en-GB"/>
        </w:rPr>
        <w:t>normoxia</w:t>
      </w:r>
      <w:proofErr w:type="spellEnd"/>
      <w:r w:rsidR="00906B68" w:rsidRPr="006D06DA">
        <w:rPr>
          <w:rFonts w:ascii="Arial" w:eastAsia="Arial" w:hAnsi="Arial" w:cs="Arial"/>
          <w:lang w:val="en-GB"/>
        </w:rPr>
        <w:t>’</w:t>
      </w:r>
      <w:r w:rsidRPr="006D06DA">
        <w:rPr>
          <w:rFonts w:ascii="Arial" w:eastAsia="Arial" w:hAnsi="Arial" w:cs="Arial"/>
          <w:lang w:val="en-GB"/>
        </w:rPr>
        <w:t xml:space="preserve">, </w:t>
      </w:r>
      <w:r w:rsidR="004F107A" w:rsidRPr="006D06DA">
        <w:rPr>
          <w:rFonts w:ascii="Arial" w:eastAsia="Arial" w:hAnsi="Arial" w:cs="Arial"/>
          <w:lang w:val="en-GB"/>
        </w:rPr>
        <w:t>ii</w:t>
      </w:r>
      <w:r w:rsidRPr="006D06DA">
        <w:rPr>
          <w:rFonts w:ascii="Arial" w:eastAsia="Arial" w:hAnsi="Arial" w:cs="Arial"/>
          <w:lang w:val="en-GB"/>
        </w:rPr>
        <w:t xml:space="preserve">) </w:t>
      </w:r>
      <w:r w:rsidR="00906B68" w:rsidRPr="006D06DA">
        <w:rPr>
          <w:rFonts w:ascii="Arial" w:eastAsia="Arial" w:hAnsi="Arial" w:cs="Arial"/>
          <w:lang w:val="en-GB"/>
        </w:rPr>
        <w:t>‘</w:t>
      </w:r>
      <w:r w:rsidRPr="006D06DA">
        <w:rPr>
          <w:rFonts w:ascii="Arial" w:eastAsia="Arial" w:hAnsi="Arial" w:cs="Arial"/>
          <w:lang w:val="en-GB"/>
        </w:rPr>
        <w:t>hypoxia</w:t>
      </w:r>
      <w:r w:rsidR="00906B68" w:rsidRPr="006D06DA">
        <w:rPr>
          <w:rFonts w:ascii="Arial" w:eastAsia="Arial" w:hAnsi="Arial" w:cs="Arial"/>
          <w:lang w:val="en-GB"/>
        </w:rPr>
        <w:t xml:space="preserve"> + </w:t>
      </w:r>
      <w:r w:rsidRPr="006D06DA">
        <w:rPr>
          <w:rFonts w:ascii="Arial" w:eastAsia="Arial" w:hAnsi="Arial" w:cs="Arial"/>
          <w:lang w:val="en-GB"/>
        </w:rPr>
        <w:t>radiation</w:t>
      </w:r>
      <w:r w:rsidR="00906B68" w:rsidRPr="006D06DA">
        <w:rPr>
          <w:rFonts w:ascii="Arial" w:eastAsia="Arial" w:hAnsi="Arial" w:cs="Arial"/>
          <w:lang w:val="en-GB"/>
        </w:rPr>
        <w:t>’</w:t>
      </w:r>
      <w:r w:rsidRPr="006D06DA">
        <w:rPr>
          <w:rFonts w:ascii="Arial" w:eastAsia="Arial" w:hAnsi="Arial" w:cs="Arial"/>
          <w:lang w:val="en-GB"/>
        </w:rPr>
        <w:t xml:space="preserve"> vs. </w:t>
      </w:r>
      <w:r w:rsidR="00906B68" w:rsidRPr="006D06DA">
        <w:rPr>
          <w:rFonts w:ascii="Arial" w:eastAsia="Arial" w:hAnsi="Arial" w:cs="Arial"/>
          <w:lang w:val="en-GB"/>
        </w:rPr>
        <w:t>‘</w:t>
      </w:r>
      <w:r w:rsidRPr="006D06DA">
        <w:rPr>
          <w:rFonts w:ascii="Arial" w:eastAsia="Arial" w:hAnsi="Arial" w:cs="Arial"/>
          <w:lang w:val="en-GB"/>
        </w:rPr>
        <w:t>hypoxia</w:t>
      </w:r>
      <w:r w:rsidR="00906B68" w:rsidRPr="006D06DA">
        <w:rPr>
          <w:rFonts w:ascii="Arial" w:eastAsia="Arial" w:hAnsi="Arial" w:cs="Arial"/>
          <w:lang w:val="en-GB"/>
        </w:rPr>
        <w:t>’</w:t>
      </w:r>
      <w:r w:rsidRPr="006D06DA">
        <w:rPr>
          <w:rFonts w:ascii="Arial" w:eastAsia="Arial" w:hAnsi="Arial" w:cs="Arial"/>
          <w:lang w:val="en-GB"/>
        </w:rPr>
        <w:t xml:space="preserve">, and </w:t>
      </w:r>
      <w:r w:rsidR="00CC25FD" w:rsidRPr="006D06DA">
        <w:rPr>
          <w:rFonts w:ascii="Arial" w:eastAsia="Arial" w:hAnsi="Arial" w:cs="Arial"/>
          <w:lang w:val="en-GB"/>
        </w:rPr>
        <w:t>iii</w:t>
      </w:r>
      <w:r w:rsidRPr="006D06DA">
        <w:rPr>
          <w:rFonts w:ascii="Arial" w:eastAsia="Arial" w:hAnsi="Arial" w:cs="Arial"/>
          <w:lang w:val="en-GB"/>
        </w:rPr>
        <w:t xml:space="preserve">) </w:t>
      </w:r>
      <w:r w:rsidR="00906B68" w:rsidRPr="006D06DA">
        <w:rPr>
          <w:rFonts w:ascii="Arial" w:eastAsia="Arial" w:hAnsi="Arial" w:cs="Arial"/>
          <w:lang w:val="en-GB"/>
        </w:rPr>
        <w:t>‘</w:t>
      </w:r>
      <w:r w:rsidRPr="006D06DA">
        <w:rPr>
          <w:rFonts w:ascii="Arial" w:eastAsia="Arial" w:hAnsi="Arial" w:cs="Arial"/>
          <w:lang w:val="en-GB"/>
        </w:rPr>
        <w:t>hypoxia</w:t>
      </w:r>
      <w:r w:rsidR="00906B68" w:rsidRPr="006D06DA">
        <w:rPr>
          <w:rFonts w:ascii="Arial" w:eastAsia="Arial" w:hAnsi="Arial" w:cs="Arial"/>
          <w:lang w:val="en-GB"/>
        </w:rPr>
        <w:t xml:space="preserve"> + </w:t>
      </w:r>
      <w:r w:rsidRPr="006D06DA">
        <w:rPr>
          <w:rFonts w:ascii="Arial" w:eastAsia="Arial" w:hAnsi="Arial" w:cs="Arial"/>
          <w:lang w:val="en-GB"/>
        </w:rPr>
        <w:t>radiation</w:t>
      </w:r>
      <w:r w:rsidR="00906B68" w:rsidRPr="006D06DA">
        <w:rPr>
          <w:rFonts w:ascii="Arial" w:eastAsia="Arial" w:hAnsi="Arial" w:cs="Arial"/>
          <w:lang w:val="en-GB"/>
        </w:rPr>
        <w:t>’</w:t>
      </w:r>
      <w:r w:rsidRPr="006D06DA">
        <w:rPr>
          <w:rFonts w:ascii="Arial" w:eastAsia="Arial" w:hAnsi="Arial" w:cs="Arial"/>
          <w:lang w:val="en-GB"/>
        </w:rPr>
        <w:t xml:space="preserve"> vs. </w:t>
      </w:r>
      <w:r w:rsidR="00906B68" w:rsidRPr="006D06DA">
        <w:rPr>
          <w:rFonts w:ascii="Arial" w:eastAsia="Arial" w:hAnsi="Arial" w:cs="Arial"/>
          <w:lang w:val="en-GB"/>
        </w:rPr>
        <w:t>‘</w:t>
      </w:r>
      <w:proofErr w:type="spellStart"/>
      <w:r w:rsidRPr="006D06DA">
        <w:rPr>
          <w:rFonts w:ascii="Arial" w:eastAsia="Arial" w:hAnsi="Arial" w:cs="Arial"/>
          <w:lang w:val="en-GB"/>
        </w:rPr>
        <w:t>normoxia</w:t>
      </w:r>
      <w:proofErr w:type="spellEnd"/>
      <w:r w:rsidR="00906B68" w:rsidRPr="006D06DA">
        <w:rPr>
          <w:rFonts w:ascii="Arial" w:eastAsia="Arial" w:hAnsi="Arial" w:cs="Arial"/>
          <w:lang w:val="en-GB"/>
        </w:rPr>
        <w:t xml:space="preserve"> + </w:t>
      </w:r>
      <w:r w:rsidRPr="006D06DA">
        <w:rPr>
          <w:rFonts w:ascii="Arial" w:eastAsia="Arial" w:hAnsi="Arial" w:cs="Arial"/>
          <w:lang w:val="en-GB"/>
        </w:rPr>
        <w:t>radiation</w:t>
      </w:r>
      <w:r w:rsidR="00906B68" w:rsidRPr="006D06DA">
        <w:rPr>
          <w:rFonts w:ascii="Arial" w:eastAsia="Arial" w:hAnsi="Arial" w:cs="Arial"/>
          <w:lang w:val="en-GB"/>
        </w:rPr>
        <w:t>’</w:t>
      </w:r>
      <w:r w:rsidRPr="006D06DA">
        <w:rPr>
          <w:rFonts w:ascii="Arial" w:eastAsia="Arial" w:hAnsi="Arial" w:cs="Arial"/>
          <w:lang w:val="en-GB"/>
        </w:rPr>
        <w:t>. The selection of these particular treatment types and</w:t>
      </w:r>
      <w:r w:rsidRPr="00E15289">
        <w:rPr>
          <w:rFonts w:ascii="Arial" w:eastAsia="Arial" w:hAnsi="Arial" w:cs="Arial"/>
          <w:lang w:val="en-GB"/>
        </w:rPr>
        <w:t xml:space="preserve"> their combinations were prompted by parallel genomic studies showing changes in gene expression in response to hypoxia</w:t>
      </w:r>
      <w:r w:rsidR="00906B68" w:rsidRPr="00E15289">
        <w:rPr>
          <w:rFonts w:ascii="Arial" w:eastAsia="Arial" w:hAnsi="Arial" w:cs="Arial"/>
          <w:lang w:val="en-GB"/>
        </w:rPr>
        <w:t xml:space="preserve"> and following Sulindac or NO-Sulindac treatment</w:t>
      </w:r>
      <w:r w:rsidRPr="00E15289">
        <w:rPr>
          <w:rFonts w:ascii="Arial" w:eastAsia="Arial" w:hAnsi="Arial" w:cs="Arial"/>
          <w:lang w:val="en-GB"/>
        </w:rPr>
        <w:t xml:space="preserve"> </w:t>
      </w:r>
      <w:r w:rsidR="00CC44EE" w:rsidRPr="00E15289">
        <w:rPr>
          <w:rFonts w:ascii="Arial" w:eastAsia="Arial" w:hAnsi="Arial" w:cs="Arial"/>
          <w:lang w:val="en-GB"/>
        </w:rPr>
        <w:fldChar w:fldCharType="begin" w:fldLock="1"/>
      </w:r>
      <w:r w:rsidR="00782E8D" w:rsidRPr="00E15289">
        <w:rPr>
          <w:rFonts w:ascii="Arial" w:eastAsia="Arial" w:hAnsi="Arial" w:cs="Arial"/>
          <w:lang w:val="en-GB"/>
        </w:rPr>
        <w:instrText>ADDIN CSL_CITATION {"citationItems":[{"id":"ITEM-1","itemData":{"author":[{"dropping-particle":"","family":"Gallagher","given":"Iain J","non-dropping-particle":"","parse-names":false,"suffix":""},{"dropping-particle":"","family":"Stewart","given":"Grant D","non-dropping-particle":"","parse-names":false,"suffix":""},{"dropping-particle":"","family":"Nanda","given":"Jyoti","non-dropping-particle":"","parse-names":false,"suffix":""},{"dropping-particle":"","family":"Riddick","given":"Antony CP","non-dropping-particle":"","parse-names":false,"suffix":""},{"dropping-particle":"","family":"Habib","given":"Fouad K","non-dropping-particle":"","parse-names":false,"suffix":""},{"dropping-particle":"","family":"Ross","given":"James A","non-dropping-particle":"","parse-names":false,"suffix":""}],"id":"ITEM-1","issued":{"date-parts":[["2019"]]},"title":"Global Changes in Gene Expression in Normoxic and Hypoxic Prostate Cancer and the influence of NO-Sulindac","type":"article-journal"},"uris":["http://www.mendeley.com/documents/?uuid=5a4a9181-bfa2-4661-b88f-fbfbc8a6cc73"]}],"mendeley":{"formattedCitation":"(34)","plainTextFormattedCitation":"(34)","previouslyFormattedCitation":"(34)"},"properties":{"noteIndex":0},"schema":"https://github.com/citation-style-language/schema/raw/master/csl-citation.json"}</w:instrText>
      </w:r>
      <w:r w:rsidR="00CC44EE" w:rsidRPr="00E15289">
        <w:rPr>
          <w:rFonts w:ascii="Arial" w:eastAsia="Arial" w:hAnsi="Arial" w:cs="Arial"/>
          <w:lang w:val="en-GB"/>
        </w:rPr>
        <w:fldChar w:fldCharType="separate"/>
      </w:r>
      <w:r w:rsidR="00A82711" w:rsidRPr="00E15289">
        <w:rPr>
          <w:rFonts w:ascii="Arial" w:eastAsia="Arial" w:hAnsi="Arial" w:cs="Arial"/>
          <w:noProof/>
          <w:lang w:val="en-GB"/>
        </w:rPr>
        <w:t>(34)</w:t>
      </w:r>
      <w:r w:rsidR="00CC44EE" w:rsidRPr="00E15289">
        <w:rPr>
          <w:rFonts w:ascii="Arial" w:eastAsia="Arial" w:hAnsi="Arial" w:cs="Arial"/>
          <w:lang w:val="en-GB"/>
        </w:rPr>
        <w:fldChar w:fldCharType="end"/>
      </w:r>
      <w:r w:rsidR="00F137CD" w:rsidRPr="00E15289">
        <w:rPr>
          <w:rFonts w:ascii="Arial" w:eastAsia="Arial" w:hAnsi="Arial" w:cs="Arial"/>
          <w:lang w:val="en-GB"/>
        </w:rPr>
        <w:t xml:space="preserve">. </w:t>
      </w:r>
      <w:r w:rsidRPr="00E15289">
        <w:rPr>
          <w:rFonts w:ascii="Arial" w:eastAsia="Arial" w:hAnsi="Arial" w:cs="Arial"/>
          <w:lang w:val="en-GB"/>
        </w:rPr>
        <w:t xml:space="preserve">As for the discovery analysis experiments, </w:t>
      </w:r>
      <w:r w:rsidR="00796AEF" w:rsidRPr="00E15289">
        <w:rPr>
          <w:rFonts w:ascii="Arial" w:eastAsia="Arial" w:hAnsi="Arial" w:cs="Arial"/>
          <w:lang w:val="en-GB"/>
        </w:rPr>
        <w:t xml:space="preserve">only the </w:t>
      </w:r>
      <w:r w:rsidR="00804170" w:rsidRPr="00E15289">
        <w:rPr>
          <w:rFonts w:ascii="Arial" w:eastAsia="Arial" w:hAnsi="Arial" w:cs="Arial"/>
          <w:lang w:val="en-GB"/>
        </w:rPr>
        <w:t>significantly</w:t>
      </w:r>
      <w:r w:rsidR="00370B46" w:rsidRPr="00E15289">
        <w:rPr>
          <w:rFonts w:ascii="Arial" w:eastAsia="Arial" w:hAnsi="Arial" w:cs="Arial"/>
          <w:lang w:val="en-GB"/>
        </w:rPr>
        <w:t>-</w:t>
      </w:r>
      <w:r w:rsidR="00804170" w:rsidRPr="00E15289">
        <w:rPr>
          <w:rFonts w:ascii="Arial" w:eastAsia="Arial" w:hAnsi="Arial" w:cs="Arial"/>
          <w:lang w:val="en-GB"/>
        </w:rPr>
        <w:t>chang</w:t>
      </w:r>
      <w:r w:rsidR="00370B46" w:rsidRPr="00E15289">
        <w:rPr>
          <w:rFonts w:ascii="Arial" w:eastAsia="Arial" w:hAnsi="Arial" w:cs="Arial"/>
          <w:lang w:val="en-GB"/>
        </w:rPr>
        <w:t>ing</w:t>
      </w:r>
      <w:r w:rsidR="00804170" w:rsidRPr="00E15289">
        <w:rPr>
          <w:rFonts w:ascii="Arial" w:eastAsia="Arial" w:hAnsi="Arial" w:cs="Arial"/>
          <w:lang w:val="en-GB"/>
        </w:rPr>
        <w:t xml:space="preserve"> proteins, passing both OPLS-DA and Student</w:t>
      </w:r>
      <w:r w:rsidR="00796AEF" w:rsidRPr="00E15289">
        <w:rPr>
          <w:rFonts w:ascii="Arial" w:eastAsia="Arial" w:hAnsi="Arial" w:cs="Arial"/>
          <w:lang w:val="en-GB"/>
        </w:rPr>
        <w:t>’s T-test discriminant analysis were accepted and are</w:t>
      </w:r>
      <w:r w:rsidR="00804170" w:rsidRPr="00E15289">
        <w:rPr>
          <w:rFonts w:ascii="Arial" w:eastAsia="Arial" w:hAnsi="Arial" w:cs="Arial"/>
          <w:lang w:val="en-GB"/>
        </w:rPr>
        <w:t xml:space="preserve"> summarised in </w:t>
      </w:r>
      <w:r w:rsidR="00804170" w:rsidRPr="00E15289">
        <w:rPr>
          <w:rFonts w:ascii="Arial" w:eastAsia="Arial" w:hAnsi="Arial" w:cs="Arial"/>
          <w:b/>
          <w:lang w:val="en-GB"/>
        </w:rPr>
        <w:t>Table 1</w:t>
      </w:r>
      <w:r w:rsidR="003A093E" w:rsidRPr="00E15289">
        <w:rPr>
          <w:rFonts w:ascii="Arial" w:eastAsia="Arial" w:hAnsi="Arial" w:cs="Arial"/>
          <w:lang w:val="en-GB"/>
        </w:rPr>
        <w:t xml:space="preserve"> and </w:t>
      </w:r>
      <w:r w:rsidR="003A093E" w:rsidRPr="00E15289">
        <w:rPr>
          <w:rFonts w:ascii="Arial" w:eastAsia="Arial" w:hAnsi="Arial" w:cs="Arial"/>
          <w:b/>
          <w:lang w:val="en-GB"/>
        </w:rPr>
        <w:t xml:space="preserve">Supplementary Table </w:t>
      </w:r>
      <w:r w:rsidR="00CC25FD" w:rsidRPr="00E15289">
        <w:rPr>
          <w:rFonts w:ascii="Arial" w:eastAsia="Arial" w:hAnsi="Arial" w:cs="Arial"/>
          <w:b/>
          <w:lang w:val="en-GB"/>
        </w:rPr>
        <w:t>2</w:t>
      </w:r>
      <w:r w:rsidR="00796AEF" w:rsidRPr="00E15289">
        <w:rPr>
          <w:rFonts w:ascii="Arial" w:eastAsia="Arial" w:hAnsi="Arial" w:cs="Arial"/>
          <w:lang w:val="en-GB"/>
        </w:rPr>
        <w:t>.</w:t>
      </w:r>
      <w:r w:rsidR="00804170" w:rsidRPr="00E15289">
        <w:rPr>
          <w:rFonts w:ascii="Arial" w:eastAsia="Arial" w:hAnsi="Arial" w:cs="Arial"/>
          <w:lang w:val="en-GB"/>
        </w:rPr>
        <w:t xml:space="preserve"> </w:t>
      </w:r>
      <w:r w:rsidR="008D66C6" w:rsidRPr="00E15289">
        <w:rPr>
          <w:rFonts w:ascii="Arial" w:eastAsia="Arial" w:hAnsi="Arial" w:cs="Arial"/>
          <w:lang w:val="en-GB"/>
        </w:rPr>
        <w:t xml:space="preserve">Note the reoccurrence of </w:t>
      </w:r>
      <w:proofErr w:type="gramStart"/>
      <w:r w:rsidR="0049653F" w:rsidRPr="00E15289">
        <w:rPr>
          <w:rFonts w:ascii="Arial" w:eastAsia="Arial" w:hAnsi="Arial" w:cs="Arial"/>
          <w:lang w:val="en-GB"/>
        </w:rPr>
        <w:t>a number of</w:t>
      </w:r>
      <w:proofErr w:type="gramEnd"/>
      <w:r w:rsidR="0049653F" w:rsidRPr="00E15289">
        <w:rPr>
          <w:rFonts w:ascii="Arial" w:eastAsia="Arial" w:hAnsi="Arial" w:cs="Arial"/>
          <w:lang w:val="en-GB"/>
        </w:rPr>
        <w:t xml:space="preserve"> </w:t>
      </w:r>
      <w:r w:rsidR="008D66C6" w:rsidRPr="00E15289">
        <w:rPr>
          <w:rFonts w:ascii="Arial" w:eastAsia="Arial" w:hAnsi="Arial" w:cs="Arial"/>
          <w:lang w:val="en-GB"/>
        </w:rPr>
        <w:t xml:space="preserve">detected proteins by means of the previous results driven analysis of the LC-MS data. </w:t>
      </w:r>
      <w:r w:rsidR="00796AEF" w:rsidRPr="00E15289">
        <w:rPr>
          <w:rFonts w:ascii="Arial" w:eastAsia="Arial" w:hAnsi="Arial" w:cs="Arial"/>
          <w:lang w:val="en-GB"/>
        </w:rPr>
        <w:t>E</w:t>
      </w:r>
      <w:r w:rsidR="007548AE" w:rsidRPr="00E15289">
        <w:rPr>
          <w:rFonts w:ascii="Arial" w:eastAsia="Arial" w:hAnsi="Arial" w:cs="Arial"/>
          <w:lang w:val="en-GB"/>
        </w:rPr>
        <w:t>xample</w:t>
      </w:r>
      <w:r w:rsidR="00804170" w:rsidRPr="00E15289">
        <w:rPr>
          <w:rFonts w:ascii="Arial" w:eastAsia="Arial" w:hAnsi="Arial" w:cs="Arial"/>
          <w:lang w:val="en-GB"/>
        </w:rPr>
        <w:t xml:space="preserve"> </w:t>
      </w:r>
      <w:r w:rsidR="00370B46" w:rsidRPr="00E15289">
        <w:rPr>
          <w:rFonts w:ascii="Arial" w:eastAsia="Arial" w:hAnsi="Arial" w:cs="Arial"/>
          <w:lang w:val="en-GB"/>
        </w:rPr>
        <w:t xml:space="preserve">descriptive </w:t>
      </w:r>
      <w:r w:rsidR="007548AE" w:rsidRPr="00E15289">
        <w:rPr>
          <w:rFonts w:ascii="Arial" w:eastAsia="Arial" w:hAnsi="Arial" w:cs="Arial"/>
          <w:lang w:val="en-GB"/>
        </w:rPr>
        <w:t>sta</w:t>
      </w:r>
      <w:r w:rsidR="001F3998" w:rsidRPr="00E15289">
        <w:rPr>
          <w:rFonts w:ascii="Arial" w:eastAsia="Arial" w:hAnsi="Arial" w:cs="Arial"/>
          <w:lang w:val="en-GB"/>
        </w:rPr>
        <w:t>tistic</w:t>
      </w:r>
      <w:r w:rsidR="00370B46" w:rsidRPr="00E15289">
        <w:rPr>
          <w:rFonts w:ascii="Arial" w:eastAsia="Arial" w:hAnsi="Arial" w:cs="Arial"/>
          <w:lang w:val="en-GB"/>
        </w:rPr>
        <w:t>s</w:t>
      </w:r>
      <w:r w:rsidR="001F3998" w:rsidRPr="00E15289">
        <w:rPr>
          <w:rFonts w:ascii="Arial" w:eastAsia="Arial" w:hAnsi="Arial" w:cs="Arial"/>
          <w:lang w:val="en-GB"/>
        </w:rPr>
        <w:t xml:space="preserve"> </w:t>
      </w:r>
      <w:r w:rsidR="007548AE" w:rsidRPr="00E15289">
        <w:rPr>
          <w:rFonts w:ascii="Arial" w:eastAsia="Arial" w:hAnsi="Arial" w:cs="Arial"/>
          <w:lang w:val="en-GB"/>
        </w:rPr>
        <w:t xml:space="preserve">and </w:t>
      </w:r>
      <w:r w:rsidR="00804170" w:rsidRPr="00E15289">
        <w:rPr>
          <w:rFonts w:ascii="Arial" w:eastAsia="Arial" w:hAnsi="Arial" w:cs="Arial"/>
          <w:lang w:val="en-GB"/>
        </w:rPr>
        <w:t xml:space="preserve">relative abundance profiles </w:t>
      </w:r>
      <w:r w:rsidR="00796AEF" w:rsidRPr="00E15289">
        <w:rPr>
          <w:rFonts w:ascii="Arial" w:eastAsia="Arial" w:hAnsi="Arial" w:cs="Arial"/>
          <w:lang w:val="en-GB"/>
        </w:rPr>
        <w:t xml:space="preserve">for the comparative analysis hypoxia </w:t>
      </w:r>
      <w:r w:rsidR="00796AEF" w:rsidRPr="00E15289">
        <w:rPr>
          <w:rFonts w:ascii="Arial" w:eastAsia="Arial" w:hAnsi="Arial" w:cs="Arial"/>
          <w:i/>
          <w:lang w:val="en-GB"/>
        </w:rPr>
        <w:t>vs.</w:t>
      </w:r>
      <w:r w:rsidR="00796AEF" w:rsidRPr="00E15289">
        <w:rPr>
          <w:rFonts w:ascii="Arial" w:eastAsia="Arial" w:hAnsi="Arial" w:cs="Arial"/>
          <w:lang w:val="en-GB"/>
        </w:rPr>
        <w:t xml:space="preserve"> </w:t>
      </w:r>
      <w:proofErr w:type="spellStart"/>
      <w:r w:rsidR="00796AEF" w:rsidRPr="00E15289">
        <w:rPr>
          <w:rFonts w:ascii="Arial" w:eastAsia="Arial" w:hAnsi="Arial" w:cs="Arial"/>
          <w:lang w:val="en-GB"/>
        </w:rPr>
        <w:t>normoxia</w:t>
      </w:r>
      <w:proofErr w:type="spellEnd"/>
      <w:r w:rsidR="00796AEF" w:rsidRPr="00E15289">
        <w:rPr>
          <w:rFonts w:ascii="Arial" w:eastAsia="Arial" w:hAnsi="Arial" w:cs="Arial"/>
          <w:lang w:val="en-GB"/>
        </w:rPr>
        <w:t xml:space="preserve"> are </w:t>
      </w:r>
      <w:r w:rsidR="00804170" w:rsidRPr="00E15289">
        <w:rPr>
          <w:rFonts w:ascii="Arial" w:eastAsia="Arial" w:hAnsi="Arial" w:cs="Arial"/>
          <w:lang w:val="en-GB"/>
        </w:rPr>
        <w:t xml:space="preserve">shown in </w:t>
      </w:r>
      <w:r w:rsidR="00804170" w:rsidRPr="00E15289">
        <w:rPr>
          <w:rFonts w:ascii="Arial" w:eastAsia="Arial" w:hAnsi="Arial" w:cs="Arial"/>
          <w:b/>
          <w:lang w:val="en-GB"/>
        </w:rPr>
        <w:t xml:space="preserve">Figure </w:t>
      </w:r>
      <w:r w:rsidR="004649F5" w:rsidRPr="00E15289">
        <w:rPr>
          <w:rFonts w:ascii="Arial" w:eastAsia="Arial" w:hAnsi="Arial" w:cs="Arial"/>
          <w:b/>
          <w:lang w:val="en-GB"/>
        </w:rPr>
        <w:t>3</w:t>
      </w:r>
      <w:r w:rsidR="00796AEF" w:rsidRPr="00E15289">
        <w:rPr>
          <w:rFonts w:ascii="Arial" w:eastAsia="Arial" w:hAnsi="Arial" w:cs="Arial"/>
          <w:lang w:val="en-GB"/>
        </w:rPr>
        <w:t>. Although binary in comparison, OPLS-DA acknowledges the multi-variate aspect of the data</w:t>
      </w:r>
      <w:r w:rsidR="004765B2" w:rsidRPr="00E15289">
        <w:rPr>
          <w:rFonts w:ascii="Arial" w:eastAsia="Arial" w:hAnsi="Arial" w:cs="Arial"/>
          <w:lang w:val="en-GB"/>
        </w:rPr>
        <w:t xml:space="preserve">, as </w:t>
      </w:r>
      <w:r w:rsidR="00370B46" w:rsidRPr="00E15289">
        <w:rPr>
          <w:rFonts w:ascii="Arial" w:eastAsia="Arial" w:hAnsi="Arial" w:cs="Arial"/>
          <w:lang w:val="en-GB"/>
        </w:rPr>
        <w:t xml:space="preserve">is </w:t>
      </w:r>
      <w:r w:rsidR="004765B2" w:rsidRPr="00E15289">
        <w:rPr>
          <w:rFonts w:ascii="Arial" w:eastAsia="Arial" w:hAnsi="Arial" w:cs="Arial"/>
          <w:lang w:val="en-GB"/>
        </w:rPr>
        <w:t>the case for the combined treatment samples,</w:t>
      </w:r>
      <w:r w:rsidR="00796AEF" w:rsidRPr="00E15289">
        <w:rPr>
          <w:rFonts w:ascii="Arial" w:eastAsia="Arial" w:hAnsi="Arial" w:cs="Arial"/>
          <w:lang w:val="en-GB"/>
        </w:rPr>
        <w:t xml:space="preserve"> and </w:t>
      </w:r>
      <w:r w:rsidR="00370B46" w:rsidRPr="00E15289">
        <w:rPr>
          <w:rFonts w:ascii="Arial" w:eastAsia="Arial" w:hAnsi="Arial" w:cs="Arial"/>
          <w:lang w:val="en-GB"/>
        </w:rPr>
        <w:t xml:space="preserve">therefore </w:t>
      </w:r>
      <w:r w:rsidR="004765B2" w:rsidRPr="00E15289">
        <w:rPr>
          <w:rFonts w:ascii="Arial" w:eastAsia="Arial" w:hAnsi="Arial" w:cs="Arial"/>
          <w:lang w:val="en-GB"/>
        </w:rPr>
        <w:t xml:space="preserve">affords selectivity and </w:t>
      </w:r>
      <w:r w:rsidR="00796AEF" w:rsidRPr="00E15289">
        <w:rPr>
          <w:rFonts w:ascii="Arial" w:eastAsia="Arial" w:hAnsi="Arial" w:cs="Arial"/>
          <w:lang w:val="en-GB"/>
        </w:rPr>
        <w:t xml:space="preserve">sensitivity towards </w:t>
      </w:r>
      <w:r w:rsidR="004765B2" w:rsidRPr="00E15289">
        <w:rPr>
          <w:rFonts w:ascii="Arial" w:eastAsia="Arial" w:hAnsi="Arial" w:cs="Arial"/>
          <w:lang w:val="en-GB"/>
        </w:rPr>
        <w:t xml:space="preserve">detecting </w:t>
      </w:r>
      <w:r w:rsidR="00796AEF" w:rsidRPr="00E15289">
        <w:rPr>
          <w:rFonts w:ascii="Arial" w:eastAsia="Arial" w:hAnsi="Arial" w:cs="Arial"/>
          <w:lang w:val="en-GB"/>
        </w:rPr>
        <w:t xml:space="preserve">subtle changes in </w:t>
      </w:r>
      <w:r w:rsidR="004765B2" w:rsidRPr="00E15289">
        <w:rPr>
          <w:rFonts w:ascii="Arial" w:eastAsia="Arial" w:hAnsi="Arial" w:cs="Arial"/>
          <w:lang w:val="en-GB"/>
        </w:rPr>
        <w:t>protein abundances. Additional Student’s T-test</w:t>
      </w:r>
      <w:r w:rsidR="0012118A" w:rsidRPr="00E15289">
        <w:rPr>
          <w:rFonts w:ascii="Arial" w:eastAsia="Arial" w:hAnsi="Arial" w:cs="Arial"/>
          <w:lang w:val="en-GB"/>
        </w:rPr>
        <w:t xml:space="preserve"> analyses</w:t>
      </w:r>
      <w:r w:rsidR="004765B2" w:rsidRPr="00E15289">
        <w:rPr>
          <w:rFonts w:ascii="Arial" w:eastAsia="Arial" w:hAnsi="Arial" w:cs="Arial"/>
          <w:lang w:val="en-GB"/>
        </w:rPr>
        <w:t xml:space="preserve"> of the data </w:t>
      </w:r>
      <w:r w:rsidR="0012118A" w:rsidRPr="00E15289">
        <w:rPr>
          <w:rFonts w:ascii="Arial" w:eastAsia="Arial" w:hAnsi="Arial" w:cs="Arial"/>
          <w:lang w:val="en-GB"/>
        </w:rPr>
        <w:t>were</w:t>
      </w:r>
      <w:r w:rsidR="004765B2" w:rsidRPr="00E15289">
        <w:rPr>
          <w:rFonts w:ascii="Arial" w:eastAsia="Arial" w:hAnsi="Arial" w:cs="Arial"/>
          <w:lang w:val="en-GB"/>
        </w:rPr>
        <w:t xml:space="preserve"> applied as a second level of curation, thereby</w:t>
      </w:r>
      <w:r w:rsidR="0012118A" w:rsidRPr="00E15289">
        <w:rPr>
          <w:rFonts w:ascii="Arial" w:eastAsia="Arial" w:hAnsi="Arial" w:cs="Arial"/>
          <w:lang w:val="en-GB"/>
        </w:rPr>
        <w:t xml:space="preserve">, although arguably smaller in number, </w:t>
      </w:r>
      <w:r w:rsidR="004765B2" w:rsidRPr="00E15289">
        <w:rPr>
          <w:rFonts w:ascii="Arial" w:eastAsia="Arial" w:hAnsi="Arial" w:cs="Arial"/>
          <w:lang w:val="en-GB"/>
        </w:rPr>
        <w:t>providing a more robust</w:t>
      </w:r>
      <w:r w:rsidR="0012118A" w:rsidRPr="00E15289">
        <w:rPr>
          <w:rFonts w:ascii="Arial" w:eastAsia="Arial" w:hAnsi="Arial" w:cs="Arial"/>
          <w:lang w:val="en-GB"/>
        </w:rPr>
        <w:t xml:space="preserve"> list</w:t>
      </w:r>
      <w:r w:rsidR="004765B2" w:rsidRPr="00E15289">
        <w:rPr>
          <w:rFonts w:ascii="Arial" w:eastAsia="Arial" w:hAnsi="Arial" w:cs="Arial"/>
          <w:lang w:val="en-GB"/>
        </w:rPr>
        <w:t xml:space="preserve"> of key </w:t>
      </w:r>
      <w:r w:rsidR="004D32F8" w:rsidRPr="00E15289">
        <w:rPr>
          <w:rFonts w:ascii="Arial" w:eastAsia="Arial" w:hAnsi="Arial" w:cs="Arial"/>
          <w:lang w:val="en-GB"/>
        </w:rPr>
        <w:t>PC</w:t>
      </w:r>
      <w:r w:rsidR="00370B46" w:rsidRPr="00E15289">
        <w:rPr>
          <w:rFonts w:ascii="Arial" w:eastAsia="Arial" w:hAnsi="Arial" w:cs="Arial"/>
          <w:lang w:val="en-GB"/>
        </w:rPr>
        <w:t>-</w:t>
      </w:r>
      <w:r w:rsidR="004D32F8" w:rsidRPr="00E15289">
        <w:rPr>
          <w:rFonts w:ascii="Arial" w:eastAsia="Arial" w:hAnsi="Arial" w:cs="Arial"/>
          <w:lang w:val="en-GB"/>
        </w:rPr>
        <w:t xml:space="preserve">3 </w:t>
      </w:r>
      <w:r w:rsidR="004765B2" w:rsidRPr="00E15289">
        <w:rPr>
          <w:rFonts w:ascii="Arial" w:eastAsia="Arial" w:hAnsi="Arial" w:cs="Arial"/>
          <w:lang w:val="en-GB"/>
        </w:rPr>
        <w:t xml:space="preserve">protein regulators as a function of treatment type. </w:t>
      </w:r>
      <w:r w:rsidR="004D32F8" w:rsidRPr="00E15289">
        <w:rPr>
          <w:rFonts w:ascii="Arial" w:eastAsia="Arial" w:hAnsi="Arial" w:cs="Arial"/>
          <w:lang w:val="en-GB"/>
        </w:rPr>
        <w:t xml:space="preserve">The regulated proteins that passed both statistical tests are labelled by their accession number in the significance </w:t>
      </w:r>
      <w:r w:rsidR="004D32F8" w:rsidRPr="00E15289">
        <w:rPr>
          <w:rFonts w:ascii="Arial" w:eastAsia="Arial" w:hAnsi="Arial" w:cs="Arial"/>
          <w:i/>
          <w:lang w:val="en-GB"/>
        </w:rPr>
        <w:t>vs.</w:t>
      </w:r>
      <w:r w:rsidR="004D32F8" w:rsidRPr="00E15289">
        <w:rPr>
          <w:rFonts w:ascii="Arial" w:eastAsia="Arial" w:hAnsi="Arial" w:cs="Arial"/>
          <w:lang w:val="en-GB"/>
        </w:rPr>
        <w:t xml:space="preserve"> fold-change volcano </w:t>
      </w:r>
      <w:r w:rsidR="00D44BB1" w:rsidRPr="00E15289">
        <w:rPr>
          <w:rFonts w:ascii="Arial" w:eastAsia="Arial" w:hAnsi="Arial" w:cs="Arial"/>
          <w:lang w:val="en-GB"/>
        </w:rPr>
        <w:t xml:space="preserve">plot </w:t>
      </w:r>
      <w:r w:rsidR="004D32F8" w:rsidRPr="00E15289">
        <w:rPr>
          <w:rFonts w:ascii="Arial" w:eastAsia="Arial" w:hAnsi="Arial" w:cs="Arial"/>
          <w:lang w:val="en-GB"/>
        </w:rPr>
        <w:t>(T-Test)</w:t>
      </w:r>
      <w:r w:rsidR="00200E43" w:rsidRPr="00E15289">
        <w:rPr>
          <w:rFonts w:ascii="Arial" w:eastAsia="Arial" w:hAnsi="Arial" w:cs="Arial"/>
          <w:lang w:val="en-GB"/>
        </w:rPr>
        <w:t xml:space="preserve"> (left) and</w:t>
      </w:r>
      <w:r w:rsidR="004D32F8" w:rsidRPr="00E15289">
        <w:rPr>
          <w:rFonts w:ascii="Arial" w:eastAsia="Arial" w:hAnsi="Arial" w:cs="Arial"/>
          <w:lang w:val="en-GB"/>
        </w:rPr>
        <w:t xml:space="preserve"> covariance </w:t>
      </w:r>
      <w:r w:rsidR="004D32F8" w:rsidRPr="00E15289">
        <w:rPr>
          <w:rFonts w:ascii="Arial" w:eastAsia="Arial" w:hAnsi="Arial" w:cs="Arial"/>
          <w:i/>
          <w:lang w:val="en-GB"/>
        </w:rPr>
        <w:t>vs.</w:t>
      </w:r>
      <w:r w:rsidR="004D32F8" w:rsidRPr="00E15289">
        <w:rPr>
          <w:rFonts w:ascii="Arial" w:eastAsia="Arial" w:hAnsi="Arial" w:cs="Arial"/>
          <w:lang w:val="en-GB"/>
        </w:rPr>
        <w:t xml:space="preserve"> correlation</w:t>
      </w:r>
      <w:r w:rsidR="00670B73" w:rsidRPr="00E15289">
        <w:rPr>
          <w:rFonts w:ascii="Arial" w:eastAsia="Arial" w:hAnsi="Arial" w:cs="Arial"/>
          <w:lang w:val="en-GB"/>
        </w:rPr>
        <w:t xml:space="preserve"> s-plot</w:t>
      </w:r>
      <w:r w:rsidR="004D32F8" w:rsidRPr="00E15289">
        <w:rPr>
          <w:rFonts w:ascii="Arial" w:eastAsia="Arial" w:hAnsi="Arial" w:cs="Arial"/>
          <w:lang w:val="en-GB"/>
        </w:rPr>
        <w:t xml:space="preserve"> </w:t>
      </w:r>
      <w:r w:rsidR="004D32F8" w:rsidRPr="00E15289">
        <w:rPr>
          <w:rFonts w:ascii="Arial" w:eastAsia="Arial" w:hAnsi="Arial" w:cs="Arial"/>
          <w:lang w:val="en-GB"/>
        </w:rPr>
        <w:lastRenderedPageBreak/>
        <w:t xml:space="preserve">(OPLS-DA) </w:t>
      </w:r>
      <w:r w:rsidR="00200E43" w:rsidRPr="00E15289">
        <w:rPr>
          <w:rFonts w:ascii="Arial" w:eastAsia="Arial" w:hAnsi="Arial" w:cs="Arial"/>
          <w:lang w:val="en-GB"/>
        </w:rPr>
        <w:t xml:space="preserve">(right) </w:t>
      </w:r>
      <w:r w:rsidR="00670B73" w:rsidRPr="00E15289">
        <w:rPr>
          <w:rFonts w:ascii="Arial" w:eastAsia="Arial" w:hAnsi="Arial" w:cs="Arial"/>
          <w:lang w:val="en-GB"/>
        </w:rPr>
        <w:t>distributions</w:t>
      </w:r>
      <w:r w:rsidR="004D32F8" w:rsidRPr="00E15289">
        <w:rPr>
          <w:rFonts w:ascii="Arial" w:eastAsia="Arial" w:hAnsi="Arial" w:cs="Arial"/>
          <w:lang w:val="en-GB"/>
        </w:rPr>
        <w:t xml:space="preserve"> shown in the two top p</w:t>
      </w:r>
      <w:r w:rsidR="00722D64" w:rsidRPr="00E15289">
        <w:rPr>
          <w:rFonts w:ascii="Arial" w:eastAsia="Arial" w:hAnsi="Arial" w:cs="Arial"/>
          <w:lang w:val="en-GB"/>
        </w:rPr>
        <w:t xml:space="preserve">anels of </w:t>
      </w:r>
      <w:r w:rsidR="004649F5" w:rsidRPr="00E15289">
        <w:rPr>
          <w:rFonts w:ascii="Arial" w:eastAsia="Arial" w:hAnsi="Arial" w:cs="Arial"/>
          <w:b/>
          <w:lang w:val="en-GB"/>
        </w:rPr>
        <w:t>Figure 3</w:t>
      </w:r>
      <w:r w:rsidR="00722D64" w:rsidRPr="00E15289">
        <w:rPr>
          <w:rFonts w:ascii="Arial" w:eastAsia="Arial" w:hAnsi="Arial" w:cs="Arial"/>
          <w:lang w:val="en-GB"/>
        </w:rPr>
        <w:t xml:space="preserve">. A </w:t>
      </w:r>
      <w:r w:rsidR="001E7898" w:rsidRPr="00E15289">
        <w:rPr>
          <w:rFonts w:ascii="Arial" w:eastAsia="Arial" w:hAnsi="Arial" w:cs="Arial"/>
          <w:lang w:val="en-GB"/>
        </w:rPr>
        <w:t>graphic</w:t>
      </w:r>
      <w:r w:rsidR="00670B73" w:rsidRPr="00E15289">
        <w:rPr>
          <w:rFonts w:ascii="Arial" w:eastAsia="Arial" w:hAnsi="Arial" w:cs="Arial"/>
          <w:lang w:val="en-GB"/>
        </w:rPr>
        <w:t>al</w:t>
      </w:r>
      <w:r w:rsidR="001E7898" w:rsidRPr="00E15289">
        <w:rPr>
          <w:rFonts w:ascii="Arial" w:eastAsia="Arial" w:hAnsi="Arial" w:cs="Arial"/>
          <w:lang w:val="en-GB"/>
        </w:rPr>
        <w:t xml:space="preserve"> </w:t>
      </w:r>
      <w:r w:rsidR="00722D64" w:rsidRPr="00E15289">
        <w:rPr>
          <w:rFonts w:ascii="Arial" w:eastAsia="Arial" w:hAnsi="Arial" w:cs="Arial"/>
          <w:lang w:val="en-GB"/>
        </w:rPr>
        <w:t xml:space="preserve">univariate summary of </w:t>
      </w:r>
      <w:r w:rsidR="001E7898" w:rsidRPr="00E15289">
        <w:rPr>
          <w:rFonts w:ascii="Arial" w:eastAsia="Arial" w:hAnsi="Arial" w:cs="Arial"/>
          <w:lang w:val="en-GB"/>
        </w:rPr>
        <w:t>the</w:t>
      </w:r>
      <w:r w:rsidR="00722D64" w:rsidRPr="00E15289">
        <w:rPr>
          <w:rFonts w:ascii="Arial" w:eastAsia="Arial" w:hAnsi="Arial" w:cs="Arial"/>
          <w:lang w:val="en-GB"/>
        </w:rPr>
        <w:t xml:space="preserve"> individual quantitative results of these proteins is shown in</w:t>
      </w:r>
      <w:r w:rsidR="004649F5" w:rsidRPr="00E15289">
        <w:rPr>
          <w:rFonts w:ascii="Arial" w:eastAsia="Arial" w:hAnsi="Arial" w:cs="Arial"/>
          <w:b/>
          <w:lang w:val="en-GB"/>
        </w:rPr>
        <w:t xml:space="preserve"> Figure 3</w:t>
      </w:r>
      <w:r w:rsidR="00FF4E7B" w:rsidRPr="00E15289">
        <w:rPr>
          <w:rFonts w:ascii="Arial" w:eastAsia="Arial" w:hAnsi="Arial" w:cs="Arial"/>
          <w:lang w:val="en-GB"/>
        </w:rPr>
        <w:t xml:space="preserve"> as well</w:t>
      </w:r>
      <w:r w:rsidR="00722D64" w:rsidRPr="00E15289">
        <w:rPr>
          <w:rFonts w:ascii="Arial" w:eastAsia="Arial" w:hAnsi="Arial" w:cs="Arial"/>
          <w:lang w:val="en-GB"/>
        </w:rPr>
        <w:t xml:space="preserve">, </w:t>
      </w:r>
      <w:r w:rsidR="001E7898" w:rsidRPr="00E15289">
        <w:rPr>
          <w:rFonts w:ascii="Arial" w:eastAsia="Arial" w:hAnsi="Arial" w:cs="Arial"/>
          <w:lang w:val="en-GB"/>
        </w:rPr>
        <w:t>demonstrating</w:t>
      </w:r>
      <w:r w:rsidR="00722D64" w:rsidRPr="00E15289">
        <w:rPr>
          <w:rFonts w:ascii="Arial" w:eastAsia="Arial" w:hAnsi="Arial" w:cs="Arial"/>
          <w:lang w:val="en-GB"/>
        </w:rPr>
        <w:t xml:space="preserve"> the distribution and significance of the data in box-plot format.</w:t>
      </w:r>
      <w:r w:rsidR="001E7898" w:rsidRPr="00E15289">
        <w:rPr>
          <w:rFonts w:ascii="Arial" w:eastAsia="Arial" w:hAnsi="Arial" w:cs="Arial"/>
          <w:lang w:val="en-GB"/>
        </w:rPr>
        <w:t xml:space="preserve"> The same </w:t>
      </w:r>
      <w:r w:rsidR="00670B73" w:rsidRPr="00E15289">
        <w:rPr>
          <w:rFonts w:ascii="Arial" w:eastAsia="Arial" w:hAnsi="Arial" w:cs="Arial"/>
          <w:lang w:val="en-GB"/>
        </w:rPr>
        <w:t xml:space="preserve">data analysis logic and routines were applied for </w:t>
      </w:r>
      <w:r w:rsidR="00370B46" w:rsidRPr="00E15289">
        <w:rPr>
          <w:rFonts w:ascii="Arial" w:eastAsia="Arial" w:hAnsi="Arial" w:cs="Arial"/>
          <w:lang w:val="en-GB"/>
        </w:rPr>
        <w:t xml:space="preserve">the </w:t>
      </w:r>
      <w:r w:rsidR="00670B73" w:rsidRPr="00E15289">
        <w:rPr>
          <w:rFonts w:ascii="Arial" w:eastAsia="Arial" w:hAnsi="Arial" w:cs="Arial"/>
          <w:lang w:val="en-GB"/>
        </w:rPr>
        <w:t xml:space="preserve">three remaining comparisons and </w:t>
      </w:r>
      <w:r w:rsidR="0012118A" w:rsidRPr="00E15289">
        <w:rPr>
          <w:rFonts w:ascii="Arial" w:eastAsia="Arial" w:hAnsi="Arial" w:cs="Arial"/>
          <w:lang w:val="en-GB"/>
        </w:rPr>
        <w:t>the results</w:t>
      </w:r>
      <w:r w:rsidR="00670B73" w:rsidRPr="00E15289">
        <w:rPr>
          <w:rFonts w:ascii="Arial" w:eastAsia="Arial" w:hAnsi="Arial" w:cs="Arial"/>
          <w:lang w:val="en-GB"/>
        </w:rPr>
        <w:t xml:space="preserve"> summarised in </w:t>
      </w:r>
      <w:r w:rsidR="008B032D" w:rsidRPr="00E15289">
        <w:rPr>
          <w:rFonts w:ascii="Arial" w:eastAsia="Arial" w:hAnsi="Arial" w:cs="Arial"/>
          <w:b/>
          <w:lang w:val="en-GB"/>
        </w:rPr>
        <w:t xml:space="preserve">Supplementary </w:t>
      </w:r>
      <w:r w:rsidR="00670B73" w:rsidRPr="00E15289">
        <w:rPr>
          <w:rFonts w:ascii="Arial" w:eastAsia="Arial" w:hAnsi="Arial" w:cs="Arial"/>
          <w:b/>
          <w:lang w:val="en-GB"/>
        </w:rPr>
        <w:t xml:space="preserve">Table </w:t>
      </w:r>
      <w:r w:rsidR="00CC25FD" w:rsidRPr="00E15289">
        <w:rPr>
          <w:rFonts w:ascii="Arial" w:eastAsia="Arial" w:hAnsi="Arial" w:cs="Arial"/>
          <w:b/>
          <w:lang w:val="en-GB"/>
        </w:rPr>
        <w:t>3</w:t>
      </w:r>
      <w:r w:rsidR="00670B73" w:rsidRPr="00E15289">
        <w:rPr>
          <w:rFonts w:ascii="Arial" w:eastAsia="Arial" w:hAnsi="Arial" w:cs="Arial"/>
          <w:lang w:val="en-GB"/>
        </w:rPr>
        <w:t xml:space="preserve">. As </w:t>
      </w:r>
      <w:r w:rsidR="0012118A" w:rsidRPr="00E15289">
        <w:rPr>
          <w:rFonts w:ascii="Arial" w:eastAsia="Arial" w:hAnsi="Arial" w:cs="Arial"/>
          <w:lang w:val="en-GB"/>
        </w:rPr>
        <w:t>anticipated</w:t>
      </w:r>
      <w:r w:rsidR="00670B73" w:rsidRPr="00E15289">
        <w:rPr>
          <w:rFonts w:ascii="Arial" w:eastAsia="Arial" w:hAnsi="Arial" w:cs="Arial"/>
          <w:lang w:val="en-GB"/>
        </w:rPr>
        <w:t>, a lower number of quantitatively</w:t>
      </w:r>
      <w:r w:rsidR="00370B46" w:rsidRPr="00E15289">
        <w:rPr>
          <w:rFonts w:ascii="Arial" w:eastAsia="Arial" w:hAnsi="Arial" w:cs="Arial"/>
          <w:lang w:val="en-GB"/>
        </w:rPr>
        <w:t>-</w:t>
      </w:r>
      <w:r w:rsidR="00670B73" w:rsidRPr="00E15289">
        <w:rPr>
          <w:rFonts w:ascii="Arial" w:eastAsia="Arial" w:hAnsi="Arial" w:cs="Arial"/>
          <w:lang w:val="en-GB"/>
        </w:rPr>
        <w:t xml:space="preserve">regulated proteins </w:t>
      </w:r>
      <w:r w:rsidR="001909F4" w:rsidRPr="00E15289">
        <w:rPr>
          <w:rFonts w:ascii="Arial" w:eastAsia="Arial" w:hAnsi="Arial" w:cs="Arial"/>
          <w:lang w:val="en-GB"/>
        </w:rPr>
        <w:t>were</w:t>
      </w:r>
      <w:r w:rsidR="00670B73" w:rsidRPr="00E15289">
        <w:rPr>
          <w:rFonts w:ascii="Arial" w:eastAsia="Arial" w:hAnsi="Arial" w:cs="Arial"/>
          <w:lang w:val="en-GB"/>
        </w:rPr>
        <w:t xml:space="preserve"> identified from these experiments as they represent lower level discriminating test</w:t>
      </w:r>
      <w:r w:rsidR="00370B46" w:rsidRPr="00E15289">
        <w:rPr>
          <w:rFonts w:ascii="Arial" w:eastAsia="Arial" w:hAnsi="Arial" w:cs="Arial"/>
          <w:lang w:val="en-GB"/>
        </w:rPr>
        <w:t>s</w:t>
      </w:r>
      <w:r w:rsidR="00670B73" w:rsidRPr="00E15289">
        <w:rPr>
          <w:rFonts w:ascii="Arial" w:eastAsia="Arial" w:hAnsi="Arial" w:cs="Arial"/>
          <w:lang w:val="en-GB"/>
        </w:rPr>
        <w:t xml:space="preserve"> as identified during the discovery</w:t>
      </w:r>
      <w:r w:rsidR="00370B46" w:rsidRPr="00E15289">
        <w:rPr>
          <w:rFonts w:ascii="Arial" w:eastAsia="Arial" w:hAnsi="Arial" w:cs="Arial"/>
          <w:lang w:val="en-GB"/>
        </w:rPr>
        <w:t>-</w:t>
      </w:r>
      <w:r w:rsidR="00670B73" w:rsidRPr="00E15289">
        <w:rPr>
          <w:rFonts w:ascii="Arial" w:eastAsia="Arial" w:hAnsi="Arial" w:cs="Arial"/>
          <w:lang w:val="en-GB"/>
        </w:rPr>
        <w:t>driven analysis of the data.</w:t>
      </w:r>
    </w:p>
    <w:p w14:paraId="525BD55D" w14:textId="5E5A530E" w:rsidR="00FC65A1" w:rsidRPr="00E15289" w:rsidRDefault="00C939AE" w:rsidP="0025140D">
      <w:pPr>
        <w:spacing w:afterLines="80" w:after="192" w:line="400" w:lineRule="exact"/>
        <w:jc w:val="both"/>
        <w:rPr>
          <w:rFonts w:ascii="Arial" w:eastAsia="Arial" w:hAnsi="Arial" w:cs="Arial"/>
          <w:lang w:val="en-GB"/>
        </w:rPr>
      </w:pPr>
      <w:r w:rsidRPr="00E15289">
        <w:rPr>
          <w:rFonts w:ascii="Arial" w:eastAsia="Arial" w:hAnsi="Arial" w:cs="Arial"/>
          <w:lang w:val="en-GB"/>
        </w:rPr>
        <w:t>Since t</w:t>
      </w:r>
      <w:r w:rsidR="00EF0D82" w:rsidRPr="00E15289">
        <w:rPr>
          <w:rFonts w:ascii="Arial" w:eastAsia="Arial" w:hAnsi="Arial" w:cs="Arial"/>
          <w:lang w:val="en-GB"/>
        </w:rPr>
        <w:t xml:space="preserve">here </w:t>
      </w:r>
      <w:r w:rsidRPr="00E15289">
        <w:rPr>
          <w:rFonts w:ascii="Arial" w:eastAsia="Arial" w:hAnsi="Arial" w:cs="Arial"/>
          <w:lang w:val="en-GB"/>
        </w:rPr>
        <w:t xml:space="preserve">is little </w:t>
      </w:r>
      <w:r w:rsidR="00EF0D82" w:rsidRPr="00E15289">
        <w:rPr>
          <w:rFonts w:ascii="Arial" w:eastAsia="Arial" w:hAnsi="Arial" w:cs="Arial"/>
          <w:lang w:val="en-GB"/>
        </w:rPr>
        <w:t xml:space="preserve">quantitative </w:t>
      </w:r>
      <w:r w:rsidRPr="00E15289">
        <w:rPr>
          <w:rFonts w:ascii="Arial" w:eastAsia="Arial" w:hAnsi="Arial" w:cs="Arial"/>
          <w:lang w:val="en-GB"/>
        </w:rPr>
        <w:t xml:space="preserve">prostate cancer </w:t>
      </w:r>
      <w:r w:rsidR="00EF0D82" w:rsidRPr="00E15289">
        <w:rPr>
          <w:rFonts w:ascii="Arial" w:eastAsia="Arial" w:hAnsi="Arial" w:cs="Arial"/>
          <w:lang w:val="en-GB"/>
        </w:rPr>
        <w:t>proteomics data</w:t>
      </w:r>
      <w:r w:rsidRPr="00E15289">
        <w:rPr>
          <w:rFonts w:ascii="Arial" w:eastAsia="Arial" w:hAnsi="Arial" w:cs="Arial"/>
          <w:lang w:val="en-GB"/>
        </w:rPr>
        <w:t xml:space="preserve"> currently available in the literature, we looked</w:t>
      </w:r>
      <w:r w:rsidR="00EF0D82" w:rsidRPr="00E15289">
        <w:rPr>
          <w:rFonts w:ascii="Arial" w:eastAsia="Arial" w:hAnsi="Arial" w:cs="Arial"/>
          <w:lang w:val="en-GB"/>
        </w:rPr>
        <w:t xml:space="preserve"> for </w:t>
      </w:r>
      <w:r w:rsidRPr="00E15289">
        <w:rPr>
          <w:rFonts w:ascii="Arial" w:eastAsia="Arial" w:hAnsi="Arial" w:cs="Arial"/>
          <w:lang w:val="en-GB"/>
        </w:rPr>
        <w:t xml:space="preserve">evidence of our significantly-altered proteins in other publicly-available </w:t>
      </w:r>
      <w:r w:rsidR="00920DB9" w:rsidRPr="00E15289">
        <w:rPr>
          <w:rFonts w:ascii="Arial" w:eastAsia="Arial" w:hAnsi="Arial" w:cs="Arial"/>
          <w:lang w:val="en-GB"/>
        </w:rPr>
        <w:t>omics</w:t>
      </w:r>
      <w:r w:rsidRPr="00E15289">
        <w:rPr>
          <w:rFonts w:ascii="Arial" w:eastAsia="Arial" w:hAnsi="Arial" w:cs="Arial"/>
          <w:lang w:val="en-GB"/>
        </w:rPr>
        <w:t xml:space="preserve"> datasets for </w:t>
      </w:r>
      <w:r w:rsidR="00EF0D82" w:rsidRPr="00E15289">
        <w:rPr>
          <w:rFonts w:ascii="Arial" w:eastAsia="Arial" w:hAnsi="Arial" w:cs="Arial"/>
          <w:lang w:val="en-GB"/>
        </w:rPr>
        <w:t>compar</w:t>
      </w:r>
      <w:r w:rsidR="007C29FD" w:rsidRPr="00E15289">
        <w:rPr>
          <w:rFonts w:ascii="Arial" w:eastAsia="Arial" w:hAnsi="Arial" w:cs="Arial"/>
          <w:lang w:val="en-GB"/>
        </w:rPr>
        <w:t>ison</w:t>
      </w:r>
      <w:r w:rsidR="00DC0261" w:rsidRPr="00E15289">
        <w:rPr>
          <w:rFonts w:ascii="Arial" w:eastAsia="Arial" w:hAnsi="Arial" w:cs="Arial"/>
          <w:lang w:val="en-GB"/>
        </w:rPr>
        <w:t>. T</w:t>
      </w:r>
      <w:r w:rsidR="00920DB9" w:rsidRPr="00E15289">
        <w:rPr>
          <w:rFonts w:ascii="Arial" w:eastAsia="Arial" w:hAnsi="Arial" w:cs="Arial"/>
          <w:lang w:val="en-GB"/>
        </w:rPr>
        <w:t xml:space="preserve">he </w:t>
      </w:r>
      <w:r w:rsidRPr="00E15289">
        <w:rPr>
          <w:rFonts w:ascii="Arial" w:eastAsia="Arial" w:hAnsi="Arial" w:cs="Arial"/>
          <w:lang w:val="en-GB"/>
        </w:rPr>
        <w:t>nine differentially-expressed</w:t>
      </w:r>
      <w:r w:rsidR="002F2AFF" w:rsidRPr="00E15289">
        <w:rPr>
          <w:rFonts w:ascii="Arial" w:eastAsia="Arial" w:hAnsi="Arial" w:cs="Arial"/>
          <w:lang w:val="en-GB"/>
        </w:rPr>
        <w:t xml:space="preserve"> proteins were submitted to </w:t>
      </w:r>
      <w:proofErr w:type="spellStart"/>
      <w:r w:rsidR="002F2AFF" w:rsidRPr="00E15289">
        <w:rPr>
          <w:rFonts w:ascii="Arial" w:eastAsia="Arial" w:hAnsi="Arial" w:cs="Arial"/>
          <w:lang w:val="en-GB"/>
        </w:rPr>
        <w:t>cBioPortal</w:t>
      </w:r>
      <w:proofErr w:type="spellEnd"/>
      <w:r w:rsidR="002F2AFF" w:rsidRPr="00E15289">
        <w:rPr>
          <w:rFonts w:ascii="Arial" w:eastAsia="Arial" w:hAnsi="Arial" w:cs="Arial"/>
          <w:lang w:val="en-GB"/>
        </w:rPr>
        <w:t xml:space="preserve"> to obtain their mRNA expression data </w:t>
      </w:r>
      <w:r w:rsidR="00EF0D82" w:rsidRPr="00E15289">
        <w:rPr>
          <w:rFonts w:ascii="Arial" w:eastAsia="Arial" w:hAnsi="Arial" w:cs="Arial"/>
          <w:lang w:val="en-GB"/>
        </w:rPr>
        <w:t xml:space="preserve">across </w:t>
      </w:r>
      <w:r w:rsidR="002F2AFF" w:rsidRPr="00E15289">
        <w:rPr>
          <w:rFonts w:ascii="Arial" w:eastAsia="Arial" w:hAnsi="Arial" w:cs="Arial"/>
          <w:lang w:val="en-GB"/>
        </w:rPr>
        <w:t>several major cancer types.</w:t>
      </w:r>
      <w:r w:rsidR="00CA5352" w:rsidRPr="00E15289">
        <w:rPr>
          <w:rFonts w:ascii="Arial" w:eastAsia="Arial" w:hAnsi="Arial" w:cs="Arial"/>
          <w:lang w:val="en-GB"/>
        </w:rPr>
        <w:t xml:space="preserve"> </w:t>
      </w:r>
      <w:r w:rsidR="002F2AFF" w:rsidRPr="00E15289">
        <w:rPr>
          <w:rFonts w:ascii="Arial" w:eastAsia="Arial" w:hAnsi="Arial" w:cs="Arial"/>
          <w:b/>
          <w:lang w:val="en-GB"/>
        </w:rPr>
        <w:t xml:space="preserve">Figure </w:t>
      </w:r>
      <w:r w:rsidR="004649F5" w:rsidRPr="00E15289">
        <w:rPr>
          <w:rFonts w:ascii="Arial" w:eastAsia="Arial" w:hAnsi="Arial" w:cs="Arial"/>
          <w:b/>
          <w:lang w:val="en-GB"/>
        </w:rPr>
        <w:t>4</w:t>
      </w:r>
      <w:r w:rsidR="002F2AFF" w:rsidRPr="00E15289">
        <w:rPr>
          <w:rFonts w:ascii="Arial" w:eastAsia="Arial" w:hAnsi="Arial" w:cs="Arial"/>
          <w:lang w:val="en-GB"/>
        </w:rPr>
        <w:t xml:space="preserve"> displays this data in the form of a network, where grey nodes represent the proteins (red borders – up-regulated in hypoxia; blue borders – down-regulated). Green and yellow nodes represent cancer types in which these proteins’ mRNA expression has been shown to be altered in either TCGA datasets (green) or other large-scale prostate cancer datasets (yellow); the size of the nodes is proportional to the frequency of alteration of all 9 proteins in that particular type of cancer, and the thickness of the lines/edges connecting a protein to a particular cancer type indicative of the frequency to which that protein has been shown to be overexpressed in that particular cancer type. Clearly, the significantly </w:t>
      </w:r>
      <w:r w:rsidR="00A60209" w:rsidRPr="00E15289">
        <w:rPr>
          <w:rFonts w:ascii="Arial" w:eastAsia="Arial" w:hAnsi="Arial" w:cs="Arial"/>
          <w:lang w:val="en-GB"/>
        </w:rPr>
        <w:t xml:space="preserve">changed proteins </w:t>
      </w:r>
      <w:r w:rsidR="002F2AFF" w:rsidRPr="00E15289">
        <w:rPr>
          <w:rFonts w:ascii="Arial" w:eastAsia="Arial" w:hAnsi="Arial" w:cs="Arial"/>
          <w:lang w:val="en-GB"/>
        </w:rPr>
        <w:t>under hypoxic conditions (TUBB4A, MYL6B, RBM3, KRT7, COL6A1, KRT81, PLOD1, AKAP9 and REXO2) are also commonly altered in multiple other cancer types</w:t>
      </w:r>
      <w:r w:rsidR="007C29FD" w:rsidRPr="00E15289">
        <w:rPr>
          <w:rFonts w:ascii="Arial" w:eastAsia="Arial" w:hAnsi="Arial" w:cs="Arial"/>
          <w:lang w:val="en-GB"/>
        </w:rPr>
        <w:t>,</w:t>
      </w:r>
      <w:r w:rsidR="00A35DBC" w:rsidRPr="00E15289">
        <w:rPr>
          <w:rFonts w:ascii="Arial" w:eastAsia="Arial" w:hAnsi="Arial" w:cs="Arial"/>
          <w:lang w:val="en-GB"/>
        </w:rPr>
        <w:t xml:space="preserve"> as shown by the number of connections (edges) between each cancer node (green/yellow) and the protein nodes (grey) (see Figure legend for more detail)</w:t>
      </w:r>
      <w:r w:rsidR="002F2AFF" w:rsidRPr="00E15289">
        <w:rPr>
          <w:rFonts w:ascii="Arial" w:eastAsia="Arial" w:hAnsi="Arial" w:cs="Arial"/>
          <w:lang w:val="en-GB"/>
        </w:rPr>
        <w:t>.</w:t>
      </w:r>
    </w:p>
    <w:p w14:paraId="237192B9" w14:textId="77777777" w:rsidR="00F137CD" w:rsidRPr="00E15289" w:rsidRDefault="00F137CD" w:rsidP="0025140D">
      <w:pPr>
        <w:spacing w:afterLines="80" w:after="192" w:line="400" w:lineRule="exact"/>
        <w:jc w:val="both"/>
        <w:rPr>
          <w:rFonts w:ascii="Arial" w:eastAsia="Arial" w:hAnsi="Arial" w:cs="Arial"/>
          <w:b/>
          <w:lang w:val="en-GB"/>
        </w:rPr>
      </w:pPr>
    </w:p>
    <w:p w14:paraId="6329DD7D" w14:textId="77777777" w:rsidR="00421507" w:rsidRPr="00E15289" w:rsidRDefault="00421507">
      <w:pPr>
        <w:rPr>
          <w:rFonts w:ascii="Arial" w:eastAsia="Arial" w:hAnsi="Arial" w:cs="Arial"/>
          <w:b/>
          <w:i/>
          <w:lang w:val="en-GB"/>
        </w:rPr>
      </w:pPr>
      <w:r w:rsidRPr="00E15289">
        <w:rPr>
          <w:rFonts w:ascii="Arial" w:eastAsia="Arial" w:hAnsi="Arial" w:cs="Arial"/>
          <w:b/>
          <w:i/>
          <w:lang w:val="en-GB"/>
        </w:rPr>
        <w:br w:type="page"/>
      </w:r>
    </w:p>
    <w:p w14:paraId="625A7ADB" w14:textId="5A114250" w:rsidR="006F17C2" w:rsidRPr="00E15289" w:rsidRDefault="006F17C2" w:rsidP="0025140D">
      <w:pPr>
        <w:spacing w:afterLines="80" w:after="192" w:line="400" w:lineRule="exact"/>
        <w:jc w:val="both"/>
        <w:rPr>
          <w:rFonts w:ascii="Arial" w:eastAsia="Arial" w:hAnsi="Arial" w:cs="Arial"/>
          <w:b/>
          <w:i/>
          <w:lang w:val="en-GB"/>
        </w:rPr>
      </w:pPr>
      <w:r w:rsidRPr="00E15289">
        <w:rPr>
          <w:rFonts w:ascii="Arial" w:eastAsia="Arial" w:hAnsi="Arial" w:cs="Arial"/>
          <w:b/>
          <w:i/>
          <w:lang w:val="en-GB"/>
        </w:rPr>
        <w:lastRenderedPageBreak/>
        <w:t>Discussion</w:t>
      </w:r>
    </w:p>
    <w:p w14:paraId="4A5F0676" w14:textId="5C68B7C0" w:rsidR="003E5B7A" w:rsidRPr="00E15289" w:rsidRDefault="008D0227" w:rsidP="0025140D">
      <w:pPr>
        <w:widowControl w:val="0"/>
        <w:autoSpaceDE w:val="0"/>
        <w:autoSpaceDN w:val="0"/>
        <w:adjustRightInd w:val="0"/>
        <w:spacing w:afterLines="80" w:after="192" w:line="400" w:lineRule="exact"/>
        <w:jc w:val="both"/>
        <w:rPr>
          <w:rFonts w:ascii="Arial" w:hAnsi="Arial" w:cs="Arial"/>
          <w:u w:color="642A8F"/>
        </w:rPr>
      </w:pPr>
      <w:r w:rsidRPr="00E15289">
        <w:rPr>
          <w:rFonts w:ascii="Arial" w:hAnsi="Arial" w:cs="Arial"/>
          <w:bCs/>
          <w:u w:color="642A8F"/>
        </w:rPr>
        <w:t xml:space="preserve">Hypoxia represents a constant feature of solid </w:t>
      </w:r>
      <w:proofErr w:type="spellStart"/>
      <w:r w:rsidRPr="00E15289">
        <w:rPr>
          <w:rFonts w:ascii="Arial" w:hAnsi="Arial" w:cs="Arial"/>
          <w:bCs/>
          <w:u w:color="642A8F"/>
        </w:rPr>
        <w:t>tumours</w:t>
      </w:r>
      <w:proofErr w:type="spellEnd"/>
      <w:r w:rsidRPr="00E15289">
        <w:rPr>
          <w:rFonts w:ascii="Arial" w:hAnsi="Arial" w:cs="Arial"/>
          <w:bCs/>
          <w:u w:color="642A8F"/>
        </w:rPr>
        <w:t xml:space="preserve"> and adaptation of cancer cells to their hypoxic microenvironment is a vital step in disease progression </w:t>
      </w:r>
      <w:r w:rsidR="004F107A" w:rsidRPr="00E15289">
        <w:rPr>
          <w:rFonts w:ascii="Arial" w:hAnsi="Arial" w:cs="Arial"/>
          <w:bCs/>
          <w:u w:color="642A8F"/>
        </w:rPr>
        <w:fldChar w:fldCharType="begin" w:fldLock="1"/>
      </w:r>
      <w:r w:rsidR="00737A59" w:rsidRPr="00E15289">
        <w:rPr>
          <w:rFonts w:ascii="Arial" w:hAnsi="Arial" w:cs="Arial"/>
          <w:bCs/>
          <w:u w:color="642A8F"/>
        </w:rPr>
        <w:instrText>ADDIN CSL_CITATION {"citationItems":[{"id":"ITEM-1","itemData":{"DOI":"10.1038/nrc2540","ISSN":"1474175X","abstract":"During the past century it has been established that regions within solid tumours experience mild to severe O(2) deprivation owing to aberrant vascular function. These hypoxic regions are associated with altered cellular metabolism, as well as increased resistance to radiation and chemotherapy. As discussed in this Timeline, over the past decade work from many laboratories has elucidated the mechanisms by which hypoxia-inducible factors (HIFs) modulate tumour cell metabolism, angiogenesis, growth and metastasis. The central role played by intra-tumoural hypoxia and HIF in these processes has made them attractive therapeutic targets in the treatment of multiple human malignancies.","author":[{"dropping-particle":"","family":"Bertout","given":"Jessica A.","non-dropping-particle":"","parse-names":false,"suffix":""},{"dropping-particle":"","family":"Patel","given":"Shetal A.","non-dropping-particle":"","parse-names":false,"suffix":""},{"dropping-particle":"","family":"Simon","given":"M. Celeste","non-dropping-particle":"","parse-names":false,"suffix":""}],"container-title":"Nature Reviews Cancer","id":"ITEM-1","issued":{"date-parts":[["2008"]]},"title":"The impact of O2 availability on human cancer","type":"article"},"uris":["http://www.mendeley.com/documents/?uuid=a95e5a60-f5e0-4986-bb6e-f5d1e632459f"]},{"id":"ITEM-2","itemData":{"DOI":"10.1016/j.tips.2012.01.005","ISSN":"01656147","abstract":"Hypoxia-inducible factors (HIFs) mediate adaptive physiological responses to hypoxia. In human cancers that are accessible for O 2 electrode measurements, intratumoral hypoxia is common and severe hypoxia is associated with increased risk of mortality. HIF activity in regions of intratumoral hypoxia mediates angiogenesis, epithelial-mesenchymal transition, stem-cell maintenance, invasion, metastasis, and resistance to radiation therapy and chemotherapy. A growing number of drugs have been identified that inhibit HIF activity by a variety of molecular mechanisms. Because many of these drugs are already FDA-approved for other indications, clinical trials can (and should) be initiated to test the hypothesis that incorporation of HIF inhibitors into current standard-of-care therapy will increase the survival of cancer patients. © 2012 Elsevier Ltd.","author":[{"dropping-particle":"","family":"Semenza","given":"Gregg L.","non-dropping-particle":"","parse-names":false,"suffix":""}],"container-title":"Trends in Pharmacological Sciences","id":"ITEM-2","issued":{"date-parts":[["2012"]]},"title":"Hypoxia-inducible factors: Mediators of cancer progression and targets for cancer therapy","type":"article"},"uris":["http://www.mendeley.com/documents/?uuid=a1436bb3-6fdd-4a4a-b097-eb7c42cf1512"]}],"mendeley":{"formattedCitation":"(1,2)","plainTextFormattedCitation":"(1,2)","previouslyFormattedCitation":"(1,2)"},"properties":{"noteIndex":0},"schema":"https://github.com/citation-style-language/schema/raw/master/csl-citation.json"}</w:instrText>
      </w:r>
      <w:r w:rsidR="004F107A" w:rsidRPr="00E15289">
        <w:rPr>
          <w:rFonts w:ascii="Arial" w:hAnsi="Arial" w:cs="Arial"/>
          <w:bCs/>
          <w:u w:color="642A8F"/>
        </w:rPr>
        <w:fldChar w:fldCharType="separate"/>
      </w:r>
      <w:r w:rsidR="00737A59" w:rsidRPr="00E15289">
        <w:rPr>
          <w:rFonts w:ascii="Arial" w:hAnsi="Arial" w:cs="Arial"/>
          <w:bCs/>
          <w:noProof/>
          <w:u w:color="642A8F"/>
        </w:rPr>
        <w:t>(1,2)</w:t>
      </w:r>
      <w:r w:rsidR="004F107A" w:rsidRPr="00E15289">
        <w:rPr>
          <w:rFonts w:ascii="Arial" w:hAnsi="Arial" w:cs="Arial"/>
          <w:bCs/>
          <w:u w:color="642A8F"/>
        </w:rPr>
        <w:fldChar w:fldCharType="end"/>
      </w:r>
      <w:r w:rsidRPr="00E15289">
        <w:rPr>
          <w:rFonts w:ascii="Arial" w:hAnsi="Arial" w:cs="Arial"/>
          <w:bCs/>
          <w:u w:color="642A8F"/>
        </w:rPr>
        <w:t xml:space="preserve">. </w:t>
      </w:r>
      <w:r w:rsidR="008D16AC" w:rsidRPr="00E15289">
        <w:rPr>
          <w:rFonts w:ascii="Arial" w:hAnsi="Arial" w:cs="Arial"/>
          <w:bCs/>
          <w:u w:color="642A8F"/>
        </w:rPr>
        <w:t>Indeed,</w:t>
      </w:r>
      <w:r w:rsidRPr="00E15289">
        <w:rPr>
          <w:rFonts w:ascii="Arial" w:hAnsi="Arial" w:cs="Arial"/>
          <w:bCs/>
          <w:u w:color="642A8F"/>
        </w:rPr>
        <w:t xml:space="preserve"> the increased risk of malignancy in prostate cancer has been associated with the presence of large hypoxic areas; these have been </w:t>
      </w:r>
      <w:r w:rsidRPr="00E15289">
        <w:rPr>
          <w:rFonts w:ascii="Arial" w:hAnsi="Arial" w:cs="Arial"/>
          <w:u w:color="642A8F"/>
        </w:rPr>
        <w:t xml:space="preserve">shown to correlate with increased </w:t>
      </w:r>
      <w:proofErr w:type="spellStart"/>
      <w:r w:rsidRPr="00E15289">
        <w:rPr>
          <w:rFonts w:ascii="Arial" w:hAnsi="Arial" w:cs="Arial"/>
          <w:u w:color="642A8F"/>
        </w:rPr>
        <w:t>tumour</w:t>
      </w:r>
      <w:proofErr w:type="spellEnd"/>
      <w:r w:rsidRPr="00E15289">
        <w:rPr>
          <w:rFonts w:ascii="Arial" w:hAnsi="Arial" w:cs="Arial"/>
          <w:u w:color="642A8F"/>
        </w:rPr>
        <w:t xml:space="preserve"> invasiveness, metastasis and resistance to chemotherapy in hormone refractive prostate cancer</w:t>
      </w:r>
      <w:r w:rsidR="000B550B" w:rsidRPr="00E15289">
        <w:rPr>
          <w:rFonts w:ascii="Arial" w:hAnsi="Arial" w:cs="Arial"/>
          <w:u w:color="642A8F"/>
        </w:rPr>
        <w:t xml:space="preserve"> </w:t>
      </w:r>
      <w:r w:rsidR="000B550B" w:rsidRPr="00E15289">
        <w:rPr>
          <w:rFonts w:ascii="Arial" w:hAnsi="Arial" w:cs="Arial"/>
          <w:u w:color="642A8F"/>
        </w:rPr>
        <w:fldChar w:fldCharType="begin" w:fldLock="1"/>
      </w:r>
      <w:r w:rsidR="00576812" w:rsidRPr="00E15289">
        <w:rPr>
          <w:rFonts w:ascii="Arial" w:hAnsi="Arial" w:cs="Arial"/>
          <w:u w:color="642A8F"/>
        </w:rPr>
        <w:instrText>ADDIN CSL_CITATION {"citationItems":[{"id":"ITEM-1","itemData":{"DOI":"10.1371/journal.pone.0054251","ISSN":"19326203","abstract":"BACKGROUND: Castrate-resistant prostate cancer (CRPC) is a lethal condition in patients receiving androgen deprivation therapy for prostate cancer (PC). Despite numerous studies showing the expression of HIF1α protein under normoxia in PC cell lines, the role of this normoxic HIF1α expression in chemo-resistance and migration has not been investigated previously. As no method is currently available to determine which tumors will progress to CRPC, the role of HIF1α in PC and its potential for predicting the development of CRPC was also investigated.\\n\\nMETHODS: The effect of HIF1α protein knockdown on chemo-resistance and migration of PC3 cells was assessed by cell counting and Transwell assays, respectively. Translation efficiency of HIF1α mRNA was determined in PC cells using a HIF1α 5'UTR-luciferase construct. Clinical outcomes were correlated following the staining of 100 prostate tumors for HIF1α expression.\\n\\nRESULTS: The CRPC-like cell lines (PC3 and DU145) expressed more HIF1α protein than an androgen sensitive cell line (LNCaP). Migration rate and chemo-resistance were higher in the PC3 cells and both were decreased when HIF1α expression was reduced. Increased translation of HIF1α mRNA may be responsible for HIF1α overexpression in PC3 cells. Patients whose tumors expressed HIF1α had significantly decreased metastasis-free survival and the patients who were on androgen-deprivation therapy had decreased CRPC-free survival on Kaplan-Meier analysis. On multivariate analysis HIF1α was an independent risk factor for progression to metastatic PC (Hazard ratio (HR) 9.8, p = 0.017) and development of CRPC (HR 10.0, p = 0.021) in patients on androgen-deprivation therapy. Notably the tumors which did not express HIF1α did not metastasize or develop CRPC.\\n\\nCONCLUSIONS: HIF1α is likely to contribute to metastasis and chemo-resistance of CRPC and targeted reduction of HIF1α may increase the responsiveness of CRPCs to chemotherapy. Expression of HIF1α may be a useful screening tool for development of CRPC.","author":[{"dropping-particle":"","family":"Ranasinghe","given":"Weranja K.B.","non-dropping-particle":"","parse-names":false,"suffix":""},{"dropping-particle":"","family":"Xiao","given":"Lin","non-dropping-particle":"","parse-names":false,"suffix":""},{"dropping-particle":"","family":"Kovac","given":"Suzana","non-dropping-particle":"","parse-names":false,"suffix":""},{"dropping-particle":"","family":"Chang","given":"Mike","non-dropping-particle":"","parse-names":false,"suffix":""},{"dropping-particle":"","family":"Michiels","given":"Carine","non-dropping-particle":"","parse-names":false,"suffix":""},{"dropping-particle":"","family":"Bolton","given":"Damien","non-dropping-particle":"","parse-names":false,"suffix":""},{"dropping-particle":"","family":"Shulkes","given":"Arthur","non-dropping-particle":"","parse-names":false,"suffix":""},{"dropping-particle":"","family":"Baldwin","given":"Graham S.","non-dropping-particle":"","parse-names":false,"suffix":""},{"dropping-particle":"","family":"Patel","given":"Oneel","non-dropping-particle":"","parse-names":false,"suffix":""}],"container-title":"PLoS ONE","id":"ITEM-1","issued":{"date-parts":[["2013"]]},"title":"The Role of Hypoxia-Inducible Factor 1α in Determining the Properties of Castrate-Resistant Prostate Cancers","type":"article-journal"},"uris":["http://www.mendeley.com/documents/?uuid=4aca5fae-a11c-42a9-baec-19e7e873a94c"]}],"mendeley":{"formattedCitation":"(4)","plainTextFormattedCitation":"(4)","previouslyFormattedCitation":"(4)"},"properties":{"noteIndex":0},"schema":"https://github.com/citation-style-language/schema/raw/master/csl-citation.json"}</w:instrText>
      </w:r>
      <w:r w:rsidR="000B550B" w:rsidRPr="00E15289">
        <w:rPr>
          <w:rFonts w:ascii="Arial" w:hAnsi="Arial" w:cs="Arial"/>
          <w:u w:color="642A8F"/>
        </w:rPr>
        <w:fldChar w:fldCharType="separate"/>
      </w:r>
      <w:r w:rsidR="000B550B" w:rsidRPr="00E15289">
        <w:rPr>
          <w:rFonts w:ascii="Arial" w:hAnsi="Arial" w:cs="Arial"/>
          <w:noProof/>
          <w:u w:color="642A8F"/>
        </w:rPr>
        <w:t>(4)</w:t>
      </w:r>
      <w:r w:rsidR="000B550B" w:rsidRPr="00E15289">
        <w:rPr>
          <w:rFonts w:ascii="Arial" w:hAnsi="Arial" w:cs="Arial"/>
          <w:u w:color="642A8F"/>
        </w:rPr>
        <w:fldChar w:fldCharType="end"/>
      </w:r>
      <w:r w:rsidRPr="00E15289">
        <w:rPr>
          <w:rFonts w:ascii="Arial" w:hAnsi="Arial" w:cs="Arial"/>
          <w:u w:color="642A8F"/>
        </w:rPr>
        <w:t xml:space="preserve">. </w:t>
      </w:r>
      <w:r w:rsidR="008D16AC" w:rsidRPr="00E15289">
        <w:rPr>
          <w:rFonts w:ascii="Arial" w:hAnsi="Arial" w:cs="Arial"/>
          <w:u w:color="642A8F"/>
        </w:rPr>
        <w:t>Additionally,</w:t>
      </w:r>
      <w:r w:rsidRPr="00E15289">
        <w:rPr>
          <w:rFonts w:ascii="Arial" w:hAnsi="Arial" w:cs="Arial"/>
          <w:u w:color="642A8F"/>
        </w:rPr>
        <w:t xml:space="preserve"> hypoxia causes </w:t>
      </w:r>
      <w:r w:rsidR="0038437A" w:rsidRPr="00E15289">
        <w:rPr>
          <w:rFonts w:ascii="Arial" w:hAnsi="Arial" w:cs="Arial"/>
          <w:u w:color="642A8F"/>
        </w:rPr>
        <w:t>radio resistance</w:t>
      </w:r>
      <w:r w:rsidRPr="00E15289">
        <w:rPr>
          <w:rFonts w:ascii="Arial" w:hAnsi="Arial" w:cs="Arial"/>
          <w:u w:color="642A8F"/>
        </w:rPr>
        <w:t xml:space="preserve"> in prostate cancer hindering the optimal treatment of these </w:t>
      </w:r>
      <w:proofErr w:type="spellStart"/>
      <w:r w:rsidRPr="00E15289">
        <w:rPr>
          <w:rFonts w:ascii="Arial" w:hAnsi="Arial" w:cs="Arial"/>
          <w:u w:color="642A8F"/>
        </w:rPr>
        <w:t>tumours</w:t>
      </w:r>
      <w:proofErr w:type="spellEnd"/>
      <w:r w:rsidRPr="00E15289">
        <w:rPr>
          <w:rFonts w:ascii="Arial" w:hAnsi="Arial" w:cs="Arial"/>
          <w:u w:color="642A8F"/>
        </w:rPr>
        <w:t xml:space="preserve"> by radiotherapy</w:t>
      </w:r>
      <w:r w:rsidR="004F107A" w:rsidRPr="00E15289">
        <w:rPr>
          <w:rFonts w:ascii="Arial" w:hAnsi="Arial" w:cs="Arial"/>
          <w:u w:color="642A8F"/>
        </w:rPr>
        <w:t xml:space="preserve"> </w:t>
      </w:r>
      <w:r w:rsidR="004F107A"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{"citationItems":[{"id":"ITEM-1","itemData":{"DOI":"10.1016/j.ijrobp.2011.04.027","ISSN":"03603016","abstract":"Purpose: Intratumoral hypoxia is known to be associated with radioresistance and metastasis. The present study examined the effect of acute and chronic hypoxia on the metastatic potential of prostate cancer PC-3, DU145, and LNCaP cells. Methods and Materials: Cell proliferation and clonogenicity were tested by MTT assay and colony formation assay, respectively. \"Wound-healing\" and Matrigel-based chamber assays were used to monitor cell motility and invasion. Hypoxia-inducible factor 1 alpha (HIF-1α) expression was tested by Western blot, and HIF-1-target gene expression was detected by real-time polymerase chain reaction. Se</w:instrText>
      </w:r>
      <w:r w:rsidR="00782E8D" w:rsidRPr="00E15289">
        <w:rPr>
          <w:rFonts w:ascii="Arial" w:hAnsi="Arial" w:cs="Arial" w:hint="eastAsia"/>
          <w:u w:color="642A8F"/>
        </w:rPr>
        <w:instrText>cretion of matrix metalloproteinases (MMPs) was determined by gelatin zymography. Results: When PC-3 cells were exposed to 1% oxygen (hypoxia) for various periods of time, chronic hypoxia (</w:instrText>
      </w:r>
      <w:r w:rsidR="00782E8D" w:rsidRPr="00E15289">
        <w:rPr>
          <w:rFonts w:ascii="Arial" w:hAnsi="Arial" w:cs="Arial" w:hint="eastAsia"/>
          <w:u w:color="642A8F"/>
        </w:rPr>
        <w:instrText>≥</w:instrText>
      </w:r>
      <w:r w:rsidR="00782E8D" w:rsidRPr="00E15289">
        <w:rPr>
          <w:rFonts w:ascii="Arial" w:hAnsi="Arial" w:cs="Arial" w:hint="eastAsia"/>
          <w:u w:color="642A8F"/>
        </w:rPr>
        <w:instrText>24 h) decreased cell proliferation and induced cell death. In contrast, prostate cancer cells exposed to acute hypoxia (</w:instrText>
      </w:r>
      <w:r w:rsidR="00782E8D" w:rsidRPr="00E15289">
        <w:rPr>
          <w:rFonts w:ascii="Arial" w:hAnsi="Arial" w:cs="Arial" w:hint="eastAsia"/>
          <w:u w:color="642A8F"/>
        </w:rPr>
        <w:instrText>≤</w:instrText>
      </w:r>
      <w:r w:rsidR="00782E8D" w:rsidRPr="00E15289">
        <w:rPr>
          <w:rFonts w:ascii="Arial" w:hAnsi="Arial" w:cs="Arial" w:hint="eastAsia"/>
          <w:u w:color="642A8F"/>
        </w:rPr>
        <w:instrText>6 h) displayed increased motility, clonogenic survival, and invasive capacity. At the molecular level, both hypoxia and anoxia transiently stabilized HIF-1</w:instrText>
      </w:r>
      <w:r w:rsidR="00782E8D" w:rsidRPr="00E15289">
        <w:rPr>
          <w:rFonts w:ascii="Arial" w:hAnsi="Arial" w:cs="Arial" w:hint="eastAsia"/>
          <w:u w:color="642A8F"/>
        </w:rPr>
        <w:instrText>α</w:instrText>
      </w:r>
      <w:r w:rsidR="00782E8D" w:rsidRPr="00E15289">
        <w:rPr>
          <w:rFonts w:ascii="Arial" w:hAnsi="Arial" w:cs="Arial" w:hint="eastAsia"/>
          <w:u w:color="642A8F"/>
        </w:rPr>
        <w:instrText>. Exposure to hypoxia also induced the earl</w:instrText>
      </w:r>
      <w:r w:rsidR="00782E8D" w:rsidRPr="00E15289">
        <w:rPr>
          <w:rFonts w:ascii="Arial" w:hAnsi="Arial" w:cs="Arial"/>
          <w:u w:color="642A8F"/>
        </w:rPr>
        <w:instrText>y expression of MMP-2, an invasiveness-related gene. Treatment with the HIF-1 inhibitor YC-1 attenuated the acute hypoxia-induced migration, invasion, and MMP-2 activity. Conclusions: The length of oxygen deprivation strongly affected the functional behavior of all three prostate cancer cell lines. Acute hypoxia in particular was found to promote a more aggressive metastatic phenotype. © 2011 Elsevier Inc.","author":[{"dropping-particle":"","family":"Dai","given":"Yao","non-dropping-particle":"","parse-names":false,"suffix":""},{"dropping-particle":"","family":"Bae","given":"Kyungmi","non-dropping-particle":"","parse-names":false,"suffix":""},{"dropping-particle":"","family":"Siemann","given":"Dietmar W.","non-dropping-particle":"","parse-names":false,"suffix":""}],"container-title":"International Journal of Radiation Oncology Biology Physics","id":"ITEM-1","issued":{"date-parts":[["2011"]]},"title":"Impact of hypoxia on the metastatic potential of human prostate cancer Cells","type":"article-journal"},"uris":["http://www.mendeley.com/documents/?uuid=b11ef6e5-6850-4e07-b21e-6601961be757"]},{"id":"ITEM-2","itemData":{"DOI":"10.1016/S0090-4295(02)01858-7","ISSN":"00904295","abstract":"Objectives. To investigate whether low partial pressure of oxygen (PO2) i</w:instrText>
      </w:r>
      <w:r w:rsidR="00782E8D" w:rsidRPr="00E15289">
        <w:rPr>
          <w:rFonts w:ascii="Arial" w:hAnsi="Arial" w:cs="Arial" w:hint="eastAsia"/>
          <w:u w:color="642A8F"/>
        </w:rPr>
        <w:instrText xml:space="preserve">n prostate cancer (CaP) predicts for biochemical outcome after radiotherapy. We previously reported that hypoxic regions exist in human CaP. Methods. Custom-made Eppendorf PO2 microelectrodes were used to obtain </w:instrText>
      </w:r>
      <w:r w:rsidR="00782E8D" w:rsidRPr="00E15289">
        <w:rPr>
          <w:rFonts w:ascii="Arial" w:hAnsi="Arial" w:cs="Arial" w:hint="eastAsia"/>
          <w:u w:color="642A8F"/>
        </w:rPr>
        <w:instrText>∼</w:instrText>
      </w:r>
      <w:r w:rsidR="00782E8D" w:rsidRPr="00E15289">
        <w:rPr>
          <w:rFonts w:ascii="Arial" w:hAnsi="Arial" w:cs="Arial" w:hint="eastAsia"/>
          <w:u w:color="642A8F"/>
        </w:rPr>
        <w:instrText xml:space="preserve">100 PO2 readings from both pathologically </w:instrText>
      </w:r>
      <w:r w:rsidR="00782E8D" w:rsidRPr="00E15289">
        <w:rPr>
          <w:rFonts w:ascii="Arial" w:hAnsi="Arial" w:cs="Arial"/>
          <w:u w:color="642A8F"/>
        </w:rPr>
        <w:instrText>involved regions of the prostate (as determined by sextant biopsies) and normal muscle (as an internal control). Fifty-seven patients with localized disease were prospectively studied; all received brachytherapy implants (48 low dose rate and 9 high dose rate) under spinal anesthesia. Nine patients had received prior hormonal therapy. Biochemical failure was defined as two consecutive rises in prostate-specific antigen level, without a return to baseline. Cox proportional hazards regression analysis was used to evaluate the influence of hypoxia on biochemical control, while adjusting for prostate-specific antigen, Gleason score, stage, implant type (low dose rate versus high dose rate), perineural invasion, hemoglobin level, use of hormonal therapy, average (mean) of the median prostate PO2, average median muscle PO2, and prostate/muscle PO2 (P/M) ratio. Results. With a median follow-up of 19 months (range 4 to 31), 9 patients developed biochemical failure. A threshold analysis of the P/M ratio demonstrated that biochemical control at 2 years differed significantly at a ratio of less than 0.05 versus 0.05 or greater (31% versus 92%, P &lt;0.0001). However, the classic prognosticators were similar in these two groups. On multivariate analysis, the P/M ratio was the only predictor of biochemical control (P = 0.0002). Conclusions. To our knowledge, this is the first study to correlate the degree of hypoxia in CaP with treatment outcome after radiotherapy. The P/M PO2 ratio was the strongest predictor for biochemical control on stepwise multivariate analysis. Longer follow up with more patients is planned to confirm this result. © 2002, Elsevier Science Inc.","author":[{"dropping-particle":"","family":"Movsas","given":"Benjamin","non-dropping-particle":"","parse-names":false,"suffix":""},{"dropping-particle":"","family":"Chapman","given":"J. Donald","non-dropping-particle":"","parse-names":false,"suffix":""},{"dropping-particle":"","family":"Hanlon","given":"Alexandra L.","non-dropping-particle":"","parse-names":false,"suffix":""},{"dropping-particle":"","family":"Horwitz","given":"Eric M.","non-dropping-particle":"","parse-names":false,"suffix":""},{"dropping-particle":"","family":"Greenberg","given":"Richard E.","non-dropping-particle":"","parse-names":false,"suffix":""},{"dropping-particle":"","family":"Stobbe","given":"Corinne","non-dropping-particle":"","parse-names":false,"suffix":""},{"dropping-particle":"","family":"Hanks","given":"Gerald E.","non-dropping-particle":"","parse-names":false,"suffix":""},{"dropping-particle":"","family":"Pollack","given":"Alan","non-dropping-particle":"","parse-names":false,"suffix":""}],"container-title":"Urology","id":"ITEM-2","issued":{"date-parts":[["2002"]]},"title":"Hypoxic prostate/muscle PO2 ratio predicts for biochemical failure in patients with prostate cancer: Preliminary findings","type":"article-journal"},"uris":["http://www.mendeley.com/documents/?uuid=7d333321-03af-4099-8db8-011f3a576869"]}],"mendeley":{"formattedCitation":"(35,36)","plainTextFormattedCitation":"(35,36)","previouslyFormattedCitation":"(35,36)"},"properties":{"noteIndex":0},"schema":"https://github.com/citation-style-language/schema/raw/master/csl-citation.json"}</w:instrText>
      </w:r>
      <w:r w:rsidR="004F107A" w:rsidRPr="00E15289">
        <w:rPr>
          <w:rFonts w:ascii="Arial" w:hAnsi="Arial" w:cs="Arial"/>
          <w:u w:color="642A8F"/>
        </w:rPr>
        <w:fldChar w:fldCharType="separate"/>
      </w:r>
      <w:r w:rsidR="00A82711" w:rsidRPr="00E15289">
        <w:rPr>
          <w:rFonts w:ascii="Arial" w:hAnsi="Arial" w:cs="Arial"/>
          <w:noProof/>
          <w:u w:color="642A8F"/>
        </w:rPr>
        <w:t>(35,36)</w:t>
      </w:r>
      <w:r w:rsidR="004F107A" w:rsidRPr="00E15289">
        <w:rPr>
          <w:rFonts w:ascii="Arial" w:hAnsi="Arial" w:cs="Arial"/>
          <w:u w:color="642A8F"/>
        </w:rPr>
        <w:fldChar w:fldCharType="end"/>
      </w:r>
      <w:r w:rsidRPr="00E15289">
        <w:rPr>
          <w:rFonts w:ascii="Arial" w:hAnsi="Arial" w:cs="Arial"/>
          <w:u w:color="642A8F"/>
        </w:rPr>
        <w:t>.</w:t>
      </w:r>
    </w:p>
    <w:p w14:paraId="2FD048E6" w14:textId="6F817094" w:rsidR="008D0227" w:rsidRPr="00E15289" w:rsidRDefault="008D0227" w:rsidP="0025140D">
      <w:pPr>
        <w:widowControl w:val="0"/>
        <w:autoSpaceDE w:val="0"/>
        <w:autoSpaceDN w:val="0"/>
        <w:adjustRightInd w:val="0"/>
        <w:spacing w:afterLines="80" w:after="192" w:line="400" w:lineRule="exact"/>
        <w:jc w:val="both"/>
        <w:rPr>
          <w:rFonts w:ascii="Arial" w:hAnsi="Arial" w:cs="Arial"/>
          <w:u w:color="642A8F"/>
        </w:rPr>
      </w:pPr>
      <w:r w:rsidRPr="00E15289">
        <w:rPr>
          <w:rFonts w:ascii="Arial" w:hAnsi="Arial" w:cs="Arial"/>
          <w:u w:color="642A8F"/>
        </w:rPr>
        <w:t>There has, so far, been no systematic proteomic evaluation of prostate cells unde</w:t>
      </w:r>
      <w:r w:rsidR="008F3D40" w:rsidRPr="00E15289">
        <w:rPr>
          <w:rFonts w:ascii="Arial" w:hAnsi="Arial" w:cs="Arial"/>
          <w:u w:color="642A8F"/>
        </w:rPr>
        <w:t xml:space="preserve">r hypoxic conditions and no attempts to identify </w:t>
      </w:r>
      <w:r w:rsidRPr="00E15289">
        <w:rPr>
          <w:rFonts w:ascii="Arial" w:hAnsi="Arial" w:cs="Arial"/>
          <w:u w:color="642A8F"/>
        </w:rPr>
        <w:t xml:space="preserve">specific proteins associated with the hypoxic response in the PC-3 prostate cancer cell line. Furthermore, we have recently demonstrated that </w:t>
      </w:r>
      <w:r w:rsidR="007C29FD" w:rsidRPr="00E15289">
        <w:rPr>
          <w:rFonts w:ascii="Arial" w:hAnsi="Arial" w:cs="Arial"/>
          <w:u w:color="642A8F"/>
        </w:rPr>
        <w:t>NO-Su</w:t>
      </w:r>
      <w:r w:rsidRPr="00E15289">
        <w:rPr>
          <w:rFonts w:ascii="Arial" w:hAnsi="Arial" w:cs="Arial"/>
          <w:u w:color="642A8F"/>
        </w:rPr>
        <w:t>lindac inhibits the hypoxia response in these cells and behave</w:t>
      </w:r>
      <w:r w:rsidR="00EA0B8D" w:rsidRPr="00E15289">
        <w:rPr>
          <w:rFonts w:ascii="Arial" w:hAnsi="Arial" w:cs="Arial"/>
          <w:u w:color="642A8F"/>
        </w:rPr>
        <w:t>s</w:t>
      </w:r>
      <w:r w:rsidRPr="00E15289">
        <w:rPr>
          <w:rFonts w:ascii="Arial" w:hAnsi="Arial" w:cs="Arial"/>
          <w:u w:color="642A8F"/>
        </w:rPr>
        <w:t xml:space="preserve"> as </w:t>
      </w:r>
      <w:r w:rsidR="00EA0B8D" w:rsidRPr="00E15289">
        <w:rPr>
          <w:rFonts w:ascii="Arial" w:hAnsi="Arial" w:cs="Arial"/>
          <w:u w:color="642A8F"/>
        </w:rPr>
        <w:t xml:space="preserve">a </w:t>
      </w:r>
      <w:r w:rsidRPr="00E15289">
        <w:rPr>
          <w:rFonts w:ascii="Arial" w:hAnsi="Arial" w:cs="Arial"/>
          <w:u w:color="642A8F"/>
        </w:rPr>
        <w:t>radio</w:t>
      </w:r>
      <w:r w:rsidR="0038437A" w:rsidRPr="00E15289">
        <w:rPr>
          <w:rFonts w:ascii="Arial" w:hAnsi="Arial" w:cs="Arial"/>
          <w:u w:color="642A8F"/>
        </w:rPr>
        <w:t>-sensitizing</w:t>
      </w:r>
      <w:r w:rsidRPr="00E15289">
        <w:rPr>
          <w:rFonts w:ascii="Arial" w:hAnsi="Arial" w:cs="Arial"/>
          <w:u w:color="642A8F"/>
        </w:rPr>
        <w:t xml:space="preserve"> agent</w:t>
      </w:r>
      <w:r w:rsidR="004F107A" w:rsidRPr="00E15289">
        <w:rPr>
          <w:rFonts w:ascii="Arial" w:hAnsi="Arial" w:cs="Arial"/>
          <w:u w:color="642A8F"/>
        </w:rPr>
        <w:t xml:space="preserve"> </w:t>
      </w:r>
      <w:r w:rsidR="004F107A" w:rsidRPr="00E15289">
        <w:rPr>
          <w:rFonts w:ascii="Arial" w:hAnsi="Arial" w:cs="Arial"/>
          <w:u w:color="642A8F"/>
        </w:rPr>
        <w:fldChar w:fldCharType="begin" w:fldLock="1"/>
      </w:r>
      <w:r w:rsidR="00576812" w:rsidRPr="00E15289">
        <w:rPr>
          <w:rFonts w:ascii="Arial" w:hAnsi="Arial" w:cs="Arial"/>
          <w:u w:color="642A8F"/>
        </w:rPr>
        <w:instrText>ADDIN CSL_CITATION {"citationItems":[{"id":"ITEM-1","itemData":{"DOI":"10.1002/ijc.23934","ISSN":"00207136","abstract":"Nitric oxide-donating non-steroidal anti-inflammatory drugs are safer than traditional NSAIDs and inhibit the growth of prostate cancer cells with greater potency than NSAIDs. In vivo, prostate cancer deposits are found in a hypoxic environment which induces resistance to chemotherapy. The aim of this study was to assess the effects and mechanism of action of a NO-NSAID called NO-sulindac on the PC-3 prostate cancer cell line under hypoxic conditions. NO-sulindac was found to have pro-apoptotic, cytotoxic, and anti-invasive effect on PC-3 cells under normoxia and hypoxia. NO-sulindac was significantly more cytotoxic than sulindac at all oxygen levels. The sulindac/linker and NO-releasing subunits both contributed to the cytotoxic effects of NO-sulindac. Resistance of PC-3 cells to NO-sulindac was induced as the oxygen concentration declined. Hypoxia-induced chemoresistance was reversed by knocking-down hypoxia-inducible factor-1alpha (HIF-1alpha) mRNA using RNAi. Nuclear HIF-1alpha levels were upregulated at 0.2% oxygen but reduced by treatment with NO-sulindac, as was Akt phosphorylation. NO-sulindac treatment of hypoxic PC-3 cells transfected with a reporter construct, downregulated activation of the hypoxia response element (HRE) promoter. Co-transfection of PC-3 cells with the HRE promoter reporter construct and myr-Akt (constitutively active Akt) plasmids reversed the NO-sulindac induced reduction in HRE activation. Real-time polymerase chain reaction analysis of hypoxic, NO-sulindac treated PC-3 cells showed downregulation of lysyl oxidase and carbonic anhydrase IX mRNA expression. Collectively, these novel findings demonstrate that NO-sulindac directly inhibits the hypoxia response of PC-3 prostate cancer cells by inhibiting HIF-1alpha translation via the Akt signalling pathway. The ability of NO-sulindac to inhibit tumour adaption to hypoxia has considerable relevance to the future management of prostate cancer with the same cellular properties as PC-3.","author":[{"dropping-particle":"","family":"Stewart","given":"Grant D.","non-dropping-particle":"","parse-names":false,"suffix":""},{"dropping-particle":"","family":"Nanda","given":"Jyoti","non-dropping-particle":"","parse-names":false,"suffix":""},{"dropping-particle":"","family":"Brown","given":"David J.G.","non-dropping-particle":"","parse-names":false,"suffix":""},{"dropping-particle":"","family":"Riddick","given":"Antony C.P.","non-dropping-particle":"","parse-names":false,"suffix":""},{"dropping-particle":"","family":"Ross","given":"James A.","non-dropping-particle":"","parse-names":false,"suffix":""},{"dropping-particle":"","family":"Habib","given":"Fouad K.","non-dropping-particle":"","parse-names":false,"suffix":""}],"container-title":"International Journal of Cancer","id":"ITEM-1","issued":{"date-parts":[["2009"]]},"title":"NO-sulindac inhibits the hypoxia response of PC-3 prostate cancer cells via the Akt signalling pathway","type":"article-journal"},"uris":["http://www.mendeley.com/documents/?uuid=ec7a4365-3523-4654-b020-bbca2fa7d351"]}],"mendeley":{"formattedCitation":"(14)","plainTextFormattedCitation":"(14)","previouslyFormattedCitation":"(14)"},"properties":{"noteIndex":0},"schema":"https://github.com/citation-style-language/schema/raw/master/csl-citation.json"}</w:instrText>
      </w:r>
      <w:r w:rsidR="004F107A" w:rsidRPr="00E15289">
        <w:rPr>
          <w:rFonts w:ascii="Arial" w:hAnsi="Arial" w:cs="Arial"/>
          <w:u w:color="642A8F"/>
        </w:rPr>
        <w:fldChar w:fldCharType="separate"/>
      </w:r>
      <w:r w:rsidR="000B550B" w:rsidRPr="00E15289">
        <w:rPr>
          <w:rFonts w:ascii="Arial" w:hAnsi="Arial" w:cs="Arial"/>
          <w:noProof/>
          <w:u w:color="642A8F"/>
        </w:rPr>
        <w:t>(14)</w:t>
      </w:r>
      <w:r w:rsidR="004F107A" w:rsidRPr="00E15289">
        <w:rPr>
          <w:rFonts w:ascii="Arial" w:hAnsi="Arial" w:cs="Arial"/>
          <w:u w:color="642A8F"/>
        </w:rPr>
        <w:fldChar w:fldCharType="end"/>
      </w:r>
      <w:r w:rsidR="00D56839" w:rsidRPr="00E15289">
        <w:rPr>
          <w:rFonts w:ascii="Arial" w:hAnsi="Arial" w:cs="Arial"/>
          <w:u w:color="642A8F"/>
        </w:rPr>
        <w:t>.</w:t>
      </w:r>
      <w:r w:rsidR="008F3D40" w:rsidRPr="00E15289">
        <w:rPr>
          <w:rFonts w:ascii="Arial" w:hAnsi="Arial" w:cs="Arial"/>
          <w:u w:color="642A8F"/>
        </w:rPr>
        <w:t xml:space="preserve"> </w:t>
      </w:r>
      <w:r w:rsidR="00D56839" w:rsidRPr="00E15289">
        <w:rPr>
          <w:rFonts w:ascii="Arial" w:hAnsi="Arial" w:cs="Arial"/>
          <w:u w:color="642A8F"/>
        </w:rPr>
        <w:t>W</w:t>
      </w:r>
      <w:r w:rsidR="008F3D40" w:rsidRPr="00E15289">
        <w:rPr>
          <w:rFonts w:ascii="Arial" w:hAnsi="Arial" w:cs="Arial"/>
          <w:u w:color="642A8F"/>
        </w:rPr>
        <w:t>hether</w:t>
      </w:r>
      <w:r w:rsidR="00FC0021" w:rsidRPr="00E15289">
        <w:rPr>
          <w:rFonts w:ascii="Arial" w:hAnsi="Arial" w:cs="Arial"/>
          <w:u w:color="642A8F"/>
        </w:rPr>
        <w:t xml:space="preserve"> this process is linked to</w:t>
      </w:r>
      <w:r w:rsidR="008F3D40" w:rsidRPr="00E15289">
        <w:rPr>
          <w:rFonts w:ascii="Arial" w:hAnsi="Arial" w:cs="Arial"/>
          <w:u w:color="642A8F"/>
        </w:rPr>
        <w:t xml:space="preserve"> a reversal in the proteome of the hypoxic cells to a </w:t>
      </w:r>
      <w:proofErr w:type="spellStart"/>
      <w:r w:rsidR="008F3D40" w:rsidRPr="00E15289">
        <w:rPr>
          <w:rFonts w:ascii="Arial" w:hAnsi="Arial" w:cs="Arial"/>
          <w:u w:color="642A8F"/>
        </w:rPr>
        <w:t>normoxic</w:t>
      </w:r>
      <w:proofErr w:type="spellEnd"/>
      <w:r w:rsidR="008F3D40" w:rsidRPr="00E15289">
        <w:rPr>
          <w:rFonts w:ascii="Arial" w:hAnsi="Arial" w:cs="Arial"/>
          <w:u w:color="642A8F"/>
        </w:rPr>
        <w:t xml:space="preserve"> profile remains to be established.</w:t>
      </w:r>
      <w:r w:rsidRPr="00E15289">
        <w:rPr>
          <w:rFonts w:ascii="Arial" w:hAnsi="Arial" w:cs="Arial"/>
          <w:u w:color="642A8F"/>
        </w:rPr>
        <w:t xml:space="preserve"> </w:t>
      </w:r>
      <w:r w:rsidR="00EA0B8D" w:rsidRPr="00E15289">
        <w:rPr>
          <w:rFonts w:ascii="Arial" w:hAnsi="Arial" w:cs="Arial"/>
          <w:u w:color="642A8F"/>
        </w:rPr>
        <w:t>Here,</w:t>
      </w:r>
      <w:r w:rsidR="00E42D36" w:rsidRPr="00E15289">
        <w:rPr>
          <w:rFonts w:ascii="Arial" w:hAnsi="Arial" w:cs="Arial"/>
          <w:u w:color="642A8F"/>
        </w:rPr>
        <w:t xml:space="preserve"> </w:t>
      </w:r>
      <w:r w:rsidR="00EA0B8D" w:rsidRPr="00E15289">
        <w:rPr>
          <w:rFonts w:ascii="Arial" w:hAnsi="Arial" w:cs="Arial"/>
          <w:u w:color="642A8F"/>
        </w:rPr>
        <w:t>u</w:t>
      </w:r>
      <w:r w:rsidRPr="00E15289">
        <w:rPr>
          <w:rFonts w:ascii="Arial" w:hAnsi="Arial" w:cs="Arial"/>
          <w:u w:color="642A8F"/>
        </w:rPr>
        <w:t xml:space="preserve">sing ion mobility-assisted data independent acquisition mass spectrometry combined with multivariate statistical analyses, the impact of hypoxia-induced alterations on the proteome of prostate cancer cells </w:t>
      </w:r>
      <w:r w:rsidR="008156DA" w:rsidRPr="00E15289">
        <w:rPr>
          <w:rFonts w:ascii="Arial" w:hAnsi="Arial" w:cs="Arial"/>
          <w:u w:color="642A8F"/>
        </w:rPr>
        <w:t>was assessed</w:t>
      </w:r>
      <w:r w:rsidRPr="00E15289">
        <w:rPr>
          <w:rFonts w:ascii="Arial" w:hAnsi="Arial" w:cs="Arial"/>
          <w:u w:color="642A8F"/>
        </w:rPr>
        <w:t>. We also attempted to identify any proteins associated with the inhibition of the hypoxia response following treatment with the nitric oxide donating non-steroidal anti-inflammatory drugs.</w:t>
      </w:r>
    </w:p>
    <w:p w14:paraId="7EA89AB0" w14:textId="7389B104" w:rsidR="003A53C8" w:rsidRPr="00E15289" w:rsidRDefault="006D06DA" w:rsidP="003A53C8">
      <w:pPr>
        <w:spacing w:afterLines="80" w:after="192" w:line="400" w:lineRule="exact"/>
        <w:jc w:val="both"/>
        <w:rPr>
          <w:rFonts w:ascii="Arial" w:eastAsia="Arial" w:hAnsi="Arial" w:cs="Arial"/>
          <w:i/>
          <w:lang w:val="en-GB"/>
        </w:rPr>
      </w:pPr>
      <w:r>
        <w:rPr>
          <w:rFonts w:ascii="Arial" w:eastAsia="Arial" w:hAnsi="Arial" w:cs="Arial"/>
          <w:i/>
          <w:lang w:val="en-GB"/>
        </w:rPr>
        <w:t>Proteomic e</w:t>
      </w:r>
      <w:r w:rsidR="003A53C8" w:rsidRPr="00E15289">
        <w:rPr>
          <w:rFonts w:ascii="Arial" w:eastAsia="Arial" w:hAnsi="Arial" w:cs="Arial"/>
          <w:i/>
          <w:lang w:val="en-GB"/>
        </w:rPr>
        <w:t xml:space="preserve">valuation of </w:t>
      </w:r>
      <w:r>
        <w:rPr>
          <w:rFonts w:ascii="Arial" w:eastAsia="Arial" w:hAnsi="Arial" w:cs="Arial"/>
          <w:i/>
          <w:lang w:val="en-GB"/>
        </w:rPr>
        <w:t>p</w:t>
      </w:r>
      <w:r w:rsidR="003A53C8" w:rsidRPr="00E15289">
        <w:rPr>
          <w:rFonts w:ascii="Arial" w:eastAsia="Arial" w:hAnsi="Arial" w:cs="Arial"/>
          <w:i/>
          <w:lang w:val="en-GB"/>
        </w:rPr>
        <w:t xml:space="preserve">rostate </w:t>
      </w:r>
      <w:r>
        <w:rPr>
          <w:rFonts w:ascii="Arial" w:eastAsia="Arial" w:hAnsi="Arial" w:cs="Arial"/>
          <w:i/>
          <w:lang w:val="en-GB"/>
        </w:rPr>
        <w:t>c</w:t>
      </w:r>
      <w:r w:rsidR="003A53C8" w:rsidRPr="00E15289">
        <w:rPr>
          <w:rFonts w:ascii="Arial" w:eastAsia="Arial" w:hAnsi="Arial" w:cs="Arial"/>
          <w:i/>
          <w:lang w:val="en-GB"/>
        </w:rPr>
        <w:t xml:space="preserve">ells </w:t>
      </w:r>
      <w:r>
        <w:rPr>
          <w:rFonts w:ascii="Arial" w:eastAsia="Arial" w:hAnsi="Arial" w:cs="Arial"/>
          <w:i/>
          <w:lang w:val="en-GB"/>
        </w:rPr>
        <w:t>u</w:t>
      </w:r>
      <w:r w:rsidR="003A53C8" w:rsidRPr="00E15289">
        <w:rPr>
          <w:rFonts w:ascii="Arial" w:eastAsia="Arial" w:hAnsi="Arial" w:cs="Arial"/>
          <w:i/>
          <w:lang w:val="en-GB"/>
        </w:rPr>
        <w:t xml:space="preserve">nder </w:t>
      </w:r>
      <w:r>
        <w:rPr>
          <w:rFonts w:ascii="Arial" w:eastAsia="Arial" w:hAnsi="Arial" w:cs="Arial"/>
          <w:i/>
          <w:lang w:val="en-GB"/>
        </w:rPr>
        <w:t>h</w:t>
      </w:r>
      <w:r w:rsidR="003A53C8" w:rsidRPr="00E15289">
        <w:rPr>
          <w:rFonts w:ascii="Arial" w:eastAsia="Arial" w:hAnsi="Arial" w:cs="Arial"/>
          <w:i/>
          <w:lang w:val="en-GB"/>
        </w:rPr>
        <w:t xml:space="preserve">ypoxic </w:t>
      </w:r>
      <w:r>
        <w:rPr>
          <w:rFonts w:ascii="Arial" w:eastAsia="Arial" w:hAnsi="Arial" w:cs="Arial"/>
          <w:i/>
          <w:lang w:val="en-GB"/>
        </w:rPr>
        <w:t>c</w:t>
      </w:r>
      <w:r w:rsidR="003A53C8" w:rsidRPr="00E15289">
        <w:rPr>
          <w:rFonts w:ascii="Arial" w:eastAsia="Arial" w:hAnsi="Arial" w:cs="Arial"/>
          <w:i/>
          <w:lang w:val="en-GB"/>
        </w:rPr>
        <w:t>onditions</w:t>
      </w:r>
    </w:p>
    <w:p w14:paraId="35B0B117" w14:textId="617BAE04" w:rsidR="008D0227" w:rsidRPr="00E15289" w:rsidRDefault="003A53C8" w:rsidP="0025140D">
      <w:pPr>
        <w:widowControl w:val="0"/>
        <w:autoSpaceDE w:val="0"/>
        <w:autoSpaceDN w:val="0"/>
        <w:adjustRightInd w:val="0"/>
        <w:spacing w:afterLines="80" w:after="192" w:line="400" w:lineRule="exact"/>
        <w:jc w:val="both"/>
        <w:rPr>
          <w:rFonts w:ascii="Arial" w:hAnsi="Arial" w:cs="Arial"/>
          <w:u w:color="642A8F"/>
        </w:rPr>
      </w:pPr>
      <w:r w:rsidRPr="00E15289">
        <w:rPr>
          <w:rFonts w:ascii="Arial" w:hAnsi="Arial" w:cs="Arial"/>
          <w:u w:color="642A8F"/>
        </w:rPr>
        <w:t>The analyses uncovered several candidates which were significantly altered by hypoxia</w:t>
      </w:r>
      <w:r w:rsidR="00D56839" w:rsidRPr="00E15289">
        <w:rPr>
          <w:rFonts w:ascii="Arial" w:hAnsi="Arial" w:cs="Arial"/>
          <w:u w:color="642A8F"/>
        </w:rPr>
        <w:t xml:space="preserve"> alone</w:t>
      </w:r>
      <w:r w:rsidRPr="00E15289">
        <w:rPr>
          <w:rFonts w:ascii="Arial" w:hAnsi="Arial" w:cs="Arial"/>
          <w:u w:color="642A8F"/>
        </w:rPr>
        <w:t>, includ</w:t>
      </w:r>
      <w:r w:rsidR="00EA0B8D" w:rsidRPr="00E15289">
        <w:rPr>
          <w:rFonts w:ascii="Arial" w:hAnsi="Arial" w:cs="Arial"/>
          <w:u w:color="642A8F"/>
        </w:rPr>
        <w:t>ing</w:t>
      </w:r>
      <w:r w:rsidRPr="00E15289">
        <w:rPr>
          <w:rFonts w:ascii="Arial" w:hAnsi="Arial" w:cs="Arial"/>
          <w:u w:color="642A8F"/>
        </w:rPr>
        <w:t xml:space="preserve"> TUBB4A, MYL6B, RBM3, KRT7, COL6A1, KRT81, PLOD1, AKAP9 and REXO2</w:t>
      </w:r>
      <w:r w:rsidR="00E31AE2" w:rsidRPr="00E15289">
        <w:rPr>
          <w:rFonts w:ascii="Arial" w:hAnsi="Arial" w:cs="Arial"/>
          <w:u w:color="642A8F"/>
        </w:rPr>
        <w:t xml:space="preserve">. </w:t>
      </w:r>
      <w:r w:rsidR="008D0227" w:rsidRPr="00E15289">
        <w:rPr>
          <w:rFonts w:ascii="Arial" w:hAnsi="Arial" w:cs="Arial"/>
          <w:u w:color="642A8F"/>
        </w:rPr>
        <w:t>The </w:t>
      </w:r>
      <w:r w:rsidR="008D0227" w:rsidRPr="00E15289">
        <w:rPr>
          <w:rFonts w:ascii="Arial" w:hAnsi="Arial" w:cs="Arial"/>
          <w:bCs/>
          <w:u w:color="642A8F"/>
        </w:rPr>
        <w:t>TUBB4A</w:t>
      </w:r>
      <w:r w:rsidR="008D0227" w:rsidRPr="00E15289">
        <w:rPr>
          <w:rFonts w:ascii="Arial" w:hAnsi="Arial" w:cs="Arial"/>
          <w:u w:color="642A8F"/>
        </w:rPr>
        <w:t> gene provides instructions for making beta-tubulin (β</w:t>
      </w:r>
      <w:proofErr w:type="spellStart"/>
      <w:r w:rsidR="008D0227" w:rsidRPr="00E15289">
        <w:rPr>
          <w:rFonts w:ascii="Arial" w:hAnsi="Arial" w:cs="Arial"/>
          <w:u w:color="642A8F"/>
        </w:rPr>
        <w:t>IVa</w:t>
      </w:r>
      <w:proofErr w:type="spellEnd"/>
      <w:r w:rsidR="008D0227" w:rsidRPr="00E15289">
        <w:rPr>
          <w:rFonts w:ascii="Arial" w:hAnsi="Arial" w:cs="Arial"/>
          <w:u w:color="642A8F"/>
        </w:rPr>
        <w:t xml:space="preserve">-tubulin). This protein is part of the tubulin family of proteins that form and </w:t>
      </w:r>
      <w:proofErr w:type="spellStart"/>
      <w:r w:rsidR="008D0227" w:rsidRPr="00E15289">
        <w:rPr>
          <w:rFonts w:ascii="Arial" w:hAnsi="Arial" w:cs="Arial"/>
          <w:u w:color="642A8F"/>
        </w:rPr>
        <w:t>organise</w:t>
      </w:r>
      <w:proofErr w:type="spellEnd"/>
      <w:r w:rsidR="008D0227" w:rsidRPr="00E15289">
        <w:rPr>
          <w:rFonts w:ascii="Arial" w:hAnsi="Arial" w:cs="Arial"/>
          <w:u w:color="642A8F"/>
        </w:rPr>
        <w:t xml:space="preserve"> microtubules which are rigid, hollow fibers that make up the cell cytoskeleton. There are no previous reports of TUBB4A expression being influenced by hypoxia in prostate cancer cells although the down-regulation of β</w:t>
      </w:r>
      <w:proofErr w:type="spellStart"/>
      <w:r w:rsidR="008D0227" w:rsidRPr="00E15289">
        <w:rPr>
          <w:rFonts w:ascii="Arial" w:hAnsi="Arial" w:cs="Arial"/>
          <w:u w:color="642A8F"/>
        </w:rPr>
        <w:t>IVa</w:t>
      </w:r>
      <w:proofErr w:type="spellEnd"/>
      <w:r w:rsidR="008D0227" w:rsidRPr="00E15289">
        <w:rPr>
          <w:rFonts w:ascii="Arial" w:hAnsi="Arial" w:cs="Arial"/>
          <w:u w:color="642A8F"/>
        </w:rPr>
        <w:t xml:space="preserve">-tubulin in lung cancer cells increases their sensitivity to tubulin-binding agents </w:t>
      </w:r>
      <w:r w:rsidR="004F107A"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{"citationItems":[{"id":"ITEM-1","itemData":{"DOI":"10.1002/cam4.68","abstract":"Transcription factor Slug/SNAI2 (snail homolog 2) plays a key role in the induction of the epithelial mesenchymal transition in cancer cells; however, whether the overexpression of Slug mediates the malignant phenotype and alters drug sensitivity in lung cancer cells remains largely unclear. We investigated Slug focusing on its biological function and involvement in drug sensitivity in lung cancer cells. Stable Slug transfectants showed typical morphological changes compared with control cells. Slug overexpression did not change the cellular proliferations; however, migration activity and anchorage-independent growth activity with an antiapoptotic effect were increased. Interestingly, stable Slug overexpression increased drug sensitivity to tubulin-binding agents including vinorelbine, vincristine, and paclitaxel (5.8- to 8.9-fold increase) in several lung cancer cell lines but did not increase sensitivity to agents other than tubulin-binding agents. Real-time RT-PCR (polymerase chain reaction) and western blotting revealed that Slug overexpression downregulated the expression of βIII and βIVa-tubulin, which is considered to be a major factor determining sensitivity to tubulin-binding agents. A luciferase reporter assay confirmed that Slug suppressed the promoter activity of βIVa-tubulin at a transcriptional level. Slug overexpression enhanced tumor growth, whereas Slug overexpression increased drug sensitivity to vinorelbine with the downregulation of βIII and βIV-tubulin in vivo. Immunohistochemistry of Slug with clinical lung cancer samples showed that Slug overexpression tended to be involved in response to tubulin-binding agents. In conclusion, our data indicate that Slug mediates an aggressive phenotype including enhanced migration activity, anoikis suppression, and tumor growth, but increases sensitivity to tubulin-binding agents via the downregulation of βIII and βIVa-tubulin in lung cancer cells.","author":[{"dropping-particle":"","family":"Tamura","given":"Daisuke","non-dropping-particle":"","parse-names":false,"suffix":""},{"dropping-particle":"","family":"Arao","given":"Tokuzo","non-dropping-particle":"","parse-names":false,"suffix":""},{"dropping-particle":"","family":"Nagai","given":"Tomoyuki","non-dropping-particle":"","parse-names":false,"suffix":""},{"dropping-particle":"","family":"Kaneda","given":"Hiroyasu","non-dropping-particle":"","parse-names":false,"suffix":""},{"dropping-particle":"","family":"Aomatsu","given":"Keiichi","non-dropping-particle":"","parse-names":false,"suffix":""},{"dropping-particle":"","family":"Fujita","given":"Yoshihiko","non-dropping-particle":"","parse-names":false,"suffix":""},{"dropping-particle":"","family":"Matsumoto","given":"Kazuko","non-dropping-particle":"","parse-names":false,"suffix":""},{"dropping-particle":"","family":"Velasco","given":"Marco A.","non-dropping-particle":"De","parse-names":false,"suffix":""},{"dropping-particle":"","family":"Kato","given":"Hiroaki","non-dropping-particle":"","parse-names":false,"suffix":""},{"dropping-particle":"","family":"Hayashi","given":"Hidetoshi","non-dropping-particle":"","parse-names":false,"suffix":""},{"dropping-particle":"","family":"Yoshida","given":"Shuhei","non-dropping-particle":"","parse-names":false,"suffix":""},{"dropping-particle":"","family":"Kimura","given":"Hideharu","non-dropping-particle":"","parse-names":false,"suffix":""},{"dropping-particle":"","family":"Maniwa","given":"Yoshimasa","non-dropping-particle":"","parse-names":false,"suffix":""},{"dropping-particle":"","family":"Nishio","given":"Wataru","non-dropping-particle":"","parse-names":false,"suffix":""},{"dropping-particle":"","family":"Sakai","given":"Yasuhiro","non-dropping-particle":"","parse-names":false,"suffix":""},{"dropping-particle":"","family":"Ohbayashi","given":"Chiho","non-dropping-particle":"","parse-names":false,"suffix":""},{"dropping-particle":"","family":"Kotani","given":"Yoshikazu","non-dropping-particle":"","parse-names":false,"suffix":""},{"dropping-particle":"","family":"Nishimura","given":"Yoshihiro","non-dropping-particle":"","parse-names":false,"suffix":""},{"dropping-particle":"","family":"Nishio","given":"Kazuto","non-dropping-particle":"","parse-names":false,"suffix":""}],"container-title":"Cancer Medicine","id":"ITEM-1","issued":{"date-parts":[["2013"]]},"title":"Slug increases sensitivity to tubulin-binding agents via the downregulation of βIII and βIVa-tubulin in lung cancer cells","type":"article-journal"},"uris":["http://www.mendeley.com/documents/?uuid=457f9f8d-9d9e-42fe-aee4-066acc81c70e"]}],"mendeley":{"formattedCitation":"(37)","plainTextFormattedCitation":"(37)","previouslyFormattedCitation":"(37)"},"properties":{"noteIndex":0},"schema":"https://github.com/citation-style-language/schema/raw/master/csl-citation.json"}</w:instrText>
      </w:r>
      <w:r w:rsidR="004F107A" w:rsidRPr="00E15289">
        <w:rPr>
          <w:rFonts w:ascii="Arial" w:hAnsi="Arial" w:cs="Arial"/>
          <w:u w:color="642A8F"/>
        </w:rPr>
        <w:fldChar w:fldCharType="separate"/>
      </w:r>
      <w:r w:rsidR="00A82711" w:rsidRPr="00E15289">
        <w:rPr>
          <w:rFonts w:ascii="Arial" w:hAnsi="Arial" w:cs="Arial"/>
          <w:noProof/>
          <w:u w:color="642A8F"/>
        </w:rPr>
        <w:t>(37)</w:t>
      </w:r>
      <w:r w:rsidR="004F107A" w:rsidRPr="00E15289">
        <w:rPr>
          <w:rFonts w:ascii="Arial" w:hAnsi="Arial" w:cs="Arial"/>
          <w:u w:color="642A8F"/>
        </w:rPr>
        <w:fldChar w:fldCharType="end"/>
      </w:r>
      <w:r w:rsidR="008D0227" w:rsidRPr="00E15289">
        <w:rPr>
          <w:rFonts w:ascii="Arial" w:hAnsi="Arial" w:cs="Arial"/>
          <w:u w:color="642A8F"/>
        </w:rPr>
        <w:t>. Myosin light chain 6B (</w:t>
      </w:r>
      <w:r w:rsidR="008D0227" w:rsidRPr="00E15289">
        <w:rPr>
          <w:rFonts w:ascii="Arial" w:hAnsi="Arial" w:cs="Arial"/>
          <w:bCs/>
          <w:u w:color="642A8F"/>
        </w:rPr>
        <w:t>MYL6B</w:t>
      </w:r>
      <w:r w:rsidR="008D0227" w:rsidRPr="00E15289">
        <w:rPr>
          <w:rFonts w:ascii="Arial" w:hAnsi="Arial" w:cs="Arial"/>
          <w:u w:color="642A8F"/>
        </w:rPr>
        <w:t xml:space="preserve">) is a </w:t>
      </w:r>
      <w:proofErr w:type="spellStart"/>
      <w:r w:rsidR="008D0227" w:rsidRPr="00E15289">
        <w:rPr>
          <w:rFonts w:ascii="Arial" w:hAnsi="Arial" w:cs="Arial"/>
          <w:u w:color="642A8F"/>
        </w:rPr>
        <w:t>hexameric</w:t>
      </w:r>
      <w:proofErr w:type="spellEnd"/>
      <w:r w:rsidR="008D0227" w:rsidRPr="00E15289">
        <w:rPr>
          <w:rFonts w:ascii="Arial" w:hAnsi="Arial" w:cs="Arial"/>
          <w:u w:color="642A8F"/>
        </w:rPr>
        <w:t xml:space="preserve"> ATPase cellular motor protein composed of two heavy chains, two non</w:t>
      </w:r>
      <w:r w:rsidR="00D56839" w:rsidRPr="00E15289">
        <w:rPr>
          <w:rFonts w:ascii="Arial" w:hAnsi="Arial" w:cs="Arial"/>
          <w:u w:color="642A8F"/>
        </w:rPr>
        <w:t>-</w:t>
      </w:r>
      <w:proofErr w:type="spellStart"/>
      <w:r w:rsidR="008D0227" w:rsidRPr="00E15289">
        <w:rPr>
          <w:rFonts w:ascii="Arial" w:hAnsi="Arial" w:cs="Arial"/>
          <w:u w:color="642A8F"/>
        </w:rPr>
        <w:t>phosphorylatable</w:t>
      </w:r>
      <w:proofErr w:type="spellEnd"/>
      <w:r w:rsidR="008D0227" w:rsidRPr="00E15289">
        <w:rPr>
          <w:rFonts w:ascii="Arial" w:hAnsi="Arial" w:cs="Arial"/>
          <w:u w:color="642A8F"/>
        </w:rPr>
        <w:t xml:space="preserve"> light chains, and two </w:t>
      </w:r>
      <w:proofErr w:type="spellStart"/>
      <w:r w:rsidR="008D0227" w:rsidRPr="00E15289">
        <w:rPr>
          <w:rFonts w:ascii="Arial" w:hAnsi="Arial" w:cs="Arial"/>
          <w:u w:color="642A8F"/>
        </w:rPr>
        <w:t>phosphorylatable</w:t>
      </w:r>
      <w:proofErr w:type="spellEnd"/>
      <w:r w:rsidR="008D0227" w:rsidRPr="00E15289">
        <w:rPr>
          <w:rFonts w:ascii="Arial" w:hAnsi="Arial" w:cs="Arial"/>
          <w:u w:color="642A8F"/>
        </w:rPr>
        <w:t xml:space="preserve"> regulatory light chains. This gene encodes a myosin alkali light chain expressed in both slow-twitch skeletal muscle and in non-muscle tissue. </w:t>
      </w:r>
      <w:r w:rsidR="0038437A" w:rsidRPr="00E15289">
        <w:rPr>
          <w:rFonts w:ascii="Arial" w:hAnsi="Arial" w:cs="Arial"/>
          <w:u w:color="642A8F"/>
        </w:rPr>
        <w:t>Again,</w:t>
      </w:r>
      <w:r w:rsidR="008D0227" w:rsidRPr="00E15289">
        <w:rPr>
          <w:rFonts w:ascii="Arial" w:hAnsi="Arial" w:cs="Arial"/>
          <w:u w:color="642A8F"/>
        </w:rPr>
        <w:t xml:space="preserve"> there are no described links between myosin light chain expression in prostate cancer and </w:t>
      </w:r>
      <w:r w:rsidR="004F107A" w:rsidRPr="00E15289">
        <w:rPr>
          <w:rFonts w:ascii="Arial" w:hAnsi="Arial" w:cs="Arial"/>
          <w:u w:color="642A8F"/>
        </w:rPr>
        <w:t>hypoxia,</w:t>
      </w:r>
      <w:r w:rsidR="008D0227" w:rsidRPr="00E15289">
        <w:rPr>
          <w:rFonts w:ascii="Arial" w:hAnsi="Arial" w:cs="Arial"/>
          <w:u w:color="642A8F"/>
        </w:rPr>
        <w:t xml:space="preserve"> but hypoxia has been shown to promote myosin heavy chain expression in a </w:t>
      </w:r>
      <w:r w:rsidR="00C74CFE" w:rsidRPr="00E15289">
        <w:rPr>
          <w:rFonts w:ascii="Arial" w:hAnsi="Arial" w:cs="Arial"/>
          <w:u w:color="642A8F"/>
        </w:rPr>
        <w:t>HIF1-</w:t>
      </w:r>
      <w:r w:rsidR="006D06DA">
        <w:rPr>
          <w:rFonts w:ascii="Arial" w:hAnsi="Arial" w:cs="Arial"/>
          <w:u w:color="642A8F"/>
        </w:rPr>
        <w:t>α</w:t>
      </w:r>
      <w:r w:rsidR="00C74CFE" w:rsidRPr="00E15289">
        <w:rPr>
          <w:rFonts w:ascii="Arial" w:hAnsi="Arial" w:cs="Arial"/>
          <w:u w:color="642A8F"/>
        </w:rPr>
        <w:t xml:space="preserve"> </w:t>
      </w:r>
      <w:r w:rsidR="008D0227" w:rsidRPr="00E15289">
        <w:rPr>
          <w:rFonts w:ascii="Arial" w:hAnsi="Arial" w:cs="Arial"/>
          <w:u w:color="642A8F"/>
        </w:rPr>
        <w:t xml:space="preserve">dependent manner in a cardiomyocyte model </w:t>
      </w:r>
      <w:r w:rsidR="004F107A"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{"citationItems":[{"id":"ITEM-1","itemData":{"DOI":"10.18632/oncotarget.19016","abstract":"© Binó et al. The potentiation of the naturally limited regenerative capacity of the heart is dependent on an understanding of the mechanisms that are activated in response to pathological conditions such as hypoxia. Under these conditions, the expression of genes suggested to support cardiomyocyte survival and heart adaptation is triggered. Particularly important are changes in the expression of myosin heavy chain (MHC) isoforms. We propose here that alterations in the expression profiles of MHC genes are induced in response to hypoxia and are primarily mediated by hypoxia inducible factor (HIF). In in vitro models of mouse embryonic stem cell-derived cardiomyocytes, we showed that hypoxia (1% O2) or the pharmacological stabilization of HIFs significantly increased MHCbeta (Myh7) gene expression. The key role of HIF-1alpha is supported by the absence of these effects in HIF-1alpha-deficient cells, even in the presence of HIF-2alpha. Interestingly, ChIP analysis did not confirm the direct interaction of HIF-1alpha with putative HIF response elements predicted in the MHCalpha and beta encoding DNA region. Further analyses showed the significant effect of the mTOR signaling inhibitor rapamycin in inducing Myh7 expression and a hypoxiatriggered reduction in the levels of antisense RNA transcripts associated with the Myh7 gene locus. Overall, the recognized and important role of HIF in the regulation of heart regenerative processes could be highly significant for the development of novel therapeutic interventions in heart failure.","author":[{"dropping-particle":"","family":"Binó","given":"Lucia","non-dropping-particle":"","parse-names":false,"suffix":""},{"dropping-particle":"","family":"Procházková","given":"Jiřina","non-dropping-particle":"","parse-names":false,"suffix":""},{"dropping-particle":"","family":"Radaszkiewicz","given":"Katarzyna Anna","non-dropping-particle":"","parse-names":false,"suffix":""},{"dropping-particle":"","family":"Kučera","given":"Jan","non-dropping-particle":"","parse-names":false,"suffix":""},{"dropping-particle":"","family":"Kudová","given":"Jana","non-dropping-particle":"","parse-names":false,"suffix":""},{"dropping-particle":"","family":"Pacherník","given":"Jiří","non-dropping-particle":"","parse-names":false,"suffix":""},{"dropping-particle":"","family":"Kubala","given":"Lukáš","non-dropping-particle":"","parse-names":false,"suffix":""}],"container-title":"Oncotarget","id":"ITEM-1","issued":{"date-parts":[["2017"]]},"title":"Hypoxia favors myosin heavy chain beta gene expression in an Hif-1alpha-dependent manner","type":"article-journal"},"uris":["http://www.mendeley.com/documents/?uuid=34166ec8-2a0c-488d-b9c7-eee9644bde8c"]}],"mendeley":{"formattedCitation":"(38)","plainTextFormattedCitation":"(38)","previouslyFormattedCitation":"(38)"},"properties":{"noteIndex":0},"schema":"https://github.com/citation-style-language/schema/raw/master/csl-citation.json"}</w:instrText>
      </w:r>
      <w:r w:rsidR="004F107A" w:rsidRPr="00E15289">
        <w:rPr>
          <w:rFonts w:ascii="Arial" w:hAnsi="Arial" w:cs="Arial"/>
          <w:u w:color="642A8F"/>
        </w:rPr>
        <w:fldChar w:fldCharType="separate"/>
      </w:r>
      <w:r w:rsidR="00A82711" w:rsidRPr="00E15289">
        <w:rPr>
          <w:rFonts w:ascii="Arial" w:hAnsi="Arial" w:cs="Arial"/>
          <w:noProof/>
          <w:u w:color="642A8F"/>
        </w:rPr>
        <w:t>(38)</w:t>
      </w:r>
      <w:r w:rsidR="004F107A" w:rsidRPr="00E15289">
        <w:rPr>
          <w:rFonts w:ascii="Arial" w:hAnsi="Arial" w:cs="Arial"/>
          <w:u w:color="642A8F"/>
        </w:rPr>
        <w:fldChar w:fldCharType="end"/>
      </w:r>
      <w:r w:rsidR="008D0227" w:rsidRPr="00E15289">
        <w:rPr>
          <w:rFonts w:ascii="Arial" w:hAnsi="Arial" w:cs="Arial"/>
          <w:u w:color="642A8F"/>
        </w:rPr>
        <w:t>.</w:t>
      </w:r>
    </w:p>
    <w:p w14:paraId="060E9510" w14:textId="2FA1656C" w:rsidR="008D0227" w:rsidRPr="00E15289" w:rsidRDefault="008D0227" w:rsidP="0025140D">
      <w:pPr>
        <w:widowControl w:val="0"/>
        <w:autoSpaceDE w:val="0"/>
        <w:autoSpaceDN w:val="0"/>
        <w:adjustRightInd w:val="0"/>
        <w:spacing w:afterLines="80" w:after="192" w:line="400" w:lineRule="exact"/>
        <w:jc w:val="both"/>
        <w:rPr>
          <w:rFonts w:ascii="Arial" w:hAnsi="Arial" w:cs="Arial"/>
          <w:u w:color="642A8F"/>
        </w:rPr>
      </w:pPr>
      <w:r w:rsidRPr="00E15289">
        <w:rPr>
          <w:rFonts w:ascii="Arial" w:hAnsi="Arial" w:cs="Arial"/>
          <w:u w:color="642A8F"/>
        </w:rPr>
        <w:lastRenderedPageBreak/>
        <w:t>Cold-inducible RNA-binding protein (</w:t>
      </w:r>
      <w:r w:rsidRPr="00E15289">
        <w:rPr>
          <w:rFonts w:ascii="Arial" w:hAnsi="Arial" w:cs="Arial"/>
          <w:bCs/>
          <w:u w:color="642A8F"/>
        </w:rPr>
        <w:t>CIRP</w:t>
      </w:r>
      <w:r w:rsidRPr="00E15289">
        <w:rPr>
          <w:rFonts w:ascii="Arial" w:hAnsi="Arial" w:cs="Arial"/>
          <w:u w:color="642A8F"/>
        </w:rPr>
        <w:t xml:space="preserve">) and RNA-binding motif protein 3 </w:t>
      </w:r>
      <w:r w:rsidR="00EA0B8D" w:rsidRPr="00E15289">
        <w:rPr>
          <w:rFonts w:ascii="Arial" w:hAnsi="Arial" w:cs="Arial"/>
          <w:u w:color="642A8F"/>
        </w:rPr>
        <w:t xml:space="preserve">(RBM3) </w:t>
      </w:r>
      <w:r w:rsidRPr="00E15289">
        <w:rPr>
          <w:rFonts w:ascii="Arial" w:hAnsi="Arial" w:cs="Arial"/>
          <w:u w:color="642A8F"/>
        </w:rPr>
        <w:t xml:space="preserve">are two evolutionarily conserved RNA-binding proteins which are transcriptionally upregulated in response to low temperature. In addition, oxygen-regulated expression </w:t>
      </w:r>
      <w:r w:rsidR="00EA0B8D" w:rsidRPr="00E15289">
        <w:rPr>
          <w:rFonts w:ascii="Arial" w:hAnsi="Arial" w:cs="Arial"/>
          <w:u w:color="642A8F"/>
        </w:rPr>
        <w:t xml:space="preserve">of RBM3 and CIRP, </w:t>
      </w:r>
      <w:r w:rsidRPr="00E15289">
        <w:rPr>
          <w:rFonts w:ascii="Arial" w:hAnsi="Arial" w:cs="Arial"/>
          <w:u w:color="642A8F"/>
        </w:rPr>
        <w:t>by a HIF-1-independent mechanism</w:t>
      </w:r>
      <w:r w:rsidR="00EA0B8D" w:rsidRPr="00E15289">
        <w:rPr>
          <w:rFonts w:ascii="Arial" w:hAnsi="Arial" w:cs="Arial"/>
          <w:u w:color="642A8F"/>
        </w:rPr>
        <w:t>,</w:t>
      </w:r>
      <w:r w:rsidRPr="00E15289">
        <w:rPr>
          <w:rFonts w:ascii="Arial" w:hAnsi="Arial" w:cs="Arial"/>
          <w:u w:color="642A8F"/>
        </w:rPr>
        <w:t xml:space="preserve"> has previously been shown in </w:t>
      </w:r>
      <w:proofErr w:type="spellStart"/>
      <w:r w:rsidRPr="00E15289">
        <w:rPr>
          <w:rFonts w:ascii="Arial" w:hAnsi="Arial" w:cs="Arial"/>
          <w:u w:color="642A8F"/>
        </w:rPr>
        <w:t>leukaemic</w:t>
      </w:r>
      <w:proofErr w:type="spellEnd"/>
      <w:r w:rsidRPr="00E15289">
        <w:rPr>
          <w:rFonts w:ascii="Arial" w:hAnsi="Arial" w:cs="Arial"/>
          <w:u w:color="642A8F"/>
        </w:rPr>
        <w:t xml:space="preserve"> cells </w:t>
      </w:r>
      <w:r w:rsidR="004F107A"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{"citationItems":[{"id":"ITEM-1","itemData":{"DOI":"10.1242/jcs.01026","ISSN":"0021-9533","abstract":"The transcriptional regulation of several dozen genes in response to low oxygen tension is mediated by hypoxia-inducible factor 1 (HIF-1), a heterodimeric protein composed of two subunits, HIF-1alpha and HIF-1beta. In the HIF-1alpha-deficient human leukemic cell line, Z-33, exposed to mild (8{%} O(2)) or severe (1{%} O(2)) hypoxia, we found significant upregulation of two related heterogenous nuclear ribonucleoproteins, RNA-binding motif protein 3 (RBM3) and cold inducible RNA-binding protein (CIRP), which are highly conserved cold stress proteins with RNA-binding properties. Hypoxia also induced upregulation of RBM3 and CIRP in the murine HIF-1beta-deficient cell line, Hepa-1 c4. In various HIF-1 competent cells, RBM3 and CIRP were induced by moderate hypothermia (32 degrees C) but hypothermia was ineffective in increasing HIF-1alpha or vascular endothelial growth factor (VEGF), a known HIF-1 target. In contrast, iron chelators induced VEGF but not RBM3 or CIRP. The RBM3 and CIRP mRNA increase after hypoxia was inhibited by actinomycin-D, and in vitro nuclear run-on assays demonstrated specific increases in RBM3 and CIRP mRNA after hypoxia, which suggests that regulation takes place at the level of gene transcription. Hypoxia-induced RBM3 or CIRP transcription was inhibited by the respiratory chain inhibitors NaN(3) and cyanide in a dose-dependent fashion. However, cells depleted of mitochondria were still able to upregulate RBM3 and CIRP in response to hypoxia. Thus, RBM3 and CIRP are adaptatively expressed in response to hypoxia by a mechanism that involves neither HIF-1 nor mitochondria.","author":[{"dropping-particle":"","family":"Wellmann","given":"Sven","non-dropping-particle":"","parse-names":false,"suffix":""},{"dropping-particle":"","family":"Bührer","given":"Christoph","non-dropping-particle":"","parse-names":false,"suffix":""},{"dropping-particle":"","family":"Moderegger","given":"Eva","non-dropping-particle":"","parse-names":false,"suffix":""},{"dropping-particle":"","family":"Zelmer","given":"Andrea","non-dropping-particle":"","parse-names":false,"suffix":""},{"dropping-particle":"","family":"Kirschner","given":"Renate","non-dropping-particle":"","parse-names":false,"suffix":""},{"dropping-particle":"","family":"Koehne","given":"Petra","non-dropping-particle":"","parse-names":false,"suffix":""},{"dropping-particle":"","family":"Fujita","given":"Jun","non-dropping-particle":"","parse-names":false,"suffix":""},{"dropping-particle":"","family":"Seeger","given":"Karl","non-dropping-particle":"","parse-names":false,"suffix":""}],"container-title":"Journal of Cell Science","id":"ITEM-1","issued":{"date-parts":[["2004"]]},"title":"Oxygen-regulated expression of the RNA-binding proteins RBM3 and CIRP by a HIF-1-independent mechanism","type":"article-journal"},"uris":["http://www.mendeley.com/documents/?uuid=cac6c3d6-4629-4146-b58b-ba30e10f9365"]}],"mendeley":{"formattedCitation":"(39)","plainTextFormattedCitation":"(39)","previouslyFormattedCitation":"(39)"},"properties":{"noteIndex":0},"schema":"https://github.com/citation-style-language/schema/raw/master/csl-citation.json"}</w:instrText>
      </w:r>
      <w:r w:rsidR="004F107A" w:rsidRPr="00E15289">
        <w:rPr>
          <w:rFonts w:ascii="Arial" w:hAnsi="Arial" w:cs="Arial"/>
          <w:u w:color="642A8F"/>
        </w:rPr>
        <w:fldChar w:fldCharType="separate"/>
      </w:r>
      <w:r w:rsidR="00A82711" w:rsidRPr="00E15289">
        <w:rPr>
          <w:rFonts w:ascii="Arial" w:hAnsi="Arial" w:cs="Arial"/>
          <w:noProof/>
          <w:u w:color="642A8F"/>
        </w:rPr>
        <w:t>(39)</w:t>
      </w:r>
      <w:r w:rsidR="004F107A" w:rsidRPr="00E15289">
        <w:rPr>
          <w:rFonts w:ascii="Arial" w:hAnsi="Arial" w:cs="Arial"/>
          <w:u w:color="642A8F"/>
        </w:rPr>
        <w:fldChar w:fldCharType="end"/>
      </w:r>
      <w:r w:rsidRPr="00E15289">
        <w:rPr>
          <w:rFonts w:ascii="Arial" w:hAnsi="Arial" w:cs="Arial"/>
          <w:u w:color="642A8F"/>
        </w:rPr>
        <w:t>. RBM3 expression appears to confer resistance to serum withdrawal, endoplasmic reticulum stress, or other harsh conditions</w:t>
      </w:r>
      <w:r w:rsidR="00EA0B8D" w:rsidRPr="00E15289">
        <w:rPr>
          <w:rFonts w:ascii="Arial" w:hAnsi="Arial" w:cs="Arial"/>
          <w:u w:color="642A8F"/>
        </w:rPr>
        <w:t>, suggesting</w:t>
      </w:r>
      <w:r w:rsidRPr="00E15289">
        <w:rPr>
          <w:rFonts w:ascii="Arial" w:hAnsi="Arial" w:cs="Arial"/>
          <w:u w:color="642A8F"/>
        </w:rPr>
        <w:t xml:space="preserve"> RBM3 </w:t>
      </w:r>
      <w:r w:rsidR="00EA0B8D" w:rsidRPr="00E15289">
        <w:rPr>
          <w:rFonts w:ascii="Arial" w:hAnsi="Arial" w:cs="Arial"/>
          <w:u w:color="642A8F"/>
        </w:rPr>
        <w:t>i</w:t>
      </w:r>
      <w:r w:rsidRPr="00E15289">
        <w:rPr>
          <w:rFonts w:ascii="Arial" w:hAnsi="Arial" w:cs="Arial"/>
          <w:u w:color="642A8F"/>
        </w:rPr>
        <w:t>s a survival gene</w:t>
      </w:r>
      <w:r w:rsidR="00EA0B8D" w:rsidRPr="00E15289">
        <w:rPr>
          <w:rFonts w:ascii="Arial" w:hAnsi="Arial" w:cs="Arial"/>
          <w:u w:color="642A8F"/>
        </w:rPr>
        <w:t>,</w:t>
      </w:r>
      <w:r w:rsidRPr="00E15289">
        <w:rPr>
          <w:rFonts w:ascii="Arial" w:hAnsi="Arial" w:cs="Arial"/>
          <w:u w:color="642A8F"/>
        </w:rPr>
        <w:t xml:space="preserve"> which would fit with its increased expression in a hypoxic environment in the present study. The increased expression of CIRP has also been implicated in the adaption of cells to novel environmental conditions by stabilizing specific mRNAs and facilitating their translation </w:t>
      </w:r>
      <w:r w:rsidR="0003130C"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{"citationItems":[{"id":"ITEM-1","itemData":{"DOI":"10.1002/ijc.30833","ISSN":"0020-7136","abstract":"Cold-inducible RNA binding protein (CIRP) was discovered after the cells were exposed to a moderate cold shock because its production was induced. Other cellular stresses such as ultraviolet light radiation and hypoxia also could increase its expression. Under stress conditions, CIRP could up regulate its own expression by self-transcriptional activation of alternative promoters. After relocating into cytoplasm from nucleus, CIRP assists cells in adapting to novel environmental conditions via stabilizing specific mRNAs and facilitating their translation. It not only participates in anti-apoptosis processes under mild hypothermia condition, but also protects cells from ultraviolet radiation and hypoxia induced senescence process. This article focuses on the possible mechanisms of its inducible expression, cytoprotective functions and carcinogenesis. In addition, extracellular CIRP has been shown to be a novel danger-associated molecular patter (DAMP) member and is able to induce inflammatory response. Finally, based on the distinct roles of CIRP in intracellular and extracellular conditions, a possible model of CIRP-mediated cell fate has been proposed.","author":[{"dropping-particle":"","family":"Liao","given":"Yi","non-dropping-particle":"","parse-names":false,"suffix":""},{"dropping-particle":"","family":"Tong","given":"Lingying","non-dropping-particle":"","parse-names":false,"suffix":""},{"dropping-particle":"","family":"Tang","given":"Liling","non-dropping-particle":"","parse-names":false,"suffix":""},{"dropping-particle":"","family":"Wu","given":"Shiyong","non-dropping-particle":"","parse-names":false,"suffix":""}],"container-title":"International Journal of Cancer","id":"ITEM-1","issue":"11","issued":{"date-parts":[["2017","12","1"]]},"note":"doi: 10.1002/ijc.30833","page":"2164-2173","publisher":"John Wiley &amp; Sons, Ltd","title":"The role of cold-inducible RNA binding protein in cell stress response","type":"article-journal","volume":"141"},"uris":["http://www.mendeley.com/documents/?uuid=be2f5804-c8a3-4b4e-b948-92f317ec7fba"]}],"mendeley":{"formattedCitation":"(40)","plainTextFormattedCitation":"(40)","previouslyFormattedCitation":"(40)"},"properties":{"noteIndex":0},"schema":"https://github.com/citation-style-language/schema/raw/master/csl-citation.json"}</w:instrText>
      </w:r>
      <w:r w:rsidR="0003130C" w:rsidRPr="00E15289">
        <w:rPr>
          <w:rFonts w:ascii="Arial" w:hAnsi="Arial" w:cs="Arial"/>
          <w:u w:color="642A8F"/>
        </w:rPr>
        <w:fldChar w:fldCharType="separate"/>
      </w:r>
      <w:r w:rsidR="00A82711" w:rsidRPr="00E15289">
        <w:rPr>
          <w:rFonts w:ascii="Arial" w:hAnsi="Arial" w:cs="Arial"/>
          <w:noProof/>
          <w:u w:color="642A8F"/>
        </w:rPr>
        <w:t>(40)</w:t>
      </w:r>
      <w:r w:rsidR="0003130C" w:rsidRPr="00E15289">
        <w:rPr>
          <w:rFonts w:ascii="Arial" w:hAnsi="Arial" w:cs="Arial"/>
          <w:u w:color="642A8F"/>
        </w:rPr>
        <w:fldChar w:fldCharType="end"/>
      </w:r>
      <w:r w:rsidRPr="00E15289">
        <w:rPr>
          <w:rFonts w:ascii="Arial" w:hAnsi="Arial" w:cs="Arial"/>
          <w:u w:color="642A8F"/>
        </w:rPr>
        <w:t>. CIRP expression not only protects cells in mild hypothermic conditions, but also protects cells from ultraviolet radiation and hypoxia-induced senescence. Clearly the hypoxia-induced expression of these two proteins help protect PC</w:t>
      </w:r>
      <w:r w:rsidR="00F25765" w:rsidRPr="00E15289">
        <w:rPr>
          <w:rFonts w:ascii="Arial" w:hAnsi="Arial" w:cs="Arial"/>
          <w:u w:color="642A8F"/>
        </w:rPr>
        <w:t>-</w:t>
      </w:r>
      <w:r w:rsidRPr="00E15289">
        <w:rPr>
          <w:rFonts w:ascii="Arial" w:hAnsi="Arial" w:cs="Arial"/>
          <w:u w:color="642A8F"/>
        </w:rPr>
        <w:t>3 prostate cells in an oxygen-reduced environment.</w:t>
      </w:r>
    </w:p>
    <w:p w14:paraId="6EDB04C0" w14:textId="282D46D4" w:rsidR="008D0227" w:rsidRPr="00E15289" w:rsidRDefault="008D0227" w:rsidP="0025140D">
      <w:pPr>
        <w:widowControl w:val="0"/>
        <w:autoSpaceDE w:val="0"/>
        <w:autoSpaceDN w:val="0"/>
        <w:adjustRightInd w:val="0"/>
        <w:spacing w:afterLines="80" w:after="192" w:line="400" w:lineRule="exact"/>
        <w:jc w:val="both"/>
        <w:rPr>
          <w:rFonts w:ascii="Arial" w:hAnsi="Arial" w:cs="Arial"/>
          <w:u w:color="642A8F"/>
        </w:rPr>
      </w:pPr>
      <w:r w:rsidRPr="00E15289">
        <w:rPr>
          <w:rFonts w:ascii="Arial" w:hAnsi="Arial" w:cs="Arial"/>
          <w:bCs/>
          <w:u w:color="642A8F"/>
        </w:rPr>
        <w:t xml:space="preserve">KRT7 </w:t>
      </w:r>
      <w:r w:rsidRPr="00E15289">
        <w:rPr>
          <w:rFonts w:ascii="Arial" w:hAnsi="Arial" w:cs="Arial"/>
          <w:u w:color="642A8F"/>
        </w:rPr>
        <w:t>or keratin, type II cytoskeletal 7, also known as cytokeratin-7</w:t>
      </w:r>
      <w:r w:rsidR="00C74CFE" w:rsidRPr="00E15289">
        <w:rPr>
          <w:rFonts w:ascii="Arial" w:hAnsi="Arial" w:cs="Arial"/>
          <w:u w:color="642A8F"/>
        </w:rPr>
        <w:t>,</w:t>
      </w:r>
      <w:r w:rsidRPr="00E15289">
        <w:rPr>
          <w:rFonts w:ascii="Arial" w:hAnsi="Arial" w:cs="Arial"/>
          <w:u w:color="642A8F"/>
        </w:rPr>
        <w:t xml:space="preserve"> keratin-7 or </w:t>
      </w:r>
      <w:proofErr w:type="spellStart"/>
      <w:r w:rsidRPr="00E15289">
        <w:rPr>
          <w:rFonts w:ascii="Arial" w:hAnsi="Arial" w:cs="Arial"/>
          <w:u w:color="642A8F"/>
        </w:rPr>
        <w:t>sarcolectin</w:t>
      </w:r>
      <w:proofErr w:type="spellEnd"/>
      <w:r w:rsidR="00C74CFE" w:rsidRPr="00E15289">
        <w:rPr>
          <w:rFonts w:ascii="Arial" w:hAnsi="Arial" w:cs="Arial"/>
          <w:u w:color="642A8F"/>
        </w:rPr>
        <w:t>,</w:t>
      </w:r>
      <w:r w:rsidRPr="00E15289">
        <w:rPr>
          <w:rFonts w:ascii="Arial" w:hAnsi="Arial" w:cs="Arial"/>
          <w:u w:color="642A8F"/>
        </w:rPr>
        <w:t xml:space="preserve"> is a protein that, in humans, is encoded by the KRT7 gene. Keratin 7 is specifically expressed in the epithelia lining the cavities of the internal organs</w:t>
      </w:r>
      <w:r w:rsidR="00EA0B8D" w:rsidRPr="00E15289">
        <w:rPr>
          <w:rFonts w:ascii="Arial" w:hAnsi="Arial" w:cs="Arial"/>
          <w:u w:color="642A8F"/>
        </w:rPr>
        <w:t>,</w:t>
      </w:r>
      <w:r w:rsidRPr="00E15289">
        <w:rPr>
          <w:rFonts w:ascii="Arial" w:hAnsi="Arial" w:cs="Arial"/>
          <w:u w:color="642A8F"/>
        </w:rPr>
        <w:t xml:space="preserve"> gland</w:t>
      </w:r>
      <w:r w:rsidR="00EA0B8D" w:rsidRPr="00E15289">
        <w:rPr>
          <w:rFonts w:ascii="Arial" w:hAnsi="Arial" w:cs="Arial"/>
          <w:u w:color="642A8F"/>
        </w:rPr>
        <w:t>ular</w:t>
      </w:r>
      <w:r w:rsidRPr="00E15289">
        <w:rPr>
          <w:rFonts w:ascii="Arial" w:hAnsi="Arial" w:cs="Arial"/>
          <w:u w:color="642A8F"/>
        </w:rPr>
        <w:t xml:space="preserve"> ducts and blood vessels. In placental hypoxia</w:t>
      </w:r>
      <w:r w:rsidR="00D56839" w:rsidRPr="00E15289">
        <w:rPr>
          <w:rFonts w:ascii="Arial" w:hAnsi="Arial" w:cs="Arial"/>
          <w:u w:color="642A8F"/>
        </w:rPr>
        <w:t>,</w:t>
      </w:r>
      <w:r w:rsidRPr="00E15289">
        <w:rPr>
          <w:rFonts w:ascii="Arial" w:hAnsi="Arial" w:cs="Arial"/>
          <w:u w:color="642A8F"/>
        </w:rPr>
        <w:t xml:space="preserve"> an increased expression of KRT7 has been shown</w:t>
      </w:r>
      <w:r w:rsidR="0003130C" w:rsidRPr="00E15289">
        <w:rPr>
          <w:rFonts w:ascii="Arial" w:hAnsi="Arial" w:cs="Arial"/>
          <w:u w:color="642A8F"/>
        </w:rPr>
        <w:t xml:space="preserve"> </w:t>
      </w:r>
      <w:r w:rsidR="0003130C"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{"citationItems":[{"id":"ITEM-1","itemData":{"DOI":"10.1095/biolreprod.116.142273","ISSN":"0006-3363","abstract":"© 2016 by the Society for the Study of Reproduction, Inc. Chronic placental hypoxia is one of the root causes of placental insufficiencies that result in pre-eclampsia and maternal hypertension. Chronic hypoxia causes disruption of trophoblast (TB) development, invasion into maternal decidua, and remodeling of maternal spiral arteries. The pregnant guinea pig shares several characteristics with humans such as hemomonochorial placenta, villous subplacenta, deep TB invasion, and remodeling of maternal arteries, and is an ideal animal model to study placental development. We hypothesized that chronic placental hypoxia of the pregnant guinea pig inhibits TB invasion and alters spiral artery remodeling. Time-mated pregnant guinea pigs were exposed to either normoxia (NMX) or three levels of hypoxia (HPX: 16%, 12%, or 10.5% O 2 ) from 20 day gestation until midterm (39-40 days) or term (60-65 days). At term, HPX (10.5% O 2 ) increased maternal arterial blood pressure (HPX 57.9 ± 2.3 vs. NMX 40.4 ± 2.3, P  &lt;  0.001), decreased fetal weight by 16.1% (P  &lt;  0.05), and increased both absolute and relative placenta weights by 10.1% and 31.8%, respectively (P  &lt;  0.05). At midterm, there was a significant increase in TB proliferation in HPX placentas as confirmed by increased PCNA and KRT7 staining and elevated ESX1 (TB marker) gene expression (P  &lt;  0.05). Additionally, quantitative image analysis revealed decreased invasion of maternal blood vessels by TB cells. In summary, this animal model of placental HPX identifies several aspects of abnormal placental development, including increased TB proliferation and decreased migration and invasion of TBs into the spiral arteries, the consequences of which are associated with maternal hypertension and fetal growth restriction.","author":[{"dropping-particle":"","family":"Thompson","given":"L. P.","non-dropping-particle":"","parse-names":false,"suffix":""},{"dropping-particle":"","family":"Pence","given":"L.","non-dropping-particle":"","parse-names":false,"suffix":""},{"dropping-particle":"","family":"Pinkas","given":"G.","non-dropping-particle":"","parse-names":false,"suffix":""},{"dropping-particle":"","family":"Song","given":"H.","non-dropping-particle":"","parse-names":false,"suffix":""},{"dropping-particle":"","family":"Telugu","given":"B. P.","non-dropping-particle":"","parse-names":false,"suffix":""}],"container-title":"Biology of Reproduction","id":"ITEM-1","issued":{"date-parts":[["2016"]]},"title":"Placental Hypoxia During Early Pregnancy Causes Maternal Hypertension and Placental Insufficiency in the Hypoxic Guinea Pig Model","type":"article-journal"},"uris":["http://www.mendeley.com/documents/?uuid=d3b208d1-2a59-47f5-83bf-5b979f05ca55"]}],"mendeley":{"formattedCitation":"(41)","plainTextFormattedCitation":"(41)","previouslyFormattedCitation":"(41)"},"properties":{"noteIndex":0},"schema":"https://github.com/citation-style-language/schema/raw/master/csl-citation.json"}</w:instrText>
      </w:r>
      <w:r w:rsidR="0003130C" w:rsidRPr="00E15289">
        <w:rPr>
          <w:rFonts w:ascii="Arial" w:hAnsi="Arial" w:cs="Arial"/>
          <w:u w:color="642A8F"/>
        </w:rPr>
        <w:fldChar w:fldCharType="separate"/>
      </w:r>
      <w:r w:rsidR="00A82711" w:rsidRPr="00E15289">
        <w:rPr>
          <w:rFonts w:ascii="Arial" w:hAnsi="Arial" w:cs="Arial"/>
          <w:noProof/>
          <w:u w:color="642A8F"/>
        </w:rPr>
        <w:t>(41)</w:t>
      </w:r>
      <w:r w:rsidR="0003130C" w:rsidRPr="00E15289">
        <w:rPr>
          <w:rFonts w:ascii="Arial" w:hAnsi="Arial" w:cs="Arial"/>
          <w:u w:color="642A8F"/>
        </w:rPr>
        <w:fldChar w:fldCharType="end"/>
      </w:r>
      <w:r w:rsidRPr="00E15289">
        <w:rPr>
          <w:rFonts w:ascii="Arial" w:hAnsi="Arial" w:cs="Arial"/>
          <w:u w:color="642A8F"/>
        </w:rPr>
        <w:t xml:space="preserve"> in a guinea pig model. The significance of increased expression of KRT7 in hypoxic prostate cells is unknown but the increase in expression on exposure to a hypoxic environment is confirmed.</w:t>
      </w:r>
      <w:r w:rsidR="00F25765" w:rsidRPr="00E15289">
        <w:rPr>
          <w:rFonts w:ascii="Arial" w:hAnsi="Arial" w:cs="Arial"/>
          <w:u w:color="642A8F"/>
        </w:rPr>
        <w:t xml:space="preserve"> </w:t>
      </w:r>
      <w:r w:rsidRPr="00E15289">
        <w:rPr>
          <w:rFonts w:ascii="Arial" w:hAnsi="Arial" w:cs="Arial"/>
          <w:u w:color="642A8F"/>
        </w:rPr>
        <w:t>The </w:t>
      </w:r>
      <w:r w:rsidRPr="00E15289">
        <w:rPr>
          <w:rFonts w:ascii="Arial" w:hAnsi="Arial" w:cs="Arial"/>
          <w:bCs/>
          <w:iCs/>
          <w:u w:color="642A8F"/>
        </w:rPr>
        <w:t>PLOD1</w:t>
      </w:r>
      <w:r w:rsidRPr="00E15289">
        <w:rPr>
          <w:rFonts w:ascii="Arial" w:hAnsi="Arial" w:cs="Arial"/>
          <w:u w:color="642A8F"/>
        </w:rPr>
        <w:t xml:space="preserve"> gene encodes the enzyme </w:t>
      </w:r>
      <w:proofErr w:type="spellStart"/>
      <w:r w:rsidRPr="00E15289">
        <w:rPr>
          <w:rFonts w:ascii="Arial" w:hAnsi="Arial" w:cs="Arial"/>
          <w:u w:color="642A8F"/>
        </w:rPr>
        <w:t>lysyl</w:t>
      </w:r>
      <w:proofErr w:type="spellEnd"/>
      <w:r w:rsidRPr="00E15289">
        <w:rPr>
          <w:rFonts w:ascii="Arial" w:hAnsi="Arial" w:cs="Arial"/>
          <w:u w:color="642A8F"/>
        </w:rPr>
        <w:t xml:space="preserve"> hydroxylase 1 which hydroxylates lysine to hydroxylysine. Hydroxylysine is essential for collagen molecules to form stable cross-link interactions. PLOD1 has recently been identified as part of a signature set of genes associated with adverse patient outcomes in a study examining the expression of oxygen-sensing genes in 25 types of cancer</w:t>
      </w:r>
      <w:r w:rsidR="00E3704E" w:rsidRPr="00E15289">
        <w:rPr>
          <w:rFonts w:ascii="Arial" w:hAnsi="Arial" w:cs="Arial"/>
          <w:u w:color="642A8F"/>
        </w:rPr>
        <w:t xml:space="preserve"> </w:t>
      </w:r>
      <w:r w:rsidR="00E3704E"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{"citationItems":[{"id":"ITEM-1","itemData":{"DOI":"10.1186/s40880-019-0369-5","ISSN":"25233548","abstract":"Objectives: Tumor hypoxia is associated with metastasis and resistance to chemotherapy and radiotherapy. Genes involved in oxygen-sensing are clinically relevant and have significant implications on prognosis. Methods: We identified of two signatures, signature 1 (good prognosis) and signature 2 (adverse prognosis), each consisting of 5 genes using three pancreatic cancer cohorts (n=681). We validated the performance of the signatures in predicting survival in ten cancers using Cox regression and receiver operating characteristic (ROC) analyses. Results: Signature 1 and signature 2 were associated with good and poor overall survival respectively. Prognosis of signature 1 in 8 cohorts representing 6 cancers (n=2,627): bladder (hazard ratio [HR]=0.68, P=0.039), papillary renal cell (HR=0.35, P=0.013), liver (HR=0.64, P=0.033 and HR=0.49, P=0.025), lung (HR=0.66, P=0.014) and pancreatic (HR=0.42, P&lt;0.001 and HR=0.64, P=0.04) and endometrial (HR=0.40, P&lt;0.001). Prognosis of signature 2 in 12 cohorts representing 9 cancers (n=4,134): bladder (HR=1.46, P=0.039), cervical (HR=1.97, P=0.035), head and neck (HR=1.39, P=0.038), renal clear cell (HR=1.47, P=0.012), papillary renal cell (HR=3.89, P=0.0015), liver (HR=5.10, P&lt;0.0001 and HR=2.26, P&lt;0.001), lung (HR=1.54, P=0.011), pancreatic (HR=2.09, P=0.002, HR=1.46, P=0.018, and HR=1.99, P&lt;0.0001) and stomach (HR=1.78, P=0.004). Multivariate Cox regression confirmed independent clinical relevance of signatures in these cancers. ROC analyses confirmed superior performance of signatures to current tumor staging benchmarks. KDM8 is a potential tumor suppressor downregulated in liver and pancreatic cancers and is an independent prognostic factor. KDM8 expression negatively correlated with cell cycle regulators. Low KDM8 in tumors was associated with loss of cell adhesion phenotype through HNF4A signaling. Conclusions: Pan-cancer signatures of oxygen-sensing genes used for risk assessment in 10 cancers (n=6,761) could guide individualized treatment plans.","author":[{"dropping-particle":"","family":"Chang","given":"Wai Hoong","non-dropping-particle":"","parse-names":false,"suffix":""},{"dropping-particle":"","family":"Forde","given":"Donall","non-dropping-particle":"","parse-names":false,"suffix":""},{"dropping-particle":"","family":"Lai","given":"Alvina G.","non-dropping-particle":"","parse-names":false,"suffix":""}],"container-title":"Cancer Communications","id":"ITEM-1","issued":{"date-parts":[["2019"]]},"title":"Dual prognostic role of 2-oxoglutarate-dependent oxygenases in ten cancer types: Implications for cell cycle regulation and cell adhesion maintenance","type":"article-journal"},"uris":["http://www.mendeley.com/documents/?uuid=29dffed4-b96f-4fb4-a941-e7d4ef291252"]}],"mendeley":{"formattedCitation":"(42)","plainTextFormattedCitation":"(42)","previouslyFormattedCitation":"(42)"},"properties":{"noteIndex":0},"schema":"https://github.com/citation-style-language/schema/raw/master/csl-citation.json"}</w:instrText>
      </w:r>
      <w:r w:rsidR="00E3704E" w:rsidRPr="00E15289">
        <w:rPr>
          <w:rFonts w:ascii="Arial" w:hAnsi="Arial" w:cs="Arial"/>
          <w:u w:color="642A8F"/>
        </w:rPr>
        <w:fldChar w:fldCharType="separate"/>
      </w:r>
      <w:r w:rsidR="00A82711" w:rsidRPr="00E15289">
        <w:rPr>
          <w:rFonts w:ascii="Arial" w:hAnsi="Arial" w:cs="Arial"/>
          <w:noProof/>
          <w:u w:color="642A8F"/>
        </w:rPr>
        <w:t>(42)</w:t>
      </w:r>
      <w:r w:rsidR="00E3704E" w:rsidRPr="00E15289">
        <w:rPr>
          <w:rFonts w:ascii="Arial" w:hAnsi="Arial" w:cs="Arial"/>
          <w:u w:color="642A8F"/>
        </w:rPr>
        <w:fldChar w:fldCharType="end"/>
      </w:r>
      <w:r w:rsidRPr="00E15289">
        <w:rPr>
          <w:rFonts w:ascii="Arial" w:hAnsi="Arial" w:cs="Arial"/>
          <w:u w:color="642A8F"/>
        </w:rPr>
        <w:t>.</w:t>
      </w:r>
    </w:p>
    <w:p w14:paraId="63DC7EF1" w14:textId="3E016F78" w:rsidR="008D0227" w:rsidRPr="00E15289" w:rsidRDefault="008D0227" w:rsidP="0025140D">
      <w:pPr>
        <w:widowControl w:val="0"/>
        <w:autoSpaceDE w:val="0"/>
        <w:autoSpaceDN w:val="0"/>
        <w:adjustRightInd w:val="0"/>
        <w:spacing w:afterLines="80" w:after="192" w:line="400" w:lineRule="exact"/>
        <w:jc w:val="both"/>
        <w:rPr>
          <w:rFonts w:ascii="Arial" w:hAnsi="Arial" w:cs="Arial"/>
          <w:u w:color="642A8F"/>
        </w:rPr>
      </w:pPr>
      <w:r w:rsidRPr="00E15289">
        <w:rPr>
          <w:rFonts w:ascii="Arial" w:hAnsi="Arial" w:cs="Arial"/>
          <w:bCs/>
          <w:u w:color="642A8F"/>
        </w:rPr>
        <w:t>AKAP9</w:t>
      </w:r>
      <w:r w:rsidRPr="00E15289">
        <w:rPr>
          <w:rFonts w:ascii="Arial" w:hAnsi="Arial" w:cs="Arial"/>
          <w:u w:color="642A8F"/>
        </w:rPr>
        <w:t> (A-kinase anchoring protein 9) was also significantly altered in expression in hypoxic PC</w:t>
      </w:r>
      <w:r w:rsidR="00F25765" w:rsidRPr="00E15289">
        <w:rPr>
          <w:rFonts w:ascii="Arial" w:hAnsi="Arial" w:cs="Arial"/>
          <w:u w:color="642A8F"/>
        </w:rPr>
        <w:t>-</w:t>
      </w:r>
      <w:r w:rsidRPr="00E15289">
        <w:rPr>
          <w:rFonts w:ascii="Arial" w:hAnsi="Arial" w:cs="Arial"/>
          <w:u w:color="642A8F"/>
        </w:rPr>
        <w:t>3 cells. The A-kinase anchor proteins (AKAPs) are a group of structurally diverse proteins which have the common function of binding to the regulatory subunit of protein kinase A (PKA) and confining the holoenzyme to discrete locations within the cell. Alternate splicing of th</w:t>
      </w:r>
      <w:r w:rsidR="00EA0B8D" w:rsidRPr="00E15289">
        <w:rPr>
          <w:rFonts w:ascii="Arial" w:hAnsi="Arial" w:cs="Arial"/>
          <w:u w:color="642A8F"/>
        </w:rPr>
        <w:t>e</w:t>
      </w:r>
      <w:r w:rsidRPr="00E15289">
        <w:rPr>
          <w:rFonts w:ascii="Arial" w:hAnsi="Arial" w:cs="Arial"/>
          <w:u w:color="642A8F"/>
        </w:rPr>
        <w:t xml:space="preserve"> </w:t>
      </w:r>
      <w:r w:rsidR="00EA0B8D" w:rsidRPr="00E15289">
        <w:rPr>
          <w:rFonts w:ascii="Arial" w:hAnsi="Arial" w:cs="Arial"/>
          <w:u w:color="642A8F"/>
        </w:rPr>
        <w:t xml:space="preserve">AKAP </w:t>
      </w:r>
      <w:r w:rsidRPr="00E15289">
        <w:rPr>
          <w:rFonts w:ascii="Arial" w:hAnsi="Arial" w:cs="Arial"/>
          <w:u w:color="642A8F"/>
        </w:rPr>
        <w:t xml:space="preserve">gene results in at least two isoforms that localize to the centrosome and the Golgi apparatus, and interact with numerous signaling proteins from multiple signal transduction pathways. Other members of this family such as AKAP121 have been shown to influence cellular function during hypoxia </w:t>
      </w:r>
      <w:r w:rsidR="0003130C"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{"citationItems":[{"id":"ITEM-1","itemData":{"DOI":"10.1038/emboj.2008.33","ISSN":"02614189","abstract":"A-kinase anchor protein 121 (AKAP121) assembles a multivalent signalling complex on the outer mitochondrial membrane that controls persistence and amplitude of cAMP and src signalling to mitochondria, and plays an essential role in oxidative metabolism and cell survival. Here, we show that AKAP121 levels are regulated post-translationally by the ubiquitin/proteasome pathway. Seven In-Absentia Homolog 2 (Siah2), an E3-ubiquitin ligase whose expression is induced in hypoxic conditions, formed a complex and degraded AKAP121. In addition, we show that overexpression of Siah2 or oxygen and glucose deprivation (OGD) promotes Siah2-mediated ubiquitination and proteolysis of AKAP121. Upregulation of Siah2, by modulation of the cellular levels of AKAP121, significantly affects mitochondrial activity assessed as mitochondrial membrane potential and oxidative capacity. Also during cerebral ischaemia, AKAP121 is degraded in a Siah2-dependent manner. These findings reveal a novel mechanism of attenuation of cAMP/PKA signaling, which occurs at the distal sites of signal generation mediated by proteolysis of an AKAP scaffold protein. By regulating the stability of AKAP121-signalling complex at mitochondria, cells efficiently and rapidly adapt oxidative metabolism to fluctuations in oxygen availability. © 2008 European Molecular Biology Organization | All Rights Reserved.","author":[{"dropping-particle":"","family":"Carlucci","given":"Annalisa","non-dropping-particle":"","parse-names":false,"suffix":""},{"dropping-particle":"","family":"Adornetto","given":"Annagrazia","non-dropping-particle":"","parse-names":false,"suffix":""},{"dropping-particle":"","family":"Scorziello","given":"Antonella","non-dropping-particle":"","parse-names":false,"suffix":""},{"dropping-particle":"","family":"Viggiano","given":"Davide","non-dropping-particle":"","parse-names":false,"suffix":""},{"dropping-particle":"","family":"Foca","given":"Mariapaola","non-dropping-particle":"","parse-names":false,"suffix":""},{"dropping-particle":"","family":"Cuomo","given":"Ornella","non-dropping-particle":"","parse-names":false,"suffix":""},{"dropping-particle":"","family":"Annunziato","given":"Lucio","non-dropping-particle":"","parse-names":false,"suffix":""},{"dropping-particle":"","family":"Gottesman","given":"Max","non-dropping-particle":"","parse-names":false,"suffix":""},{"dropping-particle":"","family":"Feliciello","given":"Antonio","non-dropping-particle":"","parse-names":false,"suffix":""}],"container-title":"EMBO Journal","id":"ITEM-1","issued":{"date-parts":[["2008"]]},"title":"Proteolysis of AKAP121 regulates mitochondrial activity during cellular hypoxia and brain ischaemia","type":"article-journal"},"uris":["http://www.mendeley.com/documents/?uuid=75d30525-deb8-49cb-ac2a-6257701696a5"]}],"mendeley":{"formattedCitation":"(43)","plainTextFormattedCitation":"(43)","previouslyFormattedCitation":"(43)"},"properties":{"noteIndex":0},"schema":"https://github.com/citation-style-language/schema/raw/master/csl-citation.json"}</w:instrText>
      </w:r>
      <w:r w:rsidR="0003130C" w:rsidRPr="00E15289">
        <w:rPr>
          <w:rFonts w:ascii="Arial" w:hAnsi="Arial" w:cs="Arial"/>
          <w:u w:color="642A8F"/>
        </w:rPr>
        <w:fldChar w:fldCharType="separate"/>
      </w:r>
      <w:r w:rsidR="00A82711" w:rsidRPr="00E15289">
        <w:rPr>
          <w:rFonts w:ascii="Arial" w:hAnsi="Arial" w:cs="Arial"/>
          <w:noProof/>
          <w:u w:color="642A8F"/>
        </w:rPr>
        <w:t>(43)</w:t>
      </w:r>
      <w:r w:rsidR="0003130C" w:rsidRPr="00E15289">
        <w:rPr>
          <w:rFonts w:ascii="Arial" w:hAnsi="Arial" w:cs="Arial"/>
          <w:u w:color="642A8F"/>
        </w:rPr>
        <w:fldChar w:fldCharType="end"/>
      </w:r>
      <w:r w:rsidRPr="00E15289">
        <w:rPr>
          <w:rFonts w:ascii="Arial" w:hAnsi="Arial" w:cs="Arial"/>
          <w:u w:color="642A8F"/>
        </w:rPr>
        <w:t xml:space="preserve"> but this is the first indication that AKAP9 is influenced by hypoxia in prostate cancer cells.</w:t>
      </w:r>
    </w:p>
    <w:p w14:paraId="67B1EEBE" w14:textId="1459FBA7" w:rsidR="001D1A9A" w:rsidRPr="00307E9A" w:rsidRDefault="008D0227" w:rsidP="006D06DA">
      <w:pPr>
        <w:pStyle w:val="FootnoteText"/>
        <w:rPr>
          <w:rFonts w:ascii="Arial" w:hAnsi="Arial" w:cs="Arial"/>
          <w:sz w:val="24"/>
          <w:szCs w:val="24"/>
        </w:rPr>
      </w:pPr>
      <w:r w:rsidRPr="00307E9A">
        <w:rPr>
          <w:rFonts w:ascii="Arial" w:hAnsi="Arial" w:cs="Arial"/>
          <w:sz w:val="24"/>
          <w:szCs w:val="24"/>
          <w:u w:color="642A8F"/>
        </w:rPr>
        <w:t>Finally, in this study, RNA exonuclease 2</w:t>
      </w:r>
      <w:r w:rsidR="0069171E" w:rsidRPr="00307E9A">
        <w:rPr>
          <w:rFonts w:ascii="Arial" w:hAnsi="Arial" w:cs="Arial"/>
          <w:sz w:val="24"/>
          <w:szCs w:val="24"/>
          <w:u w:color="642A8F"/>
        </w:rPr>
        <w:t xml:space="preserve"> (</w:t>
      </w:r>
      <w:r w:rsidR="0069171E" w:rsidRPr="00307E9A">
        <w:rPr>
          <w:rFonts w:ascii="Arial" w:hAnsi="Arial" w:cs="Arial"/>
          <w:bCs/>
          <w:sz w:val="24"/>
          <w:szCs w:val="24"/>
          <w:u w:color="642A8F"/>
        </w:rPr>
        <w:t>REXO2</w:t>
      </w:r>
      <w:r w:rsidRPr="00307E9A">
        <w:rPr>
          <w:rFonts w:ascii="Arial" w:hAnsi="Arial" w:cs="Arial"/>
          <w:sz w:val="24"/>
          <w:szCs w:val="24"/>
          <w:u w:color="642A8F"/>
        </w:rPr>
        <w:t xml:space="preserve">) was increased in hypoxic conditions compared with </w:t>
      </w:r>
      <w:proofErr w:type="spellStart"/>
      <w:r w:rsidRPr="00307E9A">
        <w:rPr>
          <w:rFonts w:ascii="Arial" w:hAnsi="Arial" w:cs="Arial"/>
          <w:sz w:val="24"/>
          <w:szCs w:val="24"/>
          <w:u w:color="642A8F"/>
        </w:rPr>
        <w:t>normoxic</w:t>
      </w:r>
      <w:proofErr w:type="spellEnd"/>
      <w:r w:rsidRPr="00307E9A">
        <w:rPr>
          <w:rFonts w:ascii="Arial" w:hAnsi="Arial" w:cs="Arial"/>
          <w:sz w:val="24"/>
          <w:szCs w:val="24"/>
          <w:u w:color="642A8F"/>
        </w:rPr>
        <w:t xml:space="preserve">. The REXO2 gene encodes a 3'-to-5' exonuclease specific for </w:t>
      </w:r>
      <w:r w:rsidRPr="00307E9A">
        <w:rPr>
          <w:rFonts w:ascii="Arial" w:hAnsi="Arial" w:cs="Arial"/>
          <w:sz w:val="24"/>
          <w:szCs w:val="24"/>
          <w:u w:color="642A8F"/>
        </w:rPr>
        <w:lastRenderedPageBreak/>
        <w:t>small single-stranded RNA and DNA oligomers. It has a possible role in DNA repair and in RNA processing and degradation. It is highly expressed in prostate</w:t>
      </w:r>
      <w:r w:rsidR="00EA0B8D" w:rsidRPr="00307E9A">
        <w:rPr>
          <w:rFonts w:ascii="Arial" w:hAnsi="Arial" w:cs="Arial"/>
          <w:sz w:val="24"/>
          <w:szCs w:val="24"/>
          <w:u w:color="642A8F"/>
        </w:rPr>
        <w:t xml:space="preserve"> tissue</w:t>
      </w:r>
      <w:r w:rsidR="006D06DA" w:rsidRPr="00307E9A">
        <w:rPr>
          <w:rFonts w:ascii="Arial" w:hAnsi="Arial" w:cs="Arial"/>
          <w:sz w:val="24"/>
          <w:szCs w:val="24"/>
          <w:u w:color="642A8F"/>
        </w:rPr>
        <w:t xml:space="preserve"> (</w:t>
      </w:r>
      <w:hyperlink r:id="rId7" w:anchor="gene-expression" w:history="1">
        <w:r w:rsidR="006D06DA" w:rsidRPr="00307E9A">
          <w:rPr>
            <w:rStyle w:val="Hyperlink"/>
            <w:rFonts w:ascii="Arial" w:hAnsi="Arial" w:cs="Arial"/>
            <w:sz w:val="24"/>
            <w:szCs w:val="24"/>
            <w:u w:color="000000"/>
          </w:rPr>
          <w:t>https://www.ncbi.nlm.nih.gov/gene/25996#gene-expression</w:t>
        </w:r>
      </w:hyperlink>
      <w:r w:rsidR="006D06DA" w:rsidRPr="00307E9A">
        <w:rPr>
          <w:rFonts w:ascii="Arial" w:hAnsi="Arial" w:cs="Arial"/>
          <w:sz w:val="24"/>
          <w:szCs w:val="24"/>
          <w:u w:val="single" w:color="000000"/>
        </w:rPr>
        <w:t xml:space="preserve">,  </w:t>
      </w:r>
      <w:hyperlink r:id="rId8" w:history="1">
        <w:r w:rsidR="006D06DA" w:rsidRPr="00307E9A">
          <w:rPr>
            <w:rStyle w:val="Hyperlink"/>
            <w:rFonts w:ascii="Arial" w:hAnsi="Arial" w:cs="Arial"/>
            <w:sz w:val="24"/>
            <w:szCs w:val="24"/>
          </w:rPr>
          <w:t>https://www.proteinatlas.org/ENSG00000076043-REXO2/pathology</w:t>
        </w:r>
      </w:hyperlink>
      <w:r w:rsidR="006D06DA" w:rsidRPr="00307E9A">
        <w:rPr>
          <w:rStyle w:val="Hyperlink"/>
          <w:rFonts w:ascii="Arial" w:hAnsi="Arial" w:cs="Arial"/>
          <w:sz w:val="24"/>
          <w:szCs w:val="24"/>
        </w:rPr>
        <w:t>)</w:t>
      </w:r>
      <w:r w:rsidRPr="00307E9A">
        <w:rPr>
          <w:rFonts w:ascii="Arial" w:hAnsi="Arial" w:cs="Arial"/>
          <w:sz w:val="24"/>
          <w:szCs w:val="24"/>
          <w:u w:color="642A8F"/>
        </w:rPr>
        <w:t>. A role for the REXO2 protein in hypoxic prostate cancer cells is not known. However, the increased expression of this protein and the others described here may provide valuable insights into the response of prostate cancer cells in the hypoxic environment</w:t>
      </w:r>
      <w:r w:rsidR="008D16AC" w:rsidRPr="00307E9A">
        <w:rPr>
          <w:rFonts w:ascii="Arial" w:hAnsi="Arial" w:cs="Arial"/>
          <w:sz w:val="24"/>
          <w:szCs w:val="24"/>
          <w:u w:color="642A8F"/>
        </w:rPr>
        <w:t>.</w:t>
      </w:r>
      <w:r w:rsidRPr="00307E9A">
        <w:rPr>
          <w:rFonts w:ascii="Arial" w:hAnsi="Arial" w:cs="Arial"/>
          <w:sz w:val="24"/>
          <w:szCs w:val="24"/>
          <w:u w:color="642A8F"/>
        </w:rPr>
        <w:t xml:space="preserve"> </w:t>
      </w:r>
    </w:p>
    <w:p w14:paraId="4F7079E5" w14:textId="77777777" w:rsidR="00307E9A" w:rsidRDefault="00307E9A" w:rsidP="003A53C8">
      <w:pPr>
        <w:spacing w:afterLines="80" w:after="192" w:line="400" w:lineRule="exact"/>
        <w:jc w:val="both"/>
        <w:rPr>
          <w:rFonts w:ascii="Arial" w:eastAsia="Arial" w:hAnsi="Arial" w:cs="Arial"/>
          <w:i/>
          <w:lang w:val="en-GB"/>
        </w:rPr>
      </w:pPr>
    </w:p>
    <w:p w14:paraId="1DFA64B1" w14:textId="6762AC14" w:rsidR="003A53C8" w:rsidRPr="00E15289" w:rsidRDefault="003A53C8" w:rsidP="003A53C8">
      <w:pPr>
        <w:spacing w:afterLines="80" w:after="192" w:line="400" w:lineRule="exact"/>
        <w:jc w:val="both"/>
        <w:rPr>
          <w:rFonts w:ascii="Arial" w:eastAsia="Arial" w:hAnsi="Arial" w:cs="Arial"/>
          <w:i/>
          <w:lang w:val="en-GB"/>
        </w:rPr>
      </w:pPr>
      <w:r w:rsidRPr="00E15289">
        <w:rPr>
          <w:rFonts w:ascii="Arial" w:eastAsia="Arial" w:hAnsi="Arial" w:cs="Arial"/>
          <w:i/>
          <w:lang w:val="en-GB"/>
        </w:rPr>
        <w:t xml:space="preserve">Proteome patterns of hypoxic prostate cells treated with </w:t>
      </w:r>
      <w:r w:rsidR="002B48EE" w:rsidRPr="00E15289">
        <w:rPr>
          <w:rFonts w:ascii="Arial" w:eastAsia="Arial" w:hAnsi="Arial" w:cs="Arial"/>
          <w:i/>
          <w:lang w:val="en-GB"/>
        </w:rPr>
        <w:t xml:space="preserve">NSAID or </w:t>
      </w:r>
      <w:r w:rsidRPr="00E15289">
        <w:rPr>
          <w:rFonts w:ascii="Arial" w:eastAsia="Arial" w:hAnsi="Arial" w:cs="Arial"/>
          <w:i/>
          <w:lang w:val="en-GB"/>
        </w:rPr>
        <w:t>NO-NSAID</w:t>
      </w:r>
    </w:p>
    <w:p w14:paraId="6BD484EF" w14:textId="1B4E8E88" w:rsidR="003A53C8" w:rsidRPr="00E15289" w:rsidRDefault="003A53C8" w:rsidP="003A53C8">
      <w:pPr>
        <w:spacing w:afterLines="80" w:after="192" w:line="400" w:lineRule="exact"/>
        <w:jc w:val="both"/>
        <w:rPr>
          <w:rFonts w:ascii="Arial" w:hAnsi="Arial" w:cs="Arial"/>
          <w:u w:color="642A8F"/>
        </w:rPr>
      </w:pPr>
      <w:r w:rsidRPr="00E15289">
        <w:rPr>
          <w:rFonts w:ascii="Arial" w:eastAsia="Arial" w:hAnsi="Arial" w:cs="Arial"/>
          <w:lang w:val="en-GB"/>
        </w:rPr>
        <w:t xml:space="preserve">Our earlier genomic studies following the </w:t>
      </w:r>
      <w:r w:rsidR="00587B72" w:rsidRPr="00E15289">
        <w:rPr>
          <w:rFonts w:ascii="Arial" w:eastAsia="Arial" w:hAnsi="Arial" w:cs="Arial"/>
          <w:lang w:val="en-GB"/>
        </w:rPr>
        <w:t xml:space="preserve">combined </w:t>
      </w:r>
      <w:r w:rsidRPr="00E15289">
        <w:rPr>
          <w:rFonts w:ascii="Arial" w:eastAsia="Arial" w:hAnsi="Arial" w:cs="Arial"/>
          <w:lang w:val="en-GB"/>
        </w:rPr>
        <w:t xml:space="preserve">hypoxic </w:t>
      </w:r>
      <w:r w:rsidR="00587B72" w:rsidRPr="00E15289">
        <w:rPr>
          <w:rFonts w:ascii="Arial" w:eastAsia="Arial" w:hAnsi="Arial" w:cs="Arial"/>
          <w:lang w:val="en-GB"/>
        </w:rPr>
        <w:t xml:space="preserve">treatment of </w:t>
      </w:r>
      <w:r w:rsidRPr="00E15289">
        <w:rPr>
          <w:rFonts w:ascii="Arial" w:eastAsia="Arial" w:hAnsi="Arial" w:cs="Arial"/>
          <w:lang w:val="en-GB"/>
        </w:rPr>
        <w:t xml:space="preserve">PC-3 cells </w:t>
      </w:r>
      <w:r w:rsidR="00587B72" w:rsidRPr="00E15289">
        <w:rPr>
          <w:rFonts w:ascii="Arial" w:eastAsia="Arial" w:hAnsi="Arial" w:cs="Arial"/>
          <w:lang w:val="en-GB"/>
        </w:rPr>
        <w:t>and</w:t>
      </w:r>
      <w:r w:rsidRPr="00E15289">
        <w:rPr>
          <w:rFonts w:ascii="Arial" w:eastAsia="Arial" w:hAnsi="Arial" w:cs="Arial"/>
          <w:lang w:val="en-GB"/>
        </w:rPr>
        <w:t xml:space="preserve"> </w:t>
      </w:r>
      <w:r w:rsidR="007C29FD" w:rsidRPr="00E15289">
        <w:rPr>
          <w:rFonts w:ascii="Arial" w:eastAsia="Arial" w:hAnsi="Arial" w:cs="Arial"/>
          <w:lang w:val="en-GB"/>
        </w:rPr>
        <w:t>NO-Su</w:t>
      </w:r>
      <w:r w:rsidRPr="00E15289">
        <w:rPr>
          <w:rFonts w:ascii="Arial" w:eastAsia="Arial" w:hAnsi="Arial" w:cs="Arial"/>
          <w:lang w:val="en-GB"/>
        </w:rPr>
        <w:t>lindac</w:t>
      </w:r>
      <w:r w:rsidR="00587B72" w:rsidRPr="00E15289">
        <w:rPr>
          <w:rFonts w:ascii="Arial" w:eastAsia="Arial" w:hAnsi="Arial" w:cs="Arial"/>
          <w:lang w:val="en-GB"/>
        </w:rPr>
        <w:t xml:space="preserve"> inhibition</w:t>
      </w:r>
      <w:r w:rsidRPr="00E15289">
        <w:rPr>
          <w:rFonts w:ascii="Arial" w:eastAsia="Arial" w:hAnsi="Arial" w:cs="Arial"/>
          <w:lang w:val="en-GB"/>
        </w:rPr>
        <w:t xml:space="preserve"> demonstrated significant changes in gene expression (32) but whether these were replicated</w:t>
      </w:r>
      <w:r w:rsidR="00EB53DC" w:rsidRPr="00E15289">
        <w:rPr>
          <w:rFonts w:ascii="Arial" w:eastAsia="Arial" w:hAnsi="Arial" w:cs="Arial"/>
          <w:lang w:val="en-GB"/>
        </w:rPr>
        <w:t xml:space="preserve"> or complemented</w:t>
      </w:r>
      <w:r w:rsidRPr="00E15289">
        <w:rPr>
          <w:rFonts w:ascii="Arial" w:eastAsia="Arial" w:hAnsi="Arial" w:cs="Arial"/>
          <w:lang w:val="en-GB"/>
        </w:rPr>
        <w:t xml:space="preserve"> by their protein profiles had not been investigated. In the present study we extended our network analysis to include genes of which the mRNA expression was changed following treatment with NO-NSAID under hypoxic conditions.</w:t>
      </w:r>
      <w:r w:rsidR="001D1A9A" w:rsidRPr="00E15289">
        <w:rPr>
          <w:rFonts w:ascii="Arial" w:eastAsia="Arial" w:hAnsi="Arial" w:cs="Arial"/>
          <w:lang w:val="en-GB"/>
        </w:rPr>
        <w:t xml:space="preserve"> </w:t>
      </w:r>
      <w:r w:rsidRPr="00E15289">
        <w:rPr>
          <w:rFonts w:ascii="Arial" w:eastAsia="Arial" w:hAnsi="Arial" w:cs="Arial"/>
          <w:lang w:val="en-GB"/>
        </w:rPr>
        <w:t xml:space="preserve">These patterns were confirmed in more than one study and with a likelihood to demonstrate changeable proteins with the onset of hypoxia </w:t>
      </w:r>
      <w:r w:rsidRPr="00E15289">
        <w:rPr>
          <w:rFonts w:ascii="Arial" w:eastAsia="Arial" w:hAnsi="Arial" w:cs="Arial"/>
          <w:lang w:val="en-GB"/>
        </w:rPr>
        <w:fldChar w:fldCharType="begin" w:fldLock="1"/>
      </w:r>
      <w:r w:rsidR="00782E8D" w:rsidRPr="00E15289">
        <w:rPr>
          <w:rFonts w:ascii="Arial" w:eastAsia="Arial" w:hAnsi="Arial" w:cs="Arial"/>
          <w:lang w:val="en-GB"/>
        </w:rPr>
        <w:instrText>ADDIN CSL_CITATION {"citationItems":[{"id":"ITEM-1","itemData":{"DOI":"10.1002/ijc.23934","ISSN":"00207136","abstract":"Nitric oxide-donating non-steroidal anti-inflammatory drugs are safer than traditional NSAIDs and inhibit the growth of prostate cancer cells with greater potency than NSAIDs. In vivo, prostate cancer deposits are found in a hypoxic environment which induces resistance to chemotherapy. The aim of this study was to assess the effects and mechanism of action of a NO-NSAID called NO-sulindac on the PC-3 prostate cancer cell line under hypoxic conditions. NO-sulindac was found to have pro-apoptotic, cytotoxic, and anti-invasive effect on PC-3 cells under normoxia and hypoxia. NO-sulindac was significantly more cytotoxic than sulindac at all oxygen levels. The sulindac/linker and NO-releasing subunits both contributed to the cytotoxic effects of NO-sulindac. Resistance of PC-3 cells to NO-sulindac was induced as the oxygen concentration declined. Hypoxia-induced chemoresistance was reversed by knocking-down hypoxia-inducible factor-1alpha (HIF-1alpha) mRNA using RNAi. Nuclear HIF-1alpha levels were upregulated at 0.2% oxygen but reduced by treatment with NO-sulindac, as was Akt phosphorylation. NO-sulindac treatment of hypoxic PC-3 cells transfected with a reporter construct, downregulated activation of the hypoxia response element (HRE) promoter. Co-transfection of PC-3 cells with the HRE promoter reporter construct and myr-Akt (constitutively active Akt) plasmids reversed the NO-sulindac induced reduction in HRE activation. Real-time polymerase chain reaction analysis of hypoxic, NO-sulindac treated PC-3 cells showed downregulation of lysyl oxidase and carbonic anhydrase IX mRNA expression. Collectively, these novel findings demonstrate that NO-sulindac directly inhibits the hypoxia response of PC-3 prostate cancer cells by inhibiting HIF-1alpha translation via the Akt signalling pathway. The ability of NO-sulindac to inhibit tumour adaption to hypoxia has considerable relevance to the future management of prostate cancer with the same cellular properties as PC-3.","author":[{"dropping-particle":"","family":"Stewart","given":"Grant D.","non-dropping-particle":"","parse-names":false,"suffix":""},{"dropping-particle":"","family":"Nanda","given":"Jyoti","non-dropping-particle":"","parse-names":false,"suffix":""},{"dropping-particle":"","family":"Brown","given":"David J.G.","non-dropping-particle":"","parse-names":false,"suffix":""},{"dropping-particle":"","family":"Riddick","given":"Antony C.P.","non-dropping-particle":"","parse-names":false,"suffix":""},{"dropping-particle":"","family":"Ross","given":"James A.","non-dropping-particle":"","parse-names":false,"suffix":""},{"dropping-particle":"","family":"Habib","given":"Fouad K.","non-dropping-particle":"","parse-names":false,"suffix":""}],"container-title":"International Journal of Cancer","id":"ITEM-1","issued":{"date-parts":[["2009"]]},"title":"NO-sulindac inhibits the hypoxia response of PC-3 prostate cancer cells via the Akt signalling pathway","type":"article-journal"},"uris":["http://www.mendeley.com/documents/?uuid=ec7a4365-3523-4654-b020-bbca2fa7d351"]},{"id":"ITEM-2","itemData":{"author":[{"dropping-particle":"","family":"Gallagher","given":"Iain J","non-dropping-particle":"","parse-names":false,"suffix":""},{"dropping-particle":"","family":"Stewart","given":"Grant D","non-dropping-particle":"","parse-names":false,"suffix":""},{"dropping-particle":"","family":"Nanda","given":"Jyoti","non-dropping-particle":"","parse-names":false,"suffix":""},{"dropping-particle":"","family":"Riddick","given":"Antony CP","non-dropping-particle":"","parse-names":false,"suffix":""},{"dropping-particle":"","family":"Habib","given":"Fouad K","non-dropping-particle":"","parse-names":false,"suffix":""},{"dropping-particle":"","family":"Ross","given":"James A","non-dropping-particle":"","parse-names":false,"suffix":""}],"id":"ITEM-2","issued":{"date-parts":[["2019"]]},"title":"Global Changes in Gene Expression in Normoxic and Hypoxic Prostate Cancer and the influence of NO-Sulindac","type":"article-journal"},"uris":["http://www.mendeley.com/documents/?uuid=5a4a9181-bfa2-4661-b88f-fbfbc8a6cc73"]}],"mendeley":{"formattedCitation":"(14,34)","plainTextFormattedCitation":"(14,34)","previouslyFormattedCitation":"(14,34)"},"properties":{"noteIndex":0},"schema":"https://github.com/citation-style-language/schema/raw/master/csl-citation.json"}</w:instrText>
      </w:r>
      <w:r w:rsidRPr="00E15289">
        <w:rPr>
          <w:rFonts w:ascii="Arial" w:eastAsia="Arial" w:hAnsi="Arial" w:cs="Arial"/>
          <w:lang w:val="en-GB"/>
        </w:rPr>
        <w:fldChar w:fldCharType="separate"/>
      </w:r>
      <w:r w:rsidR="00A82711" w:rsidRPr="00E15289">
        <w:rPr>
          <w:rFonts w:ascii="Arial" w:eastAsia="Arial" w:hAnsi="Arial" w:cs="Arial"/>
          <w:noProof/>
          <w:lang w:val="en-GB"/>
        </w:rPr>
        <w:t>(14,34)</w:t>
      </w:r>
      <w:r w:rsidRPr="00E15289">
        <w:rPr>
          <w:rFonts w:ascii="Arial" w:eastAsia="Arial" w:hAnsi="Arial" w:cs="Arial"/>
          <w:lang w:val="en-GB"/>
        </w:rPr>
        <w:fldChar w:fldCharType="end"/>
      </w:r>
      <w:r w:rsidR="00EA0B8D" w:rsidRPr="00E15289">
        <w:rPr>
          <w:rFonts w:ascii="Arial" w:eastAsia="Arial" w:hAnsi="Arial" w:cs="Arial"/>
          <w:lang w:val="en-GB"/>
        </w:rPr>
        <w:t>.</w:t>
      </w:r>
      <w:r w:rsidRPr="00E15289">
        <w:rPr>
          <w:rFonts w:ascii="Arial" w:eastAsia="Arial" w:hAnsi="Arial" w:cs="Arial"/>
          <w:lang w:val="en-GB"/>
        </w:rPr>
        <w:t xml:space="preserve"> </w:t>
      </w:r>
      <w:r w:rsidR="00EA0B8D" w:rsidRPr="00E15289">
        <w:rPr>
          <w:rFonts w:ascii="Arial" w:eastAsia="Arial" w:hAnsi="Arial" w:cs="Arial"/>
          <w:lang w:val="en-GB"/>
        </w:rPr>
        <w:t>They</w:t>
      </w:r>
      <w:r w:rsidRPr="00E15289">
        <w:rPr>
          <w:rFonts w:ascii="Arial" w:eastAsia="Arial" w:hAnsi="Arial" w:cs="Arial"/>
          <w:lang w:val="en-GB"/>
        </w:rPr>
        <w:t xml:space="preserve"> include</w:t>
      </w:r>
      <w:r w:rsidRPr="00E15289">
        <w:rPr>
          <w:rFonts w:ascii="Arial" w:eastAsia="Arial" w:hAnsi="Arial" w:cs="Arial"/>
          <w:i/>
          <w:lang w:val="en-GB"/>
        </w:rPr>
        <w:t xml:space="preserve"> PHD1 (EGLN2), PHD2 (EGLN1), VHL, FOXA2, IGFPP3, CITED2, SIAH1, FLT1, GLUT4 (SLC2A4), CA9, TGFb3, BNIP3, GLUT1</w:t>
      </w:r>
      <w:r w:rsidR="00B012D3" w:rsidRPr="00E15289">
        <w:rPr>
          <w:rFonts w:ascii="Arial" w:eastAsia="Arial" w:hAnsi="Arial" w:cs="Arial"/>
          <w:i/>
          <w:lang w:val="en-GB"/>
        </w:rPr>
        <w:t xml:space="preserve"> (SLC2A1)</w:t>
      </w:r>
      <w:r w:rsidRPr="00E15289">
        <w:rPr>
          <w:rFonts w:ascii="Arial" w:eastAsia="Arial" w:hAnsi="Arial" w:cs="Arial"/>
          <w:i/>
          <w:lang w:val="en-GB"/>
        </w:rPr>
        <w:t xml:space="preserve">, LOX5 </w:t>
      </w:r>
      <w:r w:rsidRPr="00E15289">
        <w:rPr>
          <w:rFonts w:ascii="Arial" w:eastAsia="Arial" w:hAnsi="Arial" w:cs="Arial"/>
          <w:lang w:val="en-GB"/>
        </w:rPr>
        <w:t>and</w:t>
      </w:r>
      <w:r w:rsidRPr="00E15289">
        <w:rPr>
          <w:rFonts w:ascii="Arial" w:eastAsia="Arial" w:hAnsi="Arial" w:cs="Arial"/>
          <w:i/>
          <w:lang w:val="en-GB"/>
        </w:rPr>
        <w:t xml:space="preserve"> FOXO3</w:t>
      </w:r>
      <w:r w:rsidRPr="00E15289">
        <w:rPr>
          <w:rFonts w:ascii="Arial" w:eastAsia="Arial" w:hAnsi="Arial" w:cs="Arial"/>
          <w:lang w:val="en-GB"/>
        </w:rPr>
        <w:t>. The gene network analysis of the differentially expressed proteins and genes in prostate cancer tissue</w:t>
      </w:r>
      <w:r w:rsidRPr="00E15289">
        <w:rPr>
          <w:rFonts w:ascii="Arial" w:eastAsia="Arial" w:hAnsi="Arial" w:cs="Arial"/>
          <w:b/>
          <w:lang w:val="en-GB"/>
        </w:rPr>
        <w:t xml:space="preserve"> </w:t>
      </w:r>
      <w:r w:rsidRPr="00E15289">
        <w:rPr>
          <w:rFonts w:ascii="Arial" w:eastAsia="Arial" w:hAnsi="Arial" w:cs="Arial"/>
          <w:lang w:val="en-GB"/>
        </w:rPr>
        <w:t xml:space="preserve">is graphically summarised in </w:t>
      </w:r>
      <w:r w:rsidRPr="00E15289">
        <w:rPr>
          <w:rFonts w:ascii="Arial" w:eastAsia="Arial" w:hAnsi="Arial" w:cs="Arial"/>
          <w:b/>
          <w:lang w:val="en-GB"/>
        </w:rPr>
        <w:t xml:space="preserve">Figure </w:t>
      </w:r>
      <w:r w:rsidR="004649F5" w:rsidRPr="00E15289">
        <w:rPr>
          <w:rFonts w:ascii="Arial" w:eastAsia="Arial" w:hAnsi="Arial" w:cs="Arial"/>
          <w:b/>
          <w:lang w:val="en-GB"/>
        </w:rPr>
        <w:t>5</w:t>
      </w:r>
      <w:r w:rsidRPr="00E15289">
        <w:rPr>
          <w:rFonts w:ascii="Arial" w:eastAsia="Arial" w:hAnsi="Arial" w:cs="Arial"/>
          <w:lang w:val="en-GB"/>
        </w:rPr>
        <w:t xml:space="preserve">, showing central roles for the </w:t>
      </w:r>
      <w:r w:rsidRPr="00E15289">
        <w:rPr>
          <w:rFonts w:ascii="Arial" w:eastAsia="Arial" w:hAnsi="Arial" w:cs="Arial"/>
          <w:i/>
          <w:lang w:val="en-GB"/>
        </w:rPr>
        <w:t>VHL</w:t>
      </w:r>
      <w:r w:rsidRPr="00E15289">
        <w:rPr>
          <w:rFonts w:ascii="Arial" w:eastAsia="Arial" w:hAnsi="Arial" w:cs="Arial"/>
          <w:lang w:val="en-GB"/>
        </w:rPr>
        <w:t xml:space="preserve"> gene and AKAP9 protein; both are either directly or indirectly connected to </w:t>
      </w:r>
      <w:proofErr w:type="gramStart"/>
      <w:r w:rsidRPr="00E15289">
        <w:rPr>
          <w:rFonts w:ascii="Arial" w:eastAsia="Arial" w:hAnsi="Arial" w:cs="Arial"/>
          <w:lang w:val="en-GB"/>
        </w:rPr>
        <w:t>the majority of</w:t>
      </w:r>
      <w:proofErr w:type="gramEnd"/>
      <w:r w:rsidRPr="00E15289">
        <w:rPr>
          <w:rFonts w:ascii="Arial" w:eastAsia="Arial" w:hAnsi="Arial" w:cs="Arial"/>
          <w:lang w:val="en-GB"/>
        </w:rPr>
        <w:t xml:space="preserve"> the genes and proteins considered for network analysis a</w:t>
      </w:r>
      <w:r w:rsidR="00EA0B8D" w:rsidRPr="00E15289">
        <w:rPr>
          <w:rFonts w:ascii="Arial" w:eastAsia="Arial" w:hAnsi="Arial" w:cs="Arial"/>
          <w:lang w:val="en-GB"/>
        </w:rPr>
        <w:t>s well as</w:t>
      </w:r>
      <w:r w:rsidRPr="00E15289">
        <w:rPr>
          <w:rFonts w:ascii="Arial" w:eastAsia="Arial" w:hAnsi="Arial" w:cs="Arial"/>
          <w:lang w:val="en-GB"/>
        </w:rPr>
        <w:t xml:space="preserve"> to each other. In addition, </w:t>
      </w:r>
      <w:r w:rsidR="00EA0B8D" w:rsidRPr="00E15289">
        <w:rPr>
          <w:rFonts w:ascii="Arial" w:eastAsia="Arial" w:hAnsi="Arial" w:cs="Arial"/>
          <w:lang w:val="en-GB"/>
        </w:rPr>
        <w:t xml:space="preserve">the </w:t>
      </w:r>
      <w:r w:rsidRPr="00E15289">
        <w:rPr>
          <w:rFonts w:ascii="Arial" w:eastAsia="Arial" w:hAnsi="Arial" w:cs="Arial"/>
          <w:lang w:val="en-GB"/>
        </w:rPr>
        <w:t xml:space="preserve">proteins COL6A1 and PLOD1 are exclusively linked to each other </w:t>
      </w:r>
      <w:proofErr w:type="gramStart"/>
      <w:r w:rsidRPr="00E15289">
        <w:rPr>
          <w:rFonts w:ascii="Arial" w:eastAsia="Arial" w:hAnsi="Arial" w:cs="Arial"/>
          <w:lang w:val="en-GB"/>
        </w:rPr>
        <w:t>and also</w:t>
      </w:r>
      <w:proofErr w:type="gramEnd"/>
      <w:r w:rsidRPr="00E15289">
        <w:rPr>
          <w:rFonts w:ascii="Arial" w:eastAsia="Arial" w:hAnsi="Arial" w:cs="Arial"/>
          <w:lang w:val="en-GB"/>
        </w:rPr>
        <w:t xml:space="preserve"> have a strong connection with the </w:t>
      </w:r>
      <w:r w:rsidRPr="00E15289">
        <w:rPr>
          <w:rFonts w:ascii="Arial" w:eastAsia="Arial" w:hAnsi="Arial" w:cs="Arial"/>
          <w:i/>
          <w:lang w:val="en-GB"/>
        </w:rPr>
        <w:t>VHL</w:t>
      </w:r>
      <w:r w:rsidRPr="00E15289">
        <w:rPr>
          <w:rFonts w:ascii="Arial" w:eastAsia="Arial" w:hAnsi="Arial" w:cs="Arial"/>
          <w:lang w:val="en-GB"/>
        </w:rPr>
        <w:t xml:space="preserve"> gene. Other strong protein interactors included MYL6B and REXO2.</w:t>
      </w:r>
      <w:r w:rsidRPr="00E15289">
        <w:rPr>
          <w:rFonts w:ascii="Arial" w:hAnsi="Arial" w:cs="Arial"/>
          <w:u w:color="642A8F"/>
        </w:rPr>
        <w:t xml:space="preserve"> The proteins specifically </w:t>
      </w:r>
      <w:r w:rsidR="00587B72" w:rsidRPr="00E15289">
        <w:rPr>
          <w:rFonts w:ascii="Arial" w:hAnsi="Arial" w:cs="Arial"/>
          <w:u w:color="642A8F"/>
        </w:rPr>
        <w:t>altered within</w:t>
      </w:r>
      <w:r w:rsidRPr="00E15289">
        <w:rPr>
          <w:rFonts w:ascii="Arial" w:hAnsi="Arial" w:cs="Arial"/>
          <w:u w:color="642A8F"/>
        </w:rPr>
        <w:t xml:space="preserve"> </w:t>
      </w:r>
      <w:r w:rsidR="00587B72" w:rsidRPr="00E15289">
        <w:rPr>
          <w:rFonts w:ascii="Arial" w:hAnsi="Arial" w:cs="Arial"/>
          <w:u w:color="642A8F"/>
        </w:rPr>
        <w:t xml:space="preserve">the </w:t>
      </w:r>
      <w:r w:rsidRPr="00E15289">
        <w:rPr>
          <w:rFonts w:ascii="Arial" w:hAnsi="Arial" w:cs="Arial"/>
          <w:u w:color="642A8F"/>
        </w:rPr>
        <w:t>PC-3 proteome because of drug treatment under hypoxic conditions, as detected using hypothesis</w:t>
      </w:r>
      <w:r w:rsidR="00E357FA" w:rsidRPr="00E15289">
        <w:rPr>
          <w:rFonts w:ascii="Arial" w:hAnsi="Arial" w:cs="Arial"/>
          <w:u w:color="642A8F"/>
        </w:rPr>
        <w:t>-</w:t>
      </w:r>
      <w:r w:rsidRPr="00E15289">
        <w:rPr>
          <w:rFonts w:ascii="Arial" w:hAnsi="Arial" w:cs="Arial"/>
          <w:u w:color="642A8F"/>
        </w:rPr>
        <w:t xml:space="preserve">driven analysis and passing both OPLS-DA and Student’s T-test discriminant analysis, are summarized in </w:t>
      </w:r>
      <w:r w:rsidRPr="00E15289">
        <w:rPr>
          <w:rFonts w:ascii="Arial" w:hAnsi="Arial" w:cs="Arial"/>
          <w:b/>
          <w:u w:color="642A8F"/>
        </w:rPr>
        <w:t>Table 2</w:t>
      </w:r>
      <w:r w:rsidR="004649F5" w:rsidRPr="00E15289">
        <w:rPr>
          <w:rFonts w:ascii="Arial" w:hAnsi="Arial" w:cs="Arial"/>
          <w:b/>
          <w:u w:color="642A8F"/>
        </w:rPr>
        <w:t>, Figure 6</w:t>
      </w:r>
      <w:r w:rsidRPr="00E15289">
        <w:rPr>
          <w:rFonts w:ascii="Arial" w:hAnsi="Arial" w:cs="Arial"/>
          <w:b/>
          <w:u w:color="642A8F"/>
        </w:rPr>
        <w:t xml:space="preserve"> </w:t>
      </w:r>
      <w:r w:rsidRPr="00E15289">
        <w:rPr>
          <w:rFonts w:ascii="Arial" w:hAnsi="Arial" w:cs="Arial"/>
          <w:u w:color="642A8F"/>
        </w:rPr>
        <w:t xml:space="preserve">and </w:t>
      </w:r>
      <w:r w:rsidRPr="00E15289">
        <w:rPr>
          <w:rFonts w:ascii="Arial" w:hAnsi="Arial" w:cs="Arial"/>
          <w:b/>
          <w:u w:color="642A8F"/>
        </w:rPr>
        <w:t>Supplementary</w:t>
      </w:r>
      <w:r w:rsidRPr="00E15289">
        <w:rPr>
          <w:rFonts w:ascii="Arial" w:hAnsi="Arial" w:cs="Arial"/>
          <w:u w:color="642A8F"/>
        </w:rPr>
        <w:t xml:space="preserve"> </w:t>
      </w:r>
      <w:r w:rsidRPr="00E15289">
        <w:rPr>
          <w:rFonts w:ascii="Arial" w:hAnsi="Arial" w:cs="Arial"/>
          <w:b/>
          <w:u w:color="642A8F"/>
        </w:rPr>
        <w:t xml:space="preserve">Figure </w:t>
      </w:r>
      <w:r w:rsidR="004649F5" w:rsidRPr="00E15289">
        <w:rPr>
          <w:rFonts w:ascii="Arial" w:hAnsi="Arial" w:cs="Arial"/>
          <w:b/>
          <w:u w:color="642A8F"/>
        </w:rPr>
        <w:t>5</w:t>
      </w:r>
      <w:r w:rsidR="00307E9A">
        <w:rPr>
          <w:rFonts w:ascii="Arial" w:hAnsi="Arial" w:cs="Arial"/>
          <w:b/>
          <w:u w:color="642A8F"/>
        </w:rPr>
        <w:t xml:space="preserve"> &amp; 6</w:t>
      </w:r>
      <w:r w:rsidR="003C36C5" w:rsidRPr="00E15289">
        <w:rPr>
          <w:rFonts w:ascii="Arial" w:hAnsi="Arial" w:cs="Arial"/>
          <w:u w:color="642A8F"/>
        </w:rPr>
        <w:t>.</w:t>
      </w:r>
    </w:p>
    <w:p w14:paraId="023FBAAD" w14:textId="2E591BC9" w:rsidR="008D7E2B" w:rsidRPr="00E15289" w:rsidRDefault="00162D48" w:rsidP="00421507">
      <w:pPr>
        <w:spacing w:afterLines="80" w:after="192" w:line="400" w:lineRule="exact"/>
        <w:jc w:val="both"/>
        <w:rPr>
          <w:rFonts w:ascii="Arial" w:hAnsi="Arial" w:cs="Arial"/>
          <w:u w:color="642A8F"/>
        </w:rPr>
      </w:pPr>
      <w:r w:rsidRPr="00E15289">
        <w:rPr>
          <w:rFonts w:ascii="Arial" w:hAnsi="Arial" w:cs="Arial"/>
          <w:u w:color="642A8F"/>
        </w:rPr>
        <w:t>HNRNPA1L</w:t>
      </w:r>
      <w:r w:rsidR="001E2D25" w:rsidRPr="00E15289">
        <w:rPr>
          <w:rFonts w:ascii="Arial" w:hAnsi="Arial" w:cs="Arial"/>
          <w:u w:color="642A8F"/>
        </w:rPr>
        <w:t xml:space="preserve"> (RA1L2) </w:t>
      </w:r>
      <w:r w:rsidR="00BC3989" w:rsidRPr="00E15289">
        <w:rPr>
          <w:rFonts w:ascii="Arial" w:hAnsi="Arial" w:cs="Arial"/>
          <w:u w:color="642A8F"/>
        </w:rPr>
        <w:t xml:space="preserve">and PCNA </w:t>
      </w:r>
      <w:r w:rsidR="004649F5" w:rsidRPr="00E15289">
        <w:rPr>
          <w:rFonts w:ascii="Arial" w:hAnsi="Arial" w:cs="Arial"/>
          <w:u w:color="642A8F"/>
        </w:rPr>
        <w:t>were</w:t>
      </w:r>
      <w:r w:rsidR="00BC3989" w:rsidRPr="00E15289">
        <w:rPr>
          <w:rFonts w:ascii="Arial" w:hAnsi="Arial" w:cs="Arial"/>
          <w:u w:color="642A8F"/>
        </w:rPr>
        <w:t xml:space="preserve"> shown to be down</w:t>
      </w:r>
      <w:r w:rsidR="002B48EE" w:rsidRPr="00E15289">
        <w:rPr>
          <w:rFonts w:ascii="Arial" w:hAnsi="Arial" w:cs="Arial"/>
          <w:u w:color="642A8F"/>
        </w:rPr>
        <w:t>-</w:t>
      </w:r>
      <w:r w:rsidR="00BC3989" w:rsidRPr="00E15289">
        <w:rPr>
          <w:rFonts w:ascii="Arial" w:hAnsi="Arial" w:cs="Arial"/>
          <w:u w:color="642A8F"/>
        </w:rPr>
        <w:t xml:space="preserve">regulated. HNRNPA1L </w:t>
      </w:r>
      <w:r w:rsidR="00A139CF" w:rsidRPr="00E15289">
        <w:rPr>
          <w:rFonts w:ascii="Arial" w:hAnsi="Arial" w:cs="Arial"/>
          <w:u w:color="642A8F"/>
        </w:rPr>
        <w:t xml:space="preserve">has </w:t>
      </w:r>
      <w:r w:rsidR="004D67D3" w:rsidRPr="00E15289">
        <w:rPr>
          <w:rFonts w:ascii="Arial" w:hAnsi="Arial" w:cs="Arial"/>
          <w:u w:color="642A8F"/>
        </w:rPr>
        <w:t xml:space="preserve">been implicated as a biomarker of not only prostate cancer but other </w:t>
      </w:r>
      <w:r w:rsidR="009C4728" w:rsidRPr="00E15289">
        <w:rPr>
          <w:rFonts w:ascii="Arial" w:hAnsi="Arial" w:cs="Arial"/>
          <w:u w:color="642A8F"/>
        </w:rPr>
        <w:t>cancers</w:t>
      </w:r>
      <w:r w:rsidR="004835DB" w:rsidRPr="00E15289">
        <w:rPr>
          <w:rFonts w:ascii="Arial" w:hAnsi="Arial" w:cs="Arial"/>
          <w:u w:color="642A8F"/>
        </w:rPr>
        <w:t xml:space="preserve"> </w:t>
      </w:r>
      <w:r w:rsidR="004835DB"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{"citationItems":[{"id":"ITEM-1","itemData":{"DOI":"10.1021/pr900365e","ISSN":"15353893","abstract":"Colorectal cancer (CRC) is the third most common cancer worldwide and has poor prognosis. To identify the proteins involved in colorectal carcinogenesis, we employed 2-DE and MALDI-TOF/TOF-based proteomics approach to study the differentially expressed proteins in tumor and adjacent nontumor tissue samples. Samples from 10 colorectal patients were analyzed. Of the 7 significantly and consistently altered proteins identified, hnRNP A1 was one of the most significantly altered proteins and its overexpression was confirmed using RT-PCR and Western blot analyses. Immunohistochemical examination showed that the enhanced expression of hnRNP A1 was correlated with the increasing severity of colorectal tissue and the progression of the colorectal cancer, as well as UICC (International Union against Cancer) staging, histo-differentiation, recurrence and decreased survival. By developing a highly sensitive immunoassay, hnRNP A1 could be detected in human serum and was significantly elevated in CRC patients compared with healthy volunteers. We proposed that hnRNP A1 could be considered as a novel serum tumor marker for CRC that may have significance in the detection and in the management of patients with this disease. Knockdown of hnRNP A1 expression by RNA interference led to the significant suppression of the cell growth in colorectal cancer SW480 cells in vitro. These data suggested that hnRNP A1 may be a potential biomarker for early diagnosis, prognosis, and monitoring in the therapy of colorectal cancer. Further studies are needed to fully assess the potential clinical value of this biomarker candidate.","author":[{"dropping-particle":"","family":"Ma","given":"Yan Lei","non-dropping-particle":"","parse-names":false,"suffix":""},{"dropping-particle":"","family":"Peng","given":"Jia Yuan","non-dropping-particle":"","parse-names":false,"suffix":""},{"dropping-particle":"","family":"Zhang","given":"Peng","non-dropping-particle":"","parse-names":false,"suffix":""},{"dropping-particle":"","family":"Huang","given":"Long","non-dropping-particle":"","parse-names":false,"suffix":""},{"dropping-particle":"","family":"Liu","given":"Wei Jie","non-dropping-particle":"","parse-names":false,"suffix":""},{"dropping-particle":"","family":"Shen","given":"Tong Yi","non-dropping-particle":"","parse-names":false,"suffix":""},{"dropping-particle":"","family":"Chen","given":"Hong Qi","non-dropping-particle":"","parse-names":false,"suffix":""},{"dropping-particle":"","family":"Zhou","given":"Yu Kun","non-dropping-particle":"","parse-names":false,"suffix":""},{"dropping-particle":"","family":"Zhang","given":"Ming","non-dropping-particle":"","parse-names":false,"suffix":""},{"dropping-particle":"","family":"Chu","given":"Zhao Xin","non-dropping-particle":"","parse-names":false,"suffix":""},{"dropping-particle":"","family":"Qin","given":"Huan Long","non-dropping-particle":"","parse-names":false,"suffix":""}],"container-title":"Journal of Proteome Research","id":"ITEM-1","issued":{"date-parts":[["2009"]]},"title":"Heterogeneous nuclear ribonucleoprotein A1 is identified as a potential biomarker for colorectal cancer based on differential proteomics technology","type":"article-journal"},"uris":["http://www.mendeley.com/documents/?uuid=d53e749e-8bdc-4073-bd90-cbf528da56e3"]}],"mendeley":{"formattedCitation":"(44)","plainTextFormattedCitation":"(44)","previouslyFormattedCitation":"(44)"},"properties":{"noteIndex":0},"schema":"https://github.com/citation-style-language/schema/raw/master/csl-citation.json"}</w:instrText>
      </w:r>
      <w:r w:rsidR="004835DB" w:rsidRPr="00E15289">
        <w:rPr>
          <w:rFonts w:ascii="Arial" w:hAnsi="Arial" w:cs="Arial"/>
          <w:u w:color="642A8F"/>
        </w:rPr>
        <w:fldChar w:fldCharType="separate"/>
      </w:r>
      <w:r w:rsidR="00A82711" w:rsidRPr="00E15289">
        <w:rPr>
          <w:rFonts w:ascii="Arial" w:hAnsi="Arial" w:cs="Arial"/>
          <w:noProof/>
          <w:u w:color="642A8F"/>
        </w:rPr>
        <w:t>(44)</w:t>
      </w:r>
      <w:r w:rsidR="004835DB" w:rsidRPr="00E15289">
        <w:rPr>
          <w:rFonts w:ascii="Arial" w:hAnsi="Arial" w:cs="Arial"/>
          <w:u w:color="642A8F"/>
        </w:rPr>
        <w:fldChar w:fldCharType="end"/>
      </w:r>
      <w:r w:rsidR="004D67D3" w:rsidRPr="00E15289">
        <w:rPr>
          <w:rFonts w:ascii="Arial" w:hAnsi="Arial" w:cs="Arial"/>
          <w:u w:color="642A8F"/>
        </w:rPr>
        <w:t xml:space="preserve">, with </w:t>
      </w:r>
      <w:r w:rsidR="00A139CF" w:rsidRPr="00E15289">
        <w:rPr>
          <w:rFonts w:ascii="Arial" w:hAnsi="Arial" w:cs="Arial"/>
          <w:u w:color="642A8F"/>
        </w:rPr>
        <w:t>multiple roles in</w:t>
      </w:r>
      <w:r w:rsidR="009C4728" w:rsidRPr="00E15289">
        <w:rPr>
          <w:rFonts w:ascii="Arial" w:hAnsi="Arial" w:cs="Arial"/>
          <w:u w:color="642A8F"/>
        </w:rPr>
        <w:t>, among other</w:t>
      </w:r>
      <w:r w:rsidR="00AF04CF" w:rsidRPr="00E15289">
        <w:rPr>
          <w:rFonts w:ascii="Arial" w:hAnsi="Arial" w:cs="Arial"/>
          <w:u w:color="642A8F"/>
        </w:rPr>
        <w:t>s</w:t>
      </w:r>
      <w:r w:rsidR="009C4728" w:rsidRPr="00E15289">
        <w:rPr>
          <w:rFonts w:ascii="Arial" w:hAnsi="Arial" w:cs="Arial"/>
          <w:u w:color="642A8F"/>
        </w:rPr>
        <w:t>,</w:t>
      </w:r>
      <w:r w:rsidR="00A139CF" w:rsidRPr="00E15289">
        <w:rPr>
          <w:rFonts w:ascii="Arial" w:hAnsi="Arial" w:cs="Arial"/>
          <w:u w:color="642A8F"/>
        </w:rPr>
        <w:t xml:space="preserve"> binding and transportation</w:t>
      </w:r>
      <w:r w:rsidR="009C4728" w:rsidRPr="00E15289">
        <w:rPr>
          <w:rFonts w:ascii="Arial" w:hAnsi="Arial" w:cs="Arial"/>
          <w:u w:color="642A8F"/>
        </w:rPr>
        <w:t>,</w:t>
      </w:r>
      <w:r w:rsidR="004D67D3" w:rsidRPr="00E15289">
        <w:rPr>
          <w:rFonts w:ascii="Arial" w:hAnsi="Arial" w:cs="Arial"/>
          <w:u w:color="642A8F"/>
        </w:rPr>
        <w:t xml:space="preserve"> includ</w:t>
      </w:r>
      <w:r w:rsidR="009C4728" w:rsidRPr="00E15289">
        <w:rPr>
          <w:rFonts w:ascii="Arial" w:hAnsi="Arial" w:cs="Arial"/>
          <w:u w:color="642A8F"/>
        </w:rPr>
        <w:t>ing</w:t>
      </w:r>
      <w:r w:rsidR="00A139CF" w:rsidRPr="00E15289">
        <w:rPr>
          <w:rFonts w:ascii="Arial" w:hAnsi="Arial" w:cs="Arial"/>
          <w:u w:color="642A8F"/>
        </w:rPr>
        <w:t xml:space="preserve"> the transfer of spliced mRNA from the nucleus. </w:t>
      </w:r>
      <w:proofErr w:type="spellStart"/>
      <w:r w:rsidR="004D67D3" w:rsidRPr="00E15289">
        <w:rPr>
          <w:rFonts w:ascii="Arial" w:hAnsi="Arial" w:cs="Arial"/>
          <w:u w:color="642A8F"/>
        </w:rPr>
        <w:t>Guil</w:t>
      </w:r>
      <w:proofErr w:type="spellEnd"/>
      <w:r w:rsidR="004D67D3" w:rsidRPr="00E15289">
        <w:rPr>
          <w:rFonts w:ascii="Arial" w:hAnsi="Arial" w:cs="Arial"/>
          <w:u w:color="642A8F"/>
        </w:rPr>
        <w:t xml:space="preserve"> </w:t>
      </w:r>
      <w:r w:rsidR="004D67D3" w:rsidRPr="00E15289">
        <w:rPr>
          <w:rFonts w:ascii="Arial" w:hAnsi="Arial" w:cs="Arial"/>
          <w:i/>
          <w:u w:color="642A8F"/>
        </w:rPr>
        <w:t>et al.</w:t>
      </w:r>
      <w:r w:rsidR="004D67D3" w:rsidRPr="00E15289">
        <w:rPr>
          <w:rFonts w:ascii="Arial" w:hAnsi="Arial" w:cs="Arial"/>
          <w:u w:color="642A8F"/>
        </w:rPr>
        <w:t xml:space="preserve"> previously showed the effects of environmental stress factors on HNRNPA1L. Under stress conditions, </w:t>
      </w:r>
      <w:r w:rsidR="009C4728" w:rsidRPr="00E15289">
        <w:rPr>
          <w:rFonts w:ascii="Arial" w:hAnsi="Arial" w:cs="Arial"/>
          <w:u w:color="642A8F"/>
        </w:rPr>
        <w:t>like</w:t>
      </w:r>
      <w:r w:rsidR="004F373D" w:rsidRPr="00E15289">
        <w:rPr>
          <w:rFonts w:ascii="Arial" w:hAnsi="Arial" w:cs="Arial"/>
          <w:u w:color="642A8F"/>
        </w:rPr>
        <w:t xml:space="preserve"> hypoxia</w:t>
      </w:r>
      <w:r w:rsidR="009C4728" w:rsidRPr="00E15289">
        <w:rPr>
          <w:rFonts w:ascii="Arial" w:hAnsi="Arial" w:cs="Arial"/>
          <w:u w:color="642A8F"/>
        </w:rPr>
        <w:t>,</w:t>
      </w:r>
      <w:r w:rsidR="004F373D" w:rsidRPr="00E15289">
        <w:rPr>
          <w:rFonts w:ascii="Arial" w:hAnsi="Arial" w:cs="Arial"/>
          <w:u w:color="642A8F"/>
        </w:rPr>
        <w:t xml:space="preserve"> </w:t>
      </w:r>
      <w:r w:rsidR="004D67D3" w:rsidRPr="00E15289">
        <w:rPr>
          <w:rFonts w:ascii="Arial" w:hAnsi="Arial" w:cs="Arial"/>
          <w:u w:color="642A8F"/>
        </w:rPr>
        <w:t xml:space="preserve">the binding of </w:t>
      </w:r>
      <w:r w:rsidR="003364E1" w:rsidRPr="00E15289">
        <w:rPr>
          <w:rFonts w:ascii="Arial" w:hAnsi="Arial" w:cs="Arial"/>
          <w:u w:color="642A8F"/>
        </w:rPr>
        <w:t>HNRNPA1L to poly(A) mRNA is increased</w:t>
      </w:r>
      <w:r w:rsidR="009C4728" w:rsidRPr="00E15289">
        <w:rPr>
          <w:rFonts w:ascii="Arial" w:hAnsi="Arial" w:cs="Arial"/>
          <w:u w:color="642A8F"/>
        </w:rPr>
        <w:t>,</w:t>
      </w:r>
      <w:r w:rsidR="003364E1" w:rsidRPr="00E15289">
        <w:rPr>
          <w:rFonts w:ascii="Arial" w:hAnsi="Arial" w:cs="Arial"/>
          <w:u w:color="642A8F"/>
        </w:rPr>
        <w:t xml:space="preserve"> </w:t>
      </w:r>
      <w:r w:rsidR="008F2355" w:rsidRPr="00E15289">
        <w:rPr>
          <w:rFonts w:ascii="Arial" w:hAnsi="Arial" w:cs="Arial"/>
          <w:u w:color="642A8F"/>
        </w:rPr>
        <w:t>leading to</w:t>
      </w:r>
      <w:r w:rsidR="004D67D3" w:rsidRPr="00E15289">
        <w:rPr>
          <w:rFonts w:ascii="Arial" w:hAnsi="Arial" w:cs="Arial"/>
          <w:u w:color="642A8F"/>
        </w:rPr>
        <w:t xml:space="preserve"> </w:t>
      </w:r>
      <w:r w:rsidR="00FC7CD7" w:rsidRPr="00E15289">
        <w:rPr>
          <w:rFonts w:ascii="Arial" w:hAnsi="Arial" w:cs="Arial"/>
          <w:u w:color="642A8F"/>
        </w:rPr>
        <w:t xml:space="preserve">its </w:t>
      </w:r>
      <w:r w:rsidR="004D67D3" w:rsidRPr="00E15289">
        <w:rPr>
          <w:rFonts w:ascii="Arial" w:hAnsi="Arial" w:cs="Arial"/>
          <w:u w:color="642A8F"/>
        </w:rPr>
        <w:t>accumulat</w:t>
      </w:r>
      <w:r w:rsidR="008F2355" w:rsidRPr="00E15289">
        <w:rPr>
          <w:rFonts w:ascii="Arial" w:hAnsi="Arial" w:cs="Arial"/>
          <w:u w:color="642A8F"/>
        </w:rPr>
        <w:t>ion</w:t>
      </w:r>
      <w:r w:rsidR="004D67D3" w:rsidRPr="00E15289">
        <w:rPr>
          <w:rFonts w:ascii="Arial" w:hAnsi="Arial" w:cs="Arial"/>
          <w:u w:color="642A8F"/>
        </w:rPr>
        <w:t xml:space="preserve"> </w:t>
      </w:r>
      <w:r w:rsidR="00FC7CD7" w:rsidRPr="00E15289">
        <w:rPr>
          <w:rFonts w:ascii="Arial" w:hAnsi="Arial" w:cs="Arial"/>
          <w:u w:color="642A8F"/>
        </w:rPr>
        <w:t>with</w:t>
      </w:r>
      <w:r w:rsidR="004D67D3" w:rsidRPr="00E15289">
        <w:rPr>
          <w:rFonts w:ascii="Arial" w:hAnsi="Arial" w:cs="Arial"/>
          <w:u w:color="642A8F"/>
        </w:rPr>
        <w:t xml:space="preserve">in the cytoplasm </w:t>
      </w:r>
      <w:r w:rsidR="00791B80" w:rsidRPr="00E15289">
        <w:rPr>
          <w:rFonts w:ascii="Arial" w:hAnsi="Arial" w:cs="Arial"/>
          <w:u w:color="642A8F"/>
        </w:rPr>
        <w:t xml:space="preserve">rather than </w:t>
      </w:r>
      <w:r w:rsidR="009C4728" w:rsidRPr="00E15289">
        <w:rPr>
          <w:rFonts w:ascii="Arial" w:hAnsi="Arial" w:cs="Arial"/>
          <w:u w:color="642A8F"/>
        </w:rPr>
        <w:t xml:space="preserve">its </w:t>
      </w:r>
      <w:r w:rsidR="002B4CBF" w:rsidRPr="00E15289">
        <w:rPr>
          <w:rFonts w:ascii="Arial" w:hAnsi="Arial" w:cs="Arial"/>
          <w:u w:color="642A8F"/>
        </w:rPr>
        <w:t>transfer</w:t>
      </w:r>
      <w:r w:rsidR="00791B80" w:rsidRPr="00E15289">
        <w:rPr>
          <w:rFonts w:ascii="Arial" w:hAnsi="Arial" w:cs="Arial"/>
          <w:u w:color="642A8F"/>
        </w:rPr>
        <w:t xml:space="preserve"> back to the nucleus </w:t>
      </w:r>
      <w:r w:rsidR="004835DB"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{"citationItems":[{"id":"ITEM-1","itemData":{"DOI":"10.1128/mcb.00224-06","ISSN":"0270-7306","abstract":"hnRNP A1 is a nucleocytoplasmic shuttling protein that is involved in many aspects of mRNA metabolism. We have previously shown that activation of the p38 stress-signaling pathway in mammalian cells results in both hyperphosphorylation and cytoplasmic accumulation of hnRNP A1, affecting alternative splicing regulation in vivo. Here we show that the stress-induced cytoplasmic accumulation of hnRNP A1 occurs in discrete phase-dense particles, the cytoplasmic stress granules (SGs). Interestingly, mRNA-binding activity is required for both phosphorylation of hnRNP A1 and localization to SGs. We also show that these effects are mediated by the Mnk1/2 protein kinases that act downstream of p38. Finally, depletion of hnRNP A1 affects the recovery of cells from stress, suggesting a physiologically significant role for hnRNP A1 in the stress response. Our data are consistent with a model whereby hnRNP A1 recruitment to SGs involves Mnk1/2-dependent phosphorylation of mRNA-bound hnRNP A1.","author":[{"dropping-particle":"","family":"Guil","given":"S.","non-dropping-particle":"","parse-names":false,"suffix":""},{"dropping-particle":"","family":"Long","given":"J. C.","non-dropping-particle":"","parse-names":false,"suffix":""},{"dropping-particle":"","family":"Caceres","given":"J. F.","non-dropping-particle":"","parse-names":false,"suffix":""}],"container-title":"Molecular and Cellular Biology","id":"ITEM-1","issued":{"date-parts":[["2006"]]},"title":"hnRNP A1 Relocalization to the Stress Granules Reflects a Role in the Stress Response","type":"article-journal"},"uris":["http://www.mendeley.com/documents/?uuid=e044ec4c-5b5e-47f1-9d4c-faab9c63925f"]}],"mendeley":{"formattedCitation":"(45)","plainTextFormattedCitation":"(45)","previouslyFormattedCitation":"(45)"},"properties":{"noteIndex":0},"schema":"https://github.com/citation-style-language/schema/raw/master/csl-citation.json"}</w:instrText>
      </w:r>
      <w:r w:rsidR="004835DB" w:rsidRPr="00E15289">
        <w:rPr>
          <w:rFonts w:ascii="Arial" w:hAnsi="Arial" w:cs="Arial"/>
          <w:u w:color="642A8F"/>
        </w:rPr>
        <w:fldChar w:fldCharType="separate"/>
      </w:r>
      <w:r w:rsidR="00A82711" w:rsidRPr="00E15289">
        <w:rPr>
          <w:rFonts w:ascii="Arial" w:hAnsi="Arial" w:cs="Arial"/>
          <w:noProof/>
          <w:u w:color="642A8F"/>
        </w:rPr>
        <w:t>(45)</w:t>
      </w:r>
      <w:r w:rsidR="004835DB" w:rsidRPr="00E15289">
        <w:rPr>
          <w:rFonts w:ascii="Arial" w:hAnsi="Arial" w:cs="Arial"/>
          <w:u w:color="642A8F"/>
        </w:rPr>
        <w:fldChar w:fldCharType="end"/>
      </w:r>
      <w:r w:rsidR="004D67D3" w:rsidRPr="00E15289">
        <w:rPr>
          <w:rFonts w:ascii="Arial" w:hAnsi="Arial" w:cs="Arial"/>
          <w:u w:color="642A8F"/>
        </w:rPr>
        <w:t>.</w:t>
      </w:r>
      <w:r w:rsidR="004F373D" w:rsidRPr="00E15289">
        <w:rPr>
          <w:rFonts w:ascii="Arial" w:hAnsi="Arial" w:cs="Arial"/>
          <w:u w:color="642A8F"/>
        </w:rPr>
        <w:t xml:space="preserve"> </w:t>
      </w:r>
      <w:r w:rsidR="00017EEB" w:rsidRPr="00E15289">
        <w:rPr>
          <w:rFonts w:ascii="Arial" w:hAnsi="Arial" w:cs="Arial"/>
          <w:u w:color="642A8F"/>
        </w:rPr>
        <w:t>Furthermore, the a</w:t>
      </w:r>
      <w:r w:rsidR="002B4CBF" w:rsidRPr="00E15289">
        <w:rPr>
          <w:rFonts w:ascii="Arial" w:hAnsi="Arial" w:cs="Arial"/>
          <w:u w:color="642A8F"/>
        </w:rPr>
        <w:t>dministration of small molecule drugs to PC-3 cells has sh</w:t>
      </w:r>
      <w:r w:rsidR="00482C73" w:rsidRPr="00E15289">
        <w:rPr>
          <w:rFonts w:ascii="Arial" w:hAnsi="Arial" w:cs="Arial"/>
          <w:u w:color="642A8F"/>
        </w:rPr>
        <w:t>own to result in similar effects</w:t>
      </w:r>
      <w:r w:rsidR="004835DB" w:rsidRPr="00E15289">
        <w:rPr>
          <w:rFonts w:ascii="Arial" w:hAnsi="Arial" w:cs="Arial"/>
          <w:u w:color="642A8F"/>
        </w:rPr>
        <w:t xml:space="preserve"> </w:t>
      </w:r>
      <w:r w:rsidR="004835DB"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{"citationItems":[{"id":"ITEM-1","itemData":{"DOI":"10.1074/jbc.M114.553248","ISSN":"1083351X","abstract":"Quercetin, a flavonoid abundantly present in plants, is widely used as a phytotherapy in prostatitis and prostate cancer. Although quercetin has been reported to have a number of therapeutic effects, the cellular target(s) responsible for its anti-cancer action has not yet been clearly elucidated. Here, employing affinity chromatography and mass spectrometry, we identified heterogeneous nuclear ribonucleoprotein A1 (hnRNPA1) as a direct target of quercetin. A specific interaction between quercetin and hnRNPA1 was validated by immunoblotting and in vitro binding experiments. We found that quercetin bound the C-terminal region of hnRNPA1, impairing the ability of hnRNPA1 to shuttle between the nucleus and cytoplasm and ultimately resulting in its cytoplasmic retention. In addition, hnRNPA1 was recruited to stress granules after treatment of cells with quercetin for up to 48 h, and the levels of cIAP1 (cellular inhibitor of apoptosis), an internal ribosome entry site translation-dependent protein, were reduced by hnRNPA1 regulation. This is the first report that anti-cancer effects of quercetin are mediated, in part, by impairing functions of hnRNPA1, insights that were obtained using a chemical proteomics strategy.","author":[{"dropping-particle":"","family":"Ko","given":"Chia Chen","non-dropping-particle":"","parse-names":false,"suffix":""},{"dropping-particle":"","family":"Chen","given":"Yun Ju","non-dropping-particle":"","parse-names":false,"suffix":""},{"dropping-particle":"","family":"Chen","given":"Chih Ta","non-dropping-particle":"","parse-names":false,"suffix":""},{"dropping-particle":"","family":"Liu","given":"Yu Chih","non-dropping-particle":"","parse-names":false,"suffix":""},{"dropping-particle":"","family":"Cheng","given":"Fong Chi","non-dropping-particle":"","parse-names":false,"suffix":""},{"dropping-particle":"","family":"Hsu","given":"Kai Chao","non-dropping-particle":"","parse-names":false,"suffix":""},{"dropping-particle":"","family":"Chow","given":"Lu Ping","non-dropping-particle":"","parse-names":false,"suffix":""}],"container-title":"Journal of Biological Chemistry","id":"ITEM-1","issued":{"date-parts":[["2014"]]},"title":"Chemical proteomics identifies heterogeneous nuclear ribonucleoprotein (hnRNP) A1 as the molecular target of quercetin in its anti-cancer effects in PC-3 cells","type":"article-journal"},"uris":["http://www.mendeley.com/documents/?uuid=6629b7e3-a88e-4be7-8cbd-b5d8a25ad093"]}],"mendeley":{"formattedCitation":"(46)","plainTextFormattedCitation":"(46)","previouslyFormattedCitation":"(46)"},"properties":{"noteIndex":0},"schema":"https://github.com/citation-style-language/schema/raw/master/csl-citation.json"}</w:instrText>
      </w:r>
      <w:r w:rsidR="004835DB" w:rsidRPr="00E15289">
        <w:rPr>
          <w:rFonts w:ascii="Arial" w:hAnsi="Arial" w:cs="Arial"/>
          <w:u w:color="642A8F"/>
        </w:rPr>
        <w:fldChar w:fldCharType="separate"/>
      </w:r>
      <w:r w:rsidR="00A82711" w:rsidRPr="00E15289">
        <w:rPr>
          <w:rFonts w:ascii="Arial" w:hAnsi="Arial" w:cs="Arial"/>
          <w:noProof/>
          <w:u w:color="642A8F"/>
        </w:rPr>
        <w:t>(46)</w:t>
      </w:r>
      <w:r w:rsidR="004835DB" w:rsidRPr="00E15289">
        <w:rPr>
          <w:rFonts w:ascii="Arial" w:hAnsi="Arial" w:cs="Arial"/>
          <w:u w:color="642A8F"/>
        </w:rPr>
        <w:fldChar w:fldCharType="end"/>
      </w:r>
      <w:r w:rsidR="00482C73" w:rsidRPr="00E15289">
        <w:rPr>
          <w:rFonts w:ascii="Arial" w:hAnsi="Arial" w:cs="Arial"/>
          <w:u w:color="642A8F"/>
        </w:rPr>
        <w:t xml:space="preserve">. Upon binding to form the drug-protein </w:t>
      </w:r>
      <w:r w:rsidR="00482C73" w:rsidRPr="00E15289">
        <w:rPr>
          <w:rFonts w:ascii="Arial" w:hAnsi="Arial" w:cs="Arial"/>
          <w:u w:color="642A8F"/>
        </w:rPr>
        <w:lastRenderedPageBreak/>
        <w:t xml:space="preserve">complex, HNRNPA1L becomes even more </w:t>
      </w:r>
      <w:r w:rsidR="009C4728" w:rsidRPr="00E15289">
        <w:rPr>
          <w:rFonts w:ascii="Arial" w:hAnsi="Arial" w:cs="Arial"/>
          <w:u w:color="642A8F"/>
        </w:rPr>
        <w:t xml:space="preserve">segregated </w:t>
      </w:r>
      <w:r w:rsidR="00482C73" w:rsidRPr="00E15289">
        <w:rPr>
          <w:rFonts w:ascii="Arial" w:hAnsi="Arial" w:cs="Arial"/>
          <w:u w:color="642A8F"/>
        </w:rPr>
        <w:t xml:space="preserve">and is </w:t>
      </w:r>
      <w:r w:rsidR="009C4728" w:rsidRPr="00E15289">
        <w:rPr>
          <w:rFonts w:ascii="Arial" w:hAnsi="Arial" w:cs="Arial"/>
          <w:u w:color="642A8F"/>
        </w:rPr>
        <w:t xml:space="preserve">subsequently </w:t>
      </w:r>
      <w:r w:rsidR="00482C73" w:rsidRPr="00E15289">
        <w:rPr>
          <w:rFonts w:ascii="Arial" w:hAnsi="Arial" w:cs="Arial"/>
          <w:u w:color="642A8F"/>
        </w:rPr>
        <w:t xml:space="preserve">transported </w:t>
      </w:r>
      <w:r w:rsidR="009C4728" w:rsidRPr="00E15289">
        <w:rPr>
          <w:rFonts w:ascii="Arial" w:hAnsi="Arial" w:cs="Arial"/>
          <w:u w:color="642A8F"/>
        </w:rPr>
        <w:t>in</w:t>
      </w:r>
      <w:r w:rsidR="00482C73" w:rsidRPr="00E15289">
        <w:rPr>
          <w:rFonts w:ascii="Arial" w:hAnsi="Arial" w:cs="Arial"/>
          <w:u w:color="642A8F"/>
        </w:rPr>
        <w:t xml:space="preserve">to stress granules, ultimately leading to </w:t>
      </w:r>
      <w:proofErr w:type="spellStart"/>
      <w:r w:rsidR="00482C73" w:rsidRPr="00E15289">
        <w:rPr>
          <w:rFonts w:ascii="Arial" w:hAnsi="Arial" w:cs="Arial"/>
          <w:u w:color="642A8F"/>
        </w:rPr>
        <w:t>apopotosis</w:t>
      </w:r>
      <w:proofErr w:type="spellEnd"/>
      <w:r w:rsidR="00482C73" w:rsidRPr="00E15289">
        <w:rPr>
          <w:rFonts w:ascii="Arial" w:hAnsi="Arial" w:cs="Arial"/>
          <w:u w:color="642A8F"/>
        </w:rPr>
        <w:t>.</w:t>
      </w:r>
      <w:r w:rsidR="00017EEB" w:rsidRPr="00E15289">
        <w:rPr>
          <w:rFonts w:ascii="Arial" w:hAnsi="Arial" w:cs="Arial"/>
          <w:u w:color="642A8F"/>
        </w:rPr>
        <w:t xml:space="preserve"> In this study, the combination of hypoxia and </w:t>
      </w:r>
      <w:r w:rsidR="007C29FD" w:rsidRPr="00E15289">
        <w:rPr>
          <w:rFonts w:ascii="Arial" w:hAnsi="Arial" w:cs="Arial"/>
          <w:u w:color="642A8F"/>
        </w:rPr>
        <w:t>NO-Su</w:t>
      </w:r>
      <w:r w:rsidR="00017EEB" w:rsidRPr="00E15289">
        <w:rPr>
          <w:rFonts w:ascii="Arial" w:hAnsi="Arial" w:cs="Arial"/>
          <w:u w:color="642A8F"/>
        </w:rPr>
        <w:t xml:space="preserve">lindac could be hypothesized to </w:t>
      </w:r>
      <w:r w:rsidR="00475889" w:rsidRPr="00E15289">
        <w:rPr>
          <w:rFonts w:ascii="Arial" w:hAnsi="Arial" w:cs="Arial"/>
          <w:u w:color="642A8F"/>
        </w:rPr>
        <w:t>accumulate</w:t>
      </w:r>
      <w:r w:rsidR="00017EEB" w:rsidRPr="00E15289">
        <w:rPr>
          <w:rFonts w:ascii="Arial" w:hAnsi="Arial" w:cs="Arial"/>
          <w:u w:color="642A8F"/>
        </w:rPr>
        <w:t xml:space="preserve"> HNRNPA1L within the cytoplasm, whilst </w:t>
      </w:r>
      <w:r w:rsidR="007C29FD" w:rsidRPr="00E15289">
        <w:rPr>
          <w:rFonts w:ascii="Arial" w:hAnsi="Arial" w:cs="Arial"/>
          <w:u w:color="642A8F"/>
        </w:rPr>
        <w:t>NO-Su</w:t>
      </w:r>
      <w:r w:rsidR="00017EEB" w:rsidRPr="00E15289">
        <w:rPr>
          <w:rFonts w:ascii="Arial" w:hAnsi="Arial" w:cs="Arial"/>
          <w:u w:color="642A8F"/>
        </w:rPr>
        <w:t xml:space="preserve">lindac then hinders the </w:t>
      </w:r>
      <w:r w:rsidR="00475889" w:rsidRPr="00E15289">
        <w:rPr>
          <w:rFonts w:ascii="Arial" w:hAnsi="Arial" w:cs="Arial"/>
          <w:u w:color="642A8F"/>
        </w:rPr>
        <w:t>return of HNRNPA1L back to the nucleus</w:t>
      </w:r>
      <w:r w:rsidR="002B48EE" w:rsidRPr="00E15289">
        <w:rPr>
          <w:rFonts w:ascii="Arial" w:hAnsi="Arial" w:cs="Arial"/>
          <w:u w:color="642A8F"/>
        </w:rPr>
        <w:t>.</w:t>
      </w:r>
    </w:p>
    <w:p w14:paraId="3398135B" w14:textId="3817176B" w:rsidR="002B48EE" w:rsidRPr="00E15289" w:rsidRDefault="00ED34F5" w:rsidP="00421507">
      <w:pPr>
        <w:spacing w:afterLines="80" w:after="192" w:line="400" w:lineRule="exact"/>
        <w:jc w:val="both"/>
        <w:rPr>
          <w:rFonts w:ascii="Arial" w:hAnsi="Arial" w:cs="Arial"/>
          <w:u w:color="642A8F"/>
        </w:rPr>
      </w:pPr>
      <w:r w:rsidRPr="00E15289">
        <w:rPr>
          <w:rFonts w:ascii="Arial" w:hAnsi="Arial" w:cs="Arial"/>
          <w:u w:color="642A8F"/>
        </w:rPr>
        <w:t xml:space="preserve">To confirm if the results presented in </w:t>
      </w:r>
      <w:r w:rsidRPr="00E15289">
        <w:rPr>
          <w:rFonts w:ascii="Arial" w:hAnsi="Arial" w:cs="Arial"/>
          <w:b/>
          <w:u w:color="642A8F"/>
        </w:rPr>
        <w:t>Tables</w:t>
      </w:r>
      <w:r w:rsidRPr="00E15289">
        <w:rPr>
          <w:rFonts w:ascii="Arial" w:hAnsi="Arial" w:cs="Arial"/>
          <w:u w:color="642A8F"/>
        </w:rPr>
        <w:t xml:space="preserve"> </w:t>
      </w:r>
      <w:r w:rsidRPr="00E15289">
        <w:rPr>
          <w:rFonts w:ascii="Arial" w:hAnsi="Arial" w:cs="Arial"/>
          <w:b/>
          <w:u w:color="642A8F"/>
        </w:rPr>
        <w:t>1</w:t>
      </w:r>
      <w:r w:rsidRPr="00E15289">
        <w:rPr>
          <w:rFonts w:ascii="Arial" w:hAnsi="Arial" w:cs="Arial"/>
          <w:u w:color="642A8F"/>
        </w:rPr>
        <w:t xml:space="preserve"> and </w:t>
      </w:r>
      <w:r w:rsidRPr="00E15289">
        <w:rPr>
          <w:rFonts w:ascii="Arial" w:hAnsi="Arial" w:cs="Arial"/>
          <w:b/>
          <w:u w:color="642A8F"/>
        </w:rPr>
        <w:t>2</w:t>
      </w:r>
      <w:r w:rsidRPr="00E15289">
        <w:rPr>
          <w:rFonts w:ascii="Arial" w:hAnsi="Arial" w:cs="Arial"/>
          <w:u w:color="642A8F"/>
        </w:rPr>
        <w:t xml:space="preserve"> can solely be attributed to the studied </w:t>
      </w:r>
      <w:r w:rsidR="00A60DF2" w:rsidRPr="00E15289">
        <w:rPr>
          <w:rFonts w:ascii="Arial" w:hAnsi="Arial" w:cs="Arial"/>
          <w:u w:color="642A8F"/>
        </w:rPr>
        <w:t>treatment type</w:t>
      </w:r>
      <w:r w:rsidRPr="00E15289">
        <w:rPr>
          <w:rFonts w:ascii="Arial" w:hAnsi="Arial" w:cs="Arial"/>
          <w:u w:color="642A8F"/>
        </w:rPr>
        <w:t xml:space="preserve">, comparing proteome level changes under </w:t>
      </w:r>
      <w:proofErr w:type="spellStart"/>
      <w:r w:rsidRPr="00E15289">
        <w:rPr>
          <w:rFonts w:ascii="Arial" w:hAnsi="Arial" w:cs="Arial"/>
          <w:u w:color="642A8F"/>
        </w:rPr>
        <w:t>normoxia</w:t>
      </w:r>
      <w:proofErr w:type="spellEnd"/>
      <w:r w:rsidRPr="00E15289">
        <w:rPr>
          <w:rFonts w:ascii="Arial" w:hAnsi="Arial" w:cs="Arial"/>
          <w:u w:color="642A8F"/>
        </w:rPr>
        <w:t xml:space="preserve"> with hypoxia conditions and </w:t>
      </w:r>
      <w:r w:rsidR="00A60DF2" w:rsidRPr="00E15289">
        <w:rPr>
          <w:rFonts w:ascii="Arial" w:hAnsi="Arial" w:cs="Arial"/>
          <w:u w:color="642A8F"/>
        </w:rPr>
        <w:t xml:space="preserve">affirming </w:t>
      </w:r>
      <w:r w:rsidR="00F55296" w:rsidRPr="00E15289">
        <w:rPr>
          <w:rFonts w:ascii="Arial" w:hAnsi="Arial" w:cs="Arial"/>
          <w:u w:color="642A8F"/>
        </w:rPr>
        <w:t xml:space="preserve">the hypothesis that </w:t>
      </w:r>
      <w:r w:rsidRPr="00E15289">
        <w:rPr>
          <w:rFonts w:ascii="Arial" w:hAnsi="Arial" w:cs="Arial"/>
          <w:u w:color="642A8F"/>
        </w:rPr>
        <w:t>drug-treatment reverse</w:t>
      </w:r>
      <w:r w:rsidR="00A60DF2" w:rsidRPr="00E15289">
        <w:rPr>
          <w:rFonts w:ascii="Arial" w:hAnsi="Arial" w:cs="Arial"/>
          <w:u w:color="642A8F"/>
        </w:rPr>
        <w:t>s</w:t>
      </w:r>
      <w:r w:rsidRPr="00E15289">
        <w:rPr>
          <w:rFonts w:ascii="Arial" w:hAnsi="Arial" w:cs="Arial"/>
          <w:u w:color="642A8F"/>
        </w:rPr>
        <w:t xml:space="preserve"> the proteomic changes associated with hypoxia, respectively, the </w:t>
      </w:r>
      <w:proofErr w:type="spellStart"/>
      <w:r w:rsidRPr="00E15289">
        <w:rPr>
          <w:rFonts w:ascii="Arial" w:hAnsi="Arial" w:cs="Arial"/>
          <w:u w:color="642A8F"/>
        </w:rPr>
        <w:t>normali</w:t>
      </w:r>
      <w:r w:rsidR="00FB01F8" w:rsidRPr="00E15289">
        <w:rPr>
          <w:rFonts w:ascii="Arial" w:hAnsi="Arial" w:cs="Arial"/>
          <w:u w:color="642A8F"/>
        </w:rPr>
        <w:t>s</w:t>
      </w:r>
      <w:r w:rsidRPr="00E15289">
        <w:rPr>
          <w:rFonts w:ascii="Arial" w:hAnsi="Arial" w:cs="Arial"/>
          <w:u w:color="642A8F"/>
        </w:rPr>
        <w:t>ed</w:t>
      </w:r>
      <w:proofErr w:type="spellEnd"/>
      <w:r w:rsidRPr="00E15289">
        <w:rPr>
          <w:rFonts w:ascii="Arial" w:hAnsi="Arial" w:cs="Arial"/>
          <w:u w:color="642A8F"/>
        </w:rPr>
        <w:t xml:space="preserve"> abundances of the proteins of interest are expressed for the protein of interest for the four sample conditions of, </w:t>
      </w:r>
      <w:r w:rsidRPr="00E15289">
        <w:rPr>
          <w:rFonts w:ascii="Arial" w:hAnsi="Arial" w:cs="Arial"/>
          <w:i/>
          <w:u w:color="642A8F"/>
        </w:rPr>
        <w:t>i.e.</w:t>
      </w:r>
      <w:r w:rsidRPr="00E15289">
        <w:rPr>
          <w:rFonts w:ascii="Arial" w:hAnsi="Arial" w:cs="Arial"/>
          <w:u w:color="642A8F"/>
        </w:rPr>
        <w:t xml:space="preserve"> </w:t>
      </w:r>
      <w:r w:rsidR="00652416" w:rsidRPr="00E15289">
        <w:rPr>
          <w:rFonts w:ascii="Arial" w:hAnsi="Arial" w:cs="Arial"/>
          <w:u w:color="642A8F"/>
        </w:rPr>
        <w:t>‘</w:t>
      </w:r>
      <w:proofErr w:type="spellStart"/>
      <w:r w:rsidRPr="00E15289">
        <w:rPr>
          <w:rFonts w:ascii="Arial" w:hAnsi="Arial" w:cs="Arial"/>
          <w:u w:color="642A8F"/>
        </w:rPr>
        <w:t>normoxia</w:t>
      </w:r>
      <w:proofErr w:type="spellEnd"/>
      <w:r w:rsidR="00652416" w:rsidRPr="00E15289">
        <w:rPr>
          <w:rFonts w:ascii="Arial" w:hAnsi="Arial" w:cs="Arial"/>
          <w:u w:color="642A8F"/>
        </w:rPr>
        <w:t>’</w:t>
      </w:r>
      <w:r w:rsidRPr="00E15289">
        <w:rPr>
          <w:rFonts w:ascii="Arial" w:hAnsi="Arial" w:cs="Arial"/>
          <w:u w:color="642A8F"/>
        </w:rPr>
        <w:t xml:space="preserve">, </w:t>
      </w:r>
      <w:r w:rsidR="00652416" w:rsidRPr="00E15289">
        <w:rPr>
          <w:rFonts w:ascii="Arial" w:hAnsi="Arial" w:cs="Arial"/>
          <w:u w:color="642A8F"/>
        </w:rPr>
        <w:t>‘</w:t>
      </w:r>
      <w:r w:rsidRPr="00E15289">
        <w:rPr>
          <w:rFonts w:ascii="Arial" w:hAnsi="Arial" w:cs="Arial"/>
          <w:u w:color="642A8F"/>
        </w:rPr>
        <w:t>hypoxia</w:t>
      </w:r>
      <w:r w:rsidR="00652416" w:rsidRPr="00E15289">
        <w:rPr>
          <w:rFonts w:ascii="Arial" w:hAnsi="Arial" w:cs="Arial"/>
          <w:u w:color="642A8F"/>
        </w:rPr>
        <w:t>’</w:t>
      </w:r>
      <w:r w:rsidRPr="00E15289">
        <w:rPr>
          <w:rFonts w:ascii="Arial" w:hAnsi="Arial" w:cs="Arial"/>
          <w:u w:color="642A8F"/>
        </w:rPr>
        <w:t xml:space="preserve">, </w:t>
      </w:r>
      <w:r w:rsidR="00652416" w:rsidRPr="00E15289">
        <w:rPr>
          <w:rFonts w:ascii="Arial" w:hAnsi="Arial" w:cs="Arial"/>
          <w:u w:color="642A8F"/>
        </w:rPr>
        <w:t>‘</w:t>
      </w:r>
      <w:r w:rsidRPr="00E15289">
        <w:rPr>
          <w:rFonts w:ascii="Arial" w:hAnsi="Arial" w:cs="Arial"/>
          <w:u w:color="642A8F"/>
        </w:rPr>
        <w:t xml:space="preserve">hypoxia + </w:t>
      </w:r>
      <w:r w:rsidR="00421507" w:rsidRPr="00E15289">
        <w:rPr>
          <w:rFonts w:ascii="Arial" w:hAnsi="Arial" w:cs="Arial"/>
          <w:u w:color="642A8F"/>
        </w:rPr>
        <w:t>Sulindac</w:t>
      </w:r>
      <w:r w:rsidR="00652416" w:rsidRPr="00E15289">
        <w:rPr>
          <w:rFonts w:ascii="Arial" w:hAnsi="Arial" w:cs="Arial"/>
          <w:u w:color="642A8F"/>
        </w:rPr>
        <w:t>’</w:t>
      </w:r>
      <w:r w:rsidR="00A60DF2" w:rsidRPr="00E15289">
        <w:rPr>
          <w:rFonts w:ascii="Arial" w:hAnsi="Arial" w:cs="Arial"/>
          <w:u w:color="642A8F"/>
        </w:rPr>
        <w:t xml:space="preserve">, and </w:t>
      </w:r>
      <w:r w:rsidR="00652416" w:rsidRPr="00E15289">
        <w:rPr>
          <w:rFonts w:ascii="Arial" w:hAnsi="Arial" w:cs="Arial"/>
          <w:u w:color="642A8F"/>
        </w:rPr>
        <w:t>‘</w:t>
      </w:r>
      <w:r w:rsidR="00A60DF2" w:rsidRPr="00E15289">
        <w:rPr>
          <w:rFonts w:ascii="Arial" w:hAnsi="Arial" w:cs="Arial"/>
          <w:u w:color="642A8F"/>
        </w:rPr>
        <w:t xml:space="preserve">hypoxia + </w:t>
      </w:r>
      <w:r w:rsidR="007C29FD" w:rsidRPr="00E15289">
        <w:rPr>
          <w:rFonts w:ascii="Arial" w:hAnsi="Arial" w:cs="Arial"/>
          <w:u w:color="642A8F"/>
        </w:rPr>
        <w:t>NO-Su</w:t>
      </w:r>
      <w:r w:rsidR="008804B5" w:rsidRPr="00E15289">
        <w:rPr>
          <w:rFonts w:ascii="Arial" w:hAnsi="Arial" w:cs="Arial"/>
          <w:u w:color="642A8F"/>
        </w:rPr>
        <w:t>lindac</w:t>
      </w:r>
      <w:r w:rsidR="00652416" w:rsidRPr="00E15289">
        <w:rPr>
          <w:rFonts w:ascii="Arial" w:hAnsi="Arial" w:cs="Arial"/>
          <w:u w:color="642A8F"/>
        </w:rPr>
        <w:t>’</w:t>
      </w:r>
      <w:r w:rsidR="00A60DF2" w:rsidRPr="00E15289">
        <w:rPr>
          <w:rFonts w:ascii="Arial" w:hAnsi="Arial" w:cs="Arial"/>
          <w:u w:color="642A8F"/>
        </w:rPr>
        <w:t>.</w:t>
      </w:r>
      <w:r w:rsidR="00F55296" w:rsidRPr="00E15289">
        <w:rPr>
          <w:rFonts w:ascii="Arial" w:hAnsi="Arial" w:cs="Arial"/>
          <w:u w:color="642A8F"/>
        </w:rPr>
        <w:t xml:space="preserve"> The former result i</w:t>
      </w:r>
      <w:r w:rsidR="009855E2" w:rsidRPr="00E15289">
        <w:rPr>
          <w:rFonts w:ascii="Arial" w:hAnsi="Arial" w:cs="Arial"/>
          <w:u w:color="642A8F"/>
        </w:rPr>
        <w:t>s</w:t>
      </w:r>
      <w:r w:rsidR="00F55296" w:rsidRPr="00E15289">
        <w:rPr>
          <w:rFonts w:ascii="Arial" w:hAnsi="Arial" w:cs="Arial"/>
          <w:u w:color="642A8F"/>
        </w:rPr>
        <w:t xml:space="preserve"> presented in </w:t>
      </w:r>
      <w:r w:rsidR="00F55296" w:rsidRPr="00E15289">
        <w:rPr>
          <w:rFonts w:ascii="Arial" w:hAnsi="Arial" w:cs="Arial"/>
          <w:b/>
          <w:u w:color="642A8F"/>
        </w:rPr>
        <w:t xml:space="preserve">Supplementary Figure </w:t>
      </w:r>
      <w:r w:rsidR="004649F5" w:rsidRPr="00E15289">
        <w:rPr>
          <w:rFonts w:ascii="Arial" w:hAnsi="Arial" w:cs="Arial"/>
          <w:b/>
          <w:u w:color="642A8F"/>
        </w:rPr>
        <w:t>4</w:t>
      </w:r>
      <w:r w:rsidR="009855E2" w:rsidRPr="00E15289">
        <w:rPr>
          <w:rFonts w:ascii="Arial" w:hAnsi="Arial" w:cs="Arial"/>
          <w:u w:color="642A8F"/>
        </w:rPr>
        <w:t>, demonstrating that</w:t>
      </w:r>
      <w:r w:rsidR="008804B5" w:rsidRPr="00E15289">
        <w:rPr>
          <w:rFonts w:ascii="Arial" w:hAnsi="Arial" w:cs="Arial"/>
          <w:u w:color="642A8F"/>
        </w:rPr>
        <w:t xml:space="preserve"> the presence/absence of oxygen was indeed the most discriminating fact; however, for three of the proteins, namely TUBB4A, COL6A1 and KRT7</w:t>
      </w:r>
      <w:r w:rsidR="00F67483" w:rsidRPr="00E15289">
        <w:rPr>
          <w:rFonts w:ascii="Arial" w:hAnsi="Arial" w:cs="Arial"/>
          <w:u w:color="642A8F"/>
        </w:rPr>
        <w:t>,</w:t>
      </w:r>
      <w:r w:rsidR="008804B5" w:rsidRPr="00E15289">
        <w:rPr>
          <w:rFonts w:ascii="Arial" w:hAnsi="Arial" w:cs="Arial"/>
          <w:u w:color="642A8F"/>
        </w:rPr>
        <w:t xml:space="preserve"> similar quantitative changes can be observed in terms of direction</w:t>
      </w:r>
      <w:r w:rsidR="00652416" w:rsidRPr="00E15289">
        <w:rPr>
          <w:rFonts w:ascii="Arial" w:hAnsi="Arial" w:cs="Arial"/>
          <w:u w:color="642A8F"/>
        </w:rPr>
        <w:t xml:space="preserve"> (</w:t>
      </w:r>
      <w:r w:rsidR="008804B5" w:rsidRPr="00E15289">
        <w:rPr>
          <w:rFonts w:ascii="Arial" w:hAnsi="Arial" w:cs="Arial"/>
          <w:u w:color="642A8F"/>
        </w:rPr>
        <w:t>up</w:t>
      </w:r>
      <w:r w:rsidR="00652416" w:rsidRPr="00E15289">
        <w:rPr>
          <w:rFonts w:ascii="Arial" w:hAnsi="Arial" w:cs="Arial"/>
          <w:u w:color="642A8F"/>
        </w:rPr>
        <w:t>-</w:t>
      </w:r>
      <w:r w:rsidR="008804B5" w:rsidRPr="00E15289">
        <w:rPr>
          <w:rFonts w:ascii="Arial" w:hAnsi="Arial" w:cs="Arial"/>
          <w:u w:color="642A8F"/>
        </w:rPr>
        <w:t xml:space="preserve"> or down-regulation</w:t>
      </w:r>
      <w:r w:rsidR="00652416" w:rsidRPr="00E15289">
        <w:rPr>
          <w:rFonts w:ascii="Arial" w:hAnsi="Arial" w:cs="Arial"/>
          <w:u w:color="642A8F"/>
        </w:rPr>
        <w:t>)</w:t>
      </w:r>
      <w:r w:rsidR="008804B5" w:rsidRPr="00E15289">
        <w:rPr>
          <w:rFonts w:ascii="Arial" w:hAnsi="Arial" w:cs="Arial"/>
          <w:u w:color="642A8F"/>
        </w:rPr>
        <w:t xml:space="preserve">, but the degree of </w:t>
      </w:r>
      <w:r w:rsidR="000C4DD0" w:rsidRPr="00E15289">
        <w:rPr>
          <w:rFonts w:ascii="Arial" w:hAnsi="Arial" w:cs="Arial"/>
          <w:u w:color="642A8F"/>
        </w:rPr>
        <w:t>quantitative</w:t>
      </w:r>
      <w:r w:rsidR="008804B5" w:rsidRPr="00E15289">
        <w:rPr>
          <w:rFonts w:ascii="Arial" w:hAnsi="Arial" w:cs="Arial"/>
          <w:u w:color="642A8F"/>
        </w:rPr>
        <w:t xml:space="preserve"> change is </w:t>
      </w:r>
      <w:r w:rsidR="004A394A" w:rsidRPr="00E15289">
        <w:rPr>
          <w:rFonts w:ascii="Arial" w:hAnsi="Arial" w:cs="Arial"/>
          <w:u w:color="642A8F"/>
        </w:rPr>
        <w:t>much smaller compared to just PC-3 cell growth under hypoxic conditions</w:t>
      </w:r>
      <w:r w:rsidR="008804B5" w:rsidRPr="00E15289">
        <w:rPr>
          <w:rFonts w:ascii="Arial" w:hAnsi="Arial" w:cs="Arial"/>
          <w:u w:color="642A8F"/>
        </w:rPr>
        <w:t xml:space="preserve"> and not sufficient</w:t>
      </w:r>
      <w:r w:rsidR="00652416" w:rsidRPr="00E15289">
        <w:rPr>
          <w:rFonts w:ascii="Arial" w:hAnsi="Arial" w:cs="Arial"/>
          <w:u w:color="642A8F"/>
        </w:rPr>
        <w:t xml:space="preserve"> in terms of magnitude</w:t>
      </w:r>
      <w:r w:rsidR="008804B5" w:rsidRPr="00E15289">
        <w:rPr>
          <w:rFonts w:ascii="Arial" w:hAnsi="Arial" w:cs="Arial"/>
          <w:u w:color="642A8F"/>
        </w:rPr>
        <w:t xml:space="preserve"> to allow for discrimination when studied </w:t>
      </w:r>
      <w:r w:rsidR="000C4DD0" w:rsidRPr="00E15289">
        <w:rPr>
          <w:rFonts w:ascii="Arial" w:hAnsi="Arial" w:cs="Arial"/>
          <w:u w:color="642A8F"/>
        </w:rPr>
        <w:t xml:space="preserve">and analyzed </w:t>
      </w:r>
      <w:r w:rsidR="008804B5" w:rsidRPr="00E15289">
        <w:rPr>
          <w:rFonts w:ascii="Arial" w:hAnsi="Arial" w:cs="Arial"/>
          <w:u w:color="642A8F"/>
        </w:rPr>
        <w:t xml:space="preserve">under </w:t>
      </w:r>
      <w:r w:rsidR="000C4DD0" w:rsidRPr="00E15289">
        <w:rPr>
          <w:rFonts w:ascii="Arial" w:hAnsi="Arial" w:cs="Arial"/>
          <w:u w:color="642A8F"/>
        </w:rPr>
        <w:t>univariate/binary conditions.</w:t>
      </w:r>
      <w:r w:rsidR="00652416" w:rsidRPr="00E15289">
        <w:rPr>
          <w:rFonts w:ascii="Arial" w:hAnsi="Arial" w:cs="Arial"/>
          <w:u w:color="642A8F"/>
        </w:rPr>
        <w:t xml:space="preserve"> The results shown in </w:t>
      </w:r>
      <w:r w:rsidR="00652416" w:rsidRPr="00E15289">
        <w:rPr>
          <w:rFonts w:ascii="Arial" w:hAnsi="Arial" w:cs="Arial"/>
          <w:b/>
          <w:u w:color="642A8F"/>
        </w:rPr>
        <w:t xml:space="preserve">Figure </w:t>
      </w:r>
      <w:r w:rsidR="004649F5" w:rsidRPr="00E15289">
        <w:rPr>
          <w:rFonts w:ascii="Arial" w:hAnsi="Arial" w:cs="Arial"/>
          <w:b/>
          <w:u w:color="642A8F"/>
        </w:rPr>
        <w:t>7</w:t>
      </w:r>
      <w:r w:rsidR="00652416" w:rsidRPr="00E15289">
        <w:rPr>
          <w:rFonts w:ascii="Arial" w:hAnsi="Arial" w:cs="Arial"/>
          <w:u w:color="642A8F"/>
        </w:rPr>
        <w:t xml:space="preserve"> summarize the </w:t>
      </w:r>
      <w:r w:rsidR="00905817" w:rsidRPr="00E15289">
        <w:rPr>
          <w:rFonts w:ascii="Arial" w:hAnsi="Arial" w:cs="Arial"/>
          <w:u w:color="642A8F"/>
        </w:rPr>
        <w:t xml:space="preserve">two other cases, contrasting </w:t>
      </w:r>
      <w:r w:rsidR="00357AD0" w:rsidRPr="00E15289">
        <w:rPr>
          <w:rFonts w:ascii="Arial" w:hAnsi="Arial" w:cs="Arial"/>
          <w:u w:color="642A8F"/>
        </w:rPr>
        <w:t>hypoxia with the</w:t>
      </w:r>
      <w:r w:rsidR="00905817" w:rsidRPr="00E15289">
        <w:rPr>
          <w:rFonts w:ascii="Arial" w:hAnsi="Arial" w:cs="Arial"/>
          <w:u w:color="642A8F"/>
        </w:rPr>
        <w:t xml:space="preserve"> two drug treatments under hypoxic conditions</w:t>
      </w:r>
      <w:r w:rsidR="00A82711" w:rsidRPr="00E15289">
        <w:rPr>
          <w:rFonts w:ascii="Arial" w:hAnsi="Arial" w:cs="Arial"/>
          <w:u w:color="642A8F"/>
        </w:rPr>
        <w:t>.</w:t>
      </w:r>
      <w:r w:rsidR="006D4185" w:rsidRPr="00E15289">
        <w:rPr>
          <w:rFonts w:ascii="Arial" w:hAnsi="Arial" w:cs="Arial"/>
          <w:u w:color="642A8F"/>
        </w:rPr>
        <w:t xml:space="preserve"> In the </w:t>
      </w:r>
      <w:r w:rsidR="00357AD0" w:rsidRPr="00E15289">
        <w:rPr>
          <w:rFonts w:ascii="Arial" w:hAnsi="Arial" w:cs="Arial"/>
          <w:u w:color="642A8F"/>
        </w:rPr>
        <w:t>instance o</w:t>
      </w:r>
      <w:r w:rsidR="006D4185" w:rsidRPr="00E15289">
        <w:rPr>
          <w:rFonts w:ascii="Arial" w:hAnsi="Arial" w:cs="Arial"/>
          <w:u w:color="642A8F"/>
        </w:rPr>
        <w:t xml:space="preserve">f </w:t>
      </w:r>
      <w:r w:rsidR="00421507" w:rsidRPr="00E15289">
        <w:rPr>
          <w:rFonts w:ascii="Arial" w:hAnsi="Arial" w:cs="Arial"/>
          <w:u w:color="642A8F"/>
        </w:rPr>
        <w:t>Sulindac</w:t>
      </w:r>
      <w:r w:rsidR="006D4185" w:rsidRPr="00E15289">
        <w:rPr>
          <w:rFonts w:ascii="Arial" w:hAnsi="Arial" w:cs="Arial"/>
          <w:u w:color="642A8F"/>
        </w:rPr>
        <w:t xml:space="preserve"> treatment, </w:t>
      </w:r>
      <w:r w:rsidR="00357AD0" w:rsidRPr="00E15289">
        <w:rPr>
          <w:rFonts w:ascii="Arial" w:hAnsi="Arial" w:cs="Arial"/>
          <w:u w:color="642A8F"/>
        </w:rPr>
        <w:t>all seven reported</w:t>
      </w:r>
      <w:r w:rsidR="006D4185" w:rsidRPr="00E15289">
        <w:rPr>
          <w:rFonts w:ascii="Arial" w:hAnsi="Arial" w:cs="Arial"/>
          <w:u w:color="642A8F"/>
        </w:rPr>
        <w:t xml:space="preserve"> proteins </w:t>
      </w:r>
      <w:r w:rsidR="005509B6" w:rsidRPr="00E15289">
        <w:rPr>
          <w:rFonts w:ascii="Arial" w:hAnsi="Arial" w:cs="Arial"/>
          <w:u w:color="642A8F"/>
        </w:rPr>
        <w:t>illustrate</w:t>
      </w:r>
      <w:r w:rsidR="006D4185" w:rsidRPr="00E15289">
        <w:rPr>
          <w:rFonts w:ascii="Arial" w:hAnsi="Arial" w:cs="Arial"/>
          <w:u w:color="642A8F"/>
        </w:rPr>
        <w:t xml:space="preserve"> </w:t>
      </w:r>
      <w:r w:rsidR="00357AD0" w:rsidRPr="00E15289">
        <w:rPr>
          <w:rFonts w:ascii="Arial" w:hAnsi="Arial" w:cs="Arial"/>
          <w:u w:color="642A8F"/>
        </w:rPr>
        <w:t xml:space="preserve">exclusive and </w:t>
      </w:r>
      <w:r w:rsidR="006D4185" w:rsidRPr="00E15289">
        <w:rPr>
          <w:rFonts w:ascii="Arial" w:hAnsi="Arial" w:cs="Arial"/>
          <w:u w:color="642A8F"/>
        </w:rPr>
        <w:t xml:space="preserve">complete reversal of the change induced by the hypoxic environment. </w:t>
      </w:r>
      <w:r w:rsidR="00357AD0" w:rsidRPr="00E15289">
        <w:rPr>
          <w:rFonts w:ascii="Arial" w:hAnsi="Arial" w:cs="Arial"/>
          <w:u w:color="642A8F"/>
        </w:rPr>
        <w:t xml:space="preserve">Interestingly, for the </w:t>
      </w:r>
      <w:r w:rsidR="007C29FD" w:rsidRPr="00E15289">
        <w:rPr>
          <w:rFonts w:ascii="Arial" w:hAnsi="Arial" w:cs="Arial"/>
          <w:u w:color="642A8F"/>
        </w:rPr>
        <w:t>NO-Su</w:t>
      </w:r>
      <w:r w:rsidR="006D4185" w:rsidRPr="00E15289">
        <w:rPr>
          <w:rFonts w:ascii="Arial" w:hAnsi="Arial" w:cs="Arial"/>
          <w:u w:color="642A8F"/>
        </w:rPr>
        <w:t>lindac</w:t>
      </w:r>
      <w:r w:rsidR="00357AD0" w:rsidRPr="00E15289">
        <w:rPr>
          <w:rFonts w:ascii="Arial" w:hAnsi="Arial" w:cs="Arial"/>
          <w:u w:color="642A8F"/>
        </w:rPr>
        <w:t xml:space="preserve"> quantitatively identified proteins, </w:t>
      </w:r>
      <w:r w:rsidR="001C7E90" w:rsidRPr="00E15289">
        <w:rPr>
          <w:rFonts w:ascii="Arial" w:hAnsi="Arial" w:cs="Arial"/>
          <w:u w:color="642A8F"/>
        </w:rPr>
        <w:t>the direction of change</w:t>
      </w:r>
      <w:r w:rsidR="00A574D0" w:rsidRPr="00E15289">
        <w:rPr>
          <w:rFonts w:ascii="Arial" w:hAnsi="Arial" w:cs="Arial"/>
          <w:u w:color="642A8F"/>
        </w:rPr>
        <w:t xml:space="preserve"> was contrary to the expected direction, </w:t>
      </w:r>
      <w:r w:rsidR="002B48EE" w:rsidRPr="00E15289">
        <w:rPr>
          <w:rFonts w:ascii="Arial" w:hAnsi="Arial" w:cs="Arial"/>
          <w:u w:color="642A8F"/>
        </w:rPr>
        <w:t xml:space="preserve">given earlier observations on the influence of NO-Sulindac on gene changes in hypoxic conditions </w:t>
      </w:r>
      <w:r w:rsidR="002B48EE" w:rsidRPr="00E15289">
        <w:rPr>
          <w:rFonts w:ascii="Arial" w:hAnsi="Arial" w:cs="Arial"/>
          <w:u w:color="642A8F"/>
        </w:rPr>
        <w:fldChar w:fldCharType="begin" w:fldLock="1"/>
      </w:r>
      <w:r w:rsidR="002B48EE" w:rsidRPr="00E15289">
        <w:rPr>
          <w:rFonts w:ascii="Arial" w:hAnsi="Arial" w:cs="Arial"/>
          <w:u w:color="642A8F"/>
        </w:rPr>
        <w:instrText>ADDIN CSL_CITATION {"citationItems":[{"id":"ITEM-1","itemData":{"DOI":"10.1002/ijc.23934","ISSN":"00207136","abstract":"Nitric oxide-donating non-steroidal anti-inflammatory drugs are safer than traditional NSAIDs and inhibit the growth of prostate cancer cells with greater potency than NSAIDs. In vivo, prostate cancer deposits are found in a hypoxic environment which induces resistance to chemotherapy. The aim of this study was to assess the effects and mechanism of action of a NO-NSAID called NO-sulindac on the PC-3 prostate cancer cell line under hypoxic conditions. NO-sulindac was found to have pro-apoptotic, cytotoxic, and anti-invasive effect on PC-3 cells under normoxia and hypoxia. NO-sulindac was significantly more cytotoxic than sulindac at all oxygen levels. The sulindac/linker and NO-releasing subunits both contributed to the cytotoxic effects of NO-sulindac. Resistance of PC-3 cells to NO-sulindac was induced as the oxygen concentration declined. Hypoxia-induced chemoresistance was reversed by knocking-down hypoxia-inducible factor-1alpha (HIF-1alpha) mRNA using RNAi. Nuclear HIF-1alpha levels were upregulated at 0.2% oxygen but reduced by treatment with NO-sulindac, as was Akt phosphorylation. NO-sulindac treatment of hypoxic PC-3 cells transfected with a reporter construct, downregulated activation of the hypoxia response element (HRE) promoter. Co-transfection of PC-3 cells with the HRE promoter reporter construct and myr-Akt (constitutively active Akt) plasmids reversed the NO-sulindac induced reduction in HRE activation. Real-time polymerase chain reaction analysis of hypoxic, NO-sulindac treated PC-3 cells showed downregulation of lysyl oxidase and carbonic anhydrase IX mRNA expression. Collectively, these novel findings demonstrate that NO-sulindac directly inhibits the hypoxia response of PC-3 prostate cancer cells by inhibiting HIF-1alpha translation via the Akt signalling pathway. The ability of NO-sulindac to inhibit tumour adaption to hypoxia has considerable relevance to the future management of prostate cancer with the same cellular properties as PC-3.","author":[{"dropping-particle":"","family":"Stewart","given":"Grant D.","non-dropping-particle":"","parse-names":false,"suffix":""},{"dropping-particle":"","family":"Nanda","given":"Jyoti","non-dropping-particle":"","parse-names":false,"suffix":""},{"dropping-particle":"","family":"Brown","given":"David J.G.","non-dropping-particle":"","parse-names":false,"suffix":""},{"dropping-particle":"","family":"Riddick","given":"Antony C.P.","non-dropping-particle":"","parse-names":false,"suffix":""},{"dropping-particle":"","family":"Ross","given":"James A.","non-dropping-particle":"","parse-names":false,"suffix":""},{"dropping-particle":"","family":"Habib","given":"Fouad K.","non-dropping-particle":"","parse-names":false,"suffix":""}],"container-title":"International Journal of Cancer","id":"ITEM-1","issued":{"date-parts":[["2009"]]},"title":"NO-sulindac inhibits the hypoxia response of PC-3 prostate cancer cells via the Akt signalling pathway","type":"article-journal"},"uris":["http://www.mendeley.com/documents/?uuid=ec7a4365-3523-4654-b020-bbca2fa7d351"]},{"id":"ITEM-2","itemData":{"DOI":"10.1016/j.bcp.2010.09.022","ISSN":"00062952","abstract":"Prostate cancer cells can exist in a hypoxic microenvironment, causing radioresistance. Nitric oxide (NO) is a radiosensitiser of mammalian cells. NO-NSAIDs are a potential means of delivering NO to prostate cancer cells. This study aimed to determine the effect and mechanism of action of NO-sulindac and radiation, on prostate cancer cells and stroma, under normoxia (21% oxygen) and chronic hypoxia (0.2% oxygen). Using clonogenic assays, at a surviving fraction of 10% the sensitisation enhancement ratios of radiation plus NO-sulindac over radiation alone on PC-3 cells were 1.22 and 1.42 under normoxia and hypoxia, respectively. 3D culture of PC-3 cells revealed significantly reduced sphere diameter in irradiated spheres treated with NO-sulindac. Neither NO-sulindac nor sulindac radiosensitised prostate stromal cells under normoxia or hypoxia. HIF-1α protein levels were reduced by NO-sulindac exposure and radiation at 21 and 0.2% oxygen. Alkaline Comet assay analysis suggested an increased rate of single strand DNA breaks and slower repair of these lesions in PC-3 cells treated with NO-sulindac prior to irradiation. There was a higher level of γ-H2AX production and hence double strand DNA breaks following irradiation of NO-sulindac treated PC-3 cells. At all radiation doses and oxygen levels tested, treatment of 2D and 3D cultures of PC-3 cells with NO-sulindac prior to irradiation radiosensitised PC-3, with minimal effect on stromal cells. Hypoxia response inhibition and increased DNA double strand breaks are potential mechanisms of action. Neoadjuvent and concurrent use of NO-NSAIDs have the potential to improve radiotherapy treatment of prostate cancer under normoxia and hypoxia. © 2010 Elsevier Inc. All rights reserved.","author":[{"dropping-particle":"","family":"Stewart","given":"Grant D.","non-dropping-particle":"","parse-names":false,"suffix":""},{"dropping-particle":"","family":"Nanda","given":"Jyoti","non-dropping-particle":"","parse-names":false,"suffix":""},{"dropping-particle":"","family":"Katz","given":"Elad","non-dropping-particle":"","parse-names":false,"suffix":""},{"dropping-particle":"","family":"Bowman","given":"Karen J.","non-dropping-particle":"","parse-names":false,"suffix":""},{"dropping-particle":"","family":"Christie","given":"Jill G.","non-dropping-particle":"","parse-names":false,"suffix":""},{"dropping-particle":"","family":"Brown","given":"D. J.Gordon","non-dropping-particle":"","parse-names":false,"suffix":""},{"dropping-particle":"","family":"McLaren","given":"Duncan B.","non-dropping-particle":"","parse-names":false,"suffix":""},{"dropping-particle":"","family":"Riddick","given":"Antony C.P.","non-dropping-particle":"","parse-names":false,"suffix":""},{"dropping-particle":"","family":"Ross","given":"James A.","non-dropping-particle":"","parse-names":false,"suffix":""},{"dropping-particle":"","family":"Jones","given":"George D.D.","non-dropping-particle":"","parse-names":false,"suffix":""},{"dropping-particle":"","family":"Habib","given":"Fouad K.","non-dropping-particle":"","parse-names":false,"suffix":""}],"container-title":"Biochemical Pharmacology","id":"ITEM-2","issued":{"date-parts":[["2011"]]},"title":"DNA strand breaks and hypoxia response inhibition mediate the radiosensitisation effect of nitric oxide donors on prostate cancer under varying oxygen conditions","type":"article-journal"},"uris":["http://www.mendeley.com/documents/?uuid=f93e57d2-01bf-4c81-bd98-3c15f31310fc"]}],"mendeley":{"formattedCitation":"(14,17)","plainTextFormattedCitation":"(14,17)","previouslyFormattedCitation":"(14)"},"properties":{"noteIndex":0},"schema":"https://github.com/citation-style-language/schema/raw/master/csl-citation.json"}</w:instrText>
      </w:r>
      <w:r w:rsidR="002B48EE" w:rsidRPr="00E15289">
        <w:rPr>
          <w:rFonts w:ascii="Arial" w:hAnsi="Arial" w:cs="Arial"/>
          <w:u w:color="642A8F"/>
        </w:rPr>
        <w:fldChar w:fldCharType="separate"/>
      </w:r>
      <w:r w:rsidR="002B48EE" w:rsidRPr="00E15289">
        <w:rPr>
          <w:rFonts w:ascii="Arial" w:hAnsi="Arial" w:cs="Arial"/>
          <w:noProof/>
          <w:u w:color="642A8F"/>
        </w:rPr>
        <w:t>(14,17)</w:t>
      </w:r>
      <w:r w:rsidR="002B48EE" w:rsidRPr="00E15289">
        <w:rPr>
          <w:rFonts w:ascii="Arial" w:hAnsi="Arial" w:cs="Arial"/>
          <w:u w:color="642A8F"/>
        </w:rPr>
        <w:fldChar w:fldCharType="end"/>
      </w:r>
      <w:r w:rsidR="002B48EE" w:rsidRPr="00E15289">
        <w:rPr>
          <w:rFonts w:ascii="Arial" w:hAnsi="Arial" w:cs="Arial"/>
          <w:u w:color="642A8F"/>
        </w:rPr>
        <w:t xml:space="preserve">. In the present study, Sulindac had a significant effect in returning the majority of the </w:t>
      </w:r>
      <w:proofErr w:type="spellStart"/>
      <w:r w:rsidR="00FB01F8" w:rsidRPr="00E15289">
        <w:rPr>
          <w:rFonts w:ascii="Arial" w:hAnsi="Arial" w:cs="Arial"/>
          <w:u w:color="642A8F"/>
        </w:rPr>
        <w:t>normalised</w:t>
      </w:r>
      <w:proofErr w:type="spellEnd"/>
      <w:r w:rsidR="002B48EE" w:rsidRPr="00E15289">
        <w:rPr>
          <w:rFonts w:ascii="Arial" w:hAnsi="Arial" w:cs="Arial"/>
          <w:u w:color="642A8F"/>
        </w:rPr>
        <w:t xml:space="preserve"> abundances of discriminating proteins to a </w:t>
      </w:r>
      <w:proofErr w:type="spellStart"/>
      <w:r w:rsidR="002B48EE" w:rsidRPr="00E15289">
        <w:rPr>
          <w:rFonts w:ascii="Arial" w:hAnsi="Arial" w:cs="Arial"/>
          <w:u w:color="642A8F"/>
        </w:rPr>
        <w:t>normoxic</w:t>
      </w:r>
      <w:proofErr w:type="spellEnd"/>
      <w:r w:rsidR="002B48EE" w:rsidRPr="00E15289">
        <w:rPr>
          <w:rFonts w:ascii="Arial" w:hAnsi="Arial" w:cs="Arial"/>
          <w:u w:color="642A8F"/>
        </w:rPr>
        <w:t xml:space="preserve"> state compared with hypoxia.</w:t>
      </w:r>
    </w:p>
    <w:p w14:paraId="2CAEBBB2" w14:textId="0E12D352" w:rsidR="00162D48" w:rsidRPr="00E15289" w:rsidRDefault="00ED34F5" w:rsidP="00421507">
      <w:pPr>
        <w:spacing w:afterLines="80" w:after="192" w:line="400" w:lineRule="exact"/>
        <w:jc w:val="both"/>
        <w:rPr>
          <w:rFonts w:ascii="Arial" w:hAnsi="Arial" w:cs="Arial"/>
          <w:i/>
          <w:u w:color="642A8F"/>
        </w:rPr>
      </w:pPr>
      <w:r w:rsidRPr="00E15289">
        <w:rPr>
          <w:rFonts w:ascii="Arial" w:hAnsi="Arial" w:cs="Arial"/>
          <w:u w:color="642A8F"/>
        </w:rPr>
        <w:t>In summary, t</w:t>
      </w:r>
      <w:r w:rsidR="00331A79" w:rsidRPr="00E15289">
        <w:rPr>
          <w:rFonts w:ascii="Arial" w:hAnsi="Arial" w:cs="Arial"/>
          <w:u w:color="642A8F"/>
        </w:rPr>
        <w:t xml:space="preserve">his work contributes </w:t>
      </w:r>
      <w:r w:rsidR="00E357FA" w:rsidRPr="00E15289">
        <w:rPr>
          <w:rFonts w:ascii="Arial" w:hAnsi="Arial" w:cs="Arial"/>
          <w:u w:color="642A8F"/>
        </w:rPr>
        <w:t xml:space="preserve">further </w:t>
      </w:r>
      <w:r w:rsidR="00331A79" w:rsidRPr="00E15289">
        <w:rPr>
          <w:rFonts w:ascii="Arial" w:hAnsi="Arial" w:cs="Arial"/>
          <w:u w:color="642A8F"/>
        </w:rPr>
        <w:t xml:space="preserve">insights into the impact of hypoxia on the prostate cancer cell proteome and also complements the work of </w:t>
      </w:r>
      <w:proofErr w:type="spellStart"/>
      <w:r w:rsidR="00331A79" w:rsidRPr="00E15289">
        <w:rPr>
          <w:rFonts w:ascii="Arial" w:hAnsi="Arial" w:cs="Arial"/>
          <w:u w:color="642A8F"/>
        </w:rPr>
        <w:t>Tonry</w:t>
      </w:r>
      <w:proofErr w:type="spellEnd"/>
      <w:r w:rsidR="00331A79" w:rsidRPr="00E15289">
        <w:rPr>
          <w:rFonts w:ascii="Arial" w:hAnsi="Arial" w:cs="Arial"/>
          <w:u w:color="642A8F"/>
        </w:rPr>
        <w:t xml:space="preserve"> and colleagues</w:t>
      </w:r>
      <w:r w:rsidR="000B5A66" w:rsidRPr="00E15289">
        <w:rPr>
          <w:rFonts w:ascii="Arial" w:hAnsi="Arial" w:cs="Arial"/>
          <w:u w:color="642A8F"/>
        </w:rPr>
        <w:t xml:space="preserve"> </w:t>
      </w:r>
      <w:r w:rsidR="000B5A66" w:rsidRPr="00E15289">
        <w:rPr>
          <w:rFonts w:ascii="Arial" w:hAnsi="Arial" w:cs="Arial"/>
          <w:u w:color="642A8F"/>
        </w:rPr>
        <w:fldChar w:fldCharType="begin" w:fldLock="1"/>
      </w:r>
      <w:r w:rsidR="00782E8D" w:rsidRPr="00E15289">
        <w:rPr>
          <w:rFonts w:ascii="Arial" w:hAnsi="Arial" w:cs="Arial"/>
          <w:u w:color="642A8F"/>
        </w:rPr>
        <w:instrText>ADDIN CSL_CITATION {"citationItems":[{"id":"ITEM-1","itemData":{"DOI":"10.18632/oncotarget.14574","abstract":"Approximately one in six men are diagnosed with Prostate Cancer every year in the Western world. Although it can be well managed and non-life threatening in the early stages, over time many patients cease to respond to treatment and develop castrate resistant prostate cancer (CRPC). CRPC represents a clinically challenging and lethal form of prostate cancer. Progression of CRPC is, in part, driven by the ability of cancer cells to alter their metabolic profile during the course of tumourgenesis and metastasis so that they can survive in oxygen and nutrient-poor environments and even withstand treatment. This work was carried out as a continuation of a study aimed towards gaining greater mechanistic understanding of how conditions within the tumour microenvironment impact on both androgen sensitive (LNCaP) and androgen independent (LNCaP-abl and LNCaP-abl-Hof) prostate cancer cell lines. Here we have applied technically robust and reproducible label-free liquid chromatography mass spectrometry analysis for comprehensive proteomic profiling of prostate cancer cell lines under hypoxic conditions. This led to the identification of over 4,000 proteins - one of the largest protein datasets for prostate cancer cell lines established to date. The biological and clinical significance of proteins showing a significant change in expression as result of hypoxic conditions was established. Novel, intuitive workflows were subsequently implemented to enable robust, reproducible and high throughput verification of selected proteins of interest. Overall, these data suggest that this strategy supports identification of protein biomarkers of prostate cancer progression and potential therapeutic targets for CRPC.","author":[{"dropping-particle":"","family":"Tonry","given":"Claire","non-dropping-particle":"","parse-names":false,"suffix":""},{"dropping-particle":"","family":"Armstrong","given":"John","non-dropping-particle":"","parse-names":false,"suffix":""},{"dropping-particle":"","family":"Pennington","given":"Stephen","non-dropping-particle":"","parse-names":false,"suffix":""}],"container-title":"Oncotarget","id":"ITEM-1","issued":{"date-parts":[["2017"]]},"title":"Probing the prostate tumour microenvironment II: Impact of hypoxia on a cell model of prostate cancer progression","type":"article-journal"},"uris":["http://www.mendeley.com/documents/?uuid=5663495e-31fb-4a6a-a04d-41d8b65f8a4b"]}],"mendeley":{"formattedCitation":"(47)","plainTextFormattedCitation":"(47)","previouslyFormattedCitation":"(47)"},"properties":{"noteIndex":0},"schema":"https://github.com/citation-style-language/schema/raw/master/csl-citation.json"}</w:instrText>
      </w:r>
      <w:r w:rsidR="000B5A66" w:rsidRPr="00E15289">
        <w:rPr>
          <w:rFonts w:ascii="Arial" w:hAnsi="Arial" w:cs="Arial"/>
          <w:u w:color="642A8F"/>
        </w:rPr>
        <w:fldChar w:fldCharType="separate"/>
      </w:r>
      <w:r w:rsidR="00A82711" w:rsidRPr="00E15289">
        <w:rPr>
          <w:rFonts w:ascii="Arial" w:hAnsi="Arial" w:cs="Arial"/>
          <w:noProof/>
          <w:u w:color="642A8F"/>
        </w:rPr>
        <w:t>(47)</w:t>
      </w:r>
      <w:r w:rsidR="000B5A66" w:rsidRPr="00E15289">
        <w:rPr>
          <w:rFonts w:ascii="Arial" w:hAnsi="Arial" w:cs="Arial"/>
          <w:u w:color="642A8F"/>
        </w:rPr>
        <w:fldChar w:fldCharType="end"/>
      </w:r>
      <w:r w:rsidR="00331A79" w:rsidRPr="00E15289">
        <w:rPr>
          <w:rFonts w:ascii="Arial" w:hAnsi="Arial" w:cs="Arial"/>
          <w:u w:color="642A8F"/>
        </w:rPr>
        <w:t xml:space="preserve"> who investigated the impact of hypoxia on a hormone-dependent prostate cancer cell line (LNCaP)</w:t>
      </w:r>
      <w:r w:rsidR="00E357FA" w:rsidRPr="00E15289">
        <w:rPr>
          <w:rFonts w:ascii="Arial" w:hAnsi="Arial" w:cs="Arial"/>
          <w:u w:color="642A8F"/>
        </w:rPr>
        <w:t>,</w:t>
      </w:r>
      <w:r w:rsidR="00331A79" w:rsidRPr="00E15289">
        <w:rPr>
          <w:rFonts w:ascii="Arial" w:hAnsi="Arial" w:cs="Arial"/>
          <w:u w:color="642A8F"/>
        </w:rPr>
        <w:t xml:space="preserve"> employing proteomic analysis to identify potential </w:t>
      </w:r>
      <w:r w:rsidR="00331A79" w:rsidRPr="00E15289">
        <w:rPr>
          <w:rFonts w:ascii="Arial" w:eastAsia="Times New Roman" w:hAnsi="Arial" w:cs="Arial"/>
          <w:bdr w:val="none" w:sz="0" w:space="0" w:color="auto"/>
          <w:shd w:val="clear" w:color="auto" w:fill="FFFFFF"/>
          <w:lang w:val="en-GB"/>
        </w:rPr>
        <w:t>protein biomarkers of prostate cancer progression.</w:t>
      </w:r>
      <w:r w:rsidR="00E357FA" w:rsidRPr="00E15289">
        <w:rPr>
          <w:rFonts w:ascii="Arial" w:eastAsia="Times New Roman" w:hAnsi="Arial" w:cs="Arial"/>
          <w:bdr w:val="none" w:sz="0" w:space="0" w:color="auto"/>
          <w:shd w:val="clear" w:color="auto" w:fill="FFFFFF"/>
          <w:lang w:val="en-GB"/>
        </w:rPr>
        <w:t xml:space="preserve"> The present study emphasises </w:t>
      </w:r>
      <w:r w:rsidR="004F2B4E" w:rsidRPr="00E15289">
        <w:rPr>
          <w:rFonts w:ascii="Arial" w:eastAsia="Times New Roman" w:hAnsi="Arial" w:cs="Arial"/>
          <w:bdr w:val="none" w:sz="0" w:space="0" w:color="auto"/>
          <w:shd w:val="clear" w:color="auto" w:fill="FFFFFF"/>
          <w:lang w:val="en-GB"/>
        </w:rPr>
        <w:t>a</w:t>
      </w:r>
      <w:r w:rsidR="00E357FA" w:rsidRPr="00E15289">
        <w:rPr>
          <w:rFonts w:ascii="Arial" w:eastAsia="Times New Roman" w:hAnsi="Arial" w:cs="Arial"/>
          <w:bdr w:val="none" w:sz="0" w:space="0" w:color="auto"/>
          <w:shd w:val="clear" w:color="auto" w:fill="FFFFFF"/>
          <w:lang w:val="en-GB"/>
        </w:rPr>
        <w:t xml:space="preserve"> potential </w:t>
      </w:r>
      <w:r w:rsidR="004F2B4E" w:rsidRPr="00E15289">
        <w:rPr>
          <w:rFonts w:ascii="Arial" w:eastAsia="Times New Roman" w:hAnsi="Arial" w:cs="Arial"/>
          <w:bdr w:val="none" w:sz="0" w:space="0" w:color="auto"/>
          <w:shd w:val="clear" w:color="auto" w:fill="FFFFFF"/>
          <w:lang w:val="en-GB"/>
        </w:rPr>
        <w:t>role for</w:t>
      </w:r>
      <w:r w:rsidR="002B48EE" w:rsidRPr="00E15289">
        <w:rPr>
          <w:rFonts w:ascii="Arial" w:eastAsia="Times New Roman" w:hAnsi="Arial" w:cs="Arial"/>
          <w:bdr w:val="none" w:sz="0" w:space="0" w:color="auto"/>
          <w:shd w:val="clear" w:color="auto" w:fill="FFFFFF"/>
          <w:lang w:val="en-GB"/>
        </w:rPr>
        <w:t xml:space="preserve"> both NSAIDs and</w:t>
      </w:r>
      <w:r w:rsidR="00E357FA" w:rsidRPr="00E15289">
        <w:rPr>
          <w:rFonts w:ascii="Arial" w:eastAsia="Times New Roman" w:hAnsi="Arial" w:cs="Arial"/>
          <w:bdr w:val="none" w:sz="0" w:space="0" w:color="auto"/>
          <w:shd w:val="clear" w:color="auto" w:fill="FFFFFF"/>
          <w:lang w:val="en-GB"/>
        </w:rPr>
        <w:t xml:space="preserve"> NO-NSAIDs in negating the protective effect of hypoxia on prostate cancer cells and </w:t>
      </w:r>
      <w:r w:rsidR="00905344" w:rsidRPr="00E15289">
        <w:rPr>
          <w:rFonts w:ascii="Arial" w:eastAsia="Times New Roman" w:hAnsi="Arial" w:cs="Arial"/>
          <w:bdr w:val="none" w:sz="0" w:space="0" w:color="auto"/>
          <w:shd w:val="clear" w:color="auto" w:fill="FFFFFF"/>
          <w:lang w:val="en-GB"/>
        </w:rPr>
        <w:t xml:space="preserve">thereby </w:t>
      </w:r>
      <w:r w:rsidR="00E357FA" w:rsidRPr="00E15289">
        <w:rPr>
          <w:rFonts w:ascii="Arial" w:eastAsia="Times New Roman" w:hAnsi="Arial" w:cs="Arial"/>
          <w:bdr w:val="none" w:sz="0" w:space="0" w:color="auto"/>
          <w:shd w:val="clear" w:color="auto" w:fill="FFFFFF"/>
          <w:lang w:val="en-GB"/>
        </w:rPr>
        <w:t>rendering these cells more susceptible to radiotherapy.</w:t>
      </w:r>
    </w:p>
    <w:p w14:paraId="296C8E77" w14:textId="0A296333" w:rsidR="00421507" w:rsidRPr="00E15289" w:rsidRDefault="00421507">
      <w:pPr>
        <w:rPr>
          <w:rFonts w:ascii="Arial" w:eastAsia="Arial" w:hAnsi="Arial" w:cs="Arial"/>
          <w:b/>
          <w:lang w:val="en-GB"/>
        </w:rPr>
      </w:pPr>
      <w:r w:rsidRPr="00E15289">
        <w:rPr>
          <w:rFonts w:ascii="Arial" w:eastAsia="Arial" w:hAnsi="Arial" w:cs="Arial"/>
          <w:b/>
          <w:lang w:val="en-GB"/>
        </w:rPr>
        <w:br w:type="page"/>
      </w:r>
    </w:p>
    <w:p w14:paraId="51246822" w14:textId="51B94EDE" w:rsidR="00576812" w:rsidRDefault="006D06DA" w:rsidP="0025140D">
      <w:pPr>
        <w:spacing w:afterLines="80" w:after="192" w:line="400" w:lineRule="exact"/>
        <w:jc w:val="both"/>
        <w:rPr>
          <w:rFonts w:ascii="Arial" w:eastAsia="Arial" w:hAnsi="Arial" w:cs="Arial"/>
          <w:lang w:val="en-GB"/>
        </w:rPr>
      </w:pPr>
      <w:r>
        <w:rPr>
          <w:rFonts w:ascii="Arial" w:eastAsia="Arial" w:hAnsi="Arial" w:cs="Arial"/>
          <w:b/>
          <w:lang w:val="en-GB"/>
        </w:rPr>
        <w:lastRenderedPageBreak/>
        <w:t>Acknowledg</w:t>
      </w:r>
      <w:r w:rsidR="006F17C2" w:rsidRPr="00E15289">
        <w:rPr>
          <w:rFonts w:ascii="Arial" w:eastAsia="Arial" w:hAnsi="Arial" w:cs="Arial"/>
          <w:b/>
          <w:lang w:val="en-GB"/>
        </w:rPr>
        <w:t>ment</w:t>
      </w:r>
      <w:r>
        <w:rPr>
          <w:rFonts w:ascii="Arial" w:eastAsia="Arial" w:hAnsi="Arial" w:cs="Arial"/>
          <w:b/>
          <w:lang w:val="en-GB"/>
        </w:rPr>
        <w:t>s:</w:t>
      </w:r>
      <w:r w:rsidRPr="00E15289">
        <w:rPr>
          <w:rFonts w:ascii="Arial" w:eastAsia="Arial" w:hAnsi="Arial" w:cs="Arial"/>
          <w:lang w:val="en-GB"/>
        </w:rPr>
        <w:t xml:space="preserve"> </w:t>
      </w:r>
      <w:r w:rsidR="006F17C2" w:rsidRPr="00E15289">
        <w:rPr>
          <w:rFonts w:ascii="Arial" w:eastAsia="Arial" w:hAnsi="Arial" w:cs="Arial"/>
          <w:lang w:val="en-GB"/>
        </w:rPr>
        <w:t xml:space="preserve">Craig </w:t>
      </w:r>
      <w:proofErr w:type="spellStart"/>
      <w:r w:rsidR="006F17C2" w:rsidRPr="00E15289">
        <w:rPr>
          <w:rFonts w:ascii="Arial" w:eastAsia="Arial" w:hAnsi="Arial" w:cs="Arial"/>
          <w:lang w:val="en-GB"/>
        </w:rPr>
        <w:t>Dorschel</w:t>
      </w:r>
      <w:proofErr w:type="spellEnd"/>
      <w:r w:rsidR="006F17C2" w:rsidRPr="00E15289">
        <w:rPr>
          <w:rFonts w:ascii="Arial" w:eastAsia="Arial" w:hAnsi="Arial" w:cs="Arial"/>
          <w:lang w:val="en-GB"/>
        </w:rPr>
        <w:t xml:space="preserve"> is kindly acknowledged for his assistance with collecting the LC-MS data.</w:t>
      </w:r>
      <w:r w:rsidR="0038437A" w:rsidRPr="00E15289">
        <w:rPr>
          <w:rFonts w:ascii="Arial" w:eastAsia="Arial" w:hAnsi="Arial" w:cs="Arial"/>
          <w:lang w:val="en-GB"/>
        </w:rPr>
        <w:t xml:space="preserve"> </w:t>
      </w:r>
      <w:r w:rsidR="003E5B7A" w:rsidRPr="00E15289">
        <w:rPr>
          <w:rFonts w:ascii="Arial" w:eastAsia="Arial" w:hAnsi="Arial" w:cs="Arial"/>
          <w:lang w:val="en-GB"/>
        </w:rPr>
        <w:t>FKH and JAR</w:t>
      </w:r>
      <w:r w:rsidR="0038437A" w:rsidRPr="00E15289">
        <w:rPr>
          <w:rFonts w:ascii="Arial" w:eastAsia="Arial" w:hAnsi="Arial" w:cs="Arial"/>
          <w:lang w:val="en-GB"/>
        </w:rPr>
        <w:t xml:space="preserve"> are also grateful to the Prostate Cancer Charity </w:t>
      </w:r>
      <w:r w:rsidR="003E5B7A" w:rsidRPr="00E15289">
        <w:rPr>
          <w:rFonts w:ascii="Arial" w:eastAsia="Arial" w:hAnsi="Arial" w:cs="Arial"/>
          <w:lang w:val="en-GB"/>
        </w:rPr>
        <w:t>and</w:t>
      </w:r>
      <w:r w:rsidR="0038437A" w:rsidRPr="00E15289">
        <w:rPr>
          <w:rFonts w:ascii="Arial" w:eastAsia="Arial" w:hAnsi="Arial" w:cs="Arial"/>
          <w:lang w:val="en-GB"/>
        </w:rPr>
        <w:t xml:space="preserve"> Ralph </w:t>
      </w:r>
      <w:proofErr w:type="spellStart"/>
      <w:r w:rsidR="0038437A" w:rsidRPr="00E15289">
        <w:rPr>
          <w:rFonts w:ascii="Arial" w:eastAsia="Arial" w:hAnsi="Arial" w:cs="Arial"/>
          <w:lang w:val="en-GB"/>
        </w:rPr>
        <w:t>Shackman</w:t>
      </w:r>
      <w:proofErr w:type="spellEnd"/>
      <w:r w:rsidR="0038437A" w:rsidRPr="00E15289">
        <w:rPr>
          <w:rFonts w:ascii="Arial" w:eastAsia="Arial" w:hAnsi="Arial" w:cs="Arial"/>
          <w:lang w:val="en-GB"/>
        </w:rPr>
        <w:t xml:space="preserve"> Trust</w:t>
      </w:r>
      <w:r w:rsidR="00095F20" w:rsidRPr="00E15289">
        <w:rPr>
          <w:rFonts w:ascii="Arial" w:eastAsia="Arial" w:hAnsi="Arial" w:cs="Arial"/>
          <w:lang w:val="en-GB"/>
        </w:rPr>
        <w:t xml:space="preserve"> for their support</w:t>
      </w:r>
      <w:r w:rsidR="003E5B7A" w:rsidRPr="00E15289">
        <w:rPr>
          <w:rFonts w:ascii="Arial" w:eastAsia="Arial" w:hAnsi="Arial" w:cs="Arial"/>
          <w:lang w:val="en-GB"/>
        </w:rPr>
        <w:t>.</w:t>
      </w:r>
    </w:p>
    <w:p w14:paraId="3749FD43" w14:textId="77777777" w:rsidR="006D06DA" w:rsidRDefault="006D06DA" w:rsidP="006D06DA">
      <w:pPr>
        <w:autoSpaceDE w:val="0"/>
        <w:autoSpaceDN w:val="0"/>
        <w:adjustRightInd w:val="0"/>
        <w:spacing w:line="480" w:lineRule="auto"/>
        <w:jc w:val="both"/>
        <w:rPr>
          <w:rFonts w:cs="Calibri"/>
          <w:b/>
          <w:bCs/>
        </w:rPr>
      </w:pPr>
      <w:r>
        <w:rPr>
          <w:rFonts w:cs="Calibri"/>
          <w:b/>
          <w:bCs/>
        </w:rPr>
        <w:t xml:space="preserve">Author contributions: </w:t>
      </w:r>
      <w:bookmarkStart w:id="2" w:name="reftop"/>
      <w:r>
        <w:rPr>
          <w:rStyle w:val="pagecontents"/>
        </w:rPr>
        <w:t>All the authors have accepted responsibility for the entire content of this submitted manuscript and approved submission.</w:t>
      </w:r>
      <w:bookmarkEnd w:id="2"/>
    </w:p>
    <w:p w14:paraId="2C85BA73" w14:textId="77777777" w:rsidR="006D06DA" w:rsidRPr="00A032C3" w:rsidRDefault="006D06DA" w:rsidP="006D06DA">
      <w:pPr>
        <w:autoSpaceDE w:val="0"/>
        <w:autoSpaceDN w:val="0"/>
        <w:adjustRightInd w:val="0"/>
        <w:spacing w:line="480" w:lineRule="auto"/>
        <w:jc w:val="both"/>
        <w:rPr>
          <w:rFonts w:cs="Calibri"/>
          <w:bCs/>
          <w:sz w:val="22"/>
          <w:szCs w:val="22"/>
        </w:rPr>
      </w:pPr>
      <w:r>
        <w:rPr>
          <w:rFonts w:cs="Calibri"/>
          <w:b/>
          <w:bCs/>
          <w:sz w:val="22"/>
          <w:szCs w:val="22"/>
        </w:rPr>
        <w:t>Research funding</w:t>
      </w:r>
      <w:r w:rsidRPr="00A032C3">
        <w:rPr>
          <w:rFonts w:cs="Calibri"/>
          <w:b/>
          <w:bCs/>
          <w:sz w:val="22"/>
          <w:szCs w:val="22"/>
        </w:rPr>
        <w:t>:</w:t>
      </w:r>
      <w:r w:rsidRPr="00A032C3">
        <w:rPr>
          <w:rFonts w:cs="Calibri"/>
          <w:bCs/>
          <w:sz w:val="22"/>
          <w:szCs w:val="22"/>
        </w:rPr>
        <w:t xml:space="preserve"> None declared.</w:t>
      </w:r>
    </w:p>
    <w:p w14:paraId="214E8FB7" w14:textId="77777777" w:rsidR="006D06DA" w:rsidRPr="00A032C3" w:rsidRDefault="006D06DA" w:rsidP="006D06DA">
      <w:pPr>
        <w:autoSpaceDE w:val="0"/>
        <w:autoSpaceDN w:val="0"/>
        <w:adjustRightInd w:val="0"/>
        <w:spacing w:line="480" w:lineRule="auto"/>
        <w:jc w:val="both"/>
        <w:rPr>
          <w:rFonts w:cs="Calibri"/>
          <w:bCs/>
          <w:sz w:val="22"/>
          <w:szCs w:val="22"/>
        </w:rPr>
      </w:pPr>
      <w:r w:rsidRPr="00A032C3">
        <w:rPr>
          <w:rFonts w:cs="Calibri"/>
          <w:b/>
          <w:bCs/>
          <w:sz w:val="22"/>
          <w:szCs w:val="22"/>
        </w:rPr>
        <w:t xml:space="preserve">Employment or leadership: </w:t>
      </w:r>
      <w:r w:rsidRPr="00A032C3">
        <w:rPr>
          <w:rFonts w:cs="Calibri"/>
          <w:bCs/>
          <w:sz w:val="22"/>
          <w:szCs w:val="22"/>
        </w:rPr>
        <w:t>None declared.</w:t>
      </w:r>
    </w:p>
    <w:p w14:paraId="5DEC3353" w14:textId="77777777" w:rsidR="006D06DA" w:rsidRPr="00A032C3" w:rsidRDefault="006D06DA" w:rsidP="006D06DA">
      <w:pPr>
        <w:autoSpaceDE w:val="0"/>
        <w:autoSpaceDN w:val="0"/>
        <w:adjustRightInd w:val="0"/>
        <w:spacing w:line="480" w:lineRule="auto"/>
        <w:jc w:val="both"/>
        <w:rPr>
          <w:rFonts w:cs="Calibri"/>
          <w:bCs/>
          <w:sz w:val="22"/>
          <w:szCs w:val="22"/>
          <w:lang w:val="pt-BR"/>
        </w:rPr>
      </w:pPr>
      <w:r w:rsidRPr="00A032C3">
        <w:rPr>
          <w:rFonts w:cs="Calibri"/>
          <w:b/>
          <w:bCs/>
          <w:sz w:val="22"/>
          <w:szCs w:val="22"/>
          <w:lang w:val="pt-BR"/>
        </w:rPr>
        <w:t>Honorarium:</w:t>
      </w:r>
      <w:r w:rsidRPr="00A032C3">
        <w:rPr>
          <w:rFonts w:cs="Calibri"/>
          <w:bCs/>
          <w:sz w:val="22"/>
          <w:szCs w:val="22"/>
          <w:lang w:val="pt-BR"/>
        </w:rPr>
        <w:t xml:space="preserve"> None declared. </w:t>
      </w:r>
    </w:p>
    <w:p w14:paraId="4979DACF" w14:textId="77777777" w:rsidR="006D06DA" w:rsidRDefault="006D06DA" w:rsidP="006D06DA">
      <w:pPr>
        <w:rPr>
          <w:color w:val="000000"/>
        </w:rPr>
      </w:pPr>
      <w:r>
        <w:rPr>
          <w:rFonts w:cs="Calibri"/>
          <w:b/>
          <w:bCs/>
        </w:rPr>
        <w:t>Competing interests</w:t>
      </w:r>
      <w:r w:rsidRPr="00A032C3">
        <w:rPr>
          <w:rFonts w:cs="Calibri"/>
          <w:b/>
          <w:bCs/>
          <w:sz w:val="22"/>
          <w:szCs w:val="22"/>
        </w:rPr>
        <w:t xml:space="preserve">: </w:t>
      </w:r>
      <w:r w:rsidRPr="00A032C3">
        <w:rPr>
          <w:rFonts w:cs="Calibri"/>
          <w:bCs/>
          <w:sz w:val="22"/>
          <w:szCs w:val="22"/>
        </w:rPr>
        <w:t>The funding organization(s)</w:t>
      </w:r>
      <w:r w:rsidRPr="00A032C3">
        <w:rPr>
          <w:rFonts w:cs="Calibri"/>
          <w:b/>
          <w:bCs/>
          <w:sz w:val="22"/>
          <w:szCs w:val="22"/>
        </w:rPr>
        <w:t xml:space="preserve"> </w:t>
      </w:r>
      <w:r w:rsidRPr="00A032C3">
        <w:rPr>
          <w:bCs/>
          <w:color w:val="000000"/>
          <w:sz w:val="22"/>
          <w:szCs w:val="22"/>
        </w:rPr>
        <w:t>played no role in the</w:t>
      </w:r>
      <w:r w:rsidRPr="00A032C3">
        <w:rPr>
          <w:bCs/>
          <w:color w:val="000000"/>
          <w:sz w:val="22"/>
          <w:szCs w:val="22"/>
          <w:vertAlign w:val="superscript"/>
        </w:rPr>
        <w:t xml:space="preserve"> </w:t>
      </w:r>
      <w:r w:rsidRPr="00A032C3">
        <w:rPr>
          <w:bCs/>
          <w:color w:val="000000"/>
          <w:sz w:val="22"/>
          <w:szCs w:val="22"/>
        </w:rPr>
        <w:t>study design; in the</w:t>
      </w:r>
      <w:r w:rsidRPr="00A032C3">
        <w:rPr>
          <w:b/>
          <w:bCs/>
          <w:color w:val="000000"/>
          <w:sz w:val="22"/>
          <w:szCs w:val="22"/>
        </w:rPr>
        <w:t xml:space="preserve"> </w:t>
      </w:r>
      <w:r w:rsidRPr="00A032C3">
        <w:rPr>
          <w:color w:val="000000"/>
          <w:sz w:val="22"/>
          <w:szCs w:val="22"/>
        </w:rPr>
        <w:t>collection,</w:t>
      </w:r>
      <w:r w:rsidRPr="003F17A2">
        <w:rPr>
          <w:color w:val="000000"/>
        </w:rPr>
        <w:t xml:space="preserve"> analysis, and interpretation</w:t>
      </w:r>
      <w:r w:rsidRPr="003F17A2">
        <w:rPr>
          <w:color w:val="000000"/>
          <w:vertAlign w:val="superscript"/>
        </w:rPr>
        <w:t xml:space="preserve"> </w:t>
      </w:r>
      <w:r w:rsidRPr="003F17A2">
        <w:rPr>
          <w:color w:val="000000"/>
        </w:rPr>
        <w:t>of data; in the writing of the report; or in the decision to</w:t>
      </w:r>
      <w:r w:rsidRPr="003F17A2">
        <w:rPr>
          <w:color w:val="000000"/>
          <w:vertAlign w:val="superscript"/>
        </w:rPr>
        <w:t xml:space="preserve"> </w:t>
      </w:r>
      <w:r w:rsidRPr="003F17A2">
        <w:rPr>
          <w:color w:val="000000"/>
        </w:rPr>
        <w:t>submit the report for publication.</w:t>
      </w:r>
    </w:p>
    <w:p w14:paraId="72BF7DCC" w14:textId="77777777" w:rsidR="006D06DA" w:rsidRPr="006D06DA" w:rsidRDefault="006D06DA" w:rsidP="0025140D">
      <w:pPr>
        <w:spacing w:afterLines="80" w:after="192" w:line="400" w:lineRule="exact"/>
        <w:jc w:val="both"/>
        <w:rPr>
          <w:rFonts w:ascii="Arial" w:eastAsia="Arial" w:hAnsi="Arial" w:cs="Arial"/>
        </w:rPr>
      </w:pPr>
    </w:p>
    <w:p w14:paraId="0DAEE75B" w14:textId="77777777" w:rsidR="008D66C6" w:rsidRPr="00E15289" w:rsidRDefault="008D66C6" w:rsidP="0025140D">
      <w:pPr>
        <w:spacing w:afterLines="80" w:after="192" w:line="400" w:lineRule="exact"/>
        <w:jc w:val="both"/>
        <w:rPr>
          <w:rFonts w:ascii="Arial" w:eastAsia="Arial" w:hAnsi="Arial" w:cs="Arial"/>
          <w:lang w:val="en-GB"/>
        </w:rPr>
      </w:pPr>
    </w:p>
    <w:p w14:paraId="08213D4F" w14:textId="3B88D216" w:rsidR="000111C4" w:rsidRPr="00E15289" w:rsidRDefault="002F2AFF" w:rsidP="00AF04CF">
      <w:pPr>
        <w:spacing w:afterLines="60" w:after="144" w:line="360" w:lineRule="auto"/>
        <w:jc w:val="both"/>
        <w:rPr>
          <w:rFonts w:ascii="Arial" w:eastAsia="Arial" w:hAnsi="Arial" w:cs="Arial"/>
          <w:b/>
          <w:i/>
          <w:lang w:val="en-GB"/>
        </w:rPr>
      </w:pPr>
      <w:r w:rsidRPr="00E15289">
        <w:rPr>
          <w:rFonts w:ascii="Arial" w:eastAsia="Arial" w:hAnsi="Arial" w:cs="Arial"/>
          <w:b/>
          <w:lang w:val="en-GB"/>
        </w:rPr>
        <w:t>References</w:t>
      </w:r>
    </w:p>
    <w:p w14:paraId="19AD4A58" w14:textId="73E5C195" w:rsidR="002B48EE" w:rsidRPr="00E15289" w:rsidRDefault="00FC3C47"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eastAsia="Arial" w:hAnsi="Arial" w:cs="Arial"/>
          <w:sz w:val="22"/>
          <w:szCs w:val="20"/>
          <w:lang w:val="en-GB"/>
        </w:rPr>
        <w:fldChar w:fldCharType="begin" w:fldLock="1"/>
      </w:r>
      <w:r w:rsidRPr="00E15289">
        <w:rPr>
          <w:rFonts w:ascii="Arial" w:eastAsia="Arial" w:hAnsi="Arial" w:cs="Arial"/>
          <w:sz w:val="22"/>
          <w:szCs w:val="20"/>
          <w:lang w:val="en-GB"/>
        </w:rPr>
        <w:instrText xml:space="preserve">ADDIN Mendeley Bibliography CSL_BIBLIOGRAPHY </w:instrText>
      </w:r>
      <w:r w:rsidRPr="00E15289">
        <w:rPr>
          <w:rFonts w:ascii="Arial" w:eastAsia="Arial" w:hAnsi="Arial" w:cs="Arial"/>
          <w:sz w:val="22"/>
          <w:szCs w:val="20"/>
          <w:lang w:val="en-GB"/>
        </w:rPr>
        <w:fldChar w:fldCharType="separate"/>
      </w:r>
      <w:r w:rsidR="002B48EE" w:rsidRPr="00E15289">
        <w:rPr>
          <w:rFonts w:ascii="Arial" w:hAnsi="Arial" w:cs="Arial"/>
          <w:noProof/>
          <w:sz w:val="22"/>
        </w:rPr>
        <w:t xml:space="preserve">1. </w:t>
      </w:r>
      <w:r w:rsidR="002B48EE" w:rsidRPr="00E15289">
        <w:rPr>
          <w:rFonts w:ascii="Arial" w:hAnsi="Arial" w:cs="Arial"/>
          <w:noProof/>
          <w:sz w:val="22"/>
        </w:rPr>
        <w:tab/>
        <w:t xml:space="preserve">Bertout JA, Patel SA, Simon MC. The impact of O2 availability on human cancer. Nature Reviews Cancer. 2008. </w:t>
      </w:r>
    </w:p>
    <w:p w14:paraId="2809E26F"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2. </w:t>
      </w:r>
      <w:r w:rsidRPr="00E15289">
        <w:rPr>
          <w:rFonts w:ascii="Arial" w:hAnsi="Arial" w:cs="Arial"/>
          <w:noProof/>
          <w:sz w:val="22"/>
        </w:rPr>
        <w:tab/>
        <w:t xml:space="preserve">Semenza GL. Hypoxia-inducible factors: Mediators of cancer progression and targets for cancer therapy. Trends in Pharmacological Sciences. 2012. </w:t>
      </w:r>
    </w:p>
    <w:p w14:paraId="1E408A11"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3. </w:t>
      </w:r>
      <w:r w:rsidRPr="00E15289">
        <w:rPr>
          <w:rFonts w:ascii="Arial" w:hAnsi="Arial" w:cs="Arial"/>
          <w:noProof/>
          <w:sz w:val="22"/>
        </w:rPr>
        <w:tab/>
        <w:t xml:space="preserve">Stewart GD, Ross JA, McLaren DB, Parker CC, Habib FK, Riddick ACP. The relevance of a hypoxic tumour microenvironment in prostate cancer. BJU International. 2010. </w:t>
      </w:r>
    </w:p>
    <w:p w14:paraId="2CFD5FD1"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 </w:t>
      </w:r>
      <w:r w:rsidRPr="00E15289">
        <w:rPr>
          <w:rFonts w:ascii="Arial" w:hAnsi="Arial" w:cs="Arial"/>
          <w:noProof/>
          <w:sz w:val="22"/>
        </w:rPr>
        <w:tab/>
        <w:t xml:space="preserve">Ranasinghe WKB, Xiao L, Kovac S, Chang M, Michiels C, Bolton D, et al. The Role of Hypoxia-Inducible Factor 1α in Determining the Properties of Castrate-Resistant Prostate Cancers. PLoS One. 2013; </w:t>
      </w:r>
    </w:p>
    <w:p w14:paraId="0F51A883"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5. </w:t>
      </w:r>
      <w:r w:rsidRPr="00E15289">
        <w:rPr>
          <w:rFonts w:ascii="Arial" w:hAnsi="Arial" w:cs="Arial"/>
          <w:noProof/>
          <w:sz w:val="22"/>
        </w:rPr>
        <w:tab/>
        <w:t xml:space="preserve">Semenza GL. HIF-1: mediator of physiological and  pathophysiological responses to hypoxia. J Appl Physiol. 2017; </w:t>
      </w:r>
    </w:p>
    <w:p w14:paraId="4ABA61AC"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6. </w:t>
      </w:r>
      <w:r w:rsidRPr="00E15289">
        <w:rPr>
          <w:rFonts w:ascii="Arial" w:hAnsi="Arial" w:cs="Arial"/>
          <w:noProof/>
          <w:sz w:val="22"/>
        </w:rPr>
        <w:tab/>
        <w:t>Keith B, Johnson RS, Simon MC. HIF1α and HIF2α: sibling rivalry in hypoxic tumour growth and progression. Nat Rev Cancer [Internet]. 2011 Dec 15;12(1):9–22. Available from: https://www.ncbi.nlm.nih.gov/pubmed/22169972</w:t>
      </w:r>
    </w:p>
    <w:p w14:paraId="6B41EEE4"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7. </w:t>
      </w:r>
      <w:r w:rsidRPr="00E15289">
        <w:rPr>
          <w:rFonts w:ascii="Arial" w:hAnsi="Arial" w:cs="Arial"/>
          <w:noProof/>
          <w:sz w:val="22"/>
        </w:rPr>
        <w:tab/>
        <w:t xml:space="preserve">Pasanen A, Heikkilä M, Rautavuoma K, Hirsilä M, Kivirikko KI, Myllyharju J. Hypoxia-inducible factor (HIF)-3α is subject to extensive alternative splicing in human tissues and cancer cells and is regulated by HIF-1 but not HIF-2. Int J Biochem Cell Biol. 2010; </w:t>
      </w:r>
    </w:p>
    <w:p w14:paraId="5B769C75"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8. </w:t>
      </w:r>
      <w:r w:rsidRPr="00E15289">
        <w:rPr>
          <w:rFonts w:ascii="Arial" w:hAnsi="Arial" w:cs="Arial"/>
          <w:noProof/>
          <w:sz w:val="22"/>
        </w:rPr>
        <w:tab/>
        <w:t xml:space="preserve">Shin DH, Li SH, Chun YS, Huang LE, Kim MS, Park JW. CITED2 mediates the paradoxical responses of HIF-1α to proteasome inhibition. Oncogene. 2008; </w:t>
      </w:r>
    </w:p>
    <w:p w14:paraId="705D299D"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9. </w:t>
      </w:r>
      <w:r w:rsidRPr="00E15289">
        <w:rPr>
          <w:rFonts w:ascii="Arial" w:hAnsi="Arial" w:cs="Arial"/>
          <w:noProof/>
          <w:sz w:val="22"/>
        </w:rPr>
        <w:tab/>
        <w:t xml:space="preserve">Dewey DL. Effect of oxygen and nitric oxide on the radiosensitivity of human cells in tissue culture. Nature. 1960; </w:t>
      </w:r>
    </w:p>
    <w:p w14:paraId="41126891"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10. </w:t>
      </w:r>
      <w:r w:rsidRPr="00E15289">
        <w:rPr>
          <w:rFonts w:ascii="Arial" w:hAnsi="Arial" w:cs="Arial"/>
          <w:noProof/>
          <w:sz w:val="22"/>
        </w:rPr>
        <w:tab/>
        <w:t xml:space="preserve">Furuta Y, Hunter N, Barkley T, Hall E, Milas L. Increase in Radioresponse of Murine Tumors by Treatment with Indomethacin. Cancer Res. 1988; </w:t>
      </w:r>
    </w:p>
    <w:p w14:paraId="7A425851"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11. </w:t>
      </w:r>
      <w:r w:rsidRPr="00E15289">
        <w:rPr>
          <w:rFonts w:ascii="Arial" w:hAnsi="Arial" w:cs="Arial"/>
          <w:noProof/>
          <w:sz w:val="22"/>
        </w:rPr>
        <w:tab/>
        <w:t xml:space="preserve">Williams JL, Kashfi K, Ouyang N, Del Soldato P, Kopelovich L, Rigas B. NO-donating aspirin inhibits intestinal carcinogenesis in Min (APC Min/+) mice. Biochem Biophys Res Commun. 2004; </w:t>
      </w:r>
    </w:p>
    <w:p w14:paraId="5E430CDE"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12. </w:t>
      </w:r>
      <w:r w:rsidRPr="00E15289">
        <w:rPr>
          <w:rFonts w:ascii="Arial" w:hAnsi="Arial" w:cs="Arial"/>
          <w:noProof/>
          <w:sz w:val="22"/>
        </w:rPr>
        <w:tab/>
        <w:t xml:space="preserve">Royle JS, Ross JA, Ansell I, Bollina P, Tulloch DN, Habib FK. Nitric oxide donating nonsteroidal anti-inflammatory drugs induce apoptosis in human prostate cancer cell systems and human prostatic stroma via caspase-3. J Urol. 2004; </w:t>
      </w:r>
    </w:p>
    <w:p w14:paraId="4D517AC9"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13. </w:t>
      </w:r>
      <w:r w:rsidRPr="00E15289">
        <w:rPr>
          <w:rFonts w:ascii="Arial" w:hAnsi="Arial" w:cs="Arial"/>
          <w:noProof/>
          <w:sz w:val="22"/>
        </w:rPr>
        <w:tab/>
        <w:t xml:space="preserve">Tesei A, Ulivi P, Fabbri F, Rosetti M, Leonetti C, Scarsella M, et al. In vitro and in vivo evaluation of NCX 4040 cytotoxic activity in human colon cancer cell lines. J Transl Med. 2005; </w:t>
      </w:r>
    </w:p>
    <w:p w14:paraId="49E05E90"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lastRenderedPageBreak/>
        <w:t xml:space="preserve">14. </w:t>
      </w:r>
      <w:r w:rsidRPr="00E15289">
        <w:rPr>
          <w:rFonts w:ascii="Arial" w:hAnsi="Arial" w:cs="Arial"/>
          <w:noProof/>
          <w:sz w:val="22"/>
        </w:rPr>
        <w:tab/>
        <w:t xml:space="preserve">Stewart GD, Nanda J, Brown DJG, Riddick ACP, Ross JA, Habib FK. NO-sulindac inhibits the hypoxia response of PC-3 prostate cancer cells via the Akt signalling pathway. Int J Cancer. 2009; </w:t>
      </w:r>
    </w:p>
    <w:p w14:paraId="3F98A995"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15. </w:t>
      </w:r>
      <w:r w:rsidRPr="00E15289">
        <w:rPr>
          <w:rFonts w:ascii="Arial" w:hAnsi="Arial" w:cs="Arial"/>
          <w:noProof/>
          <w:sz w:val="22"/>
        </w:rPr>
        <w:tab/>
        <w:t xml:space="preserve">Fiorucci S, Santucci L, Gresele P, Faccino RM, Del Soldato P, Morelli A. Gastrointestinal safety of NO-aspirin (NCX-4016) in healthy human volunteers: A proof of concept endoscopic study. Gastroenterology. 2003; </w:t>
      </w:r>
    </w:p>
    <w:p w14:paraId="5EAE88DA"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16. </w:t>
      </w:r>
      <w:r w:rsidRPr="00E15289">
        <w:rPr>
          <w:rFonts w:ascii="Arial" w:hAnsi="Arial" w:cs="Arial"/>
          <w:noProof/>
          <w:sz w:val="22"/>
        </w:rPr>
        <w:tab/>
        <w:t xml:space="preserve">Umansky V, Schirrmacher V. Nitric oxide-induced apoptosis in tumor cells. Advances in Cancer Research. 2001. </w:t>
      </w:r>
    </w:p>
    <w:p w14:paraId="68C4F739"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17. </w:t>
      </w:r>
      <w:r w:rsidRPr="00E15289">
        <w:rPr>
          <w:rFonts w:ascii="Arial" w:hAnsi="Arial" w:cs="Arial"/>
          <w:noProof/>
          <w:sz w:val="22"/>
        </w:rPr>
        <w:tab/>
        <w:t xml:space="preserve">Stewart GD, Nanda J, Katz E, Bowman KJ, Christie JG, Brown DJG, et al. DNA strand breaks and hypoxia response inhibition mediate the radiosensitisation effect of nitric oxide donors on prostate cancer under varying oxygen conditions. Biochem Pharmacol. 2011; </w:t>
      </w:r>
    </w:p>
    <w:p w14:paraId="674D325A"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18. </w:t>
      </w:r>
      <w:r w:rsidRPr="00E15289">
        <w:rPr>
          <w:rFonts w:ascii="Arial" w:hAnsi="Arial" w:cs="Arial"/>
          <w:noProof/>
          <w:sz w:val="22"/>
        </w:rPr>
        <w:tab/>
        <w:t>Tanase CP, Codrici E, Popescu ID, Mihai S, Enciu A-M, Necula LG, et al. Prostate cancer proteomics: Current trends and future perspectives for biomarker discovery. Oncotarget [Internet]. 2017 Mar 14;8(11):18497–512. Available from: https://www.ncbi.nlm.nih.gov/pubmed/28061466</w:t>
      </w:r>
    </w:p>
    <w:p w14:paraId="17918F13"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19. </w:t>
      </w:r>
      <w:r w:rsidRPr="00E15289">
        <w:rPr>
          <w:rFonts w:ascii="Arial" w:hAnsi="Arial" w:cs="Arial"/>
          <w:noProof/>
          <w:sz w:val="22"/>
        </w:rPr>
        <w:tab/>
        <w:t>Rodriguez-Suarez E, Hughes C, Gethings L, Giles K, Wildgoose J, Stapels M, et al. An Ion Mobility Assisted Data Independent LC-MS Strategy for the Analysis of Complex Biological Samples [Internet]. Current Analytical Chemistry 2013 p. 199–211. Available from: https://www.ingentaconnect.com/content/ben/cac/2013/00000009/00000002/art00006</w:t>
      </w:r>
    </w:p>
    <w:p w14:paraId="462A805A"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20. </w:t>
      </w:r>
      <w:r w:rsidRPr="00E15289">
        <w:rPr>
          <w:rFonts w:ascii="Arial" w:hAnsi="Arial" w:cs="Arial"/>
          <w:noProof/>
          <w:sz w:val="22"/>
        </w:rPr>
        <w:tab/>
        <w:t>Distler U, Kuharev JJ, Navarro P, Levin Y, Schild HH, Tenzer S. Drift time-specific collision energies enable deep-coverage data-independent acquisition proteomics. Nat Meth [Internet]. 2014 Feb 15;11(2):167–70. Available from: https://doi.org/10.1038/nmeth.2767</w:t>
      </w:r>
    </w:p>
    <w:p w14:paraId="678ADC3A"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lang w:val="de-DE"/>
        </w:rPr>
      </w:pPr>
      <w:r w:rsidRPr="00E15289">
        <w:rPr>
          <w:rFonts w:ascii="Arial" w:hAnsi="Arial" w:cs="Arial"/>
          <w:noProof/>
          <w:sz w:val="22"/>
        </w:rPr>
        <w:t xml:space="preserve">21. </w:t>
      </w:r>
      <w:r w:rsidRPr="00E15289">
        <w:rPr>
          <w:rFonts w:ascii="Arial" w:hAnsi="Arial" w:cs="Arial"/>
          <w:noProof/>
          <w:sz w:val="22"/>
        </w:rPr>
        <w:tab/>
        <w:t xml:space="preserve">Keam SP, Gulati T, Gamell C, Caramia F, Huang C, Schittenhelm RB, et al. Exploring the oncoproteomic response of human prostate cancer to therapeutic radiation using data-independent acquisition (DIA) mass spectrometry. </w:t>
      </w:r>
      <w:r w:rsidRPr="00E15289">
        <w:rPr>
          <w:rFonts w:ascii="Arial" w:hAnsi="Arial" w:cs="Arial"/>
          <w:noProof/>
          <w:sz w:val="22"/>
          <w:lang w:val="de-DE"/>
        </w:rPr>
        <w:t xml:space="preserve">Prostate. 2018; </w:t>
      </w:r>
    </w:p>
    <w:p w14:paraId="552F8D9D"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lang w:val="de-DE"/>
        </w:rPr>
        <w:t xml:space="preserve">22. </w:t>
      </w:r>
      <w:r w:rsidRPr="00E15289">
        <w:rPr>
          <w:rFonts w:ascii="Arial" w:hAnsi="Arial" w:cs="Arial"/>
          <w:noProof/>
          <w:sz w:val="22"/>
          <w:lang w:val="de-DE"/>
        </w:rPr>
        <w:tab/>
        <w:t xml:space="preserve">Li G-ZZ, Vissers JPCC, Silva JC, Golick D, Gorenstein M V., Geromanos SJ. </w:t>
      </w:r>
      <w:r w:rsidRPr="00E15289">
        <w:rPr>
          <w:rFonts w:ascii="Arial" w:hAnsi="Arial" w:cs="Arial"/>
          <w:noProof/>
          <w:sz w:val="22"/>
        </w:rPr>
        <w:t>Database searching and accounting of multiplexed precursor and product ion spectra from the data independent analysis of simple and complex peptide mixtures. Proteomics [Internet]. 2009 Mar 1;9(6):1696–719. Available from: http://dx.doi.org/10.1002/pmic.200800564</w:t>
      </w:r>
    </w:p>
    <w:p w14:paraId="1C589322"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lang w:val="de-DE"/>
        </w:rPr>
        <w:t xml:space="preserve">23. </w:t>
      </w:r>
      <w:r w:rsidRPr="00E15289">
        <w:rPr>
          <w:rFonts w:ascii="Arial" w:hAnsi="Arial" w:cs="Arial"/>
          <w:noProof/>
          <w:sz w:val="22"/>
          <w:lang w:val="de-DE"/>
        </w:rPr>
        <w:tab/>
        <w:t xml:space="preserve">Li G-Z, Geromanos SJ, Silva JC, Gorenstein M V., Vissers JPC. </w:t>
      </w:r>
      <w:r w:rsidRPr="00E15289">
        <w:rPr>
          <w:rFonts w:ascii="Arial" w:hAnsi="Arial" w:cs="Arial"/>
          <w:noProof/>
          <w:sz w:val="22"/>
        </w:rPr>
        <w:t xml:space="preserve">Absolute Quantification of Proteins by LCMSE: A Virtue of Parallel ms Acquisition . Mol Cell Proteomics. 2006; </w:t>
      </w:r>
    </w:p>
    <w:p w14:paraId="0D1143B1"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24. </w:t>
      </w:r>
      <w:r w:rsidRPr="00E15289">
        <w:rPr>
          <w:rFonts w:ascii="Arial" w:hAnsi="Arial" w:cs="Arial"/>
          <w:noProof/>
          <w:sz w:val="22"/>
        </w:rPr>
        <w:tab/>
        <w:t xml:space="preserve">Jeanquartier F, Jean-Quartier C, Holzinger A. Integrated web visualizations for protein-protein interaction databases. BMC Bioinformatics. 2015; </w:t>
      </w:r>
    </w:p>
    <w:p w14:paraId="6A5E8396"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25. </w:t>
      </w:r>
      <w:r w:rsidRPr="00E15289">
        <w:rPr>
          <w:rFonts w:ascii="Arial" w:hAnsi="Arial" w:cs="Arial"/>
          <w:noProof/>
          <w:sz w:val="22"/>
        </w:rPr>
        <w:tab/>
        <w:t xml:space="preserve">Fabregat A, Jupe S, Matthews L, Sidiropoulos K, Gillespie M, Garapati P, et al. The Reactome Pathway Knowledgebase. Nucleic Acids Res. 2018; </w:t>
      </w:r>
    </w:p>
    <w:p w14:paraId="46EB0ABA"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26. </w:t>
      </w:r>
      <w:r w:rsidRPr="00E15289">
        <w:rPr>
          <w:rFonts w:ascii="Arial" w:hAnsi="Arial" w:cs="Arial"/>
          <w:noProof/>
          <w:sz w:val="22"/>
        </w:rPr>
        <w:tab/>
        <w:t xml:space="preserve">Huang DW, Sherman BT, Lempicki RA. Bioinformatics enrichment tools: Paths toward the comprehensive functional analysis of large gene lists. Nucleic Acids Res. 2009; </w:t>
      </w:r>
    </w:p>
    <w:p w14:paraId="4207575D"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27. </w:t>
      </w:r>
      <w:r w:rsidRPr="00E15289">
        <w:rPr>
          <w:rFonts w:ascii="Arial" w:hAnsi="Arial" w:cs="Arial"/>
          <w:noProof/>
          <w:sz w:val="22"/>
        </w:rPr>
        <w:tab/>
        <w:t>Cerami E, Gao J, Dogrusoz U, Gross BE, Sumer SO, Aksoy BA, et al. The cBio cancer genomics portal: an open platform for exploring multidimensional cancer genomics data. Cancer Discov [Internet]. 2012 May;2(5):401–4. Available from: https://www.ncbi.nlm.nih.gov/pubmed/22588877</w:t>
      </w:r>
    </w:p>
    <w:p w14:paraId="2EAF63CD"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28. </w:t>
      </w:r>
      <w:r w:rsidRPr="00E15289">
        <w:rPr>
          <w:rFonts w:ascii="Arial" w:hAnsi="Arial" w:cs="Arial"/>
          <w:noProof/>
          <w:sz w:val="22"/>
        </w:rPr>
        <w:tab/>
        <w:t>Wu G, Dawson E, Duong A, Haw R, Stein L. ReactomeFIViz: a Cytoscape app for pathway and network-based data analysis. F1000Research [Internet]. 2014 Sep 12;3:146. Available from: https://www.ncbi.nlm.nih.gov/pubmed/25309732</w:t>
      </w:r>
    </w:p>
    <w:p w14:paraId="19948139"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29. </w:t>
      </w:r>
      <w:r w:rsidRPr="00E15289">
        <w:rPr>
          <w:rFonts w:ascii="Arial" w:hAnsi="Arial" w:cs="Arial"/>
          <w:noProof/>
          <w:sz w:val="22"/>
        </w:rPr>
        <w:tab/>
        <w:t>Shannon P, Markiel A, Ozier O, Baliga NS, Wang JT, Ramage D, et al. Cytoscape: a software environment for integrated models of biomolecular interaction networks. Genome Res [Internet]. 2003 Nov;13(11):2498–504. Available from: https://www.ncbi.nlm.nih.gov/pubmed/14597658</w:t>
      </w:r>
    </w:p>
    <w:p w14:paraId="712E21B3"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30. </w:t>
      </w:r>
      <w:r w:rsidRPr="00E15289">
        <w:rPr>
          <w:rFonts w:ascii="Arial" w:hAnsi="Arial" w:cs="Arial"/>
          <w:noProof/>
          <w:sz w:val="22"/>
        </w:rPr>
        <w:tab/>
        <w:t xml:space="preserve">Mulligan MK, Mozhui K, Prins P, Williams RW. Genenetwork: A toolbox for systems genetics. In: Methods in Molecular Biology. 2017. </w:t>
      </w:r>
    </w:p>
    <w:p w14:paraId="11CFC07F"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lang w:val="de-DE"/>
        </w:rPr>
      </w:pPr>
      <w:r w:rsidRPr="00E15289">
        <w:rPr>
          <w:rFonts w:ascii="Arial" w:hAnsi="Arial" w:cs="Arial"/>
          <w:noProof/>
          <w:sz w:val="22"/>
        </w:rPr>
        <w:t xml:space="preserve">31. </w:t>
      </w:r>
      <w:r w:rsidRPr="00E15289">
        <w:rPr>
          <w:rFonts w:ascii="Arial" w:hAnsi="Arial" w:cs="Arial"/>
          <w:noProof/>
          <w:sz w:val="22"/>
        </w:rPr>
        <w:tab/>
        <w:t xml:space="preserve">Zachary S, Danny A, Karl W. B, Arthur C, Nicholas F, Harm N, et al. GeneNetwork: framework for web-based genetics. J Open Source Softw. </w:t>
      </w:r>
      <w:r w:rsidRPr="00E15289">
        <w:rPr>
          <w:rFonts w:ascii="Arial" w:hAnsi="Arial" w:cs="Arial"/>
          <w:noProof/>
          <w:sz w:val="22"/>
          <w:lang w:val="de-DE"/>
        </w:rPr>
        <w:t xml:space="preserve">2016;1(2):1–3. </w:t>
      </w:r>
    </w:p>
    <w:p w14:paraId="6A189456"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lang w:val="de-DE"/>
        </w:rPr>
        <w:t xml:space="preserve">32. </w:t>
      </w:r>
      <w:r w:rsidRPr="00E15289">
        <w:rPr>
          <w:rFonts w:ascii="Arial" w:hAnsi="Arial" w:cs="Arial"/>
          <w:noProof/>
          <w:sz w:val="22"/>
          <w:lang w:val="de-DE"/>
        </w:rPr>
        <w:tab/>
        <w:t xml:space="preserve">Vizcaíno JA, Deutsch EW, Wang R, Csordas A, Reisinger F, Ríos D, et al. </w:t>
      </w:r>
      <w:r w:rsidRPr="00E15289">
        <w:rPr>
          <w:rFonts w:ascii="Arial" w:hAnsi="Arial" w:cs="Arial"/>
          <w:noProof/>
          <w:sz w:val="22"/>
        </w:rPr>
        <w:t>ProteomeXchange provides globally coordinated proteomics data submission and dissemination. Nat Biotechnol [Internet]. 2014 Mar;32(3):223–6. Available from: https://www.ncbi.nlm.nih.gov/pubmed/24727771</w:t>
      </w:r>
    </w:p>
    <w:p w14:paraId="4BFF9D07"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33. </w:t>
      </w:r>
      <w:r w:rsidRPr="00E15289">
        <w:rPr>
          <w:rFonts w:ascii="Arial" w:hAnsi="Arial" w:cs="Arial"/>
          <w:noProof/>
          <w:sz w:val="22"/>
        </w:rPr>
        <w:tab/>
        <w:t xml:space="preserve">Ihling A, Ihling CH, Sinz A, Gekle M. Acidosis-induced changes in proteome patterns of the prostate cancer-derived tumor cell line AT-1. J Proteome Res. 2015; </w:t>
      </w:r>
    </w:p>
    <w:p w14:paraId="28380410"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34. </w:t>
      </w:r>
      <w:r w:rsidRPr="00E15289">
        <w:rPr>
          <w:rFonts w:ascii="Arial" w:hAnsi="Arial" w:cs="Arial"/>
          <w:noProof/>
          <w:sz w:val="22"/>
        </w:rPr>
        <w:tab/>
        <w:t>Gallagher IJ, Stewart GD, Nanda J, Riddick AC, Habib FK, Ross JA. Global Changes in Gene Expression in Normoxic and Hypoxic Prostate Cancer and the influence of NO-</w:t>
      </w:r>
      <w:r w:rsidRPr="00E15289">
        <w:rPr>
          <w:rFonts w:ascii="Arial" w:hAnsi="Arial" w:cs="Arial"/>
          <w:noProof/>
          <w:sz w:val="22"/>
        </w:rPr>
        <w:lastRenderedPageBreak/>
        <w:t xml:space="preserve">Sulindac. 2019; </w:t>
      </w:r>
    </w:p>
    <w:p w14:paraId="0800B095"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35. </w:t>
      </w:r>
      <w:r w:rsidRPr="00E15289">
        <w:rPr>
          <w:rFonts w:ascii="Arial" w:hAnsi="Arial" w:cs="Arial"/>
          <w:noProof/>
          <w:sz w:val="22"/>
        </w:rPr>
        <w:tab/>
        <w:t xml:space="preserve">Dai Y, Bae K, Siemann DW. Impact of hypoxia on the metastatic potential of human prostate cancer Cells. Int J Radiat Oncol Biol Phys. 2011; </w:t>
      </w:r>
    </w:p>
    <w:p w14:paraId="1D8304A5"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36. </w:t>
      </w:r>
      <w:r w:rsidRPr="00E15289">
        <w:rPr>
          <w:rFonts w:ascii="Arial" w:hAnsi="Arial" w:cs="Arial"/>
          <w:noProof/>
          <w:sz w:val="22"/>
        </w:rPr>
        <w:tab/>
        <w:t xml:space="preserve">Movsas B, Chapman JD, Hanlon AL, Horwitz EM, Greenberg RE, Stobbe C, et al. Hypoxic prostate/muscle PO2 ratio predicts for biochemical failure in patients with prostate cancer: Preliminary findings. Urology. 2002; </w:t>
      </w:r>
    </w:p>
    <w:p w14:paraId="4655F07A"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37. </w:t>
      </w:r>
      <w:r w:rsidRPr="00E15289">
        <w:rPr>
          <w:rFonts w:ascii="Arial" w:hAnsi="Arial" w:cs="Arial"/>
          <w:noProof/>
          <w:sz w:val="22"/>
        </w:rPr>
        <w:tab/>
        <w:t xml:space="preserve">Tamura D, Arao T, Nagai T, Kaneda H, Aomatsu K, Fujita Y, et al. Slug increases sensitivity to tubulin-binding agents via the downregulation of βIII and βIVa-tubulin in lung cancer cells. Cancer Med. 2013; </w:t>
      </w:r>
    </w:p>
    <w:p w14:paraId="69F75D8C"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lang w:val="de-DE"/>
        </w:rPr>
      </w:pPr>
      <w:r w:rsidRPr="00E15289">
        <w:rPr>
          <w:rFonts w:ascii="Arial" w:hAnsi="Arial" w:cs="Arial"/>
          <w:noProof/>
          <w:sz w:val="22"/>
        </w:rPr>
        <w:t xml:space="preserve">38. </w:t>
      </w:r>
      <w:r w:rsidRPr="00E15289">
        <w:rPr>
          <w:rFonts w:ascii="Arial" w:hAnsi="Arial" w:cs="Arial"/>
          <w:noProof/>
          <w:sz w:val="22"/>
        </w:rPr>
        <w:tab/>
        <w:t xml:space="preserve">Binó L, Procházková J, Radaszkiewicz KA, Kučera J, Kudová J, Pacherník J, et al. Hypoxia favors myosin heavy chain beta gene expression in an Hif-1alpha-dependent manner. </w:t>
      </w:r>
      <w:r w:rsidRPr="00E15289">
        <w:rPr>
          <w:rFonts w:ascii="Arial" w:hAnsi="Arial" w:cs="Arial"/>
          <w:noProof/>
          <w:sz w:val="22"/>
          <w:lang w:val="de-DE"/>
        </w:rPr>
        <w:t xml:space="preserve">Oncotarget. 2017; </w:t>
      </w:r>
    </w:p>
    <w:p w14:paraId="51CCACE8"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lang w:val="de-DE"/>
        </w:rPr>
        <w:t xml:space="preserve">39. </w:t>
      </w:r>
      <w:r w:rsidRPr="00E15289">
        <w:rPr>
          <w:rFonts w:ascii="Arial" w:hAnsi="Arial" w:cs="Arial"/>
          <w:noProof/>
          <w:sz w:val="22"/>
          <w:lang w:val="de-DE"/>
        </w:rPr>
        <w:tab/>
        <w:t xml:space="preserve">Wellmann S, Bührer C, Moderegger E, Zelmer A, Kirschner R, Koehne P, et al. </w:t>
      </w:r>
      <w:r w:rsidRPr="00E15289">
        <w:rPr>
          <w:rFonts w:ascii="Arial" w:hAnsi="Arial" w:cs="Arial"/>
          <w:noProof/>
          <w:sz w:val="22"/>
        </w:rPr>
        <w:t xml:space="preserve">Oxygen-regulated expression of the RNA-binding proteins RBM3 and CIRP by a HIF-1-independent mechanism. J Cell Sci. 2004; </w:t>
      </w:r>
    </w:p>
    <w:p w14:paraId="34123372"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40. </w:t>
      </w:r>
      <w:r w:rsidRPr="00E15289">
        <w:rPr>
          <w:rFonts w:ascii="Arial" w:hAnsi="Arial" w:cs="Arial"/>
          <w:noProof/>
          <w:sz w:val="22"/>
        </w:rPr>
        <w:tab/>
        <w:t>Liao Y, Tong L, Tang L, Wu S. The role of cold-inducible RNA binding protein in cell stress response. Int J Cancer [Internet]. 2017 Dec 1;141(11):2164–73. Available from: https://doi.org/10.1002/ijc.30833</w:t>
      </w:r>
    </w:p>
    <w:p w14:paraId="394C7D39"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41. </w:t>
      </w:r>
      <w:r w:rsidRPr="00E15289">
        <w:rPr>
          <w:rFonts w:ascii="Arial" w:hAnsi="Arial" w:cs="Arial"/>
          <w:noProof/>
          <w:sz w:val="22"/>
        </w:rPr>
        <w:tab/>
        <w:t xml:space="preserve">Thompson LP, Pence L, Pinkas G, Song H, Telugu BP. Placental Hypoxia During Early Pregnancy Causes Maternal Hypertension and Placental Insufficiency in the Hypoxic Guinea Pig Model. Biol Reprod. 2016; </w:t>
      </w:r>
    </w:p>
    <w:p w14:paraId="466CC142"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42. </w:t>
      </w:r>
      <w:r w:rsidRPr="00E15289">
        <w:rPr>
          <w:rFonts w:ascii="Arial" w:hAnsi="Arial" w:cs="Arial"/>
          <w:noProof/>
          <w:sz w:val="22"/>
        </w:rPr>
        <w:tab/>
        <w:t xml:space="preserve">Chang WH, Forde D, Lai AG. Dual prognostic role of 2-oxoglutarate-dependent oxygenases in ten cancer types: Implications for cell cycle regulation and cell adhesion maintenance. Cancer Commun. 2019; </w:t>
      </w:r>
    </w:p>
    <w:p w14:paraId="553EDABD"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43. </w:t>
      </w:r>
      <w:r w:rsidRPr="00E15289">
        <w:rPr>
          <w:rFonts w:ascii="Arial" w:hAnsi="Arial" w:cs="Arial"/>
          <w:noProof/>
          <w:sz w:val="22"/>
        </w:rPr>
        <w:tab/>
        <w:t xml:space="preserve">Carlucci A, Adornetto A, Scorziello A, Viggiano D, Foca M, Cuomo O, et al. Proteolysis of AKAP121 regulates mitochondrial activity during cellular hypoxia and brain ischaemia. EMBO J. 2008; </w:t>
      </w:r>
    </w:p>
    <w:p w14:paraId="675A75BA"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44. </w:t>
      </w:r>
      <w:r w:rsidRPr="00E15289">
        <w:rPr>
          <w:rFonts w:ascii="Arial" w:hAnsi="Arial" w:cs="Arial"/>
          <w:noProof/>
          <w:sz w:val="22"/>
        </w:rPr>
        <w:tab/>
        <w:t xml:space="preserve">Ma YL, Peng JY, Zhang P, Huang L, Liu WJ, Shen TY, et al. Heterogeneous nuclear ribonucleoprotein A1 is identified as a potential biomarker for colorectal cancer based on differential proteomics technology. J Proteome Res. 2009; </w:t>
      </w:r>
    </w:p>
    <w:p w14:paraId="14633E15"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45. </w:t>
      </w:r>
      <w:r w:rsidRPr="00E15289">
        <w:rPr>
          <w:rFonts w:ascii="Arial" w:hAnsi="Arial" w:cs="Arial"/>
          <w:noProof/>
          <w:sz w:val="22"/>
        </w:rPr>
        <w:tab/>
        <w:t xml:space="preserve">Guil S, Long JC, Caceres JF. hnRNP A1 Relocalization to the Stress Granules Reflects a Role in the Stress Response. Mol Cell Biol. 2006; </w:t>
      </w:r>
    </w:p>
    <w:p w14:paraId="3E51797B"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46. </w:t>
      </w:r>
      <w:r w:rsidRPr="00E15289">
        <w:rPr>
          <w:rFonts w:ascii="Arial" w:hAnsi="Arial" w:cs="Arial"/>
          <w:noProof/>
          <w:sz w:val="22"/>
        </w:rPr>
        <w:tab/>
        <w:t xml:space="preserve">Ko CC, Chen YJ, Chen CT, Liu YC, Cheng FC, Hsu KC, et al. Chemical proteomics identifies heterogeneous nuclear ribonucleoprotein (hnRNP) A1 as the molecular target of quercetin in its anti-cancer effects in PC-3 cells. J Biol Chem. 2014; </w:t>
      </w:r>
    </w:p>
    <w:p w14:paraId="56AE32F5" w14:textId="77777777" w:rsidR="002B48EE" w:rsidRPr="00E15289" w:rsidRDefault="002B48EE" w:rsidP="002B48EE">
      <w:pPr>
        <w:widowControl w:val="0"/>
        <w:autoSpaceDE w:val="0"/>
        <w:autoSpaceDN w:val="0"/>
        <w:adjustRightInd w:val="0"/>
        <w:spacing w:line="240" w:lineRule="exact"/>
        <w:ind w:left="640" w:hanging="640"/>
        <w:rPr>
          <w:rFonts w:ascii="Arial" w:hAnsi="Arial" w:cs="Arial"/>
          <w:noProof/>
          <w:sz w:val="22"/>
        </w:rPr>
      </w:pPr>
      <w:r w:rsidRPr="00E15289">
        <w:rPr>
          <w:rFonts w:ascii="Arial" w:hAnsi="Arial" w:cs="Arial"/>
          <w:noProof/>
          <w:sz w:val="22"/>
        </w:rPr>
        <w:t xml:space="preserve">47. </w:t>
      </w:r>
      <w:r w:rsidRPr="00E15289">
        <w:rPr>
          <w:rFonts w:ascii="Arial" w:hAnsi="Arial" w:cs="Arial"/>
          <w:noProof/>
          <w:sz w:val="22"/>
        </w:rPr>
        <w:tab/>
        <w:t xml:space="preserve">Tonry C, Armstrong J, Pennington S. Probing the prostate tumour microenvironment II: Impact of hypoxia on a cell model of prostate cancer progression. Oncotarget. 2017; </w:t>
      </w:r>
    </w:p>
    <w:p w14:paraId="4F5D48B2" w14:textId="7D396F47" w:rsidR="000E2DE1" w:rsidRPr="00E15289" w:rsidRDefault="00FC3C47" w:rsidP="000B550B">
      <w:pPr>
        <w:widowControl w:val="0"/>
        <w:autoSpaceDE w:val="0"/>
        <w:autoSpaceDN w:val="0"/>
        <w:adjustRightInd w:val="0"/>
        <w:ind w:left="640" w:hanging="640"/>
        <w:jc w:val="both"/>
        <w:rPr>
          <w:rFonts w:ascii="Arial" w:hAnsi="Arial" w:cs="Arial"/>
          <w:strike/>
          <w:sz w:val="18"/>
          <w:u w:color="1800C0"/>
        </w:rPr>
        <w:sectPr w:rsidR="000E2DE1" w:rsidRPr="00E15289" w:rsidSect="00BD158D">
          <w:headerReference w:type="default" r:id="rId9"/>
          <w:pgSz w:w="11906" w:h="16838"/>
          <w:pgMar w:top="1134" w:right="1134" w:bottom="1134" w:left="1134" w:header="709" w:footer="850" w:gutter="0"/>
          <w:cols w:space="720"/>
          <w:docGrid w:linePitch="326"/>
        </w:sectPr>
      </w:pPr>
      <w:r w:rsidRPr="00E15289">
        <w:rPr>
          <w:rFonts w:ascii="Arial" w:eastAsia="Arial" w:hAnsi="Arial" w:cs="Arial"/>
          <w:sz w:val="22"/>
          <w:szCs w:val="20"/>
          <w:lang w:val="en-GB"/>
        </w:rPr>
        <w:fldChar w:fldCharType="end"/>
      </w:r>
    </w:p>
    <w:p w14:paraId="0C0B5102" w14:textId="24F728B6" w:rsidR="00F137CD" w:rsidRPr="006D06DA" w:rsidRDefault="00F137CD" w:rsidP="00F137CD">
      <w:pPr>
        <w:rPr>
          <w:rFonts w:ascii="Arial" w:eastAsia="Arial" w:hAnsi="Arial" w:cs="Arial"/>
          <w:lang w:val="en-GB" w:eastAsia="en-GB"/>
        </w:rPr>
      </w:pPr>
      <w:r w:rsidRPr="00E15289">
        <w:rPr>
          <w:rFonts w:ascii="Arial" w:eastAsia="Arial" w:hAnsi="Arial" w:cs="Arial"/>
          <w:b/>
          <w:lang w:val="en-GB"/>
        </w:rPr>
        <w:lastRenderedPageBreak/>
        <w:t>Table 1.</w:t>
      </w:r>
      <w:r w:rsidRPr="00E15289">
        <w:rPr>
          <w:rFonts w:ascii="Arial" w:eastAsia="Arial" w:hAnsi="Arial" w:cs="Arial"/>
          <w:lang w:val="en-GB"/>
        </w:rPr>
        <w:t xml:space="preserve"> Multivariate analysis results summary discriminating proteins of the hypothesis driven analysis of the data independent analysis </w:t>
      </w:r>
      <w:r w:rsidR="00CF0B03" w:rsidRPr="006D06DA">
        <w:rPr>
          <w:rFonts w:ascii="Arial" w:eastAsia="Arial" w:hAnsi="Arial" w:cs="Arial"/>
          <w:lang w:val="en-GB"/>
        </w:rPr>
        <w:t>‘hypoxia’ vs. ‘</w:t>
      </w:r>
      <w:proofErr w:type="spellStart"/>
      <w:r w:rsidR="00CF0B03" w:rsidRPr="006D06DA">
        <w:rPr>
          <w:rFonts w:ascii="Arial" w:eastAsia="Arial" w:hAnsi="Arial" w:cs="Arial"/>
          <w:lang w:val="en-GB"/>
        </w:rPr>
        <w:t>normoxia</w:t>
      </w:r>
      <w:proofErr w:type="spellEnd"/>
      <w:r w:rsidR="00CF0B03" w:rsidRPr="006D06DA">
        <w:rPr>
          <w:rFonts w:ascii="Arial" w:eastAsia="Arial" w:hAnsi="Arial" w:cs="Arial"/>
          <w:lang w:val="en-GB"/>
        </w:rPr>
        <w:t xml:space="preserve">’ </w:t>
      </w:r>
      <w:r w:rsidRPr="006D06DA">
        <w:rPr>
          <w:rFonts w:ascii="Arial" w:eastAsia="Arial" w:hAnsi="Arial" w:cs="Arial"/>
          <w:lang w:val="en-GB"/>
        </w:rPr>
        <w:t>LC-MS PC</w:t>
      </w:r>
      <w:r w:rsidR="00F25765" w:rsidRPr="006D06DA">
        <w:rPr>
          <w:rFonts w:ascii="Arial" w:eastAsia="Arial" w:hAnsi="Arial" w:cs="Arial"/>
          <w:lang w:val="en-GB"/>
        </w:rPr>
        <w:t>-</w:t>
      </w:r>
      <w:r w:rsidRPr="006D06DA">
        <w:rPr>
          <w:rFonts w:ascii="Arial" w:eastAsia="Arial" w:hAnsi="Arial" w:cs="Arial"/>
          <w:lang w:val="en-GB"/>
        </w:rPr>
        <w:t>3 data.</w:t>
      </w:r>
    </w:p>
    <w:p w14:paraId="292F81E2" w14:textId="77777777" w:rsidR="00F137CD" w:rsidRPr="00E15289" w:rsidRDefault="00F137CD" w:rsidP="00F137CD">
      <w:pPr>
        <w:pStyle w:val="Default"/>
        <w:spacing w:after="120" w:line="360" w:lineRule="auto"/>
        <w:rPr>
          <w:rFonts w:ascii="Arial" w:eastAsia="Arial" w:hAnsi="Arial" w:cs="Arial"/>
          <w:color w:val="auto"/>
          <w:sz w:val="24"/>
          <w:szCs w:val="24"/>
          <w:lang w:val="en-GB"/>
        </w:rPr>
      </w:pPr>
    </w:p>
    <w:tbl>
      <w:tblPr>
        <w:tblStyle w:val="TableGrid"/>
        <w:tblW w:w="14328" w:type="dxa"/>
        <w:tblBorders>
          <w:left w:val="none" w:sz="0" w:space="0" w:color="auto"/>
        </w:tblBorders>
        <w:tblLayout w:type="fixed"/>
        <w:tblLook w:val="04A0" w:firstRow="1" w:lastRow="0" w:firstColumn="1" w:lastColumn="0" w:noHBand="0" w:noVBand="1"/>
      </w:tblPr>
      <w:tblGrid>
        <w:gridCol w:w="1278"/>
        <w:gridCol w:w="4770"/>
        <w:gridCol w:w="1350"/>
        <w:gridCol w:w="1890"/>
        <w:gridCol w:w="1260"/>
        <w:gridCol w:w="1620"/>
        <w:gridCol w:w="1080"/>
        <w:gridCol w:w="1080"/>
      </w:tblGrid>
      <w:tr w:rsidR="00F137CD" w:rsidRPr="00E15289" w14:paraId="46A5E36F" w14:textId="77777777" w:rsidTr="00F137CD">
        <w:tc>
          <w:tcPr>
            <w:tcW w:w="1278" w:type="dxa"/>
            <w:tcBorders>
              <w:bottom w:val="single" w:sz="4" w:space="0" w:color="auto"/>
              <w:right w:val="nil"/>
            </w:tcBorders>
            <w:vAlign w:val="center"/>
          </w:tcPr>
          <w:p w14:paraId="1E9691DF" w14:textId="474F59FB" w:rsidR="00F137CD" w:rsidRPr="00E15289" w:rsidRDefault="006D06DA"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Pr>
                <w:rFonts w:ascii="Arial" w:eastAsia="Arial" w:hAnsi="Arial" w:cs="Arial"/>
                <w:sz w:val="22"/>
                <w:szCs w:val="22"/>
                <w:lang w:val="en-GB"/>
              </w:rPr>
              <w:t>A</w:t>
            </w:r>
            <w:r w:rsidR="00F137CD" w:rsidRPr="00E15289">
              <w:rPr>
                <w:rFonts w:ascii="Arial" w:eastAsia="Arial" w:hAnsi="Arial" w:cs="Arial"/>
                <w:sz w:val="22"/>
                <w:szCs w:val="22"/>
                <w:lang w:val="en-GB"/>
              </w:rPr>
              <w:t>ccession</w:t>
            </w:r>
          </w:p>
          <w:p w14:paraId="1166D88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number</w:t>
            </w:r>
          </w:p>
        </w:tc>
        <w:tc>
          <w:tcPr>
            <w:tcW w:w="4770" w:type="dxa"/>
            <w:tcBorders>
              <w:left w:val="nil"/>
              <w:bottom w:val="single" w:sz="4" w:space="0" w:color="auto"/>
              <w:right w:val="nil"/>
            </w:tcBorders>
            <w:vAlign w:val="center"/>
          </w:tcPr>
          <w:p w14:paraId="318D7595" w14:textId="72EC5567" w:rsidR="00F137CD" w:rsidRPr="00E15289" w:rsidRDefault="006D06DA"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lang w:val="en-GB"/>
              </w:rPr>
            </w:pPr>
            <w:r>
              <w:rPr>
                <w:rFonts w:ascii="Arial" w:eastAsia="Arial" w:hAnsi="Arial" w:cs="Arial"/>
                <w:sz w:val="22"/>
                <w:szCs w:val="22"/>
                <w:lang w:val="en-GB"/>
              </w:rPr>
              <w:t>D</w:t>
            </w:r>
            <w:r w:rsidR="00F137CD" w:rsidRPr="00E15289">
              <w:rPr>
                <w:rFonts w:ascii="Arial" w:eastAsia="Arial" w:hAnsi="Arial" w:cs="Arial"/>
                <w:sz w:val="22"/>
                <w:szCs w:val="22"/>
                <w:lang w:val="en-GB"/>
              </w:rPr>
              <w:t>escription</w:t>
            </w:r>
          </w:p>
        </w:tc>
        <w:tc>
          <w:tcPr>
            <w:tcW w:w="1350" w:type="dxa"/>
            <w:tcBorders>
              <w:left w:val="nil"/>
              <w:bottom w:val="single" w:sz="4" w:space="0" w:color="auto"/>
              <w:right w:val="nil"/>
            </w:tcBorders>
            <w:vAlign w:val="center"/>
          </w:tcPr>
          <w:p w14:paraId="1AE493FF" w14:textId="4A1B255C" w:rsidR="00F137CD" w:rsidRPr="00E15289" w:rsidRDefault="006D06DA"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Pr>
                <w:rFonts w:ascii="Arial" w:eastAsia="Arial" w:hAnsi="Arial" w:cs="Arial"/>
                <w:sz w:val="22"/>
                <w:szCs w:val="22"/>
                <w:lang w:val="en-GB"/>
              </w:rPr>
              <w:t>G</w:t>
            </w:r>
            <w:r w:rsidR="00F137CD" w:rsidRPr="00E15289">
              <w:rPr>
                <w:rFonts w:ascii="Arial" w:eastAsia="Arial" w:hAnsi="Arial" w:cs="Arial"/>
                <w:sz w:val="22"/>
                <w:szCs w:val="22"/>
                <w:lang w:val="en-GB"/>
              </w:rPr>
              <w:t>ene name</w:t>
            </w:r>
          </w:p>
        </w:tc>
        <w:tc>
          <w:tcPr>
            <w:tcW w:w="1890" w:type="dxa"/>
            <w:tcBorders>
              <w:left w:val="nil"/>
              <w:bottom w:val="single" w:sz="4" w:space="0" w:color="auto"/>
              <w:right w:val="nil"/>
            </w:tcBorders>
            <w:vAlign w:val="center"/>
          </w:tcPr>
          <w:p w14:paraId="4E0E6053" w14:textId="3C1E6572" w:rsidR="00F137CD" w:rsidRPr="00E15289" w:rsidRDefault="006D06DA"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Pr>
                <w:rFonts w:ascii="Arial" w:eastAsia="Arial" w:hAnsi="Arial" w:cs="Arial"/>
                <w:sz w:val="22"/>
                <w:szCs w:val="22"/>
                <w:lang w:val="en-GB"/>
              </w:rPr>
              <w:t>E</w:t>
            </w:r>
            <w:r w:rsidR="00F137CD" w:rsidRPr="00E15289">
              <w:rPr>
                <w:rFonts w:ascii="Arial" w:eastAsia="Arial" w:hAnsi="Arial" w:cs="Arial"/>
                <w:sz w:val="22"/>
                <w:szCs w:val="22"/>
                <w:lang w:val="en-GB"/>
              </w:rPr>
              <w:t>ntry name</w:t>
            </w:r>
          </w:p>
        </w:tc>
        <w:tc>
          <w:tcPr>
            <w:tcW w:w="1260" w:type="dxa"/>
            <w:tcBorders>
              <w:left w:val="nil"/>
              <w:bottom w:val="single" w:sz="4" w:space="0" w:color="auto"/>
              <w:right w:val="nil"/>
            </w:tcBorders>
            <w:vAlign w:val="center"/>
          </w:tcPr>
          <w:p w14:paraId="18921CF5" w14:textId="62FED064" w:rsidR="00F137CD" w:rsidRPr="00E15289" w:rsidRDefault="00F137CD" w:rsidP="006D06D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 xml:space="preserve"># </w:t>
            </w:r>
            <w:r w:rsidR="006D06DA">
              <w:rPr>
                <w:rFonts w:ascii="Arial" w:eastAsia="Arial" w:hAnsi="Arial" w:cs="Arial"/>
                <w:sz w:val="22"/>
                <w:szCs w:val="22"/>
                <w:lang w:val="en-GB"/>
              </w:rPr>
              <w:t>P</w:t>
            </w:r>
            <w:r w:rsidRPr="00E15289">
              <w:rPr>
                <w:rFonts w:ascii="Arial" w:eastAsia="Arial" w:hAnsi="Arial" w:cs="Arial"/>
                <w:sz w:val="22"/>
                <w:szCs w:val="22"/>
                <w:lang w:val="en-GB"/>
              </w:rPr>
              <w:t>eptides</w:t>
            </w:r>
          </w:p>
        </w:tc>
        <w:tc>
          <w:tcPr>
            <w:tcW w:w="1620" w:type="dxa"/>
            <w:tcBorders>
              <w:left w:val="nil"/>
              <w:bottom w:val="single" w:sz="4" w:space="0" w:color="auto"/>
              <w:right w:val="nil"/>
            </w:tcBorders>
            <w:vAlign w:val="center"/>
          </w:tcPr>
          <w:p w14:paraId="386D9D73" w14:textId="2269B0B4" w:rsidR="00F137CD" w:rsidRPr="00E15289" w:rsidRDefault="006D06DA"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Pr>
                <w:rFonts w:ascii="Arial" w:eastAsia="Arial" w:hAnsi="Arial" w:cs="Arial"/>
                <w:sz w:val="22"/>
                <w:szCs w:val="22"/>
                <w:lang w:val="en-GB"/>
              </w:rPr>
              <w:t>S</w:t>
            </w:r>
            <w:r w:rsidR="00F137CD" w:rsidRPr="00E15289">
              <w:rPr>
                <w:rFonts w:ascii="Arial" w:eastAsia="Arial" w:hAnsi="Arial" w:cs="Arial"/>
                <w:sz w:val="22"/>
                <w:szCs w:val="22"/>
                <w:lang w:val="en-GB"/>
              </w:rPr>
              <w:t>equence</w:t>
            </w:r>
          </w:p>
          <w:p w14:paraId="603E1254"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coverage (%)</w:t>
            </w:r>
          </w:p>
        </w:tc>
        <w:tc>
          <w:tcPr>
            <w:tcW w:w="1080" w:type="dxa"/>
            <w:tcBorders>
              <w:left w:val="nil"/>
              <w:bottom w:val="single" w:sz="4" w:space="0" w:color="auto"/>
              <w:right w:val="nil"/>
            </w:tcBorders>
            <w:vAlign w:val="center"/>
          </w:tcPr>
          <w:p w14:paraId="4851FA48"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log</w:t>
            </w:r>
            <w:r w:rsidRPr="00E15289">
              <w:rPr>
                <w:rFonts w:ascii="Arial" w:eastAsia="Arial" w:hAnsi="Arial" w:cs="Arial"/>
                <w:sz w:val="22"/>
                <w:szCs w:val="22"/>
                <w:vertAlign w:val="subscript"/>
                <w:lang w:val="en-GB"/>
              </w:rPr>
              <w:t>2</w:t>
            </w:r>
            <w:r w:rsidRPr="00E15289">
              <w:rPr>
                <w:rFonts w:ascii="Arial" w:eastAsia="Arial" w:hAnsi="Arial" w:cs="Arial"/>
                <w:sz w:val="22"/>
                <w:szCs w:val="22"/>
                <w:lang w:val="en-GB"/>
              </w:rPr>
              <w:t xml:space="preserve"> fold change</w:t>
            </w:r>
          </w:p>
        </w:tc>
        <w:tc>
          <w:tcPr>
            <w:tcW w:w="1080" w:type="dxa"/>
            <w:tcBorders>
              <w:left w:val="nil"/>
              <w:bottom w:val="single" w:sz="4" w:space="0" w:color="auto"/>
              <w:right w:val="nil"/>
            </w:tcBorders>
            <w:vAlign w:val="center"/>
          </w:tcPr>
          <w:p w14:paraId="0BFB66DD"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p*</w:t>
            </w:r>
          </w:p>
        </w:tc>
      </w:tr>
      <w:tr w:rsidR="00F137CD" w:rsidRPr="00E15289" w14:paraId="018F4C59" w14:textId="77777777" w:rsidTr="00F137CD">
        <w:tc>
          <w:tcPr>
            <w:tcW w:w="14328" w:type="dxa"/>
            <w:gridSpan w:val="8"/>
            <w:tcBorders>
              <w:bottom w:val="nil"/>
              <w:right w:val="nil"/>
            </w:tcBorders>
            <w:vAlign w:val="center"/>
          </w:tcPr>
          <w:p w14:paraId="6512E72C"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i/>
                <w:sz w:val="20"/>
                <w:szCs w:val="20"/>
                <w:lang w:val="en-GB"/>
              </w:rPr>
            </w:pPr>
          </w:p>
          <w:p w14:paraId="213B78A0" w14:textId="0C7524EA"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bookmarkStart w:id="3" w:name="_Hlk10332437"/>
            <w:r w:rsidRPr="00E15289">
              <w:rPr>
                <w:rFonts w:ascii="Arial" w:eastAsia="Arial" w:hAnsi="Arial" w:cs="Arial"/>
                <w:i/>
                <w:sz w:val="22"/>
                <w:szCs w:val="20"/>
                <w:lang w:val="en-GB"/>
              </w:rPr>
              <w:t>‘hypoxia’ vs. ‘</w:t>
            </w:r>
            <w:proofErr w:type="spellStart"/>
            <w:r w:rsidRPr="00E15289">
              <w:rPr>
                <w:rFonts w:ascii="Arial" w:eastAsia="Arial" w:hAnsi="Arial" w:cs="Arial"/>
                <w:i/>
                <w:sz w:val="22"/>
                <w:szCs w:val="20"/>
                <w:lang w:val="en-GB"/>
              </w:rPr>
              <w:t>normoxia</w:t>
            </w:r>
            <w:proofErr w:type="spellEnd"/>
            <w:r w:rsidRPr="00E15289">
              <w:rPr>
                <w:rFonts w:ascii="Arial" w:eastAsia="Arial" w:hAnsi="Arial" w:cs="Arial"/>
                <w:i/>
                <w:sz w:val="22"/>
                <w:szCs w:val="20"/>
                <w:lang w:val="en-GB"/>
              </w:rPr>
              <w:t>’</w:t>
            </w:r>
            <w:bookmarkEnd w:id="3"/>
          </w:p>
        </w:tc>
      </w:tr>
      <w:tr w:rsidR="00F137CD" w:rsidRPr="00E15289" w14:paraId="5DE1C662" w14:textId="77777777" w:rsidTr="00F137CD">
        <w:tc>
          <w:tcPr>
            <w:tcW w:w="1278" w:type="dxa"/>
            <w:tcBorders>
              <w:top w:val="nil"/>
              <w:right w:val="nil"/>
            </w:tcBorders>
            <w:vAlign w:val="center"/>
          </w:tcPr>
          <w:p w14:paraId="7170AAFA"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P04350</w:t>
            </w:r>
          </w:p>
          <w:p w14:paraId="0A5C1EF4"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P14649</w:t>
            </w:r>
          </w:p>
          <w:p w14:paraId="0B1C2579"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P98179</w:t>
            </w:r>
          </w:p>
          <w:p w14:paraId="51D65A96"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P08729</w:t>
            </w:r>
          </w:p>
          <w:p w14:paraId="275E1F36"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P12109</w:t>
            </w:r>
          </w:p>
          <w:p w14:paraId="60E0119D"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Q14533</w:t>
            </w:r>
          </w:p>
          <w:p w14:paraId="0F109A51"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Q02809</w:t>
            </w:r>
          </w:p>
          <w:p w14:paraId="0AFCC695"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Q99996</w:t>
            </w:r>
          </w:p>
          <w:p w14:paraId="1E5AFB9A"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Q9Y3B8</w:t>
            </w:r>
          </w:p>
        </w:tc>
        <w:tc>
          <w:tcPr>
            <w:tcW w:w="4770" w:type="dxa"/>
            <w:tcBorders>
              <w:top w:val="nil"/>
              <w:left w:val="nil"/>
              <w:right w:val="nil"/>
            </w:tcBorders>
            <w:vAlign w:val="center"/>
          </w:tcPr>
          <w:p w14:paraId="237302A3"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Tubulin beta-4A chain</w:t>
            </w:r>
          </w:p>
          <w:p w14:paraId="0E38E9D4"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Myosin light chain 6B</w:t>
            </w:r>
          </w:p>
          <w:p w14:paraId="386F2FD9"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Putative RNA-binding protein 3</w:t>
            </w:r>
          </w:p>
          <w:p w14:paraId="1C8B7CC3"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Keratin, type II cytoskeletal 7</w:t>
            </w:r>
          </w:p>
          <w:p w14:paraId="2E3E1204"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Collagen alpha-1(VI) chain</w:t>
            </w:r>
          </w:p>
          <w:p w14:paraId="1E4600BE"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Keratin, type II cuticular Hb1</w:t>
            </w:r>
          </w:p>
          <w:p w14:paraId="7E9731F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Procollagen-lysine,2-oxoglutarate 5-dioxygenase 1</w:t>
            </w:r>
          </w:p>
          <w:p w14:paraId="0964D2BC"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A-kinase anchor protein 9</w:t>
            </w:r>
          </w:p>
          <w:p w14:paraId="7BF52F7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proofErr w:type="spellStart"/>
            <w:r w:rsidRPr="00E15289">
              <w:rPr>
                <w:rFonts w:ascii="Arial" w:eastAsia="Arial" w:hAnsi="Arial" w:cs="Arial"/>
                <w:sz w:val="20"/>
                <w:szCs w:val="20"/>
                <w:lang w:val="en-GB"/>
              </w:rPr>
              <w:t>Oligoribonuclease</w:t>
            </w:r>
            <w:proofErr w:type="spellEnd"/>
            <w:r w:rsidRPr="00E15289">
              <w:rPr>
                <w:rFonts w:ascii="Arial" w:eastAsia="Arial" w:hAnsi="Arial" w:cs="Arial"/>
                <w:sz w:val="20"/>
                <w:szCs w:val="20"/>
                <w:lang w:val="en-GB"/>
              </w:rPr>
              <w:t>, mitochondrial</w:t>
            </w:r>
          </w:p>
        </w:tc>
        <w:tc>
          <w:tcPr>
            <w:tcW w:w="1350" w:type="dxa"/>
            <w:tcBorders>
              <w:top w:val="nil"/>
              <w:left w:val="nil"/>
              <w:right w:val="nil"/>
            </w:tcBorders>
            <w:vAlign w:val="center"/>
          </w:tcPr>
          <w:p w14:paraId="082AD8C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TUBB4A</w:t>
            </w:r>
          </w:p>
          <w:p w14:paraId="6ECAF72C"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MYL6B</w:t>
            </w:r>
          </w:p>
          <w:p w14:paraId="7B794B9E"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RBM3</w:t>
            </w:r>
          </w:p>
          <w:p w14:paraId="7756D751"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KRT7</w:t>
            </w:r>
          </w:p>
          <w:p w14:paraId="598F466B"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COL6A1</w:t>
            </w:r>
          </w:p>
          <w:p w14:paraId="688D6AC8"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KRT81</w:t>
            </w:r>
          </w:p>
          <w:p w14:paraId="14467AC9"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PLOD1</w:t>
            </w:r>
          </w:p>
          <w:p w14:paraId="6EE13BB8"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AKAP9</w:t>
            </w:r>
          </w:p>
          <w:p w14:paraId="51BD05B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REXO2</w:t>
            </w:r>
          </w:p>
        </w:tc>
        <w:tc>
          <w:tcPr>
            <w:tcW w:w="1890" w:type="dxa"/>
            <w:tcBorders>
              <w:top w:val="nil"/>
              <w:left w:val="nil"/>
              <w:right w:val="nil"/>
            </w:tcBorders>
            <w:vAlign w:val="center"/>
          </w:tcPr>
          <w:p w14:paraId="5B9131B1"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TBB4A_HUMAN</w:t>
            </w:r>
          </w:p>
          <w:p w14:paraId="6C2C48F0"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MYL6B_HUMAN</w:t>
            </w:r>
          </w:p>
          <w:p w14:paraId="79F6FFC4"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RBM3_HUMAN</w:t>
            </w:r>
          </w:p>
          <w:p w14:paraId="13BF07A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K2C7_HUMAN</w:t>
            </w:r>
          </w:p>
          <w:p w14:paraId="2295587A"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CO6A1_HUMAN</w:t>
            </w:r>
          </w:p>
          <w:p w14:paraId="56700CBF"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KRT81_HUMAN</w:t>
            </w:r>
          </w:p>
          <w:p w14:paraId="23A5DFB8"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PLOD1_HUMAN</w:t>
            </w:r>
          </w:p>
          <w:p w14:paraId="2D8451A3"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AKAP9_HUMAN</w:t>
            </w:r>
          </w:p>
          <w:p w14:paraId="483CB21B"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ORN_HUMAN</w:t>
            </w:r>
          </w:p>
        </w:tc>
        <w:tc>
          <w:tcPr>
            <w:tcW w:w="1260" w:type="dxa"/>
            <w:tcBorders>
              <w:top w:val="nil"/>
              <w:left w:val="nil"/>
              <w:right w:val="nil"/>
            </w:tcBorders>
            <w:vAlign w:val="center"/>
          </w:tcPr>
          <w:p w14:paraId="5B89921E"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19</w:t>
            </w:r>
          </w:p>
          <w:p w14:paraId="47B780B5"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3</w:t>
            </w:r>
          </w:p>
          <w:p w14:paraId="65D18A9A"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3</w:t>
            </w:r>
          </w:p>
          <w:p w14:paraId="32BF1089"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16</w:t>
            </w:r>
          </w:p>
          <w:p w14:paraId="66EA2265"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12</w:t>
            </w:r>
          </w:p>
          <w:p w14:paraId="3F367999"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8</w:t>
            </w:r>
          </w:p>
          <w:p w14:paraId="27E3B48E"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4</w:t>
            </w:r>
          </w:p>
          <w:p w14:paraId="65927A7C"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2</w:t>
            </w:r>
          </w:p>
          <w:p w14:paraId="3F71CB2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2</w:t>
            </w:r>
          </w:p>
        </w:tc>
        <w:tc>
          <w:tcPr>
            <w:tcW w:w="1620" w:type="dxa"/>
            <w:tcBorders>
              <w:top w:val="nil"/>
              <w:left w:val="nil"/>
              <w:right w:val="nil"/>
            </w:tcBorders>
            <w:vAlign w:val="center"/>
          </w:tcPr>
          <w:p w14:paraId="0B8B646C"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57.7</w:t>
            </w:r>
          </w:p>
          <w:p w14:paraId="7D98411F"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15.4</w:t>
            </w:r>
          </w:p>
          <w:p w14:paraId="550743D0"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38.2</w:t>
            </w:r>
          </w:p>
          <w:p w14:paraId="12C15EA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38.0</w:t>
            </w:r>
          </w:p>
          <w:p w14:paraId="1F58E936"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21.7</w:t>
            </w:r>
          </w:p>
          <w:p w14:paraId="30F78D7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14.1</w:t>
            </w:r>
          </w:p>
          <w:p w14:paraId="23FAE7B2"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8.9</w:t>
            </w:r>
          </w:p>
          <w:p w14:paraId="6B976CDB"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0.5</w:t>
            </w:r>
          </w:p>
          <w:p w14:paraId="2B37FB8E"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6.8</w:t>
            </w:r>
          </w:p>
        </w:tc>
        <w:tc>
          <w:tcPr>
            <w:tcW w:w="1080" w:type="dxa"/>
            <w:tcBorders>
              <w:top w:val="nil"/>
              <w:left w:val="nil"/>
              <w:right w:val="nil"/>
            </w:tcBorders>
            <w:vAlign w:val="center"/>
          </w:tcPr>
          <w:p w14:paraId="1DBA42F1"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0.95</w:t>
            </w:r>
          </w:p>
          <w:p w14:paraId="0DA6CE8D"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1.14</w:t>
            </w:r>
          </w:p>
          <w:p w14:paraId="534EB723"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1.00</w:t>
            </w:r>
          </w:p>
          <w:p w14:paraId="0DD4913C"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-0.89</w:t>
            </w:r>
          </w:p>
          <w:p w14:paraId="2ED46445"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0.76</w:t>
            </w:r>
          </w:p>
          <w:p w14:paraId="25176AC2"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0.63</w:t>
            </w:r>
          </w:p>
          <w:p w14:paraId="0E67571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0.70</w:t>
            </w:r>
          </w:p>
          <w:p w14:paraId="2D84D331"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0.86</w:t>
            </w:r>
          </w:p>
          <w:p w14:paraId="5BA6BD5D"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0.70</w:t>
            </w:r>
          </w:p>
        </w:tc>
        <w:tc>
          <w:tcPr>
            <w:tcW w:w="1080" w:type="dxa"/>
            <w:tcBorders>
              <w:top w:val="nil"/>
              <w:left w:val="nil"/>
              <w:right w:val="nil"/>
            </w:tcBorders>
            <w:vAlign w:val="center"/>
          </w:tcPr>
          <w:p w14:paraId="26BB8C54"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8.93E-05</w:t>
            </w:r>
          </w:p>
          <w:p w14:paraId="04032971"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3.57E-04</w:t>
            </w:r>
          </w:p>
          <w:p w14:paraId="08598D00"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6.25E-04</w:t>
            </w:r>
          </w:p>
          <w:p w14:paraId="6E82EE46"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5.36E-04</w:t>
            </w:r>
          </w:p>
          <w:p w14:paraId="2FFBD2E4"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2.23E-04</w:t>
            </w:r>
          </w:p>
          <w:p w14:paraId="6AD63830"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8.48E-04</w:t>
            </w:r>
          </w:p>
          <w:p w14:paraId="37366E97"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6.70E-04</w:t>
            </w:r>
          </w:p>
          <w:p w14:paraId="3E3D7916"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9.38E-04</w:t>
            </w:r>
          </w:p>
          <w:p w14:paraId="575B1FDA" w14:textId="77777777" w:rsidR="00F137CD" w:rsidRPr="00E15289" w:rsidRDefault="00F137CD" w:rsidP="00F137C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4.46E-04</w:t>
            </w:r>
          </w:p>
        </w:tc>
      </w:tr>
    </w:tbl>
    <w:p w14:paraId="398495CA" w14:textId="77777777" w:rsidR="00F137CD" w:rsidRPr="00E15289" w:rsidRDefault="00F137CD" w:rsidP="00F137CD">
      <w:pPr>
        <w:rPr>
          <w:rFonts w:ascii="Arial" w:eastAsia="Arial" w:hAnsi="Arial" w:cs="Arial"/>
          <w:lang w:val="en-GB"/>
        </w:rPr>
      </w:pPr>
    </w:p>
    <w:p w14:paraId="2E732759" w14:textId="4BACC015" w:rsidR="00F137CD" w:rsidRPr="00E15289" w:rsidRDefault="00F137CD" w:rsidP="00F137CD">
      <w:pPr>
        <w:rPr>
          <w:rFonts w:ascii="Arial" w:eastAsia="Arial" w:hAnsi="Arial" w:cs="Arial"/>
          <w:sz w:val="20"/>
          <w:lang w:val="en-GB"/>
        </w:rPr>
      </w:pPr>
      <w:r w:rsidRPr="00E15289">
        <w:rPr>
          <w:rFonts w:ascii="Arial" w:eastAsia="Arial" w:hAnsi="Arial" w:cs="Arial"/>
          <w:sz w:val="20"/>
          <w:lang w:val="en-GB"/>
        </w:rPr>
        <w:t xml:space="preserve">* </w:t>
      </w:r>
      <w:proofErr w:type="spellStart"/>
      <w:r w:rsidRPr="00E15289">
        <w:rPr>
          <w:rFonts w:ascii="Arial" w:eastAsia="Arial" w:hAnsi="Arial" w:cs="Arial"/>
          <w:sz w:val="20"/>
          <w:lang w:val="en-GB"/>
        </w:rPr>
        <w:t>Benjamini</w:t>
      </w:r>
      <w:proofErr w:type="spellEnd"/>
      <w:r w:rsidRPr="00E15289">
        <w:rPr>
          <w:rFonts w:ascii="Arial" w:eastAsia="Arial" w:hAnsi="Arial" w:cs="Arial"/>
          <w:sz w:val="20"/>
          <w:lang w:val="en-GB"/>
        </w:rPr>
        <w:t xml:space="preserve"> and Hochberg corrected</w:t>
      </w:r>
      <w:r w:rsidR="006D06DA">
        <w:rPr>
          <w:rFonts w:ascii="Arial" w:eastAsia="Arial" w:hAnsi="Arial" w:cs="Arial"/>
          <w:sz w:val="20"/>
          <w:lang w:val="en-GB"/>
        </w:rPr>
        <w:t>.</w:t>
      </w:r>
    </w:p>
    <w:p w14:paraId="75B755D4" w14:textId="77777777" w:rsidR="00962D85" w:rsidRPr="00E15289" w:rsidRDefault="00962D85" w:rsidP="00F137CD">
      <w:pPr>
        <w:rPr>
          <w:rFonts w:ascii="Arial" w:eastAsia="Arial" w:hAnsi="Arial" w:cs="Arial"/>
          <w:lang w:val="en-GB"/>
        </w:rPr>
      </w:pPr>
    </w:p>
    <w:p w14:paraId="16FE590A" w14:textId="77777777" w:rsidR="00CF0B03" w:rsidRPr="00E15289" w:rsidRDefault="00CF0B03">
      <w:pPr>
        <w:rPr>
          <w:rFonts w:ascii="Arial" w:eastAsia="Arial" w:hAnsi="Arial" w:cs="Arial"/>
          <w:lang w:val="en-GB"/>
        </w:rPr>
      </w:pPr>
      <w:r w:rsidRPr="00E15289">
        <w:rPr>
          <w:rFonts w:ascii="Arial" w:eastAsia="Arial" w:hAnsi="Arial" w:cs="Arial"/>
          <w:lang w:val="en-GB"/>
        </w:rPr>
        <w:br w:type="page"/>
      </w:r>
    </w:p>
    <w:p w14:paraId="15648C98" w14:textId="1057A01F" w:rsidR="00962D85" w:rsidRPr="00E15289" w:rsidRDefault="00962D85" w:rsidP="00962D85">
      <w:pPr>
        <w:rPr>
          <w:rFonts w:ascii="Arial" w:eastAsia="Arial" w:hAnsi="Arial" w:cs="Arial"/>
          <w:lang w:val="en-GB" w:eastAsia="en-GB"/>
        </w:rPr>
      </w:pPr>
      <w:r w:rsidRPr="00E15289">
        <w:rPr>
          <w:rFonts w:ascii="Arial" w:eastAsia="Arial" w:hAnsi="Arial" w:cs="Arial"/>
          <w:b/>
          <w:lang w:val="en-GB"/>
        </w:rPr>
        <w:lastRenderedPageBreak/>
        <w:t xml:space="preserve">Table </w:t>
      </w:r>
      <w:r w:rsidR="00CF0B03" w:rsidRPr="00E15289">
        <w:rPr>
          <w:rFonts w:ascii="Arial" w:eastAsia="Arial" w:hAnsi="Arial" w:cs="Arial"/>
          <w:b/>
          <w:lang w:val="en-GB"/>
        </w:rPr>
        <w:t>2</w:t>
      </w:r>
      <w:r w:rsidRPr="00E15289">
        <w:rPr>
          <w:rFonts w:ascii="Arial" w:eastAsia="Arial" w:hAnsi="Arial" w:cs="Arial"/>
          <w:b/>
          <w:lang w:val="en-GB"/>
        </w:rPr>
        <w:t>.</w:t>
      </w:r>
      <w:r w:rsidRPr="00E15289">
        <w:rPr>
          <w:rFonts w:ascii="Arial" w:eastAsia="Arial" w:hAnsi="Arial" w:cs="Arial"/>
          <w:lang w:val="en-GB"/>
        </w:rPr>
        <w:t xml:space="preserve"> Multivariate analysis results summary discriminating proteins of the hypothesis driven analysis of the data independent analysis LC-MS </w:t>
      </w:r>
      <w:r w:rsidR="00E938DB" w:rsidRPr="00E15289">
        <w:rPr>
          <w:rFonts w:ascii="Arial" w:eastAsia="Arial" w:hAnsi="Arial" w:cs="Arial"/>
          <w:lang w:val="en-GB"/>
        </w:rPr>
        <w:t xml:space="preserve">‘hypoxia’ </w:t>
      </w:r>
      <w:r w:rsidR="00E938DB" w:rsidRPr="00E15289">
        <w:rPr>
          <w:rFonts w:ascii="Arial" w:eastAsia="Arial" w:hAnsi="Arial" w:cs="Arial"/>
          <w:i/>
          <w:lang w:val="en-GB"/>
        </w:rPr>
        <w:t>vs.</w:t>
      </w:r>
      <w:r w:rsidR="00E938DB" w:rsidRPr="00E15289">
        <w:rPr>
          <w:rFonts w:ascii="Arial" w:eastAsia="Arial" w:hAnsi="Arial" w:cs="Arial"/>
          <w:lang w:val="en-GB"/>
        </w:rPr>
        <w:t xml:space="preserve"> ‘hypoxia + </w:t>
      </w:r>
      <w:r w:rsidR="007C29FD" w:rsidRPr="00E15289">
        <w:rPr>
          <w:rFonts w:ascii="Arial" w:eastAsia="Arial" w:hAnsi="Arial" w:cs="Arial"/>
          <w:lang w:val="en-GB"/>
        </w:rPr>
        <w:t>NO-Su</w:t>
      </w:r>
      <w:r w:rsidR="00E938DB" w:rsidRPr="00E15289">
        <w:rPr>
          <w:rFonts w:ascii="Arial" w:eastAsia="Arial" w:hAnsi="Arial" w:cs="Arial"/>
          <w:lang w:val="en-GB"/>
        </w:rPr>
        <w:t xml:space="preserve">lindac’ and hypoxia’ </w:t>
      </w:r>
      <w:r w:rsidR="00E938DB" w:rsidRPr="00E15289">
        <w:rPr>
          <w:rFonts w:ascii="Arial" w:eastAsia="Arial" w:hAnsi="Arial" w:cs="Arial"/>
          <w:i/>
          <w:lang w:val="en-GB"/>
        </w:rPr>
        <w:t>vs.</w:t>
      </w:r>
      <w:r w:rsidR="00E938DB" w:rsidRPr="00E15289">
        <w:rPr>
          <w:rFonts w:ascii="Arial" w:eastAsia="Arial" w:hAnsi="Arial" w:cs="Arial"/>
          <w:lang w:val="en-GB"/>
        </w:rPr>
        <w:t xml:space="preserve"> ‘hypoxia + </w:t>
      </w:r>
      <w:r w:rsidR="00421507" w:rsidRPr="00E15289">
        <w:rPr>
          <w:rFonts w:ascii="Arial" w:eastAsia="Arial" w:hAnsi="Arial" w:cs="Arial"/>
          <w:lang w:val="en-GB"/>
        </w:rPr>
        <w:t>Sulindac</w:t>
      </w:r>
      <w:r w:rsidR="00E938DB" w:rsidRPr="00E15289">
        <w:rPr>
          <w:rFonts w:ascii="Arial" w:eastAsia="Arial" w:hAnsi="Arial" w:cs="Arial"/>
          <w:lang w:val="en-GB"/>
        </w:rPr>
        <w:t xml:space="preserve">’ </w:t>
      </w:r>
      <w:r w:rsidRPr="00E15289">
        <w:rPr>
          <w:rFonts w:ascii="Arial" w:eastAsia="Arial" w:hAnsi="Arial" w:cs="Arial"/>
          <w:lang w:val="en-GB"/>
        </w:rPr>
        <w:t>PC</w:t>
      </w:r>
      <w:r w:rsidR="00F25765" w:rsidRPr="00E15289">
        <w:rPr>
          <w:rFonts w:ascii="Arial" w:eastAsia="Arial" w:hAnsi="Arial" w:cs="Arial"/>
          <w:lang w:val="en-GB"/>
        </w:rPr>
        <w:t>-</w:t>
      </w:r>
      <w:r w:rsidRPr="00E15289">
        <w:rPr>
          <w:rFonts w:ascii="Arial" w:eastAsia="Arial" w:hAnsi="Arial" w:cs="Arial"/>
          <w:lang w:val="en-GB"/>
        </w:rPr>
        <w:t>3 data.</w:t>
      </w:r>
    </w:p>
    <w:p w14:paraId="1C378036" w14:textId="77777777" w:rsidR="00CF0B03" w:rsidRPr="00E15289" w:rsidRDefault="00CF0B03" w:rsidP="00CF0B03">
      <w:pPr>
        <w:pStyle w:val="Default"/>
        <w:spacing w:after="120" w:line="280" w:lineRule="exact"/>
        <w:rPr>
          <w:rFonts w:ascii="Arial" w:eastAsia="Arial" w:hAnsi="Arial" w:cs="Arial"/>
          <w:color w:val="auto"/>
          <w:sz w:val="24"/>
          <w:szCs w:val="24"/>
          <w:lang w:val="en-GB"/>
        </w:rPr>
      </w:pPr>
    </w:p>
    <w:tbl>
      <w:tblPr>
        <w:tblStyle w:val="TableGrid"/>
        <w:tblW w:w="14494" w:type="dxa"/>
        <w:tblBorders>
          <w:left w:val="none" w:sz="0" w:space="0" w:color="auto"/>
        </w:tblBorders>
        <w:tblLayout w:type="fixed"/>
        <w:tblLook w:val="04A0" w:firstRow="1" w:lastRow="0" w:firstColumn="1" w:lastColumn="0" w:noHBand="0" w:noVBand="1"/>
      </w:tblPr>
      <w:tblGrid>
        <w:gridCol w:w="1278"/>
        <w:gridCol w:w="4770"/>
        <w:gridCol w:w="1602"/>
        <w:gridCol w:w="1890"/>
        <w:gridCol w:w="1260"/>
        <w:gridCol w:w="1530"/>
        <w:gridCol w:w="1080"/>
        <w:gridCol w:w="1084"/>
      </w:tblGrid>
      <w:tr w:rsidR="00CF0B03" w:rsidRPr="00E15289" w14:paraId="517E8677" w14:textId="77777777" w:rsidTr="001E2D25">
        <w:tc>
          <w:tcPr>
            <w:tcW w:w="1278" w:type="dxa"/>
            <w:tcBorders>
              <w:bottom w:val="single" w:sz="4" w:space="0" w:color="auto"/>
              <w:right w:val="nil"/>
            </w:tcBorders>
            <w:vAlign w:val="center"/>
          </w:tcPr>
          <w:p w14:paraId="183E6206"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accession</w:t>
            </w:r>
          </w:p>
          <w:p w14:paraId="2C4341D2"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number</w:t>
            </w:r>
          </w:p>
        </w:tc>
        <w:tc>
          <w:tcPr>
            <w:tcW w:w="4770" w:type="dxa"/>
            <w:tcBorders>
              <w:left w:val="nil"/>
              <w:bottom w:val="single" w:sz="4" w:space="0" w:color="auto"/>
              <w:right w:val="nil"/>
            </w:tcBorders>
            <w:vAlign w:val="center"/>
          </w:tcPr>
          <w:p w14:paraId="2B40CD43"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lang w:val="en-GB"/>
              </w:rPr>
            </w:pPr>
            <w:r w:rsidRPr="00E15289">
              <w:rPr>
                <w:rFonts w:ascii="Arial" w:eastAsia="Arial" w:hAnsi="Arial" w:cs="Arial"/>
                <w:sz w:val="22"/>
                <w:szCs w:val="22"/>
                <w:lang w:val="en-GB"/>
              </w:rPr>
              <w:t>description</w:t>
            </w:r>
          </w:p>
        </w:tc>
        <w:tc>
          <w:tcPr>
            <w:tcW w:w="1602" w:type="dxa"/>
            <w:tcBorders>
              <w:left w:val="nil"/>
              <w:bottom w:val="single" w:sz="4" w:space="0" w:color="auto"/>
              <w:right w:val="nil"/>
            </w:tcBorders>
            <w:vAlign w:val="center"/>
          </w:tcPr>
          <w:p w14:paraId="700F511D"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gene name</w:t>
            </w:r>
          </w:p>
        </w:tc>
        <w:tc>
          <w:tcPr>
            <w:tcW w:w="1890" w:type="dxa"/>
            <w:tcBorders>
              <w:left w:val="nil"/>
              <w:bottom w:val="single" w:sz="4" w:space="0" w:color="auto"/>
              <w:right w:val="nil"/>
            </w:tcBorders>
            <w:vAlign w:val="center"/>
          </w:tcPr>
          <w:p w14:paraId="16A7B435"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entry name</w:t>
            </w:r>
          </w:p>
        </w:tc>
        <w:tc>
          <w:tcPr>
            <w:tcW w:w="1260" w:type="dxa"/>
            <w:tcBorders>
              <w:left w:val="nil"/>
              <w:bottom w:val="single" w:sz="4" w:space="0" w:color="auto"/>
              <w:right w:val="nil"/>
            </w:tcBorders>
            <w:vAlign w:val="center"/>
          </w:tcPr>
          <w:p w14:paraId="3AB913AB"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 peptides</w:t>
            </w:r>
          </w:p>
        </w:tc>
        <w:tc>
          <w:tcPr>
            <w:tcW w:w="1530" w:type="dxa"/>
            <w:tcBorders>
              <w:left w:val="nil"/>
              <w:bottom w:val="single" w:sz="4" w:space="0" w:color="auto"/>
              <w:right w:val="nil"/>
            </w:tcBorders>
            <w:vAlign w:val="center"/>
          </w:tcPr>
          <w:p w14:paraId="69346CB9"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sequence</w:t>
            </w:r>
          </w:p>
          <w:p w14:paraId="1B3BDABD"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coverage (%)</w:t>
            </w:r>
          </w:p>
        </w:tc>
        <w:tc>
          <w:tcPr>
            <w:tcW w:w="1080" w:type="dxa"/>
            <w:tcBorders>
              <w:left w:val="nil"/>
              <w:bottom w:val="single" w:sz="4" w:space="0" w:color="auto"/>
              <w:right w:val="nil"/>
            </w:tcBorders>
            <w:vAlign w:val="center"/>
          </w:tcPr>
          <w:p w14:paraId="62433CDB"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log</w:t>
            </w:r>
            <w:r w:rsidRPr="00E15289">
              <w:rPr>
                <w:rFonts w:ascii="Arial" w:eastAsia="Arial" w:hAnsi="Arial" w:cs="Arial"/>
                <w:sz w:val="22"/>
                <w:szCs w:val="22"/>
                <w:vertAlign w:val="subscript"/>
                <w:lang w:val="en-GB"/>
              </w:rPr>
              <w:t>2</w:t>
            </w:r>
            <w:r w:rsidRPr="00E15289">
              <w:rPr>
                <w:rFonts w:ascii="Arial" w:eastAsia="Arial" w:hAnsi="Arial" w:cs="Arial"/>
                <w:sz w:val="22"/>
                <w:szCs w:val="22"/>
                <w:lang w:val="en-GB"/>
              </w:rPr>
              <w:t xml:space="preserve"> fold change</w:t>
            </w:r>
          </w:p>
        </w:tc>
        <w:tc>
          <w:tcPr>
            <w:tcW w:w="1084" w:type="dxa"/>
            <w:tcBorders>
              <w:left w:val="nil"/>
              <w:bottom w:val="single" w:sz="4" w:space="0" w:color="auto"/>
              <w:right w:val="nil"/>
            </w:tcBorders>
            <w:vAlign w:val="center"/>
          </w:tcPr>
          <w:p w14:paraId="4882803D"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2"/>
                <w:szCs w:val="22"/>
                <w:lang w:val="en-GB"/>
              </w:rPr>
            </w:pPr>
            <w:r w:rsidRPr="00E15289">
              <w:rPr>
                <w:rFonts w:ascii="Arial" w:eastAsia="Arial" w:hAnsi="Arial" w:cs="Arial"/>
                <w:sz w:val="22"/>
                <w:szCs w:val="22"/>
                <w:lang w:val="en-GB"/>
              </w:rPr>
              <w:t>p*</w:t>
            </w:r>
          </w:p>
        </w:tc>
      </w:tr>
      <w:tr w:rsidR="00CF0B03" w:rsidRPr="00E15289" w14:paraId="0EC518AA" w14:textId="77777777" w:rsidTr="001E2D25">
        <w:tc>
          <w:tcPr>
            <w:tcW w:w="14494" w:type="dxa"/>
            <w:gridSpan w:val="8"/>
            <w:tcBorders>
              <w:bottom w:val="nil"/>
              <w:right w:val="nil"/>
            </w:tcBorders>
            <w:vAlign w:val="center"/>
          </w:tcPr>
          <w:p w14:paraId="7DF9690E"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i/>
                <w:sz w:val="20"/>
                <w:szCs w:val="20"/>
                <w:lang w:val="en-GB"/>
              </w:rPr>
            </w:pPr>
            <w:r w:rsidRPr="00E15289">
              <w:rPr>
                <w:rFonts w:ascii="Arial" w:eastAsia="Arial" w:hAnsi="Arial" w:cs="Arial"/>
                <w:i/>
                <w:sz w:val="20"/>
                <w:szCs w:val="20"/>
                <w:lang w:val="en-GB"/>
              </w:rPr>
              <w:t xml:space="preserve">. </w:t>
            </w:r>
          </w:p>
          <w:p w14:paraId="64403884" w14:textId="3A325FAD"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ascii="Arial" w:eastAsia="Arial" w:hAnsi="Arial" w:cs="Arial"/>
                <w:sz w:val="22"/>
                <w:szCs w:val="22"/>
                <w:lang w:val="en-GB"/>
              </w:rPr>
            </w:pPr>
            <w:r w:rsidRPr="00E15289">
              <w:rPr>
                <w:rFonts w:ascii="Arial" w:eastAsia="Arial" w:hAnsi="Arial" w:cs="Arial"/>
                <w:i/>
                <w:sz w:val="22"/>
                <w:szCs w:val="22"/>
                <w:lang w:val="en-GB"/>
              </w:rPr>
              <w:t xml:space="preserve">‘hypoxia’’ vs. ‘hypoxia + </w:t>
            </w:r>
            <w:r w:rsidR="007C29FD" w:rsidRPr="00E15289">
              <w:rPr>
                <w:rFonts w:ascii="Arial" w:eastAsia="Arial" w:hAnsi="Arial" w:cs="Arial"/>
                <w:i/>
                <w:sz w:val="22"/>
                <w:szCs w:val="22"/>
                <w:lang w:val="en-GB"/>
              </w:rPr>
              <w:t>NO-Su</w:t>
            </w:r>
            <w:r w:rsidRPr="00E15289">
              <w:rPr>
                <w:rFonts w:ascii="Arial" w:eastAsia="Arial" w:hAnsi="Arial" w:cs="Arial"/>
                <w:i/>
                <w:sz w:val="22"/>
                <w:szCs w:val="22"/>
                <w:lang w:val="en-GB"/>
              </w:rPr>
              <w:t>lindac’</w:t>
            </w:r>
          </w:p>
        </w:tc>
      </w:tr>
      <w:tr w:rsidR="00CF0B03" w:rsidRPr="00E15289" w14:paraId="0AD4135D" w14:textId="77777777" w:rsidTr="001E2D25">
        <w:tc>
          <w:tcPr>
            <w:tcW w:w="1278" w:type="dxa"/>
            <w:tcBorders>
              <w:top w:val="nil"/>
              <w:bottom w:val="single" w:sz="4" w:space="0" w:color="auto"/>
              <w:right w:val="nil"/>
            </w:tcBorders>
            <w:vAlign w:val="center"/>
          </w:tcPr>
          <w:p w14:paraId="55883065"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Q32P51</w:t>
            </w:r>
          </w:p>
          <w:p w14:paraId="159628DD" w14:textId="77777777" w:rsidR="00CF0B03"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P12004</w:t>
            </w:r>
            <w:r w:rsidRPr="00E15289">
              <w:rPr>
                <w:rFonts w:ascii="Arial" w:eastAsia="Arial" w:hAnsi="Arial" w:cs="Arial"/>
                <w:sz w:val="20"/>
                <w:szCs w:val="20"/>
                <w:lang w:val="en-GB"/>
              </w:rPr>
              <w:tab/>
            </w:r>
          </w:p>
          <w:p w14:paraId="384EC81B" w14:textId="0983851C" w:rsidR="00B62492"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p>
        </w:tc>
        <w:tc>
          <w:tcPr>
            <w:tcW w:w="4770" w:type="dxa"/>
            <w:tcBorders>
              <w:top w:val="nil"/>
              <w:left w:val="nil"/>
              <w:bottom w:val="single" w:sz="4" w:space="0" w:color="auto"/>
              <w:right w:val="nil"/>
            </w:tcBorders>
            <w:vAlign w:val="center"/>
          </w:tcPr>
          <w:p w14:paraId="07414507" w14:textId="79EB3361"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Heterogeneous nuclear ribonucleoprotein A1-like 2</w:t>
            </w:r>
          </w:p>
          <w:p w14:paraId="09F8D391" w14:textId="77777777" w:rsidR="00CF0B03"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Proliferating cell nuclear antigen</w:t>
            </w:r>
          </w:p>
          <w:p w14:paraId="47E09CB5" w14:textId="73A7DDE7" w:rsidR="00B62492"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p>
        </w:tc>
        <w:tc>
          <w:tcPr>
            <w:tcW w:w="1602" w:type="dxa"/>
            <w:tcBorders>
              <w:top w:val="nil"/>
              <w:left w:val="nil"/>
              <w:bottom w:val="single" w:sz="4" w:space="0" w:color="auto"/>
              <w:right w:val="nil"/>
            </w:tcBorders>
            <w:vAlign w:val="center"/>
          </w:tcPr>
          <w:p w14:paraId="679B4E0E" w14:textId="6096A6FD" w:rsidR="00B62492"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HNRNPA1L</w:t>
            </w:r>
            <w:r w:rsidR="00DD2524" w:rsidRPr="00E15289">
              <w:rPr>
                <w:rFonts w:ascii="Arial" w:eastAsia="Arial" w:hAnsi="Arial" w:cs="Arial"/>
                <w:sz w:val="20"/>
                <w:szCs w:val="20"/>
                <w:lang w:val="en-GB"/>
              </w:rPr>
              <w:t>2</w:t>
            </w:r>
          </w:p>
          <w:p w14:paraId="0CC3F9CD" w14:textId="0EB58946" w:rsidR="00CF0B03" w:rsidRPr="00E15289" w:rsidRDefault="007168BE"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PNCA</w:t>
            </w:r>
          </w:p>
          <w:p w14:paraId="5552E8AA" w14:textId="47285D62"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p>
        </w:tc>
        <w:tc>
          <w:tcPr>
            <w:tcW w:w="1890" w:type="dxa"/>
            <w:tcBorders>
              <w:top w:val="nil"/>
              <w:left w:val="nil"/>
              <w:bottom w:val="single" w:sz="4" w:space="0" w:color="auto"/>
              <w:right w:val="nil"/>
            </w:tcBorders>
            <w:vAlign w:val="center"/>
          </w:tcPr>
          <w:p w14:paraId="13CB82A2" w14:textId="2B8C9979"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RA1L2_HUMAN</w:t>
            </w:r>
          </w:p>
          <w:p w14:paraId="76CAD82C" w14:textId="77777777" w:rsidR="00CF0B03" w:rsidRPr="00E15289" w:rsidRDefault="00025EB7"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PCNA_HUMAN</w:t>
            </w:r>
          </w:p>
          <w:p w14:paraId="6086BD3B" w14:textId="0A2CE145" w:rsidR="00025EB7" w:rsidRPr="00E15289" w:rsidRDefault="00025EB7"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p>
        </w:tc>
        <w:tc>
          <w:tcPr>
            <w:tcW w:w="1260" w:type="dxa"/>
            <w:tcBorders>
              <w:top w:val="nil"/>
              <w:left w:val="nil"/>
              <w:bottom w:val="single" w:sz="4" w:space="0" w:color="auto"/>
              <w:right w:val="nil"/>
            </w:tcBorders>
            <w:vAlign w:val="center"/>
          </w:tcPr>
          <w:p w14:paraId="3BC1B184" w14:textId="3CAA67C6"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8</w:t>
            </w:r>
          </w:p>
          <w:p w14:paraId="4653C2F0" w14:textId="2418EA54" w:rsidR="00CF0B03"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9</w:t>
            </w:r>
          </w:p>
          <w:p w14:paraId="4D8F29C6" w14:textId="10C3E5CE"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p>
        </w:tc>
        <w:tc>
          <w:tcPr>
            <w:tcW w:w="1530" w:type="dxa"/>
            <w:tcBorders>
              <w:top w:val="nil"/>
              <w:left w:val="nil"/>
              <w:bottom w:val="single" w:sz="4" w:space="0" w:color="auto"/>
              <w:right w:val="nil"/>
            </w:tcBorders>
            <w:vAlign w:val="center"/>
          </w:tcPr>
          <w:p w14:paraId="451E332B" w14:textId="77777777" w:rsidR="00CF0B03"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29.7</w:t>
            </w:r>
          </w:p>
          <w:p w14:paraId="6C9CBF28" w14:textId="225ED5D5" w:rsidR="00B62492"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37.9</w:t>
            </w:r>
          </w:p>
          <w:p w14:paraId="2CF36518" w14:textId="329DD90E" w:rsidR="00B62492"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p>
        </w:tc>
        <w:tc>
          <w:tcPr>
            <w:tcW w:w="1080" w:type="dxa"/>
            <w:tcBorders>
              <w:top w:val="nil"/>
              <w:left w:val="nil"/>
              <w:bottom w:val="single" w:sz="4" w:space="0" w:color="auto"/>
              <w:right w:val="nil"/>
            </w:tcBorders>
            <w:vAlign w:val="center"/>
          </w:tcPr>
          <w:p w14:paraId="6D3FAB35" w14:textId="77777777" w:rsidR="00CF0B03" w:rsidRPr="00E15289" w:rsidRDefault="00CC797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-0.58</w:t>
            </w:r>
          </w:p>
          <w:p w14:paraId="5C6CD2BE" w14:textId="77777777" w:rsidR="00CC797D" w:rsidRPr="00E15289" w:rsidRDefault="00CC797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-0.71</w:t>
            </w:r>
          </w:p>
          <w:p w14:paraId="58A9DCA5" w14:textId="4AB35265" w:rsidR="00CC797D" w:rsidRPr="00E15289" w:rsidRDefault="00CC797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p>
        </w:tc>
        <w:tc>
          <w:tcPr>
            <w:tcW w:w="1084" w:type="dxa"/>
            <w:tcBorders>
              <w:top w:val="nil"/>
              <w:left w:val="nil"/>
              <w:bottom w:val="single" w:sz="4" w:space="0" w:color="auto"/>
              <w:right w:val="nil"/>
            </w:tcBorders>
            <w:vAlign w:val="center"/>
          </w:tcPr>
          <w:p w14:paraId="6E7B779F" w14:textId="77777777" w:rsidR="00CF0B03" w:rsidRPr="00E15289" w:rsidRDefault="00CC797D" w:rsidP="00CF0B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4.46E-05</w:t>
            </w:r>
          </w:p>
          <w:p w14:paraId="335DD554" w14:textId="77777777" w:rsidR="00CC797D" w:rsidRPr="00E15289" w:rsidRDefault="00CC797D" w:rsidP="00CF0B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7.59E-05</w:t>
            </w:r>
          </w:p>
          <w:p w14:paraId="35334468" w14:textId="19DC4C0A" w:rsidR="00CC797D" w:rsidRPr="00E15289" w:rsidRDefault="00CC797D" w:rsidP="00CF0B0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p>
        </w:tc>
      </w:tr>
      <w:tr w:rsidR="00CF0B03" w:rsidRPr="00E15289" w14:paraId="4C8329B4" w14:textId="77777777" w:rsidTr="001E2D25">
        <w:tc>
          <w:tcPr>
            <w:tcW w:w="14494" w:type="dxa"/>
            <w:gridSpan w:val="8"/>
            <w:tcBorders>
              <w:top w:val="single" w:sz="4" w:space="0" w:color="auto"/>
              <w:bottom w:val="nil"/>
              <w:right w:val="nil"/>
            </w:tcBorders>
            <w:vAlign w:val="center"/>
          </w:tcPr>
          <w:p w14:paraId="04F79880" w14:textId="77777777"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i/>
                <w:sz w:val="16"/>
                <w:szCs w:val="20"/>
                <w:lang w:val="en-GB"/>
              </w:rPr>
            </w:pPr>
          </w:p>
          <w:p w14:paraId="29A22571" w14:textId="6CA5F779" w:rsidR="00CF0B03" w:rsidRPr="00E15289" w:rsidRDefault="00CF0B03" w:rsidP="0013417C">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ascii="Arial" w:eastAsia="Arial" w:hAnsi="Arial" w:cs="Arial"/>
                <w:sz w:val="20"/>
                <w:szCs w:val="20"/>
                <w:highlight w:val="yellow"/>
                <w:lang w:val="en-GB"/>
              </w:rPr>
            </w:pPr>
            <w:r w:rsidRPr="00E15289">
              <w:rPr>
                <w:rFonts w:ascii="Arial" w:eastAsia="Arial" w:hAnsi="Arial" w:cs="Arial"/>
                <w:i/>
                <w:sz w:val="22"/>
                <w:szCs w:val="22"/>
                <w:lang w:val="en-GB"/>
              </w:rPr>
              <w:t xml:space="preserve">‘hypoxia’’ vs. ‘hypoxia + </w:t>
            </w:r>
            <w:r w:rsidR="00421507" w:rsidRPr="00E15289">
              <w:rPr>
                <w:rFonts w:ascii="Arial" w:eastAsia="Arial" w:hAnsi="Arial" w:cs="Arial"/>
                <w:i/>
                <w:sz w:val="22"/>
                <w:szCs w:val="22"/>
                <w:lang w:val="en-GB"/>
              </w:rPr>
              <w:t>Sulindac</w:t>
            </w:r>
            <w:r w:rsidRPr="00E15289">
              <w:rPr>
                <w:rFonts w:ascii="Arial" w:eastAsia="Arial" w:hAnsi="Arial" w:cs="Arial"/>
                <w:i/>
                <w:sz w:val="22"/>
                <w:szCs w:val="22"/>
                <w:lang w:val="en-GB"/>
              </w:rPr>
              <w:t>’</w:t>
            </w:r>
          </w:p>
        </w:tc>
      </w:tr>
      <w:tr w:rsidR="00CF0B03" w:rsidRPr="00E15289" w14:paraId="1D0BC592" w14:textId="77777777" w:rsidTr="001E2D25">
        <w:tc>
          <w:tcPr>
            <w:tcW w:w="1278" w:type="dxa"/>
            <w:tcBorders>
              <w:top w:val="nil"/>
              <w:right w:val="nil"/>
            </w:tcBorders>
            <w:vAlign w:val="center"/>
          </w:tcPr>
          <w:p w14:paraId="3D766FC1" w14:textId="77777777" w:rsidR="00CF0B03"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P68431</w:t>
            </w:r>
          </w:p>
          <w:p w14:paraId="30A5CDA4" w14:textId="3846381F"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Q16352</w:t>
            </w:r>
          </w:p>
          <w:p w14:paraId="10510C3D" w14:textId="62F48915"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O60361</w:t>
            </w:r>
          </w:p>
          <w:p w14:paraId="4D25DBBA" w14:textId="029E797C"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P12429</w:t>
            </w:r>
          </w:p>
          <w:p w14:paraId="6E97B7E2" w14:textId="531C8CD5"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P27482</w:t>
            </w:r>
          </w:p>
          <w:p w14:paraId="4E9DAA7B" w14:textId="5C613734" w:rsidR="00BE054D" w:rsidRPr="00E15289" w:rsidRDefault="007A26CB"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P09493</w:t>
            </w:r>
          </w:p>
          <w:p w14:paraId="787FD141" w14:textId="11B8A209" w:rsidR="00BE054D" w:rsidRPr="00E15289" w:rsidRDefault="00E938DB"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Q58FF3</w:t>
            </w:r>
          </w:p>
        </w:tc>
        <w:tc>
          <w:tcPr>
            <w:tcW w:w="4770" w:type="dxa"/>
            <w:tcBorders>
              <w:top w:val="nil"/>
              <w:left w:val="nil"/>
              <w:right w:val="nil"/>
            </w:tcBorders>
            <w:vAlign w:val="center"/>
          </w:tcPr>
          <w:p w14:paraId="31C41BF1" w14:textId="77777777" w:rsidR="00CF0B03"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Histone H3.1</w:t>
            </w:r>
          </w:p>
          <w:p w14:paraId="4001E14D" w14:textId="6D089B61"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Alpha-</w:t>
            </w:r>
            <w:proofErr w:type="spellStart"/>
            <w:r w:rsidRPr="00E15289">
              <w:rPr>
                <w:rFonts w:ascii="Arial" w:eastAsia="Arial" w:hAnsi="Arial" w:cs="Arial"/>
                <w:sz w:val="20"/>
                <w:szCs w:val="20"/>
                <w:lang w:val="en-GB"/>
              </w:rPr>
              <w:t>internexin</w:t>
            </w:r>
            <w:proofErr w:type="spellEnd"/>
          </w:p>
          <w:p w14:paraId="1792633E" w14:textId="7023302D"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Putative nucleoside diphosphate kinase</w:t>
            </w:r>
          </w:p>
          <w:p w14:paraId="2A0C586C" w14:textId="1858A3ED"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Annexin A3</w:t>
            </w:r>
          </w:p>
          <w:p w14:paraId="07E69DC4" w14:textId="6019F5C5"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Calmodulin-like protein 3</w:t>
            </w:r>
          </w:p>
          <w:p w14:paraId="5112D403" w14:textId="36F2CCB6" w:rsidR="00BE054D" w:rsidRPr="00E15289" w:rsidRDefault="007A26CB"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Tropomyosin alpha-1 chain</w:t>
            </w:r>
          </w:p>
          <w:p w14:paraId="2DA1AE05" w14:textId="1C15E524" w:rsidR="00BE054D" w:rsidRPr="00E15289" w:rsidRDefault="00E938DB" w:rsidP="0013417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 xml:space="preserve">Putative </w:t>
            </w:r>
            <w:proofErr w:type="spellStart"/>
            <w:r w:rsidRPr="00E15289">
              <w:rPr>
                <w:rFonts w:ascii="Arial" w:eastAsia="Arial" w:hAnsi="Arial" w:cs="Arial"/>
                <w:sz w:val="20"/>
                <w:szCs w:val="20"/>
                <w:lang w:val="en-GB"/>
              </w:rPr>
              <w:t>endoplasmin</w:t>
            </w:r>
            <w:proofErr w:type="spellEnd"/>
            <w:r w:rsidRPr="00E15289">
              <w:rPr>
                <w:rFonts w:ascii="Arial" w:eastAsia="Arial" w:hAnsi="Arial" w:cs="Arial"/>
                <w:sz w:val="20"/>
                <w:szCs w:val="20"/>
                <w:lang w:val="en-GB"/>
              </w:rPr>
              <w:t>-like protein</w:t>
            </w:r>
          </w:p>
        </w:tc>
        <w:tc>
          <w:tcPr>
            <w:tcW w:w="1602" w:type="dxa"/>
            <w:tcBorders>
              <w:top w:val="nil"/>
              <w:left w:val="nil"/>
              <w:right w:val="nil"/>
            </w:tcBorders>
            <w:vAlign w:val="center"/>
          </w:tcPr>
          <w:p w14:paraId="236D5CB3" w14:textId="77777777" w:rsidR="00CF0B03"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1"/>
              </w:rPr>
            </w:pPr>
            <w:r w:rsidRPr="00E15289">
              <w:rPr>
                <w:rFonts w:ascii="Arial" w:hAnsi="Arial" w:cs="Arial"/>
                <w:bCs/>
                <w:sz w:val="20"/>
                <w:szCs w:val="21"/>
              </w:rPr>
              <w:t>HIST1H3A</w:t>
            </w:r>
          </w:p>
          <w:p w14:paraId="6A91AFC1" w14:textId="77777777"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INA</w:t>
            </w:r>
          </w:p>
          <w:p w14:paraId="5722F71D" w14:textId="77777777"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NME2P1</w:t>
            </w:r>
          </w:p>
          <w:p w14:paraId="4EFF1F6D" w14:textId="49A212D8"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ANXA3</w:t>
            </w:r>
          </w:p>
          <w:p w14:paraId="69B9C30E" w14:textId="1FF04841"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CALML3</w:t>
            </w:r>
          </w:p>
          <w:p w14:paraId="6010BAA8" w14:textId="03041347"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TPM1</w:t>
            </w:r>
          </w:p>
          <w:p w14:paraId="658949AF" w14:textId="6C2AF529"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HSP90B2P</w:t>
            </w:r>
          </w:p>
        </w:tc>
        <w:tc>
          <w:tcPr>
            <w:tcW w:w="1890" w:type="dxa"/>
            <w:tcBorders>
              <w:top w:val="nil"/>
              <w:left w:val="nil"/>
              <w:right w:val="nil"/>
            </w:tcBorders>
            <w:vAlign w:val="center"/>
          </w:tcPr>
          <w:p w14:paraId="5EDC9F01" w14:textId="63FFBB44" w:rsidR="00CF0B03"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H31</w:t>
            </w:r>
            <w:r w:rsidR="00CF0B03" w:rsidRPr="00E15289">
              <w:rPr>
                <w:rFonts w:ascii="Arial" w:eastAsia="Arial" w:hAnsi="Arial" w:cs="Arial"/>
                <w:sz w:val="20"/>
                <w:szCs w:val="20"/>
                <w:lang w:val="en-GB"/>
              </w:rPr>
              <w:t>_HUMAN</w:t>
            </w:r>
          </w:p>
          <w:p w14:paraId="50CCE0CC" w14:textId="72199779" w:rsidR="00CF0B03"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AINX</w:t>
            </w:r>
            <w:r w:rsidR="00CF0B03" w:rsidRPr="00E15289">
              <w:rPr>
                <w:rFonts w:ascii="Arial" w:eastAsia="Arial" w:hAnsi="Arial" w:cs="Arial"/>
                <w:sz w:val="20"/>
                <w:szCs w:val="20"/>
                <w:lang w:val="en-GB"/>
              </w:rPr>
              <w:t>_HUMAN</w:t>
            </w:r>
          </w:p>
          <w:p w14:paraId="3D530B34" w14:textId="77777777" w:rsidR="00CF0B03"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NDK8</w:t>
            </w:r>
            <w:r w:rsidR="00CF0B03" w:rsidRPr="00E15289">
              <w:rPr>
                <w:rFonts w:ascii="Arial" w:eastAsia="Arial" w:hAnsi="Arial" w:cs="Arial"/>
                <w:sz w:val="20"/>
                <w:szCs w:val="20"/>
                <w:lang w:val="en-GB"/>
              </w:rPr>
              <w:t>_HUMAN</w:t>
            </w:r>
          </w:p>
          <w:p w14:paraId="48C83E2A" w14:textId="77777777" w:rsidR="00B62492"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ANXA3_HUMAN</w:t>
            </w:r>
          </w:p>
          <w:p w14:paraId="475F9B7A" w14:textId="77777777" w:rsidR="00B62492"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CALL3_HUMAN</w:t>
            </w:r>
          </w:p>
          <w:p w14:paraId="51FE8E2D" w14:textId="77777777" w:rsidR="00B62492"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TPM1_HUMAN</w:t>
            </w:r>
          </w:p>
          <w:p w14:paraId="5ED8E07A" w14:textId="469DF33A" w:rsidR="00B62492" w:rsidRPr="00E15289" w:rsidRDefault="00B62492"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ENP</w:t>
            </w:r>
            <w:r w:rsidR="00BE054D" w:rsidRPr="00E15289">
              <w:rPr>
                <w:rFonts w:ascii="Arial" w:eastAsia="Arial" w:hAnsi="Arial" w:cs="Arial"/>
                <w:sz w:val="20"/>
                <w:szCs w:val="20"/>
                <w:lang w:val="en-GB"/>
              </w:rPr>
              <w:t>L</w:t>
            </w:r>
            <w:r w:rsidRPr="00E15289">
              <w:rPr>
                <w:rFonts w:ascii="Arial" w:eastAsia="Arial" w:hAnsi="Arial" w:cs="Arial"/>
                <w:sz w:val="20"/>
                <w:szCs w:val="20"/>
                <w:lang w:val="en-GB"/>
              </w:rPr>
              <w:t>L_HUMAN</w:t>
            </w:r>
          </w:p>
        </w:tc>
        <w:tc>
          <w:tcPr>
            <w:tcW w:w="1260" w:type="dxa"/>
            <w:tcBorders>
              <w:top w:val="nil"/>
              <w:left w:val="nil"/>
              <w:right w:val="nil"/>
            </w:tcBorders>
            <w:vAlign w:val="center"/>
          </w:tcPr>
          <w:p w14:paraId="1F9E293B" w14:textId="77777777" w:rsidR="00CF0B03"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7</w:t>
            </w:r>
          </w:p>
          <w:p w14:paraId="53090E48" w14:textId="3DAFB83B"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7</w:t>
            </w:r>
          </w:p>
          <w:p w14:paraId="492AF4C6" w14:textId="185FCE82"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9</w:t>
            </w:r>
          </w:p>
          <w:p w14:paraId="7DA2C2F6" w14:textId="5D53E8BA"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10</w:t>
            </w:r>
          </w:p>
          <w:p w14:paraId="6C9FA9FA" w14:textId="04D15F09" w:rsidR="00BE054D" w:rsidRPr="00E15289" w:rsidRDefault="007A26CB"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3</w:t>
            </w:r>
          </w:p>
          <w:p w14:paraId="37CF1F24" w14:textId="188FA62D" w:rsidR="00BE054D" w:rsidRPr="00E15289" w:rsidRDefault="007A26CB"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7</w:t>
            </w:r>
          </w:p>
          <w:p w14:paraId="14B5E6E8" w14:textId="0F044B0E" w:rsidR="00BE054D" w:rsidRPr="00E15289" w:rsidRDefault="00E938DB"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7</w:t>
            </w:r>
          </w:p>
        </w:tc>
        <w:tc>
          <w:tcPr>
            <w:tcW w:w="1530" w:type="dxa"/>
            <w:tcBorders>
              <w:top w:val="nil"/>
              <w:left w:val="nil"/>
              <w:right w:val="nil"/>
            </w:tcBorders>
            <w:vAlign w:val="center"/>
          </w:tcPr>
          <w:p w14:paraId="0C9C596A" w14:textId="77777777" w:rsidR="00CF0B03"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47.8</w:t>
            </w:r>
          </w:p>
          <w:p w14:paraId="6FD02435" w14:textId="0391C5BB"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16.0</w:t>
            </w:r>
          </w:p>
          <w:p w14:paraId="59E2C054" w14:textId="1B30A97A"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73.0</w:t>
            </w:r>
          </w:p>
          <w:p w14:paraId="758CFB8C" w14:textId="37021BEF" w:rsidR="00BE054D" w:rsidRPr="00E15289" w:rsidRDefault="00BE054D"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31.0</w:t>
            </w:r>
          </w:p>
          <w:p w14:paraId="240063B9" w14:textId="3FDB3086" w:rsidR="00BE054D" w:rsidRPr="00E15289" w:rsidRDefault="007A26CB"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18.8</w:t>
            </w:r>
          </w:p>
          <w:p w14:paraId="6459D5B3" w14:textId="0DC24D1A" w:rsidR="00BE054D" w:rsidRPr="00E15289" w:rsidRDefault="007A26CB"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28.2</w:t>
            </w:r>
          </w:p>
          <w:p w14:paraId="6A290D4C" w14:textId="69BD5101" w:rsidR="00BE054D" w:rsidRPr="00E15289" w:rsidRDefault="00E938DB" w:rsidP="001341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14.8</w:t>
            </w:r>
          </w:p>
        </w:tc>
        <w:tc>
          <w:tcPr>
            <w:tcW w:w="1080" w:type="dxa"/>
            <w:tcBorders>
              <w:top w:val="nil"/>
              <w:left w:val="nil"/>
              <w:right w:val="nil"/>
            </w:tcBorders>
            <w:vAlign w:val="center"/>
          </w:tcPr>
          <w:p w14:paraId="2D399DD0" w14:textId="2CCB0A45" w:rsidR="007F3992" w:rsidRPr="00E15289" w:rsidRDefault="007F3992" w:rsidP="007F39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0.98</w:t>
            </w:r>
          </w:p>
          <w:p w14:paraId="0455BA7C" w14:textId="085E39AA" w:rsidR="007F3992" w:rsidRPr="00E15289" w:rsidRDefault="007F3992" w:rsidP="007F39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0.89</w:t>
            </w:r>
          </w:p>
          <w:p w14:paraId="0F5994AD" w14:textId="5038321D" w:rsidR="007F3992" w:rsidRPr="00E15289" w:rsidRDefault="004719A0" w:rsidP="007F39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-0.88</w:t>
            </w:r>
          </w:p>
          <w:p w14:paraId="526E93D0" w14:textId="2FD9037C" w:rsidR="007F3992" w:rsidRPr="00E15289" w:rsidRDefault="0013417C" w:rsidP="007F39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-0.78</w:t>
            </w:r>
          </w:p>
          <w:p w14:paraId="09AF4E6C" w14:textId="6BC84973" w:rsidR="007F3992" w:rsidRPr="00E15289" w:rsidRDefault="009A4A3A" w:rsidP="007F39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-1.08</w:t>
            </w:r>
          </w:p>
          <w:p w14:paraId="799FD670" w14:textId="131976E4" w:rsidR="007F3992" w:rsidRPr="00E15289" w:rsidRDefault="009A4A3A" w:rsidP="007F39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-0.82</w:t>
            </w:r>
          </w:p>
          <w:p w14:paraId="6D040C97" w14:textId="01362442" w:rsidR="007F3992" w:rsidRPr="00E15289" w:rsidRDefault="00C01C03" w:rsidP="007F399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sz w:val="20"/>
                <w:szCs w:val="20"/>
                <w:lang w:val="en-GB"/>
              </w:rPr>
            </w:pPr>
            <w:r w:rsidRPr="00E15289">
              <w:rPr>
                <w:rFonts w:ascii="Arial" w:eastAsia="Arial" w:hAnsi="Arial" w:cs="Arial"/>
                <w:sz w:val="20"/>
                <w:szCs w:val="20"/>
                <w:lang w:val="en-GB"/>
              </w:rPr>
              <w:t>-0.94</w:t>
            </w:r>
          </w:p>
        </w:tc>
        <w:tc>
          <w:tcPr>
            <w:tcW w:w="1084" w:type="dxa"/>
            <w:tcBorders>
              <w:top w:val="nil"/>
              <w:left w:val="nil"/>
              <w:right w:val="nil"/>
            </w:tcBorders>
            <w:vAlign w:val="center"/>
          </w:tcPr>
          <w:p w14:paraId="00C1B316" w14:textId="7FB75C27" w:rsidR="007F3992" w:rsidRPr="00E15289" w:rsidRDefault="007F3992" w:rsidP="007F39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4.46E-05</w:t>
            </w:r>
          </w:p>
          <w:p w14:paraId="07BE58A3" w14:textId="6D21B6EB" w:rsidR="007F3992" w:rsidRPr="00E15289" w:rsidRDefault="007F3992" w:rsidP="007F39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2.51E-05</w:t>
            </w:r>
          </w:p>
          <w:p w14:paraId="26193E46" w14:textId="48E25F4F" w:rsidR="007F3992" w:rsidRPr="00E15289" w:rsidRDefault="004719A0" w:rsidP="007F39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8.93E-05</w:t>
            </w:r>
          </w:p>
          <w:p w14:paraId="3339A99C" w14:textId="70FF9FFB" w:rsidR="007F3992" w:rsidRPr="00E15289" w:rsidRDefault="008F0537" w:rsidP="007F39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2.68E-04</w:t>
            </w:r>
          </w:p>
          <w:p w14:paraId="35751E5B" w14:textId="75F8FF59" w:rsidR="007F3992" w:rsidRPr="00E15289" w:rsidRDefault="009A4A3A" w:rsidP="007F39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1.03E-03</w:t>
            </w:r>
          </w:p>
          <w:p w14:paraId="303A924D" w14:textId="1BA76A6C" w:rsidR="007F3992" w:rsidRPr="00E15289" w:rsidRDefault="009A4A3A" w:rsidP="007F39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8.04E-04</w:t>
            </w:r>
          </w:p>
          <w:p w14:paraId="454FAF7A" w14:textId="0B312C45" w:rsidR="007F3992" w:rsidRPr="00E15289" w:rsidRDefault="00C01C03" w:rsidP="007F39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szCs w:val="20"/>
                <w:lang w:val="en-GB"/>
              </w:rPr>
              <w:t>1.21E-03</w:t>
            </w:r>
          </w:p>
        </w:tc>
      </w:tr>
    </w:tbl>
    <w:p w14:paraId="67A73B3E" w14:textId="77777777" w:rsidR="00CF0B03" w:rsidRPr="00E15289" w:rsidRDefault="00CF0B03" w:rsidP="00CF0B03">
      <w:pPr>
        <w:rPr>
          <w:rFonts w:ascii="Arial" w:eastAsia="Arial" w:hAnsi="Arial" w:cs="Arial"/>
          <w:lang w:val="en-GB"/>
        </w:rPr>
      </w:pPr>
    </w:p>
    <w:p w14:paraId="0FFE3FF5" w14:textId="3D51C58A" w:rsidR="001E2D25" w:rsidRPr="00E15289" w:rsidRDefault="00CF0B03" w:rsidP="001E2D2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0"/>
          <w:szCs w:val="20"/>
          <w:lang w:val="en-GB"/>
        </w:rPr>
      </w:pPr>
      <w:r w:rsidRPr="00E15289">
        <w:rPr>
          <w:rFonts w:ascii="Arial" w:eastAsia="Arial" w:hAnsi="Arial" w:cs="Arial"/>
          <w:sz w:val="20"/>
          <w:lang w:val="en-GB"/>
        </w:rPr>
        <w:t xml:space="preserve">* </w:t>
      </w:r>
      <w:proofErr w:type="spellStart"/>
      <w:r w:rsidRPr="00E15289">
        <w:rPr>
          <w:rFonts w:ascii="Arial" w:eastAsia="Arial" w:hAnsi="Arial" w:cs="Arial"/>
          <w:sz w:val="20"/>
          <w:lang w:val="en-GB"/>
        </w:rPr>
        <w:t>Benjamini</w:t>
      </w:r>
      <w:proofErr w:type="spellEnd"/>
      <w:r w:rsidRPr="00E15289">
        <w:rPr>
          <w:rFonts w:ascii="Arial" w:eastAsia="Arial" w:hAnsi="Arial" w:cs="Arial"/>
          <w:sz w:val="20"/>
          <w:lang w:val="en-GB"/>
        </w:rPr>
        <w:t xml:space="preserve"> and Hochberg corrected</w:t>
      </w:r>
      <w:r w:rsidR="006D06DA">
        <w:rPr>
          <w:rFonts w:ascii="Arial" w:eastAsia="Arial" w:hAnsi="Arial" w:cs="Arial"/>
          <w:sz w:val="20"/>
          <w:lang w:val="en-GB"/>
        </w:rPr>
        <w:t>.</w:t>
      </w:r>
    </w:p>
    <w:p w14:paraId="1598A520" w14:textId="18B22E5C" w:rsidR="00CF0B03" w:rsidRPr="00E15289" w:rsidRDefault="00CF0B03" w:rsidP="00CF0B03">
      <w:pPr>
        <w:rPr>
          <w:rFonts w:ascii="Arial" w:eastAsia="Arial" w:hAnsi="Arial" w:cs="Arial"/>
          <w:sz w:val="20"/>
          <w:lang w:val="en-GB"/>
        </w:rPr>
      </w:pPr>
    </w:p>
    <w:p w14:paraId="12B94751" w14:textId="70742011" w:rsidR="00F137CD" w:rsidRPr="00E15289" w:rsidRDefault="00F137CD" w:rsidP="00F137CD">
      <w:pPr>
        <w:rPr>
          <w:rFonts w:ascii="Arial" w:eastAsia="Arial" w:hAnsi="Arial" w:cs="Arial"/>
          <w:lang w:val="en-GB"/>
        </w:rPr>
      </w:pPr>
      <w:r w:rsidRPr="00E15289">
        <w:rPr>
          <w:rFonts w:ascii="Arial" w:eastAsia="Arial" w:hAnsi="Arial" w:cs="Arial"/>
          <w:lang w:val="en-GB"/>
        </w:rPr>
        <w:br w:type="page"/>
      </w:r>
    </w:p>
    <w:p w14:paraId="732B2141" w14:textId="77777777" w:rsidR="009D5DAF" w:rsidRPr="00E15289" w:rsidRDefault="009D5DAF" w:rsidP="003E5B7A">
      <w:pPr>
        <w:spacing w:afterLines="60" w:after="144" w:line="360" w:lineRule="auto"/>
        <w:rPr>
          <w:rFonts w:ascii="Arial" w:eastAsia="Arial" w:hAnsi="Arial" w:cs="Arial"/>
          <w:lang w:val="en-GB"/>
        </w:rPr>
        <w:sectPr w:rsidR="009D5DAF" w:rsidRPr="00E15289" w:rsidSect="002C490C">
          <w:pgSz w:w="16838" w:h="11906" w:orient="landscape"/>
          <w:pgMar w:top="1134" w:right="1134" w:bottom="1134" w:left="1134" w:header="709" w:footer="850" w:gutter="0"/>
          <w:cols w:space="720"/>
          <w:docGrid w:linePitch="326"/>
        </w:sectPr>
      </w:pPr>
      <w:bookmarkStart w:id="4" w:name="_GoBack"/>
      <w:bookmarkEnd w:id="4"/>
    </w:p>
    <w:p w14:paraId="6C2EFB3C" w14:textId="77777777" w:rsidR="006D06DA" w:rsidRDefault="00556CF0" w:rsidP="00556CF0">
      <w:pPr>
        <w:jc w:val="both"/>
        <w:rPr>
          <w:rFonts w:ascii="Arial" w:eastAsia="Arial" w:hAnsi="Arial" w:cs="Arial"/>
          <w:lang w:val="en-GB"/>
        </w:rPr>
      </w:pPr>
      <w:r w:rsidRPr="00E15289">
        <w:rPr>
          <w:rFonts w:ascii="Arial" w:eastAsia="Arial" w:hAnsi="Arial" w:cs="Arial"/>
          <w:b/>
          <w:lang w:val="en-GB"/>
        </w:rPr>
        <w:lastRenderedPageBreak/>
        <w:t>Figure 1.</w:t>
      </w:r>
      <w:r w:rsidRPr="00E15289">
        <w:rPr>
          <w:rFonts w:ascii="Arial" w:eastAsia="Arial" w:hAnsi="Arial" w:cs="Arial"/>
          <w:lang w:val="en-GB"/>
        </w:rPr>
        <w:t xml:space="preserve"> Ex</w:t>
      </w:r>
      <w:r w:rsidR="006D06DA">
        <w:rPr>
          <w:rFonts w:ascii="Arial" w:eastAsia="Arial" w:hAnsi="Arial" w:cs="Arial"/>
          <w:lang w:val="en-GB"/>
        </w:rPr>
        <w:t>perimental design of the study.</w:t>
      </w:r>
    </w:p>
    <w:p w14:paraId="5ECE4856" w14:textId="6169195E" w:rsidR="00556CF0" w:rsidRPr="00E15289" w:rsidRDefault="00556CF0" w:rsidP="00556CF0">
      <w:pPr>
        <w:jc w:val="both"/>
        <w:rPr>
          <w:rFonts w:ascii="Arial" w:eastAsia="Arial" w:hAnsi="Arial" w:cs="Arial"/>
          <w:lang w:val="en-GB"/>
        </w:rPr>
      </w:pPr>
      <w:r w:rsidRPr="00E15289">
        <w:rPr>
          <w:rFonts w:ascii="Arial" w:eastAsia="Arial" w:hAnsi="Arial" w:cs="Arial"/>
          <w:lang w:val="en-GB"/>
        </w:rPr>
        <w:t xml:space="preserve">PC-3 cells grown under </w:t>
      </w:r>
      <w:proofErr w:type="spellStart"/>
      <w:r w:rsidRPr="00E15289">
        <w:rPr>
          <w:rFonts w:ascii="Arial" w:eastAsia="Arial" w:hAnsi="Arial" w:cs="Arial"/>
          <w:lang w:val="en-GB"/>
        </w:rPr>
        <w:t>normoxic</w:t>
      </w:r>
      <w:proofErr w:type="spellEnd"/>
      <w:r w:rsidRPr="00E15289">
        <w:rPr>
          <w:rFonts w:ascii="Arial" w:eastAsia="Arial" w:hAnsi="Arial" w:cs="Arial"/>
          <w:lang w:val="en-GB"/>
        </w:rPr>
        <w:t xml:space="preserve"> and hypoxic conditions and treated/exposed to various treatment types (drug and radiation), including three biological replicates each. Following protein extraction and digestion, and label free ion mobility assisted data independent acquisition LC-MS, detailed multi- and univariate statistical analysis of the data was carried out.</w:t>
      </w:r>
    </w:p>
    <w:p w14:paraId="606E59D6" w14:textId="77777777" w:rsidR="00556CF0" w:rsidRPr="00E15289" w:rsidRDefault="00556CF0" w:rsidP="00556CF0">
      <w:pPr>
        <w:jc w:val="both"/>
        <w:rPr>
          <w:rFonts w:ascii="Arial" w:eastAsia="Arial" w:hAnsi="Arial" w:cs="Arial"/>
          <w:lang w:val="en-GB"/>
        </w:rPr>
      </w:pPr>
    </w:p>
    <w:p w14:paraId="2AB9E41C" w14:textId="77777777" w:rsidR="00556CF0" w:rsidRPr="00E15289" w:rsidRDefault="00556CF0" w:rsidP="00556CF0">
      <w:pPr>
        <w:jc w:val="center"/>
        <w:rPr>
          <w:rFonts w:ascii="Arial" w:eastAsia="Arial" w:hAnsi="Arial" w:cs="Arial"/>
          <w:lang w:val="en-GB"/>
        </w:rPr>
      </w:pPr>
      <w:r w:rsidRPr="00E15289">
        <w:rPr>
          <w:rFonts w:ascii="Arial" w:eastAsia="Arial" w:hAnsi="Arial" w:cs="Arial"/>
          <w:noProof/>
          <w:lang w:val="de-DE" w:eastAsia="de-DE"/>
        </w:rPr>
        <w:drawing>
          <wp:inline distT="0" distB="0" distL="0" distR="0" wp14:anchorId="3870C9FC" wp14:editId="076B9BD8">
            <wp:extent cx="4914900" cy="20079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7625"/>
                    <a:stretch/>
                  </pic:blipFill>
                  <pic:spPr bwMode="auto">
                    <a:xfrm>
                      <a:off x="0" y="0"/>
                      <a:ext cx="5046864" cy="2061831"/>
                    </a:xfrm>
                    <a:prstGeom prst="rect">
                      <a:avLst/>
                    </a:prstGeom>
                    <a:noFill/>
                    <a:ln>
                      <a:noFill/>
                    </a:ln>
                    <a:extLst>
                      <a:ext uri="{53640926-AAD7-44D8-BBD7-CCE9431645EC}">
                        <a14:shadowObscured xmlns:a14="http://schemas.microsoft.com/office/drawing/2010/main"/>
                      </a:ext>
                    </a:extLst>
                  </pic:spPr>
                </pic:pic>
              </a:graphicData>
            </a:graphic>
          </wp:inline>
        </w:drawing>
      </w:r>
    </w:p>
    <w:p w14:paraId="1C38D80C" w14:textId="77777777" w:rsidR="00556CF0" w:rsidRPr="00E15289" w:rsidRDefault="00556CF0" w:rsidP="00F137CD">
      <w:pPr>
        <w:pStyle w:val="Default"/>
        <w:jc w:val="both"/>
        <w:rPr>
          <w:rFonts w:ascii="Arial" w:eastAsia="Arial" w:hAnsi="Arial" w:cs="Arial"/>
          <w:b/>
          <w:color w:val="auto"/>
          <w:sz w:val="24"/>
          <w:szCs w:val="24"/>
          <w:lang w:val="en-GB"/>
        </w:rPr>
      </w:pPr>
    </w:p>
    <w:p w14:paraId="61F6B549" w14:textId="77777777" w:rsidR="00556CF0" w:rsidRPr="00E15289" w:rsidRDefault="00556CF0" w:rsidP="00F137CD">
      <w:pPr>
        <w:pStyle w:val="Default"/>
        <w:jc w:val="both"/>
        <w:rPr>
          <w:rFonts w:ascii="Arial" w:eastAsia="Arial" w:hAnsi="Arial" w:cs="Arial"/>
          <w:b/>
          <w:color w:val="auto"/>
          <w:sz w:val="8"/>
          <w:szCs w:val="8"/>
          <w:lang w:val="en-GB"/>
        </w:rPr>
      </w:pPr>
    </w:p>
    <w:p w14:paraId="2E946264" w14:textId="77777777" w:rsidR="006D06DA" w:rsidRDefault="006D06DA">
      <w:pPr>
        <w:rPr>
          <w:rFonts w:ascii="Arial" w:eastAsia="Arial" w:hAnsi="Arial" w:cs="Arial"/>
          <w:b/>
          <w:lang w:val="en-GB"/>
        </w:rPr>
      </w:pPr>
      <w:r>
        <w:rPr>
          <w:rFonts w:ascii="Arial" w:eastAsia="Arial" w:hAnsi="Arial" w:cs="Arial"/>
          <w:b/>
          <w:lang w:val="en-GB"/>
        </w:rPr>
        <w:br w:type="page"/>
      </w:r>
    </w:p>
    <w:p w14:paraId="52FCF139" w14:textId="77777777" w:rsidR="006D06DA" w:rsidRDefault="00556CF0" w:rsidP="00556CF0">
      <w:pPr>
        <w:jc w:val="both"/>
        <w:rPr>
          <w:rFonts w:ascii="Arial" w:eastAsia="Arial" w:hAnsi="Arial" w:cs="Arial"/>
          <w:lang w:val="en-GB"/>
        </w:rPr>
      </w:pPr>
      <w:r w:rsidRPr="00E15289">
        <w:rPr>
          <w:rFonts w:ascii="Arial" w:eastAsia="Arial" w:hAnsi="Arial" w:cs="Arial"/>
          <w:b/>
          <w:lang w:val="en-GB"/>
        </w:rPr>
        <w:lastRenderedPageBreak/>
        <w:t>Figure 2.</w:t>
      </w:r>
      <w:r w:rsidRPr="00E15289">
        <w:rPr>
          <w:rFonts w:ascii="Arial" w:eastAsia="Arial" w:hAnsi="Arial" w:cs="Arial"/>
          <w:lang w:val="en-GB"/>
        </w:rPr>
        <w:t xml:space="preserve"> </w:t>
      </w:r>
      <w:r w:rsidRPr="006D06DA">
        <w:rPr>
          <w:rFonts w:ascii="Arial" w:eastAsia="Arial" w:hAnsi="Arial" w:cs="Arial"/>
          <w:lang w:val="en-GB"/>
        </w:rPr>
        <w:t xml:space="preserve">Network (A), pathway (B) and gene ontology annotation (C) profiling of the </w:t>
      </w:r>
      <w:r w:rsidRPr="00E15289">
        <w:rPr>
          <w:rFonts w:ascii="Arial" w:eastAsia="Arial" w:hAnsi="Arial" w:cs="Arial"/>
          <w:lang w:val="en-GB"/>
        </w:rPr>
        <w:t>quantitatively significantly regulated proteins identified through discovery and hypothesis driven analyses of the data independent LC-MS data and results.</w:t>
      </w:r>
    </w:p>
    <w:p w14:paraId="582C6759" w14:textId="4CBEFBE3" w:rsidR="00556CF0" w:rsidRPr="00E15289" w:rsidRDefault="00556CF0" w:rsidP="00556CF0">
      <w:pPr>
        <w:jc w:val="both"/>
        <w:rPr>
          <w:rFonts w:ascii="Arial" w:eastAsia="Arial" w:hAnsi="Arial" w:cs="Arial"/>
          <w:lang w:val="en-GB"/>
        </w:rPr>
      </w:pPr>
      <w:r w:rsidRPr="00E15289">
        <w:rPr>
          <w:rFonts w:ascii="Arial" w:eastAsia="Arial" w:hAnsi="Arial" w:cs="Arial"/>
          <w:lang w:val="en-GB"/>
        </w:rPr>
        <w:t xml:space="preserve">(A) Yellow/red = quantitative ‘hypoxia </w:t>
      </w:r>
      <w:r w:rsidRPr="00E15289">
        <w:rPr>
          <w:rFonts w:ascii="Arial" w:eastAsia="Arial" w:hAnsi="Arial" w:cs="Arial"/>
          <w:i/>
          <w:lang w:val="en-GB"/>
        </w:rPr>
        <w:t>vs.</w:t>
      </w:r>
      <w:r w:rsidRPr="00E15289">
        <w:rPr>
          <w:rFonts w:ascii="Arial" w:eastAsia="Arial" w:hAnsi="Arial" w:cs="Arial"/>
          <w:lang w:val="en-GB"/>
        </w:rPr>
        <w:t xml:space="preserve"> </w:t>
      </w:r>
      <w:proofErr w:type="spellStart"/>
      <w:r w:rsidRPr="00E15289">
        <w:rPr>
          <w:rFonts w:ascii="Arial" w:eastAsia="Arial" w:hAnsi="Arial" w:cs="Arial"/>
          <w:lang w:val="en-GB"/>
        </w:rPr>
        <w:t>normoxia</w:t>
      </w:r>
      <w:proofErr w:type="spellEnd"/>
      <w:r w:rsidRPr="00E15289">
        <w:rPr>
          <w:rFonts w:ascii="Arial" w:eastAsia="Arial" w:hAnsi="Arial" w:cs="Arial"/>
          <w:lang w:val="en-GB"/>
        </w:rPr>
        <w:t xml:space="preserve">’ detections’; (B) yellow = detected pathway components/processes and grey = undetected pathway components/processes; (C) yellow = quantitative ‘hypoxia </w:t>
      </w:r>
      <w:r w:rsidRPr="00E15289">
        <w:rPr>
          <w:rFonts w:ascii="Arial" w:eastAsia="Arial" w:hAnsi="Arial" w:cs="Arial"/>
          <w:i/>
          <w:lang w:val="en-GB"/>
        </w:rPr>
        <w:t>vs.</w:t>
      </w:r>
      <w:r w:rsidRPr="00E15289">
        <w:rPr>
          <w:rFonts w:ascii="Arial" w:eastAsia="Arial" w:hAnsi="Arial" w:cs="Arial"/>
          <w:lang w:val="en-GB"/>
        </w:rPr>
        <w:t xml:space="preserve"> </w:t>
      </w:r>
      <w:proofErr w:type="spellStart"/>
      <w:r w:rsidRPr="00E15289">
        <w:rPr>
          <w:rFonts w:ascii="Arial" w:eastAsia="Arial" w:hAnsi="Arial" w:cs="Arial"/>
          <w:lang w:val="en-GB"/>
        </w:rPr>
        <w:t>normoxia</w:t>
      </w:r>
      <w:proofErr w:type="spellEnd"/>
      <w:r w:rsidRPr="00E15289">
        <w:rPr>
          <w:rFonts w:ascii="Arial" w:eastAsia="Arial" w:hAnsi="Arial" w:cs="Arial"/>
          <w:lang w:val="en-GB"/>
        </w:rPr>
        <w:t xml:space="preserve">’ detections (changes induced by solely hypoxia treatment) and grey = significantly changed proteins as a result of radiation, drug-treatment under either hypoxic or </w:t>
      </w:r>
      <w:proofErr w:type="spellStart"/>
      <w:r w:rsidRPr="00E15289">
        <w:rPr>
          <w:rFonts w:ascii="Arial" w:eastAsia="Arial" w:hAnsi="Arial" w:cs="Arial"/>
          <w:lang w:val="en-GB"/>
        </w:rPr>
        <w:t>normoxic</w:t>
      </w:r>
      <w:proofErr w:type="spellEnd"/>
      <w:r w:rsidRPr="00E15289">
        <w:rPr>
          <w:rFonts w:ascii="Arial" w:eastAsia="Arial" w:hAnsi="Arial" w:cs="Arial"/>
          <w:lang w:val="en-GB"/>
        </w:rPr>
        <w:t xml:space="preserve"> conditions. </w:t>
      </w:r>
    </w:p>
    <w:p w14:paraId="3650127B" w14:textId="77777777" w:rsidR="00556CF0" w:rsidRPr="00E15289" w:rsidRDefault="00556CF0" w:rsidP="00556CF0">
      <w:pPr>
        <w:jc w:val="both"/>
        <w:rPr>
          <w:rFonts w:ascii="Arial" w:eastAsia="Arial" w:hAnsi="Arial" w:cs="Arial"/>
          <w:sz w:val="8"/>
          <w:szCs w:val="8"/>
          <w:lang w:val="en-GB"/>
        </w:rPr>
      </w:pPr>
    </w:p>
    <w:p w14:paraId="3A85A390" w14:textId="77777777" w:rsidR="00556CF0" w:rsidRPr="00E15289" w:rsidRDefault="00556CF0" w:rsidP="00556CF0">
      <w:pPr>
        <w:jc w:val="both"/>
        <w:rPr>
          <w:rFonts w:ascii="Arial" w:eastAsia="Arial" w:hAnsi="Arial" w:cs="Arial"/>
          <w:lang w:val="en-GB"/>
        </w:rPr>
      </w:pPr>
    </w:p>
    <w:p w14:paraId="33E0AA2C" w14:textId="77777777" w:rsidR="00556CF0" w:rsidRPr="00E15289" w:rsidRDefault="00556CF0" w:rsidP="00556CF0">
      <w:pPr>
        <w:jc w:val="center"/>
        <w:rPr>
          <w:rFonts w:ascii="Arial" w:eastAsia="Arial" w:hAnsi="Arial" w:cs="Arial"/>
          <w:lang w:val="en-GB"/>
        </w:rPr>
      </w:pPr>
      <w:r w:rsidRPr="00E15289">
        <w:rPr>
          <w:rFonts w:ascii="Arial" w:eastAsia="Arial" w:hAnsi="Arial" w:cs="Arial"/>
          <w:noProof/>
          <w:lang w:val="de-DE" w:eastAsia="de-DE"/>
        </w:rPr>
        <w:drawing>
          <wp:inline distT="0" distB="0" distL="0" distR="0" wp14:anchorId="4CED322D" wp14:editId="17AFBD3C">
            <wp:extent cx="6057535" cy="42291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008" cy="4239902"/>
                    </a:xfrm>
                    <a:prstGeom prst="rect">
                      <a:avLst/>
                    </a:prstGeom>
                    <a:noFill/>
                  </pic:spPr>
                </pic:pic>
              </a:graphicData>
            </a:graphic>
          </wp:inline>
        </w:drawing>
      </w:r>
    </w:p>
    <w:p w14:paraId="2D4BB9F6" w14:textId="2BD68B06" w:rsidR="00556CF0" w:rsidRPr="00E15289" w:rsidRDefault="00556CF0" w:rsidP="00DE6DD0">
      <w:pPr>
        <w:jc w:val="both"/>
        <w:rPr>
          <w:rFonts w:ascii="Arial" w:eastAsia="Arial" w:hAnsi="Arial" w:cs="Arial"/>
          <w:lang w:val="en-GB"/>
        </w:rPr>
      </w:pPr>
      <w:r w:rsidRPr="00E15289">
        <w:rPr>
          <w:rFonts w:ascii="Arial" w:eastAsia="Arial" w:hAnsi="Arial" w:cs="Arial"/>
          <w:b/>
          <w:lang w:val="en-GB"/>
        </w:rPr>
        <w:br w:type="page"/>
      </w:r>
      <w:r w:rsidRPr="00E15289">
        <w:rPr>
          <w:rFonts w:ascii="Arial" w:eastAsia="Arial" w:hAnsi="Arial" w:cs="Arial"/>
          <w:b/>
          <w:lang w:val="en-GB"/>
        </w:rPr>
        <w:lastRenderedPageBreak/>
        <w:t>Figure 3</w:t>
      </w:r>
      <w:r w:rsidRPr="00E15289">
        <w:rPr>
          <w:rFonts w:ascii="Arial" w:eastAsia="Arial" w:hAnsi="Arial" w:cs="Arial"/>
          <w:lang w:val="en-GB"/>
        </w:rPr>
        <w:t xml:space="preserve">. </w:t>
      </w:r>
      <w:r w:rsidRPr="006D06DA">
        <w:rPr>
          <w:rFonts w:ascii="Arial" w:eastAsia="Arial" w:hAnsi="Arial" w:cs="Arial"/>
          <w:lang w:val="en-GB"/>
        </w:rPr>
        <w:t>Statistical analysis (A) and normalised abundances (parts-per-million) (B)</w:t>
      </w:r>
      <w:r w:rsidRPr="00E15289">
        <w:rPr>
          <w:rFonts w:ascii="Arial" w:eastAsia="Arial" w:hAnsi="Arial" w:cs="Arial"/>
          <w:lang w:val="en-GB"/>
        </w:rPr>
        <w:t xml:space="preserve"> </w:t>
      </w:r>
      <w:r w:rsidRPr="006D06DA">
        <w:rPr>
          <w:rFonts w:ascii="Arial" w:eastAsia="Arial" w:hAnsi="Arial" w:cs="Arial"/>
          <w:lang w:val="en-GB"/>
        </w:rPr>
        <w:t>discriminating proteins exposed to ‘hypoxic’ vs. ‘</w:t>
      </w:r>
      <w:proofErr w:type="spellStart"/>
      <w:r w:rsidRPr="006D06DA">
        <w:rPr>
          <w:rFonts w:ascii="Arial" w:eastAsia="Arial" w:hAnsi="Arial" w:cs="Arial"/>
          <w:lang w:val="en-GB"/>
        </w:rPr>
        <w:t>normoxic</w:t>
      </w:r>
      <w:proofErr w:type="spellEnd"/>
      <w:r w:rsidRPr="006D06DA">
        <w:rPr>
          <w:rFonts w:ascii="Arial" w:eastAsia="Arial" w:hAnsi="Arial" w:cs="Arial"/>
          <w:lang w:val="en-GB"/>
        </w:rPr>
        <w:t>’ conditions. n, shown inset,</w:t>
      </w:r>
      <w:r w:rsidRPr="00E15289">
        <w:rPr>
          <w:rFonts w:ascii="Arial" w:eastAsia="Arial" w:hAnsi="Arial" w:cs="Arial"/>
          <w:lang w:val="en-GB"/>
        </w:rPr>
        <w:t xml:space="preserve"> represents the number of identified peptides and, p, the </w:t>
      </w:r>
      <w:proofErr w:type="spellStart"/>
      <w:r w:rsidRPr="00E15289">
        <w:rPr>
          <w:rFonts w:ascii="Arial" w:eastAsia="Arial" w:hAnsi="Arial" w:cs="Arial"/>
          <w:lang w:val="en-GB"/>
        </w:rPr>
        <w:t>Benjamini</w:t>
      </w:r>
      <w:proofErr w:type="spellEnd"/>
      <w:r w:rsidRPr="00E15289">
        <w:rPr>
          <w:rFonts w:ascii="Arial" w:eastAsia="Arial" w:hAnsi="Arial" w:cs="Arial"/>
          <w:lang w:val="en-GB"/>
        </w:rPr>
        <w:t xml:space="preserve"> and Hochberg corrected probability value.</w:t>
      </w:r>
    </w:p>
    <w:p w14:paraId="1CD2A5B9" w14:textId="77777777" w:rsidR="00556CF0" w:rsidRPr="00E15289" w:rsidRDefault="00556CF0" w:rsidP="00F137CD">
      <w:pPr>
        <w:pStyle w:val="Default"/>
        <w:jc w:val="both"/>
        <w:rPr>
          <w:rFonts w:ascii="Arial" w:eastAsia="Arial" w:hAnsi="Arial" w:cs="Arial"/>
          <w:noProof/>
          <w:color w:val="auto"/>
        </w:rPr>
      </w:pPr>
    </w:p>
    <w:p w14:paraId="4768551D" w14:textId="456F488C" w:rsidR="00166858" w:rsidRPr="00E15289" w:rsidRDefault="00723C02" w:rsidP="00556CF0">
      <w:pPr>
        <w:pStyle w:val="Default"/>
        <w:jc w:val="center"/>
        <w:rPr>
          <w:noProof/>
          <w:color w:val="auto"/>
        </w:rPr>
      </w:pPr>
      <w:r w:rsidRPr="00E15289">
        <w:rPr>
          <w:rFonts w:ascii="Arial" w:eastAsia="Arial" w:hAnsi="Arial" w:cs="Arial"/>
          <w:noProof/>
          <w:color w:val="auto"/>
          <w:sz w:val="24"/>
          <w:szCs w:val="24"/>
          <w:lang w:val="de-DE" w:eastAsia="de-DE"/>
        </w:rPr>
        <w:drawing>
          <wp:inline distT="0" distB="0" distL="0" distR="0" wp14:anchorId="636493A6" wp14:editId="04B36658">
            <wp:extent cx="4848447" cy="80047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2797" cy="8011975"/>
                    </a:xfrm>
                    <a:prstGeom prst="rect">
                      <a:avLst/>
                    </a:prstGeom>
                    <a:noFill/>
                  </pic:spPr>
                </pic:pic>
              </a:graphicData>
            </a:graphic>
          </wp:inline>
        </w:drawing>
      </w:r>
    </w:p>
    <w:p w14:paraId="55C6343E" w14:textId="77777777" w:rsidR="00CC7293" w:rsidRPr="00E15289" w:rsidRDefault="00CC7293" w:rsidP="00F137CD">
      <w:pPr>
        <w:rPr>
          <w:rFonts w:ascii="Arial" w:eastAsia="Arial" w:hAnsi="Arial" w:cs="Arial"/>
          <w:b/>
          <w:lang w:val="en-GB" w:eastAsia="en-GB"/>
        </w:rPr>
      </w:pPr>
      <w:r w:rsidRPr="00E15289">
        <w:rPr>
          <w:rFonts w:ascii="Arial" w:eastAsia="Arial" w:hAnsi="Arial" w:cs="Arial"/>
          <w:b/>
          <w:lang w:val="en-GB"/>
        </w:rPr>
        <w:br w:type="page"/>
      </w:r>
    </w:p>
    <w:p w14:paraId="757DA4B4" w14:textId="77777777" w:rsidR="006D06DA" w:rsidRDefault="00A662E1" w:rsidP="002B2D7C">
      <w:pPr>
        <w:jc w:val="both"/>
        <w:rPr>
          <w:rFonts w:ascii="Arial" w:eastAsia="Arial" w:hAnsi="Arial" w:cs="Arial"/>
          <w:lang w:val="en-GB"/>
        </w:rPr>
      </w:pPr>
      <w:r w:rsidRPr="00E15289">
        <w:rPr>
          <w:rFonts w:ascii="Arial" w:eastAsia="Arial" w:hAnsi="Arial" w:cs="Arial"/>
          <w:b/>
          <w:lang w:val="en-GB"/>
        </w:rPr>
        <w:lastRenderedPageBreak/>
        <w:t>Figure</w:t>
      </w:r>
      <w:r w:rsidRPr="00E15289">
        <w:rPr>
          <w:rFonts w:ascii="Arial" w:eastAsia="Arial" w:hAnsi="Arial" w:cs="Arial"/>
          <w:b/>
          <w:noProof/>
        </w:rPr>
        <w:t xml:space="preserve"> </w:t>
      </w:r>
      <w:r w:rsidR="00556CF0" w:rsidRPr="00E15289">
        <w:rPr>
          <w:rFonts w:ascii="Arial" w:eastAsia="Arial" w:hAnsi="Arial" w:cs="Arial"/>
          <w:b/>
          <w:noProof/>
        </w:rPr>
        <w:t>4</w:t>
      </w:r>
      <w:r w:rsidRPr="00E15289">
        <w:rPr>
          <w:rFonts w:ascii="Arial" w:eastAsia="Arial" w:hAnsi="Arial" w:cs="Arial"/>
          <w:lang w:val="en-GB"/>
        </w:rPr>
        <w:t>.</w:t>
      </w:r>
      <w:r w:rsidR="009D5DAF" w:rsidRPr="00E15289">
        <w:rPr>
          <w:rFonts w:ascii="Arial" w:eastAsia="Arial" w:hAnsi="Arial" w:cs="Arial"/>
          <w:lang w:val="en-GB"/>
        </w:rPr>
        <w:t xml:space="preserve"> </w:t>
      </w:r>
      <w:r w:rsidR="000B7ECC" w:rsidRPr="00E15289">
        <w:rPr>
          <w:rFonts w:ascii="Arial" w:eastAsia="Arial" w:hAnsi="Arial" w:cs="Arial"/>
          <w:lang w:val="en-GB"/>
        </w:rPr>
        <w:t xml:space="preserve">mRNA expression </w:t>
      </w:r>
      <w:r w:rsidR="001267C9" w:rsidRPr="00E15289">
        <w:rPr>
          <w:rFonts w:ascii="Arial" w:eastAsia="Arial" w:hAnsi="Arial" w:cs="Arial"/>
          <w:lang w:val="en-GB"/>
        </w:rPr>
        <w:t>(</w:t>
      </w:r>
      <w:proofErr w:type="spellStart"/>
      <w:r w:rsidR="001267C9" w:rsidRPr="00E15289">
        <w:rPr>
          <w:rFonts w:ascii="Arial" w:eastAsia="Arial" w:hAnsi="Arial" w:cs="Arial"/>
          <w:lang w:val="en-GB"/>
        </w:rPr>
        <w:t>cBio</w:t>
      </w:r>
      <w:proofErr w:type="spellEnd"/>
      <w:r w:rsidR="001267C9" w:rsidRPr="00E15289">
        <w:rPr>
          <w:rFonts w:ascii="Arial" w:eastAsia="Arial" w:hAnsi="Arial" w:cs="Arial"/>
          <w:lang w:val="en-GB"/>
        </w:rPr>
        <w:t xml:space="preserve"> Cancer Genomics Portal)</w:t>
      </w:r>
      <w:r w:rsidR="000B7ECC" w:rsidRPr="00E15289">
        <w:rPr>
          <w:rFonts w:ascii="Arial" w:eastAsia="Arial" w:hAnsi="Arial" w:cs="Arial"/>
          <w:lang w:val="en-GB"/>
        </w:rPr>
        <w:t xml:space="preserve"> </w:t>
      </w:r>
      <w:r w:rsidR="001267C9" w:rsidRPr="00E15289">
        <w:rPr>
          <w:rFonts w:ascii="Arial" w:eastAsia="Arial" w:hAnsi="Arial" w:cs="Arial"/>
          <w:lang w:val="en-GB"/>
        </w:rPr>
        <w:t xml:space="preserve">in major cancer types of the proteins </w:t>
      </w:r>
      <w:r w:rsidR="00DC1A39" w:rsidRPr="00E15289">
        <w:rPr>
          <w:rFonts w:ascii="Arial" w:eastAsia="Arial" w:hAnsi="Arial" w:cs="Arial"/>
          <w:lang w:val="en-GB"/>
        </w:rPr>
        <w:t xml:space="preserve">(grey nodes) </w:t>
      </w:r>
      <w:r w:rsidR="001267C9" w:rsidRPr="00E15289">
        <w:rPr>
          <w:rFonts w:ascii="Arial" w:eastAsia="Arial" w:hAnsi="Arial" w:cs="Arial"/>
          <w:lang w:val="en-GB"/>
        </w:rPr>
        <w:t>identified through analysis of the proteomic data</w:t>
      </w:r>
      <w:r w:rsidR="003059AD" w:rsidRPr="00E15289">
        <w:rPr>
          <w:rFonts w:ascii="Arial" w:eastAsia="Arial" w:hAnsi="Arial" w:cs="Arial"/>
          <w:lang w:val="en-GB"/>
        </w:rPr>
        <w:t>/results</w:t>
      </w:r>
      <w:r w:rsidR="001267C9" w:rsidRPr="00E15289">
        <w:rPr>
          <w:rFonts w:ascii="Arial" w:eastAsia="Arial" w:hAnsi="Arial" w:cs="Arial"/>
          <w:lang w:val="en-GB"/>
        </w:rPr>
        <w:t xml:space="preserve"> summarised in Table</w:t>
      </w:r>
      <w:r w:rsidR="00DC1A39" w:rsidRPr="00E15289">
        <w:rPr>
          <w:rFonts w:ascii="Arial" w:eastAsia="Arial" w:hAnsi="Arial" w:cs="Arial"/>
          <w:lang w:val="en-GB"/>
        </w:rPr>
        <w:t xml:space="preserve"> </w:t>
      </w:r>
      <w:r w:rsidR="001267C9" w:rsidRPr="00E15289">
        <w:rPr>
          <w:rFonts w:ascii="Arial" w:eastAsia="Arial" w:hAnsi="Arial" w:cs="Arial"/>
          <w:lang w:val="en-GB"/>
        </w:rPr>
        <w:t>1.</w:t>
      </w:r>
    </w:p>
    <w:p w14:paraId="6B80F085" w14:textId="2F767393" w:rsidR="00A662E1" w:rsidRPr="006D06DA" w:rsidRDefault="0079263F" w:rsidP="002B2D7C">
      <w:pPr>
        <w:jc w:val="both"/>
        <w:rPr>
          <w:rFonts w:ascii="Arial" w:eastAsia="Arial" w:hAnsi="Arial" w:cs="Arial"/>
          <w:lang w:val="en-GB"/>
        </w:rPr>
      </w:pPr>
      <w:r w:rsidRPr="00E15289">
        <w:rPr>
          <w:rFonts w:ascii="Arial" w:eastAsia="Arial" w:hAnsi="Arial" w:cs="Arial"/>
          <w:lang w:val="en-GB"/>
        </w:rPr>
        <w:t xml:space="preserve">Red </w:t>
      </w:r>
      <w:r w:rsidR="00DC1A39" w:rsidRPr="00E15289">
        <w:rPr>
          <w:rFonts w:ascii="Arial" w:eastAsia="Arial" w:hAnsi="Arial" w:cs="Arial"/>
          <w:lang w:val="en-GB"/>
        </w:rPr>
        <w:t xml:space="preserve">bordered </w:t>
      </w:r>
      <w:r w:rsidRPr="00E15289">
        <w:rPr>
          <w:rFonts w:ascii="Arial" w:eastAsia="Arial" w:hAnsi="Arial" w:cs="Arial"/>
          <w:lang w:val="en-GB"/>
        </w:rPr>
        <w:t xml:space="preserve">= </w:t>
      </w:r>
      <w:r w:rsidR="00DC1A39" w:rsidRPr="00E15289">
        <w:rPr>
          <w:rFonts w:ascii="Arial" w:eastAsia="Arial" w:hAnsi="Arial" w:cs="Arial"/>
          <w:lang w:val="en-GB"/>
        </w:rPr>
        <w:t xml:space="preserve">proteins </w:t>
      </w:r>
      <w:r w:rsidRPr="00E15289">
        <w:rPr>
          <w:rFonts w:ascii="Arial" w:eastAsia="Arial" w:hAnsi="Arial" w:cs="Arial"/>
          <w:lang w:val="en-GB"/>
        </w:rPr>
        <w:t xml:space="preserve">up-regulated in hypoxia; blue </w:t>
      </w:r>
      <w:r w:rsidR="00DC1A39" w:rsidRPr="00E15289">
        <w:rPr>
          <w:rFonts w:ascii="Arial" w:eastAsia="Arial" w:hAnsi="Arial" w:cs="Arial"/>
          <w:lang w:val="en-GB"/>
        </w:rPr>
        <w:t xml:space="preserve">bordered </w:t>
      </w:r>
      <w:r w:rsidRPr="00E15289">
        <w:rPr>
          <w:rFonts w:ascii="Arial" w:eastAsia="Arial" w:hAnsi="Arial" w:cs="Arial"/>
          <w:lang w:val="en-GB"/>
        </w:rPr>
        <w:t>= down-regulated</w:t>
      </w:r>
      <w:r w:rsidR="00DC1A39" w:rsidRPr="00E15289">
        <w:rPr>
          <w:rFonts w:ascii="Arial" w:eastAsia="Arial" w:hAnsi="Arial" w:cs="Arial"/>
          <w:lang w:val="en-GB"/>
        </w:rPr>
        <w:t xml:space="preserve"> proteins</w:t>
      </w:r>
      <w:r w:rsidRPr="00E15289">
        <w:rPr>
          <w:rFonts w:ascii="Arial" w:eastAsia="Arial" w:hAnsi="Arial" w:cs="Arial"/>
          <w:lang w:val="en-GB"/>
        </w:rPr>
        <w:t xml:space="preserve">; green = cancer types in which protein mRNA expression has been shown to be altered in TCGA datasets, or, yellow, other large-scale prostate cancer </w:t>
      </w:r>
      <w:r w:rsidR="00CC7293" w:rsidRPr="00E15289">
        <w:rPr>
          <w:rFonts w:ascii="Arial" w:eastAsia="Arial" w:hAnsi="Arial" w:cs="Arial"/>
          <w:lang w:val="en-GB"/>
        </w:rPr>
        <w:t>datasets;</w:t>
      </w:r>
      <w:r w:rsidRPr="00E15289">
        <w:rPr>
          <w:rFonts w:ascii="Arial" w:eastAsia="Arial" w:hAnsi="Arial" w:cs="Arial"/>
          <w:lang w:val="en-GB"/>
        </w:rPr>
        <w:t xml:space="preserve"> node size = frequency</w:t>
      </w:r>
      <w:r w:rsidR="006D06DA">
        <w:rPr>
          <w:rFonts w:ascii="Arial" w:eastAsia="Arial" w:hAnsi="Arial" w:cs="Arial"/>
          <w:lang w:val="en-GB"/>
        </w:rPr>
        <w:t xml:space="preserve">. </w:t>
      </w:r>
      <w:r w:rsidR="00561EAF" w:rsidRPr="006D06DA">
        <w:rPr>
          <w:rFonts w:ascii="Arial" w:eastAsia="Arial" w:hAnsi="Arial" w:cs="Arial"/>
          <w:sz w:val="20"/>
          <w:szCs w:val="21"/>
          <w:lang w:val="en-GB"/>
        </w:rPr>
        <w:t xml:space="preserve">AML = acute myeloid </w:t>
      </w:r>
      <w:proofErr w:type="spellStart"/>
      <w:r w:rsidR="00561EAF" w:rsidRPr="006D06DA">
        <w:rPr>
          <w:rFonts w:ascii="Arial" w:eastAsia="Arial" w:hAnsi="Arial" w:cs="Arial"/>
          <w:sz w:val="20"/>
          <w:szCs w:val="21"/>
          <w:lang w:val="en-GB"/>
        </w:rPr>
        <w:t>leukemia</w:t>
      </w:r>
      <w:proofErr w:type="spellEnd"/>
      <w:r w:rsidR="00561EAF" w:rsidRPr="006D06DA">
        <w:rPr>
          <w:rFonts w:ascii="Arial" w:eastAsia="Arial" w:hAnsi="Arial" w:cs="Arial"/>
          <w:sz w:val="20"/>
          <w:szCs w:val="21"/>
          <w:lang w:val="en-GB"/>
        </w:rPr>
        <w:t xml:space="preserve">; </w:t>
      </w:r>
      <w:proofErr w:type="spellStart"/>
      <w:r w:rsidR="00561EAF" w:rsidRPr="006D06DA">
        <w:rPr>
          <w:rFonts w:ascii="Arial" w:eastAsia="Arial" w:hAnsi="Arial" w:cs="Arial"/>
          <w:sz w:val="20"/>
          <w:szCs w:val="21"/>
          <w:lang w:val="en-GB"/>
        </w:rPr>
        <w:t>ccRCC</w:t>
      </w:r>
      <w:proofErr w:type="spellEnd"/>
      <w:r w:rsidR="00561EAF" w:rsidRPr="006D06DA">
        <w:rPr>
          <w:rFonts w:ascii="Arial" w:eastAsia="Arial" w:hAnsi="Arial" w:cs="Arial"/>
          <w:sz w:val="20"/>
          <w:szCs w:val="21"/>
          <w:lang w:val="en-GB"/>
        </w:rPr>
        <w:t xml:space="preserve"> = Clear cell renal cell carcinoma; </w:t>
      </w:r>
      <w:proofErr w:type="spellStart"/>
      <w:r w:rsidR="00561EAF" w:rsidRPr="006D06DA">
        <w:rPr>
          <w:rFonts w:ascii="Arial" w:eastAsia="Arial" w:hAnsi="Arial" w:cs="Arial"/>
          <w:sz w:val="20"/>
          <w:szCs w:val="21"/>
          <w:lang w:val="en-GB"/>
        </w:rPr>
        <w:t>chRCC</w:t>
      </w:r>
      <w:proofErr w:type="spellEnd"/>
      <w:r w:rsidR="00561EAF" w:rsidRPr="006D06DA">
        <w:rPr>
          <w:rFonts w:ascii="Arial" w:eastAsia="Arial" w:hAnsi="Arial" w:cs="Arial"/>
          <w:sz w:val="20"/>
          <w:szCs w:val="21"/>
          <w:lang w:val="en-GB"/>
        </w:rPr>
        <w:t xml:space="preserve"> = renal cell carcinoma; </w:t>
      </w:r>
      <w:proofErr w:type="spellStart"/>
      <w:r w:rsidR="00561EAF" w:rsidRPr="006D06DA">
        <w:rPr>
          <w:rFonts w:ascii="Arial" w:eastAsia="Arial" w:hAnsi="Arial" w:cs="Arial"/>
          <w:sz w:val="20"/>
          <w:szCs w:val="21"/>
          <w:lang w:val="en-GB"/>
        </w:rPr>
        <w:t>pRCC</w:t>
      </w:r>
      <w:proofErr w:type="spellEnd"/>
      <w:r w:rsidR="00561EAF" w:rsidRPr="006D06DA">
        <w:rPr>
          <w:rFonts w:ascii="Arial" w:eastAsia="Arial" w:hAnsi="Arial" w:cs="Arial"/>
          <w:sz w:val="20"/>
          <w:szCs w:val="21"/>
          <w:lang w:val="en-GB"/>
        </w:rPr>
        <w:t xml:space="preserve"> = Papillary renal cell carcinoma; DLBC = Diffuse large B-cell lymphoma; HNSC= head and neck squamous cell carcinoma; Lung (SC) = Squamous cell lung cancer; Lung (A) = Lung Adenocarcinoma; NEPC = Neuroendocrine prostate cancer; PCPG = Pheochromocytoma and Paraganglioma; Uveal Mel = Uveal Melanoma;  Prostate (Hutch) = Prostate Cancer dataset of Fred Hutchinson Cancer Research </w:t>
      </w:r>
      <w:proofErr w:type="spellStart"/>
      <w:r w:rsidR="00561EAF" w:rsidRPr="006D06DA">
        <w:rPr>
          <w:rFonts w:ascii="Arial" w:eastAsia="Arial" w:hAnsi="Arial" w:cs="Arial"/>
          <w:sz w:val="20"/>
          <w:szCs w:val="21"/>
          <w:lang w:val="en-GB"/>
        </w:rPr>
        <w:t>Center</w:t>
      </w:r>
      <w:proofErr w:type="spellEnd"/>
      <w:r w:rsidR="00561EAF" w:rsidRPr="006D06DA">
        <w:rPr>
          <w:rFonts w:ascii="Arial" w:eastAsia="Arial" w:hAnsi="Arial" w:cs="Arial"/>
          <w:sz w:val="20"/>
          <w:szCs w:val="21"/>
          <w:lang w:val="en-GB"/>
        </w:rPr>
        <w:t>; Prostate (SU2C) = Stand Up To Cancer-Prostate Cancer dataset; Prostate (TCGA-</w:t>
      </w:r>
      <w:proofErr w:type="spellStart"/>
      <w:r w:rsidR="00561EAF" w:rsidRPr="006D06DA">
        <w:rPr>
          <w:rFonts w:ascii="Arial" w:eastAsia="Arial" w:hAnsi="Arial" w:cs="Arial"/>
          <w:sz w:val="20"/>
          <w:szCs w:val="21"/>
          <w:lang w:val="en-GB"/>
        </w:rPr>
        <w:t>Prov</w:t>
      </w:r>
      <w:proofErr w:type="spellEnd"/>
      <w:r w:rsidR="00561EAF" w:rsidRPr="006D06DA">
        <w:rPr>
          <w:rFonts w:ascii="Arial" w:eastAsia="Arial" w:hAnsi="Arial" w:cs="Arial"/>
          <w:sz w:val="20"/>
          <w:szCs w:val="21"/>
          <w:lang w:val="en-GB"/>
        </w:rPr>
        <w:t>) = Provisional TCGA Prostate Adenocarcinoma dataset</w:t>
      </w:r>
      <w:r w:rsidR="002B2D7C" w:rsidRPr="006D06DA">
        <w:rPr>
          <w:rFonts w:ascii="Arial" w:eastAsia="Arial" w:hAnsi="Arial" w:cs="Arial"/>
          <w:sz w:val="21"/>
          <w:szCs w:val="21"/>
          <w:lang w:val="en-GB"/>
        </w:rPr>
        <w:t>.</w:t>
      </w:r>
    </w:p>
    <w:p w14:paraId="53AD9818" w14:textId="45B0A0E5" w:rsidR="002B2D7C" w:rsidRPr="00E15289" w:rsidRDefault="002B2D7C" w:rsidP="002B2D7C">
      <w:pPr>
        <w:jc w:val="both"/>
        <w:rPr>
          <w:rFonts w:ascii="Arial" w:eastAsia="Arial" w:hAnsi="Arial" w:cs="Arial"/>
          <w:sz w:val="22"/>
          <w:lang w:val="en-GB"/>
        </w:rPr>
      </w:pPr>
    </w:p>
    <w:p w14:paraId="24193DC5" w14:textId="04543DAD" w:rsidR="002B2D7C" w:rsidRPr="00E15289" w:rsidRDefault="002B2D7C" w:rsidP="002B2D7C">
      <w:pPr>
        <w:jc w:val="center"/>
        <w:rPr>
          <w:rFonts w:ascii="Arial" w:eastAsia="Arial" w:hAnsi="Arial" w:cs="Arial"/>
          <w:lang w:val="en-GB"/>
        </w:rPr>
      </w:pPr>
      <w:r w:rsidRPr="00E15289">
        <w:rPr>
          <w:rFonts w:ascii="Arial" w:eastAsia="Arial" w:hAnsi="Arial" w:cs="Arial"/>
          <w:noProof/>
          <w:lang w:val="de-DE" w:eastAsia="de-DE"/>
        </w:rPr>
        <w:drawing>
          <wp:inline distT="0" distB="0" distL="0" distR="0" wp14:anchorId="2ECED23E" wp14:editId="04ECA461">
            <wp:extent cx="3741749" cy="2158552"/>
            <wp:effectExtent l="0" t="0" r="0" b="0"/>
            <wp:docPr id="14" name="Picture 1">
              <a:extLst xmlns:a="http://schemas.openxmlformats.org/drawingml/2006/main">
                <a:ext uri="{FF2B5EF4-FFF2-40B4-BE49-F238E27FC236}">
                  <a16:creationId xmlns:a16="http://schemas.microsoft.com/office/drawing/2014/main" id="{67245976-438A-4F90-8D8C-0B200CA45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245976-438A-4F90-8D8C-0B200CA45382}"/>
                        </a:ext>
                      </a:extLst>
                    </pic:cNvPr>
                    <pic:cNvPicPr>
                      <a:picLocks noChangeAspect="1"/>
                    </pic:cNvPicPr>
                  </pic:nvPicPr>
                  <pic:blipFill>
                    <a:blip r:embed="rId13"/>
                    <a:stretch>
                      <a:fillRect/>
                    </a:stretch>
                  </pic:blipFill>
                  <pic:spPr>
                    <a:xfrm>
                      <a:off x="0" y="0"/>
                      <a:ext cx="3934810" cy="2269926"/>
                    </a:xfrm>
                    <a:prstGeom prst="rect">
                      <a:avLst/>
                    </a:prstGeom>
                  </pic:spPr>
                </pic:pic>
              </a:graphicData>
            </a:graphic>
          </wp:inline>
        </w:drawing>
      </w:r>
    </w:p>
    <w:p w14:paraId="1E3C3014" w14:textId="056AD956" w:rsidR="00556CF0" w:rsidRPr="00E15289" w:rsidRDefault="00556CF0">
      <w:pPr>
        <w:rPr>
          <w:rFonts w:ascii="Arial" w:eastAsia="Arial" w:hAnsi="Arial" w:cs="Arial"/>
          <w:b/>
          <w:lang w:val="en-GB"/>
        </w:rPr>
      </w:pPr>
    </w:p>
    <w:p w14:paraId="28B2FCD3" w14:textId="77777777" w:rsidR="006D06DA" w:rsidRDefault="00A3158D" w:rsidP="002B2D7C">
      <w:pPr>
        <w:jc w:val="both"/>
        <w:rPr>
          <w:rFonts w:ascii="Arial" w:eastAsia="Arial" w:hAnsi="Arial" w:cs="Arial"/>
          <w:lang w:val="en-GB"/>
        </w:rPr>
      </w:pPr>
      <w:r w:rsidRPr="00E15289">
        <w:rPr>
          <w:rFonts w:ascii="Arial" w:eastAsia="Arial" w:hAnsi="Arial" w:cs="Arial"/>
          <w:b/>
          <w:lang w:val="en-GB"/>
        </w:rPr>
        <w:t xml:space="preserve">Figure </w:t>
      </w:r>
      <w:r w:rsidR="00556CF0" w:rsidRPr="00E15289">
        <w:rPr>
          <w:rFonts w:ascii="Arial" w:eastAsia="Arial" w:hAnsi="Arial" w:cs="Arial"/>
          <w:b/>
          <w:lang w:val="en-GB"/>
        </w:rPr>
        <w:t>5</w:t>
      </w:r>
      <w:r w:rsidRPr="00E15289">
        <w:rPr>
          <w:rFonts w:ascii="Arial" w:eastAsia="Arial" w:hAnsi="Arial" w:cs="Arial"/>
          <w:b/>
          <w:lang w:val="en-GB"/>
        </w:rPr>
        <w:t xml:space="preserve">. </w:t>
      </w:r>
      <w:r w:rsidR="0079263F" w:rsidRPr="00E15289">
        <w:rPr>
          <w:rFonts w:ascii="Arial" w:eastAsia="Arial" w:hAnsi="Arial" w:cs="Arial"/>
          <w:lang w:val="en-GB"/>
        </w:rPr>
        <w:t xml:space="preserve">Gene network </w:t>
      </w:r>
      <w:r w:rsidR="00F053F7" w:rsidRPr="00E15289">
        <w:rPr>
          <w:rFonts w:ascii="Arial" w:eastAsia="Arial" w:hAnsi="Arial" w:cs="Arial"/>
          <w:lang w:val="en-GB"/>
        </w:rPr>
        <w:t xml:space="preserve">analysis of the quantified proteins </w:t>
      </w:r>
      <w:r w:rsidR="0079263F" w:rsidRPr="00E15289">
        <w:rPr>
          <w:rFonts w:ascii="Arial" w:eastAsia="Arial" w:hAnsi="Arial" w:cs="Arial"/>
          <w:lang w:val="en-GB"/>
        </w:rPr>
        <w:t>in prostate cancer tissue</w:t>
      </w:r>
      <w:r w:rsidR="0079263F" w:rsidRPr="00E15289">
        <w:rPr>
          <w:rFonts w:ascii="Arial" w:eastAsia="Arial" w:hAnsi="Arial" w:cs="Arial"/>
          <w:b/>
          <w:lang w:val="en-GB"/>
        </w:rPr>
        <w:t>.</w:t>
      </w:r>
    </w:p>
    <w:p w14:paraId="4003F086" w14:textId="7599FF65" w:rsidR="002B2D7C" w:rsidRPr="00E15289" w:rsidRDefault="00731B6A" w:rsidP="002B2D7C">
      <w:pPr>
        <w:jc w:val="both"/>
        <w:rPr>
          <w:rFonts w:ascii="Arial" w:eastAsia="Arial" w:hAnsi="Arial" w:cs="Arial"/>
          <w:b/>
          <w:lang w:val="en-GB"/>
        </w:rPr>
      </w:pPr>
      <w:r w:rsidRPr="00E15289">
        <w:rPr>
          <w:rFonts w:ascii="Arial" w:eastAsia="Arial" w:hAnsi="Arial" w:cs="Arial"/>
          <w:lang w:val="en-GB"/>
        </w:rPr>
        <w:t>Blue</w:t>
      </w:r>
      <w:r w:rsidR="004F5AD9" w:rsidRPr="00E15289">
        <w:rPr>
          <w:rFonts w:ascii="Arial" w:eastAsia="Arial" w:hAnsi="Arial" w:cs="Arial"/>
          <w:lang w:val="en-GB"/>
        </w:rPr>
        <w:t xml:space="preserve"> (icon/character)</w:t>
      </w:r>
      <w:r w:rsidR="00F053F7" w:rsidRPr="00E15289">
        <w:rPr>
          <w:rFonts w:ascii="Arial" w:eastAsia="Arial" w:hAnsi="Arial" w:cs="Arial"/>
          <w:lang w:val="en-GB"/>
        </w:rPr>
        <w:t xml:space="preserve"> = genes of which the </w:t>
      </w:r>
      <w:r w:rsidR="00C5175D" w:rsidRPr="00E15289">
        <w:rPr>
          <w:rFonts w:ascii="Arial" w:eastAsia="Arial" w:hAnsi="Arial" w:cs="Arial"/>
          <w:lang w:val="en-GB"/>
        </w:rPr>
        <w:t>mRNA expression has been changed following treatment with NO-NSAID under hypoxic conditions</w:t>
      </w:r>
      <w:r w:rsidR="00CC7293" w:rsidRPr="00E15289">
        <w:rPr>
          <w:rFonts w:ascii="Arial" w:eastAsia="Arial" w:hAnsi="Arial" w:cs="Arial"/>
          <w:lang w:val="en-GB"/>
        </w:rPr>
        <w:t xml:space="preserve"> </w:t>
      </w:r>
      <w:r w:rsidR="0044677C" w:rsidRPr="00E15289">
        <w:rPr>
          <w:rFonts w:ascii="Arial" w:eastAsia="Arial" w:hAnsi="Arial" w:cs="Arial"/>
          <w:lang w:val="en-GB"/>
        </w:rPr>
        <w:fldChar w:fldCharType="begin" w:fldLock="1"/>
      </w:r>
      <w:r w:rsidR="00782E8D" w:rsidRPr="00E15289">
        <w:rPr>
          <w:rFonts w:ascii="Arial" w:eastAsia="Arial" w:hAnsi="Arial" w:cs="Arial"/>
          <w:lang w:val="en-GB"/>
        </w:rPr>
        <w:instrText>ADDIN CSL_CITATION {"citationItems":[{"id":"ITEM-1","itemData":{"DOI":"10.1002/ijc.23934","ISSN":"00207136","abstract":"Nitric oxide-donating non-steroidal anti-inflammatory drugs are safer than traditional NSAIDs and inhibit the growth of prostate cancer cells with greater potency than NSAIDs. In vivo, prostate cancer deposits are found in a hypoxic environment which induces resistance to chemotherapy. The aim of this study was to assess the effects and mechanism of action of a NO-NSAID called NO-sulindac on the PC-3 prostate cancer cell line under hypoxic conditions. NO-sulindac was found to have pro-apoptotic, cytotoxic, and anti-invasive effect on PC-3 cells under normoxia and hypoxia. NO-sulindac was significantly more cytotoxic than sulindac at all oxygen levels. The sulindac/linker and NO-releasing subunits both contributed to the cytotoxic effects of NO-sulindac. Resistance of PC-3 cells to NO-sulindac was induced as the oxygen concentration declined. Hypoxia-induced chemoresistance was reversed by knocking-down hypoxia-inducible factor-1alpha (HIF-1alpha) mRNA using RNAi. Nuclear HIF-1alpha levels were upregulated at 0.2% oxygen but reduced by treatment with NO-sulindac, as was Akt phosphorylation. NO-sulindac treatment of hypoxic PC-3 cells transfected with a reporter construct, downregulated activation of the hypoxia response element (HRE) promoter. Co-transfection of PC-3 cells with the HRE promoter reporter construct and myr-Akt (constitutively active Akt) plasmids reversed the NO-sulindac induced reduction in HRE activation. Real-time polymerase chain reaction analysis of hypoxic, NO-sulindac treated PC-3 cells showed downregulation of lysyl oxidase and carbonic anhydrase IX mRNA expression. Collectively, these novel findings demonstrate that NO-sulindac directly inhibits the hypoxia response of PC-3 prostate cancer cells by inhibiting HIF-1alpha translation via the Akt signalling pathway. The ability of NO-sulindac to inhibit tumour adaption to hypoxia has considerable relevance to the future management of prostate cancer with the same cellular properties as PC-3.","author":[{"dropping-particle":"","family":"Stewart","given":"Grant D.","non-dropping-particle":"","parse-names":false,"suffix":""},{"dropping-particle":"","family":"Nanda","given":"Jyoti","non-dropping-particle":"","parse-names":false,"suffix":""},{"dropping-particle":"","family":"Brown","given":"David J.G.","non-dropping-particle":"","parse-names":false,"suffix":""},{"dropping-particle":"","family":"Riddick","given":"Antony C.P.","non-dropping-particle":"","parse-names":false,"suffix":""},{"dropping-particle":"","family":"Ross","given":"James A.","non-dropping-particle":"","parse-names":false,"suffix":""},{"dropping-particle":"","family":"Habib","given":"Fouad K.","non-dropping-particle":"","parse-names":false,"suffix":""}],"container-title":"International Journal of Cancer","id":"ITEM-1","issued":{"date-parts":[["2009"]]},"title":"NO-sulindac inhibits the hypoxia response of PC-3 prostate cancer cells via the Akt signalling pathway","type":"article-journal"},"uris":["http://www.mendeley.com/documents/?uuid=ec7a4365-3523-4654-b020-bbca2fa7d351"]},{"id":"ITEM-2","itemData":{"author":[{"dropping-particle":"","family":"Gallagher","given":"Iain J","non-dropping-particle":"","parse-names":false,"suffix":""},{"dropping-particle":"","family":"Stewart","given":"Grant D","non-dropping-particle":"","parse-names":false,"suffix":""},{"dropping-particle":"","family":"Nanda","given":"Jyoti","non-dropping-particle":"","parse-names":false,"suffix":""},{"dropping-particle":"","family":"Riddick","given":"Antony CP","non-dropping-particle":"","parse-names":false,"suffix":""},{"dropping-particle":"","family":"Habib","given":"Fouad K","non-dropping-particle":"","parse-names":false,"suffix":""},{"dropping-particle":"","family":"Ross","given":"James A","non-dropping-particle":"","parse-names":false,"suffix":""}],"id":"ITEM-2","issued":{"date-parts":[["2019"]]},"title":"Global Changes in Gene Expression in Normoxic and Hypoxic Prostate Cancer and the influence of NO-Sulindac","type":"article-journal"},"uris":["http://www.mendeley.com/documents/?uuid=5a4a9181-bfa2-4661-b88f-fbfbc8a6cc73"]}],"mendeley":{"formattedCitation":"(14,34)","plainTextFormattedCitation":"(14,34)","previouslyFormattedCitation":"(14,34)"},"properties":{"noteIndex":0},"schema":"https://github.com/citation-style-language/schema/raw/master/csl-citation.json"}</w:instrText>
      </w:r>
      <w:r w:rsidR="0044677C" w:rsidRPr="00E15289">
        <w:rPr>
          <w:rFonts w:ascii="Arial" w:eastAsia="Arial" w:hAnsi="Arial" w:cs="Arial"/>
          <w:lang w:val="en-GB"/>
        </w:rPr>
        <w:fldChar w:fldCharType="separate"/>
      </w:r>
      <w:r w:rsidR="00A82711" w:rsidRPr="00E15289">
        <w:rPr>
          <w:rFonts w:ascii="Arial" w:eastAsia="Arial" w:hAnsi="Arial" w:cs="Arial"/>
          <w:noProof/>
          <w:lang w:val="en-GB"/>
        </w:rPr>
        <w:t>(14,34)</w:t>
      </w:r>
      <w:r w:rsidR="0044677C" w:rsidRPr="00E15289">
        <w:rPr>
          <w:rFonts w:ascii="Arial" w:eastAsia="Arial" w:hAnsi="Arial" w:cs="Arial"/>
          <w:lang w:val="en-GB"/>
        </w:rPr>
        <w:fldChar w:fldCharType="end"/>
      </w:r>
      <w:r w:rsidR="00A3158D" w:rsidRPr="00E15289">
        <w:rPr>
          <w:rFonts w:ascii="Arial" w:eastAsia="Arial" w:hAnsi="Arial" w:cs="Arial"/>
          <w:lang w:val="en-GB"/>
        </w:rPr>
        <w:t xml:space="preserve">; red </w:t>
      </w:r>
      <w:r w:rsidR="004F5AD9" w:rsidRPr="00E15289">
        <w:rPr>
          <w:rFonts w:ascii="Arial" w:eastAsia="Arial" w:hAnsi="Arial" w:cs="Arial"/>
          <w:lang w:val="en-GB"/>
        </w:rPr>
        <w:t>(icon/character)</w:t>
      </w:r>
      <w:r w:rsidR="00DE6DD0" w:rsidRPr="00E15289">
        <w:rPr>
          <w:rFonts w:ascii="Arial" w:eastAsia="Arial" w:hAnsi="Arial" w:cs="Arial"/>
          <w:lang w:val="en-GB"/>
        </w:rPr>
        <w:t xml:space="preserve"> </w:t>
      </w:r>
      <w:r w:rsidR="00A3158D" w:rsidRPr="00E15289">
        <w:rPr>
          <w:rFonts w:ascii="Arial" w:eastAsia="Arial" w:hAnsi="Arial" w:cs="Arial"/>
          <w:lang w:val="en-GB"/>
        </w:rPr>
        <w:t xml:space="preserve">= </w:t>
      </w:r>
      <w:r w:rsidR="009B76E5" w:rsidRPr="00E15289">
        <w:rPr>
          <w:rFonts w:ascii="Arial" w:eastAsia="Arial" w:hAnsi="Arial" w:cs="Arial"/>
          <w:lang w:val="en-GB"/>
        </w:rPr>
        <w:t xml:space="preserve">significantly changed </w:t>
      </w:r>
      <w:r w:rsidR="00C5175D" w:rsidRPr="00E15289">
        <w:rPr>
          <w:rFonts w:ascii="Arial" w:eastAsia="Arial" w:hAnsi="Arial" w:cs="Arial"/>
          <w:lang w:val="en-GB"/>
        </w:rPr>
        <w:t xml:space="preserve">proteins </w:t>
      </w:r>
      <w:r w:rsidR="009B76E5" w:rsidRPr="00E15289">
        <w:rPr>
          <w:rFonts w:ascii="Arial" w:eastAsia="Arial" w:hAnsi="Arial" w:cs="Arial"/>
          <w:lang w:val="en-GB"/>
        </w:rPr>
        <w:t xml:space="preserve">under hypoxic growth conditions identified and quantified by ion mobility </w:t>
      </w:r>
      <w:r w:rsidR="0044677C" w:rsidRPr="00E15289">
        <w:rPr>
          <w:rFonts w:ascii="Arial" w:eastAsia="Arial" w:hAnsi="Arial" w:cs="Arial"/>
          <w:lang w:val="en-GB"/>
        </w:rPr>
        <w:t>assisted</w:t>
      </w:r>
      <w:r w:rsidR="009B76E5" w:rsidRPr="00E15289">
        <w:rPr>
          <w:rFonts w:ascii="Arial" w:eastAsia="Arial" w:hAnsi="Arial" w:cs="Arial"/>
          <w:lang w:val="en-GB"/>
        </w:rPr>
        <w:t xml:space="preserve"> DIA LC-MS</w:t>
      </w:r>
      <w:r w:rsidR="00F053F7" w:rsidRPr="00E15289">
        <w:rPr>
          <w:rFonts w:ascii="Arial" w:eastAsia="Arial" w:hAnsi="Arial" w:cs="Arial"/>
          <w:lang w:val="en-GB"/>
        </w:rPr>
        <w:t>. I</w:t>
      </w:r>
      <w:r w:rsidR="00A3158D" w:rsidRPr="00E15289">
        <w:rPr>
          <w:rFonts w:ascii="Arial" w:eastAsia="Arial" w:hAnsi="Arial" w:cs="Arial"/>
          <w:lang w:val="en-GB"/>
        </w:rPr>
        <w:t>con = network connected gene</w:t>
      </w:r>
      <w:r w:rsidR="009B76E5" w:rsidRPr="00E15289">
        <w:rPr>
          <w:rFonts w:ascii="Arial" w:eastAsia="Arial" w:hAnsi="Arial" w:cs="Arial"/>
          <w:lang w:val="en-GB"/>
        </w:rPr>
        <w:t>/</w:t>
      </w:r>
      <w:r w:rsidR="00F053F7" w:rsidRPr="00E15289">
        <w:rPr>
          <w:rFonts w:ascii="Arial" w:eastAsia="Arial" w:hAnsi="Arial" w:cs="Arial"/>
          <w:lang w:val="en-GB"/>
        </w:rPr>
        <w:t>protein</w:t>
      </w:r>
      <w:r w:rsidR="00A3158D" w:rsidRPr="00E15289">
        <w:rPr>
          <w:rFonts w:ascii="Arial" w:eastAsia="Arial" w:hAnsi="Arial" w:cs="Arial"/>
          <w:lang w:val="en-GB"/>
        </w:rPr>
        <w:t>; character = singleton, non-networked gene</w:t>
      </w:r>
      <w:r w:rsidR="00F053F7" w:rsidRPr="00E15289">
        <w:rPr>
          <w:rFonts w:ascii="Arial" w:eastAsia="Arial" w:hAnsi="Arial" w:cs="Arial"/>
          <w:lang w:val="en-GB"/>
        </w:rPr>
        <w:t>/protein.</w:t>
      </w:r>
      <w:r w:rsidR="002F3FE4" w:rsidRPr="00E15289">
        <w:rPr>
          <w:rFonts w:ascii="Arial" w:eastAsia="Arial" w:hAnsi="Arial" w:cs="Arial"/>
          <w:lang w:val="en-GB"/>
        </w:rPr>
        <w:t xml:space="preserve"> Line thickness = network connectivity (</w:t>
      </w:r>
      <w:r w:rsidR="00D028D4" w:rsidRPr="00E15289">
        <w:rPr>
          <w:rFonts w:ascii="Arial" w:eastAsia="Arial" w:hAnsi="Arial" w:cs="Arial"/>
          <w:lang w:val="en-GB"/>
        </w:rPr>
        <w:t xml:space="preserve">line </w:t>
      </w:r>
      <w:r w:rsidR="002F3FE4" w:rsidRPr="00E15289">
        <w:rPr>
          <w:rFonts w:ascii="Arial" w:eastAsia="Arial" w:hAnsi="Arial" w:cs="Arial"/>
          <w:lang w:val="en-GB"/>
        </w:rPr>
        <w:t>colour = display purposes only)</w:t>
      </w:r>
      <w:r w:rsidR="002B2D7C" w:rsidRPr="00E15289">
        <w:rPr>
          <w:rFonts w:ascii="Arial" w:eastAsia="Arial" w:hAnsi="Arial" w:cs="Arial"/>
          <w:lang w:val="en-GB"/>
        </w:rPr>
        <w:t>.</w:t>
      </w:r>
      <w:r w:rsidR="00DE6DD0" w:rsidRPr="00E15289">
        <w:rPr>
          <w:rFonts w:ascii="Arial" w:eastAsia="Arial" w:hAnsi="Arial" w:cs="Arial"/>
          <w:lang w:val="en-GB"/>
        </w:rPr>
        <w:t xml:space="preserve"> Node text is provided left and right of the network in addition to text next to the nodes.</w:t>
      </w:r>
    </w:p>
    <w:p w14:paraId="4E413CD9" w14:textId="041D6E0F" w:rsidR="00530531" w:rsidRPr="00E15289" w:rsidRDefault="00556CF0" w:rsidP="00530531">
      <w:pPr>
        <w:spacing w:afterLines="60" w:after="144" w:line="360" w:lineRule="auto"/>
        <w:jc w:val="center"/>
        <w:rPr>
          <w:rFonts w:ascii="Arial" w:eastAsia="Arial" w:hAnsi="Arial" w:cs="Arial"/>
          <w:b/>
          <w:lang w:val="en-GB"/>
        </w:rPr>
      </w:pPr>
      <w:r w:rsidRPr="00E15289">
        <w:rPr>
          <w:rFonts w:ascii="Arial" w:eastAsia="Arial" w:hAnsi="Arial" w:cs="Arial"/>
          <w:b/>
          <w:noProof/>
          <w:lang w:val="de-DE" w:eastAsia="de-DE"/>
        </w:rPr>
        <w:drawing>
          <wp:inline distT="0" distB="0" distL="0" distR="0" wp14:anchorId="4CBFB001" wp14:editId="35A3BF53">
            <wp:extent cx="4238495" cy="30728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2078" cy="3082656"/>
                    </a:xfrm>
                    <a:prstGeom prst="rect">
                      <a:avLst/>
                    </a:prstGeom>
                    <a:noFill/>
                  </pic:spPr>
                </pic:pic>
              </a:graphicData>
            </a:graphic>
          </wp:inline>
        </w:drawing>
      </w:r>
    </w:p>
    <w:p w14:paraId="146AC863" w14:textId="10356A60" w:rsidR="00556CF0" w:rsidRPr="00E15289" w:rsidRDefault="00556CF0" w:rsidP="00556CF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sz w:val="22"/>
          <w:szCs w:val="20"/>
          <w:lang w:val="en-GB"/>
        </w:rPr>
      </w:pPr>
      <w:r w:rsidRPr="00E15289">
        <w:rPr>
          <w:rFonts w:ascii="Arial" w:eastAsia="Arial" w:hAnsi="Arial" w:cs="Arial"/>
          <w:b/>
          <w:lang w:val="en-GB"/>
        </w:rPr>
        <w:lastRenderedPageBreak/>
        <w:t>Figure 6.</w:t>
      </w:r>
      <w:r w:rsidRPr="00E15289">
        <w:rPr>
          <w:rFonts w:ascii="Arial" w:eastAsia="Arial" w:hAnsi="Arial" w:cs="Arial"/>
          <w:lang w:val="en-GB"/>
        </w:rPr>
        <w:t xml:space="preserve"> </w:t>
      </w:r>
      <w:r w:rsidRPr="006D06DA">
        <w:rPr>
          <w:rFonts w:ascii="Arial" w:eastAsia="Arial" w:hAnsi="Arial" w:cs="Arial"/>
          <w:lang w:val="en-GB"/>
        </w:rPr>
        <w:t xml:space="preserve">Statistical analysis (A) and </w:t>
      </w:r>
      <w:r w:rsidR="00FB01F8" w:rsidRPr="006D06DA">
        <w:rPr>
          <w:rFonts w:ascii="Arial" w:eastAsia="Arial" w:hAnsi="Arial" w:cs="Arial"/>
          <w:lang w:val="en-GB"/>
        </w:rPr>
        <w:t>normalised</w:t>
      </w:r>
      <w:r w:rsidRPr="006D06DA">
        <w:rPr>
          <w:rFonts w:ascii="Arial" w:eastAsia="Arial" w:hAnsi="Arial" w:cs="Arial"/>
          <w:lang w:val="en-GB"/>
        </w:rPr>
        <w:t xml:space="preserve"> abundances</w:t>
      </w:r>
      <w:r w:rsidR="00FB01F8" w:rsidRPr="006D06DA">
        <w:rPr>
          <w:rFonts w:ascii="Arial" w:eastAsia="Arial" w:hAnsi="Arial" w:cs="Arial"/>
          <w:lang w:val="en-GB"/>
        </w:rPr>
        <w:t xml:space="preserve"> (parts-per-million)</w:t>
      </w:r>
      <w:r w:rsidRPr="006D06DA">
        <w:rPr>
          <w:rFonts w:ascii="Arial" w:eastAsia="Arial" w:hAnsi="Arial" w:cs="Arial"/>
          <w:lang w:val="en-GB"/>
        </w:rPr>
        <w:t xml:space="preserve"> (B)</w:t>
      </w:r>
      <w:r w:rsidRPr="00E15289">
        <w:rPr>
          <w:rFonts w:ascii="Arial" w:eastAsia="Arial" w:hAnsi="Arial" w:cs="Arial"/>
          <w:lang w:val="en-GB"/>
        </w:rPr>
        <w:t xml:space="preserve"> </w:t>
      </w:r>
      <w:r w:rsidRPr="006D06DA">
        <w:rPr>
          <w:rFonts w:ascii="Arial" w:eastAsia="Arial" w:hAnsi="Arial" w:cs="Arial"/>
          <w:lang w:val="en-GB"/>
        </w:rPr>
        <w:t>discriminating proteins exposed to ‘hypoxia’’ vs. ‘hypoxia + NO-Sulindac’ conditions. n,</w:t>
      </w:r>
      <w:r w:rsidRPr="00E15289">
        <w:rPr>
          <w:rFonts w:ascii="Arial" w:eastAsia="Arial" w:hAnsi="Arial" w:cs="Arial"/>
          <w:lang w:val="en-GB"/>
        </w:rPr>
        <w:t xml:space="preserve"> shown inset, represents the number of identified peptides and, p, the </w:t>
      </w:r>
      <w:proofErr w:type="spellStart"/>
      <w:r w:rsidRPr="00E15289">
        <w:rPr>
          <w:rFonts w:ascii="Arial" w:eastAsia="Arial" w:hAnsi="Arial" w:cs="Arial"/>
          <w:lang w:val="en-GB"/>
        </w:rPr>
        <w:t>Benjamini</w:t>
      </w:r>
      <w:proofErr w:type="spellEnd"/>
      <w:r w:rsidRPr="00E15289">
        <w:rPr>
          <w:rFonts w:ascii="Arial" w:eastAsia="Arial" w:hAnsi="Arial" w:cs="Arial"/>
          <w:lang w:val="en-GB"/>
        </w:rPr>
        <w:t xml:space="preserve"> and Hochberg corrected probability value. RA1L2 = HNRNPA1L2.</w:t>
      </w:r>
    </w:p>
    <w:p w14:paraId="5F963449" w14:textId="77777777" w:rsidR="00556CF0" w:rsidRPr="00E15289" w:rsidRDefault="00556CF0" w:rsidP="00556CF0">
      <w:pPr>
        <w:pStyle w:val="Default"/>
        <w:jc w:val="both"/>
        <w:rPr>
          <w:rFonts w:ascii="Arial" w:eastAsia="Arial" w:hAnsi="Arial" w:cs="Arial"/>
          <w:color w:val="auto"/>
          <w:sz w:val="24"/>
          <w:szCs w:val="24"/>
          <w:lang w:val="en-GB"/>
        </w:rPr>
      </w:pPr>
    </w:p>
    <w:p w14:paraId="2060C8CF" w14:textId="77777777" w:rsidR="00556CF0" w:rsidRPr="00E15289" w:rsidRDefault="00556CF0" w:rsidP="00556CF0">
      <w:pPr>
        <w:pStyle w:val="Default"/>
        <w:jc w:val="both"/>
        <w:rPr>
          <w:rFonts w:ascii="Arial" w:eastAsia="Arial" w:hAnsi="Arial" w:cs="Arial"/>
          <w:color w:val="auto"/>
          <w:sz w:val="24"/>
          <w:szCs w:val="24"/>
          <w:lang w:val="en-GB"/>
        </w:rPr>
      </w:pPr>
    </w:p>
    <w:p w14:paraId="3C048371" w14:textId="77777777" w:rsidR="00556CF0" w:rsidRPr="00E15289" w:rsidRDefault="00556CF0" w:rsidP="00556CF0">
      <w:pPr>
        <w:jc w:val="center"/>
        <w:rPr>
          <w:rFonts w:ascii="Arial" w:eastAsia="Arial" w:hAnsi="Arial" w:cs="Arial"/>
          <w:lang w:val="en-GB" w:eastAsia="en-GB"/>
        </w:rPr>
      </w:pPr>
      <w:r w:rsidRPr="00E15289">
        <w:rPr>
          <w:rFonts w:ascii="Arial" w:eastAsia="Arial" w:hAnsi="Arial" w:cs="Arial"/>
          <w:noProof/>
          <w:lang w:val="de-DE" w:eastAsia="de-DE"/>
        </w:rPr>
        <w:drawing>
          <wp:inline distT="0" distB="0" distL="0" distR="0" wp14:anchorId="14336284" wp14:editId="12571AFA">
            <wp:extent cx="4127500" cy="417639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500" cy="4176395"/>
                    </a:xfrm>
                    <a:prstGeom prst="rect">
                      <a:avLst/>
                    </a:prstGeom>
                    <a:noFill/>
                  </pic:spPr>
                </pic:pic>
              </a:graphicData>
            </a:graphic>
          </wp:inline>
        </w:drawing>
      </w:r>
    </w:p>
    <w:p w14:paraId="0057C5C2" w14:textId="77777777" w:rsidR="00556CF0" w:rsidRPr="00E15289" w:rsidRDefault="00556CF0" w:rsidP="009855E2">
      <w:pPr>
        <w:pStyle w:val="Default"/>
        <w:jc w:val="both"/>
        <w:rPr>
          <w:rFonts w:ascii="Arial" w:eastAsia="Arial" w:hAnsi="Arial" w:cs="Arial"/>
          <w:b/>
          <w:color w:val="auto"/>
          <w:sz w:val="24"/>
          <w:szCs w:val="24"/>
          <w:lang w:val="en-GB"/>
        </w:rPr>
      </w:pPr>
    </w:p>
    <w:p w14:paraId="2A5C5D80" w14:textId="18497446" w:rsidR="00556CF0" w:rsidRPr="00E15289" w:rsidRDefault="00556CF0">
      <w:pPr>
        <w:rPr>
          <w:rFonts w:ascii="Arial" w:eastAsia="Arial" w:hAnsi="Arial" w:cs="Arial"/>
          <w:b/>
          <w:lang w:val="en-GB" w:eastAsia="en-GB"/>
        </w:rPr>
      </w:pPr>
      <w:r w:rsidRPr="00E15289">
        <w:rPr>
          <w:rFonts w:ascii="Arial" w:eastAsia="Arial" w:hAnsi="Arial" w:cs="Arial"/>
          <w:b/>
          <w:lang w:val="en-GB"/>
        </w:rPr>
        <w:br w:type="page"/>
      </w:r>
    </w:p>
    <w:p w14:paraId="6660F963" w14:textId="77777777" w:rsidR="006D06DA" w:rsidRDefault="008D7E2B" w:rsidP="009855E2">
      <w:pPr>
        <w:pStyle w:val="Default"/>
        <w:jc w:val="both"/>
        <w:rPr>
          <w:rFonts w:ascii="Arial" w:eastAsia="Arial" w:hAnsi="Arial" w:cs="Arial"/>
          <w:color w:val="auto"/>
          <w:sz w:val="24"/>
          <w:szCs w:val="24"/>
          <w:lang w:val="en-GB"/>
        </w:rPr>
      </w:pPr>
      <w:r w:rsidRPr="00E15289">
        <w:rPr>
          <w:rFonts w:ascii="Arial" w:eastAsia="Arial" w:hAnsi="Arial" w:cs="Arial"/>
          <w:b/>
          <w:color w:val="auto"/>
          <w:sz w:val="24"/>
          <w:szCs w:val="24"/>
          <w:lang w:val="en-GB"/>
        </w:rPr>
        <w:lastRenderedPageBreak/>
        <w:t xml:space="preserve">Figure </w:t>
      </w:r>
      <w:r w:rsidR="00E25986" w:rsidRPr="00E15289">
        <w:rPr>
          <w:rFonts w:ascii="Arial" w:eastAsia="Arial" w:hAnsi="Arial" w:cs="Arial"/>
          <w:b/>
          <w:color w:val="auto"/>
          <w:sz w:val="24"/>
          <w:szCs w:val="24"/>
          <w:lang w:val="en-GB"/>
        </w:rPr>
        <w:t>7</w:t>
      </w:r>
      <w:r w:rsidRPr="00E15289">
        <w:rPr>
          <w:rFonts w:ascii="Arial" w:eastAsia="Arial" w:hAnsi="Arial" w:cs="Arial"/>
          <w:color w:val="auto"/>
          <w:sz w:val="24"/>
          <w:szCs w:val="24"/>
          <w:lang w:val="en-GB"/>
        </w:rPr>
        <w:t xml:space="preserve">. </w:t>
      </w:r>
      <w:r w:rsidR="004A07A3" w:rsidRPr="00E15289">
        <w:rPr>
          <w:rFonts w:ascii="Arial" w:eastAsia="Arial" w:hAnsi="Arial" w:cs="Arial"/>
          <w:color w:val="auto"/>
          <w:sz w:val="24"/>
          <w:szCs w:val="24"/>
          <w:lang w:val="en-GB"/>
        </w:rPr>
        <w:t xml:space="preserve">Normalised abundances (parts-per-million) of the discriminating proteins </w:t>
      </w:r>
      <w:r w:rsidR="004A07A3" w:rsidRPr="006D06DA">
        <w:rPr>
          <w:rFonts w:ascii="Arial" w:eastAsia="Arial" w:hAnsi="Arial" w:cs="Arial"/>
          <w:color w:val="auto"/>
          <w:sz w:val="24"/>
          <w:szCs w:val="24"/>
          <w:lang w:val="en-GB"/>
        </w:rPr>
        <w:t>quantitively identified by univariate</w:t>
      </w:r>
      <w:r w:rsidR="002F119C" w:rsidRPr="006D06DA">
        <w:rPr>
          <w:rFonts w:ascii="Arial" w:eastAsia="Arial" w:hAnsi="Arial" w:cs="Arial"/>
          <w:color w:val="auto"/>
          <w:sz w:val="24"/>
          <w:szCs w:val="24"/>
          <w:lang w:val="en-GB"/>
        </w:rPr>
        <w:t xml:space="preserve">/derived hypothesis driven </w:t>
      </w:r>
      <w:r w:rsidR="004A07A3" w:rsidRPr="006D06DA">
        <w:rPr>
          <w:rFonts w:ascii="Arial" w:eastAsia="Arial" w:hAnsi="Arial" w:cs="Arial"/>
          <w:color w:val="auto"/>
          <w:sz w:val="24"/>
          <w:szCs w:val="24"/>
          <w:lang w:val="en-GB"/>
        </w:rPr>
        <w:t>‘hypoxic vs. ‘hypoxia +</w:t>
      </w:r>
      <w:r w:rsidR="004A07A3" w:rsidRPr="00E15289">
        <w:rPr>
          <w:rFonts w:ascii="Arial" w:eastAsia="Arial" w:hAnsi="Arial" w:cs="Arial"/>
          <w:color w:val="auto"/>
          <w:sz w:val="24"/>
          <w:szCs w:val="24"/>
          <w:lang w:val="en-GB"/>
        </w:rPr>
        <w:t xml:space="preserve"> </w:t>
      </w:r>
      <w:r w:rsidR="00421507" w:rsidRPr="006D06DA">
        <w:rPr>
          <w:rFonts w:ascii="Arial" w:eastAsia="Arial" w:hAnsi="Arial" w:cs="Arial"/>
          <w:color w:val="auto"/>
          <w:sz w:val="24"/>
          <w:szCs w:val="24"/>
          <w:lang w:val="en-GB"/>
        </w:rPr>
        <w:t>Sulindac</w:t>
      </w:r>
      <w:r w:rsidR="004A07A3" w:rsidRPr="006D06DA">
        <w:rPr>
          <w:rFonts w:ascii="Arial" w:eastAsia="Arial" w:hAnsi="Arial" w:cs="Arial"/>
          <w:color w:val="auto"/>
          <w:sz w:val="24"/>
          <w:szCs w:val="24"/>
          <w:lang w:val="en-GB"/>
        </w:rPr>
        <w:t xml:space="preserve">’ and </w:t>
      </w:r>
      <w:r w:rsidR="002F119C" w:rsidRPr="006D06DA">
        <w:rPr>
          <w:rFonts w:ascii="Arial" w:eastAsia="Arial" w:hAnsi="Arial" w:cs="Arial"/>
          <w:color w:val="auto"/>
          <w:sz w:val="24"/>
          <w:szCs w:val="24"/>
          <w:lang w:val="en-GB"/>
        </w:rPr>
        <w:t xml:space="preserve">‘hypoxic vs. ‘hypoxia + </w:t>
      </w:r>
      <w:r w:rsidR="007C29FD" w:rsidRPr="006D06DA">
        <w:rPr>
          <w:rFonts w:ascii="Arial" w:eastAsia="Arial" w:hAnsi="Arial" w:cs="Arial"/>
          <w:color w:val="auto"/>
          <w:sz w:val="24"/>
          <w:szCs w:val="24"/>
          <w:lang w:val="en-GB"/>
        </w:rPr>
        <w:t>NO-Su</w:t>
      </w:r>
      <w:r w:rsidR="002F119C" w:rsidRPr="006D06DA">
        <w:rPr>
          <w:rFonts w:ascii="Arial" w:eastAsia="Arial" w:hAnsi="Arial" w:cs="Arial"/>
          <w:color w:val="auto"/>
          <w:sz w:val="24"/>
          <w:szCs w:val="24"/>
          <w:lang w:val="en-GB"/>
        </w:rPr>
        <w:t xml:space="preserve">lindac’ </w:t>
      </w:r>
      <w:r w:rsidR="004A07A3" w:rsidRPr="006D06DA">
        <w:rPr>
          <w:rFonts w:ascii="Arial" w:eastAsia="Arial" w:hAnsi="Arial" w:cs="Arial"/>
          <w:color w:val="auto"/>
          <w:sz w:val="24"/>
          <w:szCs w:val="24"/>
          <w:lang w:val="en-GB"/>
        </w:rPr>
        <w:t>analys</w:t>
      </w:r>
      <w:r w:rsidR="002F119C" w:rsidRPr="006D06DA">
        <w:rPr>
          <w:rFonts w:ascii="Arial" w:eastAsia="Arial" w:hAnsi="Arial" w:cs="Arial"/>
          <w:color w:val="auto"/>
          <w:sz w:val="24"/>
          <w:szCs w:val="24"/>
          <w:lang w:val="en-GB"/>
        </w:rPr>
        <w:t>e</w:t>
      </w:r>
      <w:r w:rsidR="004A07A3" w:rsidRPr="006D06DA">
        <w:rPr>
          <w:rFonts w:ascii="Arial" w:eastAsia="Arial" w:hAnsi="Arial" w:cs="Arial"/>
          <w:color w:val="auto"/>
          <w:sz w:val="24"/>
          <w:szCs w:val="24"/>
          <w:lang w:val="en-GB"/>
        </w:rPr>
        <w:t xml:space="preserve">s </w:t>
      </w:r>
      <w:r w:rsidR="002F119C" w:rsidRPr="006D06DA">
        <w:rPr>
          <w:rFonts w:ascii="Arial" w:eastAsia="Arial" w:hAnsi="Arial" w:cs="Arial"/>
          <w:color w:val="auto"/>
          <w:sz w:val="24"/>
          <w:szCs w:val="24"/>
          <w:lang w:val="en-GB"/>
        </w:rPr>
        <w:t xml:space="preserve">(Table 2) </w:t>
      </w:r>
      <w:r w:rsidR="004A07A3" w:rsidRPr="006D06DA">
        <w:rPr>
          <w:rFonts w:ascii="Arial" w:eastAsia="Arial" w:hAnsi="Arial" w:cs="Arial"/>
          <w:color w:val="auto"/>
          <w:sz w:val="24"/>
          <w:szCs w:val="24"/>
          <w:lang w:val="en-GB"/>
        </w:rPr>
        <w:t>under ‘</w:t>
      </w:r>
      <w:proofErr w:type="spellStart"/>
      <w:r w:rsidR="004A07A3" w:rsidRPr="006D06DA">
        <w:rPr>
          <w:rFonts w:ascii="Arial" w:eastAsia="Arial" w:hAnsi="Arial" w:cs="Arial"/>
          <w:color w:val="auto"/>
          <w:sz w:val="24"/>
          <w:szCs w:val="24"/>
          <w:lang w:val="en-GB"/>
        </w:rPr>
        <w:t>normoxic</w:t>
      </w:r>
      <w:proofErr w:type="spellEnd"/>
      <w:r w:rsidR="004A07A3" w:rsidRPr="006D06DA">
        <w:rPr>
          <w:rFonts w:ascii="Arial" w:eastAsia="Arial" w:hAnsi="Arial" w:cs="Arial"/>
          <w:color w:val="auto"/>
          <w:sz w:val="24"/>
          <w:szCs w:val="24"/>
          <w:lang w:val="en-GB"/>
        </w:rPr>
        <w:t xml:space="preserve">’, ‘hypoxic’, ‘hypoxic + </w:t>
      </w:r>
      <w:r w:rsidR="00421507" w:rsidRPr="006D06DA">
        <w:rPr>
          <w:rFonts w:ascii="Arial" w:eastAsia="Arial" w:hAnsi="Arial" w:cs="Arial"/>
          <w:color w:val="auto"/>
          <w:sz w:val="24"/>
          <w:szCs w:val="24"/>
          <w:lang w:val="en-GB"/>
        </w:rPr>
        <w:t>Sulindac</w:t>
      </w:r>
      <w:r w:rsidR="004A07A3" w:rsidRPr="006D06DA">
        <w:rPr>
          <w:rFonts w:ascii="Arial" w:eastAsia="Arial" w:hAnsi="Arial" w:cs="Arial"/>
          <w:color w:val="auto"/>
          <w:sz w:val="24"/>
          <w:szCs w:val="24"/>
          <w:lang w:val="en-GB"/>
        </w:rPr>
        <w:t xml:space="preserve">’, and ‘hypoxic + </w:t>
      </w:r>
      <w:r w:rsidR="007C29FD" w:rsidRPr="006D06DA">
        <w:rPr>
          <w:rFonts w:ascii="Arial" w:eastAsia="Arial" w:hAnsi="Arial" w:cs="Arial"/>
          <w:color w:val="auto"/>
          <w:sz w:val="24"/>
          <w:szCs w:val="24"/>
          <w:lang w:val="en-GB"/>
        </w:rPr>
        <w:t>NO-Su</w:t>
      </w:r>
      <w:r w:rsidR="004A07A3" w:rsidRPr="006D06DA">
        <w:rPr>
          <w:rFonts w:ascii="Arial" w:eastAsia="Arial" w:hAnsi="Arial" w:cs="Arial"/>
          <w:color w:val="auto"/>
          <w:sz w:val="24"/>
          <w:szCs w:val="24"/>
          <w:lang w:val="en-GB"/>
        </w:rPr>
        <w:t>lindac’ conditions.</w:t>
      </w:r>
    </w:p>
    <w:p w14:paraId="12E04D08" w14:textId="314C3404" w:rsidR="004A07A3" w:rsidRPr="006D06DA" w:rsidRDefault="002F119C" w:rsidP="009855E2">
      <w:pPr>
        <w:pStyle w:val="Default"/>
        <w:jc w:val="both"/>
        <w:rPr>
          <w:rFonts w:ascii="Arial" w:eastAsia="Arial" w:hAnsi="Arial" w:cs="Arial"/>
          <w:color w:val="auto"/>
          <w:sz w:val="24"/>
          <w:szCs w:val="24"/>
          <w:lang w:val="en-GB"/>
        </w:rPr>
      </w:pPr>
      <w:r w:rsidRPr="006D06DA">
        <w:rPr>
          <w:rFonts w:ascii="Arial" w:eastAsia="Arial" w:hAnsi="Arial" w:cs="Arial"/>
          <w:color w:val="auto"/>
          <w:sz w:val="24"/>
          <w:szCs w:val="24"/>
          <w:lang w:val="en-GB"/>
        </w:rPr>
        <w:t>Blue</w:t>
      </w:r>
      <w:r w:rsidR="004A07A3" w:rsidRPr="006D06DA">
        <w:rPr>
          <w:rFonts w:ascii="Arial" w:eastAsia="Arial" w:hAnsi="Arial" w:cs="Arial"/>
          <w:color w:val="auto"/>
          <w:sz w:val="24"/>
          <w:szCs w:val="24"/>
          <w:lang w:val="en-GB"/>
        </w:rPr>
        <w:t xml:space="preserve"> = </w:t>
      </w:r>
      <w:r w:rsidR="002A6030" w:rsidRPr="006D06DA">
        <w:rPr>
          <w:rFonts w:ascii="Arial" w:eastAsia="Arial" w:hAnsi="Arial" w:cs="Arial"/>
          <w:color w:val="auto"/>
          <w:sz w:val="24"/>
          <w:szCs w:val="24"/>
          <w:lang w:val="en-GB"/>
        </w:rPr>
        <w:t xml:space="preserve">quantified proteins </w:t>
      </w:r>
      <w:r w:rsidRPr="006D06DA">
        <w:rPr>
          <w:rFonts w:ascii="Arial" w:eastAsia="Arial" w:hAnsi="Arial" w:cs="Arial"/>
          <w:color w:val="auto"/>
          <w:sz w:val="24"/>
          <w:szCs w:val="24"/>
          <w:lang w:val="en-GB"/>
        </w:rPr>
        <w:t xml:space="preserve">originating from ‘hypoxic vs. ‘hypoxia + </w:t>
      </w:r>
      <w:r w:rsidR="007C29FD" w:rsidRPr="006D06DA">
        <w:rPr>
          <w:rFonts w:ascii="Arial" w:eastAsia="Arial" w:hAnsi="Arial" w:cs="Arial"/>
          <w:color w:val="auto"/>
          <w:sz w:val="24"/>
          <w:szCs w:val="24"/>
          <w:lang w:val="en-GB"/>
        </w:rPr>
        <w:t>NO-Su</w:t>
      </w:r>
      <w:r w:rsidRPr="006D06DA">
        <w:rPr>
          <w:rFonts w:ascii="Arial" w:eastAsia="Arial" w:hAnsi="Arial" w:cs="Arial"/>
          <w:color w:val="auto"/>
          <w:sz w:val="24"/>
          <w:szCs w:val="24"/>
          <w:lang w:val="en-GB"/>
        </w:rPr>
        <w:t>lindac</w:t>
      </w:r>
      <w:r w:rsidR="009855E2" w:rsidRPr="006D06DA">
        <w:rPr>
          <w:rFonts w:ascii="Arial" w:eastAsia="Arial" w:hAnsi="Arial" w:cs="Arial"/>
          <w:color w:val="auto"/>
          <w:sz w:val="24"/>
          <w:szCs w:val="24"/>
          <w:lang w:val="en-GB"/>
        </w:rPr>
        <w:t xml:space="preserve"> analysis</w:t>
      </w:r>
      <w:r w:rsidRPr="006D06DA">
        <w:rPr>
          <w:rFonts w:ascii="Arial" w:eastAsia="Arial" w:hAnsi="Arial" w:cs="Arial"/>
          <w:color w:val="auto"/>
          <w:sz w:val="24"/>
          <w:szCs w:val="24"/>
          <w:lang w:val="en-GB"/>
        </w:rPr>
        <w:t xml:space="preserve">’; </w:t>
      </w:r>
      <w:r w:rsidR="009855E2" w:rsidRPr="006D06DA">
        <w:rPr>
          <w:rFonts w:ascii="Arial" w:eastAsia="Arial" w:hAnsi="Arial" w:cs="Arial"/>
          <w:color w:val="auto"/>
          <w:sz w:val="24"/>
          <w:szCs w:val="24"/>
          <w:lang w:val="en-GB"/>
        </w:rPr>
        <w:t>o</w:t>
      </w:r>
      <w:r w:rsidRPr="006D06DA">
        <w:rPr>
          <w:rFonts w:ascii="Arial" w:eastAsia="Arial" w:hAnsi="Arial" w:cs="Arial"/>
          <w:color w:val="auto"/>
          <w:sz w:val="24"/>
          <w:szCs w:val="24"/>
          <w:lang w:val="en-GB"/>
        </w:rPr>
        <w:t>range/</w:t>
      </w:r>
      <w:r w:rsidR="009855E2" w:rsidRPr="006D06DA">
        <w:rPr>
          <w:rFonts w:ascii="Arial" w:eastAsia="Arial" w:hAnsi="Arial" w:cs="Arial"/>
          <w:color w:val="auto"/>
          <w:sz w:val="24"/>
          <w:szCs w:val="24"/>
          <w:lang w:val="en-GB"/>
        </w:rPr>
        <w:t>b</w:t>
      </w:r>
      <w:r w:rsidRPr="006D06DA">
        <w:rPr>
          <w:rFonts w:ascii="Arial" w:eastAsia="Arial" w:hAnsi="Arial" w:cs="Arial"/>
          <w:color w:val="auto"/>
          <w:sz w:val="24"/>
          <w:szCs w:val="24"/>
          <w:lang w:val="en-GB"/>
        </w:rPr>
        <w:t xml:space="preserve">rown = </w:t>
      </w:r>
      <w:r w:rsidR="002A6030" w:rsidRPr="006D06DA">
        <w:rPr>
          <w:rFonts w:ascii="Arial" w:eastAsia="Arial" w:hAnsi="Arial" w:cs="Arial"/>
          <w:color w:val="auto"/>
          <w:sz w:val="24"/>
          <w:szCs w:val="24"/>
          <w:lang w:val="en-GB"/>
        </w:rPr>
        <w:t xml:space="preserve">quantified proteins </w:t>
      </w:r>
      <w:r w:rsidRPr="006D06DA">
        <w:rPr>
          <w:rFonts w:ascii="Arial" w:eastAsia="Arial" w:hAnsi="Arial" w:cs="Arial"/>
          <w:color w:val="auto"/>
          <w:sz w:val="24"/>
          <w:szCs w:val="24"/>
          <w:lang w:val="en-GB"/>
        </w:rPr>
        <w:t xml:space="preserve">originating from ‘hypoxic vs. ‘hypoxia + </w:t>
      </w:r>
      <w:r w:rsidR="00421507" w:rsidRPr="006D06DA">
        <w:rPr>
          <w:rFonts w:ascii="Arial" w:eastAsia="Arial" w:hAnsi="Arial" w:cs="Arial"/>
          <w:color w:val="auto"/>
          <w:sz w:val="24"/>
          <w:szCs w:val="24"/>
          <w:lang w:val="en-GB"/>
        </w:rPr>
        <w:t>Sulindac</w:t>
      </w:r>
      <w:r w:rsidRPr="006D06DA">
        <w:rPr>
          <w:rFonts w:ascii="Arial" w:eastAsia="Arial" w:hAnsi="Arial" w:cs="Arial"/>
          <w:color w:val="auto"/>
          <w:sz w:val="24"/>
          <w:szCs w:val="24"/>
          <w:lang w:val="en-GB"/>
        </w:rPr>
        <w:t>’</w:t>
      </w:r>
      <w:r w:rsidR="009855E2" w:rsidRPr="006D06DA">
        <w:rPr>
          <w:rFonts w:ascii="Arial" w:eastAsia="Arial" w:hAnsi="Arial" w:cs="Arial"/>
          <w:color w:val="auto"/>
          <w:sz w:val="24"/>
          <w:szCs w:val="24"/>
          <w:lang w:val="en-GB"/>
        </w:rPr>
        <w:t xml:space="preserve"> analysis</w:t>
      </w:r>
      <w:r w:rsidRPr="006D06DA">
        <w:rPr>
          <w:rFonts w:ascii="Arial" w:eastAsia="Arial" w:hAnsi="Arial" w:cs="Arial"/>
          <w:color w:val="auto"/>
          <w:sz w:val="24"/>
          <w:szCs w:val="24"/>
          <w:lang w:val="en-GB"/>
        </w:rPr>
        <w:t>.</w:t>
      </w:r>
    </w:p>
    <w:p w14:paraId="21694149" w14:textId="0077E6DD" w:rsidR="008D7E2B" w:rsidRPr="00E15289" w:rsidRDefault="008D7E2B" w:rsidP="008D7E2B">
      <w:pPr>
        <w:pStyle w:val="Default"/>
        <w:spacing w:afterLines="60" w:after="144" w:line="360" w:lineRule="auto"/>
        <w:rPr>
          <w:rFonts w:ascii="Arial" w:eastAsia="Arial" w:hAnsi="Arial" w:cs="Arial"/>
          <w:color w:val="auto"/>
          <w:sz w:val="24"/>
          <w:szCs w:val="24"/>
          <w:lang w:val="en-GB"/>
        </w:rPr>
      </w:pPr>
    </w:p>
    <w:p w14:paraId="5DFA3FDF" w14:textId="5FB17839" w:rsidR="008D7E2B" w:rsidRPr="00E15289" w:rsidRDefault="002B2D7C" w:rsidP="00F55296">
      <w:pPr>
        <w:pStyle w:val="Default"/>
        <w:spacing w:afterLines="60" w:after="144" w:line="360" w:lineRule="auto"/>
        <w:jc w:val="center"/>
        <w:rPr>
          <w:rFonts w:ascii="Arial" w:eastAsia="Arial" w:hAnsi="Arial" w:cs="Arial"/>
          <w:color w:val="auto"/>
          <w:sz w:val="24"/>
          <w:szCs w:val="24"/>
          <w:lang w:val="en-GB"/>
        </w:rPr>
      </w:pPr>
      <w:r w:rsidRPr="00E15289">
        <w:rPr>
          <w:rFonts w:ascii="Arial" w:eastAsia="Arial" w:hAnsi="Arial" w:cs="Arial"/>
          <w:noProof/>
          <w:color w:val="auto"/>
          <w:sz w:val="24"/>
          <w:szCs w:val="24"/>
          <w:lang w:val="de-DE" w:eastAsia="de-DE"/>
        </w:rPr>
        <w:drawing>
          <wp:inline distT="0" distB="0" distL="0" distR="0" wp14:anchorId="365E0A69" wp14:editId="50C2209B">
            <wp:extent cx="4497143" cy="6000000"/>
            <wp:effectExtent l="0" t="0" r="0" b="1270"/>
            <wp:docPr id="7" name="Picture 1">
              <a:extLst xmlns:a="http://schemas.openxmlformats.org/drawingml/2006/main">
                <a:ext uri="{FF2B5EF4-FFF2-40B4-BE49-F238E27FC236}">
                  <a16:creationId xmlns:a16="http://schemas.microsoft.com/office/drawing/2014/main" id="{B1E06F08-E1D3-4767-ABC7-BD63F964E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1E06F08-E1D3-4767-ABC7-BD63F964E885}"/>
                        </a:ext>
                      </a:extLst>
                    </pic:cNvPr>
                    <pic:cNvPicPr>
                      <a:picLocks noChangeAspect="1"/>
                    </pic:cNvPicPr>
                  </pic:nvPicPr>
                  <pic:blipFill>
                    <a:blip r:embed="rId16"/>
                    <a:stretch>
                      <a:fillRect/>
                    </a:stretch>
                  </pic:blipFill>
                  <pic:spPr>
                    <a:xfrm>
                      <a:off x="0" y="0"/>
                      <a:ext cx="4497143" cy="6000000"/>
                    </a:xfrm>
                    <a:prstGeom prst="rect">
                      <a:avLst/>
                    </a:prstGeom>
                  </pic:spPr>
                </pic:pic>
              </a:graphicData>
            </a:graphic>
          </wp:inline>
        </w:drawing>
      </w:r>
    </w:p>
    <w:p w14:paraId="4CA422D2" w14:textId="77777777" w:rsidR="008D7E2B" w:rsidRPr="00E15289" w:rsidRDefault="008D7E2B" w:rsidP="00F137CD">
      <w:pPr>
        <w:jc w:val="both"/>
        <w:rPr>
          <w:rFonts w:ascii="Arial" w:eastAsia="Arial" w:hAnsi="Arial" w:cs="Arial"/>
          <w:b/>
          <w:lang w:val="en-GB"/>
        </w:rPr>
      </w:pPr>
    </w:p>
    <w:p w14:paraId="4683FD55" w14:textId="77777777" w:rsidR="008D7E2B" w:rsidRPr="00E15289" w:rsidRDefault="008D7E2B" w:rsidP="00F137CD">
      <w:pPr>
        <w:jc w:val="both"/>
        <w:rPr>
          <w:rFonts w:ascii="Arial" w:eastAsia="Arial" w:hAnsi="Arial" w:cs="Arial"/>
          <w:b/>
          <w:lang w:val="en-GB"/>
        </w:rPr>
      </w:pPr>
    </w:p>
    <w:p w14:paraId="527303E5" w14:textId="77777777" w:rsidR="008D7E2B" w:rsidRPr="00E15289" w:rsidRDefault="008D7E2B" w:rsidP="00F137CD">
      <w:pPr>
        <w:jc w:val="both"/>
        <w:rPr>
          <w:rFonts w:ascii="Arial" w:eastAsia="Arial" w:hAnsi="Arial" w:cs="Arial"/>
          <w:b/>
          <w:lang w:val="en-GB"/>
        </w:rPr>
      </w:pPr>
    </w:p>
    <w:p w14:paraId="100FDECA" w14:textId="695BDBBC" w:rsidR="0078620F" w:rsidRPr="00E15289" w:rsidRDefault="0078620F" w:rsidP="00556CF0">
      <w:pPr>
        <w:jc w:val="both"/>
        <w:rPr>
          <w:rFonts w:ascii="Arial" w:eastAsia="Arial" w:hAnsi="Arial" w:cs="Arial"/>
          <w:lang w:val="en-GB"/>
        </w:rPr>
      </w:pPr>
    </w:p>
    <w:sectPr w:rsidR="0078620F" w:rsidRPr="00E15289" w:rsidSect="0055283A">
      <w:headerReference w:type="default"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FD01E" w14:textId="77777777" w:rsidR="00A275C8" w:rsidRDefault="00A275C8" w:rsidP="0055283A">
      <w:r>
        <w:separator/>
      </w:r>
    </w:p>
  </w:endnote>
  <w:endnote w:type="continuationSeparator" w:id="0">
    <w:p w14:paraId="55507CE2" w14:textId="77777777" w:rsidR="00A275C8" w:rsidRDefault="00A275C8" w:rsidP="00552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F6574" w14:textId="77777777" w:rsidR="00F22678" w:rsidRDefault="00F226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47F05" w14:textId="77777777" w:rsidR="00A275C8" w:rsidRDefault="00A275C8" w:rsidP="0055283A">
      <w:r>
        <w:separator/>
      </w:r>
    </w:p>
  </w:footnote>
  <w:footnote w:type="continuationSeparator" w:id="0">
    <w:p w14:paraId="470BDBC6" w14:textId="77777777" w:rsidR="00A275C8" w:rsidRDefault="00A275C8" w:rsidP="00552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ACEBD" w14:textId="3753206E" w:rsidR="00F22678" w:rsidRPr="003F1691" w:rsidRDefault="00F22678" w:rsidP="003F1691">
    <w:pPr>
      <w:pStyle w:val="Header"/>
      <w:jc w:val="center"/>
      <w:rPr>
        <w:rFonts w:ascii="Arial" w:hAnsi="Arial" w:cs="Arial"/>
        <w:sz w:val="22"/>
        <w:szCs w:val="22"/>
      </w:rPr>
    </w:pPr>
    <w:r w:rsidRPr="003F1691">
      <w:rPr>
        <w:rFonts w:ascii="Arial" w:hAnsi="Arial" w:cs="Arial"/>
        <w:sz w:val="22"/>
        <w:szCs w:val="22"/>
      </w:rPr>
      <w:t xml:space="preserve">- </w:t>
    </w:r>
    <w:sdt>
      <w:sdtPr>
        <w:rPr>
          <w:rFonts w:ascii="Arial" w:hAnsi="Arial" w:cs="Arial"/>
          <w:sz w:val="22"/>
          <w:szCs w:val="22"/>
        </w:rPr>
        <w:id w:val="233743517"/>
        <w:docPartObj>
          <w:docPartGallery w:val="Page Numbers (Top of Page)"/>
          <w:docPartUnique/>
        </w:docPartObj>
      </w:sdtPr>
      <w:sdtEndPr>
        <w:rPr>
          <w:noProof/>
        </w:rPr>
      </w:sdtEndPr>
      <w:sdtContent>
        <w:r w:rsidRPr="003F1691">
          <w:rPr>
            <w:rFonts w:ascii="Arial" w:hAnsi="Arial" w:cs="Arial"/>
            <w:sz w:val="22"/>
            <w:szCs w:val="22"/>
          </w:rPr>
          <w:fldChar w:fldCharType="begin"/>
        </w:r>
        <w:r w:rsidRPr="003F1691">
          <w:rPr>
            <w:rFonts w:ascii="Arial" w:hAnsi="Arial" w:cs="Arial"/>
            <w:sz w:val="22"/>
            <w:szCs w:val="22"/>
          </w:rPr>
          <w:instrText xml:space="preserve"> PAGE   \* MERGEFORMAT </w:instrText>
        </w:r>
        <w:r w:rsidRPr="003F1691">
          <w:rPr>
            <w:rFonts w:ascii="Arial" w:hAnsi="Arial" w:cs="Arial"/>
            <w:sz w:val="22"/>
            <w:szCs w:val="22"/>
          </w:rPr>
          <w:fldChar w:fldCharType="separate"/>
        </w:r>
        <w:r w:rsidR="00576BC6">
          <w:rPr>
            <w:rFonts w:ascii="Arial" w:hAnsi="Arial" w:cs="Arial"/>
            <w:noProof/>
            <w:sz w:val="22"/>
            <w:szCs w:val="22"/>
          </w:rPr>
          <w:t>21</w:t>
        </w:r>
        <w:r w:rsidRPr="003F1691">
          <w:rPr>
            <w:rFonts w:ascii="Arial" w:hAnsi="Arial" w:cs="Arial"/>
            <w:noProof/>
            <w:sz w:val="22"/>
            <w:szCs w:val="22"/>
          </w:rPr>
          <w:fldChar w:fldCharType="end"/>
        </w:r>
        <w:r w:rsidRPr="003F1691">
          <w:rPr>
            <w:rFonts w:ascii="Arial" w:hAnsi="Arial" w:cs="Arial"/>
            <w:noProof/>
            <w:sz w:val="22"/>
            <w:szCs w:val="22"/>
          </w:rPr>
          <w:t xml:space="preserve"> - </w:t>
        </w:r>
      </w:sdtContent>
    </w:sdt>
  </w:p>
  <w:p w14:paraId="01E79E55" w14:textId="77777777" w:rsidR="00F22678" w:rsidRDefault="00F22678" w:rsidP="003F169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CB566" w14:textId="3FE7FEAD" w:rsidR="00F22678" w:rsidRPr="00DD39F7" w:rsidRDefault="00F22678" w:rsidP="00DD39F7">
    <w:pPr>
      <w:pStyle w:val="Header"/>
      <w:jc w:val="center"/>
      <w:rPr>
        <w:rFonts w:ascii="Arial" w:hAnsi="Arial" w:cs="Arial"/>
        <w:sz w:val="22"/>
      </w:rPr>
    </w:pPr>
    <w:r w:rsidRPr="00DD39F7">
      <w:rPr>
        <w:rFonts w:ascii="Arial" w:hAnsi="Arial" w:cs="Arial"/>
        <w:sz w:val="22"/>
      </w:rPr>
      <w:t xml:space="preserve">- </w:t>
    </w:r>
    <w:sdt>
      <w:sdtPr>
        <w:rPr>
          <w:rFonts w:ascii="Arial" w:hAnsi="Arial" w:cs="Arial"/>
          <w:sz w:val="22"/>
        </w:rPr>
        <w:id w:val="-710423428"/>
        <w:docPartObj>
          <w:docPartGallery w:val="Page Numbers (Top of Page)"/>
          <w:docPartUnique/>
        </w:docPartObj>
      </w:sdtPr>
      <w:sdtEndPr>
        <w:rPr>
          <w:noProof/>
        </w:rPr>
      </w:sdtEndPr>
      <w:sdtContent>
        <w:r w:rsidRPr="00DD39F7">
          <w:rPr>
            <w:rFonts w:ascii="Arial" w:hAnsi="Arial" w:cs="Arial"/>
            <w:sz w:val="22"/>
          </w:rPr>
          <w:fldChar w:fldCharType="begin"/>
        </w:r>
        <w:r w:rsidRPr="00DD39F7">
          <w:rPr>
            <w:rFonts w:ascii="Arial" w:hAnsi="Arial" w:cs="Arial"/>
            <w:sz w:val="22"/>
          </w:rPr>
          <w:instrText xml:space="preserve"> PAGE   \* MERGEFORMAT </w:instrText>
        </w:r>
        <w:r w:rsidRPr="00DD39F7">
          <w:rPr>
            <w:rFonts w:ascii="Arial" w:hAnsi="Arial" w:cs="Arial"/>
            <w:sz w:val="22"/>
          </w:rPr>
          <w:fldChar w:fldCharType="separate"/>
        </w:r>
        <w:r w:rsidR="009F349D">
          <w:rPr>
            <w:rFonts w:ascii="Arial" w:hAnsi="Arial" w:cs="Arial"/>
            <w:noProof/>
            <w:sz w:val="22"/>
          </w:rPr>
          <w:t>29</w:t>
        </w:r>
        <w:r w:rsidRPr="00DD39F7">
          <w:rPr>
            <w:rFonts w:ascii="Arial" w:hAnsi="Arial" w:cs="Arial"/>
            <w:noProof/>
            <w:sz w:val="22"/>
          </w:rPr>
          <w:fldChar w:fldCharType="end"/>
        </w:r>
        <w:r w:rsidRPr="00DD39F7">
          <w:rPr>
            <w:rFonts w:ascii="Arial" w:hAnsi="Arial" w:cs="Arial"/>
            <w:noProof/>
            <w:sz w:val="22"/>
          </w:rPr>
          <w:t xml:space="preserve"> -</w:t>
        </w:r>
      </w:sdtContent>
    </w:sdt>
  </w:p>
  <w:p w14:paraId="38319B40" w14:textId="77777777" w:rsidR="00F22678" w:rsidRPr="00DD39F7" w:rsidRDefault="00F22678" w:rsidP="00DD39F7">
    <w:pPr>
      <w:jc w:val="center"/>
      <w:rPr>
        <w:rFonts w:ascii="Arial" w:hAnsi="Arial" w:cs="Arial"/>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83A"/>
    <w:rsid w:val="00003E77"/>
    <w:rsid w:val="000111C4"/>
    <w:rsid w:val="00011944"/>
    <w:rsid w:val="00012B8A"/>
    <w:rsid w:val="00017EEB"/>
    <w:rsid w:val="00022263"/>
    <w:rsid w:val="00023BA6"/>
    <w:rsid w:val="00025EB7"/>
    <w:rsid w:val="0002791F"/>
    <w:rsid w:val="0003130C"/>
    <w:rsid w:val="000607D2"/>
    <w:rsid w:val="00065F5C"/>
    <w:rsid w:val="00073597"/>
    <w:rsid w:val="00095F20"/>
    <w:rsid w:val="000B550B"/>
    <w:rsid w:val="000B5A66"/>
    <w:rsid w:val="000B7ECC"/>
    <w:rsid w:val="000C41F3"/>
    <w:rsid w:val="000C4DD0"/>
    <w:rsid w:val="000D1D43"/>
    <w:rsid w:val="000D62F6"/>
    <w:rsid w:val="000E2DE1"/>
    <w:rsid w:val="000E4B75"/>
    <w:rsid w:val="000E74C7"/>
    <w:rsid w:val="000F1EC8"/>
    <w:rsid w:val="000F2E84"/>
    <w:rsid w:val="000F6AAB"/>
    <w:rsid w:val="00102005"/>
    <w:rsid w:val="001130FA"/>
    <w:rsid w:val="00115CC7"/>
    <w:rsid w:val="00117D10"/>
    <w:rsid w:val="0012118A"/>
    <w:rsid w:val="0012472D"/>
    <w:rsid w:val="001267C9"/>
    <w:rsid w:val="00131269"/>
    <w:rsid w:val="0013417C"/>
    <w:rsid w:val="00150F79"/>
    <w:rsid w:val="0015184F"/>
    <w:rsid w:val="00162A40"/>
    <w:rsid w:val="00162D48"/>
    <w:rsid w:val="00166858"/>
    <w:rsid w:val="001668BE"/>
    <w:rsid w:val="001751C1"/>
    <w:rsid w:val="00186F82"/>
    <w:rsid w:val="001909F4"/>
    <w:rsid w:val="00191718"/>
    <w:rsid w:val="00194FCC"/>
    <w:rsid w:val="001A339A"/>
    <w:rsid w:val="001A5D16"/>
    <w:rsid w:val="001B43A4"/>
    <w:rsid w:val="001C7088"/>
    <w:rsid w:val="001C7E90"/>
    <w:rsid w:val="001D192A"/>
    <w:rsid w:val="001D1A9A"/>
    <w:rsid w:val="001D5222"/>
    <w:rsid w:val="001E2D25"/>
    <w:rsid w:val="001E7898"/>
    <w:rsid w:val="001F3998"/>
    <w:rsid w:val="001F6F3C"/>
    <w:rsid w:val="001F7F40"/>
    <w:rsid w:val="00200E43"/>
    <w:rsid w:val="002075E6"/>
    <w:rsid w:val="00210FFE"/>
    <w:rsid w:val="0021204C"/>
    <w:rsid w:val="00216359"/>
    <w:rsid w:val="00220503"/>
    <w:rsid w:val="00223E83"/>
    <w:rsid w:val="0022795C"/>
    <w:rsid w:val="0023096D"/>
    <w:rsid w:val="00241CFF"/>
    <w:rsid w:val="0025140D"/>
    <w:rsid w:val="002517EF"/>
    <w:rsid w:val="00270D5A"/>
    <w:rsid w:val="00270EFF"/>
    <w:rsid w:val="002775CB"/>
    <w:rsid w:val="00282F44"/>
    <w:rsid w:val="00286C28"/>
    <w:rsid w:val="002929A2"/>
    <w:rsid w:val="00293E55"/>
    <w:rsid w:val="0029626D"/>
    <w:rsid w:val="002A13D6"/>
    <w:rsid w:val="002A6030"/>
    <w:rsid w:val="002A6DEB"/>
    <w:rsid w:val="002B28DA"/>
    <w:rsid w:val="002B2D7C"/>
    <w:rsid w:val="002B48EE"/>
    <w:rsid w:val="002B4CBF"/>
    <w:rsid w:val="002C490C"/>
    <w:rsid w:val="002E08E1"/>
    <w:rsid w:val="002E599C"/>
    <w:rsid w:val="002E7862"/>
    <w:rsid w:val="002F00FA"/>
    <w:rsid w:val="002F10BE"/>
    <w:rsid w:val="002F119C"/>
    <w:rsid w:val="002F2AFF"/>
    <w:rsid w:val="002F3FE4"/>
    <w:rsid w:val="003059AD"/>
    <w:rsid w:val="00307E9A"/>
    <w:rsid w:val="00310DB9"/>
    <w:rsid w:val="0031120F"/>
    <w:rsid w:val="00312CBF"/>
    <w:rsid w:val="00314E13"/>
    <w:rsid w:val="003216B1"/>
    <w:rsid w:val="00321C99"/>
    <w:rsid w:val="0032549F"/>
    <w:rsid w:val="003260BA"/>
    <w:rsid w:val="0032755C"/>
    <w:rsid w:val="00330D07"/>
    <w:rsid w:val="00331A79"/>
    <w:rsid w:val="003364E1"/>
    <w:rsid w:val="00336DAE"/>
    <w:rsid w:val="0034439A"/>
    <w:rsid w:val="00346A7B"/>
    <w:rsid w:val="00351E2A"/>
    <w:rsid w:val="0035476B"/>
    <w:rsid w:val="00356EFF"/>
    <w:rsid w:val="00357AD0"/>
    <w:rsid w:val="00370B46"/>
    <w:rsid w:val="00372DEF"/>
    <w:rsid w:val="00373600"/>
    <w:rsid w:val="0038437A"/>
    <w:rsid w:val="00386B10"/>
    <w:rsid w:val="0038701E"/>
    <w:rsid w:val="003902CC"/>
    <w:rsid w:val="0039250A"/>
    <w:rsid w:val="003925A7"/>
    <w:rsid w:val="003A093E"/>
    <w:rsid w:val="003A53C8"/>
    <w:rsid w:val="003B3BF1"/>
    <w:rsid w:val="003C36C5"/>
    <w:rsid w:val="003D3530"/>
    <w:rsid w:val="003D608E"/>
    <w:rsid w:val="003D657B"/>
    <w:rsid w:val="003E3405"/>
    <w:rsid w:val="003E4505"/>
    <w:rsid w:val="003E5B7A"/>
    <w:rsid w:val="003F1691"/>
    <w:rsid w:val="003F4AA1"/>
    <w:rsid w:val="003F69E3"/>
    <w:rsid w:val="003F7926"/>
    <w:rsid w:val="00400EA4"/>
    <w:rsid w:val="00403548"/>
    <w:rsid w:val="00404FB5"/>
    <w:rsid w:val="0040725D"/>
    <w:rsid w:val="004100E7"/>
    <w:rsid w:val="0041371F"/>
    <w:rsid w:val="00420A7D"/>
    <w:rsid w:val="00421507"/>
    <w:rsid w:val="00424E6B"/>
    <w:rsid w:val="00427126"/>
    <w:rsid w:val="004271F7"/>
    <w:rsid w:val="00430AFF"/>
    <w:rsid w:val="0043372B"/>
    <w:rsid w:val="004444D6"/>
    <w:rsid w:val="004449C3"/>
    <w:rsid w:val="0044677C"/>
    <w:rsid w:val="00446D9D"/>
    <w:rsid w:val="00451437"/>
    <w:rsid w:val="00453CB5"/>
    <w:rsid w:val="00454FB0"/>
    <w:rsid w:val="0045581E"/>
    <w:rsid w:val="004649F5"/>
    <w:rsid w:val="004719A0"/>
    <w:rsid w:val="00472F6F"/>
    <w:rsid w:val="004743FD"/>
    <w:rsid w:val="00474A4C"/>
    <w:rsid w:val="00475889"/>
    <w:rsid w:val="004765B2"/>
    <w:rsid w:val="00476ADC"/>
    <w:rsid w:val="00482C73"/>
    <w:rsid w:val="004835DB"/>
    <w:rsid w:val="00485938"/>
    <w:rsid w:val="00491098"/>
    <w:rsid w:val="00491B2A"/>
    <w:rsid w:val="00492D92"/>
    <w:rsid w:val="0049653F"/>
    <w:rsid w:val="004A07A3"/>
    <w:rsid w:val="004A394A"/>
    <w:rsid w:val="004A6350"/>
    <w:rsid w:val="004A77A3"/>
    <w:rsid w:val="004B1001"/>
    <w:rsid w:val="004C4CAB"/>
    <w:rsid w:val="004D3061"/>
    <w:rsid w:val="004D32F8"/>
    <w:rsid w:val="004D455F"/>
    <w:rsid w:val="004D5906"/>
    <w:rsid w:val="004D63F2"/>
    <w:rsid w:val="004D67D3"/>
    <w:rsid w:val="004D6F03"/>
    <w:rsid w:val="004D7B83"/>
    <w:rsid w:val="004E5439"/>
    <w:rsid w:val="004F107A"/>
    <w:rsid w:val="004F2436"/>
    <w:rsid w:val="004F2B4E"/>
    <w:rsid w:val="004F373D"/>
    <w:rsid w:val="004F49F1"/>
    <w:rsid w:val="004F4AAF"/>
    <w:rsid w:val="004F5AD9"/>
    <w:rsid w:val="00503B6E"/>
    <w:rsid w:val="00504F49"/>
    <w:rsid w:val="00513849"/>
    <w:rsid w:val="00521AC3"/>
    <w:rsid w:val="00530531"/>
    <w:rsid w:val="00540ABA"/>
    <w:rsid w:val="005410B9"/>
    <w:rsid w:val="00545676"/>
    <w:rsid w:val="005509B6"/>
    <w:rsid w:val="005514C0"/>
    <w:rsid w:val="0055283A"/>
    <w:rsid w:val="00556CF0"/>
    <w:rsid w:val="00561EAF"/>
    <w:rsid w:val="00571AEA"/>
    <w:rsid w:val="00572563"/>
    <w:rsid w:val="00576812"/>
    <w:rsid w:val="00576BC6"/>
    <w:rsid w:val="00587B72"/>
    <w:rsid w:val="005C09B2"/>
    <w:rsid w:val="005D33A9"/>
    <w:rsid w:val="005D5B8D"/>
    <w:rsid w:val="005E1237"/>
    <w:rsid w:val="005F03CF"/>
    <w:rsid w:val="005F25F7"/>
    <w:rsid w:val="0060171B"/>
    <w:rsid w:val="00605DF0"/>
    <w:rsid w:val="00621DD7"/>
    <w:rsid w:val="006315E2"/>
    <w:rsid w:val="006321E5"/>
    <w:rsid w:val="00633A07"/>
    <w:rsid w:val="00636894"/>
    <w:rsid w:val="00646672"/>
    <w:rsid w:val="00652416"/>
    <w:rsid w:val="00664221"/>
    <w:rsid w:val="0066452E"/>
    <w:rsid w:val="00667944"/>
    <w:rsid w:val="00670B73"/>
    <w:rsid w:val="0067349B"/>
    <w:rsid w:val="00675D77"/>
    <w:rsid w:val="00682418"/>
    <w:rsid w:val="0069171E"/>
    <w:rsid w:val="006A0AC1"/>
    <w:rsid w:val="006A1351"/>
    <w:rsid w:val="006B0910"/>
    <w:rsid w:val="006B094F"/>
    <w:rsid w:val="006B1D7A"/>
    <w:rsid w:val="006C3C76"/>
    <w:rsid w:val="006D06DA"/>
    <w:rsid w:val="006D4185"/>
    <w:rsid w:val="006D49FB"/>
    <w:rsid w:val="006E1F61"/>
    <w:rsid w:val="006E2EC3"/>
    <w:rsid w:val="006F0327"/>
    <w:rsid w:val="006F077A"/>
    <w:rsid w:val="006F17C2"/>
    <w:rsid w:val="006F5C7D"/>
    <w:rsid w:val="006F6C89"/>
    <w:rsid w:val="00715C04"/>
    <w:rsid w:val="007168BE"/>
    <w:rsid w:val="00722D64"/>
    <w:rsid w:val="00723C02"/>
    <w:rsid w:val="00730D8E"/>
    <w:rsid w:val="00731B6A"/>
    <w:rsid w:val="00732079"/>
    <w:rsid w:val="00737A59"/>
    <w:rsid w:val="00740069"/>
    <w:rsid w:val="00742069"/>
    <w:rsid w:val="007434DA"/>
    <w:rsid w:val="00743CB1"/>
    <w:rsid w:val="0074614B"/>
    <w:rsid w:val="00751585"/>
    <w:rsid w:val="007545A4"/>
    <w:rsid w:val="007548AE"/>
    <w:rsid w:val="0075600C"/>
    <w:rsid w:val="0076095C"/>
    <w:rsid w:val="00762569"/>
    <w:rsid w:val="007657C4"/>
    <w:rsid w:val="0077226F"/>
    <w:rsid w:val="00782E8D"/>
    <w:rsid w:val="0078620F"/>
    <w:rsid w:val="00791B80"/>
    <w:rsid w:val="0079263F"/>
    <w:rsid w:val="00796AEF"/>
    <w:rsid w:val="00797A91"/>
    <w:rsid w:val="007A15A5"/>
    <w:rsid w:val="007A26CB"/>
    <w:rsid w:val="007A3374"/>
    <w:rsid w:val="007B41B2"/>
    <w:rsid w:val="007B7425"/>
    <w:rsid w:val="007B7577"/>
    <w:rsid w:val="007C29FD"/>
    <w:rsid w:val="007C6152"/>
    <w:rsid w:val="007D06C4"/>
    <w:rsid w:val="007E6D2C"/>
    <w:rsid w:val="007F3992"/>
    <w:rsid w:val="007F45AD"/>
    <w:rsid w:val="00804170"/>
    <w:rsid w:val="00810D68"/>
    <w:rsid w:val="008156DA"/>
    <w:rsid w:val="00820EB4"/>
    <w:rsid w:val="00822C7A"/>
    <w:rsid w:val="00823254"/>
    <w:rsid w:val="008242EB"/>
    <w:rsid w:val="00834B33"/>
    <w:rsid w:val="00860391"/>
    <w:rsid w:val="00867EE7"/>
    <w:rsid w:val="00871110"/>
    <w:rsid w:val="008766D9"/>
    <w:rsid w:val="008804B5"/>
    <w:rsid w:val="0088406B"/>
    <w:rsid w:val="0088419A"/>
    <w:rsid w:val="00893FF4"/>
    <w:rsid w:val="008A130D"/>
    <w:rsid w:val="008A6EC2"/>
    <w:rsid w:val="008A70B1"/>
    <w:rsid w:val="008B032D"/>
    <w:rsid w:val="008B1FC6"/>
    <w:rsid w:val="008C3DF6"/>
    <w:rsid w:val="008D0227"/>
    <w:rsid w:val="008D0907"/>
    <w:rsid w:val="008D16AC"/>
    <w:rsid w:val="008D66C6"/>
    <w:rsid w:val="008D7ABB"/>
    <w:rsid w:val="008D7E2B"/>
    <w:rsid w:val="008F0537"/>
    <w:rsid w:val="008F0AF2"/>
    <w:rsid w:val="008F1065"/>
    <w:rsid w:val="008F2355"/>
    <w:rsid w:val="008F3D40"/>
    <w:rsid w:val="008F7BE2"/>
    <w:rsid w:val="00901A58"/>
    <w:rsid w:val="00905344"/>
    <w:rsid w:val="00905817"/>
    <w:rsid w:val="00905C46"/>
    <w:rsid w:val="00906B68"/>
    <w:rsid w:val="00920DB9"/>
    <w:rsid w:val="009279B2"/>
    <w:rsid w:val="00933F03"/>
    <w:rsid w:val="00945A43"/>
    <w:rsid w:val="00956116"/>
    <w:rsid w:val="009621E4"/>
    <w:rsid w:val="00962B30"/>
    <w:rsid w:val="00962D85"/>
    <w:rsid w:val="00976AB4"/>
    <w:rsid w:val="009813DB"/>
    <w:rsid w:val="009853FA"/>
    <w:rsid w:val="009855E2"/>
    <w:rsid w:val="0098670C"/>
    <w:rsid w:val="0099326F"/>
    <w:rsid w:val="009A02E8"/>
    <w:rsid w:val="009A4A3A"/>
    <w:rsid w:val="009A5921"/>
    <w:rsid w:val="009B5665"/>
    <w:rsid w:val="009B6E30"/>
    <w:rsid w:val="009B76E5"/>
    <w:rsid w:val="009C4728"/>
    <w:rsid w:val="009D5DAF"/>
    <w:rsid w:val="009D6977"/>
    <w:rsid w:val="009E3F70"/>
    <w:rsid w:val="009F03D1"/>
    <w:rsid w:val="009F349D"/>
    <w:rsid w:val="009F4ACE"/>
    <w:rsid w:val="009F71B8"/>
    <w:rsid w:val="00A02480"/>
    <w:rsid w:val="00A02EB1"/>
    <w:rsid w:val="00A1256D"/>
    <w:rsid w:val="00A12A60"/>
    <w:rsid w:val="00A139CF"/>
    <w:rsid w:val="00A166FF"/>
    <w:rsid w:val="00A1710F"/>
    <w:rsid w:val="00A20FCE"/>
    <w:rsid w:val="00A233D3"/>
    <w:rsid w:val="00A275C8"/>
    <w:rsid w:val="00A3158D"/>
    <w:rsid w:val="00A334A0"/>
    <w:rsid w:val="00A33FEA"/>
    <w:rsid w:val="00A341C3"/>
    <w:rsid w:val="00A35DBC"/>
    <w:rsid w:val="00A37BC7"/>
    <w:rsid w:val="00A410D1"/>
    <w:rsid w:val="00A425D4"/>
    <w:rsid w:val="00A43A3C"/>
    <w:rsid w:val="00A467A1"/>
    <w:rsid w:val="00A46F18"/>
    <w:rsid w:val="00A57240"/>
    <w:rsid w:val="00A574D0"/>
    <w:rsid w:val="00A60209"/>
    <w:rsid w:val="00A6047D"/>
    <w:rsid w:val="00A60DF2"/>
    <w:rsid w:val="00A662E1"/>
    <w:rsid w:val="00A701E0"/>
    <w:rsid w:val="00A73800"/>
    <w:rsid w:val="00A80D4C"/>
    <w:rsid w:val="00A82711"/>
    <w:rsid w:val="00A944B2"/>
    <w:rsid w:val="00A94F48"/>
    <w:rsid w:val="00AA39BD"/>
    <w:rsid w:val="00AA4CB9"/>
    <w:rsid w:val="00AA60FC"/>
    <w:rsid w:val="00AC0B61"/>
    <w:rsid w:val="00AC158C"/>
    <w:rsid w:val="00AD6FCB"/>
    <w:rsid w:val="00AE1F7E"/>
    <w:rsid w:val="00AE23CE"/>
    <w:rsid w:val="00AE27CF"/>
    <w:rsid w:val="00AE79BB"/>
    <w:rsid w:val="00AF04CF"/>
    <w:rsid w:val="00B00D20"/>
    <w:rsid w:val="00B01142"/>
    <w:rsid w:val="00B012D3"/>
    <w:rsid w:val="00B04251"/>
    <w:rsid w:val="00B119A4"/>
    <w:rsid w:val="00B138CF"/>
    <w:rsid w:val="00B13DE7"/>
    <w:rsid w:val="00B14551"/>
    <w:rsid w:val="00B27774"/>
    <w:rsid w:val="00B33846"/>
    <w:rsid w:val="00B4363D"/>
    <w:rsid w:val="00B4515F"/>
    <w:rsid w:val="00B62492"/>
    <w:rsid w:val="00B67711"/>
    <w:rsid w:val="00B67C3A"/>
    <w:rsid w:val="00B70216"/>
    <w:rsid w:val="00B75EB1"/>
    <w:rsid w:val="00BA25DA"/>
    <w:rsid w:val="00BA754C"/>
    <w:rsid w:val="00BC24C8"/>
    <w:rsid w:val="00BC3989"/>
    <w:rsid w:val="00BC3CCA"/>
    <w:rsid w:val="00BD158D"/>
    <w:rsid w:val="00BD2239"/>
    <w:rsid w:val="00BD585A"/>
    <w:rsid w:val="00BE054D"/>
    <w:rsid w:val="00BE142A"/>
    <w:rsid w:val="00BE29ED"/>
    <w:rsid w:val="00BF73FA"/>
    <w:rsid w:val="00C01C03"/>
    <w:rsid w:val="00C01E4E"/>
    <w:rsid w:val="00C07001"/>
    <w:rsid w:val="00C2041D"/>
    <w:rsid w:val="00C34923"/>
    <w:rsid w:val="00C4455D"/>
    <w:rsid w:val="00C5175D"/>
    <w:rsid w:val="00C55EE0"/>
    <w:rsid w:val="00C63B8B"/>
    <w:rsid w:val="00C66333"/>
    <w:rsid w:val="00C66AA2"/>
    <w:rsid w:val="00C72AEC"/>
    <w:rsid w:val="00C74CFE"/>
    <w:rsid w:val="00C74DFE"/>
    <w:rsid w:val="00C7639C"/>
    <w:rsid w:val="00C803F2"/>
    <w:rsid w:val="00C900C5"/>
    <w:rsid w:val="00C92293"/>
    <w:rsid w:val="00C935E8"/>
    <w:rsid w:val="00C939AE"/>
    <w:rsid w:val="00C94727"/>
    <w:rsid w:val="00CA3115"/>
    <w:rsid w:val="00CA5352"/>
    <w:rsid w:val="00CB3D15"/>
    <w:rsid w:val="00CB74A5"/>
    <w:rsid w:val="00CB7C9A"/>
    <w:rsid w:val="00CB7E1D"/>
    <w:rsid w:val="00CC25FD"/>
    <w:rsid w:val="00CC2B89"/>
    <w:rsid w:val="00CC42AF"/>
    <w:rsid w:val="00CC44EE"/>
    <w:rsid w:val="00CC7293"/>
    <w:rsid w:val="00CC797D"/>
    <w:rsid w:val="00CF0B03"/>
    <w:rsid w:val="00CF41DC"/>
    <w:rsid w:val="00CF4E3B"/>
    <w:rsid w:val="00CF6C86"/>
    <w:rsid w:val="00CF7916"/>
    <w:rsid w:val="00D028D4"/>
    <w:rsid w:val="00D07EBB"/>
    <w:rsid w:val="00D120E3"/>
    <w:rsid w:val="00D14133"/>
    <w:rsid w:val="00D217DD"/>
    <w:rsid w:val="00D22E9B"/>
    <w:rsid w:val="00D30058"/>
    <w:rsid w:val="00D32816"/>
    <w:rsid w:val="00D44BB1"/>
    <w:rsid w:val="00D501B2"/>
    <w:rsid w:val="00D52EE7"/>
    <w:rsid w:val="00D56839"/>
    <w:rsid w:val="00D6559E"/>
    <w:rsid w:val="00D660C4"/>
    <w:rsid w:val="00D75B00"/>
    <w:rsid w:val="00D779F6"/>
    <w:rsid w:val="00D80F3F"/>
    <w:rsid w:val="00D828C4"/>
    <w:rsid w:val="00D96D58"/>
    <w:rsid w:val="00DA536B"/>
    <w:rsid w:val="00DA612B"/>
    <w:rsid w:val="00DA651B"/>
    <w:rsid w:val="00DB4016"/>
    <w:rsid w:val="00DB43FF"/>
    <w:rsid w:val="00DB4924"/>
    <w:rsid w:val="00DC0261"/>
    <w:rsid w:val="00DC04A3"/>
    <w:rsid w:val="00DC1A39"/>
    <w:rsid w:val="00DD2524"/>
    <w:rsid w:val="00DD39F7"/>
    <w:rsid w:val="00DE2123"/>
    <w:rsid w:val="00DE5513"/>
    <w:rsid w:val="00DE55A6"/>
    <w:rsid w:val="00DE5C8A"/>
    <w:rsid w:val="00DE6DD0"/>
    <w:rsid w:val="00DE7A55"/>
    <w:rsid w:val="00DF7A88"/>
    <w:rsid w:val="00E034EB"/>
    <w:rsid w:val="00E077D6"/>
    <w:rsid w:val="00E15289"/>
    <w:rsid w:val="00E15B08"/>
    <w:rsid w:val="00E25986"/>
    <w:rsid w:val="00E276FA"/>
    <w:rsid w:val="00E31AE2"/>
    <w:rsid w:val="00E357FA"/>
    <w:rsid w:val="00E3704E"/>
    <w:rsid w:val="00E42D36"/>
    <w:rsid w:val="00E43A94"/>
    <w:rsid w:val="00E43CF1"/>
    <w:rsid w:val="00E50A0F"/>
    <w:rsid w:val="00E568EB"/>
    <w:rsid w:val="00E56B81"/>
    <w:rsid w:val="00E6750A"/>
    <w:rsid w:val="00E70196"/>
    <w:rsid w:val="00E70A3B"/>
    <w:rsid w:val="00E728C4"/>
    <w:rsid w:val="00E767A3"/>
    <w:rsid w:val="00E77BBE"/>
    <w:rsid w:val="00E847E5"/>
    <w:rsid w:val="00E84EA9"/>
    <w:rsid w:val="00E938DB"/>
    <w:rsid w:val="00EA0B8D"/>
    <w:rsid w:val="00EA2E95"/>
    <w:rsid w:val="00EB3F2D"/>
    <w:rsid w:val="00EB53DC"/>
    <w:rsid w:val="00EC052C"/>
    <w:rsid w:val="00ED34F5"/>
    <w:rsid w:val="00EE2B9E"/>
    <w:rsid w:val="00EE7B46"/>
    <w:rsid w:val="00EF0D82"/>
    <w:rsid w:val="00EF13BE"/>
    <w:rsid w:val="00F03DEA"/>
    <w:rsid w:val="00F053F7"/>
    <w:rsid w:val="00F137CD"/>
    <w:rsid w:val="00F15D4C"/>
    <w:rsid w:val="00F22678"/>
    <w:rsid w:val="00F25765"/>
    <w:rsid w:val="00F262FE"/>
    <w:rsid w:val="00F310D5"/>
    <w:rsid w:val="00F338C4"/>
    <w:rsid w:val="00F3558A"/>
    <w:rsid w:val="00F35A71"/>
    <w:rsid w:val="00F417E3"/>
    <w:rsid w:val="00F46858"/>
    <w:rsid w:val="00F47D7C"/>
    <w:rsid w:val="00F47FE9"/>
    <w:rsid w:val="00F55004"/>
    <w:rsid w:val="00F55128"/>
    <w:rsid w:val="00F55296"/>
    <w:rsid w:val="00F57C29"/>
    <w:rsid w:val="00F61F69"/>
    <w:rsid w:val="00F65550"/>
    <w:rsid w:val="00F67483"/>
    <w:rsid w:val="00F80A6E"/>
    <w:rsid w:val="00F845AF"/>
    <w:rsid w:val="00F8656B"/>
    <w:rsid w:val="00F86972"/>
    <w:rsid w:val="00F87C9A"/>
    <w:rsid w:val="00F920A0"/>
    <w:rsid w:val="00F960E7"/>
    <w:rsid w:val="00FA2A58"/>
    <w:rsid w:val="00FA6BC7"/>
    <w:rsid w:val="00FB01F8"/>
    <w:rsid w:val="00FB088C"/>
    <w:rsid w:val="00FB0E91"/>
    <w:rsid w:val="00FC0021"/>
    <w:rsid w:val="00FC3C47"/>
    <w:rsid w:val="00FC65A1"/>
    <w:rsid w:val="00FC7CD7"/>
    <w:rsid w:val="00FE7C1F"/>
    <w:rsid w:val="00FF1AD3"/>
    <w:rsid w:val="00FF4308"/>
    <w:rsid w:val="00FF4E7B"/>
    <w:rsid w:val="00FF6677"/>
    <w:rsid w:val="00FF7F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34CE53"/>
  <w15:docId w15:val="{80874893-80CF-4D0A-A4FC-9C516308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5283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5283A"/>
    <w:rPr>
      <w:u w:val="single"/>
    </w:rPr>
  </w:style>
  <w:style w:type="paragraph" w:customStyle="1" w:styleId="Default">
    <w:name w:val="Default"/>
    <w:rsid w:val="0055283A"/>
    <w:rPr>
      <w:rFonts w:ascii="Helvetica" w:hAnsi="Helvetica" w:cs="Arial Unicode MS"/>
      <w:color w:val="000000"/>
      <w:sz w:val="22"/>
      <w:szCs w:val="22"/>
      <w:lang w:val="fr-FR"/>
    </w:rPr>
  </w:style>
  <w:style w:type="table" w:styleId="TableGrid">
    <w:name w:val="Table Grid"/>
    <w:basedOn w:val="TableNormal"/>
    <w:uiPriority w:val="59"/>
    <w:rsid w:val="0016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8A"/>
    <w:pPr>
      <w:tabs>
        <w:tab w:val="center" w:pos="4513"/>
        <w:tab w:val="right" w:pos="9026"/>
      </w:tabs>
    </w:pPr>
  </w:style>
  <w:style w:type="character" w:customStyle="1" w:styleId="HeaderChar">
    <w:name w:val="Header Char"/>
    <w:basedOn w:val="DefaultParagraphFont"/>
    <w:link w:val="Header"/>
    <w:uiPriority w:val="99"/>
    <w:rsid w:val="00DE5C8A"/>
    <w:rPr>
      <w:sz w:val="24"/>
      <w:szCs w:val="24"/>
      <w:lang w:val="en-US" w:eastAsia="en-US"/>
    </w:rPr>
  </w:style>
  <w:style w:type="paragraph" w:styleId="Footer">
    <w:name w:val="footer"/>
    <w:basedOn w:val="Normal"/>
    <w:link w:val="FooterChar"/>
    <w:uiPriority w:val="99"/>
    <w:unhideWhenUsed/>
    <w:rsid w:val="00DE5C8A"/>
    <w:pPr>
      <w:tabs>
        <w:tab w:val="center" w:pos="4513"/>
        <w:tab w:val="right" w:pos="9026"/>
      </w:tabs>
    </w:pPr>
  </w:style>
  <w:style w:type="character" w:customStyle="1" w:styleId="FooterChar">
    <w:name w:val="Footer Char"/>
    <w:basedOn w:val="DefaultParagraphFont"/>
    <w:link w:val="Footer"/>
    <w:uiPriority w:val="99"/>
    <w:rsid w:val="00DE5C8A"/>
    <w:rPr>
      <w:sz w:val="24"/>
      <w:szCs w:val="24"/>
      <w:lang w:val="en-US" w:eastAsia="en-US"/>
    </w:rPr>
  </w:style>
  <w:style w:type="paragraph" w:styleId="BalloonText">
    <w:name w:val="Balloon Text"/>
    <w:basedOn w:val="Normal"/>
    <w:link w:val="BalloonTextChar"/>
    <w:uiPriority w:val="99"/>
    <w:semiHidden/>
    <w:unhideWhenUsed/>
    <w:rsid w:val="00BD158D"/>
    <w:rPr>
      <w:rFonts w:ascii="Tahoma" w:hAnsi="Tahoma" w:cs="Tahoma"/>
      <w:sz w:val="16"/>
      <w:szCs w:val="16"/>
    </w:rPr>
  </w:style>
  <w:style w:type="character" w:customStyle="1" w:styleId="BalloonTextChar">
    <w:name w:val="Balloon Text Char"/>
    <w:basedOn w:val="DefaultParagraphFont"/>
    <w:link w:val="BalloonText"/>
    <w:uiPriority w:val="99"/>
    <w:semiHidden/>
    <w:rsid w:val="00BD158D"/>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117D10"/>
    <w:rPr>
      <w:sz w:val="16"/>
      <w:szCs w:val="16"/>
    </w:rPr>
  </w:style>
  <w:style w:type="paragraph" w:styleId="CommentText">
    <w:name w:val="annotation text"/>
    <w:basedOn w:val="Normal"/>
    <w:link w:val="CommentTextChar"/>
    <w:uiPriority w:val="99"/>
    <w:semiHidden/>
    <w:unhideWhenUsed/>
    <w:rsid w:val="00117D10"/>
    <w:rPr>
      <w:sz w:val="20"/>
      <w:szCs w:val="20"/>
    </w:rPr>
  </w:style>
  <w:style w:type="character" w:customStyle="1" w:styleId="CommentTextChar">
    <w:name w:val="Comment Text Char"/>
    <w:basedOn w:val="DefaultParagraphFont"/>
    <w:link w:val="CommentText"/>
    <w:uiPriority w:val="99"/>
    <w:semiHidden/>
    <w:rsid w:val="00117D10"/>
    <w:rPr>
      <w:lang w:val="en-US" w:eastAsia="en-US"/>
    </w:rPr>
  </w:style>
  <w:style w:type="paragraph" w:styleId="CommentSubject">
    <w:name w:val="annotation subject"/>
    <w:basedOn w:val="CommentText"/>
    <w:next w:val="CommentText"/>
    <w:link w:val="CommentSubjectChar"/>
    <w:uiPriority w:val="99"/>
    <w:semiHidden/>
    <w:unhideWhenUsed/>
    <w:rsid w:val="00117D10"/>
    <w:rPr>
      <w:b/>
      <w:bCs/>
    </w:rPr>
  </w:style>
  <w:style w:type="character" w:customStyle="1" w:styleId="CommentSubjectChar">
    <w:name w:val="Comment Subject Char"/>
    <w:basedOn w:val="CommentTextChar"/>
    <w:link w:val="CommentSubject"/>
    <w:uiPriority w:val="99"/>
    <w:semiHidden/>
    <w:rsid w:val="00117D10"/>
    <w:rPr>
      <w:b/>
      <w:bCs/>
      <w:lang w:val="en-US" w:eastAsia="en-US"/>
    </w:rPr>
  </w:style>
  <w:style w:type="paragraph" w:styleId="NormalWeb">
    <w:name w:val="Normal (Web)"/>
    <w:basedOn w:val="Normal"/>
    <w:uiPriority w:val="99"/>
    <w:semiHidden/>
    <w:unhideWhenUsed/>
    <w:rsid w:val="00CB7E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rPr>
  </w:style>
  <w:style w:type="paragraph" w:styleId="ListParagraph">
    <w:name w:val="List Paragraph"/>
    <w:basedOn w:val="Normal"/>
    <w:uiPriority w:val="34"/>
    <w:qFormat/>
    <w:rsid w:val="007C6152"/>
    <w:pPr>
      <w:ind w:left="720"/>
      <w:contextualSpacing/>
    </w:pPr>
  </w:style>
  <w:style w:type="character" w:customStyle="1" w:styleId="UnresolvedMention1">
    <w:name w:val="Unresolved Mention1"/>
    <w:basedOn w:val="DefaultParagraphFont"/>
    <w:uiPriority w:val="99"/>
    <w:semiHidden/>
    <w:unhideWhenUsed/>
    <w:rsid w:val="007C6152"/>
    <w:rPr>
      <w:color w:val="605E5C"/>
      <w:shd w:val="clear" w:color="auto" w:fill="E1DFDD"/>
    </w:rPr>
  </w:style>
  <w:style w:type="paragraph" w:styleId="FootnoteText">
    <w:name w:val="footnote text"/>
    <w:basedOn w:val="Normal"/>
    <w:link w:val="FootnoteTextChar"/>
    <w:uiPriority w:val="99"/>
    <w:unhideWhenUsed/>
    <w:rsid w:val="007B7577"/>
    <w:rPr>
      <w:sz w:val="20"/>
      <w:szCs w:val="20"/>
    </w:rPr>
  </w:style>
  <w:style w:type="character" w:customStyle="1" w:styleId="FootnoteTextChar">
    <w:name w:val="Footnote Text Char"/>
    <w:basedOn w:val="DefaultParagraphFont"/>
    <w:link w:val="FootnoteText"/>
    <w:uiPriority w:val="99"/>
    <w:rsid w:val="007B7577"/>
    <w:rPr>
      <w:lang w:val="en-US" w:eastAsia="en-US"/>
    </w:rPr>
  </w:style>
  <w:style w:type="character" w:styleId="FootnoteReference">
    <w:name w:val="footnote reference"/>
    <w:basedOn w:val="DefaultParagraphFont"/>
    <w:uiPriority w:val="99"/>
    <w:semiHidden/>
    <w:unhideWhenUsed/>
    <w:rsid w:val="007B7577"/>
    <w:rPr>
      <w:vertAlign w:val="superscript"/>
    </w:rPr>
  </w:style>
  <w:style w:type="character" w:customStyle="1" w:styleId="UnresolvedMention2">
    <w:name w:val="Unresolved Mention2"/>
    <w:basedOn w:val="DefaultParagraphFont"/>
    <w:uiPriority w:val="99"/>
    <w:semiHidden/>
    <w:unhideWhenUsed/>
    <w:rsid w:val="00E31AE2"/>
    <w:rPr>
      <w:color w:val="605E5C"/>
      <w:shd w:val="clear" w:color="auto" w:fill="E1DFDD"/>
    </w:rPr>
  </w:style>
  <w:style w:type="character" w:styleId="FollowedHyperlink">
    <w:name w:val="FollowedHyperlink"/>
    <w:basedOn w:val="DefaultParagraphFont"/>
    <w:uiPriority w:val="99"/>
    <w:semiHidden/>
    <w:unhideWhenUsed/>
    <w:rsid w:val="00730D8E"/>
    <w:rPr>
      <w:color w:val="FF00FF" w:themeColor="followedHyperlink"/>
      <w:u w:val="single"/>
    </w:rPr>
  </w:style>
  <w:style w:type="character" w:customStyle="1" w:styleId="pagecontents">
    <w:name w:val="pagecontents"/>
    <w:basedOn w:val="DefaultParagraphFont"/>
    <w:rsid w:val="006D06DA"/>
  </w:style>
  <w:style w:type="character" w:customStyle="1" w:styleId="normaltextrun">
    <w:name w:val="normaltextrun"/>
    <w:basedOn w:val="DefaultParagraphFont"/>
    <w:rsid w:val="003D3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028558">
      <w:bodyDiv w:val="1"/>
      <w:marLeft w:val="0"/>
      <w:marRight w:val="0"/>
      <w:marTop w:val="0"/>
      <w:marBottom w:val="0"/>
      <w:divBdr>
        <w:top w:val="none" w:sz="0" w:space="0" w:color="auto"/>
        <w:left w:val="none" w:sz="0" w:space="0" w:color="auto"/>
        <w:bottom w:val="none" w:sz="0" w:space="0" w:color="auto"/>
        <w:right w:val="none" w:sz="0" w:space="0" w:color="auto"/>
      </w:divBdr>
    </w:div>
    <w:div w:id="870267880">
      <w:bodyDiv w:val="1"/>
      <w:marLeft w:val="0"/>
      <w:marRight w:val="0"/>
      <w:marTop w:val="0"/>
      <w:marBottom w:val="0"/>
      <w:divBdr>
        <w:top w:val="none" w:sz="0" w:space="0" w:color="auto"/>
        <w:left w:val="none" w:sz="0" w:space="0" w:color="auto"/>
        <w:bottom w:val="none" w:sz="0" w:space="0" w:color="auto"/>
        <w:right w:val="none" w:sz="0" w:space="0" w:color="auto"/>
      </w:divBdr>
    </w:div>
    <w:div w:id="1008560517">
      <w:bodyDiv w:val="1"/>
      <w:marLeft w:val="0"/>
      <w:marRight w:val="0"/>
      <w:marTop w:val="0"/>
      <w:marBottom w:val="0"/>
      <w:divBdr>
        <w:top w:val="none" w:sz="0" w:space="0" w:color="auto"/>
        <w:left w:val="none" w:sz="0" w:space="0" w:color="auto"/>
        <w:bottom w:val="none" w:sz="0" w:space="0" w:color="auto"/>
        <w:right w:val="none" w:sz="0" w:space="0" w:color="auto"/>
      </w:divBdr>
    </w:div>
    <w:div w:id="1369649171">
      <w:bodyDiv w:val="1"/>
      <w:marLeft w:val="0"/>
      <w:marRight w:val="0"/>
      <w:marTop w:val="0"/>
      <w:marBottom w:val="0"/>
      <w:divBdr>
        <w:top w:val="none" w:sz="0" w:space="0" w:color="auto"/>
        <w:left w:val="none" w:sz="0" w:space="0" w:color="auto"/>
        <w:bottom w:val="none" w:sz="0" w:space="0" w:color="auto"/>
        <w:right w:val="none" w:sz="0" w:space="0" w:color="auto"/>
      </w:divBdr>
    </w:div>
    <w:div w:id="1911042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teinatlas.org/ENSG00000076043-REXO2/pathology"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ncbi.nlm.nih.gov/gene/25996"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F64F4-1FF1-456E-B556-8804A468B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32886</Words>
  <Characters>187452</Characters>
  <Application>Microsoft Office Word</Application>
  <DocSecurity>0</DocSecurity>
  <Lines>1562</Lines>
  <Paragraphs>439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Waters</Company>
  <LinksUpToDate>false</LinksUpToDate>
  <CharactersWithSpaces>219899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Hans Vissers</dc:creator>
  <cp:lastModifiedBy>Lee Gethings</cp:lastModifiedBy>
  <cp:revision>4</cp:revision>
  <cp:lastPrinted>2019-06-05T08:45:00Z</cp:lastPrinted>
  <dcterms:created xsi:type="dcterms:W3CDTF">2019-10-09T16:05:00Z</dcterms:created>
  <dcterms:modified xsi:type="dcterms:W3CDTF">2019-10-09T16:17:00Z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http://www.zotero.org/styles/rapid-communications-in-mass-spectrometry</vt:lpwstr>
  </property>
  <property fmtid="{D5CDD505-2E9C-101B-9397-08002B2CF9AE}" pid="19" name="Mendeley Recent Style Name 8_1">
    <vt:lpwstr>Rapid Communications in Mass Spectrometry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55fb1fba-4e4f-34e4-91dc-b592b3d245df</vt:lpwstr>
  </property>
  <property fmtid="{D5CDD505-2E9C-101B-9397-08002B2CF9AE}" pid="24" name="Mendeley Citation Style_1">
    <vt:lpwstr>http://www.zotero.org/styles/vancouver</vt:lpwstr>
  </property>
</Properties>
</file>