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BFD" w:rsidRPr="00252515" w:rsidRDefault="00C33107" w:rsidP="009C3BFD">
      <w:pPr>
        <w:jc w:val="both"/>
        <w:rPr>
          <w:b/>
          <w:i/>
          <w:iCs/>
        </w:rPr>
      </w:pPr>
      <w:r w:rsidRPr="00252515">
        <w:rPr>
          <w:b/>
        </w:rPr>
        <w:t>Cox</w:t>
      </w:r>
      <w:r w:rsidR="009C3BFD" w:rsidRPr="00252515">
        <w:rPr>
          <w:b/>
        </w:rPr>
        <w:t xml:space="preserve">, P. and </w:t>
      </w:r>
      <w:r w:rsidRPr="00252515">
        <w:rPr>
          <w:b/>
        </w:rPr>
        <w:t>Godfrey</w:t>
      </w:r>
      <w:r w:rsidR="009C3BFD" w:rsidRPr="00252515">
        <w:rPr>
          <w:b/>
        </w:rPr>
        <w:t xml:space="preserve">, B. (2020) </w:t>
      </w:r>
      <w:r w:rsidR="009C3BFD" w:rsidRPr="00252515">
        <w:rPr>
          <w:b/>
        </w:rPr>
        <w:t xml:space="preserve">The ‘great </w:t>
      </w:r>
      <w:proofErr w:type="spellStart"/>
      <w:r w:rsidR="009C3BFD" w:rsidRPr="00252515">
        <w:rPr>
          <w:b/>
        </w:rPr>
        <w:t>decarceration</w:t>
      </w:r>
      <w:proofErr w:type="spellEnd"/>
      <w:r w:rsidR="009C3BFD" w:rsidRPr="00252515">
        <w:rPr>
          <w:b/>
        </w:rPr>
        <w:t>’: historical trends and future possibilities</w:t>
      </w:r>
      <w:r w:rsidR="009C3BFD" w:rsidRPr="00252515">
        <w:rPr>
          <w:b/>
        </w:rPr>
        <w:t xml:space="preserve">, </w:t>
      </w:r>
      <w:r w:rsidR="00252515" w:rsidRPr="00252515">
        <w:rPr>
          <w:b/>
        </w:rPr>
        <w:t xml:space="preserve">in </w:t>
      </w:r>
      <w:r w:rsidR="00252515" w:rsidRPr="00252515">
        <w:rPr>
          <w:b/>
        </w:rPr>
        <w:t xml:space="preserve">‘Can History Make a Difference? The Relationship between </w:t>
      </w:r>
      <w:r w:rsidR="00252515" w:rsidRPr="00252515">
        <w:rPr>
          <w:b/>
        </w:rPr>
        <w:t xml:space="preserve">the </w:t>
      </w:r>
      <w:r w:rsidR="00252515" w:rsidRPr="00252515">
        <w:rPr>
          <w:b/>
        </w:rPr>
        <w:t xml:space="preserve">History of Crime and Criminal Justice Policy’, </w:t>
      </w:r>
      <w:r w:rsidR="00252515" w:rsidRPr="00252515">
        <w:rPr>
          <w:b/>
          <w:i/>
        </w:rPr>
        <w:t xml:space="preserve">Special Edition of the Howard </w:t>
      </w:r>
      <w:r w:rsidR="00252515" w:rsidRPr="00252515">
        <w:rPr>
          <w:b/>
          <w:i/>
        </w:rPr>
        <w:t xml:space="preserve">Journal of Crime and Justice, </w:t>
      </w:r>
      <w:r w:rsidR="009C3BFD" w:rsidRPr="00252515">
        <w:rPr>
          <w:b/>
          <w:i/>
          <w:iCs/>
        </w:rPr>
        <w:t>39, 2.</w:t>
      </w:r>
    </w:p>
    <w:p w:rsidR="009C3BFD" w:rsidRDefault="009C3BFD" w:rsidP="0070005A">
      <w:pPr>
        <w:spacing w:line="360" w:lineRule="auto"/>
        <w:rPr>
          <w:b/>
        </w:rPr>
      </w:pPr>
    </w:p>
    <w:p w:rsidR="00C33107" w:rsidRDefault="009C3BFD" w:rsidP="0070005A">
      <w:pPr>
        <w:spacing w:line="360" w:lineRule="auto"/>
        <w:rPr>
          <w:bCs/>
        </w:rPr>
      </w:pPr>
      <w:r>
        <w:rPr>
          <w:bCs/>
        </w:rPr>
        <w:t>(</w:t>
      </w:r>
      <w:r w:rsidRPr="009C3BFD">
        <w:rPr>
          <w:bCs/>
        </w:rPr>
        <w:t>accepted for publication</w:t>
      </w:r>
      <w:r>
        <w:rPr>
          <w:bCs/>
        </w:rPr>
        <w:t xml:space="preserve"> October 2019)</w:t>
      </w:r>
    </w:p>
    <w:p w:rsidR="00252515" w:rsidRPr="009C3BFD" w:rsidRDefault="00252515" w:rsidP="0070005A">
      <w:pPr>
        <w:spacing w:line="360" w:lineRule="auto"/>
        <w:rPr>
          <w:bCs/>
        </w:rPr>
      </w:pPr>
      <w:r>
        <w:rPr>
          <w:bCs/>
        </w:rPr>
        <w:t>Author’s copy.   9100 words</w:t>
      </w:r>
    </w:p>
    <w:p w:rsidR="009C3BFD" w:rsidRDefault="009C3BFD" w:rsidP="009C3BFD">
      <w:pPr>
        <w:spacing w:line="360" w:lineRule="auto"/>
        <w:rPr>
          <w:rFonts w:eastAsia="Arial Unicode MS"/>
          <w:b/>
          <w:bdr w:val="nil"/>
          <w:lang w:val="en-US"/>
        </w:rPr>
      </w:pPr>
    </w:p>
    <w:p w:rsidR="00337B7D" w:rsidRPr="009C3BFD" w:rsidRDefault="00337B7D" w:rsidP="009C3BFD">
      <w:pPr>
        <w:spacing w:line="360" w:lineRule="auto"/>
        <w:rPr>
          <w:rFonts w:eastAsia="Arial Unicode MS"/>
          <w:bdr w:val="nil"/>
          <w:lang w:val="en-US"/>
        </w:rPr>
      </w:pPr>
      <w:r w:rsidRPr="00A35AE0">
        <w:rPr>
          <w:rFonts w:eastAsia="Arial Unicode MS"/>
          <w:b/>
          <w:bdr w:val="nil"/>
          <w:lang w:val="en-US"/>
        </w:rPr>
        <w:t>Introduction</w:t>
      </w:r>
    </w:p>
    <w:p w:rsidR="00166987" w:rsidRPr="00A35AE0" w:rsidRDefault="00166987" w:rsidP="005C4006">
      <w:pPr>
        <w:pBdr>
          <w:top w:val="nil"/>
          <w:left w:val="nil"/>
          <w:bottom w:val="nil"/>
          <w:right w:val="nil"/>
          <w:between w:val="nil"/>
          <w:bar w:val="nil"/>
        </w:pBdr>
        <w:spacing w:line="360" w:lineRule="auto"/>
        <w:jc w:val="both"/>
        <w:rPr>
          <w:rFonts w:eastAsia="Arial Unicode MS"/>
          <w:b/>
          <w:bdr w:val="nil"/>
          <w:lang w:val="en-US"/>
        </w:rPr>
      </w:pPr>
    </w:p>
    <w:p w:rsidR="00811E8A" w:rsidRPr="00900981" w:rsidRDefault="0015068B" w:rsidP="005C4006">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 xml:space="preserve">From the mid-nineteenth century on, </w:t>
      </w:r>
      <w:r w:rsidR="00B255B4">
        <w:rPr>
          <w:rFonts w:eastAsia="Arial Unicode MS"/>
          <w:bdr w:val="nil"/>
          <w:lang w:val="en-US"/>
        </w:rPr>
        <w:t>carceral and</w:t>
      </w:r>
      <w:bookmarkStart w:id="0" w:name="_GoBack"/>
      <w:bookmarkEnd w:id="0"/>
      <w:r w:rsidR="00B255B4">
        <w:rPr>
          <w:rFonts w:eastAsia="Arial Unicode MS"/>
          <w:bdr w:val="nil"/>
          <w:lang w:val="en-US"/>
        </w:rPr>
        <w:t xml:space="preserve"> </w:t>
      </w:r>
      <w:r w:rsidR="00811E8A">
        <w:rPr>
          <w:rFonts w:eastAsia="Arial Unicode MS"/>
          <w:bdr w:val="nil"/>
          <w:lang w:val="en-US"/>
        </w:rPr>
        <w:t>semi</w:t>
      </w:r>
      <w:r w:rsidR="00B255B4">
        <w:rPr>
          <w:rFonts w:eastAsia="Arial Unicode MS"/>
          <w:bdr w:val="nil"/>
          <w:lang w:val="en-US"/>
        </w:rPr>
        <w:t>-</w:t>
      </w:r>
      <w:r w:rsidR="0081419C" w:rsidRPr="00A35AE0">
        <w:rPr>
          <w:rFonts w:eastAsia="Arial Unicode MS"/>
          <w:bdr w:val="nil"/>
          <w:lang w:val="en-US"/>
        </w:rPr>
        <w:t>carceral i</w:t>
      </w:r>
      <w:r w:rsidRPr="00A35AE0">
        <w:rPr>
          <w:rFonts w:eastAsia="Arial Unicode MS"/>
          <w:bdr w:val="nil"/>
          <w:lang w:val="en-US"/>
        </w:rPr>
        <w:t>nstitutions of many different types proliferated</w:t>
      </w:r>
      <w:r w:rsidR="0081419C" w:rsidRPr="00A35AE0">
        <w:rPr>
          <w:rFonts w:eastAsia="Arial Unicode MS"/>
          <w:bdr w:val="nil"/>
          <w:lang w:val="en-US"/>
        </w:rPr>
        <w:t xml:space="preserve"> in England and Wales</w:t>
      </w:r>
      <w:r w:rsidRPr="00A35AE0">
        <w:rPr>
          <w:rFonts w:eastAsia="Arial Unicode MS"/>
          <w:bdr w:val="nil"/>
          <w:lang w:val="en-US"/>
        </w:rPr>
        <w:t xml:space="preserve">: </w:t>
      </w:r>
      <w:r w:rsidR="0081419C" w:rsidRPr="00A35AE0">
        <w:rPr>
          <w:rFonts w:eastAsia="Arial Unicode MS"/>
          <w:bdr w:val="nil"/>
          <w:lang w:val="en-US"/>
        </w:rPr>
        <w:t xml:space="preserve">local and convict </w:t>
      </w:r>
      <w:r w:rsidR="00F72E5A" w:rsidRPr="00A35AE0">
        <w:rPr>
          <w:rFonts w:eastAsia="Arial Unicode MS"/>
          <w:bdr w:val="nil"/>
          <w:lang w:val="en-US"/>
        </w:rPr>
        <w:t xml:space="preserve">prisons; asylums; reform </w:t>
      </w:r>
      <w:r w:rsidR="00AA7814" w:rsidRPr="00A35AE0">
        <w:rPr>
          <w:rFonts w:eastAsia="Arial Unicode MS"/>
          <w:bdr w:val="nil"/>
          <w:lang w:val="en-US"/>
        </w:rPr>
        <w:t xml:space="preserve">and industrial </w:t>
      </w:r>
      <w:r w:rsidR="00F72E5A" w:rsidRPr="00A35AE0">
        <w:rPr>
          <w:rFonts w:eastAsia="Arial Unicode MS"/>
          <w:bdr w:val="nil"/>
          <w:lang w:val="en-US"/>
        </w:rPr>
        <w:t>schools</w:t>
      </w:r>
      <w:r w:rsidRPr="00A35AE0">
        <w:rPr>
          <w:rFonts w:eastAsia="Arial Unicode MS"/>
          <w:bdr w:val="nil"/>
          <w:lang w:val="en-US"/>
        </w:rPr>
        <w:t>; workhouses; and more</w:t>
      </w:r>
      <w:r w:rsidR="00F72E5A" w:rsidRPr="00A35AE0">
        <w:rPr>
          <w:rFonts w:eastAsia="Arial Unicode MS"/>
          <w:bdr w:val="nil"/>
          <w:lang w:val="en-US"/>
        </w:rPr>
        <w:t>. The rise of these and other institutions was shaped by the ‘great confinement’ or ‘great incarceration’</w:t>
      </w:r>
      <w:r w:rsidR="00811E8A">
        <w:rPr>
          <w:rFonts w:eastAsia="Arial Unicode MS"/>
          <w:bdr w:val="nil"/>
          <w:lang w:val="en-US"/>
        </w:rPr>
        <w:t>,</w:t>
      </w:r>
      <w:r w:rsidR="00F72E5A" w:rsidRPr="00A35AE0">
        <w:rPr>
          <w:rFonts w:eastAsia="Arial Unicode MS"/>
          <w:bdr w:val="nil"/>
          <w:lang w:val="en-US"/>
        </w:rPr>
        <w:t xml:space="preserve"> </w:t>
      </w:r>
      <w:r w:rsidR="00E75550" w:rsidRPr="00A35AE0">
        <w:rPr>
          <w:rFonts w:eastAsia="Arial Unicode MS"/>
          <w:bdr w:val="nil"/>
          <w:lang w:val="en-US"/>
        </w:rPr>
        <w:t xml:space="preserve">a </w:t>
      </w:r>
      <w:r w:rsidR="00811E8A">
        <w:rPr>
          <w:rFonts w:eastAsia="Arial Unicode MS"/>
          <w:bdr w:val="nil"/>
          <w:lang w:val="en-US"/>
        </w:rPr>
        <w:t>bureaucratic spatial practice</w:t>
      </w:r>
      <w:r w:rsidR="00811E8A" w:rsidRPr="00A35AE0">
        <w:rPr>
          <w:rFonts w:eastAsia="Arial Unicode MS"/>
          <w:bdr w:val="nil"/>
          <w:lang w:val="en-US"/>
        </w:rPr>
        <w:t xml:space="preserve"> </w:t>
      </w:r>
      <w:r w:rsidR="00F72E5A" w:rsidRPr="00A35AE0">
        <w:rPr>
          <w:rFonts w:eastAsia="Arial Unicode MS"/>
          <w:bdr w:val="nil"/>
          <w:lang w:val="en-US"/>
        </w:rPr>
        <w:t xml:space="preserve">that </w:t>
      </w:r>
      <w:r w:rsidR="00E75550" w:rsidRPr="00A35AE0">
        <w:rPr>
          <w:rFonts w:eastAsia="Arial Unicode MS"/>
          <w:bdr w:val="nil"/>
          <w:lang w:val="en-US"/>
        </w:rPr>
        <w:t xml:space="preserve">spread in </w:t>
      </w:r>
      <w:r w:rsidR="00E75550" w:rsidRPr="00900981">
        <w:rPr>
          <w:rFonts w:eastAsia="Arial Unicode MS"/>
          <w:bdr w:val="nil"/>
          <w:lang w:val="en-US"/>
        </w:rPr>
        <w:t xml:space="preserve">different forms across Europe, European empires and </w:t>
      </w:r>
      <w:r w:rsidR="0081419C" w:rsidRPr="00900981">
        <w:rPr>
          <w:rFonts w:eastAsia="Arial Unicode MS"/>
          <w:bdr w:val="nil"/>
          <w:lang w:val="en-US"/>
        </w:rPr>
        <w:t>N</w:t>
      </w:r>
      <w:r w:rsidR="00E75550" w:rsidRPr="00900981">
        <w:rPr>
          <w:rFonts w:eastAsia="Arial Unicode MS"/>
          <w:bdr w:val="nil"/>
          <w:lang w:val="en-US"/>
        </w:rPr>
        <w:t>orth America</w:t>
      </w:r>
      <w:r w:rsidR="00FE709A" w:rsidRPr="00900981">
        <w:rPr>
          <w:rFonts w:eastAsia="Arial Unicode MS"/>
          <w:bdr w:val="nil"/>
          <w:lang w:val="en-US"/>
        </w:rPr>
        <w:t xml:space="preserve"> (Foucault, 19</w:t>
      </w:r>
      <w:r w:rsidR="000835A7" w:rsidRPr="00900981">
        <w:rPr>
          <w:rFonts w:eastAsia="Arial Unicode MS"/>
          <w:bdr w:val="nil"/>
          <w:lang w:val="en-US"/>
        </w:rPr>
        <w:t>77</w:t>
      </w:r>
      <w:r w:rsidR="00FE709A" w:rsidRPr="00900981">
        <w:rPr>
          <w:rFonts w:eastAsia="Arial Unicode MS"/>
          <w:bdr w:val="nil"/>
          <w:lang w:val="en-US"/>
        </w:rPr>
        <w:t xml:space="preserve">). </w:t>
      </w:r>
      <w:r w:rsidR="00B255B4" w:rsidRPr="00900981">
        <w:rPr>
          <w:rFonts w:eastAsia="Arial Unicode MS"/>
          <w:bdr w:val="nil"/>
          <w:lang w:val="en-US"/>
        </w:rPr>
        <w:t xml:space="preserve">Imprisonment has its historians, and the </w:t>
      </w:r>
      <w:proofErr w:type="gramStart"/>
      <w:r w:rsidR="00B255B4" w:rsidRPr="00900981">
        <w:rPr>
          <w:rFonts w:eastAsia="Arial Unicode MS"/>
          <w:bdr w:val="nil"/>
          <w:lang w:val="en-US"/>
        </w:rPr>
        <w:t>high-rate</w:t>
      </w:r>
      <w:proofErr w:type="gramEnd"/>
      <w:r w:rsidR="00B255B4" w:rsidRPr="00900981">
        <w:rPr>
          <w:rFonts w:eastAsia="Arial Unicode MS"/>
          <w:bdr w:val="nil"/>
          <w:lang w:val="en-US"/>
        </w:rPr>
        <w:t xml:space="preserve"> of incarceration in the Anglophone world today has its critics (Pratt 2006, Simon 2014, Christie 20</w:t>
      </w:r>
      <w:r w:rsidR="009D00B0" w:rsidRPr="00900981">
        <w:rPr>
          <w:rFonts w:eastAsia="Arial Unicode MS"/>
          <w:bdr w:val="nil"/>
          <w:lang w:val="en-US"/>
        </w:rPr>
        <w:t>00</w:t>
      </w:r>
      <w:r w:rsidR="00B255B4" w:rsidRPr="00900981">
        <w:rPr>
          <w:rFonts w:eastAsia="Arial Unicode MS"/>
          <w:bdr w:val="nil"/>
          <w:lang w:val="en-US"/>
        </w:rPr>
        <w:t xml:space="preserve">, </w:t>
      </w:r>
      <w:proofErr w:type="spellStart"/>
      <w:r w:rsidR="00B255B4" w:rsidRPr="00900981">
        <w:rPr>
          <w:rFonts w:eastAsia="Arial Unicode MS"/>
          <w:color w:val="000000" w:themeColor="text1"/>
          <w:bdr w:val="nil"/>
          <w:lang w:val="en-US"/>
        </w:rPr>
        <w:t>Waquant</w:t>
      </w:r>
      <w:proofErr w:type="spellEnd"/>
      <w:r w:rsidR="00B255B4" w:rsidRPr="00900981">
        <w:rPr>
          <w:rFonts w:eastAsia="Arial Unicode MS"/>
          <w:color w:val="000000" w:themeColor="text1"/>
          <w:bdr w:val="nil"/>
          <w:lang w:val="en-US"/>
        </w:rPr>
        <w:t xml:space="preserve"> 2</w:t>
      </w:r>
      <w:r w:rsidR="00B255B4" w:rsidRPr="00900981">
        <w:rPr>
          <w:rFonts w:eastAsia="Arial Unicode MS"/>
          <w:bdr w:val="nil"/>
          <w:lang w:val="en-US"/>
        </w:rPr>
        <w:t xml:space="preserve">010, </w:t>
      </w:r>
      <w:r w:rsidR="00B255B4" w:rsidRPr="00900981">
        <w:rPr>
          <w:color w:val="191C1F"/>
          <w:shd w:val="clear" w:color="auto" w:fill="FFFFFF"/>
        </w:rPr>
        <w:t xml:space="preserve">Sparks, Loader and </w:t>
      </w:r>
      <w:proofErr w:type="spellStart"/>
      <w:r w:rsidR="00B255B4" w:rsidRPr="00900981">
        <w:rPr>
          <w:color w:val="191C1F"/>
          <w:shd w:val="clear" w:color="auto" w:fill="FFFFFF"/>
        </w:rPr>
        <w:t>Dzur</w:t>
      </w:r>
      <w:proofErr w:type="spellEnd"/>
      <w:r w:rsidR="00B255B4" w:rsidRPr="00900981">
        <w:rPr>
          <w:rStyle w:val="apple-converted-space"/>
          <w:color w:val="191C1F"/>
          <w:shd w:val="clear" w:color="auto" w:fill="FFFFFF"/>
        </w:rPr>
        <w:t xml:space="preserve"> </w:t>
      </w:r>
      <w:r w:rsidR="00B255B4" w:rsidRPr="00900981">
        <w:rPr>
          <w:color w:val="191C1F"/>
          <w:shd w:val="clear" w:color="auto" w:fill="FFFFFF"/>
        </w:rPr>
        <w:t>2016</w:t>
      </w:r>
      <w:r w:rsidR="00B255B4" w:rsidRPr="00900981">
        <w:rPr>
          <w:rFonts w:eastAsia="Arial Unicode MS"/>
          <w:bdr w:val="nil"/>
          <w:lang w:val="en-US"/>
        </w:rPr>
        <w:t>)</w:t>
      </w:r>
      <w:r w:rsidR="00873B65" w:rsidRPr="00900981">
        <w:rPr>
          <w:rFonts w:eastAsia="Arial Unicode MS"/>
          <w:bdr w:val="nil"/>
          <w:lang w:val="en-US"/>
        </w:rPr>
        <w:t xml:space="preserve">. Equally, </w:t>
      </w:r>
      <w:r w:rsidR="00B255B4" w:rsidRPr="00900981">
        <w:rPr>
          <w:rFonts w:eastAsia="Arial Unicode MS"/>
          <w:bdr w:val="nil"/>
          <w:lang w:val="en-US"/>
        </w:rPr>
        <w:t>a</w:t>
      </w:r>
      <w:r w:rsidR="002D1167" w:rsidRPr="00900981">
        <w:rPr>
          <w:rFonts w:eastAsia="Arial Unicode MS"/>
          <w:bdr w:val="nil"/>
          <w:lang w:val="en-US"/>
        </w:rPr>
        <w:t>dvocates</w:t>
      </w:r>
      <w:r w:rsidR="00B255B4" w:rsidRPr="00900981">
        <w:rPr>
          <w:rFonts w:eastAsia="Arial Unicode MS"/>
          <w:bdr w:val="nil"/>
          <w:lang w:val="en-US"/>
        </w:rPr>
        <w:t xml:space="preserve"> of</w:t>
      </w:r>
      <w:r w:rsidR="00693BF4" w:rsidRPr="00900981">
        <w:rPr>
          <w:rFonts w:eastAsia="Arial Unicode MS"/>
          <w:bdr w:val="nil"/>
          <w:lang w:val="en-US"/>
        </w:rPr>
        <w:t xml:space="preserve"> </w:t>
      </w:r>
      <w:r w:rsidR="002D1167" w:rsidRPr="00900981">
        <w:rPr>
          <w:rFonts w:eastAsia="Arial Unicode MS"/>
          <w:bdr w:val="nil"/>
          <w:lang w:val="en-US"/>
        </w:rPr>
        <w:t xml:space="preserve">prison-abolition </w:t>
      </w:r>
      <w:r w:rsidR="0081419C" w:rsidRPr="00900981">
        <w:rPr>
          <w:rFonts w:eastAsia="Arial Unicode MS"/>
          <w:bdr w:val="nil"/>
          <w:lang w:val="en-US"/>
        </w:rPr>
        <w:t>have made</w:t>
      </w:r>
      <w:r w:rsidR="00646A1E" w:rsidRPr="00900981">
        <w:rPr>
          <w:rFonts w:eastAsia="Arial Unicode MS"/>
          <w:bdr w:val="nil"/>
          <w:lang w:val="en-US"/>
        </w:rPr>
        <w:t xml:space="preserve"> </w:t>
      </w:r>
      <w:r w:rsidR="002D1167" w:rsidRPr="00900981">
        <w:rPr>
          <w:rFonts w:eastAsia="Arial Unicode MS"/>
          <w:bdr w:val="nil"/>
          <w:lang w:val="en-US"/>
        </w:rPr>
        <w:t>persuasive</w:t>
      </w:r>
      <w:r w:rsidR="0081419C" w:rsidRPr="00900981">
        <w:rPr>
          <w:rFonts w:eastAsia="Arial Unicode MS"/>
          <w:bdr w:val="nil"/>
          <w:lang w:val="en-US"/>
        </w:rPr>
        <w:t xml:space="preserve"> arguments</w:t>
      </w:r>
      <w:r w:rsidR="002D1167" w:rsidRPr="00900981">
        <w:rPr>
          <w:rFonts w:eastAsia="Arial Unicode MS"/>
          <w:bdr w:val="nil"/>
          <w:lang w:val="en-US"/>
        </w:rPr>
        <w:t xml:space="preserve"> </w:t>
      </w:r>
      <w:r w:rsidR="00430D06" w:rsidRPr="00900981">
        <w:rPr>
          <w:rFonts w:eastAsia="Arial Unicode MS"/>
          <w:bdr w:val="nil"/>
          <w:lang w:val="en-US"/>
        </w:rPr>
        <w:t>(</w:t>
      </w:r>
      <w:r w:rsidR="002D1167" w:rsidRPr="00900981">
        <w:rPr>
          <w:rFonts w:eastAsia="Arial Unicode MS"/>
          <w:bdr w:val="nil"/>
          <w:lang w:val="en-US"/>
        </w:rPr>
        <w:t>Carlen</w:t>
      </w:r>
      <w:r w:rsidR="00430D06" w:rsidRPr="00900981">
        <w:rPr>
          <w:rFonts w:eastAsia="Arial Unicode MS"/>
          <w:bdr w:val="nil"/>
          <w:lang w:val="en-US"/>
        </w:rPr>
        <w:t>,</w:t>
      </w:r>
      <w:r w:rsidR="002D1167" w:rsidRPr="00900981">
        <w:rPr>
          <w:rFonts w:eastAsia="Arial Unicode MS"/>
          <w:bdr w:val="nil"/>
          <w:lang w:val="en-US"/>
        </w:rPr>
        <w:t xml:space="preserve"> </w:t>
      </w:r>
      <w:r w:rsidR="00ED542A" w:rsidRPr="00900981">
        <w:rPr>
          <w:rFonts w:eastAsia="Arial Unicode MS"/>
          <w:bdr w:val="nil"/>
          <w:lang w:val="en-US"/>
        </w:rPr>
        <w:t>1990</w:t>
      </w:r>
      <w:r w:rsidR="00430D06" w:rsidRPr="00900981">
        <w:rPr>
          <w:rFonts w:eastAsia="Arial Unicode MS"/>
          <w:bdr w:val="nil"/>
          <w:lang w:val="en-US"/>
        </w:rPr>
        <w:t xml:space="preserve">; </w:t>
      </w:r>
      <w:r w:rsidR="00430D06" w:rsidRPr="00900981">
        <w:t xml:space="preserve">Ryan and Sim, 2007; </w:t>
      </w:r>
      <w:r w:rsidR="00430D06" w:rsidRPr="00900981">
        <w:rPr>
          <w:rFonts w:eastAsia="Arial Unicode MS"/>
          <w:bdr w:val="nil"/>
          <w:lang w:val="en-US"/>
        </w:rPr>
        <w:t>Ruggiero, 2010</w:t>
      </w:r>
      <w:r w:rsidR="002D1167" w:rsidRPr="00900981">
        <w:rPr>
          <w:rFonts w:eastAsia="Arial Unicode MS"/>
          <w:bdr w:val="nil"/>
          <w:lang w:val="en-US"/>
        </w:rPr>
        <w:t>)</w:t>
      </w:r>
      <w:r w:rsidR="00346159" w:rsidRPr="00900981">
        <w:rPr>
          <w:rFonts w:eastAsia="Arial Unicode MS"/>
          <w:bdr w:val="nil"/>
          <w:lang w:val="en-US"/>
        </w:rPr>
        <w:t>, and although some studies have looked back to the mid to late twentieth century, few have drawn evidence from a</w:t>
      </w:r>
      <w:r w:rsidR="005320AB" w:rsidRPr="00900981">
        <w:rPr>
          <w:rFonts w:eastAsia="Arial Unicode MS"/>
          <w:bdr w:val="nil"/>
          <w:lang w:val="en-US"/>
        </w:rPr>
        <w:t xml:space="preserve"> longer historical</w:t>
      </w:r>
      <w:r w:rsidR="00346159" w:rsidRPr="00900981">
        <w:rPr>
          <w:rFonts w:eastAsia="Arial Unicode MS"/>
          <w:bdr w:val="nil"/>
          <w:lang w:val="en-US"/>
        </w:rPr>
        <w:t xml:space="preserve"> frame</w:t>
      </w:r>
      <w:r w:rsidR="005320AB" w:rsidRPr="00900981">
        <w:rPr>
          <w:rFonts w:eastAsia="Arial Unicode MS"/>
          <w:bdr w:val="nil"/>
          <w:lang w:val="en-US"/>
        </w:rPr>
        <w:t>.</w:t>
      </w:r>
    </w:p>
    <w:p w:rsidR="00121F0A" w:rsidRPr="00900981" w:rsidRDefault="00121F0A" w:rsidP="005C4006">
      <w:pPr>
        <w:pBdr>
          <w:top w:val="nil"/>
          <w:left w:val="nil"/>
          <w:bottom w:val="nil"/>
          <w:right w:val="nil"/>
          <w:between w:val="nil"/>
          <w:bar w:val="nil"/>
        </w:pBdr>
        <w:spacing w:line="360" w:lineRule="auto"/>
        <w:jc w:val="both"/>
        <w:rPr>
          <w:rFonts w:eastAsia="Arial Unicode MS"/>
          <w:bdr w:val="nil"/>
          <w:lang w:val="en-US"/>
        </w:rPr>
      </w:pPr>
    </w:p>
    <w:p w:rsidR="00121F0A" w:rsidRPr="00900981" w:rsidRDefault="00121F0A" w:rsidP="005C4006">
      <w:pPr>
        <w:autoSpaceDE w:val="0"/>
        <w:autoSpaceDN w:val="0"/>
        <w:adjustRightInd w:val="0"/>
        <w:spacing w:line="360" w:lineRule="auto"/>
        <w:jc w:val="both"/>
      </w:pPr>
      <w:r w:rsidRPr="00900981">
        <w:rPr>
          <w:color w:val="000000" w:themeColor="text1"/>
        </w:rPr>
        <w:t>The term ‘</w:t>
      </w:r>
      <w:proofErr w:type="spellStart"/>
      <w:r w:rsidRPr="00900981">
        <w:rPr>
          <w:color w:val="000000" w:themeColor="text1"/>
        </w:rPr>
        <w:t>decarceration</w:t>
      </w:r>
      <w:proofErr w:type="spellEnd"/>
      <w:r w:rsidRPr="00900981">
        <w:rPr>
          <w:color w:val="000000" w:themeColor="text1"/>
        </w:rPr>
        <w:t xml:space="preserve">’ was framed in the US </w:t>
      </w:r>
      <w:r w:rsidRPr="00900981">
        <w:t xml:space="preserve">prison crises of the 1970s and 80s which drove a new critical criminological agenda. Activism calling for the abolition or radical reform of carceral institutions of many kinds energised criminal justice and social policy debates. In his classic study analysing the closure of US asylums, Scull defined </w:t>
      </w:r>
      <w:proofErr w:type="spellStart"/>
      <w:r w:rsidRPr="00900981">
        <w:t>decarceration</w:t>
      </w:r>
      <w:proofErr w:type="spellEnd"/>
      <w:r w:rsidRPr="00900981">
        <w:t xml:space="preserve"> as ‘the state-sponsored effort to de-institutionalise deviant populations’ (Scull, 1977:3</w:t>
      </w:r>
      <w:r w:rsidR="00430D06" w:rsidRPr="00900981">
        <w:t xml:space="preserve">; </w:t>
      </w:r>
      <w:r w:rsidR="006A16CB" w:rsidRPr="00900981">
        <w:t xml:space="preserve">see also Scull, </w:t>
      </w:r>
      <w:r w:rsidR="00430D06" w:rsidRPr="00900981">
        <w:t>1984</w:t>
      </w:r>
      <w:r w:rsidRPr="00900981">
        <w:t xml:space="preserve">). He saw </w:t>
      </w:r>
      <w:proofErr w:type="spellStart"/>
      <w:r w:rsidRPr="00900981">
        <w:t>decarceration</w:t>
      </w:r>
      <w:proofErr w:type="spellEnd"/>
      <w:r w:rsidRPr="00900981">
        <w:t xml:space="preserve"> as being primarily driven by the periodic fiscal crises of capitalism: when institutions became too costly, the state sought to reduce their size and scope. In so doing, however, the state passed on its duty to provide for vulnerable inmates to others, namely to the private sector and </w:t>
      </w:r>
      <w:proofErr w:type="gramStart"/>
      <w:r w:rsidRPr="00900981">
        <w:t>poorly-resourced</w:t>
      </w:r>
      <w:proofErr w:type="gramEnd"/>
      <w:r w:rsidRPr="00900981">
        <w:t xml:space="preserve"> community organisations.</w:t>
      </w:r>
      <w:r w:rsidR="00346159" w:rsidRPr="00900981">
        <w:t xml:space="preserve"> </w:t>
      </w:r>
    </w:p>
    <w:p w:rsidR="00121F0A" w:rsidRPr="00900981" w:rsidRDefault="00121F0A" w:rsidP="005C4006">
      <w:pPr>
        <w:autoSpaceDE w:val="0"/>
        <w:autoSpaceDN w:val="0"/>
        <w:adjustRightInd w:val="0"/>
        <w:spacing w:line="360" w:lineRule="auto"/>
        <w:jc w:val="both"/>
        <w:rPr>
          <w:color w:val="000000" w:themeColor="text1"/>
        </w:rPr>
      </w:pPr>
    </w:p>
    <w:p w:rsidR="005C4006" w:rsidRPr="00900981" w:rsidRDefault="00121F0A" w:rsidP="005C4006">
      <w:pPr>
        <w:spacing w:line="360" w:lineRule="auto"/>
        <w:jc w:val="both"/>
        <w:rPr>
          <w:color w:val="222222"/>
          <w:shd w:val="clear" w:color="auto" w:fill="FFFFFF"/>
          <w:lang w:eastAsia="en-GB"/>
        </w:rPr>
      </w:pPr>
      <w:r w:rsidRPr="00900981">
        <w:t xml:space="preserve">Scull’s view of </w:t>
      </w:r>
      <w:proofErr w:type="spellStart"/>
      <w:r w:rsidRPr="00900981">
        <w:t>decarceration</w:t>
      </w:r>
      <w:proofErr w:type="spellEnd"/>
      <w:r w:rsidRPr="00900981">
        <w:t>, however, was double-edged. On the one hand, he wanted to encourage it, on the other, he was highly critical of its effects</w:t>
      </w:r>
      <w:r w:rsidR="00BB0E85" w:rsidRPr="00900981">
        <w:t>, as were others (</w:t>
      </w:r>
      <w:r w:rsidR="00BB0E85" w:rsidRPr="007676C3">
        <w:rPr>
          <w:color w:val="222222"/>
          <w:shd w:val="clear" w:color="auto" w:fill="FFFFFF"/>
          <w:lang w:eastAsia="en-GB"/>
        </w:rPr>
        <w:t>Matthews</w:t>
      </w:r>
      <w:r w:rsidR="00BB0E85" w:rsidRPr="00900981">
        <w:rPr>
          <w:color w:val="222222"/>
          <w:shd w:val="clear" w:color="auto" w:fill="FFFFFF"/>
          <w:lang w:eastAsia="en-GB"/>
        </w:rPr>
        <w:t xml:space="preserve"> </w:t>
      </w:r>
      <w:r w:rsidR="00BB0E85" w:rsidRPr="007676C3">
        <w:rPr>
          <w:color w:val="222222"/>
          <w:shd w:val="clear" w:color="auto" w:fill="FFFFFF"/>
          <w:lang w:eastAsia="en-GB"/>
        </w:rPr>
        <w:t>1987</w:t>
      </w:r>
      <w:r w:rsidR="00BB0E85" w:rsidRPr="00900981">
        <w:t>)</w:t>
      </w:r>
      <w:r w:rsidRPr="00900981">
        <w:t xml:space="preserve">. This dichotomy characterised other well-known work in this field which also tended to focus </w:t>
      </w:r>
      <w:r w:rsidRPr="00900981">
        <w:lastRenderedPageBreak/>
        <w:t xml:space="preserve">more on highlighting the perverse consequences of </w:t>
      </w:r>
      <w:proofErr w:type="spellStart"/>
      <w:r w:rsidRPr="00900981">
        <w:t>decarceration</w:t>
      </w:r>
      <w:proofErr w:type="spellEnd"/>
      <w:r w:rsidRPr="00900981">
        <w:t xml:space="preserve"> than on suggesting how these might be mitigated. Cohen (1979, 1985) famously argued that community corrections were, above all, disturbing Foucauldian forms of dispersed discipline.  They were a means by which the state widened its coercive net and thinned its mesh. Hudson (1984:50) agreed that de-institutionalisation involved the ‘shift of custodial techniques from the institution to the community’. By this logic, </w:t>
      </w:r>
      <w:proofErr w:type="spellStart"/>
      <w:r w:rsidRPr="00900981">
        <w:t>decarceration</w:t>
      </w:r>
      <w:proofErr w:type="spellEnd"/>
      <w:r w:rsidRPr="00900981">
        <w:t xml:space="preserve"> became a dead-end argument – a process with an endpoint viewed as unattainable and often undesirable</w:t>
      </w:r>
      <w:r w:rsidR="009603EF" w:rsidRPr="00900981">
        <w:t xml:space="preserve"> (Hudson, 1987)</w:t>
      </w:r>
      <w:r w:rsidRPr="00900981">
        <w:t xml:space="preserve">. The </w:t>
      </w:r>
      <w:proofErr w:type="spellStart"/>
      <w:r w:rsidRPr="00900981">
        <w:t>decarceration</w:t>
      </w:r>
      <w:proofErr w:type="spellEnd"/>
      <w:r w:rsidRPr="00900981">
        <w:t xml:space="preserve"> debate was swept up in a morass of ‘Nothing Works’ debates, and its energies were dissipated</w:t>
      </w:r>
      <w:r w:rsidRPr="00900981">
        <w:rPr>
          <w:color w:val="000000" w:themeColor="text1"/>
        </w:rPr>
        <w:t xml:space="preserve">. </w:t>
      </w:r>
      <w:r w:rsidRPr="00900981">
        <w:t xml:space="preserve">In </w:t>
      </w:r>
      <w:r w:rsidR="005C4006" w:rsidRPr="00900981">
        <w:t>the twenty-first century</w:t>
      </w:r>
      <w:r w:rsidRPr="00900981">
        <w:t xml:space="preserve">, however, </w:t>
      </w:r>
      <w:proofErr w:type="spellStart"/>
      <w:r w:rsidRPr="00900981">
        <w:t>decarceration</w:t>
      </w:r>
      <w:proofErr w:type="spellEnd"/>
      <w:r w:rsidRPr="00900981">
        <w:t xml:space="preserve"> debates have gained a new momentum and a new urgency</w:t>
      </w:r>
      <w:r w:rsidR="00346159" w:rsidRPr="00900981">
        <w:t xml:space="preserve"> prompted in part by the rise of mass-incarceration in the United States (</w:t>
      </w:r>
      <w:r w:rsidR="00346159" w:rsidRPr="003B67CC">
        <w:rPr>
          <w:color w:val="222222"/>
          <w:shd w:val="clear" w:color="auto" w:fill="FFFFFF"/>
          <w:lang w:eastAsia="en-GB"/>
        </w:rPr>
        <w:t>Gottschalk</w:t>
      </w:r>
      <w:r w:rsidR="00346159" w:rsidRPr="00900981">
        <w:rPr>
          <w:color w:val="222222"/>
          <w:shd w:val="clear" w:color="auto" w:fill="FFFFFF"/>
          <w:lang w:eastAsia="en-GB"/>
        </w:rPr>
        <w:t xml:space="preserve"> </w:t>
      </w:r>
      <w:r w:rsidR="00346159" w:rsidRPr="003B67CC">
        <w:rPr>
          <w:color w:val="222222"/>
          <w:shd w:val="clear" w:color="auto" w:fill="FFFFFF"/>
          <w:lang w:eastAsia="en-GB"/>
        </w:rPr>
        <w:t>2005</w:t>
      </w:r>
      <w:r w:rsidR="005C4006" w:rsidRPr="00900981">
        <w:rPr>
          <w:color w:val="222222"/>
          <w:shd w:val="clear" w:color="auto" w:fill="FFFFFF"/>
          <w:lang w:eastAsia="en-GB"/>
        </w:rPr>
        <w:t xml:space="preserve">, </w:t>
      </w:r>
      <w:r w:rsidR="00346159" w:rsidRPr="003B67CC">
        <w:rPr>
          <w:color w:val="222222"/>
          <w:shd w:val="clear" w:color="auto" w:fill="FFFFFF"/>
          <w:lang w:eastAsia="en-GB"/>
        </w:rPr>
        <w:t>2015</w:t>
      </w:r>
      <w:r w:rsidR="005C4006" w:rsidRPr="00900981">
        <w:rPr>
          <w:color w:val="222222"/>
          <w:shd w:val="clear" w:color="auto" w:fill="FFFFFF"/>
          <w:lang w:eastAsia="en-GB"/>
        </w:rPr>
        <w:t xml:space="preserve">; </w:t>
      </w:r>
      <w:r w:rsidR="00346159" w:rsidRPr="00CF67D6">
        <w:rPr>
          <w:color w:val="222222"/>
          <w:shd w:val="clear" w:color="auto" w:fill="FFFFFF"/>
          <w:lang w:eastAsia="en-GB"/>
        </w:rPr>
        <w:t xml:space="preserve">Platt, </w:t>
      </w:r>
      <w:r w:rsidR="005C4006" w:rsidRPr="00900981">
        <w:rPr>
          <w:color w:val="222222"/>
          <w:shd w:val="clear" w:color="auto" w:fill="FFFFFF"/>
          <w:lang w:eastAsia="en-GB"/>
        </w:rPr>
        <w:t>2</w:t>
      </w:r>
      <w:r w:rsidR="00346159" w:rsidRPr="00CF67D6">
        <w:rPr>
          <w:color w:val="222222"/>
          <w:shd w:val="clear" w:color="auto" w:fill="FFFFFF"/>
          <w:lang w:eastAsia="en-GB"/>
        </w:rPr>
        <w:t>006</w:t>
      </w:r>
      <w:r w:rsidR="005C4006" w:rsidRPr="00900981">
        <w:rPr>
          <w:color w:val="222222"/>
          <w:shd w:val="clear" w:color="auto" w:fill="FFFFFF"/>
          <w:lang w:eastAsia="en-GB"/>
        </w:rPr>
        <w:t xml:space="preserve">; </w:t>
      </w:r>
      <w:r w:rsidR="00346159" w:rsidRPr="00900981">
        <w:rPr>
          <w:color w:val="222222"/>
          <w:shd w:val="clear" w:color="auto" w:fill="FFFFFF"/>
          <w:lang w:eastAsia="en-GB"/>
        </w:rPr>
        <w:t>D</w:t>
      </w:r>
      <w:r w:rsidR="00346159" w:rsidRPr="00CF67D6">
        <w:rPr>
          <w:color w:val="222222"/>
          <w:shd w:val="clear" w:color="auto" w:fill="FFFFFF"/>
          <w:lang w:eastAsia="en-GB"/>
        </w:rPr>
        <w:t>avis</w:t>
      </w:r>
      <w:r w:rsidR="00343CF0">
        <w:rPr>
          <w:color w:val="222222"/>
          <w:shd w:val="clear" w:color="auto" w:fill="FFFFFF"/>
          <w:lang w:eastAsia="en-GB"/>
        </w:rPr>
        <w:t xml:space="preserve"> and Rodriguez</w:t>
      </w:r>
      <w:r w:rsidR="00346159" w:rsidRPr="00CF67D6">
        <w:rPr>
          <w:color w:val="222222"/>
          <w:shd w:val="clear" w:color="auto" w:fill="FFFFFF"/>
          <w:lang w:eastAsia="en-GB"/>
        </w:rPr>
        <w:t>, 2000</w:t>
      </w:r>
      <w:r w:rsidR="005C4006" w:rsidRPr="00900981">
        <w:rPr>
          <w:color w:val="222222"/>
          <w:shd w:val="clear" w:color="auto" w:fill="FFFFFF"/>
          <w:lang w:eastAsia="en-GB"/>
        </w:rPr>
        <w:t xml:space="preserve">; </w:t>
      </w:r>
      <w:r w:rsidR="00346159" w:rsidRPr="007676C3">
        <w:rPr>
          <w:color w:val="222222"/>
          <w:shd w:val="clear" w:color="auto" w:fill="FFFFFF"/>
          <w:lang w:eastAsia="en-GB"/>
        </w:rPr>
        <w:t>Goodman</w:t>
      </w:r>
      <w:r w:rsidR="005C4006" w:rsidRPr="00900981">
        <w:rPr>
          <w:color w:val="222222"/>
          <w:shd w:val="clear" w:color="auto" w:fill="FFFFFF"/>
          <w:lang w:eastAsia="en-GB"/>
        </w:rPr>
        <w:t xml:space="preserve"> and</w:t>
      </w:r>
      <w:r w:rsidR="00346159" w:rsidRPr="007676C3">
        <w:rPr>
          <w:color w:val="222222"/>
          <w:shd w:val="clear" w:color="auto" w:fill="FFFFFF"/>
          <w:lang w:eastAsia="en-GB"/>
        </w:rPr>
        <w:t xml:space="preserve"> Dawe, 2015</w:t>
      </w:r>
      <w:r w:rsidR="00547F23">
        <w:rPr>
          <w:color w:val="222222"/>
          <w:shd w:val="clear" w:color="auto" w:fill="FFFFFF"/>
          <w:lang w:eastAsia="en-GB"/>
        </w:rPr>
        <w:t>; Cox,</w:t>
      </w:r>
      <w:r w:rsidR="00272E45">
        <w:rPr>
          <w:color w:val="222222"/>
          <w:shd w:val="clear" w:color="auto" w:fill="FFFFFF"/>
          <w:lang w:eastAsia="en-GB"/>
        </w:rPr>
        <w:t xml:space="preserve"> A.L.,</w:t>
      </w:r>
      <w:r w:rsidR="00547F23">
        <w:rPr>
          <w:color w:val="222222"/>
          <w:shd w:val="clear" w:color="auto" w:fill="FFFFFF"/>
          <w:lang w:eastAsia="en-GB"/>
        </w:rPr>
        <w:t xml:space="preserve"> 2018</w:t>
      </w:r>
      <w:r w:rsidR="00346159" w:rsidRPr="00900981">
        <w:t>)</w:t>
      </w:r>
      <w:r w:rsidR="005C4006" w:rsidRPr="00900981">
        <w:t>.</w:t>
      </w:r>
      <w:r w:rsidR="00346159" w:rsidRPr="00900981">
        <w:rPr>
          <w:rStyle w:val="FootnoteReference"/>
        </w:rPr>
        <w:footnoteReference w:id="1"/>
      </w:r>
      <w:r w:rsidR="005C4006" w:rsidRPr="00900981">
        <w:t xml:space="preserve"> The UK also witnessed a re-invigoration of debates around the uses and abuses of imprisonment </w:t>
      </w:r>
      <w:r w:rsidR="00874197" w:rsidRPr="00900981">
        <w:t xml:space="preserve">at the same time </w:t>
      </w:r>
      <w:r w:rsidR="00170D1D" w:rsidRPr="00900981">
        <w:t>(</w:t>
      </w:r>
      <w:r w:rsidR="006947E4" w:rsidRPr="00900981">
        <w:t xml:space="preserve">Goldson, 2005; </w:t>
      </w:r>
      <w:r w:rsidR="003B4B32" w:rsidRPr="00900981">
        <w:t xml:space="preserve">Howard League, 2014; </w:t>
      </w:r>
      <w:r w:rsidR="00170D1D" w:rsidRPr="00900981">
        <w:rPr>
          <w:rFonts w:eastAsia="Arial Unicode MS"/>
          <w:bdr w:val="nil"/>
          <w:lang w:val="en-US"/>
        </w:rPr>
        <w:t xml:space="preserve">Moore, </w:t>
      </w:r>
      <w:proofErr w:type="spellStart"/>
      <w:r w:rsidR="00170D1D" w:rsidRPr="00900981">
        <w:rPr>
          <w:rFonts w:eastAsia="Arial Unicode MS"/>
          <w:bdr w:val="nil"/>
          <w:lang w:val="en-US"/>
        </w:rPr>
        <w:t>Scraton</w:t>
      </w:r>
      <w:proofErr w:type="spellEnd"/>
      <w:r w:rsidR="00170D1D" w:rsidRPr="00900981">
        <w:rPr>
          <w:rFonts w:eastAsia="Arial Unicode MS"/>
          <w:bdr w:val="nil"/>
          <w:lang w:val="en-US"/>
        </w:rPr>
        <w:t xml:space="preserve"> and </w:t>
      </w:r>
      <w:proofErr w:type="spellStart"/>
      <w:r w:rsidR="00170D1D" w:rsidRPr="00900981">
        <w:rPr>
          <w:rFonts w:eastAsia="Arial Unicode MS"/>
          <w:bdr w:val="nil"/>
          <w:lang w:val="en-US"/>
        </w:rPr>
        <w:t>Wahidrin</w:t>
      </w:r>
      <w:proofErr w:type="spellEnd"/>
      <w:r w:rsidR="00170D1D" w:rsidRPr="00900981">
        <w:rPr>
          <w:rFonts w:eastAsia="Arial Unicode MS"/>
          <w:bdr w:val="nil"/>
          <w:lang w:val="en-US"/>
        </w:rPr>
        <w:t>, 2017)</w:t>
      </w:r>
      <w:r w:rsidR="00F577AC" w:rsidRPr="00900981">
        <w:t xml:space="preserve">, </w:t>
      </w:r>
      <w:r w:rsidR="00873B65" w:rsidRPr="00900981">
        <w:t xml:space="preserve">not least because </w:t>
      </w:r>
      <w:r w:rsidR="00873B65" w:rsidRPr="00900981">
        <w:rPr>
          <w:rFonts w:eastAsia="MS Mincho"/>
          <w:color w:val="000000" w:themeColor="text1"/>
        </w:rPr>
        <w:t>England and Wales have the highest imprisonment rates in Western Europe</w:t>
      </w:r>
      <w:r w:rsidR="003B4B32" w:rsidRPr="00900981">
        <w:rPr>
          <w:rFonts w:eastAsia="MS Mincho"/>
          <w:color w:val="000000" w:themeColor="text1"/>
        </w:rPr>
        <w:t xml:space="preserve">, with </w:t>
      </w:r>
      <w:r w:rsidR="00873B65" w:rsidRPr="00900981">
        <w:rPr>
          <w:rFonts w:eastAsia="MS Mincho"/>
          <w:color w:val="000000" w:themeColor="text1"/>
        </w:rPr>
        <w:t>154 prisoners for every 100,000 people</w:t>
      </w:r>
      <w:r w:rsidR="003B4B32" w:rsidRPr="00900981">
        <w:rPr>
          <w:rFonts w:eastAsia="MS Mincho"/>
          <w:color w:val="000000" w:themeColor="text1"/>
        </w:rPr>
        <w:t xml:space="preserve"> in Wales</w:t>
      </w:r>
      <w:r w:rsidR="00873B65" w:rsidRPr="00900981">
        <w:rPr>
          <w:rFonts w:eastAsia="MS Mincho"/>
          <w:color w:val="000000" w:themeColor="text1"/>
        </w:rPr>
        <w:t>, and 138 in England (Rees, 2019).</w:t>
      </w:r>
      <w:r w:rsidR="00FB127D" w:rsidRPr="00900981">
        <w:t xml:space="preserve"> </w:t>
      </w:r>
      <w:r w:rsidRPr="00900981">
        <w:t>This article seeks to bring</w:t>
      </w:r>
      <w:r w:rsidR="005E5C31" w:rsidRPr="00900981">
        <w:t xml:space="preserve"> a much-ne</w:t>
      </w:r>
      <w:r w:rsidRPr="00900981">
        <w:t>eded historical dimension to those debates.</w:t>
      </w:r>
      <w:r w:rsidR="005C4006" w:rsidRPr="00900981">
        <w:rPr>
          <w:lang w:eastAsia="en-GB"/>
        </w:rPr>
        <w:t xml:space="preserve"> </w:t>
      </w:r>
    </w:p>
    <w:p w:rsidR="005C4006" w:rsidRPr="00900981" w:rsidRDefault="005C4006" w:rsidP="005C4006">
      <w:pPr>
        <w:spacing w:line="360" w:lineRule="auto"/>
        <w:jc w:val="both"/>
        <w:rPr>
          <w:lang w:eastAsia="en-GB"/>
        </w:rPr>
      </w:pPr>
    </w:p>
    <w:p w:rsidR="00B255B4" w:rsidRPr="00900981" w:rsidRDefault="00B255B4" w:rsidP="005C4006">
      <w:pPr>
        <w:spacing w:line="360" w:lineRule="auto"/>
        <w:jc w:val="both"/>
      </w:pPr>
      <w:r w:rsidRPr="00900981">
        <w:rPr>
          <w:rFonts w:eastAsia="Arial Unicode MS"/>
          <w:bdr w:val="nil"/>
          <w:lang w:val="en-US"/>
        </w:rPr>
        <w:t xml:space="preserve">Understanding past and present dynamics of </w:t>
      </w:r>
      <w:proofErr w:type="spellStart"/>
      <w:r w:rsidRPr="00900981">
        <w:rPr>
          <w:rFonts w:eastAsia="Arial Unicode MS"/>
          <w:bdr w:val="nil"/>
          <w:lang w:val="en-US"/>
        </w:rPr>
        <w:t>decarceration</w:t>
      </w:r>
      <w:proofErr w:type="spellEnd"/>
      <w:r w:rsidRPr="00900981">
        <w:rPr>
          <w:rFonts w:eastAsia="Arial Unicode MS"/>
          <w:bdr w:val="nil"/>
          <w:lang w:val="en-US"/>
        </w:rPr>
        <w:t xml:space="preserve"> matters because there is a quiet revolution currently underway in the British youth justice system. The numbers of young people committed to some form of custody has declined from over 7000 in the late 1970s, to 2800 to 2000, to 1250 in 2013 to under 1000 </w:t>
      </w:r>
      <w:r w:rsidR="00A01121" w:rsidRPr="00900981">
        <w:rPr>
          <w:rFonts w:eastAsia="Arial Unicode MS"/>
          <w:bdr w:val="nil"/>
          <w:lang w:val="en-US"/>
        </w:rPr>
        <w:t>in 2016</w:t>
      </w:r>
      <w:r w:rsidRPr="00900981">
        <w:rPr>
          <w:rFonts w:eastAsia="Arial Unicode MS"/>
          <w:bdr w:val="nil"/>
          <w:lang w:val="en-US"/>
        </w:rPr>
        <w:t xml:space="preserve"> (</w:t>
      </w:r>
      <w:proofErr w:type="spellStart"/>
      <w:r w:rsidR="006947E4" w:rsidRPr="00900981">
        <w:rPr>
          <w:rFonts w:eastAsia="Arial Unicode MS"/>
          <w:bdr w:val="nil"/>
          <w:lang w:val="en-US"/>
        </w:rPr>
        <w:t>Cunneen</w:t>
      </w:r>
      <w:proofErr w:type="spellEnd"/>
      <w:r w:rsidR="006947E4" w:rsidRPr="00900981">
        <w:rPr>
          <w:rFonts w:eastAsia="Arial Unicode MS"/>
          <w:bdr w:val="nil"/>
          <w:lang w:val="en-US"/>
        </w:rPr>
        <w:t xml:space="preserve"> et al, 2018; </w:t>
      </w:r>
      <w:r w:rsidRPr="00900981">
        <w:rPr>
          <w:rFonts w:eastAsia="Arial Unicode MS"/>
          <w:bdr w:val="nil"/>
          <w:lang w:val="en-US"/>
        </w:rPr>
        <w:t>Goldson, 201</w:t>
      </w:r>
      <w:r w:rsidR="006947E4" w:rsidRPr="00900981">
        <w:rPr>
          <w:rFonts w:eastAsia="Arial Unicode MS"/>
          <w:bdr w:val="nil"/>
          <w:lang w:val="en-US"/>
        </w:rPr>
        <w:t>5</w:t>
      </w:r>
      <w:r w:rsidRPr="00900981">
        <w:rPr>
          <w:rFonts w:eastAsia="Arial Unicode MS"/>
          <w:bdr w:val="nil"/>
          <w:lang w:val="en-US"/>
        </w:rPr>
        <w:t xml:space="preserve">; Godfrey et al, 2017:191; </w:t>
      </w:r>
      <w:r w:rsidR="00C044DD" w:rsidRPr="00900981">
        <w:rPr>
          <w:rFonts w:eastAsia="Arial Unicode MS"/>
          <w:bdr w:val="nil"/>
          <w:lang w:val="en-US"/>
        </w:rPr>
        <w:t>YJB/</w:t>
      </w:r>
      <w:r w:rsidRPr="00900981">
        <w:rPr>
          <w:rFonts w:eastAsia="Arial Unicode MS"/>
          <w:bdr w:val="nil"/>
          <w:lang w:val="en-US"/>
        </w:rPr>
        <w:t>MOJ, 2016).</w:t>
      </w:r>
      <w:r w:rsidR="00A01121" w:rsidRPr="00900981">
        <w:rPr>
          <w:rFonts w:eastAsia="Arial Unicode MS"/>
          <w:bdr w:val="nil"/>
          <w:lang w:val="en-US"/>
        </w:rPr>
        <w:t xml:space="preserve"> The average monthly population in youth custody in 2018 was just 894 (YJB/MOJ, 2018).</w:t>
      </w:r>
      <w:r w:rsidRPr="00900981">
        <w:rPr>
          <w:rFonts w:eastAsia="Arial Unicode MS"/>
          <w:bdr w:val="nil"/>
          <w:lang w:val="en-US"/>
        </w:rPr>
        <w:t xml:space="preserve"> In revealing the extent of the decline, this article argues that youth </w:t>
      </w:r>
      <w:proofErr w:type="spellStart"/>
      <w:r w:rsidRPr="00900981">
        <w:rPr>
          <w:rFonts w:eastAsia="Arial Unicode MS"/>
          <w:bdr w:val="nil"/>
          <w:lang w:val="en-US"/>
        </w:rPr>
        <w:t>decarceration</w:t>
      </w:r>
      <w:proofErr w:type="spellEnd"/>
      <w:r w:rsidRPr="00900981">
        <w:rPr>
          <w:rFonts w:eastAsia="Arial Unicode MS"/>
          <w:bdr w:val="nil"/>
          <w:lang w:val="en-US"/>
        </w:rPr>
        <w:t xml:space="preserve"> can not only be achieved, but </w:t>
      </w:r>
      <w:r w:rsidR="00A56BFD" w:rsidRPr="00900981">
        <w:rPr>
          <w:rFonts w:eastAsia="Arial Unicode MS"/>
          <w:bdr w:val="nil"/>
          <w:lang w:val="en-US"/>
        </w:rPr>
        <w:t xml:space="preserve">also </w:t>
      </w:r>
      <w:r w:rsidRPr="00900981">
        <w:rPr>
          <w:rFonts w:eastAsia="Arial Unicode MS"/>
          <w:bdr w:val="nil"/>
          <w:lang w:val="en-US"/>
        </w:rPr>
        <w:t xml:space="preserve">achieved over a comparatively short period of time. This article offers an historical overview of the factors shaping early </w:t>
      </w:r>
      <w:proofErr w:type="spellStart"/>
      <w:r w:rsidRPr="00900981">
        <w:rPr>
          <w:rFonts w:eastAsia="Arial Unicode MS"/>
          <w:bdr w:val="nil"/>
          <w:lang w:val="en-US"/>
        </w:rPr>
        <w:t>decarceral</w:t>
      </w:r>
      <w:proofErr w:type="spellEnd"/>
      <w:r w:rsidRPr="00900981">
        <w:rPr>
          <w:rFonts w:eastAsia="Arial Unicode MS"/>
          <w:bdr w:val="nil"/>
          <w:lang w:val="en-US"/>
        </w:rPr>
        <w:t xml:space="preserve"> trends and of classic and more recent theories of </w:t>
      </w:r>
      <w:proofErr w:type="spellStart"/>
      <w:r w:rsidRPr="00900981">
        <w:rPr>
          <w:rFonts w:eastAsia="Arial Unicode MS"/>
          <w:bdr w:val="nil"/>
          <w:lang w:val="en-US"/>
        </w:rPr>
        <w:t>decarceration</w:t>
      </w:r>
      <w:proofErr w:type="spellEnd"/>
      <w:r w:rsidRPr="00900981">
        <w:rPr>
          <w:rFonts w:eastAsia="Arial Unicode MS"/>
          <w:bdr w:val="nil"/>
          <w:lang w:val="en-US"/>
        </w:rPr>
        <w:t xml:space="preserve"> in order to offer a way of re-imagining </w:t>
      </w:r>
      <w:proofErr w:type="spellStart"/>
      <w:r w:rsidRPr="00900981">
        <w:rPr>
          <w:rFonts w:eastAsia="Arial Unicode MS"/>
          <w:bdr w:val="nil"/>
          <w:lang w:val="en-US"/>
        </w:rPr>
        <w:t>decarceration</w:t>
      </w:r>
      <w:proofErr w:type="spellEnd"/>
      <w:r w:rsidRPr="00900981">
        <w:rPr>
          <w:rFonts w:eastAsia="Arial Unicode MS"/>
          <w:bdr w:val="nil"/>
          <w:lang w:val="en-US"/>
        </w:rPr>
        <w:t xml:space="preserve"> for our times. It supports calls by magistrates, policy makers, criminal justice frontline workers, and child rights advocates, in arguing that we should now call time on youth custody in </w:t>
      </w:r>
      <w:proofErr w:type="spellStart"/>
      <w:r w:rsidRPr="00900981">
        <w:rPr>
          <w:rFonts w:eastAsia="Arial Unicode MS"/>
          <w:bdr w:val="nil"/>
          <w:lang w:val="en-US"/>
        </w:rPr>
        <w:t>favour</w:t>
      </w:r>
      <w:proofErr w:type="spellEnd"/>
      <w:r w:rsidRPr="00900981">
        <w:rPr>
          <w:rFonts w:eastAsia="Arial Unicode MS"/>
          <w:bdr w:val="nil"/>
          <w:lang w:val="en-US"/>
        </w:rPr>
        <w:t xml:space="preserve"> of more creative and </w:t>
      </w:r>
      <w:proofErr w:type="gramStart"/>
      <w:r w:rsidRPr="00900981">
        <w:rPr>
          <w:rFonts w:eastAsia="Arial Unicode MS"/>
          <w:bdr w:val="nil"/>
          <w:lang w:val="en-US"/>
        </w:rPr>
        <w:t>therapeutically-oriented</w:t>
      </w:r>
      <w:proofErr w:type="gramEnd"/>
      <w:r w:rsidRPr="00900981">
        <w:rPr>
          <w:rFonts w:eastAsia="Arial Unicode MS"/>
          <w:bdr w:val="nil"/>
          <w:lang w:val="en-US"/>
        </w:rPr>
        <w:t xml:space="preserve"> alternatives.</w:t>
      </w:r>
    </w:p>
    <w:p w:rsidR="009553A8" w:rsidRPr="00900981" w:rsidRDefault="009553A8" w:rsidP="005C4006">
      <w:pPr>
        <w:pBdr>
          <w:top w:val="nil"/>
          <w:left w:val="nil"/>
          <w:bottom w:val="nil"/>
          <w:right w:val="nil"/>
          <w:between w:val="nil"/>
          <w:bar w:val="nil"/>
        </w:pBdr>
        <w:spacing w:line="360" w:lineRule="auto"/>
        <w:jc w:val="both"/>
        <w:rPr>
          <w:rFonts w:eastAsia="Arial Unicode MS"/>
          <w:bdr w:val="nil"/>
          <w:lang w:val="en-US"/>
        </w:rPr>
      </w:pPr>
    </w:p>
    <w:p w:rsidR="003324CA" w:rsidRPr="00900981" w:rsidRDefault="005E5C31" w:rsidP="005C4006">
      <w:pPr>
        <w:pBdr>
          <w:top w:val="nil"/>
          <w:left w:val="nil"/>
          <w:bottom w:val="nil"/>
          <w:right w:val="nil"/>
          <w:between w:val="nil"/>
          <w:bar w:val="nil"/>
        </w:pBdr>
        <w:spacing w:line="360" w:lineRule="auto"/>
        <w:jc w:val="both"/>
        <w:rPr>
          <w:rFonts w:eastAsia="MS Mincho"/>
          <w:b/>
          <w:color w:val="000000" w:themeColor="text1"/>
        </w:rPr>
      </w:pPr>
      <w:r w:rsidRPr="00900981">
        <w:rPr>
          <w:rFonts w:eastAsia="Arial Unicode MS"/>
          <w:b/>
          <w:bdr w:val="nil"/>
          <w:lang w:val="en-US"/>
        </w:rPr>
        <w:lastRenderedPageBreak/>
        <w:t>T</w:t>
      </w:r>
      <w:r w:rsidR="00393139" w:rsidRPr="00900981">
        <w:rPr>
          <w:rFonts w:eastAsia="Arial Unicode MS"/>
          <w:b/>
          <w:bdr w:val="nil"/>
          <w:lang w:val="en-US"/>
        </w:rPr>
        <w:t xml:space="preserve">rends </w:t>
      </w:r>
      <w:r w:rsidR="009B2CFB" w:rsidRPr="00900981">
        <w:rPr>
          <w:rFonts w:eastAsia="Arial Unicode MS"/>
          <w:b/>
          <w:bdr w:val="nil"/>
          <w:lang w:val="en-US"/>
        </w:rPr>
        <w:t>in</w:t>
      </w:r>
      <w:r w:rsidR="00393139" w:rsidRPr="00900981">
        <w:rPr>
          <w:rFonts w:eastAsia="Arial Unicode MS"/>
          <w:b/>
          <w:bdr w:val="nil"/>
          <w:lang w:val="en-US"/>
        </w:rPr>
        <w:t xml:space="preserve"> </w:t>
      </w:r>
      <w:r w:rsidR="009B2CFB" w:rsidRPr="00900981">
        <w:rPr>
          <w:rFonts w:eastAsia="MS Mincho"/>
          <w:b/>
          <w:color w:val="000000" w:themeColor="text1"/>
        </w:rPr>
        <w:t>Adult Incarceration</w:t>
      </w:r>
      <w:r w:rsidR="003B4B32" w:rsidRPr="00900981">
        <w:rPr>
          <w:rFonts w:eastAsia="MS Mincho"/>
          <w:b/>
          <w:color w:val="000000" w:themeColor="text1"/>
        </w:rPr>
        <w:t xml:space="preserve"> and </w:t>
      </w:r>
      <w:proofErr w:type="spellStart"/>
      <w:r w:rsidR="003B4B32" w:rsidRPr="00900981">
        <w:rPr>
          <w:rFonts w:eastAsia="MS Mincho"/>
          <w:b/>
          <w:color w:val="000000" w:themeColor="text1"/>
        </w:rPr>
        <w:t>Decarceration</w:t>
      </w:r>
      <w:proofErr w:type="spellEnd"/>
      <w:r w:rsidR="0039782E" w:rsidRPr="00900981">
        <w:rPr>
          <w:rFonts w:eastAsia="MS Mincho"/>
          <w:b/>
          <w:color w:val="000000" w:themeColor="text1"/>
        </w:rPr>
        <w:t>, 1850s to 1940s</w:t>
      </w:r>
    </w:p>
    <w:p w:rsidR="00D734E6" w:rsidRPr="00900981" w:rsidRDefault="00D734E6" w:rsidP="005C4006">
      <w:pPr>
        <w:pBdr>
          <w:top w:val="nil"/>
          <w:left w:val="nil"/>
          <w:bottom w:val="nil"/>
          <w:right w:val="nil"/>
          <w:between w:val="nil"/>
          <w:bar w:val="nil"/>
        </w:pBdr>
        <w:spacing w:line="360" w:lineRule="auto"/>
        <w:jc w:val="both"/>
        <w:rPr>
          <w:color w:val="000000" w:themeColor="text1"/>
        </w:rPr>
      </w:pPr>
    </w:p>
    <w:p w:rsidR="00DE1CD2" w:rsidRPr="00A35AE0" w:rsidRDefault="003C02E7" w:rsidP="00900981">
      <w:pPr>
        <w:pBdr>
          <w:top w:val="nil"/>
          <w:left w:val="nil"/>
          <w:bottom w:val="nil"/>
          <w:right w:val="nil"/>
          <w:between w:val="nil"/>
          <w:bar w:val="nil"/>
        </w:pBdr>
        <w:spacing w:line="360" w:lineRule="auto"/>
        <w:jc w:val="both"/>
        <w:rPr>
          <w:color w:val="000000" w:themeColor="text1"/>
        </w:rPr>
      </w:pPr>
      <w:r w:rsidRPr="00900981">
        <w:rPr>
          <w:color w:val="000000" w:themeColor="text1"/>
        </w:rPr>
        <w:t xml:space="preserve">The </w:t>
      </w:r>
      <w:r w:rsidR="001949AF" w:rsidRPr="00900981">
        <w:rPr>
          <w:color w:val="000000" w:themeColor="text1"/>
        </w:rPr>
        <w:t xml:space="preserve">English </w:t>
      </w:r>
      <w:r w:rsidR="001D6B28" w:rsidRPr="00900981">
        <w:rPr>
          <w:color w:val="000000" w:themeColor="text1"/>
        </w:rPr>
        <w:t xml:space="preserve">and Welsh </w:t>
      </w:r>
      <w:r w:rsidR="00D62663" w:rsidRPr="00900981">
        <w:rPr>
          <w:color w:val="000000" w:themeColor="text1"/>
        </w:rPr>
        <w:t xml:space="preserve">prison population </w:t>
      </w:r>
      <w:r w:rsidR="00573F08" w:rsidRPr="00900981">
        <w:rPr>
          <w:color w:val="000000" w:themeColor="text1"/>
        </w:rPr>
        <w:t>grew</w:t>
      </w:r>
      <w:r w:rsidR="00DF34D5" w:rsidRPr="00900981">
        <w:rPr>
          <w:color w:val="000000" w:themeColor="text1"/>
        </w:rPr>
        <w:t xml:space="preserve"> </w:t>
      </w:r>
      <w:r w:rsidR="002933AD" w:rsidRPr="00900981">
        <w:rPr>
          <w:color w:val="000000" w:themeColor="text1"/>
        </w:rPr>
        <w:t>rapidly</w:t>
      </w:r>
      <w:r w:rsidR="001949AF" w:rsidRPr="00900981">
        <w:rPr>
          <w:color w:val="000000" w:themeColor="text1"/>
        </w:rPr>
        <w:t xml:space="preserve"> </w:t>
      </w:r>
      <w:r w:rsidR="0053370A" w:rsidRPr="00900981">
        <w:rPr>
          <w:color w:val="000000" w:themeColor="text1"/>
        </w:rPr>
        <w:t xml:space="preserve">from its modern formation </w:t>
      </w:r>
      <w:r w:rsidR="001949AF" w:rsidRPr="00900981">
        <w:rPr>
          <w:color w:val="000000" w:themeColor="text1"/>
        </w:rPr>
        <w:t>in the 1850s, reaching</w:t>
      </w:r>
      <w:r w:rsidR="00E143ED" w:rsidRPr="00900981">
        <w:rPr>
          <w:color w:val="000000" w:themeColor="text1"/>
        </w:rPr>
        <w:t xml:space="preserve"> a</w:t>
      </w:r>
      <w:r w:rsidR="001949AF" w:rsidRPr="00900981">
        <w:rPr>
          <w:color w:val="000000" w:themeColor="text1"/>
        </w:rPr>
        <w:t>n average daily</w:t>
      </w:r>
      <w:r w:rsidR="00E143ED" w:rsidRPr="00900981">
        <w:rPr>
          <w:color w:val="000000" w:themeColor="text1"/>
        </w:rPr>
        <w:t xml:space="preserve"> peak of </w:t>
      </w:r>
      <w:r w:rsidR="00D62663" w:rsidRPr="00900981">
        <w:rPr>
          <w:color w:val="000000" w:themeColor="text1"/>
        </w:rPr>
        <w:t>25,074 in 1879</w:t>
      </w:r>
      <w:r w:rsidR="00D662AA" w:rsidRPr="00900981">
        <w:rPr>
          <w:color w:val="000000" w:themeColor="text1"/>
        </w:rPr>
        <w:t xml:space="preserve"> (see </w:t>
      </w:r>
      <w:r w:rsidR="00B255B4" w:rsidRPr="00900981">
        <w:rPr>
          <w:color w:val="000000" w:themeColor="text1"/>
        </w:rPr>
        <w:t>F</w:t>
      </w:r>
      <w:r w:rsidR="00D662AA" w:rsidRPr="00900981">
        <w:rPr>
          <w:color w:val="000000" w:themeColor="text1"/>
        </w:rPr>
        <w:t>ig 1)</w:t>
      </w:r>
      <w:r w:rsidR="0053370A" w:rsidRPr="00900981">
        <w:rPr>
          <w:color w:val="000000" w:themeColor="text1"/>
        </w:rPr>
        <w:t xml:space="preserve">. However, </w:t>
      </w:r>
      <w:r w:rsidR="005E5C31" w:rsidRPr="00900981">
        <w:rPr>
          <w:color w:val="000000" w:themeColor="text1"/>
        </w:rPr>
        <w:t>thereafter</w:t>
      </w:r>
      <w:r w:rsidR="0057683C" w:rsidRPr="00900981">
        <w:rPr>
          <w:color w:val="000000" w:themeColor="text1"/>
        </w:rPr>
        <w:t>,</w:t>
      </w:r>
      <w:r w:rsidR="005E5C31" w:rsidRPr="00900981">
        <w:rPr>
          <w:color w:val="000000" w:themeColor="text1"/>
        </w:rPr>
        <w:t xml:space="preserve"> the</w:t>
      </w:r>
      <w:r w:rsidR="00DF34D5" w:rsidRPr="00900981">
        <w:rPr>
          <w:color w:val="000000" w:themeColor="text1"/>
        </w:rPr>
        <w:t xml:space="preserve"> rate of growth</w:t>
      </w:r>
      <w:r w:rsidR="002933AD" w:rsidRPr="00900981">
        <w:rPr>
          <w:color w:val="000000" w:themeColor="text1"/>
        </w:rPr>
        <w:t xml:space="preserve"> slowed</w:t>
      </w:r>
      <w:r w:rsidR="0053370A" w:rsidRPr="00900981">
        <w:rPr>
          <w:color w:val="000000" w:themeColor="text1"/>
        </w:rPr>
        <w:t xml:space="preserve"> dramatically</w:t>
      </w:r>
      <w:r w:rsidR="001949AF" w:rsidRPr="00900981">
        <w:rPr>
          <w:color w:val="000000" w:themeColor="text1"/>
        </w:rPr>
        <w:t xml:space="preserve">. </w:t>
      </w:r>
      <w:r w:rsidR="00DF34D5" w:rsidRPr="00900981">
        <w:rPr>
          <w:color w:val="000000" w:themeColor="text1"/>
        </w:rPr>
        <w:t xml:space="preserve">With the exception of </w:t>
      </w:r>
      <w:r w:rsidR="00D633EB" w:rsidRPr="00900981">
        <w:rPr>
          <w:color w:val="000000" w:themeColor="text1"/>
        </w:rPr>
        <w:t xml:space="preserve">a brief </w:t>
      </w:r>
      <w:r w:rsidR="002933AD" w:rsidRPr="00900981">
        <w:rPr>
          <w:color w:val="000000" w:themeColor="text1"/>
        </w:rPr>
        <w:t xml:space="preserve">further </w:t>
      </w:r>
      <w:r w:rsidR="00D633EB" w:rsidRPr="00900981">
        <w:rPr>
          <w:color w:val="000000" w:themeColor="text1"/>
        </w:rPr>
        <w:t>rise in the early 1900s</w:t>
      </w:r>
      <w:r w:rsidR="002933AD" w:rsidRPr="00900981">
        <w:rPr>
          <w:color w:val="000000" w:themeColor="text1"/>
        </w:rPr>
        <w:t>,</w:t>
      </w:r>
      <w:r w:rsidR="00D633EB" w:rsidRPr="00900981">
        <w:rPr>
          <w:color w:val="000000" w:themeColor="text1"/>
        </w:rPr>
        <w:t xml:space="preserve"> </w:t>
      </w:r>
      <w:r w:rsidR="001949AF" w:rsidRPr="00900981">
        <w:rPr>
          <w:color w:val="000000" w:themeColor="text1"/>
        </w:rPr>
        <w:t xml:space="preserve">it </w:t>
      </w:r>
      <w:r w:rsidR="00E143ED" w:rsidRPr="00900981">
        <w:rPr>
          <w:color w:val="000000" w:themeColor="text1"/>
        </w:rPr>
        <w:t>followed a broad downward trend</w:t>
      </w:r>
      <w:r w:rsidR="00CA45D5" w:rsidRPr="00900981">
        <w:rPr>
          <w:color w:val="000000" w:themeColor="text1"/>
        </w:rPr>
        <w:t xml:space="preserve"> </w:t>
      </w:r>
      <w:r w:rsidR="002933AD" w:rsidRPr="00900981">
        <w:rPr>
          <w:color w:val="000000" w:themeColor="text1"/>
        </w:rPr>
        <w:t>from the 1880s on</w:t>
      </w:r>
      <w:r w:rsidR="00A0448D" w:rsidRPr="00900981">
        <w:rPr>
          <w:color w:val="000000" w:themeColor="text1"/>
        </w:rPr>
        <w:t>wards</w:t>
      </w:r>
      <w:r w:rsidR="002933AD" w:rsidRPr="00900981">
        <w:rPr>
          <w:color w:val="000000" w:themeColor="text1"/>
        </w:rPr>
        <w:t xml:space="preserve"> </w:t>
      </w:r>
      <w:r w:rsidR="00CA45D5" w:rsidRPr="00900981">
        <w:rPr>
          <w:color w:val="000000" w:themeColor="text1"/>
        </w:rPr>
        <w:t xml:space="preserve">which lasted </w:t>
      </w:r>
      <w:r w:rsidR="00A0448D" w:rsidRPr="00900981">
        <w:rPr>
          <w:color w:val="000000" w:themeColor="text1"/>
        </w:rPr>
        <w:t xml:space="preserve">for </w:t>
      </w:r>
      <w:r w:rsidR="00CA45D5" w:rsidRPr="00900981">
        <w:rPr>
          <w:color w:val="000000" w:themeColor="text1"/>
        </w:rPr>
        <w:t>over six decades</w:t>
      </w:r>
      <w:r w:rsidR="006C62A6" w:rsidRPr="00900981">
        <w:rPr>
          <w:color w:val="000000" w:themeColor="text1"/>
        </w:rPr>
        <w:t>. At the start</w:t>
      </w:r>
      <w:r w:rsidR="006C62A6" w:rsidRPr="00A35AE0">
        <w:rPr>
          <w:color w:val="000000" w:themeColor="text1"/>
        </w:rPr>
        <w:t xml:space="preserve"> of the First World War, the average daily population was just 10,326 – the lowest it has been</w:t>
      </w:r>
      <w:r w:rsidR="00DF34D5" w:rsidRPr="00A35AE0">
        <w:rPr>
          <w:color w:val="000000" w:themeColor="text1"/>
        </w:rPr>
        <w:t xml:space="preserve"> since the prison estate was formed in the 1850s</w:t>
      </w:r>
      <w:r w:rsidR="006C62A6" w:rsidRPr="00A35AE0">
        <w:rPr>
          <w:color w:val="000000" w:themeColor="text1"/>
        </w:rPr>
        <w:t xml:space="preserve"> – and by the end of </w:t>
      </w:r>
      <w:r w:rsidR="00317777">
        <w:rPr>
          <w:color w:val="000000" w:themeColor="text1"/>
        </w:rPr>
        <w:t>the Second World War</w:t>
      </w:r>
      <w:r w:rsidR="006C62A6" w:rsidRPr="00A35AE0">
        <w:rPr>
          <w:color w:val="000000" w:themeColor="text1"/>
        </w:rPr>
        <w:t xml:space="preserve"> </w:t>
      </w:r>
      <w:r w:rsidR="00DF34D5" w:rsidRPr="00A35AE0">
        <w:rPr>
          <w:color w:val="000000" w:themeColor="text1"/>
        </w:rPr>
        <w:t xml:space="preserve">the prison population was still under </w:t>
      </w:r>
      <w:r w:rsidR="00A05DDA">
        <w:rPr>
          <w:color w:val="000000" w:themeColor="text1"/>
        </w:rPr>
        <w:t>15,000</w:t>
      </w:r>
      <w:r w:rsidR="006C62A6" w:rsidRPr="00A35AE0">
        <w:rPr>
          <w:color w:val="000000" w:themeColor="text1"/>
        </w:rPr>
        <w:t xml:space="preserve">. </w:t>
      </w:r>
    </w:p>
    <w:p w:rsidR="003324CA" w:rsidRPr="00A35AE0" w:rsidRDefault="003324CA" w:rsidP="005C4006">
      <w:pPr>
        <w:pBdr>
          <w:top w:val="nil"/>
          <w:left w:val="nil"/>
          <w:bottom w:val="nil"/>
          <w:right w:val="nil"/>
          <w:between w:val="nil"/>
          <w:bar w:val="nil"/>
        </w:pBdr>
        <w:spacing w:line="360" w:lineRule="auto"/>
        <w:jc w:val="both"/>
        <w:rPr>
          <w:color w:val="000000" w:themeColor="text1"/>
        </w:rPr>
      </w:pPr>
    </w:p>
    <w:p w:rsidR="00D662AA" w:rsidRPr="00A35AE0" w:rsidRDefault="00D662AA" w:rsidP="005C4006">
      <w:pPr>
        <w:pBdr>
          <w:top w:val="nil"/>
          <w:left w:val="nil"/>
          <w:bottom w:val="nil"/>
          <w:right w:val="nil"/>
          <w:between w:val="nil"/>
          <w:bar w:val="nil"/>
        </w:pBdr>
        <w:spacing w:line="360" w:lineRule="auto"/>
        <w:jc w:val="both"/>
        <w:rPr>
          <w:b/>
          <w:color w:val="000000" w:themeColor="text1"/>
        </w:rPr>
      </w:pPr>
      <w:r w:rsidRPr="00A35AE0">
        <w:rPr>
          <w:b/>
          <w:color w:val="000000" w:themeColor="text1"/>
        </w:rPr>
        <w:t xml:space="preserve">Fig 1: </w:t>
      </w:r>
      <w:bookmarkStart w:id="1" w:name="OLE_LINK1"/>
      <w:r w:rsidRPr="00A35AE0">
        <w:rPr>
          <w:b/>
          <w:color w:val="000000" w:themeColor="text1"/>
        </w:rPr>
        <w:t>Prison population and number of offences, 1856-2018</w:t>
      </w:r>
      <w:bookmarkEnd w:id="1"/>
      <w:r w:rsidRPr="00A35AE0">
        <w:rPr>
          <w:b/>
          <w:color w:val="000000" w:themeColor="text1"/>
        </w:rPr>
        <w:t xml:space="preserve"> </w:t>
      </w:r>
      <w:r w:rsidR="000C2040" w:rsidRPr="00A35AE0">
        <w:rPr>
          <w:b/>
          <w:color w:val="000000" w:themeColor="text1"/>
        </w:rPr>
        <w:t>(</w:t>
      </w:r>
      <w:r w:rsidR="004569EB">
        <w:rPr>
          <w:b/>
          <w:color w:val="000000" w:themeColor="text1"/>
        </w:rPr>
        <w:t xml:space="preserve">Figures taken from </w:t>
      </w:r>
      <w:r w:rsidR="001D6B28" w:rsidRPr="00A35AE0">
        <w:rPr>
          <w:b/>
          <w:color w:val="000000" w:themeColor="text1"/>
        </w:rPr>
        <w:t>Judicial Statistics, 1856-2018</w:t>
      </w:r>
      <w:r w:rsidR="000C2040" w:rsidRPr="00A35AE0">
        <w:rPr>
          <w:b/>
          <w:color w:val="000000" w:themeColor="text1"/>
        </w:rPr>
        <w:t>)</w:t>
      </w:r>
    </w:p>
    <w:p w:rsidR="003324CA" w:rsidRPr="00A35AE0" w:rsidRDefault="003324CA" w:rsidP="005C4006">
      <w:pPr>
        <w:pBdr>
          <w:top w:val="nil"/>
          <w:left w:val="nil"/>
          <w:bottom w:val="nil"/>
          <w:right w:val="nil"/>
          <w:between w:val="nil"/>
          <w:bar w:val="nil"/>
        </w:pBdr>
        <w:spacing w:line="360" w:lineRule="auto"/>
        <w:jc w:val="both"/>
        <w:rPr>
          <w:rFonts w:eastAsia="Arial Unicode MS"/>
          <w:b/>
          <w:bdr w:val="nil"/>
          <w:lang w:val="en-US"/>
        </w:rPr>
      </w:pPr>
    </w:p>
    <w:p w:rsidR="00D662AA" w:rsidRPr="00A35AE0" w:rsidRDefault="00D662AA" w:rsidP="0070005A">
      <w:pPr>
        <w:pBdr>
          <w:top w:val="nil"/>
          <w:left w:val="nil"/>
          <w:bottom w:val="nil"/>
          <w:right w:val="nil"/>
          <w:between w:val="nil"/>
          <w:bar w:val="nil"/>
        </w:pBdr>
        <w:spacing w:line="360" w:lineRule="auto"/>
        <w:jc w:val="both"/>
        <w:rPr>
          <w:rFonts w:eastAsia="Arial Unicode MS"/>
          <w:b/>
          <w:color w:val="C0504D" w:themeColor="accent2"/>
          <w:bdr w:val="nil"/>
          <w:lang w:val="en-US"/>
        </w:rPr>
      </w:pPr>
      <w:r w:rsidRPr="00A35AE0">
        <w:rPr>
          <w:noProof/>
          <w:lang w:eastAsia="en-GB"/>
        </w:rPr>
        <w:drawing>
          <wp:inline distT="0" distB="0" distL="0" distR="0" wp14:anchorId="052294F7" wp14:editId="1AB96CF9">
            <wp:extent cx="5410899" cy="2743200"/>
            <wp:effectExtent l="0" t="0" r="12065" b="12700"/>
            <wp:docPr id="4" name="Chart 4">
              <a:extLst xmlns:a="http://schemas.openxmlformats.org/drawingml/2006/main">
                <a:ext uri="{FF2B5EF4-FFF2-40B4-BE49-F238E27FC236}">
                  <a16:creationId xmlns:a16="http://schemas.microsoft.com/office/drawing/2014/main" id="{FDDE7FC8-FBB1-A54B-9B6C-9231C0D94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316C" w:rsidRPr="00A35AE0" w:rsidRDefault="00B8316C" w:rsidP="0070005A">
      <w:pPr>
        <w:pBdr>
          <w:top w:val="nil"/>
          <w:left w:val="nil"/>
          <w:bottom w:val="nil"/>
          <w:right w:val="nil"/>
          <w:between w:val="nil"/>
          <w:bar w:val="nil"/>
        </w:pBdr>
        <w:spacing w:line="360" w:lineRule="auto"/>
        <w:jc w:val="both"/>
        <w:rPr>
          <w:rFonts w:eastAsia="Arial Unicode MS"/>
          <w:b/>
          <w:color w:val="C0504D" w:themeColor="accent2"/>
          <w:bdr w:val="nil"/>
          <w:lang w:val="en-US"/>
        </w:rPr>
      </w:pPr>
    </w:p>
    <w:p w:rsidR="003324CA" w:rsidRPr="00A35AE0" w:rsidRDefault="005419DB" w:rsidP="00317777">
      <w:pPr>
        <w:pStyle w:val="CommentText"/>
        <w:spacing w:line="360" w:lineRule="auto"/>
        <w:jc w:val="both"/>
        <w:rPr>
          <w:rFonts w:ascii="Times New Roman" w:hAnsi="Times New Roman" w:cs="Times New Roman"/>
          <w:color w:val="000000" w:themeColor="text1"/>
          <w:sz w:val="24"/>
          <w:szCs w:val="24"/>
        </w:rPr>
      </w:pPr>
      <w:r w:rsidRPr="00A35AE0">
        <w:rPr>
          <w:rFonts w:ascii="Times New Roman" w:hAnsi="Times New Roman" w:cs="Times New Roman"/>
          <w:color w:val="000000" w:themeColor="text1"/>
          <w:sz w:val="24"/>
          <w:szCs w:val="24"/>
        </w:rPr>
        <w:t>How can we explain th</w:t>
      </w:r>
      <w:r w:rsidR="00CE432D" w:rsidRPr="00A35AE0">
        <w:rPr>
          <w:rFonts w:ascii="Times New Roman" w:hAnsi="Times New Roman" w:cs="Times New Roman"/>
          <w:color w:val="000000" w:themeColor="text1"/>
          <w:sz w:val="24"/>
          <w:szCs w:val="24"/>
        </w:rPr>
        <w:t>e</w:t>
      </w:r>
      <w:r w:rsidRPr="00A35AE0">
        <w:rPr>
          <w:rFonts w:ascii="Times New Roman" w:hAnsi="Times New Roman" w:cs="Times New Roman"/>
          <w:color w:val="000000" w:themeColor="text1"/>
          <w:sz w:val="24"/>
          <w:szCs w:val="24"/>
        </w:rPr>
        <w:t xml:space="preserve"> </w:t>
      </w:r>
      <w:r w:rsidR="00134F3A" w:rsidRPr="00A35AE0">
        <w:rPr>
          <w:rFonts w:ascii="Times New Roman" w:hAnsi="Times New Roman" w:cs="Times New Roman"/>
          <w:color w:val="000000" w:themeColor="text1"/>
          <w:sz w:val="24"/>
          <w:szCs w:val="24"/>
        </w:rPr>
        <w:t xml:space="preserve">significant </w:t>
      </w:r>
      <w:r w:rsidRPr="00A35AE0">
        <w:rPr>
          <w:rFonts w:ascii="Times New Roman" w:hAnsi="Times New Roman" w:cs="Times New Roman"/>
          <w:color w:val="000000" w:themeColor="text1"/>
          <w:sz w:val="24"/>
          <w:szCs w:val="24"/>
        </w:rPr>
        <w:t>decline in prisoner numbers</w:t>
      </w:r>
      <w:r w:rsidR="00CA45D5" w:rsidRPr="00A35AE0">
        <w:rPr>
          <w:rFonts w:ascii="Times New Roman" w:hAnsi="Times New Roman" w:cs="Times New Roman"/>
          <w:color w:val="000000" w:themeColor="text1"/>
          <w:sz w:val="24"/>
          <w:szCs w:val="24"/>
        </w:rPr>
        <w:t xml:space="preserve"> between the </w:t>
      </w:r>
      <w:r w:rsidR="00C274E0" w:rsidRPr="00A35AE0">
        <w:rPr>
          <w:rFonts w:ascii="Times New Roman" w:hAnsi="Times New Roman" w:cs="Times New Roman"/>
          <w:color w:val="000000" w:themeColor="text1"/>
          <w:sz w:val="24"/>
          <w:szCs w:val="24"/>
        </w:rPr>
        <w:t xml:space="preserve">1870s </w:t>
      </w:r>
      <w:r w:rsidR="00CA45D5" w:rsidRPr="00A35AE0">
        <w:rPr>
          <w:rFonts w:ascii="Times New Roman" w:hAnsi="Times New Roman" w:cs="Times New Roman"/>
          <w:color w:val="000000" w:themeColor="text1"/>
          <w:sz w:val="24"/>
          <w:szCs w:val="24"/>
        </w:rPr>
        <w:t>and</w:t>
      </w:r>
      <w:r w:rsidR="00C274E0" w:rsidRPr="00A35AE0">
        <w:rPr>
          <w:rFonts w:ascii="Times New Roman" w:hAnsi="Times New Roman" w:cs="Times New Roman"/>
          <w:color w:val="000000" w:themeColor="text1"/>
          <w:sz w:val="24"/>
          <w:szCs w:val="24"/>
        </w:rPr>
        <w:t xml:space="preserve"> the</w:t>
      </w:r>
      <w:r w:rsidR="00CE432D" w:rsidRPr="00A35AE0">
        <w:rPr>
          <w:rFonts w:ascii="Times New Roman" w:hAnsi="Times New Roman" w:cs="Times New Roman"/>
          <w:color w:val="000000" w:themeColor="text1"/>
          <w:sz w:val="24"/>
          <w:szCs w:val="24"/>
        </w:rPr>
        <w:t xml:space="preserve"> 1940s</w:t>
      </w:r>
      <w:r w:rsidR="00134F3A" w:rsidRPr="00A35AE0">
        <w:rPr>
          <w:rFonts w:ascii="Times New Roman" w:hAnsi="Times New Roman" w:cs="Times New Roman"/>
          <w:color w:val="000000" w:themeColor="text1"/>
          <w:sz w:val="24"/>
          <w:szCs w:val="24"/>
        </w:rPr>
        <w:t xml:space="preserve">? Was it the product of a slow but sure </w:t>
      </w:r>
      <w:r w:rsidRPr="00A35AE0">
        <w:rPr>
          <w:rFonts w:ascii="Times New Roman" w:hAnsi="Times New Roman" w:cs="Times New Roman"/>
          <w:color w:val="000000" w:themeColor="text1"/>
          <w:sz w:val="24"/>
          <w:szCs w:val="24"/>
        </w:rPr>
        <w:t xml:space="preserve">‘great </w:t>
      </w:r>
      <w:proofErr w:type="spellStart"/>
      <w:r w:rsidRPr="00A35AE0">
        <w:rPr>
          <w:rFonts w:ascii="Times New Roman" w:hAnsi="Times New Roman" w:cs="Times New Roman"/>
          <w:color w:val="000000" w:themeColor="text1"/>
          <w:sz w:val="24"/>
          <w:szCs w:val="24"/>
        </w:rPr>
        <w:t>decarceration</w:t>
      </w:r>
      <w:proofErr w:type="spellEnd"/>
      <w:r w:rsidRPr="00A35AE0">
        <w:rPr>
          <w:rFonts w:ascii="Times New Roman" w:hAnsi="Times New Roman" w:cs="Times New Roman"/>
          <w:color w:val="000000" w:themeColor="text1"/>
          <w:sz w:val="24"/>
          <w:szCs w:val="24"/>
        </w:rPr>
        <w:t xml:space="preserve">’? </w:t>
      </w:r>
      <w:r w:rsidR="006B0DC8" w:rsidRPr="00A35AE0">
        <w:rPr>
          <w:rFonts w:ascii="Times New Roman" w:hAnsi="Times New Roman" w:cs="Times New Roman"/>
          <w:color w:val="000000" w:themeColor="text1"/>
          <w:sz w:val="24"/>
          <w:szCs w:val="24"/>
        </w:rPr>
        <w:t xml:space="preserve">If so, was this </w:t>
      </w:r>
      <w:proofErr w:type="spellStart"/>
      <w:r w:rsidR="006B0DC8" w:rsidRPr="00A35AE0">
        <w:rPr>
          <w:rFonts w:ascii="Times New Roman" w:hAnsi="Times New Roman" w:cs="Times New Roman"/>
          <w:color w:val="000000" w:themeColor="text1"/>
          <w:sz w:val="24"/>
          <w:szCs w:val="24"/>
        </w:rPr>
        <w:t>decarceration</w:t>
      </w:r>
      <w:proofErr w:type="spellEnd"/>
      <w:r w:rsidR="006B0DC8" w:rsidRPr="00A35AE0">
        <w:rPr>
          <w:rFonts w:ascii="Times New Roman" w:hAnsi="Times New Roman" w:cs="Times New Roman"/>
          <w:color w:val="000000" w:themeColor="text1"/>
          <w:sz w:val="24"/>
          <w:szCs w:val="24"/>
        </w:rPr>
        <w:t xml:space="preserve"> by design or by default? </w:t>
      </w:r>
      <w:r w:rsidR="009B1C75">
        <w:rPr>
          <w:rFonts w:ascii="Times New Roman" w:hAnsi="Times New Roman" w:cs="Times New Roman"/>
          <w:color w:val="000000" w:themeColor="text1"/>
          <w:sz w:val="24"/>
          <w:szCs w:val="24"/>
        </w:rPr>
        <w:t xml:space="preserve">An overview of key trends suggests that </w:t>
      </w:r>
      <w:r w:rsidR="00725EF8">
        <w:rPr>
          <w:rFonts w:ascii="Times New Roman" w:hAnsi="Times New Roman" w:cs="Times New Roman"/>
          <w:color w:val="000000" w:themeColor="text1"/>
          <w:sz w:val="24"/>
          <w:szCs w:val="24"/>
        </w:rPr>
        <w:t xml:space="preserve">this </w:t>
      </w:r>
      <w:proofErr w:type="spellStart"/>
      <w:r w:rsidR="00725EF8">
        <w:rPr>
          <w:rFonts w:ascii="Times New Roman" w:hAnsi="Times New Roman" w:cs="Times New Roman"/>
          <w:color w:val="000000" w:themeColor="text1"/>
          <w:sz w:val="24"/>
          <w:szCs w:val="24"/>
        </w:rPr>
        <w:t>decarceral</w:t>
      </w:r>
      <w:proofErr w:type="spellEnd"/>
      <w:r w:rsidR="00725EF8">
        <w:rPr>
          <w:rFonts w:ascii="Times New Roman" w:hAnsi="Times New Roman" w:cs="Times New Roman"/>
          <w:color w:val="000000" w:themeColor="text1"/>
          <w:sz w:val="24"/>
          <w:szCs w:val="24"/>
        </w:rPr>
        <w:t xml:space="preserve"> trend resulted from </w:t>
      </w:r>
      <w:r w:rsidR="005E5C31">
        <w:rPr>
          <w:rFonts w:ascii="Times New Roman" w:hAnsi="Times New Roman" w:cs="Times New Roman"/>
          <w:color w:val="000000" w:themeColor="text1"/>
          <w:sz w:val="24"/>
          <w:szCs w:val="24"/>
        </w:rPr>
        <w:t>the combined</w:t>
      </w:r>
      <w:r w:rsidR="00304399" w:rsidRPr="00A35AE0">
        <w:rPr>
          <w:rFonts w:ascii="Times New Roman" w:hAnsi="Times New Roman" w:cs="Times New Roman"/>
          <w:color w:val="000000" w:themeColor="text1"/>
          <w:sz w:val="24"/>
          <w:szCs w:val="24"/>
        </w:rPr>
        <w:t xml:space="preserve"> impact of f</w:t>
      </w:r>
      <w:r w:rsidR="001C40C3" w:rsidRPr="00A35AE0">
        <w:rPr>
          <w:rFonts w:ascii="Times New Roman" w:hAnsi="Times New Roman" w:cs="Times New Roman"/>
          <w:color w:val="000000" w:themeColor="text1"/>
          <w:sz w:val="24"/>
          <w:szCs w:val="24"/>
        </w:rPr>
        <w:t>our</w:t>
      </w:r>
      <w:r w:rsidR="00966B33" w:rsidRPr="00A35AE0">
        <w:rPr>
          <w:rFonts w:ascii="Times New Roman" w:hAnsi="Times New Roman" w:cs="Times New Roman"/>
          <w:color w:val="000000" w:themeColor="text1"/>
          <w:sz w:val="24"/>
          <w:szCs w:val="24"/>
        </w:rPr>
        <w:t xml:space="preserve"> </w:t>
      </w:r>
      <w:r w:rsidR="00725EF8">
        <w:rPr>
          <w:rFonts w:ascii="Times New Roman" w:hAnsi="Times New Roman" w:cs="Times New Roman"/>
          <w:color w:val="000000" w:themeColor="text1"/>
          <w:sz w:val="24"/>
          <w:szCs w:val="24"/>
        </w:rPr>
        <w:t xml:space="preserve">disparate </w:t>
      </w:r>
      <w:r w:rsidR="00CA45D5" w:rsidRPr="00A35AE0">
        <w:rPr>
          <w:rFonts w:ascii="Times New Roman" w:hAnsi="Times New Roman" w:cs="Times New Roman"/>
          <w:color w:val="000000" w:themeColor="text1"/>
          <w:sz w:val="24"/>
          <w:szCs w:val="24"/>
        </w:rPr>
        <w:t xml:space="preserve">factors: </w:t>
      </w:r>
      <w:r w:rsidR="00725EF8">
        <w:rPr>
          <w:rFonts w:ascii="Times New Roman" w:hAnsi="Times New Roman" w:cs="Times New Roman"/>
          <w:color w:val="000000" w:themeColor="text1"/>
          <w:sz w:val="24"/>
          <w:szCs w:val="24"/>
        </w:rPr>
        <w:t>the operationalising of positive penological approaches; the increasing use of community disposals; the decline in prosecutions for certain kinds of offences; and efforts to cut public spending on prisons.</w:t>
      </w:r>
    </w:p>
    <w:p w:rsidR="008B3436" w:rsidRDefault="0013166B" w:rsidP="0070005A">
      <w:pPr>
        <w:pStyle w:val="CommentText"/>
        <w:spacing w:line="360" w:lineRule="auto"/>
        <w:jc w:val="both"/>
        <w:rPr>
          <w:rFonts w:ascii="Times New Roman" w:eastAsia="Arial Unicode MS" w:hAnsi="Times New Roman" w:cs="Times New Roman"/>
          <w:sz w:val="24"/>
          <w:szCs w:val="24"/>
          <w:bdr w:val="nil"/>
          <w:lang w:val="en-US"/>
        </w:rPr>
      </w:pPr>
      <w:r w:rsidRPr="00A35AE0">
        <w:rPr>
          <w:rFonts w:ascii="Times New Roman" w:eastAsia="Arial Unicode MS" w:hAnsi="Times New Roman" w:cs="Times New Roman"/>
          <w:sz w:val="24"/>
          <w:szCs w:val="24"/>
          <w:bdr w:val="nil"/>
          <w:lang w:val="en-US"/>
        </w:rPr>
        <w:t xml:space="preserve">Following the end of </w:t>
      </w:r>
      <w:r w:rsidR="00CD4205">
        <w:rPr>
          <w:rFonts w:ascii="Times New Roman" w:eastAsia="Arial Unicode MS" w:hAnsi="Times New Roman" w:cs="Times New Roman"/>
          <w:sz w:val="24"/>
          <w:szCs w:val="24"/>
          <w:bdr w:val="nil"/>
          <w:lang w:val="en-US"/>
        </w:rPr>
        <w:t xml:space="preserve">convict </w:t>
      </w:r>
      <w:r w:rsidRPr="00A35AE0">
        <w:rPr>
          <w:rFonts w:ascii="Times New Roman" w:eastAsia="Arial Unicode MS" w:hAnsi="Times New Roman" w:cs="Times New Roman"/>
          <w:sz w:val="24"/>
          <w:szCs w:val="24"/>
          <w:bdr w:val="nil"/>
          <w:lang w:val="en-US"/>
        </w:rPr>
        <w:t>transportation</w:t>
      </w:r>
      <w:r w:rsidR="008B3436">
        <w:rPr>
          <w:rFonts w:ascii="Times New Roman" w:eastAsia="Arial Unicode MS" w:hAnsi="Times New Roman" w:cs="Times New Roman"/>
          <w:sz w:val="24"/>
          <w:szCs w:val="24"/>
          <w:bdr w:val="nil"/>
          <w:lang w:val="en-US"/>
        </w:rPr>
        <w:t xml:space="preserve"> to Australia</w:t>
      </w:r>
      <w:r w:rsidR="00CD4205">
        <w:rPr>
          <w:rFonts w:ascii="Times New Roman" w:eastAsia="Arial Unicode MS" w:hAnsi="Times New Roman" w:cs="Times New Roman"/>
          <w:sz w:val="24"/>
          <w:szCs w:val="24"/>
          <w:bdr w:val="nil"/>
          <w:lang w:val="en-US"/>
        </w:rPr>
        <w:t xml:space="preserve"> in the 1850s</w:t>
      </w:r>
      <w:r w:rsidRPr="00A35AE0">
        <w:rPr>
          <w:rFonts w:ascii="Times New Roman" w:eastAsia="Arial Unicode MS" w:hAnsi="Times New Roman" w:cs="Times New Roman"/>
          <w:sz w:val="24"/>
          <w:szCs w:val="24"/>
          <w:bdr w:val="nil"/>
          <w:lang w:val="en-US"/>
        </w:rPr>
        <w:t xml:space="preserve">, a new prison estate was created to deal with </w:t>
      </w:r>
      <w:r w:rsidR="00CD4205">
        <w:rPr>
          <w:rFonts w:ascii="Times New Roman" w:eastAsia="Arial Unicode MS" w:hAnsi="Times New Roman" w:cs="Times New Roman"/>
          <w:sz w:val="24"/>
          <w:szCs w:val="24"/>
          <w:bdr w:val="nil"/>
          <w:lang w:val="en-US"/>
        </w:rPr>
        <w:t xml:space="preserve">those </w:t>
      </w:r>
      <w:r w:rsidRPr="00A35AE0">
        <w:rPr>
          <w:rFonts w:ascii="Times New Roman" w:eastAsia="Arial Unicode MS" w:hAnsi="Times New Roman" w:cs="Times New Roman"/>
          <w:sz w:val="24"/>
          <w:szCs w:val="24"/>
          <w:bdr w:val="nil"/>
          <w:lang w:val="en-US"/>
        </w:rPr>
        <w:t>who could n</w:t>
      </w:r>
      <w:r w:rsidR="00386462" w:rsidRPr="00A35AE0">
        <w:rPr>
          <w:rFonts w:ascii="Times New Roman" w:eastAsia="Arial Unicode MS" w:hAnsi="Times New Roman" w:cs="Times New Roman"/>
          <w:sz w:val="24"/>
          <w:szCs w:val="24"/>
          <w:bdr w:val="nil"/>
          <w:lang w:val="en-US"/>
        </w:rPr>
        <w:t>o</w:t>
      </w:r>
      <w:r w:rsidRPr="00A35AE0">
        <w:rPr>
          <w:rFonts w:ascii="Times New Roman" w:eastAsia="Arial Unicode MS" w:hAnsi="Times New Roman" w:cs="Times New Roman"/>
          <w:sz w:val="24"/>
          <w:szCs w:val="24"/>
          <w:bdr w:val="nil"/>
          <w:lang w:val="en-US"/>
        </w:rPr>
        <w:t xml:space="preserve"> longer serve their penal servi</w:t>
      </w:r>
      <w:r w:rsidR="00C219EB">
        <w:rPr>
          <w:rFonts w:ascii="Times New Roman" w:eastAsia="Arial Unicode MS" w:hAnsi="Times New Roman" w:cs="Times New Roman"/>
          <w:sz w:val="24"/>
          <w:szCs w:val="24"/>
          <w:bdr w:val="nil"/>
          <w:lang w:val="en-US"/>
        </w:rPr>
        <w:t>tude</w:t>
      </w:r>
      <w:r w:rsidRPr="00A35AE0">
        <w:rPr>
          <w:rFonts w:ascii="Times New Roman" w:eastAsia="Arial Unicode MS" w:hAnsi="Times New Roman" w:cs="Times New Roman"/>
          <w:sz w:val="24"/>
          <w:szCs w:val="24"/>
          <w:bdr w:val="nil"/>
          <w:lang w:val="en-US"/>
        </w:rPr>
        <w:t xml:space="preserve"> overseas</w:t>
      </w:r>
      <w:r w:rsidR="007E4B07" w:rsidRPr="00A35AE0">
        <w:rPr>
          <w:rFonts w:ascii="Times New Roman" w:eastAsia="Arial Unicode MS" w:hAnsi="Times New Roman" w:cs="Times New Roman"/>
          <w:sz w:val="24"/>
          <w:szCs w:val="24"/>
          <w:bdr w:val="nil"/>
          <w:lang w:val="en-US"/>
        </w:rPr>
        <w:t xml:space="preserve">. The local </w:t>
      </w:r>
      <w:r w:rsidR="007E4B07" w:rsidRPr="00A35AE0">
        <w:rPr>
          <w:rFonts w:ascii="Times New Roman" w:eastAsia="Arial Unicode MS" w:hAnsi="Times New Roman" w:cs="Times New Roman"/>
          <w:sz w:val="24"/>
          <w:szCs w:val="24"/>
          <w:bdr w:val="nil"/>
          <w:lang w:val="en-US"/>
        </w:rPr>
        <w:lastRenderedPageBreak/>
        <w:t>prison system continued to be filled with more minor offenders</w:t>
      </w:r>
      <w:r w:rsidR="00B255B4">
        <w:rPr>
          <w:rFonts w:ascii="Times New Roman" w:eastAsia="Arial Unicode MS" w:hAnsi="Times New Roman" w:cs="Times New Roman"/>
          <w:sz w:val="24"/>
          <w:szCs w:val="24"/>
          <w:bdr w:val="nil"/>
          <w:lang w:val="en-US"/>
        </w:rPr>
        <w:t xml:space="preserve"> as it had </w:t>
      </w:r>
      <w:r w:rsidR="00A56BFD">
        <w:rPr>
          <w:rFonts w:ascii="Times New Roman" w:eastAsia="Arial Unicode MS" w:hAnsi="Times New Roman" w:cs="Times New Roman"/>
          <w:sz w:val="24"/>
          <w:szCs w:val="24"/>
          <w:bdr w:val="nil"/>
          <w:lang w:val="en-US"/>
        </w:rPr>
        <w:t>been</w:t>
      </w:r>
      <w:r w:rsidR="00B255B4">
        <w:rPr>
          <w:rFonts w:ascii="Times New Roman" w:eastAsia="Arial Unicode MS" w:hAnsi="Times New Roman" w:cs="Times New Roman"/>
          <w:sz w:val="24"/>
          <w:szCs w:val="24"/>
          <w:bdr w:val="nil"/>
          <w:lang w:val="en-US"/>
        </w:rPr>
        <w:t xml:space="preserve"> decades before the establishment of the new convict prison system</w:t>
      </w:r>
      <w:r w:rsidR="007E4B07" w:rsidRPr="00A35AE0">
        <w:rPr>
          <w:rFonts w:ascii="Times New Roman" w:eastAsia="Arial Unicode MS" w:hAnsi="Times New Roman" w:cs="Times New Roman"/>
          <w:sz w:val="24"/>
          <w:szCs w:val="24"/>
          <w:bdr w:val="nil"/>
          <w:lang w:val="en-US"/>
        </w:rPr>
        <w:t xml:space="preserve">. The </w:t>
      </w:r>
      <w:r w:rsidR="00CD4205">
        <w:rPr>
          <w:rFonts w:ascii="Times New Roman" w:eastAsia="Arial Unicode MS" w:hAnsi="Times New Roman" w:cs="Times New Roman"/>
          <w:sz w:val="24"/>
          <w:szCs w:val="24"/>
          <w:bdr w:val="nil"/>
          <w:lang w:val="en-US"/>
        </w:rPr>
        <w:t xml:space="preserve">new </w:t>
      </w:r>
      <w:r w:rsidR="007E4B07" w:rsidRPr="00A35AE0">
        <w:rPr>
          <w:rFonts w:ascii="Times New Roman" w:eastAsia="Arial Unicode MS" w:hAnsi="Times New Roman" w:cs="Times New Roman"/>
          <w:sz w:val="24"/>
          <w:szCs w:val="24"/>
          <w:bdr w:val="nil"/>
          <w:lang w:val="en-US"/>
        </w:rPr>
        <w:t>punitive prison regimes brough</w:t>
      </w:r>
      <w:r w:rsidR="00CD4205">
        <w:rPr>
          <w:rFonts w:ascii="Times New Roman" w:eastAsia="Arial Unicode MS" w:hAnsi="Times New Roman" w:cs="Times New Roman"/>
          <w:sz w:val="24"/>
          <w:szCs w:val="24"/>
          <w:bdr w:val="nil"/>
          <w:lang w:val="en-US"/>
        </w:rPr>
        <w:t>t</w:t>
      </w:r>
      <w:r w:rsidR="007E4B07" w:rsidRPr="00A35AE0">
        <w:rPr>
          <w:rFonts w:ascii="Times New Roman" w:eastAsia="Arial Unicode MS" w:hAnsi="Times New Roman" w:cs="Times New Roman"/>
          <w:sz w:val="24"/>
          <w:szCs w:val="24"/>
          <w:bdr w:val="nil"/>
          <w:lang w:val="en-US"/>
        </w:rPr>
        <w:t xml:space="preserve"> in from the </w:t>
      </w:r>
      <w:r w:rsidR="005E5C31" w:rsidRPr="00A35AE0">
        <w:rPr>
          <w:rFonts w:ascii="Times New Roman" w:eastAsia="Arial Unicode MS" w:hAnsi="Times New Roman" w:cs="Times New Roman"/>
          <w:sz w:val="24"/>
          <w:szCs w:val="24"/>
          <w:bdr w:val="nil"/>
          <w:lang w:val="en-US"/>
        </w:rPr>
        <w:t>mid-1860s</w:t>
      </w:r>
      <w:r w:rsidR="007E4B07" w:rsidRPr="00A35AE0">
        <w:rPr>
          <w:rFonts w:ascii="Times New Roman" w:eastAsia="Arial Unicode MS" w:hAnsi="Times New Roman" w:cs="Times New Roman"/>
          <w:sz w:val="24"/>
          <w:szCs w:val="24"/>
          <w:bdr w:val="nil"/>
          <w:lang w:val="en-US"/>
        </w:rPr>
        <w:t xml:space="preserve"> were </w:t>
      </w:r>
      <w:r w:rsidR="00CD4205">
        <w:rPr>
          <w:rFonts w:ascii="Times New Roman" w:eastAsia="Arial Unicode MS" w:hAnsi="Times New Roman" w:cs="Times New Roman"/>
          <w:sz w:val="24"/>
          <w:szCs w:val="24"/>
          <w:bdr w:val="nil"/>
          <w:lang w:val="en-US"/>
        </w:rPr>
        <w:t>widely viewed as having</w:t>
      </w:r>
      <w:r w:rsidR="007E4B07" w:rsidRPr="00A35AE0">
        <w:rPr>
          <w:rFonts w:ascii="Times New Roman" w:eastAsia="Arial Unicode MS" w:hAnsi="Times New Roman" w:cs="Times New Roman"/>
          <w:sz w:val="24"/>
          <w:szCs w:val="24"/>
          <w:bdr w:val="nil"/>
          <w:lang w:val="en-US"/>
        </w:rPr>
        <w:t xml:space="preserve"> failed </w:t>
      </w:r>
      <w:r w:rsidR="00CD4205">
        <w:rPr>
          <w:rFonts w:ascii="Times New Roman" w:eastAsia="Arial Unicode MS" w:hAnsi="Times New Roman" w:cs="Times New Roman"/>
          <w:sz w:val="24"/>
          <w:szCs w:val="24"/>
          <w:bdr w:val="nil"/>
          <w:lang w:val="en-US"/>
        </w:rPr>
        <w:t>just two decades later. From the 1880s, p</w:t>
      </w:r>
      <w:r w:rsidR="007E4B07" w:rsidRPr="00A35AE0">
        <w:rPr>
          <w:rFonts w:ascii="Times New Roman" w:eastAsia="Arial Unicode MS" w:hAnsi="Times New Roman" w:cs="Times New Roman"/>
          <w:sz w:val="24"/>
          <w:szCs w:val="24"/>
          <w:bdr w:val="nil"/>
          <w:lang w:val="en-US"/>
        </w:rPr>
        <w:t xml:space="preserve">enal reform focused on a duel track approach - an increased level of surveillance and long sentences for habitual </w:t>
      </w:r>
      <w:r w:rsidR="00C219EB">
        <w:rPr>
          <w:rFonts w:ascii="Times New Roman" w:eastAsia="Arial Unicode MS" w:hAnsi="Times New Roman" w:cs="Times New Roman"/>
          <w:sz w:val="24"/>
          <w:szCs w:val="24"/>
          <w:bdr w:val="nil"/>
          <w:lang w:val="en-US"/>
        </w:rPr>
        <w:t xml:space="preserve">and </w:t>
      </w:r>
      <w:r w:rsidR="007E4B07" w:rsidRPr="00A35AE0">
        <w:rPr>
          <w:rFonts w:ascii="Times New Roman" w:eastAsia="Arial Unicode MS" w:hAnsi="Times New Roman" w:cs="Times New Roman"/>
          <w:sz w:val="24"/>
          <w:szCs w:val="24"/>
          <w:bdr w:val="nil"/>
          <w:lang w:val="en-US"/>
        </w:rPr>
        <w:t xml:space="preserve">serious offenders, and an increasing </w:t>
      </w:r>
      <w:r w:rsidR="00C219EB">
        <w:rPr>
          <w:rFonts w:ascii="Times New Roman" w:eastAsia="Arial Unicode MS" w:hAnsi="Times New Roman" w:cs="Times New Roman"/>
          <w:sz w:val="24"/>
          <w:szCs w:val="24"/>
          <w:bdr w:val="nil"/>
          <w:lang w:val="en-US"/>
        </w:rPr>
        <w:t xml:space="preserve">extensive and innovative </w:t>
      </w:r>
      <w:r w:rsidR="007E4B07" w:rsidRPr="00A35AE0">
        <w:rPr>
          <w:rFonts w:ascii="Times New Roman" w:eastAsia="Arial Unicode MS" w:hAnsi="Times New Roman" w:cs="Times New Roman"/>
          <w:sz w:val="24"/>
          <w:szCs w:val="24"/>
          <w:bdr w:val="nil"/>
          <w:lang w:val="en-US"/>
        </w:rPr>
        <w:t xml:space="preserve">system of divergence for offenders who </w:t>
      </w:r>
      <w:r w:rsidR="00C54E92">
        <w:rPr>
          <w:rFonts w:ascii="Times New Roman" w:eastAsia="Arial Unicode MS" w:hAnsi="Times New Roman" w:cs="Times New Roman"/>
          <w:sz w:val="24"/>
          <w:szCs w:val="24"/>
          <w:bdr w:val="nil"/>
          <w:lang w:val="en-US"/>
        </w:rPr>
        <w:t>were deemed deserving of, and able to benefit from,</w:t>
      </w:r>
      <w:r w:rsidR="007E4B07" w:rsidRPr="00A35AE0">
        <w:rPr>
          <w:rFonts w:ascii="Times New Roman" w:eastAsia="Arial Unicode MS" w:hAnsi="Times New Roman" w:cs="Times New Roman"/>
          <w:sz w:val="24"/>
          <w:szCs w:val="24"/>
          <w:bdr w:val="nil"/>
          <w:lang w:val="en-US"/>
        </w:rPr>
        <w:t xml:space="preserve"> </w:t>
      </w:r>
      <w:r w:rsidR="00C54E92">
        <w:rPr>
          <w:rFonts w:ascii="Times New Roman" w:eastAsia="Arial Unicode MS" w:hAnsi="Times New Roman" w:cs="Times New Roman"/>
          <w:sz w:val="24"/>
          <w:szCs w:val="24"/>
          <w:bdr w:val="nil"/>
          <w:lang w:val="en-US"/>
        </w:rPr>
        <w:t>training and reform.</w:t>
      </w:r>
      <w:r w:rsidR="007E4B07" w:rsidRPr="00A35AE0">
        <w:rPr>
          <w:rFonts w:ascii="Times New Roman" w:eastAsia="Arial Unicode MS" w:hAnsi="Times New Roman" w:cs="Times New Roman"/>
          <w:sz w:val="24"/>
          <w:szCs w:val="24"/>
          <w:bdr w:val="nil"/>
          <w:lang w:val="en-US"/>
        </w:rPr>
        <w:t xml:space="preserve"> A raft of semi-carceral institutions grew up</w:t>
      </w:r>
      <w:r w:rsidR="00CD4205">
        <w:rPr>
          <w:rFonts w:ascii="Times New Roman" w:eastAsia="Arial Unicode MS" w:hAnsi="Times New Roman" w:cs="Times New Roman"/>
          <w:sz w:val="24"/>
          <w:szCs w:val="24"/>
          <w:bdr w:val="nil"/>
          <w:lang w:val="en-US"/>
        </w:rPr>
        <w:t xml:space="preserve"> to house the latter</w:t>
      </w:r>
      <w:r w:rsidR="007E4B07" w:rsidRPr="00A35AE0">
        <w:rPr>
          <w:rFonts w:ascii="Times New Roman" w:eastAsia="Arial Unicode MS" w:hAnsi="Times New Roman" w:cs="Times New Roman"/>
          <w:sz w:val="24"/>
          <w:szCs w:val="24"/>
          <w:bdr w:val="nil"/>
          <w:lang w:val="en-US"/>
        </w:rPr>
        <w:t xml:space="preserve">, including reformatories and industrial schools, asylums, rescue homes, </w:t>
      </w:r>
      <w:proofErr w:type="gramStart"/>
      <w:r w:rsidR="007E4B07" w:rsidRPr="00A35AE0">
        <w:rPr>
          <w:rFonts w:ascii="Times New Roman" w:eastAsia="Arial Unicode MS" w:hAnsi="Times New Roman" w:cs="Times New Roman"/>
          <w:sz w:val="24"/>
          <w:szCs w:val="24"/>
          <w:bdr w:val="nil"/>
          <w:lang w:val="en-US"/>
        </w:rPr>
        <w:t>inebriates</w:t>
      </w:r>
      <w:proofErr w:type="gramEnd"/>
      <w:r w:rsidR="007E4B07" w:rsidRPr="00A35AE0">
        <w:rPr>
          <w:rFonts w:ascii="Times New Roman" w:eastAsia="Arial Unicode MS" w:hAnsi="Times New Roman" w:cs="Times New Roman"/>
          <w:sz w:val="24"/>
          <w:szCs w:val="24"/>
          <w:bdr w:val="nil"/>
          <w:lang w:val="en-US"/>
        </w:rPr>
        <w:t xml:space="preserve"> </w:t>
      </w:r>
      <w:r w:rsidR="005E5C31" w:rsidRPr="00A35AE0">
        <w:rPr>
          <w:rFonts w:ascii="Times New Roman" w:eastAsia="Arial Unicode MS" w:hAnsi="Times New Roman" w:cs="Times New Roman"/>
          <w:sz w:val="24"/>
          <w:szCs w:val="24"/>
          <w:bdr w:val="nil"/>
          <w:lang w:val="en-US"/>
        </w:rPr>
        <w:t>institutions</w:t>
      </w:r>
      <w:r w:rsidR="005E5C31">
        <w:rPr>
          <w:rFonts w:ascii="Times New Roman" w:eastAsia="Arial Unicode MS" w:hAnsi="Times New Roman" w:cs="Times New Roman"/>
          <w:sz w:val="24"/>
          <w:szCs w:val="24"/>
          <w:bdr w:val="nil"/>
          <w:lang w:val="en-US"/>
        </w:rPr>
        <w:t>. This</w:t>
      </w:r>
      <w:r w:rsidR="00FE58A3">
        <w:rPr>
          <w:rFonts w:ascii="Times New Roman" w:eastAsia="Arial Unicode MS" w:hAnsi="Times New Roman" w:cs="Times New Roman"/>
          <w:sz w:val="24"/>
          <w:szCs w:val="24"/>
          <w:bdr w:val="nil"/>
          <w:lang w:val="en-US"/>
        </w:rPr>
        <w:t xml:space="preserve"> operationalizing of a new positive penology which sought to recalibrate punishment according to the characteristics of the offender</w:t>
      </w:r>
      <w:r w:rsidR="00C219EB">
        <w:rPr>
          <w:rFonts w:ascii="Times New Roman" w:eastAsia="Arial Unicode MS" w:hAnsi="Times New Roman" w:cs="Times New Roman"/>
          <w:sz w:val="24"/>
          <w:szCs w:val="24"/>
          <w:bdr w:val="nil"/>
          <w:lang w:val="en-US"/>
        </w:rPr>
        <w:t>,</w:t>
      </w:r>
      <w:r w:rsidR="00FE58A3">
        <w:rPr>
          <w:rFonts w:ascii="Times New Roman" w:eastAsia="Arial Unicode MS" w:hAnsi="Times New Roman" w:cs="Times New Roman"/>
          <w:sz w:val="24"/>
          <w:szCs w:val="24"/>
          <w:bdr w:val="nil"/>
          <w:lang w:val="en-US"/>
        </w:rPr>
        <w:t xml:space="preserve"> as well as the seriousness of their offence was embodied in the</w:t>
      </w:r>
      <w:r w:rsidR="008B3436">
        <w:rPr>
          <w:rFonts w:ascii="Times New Roman" w:eastAsia="Arial Unicode MS" w:hAnsi="Times New Roman" w:cs="Times New Roman"/>
          <w:sz w:val="24"/>
          <w:szCs w:val="24"/>
          <w:bdr w:val="nil"/>
          <w:lang w:val="en-US"/>
        </w:rPr>
        <w:t xml:space="preserve"> report of the</w:t>
      </w:r>
      <w:r w:rsidR="00FE58A3">
        <w:rPr>
          <w:rFonts w:ascii="Times New Roman" w:eastAsia="Arial Unicode MS" w:hAnsi="Times New Roman" w:cs="Times New Roman"/>
          <w:sz w:val="24"/>
          <w:szCs w:val="24"/>
          <w:bdr w:val="nil"/>
          <w:lang w:val="en-US"/>
        </w:rPr>
        <w:t xml:space="preserve"> </w:t>
      </w:r>
      <w:r w:rsidR="008B3436" w:rsidRPr="00A35AE0">
        <w:rPr>
          <w:rFonts w:ascii="Times New Roman" w:eastAsia="Arial Unicode MS" w:hAnsi="Times New Roman" w:cs="Times New Roman"/>
          <w:sz w:val="24"/>
          <w:szCs w:val="24"/>
          <w:bdr w:val="nil"/>
          <w:lang w:val="en-US"/>
        </w:rPr>
        <w:t xml:space="preserve">1895 </w:t>
      </w:r>
      <w:r w:rsidR="008B3436">
        <w:rPr>
          <w:rFonts w:ascii="Times New Roman" w:eastAsia="Arial Unicode MS" w:hAnsi="Times New Roman" w:cs="Times New Roman"/>
          <w:sz w:val="24"/>
          <w:szCs w:val="24"/>
          <w:bdr w:val="nil"/>
          <w:lang w:val="en-US"/>
        </w:rPr>
        <w:t xml:space="preserve">Departmental Committee on Prisons </w:t>
      </w:r>
      <w:r w:rsidR="00C219EB">
        <w:rPr>
          <w:rFonts w:ascii="Times New Roman" w:eastAsia="Arial Unicode MS" w:hAnsi="Times New Roman" w:cs="Times New Roman"/>
          <w:sz w:val="24"/>
          <w:szCs w:val="24"/>
          <w:bdr w:val="nil"/>
          <w:lang w:val="en-US"/>
        </w:rPr>
        <w:t>(</w:t>
      </w:r>
      <w:r w:rsidR="00CA7F5C">
        <w:rPr>
          <w:rFonts w:ascii="Times New Roman" w:eastAsia="Arial Unicode MS" w:hAnsi="Times New Roman" w:cs="Times New Roman"/>
          <w:sz w:val="24"/>
          <w:szCs w:val="24"/>
          <w:bdr w:val="nil"/>
          <w:lang w:val="en-US"/>
        </w:rPr>
        <w:t xml:space="preserve">often referred to as </w:t>
      </w:r>
      <w:r w:rsidR="008B3436">
        <w:rPr>
          <w:rFonts w:ascii="Times New Roman" w:eastAsia="Arial Unicode MS" w:hAnsi="Times New Roman" w:cs="Times New Roman"/>
          <w:sz w:val="24"/>
          <w:szCs w:val="24"/>
          <w:bdr w:val="nil"/>
          <w:lang w:val="en-US"/>
        </w:rPr>
        <w:t>the ‘</w:t>
      </w:r>
      <w:r w:rsidR="008B3436" w:rsidRPr="00A35AE0">
        <w:rPr>
          <w:rFonts w:ascii="Times New Roman" w:eastAsia="Arial Unicode MS" w:hAnsi="Times New Roman" w:cs="Times New Roman"/>
          <w:sz w:val="24"/>
          <w:szCs w:val="24"/>
          <w:bdr w:val="nil"/>
          <w:lang w:val="en-US"/>
        </w:rPr>
        <w:t>Gladstone Committee</w:t>
      </w:r>
      <w:r w:rsidR="00CA7F5C">
        <w:rPr>
          <w:rFonts w:ascii="Times New Roman" w:eastAsia="Arial Unicode MS" w:hAnsi="Times New Roman" w:cs="Times New Roman"/>
          <w:sz w:val="24"/>
          <w:szCs w:val="24"/>
          <w:bdr w:val="nil"/>
          <w:lang w:val="en-US"/>
        </w:rPr>
        <w:t>’</w:t>
      </w:r>
      <w:r w:rsidR="00C219EB">
        <w:rPr>
          <w:rFonts w:ascii="Times New Roman" w:eastAsia="Arial Unicode MS" w:hAnsi="Times New Roman" w:cs="Times New Roman"/>
          <w:sz w:val="24"/>
          <w:szCs w:val="24"/>
          <w:bdr w:val="nil"/>
          <w:lang w:val="en-US"/>
        </w:rPr>
        <w:t>)</w:t>
      </w:r>
      <w:r w:rsidR="008B3436">
        <w:rPr>
          <w:rFonts w:ascii="Times New Roman" w:eastAsia="Arial Unicode MS" w:hAnsi="Times New Roman" w:cs="Times New Roman"/>
          <w:sz w:val="24"/>
          <w:szCs w:val="24"/>
          <w:bdr w:val="nil"/>
          <w:lang w:val="en-US"/>
        </w:rPr>
        <w:t>. The report recast incarceration as a form of rehabilitative individualized training and, in so doing, facilitated a significant shift in the purpose and practice of imprisonment</w:t>
      </w:r>
      <w:r w:rsidR="00CE6AC1">
        <w:rPr>
          <w:rFonts w:ascii="Times New Roman" w:eastAsia="Arial Unicode MS" w:hAnsi="Times New Roman" w:cs="Times New Roman"/>
          <w:sz w:val="24"/>
          <w:szCs w:val="24"/>
          <w:bdr w:val="nil"/>
          <w:lang w:val="en-US"/>
        </w:rPr>
        <w:t xml:space="preserve"> and in wider historical cultures of control </w:t>
      </w:r>
      <w:r w:rsidR="0057683C">
        <w:rPr>
          <w:rFonts w:ascii="Times New Roman" w:eastAsia="Arial Unicode MS" w:hAnsi="Times New Roman" w:cs="Times New Roman"/>
          <w:sz w:val="24"/>
          <w:szCs w:val="24"/>
          <w:bdr w:val="nil"/>
          <w:lang w:val="en-US"/>
        </w:rPr>
        <w:t xml:space="preserve">even if the conditions of imprisonment changed little </w:t>
      </w:r>
      <w:r w:rsidR="00CE6AC1">
        <w:rPr>
          <w:rFonts w:ascii="Times New Roman" w:eastAsia="Arial Unicode MS" w:hAnsi="Times New Roman" w:cs="Times New Roman"/>
          <w:sz w:val="24"/>
          <w:szCs w:val="24"/>
          <w:bdr w:val="nil"/>
          <w:lang w:val="en-US"/>
        </w:rPr>
        <w:t>(Garland, 2002</w:t>
      </w:r>
      <w:r w:rsidR="009D00B0">
        <w:rPr>
          <w:rFonts w:ascii="Times New Roman" w:eastAsia="Arial Unicode MS" w:hAnsi="Times New Roman" w:cs="Times New Roman"/>
          <w:sz w:val="24"/>
          <w:szCs w:val="24"/>
          <w:bdr w:val="nil"/>
          <w:lang w:val="en-US"/>
        </w:rPr>
        <w:t>; Bailey, 1997, 2019</w:t>
      </w:r>
      <w:r w:rsidR="005D251D">
        <w:rPr>
          <w:rFonts w:ascii="Times New Roman" w:eastAsia="Arial Unicode MS" w:hAnsi="Times New Roman" w:cs="Times New Roman"/>
          <w:sz w:val="24"/>
          <w:szCs w:val="24"/>
          <w:bdr w:val="nil"/>
          <w:lang w:val="en-US"/>
        </w:rPr>
        <w:t>; Johnston, 2015</w:t>
      </w:r>
      <w:r w:rsidR="00CE6AC1">
        <w:rPr>
          <w:rFonts w:ascii="Times New Roman" w:eastAsia="Arial Unicode MS" w:hAnsi="Times New Roman" w:cs="Times New Roman"/>
          <w:sz w:val="24"/>
          <w:szCs w:val="24"/>
          <w:bdr w:val="nil"/>
          <w:lang w:val="en-US"/>
        </w:rPr>
        <w:t>)</w:t>
      </w:r>
      <w:r w:rsidR="008B3436">
        <w:rPr>
          <w:rFonts w:ascii="Times New Roman" w:eastAsia="Arial Unicode MS" w:hAnsi="Times New Roman" w:cs="Times New Roman"/>
          <w:sz w:val="24"/>
          <w:szCs w:val="24"/>
          <w:bdr w:val="nil"/>
          <w:lang w:val="en-US"/>
        </w:rPr>
        <w:t>. As Wiener argues, ‘</w:t>
      </w:r>
      <w:r w:rsidR="008B3436" w:rsidRPr="00A35AE0">
        <w:rPr>
          <w:rFonts w:ascii="Times New Roman" w:eastAsia="Arial Unicode MS" w:hAnsi="Times New Roman" w:cs="Times New Roman"/>
          <w:sz w:val="24"/>
          <w:szCs w:val="24"/>
          <w:bdr w:val="nil"/>
          <w:lang w:val="en-US"/>
        </w:rPr>
        <w:t>the punitive impulse had by no means evaporated, it was being ever more attenuated’ (1990:379).</w:t>
      </w:r>
      <w:r w:rsidR="008B3436">
        <w:rPr>
          <w:rFonts w:ascii="Times New Roman" w:eastAsia="Arial Unicode MS" w:hAnsi="Times New Roman" w:cs="Times New Roman"/>
          <w:sz w:val="24"/>
          <w:szCs w:val="24"/>
          <w:bdr w:val="nil"/>
          <w:lang w:val="en-US"/>
        </w:rPr>
        <w:t xml:space="preserve"> This attenuation </w:t>
      </w:r>
      <w:r w:rsidR="00317777">
        <w:rPr>
          <w:rFonts w:ascii="Times New Roman" w:eastAsia="Arial Unicode MS" w:hAnsi="Times New Roman" w:cs="Times New Roman"/>
          <w:sz w:val="24"/>
          <w:szCs w:val="24"/>
          <w:bdr w:val="nil"/>
          <w:lang w:val="en-US"/>
        </w:rPr>
        <w:t xml:space="preserve">arguably </w:t>
      </w:r>
      <w:r w:rsidR="008B3436">
        <w:rPr>
          <w:rFonts w:ascii="Times New Roman" w:eastAsia="Arial Unicode MS" w:hAnsi="Times New Roman" w:cs="Times New Roman"/>
          <w:sz w:val="24"/>
          <w:szCs w:val="24"/>
          <w:bdr w:val="nil"/>
          <w:lang w:val="en-US"/>
        </w:rPr>
        <w:t xml:space="preserve">contributed to </w:t>
      </w:r>
      <w:r w:rsidR="00317777">
        <w:rPr>
          <w:rFonts w:ascii="Times New Roman" w:eastAsia="Arial Unicode MS" w:hAnsi="Times New Roman" w:cs="Times New Roman"/>
          <w:sz w:val="24"/>
          <w:szCs w:val="24"/>
          <w:bdr w:val="nil"/>
          <w:lang w:val="en-US"/>
        </w:rPr>
        <w:t xml:space="preserve">marked </w:t>
      </w:r>
      <w:proofErr w:type="spellStart"/>
      <w:r w:rsidR="008B3436">
        <w:rPr>
          <w:rFonts w:ascii="Times New Roman" w:eastAsia="Arial Unicode MS" w:hAnsi="Times New Roman" w:cs="Times New Roman"/>
          <w:sz w:val="24"/>
          <w:szCs w:val="24"/>
          <w:bdr w:val="nil"/>
          <w:lang w:val="en-US"/>
        </w:rPr>
        <w:t>decarceral</w:t>
      </w:r>
      <w:proofErr w:type="spellEnd"/>
      <w:r w:rsidR="008B3436">
        <w:rPr>
          <w:rFonts w:ascii="Times New Roman" w:eastAsia="Arial Unicode MS" w:hAnsi="Times New Roman" w:cs="Times New Roman"/>
          <w:sz w:val="24"/>
          <w:szCs w:val="24"/>
          <w:bdr w:val="nil"/>
          <w:lang w:val="en-US"/>
        </w:rPr>
        <w:t xml:space="preserve"> trend</w:t>
      </w:r>
      <w:r w:rsidR="00C219EB">
        <w:rPr>
          <w:rFonts w:ascii="Times New Roman" w:eastAsia="Arial Unicode MS" w:hAnsi="Times New Roman" w:cs="Times New Roman"/>
          <w:sz w:val="24"/>
          <w:szCs w:val="24"/>
          <w:bdr w:val="nil"/>
          <w:lang w:val="en-US"/>
        </w:rPr>
        <w:t xml:space="preserve">s in the </w:t>
      </w:r>
      <w:r w:rsidR="00317777">
        <w:rPr>
          <w:rFonts w:ascii="Times New Roman" w:eastAsia="Arial Unicode MS" w:hAnsi="Times New Roman" w:cs="Times New Roman"/>
          <w:sz w:val="24"/>
          <w:szCs w:val="24"/>
          <w:bdr w:val="nil"/>
          <w:lang w:val="en-US"/>
        </w:rPr>
        <w:t xml:space="preserve">early </w:t>
      </w:r>
      <w:r w:rsidR="00C219EB">
        <w:rPr>
          <w:rFonts w:ascii="Times New Roman" w:eastAsia="Arial Unicode MS" w:hAnsi="Times New Roman" w:cs="Times New Roman"/>
          <w:sz w:val="24"/>
          <w:szCs w:val="24"/>
          <w:bdr w:val="nil"/>
          <w:lang w:val="en-US"/>
        </w:rPr>
        <w:t>twentieth century</w:t>
      </w:r>
      <w:r w:rsidR="008B3436">
        <w:rPr>
          <w:rFonts w:ascii="Times New Roman" w:eastAsia="Arial Unicode MS" w:hAnsi="Times New Roman" w:cs="Times New Roman"/>
          <w:sz w:val="24"/>
          <w:szCs w:val="24"/>
          <w:bdr w:val="nil"/>
          <w:lang w:val="en-US"/>
        </w:rPr>
        <w:t>.</w:t>
      </w:r>
    </w:p>
    <w:p w:rsidR="00AF73E0" w:rsidRPr="00A35AE0" w:rsidRDefault="00B71714" w:rsidP="0070005A">
      <w:pPr>
        <w:pBdr>
          <w:top w:val="nil"/>
          <w:left w:val="nil"/>
          <w:bottom w:val="nil"/>
          <w:right w:val="nil"/>
          <w:between w:val="nil"/>
          <w:bar w:val="nil"/>
        </w:pBdr>
        <w:spacing w:line="360" w:lineRule="auto"/>
        <w:jc w:val="both"/>
      </w:pPr>
      <w:r>
        <w:rPr>
          <w:color w:val="000000" w:themeColor="text1"/>
        </w:rPr>
        <w:t xml:space="preserve">A second factor contributing to </w:t>
      </w:r>
      <w:r w:rsidR="00C219EB">
        <w:rPr>
          <w:color w:val="000000" w:themeColor="text1"/>
        </w:rPr>
        <w:t>the fall in prison numbers</w:t>
      </w:r>
      <w:r>
        <w:rPr>
          <w:color w:val="000000" w:themeColor="text1"/>
        </w:rPr>
        <w:t xml:space="preserve"> was a </w:t>
      </w:r>
      <w:r w:rsidR="0032707B">
        <w:rPr>
          <w:color w:val="000000" w:themeColor="text1"/>
        </w:rPr>
        <w:t xml:space="preserve">growing </w:t>
      </w:r>
      <w:r w:rsidR="00C219EB">
        <w:rPr>
          <w:color w:val="000000" w:themeColor="text1"/>
        </w:rPr>
        <w:t xml:space="preserve">acceptance </w:t>
      </w:r>
      <w:proofErr w:type="gramStart"/>
      <w:r w:rsidR="00C219EB">
        <w:rPr>
          <w:color w:val="000000" w:themeColor="text1"/>
        </w:rPr>
        <w:t xml:space="preserve">of </w:t>
      </w:r>
      <w:r>
        <w:rPr>
          <w:color w:val="000000" w:themeColor="text1"/>
        </w:rPr>
        <w:t xml:space="preserve"> c</w:t>
      </w:r>
      <w:r w:rsidR="004B4C24" w:rsidRPr="00A35AE0">
        <w:rPr>
          <w:color w:val="000000" w:themeColor="text1"/>
        </w:rPr>
        <w:t>ommunity</w:t>
      </w:r>
      <w:proofErr w:type="gramEnd"/>
      <w:r w:rsidR="004B4C24" w:rsidRPr="00A35AE0">
        <w:rPr>
          <w:color w:val="000000" w:themeColor="text1"/>
        </w:rPr>
        <w:t xml:space="preserve"> disposals</w:t>
      </w:r>
      <w:r w:rsidR="0032707B">
        <w:rPr>
          <w:color w:val="000000" w:themeColor="text1"/>
        </w:rPr>
        <w:t xml:space="preserve"> </w:t>
      </w:r>
      <w:r w:rsidR="004F1752" w:rsidRPr="00A35AE0">
        <w:rPr>
          <w:color w:val="000000" w:themeColor="text1"/>
        </w:rPr>
        <w:t>(</w:t>
      </w:r>
      <w:r w:rsidR="00D71FDA" w:rsidRPr="00A35AE0">
        <w:t>Whitehead and Statham 2006; Vanstone</w:t>
      </w:r>
      <w:r w:rsidR="0068534B">
        <w:t xml:space="preserve"> 2017</w:t>
      </w:r>
      <w:r w:rsidR="00D71FDA" w:rsidRPr="00A35AE0">
        <w:t xml:space="preserve">; Mair and Burke </w:t>
      </w:r>
      <w:r w:rsidR="0068534B" w:rsidRPr="00317777">
        <w:t>2013</w:t>
      </w:r>
      <w:r w:rsidR="00D71FDA" w:rsidRPr="00000412">
        <w:t>)</w:t>
      </w:r>
      <w:r w:rsidR="0072081F" w:rsidRPr="00A35AE0">
        <w:rPr>
          <w:color w:val="000000" w:themeColor="text1"/>
        </w:rPr>
        <w:t xml:space="preserve">. </w:t>
      </w:r>
      <w:r w:rsidR="007223EE" w:rsidRPr="00A35AE0">
        <w:rPr>
          <w:color w:val="000000" w:themeColor="text1"/>
        </w:rPr>
        <w:t xml:space="preserve">In 1876, the </w:t>
      </w:r>
      <w:r w:rsidR="007223EE" w:rsidRPr="00A35AE0">
        <w:rPr>
          <w:color w:val="000000" w:themeColor="text1"/>
          <w:lang w:val="en-US"/>
        </w:rPr>
        <w:t>Church of England Temperance Society established the London Police Courts Mission which offered support for habitual drunkards in the capital’s magistrates</w:t>
      </w:r>
      <w:r w:rsidR="00BD7969" w:rsidRPr="00A35AE0">
        <w:rPr>
          <w:color w:val="000000" w:themeColor="text1"/>
          <w:lang w:val="en-US"/>
        </w:rPr>
        <w:t>’</w:t>
      </w:r>
      <w:r w:rsidR="007223EE" w:rsidRPr="00A35AE0">
        <w:rPr>
          <w:color w:val="000000" w:themeColor="text1"/>
          <w:lang w:val="en-US"/>
        </w:rPr>
        <w:t xml:space="preserve"> courts. Three years later, the</w:t>
      </w:r>
      <w:r w:rsidR="007223EE" w:rsidRPr="00A35AE0">
        <w:rPr>
          <w:color w:val="000000" w:themeColor="text1"/>
        </w:rPr>
        <w:t xml:space="preserve"> 1879 Summary Jurisdiction Act enabled the lower courts to suspend punishment by binding offenders over to come up for judgement as a later date (if they </w:t>
      </w:r>
      <w:r w:rsidR="004F1752" w:rsidRPr="00A35AE0">
        <w:rPr>
          <w:color w:val="000000" w:themeColor="text1"/>
        </w:rPr>
        <w:t>re-offended</w:t>
      </w:r>
      <w:r w:rsidR="007223EE" w:rsidRPr="00A35AE0">
        <w:rPr>
          <w:color w:val="000000" w:themeColor="text1"/>
        </w:rPr>
        <w:t xml:space="preserve">). The principle that people could be kept out of prison so long as they were properly supervised within </w:t>
      </w:r>
      <w:r w:rsidR="004B647A" w:rsidRPr="00A35AE0">
        <w:rPr>
          <w:color w:val="000000" w:themeColor="text1"/>
        </w:rPr>
        <w:t>the community</w:t>
      </w:r>
      <w:r w:rsidR="007223EE" w:rsidRPr="00A35AE0">
        <w:rPr>
          <w:color w:val="000000" w:themeColor="text1"/>
        </w:rPr>
        <w:t xml:space="preserve"> was slowly becoming established. In 1886 </w:t>
      </w:r>
      <w:r w:rsidR="007223EE" w:rsidRPr="00A35AE0">
        <w:rPr>
          <w:color w:val="000000" w:themeColor="text1"/>
          <w:lang w:val="en-US"/>
        </w:rPr>
        <w:t xml:space="preserve">the Probation of First Time Offenders Act allowed courts </w:t>
      </w:r>
      <w:r w:rsidR="001046E0" w:rsidRPr="00A35AE0">
        <w:rPr>
          <w:color w:val="000000" w:themeColor="text1"/>
          <w:lang w:val="en-US"/>
        </w:rPr>
        <w:t xml:space="preserve">outside </w:t>
      </w:r>
      <w:r w:rsidR="0057683C">
        <w:rPr>
          <w:color w:val="000000" w:themeColor="text1"/>
          <w:lang w:val="en-US"/>
        </w:rPr>
        <w:t xml:space="preserve">of </w:t>
      </w:r>
      <w:r w:rsidR="007223EE" w:rsidRPr="00A35AE0">
        <w:rPr>
          <w:color w:val="000000" w:themeColor="text1"/>
          <w:lang w:val="en-US"/>
        </w:rPr>
        <w:t xml:space="preserve">London to appoint their own ‘missionaries’, </w:t>
      </w:r>
      <w:r w:rsidR="001046E0" w:rsidRPr="00A35AE0">
        <w:rPr>
          <w:color w:val="000000" w:themeColor="text1"/>
          <w:lang w:val="en-US"/>
        </w:rPr>
        <w:t xml:space="preserve">establishing a national system formalized by the </w:t>
      </w:r>
      <w:r w:rsidR="001046E0" w:rsidRPr="00A35AE0">
        <w:rPr>
          <w:color w:val="000000" w:themeColor="text1"/>
        </w:rPr>
        <w:t xml:space="preserve">1907 Probation of Offenders Act </w:t>
      </w:r>
      <w:r w:rsidR="007223EE" w:rsidRPr="00A35AE0">
        <w:rPr>
          <w:color w:val="000000" w:themeColor="text1"/>
        </w:rPr>
        <w:t>(</w:t>
      </w:r>
      <w:r w:rsidR="00CA7F5C">
        <w:rPr>
          <w:color w:val="000000" w:themeColor="text1"/>
        </w:rPr>
        <w:t>Whitehead and Statham,</w:t>
      </w:r>
      <w:r w:rsidR="00A0230A">
        <w:rPr>
          <w:color w:val="000000" w:themeColor="text1"/>
        </w:rPr>
        <w:t xml:space="preserve"> </w:t>
      </w:r>
      <w:r w:rsidR="00A0230A" w:rsidRPr="00970EFE">
        <w:rPr>
          <w:color w:val="000000" w:themeColor="text1"/>
        </w:rPr>
        <w:t>2006</w:t>
      </w:r>
      <w:r w:rsidR="00A0230A">
        <w:rPr>
          <w:color w:val="000000" w:themeColor="text1"/>
        </w:rPr>
        <w:t xml:space="preserve">). </w:t>
      </w:r>
      <w:r w:rsidR="00011463" w:rsidRPr="00A35AE0">
        <w:rPr>
          <w:lang w:val="en-US"/>
        </w:rPr>
        <w:t xml:space="preserve">After a slow take-up by </w:t>
      </w:r>
      <w:proofErr w:type="spellStart"/>
      <w:r w:rsidR="00011463" w:rsidRPr="00A35AE0">
        <w:rPr>
          <w:lang w:val="en-US"/>
        </w:rPr>
        <w:t>sentencers</w:t>
      </w:r>
      <w:proofErr w:type="spellEnd"/>
      <w:r w:rsidR="00011463" w:rsidRPr="00A35AE0">
        <w:rPr>
          <w:lang w:val="en-US"/>
        </w:rPr>
        <w:t xml:space="preserve">, probation began to be used </w:t>
      </w:r>
      <w:r w:rsidR="005E5C31" w:rsidRPr="00A35AE0">
        <w:rPr>
          <w:lang w:val="en-US"/>
        </w:rPr>
        <w:t>extensively</w:t>
      </w:r>
      <w:r w:rsidR="005E5C31">
        <w:rPr>
          <w:lang w:val="en-US"/>
        </w:rPr>
        <w:t>.</w:t>
      </w:r>
      <w:r w:rsidR="005E5C31" w:rsidRPr="00A35AE0">
        <w:rPr>
          <w:color w:val="000000" w:themeColor="text1"/>
          <w:lang w:val="en-US"/>
        </w:rPr>
        <w:t xml:space="preserve"> For</w:t>
      </w:r>
      <w:r w:rsidR="007223EE" w:rsidRPr="00A35AE0">
        <w:rPr>
          <w:color w:val="000000" w:themeColor="text1"/>
          <w:lang w:val="en-US"/>
        </w:rPr>
        <w:t xml:space="preserve"> those convicted defendants who were punished with fines rather than probation another legislative change helped to keep them out of </w:t>
      </w:r>
      <w:r w:rsidR="005E5C31" w:rsidRPr="00A35AE0">
        <w:rPr>
          <w:color w:val="000000" w:themeColor="text1"/>
          <w:lang w:val="en-US"/>
        </w:rPr>
        <w:t>prison</w:t>
      </w:r>
      <w:r w:rsidR="005E5C31">
        <w:rPr>
          <w:color w:val="000000" w:themeColor="text1"/>
          <w:lang w:val="en-US"/>
        </w:rPr>
        <w:t>; p</w:t>
      </w:r>
      <w:proofErr w:type="spellStart"/>
      <w:r w:rsidR="005E5C31" w:rsidRPr="00A35AE0">
        <w:rPr>
          <w:color w:val="000000" w:themeColor="text1"/>
        </w:rPr>
        <w:t>aying</w:t>
      </w:r>
      <w:proofErr w:type="spellEnd"/>
      <w:r w:rsidR="007223EE" w:rsidRPr="00A35AE0">
        <w:rPr>
          <w:color w:val="000000" w:themeColor="text1"/>
        </w:rPr>
        <w:t xml:space="preserve"> court fines in instalments was made possible through the </w:t>
      </w:r>
      <w:r w:rsidR="005E17E6" w:rsidRPr="00A35AE0">
        <w:rPr>
          <w:color w:val="000000" w:themeColor="text1"/>
        </w:rPr>
        <w:t xml:space="preserve">1914 </w:t>
      </w:r>
      <w:r w:rsidR="007223EE" w:rsidRPr="00A35AE0">
        <w:rPr>
          <w:color w:val="000000" w:themeColor="text1"/>
        </w:rPr>
        <w:t>Criminal Justice Administration Act</w:t>
      </w:r>
      <w:r w:rsidR="00077437" w:rsidRPr="00A35AE0">
        <w:rPr>
          <w:color w:val="000000" w:themeColor="text1"/>
        </w:rPr>
        <w:t xml:space="preserve">, meaning </w:t>
      </w:r>
      <w:r w:rsidR="007223EE" w:rsidRPr="00A35AE0">
        <w:rPr>
          <w:color w:val="000000" w:themeColor="text1"/>
        </w:rPr>
        <w:t xml:space="preserve">that thousands of people who could not immediately pay </w:t>
      </w:r>
      <w:r w:rsidR="00011463">
        <w:rPr>
          <w:color w:val="000000" w:themeColor="text1"/>
        </w:rPr>
        <w:t>their fine</w:t>
      </w:r>
      <w:r w:rsidR="007223EE" w:rsidRPr="00A35AE0">
        <w:rPr>
          <w:color w:val="000000" w:themeColor="text1"/>
        </w:rPr>
        <w:t xml:space="preserve"> were no</w:t>
      </w:r>
      <w:r w:rsidR="00D71FDA" w:rsidRPr="00A35AE0">
        <w:rPr>
          <w:color w:val="000000" w:themeColor="text1"/>
        </w:rPr>
        <w:t xml:space="preserve"> longer </w:t>
      </w:r>
      <w:r w:rsidR="007223EE" w:rsidRPr="00A35AE0">
        <w:rPr>
          <w:color w:val="000000" w:themeColor="text1"/>
        </w:rPr>
        <w:t xml:space="preserve">sent to </w:t>
      </w:r>
      <w:r w:rsidR="00077437" w:rsidRPr="00A35AE0">
        <w:rPr>
          <w:color w:val="000000" w:themeColor="text1"/>
        </w:rPr>
        <w:t>prison</w:t>
      </w:r>
      <w:r w:rsidR="007223EE" w:rsidRPr="00A35AE0">
        <w:rPr>
          <w:color w:val="000000" w:themeColor="text1"/>
        </w:rPr>
        <w:t xml:space="preserve"> </w:t>
      </w:r>
      <w:r w:rsidR="007223EE" w:rsidRPr="00A35AE0">
        <w:rPr>
          <w:color w:val="000000" w:themeColor="text1"/>
        </w:rPr>
        <w:lastRenderedPageBreak/>
        <w:t>in default of</w:t>
      </w:r>
      <w:r w:rsidR="0094103E" w:rsidRPr="00A35AE0">
        <w:rPr>
          <w:color w:val="000000" w:themeColor="text1"/>
        </w:rPr>
        <w:t xml:space="preserve"> payment.</w:t>
      </w:r>
      <w:r w:rsidR="00D71FDA" w:rsidRPr="00A35AE0">
        <w:rPr>
          <w:color w:val="000000" w:themeColor="text1"/>
        </w:rPr>
        <w:t xml:space="preserve"> </w:t>
      </w:r>
      <w:r w:rsidR="00C219EB">
        <w:t xml:space="preserve">The Home Office statistician in charge of judicial statistics, </w:t>
      </w:r>
      <w:r w:rsidR="00C219EB" w:rsidRPr="00A35AE0">
        <w:t>W.J. Farrant</w:t>
      </w:r>
      <w:r w:rsidR="009D00B0">
        <w:t xml:space="preserve"> (1921)</w:t>
      </w:r>
      <w:r w:rsidR="00C219EB" w:rsidRPr="00A35AE0">
        <w:t xml:space="preserve">, </w:t>
      </w:r>
      <w:r w:rsidR="00C219EB">
        <w:t>noted the ‘</w:t>
      </w:r>
      <w:r w:rsidR="00C219EB" w:rsidRPr="00A35AE0">
        <w:t>unparalleled</w:t>
      </w:r>
      <w:r w:rsidR="00C219EB">
        <w:t xml:space="preserve">’ </w:t>
      </w:r>
      <w:r w:rsidR="00C219EB" w:rsidRPr="00A35AE0">
        <w:t xml:space="preserve">decrease </w:t>
      </w:r>
      <w:r w:rsidR="00C219EB">
        <w:t xml:space="preserve">in custodial sentences in </w:t>
      </w:r>
      <w:r w:rsidR="00CA7F5C">
        <w:t>his</w:t>
      </w:r>
      <w:r w:rsidR="00C219EB">
        <w:t xml:space="preserve"> </w:t>
      </w:r>
      <w:r w:rsidR="00C219EB" w:rsidRPr="00A35AE0">
        <w:rPr>
          <w:i/>
        </w:rPr>
        <w:t>Introduction to the 1919 Judicial Statistics</w:t>
      </w:r>
      <w:r w:rsidR="00C219EB">
        <w:t xml:space="preserve">. </w:t>
      </w:r>
      <w:r w:rsidR="00647701" w:rsidRPr="00A35AE0">
        <w:t>As a result of these combined reforms, custodial court disposals decreased dramatically from 81% of all sentences in 1856 to 45% by 1938. Financial penalties replaced custodial sentences for most summary offences over th</w:t>
      </w:r>
      <w:r w:rsidR="00C219EB">
        <w:t>e same</w:t>
      </w:r>
      <w:r w:rsidR="00647701" w:rsidRPr="00A35AE0">
        <w:t xml:space="preserve"> period, to the point where fines </w:t>
      </w:r>
      <w:r w:rsidR="00C219EB">
        <w:t>made up</w:t>
      </w:r>
      <w:r w:rsidR="00C219EB" w:rsidRPr="00A35AE0">
        <w:t xml:space="preserve"> </w:t>
      </w:r>
      <w:r w:rsidR="00647701" w:rsidRPr="00A35AE0">
        <w:t xml:space="preserve">around 80% of all </w:t>
      </w:r>
      <w:r w:rsidR="00AF3EEB" w:rsidRPr="00A35AE0">
        <w:t>punishments imposed by the courts</w:t>
      </w:r>
      <w:r w:rsidR="00647701" w:rsidRPr="00A35AE0">
        <w:t xml:space="preserve">.  </w:t>
      </w:r>
    </w:p>
    <w:p w:rsidR="00D71FDA" w:rsidRPr="00A35AE0" w:rsidRDefault="00D71FDA" w:rsidP="0070005A">
      <w:pPr>
        <w:pBdr>
          <w:top w:val="nil"/>
          <w:left w:val="nil"/>
          <w:bottom w:val="nil"/>
          <w:right w:val="nil"/>
          <w:between w:val="nil"/>
          <w:bar w:val="nil"/>
        </w:pBdr>
        <w:spacing w:line="360" w:lineRule="auto"/>
        <w:jc w:val="both"/>
      </w:pPr>
    </w:p>
    <w:p w:rsidR="007223EE" w:rsidRPr="00337744" w:rsidRDefault="00E5315B" w:rsidP="00337744">
      <w:pPr>
        <w:pBdr>
          <w:top w:val="nil"/>
          <w:left w:val="nil"/>
          <w:bottom w:val="nil"/>
          <w:right w:val="nil"/>
          <w:between w:val="nil"/>
          <w:bar w:val="nil"/>
        </w:pBdr>
        <w:spacing w:line="360" w:lineRule="auto"/>
        <w:jc w:val="both"/>
        <w:rPr>
          <w:color w:val="000000" w:themeColor="text1"/>
        </w:rPr>
      </w:pPr>
      <w:r>
        <w:rPr>
          <w:color w:val="000000" w:themeColor="text1"/>
        </w:rPr>
        <w:t xml:space="preserve">A third factor contributing to this change was a broader </w:t>
      </w:r>
      <w:r w:rsidR="003906DD" w:rsidRPr="00A35AE0">
        <w:rPr>
          <w:color w:val="000000" w:themeColor="text1"/>
        </w:rPr>
        <w:t>shift in the prosecution process.</w:t>
      </w:r>
      <w:r w:rsidR="002102B7" w:rsidRPr="00A35AE0">
        <w:rPr>
          <w:color w:val="000000" w:themeColor="text1"/>
        </w:rPr>
        <w:t xml:space="preserve"> </w:t>
      </w:r>
      <w:r>
        <w:rPr>
          <w:color w:val="000000" w:themeColor="text1"/>
        </w:rPr>
        <w:t>As Figure 1 shows, the decline in prisoner numbers from the 1880s onwards cannot be explained in terms of a</w:t>
      </w:r>
      <w:r w:rsidR="009F24D1">
        <w:rPr>
          <w:color w:val="000000" w:themeColor="text1"/>
        </w:rPr>
        <w:t xml:space="preserve"> marked</w:t>
      </w:r>
      <w:r>
        <w:rPr>
          <w:color w:val="000000" w:themeColor="text1"/>
        </w:rPr>
        <w:t xml:space="preserve"> decline in recorded crime but i</w:t>
      </w:r>
      <w:r w:rsidR="006947E4">
        <w:rPr>
          <w:color w:val="000000" w:themeColor="text1"/>
        </w:rPr>
        <w:t>t</w:t>
      </w:r>
      <w:r>
        <w:rPr>
          <w:color w:val="000000" w:themeColor="text1"/>
        </w:rPr>
        <w:t xml:space="preserve"> may very well, in part, be explained in terms of the fact that the courts increasingly opted to </w:t>
      </w:r>
      <w:r w:rsidR="009F24D1">
        <w:rPr>
          <w:color w:val="000000" w:themeColor="text1"/>
        </w:rPr>
        <w:t>punish those found guilty</w:t>
      </w:r>
      <w:r>
        <w:rPr>
          <w:color w:val="000000" w:themeColor="text1"/>
        </w:rPr>
        <w:t xml:space="preserve"> </w:t>
      </w:r>
      <w:r w:rsidR="009F24D1">
        <w:rPr>
          <w:color w:val="000000" w:themeColor="text1"/>
        </w:rPr>
        <w:t>of these crimes</w:t>
      </w:r>
      <w:r>
        <w:rPr>
          <w:color w:val="000000" w:themeColor="text1"/>
        </w:rPr>
        <w:t xml:space="preserve"> with </w:t>
      </w:r>
      <w:r w:rsidRPr="00A35AE0">
        <w:rPr>
          <w:color w:val="000000" w:themeColor="text1"/>
        </w:rPr>
        <w:t>non-custodial sentences.</w:t>
      </w:r>
      <w:r>
        <w:rPr>
          <w:color w:val="000000" w:themeColor="text1"/>
        </w:rPr>
        <w:t xml:space="preserve"> That said, </w:t>
      </w:r>
      <w:r w:rsidR="009F24D1">
        <w:rPr>
          <w:color w:val="000000" w:themeColor="text1"/>
        </w:rPr>
        <w:t xml:space="preserve">there was a decline in certain kinds of prosecutions in the early twentieth century which also helped to keep prison numbers </w:t>
      </w:r>
      <w:r w:rsidR="005E5C31">
        <w:rPr>
          <w:color w:val="000000" w:themeColor="text1"/>
        </w:rPr>
        <w:t>down.</w:t>
      </w:r>
      <w:r w:rsidR="005E5C31" w:rsidRPr="00A35AE0">
        <w:rPr>
          <w:color w:val="000000" w:themeColor="text1"/>
        </w:rPr>
        <w:t xml:space="preserve"> Tougher</w:t>
      </w:r>
      <w:r w:rsidR="00580B87" w:rsidRPr="00A35AE0">
        <w:rPr>
          <w:color w:val="000000" w:themeColor="text1"/>
        </w:rPr>
        <w:t xml:space="preserve"> regulation of alcohol sales</w:t>
      </w:r>
      <w:r w:rsidR="009F24D1">
        <w:rPr>
          <w:color w:val="000000" w:themeColor="text1"/>
        </w:rPr>
        <w:t>,</w:t>
      </w:r>
      <w:r w:rsidR="003F1E4C">
        <w:rPr>
          <w:color w:val="000000" w:themeColor="text1"/>
        </w:rPr>
        <w:t xml:space="preserve"> </w:t>
      </w:r>
      <w:r w:rsidR="00580B87" w:rsidRPr="00A35AE0">
        <w:rPr>
          <w:color w:val="000000" w:themeColor="text1"/>
        </w:rPr>
        <w:t>especially during th</w:t>
      </w:r>
      <w:r w:rsidR="003F1E4C">
        <w:rPr>
          <w:color w:val="000000" w:themeColor="text1"/>
        </w:rPr>
        <w:t>e First World War</w:t>
      </w:r>
      <w:r w:rsidR="009F24D1" w:rsidRPr="00A35AE0">
        <w:rPr>
          <w:color w:val="000000" w:themeColor="text1"/>
        </w:rPr>
        <w:t xml:space="preserve"> </w:t>
      </w:r>
      <w:r w:rsidR="003906DD" w:rsidRPr="00A35AE0">
        <w:rPr>
          <w:color w:val="000000" w:themeColor="text1"/>
        </w:rPr>
        <w:t>may have reduced the number of prosecutions for vagrancy</w:t>
      </w:r>
      <w:r w:rsidR="009F24D1">
        <w:rPr>
          <w:color w:val="000000" w:themeColor="text1"/>
        </w:rPr>
        <w:t xml:space="preserve"> and </w:t>
      </w:r>
      <w:r w:rsidR="00C219EB">
        <w:rPr>
          <w:color w:val="000000" w:themeColor="text1"/>
        </w:rPr>
        <w:t>drunkenness;</w:t>
      </w:r>
      <w:r w:rsidR="003906DD" w:rsidRPr="00A35AE0">
        <w:rPr>
          <w:color w:val="000000" w:themeColor="text1"/>
        </w:rPr>
        <w:t xml:space="preserve"> the increased </w:t>
      </w:r>
      <w:r w:rsidR="00C219EB">
        <w:rPr>
          <w:color w:val="000000" w:themeColor="text1"/>
        </w:rPr>
        <w:t>visibility of uniformed police in</w:t>
      </w:r>
      <w:r w:rsidR="003906DD" w:rsidRPr="00A35AE0">
        <w:rPr>
          <w:color w:val="000000" w:themeColor="text1"/>
        </w:rPr>
        <w:t xml:space="preserve"> public spaces</w:t>
      </w:r>
      <w:r w:rsidR="00C219EB">
        <w:rPr>
          <w:color w:val="000000" w:themeColor="text1"/>
        </w:rPr>
        <w:t xml:space="preserve"> may have deterred public order offending</w:t>
      </w:r>
      <w:r w:rsidR="00C219EB" w:rsidRPr="00C219EB">
        <w:rPr>
          <w:color w:val="000000" w:themeColor="text1"/>
        </w:rPr>
        <w:t xml:space="preserve"> </w:t>
      </w:r>
      <w:r w:rsidR="00C219EB">
        <w:rPr>
          <w:color w:val="000000" w:themeColor="text1"/>
        </w:rPr>
        <w:t>(</w:t>
      </w:r>
      <w:proofErr w:type="spellStart"/>
      <w:r w:rsidR="00C219EB" w:rsidRPr="00A35AE0">
        <w:rPr>
          <w:color w:val="000000" w:themeColor="text1"/>
        </w:rPr>
        <w:t>Gatrell</w:t>
      </w:r>
      <w:proofErr w:type="spellEnd"/>
      <w:r w:rsidR="00C219EB" w:rsidRPr="00A35AE0">
        <w:rPr>
          <w:color w:val="000000" w:themeColor="text1"/>
        </w:rPr>
        <w:t xml:space="preserve"> 1990)</w:t>
      </w:r>
      <w:r w:rsidR="00C219EB">
        <w:rPr>
          <w:color w:val="000000" w:themeColor="text1"/>
        </w:rPr>
        <w:t xml:space="preserve">; </w:t>
      </w:r>
      <w:r w:rsidR="003F1E4C">
        <w:rPr>
          <w:color w:val="000000" w:themeColor="text1"/>
        </w:rPr>
        <w:t>while the increased police control of the prosecution process itself may have resulted in reduced levels of prosecuted violence</w:t>
      </w:r>
      <w:r w:rsidR="002102B7" w:rsidRPr="00A35AE0">
        <w:rPr>
          <w:color w:val="000000" w:themeColor="text1"/>
        </w:rPr>
        <w:t xml:space="preserve"> </w:t>
      </w:r>
      <w:r w:rsidR="003906DD" w:rsidRPr="00A35AE0">
        <w:rPr>
          <w:color w:val="000000" w:themeColor="text1"/>
        </w:rPr>
        <w:t>(</w:t>
      </w:r>
      <w:r w:rsidR="003F1E4C">
        <w:rPr>
          <w:color w:val="000000" w:themeColor="text1"/>
        </w:rPr>
        <w:t xml:space="preserve">Godfrey </w:t>
      </w:r>
      <w:r w:rsidR="003906DD" w:rsidRPr="00A35AE0">
        <w:rPr>
          <w:color w:val="000000" w:themeColor="text1"/>
        </w:rPr>
        <w:t>2008)</w:t>
      </w:r>
      <w:r w:rsidR="003F1E4C">
        <w:rPr>
          <w:color w:val="000000" w:themeColor="text1"/>
        </w:rPr>
        <w:t>.</w:t>
      </w:r>
      <w:r w:rsidR="002102B7" w:rsidRPr="00A35AE0">
        <w:rPr>
          <w:color w:val="000000" w:themeColor="text1"/>
        </w:rPr>
        <w:t xml:space="preserve"> </w:t>
      </w:r>
      <w:r w:rsidR="008D189C" w:rsidRPr="00A35AE0">
        <w:rPr>
          <w:color w:val="000000" w:themeColor="text1"/>
        </w:rPr>
        <w:t>Whilst noting the decline of prosecution</w:t>
      </w:r>
      <w:r w:rsidR="002102B7" w:rsidRPr="00A35AE0">
        <w:rPr>
          <w:color w:val="000000" w:themeColor="text1"/>
        </w:rPr>
        <w:t>s for assault and drunkenness</w:t>
      </w:r>
      <w:r w:rsidR="008D189C" w:rsidRPr="00A35AE0">
        <w:rPr>
          <w:color w:val="000000" w:themeColor="text1"/>
        </w:rPr>
        <w:t>, it is important to stress</w:t>
      </w:r>
      <w:r w:rsidR="003906DD" w:rsidRPr="00A35AE0">
        <w:rPr>
          <w:color w:val="000000" w:themeColor="text1"/>
        </w:rPr>
        <w:t xml:space="preserve"> </w:t>
      </w:r>
      <w:r w:rsidR="008D189C" w:rsidRPr="00A35AE0">
        <w:rPr>
          <w:color w:val="000000" w:themeColor="text1"/>
        </w:rPr>
        <w:t xml:space="preserve">that prosecution rates </w:t>
      </w:r>
      <w:r w:rsidR="00AA2822" w:rsidRPr="00A35AE0">
        <w:rPr>
          <w:color w:val="000000" w:themeColor="text1"/>
        </w:rPr>
        <w:t xml:space="preserve">for </w:t>
      </w:r>
      <w:r w:rsidR="002102B7" w:rsidRPr="00A35AE0">
        <w:rPr>
          <w:color w:val="000000" w:themeColor="text1"/>
        </w:rPr>
        <w:t xml:space="preserve">other </w:t>
      </w:r>
      <w:r w:rsidR="00AA2822" w:rsidRPr="00A35AE0">
        <w:rPr>
          <w:color w:val="000000" w:themeColor="text1"/>
        </w:rPr>
        <w:t>volume crimes</w:t>
      </w:r>
      <w:r w:rsidR="004F1752" w:rsidRPr="00A35AE0">
        <w:rPr>
          <w:color w:val="000000" w:themeColor="text1"/>
        </w:rPr>
        <w:t>, such as theft,</w:t>
      </w:r>
      <w:r w:rsidR="0043211B" w:rsidRPr="00A35AE0">
        <w:rPr>
          <w:color w:val="000000" w:themeColor="text1"/>
        </w:rPr>
        <w:t xml:space="preserve"> </w:t>
      </w:r>
      <w:r w:rsidR="00085D7B" w:rsidRPr="00A35AE0">
        <w:rPr>
          <w:color w:val="000000" w:themeColor="text1"/>
        </w:rPr>
        <w:t>remained relatively stable</w:t>
      </w:r>
      <w:r w:rsidR="008D189C" w:rsidRPr="00A35AE0">
        <w:rPr>
          <w:color w:val="000000" w:themeColor="text1"/>
        </w:rPr>
        <w:t xml:space="preserve"> </w:t>
      </w:r>
      <w:r w:rsidR="00AA2822" w:rsidRPr="00A35AE0">
        <w:rPr>
          <w:color w:val="000000" w:themeColor="text1"/>
        </w:rPr>
        <w:t>from the 1880</w:t>
      </w:r>
      <w:r w:rsidR="00085D7B" w:rsidRPr="00A35AE0">
        <w:rPr>
          <w:color w:val="000000" w:themeColor="text1"/>
        </w:rPr>
        <w:t>s to the 1940s</w:t>
      </w:r>
      <w:r w:rsidR="0043211B" w:rsidRPr="00A35AE0">
        <w:rPr>
          <w:color w:val="000000" w:themeColor="text1"/>
        </w:rPr>
        <w:t xml:space="preserve"> </w:t>
      </w:r>
      <w:r w:rsidR="008D189C" w:rsidRPr="00A35AE0">
        <w:rPr>
          <w:color w:val="000000" w:themeColor="text1"/>
        </w:rPr>
        <w:t>(see fig 1)</w:t>
      </w:r>
      <w:r w:rsidR="00AA2822" w:rsidRPr="00A35AE0">
        <w:rPr>
          <w:color w:val="000000" w:themeColor="text1"/>
        </w:rPr>
        <w:t xml:space="preserve">. This is important because it shows that early </w:t>
      </w:r>
      <w:proofErr w:type="spellStart"/>
      <w:r w:rsidR="00AA2822" w:rsidRPr="00A35AE0">
        <w:rPr>
          <w:color w:val="000000" w:themeColor="text1"/>
        </w:rPr>
        <w:t>decarcera</w:t>
      </w:r>
      <w:r w:rsidR="00E45B4E">
        <w:rPr>
          <w:color w:val="000000" w:themeColor="text1"/>
        </w:rPr>
        <w:t>l</w:t>
      </w:r>
      <w:proofErr w:type="spellEnd"/>
      <w:r w:rsidR="00AA2822" w:rsidRPr="00A35AE0">
        <w:rPr>
          <w:color w:val="000000" w:themeColor="text1"/>
        </w:rPr>
        <w:t xml:space="preserve"> trends </w:t>
      </w:r>
      <w:r w:rsidR="00E8238B" w:rsidRPr="00A35AE0">
        <w:rPr>
          <w:color w:val="000000" w:themeColor="text1"/>
        </w:rPr>
        <w:t>were</w:t>
      </w:r>
      <w:r w:rsidR="00AA2822" w:rsidRPr="00A35AE0">
        <w:rPr>
          <w:color w:val="000000" w:themeColor="text1"/>
        </w:rPr>
        <w:t xml:space="preserve"> </w:t>
      </w:r>
      <w:r w:rsidR="00AA2822" w:rsidRPr="00337744">
        <w:rPr>
          <w:color w:val="000000" w:themeColor="text1"/>
        </w:rPr>
        <w:t xml:space="preserve">not tied to </w:t>
      </w:r>
      <w:r w:rsidR="00C219EB">
        <w:rPr>
          <w:color w:val="000000" w:themeColor="text1"/>
        </w:rPr>
        <w:t>an overall fall in</w:t>
      </w:r>
      <w:r w:rsidR="004F1752" w:rsidRPr="00337744">
        <w:rPr>
          <w:color w:val="000000" w:themeColor="text1"/>
        </w:rPr>
        <w:t xml:space="preserve"> </w:t>
      </w:r>
      <w:r w:rsidR="00AA2822" w:rsidRPr="00337744">
        <w:rPr>
          <w:color w:val="000000" w:themeColor="text1"/>
        </w:rPr>
        <w:t>prosecutio</w:t>
      </w:r>
      <w:r w:rsidR="00C219EB">
        <w:rPr>
          <w:color w:val="000000" w:themeColor="text1"/>
        </w:rPr>
        <w:t>n</w:t>
      </w:r>
      <w:r w:rsidR="00AA2822" w:rsidRPr="00337744">
        <w:rPr>
          <w:color w:val="000000" w:themeColor="text1"/>
        </w:rPr>
        <w:t xml:space="preserve">s. </w:t>
      </w:r>
    </w:p>
    <w:p w:rsidR="003324CA" w:rsidRPr="00337744" w:rsidRDefault="003324CA" w:rsidP="00337744">
      <w:pPr>
        <w:pBdr>
          <w:top w:val="nil"/>
          <w:left w:val="nil"/>
          <w:bottom w:val="nil"/>
          <w:right w:val="nil"/>
          <w:between w:val="nil"/>
          <w:bar w:val="nil"/>
        </w:pBdr>
        <w:spacing w:line="360" w:lineRule="auto"/>
        <w:jc w:val="both"/>
        <w:rPr>
          <w:color w:val="000000" w:themeColor="text1"/>
        </w:rPr>
      </w:pPr>
    </w:p>
    <w:p w:rsidR="003324CA" w:rsidRPr="00A35AE0" w:rsidRDefault="00647701" w:rsidP="00F24F1C">
      <w:pPr>
        <w:pStyle w:val="CommentText"/>
        <w:spacing w:line="360" w:lineRule="auto"/>
        <w:jc w:val="both"/>
      </w:pPr>
      <w:r w:rsidRPr="00337744">
        <w:rPr>
          <w:rFonts w:ascii="Times New Roman" w:hAnsi="Times New Roman" w:cs="Times New Roman"/>
          <w:color w:val="000000" w:themeColor="text1"/>
          <w:sz w:val="24"/>
          <w:szCs w:val="24"/>
        </w:rPr>
        <w:t xml:space="preserve">The </w:t>
      </w:r>
      <w:r w:rsidR="00C91E7F" w:rsidRPr="00337744">
        <w:rPr>
          <w:rFonts w:ascii="Times New Roman" w:hAnsi="Times New Roman" w:cs="Times New Roman"/>
          <w:color w:val="000000" w:themeColor="text1"/>
          <w:sz w:val="24"/>
          <w:szCs w:val="24"/>
        </w:rPr>
        <w:t xml:space="preserve">final factor likely to have shaped </w:t>
      </w:r>
      <w:proofErr w:type="spellStart"/>
      <w:r w:rsidR="00C91E7F" w:rsidRPr="00337744">
        <w:rPr>
          <w:rFonts w:ascii="Times New Roman" w:hAnsi="Times New Roman" w:cs="Times New Roman"/>
          <w:color w:val="000000" w:themeColor="text1"/>
          <w:sz w:val="24"/>
          <w:szCs w:val="24"/>
        </w:rPr>
        <w:t>decarceral</w:t>
      </w:r>
      <w:proofErr w:type="spellEnd"/>
      <w:r w:rsidR="00C91E7F" w:rsidRPr="00337744">
        <w:rPr>
          <w:rFonts w:ascii="Times New Roman" w:hAnsi="Times New Roman" w:cs="Times New Roman"/>
          <w:color w:val="000000" w:themeColor="text1"/>
          <w:sz w:val="24"/>
          <w:szCs w:val="24"/>
        </w:rPr>
        <w:t xml:space="preserve"> trends was the </w:t>
      </w:r>
      <w:r w:rsidRPr="00337744">
        <w:rPr>
          <w:rFonts w:ascii="Times New Roman" w:hAnsi="Times New Roman" w:cs="Times New Roman"/>
          <w:color w:val="000000" w:themeColor="text1"/>
          <w:sz w:val="24"/>
          <w:szCs w:val="24"/>
        </w:rPr>
        <w:t>perceived need to reduce public spending on prisons</w:t>
      </w:r>
      <w:r w:rsidR="00056293" w:rsidRPr="00337744">
        <w:rPr>
          <w:rFonts w:ascii="Times New Roman" w:hAnsi="Times New Roman" w:cs="Times New Roman"/>
          <w:color w:val="000000" w:themeColor="text1"/>
          <w:sz w:val="24"/>
          <w:szCs w:val="24"/>
        </w:rPr>
        <w:t xml:space="preserve"> – a need that was articulated by government </w:t>
      </w:r>
      <w:r w:rsidR="001A70B4" w:rsidRPr="00337744">
        <w:rPr>
          <w:rFonts w:ascii="Times New Roman" w:hAnsi="Times New Roman" w:cs="Times New Roman"/>
          <w:color w:val="000000" w:themeColor="text1"/>
          <w:sz w:val="24"/>
          <w:szCs w:val="24"/>
        </w:rPr>
        <w:t xml:space="preserve">almost </w:t>
      </w:r>
      <w:r w:rsidR="00056293" w:rsidRPr="00337744">
        <w:rPr>
          <w:rFonts w:ascii="Times New Roman" w:hAnsi="Times New Roman" w:cs="Times New Roman"/>
          <w:color w:val="000000" w:themeColor="text1"/>
          <w:sz w:val="24"/>
          <w:szCs w:val="24"/>
        </w:rPr>
        <w:t xml:space="preserve">as soon as those prisons were established.  </w:t>
      </w:r>
      <w:r w:rsidR="00B418A8" w:rsidRPr="00337744">
        <w:rPr>
          <w:rFonts w:ascii="Times New Roman" w:hAnsi="Times New Roman" w:cs="Times New Roman"/>
          <w:color w:val="000000" w:themeColor="text1"/>
          <w:sz w:val="24"/>
          <w:szCs w:val="24"/>
        </w:rPr>
        <w:t>From 1856 every penal institution had to report estate and staff costs</w:t>
      </w:r>
      <w:r w:rsidR="001A70B4" w:rsidRPr="00337744">
        <w:rPr>
          <w:rFonts w:ascii="Times New Roman" w:hAnsi="Times New Roman" w:cs="Times New Roman"/>
          <w:color w:val="000000" w:themeColor="text1"/>
          <w:sz w:val="24"/>
          <w:szCs w:val="24"/>
        </w:rPr>
        <w:t xml:space="preserve"> to</w:t>
      </w:r>
      <w:r w:rsidR="00337744" w:rsidRPr="00337744">
        <w:rPr>
          <w:rFonts w:ascii="Times New Roman" w:hAnsi="Times New Roman" w:cs="Times New Roman"/>
          <w:color w:val="000000" w:themeColor="text1"/>
          <w:sz w:val="24"/>
          <w:szCs w:val="24"/>
        </w:rPr>
        <w:t xml:space="preserve"> </w:t>
      </w:r>
      <w:r w:rsidR="00F577AC">
        <w:rPr>
          <w:rFonts w:ascii="Times New Roman" w:hAnsi="Times New Roman" w:cs="Times New Roman"/>
          <w:color w:val="000000" w:themeColor="text1"/>
          <w:sz w:val="24"/>
          <w:szCs w:val="24"/>
        </w:rPr>
        <w:t>the Prison Commissioners (and ultimately, the Home Office)</w:t>
      </w:r>
      <w:r w:rsidR="00B418A8" w:rsidRPr="00337744">
        <w:rPr>
          <w:rFonts w:ascii="Times New Roman" w:hAnsi="Times New Roman" w:cs="Times New Roman"/>
          <w:color w:val="000000" w:themeColor="text1"/>
          <w:sz w:val="24"/>
          <w:szCs w:val="24"/>
        </w:rPr>
        <w:t xml:space="preserve">, with cost per inmate worked out </w:t>
      </w:r>
      <w:r w:rsidR="0051580E">
        <w:rPr>
          <w:rFonts w:ascii="Times New Roman" w:hAnsi="Times New Roman" w:cs="Times New Roman"/>
          <w:color w:val="000000" w:themeColor="text1"/>
          <w:sz w:val="24"/>
          <w:szCs w:val="24"/>
        </w:rPr>
        <w:t xml:space="preserve">to the exact </w:t>
      </w:r>
      <w:r w:rsidR="00B418A8" w:rsidRPr="00337744">
        <w:rPr>
          <w:rFonts w:ascii="Times New Roman" w:hAnsi="Times New Roman" w:cs="Times New Roman"/>
          <w:color w:val="000000" w:themeColor="text1"/>
          <w:sz w:val="24"/>
          <w:szCs w:val="24"/>
        </w:rPr>
        <w:t>pound, shilling, and pence (</w:t>
      </w:r>
      <w:hyperlink r:id="rId9" w:history="1">
        <w:r w:rsidR="0051580E" w:rsidRPr="00E5472E">
          <w:rPr>
            <w:rStyle w:val="Hyperlink"/>
            <w:rFonts w:ascii="Times New Roman" w:hAnsi="Times New Roman" w:cs="Times New Roman"/>
            <w:sz w:val="24"/>
            <w:szCs w:val="24"/>
          </w:rPr>
          <w:t>https://www.researchcatalogue.esrc.ac.uk/grants/RES-062-23-3102/read</w:t>
        </w:r>
      </w:hyperlink>
      <w:r w:rsidR="00B418A8" w:rsidRPr="00337744">
        <w:rPr>
          <w:rFonts w:ascii="Times New Roman" w:hAnsi="Times New Roman" w:cs="Times New Roman"/>
          <w:color w:val="000000" w:themeColor="text1"/>
          <w:sz w:val="24"/>
          <w:szCs w:val="24"/>
        </w:rPr>
        <w:t>).</w:t>
      </w:r>
      <w:r w:rsidR="0051580E">
        <w:rPr>
          <w:rFonts w:ascii="Times New Roman" w:hAnsi="Times New Roman" w:cs="Times New Roman"/>
          <w:color w:val="000000" w:themeColor="text1"/>
          <w:sz w:val="24"/>
          <w:szCs w:val="24"/>
        </w:rPr>
        <w:t xml:space="preserve"> </w:t>
      </w:r>
      <w:r w:rsidR="00B418A8" w:rsidRPr="00337744">
        <w:rPr>
          <w:rFonts w:ascii="Times New Roman" w:hAnsi="Times New Roman" w:cs="Times New Roman"/>
          <w:color w:val="000000" w:themeColor="text1"/>
          <w:sz w:val="24"/>
          <w:szCs w:val="24"/>
        </w:rPr>
        <w:t xml:space="preserve">Following the nationalisation of the prison estate in 1877 (when the </w:t>
      </w:r>
      <w:r w:rsidR="000769EC" w:rsidRPr="00337744">
        <w:rPr>
          <w:rFonts w:ascii="Times New Roman" w:hAnsi="Times New Roman" w:cs="Times New Roman"/>
          <w:color w:val="000000" w:themeColor="text1"/>
          <w:sz w:val="24"/>
          <w:szCs w:val="24"/>
        </w:rPr>
        <w:t xml:space="preserve">central </w:t>
      </w:r>
      <w:r w:rsidR="00B418A8" w:rsidRPr="00337744">
        <w:rPr>
          <w:rFonts w:ascii="Times New Roman" w:hAnsi="Times New Roman" w:cs="Times New Roman"/>
          <w:color w:val="000000" w:themeColor="text1"/>
          <w:sz w:val="24"/>
          <w:szCs w:val="24"/>
        </w:rPr>
        <w:t xml:space="preserve">government took over </w:t>
      </w:r>
      <w:r w:rsidR="00B418A8" w:rsidRPr="003F1E4C">
        <w:rPr>
          <w:rFonts w:ascii="Times New Roman" w:hAnsi="Times New Roman" w:cs="Times New Roman"/>
          <w:color w:val="000000" w:themeColor="text1"/>
          <w:sz w:val="24"/>
          <w:szCs w:val="22"/>
        </w:rPr>
        <w:t xml:space="preserve">control of the prison system from local authorities) there was a constant drive to reduce costs, and to obtain </w:t>
      </w:r>
      <w:r w:rsidR="006D1D9E" w:rsidRPr="003F1E4C">
        <w:rPr>
          <w:rFonts w:ascii="Times New Roman" w:hAnsi="Times New Roman" w:cs="Times New Roman"/>
          <w:color w:val="000000" w:themeColor="text1"/>
          <w:sz w:val="24"/>
          <w:szCs w:val="22"/>
        </w:rPr>
        <w:t xml:space="preserve">better </w:t>
      </w:r>
      <w:r w:rsidR="00B418A8" w:rsidRPr="003F1E4C">
        <w:rPr>
          <w:rFonts w:ascii="Times New Roman" w:hAnsi="Times New Roman" w:cs="Times New Roman"/>
          <w:color w:val="000000" w:themeColor="text1"/>
          <w:sz w:val="24"/>
          <w:szCs w:val="22"/>
        </w:rPr>
        <w:t xml:space="preserve">value for money. This was never more evident than during the </w:t>
      </w:r>
      <w:r w:rsidR="006D1D9E" w:rsidRPr="003F1E4C">
        <w:rPr>
          <w:rFonts w:ascii="Times New Roman" w:hAnsi="Times New Roman" w:cs="Times New Roman"/>
          <w:color w:val="000000" w:themeColor="text1"/>
          <w:sz w:val="24"/>
          <w:szCs w:val="22"/>
        </w:rPr>
        <w:t xml:space="preserve">fiscal crises of the 1920s following the </w:t>
      </w:r>
      <w:r w:rsidR="003F1E4C">
        <w:rPr>
          <w:rFonts w:ascii="Times New Roman" w:hAnsi="Times New Roman" w:cs="Times New Roman"/>
          <w:color w:val="000000" w:themeColor="text1"/>
          <w:sz w:val="24"/>
          <w:szCs w:val="22"/>
        </w:rPr>
        <w:t xml:space="preserve">First </w:t>
      </w:r>
      <w:r w:rsidR="006D1D9E" w:rsidRPr="003F1E4C">
        <w:rPr>
          <w:rFonts w:ascii="Times New Roman" w:hAnsi="Times New Roman" w:cs="Times New Roman"/>
          <w:color w:val="000000" w:themeColor="text1"/>
          <w:sz w:val="24"/>
          <w:szCs w:val="22"/>
        </w:rPr>
        <w:t>World War</w:t>
      </w:r>
      <w:r w:rsidR="0068534B" w:rsidRPr="003F1E4C">
        <w:rPr>
          <w:rFonts w:ascii="Times New Roman" w:hAnsi="Times New Roman" w:cs="Times New Roman"/>
          <w:color w:val="000000" w:themeColor="text1"/>
          <w:sz w:val="24"/>
          <w:szCs w:val="22"/>
        </w:rPr>
        <w:t xml:space="preserve"> </w:t>
      </w:r>
      <w:r w:rsidR="006D1D9E" w:rsidRPr="003F1E4C">
        <w:rPr>
          <w:rFonts w:ascii="Times New Roman" w:hAnsi="Times New Roman" w:cs="Times New Roman"/>
          <w:color w:val="000000" w:themeColor="text1"/>
          <w:sz w:val="24"/>
          <w:szCs w:val="22"/>
        </w:rPr>
        <w:t>and the later Wall Street Crash</w:t>
      </w:r>
      <w:r w:rsidR="00B418A8" w:rsidRPr="003F1E4C">
        <w:rPr>
          <w:rFonts w:ascii="Times New Roman" w:hAnsi="Times New Roman" w:cs="Times New Roman"/>
          <w:color w:val="000000" w:themeColor="text1"/>
          <w:sz w:val="24"/>
          <w:szCs w:val="22"/>
        </w:rPr>
        <w:t xml:space="preserve">. </w:t>
      </w:r>
      <w:r w:rsidR="0096745D" w:rsidRPr="003F1E4C">
        <w:rPr>
          <w:rFonts w:ascii="Times New Roman" w:hAnsi="Times New Roman" w:cs="Times New Roman"/>
          <w:color w:val="000000" w:themeColor="text1"/>
          <w:sz w:val="24"/>
          <w:szCs w:val="22"/>
        </w:rPr>
        <w:t xml:space="preserve">In the early 1920s, </w:t>
      </w:r>
      <w:r w:rsidR="0096745D" w:rsidRPr="003F1E4C">
        <w:rPr>
          <w:rFonts w:ascii="Times New Roman" w:hAnsi="Times New Roman" w:cs="Times New Roman"/>
          <w:bCs/>
          <w:color w:val="000000" w:themeColor="text1"/>
          <w:sz w:val="24"/>
          <w:szCs w:val="22"/>
        </w:rPr>
        <w:t>e</w:t>
      </w:r>
      <w:r w:rsidRPr="003F1E4C">
        <w:rPr>
          <w:rFonts w:ascii="Times New Roman" w:hAnsi="Times New Roman" w:cs="Times New Roman"/>
          <w:bCs/>
          <w:color w:val="000000" w:themeColor="text1"/>
          <w:sz w:val="24"/>
          <w:szCs w:val="22"/>
        </w:rPr>
        <w:t>ighteen prison</w:t>
      </w:r>
      <w:r w:rsidR="003E7A19" w:rsidRPr="003F1E4C">
        <w:rPr>
          <w:rFonts w:ascii="Times New Roman" w:hAnsi="Times New Roman" w:cs="Times New Roman"/>
          <w:bCs/>
          <w:color w:val="000000" w:themeColor="text1"/>
          <w:sz w:val="24"/>
          <w:szCs w:val="22"/>
        </w:rPr>
        <w:t>s</w:t>
      </w:r>
      <w:r w:rsidR="003E7A19" w:rsidRPr="003F1E4C">
        <w:rPr>
          <w:rFonts w:ascii="Times New Roman" w:hAnsi="Times New Roman" w:cs="Times New Roman"/>
          <w:sz w:val="24"/>
          <w:szCs w:val="22"/>
        </w:rPr>
        <w:t xml:space="preserve"> </w:t>
      </w:r>
      <w:r w:rsidRPr="003F1E4C">
        <w:rPr>
          <w:rFonts w:ascii="Times New Roman" w:hAnsi="Times New Roman" w:cs="Times New Roman"/>
          <w:sz w:val="24"/>
          <w:szCs w:val="24"/>
        </w:rPr>
        <w:t xml:space="preserve">were closed </w:t>
      </w:r>
      <w:r w:rsidR="003E7A19">
        <w:rPr>
          <w:rFonts w:ascii="Times New Roman" w:hAnsi="Times New Roman" w:cs="Times New Roman"/>
          <w:sz w:val="24"/>
          <w:szCs w:val="24"/>
        </w:rPr>
        <w:t xml:space="preserve">(a significant proportion of the prison estate) </w:t>
      </w:r>
      <w:r w:rsidRPr="003F1E4C">
        <w:rPr>
          <w:rFonts w:ascii="Times New Roman" w:hAnsi="Times New Roman" w:cs="Times New Roman"/>
          <w:sz w:val="24"/>
          <w:szCs w:val="24"/>
        </w:rPr>
        <w:t>and the dwindling number of prisoners crammed into the remaining overcrowded prisons</w:t>
      </w:r>
      <w:r w:rsidR="0096745D" w:rsidRPr="003F1E4C">
        <w:rPr>
          <w:rFonts w:ascii="Times New Roman" w:hAnsi="Times New Roman" w:cs="Times New Roman"/>
          <w:sz w:val="24"/>
          <w:szCs w:val="24"/>
        </w:rPr>
        <w:t xml:space="preserve">. </w:t>
      </w:r>
      <w:r w:rsidR="00A56BFD" w:rsidRPr="003F1E4C">
        <w:rPr>
          <w:rFonts w:ascii="Times New Roman" w:hAnsi="Times New Roman" w:cs="Times New Roman"/>
          <w:sz w:val="24"/>
          <w:szCs w:val="24"/>
        </w:rPr>
        <w:t>Cost saving</w:t>
      </w:r>
      <w:r w:rsidR="0096745D" w:rsidRPr="003F1E4C">
        <w:rPr>
          <w:rFonts w:ascii="Times New Roman" w:hAnsi="Times New Roman" w:cs="Times New Roman"/>
          <w:sz w:val="24"/>
          <w:szCs w:val="24"/>
        </w:rPr>
        <w:t xml:space="preserve"> was a </w:t>
      </w:r>
      <w:r w:rsidR="003F1E4C">
        <w:rPr>
          <w:rFonts w:ascii="Times New Roman" w:hAnsi="Times New Roman" w:cs="Times New Roman"/>
          <w:sz w:val="24"/>
          <w:szCs w:val="24"/>
        </w:rPr>
        <w:t>clear</w:t>
      </w:r>
      <w:r w:rsidR="00A56BFD">
        <w:rPr>
          <w:rFonts w:ascii="Times New Roman" w:hAnsi="Times New Roman" w:cs="Times New Roman"/>
          <w:sz w:val="24"/>
          <w:szCs w:val="24"/>
        </w:rPr>
        <w:t xml:space="preserve"> </w:t>
      </w:r>
      <w:r w:rsidR="0096745D" w:rsidRPr="003F1E4C">
        <w:rPr>
          <w:rFonts w:ascii="Times New Roman" w:hAnsi="Times New Roman" w:cs="Times New Roman"/>
          <w:sz w:val="24"/>
          <w:szCs w:val="24"/>
        </w:rPr>
        <w:t xml:space="preserve">driver here, although other factors remained in play. The </w:t>
      </w:r>
      <w:r w:rsidR="0096745D" w:rsidRPr="003F1E4C">
        <w:rPr>
          <w:rFonts w:ascii="Times New Roman" w:hAnsi="Times New Roman" w:cs="Times New Roman"/>
          <w:sz w:val="24"/>
          <w:szCs w:val="24"/>
        </w:rPr>
        <w:lastRenderedPageBreak/>
        <w:t xml:space="preserve">closures occurred under a reforming </w:t>
      </w:r>
      <w:r w:rsidRPr="003F1E4C">
        <w:rPr>
          <w:rFonts w:ascii="Times New Roman" w:hAnsi="Times New Roman" w:cs="Times New Roman"/>
          <w:sz w:val="24"/>
          <w:szCs w:val="24"/>
        </w:rPr>
        <w:t>Prison Co</w:t>
      </w:r>
      <w:r w:rsidR="0084729C" w:rsidRPr="003F1E4C">
        <w:rPr>
          <w:rFonts w:ascii="Times New Roman" w:hAnsi="Times New Roman" w:cs="Times New Roman"/>
          <w:sz w:val="24"/>
          <w:szCs w:val="24"/>
        </w:rPr>
        <w:t xml:space="preserve">mmissioner, Alexander Paterson, </w:t>
      </w:r>
      <w:r w:rsidR="00C72CE3" w:rsidRPr="003F1E4C">
        <w:rPr>
          <w:rFonts w:ascii="Times New Roman" w:hAnsi="Times New Roman" w:cs="Times New Roman"/>
          <w:sz w:val="24"/>
          <w:szCs w:val="24"/>
        </w:rPr>
        <w:t xml:space="preserve">well-known for </w:t>
      </w:r>
      <w:r w:rsidR="006301D5" w:rsidRPr="003F1E4C">
        <w:rPr>
          <w:rFonts w:ascii="Times New Roman" w:hAnsi="Times New Roman" w:cs="Times New Roman"/>
          <w:sz w:val="24"/>
          <w:szCs w:val="24"/>
        </w:rPr>
        <w:t xml:space="preserve">his </w:t>
      </w:r>
      <w:r w:rsidR="00C72CE3" w:rsidRPr="003F1E4C">
        <w:rPr>
          <w:rFonts w:ascii="Times New Roman" w:hAnsi="Times New Roman" w:cs="Times New Roman"/>
          <w:sz w:val="24"/>
          <w:szCs w:val="24"/>
        </w:rPr>
        <w:t xml:space="preserve">broader efforts to further </w:t>
      </w:r>
      <w:r w:rsidR="00B677C7" w:rsidRPr="003F1E4C">
        <w:rPr>
          <w:rFonts w:ascii="Times New Roman" w:hAnsi="Times New Roman" w:cs="Times New Roman"/>
          <w:sz w:val="24"/>
          <w:szCs w:val="24"/>
        </w:rPr>
        <w:t xml:space="preserve">re-think and </w:t>
      </w:r>
      <w:r w:rsidR="00C72CE3" w:rsidRPr="003F1E4C">
        <w:rPr>
          <w:rFonts w:ascii="Times New Roman" w:hAnsi="Times New Roman" w:cs="Times New Roman"/>
          <w:sz w:val="24"/>
          <w:szCs w:val="24"/>
        </w:rPr>
        <w:t>humanise prisons</w:t>
      </w:r>
      <w:r w:rsidR="006301D5" w:rsidRPr="003F1E4C">
        <w:rPr>
          <w:rFonts w:ascii="Times New Roman" w:hAnsi="Times New Roman" w:cs="Times New Roman"/>
          <w:sz w:val="24"/>
          <w:szCs w:val="24"/>
        </w:rPr>
        <w:t xml:space="preserve"> (</w:t>
      </w:r>
      <w:r w:rsidR="00DB165D" w:rsidRPr="003F1E4C">
        <w:rPr>
          <w:rFonts w:ascii="Times New Roman" w:hAnsi="Times New Roman" w:cs="Times New Roman"/>
          <w:sz w:val="24"/>
          <w:szCs w:val="24"/>
        </w:rPr>
        <w:t>Paterson</w:t>
      </w:r>
      <w:r w:rsidR="006301D5" w:rsidRPr="003F1E4C">
        <w:rPr>
          <w:rFonts w:ascii="Times New Roman" w:hAnsi="Times New Roman" w:cs="Times New Roman"/>
          <w:sz w:val="24"/>
          <w:szCs w:val="24"/>
        </w:rPr>
        <w:t>, 1951)</w:t>
      </w:r>
      <w:r w:rsidR="00C72CE3" w:rsidRPr="003F1E4C">
        <w:rPr>
          <w:rFonts w:ascii="Times New Roman" w:hAnsi="Times New Roman" w:cs="Times New Roman"/>
          <w:sz w:val="24"/>
          <w:szCs w:val="24"/>
        </w:rPr>
        <w:t xml:space="preserve">. </w:t>
      </w:r>
      <w:r w:rsidR="00B677C7" w:rsidRPr="003F1E4C">
        <w:rPr>
          <w:rFonts w:ascii="Times New Roman" w:hAnsi="Times New Roman" w:cs="Times New Roman"/>
          <w:sz w:val="24"/>
          <w:szCs w:val="24"/>
        </w:rPr>
        <w:t xml:space="preserve">This extension of the positive penological agenda  was also embodied in </w:t>
      </w:r>
      <w:r w:rsidR="00DB165D" w:rsidRPr="003F1E4C">
        <w:rPr>
          <w:rFonts w:ascii="Times New Roman" w:hAnsi="Times New Roman" w:cs="Times New Roman"/>
          <w:sz w:val="24"/>
          <w:szCs w:val="24"/>
        </w:rPr>
        <w:t xml:space="preserve">other </w:t>
      </w:r>
      <w:proofErr w:type="spellStart"/>
      <w:r w:rsidR="00DB165D" w:rsidRPr="003F1E4C">
        <w:rPr>
          <w:rFonts w:ascii="Times New Roman" w:hAnsi="Times New Roman" w:cs="Times New Roman"/>
          <w:sz w:val="24"/>
          <w:szCs w:val="24"/>
        </w:rPr>
        <w:t>decarcerally</w:t>
      </w:r>
      <w:proofErr w:type="spellEnd"/>
      <w:r w:rsidR="00DB165D" w:rsidRPr="003F1E4C">
        <w:rPr>
          <w:rFonts w:ascii="Times New Roman" w:hAnsi="Times New Roman" w:cs="Times New Roman"/>
          <w:sz w:val="24"/>
          <w:szCs w:val="24"/>
        </w:rPr>
        <w:t xml:space="preserve">-oriented critiques of prisons of the period, notably </w:t>
      </w:r>
      <w:r w:rsidR="00541C32" w:rsidRPr="003F1E4C">
        <w:rPr>
          <w:rFonts w:ascii="Times New Roman" w:hAnsi="Times New Roman" w:cs="Times New Roman"/>
          <w:i/>
          <w:sz w:val="24"/>
          <w:szCs w:val="24"/>
        </w:rPr>
        <w:t>The English Prison System</w:t>
      </w:r>
      <w:r w:rsidR="00541C32" w:rsidRPr="003F1E4C">
        <w:rPr>
          <w:rFonts w:ascii="Times New Roman" w:hAnsi="Times New Roman" w:cs="Times New Roman"/>
          <w:sz w:val="24"/>
          <w:szCs w:val="24"/>
        </w:rPr>
        <w:t xml:space="preserve"> (1921) by Sir Evelyn Ruggles-</w:t>
      </w:r>
      <w:proofErr w:type="spellStart"/>
      <w:r w:rsidR="00541C32" w:rsidRPr="003F1E4C">
        <w:rPr>
          <w:rFonts w:ascii="Times New Roman" w:hAnsi="Times New Roman" w:cs="Times New Roman"/>
          <w:sz w:val="24"/>
          <w:szCs w:val="24"/>
        </w:rPr>
        <w:t>Brise</w:t>
      </w:r>
      <w:proofErr w:type="spellEnd"/>
      <w:r w:rsidR="00541C32" w:rsidRPr="003F1E4C">
        <w:rPr>
          <w:rFonts w:ascii="Times New Roman" w:hAnsi="Times New Roman" w:cs="Times New Roman"/>
          <w:sz w:val="24"/>
          <w:szCs w:val="24"/>
        </w:rPr>
        <w:t>, t</w:t>
      </w:r>
      <w:r w:rsidRPr="003F1E4C">
        <w:rPr>
          <w:rFonts w:ascii="Times New Roman" w:hAnsi="Times New Roman" w:cs="Times New Roman"/>
          <w:sz w:val="24"/>
          <w:szCs w:val="24"/>
        </w:rPr>
        <w:t>he</w:t>
      </w:r>
      <w:r w:rsidR="00541C32" w:rsidRPr="003F1E4C">
        <w:rPr>
          <w:rFonts w:ascii="Times New Roman" w:hAnsi="Times New Roman" w:cs="Times New Roman"/>
          <w:sz w:val="24"/>
          <w:szCs w:val="24"/>
        </w:rPr>
        <w:t xml:space="preserve"> c</w:t>
      </w:r>
      <w:r w:rsidRPr="003F1E4C">
        <w:rPr>
          <w:rFonts w:ascii="Times New Roman" w:hAnsi="Times New Roman" w:cs="Times New Roman"/>
          <w:sz w:val="24"/>
          <w:szCs w:val="24"/>
        </w:rPr>
        <w:t>ha</w:t>
      </w:r>
      <w:r w:rsidR="00541C32" w:rsidRPr="003F1E4C">
        <w:rPr>
          <w:rFonts w:ascii="Times New Roman" w:hAnsi="Times New Roman" w:cs="Times New Roman"/>
          <w:sz w:val="24"/>
          <w:szCs w:val="24"/>
        </w:rPr>
        <w:t xml:space="preserve">irman of the Prison Commission; </w:t>
      </w:r>
      <w:r w:rsidRPr="003F1E4C">
        <w:rPr>
          <w:rFonts w:ascii="Times New Roman" w:hAnsi="Times New Roman" w:cs="Times New Roman"/>
          <w:i/>
          <w:sz w:val="24"/>
          <w:szCs w:val="24"/>
        </w:rPr>
        <w:t>English Prisons Under Local Government</w:t>
      </w:r>
      <w:r w:rsidR="00541C32" w:rsidRPr="003F1E4C">
        <w:rPr>
          <w:rFonts w:ascii="Times New Roman" w:hAnsi="Times New Roman" w:cs="Times New Roman"/>
          <w:sz w:val="24"/>
          <w:szCs w:val="24"/>
        </w:rPr>
        <w:t xml:space="preserve"> (1922) by Sidney and Beatrice Webb, leading members of the Fabian Society; and </w:t>
      </w:r>
      <w:r w:rsidRPr="003F1E4C">
        <w:rPr>
          <w:rFonts w:ascii="Times New Roman" w:hAnsi="Times New Roman" w:cs="Times New Roman"/>
          <w:i/>
          <w:iCs/>
          <w:sz w:val="24"/>
          <w:szCs w:val="24"/>
        </w:rPr>
        <w:t xml:space="preserve">The Report of the Prison System Enquiry Committee </w:t>
      </w:r>
      <w:r w:rsidR="00541C32" w:rsidRPr="003F1E4C">
        <w:rPr>
          <w:rFonts w:ascii="Times New Roman" w:hAnsi="Times New Roman" w:cs="Times New Roman"/>
          <w:iCs/>
          <w:sz w:val="24"/>
          <w:szCs w:val="24"/>
        </w:rPr>
        <w:t>(1922</w:t>
      </w:r>
      <w:r w:rsidR="0051580E" w:rsidRPr="003F1E4C">
        <w:rPr>
          <w:rFonts w:ascii="Times New Roman" w:hAnsi="Times New Roman" w:cs="Times New Roman"/>
          <w:iCs/>
          <w:sz w:val="24"/>
          <w:szCs w:val="24"/>
        </w:rPr>
        <w:t>) authored</w:t>
      </w:r>
      <w:r w:rsidR="0051580E" w:rsidRPr="003F1E4C">
        <w:rPr>
          <w:rFonts w:ascii="Times New Roman" w:hAnsi="Times New Roman" w:cs="Times New Roman"/>
          <w:sz w:val="24"/>
          <w:szCs w:val="24"/>
        </w:rPr>
        <w:t xml:space="preserve"> by Stephen Hobhouse and Archibald </w:t>
      </w:r>
      <w:proofErr w:type="spellStart"/>
      <w:r w:rsidR="0051580E" w:rsidRPr="003F1E4C">
        <w:rPr>
          <w:rFonts w:ascii="Times New Roman" w:hAnsi="Times New Roman" w:cs="Times New Roman"/>
          <w:sz w:val="24"/>
          <w:szCs w:val="24"/>
        </w:rPr>
        <w:t>Fenner</w:t>
      </w:r>
      <w:proofErr w:type="spellEnd"/>
      <w:r w:rsidR="0051580E" w:rsidRPr="003F1E4C">
        <w:rPr>
          <w:rFonts w:ascii="Times New Roman" w:hAnsi="Times New Roman" w:cs="Times New Roman"/>
          <w:sz w:val="24"/>
          <w:szCs w:val="24"/>
        </w:rPr>
        <w:t xml:space="preserve"> Brockway</w:t>
      </w:r>
      <w:r w:rsidR="0051580E" w:rsidRPr="003F1E4C">
        <w:rPr>
          <w:rFonts w:ascii="Times New Roman" w:hAnsi="Times New Roman" w:cs="Times New Roman"/>
          <w:i/>
          <w:iCs/>
          <w:sz w:val="24"/>
          <w:szCs w:val="24"/>
        </w:rPr>
        <w:t xml:space="preserve"> </w:t>
      </w:r>
      <w:r w:rsidR="0051580E" w:rsidRPr="003F1E4C">
        <w:rPr>
          <w:rFonts w:ascii="Times New Roman" w:hAnsi="Times New Roman" w:cs="Times New Roman"/>
          <w:iCs/>
          <w:sz w:val="24"/>
          <w:szCs w:val="24"/>
        </w:rPr>
        <w:t>(</w:t>
      </w:r>
      <w:r w:rsidR="00541C32" w:rsidRPr="003F1E4C">
        <w:rPr>
          <w:rFonts w:ascii="Times New Roman" w:hAnsi="Times New Roman" w:cs="Times New Roman"/>
          <w:sz w:val="24"/>
          <w:szCs w:val="24"/>
        </w:rPr>
        <w:t xml:space="preserve">also published as </w:t>
      </w:r>
      <w:r w:rsidR="00541C32" w:rsidRPr="003F1E4C">
        <w:rPr>
          <w:rFonts w:ascii="Times New Roman" w:hAnsi="Times New Roman" w:cs="Times New Roman"/>
          <w:i/>
          <w:sz w:val="24"/>
          <w:szCs w:val="24"/>
        </w:rPr>
        <w:t>English Prisons Today</w:t>
      </w:r>
      <w:r w:rsidR="0051580E" w:rsidRPr="003F1E4C">
        <w:rPr>
          <w:rFonts w:ascii="Times New Roman" w:hAnsi="Times New Roman" w:cs="Times New Roman"/>
          <w:sz w:val="24"/>
          <w:szCs w:val="24"/>
        </w:rPr>
        <w:t>)</w:t>
      </w:r>
      <w:r w:rsidR="0043211B" w:rsidRPr="003F1E4C">
        <w:rPr>
          <w:rFonts w:ascii="Times New Roman" w:hAnsi="Times New Roman" w:cs="Times New Roman"/>
          <w:sz w:val="24"/>
          <w:szCs w:val="24"/>
        </w:rPr>
        <w:t xml:space="preserve">. </w:t>
      </w:r>
      <w:r w:rsidRPr="003F1E4C">
        <w:rPr>
          <w:rFonts w:ascii="Times New Roman" w:hAnsi="Times New Roman" w:cs="Times New Roman"/>
          <w:sz w:val="24"/>
          <w:szCs w:val="24"/>
        </w:rPr>
        <w:t>Together they advocated a reduction in penal discipline, and a</w:t>
      </w:r>
      <w:r w:rsidR="00674E19" w:rsidRPr="003F1E4C">
        <w:rPr>
          <w:rFonts w:ascii="Times New Roman" w:hAnsi="Times New Roman" w:cs="Times New Roman"/>
          <w:sz w:val="24"/>
          <w:szCs w:val="24"/>
        </w:rPr>
        <w:t xml:space="preserve">n expansion in </w:t>
      </w:r>
      <w:r w:rsidR="00B95461" w:rsidRPr="003F1E4C">
        <w:rPr>
          <w:rFonts w:ascii="Times New Roman" w:hAnsi="Times New Roman" w:cs="Times New Roman"/>
          <w:sz w:val="24"/>
          <w:szCs w:val="24"/>
        </w:rPr>
        <w:t xml:space="preserve">what we might now call </w:t>
      </w:r>
      <w:r w:rsidR="00674E19" w:rsidRPr="003F1E4C">
        <w:rPr>
          <w:rFonts w:ascii="Times New Roman" w:hAnsi="Times New Roman" w:cs="Times New Roman"/>
          <w:sz w:val="24"/>
          <w:szCs w:val="24"/>
        </w:rPr>
        <w:t xml:space="preserve">the </w:t>
      </w:r>
      <w:r w:rsidRPr="003F1E4C">
        <w:rPr>
          <w:rFonts w:ascii="Times New Roman" w:hAnsi="Times New Roman" w:cs="Times New Roman"/>
          <w:sz w:val="24"/>
          <w:szCs w:val="24"/>
        </w:rPr>
        <w:t>needs-based ass</w:t>
      </w:r>
      <w:r w:rsidR="00541C32" w:rsidRPr="003F1E4C">
        <w:rPr>
          <w:rFonts w:ascii="Times New Roman" w:hAnsi="Times New Roman" w:cs="Times New Roman"/>
          <w:sz w:val="24"/>
          <w:szCs w:val="24"/>
        </w:rPr>
        <w:t xml:space="preserve">essment of individual prisoners </w:t>
      </w:r>
      <w:r w:rsidR="007D2363" w:rsidRPr="003F1E4C">
        <w:rPr>
          <w:rFonts w:ascii="Times New Roman" w:hAnsi="Times New Roman" w:cs="Times New Roman"/>
          <w:sz w:val="24"/>
          <w:szCs w:val="24"/>
        </w:rPr>
        <w:t xml:space="preserve">in order </w:t>
      </w:r>
      <w:r w:rsidR="00541C32" w:rsidRPr="003F1E4C">
        <w:rPr>
          <w:rFonts w:ascii="Times New Roman" w:hAnsi="Times New Roman" w:cs="Times New Roman"/>
          <w:sz w:val="24"/>
          <w:szCs w:val="24"/>
        </w:rPr>
        <w:t xml:space="preserve">to encourage </w:t>
      </w:r>
      <w:r w:rsidR="007D2363" w:rsidRPr="003F1E4C">
        <w:rPr>
          <w:rFonts w:ascii="Times New Roman" w:hAnsi="Times New Roman" w:cs="Times New Roman"/>
          <w:sz w:val="24"/>
          <w:szCs w:val="24"/>
        </w:rPr>
        <w:t xml:space="preserve">rehabilitation and </w:t>
      </w:r>
      <w:r w:rsidR="00541C32" w:rsidRPr="003F1E4C">
        <w:rPr>
          <w:rFonts w:ascii="Times New Roman" w:hAnsi="Times New Roman" w:cs="Times New Roman"/>
          <w:sz w:val="24"/>
          <w:szCs w:val="24"/>
        </w:rPr>
        <w:t>reintegration</w:t>
      </w:r>
      <w:r w:rsidR="0084729C" w:rsidRPr="003F1E4C">
        <w:rPr>
          <w:rFonts w:ascii="Times New Roman" w:hAnsi="Times New Roman" w:cs="Times New Roman"/>
          <w:sz w:val="24"/>
          <w:szCs w:val="24"/>
        </w:rPr>
        <w:t>.</w:t>
      </w:r>
      <w:r w:rsidR="008B2383" w:rsidRPr="003F1E4C">
        <w:rPr>
          <w:rFonts w:ascii="Times New Roman" w:hAnsi="Times New Roman" w:cs="Times New Roman"/>
          <w:sz w:val="24"/>
          <w:szCs w:val="24"/>
        </w:rPr>
        <w:t xml:space="preserve"> </w:t>
      </w:r>
      <w:r w:rsidR="00F964B6" w:rsidRPr="003F1E4C">
        <w:rPr>
          <w:rFonts w:ascii="Times New Roman" w:hAnsi="Times New Roman" w:cs="Times New Roman"/>
          <w:sz w:val="24"/>
          <w:szCs w:val="24"/>
        </w:rPr>
        <w:t xml:space="preserve">This thinking remained influential into the 1930s but was challenged by the upheaval of the Second World War and its </w:t>
      </w:r>
      <w:r w:rsidR="005E5C31" w:rsidRPr="003F1E4C">
        <w:rPr>
          <w:rFonts w:ascii="Times New Roman" w:hAnsi="Times New Roman" w:cs="Times New Roman"/>
          <w:sz w:val="24"/>
          <w:szCs w:val="24"/>
        </w:rPr>
        <w:t xml:space="preserve">aftermath. </w:t>
      </w:r>
    </w:p>
    <w:p w:rsidR="003324CA" w:rsidRPr="00A35AE0" w:rsidRDefault="00F964B6" w:rsidP="004A0F71">
      <w:pPr>
        <w:pStyle w:val="CommentText"/>
        <w:spacing w:line="360" w:lineRule="auto"/>
        <w:jc w:val="both"/>
      </w:pPr>
      <w:r>
        <w:rPr>
          <w:rFonts w:ascii="Times New Roman" w:hAnsi="Times New Roman" w:cs="Times New Roman"/>
          <w:bCs/>
          <w:color w:val="000000" w:themeColor="text1"/>
          <w:sz w:val="24"/>
          <w:szCs w:val="24"/>
        </w:rPr>
        <w:t>The six</w:t>
      </w:r>
      <w:r w:rsidR="007D2363">
        <w:rPr>
          <w:rFonts w:ascii="Times New Roman" w:hAnsi="Times New Roman" w:cs="Times New Roman"/>
          <w:bCs/>
          <w:color w:val="000000" w:themeColor="text1"/>
          <w:sz w:val="24"/>
          <w:szCs w:val="24"/>
        </w:rPr>
        <w:t>ty-year</w:t>
      </w:r>
      <w:r>
        <w:rPr>
          <w:rFonts w:ascii="Times New Roman" w:hAnsi="Times New Roman" w:cs="Times New Roman"/>
          <w:bCs/>
          <w:color w:val="000000" w:themeColor="text1"/>
          <w:sz w:val="24"/>
          <w:szCs w:val="24"/>
        </w:rPr>
        <w:t xml:space="preserve"> decline in prisoner numbers came to an end with the Second World War (see Figure 1). In 1945,</w:t>
      </w:r>
      <w:r w:rsidR="000D0ABE" w:rsidRPr="00A87B0D">
        <w:rPr>
          <w:rFonts w:ascii="Times New Roman" w:hAnsi="Times New Roman" w:cs="Times New Roman"/>
          <w:color w:val="000000" w:themeColor="text1"/>
          <w:sz w:val="24"/>
          <w:szCs w:val="24"/>
        </w:rPr>
        <w:t xml:space="preserve"> the average daily prison population was 14,708</w:t>
      </w:r>
      <w:r w:rsidR="00C32251" w:rsidRPr="00A87B0D">
        <w:rPr>
          <w:rFonts w:ascii="Times New Roman" w:hAnsi="Times New Roman" w:cs="Times New Roman"/>
          <w:color w:val="000000" w:themeColor="text1"/>
          <w:sz w:val="24"/>
          <w:szCs w:val="24"/>
        </w:rPr>
        <w:t xml:space="preserve"> (10 per 10,000 population)</w:t>
      </w:r>
      <w:r w:rsidR="000D0ABE" w:rsidRPr="00A87B0D">
        <w:rPr>
          <w:rFonts w:ascii="Times New Roman" w:hAnsi="Times New Roman" w:cs="Times New Roman"/>
          <w:color w:val="000000" w:themeColor="text1"/>
          <w:sz w:val="24"/>
          <w:szCs w:val="24"/>
        </w:rPr>
        <w:t xml:space="preserve">. Five years later, </w:t>
      </w:r>
      <w:r>
        <w:rPr>
          <w:rFonts w:ascii="Times New Roman" w:hAnsi="Times New Roman" w:cs="Times New Roman"/>
          <w:color w:val="000000" w:themeColor="text1"/>
          <w:sz w:val="24"/>
          <w:szCs w:val="24"/>
        </w:rPr>
        <w:t>it</w:t>
      </w:r>
      <w:r w:rsidR="000D0ABE" w:rsidRPr="00A87B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had risen to</w:t>
      </w:r>
      <w:r w:rsidR="000D0ABE" w:rsidRPr="00A87B0D">
        <w:rPr>
          <w:rFonts w:ascii="Times New Roman" w:hAnsi="Times New Roman" w:cs="Times New Roman"/>
          <w:color w:val="000000" w:themeColor="text1"/>
          <w:sz w:val="24"/>
          <w:szCs w:val="24"/>
        </w:rPr>
        <w:t xml:space="preserve"> 20,500</w:t>
      </w:r>
      <w:r w:rsidR="00C32251" w:rsidRPr="00A87B0D">
        <w:rPr>
          <w:rFonts w:ascii="Times New Roman" w:hAnsi="Times New Roman" w:cs="Times New Roman"/>
          <w:color w:val="000000" w:themeColor="text1"/>
          <w:sz w:val="24"/>
          <w:szCs w:val="24"/>
        </w:rPr>
        <w:t xml:space="preserve"> (13.4 per</w:t>
      </w:r>
      <w:r w:rsidR="00C32251" w:rsidRPr="00A35AE0">
        <w:rPr>
          <w:rFonts w:ascii="Times New Roman" w:hAnsi="Times New Roman" w:cs="Times New Roman"/>
          <w:color w:val="000000" w:themeColor="text1"/>
          <w:sz w:val="24"/>
          <w:szCs w:val="24"/>
        </w:rPr>
        <w:t xml:space="preserve"> 10,000 population)</w:t>
      </w:r>
      <w:r w:rsidR="000D0ABE" w:rsidRPr="00A35A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w:t>
      </w:r>
      <w:r w:rsidR="000D0ABE" w:rsidRPr="00A35AE0">
        <w:rPr>
          <w:rFonts w:ascii="Times New Roman" w:hAnsi="Times New Roman" w:cs="Times New Roman"/>
          <w:color w:val="000000" w:themeColor="text1"/>
          <w:sz w:val="24"/>
          <w:szCs w:val="24"/>
        </w:rPr>
        <w:t>by 1960, it was over 27,000</w:t>
      </w:r>
      <w:r w:rsidR="00C32251" w:rsidRPr="00A35AE0">
        <w:rPr>
          <w:rFonts w:ascii="Times New Roman" w:hAnsi="Times New Roman" w:cs="Times New Roman"/>
          <w:color w:val="000000" w:themeColor="text1"/>
          <w:sz w:val="24"/>
          <w:szCs w:val="24"/>
        </w:rPr>
        <w:t xml:space="preserve"> (15 per 10,000 population)</w:t>
      </w:r>
      <w:r w:rsidR="000D0ABE" w:rsidRPr="00A35AE0">
        <w:rPr>
          <w:rFonts w:ascii="Times New Roman" w:hAnsi="Times New Roman" w:cs="Times New Roman"/>
          <w:color w:val="000000" w:themeColor="text1"/>
          <w:sz w:val="24"/>
          <w:szCs w:val="24"/>
        </w:rPr>
        <w:t>.</w:t>
      </w:r>
      <w:r w:rsidR="00E02679" w:rsidRPr="00A35AE0">
        <w:rPr>
          <w:rFonts w:ascii="Times New Roman" w:hAnsi="Times New Roman" w:cs="Times New Roman"/>
          <w:color w:val="000000" w:themeColor="text1"/>
          <w:sz w:val="24"/>
          <w:szCs w:val="24"/>
        </w:rPr>
        <w:t xml:space="preserve"> </w:t>
      </w:r>
      <w:r w:rsidR="000D0ABE" w:rsidRPr="00A35AE0">
        <w:rPr>
          <w:rFonts w:ascii="Times New Roman" w:hAnsi="Times New Roman" w:cs="Times New Roman"/>
          <w:color w:val="000000" w:themeColor="text1"/>
          <w:sz w:val="24"/>
          <w:szCs w:val="24"/>
        </w:rPr>
        <w:t xml:space="preserve">New prisons were built in the late 1960s, although overcrowding </w:t>
      </w:r>
      <w:r w:rsidR="00330707">
        <w:rPr>
          <w:rFonts w:ascii="Times New Roman" w:hAnsi="Times New Roman" w:cs="Times New Roman"/>
          <w:color w:val="000000" w:themeColor="text1"/>
          <w:sz w:val="24"/>
          <w:szCs w:val="24"/>
        </w:rPr>
        <w:t xml:space="preserve">would </w:t>
      </w:r>
      <w:r w:rsidR="007D2363">
        <w:rPr>
          <w:rFonts w:ascii="Times New Roman" w:hAnsi="Times New Roman" w:cs="Times New Roman"/>
          <w:color w:val="000000" w:themeColor="text1"/>
          <w:sz w:val="24"/>
          <w:szCs w:val="24"/>
        </w:rPr>
        <w:t>still be</w:t>
      </w:r>
      <w:r w:rsidR="007D2363" w:rsidRPr="00A35AE0">
        <w:rPr>
          <w:rFonts w:ascii="Times New Roman" w:hAnsi="Times New Roman" w:cs="Times New Roman"/>
          <w:color w:val="000000" w:themeColor="text1"/>
          <w:sz w:val="24"/>
          <w:szCs w:val="24"/>
        </w:rPr>
        <w:t xml:space="preserve"> </w:t>
      </w:r>
      <w:r w:rsidR="00330707">
        <w:rPr>
          <w:rFonts w:ascii="Times New Roman" w:hAnsi="Times New Roman" w:cs="Times New Roman"/>
          <w:color w:val="000000" w:themeColor="text1"/>
          <w:sz w:val="24"/>
          <w:szCs w:val="24"/>
        </w:rPr>
        <w:t xml:space="preserve">a significant </w:t>
      </w:r>
      <w:r w:rsidR="000D0ABE" w:rsidRPr="00A35AE0">
        <w:rPr>
          <w:rFonts w:ascii="Times New Roman" w:hAnsi="Times New Roman" w:cs="Times New Roman"/>
          <w:color w:val="000000" w:themeColor="text1"/>
          <w:sz w:val="24"/>
          <w:szCs w:val="24"/>
        </w:rPr>
        <w:t xml:space="preserve">problem </w:t>
      </w:r>
      <w:r w:rsidR="005E5C31">
        <w:rPr>
          <w:rFonts w:ascii="Times New Roman" w:hAnsi="Times New Roman" w:cs="Times New Roman"/>
          <w:color w:val="000000" w:themeColor="text1"/>
          <w:sz w:val="24"/>
          <w:szCs w:val="24"/>
        </w:rPr>
        <w:t>in the</w:t>
      </w:r>
      <w:r w:rsidR="000D0ABE" w:rsidRPr="00A35AE0">
        <w:rPr>
          <w:rFonts w:ascii="Times New Roman" w:hAnsi="Times New Roman" w:cs="Times New Roman"/>
          <w:color w:val="000000" w:themeColor="text1"/>
          <w:sz w:val="24"/>
          <w:szCs w:val="24"/>
        </w:rPr>
        <w:t xml:space="preserve"> 1970s when the prison estate reached 39,028 in 1970 </w:t>
      </w:r>
      <w:r w:rsidR="00C32251" w:rsidRPr="00A35AE0">
        <w:rPr>
          <w:rFonts w:ascii="Times New Roman" w:hAnsi="Times New Roman" w:cs="Times New Roman"/>
          <w:color w:val="000000" w:themeColor="text1"/>
          <w:sz w:val="24"/>
          <w:szCs w:val="24"/>
        </w:rPr>
        <w:t xml:space="preserve">(18 per 10,000 population) </w:t>
      </w:r>
      <w:r w:rsidR="000D0ABE" w:rsidRPr="00A35AE0">
        <w:rPr>
          <w:rFonts w:ascii="Times New Roman" w:hAnsi="Times New Roman" w:cs="Times New Roman"/>
          <w:color w:val="000000" w:themeColor="text1"/>
          <w:sz w:val="24"/>
          <w:szCs w:val="24"/>
        </w:rPr>
        <w:t xml:space="preserve">and over 42,000 by the end of the </w:t>
      </w:r>
      <w:r w:rsidR="00330707">
        <w:rPr>
          <w:rFonts w:ascii="Times New Roman" w:hAnsi="Times New Roman" w:cs="Times New Roman"/>
          <w:color w:val="000000" w:themeColor="text1"/>
          <w:sz w:val="24"/>
          <w:szCs w:val="24"/>
        </w:rPr>
        <w:t>decade</w:t>
      </w:r>
      <w:r w:rsidR="00330707" w:rsidRPr="00A35AE0">
        <w:rPr>
          <w:rFonts w:ascii="Times New Roman" w:hAnsi="Times New Roman" w:cs="Times New Roman"/>
          <w:color w:val="000000" w:themeColor="text1"/>
          <w:sz w:val="24"/>
          <w:szCs w:val="24"/>
        </w:rPr>
        <w:t xml:space="preserve"> </w:t>
      </w:r>
      <w:r w:rsidR="00C32251" w:rsidRPr="00A35AE0">
        <w:rPr>
          <w:rFonts w:ascii="Times New Roman" w:hAnsi="Times New Roman" w:cs="Times New Roman"/>
          <w:color w:val="000000" w:themeColor="text1"/>
          <w:sz w:val="24"/>
          <w:szCs w:val="24"/>
        </w:rPr>
        <w:t>(17 per 10,000 population)</w:t>
      </w:r>
      <w:r w:rsidR="000D0ABE" w:rsidRPr="00A35AE0">
        <w:rPr>
          <w:rFonts w:ascii="Times New Roman" w:hAnsi="Times New Roman" w:cs="Times New Roman"/>
          <w:color w:val="000000" w:themeColor="text1"/>
          <w:sz w:val="24"/>
          <w:szCs w:val="24"/>
        </w:rPr>
        <w:t xml:space="preserve">. Prison populations </w:t>
      </w:r>
      <w:r w:rsidR="00330707">
        <w:rPr>
          <w:rFonts w:ascii="Times New Roman" w:hAnsi="Times New Roman" w:cs="Times New Roman"/>
          <w:color w:val="000000" w:themeColor="text1"/>
          <w:sz w:val="24"/>
          <w:szCs w:val="24"/>
        </w:rPr>
        <w:t xml:space="preserve">continued to </w:t>
      </w:r>
      <w:r w:rsidR="000D0ABE" w:rsidRPr="00A35AE0">
        <w:rPr>
          <w:rFonts w:ascii="Times New Roman" w:hAnsi="Times New Roman" w:cs="Times New Roman"/>
          <w:color w:val="000000" w:themeColor="text1"/>
          <w:sz w:val="24"/>
          <w:szCs w:val="24"/>
        </w:rPr>
        <w:t>gr</w:t>
      </w:r>
      <w:r w:rsidR="00330707">
        <w:rPr>
          <w:rFonts w:ascii="Times New Roman" w:hAnsi="Times New Roman" w:cs="Times New Roman"/>
          <w:color w:val="000000" w:themeColor="text1"/>
          <w:sz w:val="24"/>
          <w:szCs w:val="24"/>
        </w:rPr>
        <w:t>o</w:t>
      </w:r>
      <w:r w:rsidR="000D0ABE" w:rsidRPr="00A35AE0">
        <w:rPr>
          <w:rFonts w:ascii="Times New Roman" w:hAnsi="Times New Roman" w:cs="Times New Roman"/>
          <w:color w:val="000000" w:themeColor="text1"/>
          <w:sz w:val="24"/>
          <w:szCs w:val="24"/>
        </w:rPr>
        <w:t xml:space="preserve">w in the 1980s, </w:t>
      </w:r>
      <w:r w:rsidR="00330707">
        <w:rPr>
          <w:rFonts w:ascii="Times New Roman" w:hAnsi="Times New Roman" w:cs="Times New Roman"/>
          <w:color w:val="000000" w:themeColor="text1"/>
          <w:sz w:val="24"/>
          <w:szCs w:val="24"/>
        </w:rPr>
        <w:t>as</w:t>
      </w:r>
      <w:r w:rsidR="000D0ABE" w:rsidRPr="00A35AE0">
        <w:rPr>
          <w:rFonts w:ascii="Times New Roman" w:hAnsi="Times New Roman" w:cs="Times New Roman"/>
          <w:color w:val="000000" w:themeColor="text1"/>
          <w:sz w:val="24"/>
          <w:szCs w:val="24"/>
        </w:rPr>
        <w:t xml:space="preserve"> did criticism of a tired, costly, overworked, and overwhelmed prison estate</w:t>
      </w:r>
      <w:r w:rsidR="00AB2BF0" w:rsidRPr="00A35AE0">
        <w:rPr>
          <w:rFonts w:ascii="Times New Roman" w:hAnsi="Times New Roman" w:cs="Times New Roman"/>
          <w:color w:val="000000" w:themeColor="text1"/>
          <w:sz w:val="24"/>
          <w:szCs w:val="24"/>
        </w:rPr>
        <w:t xml:space="preserve"> (</w:t>
      </w:r>
      <w:r w:rsidR="00330707">
        <w:rPr>
          <w:rFonts w:ascii="Times New Roman" w:hAnsi="Times New Roman" w:cs="Times New Roman"/>
          <w:color w:val="000000" w:themeColor="text1"/>
          <w:sz w:val="24"/>
          <w:szCs w:val="24"/>
        </w:rPr>
        <w:t xml:space="preserve">for overview see, </w:t>
      </w:r>
      <w:proofErr w:type="spellStart"/>
      <w:r w:rsidR="00285203" w:rsidRPr="00A35AE0">
        <w:rPr>
          <w:rFonts w:ascii="Times New Roman" w:hAnsi="Times New Roman" w:cs="Times New Roman"/>
          <w:color w:val="000000" w:themeColor="text1"/>
          <w:sz w:val="24"/>
          <w:szCs w:val="24"/>
        </w:rPr>
        <w:t>Jewkes</w:t>
      </w:r>
      <w:proofErr w:type="spellEnd"/>
      <w:r w:rsidR="00285203" w:rsidRPr="00A35AE0">
        <w:rPr>
          <w:rFonts w:ascii="Times New Roman" w:hAnsi="Times New Roman" w:cs="Times New Roman"/>
          <w:color w:val="000000" w:themeColor="text1"/>
          <w:sz w:val="24"/>
          <w:szCs w:val="24"/>
        </w:rPr>
        <w:t>, Crewe and Bennett, 2016</w:t>
      </w:r>
      <w:r w:rsidR="00523D27">
        <w:rPr>
          <w:rFonts w:ascii="Times New Roman" w:hAnsi="Times New Roman" w:cs="Times New Roman"/>
          <w:color w:val="000000" w:themeColor="text1"/>
          <w:sz w:val="24"/>
          <w:szCs w:val="24"/>
        </w:rPr>
        <w:t xml:space="preserve">; </w:t>
      </w:r>
      <w:r w:rsidR="00120B6E">
        <w:rPr>
          <w:rFonts w:ascii="Times New Roman" w:hAnsi="Times New Roman" w:cs="Times New Roman"/>
          <w:color w:val="000000" w:themeColor="text1"/>
          <w:sz w:val="24"/>
          <w:szCs w:val="24"/>
        </w:rPr>
        <w:t>Crewe and Liebling, 2017</w:t>
      </w:r>
      <w:r w:rsidR="00AB2BF0" w:rsidRPr="00A35AE0">
        <w:rPr>
          <w:rFonts w:ascii="Times New Roman" w:hAnsi="Times New Roman" w:cs="Times New Roman"/>
          <w:color w:val="000000" w:themeColor="text1"/>
          <w:sz w:val="24"/>
          <w:szCs w:val="24"/>
        </w:rPr>
        <w:t>)</w:t>
      </w:r>
      <w:r w:rsidR="000D0ABE" w:rsidRPr="00A35AE0">
        <w:rPr>
          <w:rFonts w:ascii="Times New Roman" w:hAnsi="Times New Roman" w:cs="Times New Roman"/>
          <w:color w:val="000000" w:themeColor="text1"/>
          <w:sz w:val="24"/>
          <w:szCs w:val="24"/>
        </w:rPr>
        <w:t xml:space="preserve">. </w:t>
      </w:r>
      <w:r w:rsidR="00AB2BF0" w:rsidRPr="00862FD4">
        <w:rPr>
          <w:rFonts w:ascii="Times New Roman" w:hAnsi="Times New Roman" w:cs="Times New Roman"/>
          <w:color w:val="000000" w:themeColor="text1"/>
          <w:sz w:val="24"/>
          <w:szCs w:val="24"/>
        </w:rPr>
        <w:t>For a short</w:t>
      </w:r>
      <w:r w:rsidR="000D0ABE" w:rsidRPr="00862FD4">
        <w:rPr>
          <w:rFonts w:ascii="Times New Roman" w:hAnsi="Times New Roman" w:cs="Times New Roman"/>
          <w:color w:val="000000" w:themeColor="text1"/>
          <w:sz w:val="24"/>
          <w:szCs w:val="24"/>
        </w:rPr>
        <w:t xml:space="preserve"> period</w:t>
      </w:r>
      <w:r w:rsidR="00CC07D8" w:rsidRPr="00862FD4">
        <w:rPr>
          <w:rFonts w:ascii="Times New Roman" w:hAnsi="Times New Roman" w:cs="Times New Roman"/>
          <w:color w:val="000000" w:themeColor="text1"/>
          <w:sz w:val="24"/>
          <w:szCs w:val="24"/>
        </w:rPr>
        <w:t>, in the early 1990s</w:t>
      </w:r>
      <w:r w:rsidR="00AB2BF0" w:rsidRPr="00862FD4">
        <w:rPr>
          <w:rFonts w:ascii="Times New Roman" w:hAnsi="Times New Roman" w:cs="Times New Roman"/>
          <w:color w:val="000000" w:themeColor="text1"/>
          <w:sz w:val="24"/>
          <w:szCs w:val="24"/>
        </w:rPr>
        <w:t xml:space="preserve">, prison numbers </w:t>
      </w:r>
      <w:r w:rsidR="000D0ABE" w:rsidRPr="00862FD4">
        <w:rPr>
          <w:rFonts w:ascii="Times New Roman" w:hAnsi="Times New Roman" w:cs="Times New Roman"/>
          <w:color w:val="000000" w:themeColor="text1"/>
          <w:sz w:val="24"/>
          <w:szCs w:val="24"/>
        </w:rPr>
        <w:t>decreased (for four consecutive years) before rising ste</w:t>
      </w:r>
      <w:r w:rsidR="00862FD4" w:rsidRPr="00862FD4">
        <w:rPr>
          <w:rFonts w:ascii="Times New Roman" w:hAnsi="Times New Roman" w:cs="Times New Roman"/>
          <w:color w:val="000000" w:themeColor="text1"/>
          <w:sz w:val="24"/>
          <w:szCs w:val="24"/>
        </w:rPr>
        <w:t xml:space="preserve">adily </w:t>
      </w:r>
      <w:r w:rsidR="00CC07D8" w:rsidRPr="00862FD4">
        <w:rPr>
          <w:rFonts w:ascii="Times New Roman" w:hAnsi="Times New Roman" w:cs="Times New Roman"/>
          <w:sz w:val="24"/>
          <w:szCs w:val="24"/>
        </w:rPr>
        <w:t>after Michael Howard’s ‘Prison Works’ address at the Conservat</w:t>
      </w:r>
      <w:r w:rsidR="0057683C">
        <w:rPr>
          <w:rFonts w:ascii="Times New Roman" w:hAnsi="Times New Roman" w:cs="Times New Roman"/>
          <w:sz w:val="24"/>
          <w:szCs w:val="24"/>
        </w:rPr>
        <w:t>i</w:t>
      </w:r>
      <w:r w:rsidR="00CC07D8" w:rsidRPr="00862FD4">
        <w:rPr>
          <w:rFonts w:ascii="Times New Roman" w:hAnsi="Times New Roman" w:cs="Times New Roman"/>
          <w:sz w:val="24"/>
          <w:szCs w:val="24"/>
        </w:rPr>
        <w:t>ve Party Conference in October 1993</w:t>
      </w:r>
      <w:r w:rsidR="00862FD4">
        <w:rPr>
          <w:rFonts w:ascii="Times New Roman" w:hAnsi="Times New Roman" w:cs="Times New Roman"/>
          <w:sz w:val="24"/>
          <w:szCs w:val="24"/>
        </w:rPr>
        <w:t>, and continuing to rise after</w:t>
      </w:r>
      <w:r w:rsidR="000D0ABE" w:rsidRPr="00A35AE0">
        <w:rPr>
          <w:rFonts w:ascii="Times New Roman" w:hAnsi="Times New Roman" w:cs="Times New Roman"/>
          <w:color w:val="000000" w:themeColor="text1"/>
          <w:sz w:val="24"/>
          <w:szCs w:val="24"/>
        </w:rPr>
        <w:t xml:space="preserve"> </w:t>
      </w:r>
      <w:r w:rsidR="006C3B41">
        <w:rPr>
          <w:rFonts w:ascii="Times New Roman" w:hAnsi="Times New Roman" w:cs="Times New Roman"/>
          <w:color w:val="000000" w:themeColor="text1"/>
          <w:sz w:val="24"/>
          <w:szCs w:val="24"/>
        </w:rPr>
        <w:t xml:space="preserve">the </w:t>
      </w:r>
      <w:r w:rsidR="000D0ABE" w:rsidRPr="00A35AE0">
        <w:rPr>
          <w:rFonts w:ascii="Times New Roman" w:hAnsi="Times New Roman" w:cs="Times New Roman"/>
          <w:color w:val="000000" w:themeColor="text1"/>
          <w:sz w:val="24"/>
          <w:szCs w:val="24"/>
        </w:rPr>
        <w:t xml:space="preserve">New Labour </w:t>
      </w:r>
      <w:r w:rsidR="006C3B41">
        <w:rPr>
          <w:rFonts w:ascii="Times New Roman" w:hAnsi="Times New Roman" w:cs="Times New Roman"/>
          <w:color w:val="000000" w:themeColor="text1"/>
          <w:sz w:val="24"/>
          <w:szCs w:val="24"/>
        </w:rPr>
        <w:t xml:space="preserve">government </w:t>
      </w:r>
      <w:r w:rsidR="000D0ABE" w:rsidRPr="00A35AE0">
        <w:rPr>
          <w:rFonts w:ascii="Times New Roman" w:hAnsi="Times New Roman" w:cs="Times New Roman"/>
          <w:color w:val="000000" w:themeColor="text1"/>
          <w:sz w:val="24"/>
          <w:szCs w:val="24"/>
        </w:rPr>
        <w:t xml:space="preserve">introduced a new raft of legislation designed to incapacitate dangerous </w:t>
      </w:r>
      <w:r w:rsidR="004A0F71">
        <w:rPr>
          <w:rFonts w:ascii="Times New Roman" w:hAnsi="Times New Roman" w:cs="Times New Roman"/>
          <w:color w:val="000000" w:themeColor="text1"/>
          <w:sz w:val="24"/>
          <w:szCs w:val="24"/>
        </w:rPr>
        <w:t xml:space="preserve">offenders </w:t>
      </w:r>
      <w:r w:rsidR="000D0ABE" w:rsidRPr="00A35AE0">
        <w:rPr>
          <w:rFonts w:ascii="Times New Roman" w:hAnsi="Times New Roman" w:cs="Times New Roman"/>
          <w:color w:val="000000" w:themeColor="text1"/>
          <w:sz w:val="24"/>
          <w:szCs w:val="24"/>
        </w:rPr>
        <w:t xml:space="preserve">for longer </w:t>
      </w:r>
      <w:r w:rsidR="007D2363">
        <w:rPr>
          <w:rFonts w:ascii="Times New Roman" w:hAnsi="Times New Roman" w:cs="Times New Roman"/>
          <w:color w:val="000000" w:themeColor="text1"/>
          <w:sz w:val="24"/>
          <w:szCs w:val="24"/>
        </w:rPr>
        <w:t xml:space="preserve">and longer </w:t>
      </w:r>
      <w:r w:rsidR="000D0ABE" w:rsidRPr="00A35AE0">
        <w:rPr>
          <w:rFonts w:ascii="Times New Roman" w:hAnsi="Times New Roman" w:cs="Times New Roman"/>
          <w:color w:val="000000" w:themeColor="text1"/>
          <w:sz w:val="24"/>
          <w:szCs w:val="24"/>
        </w:rPr>
        <w:t xml:space="preserve">periods of time. </w:t>
      </w:r>
    </w:p>
    <w:p w:rsidR="00333002" w:rsidRDefault="004525F1" w:rsidP="0070005A">
      <w:pPr>
        <w:autoSpaceDE w:val="0"/>
        <w:autoSpaceDN w:val="0"/>
        <w:adjustRightInd w:val="0"/>
        <w:spacing w:line="360" w:lineRule="auto"/>
        <w:jc w:val="both"/>
      </w:pPr>
      <w:r w:rsidRPr="00A35AE0">
        <w:rPr>
          <w:color w:val="000000" w:themeColor="text1"/>
          <w:lang w:val="en-US"/>
        </w:rPr>
        <w:t xml:space="preserve">In 2004, </w:t>
      </w:r>
      <w:r w:rsidR="00422CF8">
        <w:rPr>
          <w:color w:val="000000" w:themeColor="text1"/>
          <w:lang w:val="en-US"/>
        </w:rPr>
        <w:t xml:space="preserve">the Home Office under </w:t>
      </w:r>
      <w:r w:rsidR="004D10D2" w:rsidRPr="00A35AE0">
        <w:rPr>
          <w:color w:val="000000" w:themeColor="text1"/>
          <w:lang w:val="en-US"/>
        </w:rPr>
        <w:t xml:space="preserve">New </w:t>
      </w:r>
      <w:proofErr w:type="spellStart"/>
      <w:r w:rsidR="006A36C6" w:rsidRPr="00A35AE0">
        <w:rPr>
          <w:color w:val="000000" w:themeColor="text1"/>
          <w:lang w:val="en-US"/>
        </w:rPr>
        <w:t>Labour</w:t>
      </w:r>
      <w:proofErr w:type="spellEnd"/>
      <w:r w:rsidR="006A36C6" w:rsidRPr="00A35AE0">
        <w:rPr>
          <w:color w:val="000000" w:themeColor="text1"/>
          <w:lang w:val="en-US"/>
        </w:rPr>
        <w:t xml:space="preserve"> </w:t>
      </w:r>
      <w:r w:rsidR="000D0ABE" w:rsidRPr="00A35AE0">
        <w:rPr>
          <w:color w:val="000000" w:themeColor="text1"/>
          <w:lang w:val="en-US"/>
        </w:rPr>
        <w:t xml:space="preserve">published </w:t>
      </w:r>
      <w:r w:rsidR="000D0ABE" w:rsidRPr="00A35AE0">
        <w:rPr>
          <w:i/>
          <w:color w:val="000000" w:themeColor="text1"/>
          <w:lang w:val="en-US"/>
        </w:rPr>
        <w:t xml:space="preserve">Reducing </w:t>
      </w:r>
      <w:hyperlink r:id="rId10" w:history="1">
        <w:r w:rsidR="000D0ABE" w:rsidRPr="00A35AE0">
          <w:rPr>
            <w:i/>
            <w:color w:val="000000" w:themeColor="text1"/>
            <w:lang w:val="en-US"/>
          </w:rPr>
          <w:t>Crime</w:t>
        </w:r>
      </w:hyperlink>
      <w:r w:rsidR="000D0ABE" w:rsidRPr="00A35AE0">
        <w:rPr>
          <w:i/>
          <w:color w:val="000000" w:themeColor="text1"/>
          <w:lang w:val="en-US"/>
        </w:rPr>
        <w:t xml:space="preserve"> - Changing Lives</w:t>
      </w:r>
      <w:r w:rsidRPr="00A35AE0">
        <w:rPr>
          <w:color w:val="000000" w:themeColor="text1"/>
          <w:lang w:val="en-US"/>
        </w:rPr>
        <w:t xml:space="preserve">, a strategy underpinning the ‘transfer’ of much of the </w:t>
      </w:r>
      <w:r w:rsidR="000D0ABE" w:rsidRPr="00A35AE0">
        <w:rPr>
          <w:color w:val="000000" w:themeColor="text1"/>
          <w:lang w:val="en-US"/>
        </w:rPr>
        <w:t xml:space="preserve">probation service </w:t>
      </w:r>
      <w:r w:rsidRPr="00A35AE0">
        <w:rPr>
          <w:color w:val="000000" w:themeColor="text1"/>
          <w:lang w:val="en-US"/>
        </w:rPr>
        <w:t xml:space="preserve">to the </w:t>
      </w:r>
      <w:r w:rsidR="000D0ABE" w:rsidRPr="00A35AE0">
        <w:rPr>
          <w:color w:val="000000" w:themeColor="text1"/>
          <w:lang w:val="en-US"/>
        </w:rPr>
        <w:t>authority of the prison service</w:t>
      </w:r>
      <w:r w:rsidR="00422CF8">
        <w:rPr>
          <w:color w:val="000000" w:themeColor="text1"/>
          <w:lang w:val="en-US"/>
        </w:rPr>
        <w:t xml:space="preserve"> (Home Office, 2004)</w:t>
      </w:r>
      <w:r w:rsidR="000D0ABE" w:rsidRPr="00A35AE0">
        <w:rPr>
          <w:color w:val="000000" w:themeColor="text1"/>
          <w:lang w:val="en-US"/>
        </w:rPr>
        <w:t xml:space="preserve">. </w:t>
      </w:r>
      <w:r w:rsidR="00995F18">
        <w:rPr>
          <w:color w:val="000000" w:themeColor="text1"/>
          <w:lang w:val="en-US"/>
        </w:rPr>
        <w:t>A new</w:t>
      </w:r>
      <w:r w:rsidR="00995F18" w:rsidRPr="00A35AE0">
        <w:rPr>
          <w:color w:val="000000" w:themeColor="text1"/>
          <w:lang w:val="en-US"/>
        </w:rPr>
        <w:t xml:space="preserve"> </w:t>
      </w:r>
      <w:r w:rsidR="00536868">
        <w:rPr>
          <w:color w:val="000000" w:themeColor="text1"/>
          <w:lang w:val="en-US"/>
        </w:rPr>
        <w:t xml:space="preserve">overarching body, the </w:t>
      </w:r>
      <w:r w:rsidR="000D0ABE" w:rsidRPr="00A35AE0">
        <w:rPr>
          <w:color w:val="000000" w:themeColor="text1"/>
          <w:lang w:val="en-US"/>
        </w:rPr>
        <w:t>National Offender Management Service</w:t>
      </w:r>
      <w:r w:rsidR="00536868">
        <w:rPr>
          <w:color w:val="000000" w:themeColor="text1"/>
          <w:lang w:val="en-US"/>
        </w:rPr>
        <w:t>,</w:t>
      </w:r>
      <w:r w:rsidR="000D0ABE" w:rsidRPr="00A35AE0">
        <w:rPr>
          <w:color w:val="000000" w:themeColor="text1"/>
          <w:lang w:val="en-US"/>
        </w:rPr>
        <w:t xml:space="preserve"> was established to further reduce costs in the criminal justice system, </w:t>
      </w:r>
      <w:r w:rsidR="00F05511">
        <w:rPr>
          <w:color w:val="000000" w:themeColor="text1"/>
          <w:lang w:val="en-US"/>
        </w:rPr>
        <w:t xml:space="preserve">by opening up a ‘market’ in end-to-end offender management </w:t>
      </w:r>
      <w:r w:rsidR="000D0ABE" w:rsidRPr="00A35AE0">
        <w:rPr>
          <w:color w:val="000000" w:themeColor="text1"/>
          <w:lang w:val="en-US"/>
        </w:rPr>
        <w:t xml:space="preserve">where private companies </w:t>
      </w:r>
      <w:r w:rsidR="00F05511">
        <w:rPr>
          <w:color w:val="000000" w:themeColor="text1"/>
          <w:lang w:val="en-US"/>
        </w:rPr>
        <w:t xml:space="preserve">and voluntary </w:t>
      </w:r>
      <w:proofErr w:type="spellStart"/>
      <w:r w:rsidR="00F05511">
        <w:rPr>
          <w:color w:val="000000" w:themeColor="text1"/>
          <w:lang w:val="en-US"/>
        </w:rPr>
        <w:t>organisations</w:t>
      </w:r>
      <w:proofErr w:type="spellEnd"/>
      <w:r w:rsidR="00F05511">
        <w:rPr>
          <w:color w:val="000000" w:themeColor="text1"/>
          <w:lang w:val="en-US"/>
        </w:rPr>
        <w:t xml:space="preserve"> </w:t>
      </w:r>
      <w:r w:rsidR="000D0ABE" w:rsidRPr="00A35AE0">
        <w:rPr>
          <w:color w:val="000000" w:themeColor="text1"/>
          <w:lang w:val="en-US"/>
        </w:rPr>
        <w:t xml:space="preserve">could bid for contracts to reform prisoners. </w:t>
      </w:r>
      <w:proofErr w:type="gramStart"/>
      <w:r w:rsidR="006C3B41">
        <w:rPr>
          <w:color w:val="000000" w:themeColor="text1"/>
          <w:lang w:val="en-US"/>
        </w:rPr>
        <w:t>T</w:t>
      </w:r>
      <w:r w:rsidR="000D0ABE" w:rsidRPr="00A35AE0">
        <w:rPr>
          <w:color w:val="000000" w:themeColor="text1"/>
          <w:lang w:val="en-US"/>
        </w:rPr>
        <w:t>his intervention</w:t>
      </w:r>
      <w:r w:rsidR="009625E6" w:rsidRPr="00A35AE0">
        <w:rPr>
          <w:color w:val="000000" w:themeColor="text1"/>
          <w:lang w:val="en-US"/>
        </w:rPr>
        <w:t>,</w:t>
      </w:r>
      <w:proofErr w:type="gramEnd"/>
      <w:r w:rsidR="009625E6" w:rsidRPr="00A35AE0">
        <w:rPr>
          <w:color w:val="000000" w:themeColor="text1"/>
          <w:lang w:val="en-US"/>
        </w:rPr>
        <w:t xml:space="preserve"> rooted in </w:t>
      </w:r>
      <w:r w:rsidR="005C56AC" w:rsidRPr="00A35AE0">
        <w:rPr>
          <w:color w:val="000000" w:themeColor="text1"/>
          <w:lang w:val="en-US"/>
        </w:rPr>
        <w:t>‘n</w:t>
      </w:r>
      <w:r w:rsidR="009625E6" w:rsidRPr="00A35AE0">
        <w:rPr>
          <w:color w:val="000000" w:themeColor="text1"/>
          <w:lang w:val="en-US"/>
        </w:rPr>
        <w:t xml:space="preserve">ew </w:t>
      </w:r>
      <w:r w:rsidR="005C56AC" w:rsidRPr="00A35AE0">
        <w:rPr>
          <w:color w:val="000000" w:themeColor="text1"/>
          <w:lang w:val="en-US"/>
        </w:rPr>
        <w:t>p</w:t>
      </w:r>
      <w:r w:rsidR="009625E6" w:rsidRPr="00A35AE0">
        <w:rPr>
          <w:color w:val="000000" w:themeColor="text1"/>
          <w:lang w:val="en-US"/>
        </w:rPr>
        <w:t xml:space="preserve">ublic </w:t>
      </w:r>
      <w:r w:rsidR="005C56AC" w:rsidRPr="00A35AE0">
        <w:rPr>
          <w:color w:val="000000" w:themeColor="text1"/>
          <w:lang w:val="en-US"/>
        </w:rPr>
        <w:t>m</w:t>
      </w:r>
      <w:r w:rsidR="009625E6" w:rsidRPr="00A35AE0">
        <w:rPr>
          <w:color w:val="000000" w:themeColor="text1"/>
          <w:lang w:val="en-US"/>
        </w:rPr>
        <w:t>anagement</w:t>
      </w:r>
      <w:r w:rsidR="005C56AC" w:rsidRPr="00A35AE0">
        <w:rPr>
          <w:color w:val="000000" w:themeColor="text1"/>
          <w:lang w:val="en-US"/>
        </w:rPr>
        <w:t>’</w:t>
      </w:r>
      <w:r w:rsidR="009625E6" w:rsidRPr="00A35AE0">
        <w:rPr>
          <w:color w:val="000000" w:themeColor="text1"/>
          <w:lang w:val="en-US"/>
        </w:rPr>
        <w:t xml:space="preserve"> </w:t>
      </w:r>
      <w:r w:rsidR="006C3B41">
        <w:rPr>
          <w:color w:val="000000" w:themeColor="text1"/>
          <w:lang w:val="en-US"/>
        </w:rPr>
        <w:t xml:space="preserve">practices </w:t>
      </w:r>
      <w:r w:rsidR="00796A95" w:rsidRPr="00A35AE0">
        <w:rPr>
          <w:color w:val="000000" w:themeColor="text1"/>
          <w:lang w:val="en-US"/>
        </w:rPr>
        <w:t>(</w:t>
      </w:r>
      <w:r w:rsidR="008A4E84" w:rsidRPr="00A35AE0">
        <w:rPr>
          <w:color w:val="000000" w:themeColor="text1"/>
          <w:lang w:val="en-US"/>
        </w:rPr>
        <w:t>McLaughlin</w:t>
      </w:r>
      <w:r w:rsidR="005C56AC" w:rsidRPr="00A35AE0">
        <w:rPr>
          <w:color w:val="000000" w:themeColor="text1"/>
          <w:lang w:val="en-US"/>
        </w:rPr>
        <w:t>, Osborne and Ferlie, 2005</w:t>
      </w:r>
      <w:r w:rsidR="008A4E84" w:rsidRPr="00A35AE0">
        <w:rPr>
          <w:color w:val="000000" w:themeColor="text1"/>
          <w:lang w:val="en-US"/>
        </w:rPr>
        <w:t>)</w:t>
      </w:r>
      <w:r w:rsidR="000D0ABE" w:rsidRPr="00A35AE0">
        <w:rPr>
          <w:color w:val="000000" w:themeColor="text1"/>
          <w:lang w:val="en-US"/>
        </w:rPr>
        <w:t xml:space="preserve"> </w:t>
      </w:r>
      <w:r w:rsidR="0057683C">
        <w:rPr>
          <w:color w:val="000000" w:themeColor="text1"/>
          <w:lang w:val="en-US"/>
        </w:rPr>
        <w:t>was</w:t>
      </w:r>
      <w:r w:rsidR="000D0ABE" w:rsidRPr="00A35AE0">
        <w:rPr>
          <w:color w:val="000000" w:themeColor="text1"/>
          <w:lang w:val="en-US"/>
        </w:rPr>
        <w:t xml:space="preserve"> a very unambitious approach</w:t>
      </w:r>
      <w:r w:rsidR="00536868">
        <w:rPr>
          <w:color w:val="000000" w:themeColor="text1"/>
          <w:lang w:val="en-US"/>
        </w:rPr>
        <w:t>,</w:t>
      </w:r>
      <w:r w:rsidR="000D0ABE" w:rsidRPr="00A35AE0">
        <w:rPr>
          <w:color w:val="000000" w:themeColor="text1"/>
          <w:lang w:val="en-US"/>
        </w:rPr>
        <w:t xml:space="preserve"> always unlikely to </w:t>
      </w:r>
      <w:r w:rsidR="00F05511">
        <w:rPr>
          <w:color w:val="000000" w:themeColor="text1"/>
          <w:lang w:val="en-US"/>
        </w:rPr>
        <w:t>reduce</w:t>
      </w:r>
      <w:r w:rsidR="00F05511" w:rsidRPr="00A35AE0">
        <w:rPr>
          <w:color w:val="000000" w:themeColor="text1"/>
          <w:lang w:val="en-US"/>
        </w:rPr>
        <w:t xml:space="preserve"> </w:t>
      </w:r>
      <w:r w:rsidR="000D0ABE" w:rsidRPr="00A35AE0">
        <w:rPr>
          <w:color w:val="000000" w:themeColor="text1"/>
          <w:lang w:val="en-US"/>
        </w:rPr>
        <w:t xml:space="preserve">a prison population largely acknowledged to </w:t>
      </w:r>
      <w:r w:rsidR="000D0ABE" w:rsidRPr="00A35AE0">
        <w:rPr>
          <w:color w:val="000000" w:themeColor="text1"/>
          <w:lang w:val="en-US"/>
        </w:rPr>
        <w:lastRenderedPageBreak/>
        <w:t>be unsustainable.</w:t>
      </w:r>
      <w:r w:rsidR="00182468">
        <w:rPr>
          <w:color w:val="000000" w:themeColor="text1"/>
        </w:rPr>
        <w:t xml:space="preserve"> </w:t>
      </w:r>
      <w:r w:rsidR="005E5C31">
        <w:rPr>
          <w:color w:val="000000" w:themeColor="text1"/>
        </w:rPr>
        <w:t>While</w:t>
      </w:r>
      <w:r w:rsidR="005E5C31">
        <w:rPr>
          <w:color w:val="000000"/>
        </w:rPr>
        <w:t xml:space="preserve"> </w:t>
      </w:r>
      <w:r w:rsidR="005E5C31" w:rsidRPr="00A35AE0">
        <w:rPr>
          <w:color w:val="000000"/>
        </w:rPr>
        <w:t>the</w:t>
      </w:r>
      <w:r w:rsidR="00127173" w:rsidRPr="00A35AE0">
        <w:rPr>
          <w:color w:val="000000"/>
        </w:rPr>
        <w:t xml:space="preserve"> prison population has fallen since 2014 (when it reached </w:t>
      </w:r>
      <w:r w:rsidR="00182468">
        <w:rPr>
          <w:color w:val="000000"/>
        </w:rPr>
        <w:t xml:space="preserve">a historic peak of </w:t>
      </w:r>
      <w:r w:rsidR="00127173" w:rsidRPr="00A35AE0">
        <w:rPr>
          <w:color w:val="000000"/>
        </w:rPr>
        <w:t>85,626 average daily population</w:t>
      </w:r>
      <w:r w:rsidR="00536868">
        <w:t xml:space="preserve">, </w:t>
      </w:r>
      <w:r w:rsidR="00182468">
        <w:rPr>
          <w:color w:val="000000"/>
        </w:rPr>
        <w:t xml:space="preserve">it </w:t>
      </w:r>
      <w:r w:rsidR="00127173" w:rsidRPr="00A35AE0">
        <w:rPr>
          <w:color w:val="000000"/>
        </w:rPr>
        <w:t xml:space="preserve">would have to continue its current </w:t>
      </w:r>
      <w:r w:rsidR="00182468">
        <w:rPr>
          <w:color w:val="000000"/>
        </w:rPr>
        <w:t xml:space="preserve">downward </w:t>
      </w:r>
      <w:r w:rsidR="00127173" w:rsidRPr="00A35AE0">
        <w:rPr>
          <w:color w:val="000000"/>
        </w:rPr>
        <w:t>trend for nearly a century in order to reach the lowest peace</w:t>
      </w:r>
      <w:r w:rsidR="00182468">
        <w:rPr>
          <w:color w:val="000000"/>
        </w:rPr>
        <w:t>-</w:t>
      </w:r>
      <w:r w:rsidR="00127173" w:rsidRPr="00A35AE0">
        <w:rPr>
          <w:color w:val="000000"/>
        </w:rPr>
        <w:t xml:space="preserve">time number of prisoners (9,638 in 1919). </w:t>
      </w:r>
      <w:r w:rsidR="00182468">
        <w:rPr>
          <w:color w:val="000000"/>
        </w:rPr>
        <w:t xml:space="preserve">Since 2015, </w:t>
      </w:r>
      <w:r w:rsidR="00182468">
        <w:rPr>
          <w:color w:val="000000" w:themeColor="text1"/>
        </w:rPr>
        <w:t>t</w:t>
      </w:r>
      <w:r w:rsidR="000D0ABE" w:rsidRPr="00A35AE0">
        <w:rPr>
          <w:color w:val="000000" w:themeColor="text1"/>
        </w:rPr>
        <w:t xml:space="preserve">he Coalition and </w:t>
      </w:r>
      <w:r w:rsidR="001D3D0B" w:rsidRPr="00A35AE0">
        <w:rPr>
          <w:color w:val="000000" w:themeColor="text1"/>
        </w:rPr>
        <w:t xml:space="preserve">subsequent </w:t>
      </w:r>
      <w:r w:rsidR="000D0ABE" w:rsidRPr="00A35AE0">
        <w:rPr>
          <w:color w:val="000000" w:themeColor="text1"/>
        </w:rPr>
        <w:t xml:space="preserve">Conservative </w:t>
      </w:r>
      <w:r w:rsidR="00127173" w:rsidRPr="00A35AE0">
        <w:rPr>
          <w:color w:val="000000" w:themeColor="text1"/>
        </w:rPr>
        <w:t xml:space="preserve">governments </w:t>
      </w:r>
      <w:r w:rsidR="000D0ABE" w:rsidRPr="00A35AE0">
        <w:rPr>
          <w:color w:val="000000" w:themeColor="text1"/>
        </w:rPr>
        <w:t xml:space="preserve">have done little to address the problem of an unmanageable adult prison </w:t>
      </w:r>
      <w:proofErr w:type="gramStart"/>
      <w:r w:rsidR="000D0ABE" w:rsidRPr="00A35AE0">
        <w:rPr>
          <w:color w:val="000000" w:themeColor="text1"/>
        </w:rPr>
        <w:t>population</w:t>
      </w:r>
      <w:r w:rsidR="00536868">
        <w:rPr>
          <w:color w:val="000000" w:themeColor="text1"/>
        </w:rPr>
        <w:t>, and</w:t>
      </w:r>
      <w:proofErr w:type="gramEnd"/>
      <w:r w:rsidR="00536868">
        <w:rPr>
          <w:color w:val="000000" w:themeColor="text1"/>
        </w:rPr>
        <w:t xml:space="preserve"> tried to reduce costs not by red</w:t>
      </w:r>
      <w:r w:rsidR="00EC34DD">
        <w:rPr>
          <w:color w:val="000000" w:themeColor="text1"/>
        </w:rPr>
        <w:t>u</w:t>
      </w:r>
      <w:r w:rsidR="00536868">
        <w:rPr>
          <w:color w:val="000000" w:themeColor="text1"/>
        </w:rPr>
        <w:t>cing the number of prisoners, but the number of prison staff</w:t>
      </w:r>
      <w:r w:rsidR="00EC34DD">
        <w:rPr>
          <w:color w:val="000000" w:themeColor="text1"/>
        </w:rPr>
        <w:t>.</w:t>
      </w:r>
      <w:r w:rsidR="000D0ABE" w:rsidRPr="00A35AE0">
        <w:rPr>
          <w:color w:val="000000" w:themeColor="text1"/>
        </w:rPr>
        <w:t xml:space="preserve"> </w:t>
      </w:r>
      <w:r w:rsidR="001D3D0B" w:rsidRPr="00A35AE0">
        <w:rPr>
          <w:color w:val="000000" w:themeColor="text1"/>
        </w:rPr>
        <w:t xml:space="preserve">Efforts to ‘transform rehabilitation’ have </w:t>
      </w:r>
      <w:r w:rsidR="001D3D0B" w:rsidRPr="00862FD4">
        <w:rPr>
          <w:color w:val="000000" w:themeColor="text1"/>
        </w:rPr>
        <w:t xml:space="preserve">focused on the </w:t>
      </w:r>
      <w:r w:rsidR="00182468" w:rsidRPr="00862FD4">
        <w:rPr>
          <w:color w:val="000000" w:themeColor="text1"/>
        </w:rPr>
        <w:t xml:space="preserve">further </w:t>
      </w:r>
      <w:r w:rsidR="001D3D0B" w:rsidRPr="00862FD4">
        <w:rPr>
          <w:color w:val="000000" w:themeColor="text1"/>
        </w:rPr>
        <w:t xml:space="preserve">privatisation of the probation service and the incentivisation of </w:t>
      </w:r>
      <w:r w:rsidR="00FC3244" w:rsidRPr="00862FD4">
        <w:rPr>
          <w:color w:val="000000" w:themeColor="text1"/>
        </w:rPr>
        <w:t xml:space="preserve">penal </w:t>
      </w:r>
      <w:r w:rsidR="001D3D0B" w:rsidRPr="00862FD4">
        <w:rPr>
          <w:color w:val="000000" w:themeColor="text1"/>
        </w:rPr>
        <w:t xml:space="preserve">performance through </w:t>
      </w:r>
      <w:r w:rsidR="00FC3244" w:rsidRPr="00862FD4">
        <w:rPr>
          <w:color w:val="000000" w:themeColor="text1"/>
        </w:rPr>
        <w:t xml:space="preserve">payment-by-results and </w:t>
      </w:r>
      <w:r w:rsidR="001D3D0B" w:rsidRPr="00862FD4">
        <w:rPr>
          <w:color w:val="000000" w:themeColor="text1"/>
        </w:rPr>
        <w:t>selective social finance experiments (</w:t>
      </w:r>
      <w:r w:rsidR="00862FD4" w:rsidRPr="00862FD4">
        <w:t xml:space="preserve">Burke and Collett 2015; Burke, Collett and McNeill 2018; </w:t>
      </w:r>
      <w:r w:rsidR="00FC3244" w:rsidRPr="00862FD4">
        <w:rPr>
          <w:color w:val="000000" w:themeColor="text1"/>
        </w:rPr>
        <w:t>Fox and Albertson, 2011</w:t>
      </w:r>
      <w:r w:rsidR="009D00B0" w:rsidRPr="00862FD4">
        <w:rPr>
          <w:color w:val="000000" w:themeColor="text1"/>
        </w:rPr>
        <w:t>a</w:t>
      </w:r>
      <w:r w:rsidR="00FC3244" w:rsidRPr="00862FD4">
        <w:rPr>
          <w:color w:val="000000" w:themeColor="text1"/>
        </w:rPr>
        <w:t xml:space="preserve">; </w:t>
      </w:r>
      <w:r w:rsidR="00701365" w:rsidRPr="00862FD4">
        <w:rPr>
          <w:rFonts w:eastAsia="Arial Unicode MS"/>
        </w:rPr>
        <w:t xml:space="preserve">Deering and </w:t>
      </w:r>
      <w:proofErr w:type="spellStart"/>
      <w:r w:rsidR="00701365" w:rsidRPr="00862FD4">
        <w:rPr>
          <w:rFonts w:eastAsia="Arial Unicode MS"/>
        </w:rPr>
        <w:t>Feilzer</w:t>
      </w:r>
      <w:proofErr w:type="spellEnd"/>
      <w:r w:rsidR="00701365" w:rsidRPr="00862FD4">
        <w:rPr>
          <w:rFonts w:eastAsia="Arial Unicode MS"/>
        </w:rPr>
        <w:t>, 2015</w:t>
      </w:r>
      <w:r w:rsidR="001D3D0B" w:rsidRPr="00862FD4">
        <w:rPr>
          <w:color w:val="000000" w:themeColor="text1"/>
        </w:rPr>
        <w:t>).</w:t>
      </w:r>
      <w:r w:rsidR="00536868" w:rsidRPr="00862FD4">
        <w:rPr>
          <w:color w:val="000000" w:themeColor="text1"/>
        </w:rPr>
        <w:t xml:space="preserve"> </w:t>
      </w:r>
      <w:r w:rsidR="00EC34DD" w:rsidRPr="00862FD4">
        <w:rPr>
          <w:color w:val="000000" w:themeColor="text1"/>
        </w:rPr>
        <w:t>Notably, the</w:t>
      </w:r>
      <w:r w:rsidR="00536868" w:rsidRPr="00862FD4">
        <w:rPr>
          <w:color w:val="000000" w:themeColor="text1"/>
        </w:rPr>
        <w:t xml:space="preserve"> privatisation of the probation system was declared a failure by</w:t>
      </w:r>
      <w:r w:rsidR="00536868">
        <w:rPr>
          <w:color w:val="000000" w:themeColor="text1"/>
        </w:rPr>
        <w:t xml:space="preserve"> the Justice Select Committee in 2019 (</w:t>
      </w:r>
      <w:hyperlink r:id="rId11" w:history="1">
        <w:r w:rsidR="00536868" w:rsidRPr="00E5472E">
          <w:rPr>
            <w:rStyle w:val="Hyperlink"/>
          </w:rPr>
          <w:t>https://publications.parliament.uk/pa/cm201719/cmselect/cmjust/482/482.pdf</w:t>
        </w:r>
      </w:hyperlink>
      <w:r w:rsidR="00536868">
        <w:rPr>
          <w:color w:val="000000" w:themeColor="text1"/>
        </w:rPr>
        <w:t>).</w:t>
      </w:r>
    </w:p>
    <w:p w:rsidR="00333002" w:rsidRDefault="00333002" w:rsidP="0070005A">
      <w:pPr>
        <w:autoSpaceDE w:val="0"/>
        <w:autoSpaceDN w:val="0"/>
        <w:adjustRightInd w:val="0"/>
        <w:spacing w:line="360" w:lineRule="auto"/>
        <w:jc w:val="both"/>
      </w:pPr>
    </w:p>
    <w:p w:rsidR="003D5585" w:rsidRPr="00A35AE0" w:rsidRDefault="00926A09" w:rsidP="0070005A">
      <w:pPr>
        <w:autoSpaceDE w:val="0"/>
        <w:autoSpaceDN w:val="0"/>
        <w:adjustRightInd w:val="0"/>
        <w:spacing w:line="360" w:lineRule="auto"/>
        <w:jc w:val="both"/>
      </w:pPr>
      <w:r>
        <w:rPr>
          <w:color w:val="000000" w:themeColor="text1"/>
        </w:rPr>
        <w:t>However</w:t>
      </w:r>
      <w:r w:rsidR="00333002">
        <w:rPr>
          <w:color w:val="000000" w:themeColor="text1"/>
        </w:rPr>
        <w:t xml:space="preserve">, this is </w:t>
      </w:r>
      <w:r>
        <w:rPr>
          <w:color w:val="000000" w:themeColor="text1"/>
        </w:rPr>
        <w:t xml:space="preserve">still </w:t>
      </w:r>
      <w:r w:rsidR="00333002">
        <w:rPr>
          <w:color w:val="000000" w:themeColor="text1"/>
        </w:rPr>
        <w:t xml:space="preserve">an interesting moment in the long history of </w:t>
      </w:r>
      <w:proofErr w:type="spellStart"/>
      <w:r w:rsidR="00333002">
        <w:rPr>
          <w:color w:val="000000" w:themeColor="text1"/>
        </w:rPr>
        <w:t>decarceral</w:t>
      </w:r>
      <w:proofErr w:type="spellEnd"/>
      <w:r w:rsidR="00333002">
        <w:rPr>
          <w:color w:val="000000" w:themeColor="text1"/>
        </w:rPr>
        <w:t xml:space="preserve"> trends charted here. New efforts to acknowledge the harms of incarceration and to drive </w:t>
      </w:r>
      <w:proofErr w:type="spellStart"/>
      <w:r w:rsidR="00333002">
        <w:rPr>
          <w:color w:val="000000" w:themeColor="text1"/>
        </w:rPr>
        <w:t>decarceration</w:t>
      </w:r>
      <w:proofErr w:type="spellEnd"/>
      <w:r w:rsidR="00333002">
        <w:rPr>
          <w:color w:val="000000" w:themeColor="text1"/>
        </w:rPr>
        <w:t xml:space="preserve"> are in train,</w:t>
      </w:r>
      <w:r w:rsidR="00127173" w:rsidRPr="00A35AE0">
        <w:t xml:space="preserve"> </w:t>
      </w:r>
      <w:r w:rsidR="00F0372F" w:rsidRPr="00A35AE0">
        <w:t xml:space="preserve">particularly in devolved administrations in Scotland and Wales, and particularly in the female estate </w:t>
      </w:r>
      <w:r w:rsidR="00520EBE" w:rsidRPr="00A35AE0">
        <w:t xml:space="preserve">(see, for example, The 2007 </w:t>
      </w:r>
      <w:proofErr w:type="spellStart"/>
      <w:r w:rsidR="00520EBE" w:rsidRPr="00A35AE0">
        <w:t>Corsten</w:t>
      </w:r>
      <w:proofErr w:type="spellEnd"/>
      <w:r w:rsidR="00520EBE" w:rsidRPr="00A35AE0">
        <w:t xml:space="preserve"> Report  </w:t>
      </w:r>
      <w:hyperlink r:id="rId12" w:history="1">
        <w:r w:rsidR="004569EB" w:rsidRPr="00E5472E">
          <w:rPr>
            <w:rStyle w:val="Hyperlink"/>
          </w:rPr>
          <w:t>https://webarchive.nationalarchives.gov.uk/+/www.justice.gov.uk/publications/docs/women-justice-system-exec-summary.pdf</w:t>
        </w:r>
      </w:hyperlink>
      <w:r w:rsidR="00520EBE" w:rsidRPr="00A35AE0">
        <w:t>)</w:t>
      </w:r>
      <w:r w:rsidR="00333002">
        <w:t>.</w:t>
      </w:r>
      <w:r w:rsidR="004569EB">
        <w:t xml:space="preserve"> </w:t>
      </w:r>
      <w:r w:rsidR="00E02679" w:rsidRPr="00A35AE0">
        <w:t>Abolitionist movements</w:t>
      </w:r>
      <w:r w:rsidR="00F0372F" w:rsidRPr="00A35AE0">
        <w:t>, enlivened by a new generation of activi</w:t>
      </w:r>
      <w:r w:rsidR="00A56BFD">
        <w:t>sts</w:t>
      </w:r>
      <w:r w:rsidR="00F0372F" w:rsidRPr="00A35AE0">
        <w:t>,</w:t>
      </w:r>
      <w:r w:rsidR="00A5776D" w:rsidRPr="00A35AE0">
        <w:t xml:space="preserve"> such as </w:t>
      </w:r>
      <w:r w:rsidR="00A5776D" w:rsidRPr="00A35AE0">
        <w:rPr>
          <w:bCs/>
        </w:rPr>
        <w:t>The Empty Cages Collective</w:t>
      </w:r>
      <w:r w:rsidR="00A5776D" w:rsidRPr="00A35AE0">
        <w:rPr>
          <w:b/>
          <w:bCs/>
        </w:rPr>
        <w:t>, </w:t>
      </w:r>
      <w:r w:rsidR="00F0372F" w:rsidRPr="00A35AE0">
        <w:t xml:space="preserve">continue to </w:t>
      </w:r>
      <w:r w:rsidR="00E02679" w:rsidRPr="00A35AE0">
        <w:t xml:space="preserve">push for the closure or radical transformation of prisons and other institutions on the grounds that they reproduce and exacerbate repressive social division </w:t>
      </w:r>
      <w:r w:rsidR="009170BE" w:rsidRPr="00A35AE0">
        <w:rPr>
          <w:color w:val="000000"/>
        </w:rPr>
        <w:t xml:space="preserve">(Hart and </w:t>
      </w:r>
      <w:proofErr w:type="spellStart"/>
      <w:r w:rsidR="009170BE" w:rsidRPr="00A35AE0">
        <w:rPr>
          <w:color w:val="000000"/>
        </w:rPr>
        <w:t>Ginneken</w:t>
      </w:r>
      <w:proofErr w:type="spellEnd"/>
      <w:r w:rsidR="009170BE" w:rsidRPr="00A35AE0">
        <w:rPr>
          <w:color w:val="000000"/>
        </w:rPr>
        <w:t xml:space="preserve"> 2017</w:t>
      </w:r>
      <w:r w:rsidR="00A5776D" w:rsidRPr="00A35AE0">
        <w:rPr>
          <w:color w:val="000000"/>
        </w:rPr>
        <w:t>; http://www.prisonabolition.org</w:t>
      </w:r>
      <w:r w:rsidR="00E02679" w:rsidRPr="00A35AE0">
        <w:t xml:space="preserve">). </w:t>
      </w:r>
      <w:r w:rsidR="00A5776D" w:rsidRPr="00A35AE0">
        <w:t>Justice reinvestment pilots have explored the cost-savings offered by community sanctions (</w:t>
      </w:r>
      <w:r w:rsidR="00EE0223" w:rsidRPr="00A35AE0">
        <w:rPr>
          <w:bCs/>
          <w:color w:val="000000" w:themeColor="text1"/>
        </w:rPr>
        <w:t>Fox, Albertson and Warburton, 2011</w:t>
      </w:r>
      <w:r w:rsidR="009D00B0">
        <w:rPr>
          <w:bCs/>
          <w:color w:val="000000" w:themeColor="text1"/>
        </w:rPr>
        <w:t>b</w:t>
      </w:r>
      <w:r w:rsidR="00EE0223">
        <w:rPr>
          <w:bCs/>
          <w:color w:val="000000" w:themeColor="text1"/>
        </w:rPr>
        <w:t xml:space="preserve">; </w:t>
      </w:r>
      <w:r w:rsidR="00F70A49" w:rsidRPr="00A35AE0">
        <w:t>Brown et al, 2016</w:t>
      </w:r>
      <w:r w:rsidR="00A5776D" w:rsidRPr="00A35AE0">
        <w:t>)</w:t>
      </w:r>
      <w:r w:rsidR="00EC34DD">
        <w:t xml:space="preserve"> and </w:t>
      </w:r>
      <w:r w:rsidR="00FB127D" w:rsidRPr="00C2091A">
        <w:t xml:space="preserve">recent government proposals are intended to limit the use of short prison </w:t>
      </w:r>
      <w:r w:rsidR="00A56BFD" w:rsidRPr="00C2091A">
        <w:t>sentences</w:t>
      </w:r>
      <w:r w:rsidR="00FB127D" w:rsidRPr="00C2091A">
        <w:t xml:space="preserve"> (</w:t>
      </w:r>
      <w:hyperlink r:id="rId13" w:history="1">
        <w:r w:rsidR="00C2091A" w:rsidRPr="00A77041">
          <w:rPr>
            <w:rStyle w:val="Hyperlink"/>
          </w:rPr>
          <w:t>https://reform.uk/events/major-speech-rt-hon-david-gauke-mp-lord-chancellor-and-secretary-state-justice</w:t>
        </w:r>
      </w:hyperlink>
      <w:r w:rsidR="00FB127D" w:rsidRPr="00C2091A">
        <w:t>).</w:t>
      </w:r>
      <w:r w:rsidR="00C2091A">
        <w:t xml:space="preserve"> </w:t>
      </w:r>
      <w:r w:rsidR="00333002">
        <w:t xml:space="preserve">Overall, however, </w:t>
      </w:r>
      <w:r w:rsidR="00F0372F" w:rsidRPr="00A35AE0">
        <w:t>prospects for large-scale</w:t>
      </w:r>
      <w:r w:rsidR="00127173" w:rsidRPr="00A35AE0">
        <w:t xml:space="preserve"> </w:t>
      </w:r>
      <w:proofErr w:type="spellStart"/>
      <w:r w:rsidR="00F0372F" w:rsidRPr="00A35AE0">
        <w:t>decarceration</w:t>
      </w:r>
      <w:proofErr w:type="spellEnd"/>
      <w:r w:rsidR="00F0372F" w:rsidRPr="00A35AE0">
        <w:t xml:space="preserve"> of the adult prison population </w:t>
      </w:r>
      <w:r w:rsidR="004569EB">
        <w:rPr>
          <w:color w:val="000000"/>
        </w:rPr>
        <w:t xml:space="preserve">are still not promising. The scaling down of the adult estate would involve the </w:t>
      </w:r>
      <w:proofErr w:type="spellStart"/>
      <w:r w:rsidR="004569EB">
        <w:rPr>
          <w:color w:val="000000"/>
        </w:rPr>
        <w:t>decarceration</w:t>
      </w:r>
      <w:proofErr w:type="spellEnd"/>
      <w:r w:rsidR="004569EB">
        <w:rPr>
          <w:color w:val="000000"/>
        </w:rPr>
        <w:t xml:space="preserve"> of thousands of long-term prisoners in addition to a raft of new legislation to reduce sentencing tarif</w:t>
      </w:r>
      <w:r w:rsidR="00033CCA">
        <w:rPr>
          <w:color w:val="000000"/>
        </w:rPr>
        <w:t>f</w:t>
      </w:r>
      <w:r w:rsidR="004569EB">
        <w:rPr>
          <w:color w:val="000000"/>
        </w:rPr>
        <w:t>s, and a substantial investment in probation and community-justice services</w:t>
      </w:r>
      <w:r w:rsidR="00BD1D42" w:rsidRPr="00A35AE0">
        <w:rPr>
          <w:color w:val="000000"/>
        </w:rPr>
        <w:t xml:space="preserve">. </w:t>
      </w:r>
      <w:r w:rsidR="00033CCA">
        <w:rPr>
          <w:color w:val="000000"/>
        </w:rPr>
        <w:t xml:space="preserve">By contrast, </w:t>
      </w:r>
      <w:r w:rsidR="004569EB">
        <w:rPr>
          <w:color w:val="000000"/>
        </w:rPr>
        <w:t>t</w:t>
      </w:r>
      <w:r w:rsidR="00BD1D42" w:rsidRPr="00A35AE0">
        <w:t xml:space="preserve">he juvenile </w:t>
      </w:r>
      <w:r w:rsidR="00033CCA">
        <w:t xml:space="preserve">secure </w:t>
      </w:r>
      <w:r w:rsidR="00BD1D42" w:rsidRPr="00A35AE0">
        <w:t xml:space="preserve">estate, </w:t>
      </w:r>
      <w:r w:rsidR="004569EB">
        <w:t xml:space="preserve">which </w:t>
      </w:r>
      <w:r w:rsidR="00BD1D42" w:rsidRPr="00A35AE0">
        <w:t xml:space="preserve">has often followed a different </w:t>
      </w:r>
      <w:r w:rsidR="00A5776D" w:rsidRPr="00A35AE0">
        <w:t xml:space="preserve">historical </w:t>
      </w:r>
      <w:r w:rsidR="00333002">
        <w:t>path</w:t>
      </w:r>
      <w:r w:rsidR="004569EB">
        <w:t xml:space="preserve">, offers </w:t>
      </w:r>
      <w:r w:rsidR="00033CCA">
        <w:t xml:space="preserve">the </w:t>
      </w:r>
      <w:r>
        <w:t>greater</w:t>
      </w:r>
      <w:r w:rsidR="004569EB">
        <w:t xml:space="preserve"> promise of </w:t>
      </w:r>
      <w:r w:rsidR="00033CCA">
        <w:t xml:space="preserve">more rapid meaningful </w:t>
      </w:r>
      <w:r w:rsidR="004569EB">
        <w:t>reform.</w:t>
      </w:r>
    </w:p>
    <w:p w:rsidR="00252515" w:rsidRDefault="00252515" w:rsidP="0070005A">
      <w:pPr>
        <w:autoSpaceDE w:val="0"/>
        <w:autoSpaceDN w:val="0"/>
        <w:adjustRightInd w:val="0"/>
        <w:spacing w:line="360" w:lineRule="auto"/>
        <w:jc w:val="both"/>
        <w:rPr>
          <w:b/>
          <w:color w:val="000000" w:themeColor="text1"/>
        </w:rPr>
      </w:pPr>
    </w:p>
    <w:p w:rsidR="00252515" w:rsidRDefault="00252515" w:rsidP="0070005A">
      <w:pPr>
        <w:autoSpaceDE w:val="0"/>
        <w:autoSpaceDN w:val="0"/>
        <w:adjustRightInd w:val="0"/>
        <w:spacing w:line="360" w:lineRule="auto"/>
        <w:jc w:val="both"/>
        <w:rPr>
          <w:b/>
          <w:color w:val="000000" w:themeColor="text1"/>
        </w:rPr>
      </w:pPr>
    </w:p>
    <w:p w:rsidR="003324CA" w:rsidRPr="00A35AE0" w:rsidRDefault="003D5585" w:rsidP="0070005A">
      <w:pPr>
        <w:autoSpaceDE w:val="0"/>
        <w:autoSpaceDN w:val="0"/>
        <w:adjustRightInd w:val="0"/>
        <w:spacing w:line="360" w:lineRule="auto"/>
        <w:jc w:val="both"/>
      </w:pPr>
      <w:r w:rsidRPr="00A35AE0">
        <w:rPr>
          <w:b/>
          <w:color w:val="000000" w:themeColor="text1"/>
        </w:rPr>
        <w:lastRenderedPageBreak/>
        <w:t xml:space="preserve">Trends in </w:t>
      </w:r>
      <w:r w:rsidR="00B43D12" w:rsidRPr="00A35AE0">
        <w:rPr>
          <w:b/>
          <w:color w:val="000000" w:themeColor="text1"/>
        </w:rPr>
        <w:t xml:space="preserve">Youth </w:t>
      </w:r>
      <w:r w:rsidRPr="00A35AE0">
        <w:rPr>
          <w:b/>
          <w:color w:val="000000" w:themeColor="text1"/>
        </w:rPr>
        <w:t>Incarceration</w:t>
      </w:r>
      <w:r w:rsidR="009D6A6F" w:rsidRPr="00A35AE0">
        <w:rPr>
          <w:b/>
          <w:color w:val="000000" w:themeColor="text1"/>
        </w:rPr>
        <w:t xml:space="preserve"> </w:t>
      </w:r>
      <w:r w:rsidR="009D6A6F" w:rsidRPr="00A35AE0">
        <w:rPr>
          <w:rFonts w:eastAsia="MS Mincho"/>
          <w:b/>
          <w:color w:val="000000" w:themeColor="text1"/>
        </w:rPr>
        <w:t xml:space="preserve">and </w:t>
      </w:r>
      <w:proofErr w:type="spellStart"/>
      <w:r w:rsidR="009D6A6F" w:rsidRPr="00A35AE0">
        <w:rPr>
          <w:rFonts w:eastAsia="MS Mincho"/>
          <w:b/>
          <w:color w:val="000000" w:themeColor="text1"/>
        </w:rPr>
        <w:t>Decarceration</w:t>
      </w:r>
      <w:proofErr w:type="spellEnd"/>
      <w:r w:rsidR="009D6A6F" w:rsidRPr="00A35AE0">
        <w:rPr>
          <w:rFonts w:eastAsia="MS Mincho"/>
          <w:b/>
          <w:color w:val="000000" w:themeColor="text1"/>
        </w:rPr>
        <w:t>, 1850</w:t>
      </w:r>
      <w:r w:rsidR="006E0DBF">
        <w:rPr>
          <w:rFonts w:eastAsia="MS Mincho"/>
          <w:b/>
          <w:color w:val="000000" w:themeColor="text1"/>
        </w:rPr>
        <w:t>s</w:t>
      </w:r>
      <w:r w:rsidR="009D6A6F" w:rsidRPr="00A35AE0">
        <w:rPr>
          <w:rFonts w:eastAsia="MS Mincho"/>
          <w:b/>
          <w:color w:val="000000" w:themeColor="text1"/>
        </w:rPr>
        <w:t xml:space="preserve"> to </w:t>
      </w:r>
      <w:r w:rsidR="008C200F">
        <w:rPr>
          <w:rFonts w:eastAsia="MS Mincho"/>
          <w:b/>
          <w:color w:val="000000" w:themeColor="text1"/>
        </w:rPr>
        <w:t>1945</w:t>
      </w:r>
    </w:p>
    <w:p w:rsidR="006A0C1A" w:rsidRPr="00A35AE0" w:rsidRDefault="006A0C1A" w:rsidP="0070005A">
      <w:pPr>
        <w:pBdr>
          <w:top w:val="nil"/>
          <w:left w:val="nil"/>
          <w:bottom w:val="nil"/>
          <w:right w:val="nil"/>
          <w:between w:val="nil"/>
          <w:bar w:val="nil"/>
        </w:pBdr>
        <w:spacing w:line="360" w:lineRule="auto"/>
        <w:jc w:val="both"/>
        <w:rPr>
          <w:rFonts w:eastAsia="Arial Unicode MS"/>
          <w:bdr w:val="nil"/>
          <w:lang w:val="en-US"/>
        </w:rPr>
      </w:pPr>
    </w:p>
    <w:p w:rsidR="00963506" w:rsidRPr="00B70DEA" w:rsidRDefault="00DA5C06" w:rsidP="00435EF9">
      <w:pPr>
        <w:spacing w:line="360" w:lineRule="auto"/>
        <w:jc w:val="both"/>
        <w:rPr>
          <w:color w:val="222222"/>
          <w:shd w:val="clear" w:color="auto" w:fill="FFFFFF"/>
        </w:rPr>
      </w:pPr>
      <w:r w:rsidRPr="00DA5C06">
        <w:rPr>
          <w:rFonts w:eastAsia="Arial Unicode MS"/>
          <w:bdr w:val="nil"/>
          <w:lang w:val="en-US"/>
        </w:rPr>
        <w:t xml:space="preserve">The </w:t>
      </w:r>
      <w:r w:rsidR="006E0DBF">
        <w:rPr>
          <w:rFonts w:eastAsia="Arial Unicode MS"/>
          <w:bdr w:val="nil"/>
          <w:lang w:val="en-US"/>
        </w:rPr>
        <w:t xml:space="preserve">dual </w:t>
      </w:r>
      <w:r w:rsidRPr="00DA5C06">
        <w:rPr>
          <w:rFonts w:eastAsia="Arial Unicode MS"/>
          <w:bdr w:val="nil"/>
          <w:lang w:val="en-US"/>
        </w:rPr>
        <w:t>track for juvenile</w:t>
      </w:r>
      <w:r w:rsidR="00EB475B">
        <w:rPr>
          <w:rFonts w:eastAsia="Arial Unicode MS"/>
          <w:bdr w:val="nil"/>
          <w:lang w:val="en-US"/>
        </w:rPr>
        <w:t xml:space="preserve"> offenders </w:t>
      </w:r>
      <w:r w:rsidRPr="00DA5C06">
        <w:rPr>
          <w:rFonts w:eastAsia="Arial Unicode MS"/>
          <w:bdr w:val="nil"/>
          <w:lang w:val="en-US"/>
        </w:rPr>
        <w:t xml:space="preserve">was established with the opening of </w:t>
      </w:r>
      <w:r w:rsidR="00A56BFD">
        <w:rPr>
          <w:rFonts w:eastAsia="Arial Unicode MS"/>
          <w:bdr w:val="nil"/>
          <w:lang w:val="en-US"/>
        </w:rPr>
        <w:t>Par</w:t>
      </w:r>
      <w:r w:rsidR="00A56BFD" w:rsidRPr="00DA5C06">
        <w:rPr>
          <w:rFonts w:eastAsia="Arial Unicode MS"/>
          <w:bdr w:val="nil"/>
          <w:lang w:val="en-US"/>
        </w:rPr>
        <w:t>khurst</w:t>
      </w:r>
      <w:r w:rsidRPr="00DA5C06">
        <w:rPr>
          <w:rFonts w:eastAsia="Arial Unicode MS"/>
          <w:bdr w:val="nil"/>
          <w:lang w:val="en-US"/>
        </w:rPr>
        <w:t xml:space="preserve"> Prison </w:t>
      </w:r>
      <w:r w:rsidR="004569EB">
        <w:rPr>
          <w:rFonts w:eastAsia="Arial Unicode MS"/>
          <w:bdr w:val="nil"/>
          <w:lang w:val="en-US"/>
        </w:rPr>
        <w:t xml:space="preserve">on the Isle of Wight </w:t>
      </w:r>
      <w:r w:rsidRPr="00DA5C06">
        <w:rPr>
          <w:rFonts w:eastAsia="Arial Unicode MS"/>
          <w:bdr w:val="nil"/>
          <w:lang w:val="en-US"/>
        </w:rPr>
        <w:t xml:space="preserve">in 1838. The prison held </w:t>
      </w:r>
      <w:r>
        <w:rPr>
          <w:color w:val="212121"/>
          <w:shd w:val="clear" w:color="auto" w:fill="FFFFFF"/>
        </w:rPr>
        <w:t xml:space="preserve">male offenders aged under sixteen </w:t>
      </w:r>
      <w:r w:rsidR="004569EB">
        <w:rPr>
          <w:color w:val="212121"/>
          <w:shd w:val="clear" w:color="auto" w:fill="FFFFFF"/>
        </w:rPr>
        <w:t xml:space="preserve">in order </w:t>
      </w:r>
      <w:r>
        <w:rPr>
          <w:color w:val="212121"/>
          <w:shd w:val="clear" w:color="auto" w:fill="FFFFFF"/>
        </w:rPr>
        <w:t xml:space="preserve">to educate them with a moral, religious and industrial education. Once </w:t>
      </w:r>
      <w:r w:rsidR="006E0DBF">
        <w:rPr>
          <w:color w:val="212121"/>
          <w:shd w:val="clear" w:color="auto" w:fill="FFFFFF"/>
        </w:rPr>
        <w:t xml:space="preserve">ready </w:t>
      </w:r>
      <w:r>
        <w:rPr>
          <w:color w:val="212121"/>
          <w:shd w:val="clear" w:color="auto" w:fill="FFFFFF"/>
        </w:rPr>
        <w:t xml:space="preserve">for emigration, they were shipped to Western Australia </w:t>
      </w:r>
      <w:r w:rsidR="004569EB">
        <w:rPr>
          <w:color w:val="212121"/>
          <w:shd w:val="clear" w:color="auto" w:fill="FFFFFF"/>
        </w:rPr>
        <w:t>from</w:t>
      </w:r>
      <w:r>
        <w:rPr>
          <w:color w:val="212121"/>
          <w:shd w:val="clear" w:color="auto" w:fill="FFFFFF"/>
        </w:rPr>
        <w:t xml:space="preserve"> 1842. By 1849 </w:t>
      </w:r>
      <w:r w:rsidR="006E0DBF">
        <w:rPr>
          <w:color w:val="212121"/>
          <w:shd w:val="clear" w:color="auto" w:fill="FFFFFF"/>
        </w:rPr>
        <w:t>th</w:t>
      </w:r>
      <w:r w:rsidR="00EB475B">
        <w:rPr>
          <w:color w:val="212121"/>
          <w:shd w:val="clear" w:color="auto" w:fill="FFFFFF"/>
        </w:rPr>
        <w:t>is</w:t>
      </w:r>
      <w:r>
        <w:rPr>
          <w:color w:val="212121"/>
          <w:shd w:val="clear" w:color="auto" w:fill="FFFFFF"/>
        </w:rPr>
        <w:t xml:space="preserve"> </w:t>
      </w:r>
      <w:r w:rsidR="004569EB">
        <w:rPr>
          <w:color w:val="212121"/>
          <w:shd w:val="clear" w:color="auto" w:fill="FFFFFF"/>
        </w:rPr>
        <w:t xml:space="preserve">British </w:t>
      </w:r>
      <w:r>
        <w:rPr>
          <w:color w:val="212121"/>
          <w:shd w:val="clear" w:color="auto" w:fill="FFFFFF"/>
        </w:rPr>
        <w:t xml:space="preserve">colony had accepted </w:t>
      </w:r>
      <w:r w:rsidR="006A0C1A" w:rsidRPr="00DA5C06">
        <w:rPr>
          <w:color w:val="222222"/>
          <w:shd w:val="clear" w:color="auto" w:fill="FFFFFF"/>
        </w:rPr>
        <w:t xml:space="preserve">234 Parkhurst </w:t>
      </w:r>
      <w:r>
        <w:rPr>
          <w:color w:val="222222"/>
          <w:shd w:val="clear" w:color="auto" w:fill="FFFFFF"/>
        </w:rPr>
        <w:t xml:space="preserve">boys </w:t>
      </w:r>
      <w:r w:rsidR="006A0C1A" w:rsidRPr="00DA5C06">
        <w:rPr>
          <w:color w:val="222222"/>
          <w:shd w:val="clear" w:color="auto" w:fill="FFFFFF"/>
        </w:rPr>
        <w:t xml:space="preserve">aged between </w:t>
      </w:r>
      <w:r>
        <w:rPr>
          <w:color w:val="222222"/>
          <w:shd w:val="clear" w:color="auto" w:fill="FFFFFF"/>
        </w:rPr>
        <w:t xml:space="preserve">ten and twenty-one. </w:t>
      </w:r>
      <w:r w:rsidR="00435EF9" w:rsidRPr="00435EF9">
        <w:rPr>
          <w:color w:val="212121"/>
          <w:shd w:val="clear" w:color="auto" w:fill="FFFFFF"/>
        </w:rPr>
        <w:t xml:space="preserve">By the </w:t>
      </w:r>
      <w:r w:rsidR="005E5C31" w:rsidRPr="00435EF9">
        <w:rPr>
          <w:color w:val="212121"/>
          <w:shd w:val="clear" w:color="auto" w:fill="FFFFFF"/>
        </w:rPr>
        <w:t>mid-1850s</w:t>
      </w:r>
      <w:r w:rsidR="00435EF9" w:rsidRPr="00435EF9">
        <w:rPr>
          <w:color w:val="212121"/>
          <w:shd w:val="clear" w:color="auto" w:fill="FFFFFF"/>
        </w:rPr>
        <w:t xml:space="preserve">, the Parkhurst </w:t>
      </w:r>
      <w:r w:rsidR="00435EF9">
        <w:rPr>
          <w:color w:val="212121"/>
          <w:shd w:val="clear" w:color="auto" w:fill="FFFFFF"/>
        </w:rPr>
        <w:t xml:space="preserve">apprentices were no longer </w:t>
      </w:r>
      <w:r w:rsidR="006E0DBF">
        <w:rPr>
          <w:color w:val="212121"/>
          <w:shd w:val="clear" w:color="auto" w:fill="FFFFFF"/>
        </w:rPr>
        <w:t>sent</w:t>
      </w:r>
      <w:r w:rsidR="00435EF9">
        <w:rPr>
          <w:color w:val="212121"/>
          <w:shd w:val="clear" w:color="auto" w:fill="FFFFFF"/>
        </w:rPr>
        <w:t xml:space="preserve"> overseas</w:t>
      </w:r>
      <w:r w:rsidR="00435EF9" w:rsidRPr="00435EF9">
        <w:rPr>
          <w:color w:val="212121"/>
          <w:shd w:val="clear" w:color="auto" w:fill="FFFFFF"/>
        </w:rPr>
        <w:t xml:space="preserve">, and the function of the prison was broadened to include all boys sentenced to terms exceeding </w:t>
      </w:r>
      <w:proofErr w:type="gramStart"/>
      <w:r w:rsidR="00435EF9" w:rsidRPr="00435EF9">
        <w:rPr>
          <w:color w:val="212121"/>
          <w:shd w:val="clear" w:color="auto" w:fill="FFFFFF"/>
        </w:rPr>
        <w:t>one year</w:t>
      </w:r>
      <w:proofErr w:type="gramEnd"/>
      <w:r w:rsidR="00435EF9" w:rsidRPr="00435EF9">
        <w:rPr>
          <w:color w:val="212121"/>
          <w:shd w:val="clear" w:color="auto" w:fill="FFFFFF"/>
        </w:rPr>
        <w:t xml:space="preserve"> imprisonment. </w:t>
      </w:r>
      <w:r w:rsidR="00507DA7">
        <w:rPr>
          <w:color w:val="222222"/>
          <w:shd w:val="clear" w:color="auto" w:fill="FFFFFF"/>
        </w:rPr>
        <w:t xml:space="preserve">In </w:t>
      </w:r>
      <w:r w:rsidR="00435EF9">
        <w:rPr>
          <w:color w:val="222222"/>
          <w:shd w:val="clear" w:color="auto" w:fill="FFFFFF"/>
        </w:rPr>
        <w:t>1863 Parkhurst became a prison for young men</w:t>
      </w:r>
      <w:r w:rsidR="004569EB">
        <w:rPr>
          <w:color w:val="222222"/>
          <w:shd w:val="clear" w:color="auto" w:fill="FFFFFF"/>
        </w:rPr>
        <w:t>; one with a poor reputation</w:t>
      </w:r>
      <w:r w:rsidR="00046AD1">
        <w:rPr>
          <w:color w:val="222222"/>
          <w:shd w:val="clear" w:color="auto" w:fill="FFFFFF"/>
        </w:rPr>
        <w:t xml:space="preserve"> from the start</w:t>
      </w:r>
      <w:r w:rsidR="004569EB">
        <w:rPr>
          <w:color w:val="222222"/>
          <w:shd w:val="clear" w:color="auto" w:fill="FFFFFF"/>
        </w:rPr>
        <w:t>,</w:t>
      </w:r>
      <w:r w:rsidR="00435EF9">
        <w:rPr>
          <w:color w:val="222222"/>
          <w:shd w:val="clear" w:color="auto" w:fill="FFFFFF"/>
        </w:rPr>
        <w:t xml:space="preserve"> renowned and criticised for its harsh disciplinary regime</w:t>
      </w:r>
      <w:r w:rsidR="004569EB">
        <w:rPr>
          <w:color w:val="222222"/>
          <w:shd w:val="clear" w:color="auto" w:fill="FFFFFF"/>
        </w:rPr>
        <w:t xml:space="preserve">. </w:t>
      </w:r>
      <w:r w:rsidR="00046AD1">
        <w:rPr>
          <w:color w:val="222222"/>
          <w:shd w:val="clear" w:color="auto" w:fill="FFFFFF"/>
        </w:rPr>
        <w:t>For all these reasons, t</w:t>
      </w:r>
      <w:r w:rsidR="004569EB">
        <w:rPr>
          <w:color w:val="222222"/>
          <w:shd w:val="clear" w:color="auto" w:fill="FFFFFF"/>
        </w:rPr>
        <w:t>he</w:t>
      </w:r>
      <w:r w:rsidR="00435EF9">
        <w:rPr>
          <w:color w:val="222222"/>
          <w:shd w:val="clear" w:color="auto" w:fill="FFFFFF"/>
        </w:rPr>
        <w:t xml:space="preserve"> institution</w:t>
      </w:r>
      <w:r w:rsidR="00046AD1">
        <w:rPr>
          <w:color w:val="222222"/>
          <w:shd w:val="clear" w:color="auto" w:fill="FFFFFF"/>
        </w:rPr>
        <w:t>’s young inmate population</w:t>
      </w:r>
      <w:r w:rsidR="00435EF9">
        <w:rPr>
          <w:color w:val="222222"/>
          <w:shd w:val="clear" w:color="auto" w:fill="FFFFFF"/>
        </w:rPr>
        <w:t xml:space="preserve"> was scaled down </w:t>
      </w:r>
      <w:r w:rsidR="00046AD1">
        <w:rPr>
          <w:color w:val="222222"/>
          <w:shd w:val="clear" w:color="auto" w:fill="FFFFFF"/>
        </w:rPr>
        <w:t xml:space="preserve">and increasingly ‘diverted’ </w:t>
      </w:r>
      <w:r w:rsidR="00435EF9">
        <w:rPr>
          <w:color w:val="222222"/>
          <w:shd w:val="clear" w:color="auto" w:fill="FFFFFF"/>
        </w:rPr>
        <w:t>to new</w:t>
      </w:r>
      <w:r w:rsidR="00046AD1">
        <w:rPr>
          <w:color w:val="222222"/>
          <w:shd w:val="clear" w:color="auto" w:fill="FFFFFF"/>
        </w:rPr>
        <w:t>ly created</w:t>
      </w:r>
      <w:r w:rsidR="00435EF9">
        <w:rPr>
          <w:color w:val="222222"/>
          <w:shd w:val="clear" w:color="auto" w:fill="FFFFFF"/>
        </w:rPr>
        <w:t xml:space="preserve"> juvenile </w:t>
      </w:r>
      <w:r w:rsidR="00046AD1">
        <w:rPr>
          <w:color w:val="222222"/>
          <w:shd w:val="clear" w:color="auto" w:fill="FFFFFF"/>
        </w:rPr>
        <w:t xml:space="preserve">reform </w:t>
      </w:r>
      <w:r w:rsidR="00435EF9">
        <w:rPr>
          <w:color w:val="222222"/>
          <w:shd w:val="clear" w:color="auto" w:fill="FFFFFF"/>
        </w:rPr>
        <w:t>institutions (</w:t>
      </w:r>
      <w:r w:rsidRPr="00435EF9">
        <w:t>Carpenter</w:t>
      </w:r>
      <w:r>
        <w:t xml:space="preserve"> 1851)</w:t>
      </w:r>
      <w:r w:rsidRPr="00435EF9">
        <w:rPr>
          <w:color w:val="222222"/>
          <w:shd w:val="clear" w:color="auto" w:fill="FFFFFF"/>
        </w:rPr>
        <w:t xml:space="preserve">. </w:t>
      </w:r>
    </w:p>
    <w:p w:rsidR="00165FAA" w:rsidRPr="00A35AE0" w:rsidRDefault="00165FAA" w:rsidP="0070005A">
      <w:pPr>
        <w:pBdr>
          <w:top w:val="nil"/>
          <w:left w:val="nil"/>
          <w:bottom w:val="nil"/>
          <w:right w:val="nil"/>
          <w:between w:val="nil"/>
          <w:bar w:val="nil"/>
        </w:pBdr>
        <w:spacing w:line="360" w:lineRule="auto"/>
        <w:jc w:val="both"/>
        <w:rPr>
          <w:rFonts w:eastAsia="Arial Unicode MS"/>
          <w:bdr w:val="nil"/>
          <w:lang w:val="en-US"/>
        </w:rPr>
      </w:pPr>
    </w:p>
    <w:p w:rsidR="00E216E1" w:rsidRPr="00A35AE0" w:rsidRDefault="00462714" w:rsidP="00E216E1">
      <w:pPr>
        <w:pBdr>
          <w:top w:val="nil"/>
          <w:left w:val="nil"/>
          <w:bottom w:val="nil"/>
          <w:right w:val="nil"/>
          <w:between w:val="nil"/>
          <w:bar w:val="nil"/>
        </w:pBdr>
        <w:spacing w:line="360" w:lineRule="auto"/>
        <w:jc w:val="both"/>
        <w:rPr>
          <w:b/>
          <w:color w:val="000000" w:themeColor="text1"/>
        </w:rPr>
      </w:pPr>
      <w:r w:rsidRPr="00A35AE0">
        <w:rPr>
          <w:rFonts w:eastAsia="Arial Unicode MS"/>
          <w:b/>
          <w:bdr w:val="nil"/>
          <w:lang w:val="en-US"/>
        </w:rPr>
        <w:t>Fig 2:  Youth custody rates 1856-1927 (under-21, and under-16 rates)</w:t>
      </w:r>
      <w:r w:rsidR="004569EB">
        <w:rPr>
          <w:rFonts w:eastAsia="Arial Unicode MS"/>
          <w:b/>
          <w:bdr w:val="nil"/>
          <w:lang w:val="en-US"/>
        </w:rPr>
        <w:t xml:space="preserve"> </w:t>
      </w:r>
      <w:r w:rsidR="00E216E1" w:rsidRPr="00A35AE0">
        <w:rPr>
          <w:b/>
          <w:color w:val="000000" w:themeColor="text1"/>
        </w:rPr>
        <w:t>(</w:t>
      </w:r>
      <w:r w:rsidR="00E216E1">
        <w:rPr>
          <w:b/>
          <w:color w:val="000000" w:themeColor="text1"/>
        </w:rPr>
        <w:t xml:space="preserve">Figures taken from </w:t>
      </w:r>
      <w:r w:rsidR="00E216E1" w:rsidRPr="00A35AE0">
        <w:rPr>
          <w:b/>
          <w:color w:val="000000" w:themeColor="text1"/>
        </w:rPr>
        <w:t>Judicial Statistics, 1856-</w:t>
      </w:r>
      <w:r w:rsidR="00E216E1">
        <w:rPr>
          <w:b/>
          <w:color w:val="000000" w:themeColor="text1"/>
        </w:rPr>
        <w:t>1927</w:t>
      </w:r>
      <w:r w:rsidR="00E216E1" w:rsidRPr="00A35AE0">
        <w:rPr>
          <w:b/>
          <w:color w:val="000000" w:themeColor="text1"/>
        </w:rPr>
        <w:t>)</w:t>
      </w:r>
    </w:p>
    <w:p w:rsidR="00462714" w:rsidRPr="00A35AE0" w:rsidRDefault="00462714" w:rsidP="0070005A">
      <w:pPr>
        <w:pBdr>
          <w:top w:val="nil"/>
          <w:left w:val="nil"/>
          <w:bottom w:val="nil"/>
          <w:right w:val="nil"/>
          <w:between w:val="nil"/>
          <w:bar w:val="nil"/>
        </w:pBdr>
        <w:spacing w:line="360" w:lineRule="auto"/>
        <w:jc w:val="both"/>
        <w:rPr>
          <w:rFonts w:eastAsia="Arial Unicode MS"/>
          <w:b/>
          <w:bdr w:val="nil"/>
          <w:lang w:val="en-US"/>
        </w:rPr>
      </w:pPr>
    </w:p>
    <w:p w:rsidR="00462714" w:rsidRPr="00A35AE0" w:rsidRDefault="00462714" w:rsidP="0070005A">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noProof/>
          <w:bdr w:val="nil"/>
          <w:lang w:eastAsia="en-GB"/>
        </w:rPr>
        <w:drawing>
          <wp:inline distT="0" distB="0" distL="0" distR="0" wp14:anchorId="56964A7F" wp14:editId="5EB4D342">
            <wp:extent cx="5106256" cy="2671281"/>
            <wp:effectExtent l="0" t="0" r="12065" b="8890"/>
            <wp:docPr id="5" name="Chart 5">
              <a:extLst xmlns:a="http://schemas.openxmlformats.org/drawingml/2006/main">
                <a:ext uri="{FF2B5EF4-FFF2-40B4-BE49-F238E27FC236}">
                  <a16:creationId xmlns:a16="http://schemas.microsoft.com/office/drawing/2014/main" id="{851D799E-06B9-B54C-88D4-6E4BC873A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24E7" w:rsidRPr="00A35AE0" w:rsidRDefault="00E624E7" w:rsidP="0070005A">
      <w:pPr>
        <w:pBdr>
          <w:top w:val="nil"/>
          <w:left w:val="nil"/>
          <w:bottom w:val="nil"/>
          <w:right w:val="nil"/>
          <w:between w:val="nil"/>
          <w:bar w:val="nil"/>
        </w:pBdr>
        <w:spacing w:line="360" w:lineRule="auto"/>
        <w:jc w:val="both"/>
        <w:rPr>
          <w:rFonts w:eastAsia="Arial Unicode MS"/>
          <w:bdr w:val="nil"/>
          <w:lang w:val="en-US"/>
        </w:rPr>
      </w:pPr>
    </w:p>
    <w:p w:rsidR="003324CA" w:rsidRDefault="001E1D12" w:rsidP="0070005A">
      <w:pPr>
        <w:pBdr>
          <w:top w:val="nil"/>
          <w:left w:val="nil"/>
          <w:bottom w:val="nil"/>
          <w:right w:val="nil"/>
          <w:between w:val="nil"/>
          <w:bar w:val="nil"/>
        </w:pBdr>
        <w:spacing w:line="360" w:lineRule="auto"/>
        <w:jc w:val="both"/>
        <w:rPr>
          <w:rFonts w:eastAsia="Arial Unicode MS"/>
          <w:bdr w:val="nil"/>
        </w:rPr>
      </w:pPr>
      <w:r w:rsidRPr="00A35AE0">
        <w:rPr>
          <w:rFonts w:eastAsia="Arial Unicode MS"/>
          <w:bdr w:val="nil"/>
          <w:lang w:val="en-US"/>
        </w:rPr>
        <w:t>Following some small-scale divergence schemes in the early nineteenth century</w:t>
      </w:r>
      <w:r w:rsidR="00367C1A" w:rsidRPr="00A35AE0">
        <w:rPr>
          <w:rFonts w:eastAsia="Arial Unicode MS"/>
          <w:bdr w:val="nil"/>
          <w:lang w:val="en-US"/>
        </w:rPr>
        <w:t xml:space="preserve"> (Rogers 2014)</w:t>
      </w:r>
      <w:r w:rsidRPr="00A35AE0">
        <w:rPr>
          <w:rFonts w:eastAsia="Arial Unicode MS"/>
          <w:bdr w:val="nil"/>
          <w:lang w:val="en-US"/>
        </w:rPr>
        <w:t xml:space="preserve">, the government established two major </w:t>
      </w:r>
      <w:r w:rsidR="00046AD1">
        <w:rPr>
          <w:rFonts w:eastAsia="Arial Unicode MS"/>
          <w:bdr w:val="nil"/>
          <w:lang w:val="en-US"/>
        </w:rPr>
        <w:t xml:space="preserve">juvenile </w:t>
      </w:r>
      <w:r w:rsidRPr="00A35AE0">
        <w:rPr>
          <w:rFonts w:eastAsia="Arial Unicode MS"/>
          <w:bdr w:val="nil"/>
          <w:lang w:val="en-US"/>
        </w:rPr>
        <w:t>institutions in the mid-century designed to both protect, and correct, vulnerable and offending children</w:t>
      </w:r>
      <w:r w:rsidR="00462714" w:rsidRPr="00A35AE0">
        <w:rPr>
          <w:rFonts w:eastAsia="Arial Unicode MS"/>
          <w:bdr w:val="nil"/>
          <w:lang w:val="en-US"/>
        </w:rPr>
        <w:t xml:space="preserve"> </w:t>
      </w:r>
      <w:r w:rsidR="00462714" w:rsidRPr="00A35AE0">
        <w:t>(see Cox and Shore 2002; Shore 1992)</w:t>
      </w:r>
      <w:r w:rsidR="00462714" w:rsidRPr="00A35AE0">
        <w:rPr>
          <w:rFonts w:eastAsia="Arial Unicode MS"/>
          <w:bdr w:val="nil"/>
          <w:lang w:val="en-US"/>
        </w:rPr>
        <w:t>.</w:t>
      </w:r>
      <w:r w:rsidRPr="00A35AE0">
        <w:rPr>
          <w:rFonts w:eastAsia="Arial Unicode MS"/>
          <w:bdr w:val="nil"/>
          <w:lang w:val="en-US"/>
        </w:rPr>
        <w:t xml:space="preserve"> </w:t>
      </w:r>
      <w:r w:rsidRPr="00A35AE0">
        <w:rPr>
          <w:rFonts w:eastAsia="Arial Unicode MS"/>
          <w:bdr w:val="nil"/>
        </w:rPr>
        <w:t xml:space="preserve">Reformatory schools, created in 1854, were reserved for children up to the age of sixteen convicted of a serious offence. Until 1899, children sent to a reformatory were first required to </w:t>
      </w:r>
      <w:r w:rsidRPr="00A35AE0">
        <w:rPr>
          <w:rFonts w:eastAsia="Arial Unicode MS"/>
          <w:bdr w:val="nil"/>
        </w:rPr>
        <w:lastRenderedPageBreak/>
        <w:t xml:space="preserve">spend a fortnight in an adult prison in order to experience a ‘short, sharp shock’ of sudden imprisonment and </w:t>
      </w:r>
      <w:r w:rsidR="008319A5">
        <w:rPr>
          <w:rFonts w:eastAsia="Arial Unicode MS"/>
          <w:bdr w:val="nil"/>
        </w:rPr>
        <w:t>metaphorically</w:t>
      </w:r>
      <w:r w:rsidR="00046AD1">
        <w:rPr>
          <w:rFonts w:eastAsia="Arial Unicode MS"/>
          <w:bdr w:val="nil"/>
        </w:rPr>
        <w:t>,</w:t>
      </w:r>
      <w:r w:rsidR="008319A5">
        <w:rPr>
          <w:rFonts w:eastAsia="Arial Unicode MS"/>
          <w:bdr w:val="nil"/>
        </w:rPr>
        <w:t xml:space="preserve"> and probably literally</w:t>
      </w:r>
      <w:r w:rsidR="00046AD1">
        <w:rPr>
          <w:rFonts w:eastAsia="Arial Unicode MS"/>
          <w:bdr w:val="nil"/>
        </w:rPr>
        <w:t>,</w:t>
      </w:r>
      <w:r w:rsidR="008319A5">
        <w:rPr>
          <w:rFonts w:eastAsia="Arial Unicode MS"/>
          <w:bdr w:val="nil"/>
        </w:rPr>
        <w:t xml:space="preserve"> </w:t>
      </w:r>
      <w:r w:rsidRPr="00A35AE0">
        <w:rPr>
          <w:rFonts w:eastAsia="Arial Unicode MS"/>
          <w:bdr w:val="nil"/>
        </w:rPr>
        <w:t>to ‘hear the clang of the prison gate’</w:t>
      </w:r>
      <w:r w:rsidR="008319A5">
        <w:rPr>
          <w:rFonts w:eastAsia="Arial Unicode MS"/>
          <w:bdr w:val="nil"/>
        </w:rPr>
        <w:t xml:space="preserve">. </w:t>
      </w:r>
      <w:r w:rsidRPr="00A35AE0">
        <w:rPr>
          <w:rFonts w:eastAsia="Arial Unicode MS"/>
          <w:bdr w:val="nil"/>
        </w:rPr>
        <w:t xml:space="preserve">They were then subject to years in a reformatory system which combined harsh discipline with </w:t>
      </w:r>
      <w:r w:rsidR="00046AD1">
        <w:rPr>
          <w:rFonts w:eastAsia="Arial Unicode MS"/>
          <w:bdr w:val="nil"/>
        </w:rPr>
        <w:t>skills-based training and moral reform</w:t>
      </w:r>
      <w:r w:rsidRPr="00A35AE0">
        <w:rPr>
          <w:rFonts w:eastAsia="Arial Unicode MS"/>
          <w:bdr w:val="nil"/>
        </w:rPr>
        <w:t>. The number of schools in England and Wales grew from eleven certified reformatories in 1854, to fifty-three certified reformatory schools in 1871 (Reformatory Schools Return, 1854-5; Fifteenth Inspectors Report, 1871). By then they had been joined by a large number of Industrial Schools.</w:t>
      </w:r>
    </w:p>
    <w:p w:rsidR="004569EB" w:rsidRDefault="004569EB" w:rsidP="0070005A">
      <w:pPr>
        <w:pBdr>
          <w:top w:val="nil"/>
          <w:left w:val="nil"/>
          <w:bottom w:val="nil"/>
          <w:right w:val="nil"/>
          <w:between w:val="nil"/>
          <w:bar w:val="nil"/>
        </w:pBdr>
        <w:spacing w:line="360" w:lineRule="auto"/>
        <w:jc w:val="both"/>
        <w:rPr>
          <w:rFonts w:eastAsia="Arial Unicode MS"/>
          <w:bdr w:val="nil"/>
        </w:rPr>
      </w:pPr>
    </w:p>
    <w:p w:rsidR="003324CA" w:rsidRPr="00A35AE0" w:rsidRDefault="00926A09" w:rsidP="0070005A">
      <w:pPr>
        <w:pBdr>
          <w:top w:val="nil"/>
          <w:left w:val="nil"/>
          <w:bottom w:val="nil"/>
          <w:right w:val="nil"/>
          <w:between w:val="nil"/>
          <w:bar w:val="nil"/>
        </w:pBdr>
        <w:spacing w:line="360" w:lineRule="auto"/>
        <w:jc w:val="both"/>
        <w:rPr>
          <w:rFonts w:eastAsia="Arial Unicode MS"/>
          <w:bdr w:val="nil"/>
        </w:rPr>
      </w:pPr>
      <w:r>
        <w:rPr>
          <w:rFonts w:eastAsia="Arial Unicode MS"/>
          <w:bdr w:val="nil"/>
        </w:rPr>
        <w:t>Industrial Schools</w:t>
      </w:r>
      <w:r w:rsidR="00F662B1">
        <w:rPr>
          <w:rFonts w:eastAsia="Arial Unicode MS"/>
          <w:bdr w:val="nil"/>
        </w:rPr>
        <w:t xml:space="preserve"> </w:t>
      </w:r>
      <w:r w:rsidR="001E1D12" w:rsidRPr="00A35AE0">
        <w:rPr>
          <w:rFonts w:eastAsia="Arial Unicode MS"/>
          <w:bdr w:val="nil"/>
        </w:rPr>
        <w:t xml:space="preserve">were established </w:t>
      </w:r>
      <w:r w:rsidR="00F662B1">
        <w:rPr>
          <w:rFonts w:eastAsia="Arial Unicode MS"/>
          <w:bdr w:val="nil"/>
        </w:rPr>
        <w:t xml:space="preserve">in 1857 </w:t>
      </w:r>
      <w:r w:rsidR="001E1D12" w:rsidRPr="00A35AE0">
        <w:rPr>
          <w:rFonts w:eastAsia="Arial Unicode MS"/>
          <w:bdr w:val="nil"/>
        </w:rPr>
        <w:t xml:space="preserve">to hold children aged six to sixteen thought to be in need of protection, and also under fourteen-year olds sentenced by magistrates </w:t>
      </w:r>
      <w:r w:rsidR="00F662B1">
        <w:rPr>
          <w:rFonts w:eastAsia="Arial Unicode MS"/>
          <w:bdr w:val="nil"/>
        </w:rPr>
        <w:t>and</w:t>
      </w:r>
      <w:r w:rsidR="001E1D12" w:rsidRPr="00A35AE0">
        <w:rPr>
          <w:rFonts w:eastAsia="Arial Unicode MS"/>
          <w:bdr w:val="nil"/>
        </w:rPr>
        <w:t xml:space="preserve"> considered likely to benefit from the skills-based training provided</w:t>
      </w:r>
      <w:r w:rsidR="00F662B1">
        <w:rPr>
          <w:rFonts w:eastAsia="Arial Unicode MS"/>
          <w:bdr w:val="nil"/>
        </w:rPr>
        <w:t>.</w:t>
      </w:r>
      <w:r w:rsidR="001E1D12" w:rsidRPr="00A35AE0">
        <w:rPr>
          <w:rFonts w:eastAsia="Arial Unicode MS"/>
          <w:bdr w:val="nil"/>
        </w:rPr>
        <w:t xml:space="preserve"> The</w:t>
      </w:r>
      <w:r w:rsidR="00F662B1">
        <w:rPr>
          <w:rFonts w:eastAsia="Arial Unicode MS"/>
          <w:bdr w:val="nil"/>
        </w:rPr>
        <w:t>ir admissions</w:t>
      </w:r>
      <w:r w:rsidR="001E1D12" w:rsidRPr="00A35AE0">
        <w:rPr>
          <w:rFonts w:eastAsia="Arial Unicode MS"/>
          <w:bdr w:val="nil"/>
        </w:rPr>
        <w:t xml:space="preserve"> net was </w:t>
      </w:r>
      <w:r w:rsidR="004569EB" w:rsidRPr="00A35AE0">
        <w:rPr>
          <w:rFonts w:eastAsia="Arial Unicode MS"/>
          <w:bdr w:val="nil"/>
        </w:rPr>
        <w:t xml:space="preserve">further </w:t>
      </w:r>
      <w:r w:rsidR="001E1D12" w:rsidRPr="00A35AE0">
        <w:rPr>
          <w:rFonts w:eastAsia="Arial Unicode MS"/>
          <w:bdr w:val="nil"/>
        </w:rPr>
        <w:t xml:space="preserve">widened in 1866 </w:t>
      </w:r>
      <w:r w:rsidR="00F662B1">
        <w:rPr>
          <w:rFonts w:eastAsia="Arial Unicode MS"/>
          <w:bdr w:val="nil"/>
        </w:rPr>
        <w:t>with</w:t>
      </w:r>
      <w:r w:rsidR="00F662B1" w:rsidRPr="00A35AE0">
        <w:rPr>
          <w:rFonts w:eastAsia="Arial Unicode MS"/>
          <w:bdr w:val="nil"/>
        </w:rPr>
        <w:t xml:space="preserve"> </w:t>
      </w:r>
      <w:r w:rsidR="001E1D12" w:rsidRPr="00A35AE0">
        <w:rPr>
          <w:rFonts w:eastAsia="Arial Unicode MS"/>
          <w:bdr w:val="nil"/>
        </w:rPr>
        <w:t xml:space="preserve">new criteria </w:t>
      </w:r>
      <w:r w:rsidR="00F662B1">
        <w:rPr>
          <w:rFonts w:eastAsia="Arial Unicode MS"/>
          <w:bdr w:val="nil"/>
        </w:rPr>
        <w:t>allowing</w:t>
      </w:r>
      <w:r w:rsidR="001E1D12" w:rsidRPr="00A35AE0">
        <w:rPr>
          <w:rFonts w:eastAsia="Arial Unicode MS"/>
          <w:bdr w:val="nil"/>
        </w:rPr>
        <w:t xml:space="preserve"> children </w:t>
      </w:r>
      <w:r w:rsidR="00F662B1">
        <w:rPr>
          <w:rFonts w:eastAsia="Arial Unicode MS"/>
          <w:bdr w:val="nil"/>
        </w:rPr>
        <w:t xml:space="preserve">to </w:t>
      </w:r>
      <w:r w:rsidR="001E1D12" w:rsidRPr="00A35AE0">
        <w:rPr>
          <w:rFonts w:eastAsia="Arial Unicode MS"/>
          <w:bdr w:val="nil"/>
        </w:rPr>
        <w:t xml:space="preserve">be admitted </w:t>
      </w:r>
      <w:r w:rsidR="00F662B1">
        <w:rPr>
          <w:rFonts w:eastAsia="Arial Unicode MS"/>
          <w:bdr w:val="nil"/>
        </w:rPr>
        <w:t>if</w:t>
      </w:r>
      <w:r w:rsidR="00F662B1" w:rsidRPr="00A35AE0">
        <w:rPr>
          <w:rFonts w:eastAsia="Arial Unicode MS"/>
          <w:bdr w:val="nil"/>
        </w:rPr>
        <w:t xml:space="preserve"> </w:t>
      </w:r>
      <w:r w:rsidR="001E1D12" w:rsidRPr="00A35AE0">
        <w:rPr>
          <w:rFonts w:eastAsia="Arial Unicode MS"/>
          <w:bdr w:val="nil"/>
        </w:rPr>
        <w:t xml:space="preserve">they were orphaned or destitute, </w:t>
      </w:r>
      <w:r w:rsidR="00F662B1">
        <w:rPr>
          <w:rFonts w:eastAsia="Arial Unicode MS"/>
          <w:bdr w:val="nil"/>
        </w:rPr>
        <w:t>or if</w:t>
      </w:r>
      <w:r w:rsidR="001E1D12" w:rsidRPr="00A35AE0">
        <w:rPr>
          <w:rFonts w:eastAsia="Arial Unicode MS"/>
          <w:bdr w:val="nil"/>
        </w:rPr>
        <w:t xml:space="preserve"> their parents were themselves imprisoned or </w:t>
      </w:r>
      <w:r w:rsidR="00F662B1">
        <w:rPr>
          <w:rFonts w:eastAsia="Arial Unicode MS"/>
          <w:bdr w:val="nil"/>
        </w:rPr>
        <w:t>unable to control them.</w:t>
      </w:r>
      <w:r w:rsidR="001E1D12" w:rsidRPr="00A35AE0">
        <w:rPr>
          <w:rFonts w:eastAsia="Arial Unicode MS"/>
          <w:bdr w:val="nil"/>
        </w:rPr>
        <w:t xml:space="preserve"> Child-protection measures introduced in the 1880s (the 1880 Industrial Schools Amendment Act and the 1885 Criminal Law Amendment Act) meant that children </w:t>
      </w:r>
      <w:r w:rsidR="00F662B1">
        <w:rPr>
          <w:rFonts w:eastAsia="Arial Unicode MS"/>
          <w:bdr w:val="nil"/>
        </w:rPr>
        <w:t>living in households linked</w:t>
      </w:r>
      <w:r w:rsidR="00F662B1" w:rsidRPr="00A35AE0">
        <w:rPr>
          <w:rFonts w:eastAsia="Arial Unicode MS"/>
          <w:bdr w:val="nil"/>
        </w:rPr>
        <w:t xml:space="preserve"> </w:t>
      </w:r>
      <w:r w:rsidR="001E1D12" w:rsidRPr="00A35AE0">
        <w:rPr>
          <w:rFonts w:eastAsia="Arial Unicode MS"/>
          <w:bdr w:val="nil"/>
        </w:rPr>
        <w:t xml:space="preserve">to the sex trade, notably those ‘found in houses used for immoral purposes’ could also be admitted to an industrial school (Davin, 1996: 163-4). As noted </w:t>
      </w:r>
      <w:r w:rsidR="00046AD1">
        <w:rPr>
          <w:rFonts w:eastAsia="Arial Unicode MS"/>
          <w:bdr w:val="nil"/>
        </w:rPr>
        <w:t xml:space="preserve">in our recent study of the longer term impacts of </w:t>
      </w:r>
      <w:r w:rsidR="00460291">
        <w:rPr>
          <w:rFonts w:eastAsia="Arial Unicode MS"/>
          <w:bdr w:val="nil"/>
        </w:rPr>
        <w:t>historical</w:t>
      </w:r>
      <w:r w:rsidR="00046AD1">
        <w:rPr>
          <w:rFonts w:eastAsia="Arial Unicode MS"/>
          <w:bdr w:val="nil"/>
        </w:rPr>
        <w:t xml:space="preserve"> juvenile in</w:t>
      </w:r>
      <w:r w:rsidR="00460291">
        <w:rPr>
          <w:rFonts w:eastAsia="Arial Unicode MS"/>
          <w:bdr w:val="nil"/>
        </w:rPr>
        <w:t>carceration</w:t>
      </w:r>
      <w:r w:rsidR="00046AD1" w:rsidRPr="00A35AE0">
        <w:rPr>
          <w:rFonts w:eastAsia="Arial Unicode MS"/>
          <w:bdr w:val="nil"/>
        </w:rPr>
        <w:t xml:space="preserve"> </w:t>
      </w:r>
      <w:r w:rsidR="00460291">
        <w:rPr>
          <w:rFonts w:eastAsia="Arial Unicode MS"/>
          <w:bdr w:val="nil"/>
        </w:rPr>
        <w:t>(</w:t>
      </w:r>
      <w:r w:rsidR="001E1D12" w:rsidRPr="00046AD1">
        <w:rPr>
          <w:rFonts w:eastAsia="Arial Unicode MS"/>
          <w:bdr w:val="nil"/>
        </w:rPr>
        <w:t>Godfrey</w:t>
      </w:r>
      <w:r w:rsidR="00046AD1" w:rsidRPr="00046AD1">
        <w:rPr>
          <w:rFonts w:eastAsia="Arial Unicode MS"/>
          <w:bdr w:val="nil"/>
        </w:rPr>
        <w:t>,</w:t>
      </w:r>
      <w:r w:rsidR="001E1D12" w:rsidRPr="00046AD1">
        <w:rPr>
          <w:rFonts w:eastAsia="Arial Unicode MS"/>
          <w:bdr w:val="nil"/>
        </w:rPr>
        <w:t xml:space="preserve"> </w:t>
      </w:r>
      <w:r w:rsidR="00046AD1" w:rsidRPr="00046AD1">
        <w:rPr>
          <w:rFonts w:eastAsia="Arial Unicode MS"/>
          <w:bdr w:val="nil"/>
        </w:rPr>
        <w:t>Cox, Shore and Alker</w:t>
      </w:r>
      <w:r w:rsidR="00460291">
        <w:rPr>
          <w:rFonts w:eastAsia="Arial Unicode MS"/>
          <w:i/>
          <w:bdr w:val="nil"/>
        </w:rPr>
        <w:t xml:space="preserve">, </w:t>
      </w:r>
      <w:r w:rsidR="001E1D12" w:rsidRPr="00A35AE0">
        <w:rPr>
          <w:rFonts w:eastAsia="Arial Unicode MS"/>
          <w:bdr w:val="nil"/>
        </w:rPr>
        <w:t>2017</w:t>
      </w:r>
      <w:r w:rsidR="00046AD1">
        <w:rPr>
          <w:rFonts w:eastAsia="Arial Unicode MS"/>
          <w:bdr w:val="nil"/>
        </w:rPr>
        <w:t>)</w:t>
      </w:r>
      <w:r w:rsidR="001E1D12" w:rsidRPr="00A35AE0">
        <w:rPr>
          <w:rFonts w:eastAsia="Arial Unicode MS"/>
          <w:bdr w:val="nil"/>
        </w:rPr>
        <w:t xml:space="preserve">, </w:t>
      </w:r>
      <w:r w:rsidR="004A0BEA">
        <w:rPr>
          <w:rFonts w:eastAsia="Arial Unicode MS"/>
          <w:bdr w:val="nil"/>
        </w:rPr>
        <w:t>i</w:t>
      </w:r>
      <w:r w:rsidR="001E1D12" w:rsidRPr="00A35AE0">
        <w:rPr>
          <w:rFonts w:eastAsia="Arial Unicode MS"/>
          <w:bdr w:val="nil"/>
        </w:rPr>
        <w:t>ndustrial and reformatory schools thus constituted the key custodial components of the emergent youth justice system</w:t>
      </w:r>
      <w:r w:rsidR="004569EB">
        <w:rPr>
          <w:rFonts w:eastAsia="Arial Unicode MS"/>
          <w:bdr w:val="nil"/>
        </w:rPr>
        <w:t xml:space="preserve"> </w:t>
      </w:r>
      <w:r w:rsidR="004A0BEA">
        <w:rPr>
          <w:rFonts w:eastAsia="Arial Unicode MS"/>
          <w:bdr w:val="nil"/>
        </w:rPr>
        <w:t>[and]</w:t>
      </w:r>
      <w:r w:rsidR="004569EB">
        <w:rPr>
          <w:rFonts w:eastAsia="Arial Unicode MS"/>
          <w:bdr w:val="nil"/>
        </w:rPr>
        <w:t xml:space="preserve"> </w:t>
      </w:r>
      <w:r w:rsidR="001E1D12" w:rsidRPr="00A35AE0">
        <w:rPr>
          <w:rFonts w:eastAsia="Arial Unicode MS"/>
          <w:bdr w:val="nil"/>
        </w:rPr>
        <w:t>incorporated</w:t>
      </w:r>
      <w:r w:rsidR="00460291">
        <w:rPr>
          <w:rFonts w:eastAsia="Arial Unicode MS"/>
          <w:bdr w:val="nil"/>
        </w:rPr>
        <w:t>, from the outset,</w:t>
      </w:r>
      <w:r w:rsidR="001E1D12" w:rsidRPr="00A35AE0">
        <w:rPr>
          <w:rFonts w:eastAsia="Arial Unicode MS"/>
          <w:bdr w:val="nil"/>
        </w:rPr>
        <w:t xml:space="preserve"> what later generations of criminologists would refer to as a ‘justice model’ (the punishment of deeds) </w:t>
      </w:r>
      <w:r w:rsidR="00460291">
        <w:rPr>
          <w:rFonts w:eastAsia="Arial Unicode MS"/>
          <w:bdr w:val="nil"/>
        </w:rPr>
        <w:t xml:space="preserve">with </w:t>
      </w:r>
      <w:r w:rsidR="001E1D12" w:rsidRPr="00A35AE0">
        <w:rPr>
          <w:rFonts w:eastAsia="Arial Unicode MS"/>
          <w:bdr w:val="nil"/>
        </w:rPr>
        <w:t xml:space="preserve">a ‘welfare model’ (the meeting of needs). Whereas approximately a thousand young people, mainly boys, were sent to reformatories each year </w:t>
      </w:r>
      <w:r w:rsidR="004A0BEA">
        <w:rPr>
          <w:rFonts w:eastAsia="Arial Unicode MS"/>
          <w:bdr w:val="nil"/>
        </w:rPr>
        <w:t>from the mid</w:t>
      </w:r>
      <w:r w:rsidR="001E1D12" w:rsidRPr="00A35AE0">
        <w:rPr>
          <w:rFonts w:eastAsia="Arial Unicode MS"/>
          <w:bdr w:val="nil"/>
        </w:rPr>
        <w:t xml:space="preserve"> nineteenth century, this was small beer compared to the tens of thousands of boys and girls sent to industrial schools throughout the country. Industrial schools received fewer than </w:t>
      </w:r>
      <w:r w:rsidR="004A0BEA">
        <w:rPr>
          <w:rFonts w:eastAsia="Arial Unicode MS"/>
          <w:bdr w:val="nil"/>
        </w:rPr>
        <w:t>5,000</w:t>
      </w:r>
      <w:r w:rsidR="001E1D12" w:rsidRPr="00A35AE0">
        <w:rPr>
          <w:rFonts w:eastAsia="Arial Unicode MS"/>
          <w:bdr w:val="nil"/>
        </w:rPr>
        <w:t xml:space="preserve"> children from the courts in 1870; but nearl</w:t>
      </w:r>
      <w:r w:rsidR="004569EB">
        <w:rPr>
          <w:rFonts w:eastAsia="Arial Unicode MS"/>
          <w:bdr w:val="nil"/>
        </w:rPr>
        <w:t xml:space="preserve">y </w:t>
      </w:r>
      <w:r w:rsidR="004A0BEA">
        <w:rPr>
          <w:rFonts w:eastAsia="Arial Unicode MS"/>
          <w:bdr w:val="nil"/>
        </w:rPr>
        <w:t>14,000</w:t>
      </w:r>
      <w:r w:rsidR="001E1D12" w:rsidRPr="00A35AE0">
        <w:rPr>
          <w:rFonts w:eastAsia="Arial Unicode MS"/>
          <w:bdr w:val="nil"/>
        </w:rPr>
        <w:t xml:space="preserve"> just ten years later, and almost </w:t>
      </w:r>
      <w:r w:rsidR="004A0BEA">
        <w:rPr>
          <w:rFonts w:eastAsia="Arial Unicode MS"/>
          <w:bdr w:val="nil"/>
        </w:rPr>
        <w:t>25,000</w:t>
      </w:r>
      <w:r w:rsidR="001E1D12" w:rsidRPr="00A35AE0">
        <w:rPr>
          <w:rFonts w:eastAsia="Arial Unicode MS"/>
          <w:bdr w:val="nil"/>
        </w:rPr>
        <w:t xml:space="preserve"> by 1890.</w:t>
      </w:r>
      <w:r w:rsidR="008C1CD2">
        <w:rPr>
          <w:rFonts w:eastAsia="Arial Unicode MS"/>
          <w:bdr w:val="nil"/>
        </w:rPr>
        <w:t xml:space="preserve"> This ‘great incarceration’ of children was thus driven by the expansion of the ‘welfare model’ dimension of the Victorian juvenile justice system but</w:t>
      </w:r>
      <w:r w:rsidR="00C22508">
        <w:rPr>
          <w:rFonts w:eastAsia="Arial Unicode MS"/>
          <w:bdr w:val="nil"/>
        </w:rPr>
        <w:t>, significantly,</w:t>
      </w:r>
      <w:r w:rsidR="0036198A">
        <w:rPr>
          <w:rFonts w:eastAsia="Arial Unicode MS"/>
          <w:bdr w:val="nil"/>
        </w:rPr>
        <w:t xml:space="preserve"> </w:t>
      </w:r>
      <w:r w:rsidR="008C1CD2">
        <w:rPr>
          <w:rFonts w:eastAsia="Arial Unicode MS"/>
          <w:bdr w:val="nil"/>
        </w:rPr>
        <w:t>would reach a peak by the turn of the twentieth century</w:t>
      </w:r>
      <w:r w:rsidR="00C22508">
        <w:rPr>
          <w:rFonts w:eastAsia="Arial Unicode MS"/>
          <w:bdr w:val="nil"/>
        </w:rPr>
        <w:t xml:space="preserve"> and decline thereafter.</w:t>
      </w:r>
    </w:p>
    <w:p w:rsidR="00B97B48" w:rsidRPr="00A35AE0" w:rsidRDefault="00B97B48" w:rsidP="0070005A">
      <w:pPr>
        <w:pBdr>
          <w:top w:val="nil"/>
          <w:left w:val="nil"/>
          <w:bottom w:val="nil"/>
          <w:right w:val="nil"/>
          <w:between w:val="nil"/>
          <w:bar w:val="nil"/>
        </w:pBdr>
        <w:spacing w:line="360" w:lineRule="auto"/>
        <w:jc w:val="both"/>
        <w:rPr>
          <w:rFonts w:eastAsia="Arial Unicode MS"/>
          <w:bdr w:val="nil"/>
        </w:rPr>
      </w:pPr>
    </w:p>
    <w:p w:rsidR="00FD17B0" w:rsidRPr="00A13534" w:rsidRDefault="00110C85" w:rsidP="0070005A">
      <w:pPr>
        <w:pBdr>
          <w:top w:val="nil"/>
          <w:left w:val="nil"/>
          <w:bottom w:val="nil"/>
          <w:right w:val="nil"/>
          <w:between w:val="nil"/>
          <w:bar w:val="nil"/>
        </w:pBdr>
        <w:spacing w:line="360" w:lineRule="auto"/>
        <w:jc w:val="both"/>
        <w:rPr>
          <w:rFonts w:eastAsia="Arial Unicode MS"/>
          <w:bdr w:val="nil"/>
          <w:lang w:val="en-US"/>
        </w:rPr>
      </w:pPr>
      <w:r>
        <w:rPr>
          <w:rFonts w:eastAsia="Arial Unicode MS"/>
          <w:bdr w:val="nil"/>
          <w:lang w:val="en-US"/>
        </w:rPr>
        <w:t>The treatment of o</w:t>
      </w:r>
      <w:r w:rsidR="00353E3A">
        <w:rPr>
          <w:rFonts w:eastAsia="Arial Unicode MS"/>
          <w:bdr w:val="nil"/>
          <w:lang w:val="en-US"/>
        </w:rPr>
        <w:t xml:space="preserve">lder youths </w:t>
      </w:r>
      <w:r>
        <w:rPr>
          <w:rFonts w:eastAsia="Arial Unicode MS"/>
          <w:bdr w:val="nil"/>
          <w:lang w:val="en-US"/>
        </w:rPr>
        <w:t xml:space="preserve">followed a different but connected path, with a focus on diverting them out of </w:t>
      </w:r>
      <w:r w:rsidR="00353E3A">
        <w:rPr>
          <w:rFonts w:eastAsia="Arial Unicode MS"/>
          <w:bdr w:val="nil"/>
          <w:lang w:val="en-US"/>
        </w:rPr>
        <w:t>adult prisons.</w:t>
      </w:r>
      <w:r w:rsidR="004569EB">
        <w:rPr>
          <w:rFonts w:eastAsia="Arial Unicode MS"/>
          <w:bdr w:val="nil"/>
          <w:lang w:val="en-US"/>
        </w:rPr>
        <w:t xml:space="preserve"> </w:t>
      </w:r>
      <w:r w:rsidR="00D0733C">
        <w:rPr>
          <w:rFonts w:eastAsia="Arial Unicode MS"/>
          <w:bdr w:val="nil"/>
        </w:rPr>
        <w:t>The</w:t>
      </w:r>
      <w:r w:rsidR="001E1D12" w:rsidRPr="00A35AE0">
        <w:rPr>
          <w:rFonts w:eastAsia="Arial Unicode MS"/>
          <w:bdr w:val="nil"/>
        </w:rPr>
        <w:t>1895</w:t>
      </w:r>
      <w:r w:rsidR="004569EB">
        <w:rPr>
          <w:rFonts w:eastAsia="Arial Unicode MS"/>
          <w:bdr w:val="nil"/>
        </w:rPr>
        <w:t xml:space="preserve"> </w:t>
      </w:r>
      <w:r w:rsidR="001E1D12" w:rsidRPr="00A35AE0">
        <w:rPr>
          <w:rFonts w:eastAsia="Arial Unicode MS"/>
          <w:bdr w:val="nil"/>
        </w:rPr>
        <w:t xml:space="preserve">Gladstone Committee proposed the introduction of </w:t>
      </w:r>
      <w:r w:rsidR="00353E3A">
        <w:rPr>
          <w:rFonts w:eastAsia="Arial Unicode MS"/>
          <w:bdr w:val="nil"/>
        </w:rPr>
        <w:t xml:space="preserve">new </w:t>
      </w:r>
      <w:r w:rsidR="001E1D12" w:rsidRPr="00A35AE0">
        <w:rPr>
          <w:rFonts w:eastAsia="Arial Unicode MS"/>
          <w:bdr w:val="nil"/>
        </w:rPr>
        <w:t xml:space="preserve">institutions </w:t>
      </w:r>
      <w:r w:rsidR="007E3DDC" w:rsidRPr="00A35AE0">
        <w:rPr>
          <w:rFonts w:eastAsia="Arial Unicode MS"/>
          <w:bdr w:val="nil"/>
        </w:rPr>
        <w:t xml:space="preserve">for sixteen to twenty-one-year-olds </w:t>
      </w:r>
      <w:r w:rsidR="001E1D12" w:rsidRPr="00A35AE0">
        <w:rPr>
          <w:rFonts w:eastAsia="Arial Unicode MS"/>
          <w:bdr w:val="nil"/>
        </w:rPr>
        <w:t xml:space="preserve">that would be ‘educational rather than punitive’, with a focus on routine, discipline and the enforcement of a strict internal authority </w:t>
      </w:r>
      <w:r w:rsidR="001E1D12" w:rsidRPr="00A35AE0">
        <w:rPr>
          <w:rFonts w:eastAsia="Arial Unicode MS"/>
          <w:bdr w:val="nil"/>
        </w:rPr>
        <w:lastRenderedPageBreak/>
        <w:t>(Departmental Committee on Prisons, 1895: 30-31; Fox, 1952: 329-31). Sir Evelyn Ruggles-</w:t>
      </w:r>
      <w:proofErr w:type="spellStart"/>
      <w:r w:rsidR="001E1D12" w:rsidRPr="00A35AE0">
        <w:rPr>
          <w:rFonts w:eastAsia="Arial Unicode MS"/>
          <w:bdr w:val="nil"/>
        </w:rPr>
        <w:t>Brise</w:t>
      </w:r>
      <w:proofErr w:type="spellEnd"/>
      <w:r w:rsidR="001E1D12" w:rsidRPr="00A35AE0">
        <w:rPr>
          <w:rFonts w:eastAsia="Arial Unicode MS"/>
          <w:bdr w:val="nil"/>
        </w:rPr>
        <w:t xml:space="preserve"> established the first of these institutions at Borstal Prison near Rochester, Kent, in 1902. The Prevention of Crime Act 1908 extended the Borstal system on a national basis, separated youths and adults out in the courts, and championed a system which was designed to reform children, provide them with skills they could take to the marketplace, and ensure that they saw the benefit of a strict regime. </w:t>
      </w:r>
      <w:r w:rsidR="008F4F86">
        <w:rPr>
          <w:rFonts w:eastAsia="Arial Unicode MS"/>
          <w:bdr w:val="nil"/>
        </w:rPr>
        <w:t>M</w:t>
      </w:r>
      <w:r w:rsidR="007E3DDC" w:rsidRPr="00A35AE0">
        <w:rPr>
          <w:rFonts w:eastAsia="Arial Unicode MS"/>
          <w:bdr w:val="nil"/>
        </w:rPr>
        <w:t xml:space="preserve">agistrates could still send a </w:t>
      </w:r>
      <w:r w:rsidR="0016239C">
        <w:rPr>
          <w:rFonts w:eastAsia="Arial Unicode MS"/>
          <w:bdr w:val="nil"/>
        </w:rPr>
        <w:t>young person</w:t>
      </w:r>
      <w:r w:rsidR="0016239C" w:rsidRPr="00A35AE0">
        <w:rPr>
          <w:rFonts w:eastAsia="Arial Unicode MS"/>
          <w:bdr w:val="nil"/>
        </w:rPr>
        <w:t xml:space="preserve"> </w:t>
      </w:r>
      <w:r w:rsidR="007E3DDC" w:rsidRPr="00A35AE0">
        <w:rPr>
          <w:rFonts w:eastAsia="Arial Unicode MS"/>
          <w:bdr w:val="nil"/>
        </w:rPr>
        <w:t>to prison</w:t>
      </w:r>
      <w:r w:rsidR="008F4F86">
        <w:rPr>
          <w:rFonts w:eastAsia="Arial Unicode MS"/>
          <w:bdr w:val="nil"/>
        </w:rPr>
        <w:t xml:space="preserve"> </w:t>
      </w:r>
      <w:r w:rsidR="00241A04">
        <w:rPr>
          <w:rFonts w:eastAsia="Arial Unicode MS"/>
          <w:bdr w:val="nil"/>
        </w:rPr>
        <w:t xml:space="preserve">in exceptional circumstances </w:t>
      </w:r>
      <w:r w:rsidR="007E3DDC" w:rsidRPr="00A35AE0">
        <w:rPr>
          <w:rFonts w:eastAsia="Arial Unicode MS"/>
          <w:bdr w:val="nil"/>
        </w:rPr>
        <w:t xml:space="preserve">although </w:t>
      </w:r>
      <w:r w:rsidR="001E1D12" w:rsidRPr="00A35AE0">
        <w:rPr>
          <w:rFonts w:eastAsia="Arial Unicode MS"/>
          <w:bdr w:val="nil"/>
        </w:rPr>
        <w:t xml:space="preserve">convicted </w:t>
      </w:r>
      <w:r w:rsidR="0017726D">
        <w:rPr>
          <w:rFonts w:eastAsia="Arial Unicode MS"/>
          <w:bdr w:val="nil"/>
        </w:rPr>
        <w:t xml:space="preserve">older </w:t>
      </w:r>
      <w:r w:rsidR="001E1D12" w:rsidRPr="00A35AE0">
        <w:rPr>
          <w:rFonts w:eastAsia="Arial Unicode MS"/>
          <w:bdr w:val="nil"/>
        </w:rPr>
        <w:t xml:space="preserve">youths were </w:t>
      </w:r>
      <w:r w:rsidR="008F4F86">
        <w:rPr>
          <w:rFonts w:eastAsia="Arial Unicode MS"/>
          <w:bdr w:val="nil"/>
        </w:rPr>
        <w:t xml:space="preserve">increasingly </w:t>
      </w:r>
      <w:r w:rsidR="001E1D12" w:rsidRPr="00A35AE0">
        <w:rPr>
          <w:rFonts w:eastAsia="Arial Unicode MS"/>
          <w:bdr w:val="nil"/>
        </w:rPr>
        <w:t>sent to</w:t>
      </w:r>
      <w:r w:rsidR="007E3DDC" w:rsidRPr="00A35AE0">
        <w:rPr>
          <w:rFonts w:eastAsia="Arial Unicode MS"/>
          <w:bdr w:val="nil"/>
        </w:rPr>
        <w:t xml:space="preserve"> </w:t>
      </w:r>
      <w:r w:rsidR="001E1D12" w:rsidRPr="00A35AE0">
        <w:rPr>
          <w:rFonts w:eastAsia="Arial Unicode MS"/>
          <w:bdr w:val="nil"/>
        </w:rPr>
        <w:t>reformator</w:t>
      </w:r>
      <w:r w:rsidR="007E3DDC" w:rsidRPr="00A35AE0">
        <w:rPr>
          <w:rFonts w:eastAsia="Arial Unicode MS"/>
          <w:bdr w:val="nil"/>
        </w:rPr>
        <w:t>ies</w:t>
      </w:r>
      <w:r w:rsidR="0017726D">
        <w:rPr>
          <w:rFonts w:eastAsia="Arial Unicode MS"/>
          <w:bdr w:val="nil"/>
        </w:rPr>
        <w:t xml:space="preserve"> </w:t>
      </w:r>
      <w:r w:rsidR="007E3DDC" w:rsidRPr="00A35AE0">
        <w:rPr>
          <w:rFonts w:eastAsia="Arial Unicode MS"/>
          <w:bdr w:val="nil"/>
        </w:rPr>
        <w:t>and</w:t>
      </w:r>
      <w:r w:rsidR="001E1D12" w:rsidRPr="00A35AE0">
        <w:rPr>
          <w:rFonts w:eastAsia="Arial Unicode MS"/>
          <w:bdr w:val="nil"/>
        </w:rPr>
        <w:t xml:space="preserve"> borstal</w:t>
      </w:r>
      <w:r w:rsidR="007E3DDC" w:rsidRPr="00A35AE0">
        <w:rPr>
          <w:rFonts w:eastAsia="Arial Unicode MS"/>
          <w:bdr w:val="nil"/>
        </w:rPr>
        <w:t>s</w:t>
      </w:r>
      <w:r w:rsidR="004569EB">
        <w:rPr>
          <w:rFonts w:eastAsia="Arial Unicode MS"/>
          <w:bdr w:val="nil"/>
        </w:rPr>
        <w:t xml:space="preserve"> (Godfrey </w:t>
      </w:r>
      <w:r w:rsidR="004569EB">
        <w:rPr>
          <w:rFonts w:eastAsia="Arial Unicode MS"/>
          <w:i/>
          <w:bdr w:val="nil"/>
        </w:rPr>
        <w:t>et al</w:t>
      </w:r>
      <w:r w:rsidR="004569EB">
        <w:rPr>
          <w:rFonts w:eastAsia="Arial Unicode MS"/>
          <w:bdr w:val="nil"/>
        </w:rPr>
        <w:t xml:space="preserve"> 2017)</w:t>
      </w:r>
      <w:r w:rsidR="001E1D12" w:rsidRPr="00A35AE0">
        <w:rPr>
          <w:rFonts w:eastAsia="Arial Unicode MS"/>
          <w:bdr w:val="nil"/>
        </w:rPr>
        <w:t xml:space="preserve">. </w:t>
      </w:r>
    </w:p>
    <w:p w:rsidR="003324CA" w:rsidRPr="00A35AE0" w:rsidRDefault="003324CA" w:rsidP="0070005A">
      <w:pPr>
        <w:pBdr>
          <w:top w:val="nil"/>
          <w:left w:val="nil"/>
          <w:bottom w:val="nil"/>
          <w:right w:val="nil"/>
          <w:between w:val="nil"/>
          <w:bar w:val="nil"/>
        </w:pBdr>
        <w:spacing w:line="360" w:lineRule="auto"/>
        <w:jc w:val="both"/>
        <w:rPr>
          <w:rFonts w:eastAsia="Arial Unicode MS"/>
          <w:bdr w:val="nil"/>
          <w:lang w:val="en-US"/>
        </w:rPr>
      </w:pPr>
    </w:p>
    <w:p w:rsidR="003324CA" w:rsidRPr="00A35AE0" w:rsidRDefault="000218E6" w:rsidP="0070005A">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 xml:space="preserve">The introduction of </w:t>
      </w:r>
      <w:r w:rsidR="005E5C31" w:rsidRPr="00A35AE0">
        <w:rPr>
          <w:rFonts w:eastAsia="Arial Unicode MS"/>
          <w:bdr w:val="nil"/>
          <w:lang w:val="en-US"/>
        </w:rPr>
        <w:t>reformatories</w:t>
      </w:r>
      <w:r w:rsidR="005E5C31">
        <w:rPr>
          <w:rFonts w:eastAsia="Arial Unicode MS"/>
          <w:bdr w:val="nil"/>
          <w:lang w:val="en-US"/>
        </w:rPr>
        <w:t>,</w:t>
      </w:r>
      <w:r w:rsidR="005E5C31" w:rsidRPr="00A35AE0">
        <w:rPr>
          <w:rFonts w:eastAsia="Arial Unicode MS"/>
          <w:bdr w:val="nil"/>
          <w:lang w:val="en-US"/>
        </w:rPr>
        <w:t xml:space="preserve"> industrial</w:t>
      </w:r>
      <w:r w:rsidRPr="00A35AE0">
        <w:rPr>
          <w:rFonts w:eastAsia="Arial Unicode MS"/>
          <w:bdr w:val="nil"/>
          <w:lang w:val="en-US"/>
        </w:rPr>
        <w:t xml:space="preserve"> schools </w:t>
      </w:r>
      <w:r w:rsidR="00353E3A">
        <w:rPr>
          <w:rFonts w:eastAsia="Arial Unicode MS"/>
          <w:bdr w:val="nil"/>
          <w:lang w:val="en-US"/>
        </w:rPr>
        <w:t xml:space="preserve">and </w:t>
      </w:r>
      <w:proofErr w:type="spellStart"/>
      <w:r w:rsidR="00353E3A">
        <w:rPr>
          <w:rFonts w:eastAsia="Arial Unicode MS"/>
          <w:bdr w:val="nil"/>
          <w:lang w:val="en-US"/>
        </w:rPr>
        <w:t>borstals</w:t>
      </w:r>
      <w:proofErr w:type="spellEnd"/>
      <w:r w:rsidR="00353E3A">
        <w:rPr>
          <w:rFonts w:eastAsia="Arial Unicode MS"/>
          <w:bdr w:val="nil"/>
          <w:lang w:val="en-US"/>
        </w:rPr>
        <w:t xml:space="preserve"> </w:t>
      </w:r>
      <w:r w:rsidRPr="00A35AE0">
        <w:rPr>
          <w:rFonts w:eastAsia="Arial Unicode MS"/>
          <w:bdr w:val="nil"/>
          <w:lang w:val="en-US"/>
        </w:rPr>
        <w:t>was</w:t>
      </w:r>
      <w:r w:rsidR="001B201B">
        <w:rPr>
          <w:rFonts w:eastAsia="Arial Unicode MS"/>
          <w:bdr w:val="nil"/>
          <w:lang w:val="en-US"/>
        </w:rPr>
        <w:t>,</w:t>
      </w:r>
      <w:r w:rsidRPr="00A35AE0">
        <w:rPr>
          <w:rFonts w:eastAsia="Arial Unicode MS"/>
          <w:bdr w:val="nil"/>
          <w:lang w:val="en-US"/>
        </w:rPr>
        <w:t xml:space="preserve"> </w:t>
      </w:r>
      <w:r w:rsidR="001B201B">
        <w:rPr>
          <w:rFonts w:eastAsia="Arial Unicode MS"/>
          <w:bdr w:val="nil"/>
          <w:lang w:val="en-US"/>
        </w:rPr>
        <w:t xml:space="preserve">therefore, </w:t>
      </w:r>
      <w:r w:rsidRPr="00A35AE0">
        <w:rPr>
          <w:rFonts w:eastAsia="Arial Unicode MS"/>
          <w:bdr w:val="nil"/>
          <w:lang w:val="en-US"/>
        </w:rPr>
        <w:t xml:space="preserve">both part of a net-widening process that </w:t>
      </w:r>
      <w:r w:rsidR="0016239C">
        <w:rPr>
          <w:rFonts w:eastAsia="Arial Unicode MS"/>
          <w:bdr w:val="nil"/>
          <w:lang w:val="en-US"/>
        </w:rPr>
        <w:t>brought</w:t>
      </w:r>
      <w:r w:rsidRPr="00A35AE0">
        <w:rPr>
          <w:rFonts w:eastAsia="Arial Unicode MS"/>
          <w:bdr w:val="nil"/>
          <w:lang w:val="en-US"/>
        </w:rPr>
        <w:t xml:space="preserve"> children</w:t>
      </w:r>
      <w:r w:rsidR="00353E3A">
        <w:rPr>
          <w:rFonts w:eastAsia="Arial Unicode MS"/>
          <w:bdr w:val="nil"/>
          <w:lang w:val="en-US"/>
        </w:rPr>
        <w:t xml:space="preserve">, young people and young adults </w:t>
      </w:r>
      <w:r w:rsidR="0016239C">
        <w:rPr>
          <w:rFonts w:eastAsia="Arial Unicode MS"/>
          <w:bdr w:val="nil"/>
          <w:lang w:val="en-US"/>
        </w:rPr>
        <w:t xml:space="preserve">into the </w:t>
      </w:r>
      <w:r w:rsidR="004569EB">
        <w:rPr>
          <w:rFonts w:eastAsia="Arial Unicode MS"/>
          <w:bdr w:val="nil"/>
          <w:lang w:val="en-US"/>
        </w:rPr>
        <w:t xml:space="preserve">‘care’ of the state </w:t>
      </w:r>
      <w:r w:rsidRPr="00A35AE0">
        <w:rPr>
          <w:rFonts w:eastAsia="Arial Unicode MS"/>
          <w:bdr w:val="nil"/>
          <w:lang w:val="en-US"/>
        </w:rPr>
        <w:t xml:space="preserve">who would otherwise not have been subject to any form of state action, but also prevented </w:t>
      </w:r>
      <w:r w:rsidR="00353E3A">
        <w:rPr>
          <w:rFonts w:eastAsia="Arial Unicode MS"/>
          <w:bdr w:val="nil"/>
          <w:lang w:val="en-US"/>
        </w:rPr>
        <w:t xml:space="preserve">them </w:t>
      </w:r>
      <w:r w:rsidRPr="00A35AE0">
        <w:rPr>
          <w:rFonts w:eastAsia="Arial Unicode MS"/>
          <w:bdr w:val="nil"/>
          <w:lang w:val="en-US"/>
        </w:rPr>
        <w:t xml:space="preserve">from </w:t>
      </w:r>
      <w:r w:rsidR="00B813FF" w:rsidRPr="00A35AE0">
        <w:rPr>
          <w:rFonts w:eastAsia="Arial Unicode MS"/>
          <w:bdr w:val="nil"/>
          <w:lang w:val="en-US"/>
        </w:rPr>
        <w:t xml:space="preserve">experiencing the full disciplinary </w:t>
      </w:r>
      <w:proofErr w:type="spellStart"/>
      <w:r w:rsidR="00B813FF" w:rsidRPr="00A35AE0">
        <w:rPr>
          <w:rFonts w:eastAsia="Arial Unicode MS"/>
          <w:bdr w:val="nil"/>
          <w:lang w:val="en-US"/>
        </w:rPr>
        <w:t>rigour</w:t>
      </w:r>
      <w:proofErr w:type="spellEnd"/>
      <w:r w:rsidR="00B813FF" w:rsidRPr="00A35AE0">
        <w:rPr>
          <w:rFonts w:eastAsia="Arial Unicode MS"/>
          <w:bdr w:val="nil"/>
          <w:lang w:val="en-US"/>
        </w:rPr>
        <w:t xml:space="preserve"> of </w:t>
      </w:r>
      <w:r w:rsidR="001B201B">
        <w:rPr>
          <w:rFonts w:eastAsia="Arial Unicode MS"/>
          <w:bdr w:val="nil"/>
          <w:lang w:val="en-US"/>
        </w:rPr>
        <w:t xml:space="preserve">adult </w:t>
      </w:r>
      <w:r w:rsidR="00B813FF" w:rsidRPr="00A35AE0">
        <w:rPr>
          <w:rFonts w:eastAsia="Arial Unicode MS"/>
          <w:bdr w:val="nil"/>
          <w:lang w:val="en-US"/>
        </w:rPr>
        <w:t>imprisonment</w:t>
      </w:r>
      <w:r w:rsidRPr="00A35AE0">
        <w:rPr>
          <w:rFonts w:eastAsia="Arial Unicode MS"/>
          <w:bdr w:val="nil"/>
          <w:lang w:val="en-US"/>
        </w:rPr>
        <w:t xml:space="preserve">. The establishment of this extensive </w:t>
      </w:r>
      <w:r w:rsidR="00353E3A">
        <w:rPr>
          <w:rFonts w:eastAsia="Arial Unicode MS"/>
          <w:bdr w:val="nil"/>
          <w:lang w:val="en-US"/>
        </w:rPr>
        <w:t>‘</w:t>
      </w:r>
      <w:r w:rsidRPr="00A35AE0">
        <w:rPr>
          <w:rFonts w:eastAsia="Arial Unicode MS"/>
          <w:bdr w:val="nil"/>
          <w:lang w:val="en-US"/>
        </w:rPr>
        <w:t>semi-carceral</w:t>
      </w:r>
      <w:r w:rsidR="00353E3A">
        <w:rPr>
          <w:rFonts w:eastAsia="Arial Unicode MS"/>
          <w:bdr w:val="nil"/>
          <w:lang w:val="en-US"/>
        </w:rPr>
        <w:t>’</w:t>
      </w:r>
      <w:r w:rsidRPr="00A35AE0">
        <w:rPr>
          <w:rFonts w:eastAsia="Arial Unicode MS"/>
          <w:bdr w:val="nil"/>
          <w:lang w:val="en-US"/>
        </w:rPr>
        <w:t xml:space="preserve"> </w:t>
      </w:r>
      <w:r w:rsidR="00353E3A">
        <w:rPr>
          <w:rFonts w:eastAsia="Arial Unicode MS"/>
          <w:bdr w:val="nil"/>
          <w:lang w:val="en-US"/>
        </w:rPr>
        <w:t xml:space="preserve">juvenile </w:t>
      </w:r>
      <w:r w:rsidRPr="00A35AE0">
        <w:rPr>
          <w:rFonts w:eastAsia="Arial Unicode MS"/>
          <w:bdr w:val="nil"/>
          <w:lang w:val="en-US"/>
        </w:rPr>
        <w:t xml:space="preserve">system </w:t>
      </w:r>
      <w:r w:rsidR="00353E3A">
        <w:rPr>
          <w:rFonts w:eastAsia="Arial Unicode MS"/>
          <w:bdr w:val="nil"/>
          <w:lang w:val="en-US"/>
        </w:rPr>
        <w:t xml:space="preserve">was </w:t>
      </w:r>
      <w:r w:rsidR="0016239C">
        <w:rPr>
          <w:rFonts w:eastAsia="Arial Unicode MS"/>
          <w:bdr w:val="nil"/>
          <w:lang w:val="en-US"/>
        </w:rPr>
        <w:t xml:space="preserve">very much </w:t>
      </w:r>
      <w:r w:rsidR="00693AEB">
        <w:rPr>
          <w:rFonts w:eastAsia="Arial Unicode MS"/>
          <w:bdr w:val="nil"/>
          <w:lang w:val="en-US"/>
        </w:rPr>
        <w:t xml:space="preserve">aligned with </w:t>
      </w:r>
      <w:r w:rsidR="00353E3A">
        <w:rPr>
          <w:rFonts w:eastAsia="Arial Unicode MS"/>
          <w:bdr w:val="nil"/>
          <w:lang w:val="en-US"/>
        </w:rPr>
        <w:t xml:space="preserve">rise of </w:t>
      </w:r>
      <w:r w:rsidR="00693AEB">
        <w:rPr>
          <w:rFonts w:eastAsia="Arial Unicode MS"/>
          <w:bdr w:val="nil"/>
          <w:lang w:val="en-US"/>
        </w:rPr>
        <w:t>the</w:t>
      </w:r>
      <w:r w:rsidR="0016239C">
        <w:rPr>
          <w:rFonts w:eastAsia="Arial Unicode MS"/>
          <w:bdr w:val="nil"/>
          <w:lang w:val="en-US"/>
        </w:rPr>
        <w:t xml:space="preserve"> positive penological practice</w:t>
      </w:r>
      <w:r w:rsidR="003A22F9">
        <w:rPr>
          <w:rFonts w:eastAsia="Arial Unicode MS"/>
          <w:bdr w:val="nil"/>
          <w:lang w:val="en-US"/>
        </w:rPr>
        <w:t xml:space="preserve"> outlined above</w:t>
      </w:r>
      <w:r w:rsidR="0016239C">
        <w:rPr>
          <w:rFonts w:eastAsia="Arial Unicode MS"/>
          <w:bdr w:val="nil"/>
          <w:lang w:val="en-US"/>
        </w:rPr>
        <w:t>.</w:t>
      </w:r>
      <w:r w:rsidRPr="00A35AE0">
        <w:rPr>
          <w:rFonts w:eastAsia="Arial Unicode MS"/>
          <w:bdr w:val="nil"/>
          <w:lang w:val="en-US"/>
        </w:rPr>
        <w:t xml:space="preserve"> </w:t>
      </w:r>
      <w:r w:rsidR="003A5D16">
        <w:rPr>
          <w:rFonts w:eastAsia="Arial Unicode MS"/>
          <w:bdr w:val="nil"/>
          <w:lang w:val="en-US"/>
        </w:rPr>
        <w:t>However, net</w:t>
      </w:r>
      <w:r w:rsidR="004569EB">
        <w:rPr>
          <w:rFonts w:eastAsia="Arial Unicode MS"/>
          <w:bdr w:val="nil"/>
          <w:lang w:val="en-US"/>
        </w:rPr>
        <w:t>-</w:t>
      </w:r>
      <w:r w:rsidR="003A5D16">
        <w:rPr>
          <w:rFonts w:eastAsia="Arial Unicode MS"/>
          <w:bdr w:val="nil"/>
          <w:lang w:val="en-US"/>
        </w:rPr>
        <w:t xml:space="preserve">widening </w:t>
      </w:r>
      <w:r w:rsidR="0006646C">
        <w:rPr>
          <w:rFonts w:eastAsia="Arial Unicode MS"/>
          <w:bdr w:val="nil"/>
          <w:lang w:val="en-US"/>
        </w:rPr>
        <w:t xml:space="preserve">had its limits. </w:t>
      </w:r>
      <w:r w:rsidR="00F663C7">
        <w:rPr>
          <w:rFonts w:eastAsia="Arial Unicode MS"/>
          <w:bdr w:val="nil"/>
          <w:lang w:val="en-US"/>
        </w:rPr>
        <w:t xml:space="preserve">Reform and industrial schools </w:t>
      </w:r>
      <w:r w:rsidR="0006646C">
        <w:rPr>
          <w:rFonts w:eastAsia="Arial Unicode MS"/>
          <w:bdr w:val="nil"/>
          <w:lang w:val="en-US"/>
        </w:rPr>
        <w:t>saw a collapse in admissions</w:t>
      </w:r>
      <w:r w:rsidR="00F663C7">
        <w:rPr>
          <w:rFonts w:eastAsia="Arial Unicode MS"/>
          <w:bdr w:val="nil"/>
          <w:lang w:val="en-US"/>
        </w:rPr>
        <w:t>,</w:t>
      </w:r>
      <w:r w:rsidR="0006646C">
        <w:rPr>
          <w:rFonts w:eastAsia="Arial Unicode MS"/>
          <w:bdr w:val="nil"/>
          <w:lang w:val="en-US"/>
        </w:rPr>
        <w:t xml:space="preserve"> and mass closures</w:t>
      </w:r>
      <w:r w:rsidR="00F663C7">
        <w:rPr>
          <w:rFonts w:eastAsia="Arial Unicode MS"/>
          <w:bdr w:val="nil"/>
          <w:lang w:val="en-US"/>
        </w:rPr>
        <w:t>,</w:t>
      </w:r>
      <w:r w:rsidR="004569EB" w:rsidRPr="004569EB">
        <w:rPr>
          <w:rFonts w:eastAsia="Arial Unicode MS"/>
          <w:bdr w:val="nil"/>
          <w:lang w:val="en-US"/>
        </w:rPr>
        <w:t xml:space="preserve"> </w:t>
      </w:r>
      <w:r w:rsidR="004569EB">
        <w:rPr>
          <w:rFonts w:eastAsia="Arial Unicode MS"/>
          <w:bdr w:val="nil"/>
          <w:lang w:val="en-US"/>
        </w:rPr>
        <w:t>in the early 1900s</w:t>
      </w:r>
      <w:r w:rsidR="00F663C7">
        <w:rPr>
          <w:rFonts w:eastAsia="Arial Unicode MS"/>
          <w:bdr w:val="nil"/>
          <w:lang w:val="en-US"/>
        </w:rPr>
        <w:t xml:space="preserve"> (as Fig 3 shows)</w:t>
      </w:r>
      <w:r w:rsidR="0006646C">
        <w:rPr>
          <w:rFonts w:eastAsia="Arial Unicode MS"/>
          <w:bdr w:val="nil"/>
          <w:lang w:val="en-US"/>
        </w:rPr>
        <w:t>.</w:t>
      </w:r>
      <w:r w:rsidR="00353E3A">
        <w:rPr>
          <w:rFonts w:eastAsia="Arial Unicode MS"/>
          <w:bdr w:val="nil"/>
          <w:lang w:val="en-US"/>
        </w:rPr>
        <w:t xml:space="preserve"> </w:t>
      </w:r>
    </w:p>
    <w:p w:rsidR="000218E6" w:rsidRPr="00A35AE0" w:rsidRDefault="000218E6" w:rsidP="0070005A">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 xml:space="preserve"> </w:t>
      </w:r>
    </w:p>
    <w:p w:rsidR="003324CA" w:rsidRDefault="00A02D94" w:rsidP="0070005A">
      <w:pPr>
        <w:pBdr>
          <w:top w:val="nil"/>
          <w:left w:val="nil"/>
          <w:bottom w:val="nil"/>
          <w:right w:val="nil"/>
          <w:between w:val="nil"/>
          <w:bar w:val="nil"/>
        </w:pBdr>
        <w:spacing w:line="360" w:lineRule="auto"/>
        <w:jc w:val="both"/>
        <w:rPr>
          <w:b/>
          <w:color w:val="000000" w:themeColor="text1"/>
        </w:rPr>
      </w:pPr>
      <w:r w:rsidRPr="00A35AE0">
        <w:rPr>
          <w:rFonts w:eastAsia="Arial Unicode MS"/>
          <w:b/>
          <w:bdr w:val="nil"/>
        </w:rPr>
        <w:t xml:space="preserve">Fig </w:t>
      </w:r>
      <w:r w:rsidR="00A13534">
        <w:rPr>
          <w:rFonts w:eastAsia="Arial Unicode MS"/>
          <w:b/>
          <w:bdr w:val="nil"/>
        </w:rPr>
        <w:t>3</w:t>
      </w:r>
      <w:r w:rsidRPr="00A35AE0">
        <w:rPr>
          <w:rFonts w:eastAsia="Arial Unicode MS"/>
          <w:b/>
          <w:bdr w:val="nil"/>
        </w:rPr>
        <w:t xml:space="preserve">: </w:t>
      </w:r>
      <w:r w:rsidR="00010A98">
        <w:rPr>
          <w:rFonts w:eastAsia="Arial Unicode MS"/>
          <w:b/>
          <w:bdr w:val="nil"/>
        </w:rPr>
        <w:t xml:space="preserve">Committals to </w:t>
      </w:r>
      <w:r w:rsidRPr="00A35AE0">
        <w:rPr>
          <w:rFonts w:eastAsia="Arial Unicode MS"/>
          <w:b/>
          <w:bdr w:val="nil"/>
        </w:rPr>
        <w:t>Reformator</w:t>
      </w:r>
      <w:r w:rsidR="00010A98">
        <w:rPr>
          <w:rFonts w:eastAsia="Arial Unicode MS"/>
          <w:b/>
          <w:bdr w:val="nil"/>
        </w:rPr>
        <w:t>ies</w:t>
      </w:r>
      <w:r w:rsidRPr="00A35AE0">
        <w:rPr>
          <w:rFonts w:eastAsia="Arial Unicode MS"/>
          <w:b/>
          <w:bdr w:val="nil"/>
        </w:rPr>
        <w:t>, Industrial School</w:t>
      </w:r>
      <w:r w:rsidR="00010A98">
        <w:rPr>
          <w:rFonts w:eastAsia="Arial Unicode MS"/>
          <w:b/>
          <w:bdr w:val="nil"/>
        </w:rPr>
        <w:t xml:space="preserve">s </w:t>
      </w:r>
      <w:r w:rsidRPr="00A35AE0">
        <w:rPr>
          <w:rFonts w:eastAsia="Arial Unicode MS"/>
          <w:b/>
          <w:bdr w:val="nil"/>
        </w:rPr>
        <w:t>and Borstal</w:t>
      </w:r>
      <w:r w:rsidR="00010A98">
        <w:rPr>
          <w:rFonts w:eastAsia="Arial Unicode MS"/>
          <w:b/>
          <w:bdr w:val="nil"/>
        </w:rPr>
        <w:t>s</w:t>
      </w:r>
      <w:r w:rsidRPr="00A35AE0">
        <w:rPr>
          <w:rFonts w:eastAsia="Arial Unicode MS"/>
          <w:b/>
          <w:bdr w:val="nil"/>
        </w:rPr>
        <w:t xml:space="preserve"> 1893-1927</w:t>
      </w:r>
      <w:r w:rsidR="00B813FF" w:rsidRPr="00A35AE0">
        <w:rPr>
          <w:rFonts w:eastAsia="Arial Unicode MS"/>
          <w:b/>
          <w:bdr w:val="nil"/>
        </w:rPr>
        <w:t xml:space="preserve"> </w:t>
      </w:r>
      <w:r w:rsidR="00E216E1" w:rsidRPr="00A35AE0">
        <w:rPr>
          <w:b/>
          <w:color w:val="000000" w:themeColor="text1"/>
        </w:rPr>
        <w:t>(</w:t>
      </w:r>
      <w:r w:rsidR="00E216E1">
        <w:rPr>
          <w:b/>
          <w:color w:val="000000" w:themeColor="text1"/>
        </w:rPr>
        <w:t xml:space="preserve">Figures taken from </w:t>
      </w:r>
      <w:r w:rsidR="00E216E1" w:rsidRPr="00A35AE0">
        <w:rPr>
          <w:b/>
          <w:color w:val="000000" w:themeColor="text1"/>
        </w:rPr>
        <w:t>Judicial Statistics, 1856-</w:t>
      </w:r>
      <w:r w:rsidR="00E216E1">
        <w:rPr>
          <w:b/>
          <w:color w:val="000000" w:themeColor="text1"/>
        </w:rPr>
        <w:t>1927</w:t>
      </w:r>
      <w:r w:rsidR="00E216E1" w:rsidRPr="00A35AE0">
        <w:rPr>
          <w:b/>
          <w:color w:val="000000" w:themeColor="text1"/>
        </w:rPr>
        <w:t>)</w:t>
      </w:r>
    </w:p>
    <w:p w:rsidR="00F24F1C" w:rsidRPr="00A35AE0" w:rsidRDefault="00F24F1C" w:rsidP="0070005A">
      <w:pPr>
        <w:pBdr>
          <w:top w:val="nil"/>
          <w:left w:val="nil"/>
          <w:bottom w:val="nil"/>
          <w:right w:val="nil"/>
          <w:between w:val="nil"/>
          <w:bar w:val="nil"/>
        </w:pBdr>
        <w:spacing w:line="360" w:lineRule="auto"/>
        <w:jc w:val="both"/>
        <w:rPr>
          <w:rFonts w:eastAsia="Arial Unicode MS"/>
          <w:b/>
          <w:bdr w:val="nil"/>
        </w:rPr>
      </w:pPr>
    </w:p>
    <w:p w:rsidR="00353E3A" w:rsidRPr="00252515" w:rsidRDefault="00A02D94" w:rsidP="0070005A">
      <w:pPr>
        <w:pBdr>
          <w:top w:val="nil"/>
          <w:left w:val="nil"/>
          <w:bottom w:val="nil"/>
          <w:right w:val="nil"/>
          <w:between w:val="nil"/>
          <w:bar w:val="nil"/>
        </w:pBdr>
        <w:spacing w:line="360" w:lineRule="auto"/>
        <w:jc w:val="both"/>
        <w:rPr>
          <w:rFonts w:eastAsia="Arial Unicode MS"/>
          <w:bdr w:val="nil"/>
        </w:rPr>
      </w:pPr>
      <w:r w:rsidRPr="00A35AE0">
        <w:rPr>
          <w:rFonts w:eastAsia="Arial Unicode MS"/>
          <w:noProof/>
          <w:bdr w:val="nil"/>
          <w:lang w:eastAsia="en-GB"/>
        </w:rPr>
        <w:drawing>
          <wp:inline distT="0" distB="0" distL="0" distR="0" wp14:anchorId="5A19851C" wp14:editId="20145FDC">
            <wp:extent cx="5208998" cy="2733040"/>
            <wp:effectExtent l="0" t="0" r="10795" b="10160"/>
            <wp:docPr id="3" name="Chart 3">
              <a:extLst xmlns:a="http://schemas.openxmlformats.org/drawingml/2006/main">
                <a:ext uri="{FF2B5EF4-FFF2-40B4-BE49-F238E27FC236}">
                  <a16:creationId xmlns:a16="http://schemas.microsoft.com/office/drawing/2014/main" id="{5F5BE062-2EC9-AD44-BDCB-65FC6E9EB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383D" w:rsidRPr="00A35AE0" w:rsidRDefault="00353E3A" w:rsidP="0070005A">
      <w:pPr>
        <w:pBdr>
          <w:top w:val="nil"/>
          <w:left w:val="nil"/>
          <w:bottom w:val="nil"/>
          <w:right w:val="nil"/>
          <w:between w:val="nil"/>
          <w:bar w:val="nil"/>
        </w:pBdr>
        <w:spacing w:line="360" w:lineRule="auto"/>
        <w:jc w:val="both"/>
        <w:rPr>
          <w:rFonts w:eastAsia="Arial Unicode MS"/>
          <w:bdr w:val="nil"/>
          <w:lang w:val="en-US"/>
        </w:rPr>
      </w:pPr>
      <w:r>
        <w:rPr>
          <w:rFonts w:eastAsia="Arial Unicode MS"/>
          <w:bdr w:val="nil"/>
          <w:lang w:val="en-US"/>
        </w:rPr>
        <w:t xml:space="preserve">Figure 3 clearly illustrates the scale of juvenile </w:t>
      </w:r>
      <w:proofErr w:type="spellStart"/>
      <w:r>
        <w:rPr>
          <w:rFonts w:eastAsia="Arial Unicode MS"/>
          <w:bdr w:val="nil"/>
          <w:lang w:val="en-US"/>
        </w:rPr>
        <w:t>decarceration</w:t>
      </w:r>
      <w:proofErr w:type="spellEnd"/>
      <w:r>
        <w:rPr>
          <w:rFonts w:eastAsia="Arial Unicode MS"/>
          <w:bdr w:val="nil"/>
          <w:lang w:val="en-US"/>
        </w:rPr>
        <w:t xml:space="preserve"> </w:t>
      </w:r>
      <w:r w:rsidR="0006646C">
        <w:rPr>
          <w:rFonts w:eastAsia="Arial Unicode MS"/>
          <w:bdr w:val="nil"/>
          <w:lang w:val="en-US"/>
        </w:rPr>
        <w:t>in this period</w:t>
      </w:r>
      <w:r>
        <w:rPr>
          <w:rFonts w:eastAsia="Arial Unicode MS"/>
          <w:bdr w:val="nil"/>
          <w:lang w:val="en-US"/>
        </w:rPr>
        <w:t xml:space="preserve">. </w:t>
      </w:r>
      <w:r w:rsidRPr="00A35AE0">
        <w:rPr>
          <w:rFonts w:eastAsia="Arial Unicode MS"/>
          <w:bdr w:val="nil"/>
          <w:lang w:val="en-US"/>
        </w:rPr>
        <w:t xml:space="preserve">The numbers of children and young people sent to reformatories and industrial schools </w:t>
      </w:r>
      <w:r>
        <w:rPr>
          <w:rFonts w:eastAsia="Arial Unicode MS"/>
          <w:bdr w:val="nil"/>
          <w:lang w:val="en-US"/>
        </w:rPr>
        <w:t>had risen</w:t>
      </w:r>
      <w:r w:rsidRPr="00A35AE0">
        <w:rPr>
          <w:rFonts w:eastAsia="Arial Unicode MS"/>
          <w:bdr w:val="nil"/>
          <w:lang w:val="en-US"/>
        </w:rPr>
        <w:t xml:space="preserve"> rapidly from </w:t>
      </w:r>
      <w:r w:rsidRPr="00A35AE0">
        <w:rPr>
          <w:rFonts w:eastAsia="Arial Unicode MS"/>
          <w:bdr w:val="nil"/>
          <w:lang w:val="en-US"/>
        </w:rPr>
        <w:lastRenderedPageBreak/>
        <w:t xml:space="preserve">the 1860s onwards, </w:t>
      </w:r>
      <w:r>
        <w:rPr>
          <w:rFonts w:eastAsia="Arial Unicode MS"/>
          <w:bdr w:val="nil"/>
          <w:lang w:val="en-US"/>
        </w:rPr>
        <w:t>and</w:t>
      </w:r>
      <w:r w:rsidRPr="00A35AE0">
        <w:rPr>
          <w:rFonts w:eastAsia="Arial Unicode MS"/>
          <w:bdr w:val="nil"/>
          <w:lang w:val="en-US"/>
        </w:rPr>
        <w:t xml:space="preserve">, unlike the adult prison population which peaked in 1879, continued to rise until the early 1900s. Very much like the adult prison population, </w:t>
      </w:r>
      <w:r>
        <w:rPr>
          <w:rFonts w:eastAsia="Arial Unicode MS"/>
          <w:bdr w:val="nil"/>
          <w:lang w:val="en-US"/>
        </w:rPr>
        <w:t xml:space="preserve">however, </w:t>
      </w:r>
      <w:r w:rsidRPr="00A35AE0">
        <w:rPr>
          <w:rFonts w:eastAsia="Arial Unicode MS"/>
          <w:bdr w:val="nil"/>
          <w:lang w:val="en-US"/>
        </w:rPr>
        <w:t xml:space="preserve">numbers then fell sharply after that point in a downward trend that also lasted until </w:t>
      </w:r>
      <w:r w:rsidR="002D7DF9">
        <w:rPr>
          <w:rFonts w:eastAsia="Arial Unicode MS"/>
          <w:bdr w:val="nil"/>
          <w:lang w:val="en-US"/>
        </w:rPr>
        <w:t>the Second World War</w:t>
      </w:r>
      <w:r w:rsidRPr="00A35AE0">
        <w:rPr>
          <w:rFonts w:eastAsia="Arial Unicode MS"/>
          <w:bdr w:val="nil"/>
          <w:lang w:val="en-US"/>
        </w:rPr>
        <w:t>.</w:t>
      </w:r>
      <w:r>
        <w:rPr>
          <w:rFonts w:eastAsia="Arial Unicode MS"/>
          <w:bdr w:val="nil"/>
          <w:lang w:val="en-US"/>
        </w:rPr>
        <w:t xml:space="preserve"> </w:t>
      </w:r>
      <w:r w:rsidR="003B64B5">
        <w:rPr>
          <w:rFonts w:eastAsia="Arial Unicode MS"/>
          <w:bdr w:val="nil"/>
          <w:lang w:val="en-US"/>
        </w:rPr>
        <w:t>Nearly 100 industrial schools closed in the 1910s and 20s</w:t>
      </w:r>
      <w:r w:rsidR="005B1E8E">
        <w:rPr>
          <w:rFonts w:eastAsia="Arial Unicode MS"/>
          <w:bdr w:val="nil"/>
          <w:lang w:val="en-US"/>
        </w:rPr>
        <w:t xml:space="preserve">. </w:t>
      </w:r>
      <w:r w:rsidR="003B64B5">
        <w:rPr>
          <w:rFonts w:eastAsia="Arial Unicode MS"/>
          <w:bdr w:val="nil"/>
          <w:lang w:val="en-US"/>
        </w:rPr>
        <w:t xml:space="preserve">How might we explain </w:t>
      </w:r>
      <w:r w:rsidR="005E5C31">
        <w:rPr>
          <w:rFonts w:eastAsia="Arial Unicode MS"/>
          <w:bdr w:val="nil"/>
          <w:lang w:val="en-US"/>
        </w:rPr>
        <w:t>this? The</w:t>
      </w:r>
      <w:r w:rsidR="00B20254" w:rsidRPr="00A35AE0">
        <w:rPr>
          <w:rFonts w:eastAsia="Arial Unicode MS"/>
          <w:bdr w:val="nil"/>
          <w:lang w:val="en-US"/>
        </w:rPr>
        <w:t xml:space="preserve"> establishment of better welfare-provision</w:t>
      </w:r>
      <w:r w:rsidR="00A3681F">
        <w:rPr>
          <w:rFonts w:eastAsia="Arial Unicode MS"/>
          <w:bdr w:val="nil"/>
          <w:lang w:val="en-US"/>
        </w:rPr>
        <w:t>, h</w:t>
      </w:r>
      <w:r w:rsidR="00B20254" w:rsidRPr="00A35AE0">
        <w:rPr>
          <w:rFonts w:eastAsia="Arial Unicode MS"/>
          <w:bdr w:val="nil"/>
          <w:lang w:val="en-US"/>
        </w:rPr>
        <w:t xml:space="preserve">igher real wages, smaller family sizes, state education and the gradual replacement of the poor law with new forms of social protections and income maintenance for the low paid and unemployed meant that fewer children were growing up in extreme poverty by the 1910s.  This arguably did more than anything else to reduce the demand for industrial school places. </w:t>
      </w:r>
      <w:r w:rsidR="00B20254" w:rsidRPr="00A35AE0">
        <w:rPr>
          <w:rFonts w:eastAsia="Arial Unicode MS"/>
          <w:bdr w:val="nil"/>
        </w:rPr>
        <w:t>R</w:t>
      </w:r>
      <w:r w:rsidR="000218E6" w:rsidRPr="00A35AE0">
        <w:rPr>
          <w:rFonts w:eastAsia="Arial Unicode MS"/>
          <w:bdr w:val="nil"/>
        </w:rPr>
        <w:t>eformatories experienced a similar</w:t>
      </w:r>
      <w:r w:rsidR="00F663C7">
        <w:rPr>
          <w:rFonts w:eastAsia="Arial Unicode MS"/>
          <w:bdr w:val="nil"/>
        </w:rPr>
        <w:t>,</w:t>
      </w:r>
      <w:r w:rsidR="000218E6" w:rsidRPr="00A35AE0">
        <w:rPr>
          <w:rFonts w:eastAsia="Arial Unicode MS"/>
          <w:bdr w:val="nil"/>
        </w:rPr>
        <w:t xml:space="preserve"> </w:t>
      </w:r>
      <w:r w:rsidR="00F663C7">
        <w:rPr>
          <w:rFonts w:eastAsia="Arial Unicode MS"/>
          <w:bdr w:val="nil"/>
        </w:rPr>
        <w:t>al</w:t>
      </w:r>
      <w:r w:rsidR="000218E6" w:rsidRPr="00A35AE0">
        <w:rPr>
          <w:rFonts w:eastAsia="Arial Unicode MS"/>
          <w:bdr w:val="nil"/>
        </w:rPr>
        <w:t>though less steep</w:t>
      </w:r>
      <w:r w:rsidR="00F663C7">
        <w:rPr>
          <w:rFonts w:eastAsia="Arial Unicode MS"/>
          <w:bdr w:val="nil"/>
        </w:rPr>
        <w:t>,</w:t>
      </w:r>
      <w:r w:rsidR="000218E6" w:rsidRPr="00A35AE0">
        <w:rPr>
          <w:rFonts w:eastAsia="Arial Unicode MS"/>
          <w:bdr w:val="nil"/>
        </w:rPr>
        <w:t xml:space="preserve"> decline (Cox, 2003; 80-82; 11-12; </w:t>
      </w:r>
      <w:proofErr w:type="spellStart"/>
      <w:r w:rsidR="000218E6" w:rsidRPr="00A35AE0">
        <w:rPr>
          <w:rFonts w:eastAsia="Arial Unicode MS"/>
          <w:bdr w:val="nil"/>
        </w:rPr>
        <w:t>Radzinowicz</w:t>
      </w:r>
      <w:proofErr w:type="spellEnd"/>
      <w:r w:rsidR="000218E6" w:rsidRPr="00A35AE0">
        <w:rPr>
          <w:rFonts w:eastAsia="Arial Unicode MS"/>
          <w:bdr w:val="nil"/>
        </w:rPr>
        <w:t xml:space="preserve"> and Hood, 1990: 182)</w:t>
      </w:r>
      <w:r w:rsidR="000218E6" w:rsidRPr="00A35AE0">
        <w:rPr>
          <w:rFonts w:eastAsia="Arial Unicode MS"/>
          <w:bdr w:val="nil"/>
          <w:lang w:val="en-US"/>
        </w:rPr>
        <w:t>.</w:t>
      </w:r>
      <w:r w:rsidR="000218E6" w:rsidRPr="00A35AE0">
        <w:rPr>
          <w:rFonts w:eastAsia="Arial Unicode MS"/>
          <w:bdr w:val="nil"/>
        </w:rPr>
        <w:t xml:space="preserve"> </w:t>
      </w:r>
      <w:r w:rsidR="00B20254" w:rsidRPr="00A35AE0">
        <w:rPr>
          <w:rFonts w:eastAsia="Arial Unicode MS"/>
          <w:bdr w:val="nil"/>
          <w:lang w:val="en-US"/>
        </w:rPr>
        <w:t xml:space="preserve">The vast network of </w:t>
      </w:r>
      <w:r w:rsidR="002D7DF9">
        <w:rPr>
          <w:rFonts w:eastAsia="Arial Unicode MS"/>
          <w:bdr w:val="nil"/>
          <w:lang w:val="en-US"/>
        </w:rPr>
        <w:t xml:space="preserve">wider statutory and </w:t>
      </w:r>
      <w:r w:rsidR="00B20254" w:rsidRPr="00A35AE0">
        <w:rPr>
          <w:rFonts w:eastAsia="Arial Unicode MS"/>
          <w:bdr w:val="nil"/>
          <w:lang w:val="en-US"/>
        </w:rPr>
        <w:t>charitable child saving institutions</w:t>
      </w:r>
      <w:r w:rsidR="002D7DF9">
        <w:rPr>
          <w:rFonts w:eastAsia="Arial Unicode MS"/>
          <w:bdr w:val="nil"/>
          <w:lang w:val="en-US"/>
        </w:rPr>
        <w:t xml:space="preserve"> </w:t>
      </w:r>
      <w:r w:rsidR="00B20254" w:rsidRPr="00A35AE0">
        <w:rPr>
          <w:rFonts w:eastAsia="Arial Unicode MS"/>
          <w:bdr w:val="nil"/>
          <w:lang w:val="en-US"/>
        </w:rPr>
        <w:t xml:space="preserve">was </w:t>
      </w:r>
      <w:r w:rsidR="002D7DF9">
        <w:rPr>
          <w:rFonts w:eastAsia="Arial Unicode MS"/>
          <w:bdr w:val="nil"/>
          <w:lang w:val="en-US"/>
        </w:rPr>
        <w:t xml:space="preserve">also </w:t>
      </w:r>
      <w:r w:rsidR="00B20254" w:rsidRPr="00A35AE0">
        <w:rPr>
          <w:rFonts w:eastAsia="Arial Unicode MS"/>
          <w:bdr w:val="nil"/>
          <w:lang w:val="en-US"/>
        </w:rPr>
        <w:t xml:space="preserve">scaled back </w:t>
      </w:r>
      <w:r w:rsidR="00A3681F">
        <w:rPr>
          <w:rFonts w:eastAsia="Arial Unicode MS"/>
          <w:bdr w:val="nil"/>
          <w:lang w:val="en-US"/>
        </w:rPr>
        <w:t>in the same period</w:t>
      </w:r>
      <w:r w:rsidR="002D7DF9">
        <w:rPr>
          <w:rFonts w:eastAsia="Arial Unicode MS"/>
          <w:bdr w:val="nil"/>
          <w:lang w:val="en-US"/>
        </w:rPr>
        <w:t xml:space="preserve">, although children’s homes run by both sectors remained a part of the welfare landscape </w:t>
      </w:r>
      <w:r w:rsidR="002D7DF9" w:rsidRPr="00F24F1C">
        <w:rPr>
          <w:rFonts w:eastAsia="Arial Unicode MS"/>
          <w:color w:val="000000" w:themeColor="text1"/>
          <w:bdr w:val="nil"/>
          <w:lang w:val="en-US"/>
        </w:rPr>
        <w:t>(</w:t>
      </w:r>
      <w:r w:rsidR="003B15A0" w:rsidRPr="00F24F1C">
        <w:rPr>
          <w:rFonts w:eastAsia="Arial Unicode MS"/>
          <w:color w:val="000000" w:themeColor="text1"/>
          <w:bdr w:val="nil"/>
          <w:lang w:val="en-US"/>
        </w:rPr>
        <w:t>Hendrick, 2003</w:t>
      </w:r>
      <w:r w:rsidR="002D7DF9" w:rsidRPr="00F24F1C">
        <w:rPr>
          <w:rFonts w:eastAsia="Arial Unicode MS"/>
          <w:color w:val="000000" w:themeColor="text1"/>
          <w:bdr w:val="nil"/>
          <w:lang w:val="en-US"/>
        </w:rPr>
        <w:t>).</w:t>
      </w:r>
      <w:r w:rsidR="00F466A4" w:rsidRPr="00F24F1C">
        <w:rPr>
          <w:rFonts w:eastAsia="Arial Unicode MS"/>
          <w:color w:val="000000" w:themeColor="text1"/>
          <w:bdr w:val="nil"/>
          <w:lang w:val="en-US"/>
        </w:rPr>
        <w:t xml:space="preserve"> </w:t>
      </w:r>
      <w:r w:rsidR="00A45707">
        <w:rPr>
          <w:rFonts w:eastAsia="Arial Unicode MS"/>
          <w:bdr w:val="nil"/>
          <w:lang w:val="en-US"/>
        </w:rPr>
        <w:t xml:space="preserve">As with the adult </w:t>
      </w:r>
      <w:proofErr w:type="spellStart"/>
      <w:r w:rsidR="00A45707">
        <w:rPr>
          <w:rFonts w:eastAsia="Arial Unicode MS"/>
          <w:bdr w:val="nil"/>
          <w:lang w:val="en-US"/>
        </w:rPr>
        <w:t>decarceral</w:t>
      </w:r>
      <w:proofErr w:type="spellEnd"/>
      <w:r w:rsidR="00A45707">
        <w:rPr>
          <w:rFonts w:eastAsia="Arial Unicode MS"/>
          <w:bdr w:val="nil"/>
          <w:lang w:val="en-US"/>
        </w:rPr>
        <w:t xml:space="preserve"> trends, the rise of community disposals played a significant part in keeping </w:t>
      </w:r>
      <w:r w:rsidR="00F663C7">
        <w:rPr>
          <w:rFonts w:eastAsia="Arial Unicode MS"/>
          <w:bdr w:val="nil"/>
          <w:lang w:val="en-US"/>
        </w:rPr>
        <w:t xml:space="preserve">young people </w:t>
      </w:r>
      <w:r w:rsidR="00A45707">
        <w:rPr>
          <w:rFonts w:eastAsia="Arial Unicode MS"/>
          <w:bdr w:val="nil"/>
          <w:lang w:val="en-US"/>
        </w:rPr>
        <w:t>out of custody</w:t>
      </w:r>
      <w:r w:rsidR="00F663C7">
        <w:rPr>
          <w:rFonts w:eastAsia="Arial Unicode MS"/>
          <w:bdr w:val="nil"/>
          <w:lang w:val="en-US"/>
        </w:rPr>
        <w:t xml:space="preserve">, for example </w:t>
      </w:r>
      <w:r w:rsidR="009B6B80">
        <w:rPr>
          <w:rFonts w:eastAsia="Arial Unicode MS"/>
          <w:bdr w:val="nil"/>
          <w:lang w:val="en-US"/>
        </w:rPr>
        <w:t xml:space="preserve">juvenile probation, recognizance and fines expanded in the 1910s and 20s. Birching </w:t>
      </w:r>
      <w:r w:rsidR="00F2025A">
        <w:rPr>
          <w:rFonts w:eastAsia="Arial Unicode MS"/>
          <w:bdr w:val="nil"/>
          <w:lang w:val="en-US"/>
        </w:rPr>
        <w:t xml:space="preserve">(or corporal punishment) </w:t>
      </w:r>
      <w:r w:rsidR="009B6B80">
        <w:rPr>
          <w:rFonts w:eastAsia="Arial Unicode MS"/>
          <w:bdr w:val="nil"/>
          <w:lang w:val="en-US"/>
        </w:rPr>
        <w:t xml:space="preserve">remained an option </w:t>
      </w:r>
      <w:r w:rsidR="00F2025A">
        <w:rPr>
          <w:rFonts w:eastAsia="Arial Unicode MS"/>
          <w:bdr w:val="nil"/>
          <w:lang w:val="en-US"/>
        </w:rPr>
        <w:t xml:space="preserve">for boys </w:t>
      </w:r>
      <w:r w:rsidR="009B6B80">
        <w:rPr>
          <w:rFonts w:eastAsia="Arial Unicode MS"/>
          <w:bdr w:val="nil"/>
          <w:lang w:val="en-US"/>
        </w:rPr>
        <w:t>but was less routinely used and was banned</w:t>
      </w:r>
      <w:r w:rsidR="00F2025A">
        <w:rPr>
          <w:rFonts w:eastAsia="Arial Unicode MS"/>
          <w:bdr w:val="nil"/>
          <w:lang w:val="en-US"/>
        </w:rPr>
        <w:t xml:space="preserve"> </w:t>
      </w:r>
      <w:r w:rsidR="009B6B80">
        <w:rPr>
          <w:rFonts w:eastAsia="Arial Unicode MS"/>
          <w:bdr w:val="nil"/>
          <w:lang w:val="en-US"/>
        </w:rPr>
        <w:t xml:space="preserve">in 1948. </w:t>
      </w:r>
      <w:r w:rsidR="00A02D94" w:rsidRPr="00A35AE0">
        <w:rPr>
          <w:rFonts w:eastAsia="Arial Unicode MS"/>
          <w:bdr w:val="nil"/>
          <w:lang w:val="en-US"/>
        </w:rPr>
        <w:t xml:space="preserve">The combined effect of these factors produced a dramatic change in the youth justice landscape, and their later amalgamation with reformatory schools under the 1933 Children Act within new streamlined ‘approved schools’. </w:t>
      </w:r>
      <w:r w:rsidR="0038773B" w:rsidRPr="00A35AE0">
        <w:rPr>
          <w:rFonts w:eastAsia="Arial Unicode MS"/>
          <w:bdr w:val="nil"/>
        </w:rPr>
        <w:t>During</w:t>
      </w:r>
      <w:r w:rsidR="003F062B" w:rsidRPr="00A35AE0">
        <w:rPr>
          <w:rFonts w:eastAsia="Arial Unicode MS"/>
          <w:bdr w:val="nil"/>
        </w:rPr>
        <w:t xml:space="preserve"> the 1930s, when the population of England and Wales reached over 40 million, only a few hundred children were being sent to </w:t>
      </w:r>
      <w:r w:rsidR="00545482" w:rsidRPr="00A35AE0">
        <w:rPr>
          <w:rFonts w:eastAsia="Arial Unicode MS"/>
          <w:bdr w:val="nil"/>
        </w:rPr>
        <w:t xml:space="preserve">some form of </w:t>
      </w:r>
      <w:r w:rsidR="005B1E8E">
        <w:rPr>
          <w:rFonts w:eastAsia="Arial Unicode MS"/>
          <w:bdr w:val="nil"/>
        </w:rPr>
        <w:t xml:space="preserve">juvenile justice </w:t>
      </w:r>
      <w:r w:rsidR="00545482" w:rsidRPr="00A35AE0">
        <w:rPr>
          <w:rFonts w:eastAsia="Arial Unicode MS"/>
          <w:bdr w:val="nil"/>
        </w:rPr>
        <w:t xml:space="preserve">detention </w:t>
      </w:r>
      <w:r w:rsidR="0038773B" w:rsidRPr="00A35AE0">
        <w:rPr>
          <w:rFonts w:eastAsia="Arial Unicode MS"/>
          <w:bdr w:val="nil"/>
        </w:rPr>
        <w:t>each year</w:t>
      </w:r>
      <w:r w:rsidR="003F062B" w:rsidRPr="00A35AE0">
        <w:rPr>
          <w:rFonts w:eastAsia="Arial Unicode MS"/>
          <w:bdr w:val="nil"/>
        </w:rPr>
        <w:t xml:space="preserve">. </w:t>
      </w:r>
      <w:r w:rsidR="00FA68DE" w:rsidRPr="00A35AE0">
        <w:rPr>
          <w:rFonts w:eastAsia="Arial Unicode MS"/>
          <w:bdr w:val="nil"/>
          <w:lang w:val="en-US"/>
        </w:rPr>
        <w:t>This would all change</w:t>
      </w:r>
      <w:r w:rsidR="00F466A4">
        <w:rPr>
          <w:rFonts w:eastAsia="Arial Unicode MS"/>
          <w:bdr w:val="nil"/>
          <w:lang w:val="en-US"/>
        </w:rPr>
        <w:t>, however,</w:t>
      </w:r>
      <w:r w:rsidR="00FA68DE" w:rsidRPr="00A35AE0">
        <w:rPr>
          <w:rFonts w:eastAsia="Arial Unicode MS"/>
          <w:bdr w:val="nil"/>
          <w:lang w:val="en-US"/>
        </w:rPr>
        <w:t xml:space="preserve"> after </w:t>
      </w:r>
      <w:r w:rsidR="008C200F">
        <w:rPr>
          <w:rFonts w:eastAsia="Arial Unicode MS"/>
          <w:bdr w:val="nil"/>
          <w:lang w:val="en-US"/>
        </w:rPr>
        <w:t>the Second World War</w:t>
      </w:r>
      <w:r w:rsidR="00F466A4">
        <w:rPr>
          <w:rFonts w:eastAsia="Arial Unicode MS"/>
          <w:bdr w:val="nil"/>
          <w:lang w:val="en-US"/>
        </w:rPr>
        <w:t>.</w:t>
      </w:r>
    </w:p>
    <w:p w:rsidR="00367C1A" w:rsidRPr="00A35AE0" w:rsidRDefault="00367C1A" w:rsidP="0070005A">
      <w:pPr>
        <w:pBdr>
          <w:top w:val="nil"/>
          <w:left w:val="nil"/>
          <w:bottom w:val="nil"/>
          <w:right w:val="nil"/>
          <w:between w:val="nil"/>
          <w:bar w:val="nil"/>
        </w:pBdr>
        <w:spacing w:line="360" w:lineRule="auto"/>
        <w:jc w:val="both"/>
        <w:rPr>
          <w:rFonts w:eastAsia="Arial Unicode MS"/>
          <w:bdr w:val="nil"/>
          <w:lang w:val="en-US"/>
        </w:rPr>
      </w:pPr>
    </w:p>
    <w:p w:rsidR="008C200F" w:rsidRPr="00A35AE0" w:rsidRDefault="008C200F" w:rsidP="008C200F">
      <w:pPr>
        <w:autoSpaceDE w:val="0"/>
        <w:autoSpaceDN w:val="0"/>
        <w:adjustRightInd w:val="0"/>
        <w:spacing w:line="360" w:lineRule="auto"/>
        <w:jc w:val="both"/>
      </w:pPr>
      <w:r w:rsidRPr="00A35AE0">
        <w:rPr>
          <w:b/>
          <w:color w:val="000000" w:themeColor="text1"/>
        </w:rPr>
        <w:t xml:space="preserve">Trends in Youth Incarceration </w:t>
      </w:r>
      <w:r>
        <w:rPr>
          <w:rFonts w:eastAsia="MS Mincho"/>
          <w:b/>
          <w:color w:val="000000" w:themeColor="text1"/>
        </w:rPr>
        <w:t xml:space="preserve">and </w:t>
      </w:r>
      <w:proofErr w:type="spellStart"/>
      <w:r>
        <w:rPr>
          <w:rFonts w:eastAsia="MS Mincho"/>
          <w:b/>
          <w:color w:val="000000" w:themeColor="text1"/>
        </w:rPr>
        <w:t>Decarceration</w:t>
      </w:r>
      <w:proofErr w:type="spellEnd"/>
      <w:r>
        <w:rPr>
          <w:rFonts w:eastAsia="MS Mincho"/>
          <w:b/>
          <w:color w:val="000000" w:themeColor="text1"/>
        </w:rPr>
        <w:t>, 1945</w:t>
      </w:r>
      <w:r w:rsidRPr="00A35AE0">
        <w:rPr>
          <w:rFonts w:eastAsia="MS Mincho"/>
          <w:b/>
          <w:color w:val="000000" w:themeColor="text1"/>
        </w:rPr>
        <w:t xml:space="preserve"> to </w:t>
      </w:r>
      <w:r>
        <w:rPr>
          <w:rFonts w:eastAsia="MS Mincho"/>
          <w:b/>
          <w:color w:val="000000" w:themeColor="text1"/>
        </w:rPr>
        <w:t>the present</w:t>
      </w:r>
    </w:p>
    <w:p w:rsidR="00367C1A" w:rsidRPr="00A35AE0" w:rsidRDefault="00367C1A" w:rsidP="0070005A">
      <w:pPr>
        <w:pBdr>
          <w:top w:val="nil"/>
          <w:left w:val="nil"/>
          <w:bottom w:val="nil"/>
          <w:right w:val="nil"/>
          <w:between w:val="nil"/>
          <w:bar w:val="nil"/>
        </w:pBdr>
        <w:spacing w:line="360" w:lineRule="auto"/>
        <w:jc w:val="both"/>
        <w:rPr>
          <w:rFonts w:eastAsia="Arial Unicode MS"/>
          <w:color w:val="C00000"/>
          <w:bdr w:val="nil"/>
        </w:rPr>
      </w:pPr>
    </w:p>
    <w:p w:rsidR="000117C0" w:rsidRPr="00A35AE0" w:rsidRDefault="00B024F1" w:rsidP="0070005A">
      <w:pPr>
        <w:spacing w:line="360" w:lineRule="auto"/>
        <w:jc w:val="both"/>
        <w:rPr>
          <w:rFonts w:eastAsia="Arial Unicode MS"/>
          <w:bdr w:val="nil"/>
        </w:rPr>
      </w:pPr>
      <w:r>
        <w:rPr>
          <w:rFonts w:eastAsia="Arial Unicode MS"/>
          <w:bdr w:val="nil"/>
        </w:rPr>
        <w:t>W</w:t>
      </w:r>
      <w:r w:rsidR="00A02D94" w:rsidRPr="00A35AE0">
        <w:rPr>
          <w:rFonts w:eastAsia="Arial Unicode MS"/>
          <w:bdr w:val="nil"/>
        </w:rPr>
        <w:t xml:space="preserve">artime conditions were conducive to a growth in youth crime </w:t>
      </w:r>
      <w:r>
        <w:rPr>
          <w:rFonts w:eastAsia="Arial Unicode MS"/>
          <w:bdr w:val="nil"/>
        </w:rPr>
        <w:t xml:space="preserve">for a number of reasons, </w:t>
      </w:r>
      <w:r w:rsidR="005E5C31">
        <w:rPr>
          <w:rFonts w:eastAsia="Arial Unicode MS"/>
          <w:bdr w:val="nil"/>
        </w:rPr>
        <w:t>including</w:t>
      </w:r>
      <w:r w:rsidR="005E5C31" w:rsidRPr="00A35AE0">
        <w:rPr>
          <w:rFonts w:eastAsia="Arial Unicode MS"/>
          <w:bdr w:val="nil"/>
        </w:rPr>
        <w:t xml:space="preserve"> reduced</w:t>
      </w:r>
      <w:r w:rsidR="00A02D94" w:rsidRPr="00A35AE0">
        <w:rPr>
          <w:rFonts w:eastAsia="Arial Unicode MS"/>
          <w:bdr w:val="nil"/>
        </w:rPr>
        <w:t xml:space="preserve"> surveillance and social control over children</w:t>
      </w:r>
      <w:r>
        <w:rPr>
          <w:rFonts w:eastAsia="Arial Unicode MS"/>
          <w:bdr w:val="nil"/>
        </w:rPr>
        <w:t xml:space="preserve"> and increased</w:t>
      </w:r>
      <w:r w:rsidR="00A02D94" w:rsidRPr="00A35AE0">
        <w:rPr>
          <w:rFonts w:eastAsia="Arial Unicode MS"/>
          <w:bdr w:val="nil"/>
        </w:rPr>
        <w:t xml:space="preserve"> opportunities </w:t>
      </w:r>
      <w:r w:rsidR="005E5C31">
        <w:rPr>
          <w:rFonts w:eastAsia="Arial Unicode MS"/>
          <w:bdr w:val="nil"/>
        </w:rPr>
        <w:t>for looting</w:t>
      </w:r>
      <w:r w:rsidR="00A02D94" w:rsidRPr="00A35AE0">
        <w:rPr>
          <w:rFonts w:eastAsia="Arial Unicode MS"/>
          <w:bdr w:val="nil"/>
        </w:rPr>
        <w:t>, scavenging, mischief, and criminal damage</w:t>
      </w:r>
      <w:r>
        <w:rPr>
          <w:rFonts w:eastAsia="Arial Unicode MS"/>
          <w:bdr w:val="nil"/>
        </w:rPr>
        <w:t xml:space="preserve"> (</w:t>
      </w:r>
      <w:r w:rsidRPr="00A35AE0">
        <w:rPr>
          <w:rFonts w:eastAsia="Arial Unicode MS"/>
          <w:bdr w:val="nil"/>
        </w:rPr>
        <w:t>Adey</w:t>
      </w:r>
      <w:r w:rsidR="005C7654">
        <w:rPr>
          <w:rFonts w:eastAsia="Arial Unicode MS"/>
          <w:bdr w:val="nil"/>
        </w:rPr>
        <w:t>, Godfrey and Cox</w:t>
      </w:r>
      <w:r>
        <w:rPr>
          <w:rFonts w:eastAsia="Arial Unicode MS"/>
          <w:bdr w:val="nil"/>
        </w:rPr>
        <w:t xml:space="preserve">, </w:t>
      </w:r>
      <w:r w:rsidRPr="00A35AE0">
        <w:rPr>
          <w:rFonts w:eastAsia="Arial Unicode MS"/>
          <w:bdr w:val="nil"/>
        </w:rPr>
        <w:t>201</w:t>
      </w:r>
      <w:r w:rsidR="005A1030">
        <w:rPr>
          <w:rFonts w:eastAsia="Arial Unicode MS"/>
          <w:bdr w:val="nil"/>
        </w:rPr>
        <w:t>6</w:t>
      </w:r>
      <w:r>
        <w:rPr>
          <w:rFonts w:eastAsia="Arial Unicode MS"/>
          <w:bdr w:val="nil"/>
        </w:rPr>
        <w:t xml:space="preserve">; Emsley, 2011; </w:t>
      </w:r>
      <w:r w:rsidRPr="00A35AE0">
        <w:rPr>
          <w:rFonts w:eastAsia="Arial Unicode MS"/>
          <w:bdr w:val="nil"/>
        </w:rPr>
        <w:t xml:space="preserve">and </w:t>
      </w:r>
      <w:r>
        <w:rPr>
          <w:rFonts w:eastAsia="Arial Unicode MS"/>
          <w:color w:val="000000" w:themeColor="text1"/>
          <w:bdr w:val="nil"/>
        </w:rPr>
        <w:t xml:space="preserve">Smithies, </w:t>
      </w:r>
      <w:r w:rsidRPr="00A35AE0">
        <w:rPr>
          <w:rFonts w:eastAsia="Arial Unicode MS"/>
          <w:color w:val="000000" w:themeColor="text1"/>
          <w:bdr w:val="nil"/>
        </w:rPr>
        <w:t>1982</w:t>
      </w:r>
      <w:r w:rsidRPr="00A35AE0">
        <w:rPr>
          <w:rFonts w:eastAsia="Arial Unicode MS"/>
          <w:bdr w:val="nil"/>
        </w:rPr>
        <w:t>)</w:t>
      </w:r>
      <w:r>
        <w:rPr>
          <w:rFonts w:eastAsia="Arial Unicode MS"/>
          <w:color w:val="000000" w:themeColor="text1"/>
          <w:bdr w:val="nil"/>
        </w:rPr>
        <w:t>.</w:t>
      </w:r>
      <w:r w:rsidR="00F663C7">
        <w:rPr>
          <w:rFonts w:eastAsia="Arial Unicode MS"/>
          <w:color w:val="000000" w:themeColor="text1"/>
          <w:bdr w:val="nil"/>
        </w:rPr>
        <w:t xml:space="preserve"> After the war ended, young men in their twenties seemed to dominate </w:t>
      </w:r>
      <w:r w:rsidR="005B1E8E">
        <w:rPr>
          <w:rFonts w:eastAsia="Arial Unicode MS"/>
          <w:color w:val="000000" w:themeColor="text1"/>
          <w:bdr w:val="nil"/>
        </w:rPr>
        <w:t xml:space="preserve">prosecutions for </w:t>
      </w:r>
      <w:r w:rsidR="00F663C7">
        <w:rPr>
          <w:rFonts w:eastAsia="Arial Unicode MS"/>
          <w:color w:val="000000" w:themeColor="text1"/>
          <w:bdr w:val="nil"/>
        </w:rPr>
        <w:t>robbery and violent crime (</w:t>
      </w:r>
      <w:r w:rsidR="00F663C7" w:rsidRPr="00A35AE0">
        <w:rPr>
          <w:color w:val="000000" w:themeColor="text1"/>
        </w:rPr>
        <w:t>Meier</w:t>
      </w:r>
      <w:r w:rsidR="00272E45">
        <w:rPr>
          <w:color w:val="000000" w:themeColor="text1"/>
        </w:rPr>
        <w:t>,</w:t>
      </w:r>
      <w:r w:rsidR="00F663C7" w:rsidRPr="00A35AE0">
        <w:rPr>
          <w:color w:val="000000" w:themeColor="text1"/>
        </w:rPr>
        <w:t xml:space="preserve"> 2011</w:t>
      </w:r>
      <w:r w:rsidR="0088154E">
        <w:rPr>
          <w:color w:val="000000" w:themeColor="text1"/>
        </w:rPr>
        <w:t>; Hale, 1999</w:t>
      </w:r>
      <w:r w:rsidR="00F663C7">
        <w:rPr>
          <w:color w:val="000000" w:themeColor="text1"/>
        </w:rPr>
        <w:t xml:space="preserve">). </w:t>
      </w:r>
      <w:r w:rsidR="00A02D94" w:rsidRPr="00A35AE0">
        <w:rPr>
          <w:rFonts w:eastAsia="Arial Unicode MS"/>
          <w:bdr w:val="nil"/>
          <w:lang w:val="en-US"/>
        </w:rPr>
        <w:t xml:space="preserve">Concern about </w:t>
      </w:r>
      <w:r w:rsidR="005A2A25" w:rsidRPr="00A35AE0">
        <w:rPr>
          <w:rFonts w:eastAsia="Arial Unicode MS"/>
          <w:bdr w:val="nil"/>
          <w:lang w:val="en-US"/>
        </w:rPr>
        <w:t xml:space="preserve">a perceived rising tide of </w:t>
      </w:r>
      <w:r w:rsidR="005B1E8E">
        <w:rPr>
          <w:rFonts w:eastAsia="Arial Unicode MS"/>
          <w:bdr w:val="nil"/>
          <w:lang w:val="en-US"/>
        </w:rPr>
        <w:t>youth and young adult offending</w:t>
      </w:r>
      <w:r w:rsidR="00E47237" w:rsidRPr="00A35AE0">
        <w:rPr>
          <w:rFonts w:eastAsia="Arial Unicode MS"/>
          <w:bdr w:val="nil"/>
          <w:lang w:val="en-US"/>
        </w:rPr>
        <w:t xml:space="preserve"> </w:t>
      </w:r>
      <w:r w:rsidR="005B1E8E">
        <w:rPr>
          <w:rFonts w:eastAsia="Arial Unicode MS"/>
          <w:bdr w:val="nil"/>
          <w:lang w:val="en-US"/>
        </w:rPr>
        <w:t>prompted</w:t>
      </w:r>
      <w:r w:rsidR="00E47237" w:rsidRPr="00A35AE0">
        <w:rPr>
          <w:rFonts w:eastAsia="Arial Unicode MS"/>
          <w:bdr w:val="nil"/>
          <w:lang w:val="en-US"/>
        </w:rPr>
        <w:t xml:space="preserve"> </w:t>
      </w:r>
      <w:r w:rsidR="005E5C31" w:rsidRPr="00A35AE0">
        <w:rPr>
          <w:rFonts w:eastAsia="Arial Unicode MS"/>
          <w:bdr w:val="nil"/>
          <w:lang w:val="en-US"/>
        </w:rPr>
        <w:t>a</w:t>
      </w:r>
      <w:r w:rsidR="00E47237" w:rsidRPr="00A35AE0">
        <w:rPr>
          <w:rFonts w:eastAsia="Arial Unicode MS"/>
          <w:bdr w:val="nil"/>
          <w:lang w:val="en-US"/>
        </w:rPr>
        <w:t xml:space="preserve"> </w:t>
      </w:r>
      <w:r w:rsidR="005B1E8E">
        <w:rPr>
          <w:rFonts w:eastAsia="Arial Unicode MS"/>
          <w:bdr w:val="nil"/>
          <w:lang w:val="en-US"/>
        </w:rPr>
        <w:t xml:space="preserve">‘return’ to a </w:t>
      </w:r>
      <w:r w:rsidR="00E47237" w:rsidRPr="00A35AE0">
        <w:rPr>
          <w:rFonts w:eastAsia="Arial Unicode MS"/>
          <w:bdr w:val="nil"/>
          <w:lang w:val="en-US"/>
        </w:rPr>
        <w:t xml:space="preserve">more robust approach by the authorities </w:t>
      </w:r>
      <w:r w:rsidR="00A02D94" w:rsidRPr="00A35AE0">
        <w:rPr>
          <w:rFonts w:eastAsia="Arial Unicode MS"/>
          <w:bdr w:val="nil"/>
          <w:lang w:val="en-US"/>
        </w:rPr>
        <w:t>(</w:t>
      </w:r>
      <w:r w:rsidR="00A02D94" w:rsidRPr="00A35AE0">
        <w:rPr>
          <w:rFonts w:eastAsia="Arial Unicode MS"/>
          <w:bdr w:val="nil"/>
        </w:rPr>
        <w:t>Page</w:t>
      </w:r>
      <w:r>
        <w:rPr>
          <w:rFonts w:eastAsia="Arial Unicode MS"/>
          <w:bdr w:val="nil"/>
        </w:rPr>
        <w:t>,</w:t>
      </w:r>
      <w:r w:rsidR="00A02D94" w:rsidRPr="00A35AE0">
        <w:rPr>
          <w:rFonts w:eastAsia="Arial Unicode MS"/>
          <w:bdr w:val="nil"/>
        </w:rPr>
        <w:t xml:space="preserve"> 1950</w:t>
      </w:r>
      <w:r>
        <w:rPr>
          <w:rFonts w:eastAsia="Arial Unicode MS"/>
          <w:bdr w:val="nil"/>
        </w:rPr>
        <w:t>; Lee, 1998</w:t>
      </w:r>
      <w:r w:rsidR="00A02D94" w:rsidRPr="00A35AE0">
        <w:rPr>
          <w:rFonts w:eastAsia="Arial Unicode MS"/>
          <w:bdr w:val="nil"/>
        </w:rPr>
        <w:t xml:space="preserve">). The urge to reform delinquent youth (through reformatories, youth clubs, special schools and so on) </w:t>
      </w:r>
      <w:r w:rsidR="005B1E8E">
        <w:rPr>
          <w:rFonts w:eastAsia="Arial Unicode MS"/>
          <w:bdr w:val="nil"/>
        </w:rPr>
        <w:t>was not displaced</w:t>
      </w:r>
      <w:r w:rsidR="00A02D94" w:rsidRPr="00A35AE0">
        <w:rPr>
          <w:rFonts w:eastAsia="Arial Unicode MS"/>
          <w:bdr w:val="nil"/>
        </w:rPr>
        <w:t>, but</w:t>
      </w:r>
      <w:r w:rsidR="00F663C7">
        <w:rPr>
          <w:rFonts w:eastAsia="Arial Unicode MS"/>
          <w:bdr w:val="nil"/>
        </w:rPr>
        <w:t xml:space="preserve"> it</w:t>
      </w:r>
      <w:r w:rsidR="00A02D94" w:rsidRPr="00A35AE0">
        <w:rPr>
          <w:rFonts w:eastAsia="Arial Unicode MS"/>
          <w:bdr w:val="nil"/>
        </w:rPr>
        <w:t xml:space="preserve"> </w:t>
      </w:r>
      <w:r w:rsidR="00E47237" w:rsidRPr="00A35AE0">
        <w:rPr>
          <w:rFonts w:eastAsia="Arial Unicode MS"/>
          <w:bdr w:val="nil"/>
        </w:rPr>
        <w:t xml:space="preserve">now </w:t>
      </w:r>
      <w:r w:rsidR="00A02D94" w:rsidRPr="00A35AE0">
        <w:rPr>
          <w:rFonts w:eastAsia="Arial Unicode MS"/>
          <w:bdr w:val="nil"/>
        </w:rPr>
        <w:t xml:space="preserve">ran alongside </w:t>
      </w:r>
      <w:r w:rsidR="00030505">
        <w:rPr>
          <w:rFonts w:eastAsia="Arial Unicode MS"/>
          <w:bdr w:val="nil"/>
        </w:rPr>
        <w:t>more</w:t>
      </w:r>
      <w:r w:rsidR="00030505" w:rsidRPr="00A35AE0">
        <w:rPr>
          <w:rFonts w:eastAsia="Arial Unicode MS"/>
          <w:bdr w:val="nil"/>
        </w:rPr>
        <w:t xml:space="preserve"> </w:t>
      </w:r>
      <w:r w:rsidR="00A02D94" w:rsidRPr="00A35AE0">
        <w:rPr>
          <w:rFonts w:eastAsia="Arial Unicode MS"/>
          <w:bdr w:val="nil"/>
        </w:rPr>
        <w:t xml:space="preserve">punitive impulses. The incoherence and inconsistencies of these twin </w:t>
      </w:r>
      <w:r w:rsidR="005B1E8E">
        <w:rPr>
          <w:rFonts w:eastAsia="Arial Unicode MS"/>
          <w:bdr w:val="nil"/>
        </w:rPr>
        <w:t xml:space="preserve">‘welfare’ and ‘justice’ </w:t>
      </w:r>
      <w:r w:rsidR="00A02D94" w:rsidRPr="00A35AE0">
        <w:rPr>
          <w:rFonts w:eastAsia="Arial Unicode MS"/>
          <w:bdr w:val="nil"/>
        </w:rPr>
        <w:t xml:space="preserve">approaches can be seen in legislative innovations such as the passing of </w:t>
      </w:r>
      <w:r w:rsidR="00A02D94" w:rsidRPr="00A35AE0">
        <w:rPr>
          <w:rFonts w:eastAsia="Arial Unicode MS"/>
          <w:bdr w:val="nil"/>
        </w:rPr>
        <w:lastRenderedPageBreak/>
        <w:t xml:space="preserve">both the 1948 Children Act which empowered local authorities to take children into care, and the Criminal Justice Act </w:t>
      </w:r>
      <w:r w:rsidR="00E47237" w:rsidRPr="00A35AE0">
        <w:rPr>
          <w:rFonts w:eastAsia="Arial Unicode MS"/>
          <w:bdr w:val="nil"/>
        </w:rPr>
        <w:t xml:space="preserve">passed in the same year </w:t>
      </w:r>
      <w:r w:rsidR="00A02D94" w:rsidRPr="00A35AE0">
        <w:rPr>
          <w:rFonts w:eastAsia="Arial Unicode MS"/>
          <w:bdr w:val="nil"/>
        </w:rPr>
        <w:t>which set up attendance centres and detention centres (Worrall and Hoy</w:t>
      </w:r>
      <w:r w:rsidR="00272E45">
        <w:rPr>
          <w:rFonts w:eastAsia="Arial Unicode MS"/>
          <w:bdr w:val="nil"/>
        </w:rPr>
        <w:t>,</w:t>
      </w:r>
      <w:r w:rsidR="00A02D94" w:rsidRPr="00A35AE0">
        <w:rPr>
          <w:rFonts w:eastAsia="Arial Unicode MS"/>
          <w:bdr w:val="nil"/>
        </w:rPr>
        <w:t xml:space="preserve"> 2005). </w:t>
      </w:r>
      <w:r w:rsidR="00A02D94" w:rsidRPr="00A35AE0">
        <w:rPr>
          <w:rFonts w:eastAsia="Arial Unicode MS"/>
          <w:bdr w:val="nil"/>
          <w:lang w:val="en-US"/>
        </w:rPr>
        <w:t xml:space="preserve">The </w:t>
      </w:r>
      <w:r w:rsidR="00E47237" w:rsidRPr="00A35AE0">
        <w:rPr>
          <w:rFonts w:eastAsia="Arial Unicode MS"/>
          <w:bdr w:val="nil"/>
          <w:lang w:val="en-US"/>
        </w:rPr>
        <w:t xml:space="preserve">new institutions were </w:t>
      </w:r>
      <w:r w:rsidR="00030505">
        <w:rPr>
          <w:rFonts w:eastAsia="Arial Unicode MS"/>
          <w:bdr w:val="nil"/>
          <w:lang w:val="en-US"/>
        </w:rPr>
        <w:t xml:space="preserve">supposed to still </w:t>
      </w:r>
      <w:r w:rsidR="00A02D94" w:rsidRPr="00A35AE0">
        <w:rPr>
          <w:rFonts w:eastAsia="Arial Unicode MS"/>
          <w:bdr w:val="nil"/>
          <w:lang w:val="en-US"/>
        </w:rPr>
        <w:t xml:space="preserve">‘advise, assist and befriend’ the young person, </w:t>
      </w:r>
      <w:r w:rsidR="00A02D94" w:rsidRPr="00A35AE0">
        <w:rPr>
          <w:rFonts w:eastAsia="Arial Unicode MS"/>
          <w:bdr w:val="nil"/>
        </w:rPr>
        <w:t xml:space="preserve">but </w:t>
      </w:r>
      <w:r w:rsidR="00E47237" w:rsidRPr="00A35AE0">
        <w:rPr>
          <w:rFonts w:eastAsia="Arial Unicode MS"/>
          <w:bdr w:val="nil"/>
        </w:rPr>
        <w:t xml:space="preserve">also </w:t>
      </w:r>
      <w:r w:rsidR="00030505">
        <w:rPr>
          <w:rFonts w:eastAsia="Arial Unicode MS"/>
          <w:bdr w:val="nil"/>
        </w:rPr>
        <w:t xml:space="preserve">to </w:t>
      </w:r>
      <w:r w:rsidR="00A56BFD" w:rsidRPr="00A35AE0">
        <w:rPr>
          <w:rFonts w:eastAsia="Arial Unicode MS"/>
          <w:bdr w:val="nil"/>
        </w:rPr>
        <w:t>instil</w:t>
      </w:r>
      <w:r w:rsidR="00E47237" w:rsidRPr="00A35AE0">
        <w:rPr>
          <w:rFonts w:eastAsia="Arial Unicode MS"/>
          <w:bdr w:val="nil"/>
        </w:rPr>
        <w:t xml:space="preserve"> a</w:t>
      </w:r>
      <w:r w:rsidR="00A02D94" w:rsidRPr="00A35AE0">
        <w:rPr>
          <w:rFonts w:eastAsia="Arial Unicode MS"/>
          <w:bdr w:val="nil"/>
        </w:rPr>
        <w:t xml:space="preserve"> strict regime of military-style drill and hard labour</w:t>
      </w:r>
      <w:r w:rsidR="004635FB" w:rsidRPr="00A35AE0">
        <w:rPr>
          <w:rFonts w:eastAsia="Arial Unicode MS"/>
          <w:bdr w:val="nil"/>
        </w:rPr>
        <w:t xml:space="preserve"> (Muncie</w:t>
      </w:r>
      <w:r w:rsidR="00272E45">
        <w:rPr>
          <w:rFonts w:eastAsia="Arial Unicode MS"/>
          <w:bdr w:val="nil"/>
        </w:rPr>
        <w:t>,</w:t>
      </w:r>
      <w:r w:rsidR="004635FB" w:rsidRPr="00A35AE0">
        <w:rPr>
          <w:rFonts w:eastAsia="Arial Unicode MS"/>
          <w:bdr w:val="nil"/>
        </w:rPr>
        <w:t xml:space="preserve"> 1984)</w:t>
      </w:r>
      <w:r w:rsidR="00A02D94" w:rsidRPr="00A35AE0">
        <w:rPr>
          <w:rFonts w:eastAsia="Arial Unicode MS"/>
          <w:bdr w:val="nil"/>
        </w:rPr>
        <w:t>.</w:t>
      </w:r>
      <w:r w:rsidR="004F1065">
        <w:rPr>
          <w:rFonts w:eastAsia="Arial Unicode MS"/>
          <w:bdr w:val="nil"/>
        </w:rPr>
        <w:t xml:space="preserve"> The militarisation of many aspects of civilian life in a period of total war carried over, not surprisingly, into the post-war juvenile justice system.</w:t>
      </w:r>
    </w:p>
    <w:p w:rsidR="00367C1A" w:rsidRPr="00A35AE0" w:rsidRDefault="00367C1A" w:rsidP="0070005A">
      <w:pPr>
        <w:spacing w:line="360" w:lineRule="auto"/>
        <w:jc w:val="both"/>
        <w:rPr>
          <w:color w:val="1F497D" w:themeColor="text2"/>
        </w:rPr>
      </w:pPr>
    </w:p>
    <w:p w:rsidR="00470791" w:rsidRPr="00252515" w:rsidRDefault="00470791" w:rsidP="0070005A">
      <w:pPr>
        <w:pBdr>
          <w:top w:val="nil"/>
          <w:left w:val="nil"/>
          <w:bottom w:val="nil"/>
          <w:right w:val="nil"/>
          <w:between w:val="nil"/>
          <w:bar w:val="nil"/>
        </w:pBdr>
        <w:spacing w:line="360" w:lineRule="auto"/>
        <w:jc w:val="both"/>
        <w:rPr>
          <w:b/>
          <w:color w:val="000000" w:themeColor="text1"/>
        </w:rPr>
      </w:pPr>
      <w:r w:rsidRPr="00A35AE0">
        <w:rPr>
          <w:rFonts w:eastAsia="Arial Unicode MS"/>
          <w:b/>
          <w:bdr w:val="nil"/>
        </w:rPr>
        <w:t xml:space="preserve">Fig </w:t>
      </w:r>
      <w:r w:rsidR="00A13534">
        <w:rPr>
          <w:rFonts w:eastAsia="Arial Unicode MS"/>
          <w:b/>
          <w:bdr w:val="nil"/>
        </w:rPr>
        <w:t>4</w:t>
      </w:r>
      <w:r w:rsidRPr="00A35AE0">
        <w:rPr>
          <w:rFonts w:eastAsia="Arial Unicode MS"/>
          <w:b/>
          <w:bdr w:val="nil"/>
        </w:rPr>
        <w:t>: Post-</w:t>
      </w:r>
      <w:r w:rsidR="002F73B2">
        <w:rPr>
          <w:rFonts w:eastAsia="Arial Unicode MS"/>
          <w:b/>
          <w:bdr w:val="nil"/>
        </w:rPr>
        <w:t>war</w:t>
      </w:r>
      <w:r w:rsidRPr="00A35AE0">
        <w:rPr>
          <w:rFonts w:eastAsia="Arial Unicode MS"/>
          <w:b/>
          <w:bdr w:val="nil"/>
        </w:rPr>
        <w:t xml:space="preserve"> committals to youth custody, detention, and borstal</w:t>
      </w:r>
      <w:r w:rsidR="00E216E1">
        <w:rPr>
          <w:rFonts w:eastAsia="Arial Unicode MS"/>
          <w:b/>
          <w:bdr w:val="nil"/>
        </w:rPr>
        <w:t xml:space="preserve">. </w:t>
      </w:r>
      <w:r w:rsidR="00E216E1" w:rsidRPr="00A35AE0">
        <w:rPr>
          <w:b/>
          <w:color w:val="000000" w:themeColor="text1"/>
        </w:rPr>
        <w:t>(</w:t>
      </w:r>
      <w:r w:rsidR="00E216E1">
        <w:rPr>
          <w:b/>
          <w:color w:val="000000" w:themeColor="text1"/>
        </w:rPr>
        <w:t xml:space="preserve">Figures taken from </w:t>
      </w:r>
      <w:r w:rsidR="00E216E1" w:rsidRPr="00A35AE0">
        <w:rPr>
          <w:b/>
          <w:color w:val="000000" w:themeColor="text1"/>
        </w:rPr>
        <w:t>Judicial Statistics, 1</w:t>
      </w:r>
      <w:r w:rsidR="00E216E1">
        <w:rPr>
          <w:b/>
          <w:color w:val="000000" w:themeColor="text1"/>
        </w:rPr>
        <w:t>945</w:t>
      </w:r>
      <w:r w:rsidR="00E216E1" w:rsidRPr="00A35AE0">
        <w:rPr>
          <w:b/>
          <w:color w:val="000000" w:themeColor="text1"/>
        </w:rPr>
        <w:t>-</w:t>
      </w:r>
      <w:r w:rsidR="00E216E1">
        <w:rPr>
          <w:b/>
          <w:color w:val="000000" w:themeColor="text1"/>
        </w:rPr>
        <w:t>1980</w:t>
      </w:r>
      <w:r w:rsidR="00E216E1" w:rsidRPr="00A35AE0">
        <w:rPr>
          <w:b/>
          <w:color w:val="000000" w:themeColor="text1"/>
        </w:rPr>
        <w:t>)</w:t>
      </w:r>
    </w:p>
    <w:p w:rsidR="003324CA" w:rsidRPr="00A35AE0" w:rsidRDefault="003324CA" w:rsidP="0070005A">
      <w:pPr>
        <w:pBdr>
          <w:top w:val="nil"/>
          <w:left w:val="nil"/>
          <w:bottom w:val="nil"/>
          <w:right w:val="nil"/>
          <w:between w:val="nil"/>
          <w:bar w:val="nil"/>
        </w:pBdr>
        <w:spacing w:line="360" w:lineRule="auto"/>
        <w:jc w:val="both"/>
        <w:rPr>
          <w:rFonts w:eastAsia="Arial Unicode MS"/>
          <w:b/>
          <w:bdr w:val="nil"/>
        </w:rPr>
      </w:pPr>
    </w:p>
    <w:p w:rsidR="0007096E" w:rsidRPr="00A35AE0" w:rsidRDefault="0007096E" w:rsidP="0070005A">
      <w:pPr>
        <w:pBdr>
          <w:top w:val="nil"/>
          <w:left w:val="nil"/>
          <w:bottom w:val="nil"/>
          <w:right w:val="nil"/>
          <w:between w:val="nil"/>
          <w:bar w:val="nil"/>
        </w:pBdr>
        <w:spacing w:line="360" w:lineRule="auto"/>
        <w:jc w:val="both"/>
        <w:rPr>
          <w:rFonts w:eastAsia="Arial Unicode MS"/>
          <w:i/>
          <w:bdr w:val="nil"/>
          <w:lang w:val="en-US"/>
        </w:rPr>
      </w:pPr>
      <w:r w:rsidRPr="00A35AE0">
        <w:rPr>
          <w:noProof/>
          <w:lang w:eastAsia="en-GB"/>
        </w:rPr>
        <w:drawing>
          <wp:inline distT="0" distB="0" distL="0" distR="0" wp14:anchorId="48AE48D9" wp14:editId="612D8313">
            <wp:extent cx="5249545" cy="2712378"/>
            <wp:effectExtent l="0" t="0" r="8255" b="18415"/>
            <wp:docPr id="6" name="Chart 6">
              <a:extLst xmlns:a="http://schemas.openxmlformats.org/drawingml/2006/main">
                <a:ext uri="{FF2B5EF4-FFF2-40B4-BE49-F238E27FC236}">
                  <a16:creationId xmlns:a16="http://schemas.microsoft.com/office/drawing/2014/main" id="{8D892541-ABA5-CE4B-9EC3-44471C6FF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24CA" w:rsidRPr="00A35AE0" w:rsidRDefault="003324CA" w:rsidP="0070005A">
      <w:pPr>
        <w:pBdr>
          <w:top w:val="nil"/>
          <w:left w:val="nil"/>
          <w:bottom w:val="nil"/>
          <w:right w:val="nil"/>
          <w:between w:val="nil"/>
          <w:bar w:val="nil"/>
        </w:pBdr>
        <w:spacing w:line="360" w:lineRule="auto"/>
        <w:jc w:val="both"/>
        <w:rPr>
          <w:rFonts w:eastAsia="Arial Unicode MS"/>
          <w:i/>
          <w:bdr w:val="nil"/>
          <w:lang w:val="en-US"/>
        </w:rPr>
      </w:pPr>
    </w:p>
    <w:p w:rsidR="008047A2" w:rsidRPr="003B4C62" w:rsidRDefault="00470791" w:rsidP="00F24F1C">
      <w:pPr>
        <w:pStyle w:val="EndnoteText"/>
        <w:spacing w:line="360" w:lineRule="auto"/>
        <w:jc w:val="both"/>
        <w:rPr>
          <w:rFonts w:ascii="Times New Roman" w:hAnsi="Times New Roman" w:cs="Times New Roman"/>
          <w:sz w:val="22"/>
          <w:szCs w:val="22"/>
        </w:rPr>
      </w:pPr>
      <w:r w:rsidRPr="00A35AE0">
        <w:rPr>
          <w:rFonts w:ascii="Times New Roman" w:eastAsia="Arial Unicode MS" w:hAnsi="Times New Roman" w:cs="Times New Roman"/>
          <w:color w:val="000000" w:themeColor="text1"/>
          <w:bdr w:val="nil"/>
          <w:lang w:val="en-US"/>
        </w:rPr>
        <w:t>Y</w:t>
      </w:r>
      <w:r w:rsidR="00A02D94" w:rsidRPr="00A35AE0">
        <w:rPr>
          <w:rFonts w:ascii="Times New Roman" w:eastAsia="Arial Unicode MS" w:hAnsi="Times New Roman" w:cs="Times New Roman"/>
          <w:color w:val="000000" w:themeColor="text1"/>
          <w:bdr w:val="nil"/>
          <w:lang w:val="en-US"/>
        </w:rPr>
        <w:t xml:space="preserve">outh </w:t>
      </w:r>
      <w:r w:rsidR="006828F5" w:rsidRPr="00A35AE0">
        <w:rPr>
          <w:rFonts w:ascii="Times New Roman" w:eastAsia="Arial Unicode MS" w:hAnsi="Times New Roman" w:cs="Times New Roman"/>
          <w:color w:val="000000" w:themeColor="text1"/>
          <w:bdr w:val="nil"/>
          <w:lang w:val="en-US"/>
        </w:rPr>
        <w:t>custody</w:t>
      </w:r>
      <w:r w:rsidR="00A02D94" w:rsidRPr="00A35AE0">
        <w:rPr>
          <w:rFonts w:ascii="Times New Roman" w:eastAsia="Arial Unicode MS" w:hAnsi="Times New Roman" w:cs="Times New Roman"/>
          <w:color w:val="000000" w:themeColor="text1"/>
          <w:bdr w:val="nil"/>
          <w:lang w:val="en-US"/>
        </w:rPr>
        <w:t xml:space="preserve"> </w:t>
      </w:r>
      <w:r w:rsidR="006828F5" w:rsidRPr="00A35AE0">
        <w:rPr>
          <w:rFonts w:ascii="Times New Roman" w:eastAsia="Arial Unicode MS" w:hAnsi="Times New Roman" w:cs="Times New Roman"/>
          <w:color w:val="000000" w:themeColor="text1"/>
          <w:bdr w:val="nil"/>
          <w:lang w:val="en-US"/>
        </w:rPr>
        <w:t>numbers were fairly stable through the 1960s</w:t>
      </w:r>
      <w:r w:rsidR="0046175B" w:rsidRPr="00A35AE0">
        <w:rPr>
          <w:rFonts w:ascii="Times New Roman" w:eastAsia="Arial Unicode MS" w:hAnsi="Times New Roman" w:cs="Times New Roman"/>
          <w:color w:val="000000" w:themeColor="text1"/>
          <w:bdr w:val="nil"/>
          <w:lang w:val="en-US"/>
        </w:rPr>
        <w:t xml:space="preserve"> </w:t>
      </w:r>
      <w:r w:rsidR="006828F5" w:rsidRPr="00A35AE0">
        <w:rPr>
          <w:rFonts w:ascii="Times New Roman" w:eastAsia="Arial Unicode MS" w:hAnsi="Times New Roman" w:cs="Times New Roman"/>
          <w:color w:val="000000" w:themeColor="text1"/>
          <w:bdr w:val="nil"/>
          <w:lang w:val="en-US"/>
        </w:rPr>
        <w:t xml:space="preserve">but </w:t>
      </w:r>
      <w:r w:rsidR="004D3F7F">
        <w:rPr>
          <w:rFonts w:ascii="Times New Roman" w:eastAsia="Arial Unicode MS" w:hAnsi="Times New Roman" w:cs="Times New Roman"/>
          <w:color w:val="000000" w:themeColor="text1"/>
          <w:bdr w:val="nil"/>
          <w:lang w:val="en-US"/>
        </w:rPr>
        <w:t xml:space="preserve">rose </w:t>
      </w:r>
      <w:r w:rsidR="00030505">
        <w:rPr>
          <w:rFonts w:ascii="Times New Roman" w:eastAsia="Arial Unicode MS" w:hAnsi="Times New Roman" w:cs="Times New Roman"/>
          <w:color w:val="000000" w:themeColor="text1"/>
          <w:bdr w:val="nil"/>
          <w:lang w:val="en-US"/>
        </w:rPr>
        <w:t>again i</w:t>
      </w:r>
      <w:r w:rsidR="004D3F7F">
        <w:rPr>
          <w:rFonts w:ascii="Times New Roman" w:eastAsia="Arial Unicode MS" w:hAnsi="Times New Roman" w:cs="Times New Roman"/>
          <w:color w:val="000000" w:themeColor="text1"/>
          <w:bdr w:val="nil"/>
          <w:lang w:val="en-US"/>
        </w:rPr>
        <w:t>n</w:t>
      </w:r>
      <w:r w:rsidR="004D3F7F" w:rsidRPr="00A35AE0">
        <w:rPr>
          <w:rFonts w:ascii="Times New Roman" w:eastAsia="Arial Unicode MS" w:hAnsi="Times New Roman" w:cs="Times New Roman"/>
          <w:color w:val="000000" w:themeColor="text1"/>
          <w:bdr w:val="nil"/>
          <w:lang w:val="en-US"/>
        </w:rPr>
        <w:t xml:space="preserve"> </w:t>
      </w:r>
      <w:r w:rsidR="006828F5" w:rsidRPr="00A35AE0">
        <w:rPr>
          <w:rFonts w:ascii="Times New Roman" w:eastAsia="Arial Unicode MS" w:hAnsi="Times New Roman" w:cs="Times New Roman"/>
          <w:color w:val="000000" w:themeColor="text1"/>
          <w:bdr w:val="nil"/>
          <w:lang w:val="en-US"/>
        </w:rPr>
        <w:t>the 1970s</w:t>
      </w:r>
      <w:r w:rsidR="004D3F7F">
        <w:rPr>
          <w:rFonts w:ascii="Times New Roman" w:eastAsia="Arial Unicode MS" w:hAnsi="Times New Roman" w:cs="Times New Roman"/>
          <w:color w:val="000000" w:themeColor="text1"/>
          <w:bdr w:val="nil"/>
          <w:lang w:val="en-US"/>
        </w:rPr>
        <w:t xml:space="preserve"> </w:t>
      </w:r>
      <w:r w:rsidR="005E5C31">
        <w:rPr>
          <w:rFonts w:ascii="Times New Roman" w:eastAsia="Arial Unicode MS" w:hAnsi="Times New Roman" w:cs="Times New Roman"/>
          <w:color w:val="000000" w:themeColor="text1"/>
          <w:bdr w:val="nil"/>
          <w:lang w:val="en-US"/>
        </w:rPr>
        <w:t>with</w:t>
      </w:r>
      <w:r w:rsidR="005E5C31" w:rsidRPr="00A35AE0">
        <w:rPr>
          <w:rFonts w:ascii="Times New Roman" w:eastAsia="Arial Unicode MS" w:hAnsi="Times New Roman" w:cs="Times New Roman"/>
          <w:color w:val="000000" w:themeColor="text1"/>
          <w:bdr w:val="nil"/>
          <w:lang w:val="en-US"/>
        </w:rPr>
        <w:t xml:space="preserve"> the</w:t>
      </w:r>
      <w:r w:rsidR="00E47237" w:rsidRPr="00A35AE0">
        <w:rPr>
          <w:rFonts w:ascii="Times New Roman" w:eastAsia="Arial Unicode MS" w:hAnsi="Times New Roman" w:cs="Times New Roman"/>
          <w:color w:val="000000" w:themeColor="text1"/>
          <w:bdr w:val="nil"/>
          <w:lang w:val="en-US"/>
        </w:rPr>
        <w:t xml:space="preserve"> media stoking concern about </w:t>
      </w:r>
      <w:r w:rsidR="004D3F7F">
        <w:rPr>
          <w:rFonts w:ascii="Times New Roman" w:eastAsia="Arial Unicode MS" w:hAnsi="Times New Roman" w:cs="Times New Roman"/>
          <w:color w:val="000000" w:themeColor="text1"/>
          <w:bdr w:val="nil"/>
          <w:lang w:val="en-US"/>
        </w:rPr>
        <w:t xml:space="preserve">deviant youth cultures (Cohen, 1972) and </w:t>
      </w:r>
      <w:r w:rsidR="004D3F7F">
        <w:rPr>
          <w:rFonts w:ascii="Times New Roman" w:hAnsi="Times New Roman" w:cs="Times New Roman"/>
          <w:color w:val="000000" w:themeColor="text1"/>
        </w:rPr>
        <w:t>a</w:t>
      </w:r>
      <w:r w:rsidR="00030505">
        <w:rPr>
          <w:rFonts w:ascii="Times New Roman" w:hAnsi="Times New Roman" w:cs="Times New Roman"/>
          <w:color w:val="000000" w:themeColor="text1"/>
        </w:rPr>
        <w:t xml:space="preserve"> </w:t>
      </w:r>
      <w:r w:rsidR="00A56BFD">
        <w:rPr>
          <w:rFonts w:ascii="Times New Roman" w:hAnsi="Times New Roman" w:cs="Times New Roman"/>
          <w:color w:val="000000" w:themeColor="text1"/>
        </w:rPr>
        <w:t>racialized</w:t>
      </w:r>
      <w:r w:rsidR="004D3F7F">
        <w:rPr>
          <w:rFonts w:ascii="Times New Roman" w:hAnsi="Times New Roman" w:cs="Times New Roman"/>
          <w:color w:val="000000" w:themeColor="text1"/>
        </w:rPr>
        <w:t xml:space="preserve"> </w:t>
      </w:r>
      <w:r w:rsidR="00231A3A" w:rsidRPr="00A35AE0">
        <w:rPr>
          <w:rFonts w:ascii="Times New Roman" w:hAnsi="Times New Roman" w:cs="Times New Roman"/>
          <w:color w:val="000000" w:themeColor="text1"/>
        </w:rPr>
        <w:t>‘mugging crisis’</w:t>
      </w:r>
      <w:r w:rsidR="0046175B" w:rsidRPr="00A35AE0">
        <w:rPr>
          <w:rFonts w:ascii="Times New Roman" w:hAnsi="Times New Roman" w:cs="Times New Roman"/>
          <w:color w:val="000000" w:themeColor="text1"/>
        </w:rPr>
        <w:t xml:space="preserve"> </w:t>
      </w:r>
      <w:r w:rsidR="00231A3A" w:rsidRPr="00A35AE0">
        <w:rPr>
          <w:rFonts w:ascii="Times New Roman" w:hAnsi="Times New Roman" w:cs="Times New Roman"/>
          <w:color w:val="000000" w:themeColor="text1"/>
        </w:rPr>
        <w:t xml:space="preserve">(Hall et al 1978). </w:t>
      </w:r>
      <w:r w:rsidR="00E47237" w:rsidRPr="00A35AE0">
        <w:rPr>
          <w:rFonts w:ascii="Times New Roman" w:hAnsi="Times New Roman" w:cs="Times New Roman"/>
          <w:color w:val="000000" w:themeColor="text1"/>
        </w:rPr>
        <w:t xml:space="preserve">In </w:t>
      </w:r>
      <w:r w:rsidR="00D67FCB">
        <w:rPr>
          <w:rFonts w:ascii="Times New Roman" w:hAnsi="Times New Roman" w:cs="Times New Roman"/>
          <w:color w:val="000000" w:themeColor="text1"/>
        </w:rPr>
        <w:t>ways that echoed the</w:t>
      </w:r>
      <w:r w:rsidR="001F0AFF">
        <w:rPr>
          <w:rFonts w:ascii="Times New Roman" w:hAnsi="Times New Roman" w:cs="Times New Roman"/>
          <w:color w:val="000000" w:themeColor="text1"/>
        </w:rPr>
        <w:t xml:space="preserve"> mid-Victorian</w:t>
      </w:r>
      <w:r w:rsidR="00E47237" w:rsidRPr="00A35AE0">
        <w:rPr>
          <w:rFonts w:ascii="Times New Roman" w:hAnsi="Times New Roman" w:cs="Times New Roman"/>
          <w:color w:val="000000" w:themeColor="text1"/>
        </w:rPr>
        <w:t xml:space="preserve"> </w:t>
      </w:r>
      <w:r w:rsidR="002F73B2">
        <w:rPr>
          <w:rFonts w:ascii="Times New Roman" w:hAnsi="Times New Roman" w:cs="Times New Roman"/>
          <w:color w:val="000000" w:themeColor="text1"/>
        </w:rPr>
        <w:t>‘</w:t>
      </w:r>
      <w:r w:rsidR="00E47237" w:rsidRPr="00A35AE0">
        <w:rPr>
          <w:rFonts w:ascii="Times New Roman" w:hAnsi="Times New Roman" w:cs="Times New Roman"/>
          <w:color w:val="000000" w:themeColor="text1"/>
        </w:rPr>
        <w:t>garrotting</w:t>
      </w:r>
      <w:r w:rsidR="002F73B2">
        <w:rPr>
          <w:rFonts w:ascii="Times New Roman" w:hAnsi="Times New Roman" w:cs="Times New Roman"/>
          <w:color w:val="000000" w:themeColor="text1"/>
        </w:rPr>
        <w:t>’</w:t>
      </w:r>
      <w:r w:rsidR="00E47237" w:rsidRPr="00A35AE0">
        <w:rPr>
          <w:rFonts w:ascii="Times New Roman" w:hAnsi="Times New Roman" w:cs="Times New Roman"/>
          <w:color w:val="000000" w:themeColor="text1"/>
        </w:rPr>
        <w:t xml:space="preserve"> </w:t>
      </w:r>
      <w:r w:rsidR="002F73B2">
        <w:rPr>
          <w:rFonts w:ascii="Times New Roman" w:hAnsi="Times New Roman" w:cs="Times New Roman"/>
          <w:color w:val="000000" w:themeColor="text1"/>
        </w:rPr>
        <w:t>crisis</w:t>
      </w:r>
      <w:r w:rsidR="002F73B2" w:rsidRPr="00A35AE0">
        <w:rPr>
          <w:rFonts w:ascii="Times New Roman" w:hAnsi="Times New Roman" w:cs="Times New Roman"/>
          <w:color w:val="000000" w:themeColor="text1"/>
        </w:rPr>
        <w:t xml:space="preserve"> </w:t>
      </w:r>
      <w:r w:rsidR="00E47237" w:rsidRPr="00A35AE0">
        <w:rPr>
          <w:rFonts w:ascii="Times New Roman" w:hAnsi="Times New Roman" w:cs="Times New Roman"/>
          <w:color w:val="000000" w:themeColor="text1"/>
        </w:rPr>
        <w:t xml:space="preserve">(Sindall </w:t>
      </w:r>
      <w:r w:rsidR="001725A5" w:rsidRPr="00A35AE0">
        <w:rPr>
          <w:rFonts w:ascii="Times New Roman" w:hAnsi="Times New Roman" w:cs="Times New Roman"/>
          <w:color w:val="000000" w:themeColor="text1"/>
        </w:rPr>
        <w:t>1990</w:t>
      </w:r>
      <w:r w:rsidR="00E47237" w:rsidRPr="00A35AE0">
        <w:rPr>
          <w:rFonts w:ascii="Times New Roman" w:hAnsi="Times New Roman" w:cs="Times New Roman"/>
          <w:color w:val="000000" w:themeColor="text1"/>
        </w:rPr>
        <w:t>; Godfrey 2018)</w:t>
      </w:r>
      <w:r w:rsidR="001F0AFF">
        <w:rPr>
          <w:rFonts w:ascii="Times New Roman" w:hAnsi="Times New Roman" w:cs="Times New Roman"/>
          <w:color w:val="000000" w:themeColor="text1"/>
        </w:rPr>
        <w:t xml:space="preserve">, and the late Victorian ‘hooligan’ crisis (Pearson, 1983), </w:t>
      </w:r>
      <w:r w:rsidR="00E47237" w:rsidRPr="00A35AE0">
        <w:rPr>
          <w:rFonts w:ascii="Times New Roman" w:hAnsi="Times New Roman" w:cs="Times New Roman"/>
          <w:color w:val="000000" w:themeColor="text1"/>
        </w:rPr>
        <w:t xml:space="preserve">a small number of incidents </w:t>
      </w:r>
      <w:r w:rsidR="007D34C6">
        <w:rPr>
          <w:rFonts w:ascii="Times New Roman" w:hAnsi="Times New Roman" w:cs="Times New Roman"/>
          <w:color w:val="000000" w:themeColor="text1"/>
        </w:rPr>
        <w:t>w</w:t>
      </w:r>
      <w:r w:rsidR="00030505">
        <w:rPr>
          <w:rFonts w:ascii="Times New Roman" w:hAnsi="Times New Roman" w:cs="Times New Roman"/>
          <w:color w:val="000000" w:themeColor="text1"/>
        </w:rPr>
        <w:t>ere</w:t>
      </w:r>
      <w:r w:rsidR="002F73B2">
        <w:rPr>
          <w:rFonts w:ascii="Times New Roman" w:hAnsi="Times New Roman" w:cs="Times New Roman"/>
          <w:color w:val="000000" w:themeColor="text1"/>
        </w:rPr>
        <w:t xml:space="preserve"> </w:t>
      </w:r>
      <w:r w:rsidR="007D34C6">
        <w:rPr>
          <w:rFonts w:ascii="Times New Roman" w:hAnsi="Times New Roman" w:cs="Times New Roman"/>
          <w:color w:val="000000" w:themeColor="text1"/>
        </w:rPr>
        <w:t>amplified by the press to create a</w:t>
      </w:r>
      <w:r w:rsidR="00E47237" w:rsidRPr="00A35AE0">
        <w:rPr>
          <w:rFonts w:ascii="Times New Roman" w:hAnsi="Times New Roman" w:cs="Times New Roman"/>
          <w:color w:val="000000" w:themeColor="text1"/>
        </w:rPr>
        <w:t xml:space="preserve"> disp</w:t>
      </w:r>
      <w:r w:rsidR="005E5C31">
        <w:rPr>
          <w:rFonts w:ascii="Times New Roman" w:hAnsi="Times New Roman" w:cs="Times New Roman"/>
          <w:color w:val="000000" w:themeColor="text1"/>
        </w:rPr>
        <w:t xml:space="preserve">roportionate </w:t>
      </w:r>
      <w:r w:rsidR="00E47237" w:rsidRPr="00A35AE0">
        <w:rPr>
          <w:rFonts w:ascii="Times New Roman" w:hAnsi="Times New Roman" w:cs="Times New Roman"/>
          <w:color w:val="000000" w:themeColor="text1"/>
        </w:rPr>
        <w:t>moral panic</w:t>
      </w:r>
      <w:r w:rsidR="00452A4D">
        <w:rPr>
          <w:rFonts w:ascii="Times New Roman" w:hAnsi="Times New Roman" w:cs="Times New Roman"/>
          <w:color w:val="000000" w:themeColor="text1"/>
        </w:rPr>
        <w:t xml:space="preserve"> around </w:t>
      </w:r>
      <w:r w:rsidR="001A4C84">
        <w:rPr>
          <w:rFonts w:ascii="Times New Roman" w:hAnsi="Times New Roman" w:cs="Times New Roman"/>
          <w:color w:val="000000" w:themeColor="text1"/>
        </w:rPr>
        <w:t>‘</w:t>
      </w:r>
      <w:r w:rsidR="00452A4D">
        <w:rPr>
          <w:rFonts w:ascii="Times New Roman" w:hAnsi="Times New Roman" w:cs="Times New Roman"/>
          <w:color w:val="000000" w:themeColor="text1"/>
        </w:rPr>
        <w:t>disorderly</w:t>
      </w:r>
      <w:r w:rsidR="001A4C84">
        <w:rPr>
          <w:rFonts w:ascii="Times New Roman" w:hAnsi="Times New Roman" w:cs="Times New Roman"/>
          <w:color w:val="000000" w:themeColor="text1"/>
        </w:rPr>
        <w:t>’</w:t>
      </w:r>
      <w:r w:rsidR="00452A4D">
        <w:rPr>
          <w:rFonts w:ascii="Times New Roman" w:hAnsi="Times New Roman" w:cs="Times New Roman"/>
          <w:color w:val="000000" w:themeColor="text1"/>
        </w:rPr>
        <w:t xml:space="preserve"> and </w:t>
      </w:r>
      <w:r w:rsidR="001A4C84">
        <w:rPr>
          <w:rFonts w:ascii="Times New Roman" w:hAnsi="Times New Roman" w:cs="Times New Roman"/>
          <w:color w:val="000000" w:themeColor="text1"/>
        </w:rPr>
        <w:t>‘</w:t>
      </w:r>
      <w:r w:rsidR="00452A4D">
        <w:rPr>
          <w:rFonts w:ascii="Times New Roman" w:hAnsi="Times New Roman" w:cs="Times New Roman"/>
          <w:color w:val="000000" w:themeColor="text1"/>
        </w:rPr>
        <w:t>dangerous</w:t>
      </w:r>
      <w:r w:rsidR="001A4C84">
        <w:rPr>
          <w:rFonts w:ascii="Times New Roman" w:hAnsi="Times New Roman" w:cs="Times New Roman"/>
          <w:color w:val="000000" w:themeColor="text1"/>
        </w:rPr>
        <w:t>’</w:t>
      </w:r>
      <w:r w:rsidR="00452A4D">
        <w:rPr>
          <w:rFonts w:ascii="Times New Roman" w:hAnsi="Times New Roman" w:cs="Times New Roman"/>
          <w:color w:val="000000" w:themeColor="text1"/>
        </w:rPr>
        <w:t xml:space="preserve"> </w:t>
      </w:r>
      <w:r w:rsidR="001F0AFF">
        <w:rPr>
          <w:rFonts w:ascii="Times New Roman" w:hAnsi="Times New Roman" w:cs="Times New Roman"/>
          <w:color w:val="000000" w:themeColor="text1"/>
        </w:rPr>
        <w:t>young men</w:t>
      </w:r>
      <w:r w:rsidR="00030505">
        <w:rPr>
          <w:rFonts w:ascii="Times New Roman" w:hAnsi="Times New Roman" w:cs="Times New Roman"/>
          <w:color w:val="000000" w:themeColor="text1"/>
        </w:rPr>
        <w:t>. T</w:t>
      </w:r>
      <w:r w:rsidR="00E47237" w:rsidRPr="00A35AE0">
        <w:rPr>
          <w:rFonts w:ascii="Times New Roman" w:hAnsi="Times New Roman" w:cs="Times New Roman"/>
          <w:color w:val="000000" w:themeColor="text1"/>
        </w:rPr>
        <w:t xml:space="preserve">he </w:t>
      </w:r>
      <w:r w:rsidR="00D541D4">
        <w:rPr>
          <w:rFonts w:ascii="Times New Roman" w:hAnsi="Times New Roman" w:cs="Times New Roman"/>
          <w:color w:val="000000" w:themeColor="text1"/>
        </w:rPr>
        <w:t>‘</w:t>
      </w:r>
      <w:r w:rsidR="00E47237" w:rsidRPr="00A35AE0">
        <w:rPr>
          <w:rFonts w:ascii="Times New Roman" w:hAnsi="Times New Roman" w:cs="Times New Roman"/>
          <w:color w:val="000000" w:themeColor="text1"/>
        </w:rPr>
        <w:t>mugging</w:t>
      </w:r>
      <w:r w:rsidR="00D541D4">
        <w:rPr>
          <w:rFonts w:ascii="Times New Roman" w:hAnsi="Times New Roman" w:cs="Times New Roman"/>
          <w:color w:val="000000" w:themeColor="text1"/>
        </w:rPr>
        <w:t>’</w:t>
      </w:r>
      <w:r w:rsidR="00E47237" w:rsidRPr="00A35AE0">
        <w:rPr>
          <w:rFonts w:ascii="Times New Roman" w:hAnsi="Times New Roman" w:cs="Times New Roman"/>
          <w:color w:val="000000" w:themeColor="text1"/>
        </w:rPr>
        <w:t xml:space="preserve"> crisis </w:t>
      </w:r>
      <w:r w:rsidR="00D541D4">
        <w:rPr>
          <w:rFonts w:ascii="Times New Roman" w:hAnsi="Times New Roman" w:cs="Times New Roman"/>
          <w:color w:val="000000" w:themeColor="text1"/>
        </w:rPr>
        <w:t xml:space="preserve">was framed in a way that won public and political support for a </w:t>
      </w:r>
      <w:r w:rsidR="00E47237" w:rsidRPr="00A35AE0">
        <w:rPr>
          <w:rFonts w:ascii="Times New Roman" w:hAnsi="Times New Roman" w:cs="Times New Roman"/>
          <w:color w:val="000000" w:themeColor="text1"/>
        </w:rPr>
        <w:t>more punitive approach (</w:t>
      </w:r>
      <w:r w:rsidR="00E47237" w:rsidRPr="00A35AE0">
        <w:rPr>
          <w:rFonts w:ascii="Times New Roman" w:hAnsi="Times New Roman" w:cs="Times New Roman"/>
          <w:bCs/>
          <w:color w:val="000000" w:themeColor="text1"/>
          <w:lang w:val="en-US"/>
        </w:rPr>
        <w:t xml:space="preserve">Hall </w:t>
      </w:r>
      <w:r w:rsidR="00E47237" w:rsidRPr="001F0AFF">
        <w:rPr>
          <w:rFonts w:ascii="Times New Roman" w:hAnsi="Times New Roman" w:cs="Times New Roman"/>
          <w:bCs/>
          <w:i/>
          <w:color w:val="000000" w:themeColor="text1"/>
          <w:lang w:val="en-US"/>
        </w:rPr>
        <w:t xml:space="preserve">et al </w:t>
      </w:r>
      <w:r w:rsidR="00E47237" w:rsidRPr="00A35AE0">
        <w:rPr>
          <w:rFonts w:ascii="Times New Roman" w:hAnsi="Times New Roman" w:cs="Times New Roman"/>
          <w:bCs/>
          <w:color w:val="000000" w:themeColor="text1"/>
          <w:lang w:val="en-US"/>
        </w:rPr>
        <w:t xml:space="preserve">1978:14; </w:t>
      </w:r>
      <w:r w:rsidR="00E47237" w:rsidRPr="00A35AE0">
        <w:rPr>
          <w:rFonts w:ascii="Times New Roman" w:hAnsi="Times New Roman" w:cs="Times New Roman"/>
          <w:color w:val="000000" w:themeColor="text1"/>
        </w:rPr>
        <w:t xml:space="preserve">Williams and Godfrey 2018). As </w:t>
      </w:r>
      <w:r w:rsidR="005C0051" w:rsidRPr="00A35AE0">
        <w:rPr>
          <w:rFonts w:ascii="Times New Roman" w:hAnsi="Times New Roman" w:cs="Times New Roman"/>
          <w:color w:val="000000" w:themeColor="text1"/>
        </w:rPr>
        <w:t xml:space="preserve">can be seen </w:t>
      </w:r>
      <w:r w:rsidR="00E47237" w:rsidRPr="00A35AE0">
        <w:rPr>
          <w:rFonts w:ascii="Times New Roman" w:hAnsi="Times New Roman" w:cs="Times New Roman"/>
          <w:color w:val="000000" w:themeColor="text1"/>
        </w:rPr>
        <w:t xml:space="preserve">in </w:t>
      </w:r>
      <w:r w:rsidR="005C0051" w:rsidRPr="00A35AE0">
        <w:rPr>
          <w:rFonts w:ascii="Times New Roman" w:hAnsi="Times New Roman" w:cs="Times New Roman"/>
          <w:color w:val="000000" w:themeColor="text1"/>
        </w:rPr>
        <w:t>Fig</w:t>
      </w:r>
      <w:r w:rsidR="00D541D4">
        <w:rPr>
          <w:rFonts w:ascii="Times New Roman" w:hAnsi="Times New Roman" w:cs="Times New Roman"/>
          <w:color w:val="000000" w:themeColor="text1"/>
        </w:rPr>
        <w:t>ure</w:t>
      </w:r>
      <w:r w:rsidR="005C0051" w:rsidRPr="00A35AE0">
        <w:rPr>
          <w:rFonts w:ascii="Times New Roman" w:hAnsi="Times New Roman" w:cs="Times New Roman"/>
          <w:color w:val="000000" w:themeColor="text1"/>
        </w:rPr>
        <w:t xml:space="preserve"> </w:t>
      </w:r>
      <w:r w:rsidR="00A13534">
        <w:rPr>
          <w:rFonts w:ascii="Times New Roman" w:hAnsi="Times New Roman" w:cs="Times New Roman"/>
          <w:color w:val="000000" w:themeColor="text1"/>
        </w:rPr>
        <w:t>4</w:t>
      </w:r>
      <w:r w:rsidR="005C0051" w:rsidRPr="00A35AE0">
        <w:rPr>
          <w:rFonts w:ascii="Times New Roman" w:hAnsi="Times New Roman" w:cs="Times New Roman"/>
          <w:color w:val="000000" w:themeColor="text1"/>
        </w:rPr>
        <w:t xml:space="preserve">, following the initial spate of ‘muggings’ in 1972, </w:t>
      </w:r>
      <w:r w:rsidR="00A83FA5" w:rsidRPr="00A35AE0">
        <w:rPr>
          <w:rFonts w:ascii="Times New Roman" w:hAnsi="Times New Roman" w:cs="Times New Roman"/>
          <w:color w:val="000000" w:themeColor="text1"/>
        </w:rPr>
        <w:t>the number of detention centre orders</w:t>
      </w:r>
      <w:r w:rsidR="005C0051" w:rsidRPr="00A35AE0">
        <w:rPr>
          <w:rFonts w:ascii="Times New Roman" w:hAnsi="Times New Roman" w:cs="Times New Roman"/>
          <w:color w:val="000000" w:themeColor="text1"/>
        </w:rPr>
        <w:t xml:space="preserve"> rose significantly, especially for </w:t>
      </w:r>
      <w:r w:rsidR="005C0051" w:rsidRPr="00A35AE0">
        <w:rPr>
          <w:rFonts w:ascii="Times New Roman" w:eastAsia="Arial Unicode MS" w:hAnsi="Times New Roman" w:cs="Times New Roman"/>
          <w:color w:val="000000" w:themeColor="text1"/>
          <w:bdr w:val="nil"/>
          <w:lang w:val="en-US"/>
        </w:rPr>
        <w:t>b</w:t>
      </w:r>
      <w:r w:rsidR="00A02D94" w:rsidRPr="00A35AE0">
        <w:rPr>
          <w:rFonts w:ascii="Times New Roman" w:eastAsia="Arial Unicode MS" w:hAnsi="Times New Roman" w:cs="Times New Roman"/>
          <w:color w:val="000000" w:themeColor="text1"/>
          <w:bdr w:val="nil"/>
          <w:lang w:val="en-US"/>
        </w:rPr>
        <w:t xml:space="preserve">oys and young men from </w:t>
      </w:r>
      <w:r w:rsidR="007D34C6">
        <w:rPr>
          <w:rFonts w:ascii="Times New Roman" w:eastAsia="Arial Unicode MS" w:hAnsi="Times New Roman" w:cs="Times New Roman"/>
          <w:color w:val="000000" w:themeColor="text1"/>
          <w:bdr w:val="nil"/>
          <w:lang w:val="en-US"/>
        </w:rPr>
        <w:t>black and minority ethnic</w:t>
      </w:r>
      <w:r w:rsidR="0094797F">
        <w:rPr>
          <w:rFonts w:ascii="Times New Roman" w:eastAsia="Arial Unicode MS" w:hAnsi="Times New Roman" w:cs="Times New Roman"/>
          <w:color w:val="000000" w:themeColor="text1"/>
          <w:bdr w:val="nil"/>
          <w:lang w:val="en-US"/>
        </w:rPr>
        <w:t xml:space="preserve"> </w:t>
      </w:r>
      <w:r w:rsidR="00A02D94" w:rsidRPr="00A35AE0">
        <w:rPr>
          <w:rFonts w:ascii="Times New Roman" w:eastAsia="Arial Unicode MS" w:hAnsi="Times New Roman" w:cs="Times New Roman"/>
          <w:color w:val="000000" w:themeColor="text1"/>
          <w:bdr w:val="nil"/>
          <w:lang w:val="en-US"/>
        </w:rPr>
        <w:t xml:space="preserve">backgrounds </w:t>
      </w:r>
      <w:r w:rsidR="005C0051" w:rsidRPr="00A35AE0">
        <w:rPr>
          <w:rFonts w:ascii="Times New Roman" w:eastAsia="Arial Unicode MS" w:hAnsi="Times New Roman" w:cs="Times New Roman"/>
          <w:color w:val="000000" w:themeColor="text1"/>
          <w:bdr w:val="nil"/>
          <w:lang w:val="en-US"/>
        </w:rPr>
        <w:t xml:space="preserve">who </w:t>
      </w:r>
      <w:r w:rsidR="00231A3A" w:rsidRPr="00A35AE0">
        <w:rPr>
          <w:rFonts w:ascii="Times New Roman" w:eastAsia="Arial Unicode MS" w:hAnsi="Times New Roman" w:cs="Times New Roman"/>
          <w:color w:val="000000" w:themeColor="text1"/>
          <w:bdr w:val="nil"/>
          <w:lang w:val="en-US"/>
        </w:rPr>
        <w:t>we</w:t>
      </w:r>
      <w:r w:rsidR="00A02D94" w:rsidRPr="00A35AE0">
        <w:rPr>
          <w:rFonts w:ascii="Times New Roman" w:eastAsia="Arial Unicode MS" w:hAnsi="Times New Roman" w:cs="Times New Roman"/>
          <w:color w:val="000000" w:themeColor="text1"/>
          <w:bdr w:val="nil"/>
          <w:lang w:val="en-US"/>
        </w:rPr>
        <w:t>re</w:t>
      </w:r>
      <w:r w:rsidR="00D76BED" w:rsidRPr="00A35AE0">
        <w:rPr>
          <w:rFonts w:ascii="Times New Roman" w:eastAsia="Arial Unicode MS" w:hAnsi="Times New Roman" w:cs="Times New Roman"/>
          <w:color w:val="000000" w:themeColor="text1"/>
          <w:bdr w:val="nil"/>
          <w:lang w:val="en-US"/>
        </w:rPr>
        <w:t>,</w:t>
      </w:r>
      <w:r w:rsidR="00A02D94" w:rsidRPr="00A35AE0">
        <w:rPr>
          <w:rFonts w:ascii="Times New Roman" w:eastAsia="Arial Unicode MS" w:hAnsi="Times New Roman" w:cs="Times New Roman"/>
          <w:color w:val="000000" w:themeColor="text1"/>
          <w:bdr w:val="nil"/>
          <w:lang w:val="en-US"/>
        </w:rPr>
        <w:t xml:space="preserve"> </w:t>
      </w:r>
      <w:r w:rsidR="0046175B" w:rsidRPr="00A35AE0">
        <w:rPr>
          <w:rFonts w:ascii="Times New Roman" w:eastAsia="Arial Unicode MS" w:hAnsi="Times New Roman" w:cs="Times New Roman"/>
          <w:color w:val="000000" w:themeColor="text1"/>
          <w:bdr w:val="nil"/>
          <w:lang w:val="en-US"/>
        </w:rPr>
        <w:t>and still are</w:t>
      </w:r>
      <w:r w:rsidR="00D76BED" w:rsidRPr="00A35AE0">
        <w:rPr>
          <w:rFonts w:ascii="Times New Roman" w:eastAsia="Arial Unicode MS" w:hAnsi="Times New Roman" w:cs="Times New Roman"/>
          <w:color w:val="000000" w:themeColor="text1"/>
          <w:bdr w:val="nil"/>
          <w:lang w:val="en-US"/>
        </w:rPr>
        <w:t>,</w:t>
      </w:r>
      <w:r w:rsidR="0046175B" w:rsidRPr="00A35AE0">
        <w:rPr>
          <w:rFonts w:ascii="Times New Roman" w:eastAsia="Arial Unicode MS" w:hAnsi="Times New Roman" w:cs="Times New Roman"/>
          <w:color w:val="000000" w:themeColor="text1"/>
          <w:bdr w:val="nil"/>
          <w:lang w:val="en-US"/>
        </w:rPr>
        <w:t xml:space="preserve"> </w:t>
      </w:r>
      <w:r w:rsidR="00A02D94" w:rsidRPr="00A35AE0">
        <w:rPr>
          <w:rFonts w:ascii="Times New Roman" w:eastAsia="Arial Unicode MS" w:hAnsi="Times New Roman" w:cs="Times New Roman"/>
          <w:color w:val="000000" w:themeColor="text1"/>
          <w:bdr w:val="nil"/>
          <w:lang w:val="en-US"/>
        </w:rPr>
        <w:t>heavily over-represented among the young incarcerated population</w:t>
      </w:r>
      <w:r w:rsidR="00945633">
        <w:rPr>
          <w:rFonts w:ascii="Times New Roman" w:eastAsia="Arial Unicode MS" w:hAnsi="Times New Roman" w:cs="Times New Roman"/>
          <w:color w:val="000000" w:themeColor="text1"/>
          <w:bdr w:val="nil"/>
          <w:lang w:val="en-US"/>
        </w:rPr>
        <w:t xml:space="preserve"> (</w:t>
      </w:r>
      <w:proofErr w:type="spellStart"/>
      <w:r w:rsidR="00945633">
        <w:rPr>
          <w:rFonts w:ascii="Times New Roman" w:eastAsia="Arial Unicode MS" w:hAnsi="Times New Roman" w:cs="Times New Roman"/>
          <w:color w:val="000000" w:themeColor="text1"/>
          <w:bdr w:val="nil"/>
          <w:lang w:val="en-US"/>
        </w:rPr>
        <w:t>Lammy</w:t>
      </w:r>
      <w:proofErr w:type="spellEnd"/>
      <w:r w:rsidR="00945633">
        <w:rPr>
          <w:rFonts w:ascii="Times New Roman" w:eastAsia="Arial Unicode MS" w:hAnsi="Times New Roman" w:cs="Times New Roman"/>
          <w:color w:val="000000" w:themeColor="text1"/>
          <w:bdr w:val="nil"/>
          <w:lang w:val="en-US"/>
        </w:rPr>
        <w:t xml:space="preserve"> Review, 2017</w:t>
      </w:r>
      <w:r w:rsidR="00CE50F3">
        <w:rPr>
          <w:rFonts w:ascii="Times New Roman" w:eastAsia="Arial Unicode MS" w:hAnsi="Times New Roman" w:cs="Times New Roman"/>
          <w:color w:val="000000" w:themeColor="text1"/>
          <w:bdr w:val="nil"/>
          <w:lang w:val="en-US"/>
        </w:rPr>
        <w:t xml:space="preserve">; </w:t>
      </w:r>
      <w:proofErr w:type="spellStart"/>
      <w:r w:rsidR="00CE50F3" w:rsidRPr="00862FD4">
        <w:rPr>
          <w:rFonts w:ascii="Times New Roman" w:eastAsia="Arial Unicode MS" w:hAnsi="Times New Roman" w:cs="Times New Roman"/>
          <w:color w:val="000000" w:themeColor="text1"/>
          <w:bdr w:val="nil"/>
          <w:lang w:val="en-US"/>
        </w:rPr>
        <w:t>Cunneen</w:t>
      </w:r>
      <w:proofErr w:type="spellEnd"/>
      <w:r w:rsidR="00CE50F3" w:rsidRPr="00862FD4">
        <w:rPr>
          <w:rFonts w:ascii="Times New Roman" w:eastAsia="Arial Unicode MS" w:hAnsi="Times New Roman" w:cs="Times New Roman"/>
          <w:color w:val="000000" w:themeColor="text1"/>
          <w:bdr w:val="nil"/>
          <w:lang w:val="en-US"/>
        </w:rPr>
        <w:t xml:space="preserve"> et al, 2018</w:t>
      </w:r>
      <w:r w:rsidR="00945633">
        <w:rPr>
          <w:rFonts w:ascii="Times New Roman" w:eastAsia="Arial Unicode MS" w:hAnsi="Times New Roman" w:cs="Times New Roman"/>
          <w:color w:val="000000" w:themeColor="text1"/>
          <w:bdr w:val="nil"/>
          <w:lang w:val="en-US"/>
        </w:rPr>
        <w:t>)</w:t>
      </w:r>
      <w:r w:rsidR="00A02D94" w:rsidRPr="00A35AE0">
        <w:rPr>
          <w:rFonts w:ascii="Times New Roman" w:eastAsia="Arial Unicode MS" w:hAnsi="Times New Roman" w:cs="Times New Roman"/>
          <w:color w:val="000000" w:themeColor="text1"/>
          <w:bdr w:val="nil"/>
          <w:lang w:val="en-US"/>
        </w:rPr>
        <w:t xml:space="preserve">. </w:t>
      </w:r>
      <w:r w:rsidR="0094797F" w:rsidRPr="00F24F1C">
        <w:rPr>
          <w:rFonts w:ascii="Times New Roman" w:hAnsi="Times New Roman" w:cs="Times New Roman"/>
        </w:rPr>
        <w:t xml:space="preserve">Yet, in </w:t>
      </w:r>
      <w:r w:rsidR="00A83FA5" w:rsidRPr="00F24F1C">
        <w:rPr>
          <w:rFonts w:ascii="Times New Roman" w:hAnsi="Times New Roman" w:cs="Times New Roman"/>
        </w:rPr>
        <w:t xml:space="preserve">the 1980s, the </w:t>
      </w:r>
      <w:r w:rsidR="00CF2079" w:rsidRPr="00F24F1C">
        <w:rPr>
          <w:rFonts w:ascii="Times New Roman" w:hAnsi="Times New Roman" w:cs="Times New Roman"/>
        </w:rPr>
        <w:t xml:space="preserve">youth justice </w:t>
      </w:r>
      <w:r w:rsidR="00A83FA5" w:rsidRPr="00F24F1C">
        <w:rPr>
          <w:rFonts w:ascii="Times New Roman" w:hAnsi="Times New Roman" w:cs="Times New Roman"/>
        </w:rPr>
        <w:t xml:space="preserve">system </w:t>
      </w:r>
      <w:r w:rsidR="0094797F" w:rsidRPr="00F24F1C">
        <w:rPr>
          <w:rFonts w:ascii="Times New Roman" w:hAnsi="Times New Roman" w:cs="Times New Roman"/>
        </w:rPr>
        <w:t>continued to try to</w:t>
      </w:r>
      <w:r w:rsidR="00A83FA5" w:rsidRPr="00F24F1C">
        <w:rPr>
          <w:rFonts w:ascii="Times New Roman" w:hAnsi="Times New Roman" w:cs="Times New Roman"/>
        </w:rPr>
        <w:t xml:space="preserve"> </w:t>
      </w:r>
      <w:r w:rsidR="00CF2079" w:rsidRPr="00F24F1C">
        <w:rPr>
          <w:rFonts w:ascii="Times New Roman" w:hAnsi="Times New Roman" w:cs="Times New Roman"/>
        </w:rPr>
        <w:t xml:space="preserve">balance </w:t>
      </w:r>
      <w:r w:rsidR="00CF2079" w:rsidRPr="00F24F1C">
        <w:rPr>
          <w:rFonts w:ascii="Times New Roman" w:hAnsi="Times New Roman" w:cs="Times New Roman"/>
        </w:rPr>
        <w:lastRenderedPageBreak/>
        <w:t xml:space="preserve">the punishing of deeds and the meeting of needs </w:t>
      </w:r>
      <w:r w:rsidR="00D34DF6" w:rsidRPr="00F24F1C">
        <w:rPr>
          <w:rFonts w:ascii="Times New Roman" w:hAnsi="Times New Roman" w:cs="Times New Roman"/>
        </w:rPr>
        <w:t>(</w:t>
      </w:r>
      <w:proofErr w:type="spellStart"/>
      <w:r w:rsidR="00D34DF6" w:rsidRPr="00F24F1C">
        <w:rPr>
          <w:rFonts w:ascii="Times New Roman" w:hAnsi="Times New Roman" w:cs="Times New Roman"/>
        </w:rPr>
        <w:t>Lotti</w:t>
      </w:r>
      <w:proofErr w:type="spellEnd"/>
      <w:r w:rsidR="00D34DF6" w:rsidRPr="00F24F1C">
        <w:rPr>
          <w:rFonts w:ascii="Times New Roman" w:hAnsi="Times New Roman" w:cs="Times New Roman"/>
        </w:rPr>
        <w:t xml:space="preserve"> 2016</w:t>
      </w:r>
      <w:r w:rsidR="0094797F" w:rsidRPr="00F24F1C">
        <w:rPr>
          <w:rFonts w:ascii="Times New Roman" w:hAnsi="Times New Roman" w:cs="Times New Roman"/>
        </w:rPr>
        <w:t xml:space="preserve">; </w:t>
      </w:r>
      <w:r w:rsidR="0094797F" w:rsidRPr="005D7A6B">
        <w:rPr>
          <w:rFonts w:ascii="Times New Roman" w:hAnsi="Times New Roman" w:cs="Times New Roman"/>
        </w:rPr>
        <w:t>Goldso</w:t>
      </w:r>
      <w:r w:rsidR="00CE50F3" w:rsidRPr="005D7A6B">
        <w:rPr>
          <w:rFonts w:ascii="Times New Roman" w:hAnsi="Times New Roman" w:cs="Times New Roman"/>
        </w:rPr>
        <w:t>n, 2015</w:t>
      </w:r>
      <w:r w:rsidR="00D34DF6" w:rsidRPr="005D7A6B">
        <w:rPr>
          <w:rFonts w:ascii="Times New Roman" w:hAnsi="Times New Roman" w:cs="Times New Roman"/>
        </w:rPr>
        <w:t>)</w:t>
      </w:r>
      <w:r w:rsidR="00A83FA5" w:rsidRPr="005D7A6B">
        <w:rPr>
          <w:rFonts w:ascii="Times New Roman" w:hAnsi="Times New Roman" w:cs="Times New Roman"/>
        </w:rPr>
        <w:t>.</w:t>
      </w:r>
      <w:r w:rsidR="00A83FA5" w:rsidRPr="00F24F1C">
        <w:rPr>
          <w:rFonts w:ascii="Times New Roman" w:hAnsi="Times New Roman" w:cs="Times New Roman"/>
        </w:rPr>
        <w:t xml:space="preserve"> </w:t>
      </w:r>
      <w:r w:rsidR="00724595" w:rsidRPr="00F24F1C">
        <w:rPr>
          <w:rFonts w:ascii="Times New Roman" w:hAnsi="Times New Roman" w:cs="Times New Roman"/>
        </w:rPr>
        <w:t xml:space="preserve">The </w:t>
      </w:r>
      <w:r w:rsidR="00736AFD" w:rsidRPr="00F24F1C">
        <w:rPr>
          <w:rFonts w:ascii="Times New Roman" w:hAnsi="Times New Roman" w:cs="Times New Roman"/>
        </w:rPr>
        <w:t xml:space="preserve">1982 Criminal Justice Act </w:t>
      </w:r>
      <w:r w:rsidR="00724595" w:rsidRPr="00F24F1C">
        <w:rPr>
          <w:rFonts w:ascii="Times New Roman" w:hAnsi="Times New Roman" w:cs="Times New Roman"/>
        </w:rPr>
        <w:t xml:space="preserve">abolished borstals and </w:t>
      </w:r>
      <w:r w:rsidR="00736AFD" w:rsidRPr="00F24F1C">
        <w:rPr>
          <w:rFonts w:ascii="Times New Roman" w:hAnsi="Times New Roman" w:cs="Times New Roman"/>
        </w:rPr>
        <w:t>merge</w:t>
      </w:r>
      <w:r w:rsidR="00724595" w:rsidRPr="00F24F1C">
        <w:rPr>
          <w:rFonts w:ascii="Times New Roman" w:hAnsi="Times New Roman" w:cs="Times New Roman"/>
        </w:rPr>
        <w:t>d</w:t>
      </w:r>
      <w:r w:rsidR="00736AFD" w:rsidRPr="00F24F1C">
        <w:rPr>
          <w:rFonts w:ascii="Times New Roman" w:hAnsi="Times New Roman" w:cs="Times New Roman"/>
        </w:rPr>
        <w:t xml:space="preserve"> youth imprisonment and borstals into </w:t>
      </w:r>
      <w:r w:rsidR="00030505" w:rsidRPr="00F24F1C">
        <w:rPr>
          <w:rFonts w:ascii="Times New Roman" w:hAnsi="Times New Roman" w:cs="Times New Roman"/>
        </w:rPr>
        <w:t>Y</w:t>
      </w:r>
      <w:r w:rsidR="00736AFD" w:rsidRPr="00F24F1C">
        <w:rPr>
          <w:rFonts w:ascii="Times New Roman" w:hAnsi="Times New Roman" w:cs="Times New Roman"/>
        </w:rPr>
        <w:t xml:space="preserve">outh </w:t>
      </w:r>
      <w:r w:rsidR="00030505" w:rsidRPr="00F24F1C">
        <w:rPr>
          <w:rFonts w:ascii="Times New Roman" w:hAnsi="Times New Roman" w:cs="Times New Roman"/>
        </w:rPr>
        <w:t>C</w:t>
      </w:r>
      <w:r w:rsidR="00736AFD" w:rsidRPr="00F24F1C">
        <w:rPr>
          <w:rFonts w:ascii="Times New Roman" w:hAnsi="Times New Roman" w:cs="Times New Roman"/>
        </w:rPr>
        <w:t xml:space="preserve">ustody </w:t>
      </w:r>
      <w:r w:rsidR="00030505" w:rsidRPr="00F24F1C">
        <w:rPr>
          <w:rFonts w:ascii="Times New Roman" w:hAnsi="Times New Roman" w:cs="Times New Roman"/>
        </w:rPr>
        <w:t>C</w:t>
      </w:r>
      <w:r w:rsidR="00736AFD" w:rsidRPr="00F24F1C">
        <w:rPr>
          <w:rFonts w:ascii="Times New Roman" w:hAnsi="Times New Roman" w:cs="Times New Roman"/>
        </w:rPr>
        <w:t xml:space="preserve">entres </w:t>
      </w:r>
      <w:r w:rsidR="00A83FA5" w:rsidRPr="00F24F1C">
        <w:rPr>
          <w:rFonts w:ascii="Times New Roman" w:hAnsi="Times New Roman" w:cs="Times New Roman"/>
        </w:rPr>
        <w:t xml:space="preserve">(YCC) </w:t>
      </w:r>
      <w:r w:rsidR="00736AFD" w:rsidRPr="00F24F1C">
        <w:rPr>
          <w:rFonts w:ascii="Times New Roman" w:hAnsi="Times New Roman" w:cs="Times New Roman"/>
        </w:rPr>
        <w:t xml:space="preserve">for the under 21s, restricting </w:t>
      </w:r>
      <w:r w:rsidR="00724595" w:rsidRPr="00F24F1C">
        <w:rPr>
          <w:rFonts w:ascii="Times New Roman" w:hAnsi="Times New Roman" w:cs="Times New Roman"/>
        </w:rPr>
        <w:t xml:space="preserve">the </w:t>
      </w:r>
      <w:r w:rsidR="00736AFD" w:rsidRPr="00F24F1C">
        <w:rPr>
          <w:rFonts w:ascii="Times New Roman" w:hAnsi="Times New Roman" w:cs="Times New Roman"/>
        </w:rPr>
        <w:t>use o</w:t>
      </w:r>
      <w:r w:rsidR="008D2AB3" w:rsidRPr="00F24F1C">
        <w:rPr>
          <w:rFonts w:ascii="Times New Roman" w:hAnsi="Times New Roman" w:cs="Times New Roman"/>
        </w:rPr>
        <w:t>f</w:t>
      </w:r>
      <w:r w:rsidR="00736AFD" w:rsidRPr="00F24F1C">
        <w:rPr>
          <w:rFonts w:ascii="Times New Roman" w:hAnsi="Times New Roman" w:cs="Times New Roman"/>
        </w:rPr>
        <w:t xml:space="preserve"> </w:t>
      </w:r>
      <w:r w:rsidR="008D2AB3" w:rsidRPr="00F24F1C">
        <w:rPr>
          <w:rFonts w:ascii="Times New Roman" w:hAnsi="Times New Roman" w:cs="Times New Roman"/>
        </w:rPr>
        <w:t xml:space="preserve">custody as </w:t>
      </w:r>
      <w:r w:rsidR="00736AFD" w:rsidRPr="00F24F1C">
        <w:rPr>
          <w:rFonts w:ascii="Times New Roman" w:hAnsi="Times New Roman" w:cs="Times New Roman"/>
        </w:rPr>
        <w:t>a last resort</w:t>
      </w:r>
      <w:r w:rsidR="00724595" w:rsidRPr="00F24F1C">
        <w:rPr>
          <w:rFonts w:ascii="Times New Roman" w:hAnsi="Times New Roman" w:cs="Times New Roman"/>
        </w:rPr>
        <w:t>, but re-affirming</w:t>
      </w:r>
      <w:r w:rsidR="00A83FA5" w:rsidRPr="00F24F1C">
        <w:rPr>
          <w:rFonts w:ascii="Times New Roman" w:hAnsi="Times New Roman" w:cs="Times New Roman"/>
        </w:rPr>
        <w:t xml:space="preserve"> that</w:t>
      </w:r>
      <w:r w:rsidR="00724595" w:rsidRPr="00F24F1C">
        <w:rPr>
          <w:rFonts w:ascii="Times New Roman" w:hAnsi="Times New Roman" w:cs="Times New Roman"/>
        </w:rPr>
        <w:t xml:space="preserve"> </w:t>
      </w:r>
      <w:r w:rsidR="00A83FA5" w:rsidRPr="00F24F1C">
        <w:rPr>
          <w:rFonts w:ascii="Times New Roman" w:hAnsi="Times New Roman" w:cs="Times New Roman"/>
        </w:rPr>
        <w:t>YCC</w:t>
      </w:r>
      <w:r w:rsidR="0094797F" w:rsidRPr="00F24F1C">
        <w:rPr>
          <w:rFonts w:ascii="Times New Roman" w:hAnsi="Times New Roman" w:cs="Times New Roman"/>
        </w:rPr>
        <w:t>s</w:t>
      </w:r>
      <w:r w:rsidR="00A83FA5" w:rsidRPr="00F24F1C">
        <w:rPr>
          <w:rFonts w:ascii="Times New Roman" w:hAnsi="Times New Roman" w:cs="Times New Roman"/>
        </w:rPr>
        <w:t xml:space="preserve"> </w:t>
      </w:r>
      <w:r w:rsidR="00724595" w:rsidRPr="00F24F1C">
        <w:rPr>
          <w:rFonts w:ascii="Times New Roman" w:hAnsi="Times New Roman" w:cs="Times New Roman"/>
        </w:rPr>
        <w:t xml:space="preserve">were meant to provide </w:t>
      </w:r>
      <w:r w:rsidR="00736AFD" w:rsidRPr="00F24F1C">
        <w:rPr>
          <w:rFonts w:ascii="Times New Roman" w:hAnsi="Times New Roman" w:cs="Times New Roman"/>
        </w:rPr>
        <w:t xml:space="preserve">a </w:t>
      </w:r>
      <w:r w:rsidR="005C0051" w:rsidRPr="00F24F1C">
        <w:rPr>
          <w:rFonts w:ascii="Times New Roman" w:hAnsi="Times New Roman" w:cs="Times New Roman"/>
        </w:rPr>
        <w:t>‘</w:t>
      </w:r>
      <w:r w:rsidR="00736AFD" w:rsidRPr="00F24F1C">
        <w:rPr>
          <w:rFonts w:ascii="Times New Roman" w:hAnsi="Times New Roman" w:cs="Times New Roman"/>
        </w:rPr>
        <w:t>short, sharp shock</w:t>
      </w:r>
      <w:r w:rsidR="005C0051" w:rsidRPr="00F24F1C">
        <w:rPr>
          <w:rFonts w:ascii="Times New Roman" w:hAnsi="Times New Roman" w:cs="Times New Roman"/>
        </w:rPr>
        <w:t>’</w:t>
      </w:r>
      <w:r w:rsidR="00724595" w:rsidRPr="00F24F1C">
        <w:rPr>
          <w:rFonts w:ascii="Times New Roman" w:hAnsi="Times New Roman" w:cs="Times New Roman"/>
        </w:rPr>
        <w:t xml:space="preserve"> for their inmates</w:t>
      </w:r>
      <w:r w:rsidR="0094797F" w:rsidRPr="00F24F1C">
        <w:rPr>
          <w:rFonts w:ascii="Times New Roman" w:hAnsi="Times New Roman" w:cs="Times New Roman"/>
        </w:rPr>
        <w:t xml:space="preserve">. </w:t>
      </w:r>
      <w:r w:rsidR="00724595" w:rsidRPr="00F24F1C">
        <w:rPr>
          <w:rFonts w:ascii="Times New Roman" w:hAnsi="Times New Roman" w:cs="Times New Roman"/>
        </w:rPr>
        <w:t xml:space="preserve">Eight years later, </w:t>
      </w:r>
      <w:r w:rsidR="00A83FA5" w:rsidRPr="00F24F1C">
        <w:rPr>
          <w:rFonts w:ascii="Times New Roman" w:hAnsi="Times New Roman" w:cs="Times New Roman"/>
        </w:rPr>
        <w:t>YCC</w:t>
      </w:r>
      <w:r w:rsidR="00724595" w:rsidRPr="00F24F1C">
        <w:rPr>
          <w:rFonts w:ascii="Times New Roman" w:hAnsi="Times New Roman" w:cs="Times New Roman"/>
        </w:rPr>
        <w:t xml:space="preserve"> and detention centres were merged together to form Young Offender Institutions</w:t>
      </w:r>
      <w:r w:rsidR="00A83FA5" w:rsidRPr="00F24F1C">
        <w:rPr>
          <w:rFonts w:ascii="Times New Roman" w:hAnsi="Times New Roman" w:cs="Times New Roman"/>
        </w:rPr>
        <w:t xml:space="preserve"> (YOI). R</w:t>
      </w:r>
      <w:r w:rsidR="00724595" w:rsidRPr="00F24F1C">
        <w:rPr>
          <w:rFonts w:ascii="Times New Roman" w:hAnsi="Times New Roman" w:cs="Times New Roman"/>
        </w:rPr>
        <w:t xml:space="preserve">estrictions were placed on </w:t>
      </w:r>
      <w:r w:rsidR="0094797F" w:rsidRPr="00F24F1C">
        <w:rPr>
          <w:rFonts w:ascii="Times New Roman" w:hAnsi="Times New Roman" w:cs="Times New Roman"/>
        </w:rPr>
        <w:t xml:space="preserve">magistrates’ use of </w:t>
      </w:r>
      <w:r w:rsidR="00724595" w:rsidRPr="00F24F1C">
        <w:rPr>
          <w:rFonts w:ascii="Times New Roman" w:hAnsi="Times New Roman" w:cs="Times New Roman"/>
        </w:rPr>
        <w:t xml:space="preserve">youth custody, as they were </w:t>
      </w:r>
      <w:r w:rsidR="005C0051" w:rsidRPr="00F24F1C">
        <w:rPr>
          <w:rFonts w:ascii="Times New Roman" w:hAnsi="Times New Roman" w:cs="Times New Roman"/>
        </w:rPr>
        <w:t xml:space="preserve">when </w:t>
      </w:r>
      <w:r w:rsidR="00724595" w:rsidRPr="00F24F1C">
        <w:rPr>
          <w:rFonts w:ascii="Times New Roman" w:hAnsi="Times New Roman" w:cs="Times New Roman"/>
        </w:rPr>
        <w:t xml:space="preserve">Article 37 of </w:t>
      </w:r>
      <w:r w:rsidR="0094797F" w:rsidRPr="00F24F1C">
        <w:rPr>
          <w:rFonts w:ascii="Times New Roman" w:hAnsi="Times New Roman" w:cs="Times New Roman"/>
        </w:rPr>
        <w:t>t</w:t>
      </w:r>
      <w:r w:rsidR="00724595" w:rsidRPr="00F24F1C">
        <w:rPr>
          <w:rFonts w:ascii="Times New Roman" w:hAnsi="Times New Roman" w:cs="Times New Roman"/>
        </w:rPr>
        <w:t>he</w:t>
      </w:r>
      <w:r w:rsidR="00864F13" w:rsidRPr="00F24F1C">
        <w:rPr>
          <w:rFonts w:ascii="Times New Roman" w:hAnsi="Times New Roman" w:cs="Times New Roman"/>
        </w:rPr>
        <w:t xml:space="preserve"> </w:t>
      </w:r>
      <w:r w:rsidR="0094797F" w:rsidRPr="00F24F1C">
        <w:rPr>
          <w:rFonts w:ascii="Times New Roman" w:hAnsi="Times New Roman" w:cs="Times New Roman"/>
        </w:rPr>
        <w:t xml:space="preserve">1989 </w:t>
      </w:r>
      <w:r w:rsidR="00864F13" w:rsidRPr="00F24F1C">
        <w:rPr>
          <w:rFonts w:ascii="Times New Roman" w:hAnsi="Times New Roman" w:cs="Times New Roman"/>
        </w:rPr>
        <w:t>UN Convention on the Rights of the Child st</w:t>
      </w:r>
      <w:r w:rsidR="005C0051" w:rsidRPr="00F24F1C">
        <w:rPr>
          <w:rFonts w:ascii="Times New Roman" w:hAnsi="Times New Roman" w:cs="Times New Roman"/>
        </w:rPr>
        <w:t xml:space="preserve">ipulated </w:t>
      </w:r>
      <w:r w:rsidR="00864F13" w:rsidRPr="00F24F1C">
        <w:rPr>
          <w:rFonts w:ascii="Times New Roman" w:hAnsi="Times New Roman" w:cs="Times New Roman"/>
        </w:rPr>
        <w:t>that custody</w:t>
      </w:r>
      <w:r w:rsidR="005C0051" w:rsidRPr="00F24F1C">
        <w:rPr>
          <w:rFonts w:ascii="Times New Roman" w:hAnsi="Times New Roman" w:cs="Times New Roman"/>
        </w:rPr>
        <w:t xml:space="preserve"> </w:t>
      </w:r>
      <w:r w:rsidR="00724595" w:rsidRPr="00F24F1C">
        <w:rPr>
          <w:rFonts w:ascii="Times New Roman" w:hAnsi="Times New Roman" w:cs="Times New Roman"/>
        </w:rPr>
        <w:t xml:space="preserve">should be limited </w:t>
      </w:r>
      <w:r w:rsidR="00864F13" w:rsidRPr="00F24F1C">
        <w:rPr>
          <w:rFonts w:ascii="Times New Roman" w:hAnsi="Times New Roman" w:cs="Times New Roman"/>
        </w:rPr>
        <w:t>to the shortest possible time.</w:t>
      </w:r>
      <w:r w:rsidR="00724595" w:rsidRPr="00F24F1C">
        <w:rPr>
          <w:rFonts w:ascii="Times New Roman" w:hAnsi="Times New Roman" w:cs="Times New Roman"/>
        </w:rPr>
        <w:t xml:space="preserve"> </w:t>
      </w:r>
      <w:r w:rsidR="005C0051" w:rsidRPr="00F24F1C">
        <w:rPr>
          <w:rFonts w:ascii="Times New Roman" w:hAnsi="Times New Roman" w:cs="Times New Roman"/>
        </w:rPr>
        <w:t>Imprisonment</w:t>
      </w:r>
      <w:r w:rsidR="00724595" w:rsidRPr="00F24F1C">
        <w:rPr>
          <w:rFonts w:ascii="Times New Roman" w:hAnsi="Times New Roman" w:cs="Times New Roman"/>
        </w:rPr>
        <w:t xml:space="preserve"> was </w:t>
      </w:r>
      <w:r w:rsidR="001346B6" w:rsidRPr="00F24F1C">
        <w:rPr>
          <w:rFonts w:ascii="Times New Roman" w:hAnsi="Times New Roman" w:cs="Times New Roman"/>
        </w:rPr>
        <w:t>r</w:t>
      </w:r>
      <w:r w:rsidR="00724595" w:rsidRPr="00F24F1C">
        <w:rPr>
          <w:rFonts w:ascii="Times New Roman" w:hAnsi="Times New Roman" w:cs="Times New Roman"/>
        </w:rPr>
        <w:t>emoved as an option for under</w:t>
      </w:r>
      <w:r w:rsidR="0094797F" w:rsidRPr="00F24F1C">
        <w:rPr>
          <w:rFonts w:ascii="Times New Roman" w:hAnsi="Times New Roman" w:cs="Times New Roman"/>
        </w:rPr>
        <w:t>-fifteens</w:t>
      </w:r>
      <w:r w:rsidR="00864F13" w:rsidRPr="00F24F1C">
        <w:rPr>
          <w:rFonts w:ascii="Times New Roman" w:hAnsi="Times New Roman" w:cs="Times New Roman"/>
        </w:rPr>
        <w:t xml:space="preserve">, and curfew orders </w:t>
      </w:r>
      <w:r w:rsidR="00724595" w:rsidRPr="00F24F1C">
        <w:rPr>
          <w:rFonts w:ascii="Times New Roman" w:hAnsi="Times New Roman" w:cs="Times New Roman"/>
        </w:rPr>
        <w:t>wer</w:t>
      </w:r>
      <w:r w:rsidR="00864F13" w:rsidRPr="00F24F1C">
        <w:rPr>
          <w:rFonts w:ascii="Times New Roman" w:hAnsi="Times New Roman" w:cs="Times New Roman"/>
        </w:rPr>
        <w:t>e introduced for over</w:t>
      </w:r>
      <w:r w:rsidR="0094797F" w:rsidRPr="00F24F1C">
        <w:rPr>
          <w:rFonts w:ascii="Times New Roman" w:hAnsi="Times New Roman" w:cs="Times New Roman"/>
        </w:rPr>
        <w:t>-sixteens</w:t>
      </w:r>
      <w:r w:rsidR="00724595" w:rsidRPr="00F24F1C">
        <w:rPr>
          <w:rFonts w:ascii="Times New Roman" w:hAnsi="Times New Roman" w:cs="Times New Roman"/>
        </w:rPr>
        <w:t xml:space="preserve">, but, in 1994, the </w:t>
      </w:r>
      <w:r w:rsidR="00864F13" w:rsidRPr="00F24F1C">
        <w:rPr>
          <w:rFonts w:ascii="Times New Roman" w:hAnsi="Times New Roman" w:cs="Times New Roman"/>
        </w:rPr>
        <w:t xml:space="preserve">Criminal Justice and Public Order Act </w:t>
      </w:r>
      <w:r w:rsidR="0094797F" w:rsidRPr="00F24F1C">
        <w:rPr>
          <w:rFonts w:ascii="Times New Roman" w:hAnsi="Times New Roman" w:cs="Times New Roman"/>
        </w:rPr>
        <w:t xml:space="preserve">once again </w:t>
      </w:r>
      <w:r w:rsidR="00724595" w:rsidRPr="00F24F1C">
        <w:rPr>
          <w:rFonts w:ascii="Times New Roman" w:hAnsi="Times New Roman" w:cs="Times New Roman"/>
        </w:rPr>
        <w:t>allowed</w:t>
      </w:r>
      <w:r w:rsidR="00864F13" w:rsidRPr="00F24F1C">
        <w:rPr>
          <w:rFonts w:ascii="Times New Roman" w:hAnsi="Times New Roman" w:cs="Times New Roman"/>
        </w:rPr>
        <w:t xml:space="preserve"> </w:t>
      </w:r>
      <w:r w:rsidR="005C0051" w:rsidRPr="00F24F1C">
        <w:rPr>
          <w:rFonts w:ascii="Times New Roman" w:hAnsi="Times New Roman" w:cs="Times New Roman"/>
        </w:rPr>
        <w:t>the</w:t>
      </w:r>
      <w:r w:rsidR="00864F13" w:rsidRPr="00F24F1C">
        <w:rPr>
          <w:rFonts w:ascii="Times New Roman" w:hAnsi="Times New Roman" w:cs="Times New Roman"/>
        </w:rPr>
        <w:t xml:space="preserve"> </w:t>
      </w:r>
      <w:r w:rsidR="00724595" w:rsidRPr="00F24F1C">
        <w:rPr>
          <w:rFonts w:ascii="Times New Roman" w:hAnsi="Times New Roman" w:cs="Times New Roman"/>
        </w:rPr>
        <w:t>imprison</w:t>
      </w:r>
      <w:r w:rsidR="005C0051" w:rsidRPr="00F24F1C">
        <w:rPr>
          <w:rFonts w:ascii="Times New Roman" w:hAnsi="Times New Roman" w:cs="Times New Roman"/>
        </w:rPr>
        <w:t>ment of</w:t>
      </w:r>
      <w:r w:rsidR="00864F13" w:rsidRPr="00F24F1C">
        <w:rPr>
          <w:rFonts w:ascii="Times New Roman" w:hAnsi="Times New Roman" w:cs="Times New Roman"/>
        </w:rPr>
        <w:t xml:space="preserve"> </w:t>
      </w:r>
      <w:r w:rsidR="00351F62" w:rsidRPr="00F24F1C">
        <w:rPr>
          <w:rFonts w:ascii="Times New Roman" w:hAnsi="Times New Roman" w:cs="Times New Roman"/>
        </w:rPr>
        <w:t>children aged between twelve and fourteen</w:t>
      </w:r>
      <w:r w:rsidR="00864F13" w:rsidRPr="00F24F1C">
        <w:rPr>
          <w:rFonts w:ascii="Times New Roman" w:hAnsi="Times New Roman" w:cs="Times New Roman"/>
        </w:rPr>
        <w:t xml:space="preserve"> year</w:t>
      </w:r>
      <w:r w:rsidR="00351F62" w:rsidRPr="00F24F1C">
        <w:rPr>
          <w:rFonts w:ascii="Times New Roman" w:hAnsi="Times New Roman" w:cs="Times New Roman"/>
        </w:rPr>
        <w:t>s</w:t>
      </w:r>
      <w:r w:rsidR="00864F13" w:rsidRPr="00F24F1C">
        <w:rPr>
          <w:rFonts w:ascii="Times New Roman" w:hAnsi="Times New Roman" w:cs="Times New Roman"/>
        </w:rPr>
        <w:t xml:space="preserve"> old</w:t>
      </w:r>
      <w:r w:rsidR="00083EC0" w:rsidRPr="00F24F1C">
        <w:rPr>
          <w:rFonts w:ascii="Times New Roman" w:hAnsi="Times New Roman" w:cs="Times New Roman"/>
        </w:rPr>
        <w:t xml:space="preserve"> </w:t>
      </w:r>
      <w:r w:rsidR="0015367A" w:rsidRPr="00F24F1C">
        <w:rPr>
          <w:rFonts w:ascii="Times New Roman" w:hAnsi="Times New Roman" w:cs="Times New Roman"/>
        </w:rPr>
        <w:t>(</w:t>
      </w:r>
      <w:r w:rsidR="00724595" w:rsidRPr="00F24F1C">
        <w:rPr>
          <w:rFonts w:ascii="Times New Roman" w:hAnsi="Times New Roman" w:cs="Times New Roman"/>
        </w:rPr>
        <w:t>if they were</w:t>
      </w:r>
      <w:r w:rsidR="00864F13" w:rsidRPr="00F24F1C">
        <w:rPr>
          <w:rFonts w:ascii="Times New Roman" w:hAnsi="Times New Roman" w:cs="Times New Roman"/>
        </w:rPr>
        <w:t xml:space="preserve"> persistent offenders</w:t>
      </w:r>
      <w:r w:rsidR="0015367A" w:rsidRPr="00F24F1C">
        <w:rPr>
          <w:rFonts w:ascii="Times New Roman" w:hAnsi="Times New Roman" w:cs="Times New Roman"/>
        </w:rPr>
        <w:t>)</w:t>
      </w:r>
      <w:r w:rsidR="00864F13" w:rsidRPr="00F24F1C">
        <w:rPr>
          <w:rFonts w:ascii="Times New Roman" w:hAnsi="Times New Roman" w:cs="Times New Roman"/>
        </w:rPr>
        <w:t>.</w:t>
      </w:r>
      <w:r w:rsidR="00B60BEE" w:rsidRPr="00F24F1C">
        <w:rPr>
          <w:rFonts w:ascii="Times New Roman" w:hAnsi="Times New Roman" w:cs="Times New Roman"/>
        </w:rPr>
        <w:t xml:space="preserve"> </w:t>
      </w:r>
      <w:r w:rsidR="001346B6" w:rsidRPr="00F24F1C">
        <w:rPr>
          <w:rFonts w:ascii="Times New Roman" w:hAnsi="Times New Roman" w:cs="Times New Roman"/>
        </w:rPr>
        <w:t xml:space="preserve">So, although </w:t>
      </w:r>
      <w:r w:rsidR="00DA47F2" w:rsidRPr="00F24F1C">
        <w:rPr>
          <w:rFonts w:ascii="Times New Roman" w:hAnsi="Times New Roman" w:cs="Times New Roman"/>
        </w:rPr>
        <w:t xml:space="preserve">new institutions for young offenders </w:t>
      </w:r>
      <w:r w:rsidR="001346B6" w:rsidRPr="00F24F1C">
        <w:rPr>
          <w:rFonts w:ascii="Times New Roman" w:hAnsi="Times New Roman" w:cs="Times New Roman"/>
        </w:rPr>
        <w:t xml:space="preserve">introduced in the post-war period </w:t>
      </w:r>
      <w:r w:rsidR="00DA47F2" w:rsidRPr="00F24F1C">
        <w:rPr>
          <w:rFonts w:ascii="Times New Roman" w:hAnsi="Times New Roman" w:cs="Times New Roman"/>
        </w:rPr>
        <w:t xml:space="preserve">were not meant to be </w:t>
      </w:r>
      <w:r w:rsidR="001346B6" w:rsidRPr="00F24F1C">
        <w:rPr>
          <w:rFonts w:ascii="Times New Roman" w:hAnsi="Times New Roman" w:cs="Times New Roman"/>
        </w:rPr>
        <w:t>as punitive</w:t>
      </w:r>
      <w:r w:rsidR="00DA47F2" w:rsidRPr="00F24F1C">
        <w:rPr>
          <w:rFonts w:ascii="Times New Roman" w:hAnsi="Times New Roman" w:cs="Times New Roman"/>
        </w:rPr>
        <w:t xml:space="preserve"> </w:t>
      </w:r>
      <w:r w:rsidR="001346B6" w:rsidRPr="00F24F1C">
        <w:rPr>
          <w:rFonts w:ascii="Times New Roman" w:hAnsi="Times New Roman" w:cs="Times New Roman"/>
        </w:rPr>
        <w:t xml:space="preserve">as previous </w:t>
      </w:r>
      <w:r w:rsidR="0094797F" w:rsidRPr="00F24F1C">
        <w:rPr>
          <w:rFonts w:ascii="Times New Roman" w:hAnsi="Times New Roman" w:cs="Times New Roman"/>
        </w:rPr>
        <w:t xml:space="preserve">historical </w:t>
      </w:r>
      <w:r w:rsidR="001346B6" w:rsidRPr="00F24F1C">
        <w:rPr>
          <w:rFonts w:ascii="Times New Roman" w:hAnsi="Times New Roman" w:cs="Times New Roman"/>
        </w:rPr>
        <w:t>regimes</w:t>
      </w:r>
      <w:r w:rsidR="006062E0" w:rsidRPr="00F24F1C">
        <w:rPr>
          <w:rFonts w:ascii="Times New Roman" w:hAnsi="Times New Roman" w:cs="Times New Roman"/>
        </w:rPr>
        <w:t xml:space="preserve">, imprisonment for children was still very much an option for </w:t>
      </w:r>
      <w:proofErr w:type="spellStart"/>
      <w:r w:rsidR="006062E0" w:rsidRPr="00F24F1C">
        <w:rPr>
          <w:rFonts w:ascii="Times New Roman" w:hAnsi="Times New Roman" w:cs="Times New Roman"/>
        </w:rPr>
        <w:t>sentencers</w:t>
      </w:r>
      <w:proofErr w:type="spellEnd"/>
      <w:r w:rsidR="00DA47F2" w:rsidRPr="00F24F1C">
        <w:rPr>
          <w:rFonts w:ascii="Times New Roman" w:hAnsi="Times New Roman" w:cs="Times New Roman"/>
        </w:rPr>
        <w:t xml:space="preserve"> </w:t>
      </w:r>
      <w:r w:rsidR="001D281F" w:rsidRPr="00F24F1C">
        <w:rPr>
          <w:rFonts w:ascii="Times New Roman" w:hAnsi="Times New Roman" w:cs="Times New Roman"/>
        </w:rPr>
        <w:t>(</w:t>
      </w:r>
      <w:r w:rsidR="001D281F" w:rsidRPr="00A12378">
        <w:rPr>
          <w:rFonts w:ascii="Times New Roman" w:hAnsi="Times New Roman" w:cs="Times New Roman"/>
        </w:rPr>
        <w:t>see Coleman and Warren-Adamson, 1992; Muncie, 1990</w:t>
      </w:r>
      <w:r w:rsidR="00BF21FC" w:rsidRPr="00A12378">
        <w:rPr>
          <w:rFonts w:ascii="Times New Roman" w:hAnsi="Times New Roman" w:cs="Times New Roman"/>
        </w:rPr>
        <w:t>, 2009)</w:t>
      </w:r>
      <w:r w:rsidR="00CE50F3" w:rsidRPr="00A12378">
        <w:rPr>
          <w:rFonts w:ascii="Times New Roman" w:hAnsi="Times New Roman" w:cs="Times New Roman"/>
        </w:rPr>
        <w:t xml:space="preserve">. </w:t>
      </w:r>
      <w:r w:rsidR="00D34DF6" w:rsidRPr="00A12378">
        <w:rPr>
          <w:rFonts w:ascii="Times New Roman" w:hAnsi="Times New Roman" w:cs="Times New Roman"/>
        </w:rPr>
        <w:t xml:space="preserve">In the 1990s, it was an option that was increasingly used (see Fig </w:t>
      </w:r>
      <w:r w:rsidR="00A13534" w:rsidRPr="00A12378">
        <w:rPr>
          <w:rFonts w:ascii="Times New Roman" w:hAnsi="Times New Roman" w:cs="Times New Roman"/>
        </w:rPr>
        <w:t>5</w:t>
      </w:r>
      <w:r w:rsidR="00D34DF6" w:rsidRPr="00A12378">
        <w:rPr>
          <w:rFonts w:ascii="Times New Roman" w:hAnsi="Times New Roman" w:cs="Times New Roman"/>
        </w:rPr>
        <w:t xml:space="preserve">) </w:t>
      </w:r>
      <w:r w:rsidR="00B73901" w:rsidRPr="00A12378">
        <w:rPr>
          <w:rFonts w:ascii="Times New Roman" w:hAnsi="Times New Roman" w:cs="Times New Roman"/>
        </w:rPr>
        <w:t>(Cullen and Minchin 1999).</w:t>
      </w:r>
      <w:r w:rsidR="008F23F9" w:rsidRPr="00A12378">
        <w:rPr>
          <w:rFonts w:ascii="Times New Roman" w:hAnsi="Times New Roman" w:cs="Times New Roman"/>
        </w:rPr>
        <w:t xml:space="preserve"> Indeed, the rate of growth was such that it led to predictions in 2000 </w:t>
      </w:r>
      <w:r w:rsidR="00A12378" w:rsidRPr="00A12378">
        <w:rPr>
          <w:rFonts w:ascii="Times New Roman" w:hAnsi="Times New Roman" w:cs="Times New Roman"/>
        </w:rPr>
        <w:t xml:space="preserve">by the </w:t>
      </w:r>
      <w:proofErr w:type="spellStart"/>
      <w:r w:rsidR="00A12378" w:rsidRPr="00A12378">
        <w:rPr>
          <w:rFonts w:ascii="Times New Roman" w:hAnsi="Times New Roman" w:cs="Times New Roman"/>
        </w:rPr>
        <w:t>MoJ</w:t>
      </w:r>
      <w:proofErr w:type="spellEnd"/>
      <w:r w:rsidR="00A12378" w:rsidRPr="00A12378">
        <w:rPr>
          <w:rFonts w:ascii="Times New Roman" w:hAnsi="Times New Roman" w:cs="Times New Roman"/>
        </w:rPr>
        <w:t xml:space="preserve"> </w:t>
      </w:r>
      <w:r w:rsidR="008F23F9" w:rsidRPr="00A12378">
        <w:rPr>
          <w:rFonts w:ascii="Times New Roman" w:hAnsi="Times New Roman" w:cs="Times New Roman"/>
        </w:rPr>
        <w:t xml:space="preserve">that by 2007, the youth custody population would be nearly </w:t>
      </w:r>
      <w:r w:rsidR="00F40AAB" w:rsidRPr="00A12378">
        <w:rPr>
          <w:rFonts w:ascii="Times New Roman" w:hAnsi="Times New Roman" w:cs="Times New Roman"/>
        </w:rPr>
        <w:t>13,000</w:t>
      </w:r>
      <w:r w:rsidR="0018426E" w:rsidRPr="00A12378">
        <w:rPr>
          <w:rFonts w:ascii="Times New Roman" w:hAnsi="Times New Roman" w:cs="Times New Roman"/>
        </w:rPr>
        <w:t xml:space="preserve">. </w:t>
      </w:r>
      <w:r w:rsidR="008F23F9" w:rsidRPr="00A12378">
        <w:rPr>
          <w:rFonts w:ascii="Times New Roman" w:hAnsi="Times New Roman" w:cs="Times New Roman"/>
        </w:rPr>
        <w:t>In fact, it turned out to be a fraction of that number</w:t>
      </w:r>
      <w:r w:rsidR="003B3E93" w:rsidRPr="00A12378">
        <w:rPr>
          <w:rFonts w:ascii="Times New Roman" w:hAnsi="Times New Roman" w:cs="Times New Roman"/>
        </w:rPr>
        <w:t xml:space="preserve"> and, instead, we have seen </w:t>
      </w:r>
      <w:r w:rsidR="003B3E93" w:rsidRPr="003B4C62">
        <w:rPr>
          <w:rFonts w:ascii="Times New Roman" w:hAnsi="Times New Roman" w:cs="Times New Roman"/>
        </w:rPr>
        <w:t>a sharp decline in juvenile incarceration</w:t>
      </w:r>
      <w:r w:rsidR="00BF21FC" w:rsidRPr="003B4C62">
        <w:rPr>
          <w:rFonts w:ascii="Times New Roman" w:hAnsi="Times New Roman" w:cs="Times New Roman"/>
        </w:rPr>
        <w:t>.</w:t>
      </w:r>
    </w:p>
    <w:p w:rsidR="008047A2" w:rsidRPr="00A35AE0" w:rsidRDefault="008047A2" w:rsidP="00F24F1C">
      <w:pPr>
        <w:pStyle w:val="NormalWeb"/>
        <w:spacing w:line="360" w:lineRule="auto"/>
        <w:jc w:val="both"/>
        <w:rPr>
          <w:b/>
        </w:rPr>
      </w:pPr>
      <w:r w:rsidRPr="003B4C62">
        <w:rPr>
          <w:b/>
        </w:rPr>
        <w:t xml:space="preserve">Fig </w:t>
      </w:r>
      <w:r w:rsidR="00A13534" w:rsidRPr="003B4C62">
        <w:rPr>
          <w:b/>
        </w:rPr>
        <w:t>5</w:t>
      </w:r>
      <w:r w:rsidRPr="003B4C62">
        <w:rPr>
          <w:b/>
        </w:rPr>
        <w:t>:  Male</w:t>
      </w:r>
      <w:r w:rsidR="004D5074" w:rsidRPr="003B4C62">
        <w:rPr>
          <w:b/>
        </w:rPr>
        <w:t>s</w:t>
      </w:r>
      <w:r w:rsidRPr="003B4C62">
        <w:rPr>
          <w:b/>
        </w:rPr>
        <w:t xml:space="preserve"> and female</w:t>
      </w:r>
      <w:r w:rsidR="004D5074" w:rsidRPr="003B4C62">
        <w:rPr>
          <w:b/>
        </w:rPr>
        <w:t>s</w:t>
      </w:r>
      <w:r w:rsidRPr="003B4C62">
        <w:rPr>
          <w:b/>
        </w:rPr>
        <w:t xml:space="preserve"> </w:t>
      </w:r>
      <w:r w:rsidR="004D5074" w:rsidRPr="003B4C62">
        <w:rPr>
          <w:b/>
        </w:rPr>
        <w:t xml:space="preserve">aged under 18 </w:t>
      </w:r>
      <w:r w:rsidR="00957961" w:rsidRPr="003B4C62">
        <w:rPr>
          <w:b/>
        </w:rPr>
        <w:t xml:space="preserve">passing through </w:t>
      </w:r>
      <w:r w:rsidR="004D5074" w:rsidRPr="003B4C62">
        <w:rPr>
          <w:b/>
        </w:rPr>
        <w:t>secure custody</w:t>
      </w:r>
      <w:r w:rsidRPr="003B4C62">
        <w:rPr>
          <w:b/>
        </w:rPr>
        <w:t xml:space="preserve">, 1991-1999 </w:t>
      </w:r>
      <w:r w:rsidR="00E216E1" w:rsidRPr="003B4C62">
        <w:rPr>
          <w:b/>
        </w:rPr>
        <w:t xml:space="preserve">(Figures taken from Ministry of Justice </w:t>
      </w:r>
      <w:r w:rsidR="004D5074" w:rsidRPr="003B4C62">
        <w:rPr>
          <w:b/>
        </w:rPr>
        <w:t>R</w:t>
      </w:r>
      <w:r w:rsidR="00E216E1" w:rsidRPr="003B4C62">
        <w:rPr>
          <w:b/>
        </w:rPr>
        <w:t>eports 1991-2000)</w:t>
      </w:r>
      <w:r w:rsidR="00CE50F3">
        <w:rPr>
          <w:b/>
        </w:rPr>
        <w:t xml:space="preserve"> </w:t>
      </w:r>
    </w:p>
    <w:p w:rsidR="00E44289" w:rsidRPr="00A35AE0" w:rsidRDefault="005C10AC" w:rsidP="0070005A">
      <w:pPr>
        <w:pStyle w:val="NormalWeb"/>
        <w:spacing w:line="360" w:lineRule="auto"/>
        <w:jc w:val="both"/>
      </w:pPr>
      <w:r w:rsidRPr="00A35AE0">
        <w:rPr>
          <w:noProof/>
          <w:lang w:eastAsia="en-GB"/>
        </w:rPr>
        <w:drawing>
          <wp:inline distT="0" distB="0" distL="0" distR="0" wp14:anchorId="2A0A4C5E" wp14:editId="68206B2B">
            <wp:extent cx="5243119" cy="2793534"/>
            <wp:effectExtent l="0" t="0" r="15240" b="13335"/>
            <wp:docPr id="12" name="Chart 12">
              <a:extLst xmlns:a="http://schemas.openxmlformats.org/drawingml/2006/main">
                <a:ext uri="{FF2B5EF4-FFF2-40B4-BE49-F238E27FC236}">
                  <a16:creationId xmlns:a16="http://schemas.microsoft.com/office/drawing/2014/main" id="{DE7ED81C-A4A0-3140-AF53-0F009D40A8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24CA" w:rsidRPr="00A35AE0" w:rsidRDefault="003324CA" w:rsidP="0070005A">
      <w:pPr>
        <w:pBdr>
          <w:top w:val="nil"/>
          <w:left w:val="nil"/>
          <w:bottom w:val="nil"/>
          <w:right w:val="nil"/>
          <w:between w:val="nil"/>
          <w:bar w:val="nil"/>
        </w:pBdr>
        <w:spacing w:line="360" w:lineRule="auto"/>
        <w:jc w:val="both"/>
        <w:rPr>
          <w:rFonts w:eastAsia="Arial Unicode MS"/>
          <w:b/>
          <w:bdr w:val="nil"/>
          <w:lang w:val="en-US"/>
        </w:rPr>
      </w:pPr>
    </w:p>
    <w:p w:rsidR="00CA4DC9" w:rsidRPr="00A35AE0" w:rsidRDefault="0088305D" w:rsidP="0070005A">
      <w:pPr>
        <w:pBdr>
          <w:top w:val="nil"/>
          <w:left w:val="nil"/>
          <w:bottom w:val="nil"/>
          <w:right w:val="nil"/>
          <w:between w:val="nil"/>
          <w:bar w:val="nil"/>
        </w:pBdr>
        <w:spacing w:line="360" w:lineRule="auto"/>
        <w:jc w:val="both"/>
        <w:rPr>
          <w:rFonts w:eastAsia="Arial Unicode MS"/>
          <w:color w:val="000000" w:themeColor="text1"/>
          <w:bdr w:val="nil"/>
          <w:lang w:val="en-US"/>
        </w:rPr>
      </w:pPr>
      <w:r w:rsidRPr="00A35AE0">
        <w:rPr>
          <w:rFonts w:eastAsia="Arial Unicode MS"/>
          <w:color w:val="000000" w:themeColor="text1"/>
          <w:bdr w:val="nil"/>
        </w:rPr>
        <w:lastRenderedPageBreak/>
        <w:t xml:space="preserve">Between 2006 and 2016, the number of children and young people sentenced to custody fell by 74%. </w:t>
      </w:r>
      <w:r w:rsidR="00734C33">
        <w:rPr>
          <w:rFonts w:eastAsia="Arial Unicode MS"/>
          <w:color w:val="000000" w:themeColor="text1"/>
          <w:bdr w:val="nil"/>
          <w:lang w:val="en-US"/>
        </w:rPr>
        <w:t>R</w:t>
      </w:r>
      <w:r w:rsidR="00734C33" w:rsidRPr="00A35AE0">
        <w:rPr>
          <w:rFonts w:eastAsia="Arial Unicode MS"/>
          <w:color w:val="000000" w:themeColor="text1"/>
          <w:bdr w:val="nil"/>
          <w:lang w:val="en-US"/>
        </w:rPr>
        <w:t xml:space="preserve">ather than the positive </w:t>
      </w:r>
      <w:r w:rsidR="00A56BFD" w:rsidRPr="00A35AE0">
        <w:rPr>
          <w:rFonts w:eastAsia="Arial Unicode MS"/>
          <w:color w:val="000000" w:themeColor="text1"/>
          <w:bdr w:val="nil"/>
          <w:lang w:val="en-US"/>
        </w:rPr>
        <w:t>penology, which</w:t>
      </w:r>
      <w:r w:rsidR="00734C33" w:rsidRPr="00A35AE0">
        <w:rPr>
          <w:rFonts w:eastAsia="Arial Unicode MS"/>
          <w:color w:val="000000" w:themeColor="text1"/>
          <w:bdr w:val="nil"/>
          <w:lang w:val="en-US"/>
        </w:rPr>
        <w:t xml:space="preserve"> had stimulated previous </w:t>
      </w:r>
      <w:proofErr w:type="spellStart"/>
      <w:r w:rsidR="00734C33">
        <w:rPr>
          <w:rFonts w:eastAsia="Arial Unicode MS"/>
          <w:color w:val="000000" w:themeColor="text1"/>
          <w:bdr w:val="nil"/>
          <w:lang w:val="en-US"/>
        </w:rPr>
        <w:t>decarceral</w:t>
      </w:r>
      <w:proofErr w:type="spellEnd"/>
      <w:r w:rsidR="00734C33">
        <w:rPr>
          <w:rFonts w:eastAsia="Arial Unicode MS"/>
          <w:color w:val="000000" w:themeColor="text1"/>
          <w:bdr w:val="nil"/>
          <w:lang w:val="en-US"/>
        </w:rPr>
        <w:t xml:space="preserve"> trends,</w:t>
      </w:r>
      <w:r w:rsidR="00734C33" w:rsidRPr="00A35AE0">
        <w:rPr>
          <w:rFonts w:eastAsia="Arial Unicode MS"/>
          <w:color w:val="000000" w:themeColor="text1"/>
          <w:bdr w:val="nil"/>
          <w:lang w:val="en-US"/>
        </w:rPr>
        <w:t xml:space="preserve"> </w:t>
      </w:r>
      <w:r w:rsidR="00734C33">
        <w:rPr>
          <w:rFonts w:eastAsia="Arial Unicode MS"/>
          <w:color w:val="000000" w:themeColor="text1"/>
          <w:bdr w:val="nil"/>
          <w:lang w:val="en-US"/>
        </w:rPr>
        <w:t>t</w:t>
      </w:r>
      <w:r w:rsidR="00CA4DC9" w:rsidRPr="00A35AE0">
        <w:rPr>
          <w:rFonts w:eastAsia="Arial Unicode MS"/>
          <w:color w:val="000000" w:themeColor="text1"/>
          <w:bdr w:val="nil"/>
          <w:lang w:val="en-US"/>
        </w:rPr>
        <w:t>he dramatic fall in juvenile incarceration shown in Fig 6</w:t>
      </w:r>
      <w:r w:rsidR="00734C33">
        <w:rPr>
          <w:rFonts w:eastAsia="Arial Unicode MS"/>
          <w:color w:val="000000" w:themeColor="text1"/>
          <w:bdr w:val="nil"/>
          <w:lang w:val="en-US"/>
        </w:rPr>
        <w:t xml:space="preserve"> </w:t>
      </w:r>
      <w:r w:rsidR="00CA4DC9" w:rsidRPr="00A35AE0">
        <w:rPr>
          <w:rFonts w:eastAsia="Arial Unicode MS"/>
          <w:color w:val="000000" w:themeColor="text1"/>
          <w:bdr w:val="nil"/>
          <w:lang w:val="en-US"/>
        </w:rPr>
        <w:t xml:space="preserve">has </w:t>
      </w:r>
      <w:r w:rsidR="002612C2">
        <w:rPr>
          <w:rFonts w:eastAsia="Arial Unicode MS"/>
          <w:color w:val="000000" w:themeColor="text1"/>
          <w:bdr w:val="nil"/>
          <w:lang w:val="en-US"/>
        </w:rPr>
        <w:t>arguably arisen from</w:t>
      </w:r>
      <w:r w:rsidR="00CA4DC9" w:rsidRPr="00A35AE0">
        <w:rPr>
          <w:rFonts w:eastAsia="Arial Unicode MS"/>
          <w:color w:val="000000" w:themeColor="text1"/>
          <w:bdr w:val="nil"/>
          <w:lang w:val="en-US"/>
        </w:rPr>
        <w:t xml:space="preserve"> </w:t>
      </w:r>
      <w:r w:rsidR="00871B6C" w:rsidRPr="00A35AE0">
        <w:rPr>
          <w:rFonts w:eastAsia="Arial Unicode MS"/>
          <w:color w:val="000000" w:themeColor="text1"/>
          <w:bdr w:val="nil"/>
          <w:lang w:val="en-US"/>
        </w:rPr>
        <w:t>n</w:t>
      </w:r>
      <w:r w:rsidR="00CA4DC9" w:rsidRPr="00A35AE0">
        <w:rPr>
          <w:rFonts w:eastAsia="Arial Unicode MS"/>
          <w:color w:val="000000" w:themeColor="text1"/>
          <w:bdr w:val="nil"/>
          <w:lang w:val="en-US"/>
        </w:rPr>
        <w:t xml:space="preserve">ew </w:t>
      </w:r>
      <w:r w:rsidR="00871B6C" w:rsidRPr="00A35AE0">
        <w:rPr>
          <w:rFonts w:eastAsia="Arial Unicode MS"/>
          <w:color w:val="000000" w:themeColor="text1"/>
          <w:bdr w:val="nil"/>
          <w:lang w:val="en-US"/>
        </w:rPr>
        <w:t>p</w:t>
      </w:r>
      <w:r w:rsidR="00CA4DC9" w:rsidRPr="00A35AE0">
        <w:rPr>
          <w:rFonts w:eastAsia="Arial Unicode MS"/>
          <w:color w:val="000000" w:themeColor="text1"/>
          <w:bdr w:val="nil"/>
          <w:lang w:val="en-US"/>
        </w:rPr>
        <w:t xml:space="preserve">ublic </w:t>
      </w:r>
      <w:r w:rsidR="00871B6C" w:rsidRPr="00A35AE0">
        <w:rPr>
          <w:rFonts w:eastAsia="Arial Unicode MS"/>
          <w:color w:val="000000" w:themeColor="text1"/>
          <w:bdr w:val="nil"/>
          <w:lang w:val="en-US"/>
        </w:rPr>
        <w:t>m</w:t>
      </w:r>
      <w:r w:rsidR="00CA4DC9" w:rsidRPr="00A35AE0">
        <w:rPr>
          <w:rFonts w:eastAsia="Arial Unicode MS"/>
          <w:color w:val="000000" w:themeColor="text1"/>
          <w:bdr w:val="nil"/>
          <w:lang w:val="en-US"/>
        </w:rPr>
        <w:t>anagement</w:t>
      </w:r>
      <w:r w:rsidRPr="00A35AE0">
        <w:rPr>
          <w:rFonts w:eastAsia="Arial Unicode MS"/>
          <w:color w:val="000000" w:themeColor="text1"/>
          <w:bdr w:val="nil"/>
          <w:lang w:val="en-US"/>
        </w:rPr>
        <w:t xml:space="preserve"> </w:t>
      </w:r>
      <w:r w:rsidRPr="00E11D7B">
        <w:rPr>
          <w:rFonts w:eastAsia="Arial Unicode MS"/>
          <w:color w:val="000000" w:themeColor="text1"/>
          <w:bdr w:val="nil"/>
          <w:lang w:val="en-US"/>
        </w:rPr>
        <w:t>strategies</w:t>
      </w:r>
      <w:r w:rsidR="00CE50F3" w:rsidRPr="00E11D7B">
        <w:rPr>
          <w:rFonts w:eastAsia="Arial Unicode MS"/>
          <w:color w:val="000000" w:themeColor="text1"/>
          <w:bdr w:val="nil"/>
          <w:lang w:val="en-US"/>
        </w:rPr>
        <w:t xml:space="preserve"> (Goldson, 2015)</w:t>
      </w:r>
      <w:r w:rsidRPr="00E11D7B">
        <w:rPr>
          <w:rFonts w:eastAsia="Arial Unicode MS"/>
          <w:color w:val="000000" w:themeColor="text1"/>
          <w:bdr w:val="nil"/>
          <w:lang w:val="en-US"/>
        </w:rPr>
        <w:t xml:space="preserve"> </w:t>
      </w:r>
      <w:r w:rsidR="00CA4DC9" w:rsidRPr="00E11D7B">
        <w:rPr>
          <w:rFonts w:eastAsia="Arial Unicode MS"/>
          <w:color w:val="000000" w:themeColor="text1"/>
          <w:bdr w:val="nil"/>
          <w:lang w:val="en-US"/>
        </w:rPr>
        <w:t>and</w:t>
      </w:r>
      <w:r w:rsidR="00CA4DC9" w:rsidRPr="00A35AE0">
        <w:rPr>
          <w:color w:val="000000" w:themeColor="text1"/>
        </w:rPr>
        <w:t xml:space="preserve"> the need to reduce public spending</w:t>
      </w:r>
      <w:r w:rsidR="00CA4DC9" w:rsidRPr="00A35AE0">
        <w:rPr>
          <w:i/>
          <w:color w:val="000000" w:themeColor="text1"/>
        </w:rPr>
        <w:t xml:space="preserve">, </w:t>
      </w:r>
      <w:r w:rsidR="00B345F4">
        <w:rPr>
          <w:rFonts w:eastAsia="Arial Unicode MS"/>
          <w:color w:val="000000" w:themeColor="text1"/>
          <w:bdr w:val="nil"/>
          <w:lang w:val="en-US"/>
        </w:rPr>
        <w:t xml:space="preserve">although the rise of restorative justice </w:t>
      </w:r>
      <w:r w:rsidR="00AB03DB">
        <w:rPr>
          <w:rFonts w:eastAsia="Arial Unicode MS"/>
          <w:color w:val="000000" w:themeColor="text1"/>
          <w:bdr w:val="nil"/>
          <w:lang w:val="en-US"/>
        </w:rPr>
        <w:t xml:space="preserve">and referral orders </w:t>
      </w:r>
      <w:r w:rsidR="00A56BFD">
        <w:rPr>
          <w:rFonts w:eastAsia="Arial Unicode MS"/>
          <w:color w:val="000000" w:themeColor="text1"/>
          <w:bdr w:val="nil"/>
          <w:lang w:val="en-US"/>
        </w:rPr>
        <w:t>as new community disposals</w:t>
      </w:r>
      <w:r w:rsidR="00B345F4">
        <w:rPr>
          <w:rFonts w:eastAsia="Arial Unicode MS"/>
          <w:color w:val="000000" w:themeColor="text1"/>
          <w:bdr w:val="nil"/>
          <w:lang w:val="en-US"/>
        </w:rPr>
        <w:t xml:space="preserve"> has </w:t>
      </w:r>
      <w:r w:rsidR="00734C33">
        <w:rPr>
          <w:rFonts w:eastAsia="Arial Unicode MS"/>
          <w:color w:val="000000" w:themeColor="text1"/>
          <w:bdr w:val="nil"/>
          <w:lang w:val="en-US"/>
        </w:rPr>
        <w:t xml:space="preserve">also clearly </w:t>
      </w:r>
      <w:r w:rsidR="00B345F4">
        <w:rPr>
          <w:rFonts w:eastAsia="Arial Unicode MS"/>
          <w:color w:val="000000" w:themeColor="text1"/>
          <w:bdr w:val="nil"/>
          <w:lang w:val="en-US"/>
        </w:rPr>
        <w:t>been significant</w:t>
      </w:r>
      <w:r w:rsidR="00CA4DC9" w:rsidRPr="00A35AE0">
        <w:rPr>
          <w:rFonts w:eastAsia="Arial Unicode MS"/>
          <w:color w:val="000000" w:themeColor="text1"/>
          <w:bdr w:val="nil"/>
          <w:lang w:val="en-US"/>
        </w:rPr>
        <w:t xml:space="preserve">. </w:t>
      </w:r>
    </w:p>
    <w:p w:rsidR="0003506B" w:rsidRPr="00A35AE0" w:rsidRDefault="0003506B" w:rsidP="0070005A">
      <w:pPr>
        <w:pBdr>
          <w:top w:val="nil"/>
          <w:left w:val="nil"/>
          <w:bottom w:val="nil"/>
          <w:right w:val="nil"/>
          <w:between w:val="nil"/>
          <w:bar w:val="nil"/>
        </w:pBdr>
        <w:spacing w:line="360" w:lineRule="auto"/>
        <w:jc w:val="both"/>
        <w:rPr>
          <w:rFonts w:eastAsia="Arial Unicode MS"/>
          <w:b/>
          <w:bdr w:val="nil"/>
          <w:lang w:val="en-US"/>
        </w:rPr>
      </w:pPr>
    </w:p>
    <w:p w:rsidR="00F46ADA" w:rsidRPr="00A35AE0" w:rsidRDefault="003324CA" w:rsidP="0094797F">
      <w:pPr>
        <w:pStyle w:val="NormalWeb"/>
        <w:spacing w:line="360" w:lineRule="auto"/>
        <w:jc w:val="both"/>
        <w:rPr>
          <w:rFonts w:eastAsia="Arial Unicode MS"/>
          <w:bdr w:val="nil"/>
          <w:lang w:val="en-US"/>
        </w:rPr>
      </w:pPr>
      <w:r w:rsidRPr="00A35AE0">
        <w:rPr>
          <w:rFonts w:eastAsia="Arial Unicode MS"/>
          <w:b/>
          <w:bdr w:val="nil"/>
          <w:lang w:val="en-US"/>
        </w:rPr>
        <w:t>Fig 6</w:t>
      </w:r>
      <w:r w:rsidR="00B74BC6" w:rsidRPr="00A35AE0">
        <w:rPr>
          <w:rFonts w:eastAsia="Arial Unicode MS"/>
          <w:b/>
          <w:bdr w:val="nil"/>
          <w:lang w:val="en-US"/>
        </w:rPr>
        <w:t xml:space="preserve">:  </w:t>
      </w:r>
      <w:r w:rsidR="00CA4DC9" w:rsidRPr="00A35AE0">
        <w:rPr>
          <w:rFonts w:eastAsia="Arial Unicode MS"/>
          <w:b/>
          <w:bdr w:val="nil"/>
          <w:lang w:val="en-US"/>
        </w:rPr>
        <w:t>You</w:t>
      </w:r>
      <w:r w:rsidR="00C0787A">
        <w:rPr>
          <w:rFonts w:eastAsia="Arial Unicode MS"/>
          <w:b/>
          <w:bdr w:val="nil"/>
          <w:lang w:val="en-US"/>
        </w:rPr>
        <w:t xml:space="preserve">ng people (aged under 18) in secure </w:t>
      </w:r>
      <w:r w:rsidR="00CA4DC9" w:rsidRPr="00A35AE0">
        <w:rPr>
          <w:rFonts w:eastAsia="Arial Unicode MS"/>
          <w:b/>
          <w:bdr w:val="nil"/>
          <w:lang w:val="en-US"/>
        </w:rPr>
        <w:t>custody 2007/08 to 2016/17</w:t>
      </w:r>
      <w:r w:rsidR="00E216E1">
        <w:rPr>
          <w:rFonts w:eastAsia="Arial Unicode MS"/>
          <w:b/>
          <w:bdr w:val="nil"/>
          <w:lang w:val="en-US"/>
        </w:rPr>
        <w:t xml:space="preserve"> (</w:t>
      </w:r>
      <w:r w:rsidR="00E216E1">
        <w:rPr>
          <w:b/>
        </w:rPr>
        <w:t>Figures taken from Ministry of Justice reports 1991-2000).</w:t>
      </w:r>
    </w:p>
    <w:p w:rsidR="00970474" w:rsidRPr="00A35AE0" w:rsidRDefault="00CA4DC9" w:rsidP="0018426E">
      <w:pPr>
        <w:pBdr>
          <w:top w:val="nil"/>
          <w:left w:val="nil"/>
          <w:bottom w:val="nil"/>
          <w:right w:val="nil"/>
          <w:between w:val="nil"/>
          <w:bar w:val="nil"/>
        </w:pBdr>
        <w:spacing w:line="360" w:lineRule="auto"/>
        <w:jc w:val="both"/>
        <w:rPr>
          <w:rFonts w:eastAsiaTheme="minorHAnsi"/>
          <w:color w:val="000000" w:themeColor="text1"/>
        </w:rPr>
      </w:pPr>
      <w:r w:rsidRPr="00A35AE0">
        <w:rPr>
          <w:noProof/>
          <w:lang w:eastAsia="en-GB"/>
        </w:rPr>
        <w:drawing>
          <wp:inline distT="0" distB="0" distL="0" distR="0" wp14:anchorId="3EBC333A" wp14:editId="55061368">
            <wp:extent cx="5255394" cy="2377440"/>
            <wp:effectExtent l="0" t="0" r="15240" b="10160"/>
            <wp:docPr id="13" name="Chart 13">
              <a:extLst xmlns:a="http://schemas.openxmlformats.org/drawingml/2006/main">
                <a:ext uri="{FF2B5EF4-FFF2-40B4-BE49-F238E27FC236}">
                  <a16:creationId xmlns:a16="http://schemas.microsoft.com/office/drawing/2014/main" id="{4E888B1D-7B23-EC43-BAF2-07225BC40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7B48" w:rsidRPr="00A35AE0" w:rsidRDefault="00B97B48" w:rsidP="0018426E">
      <w:pPr>
        <w:pBdr>
          <w:top w:val="nil"/>
          <w:left w:val="nil"/>
          <w:bottom w:val="nil"/>
          <w:right w:val="nil"/>
          <w:between w:val="nil"/>
          <w:bar w:val="nil"/>
        </w:pBdr>
        <w:spacing w:line="360" w:lineRule="auto"/>
        <w:jc w:val="both"/>
        <w:rPr>
          <w:rFonts w:eastAsiaTheme="minorHAnsi"/>
          <w:color w:val="000000" w:themeColor="text1"/>
        </w:rPr>
      </w:pPr>
    </w:p>
    <w:p w:rsidR="00C17424" w:rsidRPr="00654491" w:rsidRDefault="0020547C" w:rsidP="0018426E">
      <w:pPr>
        <w:spacing w:line="360" w:lineRule="auto"/>
        <w:jc w:val="both"/>
        <w:rPr>
          <w:rFonts w:eastAsia="Arial Unicode MS"/>
          <w:color w:val="000000" w:themeColor="text1"/>
          <w:bdr w:val="nil"/>
          <w:lang w:val="en-US"/>
        </w:rPr>
      </w:pPr>
      <w:r w:rsidRPr="00A35AE0">
        <w:rPr>
          <w:color w:val="000000" w:themeColor="text1"/>
        </w:rPr>
        <w:t xml:space="preserve">In 1996 the </w:t>
      </w:r>
      <w:r w:rsidR="00D65909" w:rsidRPr="00A35AE0">
        <w:rPr>
          <w:color w:val="000000" w:themeColor="text1"/>
        </w:rPr>
        <w:t>‘</w:t>
      </w:r>
      <w:r w:rsidRPr="00A35AE0">
        <w:rPr>
          <w:bCs/>
          <w:color w:val="000000" w:themeColor="text1"/>
          <w:bdr w:val="none" w:sz="0" w:space="0" w:color="auto" w:frame="1"/>
        </w:rPr>
        <w:t>Misspent Youth</w:t>
      </w:r>
      <w:r w:rsidR="00D65909" w:rsidRPr="00A35AE0">
        <w:rPr>
          <w:bCs/>
          <w:color w:val="000000" w:themeColor="text1"/>
          <w:bdr w:val="none" w:sz="0" w:space="0" w:color="auto" w:frame="1"/>
        </w:rPr>
        <w:t>’</w:t>
      </w:r>
      <w:r w:rsidRPr="00A35AE0">
        <w:rPr>
          <w:color w:val="000000" w:themeColor="text1"/>
          <w:shd w:val="clear" w:color="auto" w:fill="FFFFFF"/>
        </w:rPr>
        <w:t xml:space="preserve"> report published by the Audit Commission set the tone in criticising the youth justice system as too costly, </w:t>
      </w:r>
      <w:r w:rsidR="00734C33">
        <w:rPr>
          <w:color w:val="000000" w:themeColor="text1"/>
          <w:shd w:val="clear" w:color="auto" w:fill="FFFFFF"/>
        </w:rPr>
        <w:t xml:space="preserve">too </w:t>
      </w:r>
      <w:r w:rsidRPr="00A35AE0">
        <w:rPr>
          <w:color w:val="000000" w:themeColor="text1"/>
          <w:shd w:val="clear" w:color="auto" w:fill="FFFFFF"/>
        </w:rPr>
        <w:t>inefficient</w:t>
      </w:r>
      <w:r w:rsidR="00D65909" w:rsidRPr="00A35AE0">
        <w:rPr>
          <w:color w:val="000000" w:themeColor="text1"/>
          <w:shd w:val="clear" w:color="auto" w:fill="FFFFFF"/>
        </w:rPr>
        <w:t>,</w:t>
      </w:r>
      <w:r w:rsidRPr="00A35AE0">
        <w:rPr>
          <w:color w:val="000000" w:themeColor="text1"/>
          <w:shd w:val="clear" w:color="auto" w:fill="FFFFFF"/>
        </w:rPr>
        <w:t xml:space="preserve"> and </w:t>
      </w:r>
      <w:r w:rsidR="00734C33">
        <w:rPr>
          <w:color w:val="000000" w:themeColor="text1"/>
          <w:shd w:val="clear" w:color="auto" w:fill="FFFFFF"/>
        </w:rPr>
        <w:t xml:space="preserve">too </w:t>
      </w:r>
      <w:r w:rsidRPr="00A35AE0">
        <w:rPr>
          <w:color w:val="000000" w:themeColor="text1"/>
          <w:shd w:val="clear" w:color="auto" w:fill="FFFFFF"/>
        </w:rPr>
        <w:t>ineffective</w:t>
      </w:r>
      <w:r w:rsidR="00734C33">
        <w:rPr>
          <w:color w:val="000000" w:themeColor="text1"/>
          <w:shd w:val="clear" w:color="auto" w:fill="FFFFFF"/>
        </w:rPr>
        <w:t>,</w:t>
      </w:r>
      <w:r w:rsidR="008D43B7" w:rsidRPr="00A35AE0">
        <w:rPr>
          <w:color w:val="000000" w:themeColor="text1"/>
          <w:shd w:val="clear" w:color="auto" w:fill="FFFFFF"/>
        </w:rPr>
        <w:t xml:space="preserve"> and t</w:t>
      </w:r>
      <w:r w:rsidRPr="00A35AE0">
        <w:rPr>
          <w:color w:val="000000" w:themeColor="text1"/>
          <w:shd w:val="clear" w:color="auto" w:fill="FFFFFF"/>
        </w:rPr>
        <w:t xml:space="preserve">wo years later the </w:t>
      </w:r>
      <w:r w:rsidR="00513C93" w:rsidRPr="00A35AE0">
        <w:rPr>
          <w:rFonts w:eastAsia="Arial Unicode MS"/>
          <w:color w:val="000000" w:themeColor="text1"/>
          <w:bdr w:val="nil"/>
          <w:lang w:val="en-US"/>
        </w:rPr>
        <w:t xml:space="preserve">1998 </w:t>
      </w:r>
      <w:r w:rsidR="001E2D84" w:rsidRPr="008D5921">
        <w:rPr>
          <w:bCs/>
          <w:color w:val="000000" w:themeColor="text1"/>
        </w:rPr>
        <w:t>Crime and Disorder Act placed greater emphasis on diversion from custody</w:t>
      </w:r>
      <w:r w:rsidR="00957961" w:rsidRPr="008D5921">
        <w:rPr>
          <w:bCs/>
          <w:color w:val="000000" w:themeColor="text1"/>
        </w:rPr>
        <w:t xml:space="preserve"> (Hindley, </w:t>
      </w:r>
      <w:proofErr w:type="spellStart"/>
      <w:r w:rsidR="00957961" w:rsidRPr="008D5921">
        <w:rPr>
          <w:bCs/>
          <w:color w:val="000000" w:themeColor="text1"/>
        </w:rPr>
        <w:t>Lengua</w:t>
      </w:r>
      <w:proofErr w:type="spellEnd"/>
      <w:r w:rsidR="00957961" w:rsidRPr="008D5921">
        <w:rPr>
          <w:bCs/>
          <w:color w:val="000000" w:themeColor="text1"/>
        </w:rPr>
        <w:t xml:space="preserve"> and White, 2017: 36) although </w:t>
      </w:r>
      <w:r w:rsidR="00AC23B8">
        <w:rPr>
          <w:bCs/>
          <w:color w:val="000000" w:themeColor="text1"/>
        </w:rPr>
        <w:t xml:space="preserve">it </w:t>
      </w:r>
      <w:r w:rsidR="00957961" w:rsidRPr="008D5921">
        <w:rPr>
          <w:bCs/>
          <w:color w:val="000000" w:themeColor="text1"/>
        </w:rPr>
        <w:t>produced an initial net-widening effect</w:t>
      </w:r>
      <w:r w:rsidR="0088305D" w:rsidRPr="008D5921">
        <w:rPr>
          <w:bCs/>
          <w:color w:val="000000" w:themeColor="text1"/>
        </w:rPr>
        <w:t xml:space="preserve"> </w:t>
      </w:r>
      <w:r w:rsidR="00957961" w:rsidRPr="008D5921">
        <w:rPr>
          <w:bCs/>
          <w:color w:val="000000" w:themeColor="text1"/>
        </w:rPr>
        <w:t xml:space="preserve">as Fig 5 indicates. </w:t>
      </w:r>
      <w:r w:rsidR="00726D6C" w:rsidRPr="008D5921">
        <w:rPr>
          <w:bCs/>
          <w:color w:val="000000" w:themeColor="text1"/>
        </w:rPr>
        <w:t>S</w:t>
      </w:r>
      <w:r w:rsidRPr="008D5921">
        <w:rPr>
          <w:bCs/>
          <w:color w:val="000000" w:themeColor="text1"/>
        </w:rPr>
        <w:t>ubsequent legislation increased post-release support to prevent re-offending</w:t>
      </w:r>
      <w:r w:rsidR="00B44ED3" w:rsidRPr="008D5921">
        <w:rPr>
          <w:bCs/>
          <w:color w:val="000000" w:themeColor="text1"/>
        </w:rPr>
        <w:t xml:space="preserve"> (early-release schemes, with curfews and electronic-tagging replacing custody)</w:t>
      </w:r>
      <w:r w:rsidRPr="008D5921">
        <w:rPr>
          <w:bCs/>
          <w:color w:val="000000" w:themeColor="text1"/>
        </w:rPr>
        <w:t>.</w:t>
      </w:r>
      <w:r w:rsidR="00B44ED3" w:rsidRPr="008D5921">
        <w:rPr>
          <w:bCs/>
          <w:color w:val="000000" w:themeColor="text1"/>
        </w:rPr>
        <w:t xml:space="preserve"> </w:t>
      </w:r>
      <w:r w:rsidR="00726D6C" w:rsidRPr="008D5921">
        <w:rPr>
          <w:bCs/>
          <w:color w:val="000000" w:themeColor="text1"/>
        </w:rPr>
        <w:t>However, t</w:t>
      </w:r>
      <w:r w:rsidR="00957961" w:rsidRPr="008D5921">
        <w:rPr>
          <w:bCs/>
          <w:color w:val="000000" w:themeColor="text1"/>
        </w:rPr>
        <w:t xml:space="preserve">he greatest change came in 1999 </w:t>
      </w:r>
      <w:r w:rsidR="00B44ED3" w:rsidRPr="008D5921">
        <w:rPr>
          <w:bCs/>
          <w:color w:val="000000" w:themeColor="text1"/>
        </w:rPr>
        <w:t xml:space="preserve">when the </w:t>
      </w:r>
      <w:r w:rsidR="008D2AB3" w:rsidRPr="008D5921">
        <w:rPr>
          <w:bCs/>
          <w:color w:val="000000" w:themeColor="text1"/>
        </w:rPr>
        <w:t>Youth Justice and Criminal Evidence Act</w:t>
      </w:r>
      <w:r w:rsidR="008D2AB3" w:rsidRPr="008D5921">
        <w:rPr>
          <w:color w:val="000000" w:themeColor="text1"/>
          <w:shd w:val="clear" w:color="auto" w:fill="FFFFFF"/>
        </w:rPr>
        <w:t> create</w:t>
      </w:r>
      <w:r w:rsidR="00B44ED3" w:rsidRPr="008D5921">
        <w:rPr>
          <w:color w:val="000000" w:themeColor="text1"/>
          <w:shd w:val="clear" w:color="auto" w:fill="FFFFFF"/>
        </w:rPr>
        <w:t>d</w:t>
      </w:r>
      <w:r w:rsidR="008D2AB3" w:rsidRPr="008D5921">
        <w:rPr>
          <w:color w:val="000000" w:themeColor="text1"/>
          <w:shd w:val="clear" w:color="auto" w:fill="FFFFFF"/>
        </w:rPr>
        <w:t xml:space="preserve"> referral orders</w:t>
      </w:r>
      <w:r w:rsidR="00726D6C" w:rsidRPr="008D5921">
        <w:rPr>
          <w:color w:val="000000" w:themeColor="text1"/>
          <w:shd w:val="clear" w:color="auto" w:fill="FFFFFF"/>
        </w:rPr>
        <w:t xml:space="preserve">. </w:t>
      </w:r>
      <w:r w:rsidR="008D2AB3" w:rsidRPr="008D5921">
        <w:rPr>
          <w:color w:val="000000" w:themeColor="text1"/>
          <w:shd w:val="clear" w:color="auto" w:fill="FFFFFF"/>
        </w:rPr>
        <w:t xml:space="preserve"> </w:t>
      </w:r>
      <w:r w:rsidR="00726D6C" w:rsidRPr="008D5921">
        <w:rPr>
          <w:color w:val="000000" w:themeColor="text1"/>
          <w:shd w:val="clear" w:color="auto" w:fill="FFFFFF"/>
        </w:rPr>
        <w:t>F</w:t>
      </w:r>
      <w:r w:rsidR="008D2AB3" w:rsidRPr="008D5921">
        <w:rPr>
          <w:color w:val="000000" w:themeColor="text1"/>
          <w:shd w:val="clear" w:color="auto" w:fill="FFFFFF"/>
        </w:rPr>
        <w:t>irst-time offenders</w:t>
      </w:r>
      <w:r w:rsidR="00734C33" w:rsidRPr="008D5921">
        <w:rPr>
          <w:color w:val="000000" w:themeColor="text1"/>
          <w:shd w:val="clear" w:color="auto" w:fill="FFFFFF"/>
        </w:rPr>
        <w:t>,</w:t>
      </w:r>
      <w:r w:rsidR="008D2AB3" w:rsidRPr="008D5921">
        <w:rPr>
          <w:color w:val="000000" w:themeColor="text1"/>
          <w:shd w:val="clear" w:color="auto" w:fill="FFFFFF"/>
        </w:rPr>
        <w:t xml:space="preserve"> </w:t>
      </w:r>
      <w:r w:rsidR="00B44ED3" w:rsidRPr="008D5921">
        <w:rPr>
          <w:color w:val="000000" w:themeColor="text1"/>
          <w:shd w:val="clear" w:color="auto" w:fill="FFFFFF"/>
        </w:rPr>
        <w:t xml:space="preserve">who </w:t>
      </w:r>
      <w:r w:rsidR="008D2AB3" w:rsidRPr="008D5921">
        <w:rPr>
          <w:color w:val="000000" w:themeColor="text1"/>
          <w:shd w:val="clear" w:color="auto" w:fill="FFFFFF"/>
        </w:rPr>
        <w:t>plead</w:t>
      </w:r>
      <w:r w:rsidR="00B44ED3" w:rsidRPr="008D5921">
        <w:rPr>
          <w:color w:val="000000" w:themeColor="text1"/>
          <w:shd w:val="clear" w:color="auto" w:fill="FFFFFF"/>
        </w:rPr>
        <w:t>ed</w:t>
      </w:r>
      <w:r w:rsidR="008D2AB3" w:rsidRPr="008D5921">
        <w:rPr>
          <w:color w:val="000000" w:themeColor="text1"/>
          <w:shd w:val="clear" w:color="auto" w:fill="FFFFFF"/>
        </w:rPr>
        <w:t xml:space="preserve"> guilty</w:t>
      </w:r>
      <w:r w:rsidR="00734C33" w:rsidRPr="008D5921">
        <w:rPr>
          <w:color w:val="000000" w:themeColor="text1"/>
          <w:shd w:val="clear" w:color="auto" w:fill="FFFFFF"/>
        </w:rPr>
        <w:t xml:space="preserve"> in court,</w:t>
      </w:r>
      <w:r w:rsidR="008D2AB3" w:rsidRPr="008D5921">
        <w:rPr>
          <w:color w:val="000000" w:themeColor="text1"/>
          <w:shd w:val="clear" w:color="auto" w:fill="FFFFFF"/>
        </w:rPr>
        <w:t xml:space="preserve"> </w:t>
      </w:r>
      <w:r w:rsidR="00470D88">
        <w:rPr>
          <w:color w:val="000000" w:themeColor="text1"/>
          <w:shd w:val="clear" w:color="auto" w:fill="FFFFFF"/>
        </w:rPr>
        <w:t xml:space="preserve">received an initial </w:t>
      </w:r>
      <w:r w:rsidR="00734C33" w:rsidRPr="008D5921">
        <w:rPr>
          <w:color w:val="000000" w:themeColor="text1"/>
          <w:shd w:val="clear" w:color="auto" w:fill="FFFFFF"/>
        </w:rPr>
        <w:t xml:space="preserve">judicial hearing, </w:t>
      </w:r>
      <w:r w:rsidR="00470D88">
        <w:rPr>
          <w:color w:val="000000" w:themeColor="text1"/>
          <w:shd w:val="clear" w:color="auto" w:fill="FFFFFF"/>
        </w:rPr>
        <w:t xml:space="preserve">and were then sent </w:t>
      </w:r>
      <w:r w:rsidR="008D2AB3" w:rsidRPr="008D5921">
        <w:rPr>
          <w:color w:val="000000" w:themeColor="text1"/>
          <w:shd w:val="clear" w:color="auto" w:fill="FFFFFF"/>
        </w:rPr>
        <w:t>to</w:t>
      </w:r>
      <w:r w:rsidR="00B44ED3" w:rsidRPr="008D5921">
        <w:rPr>
          <w:color w:val="000000" w:themeColor="text1"/>
          <w:shd w:val="clear" w:color="auto" w:fill="FFFFFF"/>
        </w:rPr>
        <w:t xml:space="preserve"> referral</w:t>
      </w:r>
      <w:r w:rsidR="008D2AB3" w:rsidRPr="008D5921">
        <w:rPr>
          <w:color w:val="000000" w:themeColor="text1"/>
          <w:shd w:val="clear" w:color="auto" w:fill="FFFFFF"/>
        </w:rPr>
        <w:t xml:space="preserve"> panels</w:t>
      </w:r>
      <w:r w:rsidR="00B44ED3" w:rsidRPr="008D5921">
        <w:rPr>
          <w:color w:val="000000" w:themeColor="text1"/>
          <w:shd w:val="clear" w:color="auto" w:fill="FFFFFF"/>
        </w:rPr>
        <w:t xml:space="preserve"> (made up of </w:t>
      </w:r>
      <w:r w:rsidR="0094797F" w:rsidRPr="008D5921">
        <w:rPr>
          <w:color w:val="000000" w:themeColor="text1"/>
          <w:shd w:val="clear" w:color="auto" w:fill="FFFFFF"/>
        </w:rPr>
        <w:t>local y</w:t>
      </w:r>
      <w:r w:rsidR="00B44ED3" w:rsidRPr="008D5921">
        <w:rPr>
          <w:color w:val="000000" w:themeColor="text1"/>
          <w:shd w:val="clear" w:color="auto" w:fill="FFFFFF"/>
        </w:rPr>
        <w:t xml:space="preserve">outh </w:t>
      </w:r>
      <w:r w:rsidR="0094797F" w:rsidRPr="008D5921">
        <w:rPr>
          <w:color w:val="000000" w:themeColor="text1"/>
          <w:shd w:val="clear" w:color="auto" w:fill="FFFFFF"/>
        </w:rPr>
        <w:t>o</w:t>
      </w:r>
      <w:r w:rsidR="00B44ED3" w:rsidRPr="008D5921">
        <w:rPr>
          <w:color w:val="000000" w:themeColor="text1"/>
          <w:shd w:val="clear" w:color="auto" w:fill="FFFFFF"/>
        </w:rPr>
        <w:t xml:space="preserve">ffending team members, lay-members, and sometimes the victim) </w:t>
      </w:r>
      <w:r w:rsidR="00726D6C" w:rsidRPr="008D5921">
        <w:rPr>
          <w:color w:val="000000" w:themeColor="text1"/>
          <w:shd w:val="clear" w:color="auto" w:fill="FFFFFF"/>
        </w:rPr>
        <w:t>with</w:t>
      </w:r>
      <w:r w:rsidR="00B44ED3" w:rsidRPr="008D5921">
        <w:rPr>
          <w:color w:val="000000" w:themeColor="text1"/>
          <w:shd w:val="clear" w:color="auto" w:fill="FFFFFF"/>
        </w:rPr>
        <w:t xml:space="preserve">in a </w:t>
      </w:r>
      <w:r w:rsidR="008D2AB3" w:rsidRPr="008D5921">
        <w:rPr>
          <w:color w:val="000000" w:themeColor="text1"/>
          <w:shd w:val="clear" w:color="auto" w:fill="FFFFFF"/>
        </w:rPr>
        <w:t>restorative justice</w:t>
      </w:r>
      <w:r w:rsidR="00B44ED3" w:rsidRPr="008D5921">
        <w:rPr>
          <w:color w:val="000000" w:themeColor="text1"/>
          <w:shd w:val="clear" w:color="auto" w:fill="FFFFFF"/>
        </w:rPr>
        <w:t xml:space="preserve"> framework</w:t>
      </w:r>
      <w:r w:rsidR="008D2AB3" w:rsidRPr="008D5921">
        <w:rPr>
          <w:color w:val="000000" w:themeColor="text1"/>
          <w:shd w:val="clear" w:color="auto" w:fill="FFFFFF"/>
        </w:rPr>
        <w:t xml:space="preserve">. </w:t>
      </w:r>
      <w:r w:rsidRPr="008D5921">
        <w:rPr>
          <w:rFonts w:eastAsia="Arial Unicode MS"/>
          <w:color w:val="000000" w:themeColor="text1"/>
          <w:bdr w:val="nil"/>
        </w:rPr>
        <w:t xml:space="preserve">In 2015 </w:t>
      </w:r>
      <w:r w:rsidR="00726D6C" w:rsidRPr="008D5921">
        <w:rPr>
          <w:rFonts w:eastAsia="Arial Unicode MS"/>
          <w:color w:val="000000" w:themeColor="text1"/>
          <w:bdr w:val="nil"/>
        </w:rPr>
        <w:t xml:space="preserve">just over </w:t>
      </w:r>
      <w:r w:rsidR="0094797F" w:rsidRPr="008D5921">
        <w:rPr>
          <w:rFonts w:eastAsia="Arial Unicode MS"/>
          <w:color w:val="000000" w:themeColor="text1"/>
          <w:bdr w:val="nil"/>
        </w:rPr>
        <w:t>12,000</w:t>
      </w:r>
      <w:r w:rsidRPr="008D5921">
        <w:rPr>
          <w:rFonts w:eastAsia="Arial Unicode MS"/>
          <w:color w:val="000000" w:themeColor="text1"/>
          <w:bdr w:val="nil"/>
        </w:rPr>
        <w:t xml:space="preserve"> referral orders were </w:t>
      </w:r>
      <w:r w:rsidR="00B44ED3" w:rsidRPr="008D5921">
        <w:rPr>
          <w:rFonts w:eastAsia="Arial Unicode MS"/>
          <w:color w:val="000000" w:themeColor="text1"/>
          <w:bdr w:val="nil"/>
        </w:rPr>
        <w:t>imposed</w:t>
      </w:r>
      <w:r w:rsidRPr="008D5921">
        <w:rPr>
          <w:rFonts w:eastAsia="Arial Unicode MS"/>
          <w:color w:val="000000" w:themeColor="text1"/>
          <w:bdr w:val="nil"/>
        </w:rPr>
        <w:t xml:space="preserve">, </w:t>
      </w:r>
      <w:r w:rsidR="00726D6C" w:rsidRPr="008D5921">
        <w:rPr>
          <w:rFonts w:eastAsia="Arial Unicode MS"/>
          <w:color w:val="000000" w:themeColor="text1"/>
          <w:bdr w:val="nil"/>
        </w:rPr>
        <w:t xml:space="preserve">over </w:t>
      </w:r>
      <w:r w:rsidR="0094797F" w:rsidRPr="008D5921">
        <w:rPr>
          <w:rFonts w:eastAsia="Arial Unicode MS"/>
          <w:color w:val="000000" w:themeColor="text1"/>
          <w:bdr w:val="nil"/>
        </w:rPr>
        <w:t>10,000</w:t>
      </w:r>
      <w:r w:rsidRPr="008D5921">
        <w:rPr>
          <w:rFonts w:eastAsia="Arial Unicode MS"/>
          <w:color w:val="000000" w:themeColor="text1"/>
          <w:bdr w:val="nil"/>
        </w:rPr>
        <w:t xml:space="preserve"> youth rehabilitation orders, </w:t>
      </w:r>
      <w:r w:rsidR="00D54AA2" w:rsidRPr="008D5921">
        <w:rPr>
          <w:rFonts w:eastAsia="Arial Unicode MS"/>
          <w:color w:val="000000" w:themeColor="text1"/>
          <w:bdr w:val="nil"/>
        </w:rPr>
        <w:t xml:space="preserve">and </w:t>
      </w:r>
      <w:r w:rsidR="00726D6C" w:rsidRPr="008D5921">
        <w:rPr>
          <w:rFonts w:eastAsia="Arial Unicode MS"/>
          <w:color w:val="000000" w:themeColor="text1"/>
          <w:bdr w:val="nil"/>
        </w:rPr>
        <w:t xml:space="preserve">fewer than </w:t>
      </w:r>
      <w:r w:rsidR="0094797F" w:rsidRPr="008D5921">
        <w:rPr>
          <w:rFonts w:eastAsia="Arial Unicode MS"/>
          <w:color w:val="000000" w:themeColor="text1"/>
          <w:bdr w:val="nil"/>
        </w:rPr>
        <w:t>3,000</w:t>
      </w:r>
      <w:r w:rsidR="00726D6C" w:rsidRPr="008D5921">
        <w:rPr>
          <w:rFonts w:eastAsia="Arial Unicode MS"/>
          <w:color w:val="000000" w:themeColor="text1"/>
          <w:bdr w:val="nil"/>
        </w:rPr>
        <w:t xml:space="preserve"> </w:t>
      </w:r>
      <w:r w:rsidR="0094797F" w:rsidRPr="008D5921">
        <w:rPr>
          <w:rFonts w:eastAsia="Arial Unicode MS"/>
          <w:color w:val="000000" w:themeColor="text1"/>
          <w:bdr w:val="nil"/>
        </w:rPr>
        <w:t>d</w:t>
      </w:r>
      <w:r w:rsidR="00726D6C" w:rsidRPr="008D5921">
        <w:rPr>
          <w:rFonts w:eastAsia="Arial Unicode MS"/>
          <w:color w:val="000000" w:themeColor="text1"/>
          <w:bdr w:val="nil"/>
        </w:rPr>
        <w:t xml:space="preserve">etention and </w:t>
      </w:r>
      <w:r w:rsidR="0094797F" w:rsidRPr="008D5921">
        <w:rPr>
          <w:rFonts w:eastAsia="Arial Unicode MS"/>
          <w:color w:val="000000" w:themeColor="text1"/>
          <w:bdr w:val="nil"/>
        </w:rPr>
        <w:t>t</w:t>
      </w:r>
      <w:r w:rsidR="00726D6C" w:rsidRPr="008D5921">
        <w:rPr>
          <w:rFonts w:eastAsia="Arial Unicode MS"/>
          <w:color w:val="000000" w:themeColor="text1"/>
          <w:bdr w:val="nil"/>
        </w:rPr>
        <w:t xml:space="preserve">raining </w:t>
      </w:r>
      <w:r w:rsidR="0094797F" w:rsidRPr="008D5921">
        <w:rPr>
          <w:rFonts w:eastAsia="Arial Unicode MS"/>
          <w:color w:val="000000" w:themeColor="text1"/>
          <w:bdr w:val="nil"/>
        </w:rPr>
        <w:t>o</w:t>
      </w:r>
      <w:r w:rsidR="00726D6C" w:rsidRPr="008D5921">
        <w:rPr>
          <w:rFonts w:eastAsia="Arial Unicode MS"/>
          <w:color w:val="000000" w:themeColor="text1"/>
          <w:bdr w:val="nil"/>
        </w:rPr>
        <w:t xml:space="preserve">rders (youth </w:t>
      </w:r>
      <w:r w:rsidRPr="008D5921">
        <w:rPr>
          <w:rFonts w:eastAsia="Arial Unicode MS"/>
          <w:color w:val="000000" w:themeColor="text1"/>
          <w:bdr w:val="nil"/>
        </w:rPr>
        <w:t>custod</w:t>
      </w:r>
      <w:r w:rsidR="00726D6C" w:rsidRPr="008D5921">
        <w:rPr>
          <w:rFonts w:eastAsia="Arial Unicode MS"/>
          <w:color w:val="000000" w:themeColor="text1"/>
          <w:bdr w:val="nil"/>
        </w:rPr>
        <w:t>y)</w:t>
      </w:r>
      <w:r w:rsidR="00D54AA2" w:rsidRPr="008D5921">
        <w:rPr>
          <w:rFonts w:eastAsia="Arial Unicode MS"/>
          <w:color w:val="000000" w:themeColor="text1"/>
          <w:bdr w:val="nil"/>
        </w:rPr>
        <w:t xml:space="preserve"> </w:t>
      </w:r>
      <w:r w:rsidRPr="008D5921">
        <w:rPr>
          <w:rFonts w:eastAsia="Arial Unicode MS"/>
          <w:color w:val="000000" w:themeColor="text1"/>
          <w:bdr w:val="nil"/>
        </w:rPr>
        <w:t xml:space="preserve">(Review of referral orders by HM Inspectorate of Probation in </w:t>
      </w:r>
      <w:hyperlink r:id="rId19" w:history="1">
        <w:r w:rsidR="00A94D9A" w:rsidRPr="008D5921">
          <w:rPr>
            <w:rStyle w:val="Hyperlink"/>
            <w:rFonts w:eastAsia="Arial Unicode MS"/>
            <w:bdr w:val="nil"/>
          </w:rPr>
          <w:t>https://www.justiceinspectorates.gov.uk/hmiprobation/wp-</w:t>
        </w:r>
      </w:hyperlink>
      <w:r w:rsidR="00A70890" w:rsidRPr="008D5921">
        <w:rPr>
          <w:rStyle w:val="Hyperlink"/>
          <w:rFonts w:eastAsia="Arial Unicode MS"/>
          <w:bdr w:val="nil"/>
        </w:rPr>
        <w:t xml:space="preserve">; see </w:t>
      </w:r>
      <w:r w:rsidR="00A70890" w:rsidRPr="008D5921">
        <w:rPr>
          <w:rStyle w:val="Hyperlink"/>
          <w:rFonts w:eastAsia="Arial Unicode MS"/>
          <w:bdr w:val="nil"/>
        </w:rPr>
        <w:lastRenderedPageBreak/>
        <w:t xml:space="preserve">also the Taylor Review, 2016). </w:t>
      </w:r>
      <w:r w:rsidR="006269BB" w:rsidRPr="008D5921">
        <w:rPr>
          <w:rFonts w:eastAsia="Arial Unicode MS"/>
          <w:color w:val="000000" w:themeColor="text1"/>
          <w:bdr w:val="nil"/>
          <w:lang w:val="en-US"/>
        </w:rPr>
        <w:t>T</w:t>
      </w:r>
      <w:r w:rsidR="00654491" w:rsidRPr="008D5921">
        <w:rPr>
          <w:rFonts w:eastAsia="Arial Unicode MS"/>
          <w:color w:val="000000" w:themeColor="text1"/>
          <w:bdr w:val="nil"/>
          <w:lang w:val="en-US"/>
        </w:rPr>
        <w:t>he ‘</w:t>
      </w:r>
      <w:proofErr w:type="spellStart"/>
      <w:r w:rsidR="00654491" w:rsidRPr="008D5921">
        <w:rPr>
          <w:rFonts w:eastAsia="Arial Unicode MS"/>
          <w:color w:val="000000" w:themeColor="text1"/>
          <w:bdr w:val="nil"/>
          <w:lang w:val="en-US"/>
        </w:rPr>
        <w:t>decarceral</w:t>
      </w:r>
      <w:proofErr w:type="spellEnd"/>
      <w:r w:rsidR="00654491" w:rsidRPr="008D5921">
        <w:rPr>
          <w:rFonts w:eastAsia="Arial Unicode MS"/>
          <w:color w:val="000000" w:themeColor="text1"/>
          <w:bdr w:val="nil"/>
          <w:lang w:val="en-US"/>
        </w:rPr>
        <w:t xml:space="preserve">’ impact of referral orders and restorative justice initiatives has been rightly questioned (Goldson, 2000; Crawford and Newburn, 2003; </w:t>
      </w:r>
      <w:proofErr w:type="spellStart"/>
      <w:r w:rsidR="00654491" w:rsidRPr="008D5921">
        <w:rPr>
          <w:rFonts w:eastAsia="Arial Unicode MS"/>
          <w:color w:val="000000" w:themeColor="text1"/>
          <w:bdr w:val="nil"/>
          <w:lang w:val="en-US"/>
        </w:rPr>
        <w:t>Cunneen</w:t>
      </w:r>
      <w:proofErr w:type="spellEnd"/>
      <w:r w:rsidR="00654491" w:rsidRPr="008D5921">
        <w:rPr>
          <w:rFonts w:eastAsia="Arial Unicode MS"/>
          <w:color w:val="000000" w:themeColor="text1"/>
          <w:bdr w:val="nil"/>
          <w:lang w:val="en-US"/>
        </w:rPr>
        <w:t xml:space="preserve"> and Goldson, 2015) but must be factored into this discussion of broad </w:t>
      </w:r>
      <w:proofErr w:type="spellStart"/>
      <w:r w:rsidR="00654491" w:rsidRPr="008D5921">
        <w:rPr>
          <w:rFonts w:eastAsia="Arial Unicode MS"/>
          <w:color w:val="000000" w:themeColor="text1"/>
          <w:bdr w:val="nil"/>
          <w:lang w:val="en-US"/>
        </w:rPr>
        <w:t>decarceral</w:t>
      </w:r>
      <w:proofErr w:type="spellEnd"/>
      <w:r w:rsidR="00654491" w:rsidRPr="008D5921">
        <w:rPr>
          <w:rFonts w:eastAsia="Arial Unicode MS"/>
          <w:color w:val="000000" w:themeColor="text1"/>
          <w:bdr w:val="nil"/>
          <w:lang w:val="en-US"/>
        </w:rPr>
        <w:t xml:space="preserve"> trends in youth justice. T</w:t>
      </w:r>
      <w:r w:rsidR="006269BB" w:rsidRPr="008D5921">
        <w:rPr>
          <w:rFonts w:eastAsia="Arial Unicode MS"/>
          <w:color w:val="000000" w:themeColor="text1"/>
          <w:bdr w:val="nil"/>
          <w:lang w:val="en-US"/>
        </w:rPr>
        <w:t>oday</w:t>
      </w:r>
      <w:r w:rsidR="00D65909" w:rsidRPr="008D5921">
        <w:rPr>
          <w:rFonts w:eastAsia="Arial Unicode MS"/>
          <w:color w:val="000000" w:themeColor="text1"/>
          <w:bdr w:val="nil"/>
          <w:lang w:val="en-US"/>
        </w:rPr>
        <w:t>,</w:t>
      </w:r>
      <w:r w:rsidR="006269BB" w:rsidRPr="008D5921">
        <w:rPr>
          <w:rFonts w:eastAsia="Arial Unicode MS"/>
          <w:color w:val="000000" w:themeColor="text1"/>
          <w:bdr w:val="nil"/>
          <w:lang w:val="en-US"/>
        </w:rPr>
        <w:t xml:space="preserve"> </w:t>
      </w:r>
      <w:r w:rsidR="0094797F" w:rsidRPr="008D5921">
        <w:rPr>
          <w:rFonts w:eastAsia="Arial Unicode MS"/>
          <w:color w:val="000000" w:themeColor="text1"/>
          <w:bdr w:val="nil"/>
          <w:lang w:val="en-US"/>
        </w:rPr>
        <w:t xml:space="preserve">the </w:t>
      </w:r>
      <w:r w:rsidR="00734C33" w:rsidRPr="008D5921">
        <w:rPr>
          <w:rFonts w:eastAsia="Arial Unicode MS"/>
          <w:color w:val="000000" w:themeColor="text1"/>
          <w:bdr w:val="nil"/>
          <w:lang w:val="en-US"/>
        </w:rPr>
        <w:t>number of young people in custody is less than 1000</w:t>
      </w:r>
      <w:r w:rsidR="006269BB" w:rsidRPr="008D5921">
        <w:rPr>
          <w:rFonts w:eastAsia="Arial Unicode MS"/>
          <w:color w:val="000000" w:themeColor="text1"/>
          <w:bdr w:val="nil"/>
          <w:lang w:val="en-US"/>
        </w:rPr>
        <w:t xml:space="preserve">. </w:t>
      </w:r>
      <w:r w:rsidR="00726D6C" w:rsidRPr="008D5921">
        <w:rPr>
          <w:rFonts w:eastAsia="Arial Unicode MS"/>
          <w:color w:val="000000" w:themeColor="text1"/>
          <w:bdr w:val="nil"/>
          <w:lang w:val="en-US"/>
        </w:rPr>
        <w:t>The youth</w:t>
      </w:r>
      <w:r w:rsidR="00726D6C" w:rsidRPr="00A35AE0">
        <w:rPr>
          <w:rFonts w:eastAsia="Arial Unicode MS"/>
          <w:color w:val="000000" w:themeColor="text1"/>
          <w:bdr w:val="nil"/>
          <w:lang w:val="en-US"/>
        </w:rPr>
        <w:t xml:space="preserve"> justice system </w:t>
      </w:r>
      <w:r w:rsidR="00530291">
        <w:rPr>
          <w:rFonts w:eastAsia="Arial Unicode MS"/>
          <w:color w:val="000000" w:themeColor="text1"/>
          <w:bdr w:val="nil"/>
          <w:lang w:val="en-US"/>
        </w:rPr>
        <w:t xml:space="preserve">therefore </w:t>
      </w:r>
      <w:r w:rsidR="00726D6C" w:rsidRPr="00A35AE0">
        <w:rPr>
          <w:rFonts w:eastAsia="Arial Unicode MS"/>
          <w:color w:val="000000" w:themeColor="text1"/>
          <w:bdr w:val="nil"/>
          <w:lang w:val="en-US"/>
        </w:rPr>
        <w:t xml:space="preserve">stands at a pivotal moment in its history, </w:t>
      </w:r>
      <w:r w:rsidR="00726D6C" w:rsidRPr="001B2DE4">
        <w:rPr>
          <w:rFonts w:eastAsia="Arial Unicode MS"/>
          <w:color w:val="000000" w:themeColor="text1"/>
          <w:bdr w:val="nil"/>
          <w:lang w:val="en-US"/>
        </w:rPr>
        <w:t xml:space="preserve">with </w:t>
      </w:r>
      <w:r w:rsidR="0094797F" w:rsidRPr="001B2DE4">
        <w:rPr>
          <w:rFonts w:eastAsia="Arial Unicode MS"/>
          <w:color w:val="000000" w:themeColor="text1"/>
          <w:bdr w:val="nil"/>
          <w:lang w:val="en-US"/>
        </w:rPr>
        <w:t xml:space="preserve">modern </w:t>
      </w:r>
      <w:r w:rsidR="00726D6C" w:rsidRPr="001B2DE4">
        <w:rPr>
          <w:rFonts w:eastAsia="Arial Unicode MS"/>
          <w:color w:val="000000" w:themeColor="text1"/>
          <w:bdr w:val="nil"/>
          <w:lang w:val="en-US"/>
        </w:rPr>
        <w:t xml:space="preserve">youth incarceration rates </w:t>
      </w:r>
      <w:r w:rsidR="001B2DE4" w:rsidRPr="001B2DE4">
        <w:rPr>
          <w:rFonts w:eastAsia="Arial Unicode MS"/>
          <w:color w:val="000000" w:themeColor="text1"/>
          <w:bdr w:val="nil"/>
          <w:lang w:val="en-US"/>
        </w:rPr>
        <w:t>back at the level they were in the late 1980s</w:t>
      </w:r>
      <w:r w:rsidR="00726D6C" w:rsidRPr="001B2DE4">
        <w:rPr>
          <w:rFonts w:eastAsia="Arial Unicode MS"/>
          <w:color w:val="000000" w:themeColor="text1"/>
          <w:bdr w:val="nil"/>
          <w:lang w:val="en-US"/>
        </w:rPr>
        <w:t>.</w:t>
      </w:r>
      <w:r w:rsidR="00726D6C" w:rsidRPr="00A35AE0">
        <w:rPr>
          <w:rFonts w:eastAsia="Arial Unicode MS"/>
          <w:color w:val="000000" w:themeColor="text1"/>
          <w:bdr w:val="nil"/>
          <w:lang w:val="en-US"/>
        </w:rPr>
        <w:t xml:space="preserve"> </w:t>
      </w:r>
      <w:r w:rsidR="006269BB" w:rsidRPr="00A35AE0">
        <w:rPr>
          <w:rFonts w:eastAsia="Arial Unicode MS"/>
          <w:color w:val="000000" w:themeColor="text1"/>
          <w:bdr w:val="nil"/>
          <w:lang w:val="en-US"/>
        </w:rPr>
        <w:t xml:space="preserve">This is arguably </w:t>
      </w:r>
      <w:r w:rsidR="00A94D9A" w:rsidRPr="00A35AE0">
        <w:rPr>
          <w:rFonts w:eastAsia="Arial Unicode MS"/>
          <w:i/>
          <w:color w:val="000000" w:themeColor="text1"/>
          <w:bdr w:val="nil"/>
          <w:lang w:val="en-US"/>
        </w:rPr>
        <w:t>the</w:t>
      </w:r>
      <w:r w:rsidR="006269BB" w:rsidRPr="00A35AE0">
        <w:rPr>
          <w:rFonts w:eastAsia="Arial Unicode MS"/>
          <w:i/>
          <w:color w:val="000000" w:themeColor="text1"/>
          <w:bdr w:val="nil"/>
          <w:lang w:val="en-US"/>
        </w:rPr>
        <w:t xml:space="preserve"> </w:t>
      </w:r>
      <w:r w:rsidR="006269BB" w:rsidRPr="00A35AE0">
        <w:rPr>
          <w:rFonts w:eastAsia="Arial Unicode MS"/>
          <w:color w:val="000000" w:themeColor="text1"/>
          <w:bdr w:val="nil"/>
          <w:lang w:val="en-US"/>
        </w:rPr>
        <w:t xml:space="preserve">moment to break with our long historical reliance on youth custody. </w:t>
      </w:r>
    </w:p>
    <w:p w:rsidR="001B159B" w:rsidRPr="00A35AE0" w:rsidRDefault="001B159B" w:rsidP="0018426E">
      <w:pPr>
        <w:pBdr>
          <w:top w:val="nil"/>
          <w:left w:val="nil"/>
          <w:bottom w:val="nil"/>
          <w:right w:val="nil"/>
          <w:between w:val="nil"/>
          <w:bar w:val="nil"/>
        </w:pBdr>
        <w:spacing w:line="360" w:lineRule="auto"/>
        <w:jc w:val="both"/>
        <w:rPr>
          <w:rFonts w:eastAsia="Arial Unicode MS"/>
          <w:color w:val="1F497D" w:themeColor="text2"/>
          <w:bdr w:val="nil"/>
          <w:lang w:val="en-US"/>
        </w:rPr>
      </w:pPr>
    </w:p>
    <w:p w:rsidR="0012541B" w:rsidRDefault="0012541B" w:rsidP="00652B36">
      <w:pPr>
        <w:pBdr>
          <w:top w:val="nil"/>
          <w:left w:val="nil"/>
          <w:bottom w:val="nil"/>
          <w:right w:val="nil"/>
          <w:between w:val="nil"/>
          <w:bar w:val="nil"/>
        </w:pBdr>
        <w:spacing w:line="360" w:lineRule="auto"/>
        <w:jc w:val="both"/>
        <w:rPr>
          <w:rFonts w:eastAsia="Arial Unicode MS"/>
          <w:bdr w:val="nil"/>
          <w:lang w:val="en-US"/>
        </w:rPr>
      </w:pPr>
    </w:p>
    <w:p w:rsidR="0012541B" w:rsidRDefault="0012541B" w:rsidP="00652B36">
      <w:pPr>
        <w:pBdr>
          <w:top w:val="nil"/>
          <w:left w:val="nil"/>
          <w:bottom w:val="nil"/>
          <w:right w:val="nil"/>
          <w:between w:val="nil"/>
          <w:bar w:val="nil"/>
        </w:pBdr>
        <w:spacing w:line="360" w:lineRule="auto"/>
        <w:jc w:val="both"/>
        <w:rPr>
          <w:rFonts w:eastAsia="Arial Unicode MS"/>
          <w:b/>
          <w:bdr w:val="nil"/>
          <w:lang w:val="en-US"/>
        </w:rPr>
      </w:pPr>
      <w:r w:rsidRPr="00626AB8">
        <w:rPr>
          <w:rFonts w:eastAsia="Arial Unicode MS"/>
          <w:b/>
          <w:bdr w:val="nil"/>
          <w:lang w:val="en-US"/>
        </w:rPr>
        <w:t xml:space="preserve">Re-imagining juvenile </w:t>
      </w:r>
      <w:proofErr w:type="spellStart"/>
      <w:r w:rsidRPr="00626AB8">
        <w:rPr>
          <w:rFonts w:eastAsia="Arial Unicode MS"/>
          <w:b/>
          <w:bdr w:val="nil"/>
          <w:lang w:val="en-US"/>
        </w:rPr>
        <w:t>decarceration</w:t>
      </w:r>
      <w:proofErr w:type="spellEnd"/>
      <w:r w:rsidRPr="00626AB8">
        <w:rPr>
          <w:rFonts w:eastAsia="Arial Unicode MS"/>
          <w:b/>
          <w:bdr w:val="nil"/>
          <w:lang w:val="en-US"/>
        </w:rPr>
        <w:t xml:space="preserve"> for our times</w:t>
      </w:r>
    </w:p>
    <w:p w:rsidR="00734C33" w:rsidRPr="00626AB8" w:rsidRDefault="00734C33" w:rsidP="00652B36">
      <w:pPr>
        <w:pBdr>
          <w:top w:val="nil"/>
          <w:left w:val="nil"/>
          <w:bottom w:val="nil"/>
          <w:right w:val="nil"/>
          <w:between w:val="nil"/>
          <w:bar w:val="nil"/>
        </w:pBdr>
        <w:spacing w:line="360" w:lineRule="auto"/>
        <w:jc w:val="both"/>
        <w:rPr>
          <w:rFonts w:eastAsia="Arial Unicode MS"/>
          <w:b/>
          <w:bdr w:val="nil"/>
          <w:lang w:val="en-US"/>
        </w:rPr>
      </w:pPr>
    </w:p>
    <w:p w:rsidR="001B159B" w:rsidRPr="00874197" w:rsidRDefault="001B159B" w:rsidP="00874197">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Current political economy models of punishment</w:t>
      </w:r>
      <w:r w:rsidR="004D5E7B">
        <w:rPr>
          <w:rFonts w:eastAsia="Arial Unicode MS"/>
          <w:bdr w:val="nil"/>
          <w:lang w:val="en-US"/>
        </w:rPr>
        <w:t xml:space="preserve"> and</w:t>
      </w:r>
      <w:r w:rsidRPr="00A35AE0">
        <w:rPr>
          <w:rFonts w:eastAsia="Arial Unicode MS"/>
          <w:bdr w:val="nil"/>
          <w:lang w:val="en-US"/>
        </w:rPr>
        <w:t xml:space="preserve"> justice are based on particular kinds of commodified contractual models that developed with the </w:t>
      </w:r>
      <w:r w:rsidR="004D5E7B">
        <w:rPr>
          <w:rFonts w:eastAsia="Arial Unicode MS"/>
          <w:bdr w:val="nil"/>
          <w:lang w:val="en-US"/>
        </w:rPr>
        <w:t xml:space="preserve">historical </w:t>
      </w:r>
      <w:r w:rsidRPr="00A35AE0">
        <w:rPr>
          <w:rFonts w:eastAsia="Arial Unicode MS"/>
          <w:bdr w:val="nil"/>
          <w:lang w:val="en-US"/>
        </w:rPr>
        <w:t>rise of capitalism</w:t>
      </w:r>
      <w:r w:rsidR="004D5E7B">
        <w:rPr>
          <w:rFonts w:eastAsia="Arial Unicode MS"/>
          <w:bdr w:val="nil"/>
          <w:lang w:val="en-US"/>
        </w:rPr>
        <w:t xml:space="preserve"> yet </w:t>
      </w:r>
      <w:r w:rsidRPr="00A35AE0">
        <w:rPr>
          <w:rFonts w:eastAsia="Arial Unicode MS"/>
          <w:bdr w:val="nil"/>
          <w:lang w:val="en-US"/>
        </w:rPr>
        <w:t xml:space="preserve">persist today in </w:t>
      </w:r>
      <w:proofErr w:type="gramStart"/>
      <w:r w:rsidRPr="00A35AE0">
        <w:rPr>
          <w:rFonts w:eastAsia="Arial Unicode MS"/>
          <w:bdr w:val="nil"/>
          <w:lang w:val="en-US"/>
        </w:rPr>
        <w:t>late-capitalism</w:t>
      </w:r>
      <w:proofErr w:type="gramEnd"/>
      <w:r w:rsidRPr="00A35AE0">
        <w:rPr>
          <w:rFonts w:eastAsia="Arial Unicode MS"/>
          <w:bdr w:val="nil"/>
          <w:lang w:val="en-US"/>
        </w:rPr>
        <w:t>.</w:t>
      </w:r>
      <w:r w:rsidR="00734C33">
        <w:rPr>
          <w:rFonts w:eastAsia="Arial Unicode MS"/>
          <w:bdr w:val="nil"/>
          <w:lang w:val="en-US"/>
        </w:rPr>
        <w:t xml:space="preserve"> </w:t>
      </w:r>
      <w:r w:rsidRPr="00A35AE0">
        <w:rPr>
          <w:rFonts w:eastAsia="Arial Unicode MS"/>
          <w:bdr w:val="nil"/>
          <w:lang w:val="en-US"/>
        </w:rPr>
        <w:t>They imagine the serious young offender as a person owing a contractual ‘debt’ to society that must be ‘</w:t>
      </w:r>
      <w:r w:rsidRPr="003748E1">
        <w:rPr>
          <w:rFonts w:eastAsia="Arial Unicode MS"/>
          <w:bdr w:val="nil"/>
          <w:lang w:val="en-US"/>
        </w:rPr>
        <w:t>repaid’. At</w:t>
      </w:r>
      <w:r w:rsidRPr="00A35AE0">
        <w:rPr>
          <w:rFonts w:eastAsia="Arial Unicode MS"/>
          <w:bdr w:val="nil"/>
          <w:lang w:val="en-US"/>
        </w:rPr>
        <w:t xml:space="preserve"> present, incarceration remains the most powerfully symbolic means by which the youth courts can demonstrate that a serious young offender has been required to ‘pay the price’ for their crime. This is one of the factors impeding full youth </w:t>
      </w:r>
      <w:proofErr w:type="spellStart"/>
      <w:r w:rsidRPr="00A35AE0">
        <w:rPr>
          <w:rFonts w:eastAsia="Arial Unicode MS"/>
          <w:bdr w:val="nil"/>
          <w:lang w:val="en-US"/>
        </w:rPr>
        <w:t>decarceration</w:t>
      </w:r>
      <w:proofErr w:type="spellEnd"/>
      <w:r w:rsidRPr="00A35AE0">
        <w:rPr>
          <w:rFonts w:eastAsia="Arial Unicode MS"/>
          <w:bdr w:val="nil"/>
          <w:lang w:val="en-US"/>
        </w:rPr>
        <w:t xml:space="preserve"> today. However, this ‘debt’ based view is at odds with an earlier nineteenth century reformist view of the young offender as a potential worker who could become economically productive, both to reduce the future ‘burden’ they might place on the community and to improve their character. The creation of new industrial and reformatory schools in the 1850s was an attempt to recalibrate the political economy of punishment by </w:t>
      </w:r>
      <w:r w:rsidRPr="00A35AE0">
        <w:rPr>
          <w:rFonts w:eastAsia="Arial Unicode MS"/>
          <w:i/>
          <w:bdr w:val="nil"/>
          <w:lang w:val="en-US"/>
        </w:rPr>
        <w:t>removing</w:t>
      </w:r>
      <w:r w:rsidRPr="00A35AE0">
        <w:rPr>
          <w:rFonts w:eastAsia="Arial Unicode MS"/>
          <w:bdr w:val="nil"/>
          <w:lang w:val="en-US"/>
        </w:rPr>
        <w:t xml:space="preserve"> children from symbolic incarceration within prison and replacing it with a new social investment in their rescue, reform and training. In other words, children were placed in these institutions not </w:t>
      </w:r>
      <w:r w:rsidR="00272E45">
        <w:rPr>
          <w:rFonts w:eastAsia="Arial Unicode MS"/>
          <w:bdr w:val="nil"/>
          <w:lang w:val="en-US"/>
        </w:rPr>
        <w:t xml:space="preserve">only </w:t>
      </w:r>
      <w:r w:rsidRPr="00A35AE0">
        <w:rPr>
          <w:rFonts w:eastAsia="Arial Unicode MS"/>
          <w:bdr w:val="nil"/>
          <w:lang w:val="en-US"/>
        </w:rPr>
        <w:t xml:space="preserve">because they owed a debt to society but because society </w:t>
      </w:r>
      <w:r w:rsidR="00272E45">
        <w:rPr>
          <w:rFonts w:eastAsia="Arial Unicode MS"/>
          <w:bdr w:val="nil"/>
          <w:lang w:val="en-US"/>
        </w:rPr>
        <w:t xml:space="preserve">also </w:t>
      </w:r>
      <w:r w:rsidRPr="00A35AE0">
        <w:rPr>
          <w:rFonts w:eastAsia="Arial Unicode MS"/>
          <w:bdr w:val="nil"/>
          <w:lang w:val="en-US"/>
        </w:rPr>
        <w:t xml:space="preserve">owed a debt to them. It is ironic, if not surprising, that – over time - these institutions should </w:t>
      </w:r>
      <w:r w:rsidR="00626AB8">
        <w:rPr>
          <w:rFonts w:eastAsia="Arial Unicode MS"/>
          <w:bdr w:val="nil"/>
          <w:lang w:val="en-US"/>
        </w:rPr>
        <w:t xml:space="preserve">have </w:t>
      </w:r>
      <w:r w:rsidRPr="00A35AE0">
        <w:rPr>
          <w:rFonts w:eastAsia="Arial Unicode MS"/>
          <w:bdr w:val="nil"/>
          <w:lang w:val="en-US"/>
        </w:rPr>
        <w:t>evolve</w:t>
      </w:r>
      <w:r w:rsidR="00626AB8">
        <w:rPr>
          <w:rFonts w:eastAsia="Arial Unicode MS"/>
          <w:bdr w:val="nil"/>
          <w:lang w:val="en-US"/>
        </w:rPr>
        <w:t>d</w:t>
      </w:r>
      <w:r w:rsidRPr="00A35AE0">
        <w:rPr>
          <w:rFonts w:eastAsia="Arial Unicode MS"/>
          <w:bdr w:val="nil"/>
          <w:lang w:val="en-US"/>
        </w:rPr>
        <w:t xml:space="preserve"> into the </w:t>
      </w:r>
      <w:r w:rsidRPr="00874197">
        <w:rPr>
          <w:rFonts w:eastAsia="Arial Unicode MS"/>
          <w:bdr w:val="nil"/>
          <w:lang w:val="en-US"/>
        </w:rPr>
        <w:t xml:space="preserve">symbolically punitive spaces of last resort that </w:t>
      </w:r>
      <w:r w:rsidR="00331429" w:rsidRPr="00874197">
        <w:rPr>
          <w:rFonts w:eastAsia="Arial Unicode MS"/>
          <w:bdr w:val="nil"/>
          <w:lang w:val="en-US"/>
        </w:rPr>
        <w:t>survive</w:t>
      </w:r>
      <w:r w:rsidRPr="00874197">
        <w:rPr>
          <w:rFonts w:eastAsia="Arial Unicode MS"/>
          <w:bdr w:val="nil"/>
          <w:lang w:val="en-US"/>
        </w:rPr>
        <w:t xml:space="preserve"> today.</w:t>
      </w:r>
    </w:p>
    <w:p w:rsidR="00B97B48" w:rsidRPr="00874197" w:rsidRDefault="00B97B48" w:rsidP="00874197">
      <w:pPr>
        <w:pBdr>
          <w:top w:val="nil"/>
          <w:left w:val="nil"/>
          <w:bottom w:val="nil"/>
          <w:right w:val="nil"/>
          <w:between w:val="nil"/>
          <w:bar w:val="nil"/>
        </w:pBdr>
        <w:spacing w:line="360" w:lineRule="auto"/>
        <w:jc w:val="both"/>
        <w:rPr>
          <w:rFonts w:eastAsia="Arial Unicode MS"/>
          <w:color w:val="000000" w:themeColor="text1"/>
          <w:bdr w:val="nil"/>
          <w:lang w:val="en-US"/>
        </w:rPr>
      </w:pPr>
    </w:p>
    <w:p w:rsidR="004454D5" w:rsidRPr="00883D36" w:rsidRDefault="001B159B" w:rsidP="00883D36">
      <w:pPr>
        <w:spacing w:line="360" w:lineRule="auto"/>
        <w:jc w:val="both"/>
      </w:pPr>
      <w:r w:rsidRPr="00874197">
        <w:rPr>
          <w:rFonts w:eastAsia="Arial Unicode MS"/>
          <w:bdr w:val="nil"/>
          <w:lang w:val="en-US"/>
        </w:rPr>
        <w:t xml:space="preserve">What tools are available to us to help us to re-imagine the young offender as a subject of late-modern governance today? How can we combine a political economy of reintegrative punishment with a political economy of </w:t>
      </w:r>
      <w:r w:rsidR="000C0A30" w:rsidRPr="00874197">
        <w:rPr>
          <w:rFonts w:eastAsia="Arial Unicode MS"/>
          <w:bdr w:val="nil"/>
          <w:lang w:val="en-US"/>
        </w:rPr>
        <w:t xml:space="preserve">rights-based </w:t>
      </w:r>
      <w:r w:rsidRPr="00874197">
        <w:rPr>
          <w:rFonts w:eastAsia="Arial Unicode MS"/>
          <w:bdr w:val="nil"/>
          <w:lang w:val="en-US"/>
        </w:rPr>
        <w:t xml:space="preserve">care? Current child rights frameworks demand that we offer children (including </w:t>
      </w:r>
      <w:r w:rsidR="005B22E0" w:rsidRPr="00874197">
        <w:rPr>
          <w:rFonts w:eastAsia="Arial Unicode MS"/>
          <w:bdr w:val="nil"/>
          <w:lang w:val="en-US"/>
        </w:rPr>
        <w:t xml:space="preserve">those who have been convicted of </w:t>
      </w:r>
      <w:r w:rsidR="00272E45">
        <w:rPr>
          <w:rFonts w:eastAsia="Arial Unicode MS"/>
          <w:bdr w:val="nil"/>
          <w:lang w:val="en-US"/>
        </w:rPr>
        <w:t>serious offences</w:t>
      </w:r>
      <w:r w:rsidRPr="00874197">
        <w:rPr>
          <w:rFonts w:eastAsia="Arial Unicode MS"/>
          <w:bdr w:val="nil"/>
          <w:lang w:val="en-US"/>
        </w:rPr>
        <w:t>) the right to protection, provision and participation</w:t>
      </w:r>
      <w:r w:rsidR="00884226" w:rsidRPr="00874197">
        <w:rPr>
          <w:rFonts w:eastAsia="Arial Unicode MS"/>
          <w:bdr w:val="nil"/>
          <w:lang w:val="en-US"/>
        </w:rPr>
        <w:t xml:space="preserve"> (</w:t>
      </w:r>
      <w:r w:rsidR="001834AA" w:rsidRPr="00874197">
        <w:rPr>
          <w:rFonts w:eastAsia="Arial Unicode MS"/>
          <w:bdr w:val="nil"/>
          <w:lang w:val="en-US"/>
        </w:rPr>
        <w:t>CYC, 2000</w:t>
      </w:r>
      <w:r w:rsidR="00884226" w:rsidRPr="00874197">
        <w:rPr>
          <w:rFonts w:eastAsia="Arial Unicode MS"/>
          <w:bdr w:val="nil"/>
          <w:lang w:val="en-US"/>
        </w:rPr>
        <w:t>)</w:t>
      </w:r>
      <w:r w:rsidRPr="00874197">
        <w:rPr>
          <w:rFonts w:eastAsia="Arial Unicode MS"/>
          <w:bdr w:val="nil"/>
          <w:lang w:val="en-US"/>
        </w:rPr>
        <w:t xml:space="preserve">. If we imagine young offenders as citizens with rights, we pay greater attention to their needs. Further, if we imagine them as </w:t>
      </w:r>
      <w:r w:rsidRPr="00874197">
        <w:rPr>
          <w:rFonts w:eastAsia="Arial Unicode MS"/>
          <w:bdr w:val="nil"/>
          <w:lang w:val="en-US"/>
        </w:rPr>
        <w:lastRenderedPageBreak/>
        <w:t>relational citizens whose basic needs must be met by others (their families, communities and wider society), we pay greater attention to the social networks around them and to the factors that inhibit and enhance these</w:t>
      </w:r>
      <w:r w:rsidR="00626AB8" w:rsidRPr="00874197">
        <w:rPr>
          <w:rFonts w:eastAsia="Arial Unicode MS"/>
          <w:bdr w:val="nil"/>
          <w:lang w:val="en-US"/>
        </w:rPr>
        <w:t xml:space="preserve"> (Cox,</w:t>
      </w:r>
      <w:r w:rsidR="00272E45">
        <w:rPr>
          <w:rFonts w:eastAsia="Arial Unicode MS"/>
          <w:bdr w:val="nil"/>
          <w:lang w:val="en-US"/>
        </w:rPr>
        <w:t xml:space="preserve"> P.,</w:t>
      </w:r>
      <w:r w:rsidR="00626AB8" w:rsidRPr="00874197">
        <w:rPr>
          <w:rFonts w:eastAsia="Arial Unicode MS"/>
          <w:bdr w:val="nil"/>
          <w:lang w:val="en-US"/>
        </w:rPr>
        <w:t xml:space="preserve"> 2018)</w:t>
      </w:r>
      <w:r w:rsidRPr="00874197">
        <w:rPr>
          <w:rFonts w:eastAsia="Arial Unicode MS"/>
          <w:bdr w:val="nil"/>
          <w:lang w:val="en-US"/>
        </w:rPr>
        <w:t xml:space="preserve">. </w:t>
      </w:r>
      <w:r w:rsidR="00DF3577" w:rsidRPr="00874197">
        <w:rPr>
          <w:rFonts w:eastAsia="Arial Unicode MS"/>
          <w:bdr w:val="nil"/>
          <w:lang w:val="en-US"/>
        </w:rPr>
        <w:t xml:space="preserve">The US ‘smart </w:t>
      </w:r>
      <w:proofErr w:type="spellStart"/>
      <w:r w:rsidR="00DF3577" w:rsidRPr="00874197">
        <w:rPr>
          <w:rFonts w:eastAsia="Arial Unicode MS"/>
          <w:bdr w:val="nil"/>
          <w:lang w:val="en-US"/>
        </w:rPr>
        <w:t>decarceration</w:t>
      </w:r>
      <w:proofErr w:type="spellEnd"/>
      <w:r w:rsidR="00DF3577" w:rsidRPr="00874197">
        <w:rPr>
          <w:rFonts w:eastAsia="Arial Unicode MS"/>
          <w:bdr w:val="nil"/>
          <w:lang w:val="en-US"/>
        </w:rPr>
        <w:t xml:space="preserve">’ </w:t>
      </w:r>
      <w:r w:rsidR="00DF3577" w:rsidRPr="00883D36">
        <w:rPr>
          <w:rFonts w:eastAsia="Arial Unicode MS"/>
          <w:bdr w:val="nil"/>
          <w:lang w:val="en-US"/>
        </w:rPr>
        <w:t>movement offers exciting possibilities here</w:t>
      </w:r>
      <w:r w:rsidR="00C85DB6" w:rsidRPr="00883D36">
        <w:rPr>
          <w:rFonts w:eastAsia="Arial Unicode MS"/>
          <w:bdr w:val="nil"/>
          <w:lang w:val="en-US"/>
        </w:rPr>
        <w:t xml:space="preserve">, with advocates calling for forms of </w:t>
      </w:r>
      <w:proofErr w:type="spellStart"/>
      <w:r w:rsidR="00C85DB6" w:rsidRPr="00883D36">
        <w:rPr>
          <w:rFonts w:eastAsia="Arial Unicode MS"/>
          <w:bdr w:val="nil"/>
          <w:lang w:val="en-US"/>
        </w:rPr>
        <w:t>decarceration</w:t>
      </w:r>
      <w:proofErr w:type="spellEnd"/>
      <w:r w:rsidR="00C85DB6" w:rsidRPr="00883D36">
        <w:rPr>
          <w:rFonts w:eastAsia="Arial Unicode MS"/>
          <w:bdr w:val="nil"/>
          <w:lang w:val="en-US"/>
        </w:rPr>
        <w:t xml:space="preserve"> that are ‘</w:t>
      </w:r>
      <w:r w:rsidR="00C85DB6" w:rsidRPr="00883D36">
        <w:t xml:space="preserve">effective, sustainable and socially just’, </w:t>
      </w:r>
      <w:r w:rsidR="009404D6" w:rsidRPr="00883D36">
        <w:t xml:space="preserve">and </w:t>
      </w:r>
      <w:r w:rsidR="00C85DB6" w:rsidRPr="00883D36">
        <w:t>that ‘</w:t>
      </w:r>
      <w:proofErr w:type="spellStart"/>
      <w:r w:rsidR="00C85DB6" w:rsidRPr="00883D36">
        <w:t>catalyze</w:t>
      </w:r>
      <w:proofErr w:type="spellEnd"/>
      <w:r w:rsidR="00C85DB6" w:rsidRPr="00883D36">
        <w:t xml:space="preserve"> a paradigm shift in justice, punishment, rehabilitation and safety’ by ‘</w:t>
      </w:r>
      <w:proofErr w:type="spellStart"/>
      <w:r w:rsidR="00C85DB6" w:rsidRPr="00883D36">
        <w:t>chang</w:t>
      </w:r>
      <w:proofErr w:type="spellEnd"/>
      <w:r w:rsidR="00C85DB6" w:rsidRPr="00883D36">
        <w:t>[</w:t>
      </w:r>
      <w:proofErr w:type="spellStart"/>
      <w:r w:rsidR="00C85DB6" w:rsidRPr="00883D36">
        <w:t>ing</w:t>
      </w:r>
      <w:proofErr w:type="spellEnd"/>
      <w:r w:rsidR="00C85DB6" w:rsidRPr="00883D36">
        <w:t>] the thinking that led to mass incarceration in the first place’</w:t>
      </w:r>
      <w:r w:rsidR="00752DD4" w:rsidRPr="00883D36">
        <w:t xml:space="preserve"> (</w:t>
      </w:r>
      <w:r w:rsidR="00874197" w:rsidRPr="007676C3">
        <w:rPr>
          <w:color w:val="222222"/>
          <w:shd w:val="clear" w:color="auto" w:fill="FFFFFF"/>
          <w:lang w:eastAsia="en-GB"/>
        </w:rPr>
        <w:t>Epperson</w:t>
      </w:r>
      <w:r w:rsidR="00874197" w:rsidRPr="00883D36">
        <w:rPr>
          <w:color w:val="222222"/>
          <w:shd w:val="clear" w:color="auto" w:fill="FFFFFF"/>
          <w:lang w:eastAsia="en-GB"/>
        </w:rPr>
        <w:t xml:space="preserve"> and </w:t>
      </w:r>
      <w:r w:rsidR="00874197" w:rsidRPr="007676C3">
        <w:rPr>
          <w:color w:val="222222"/>
          <w:shd w:val="clear" w:color="auto" w:fill="FFFFFF"/>
          <w:lang w:eastAsia="en-GB"/>
        </w:rPr>
        <w:t>Pettus-Davis 2017</w:t>
      </w:r>
      <w:r w:rsidR="00874197" w:rsidRPr="00883D36">
        <w:rPr>
          <w:color w:val="222222"/>
          <w:shd w:val="clear" w:color="auto" w:fill="FFFFFF"/>
          <w:lang w:eastAsia="en-GB"/>
        </w:rPr>
        <w:t xml:space="preserve">; </w:t>
      </w:r>
      <w:proofErr w:type="spellStart"/>
      <w:r w:rsidR="00752DD4" w:rsidRPr="00883D36">
        <w:t>Sherraden</w:t>
      </w:r>
      <w:proofErr w:type="spellEnd"/>
      <w:r w:rsidR="00752DD4" w:rsidRPr="00883D36">
        <w:t>, 2017: viii</w:t>
      </w:r>
      <w:r w:rsidR="00883D36" w:rsidRPr="00883D36">
        <w:t xml:space="preserve">; </w:t>
      </w:r>
      <w:r w:rsidR="00883D36" w:rsidRPr="008A54C0">
        <w:rPr>
          <w:color w:val="222222"/>
          <w:shd w:val="clear" w:color="auto" w:fill="FFFFFF"/>
          <w:lang w:eastAsia="en-GB"/>
        </w:rPr>
        <w:t>Johnson,</w:t>
      </w:r>
      <w:r w:rsidR="00883D36" w:rsidRPr="00883D36">
        <w:rPr>
          <w:color w:val="222222"/>
          <w:shd w:val="clear" w:color="auto" w:fill="FFFFFF"/>
          <w:lang w:eastAsia="en-GB"/>
        </w:rPr>
        <w:t xml:space="preserve"> </w:t>
      </w:r>
      <w:proofErr w:type="spellStart"/>
      <w:r w:rsidR="00883D36" w:rsidRPr="008A54C0">
        <w:rPr>
          <w:color w:val="222222"/>
          <w:shd w:val="clear" w:color="auto" w:fill="FFFFFF"/>
          <w:lang w:eastAsia="en-GB"/>
        </w:rPr>
        <w:t>Hoelter</w:t>
      </w:r>
      <w:proofErr w:type="spellEnd"/>
      <w:r w:rsidR="00883D36" w:rsidRPr="00883D36">
        <w:rPr>
          <w:color w:val="222222"/>
          <w:shd w:val="clear" w:color="auto" w:fill="FFFFFF"/>
          <w:lang w:eastAsia="en-GB"/>
        </w:rPr>
        <w:t xml:space="preserve"> and </w:t>
      </w:r>
      <w:r w:rsidR="00883D36" w:rsidRPr="008A54C0">
        <w:rPr>
          <w:color w:val="222222"/>
          <w:shd w:val="clear" w:color="auto" w:fill="FFFFFF"/>
          <w:lang w:eastAsia="en-GB"/>
        </w:rPr>
        <w:t>Miller, 1981</w:t>
      </w:r>
      <w:r w:rsidR="00752DD4" w:rsidRPr="00883D36">
        <w:t xml:space="preserve">). </w:t>
      </w:r>
    </w:p>
    <w:p w:rsidR="00C85DB6" w:rsidRPr="00883D36" w:rsidRDefault="00C85DB6" w:rsidP="00883D36">
      <w:pPr>
        <w:pBdr>
          <w:top w:val="nil"/>
          <w:left w:val="nil"/>
          <w:bottom w:val="nil"/>
          <w:right w:val="nil"/>
          <w:between w:val="nil"/>
          <w:bar w:val="nil"/>
        </w:pBdr>
        <w:spacing w:line="360" w:lineRule="auto"/>
        <w:jc w:val="both"/>
        <w:rPr>
          <w:rFonts w:eastAsia="Arial Unicode MS"/>
          <w:bdr w:val="nil"/>
          <w:lang w:val="en-US"/>
        </w:rPr>
      </w:pPr>
    </w:p>
    <w:p w:rsidR="00FC50EF" w:rsidRPr="00FC50EF" w:rsidRDefault="00FC50EF" w:rsidP="00883D36">
      <w:pPr>
        <w:pBdr>
          <w:top w:val="nil"/>
          <w:left w:val="nil"/>
          <w:bottom w:val="nil"/>
          <w:right w:val="nil"/>
          <w:between w:val="nil"/>
          <w:bar w:val="nil"/>
        </w:pBdr>
        <w:spacing w:line="360" w:lineRule="auto"/>
        <w:jc w:val="both"/>
        <w:rPr>
          <w:rFonts w:eastAsia="Arial Unicode MS"/>
          <w:color w:val="000000" w:themeColor="text1"/>
          <w:bdr w:val="nil"/>
          <w:lang w:val="en-US"/>
        </w:rPr>
      </w:pPr>
      <w:r w:rsidRPr="00883D36">
        <w:rPr>
          <w:rFonts w:eastAsia="Arial Unicode MS"/>
          <w:color w:val="000000" w:themeColor="text1"/>
          <w:bdr w:val="nil"/>
          <w:lang w:val="en-US"/>
        </w:rPr>
        <w:t>Recent work which has assessed longitudinal evidence of the impact of institutional care for vulnerable and criminalized young people concluded that reform and industrial schools offered</w:t>
      </w:r>
      <w:r w:rsidRPr="00874197">
        <w:rPr>
          <w:rFonts w:eastAsia="Arial Unicode MS"/>
          <w:color w:val="000000" w:themeColor="text1"/>
          <w:bdr w:val="nil"/>
          <w:lang w:val="en-US"/>
        </w:rPr>
        <w:t xml:space="preserve"> certain</w:t>
      </w:r>
      <w:r w:rsidRPr="00FC50EF">
        <w:rPr>
          <w:rFonts w:eastAsia="Arial Unicode MS"/>
          <w:color w:val="000000" w:themeColor="text1"/>
          <w:bdr w:val="nil"/>
          <w:lang w:val="en-US"/>
        </w:rPr>
        <w:t xml:space="preserve"> protective effects and were likely to have contributed to the very low post-release re-offending rates of those children sent to them (Godfrey, Cox, Shore and Alker, 2017).  Two particular features were prominent among these protective effects: first, all these institutions offered basic education and through-the-gate employment skills for all young people which made them employable (and equipped with the skills demanded by local employers with whom they had already had placements). Second, many young inmates benefited from the long-term caring relationships with staff which were continued past their release from the institution. However, these protective effects came at a substantial and questionable cost. They were rooted in draconian practices of child removal and were enacted within institutions that, taken as a whole, had a poor or hidden record of child maltreatment. Recent studies of historical institutional abuse (Bingham, Delap, Jackson and Settle</w:t>
      </w:r>
      <w:r w:rsidR="00E31231">
        <w:rPr>
          <w:rFonts w:eastAsia="Arial Unicode MS"/>
          <w:color w:val="000000" w:themeColor="text1"/>
          <w:bdr w:val="nil"/>
          <w:lang w:val="en-US"/>
        </w:rPr>
        <w:t>,</w:t>
      </w:r>
      <w:r w:rsidRPr="00FC50EF">
        <w:rPr>
          <w:rFonts w:eastAsia="Arial Unicode MS"/>
          <w:color w:val="000000" w:themeColor="text1"/>
          <w:bdr w:val="nil"/>
          <w:lang w:val="en-US"/>
        </w:rPr>
        <w:t xml:space="preserve"> 2016) indicate that everyday emotional, physical and sexual violence – between some staff and children, as well as between children – flourished in such settings, and still do (</w:t>
      </w:r>
      <w:proofErr w:type="spellStart"/>
      <w:r w:rsidRPr="00FC50EF">
        <w:rPr>
          <w:rFonts w:eastAsia="Arial Unicode MS"/>
          <w:color w:val="000000" w:themeColor="text1"/>
          <w:bdr w:val="nil"/>
          <w:lang w:val="en-US"/>
        </w:rPr>
        <w:t>Smaal</w:t>
      </w:r>
      <w:proofErr w:type="spellEnd"/>
      <w:r w:rsidR="00E31231">
        <w:rPr>
          <w:rFonts w:eastAsia="Arial Unicode MS"/>
          <w:color w:val="000000" w:themeColor="text1"/>
          <w:bdr w:val="nil"/>
          <w:lang w:val="en-US"/>
        </w:rPr>
        <w:t>,</w:t>
      </w:r>
      <w:r w:rsidRPr="00FC50EF">
        <w:rPr>
          <w:rFonts w:eastAsia="Arial Unicode MS"/>
          <w:color w:val="000000" w:themeColor="text1"/>
          <w:bdr w:val="nil"/>
          <w:lang w:val="en-US"/>
        </w:rPr>
        <w:t xml:space="preserve"> 2013</w:t>
      </w:r>
      <w:r w:rsidR="001B4FEE">
        <w:rPr>
          <w:rFonts w:eastAsia="Arial Unicode MS"/>
          <w:color w:val="000000" w:themeColor="text1"/>
          <w:bdr w:val="nil"/>
          <w:lang w:val="en-US"/>
        </w:rPr>
        <w:t>; Goldson and Hardwick</w:t>
      </w:r>
      <w:r w:rsidR="00E31231">
        <w:rPr>
          <w:rFonts w:eastAsia="Arial Unicode MS"/>
          <w:color w:val="000000" w:themeColor="text1"/>
          <w:bdr w:val="nil"/>
          <w:lang w:val="en-US"/>
        </w:rPr>
        <w:t>,</w:t>
      </w:r>
      <w:r w:rsidR="001B4FEE">
        <w:rPr>
          <w:rFonts w:eastAsia="Arial Unicode MS"/>
          <w:color w:val="000000" w:themeColor="text1"/>
          <w:bdr w:val="nil"/>
          <w:lang w:val="en-US"/>
        </w:rPr>
        <w:t xml:space="preserve"> 2017</w:t>
      </w:r>
      <w:r w:rsidRPr="00FC50EF">
        <w:rPr>
          <w:rFonts w:eastAsia="Arial Unicode MS"/>
          <w:color w:val="000000" w:themeColor="text1"/>
          <w:bdr w:val="nil"/>
          <w:lang w:val="en-US"/>
        </w:rPr>
        <w:t xml:space="preserve">). In other words, the protective effects offered by these institutions must be offset by their harmful effects. </w:t>
      </w:r>
    </w:p>
    <w:p w:rsidR="00FC50EF" w:rsidRPr="00FC50EF" w:rsidRDefault="00FC50EF" w:rsidP="00652B36">
      <w:pPr>
        <w:pBdr>
          <w:top w:val="nil"/>
          <w:left w:val="nil"/>
          <w:bottom w:val="nil"/>
          <w:right w:val="nil"/>
          <w:between w:val="nil"/>
          <w:bar w:val="nil"/>
        </w:pBdr>
        <w:spacing w:line="360" w:lineRule="auto"/>
        <w:jc w:val="both"/>
        <w:rPr>
          <w:rFonts w:eastAsia="Arial Unicode MS"/>
          <w:b/>
          <w:color w:val="000000" w:themeColor="text1"/>
          <w:bdr w:val="nil"/>
          <w:lang w:val="en-US"/>
        </w:rPr>
      </w:pPr>
    </w:p>
    <w:p w:rsidR="00854EAD" w:rsidRPr="00A35AE0" w:rsidRDefault="000313EE" w:rsidP="00652B36">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Overall, then, the social conditions that sustained the ‘success’ of early youth justice institutions are not replicable today. Further, we should no longer need to look to youth justice institutions to provide the protective effects - caring relationships, education and employment skills – that are now widely acknowledged to prevent young people from (re)offending</w:t>
      </w:r>
      <w:r w:rsidR="00156932">
        <w:rPr>
          <w:rFonts w:eastAsia="Arial Unicode MS"/>
          <w:bdr w:val="nil"/>
          <w:lang w:val="en-US"/>
        </w:rPr>
        <w:t xml:space="preserve"> and to encourage desistance</w:t>
      </w:r>
      <w:r w:rsidRPr="00A35AE0">
        <w:rPr>
          <w:rFonts w:eastAsia="Arial Unicode MS"/>
          <w:bdr w:val="nil"/>
          <w:lang w:val="en-US"/>
        </w:rPr>
        <w:t xml:space="preserve">. </w:t>
      </w:r>
      <w:r w:rsidR="007E761C" w:rsidRPr="00A35AE0">
        <w:rPr>
          <w:rFonts w:eastAsia="Arial Unicode MS"/>
          <w:bdr w:val="nil"/>
          <w:lang w:val="en-US"/>
        </w:rPr>
        <w:t>Such protections are now recognized as rights owed to all children</w:t>
      </w:r>
      <w:r w:rsidR="004665EC" w:rsidRPr="00A35AE0">
        <w:rPr>
          <w:rFonts w:eastAsia="Arial Unicode MS"/>
          <w:bdr w:val="nil"/>
          <w:lang w:val="en-US"/>
        </w:rPr>
        <w:t xml:space="preserve"> and are best realized within fa</w:t>
      </w:r>
      <w:r w:rsidR="000A2234" w:rsidRPr="00A35AE0">
        <w:rPr>
          <w:rFonts w:eastAsia="Arial Unicode MS"/>
          <w:bdr w:val="nil"/>
          <w:lang w:val="en-US"/>
        </w:rPr>
        <w:t xml:space="preserve">milies, schools and communities. </w:t>
      </w:r>
      <w:r w:rsidR="00F11E66" w:rsidRPr="00A35AE0">
        <w:rPr>
          <w:rFonts w:eastAsia="Arial Unicode MS"/>
          <w:bdr w:val="nil"/>
          <w:lang w:val="en-US"/>
        </w:rPr>
        <w:t xml:space="preserve">Social policies fully informed by child rights operating within a more fully redistributive economy can yet play a key role in </w:t>
      </w:r>
      <w:r w:rsidR="00F11E66" w:rsidRPr="00A35AE0">
        <w:rPr>
          <w:rFonts w:eastAsia="Arial Unicode MS"/>
          <w:bdr w:val="nil"/>
          <w:lang w:val="en-US"/>
        </w:rPr>
        <w:lastRenderedPageBreak/>
        <w:t xml:space="preserve">further reducing the volume of first-time entrants into the youth justice system. Enhanced safe-guarding, diversion, restorative justice and therapeutic interventions can </w:t>
      </w:r>
      <w:r w:rsidR="00854EAD" w:rsidRPr="00A35AE0">
        <w:rPr>
          <w:rFonts w:eastAsia="Arial Unicode MS"/>
          <w:bdr w:val="nil"/>
          <w:lang w:val="en-US"/>
        </w:rPr>
        <w:t xml:space="preserve">yet </w:t>
      </w:r>
      <w:r w:rsidR="00F11E66" w:rsidRPr="00A35AE0">
        <w:rPr>
          <w:rFonts w:eastAsia="Arial Unicode MS"/>
          <w:bdr w:val="nil"/>
          <w:lang w:val="en-US"/>
        </w:rPr>
        <w:t>further reduce the dwindling demand for youth custodial places.</w:t>
      </w:r>
      <w:r w:rsidR="003328BE" w:rsidRPr="00A35AE0">
        <w:rPr>
          <w:rFonts w:eastAsia="Arial Unicode MS"/>
          <w:bdr w:val="nil"/>
          <w:lang w:val="en-US"/>
        </w:rPr>
        <w:t xml:space="preserve"> </w:t>
      </w:r>
      <w:r w:rsidR="003328BE" w:rsidRPr="00252357">
        <w:rPr>
          <w:rFonts w:eastAsia="Arial Unicode MS"/>
          <w:bdr w:val="nil"/>
          <w:lang w:val="en-US"/>
        </w:rPr>
        <w:t>A ‘social model’ of youth offending is required</w:t>
      </w:r>
      <w:r w:rsidR="003328BE" w:rsidRPr="00A35AE0">
        <w:rPr>
          <w:rFonts w:eastAsia="Arial Unicode MS"/>
          <w:bdr w:val="nil"/>
          <w:lang w:val="en-US"/>
        </w:rPr>
        <w:t xml:space="preserve"> here, drawing on a ‘social model’ of child protection </w:t>
      </w:r>
      <w:r w:rsidR="00B222D7">
        <w:rPr>
          <w:rFonts w:eastAsia="Arial Unicode MS"/>
          <w:bdr w:val="nil"/>
          <w:lang w:val="en-US"/>
        </w:rPr>
        <w:t>(</w:t>
      </w:r>
      <w:r w:rsidR="00DD0387" w:rsidRPr="00DD0387">
        <w:rPr>
          <w:iCs/>
        </w:rPr>
        <w:t>Goldson</w:t>
      </w:r>
      <w:r w:rsidR="00DD0387">
        <w:rPr>
          <w:iCs/>
        </w:rPr>
        <w:t xml:space="preserve"> </w:t>
      </w:r>
      <w:r w:rsidR="00DD0387" w:rsidRPr="00DD0387">
        <w:rPr>
          <w:iCs/>
        </w:rPr>
        <w:t>and Muncie</w:t>
      </w:r>
      <w:r w:rsidR="00DD0387">
        <w:t xml:space="preserve"> </w:t>
      </w:r>
      <w:r w:rsidR="00DD0387" w:rsidRPr="00DD0387">
        <w:t>2015</w:t>
      </w:r>
      <w:r w:rsidR="00DD0387">
        <w:rPr>
          <w:rFonts w:asciiTheme="minorHAnsi" w:hAnsiTheme="minorHAnsi" w:cstheme="minorHAnsi"/>
        </w:rPr>
        <w:t xml:space="preserve">; </w:t>
      </w:r>
      <w:r w:rsidR="00B222D7">
        <w:t xml:space="preserve">Featherstone, Gupta, and </w:t>
      </w:r>
      <w:r w:rsidR="00B222D7" w:rsidRPr="00B222D7">
        <w:t>Morris,</w:t>
      </w:r>
      <w:r w:rsidR="00B222D7">
        <w:t xml:space="preserve"> 2016</w:t>
      </w:r>
      <w:r w:rsidR="003328BE" w:rsidRPr="00A35AE0">
        <w:rPr>
          <w:rFonts w:eastAsia="Arial Unicode MS"/>
          <w:bdr w:val="nil"/>
          <w:lang w:val="en-US"/>
        </w:rPr>
        <w:t xml:space="preserve">), that </w:t>
      </w:r>
      <w:r w:rsidR="008C0B12" w:rsidRPr="00A35AE0">
        <w:rPr>
          <w:rFonts w:eastAsia="Arial Unicode MS"/>
          <w:bdr w:val="nil"/>
          <w:lang w:val="en-US"/>
        </w:rPr>
        <w:t xml:space="preserve">further </w:t>
      </w:r>
      <w:r w:rsidR="003328BE" w:rsidRPr="00A35AE0">
        <w:rPr>
          <w:rFonts w:eastAsia="Arial Unicode MS"/>
          <w:bdr w:val="nil"/>
          <w:lang w:val="en-US"/>
        </w:rPr>
        <w:t xml:space="preserve">roots the remedies of troubled youth within </w:t>
      </w:r>
      <w:r w:rsidR="00945751" w:rsidRPr="00A35AE0">
        <w:rPr>
          <w:rFonts w:eastAsia="Arial Unicode MS"/>
          <w:bdr w:val="nil"/>
          <w:lang w:val="en-US"/>
        </w:rPr>
        <w:t>families, networks</w:t>
      </w:r>
      <w:r w:rsidR="00334ED7" w:rsidRPr="00A35AE0">
        <w:rPr>
          <w:rFonts w:eastAsia="Arial Unicode MS"/>
          <w:bdr w:val="nil"/>
          <w:lang w:val="en-US"/>
        </w:rPr>
        <w:t xml:space="preserve"> of care,</w:t>
      </w:r>
      <w:r w:rsidR="00945751" w:rsidRPr="00A35AE0">
        <w:rPr>
          <w:rFonts w:eastAsia="Arial Unicode MS"/>
          <w:bdr w:val="nil"/>
          <w:lang w:val="en-US"/>
        </w:rPr>
        <w:t xml:space="preserve"> </w:t>
      </w:r>
      <w:r w:rsidR="00534E45" w:rsidRPr="00A35AE0">
        <w:rPr>
          <w:rFonts w:eastAsia="Arial Unicode MS"/>
          <w:bdr w:val="nil"/>
          <w:lang w:val="en-US"/>
        </w:rPr>
        <w:t xml:space="preserve">and </w:t>
      </w:r>
      <w:r w:rsidR="003328BE" w:rsidRPr="00A35AE0">
        <w:rPr>
          <w:rFonts w:eastAsia="Arial Unicode MS"/>
          <w:bdr w:val="nil"/>
          <w:lang w:val="en-US"/>
        </w:rPr>
        <w:t>communities rather than custody.</w:t>
      </w:r>
    </w:p>
    <w:p w:rsidR="00CE7DA2" w:rsidRPr="00156932" w:rsidRDefault="00CE7DA2" w:rsidP="00337744">
      <w:pPr>
        <w:pBdr>
          <w:top w:val="nil"/>
          <w:left w:val="nil"/>
          <w:bottom w:val="nil"/>
          <w:right w:val="nil"/>
          <w:between w:val="nil"/>
          <w:bar w:val="nil"/>
        </w:pBdr>
        <w:spacing w:line="360" w:lineRule="auto"/>
        <w:jc w:val="both"/>
        <w:rPr>
          <w:rFonts w:eastAsia="Arial Unicode MS"/>
          <w:szCs w:val="22"/>
          <w:bdr w:val="nil"/>
          <w:lang w:val="en-US"/>
        </w:rPr>
      </w:pPr>
    </w:p>
    <w:p w:rsidR="006E2A67" w:rsidRPr="00156932" w:rsidRDefault="00854EAD" w:rsidP="00156932">
      <w:pPr>
        <w:pStyle w:val="CommentText"/>
        <w:spacing w:line="360" w:lineRule="auto"/>
        <w:jc w:val="both"/>
        <w:rPr>
          <w:rFonts w:ascii="Times New Roman" w:hAnsi="Times New Roman" w:cs="Times New Roman"/>
          <w:sz w:val="24"/>
          <w:szCs w:val="22"/>
          <w:bdr w:val="nil"/>
          <w:lang w:val="en-US"/>
        </w:rPr>
      </w:pPr>
      <w:r w:rsidRPr="00156932">
        <w:rPr>
          <w:rFonts w:ascii="Times New Roman" w:eastAsia="Arial Unicode MS" w:hAnsi="Times New Roman" w:cs="Times New Roman"/>
          <w:sz w:val="24"/>
          <w:szCs w:val="22"/>
          <w:bdr w:val="nil"/>
          <w:lang w:val="en-US"/>
        </w:rPr>
        <w:t xml:space="preserve">Some </w:t>
      </w:r>
      <w:r w:rsidR="00156932">
        <w:rPr>
          <w:rFonts w:ascii="Times New Roman" w:eastAsia="Arial Unicode MS" w:hAnsi="Times New Roman" w:cs="Times New Roman"/>
          <w:sz w:val="24"/>
          <w:szCs w:val="22"/>
          <w:bdr w:val="nil"/>
          <w:lang w:val="en-US"/>
        </w:rPr>
        <w:t>will</w:t>
      </w:r>
      <w:r w:rsidR="00156932" w:rsidRPr="00156932">
        <w:rPr>
          <w:rFonts w:ascii="Times New Roman" w:eastAsia="Arial Unicode MS" w:hAnsi="Times New Roman" w:cs="Times New Roman"/>
          <w:sz w:val="24"/>
          <w:szCs w:val="22"/>
          <w:bdr w:val="nil"/>
          <w:lang w:val="en-US"/>
        </w:rPr>
        <w:t xml:space="preserve"> </w:t>
      </w:r>
      <w:r w:rsidRPr="00156932">
        <w:rPr>
          <w:rFonts w:ascii="Times New Roman" w:eastAsia="Arial Unicode MS" w:hAnsi="Times New Roman" w:cs="Times New Roman"/>
          <w:sz w:val="24"/>
          <w:szCs w:val="22"/>
          <w:bdr w:val="nil"/>
          <w:lang w:val="en-US"/>
        </w:rPr>
        <w:t>argue that</w:t>
      </w:r>
      <w:r w:rsidR="003058D6" w:rsidRPr="00156932">
        <w:rPr>
          <w:rFonts w:ascii="Times New Roman" w:eastAsia="Arial Unicode MS" w:hAnsi="Times New Roman" w:cs="Times New Roman"/>
          <w:sz w:val="24"/>
          <w:szCs w:val="22"/>
          <w:bdr w:val="nil"/>
          <w:lang w:val="en-US"/>
        </w:rPr>
        <w:t xml:space="preserve"> some minimal</w:t>
      </w:r>
      <w:r w:rsidRPr="00156932">
        <w:rPr>
          <w:rFonts w:ascii="Times New Roman" w:eastAsia="Arial Unicode MS" w:hAnsi="Times New Roman" w:cs="Times New Roman"/>
          <w:sz w:val="24"/>
          <w:szCs w:val="22"/>
          <w:bdr w:val="nil"/>
          <w:lang w:val="en-US"/>
        </w:rPr>
        <w:t xml:space="preserve"> secure facilities </w:t>
      </w:r>
      <w:r w:rsidR="003058D6" w:rsidRPr="00156932">
        <w:rPr>
          <w:rFonts w:ascii="Times New Roman" w:eastAsia="Arial Unicode MS" w:hAnsi="Times New Roman" w:cs="Times New Roman"/>
          <w:sz w:val="24"/>
          <w:szCs w:val="22"/>
          <w:bdr w:val="nil"/>
          <w:lang w:val="en-US"/>
        </w:rPr>
        <w:t>must</w:t>
      </w:r>
      <w:r w:rsidRPr="00156932">
        <w:rPr>
          <w:rFonts w:ascii="Times New Roman" w:eastAsia="Arial Unicode MS" w:hAnsi="Times New Roman" w:cs="Times New Roman"/>
          <w:sz w:val="24"/>
          <w:szCs w:val="22"/>
          <w:bdr w:val="nil"/>
          <w:lang w:val="en-US"/>
        </w:rPr>
        <w:t xml:space="preserve"> to be retained for those young people</w:t>
      </w:r>
      <w:r w:rsidR="00A56BFD">
        <w:rPr>
          <w:rFonts w:ascii="Times New Roman" w:eastAsia="Arial Unicode MS" w:hAnsi="Times New Roman" w:cs="Times New Roman"/>
          <w:sz w:val="24"/>
          <w:szCs w:val="22"/>
          <w:bdr w:val="nil"/>
          <w:lang w:val="en-US"/>
        </w:rPr>
        <w:t xml:space="preserve"> </w:t>
      </w:r>
      <w:r w:rsidRPr="00156932">
        <w:rPr>
          <w:rFonts w:ascii="Times New Roman" w:eastAsia="Arial Unicode MS" w:hAnsi="Times New Roman" w:cs="Times New Roman"/>
          <w:sz w:val="24"/>
          <w:szCs w:val="22"/>
          <w:bdr w:val="nil"/>
          <w:lang w:val="en-US"/>
        </w:rPr>
        <w:t>who</w:t>
      </w:r>
      <w:r w:rsidR="00A56BFD">
        <w:rPr>
          <w:rFonts w:ascii="Times New Roman" w:eastAsia="Arial Unicode MS" w:hAnsi="Times New Roman" w:cs="Times New Roman"/>
          <w:sz w:val="24"/>
          <w:szCs w:val="22"/>
          <w:bdr w:val="nil"/>
          <w:lang w:val="en-US"/>
        </w:rPr>
        <w:t>,</w:t>
      </w:r>
      <w:r w:rsidRPr="00156932">
        <w:rPr>
          <w:rFonts w:ascii="Times New Roman" w:eastAsia="Arial Unicode MS" w:hAnsi="Times New Roman" w:cs="Times New Roman"/>
          <w:sz w:val="24"/>
          <w:szCs w:val="22"/>
          <w:bdr w:val="nil"/>
          <w:lang w:val="en-US"/>
        </w:rPr>
        <w:t xml:space="preserve"> despite early intervention, have a high risk of harming themselves or others.  </w:t>
      </w:r>
      <w:r w:rsidR="00211EF5" w:rsidRPr="00156932">
        <w:rPr>
          <w:rFonts w:ascii="Times New Roman" w:eastAsia="Arial Unicode MS" w:hAnsi="Times New Roman" w:cs="Times New Roman"/>
          <w:sz w:val="24"/>
          <w:szCs w:val="22"/>
          <w:bdr w:val="nil"/>
          <w:lang w:val="en-US"/>
        </w:rPr>
        <w:t xml:space="preserve">We would agree with this </w:t>
      </w:r>
      <w:proofErr w:type="gramStart"/>
      <w:r w:rsidR="00211EF5" w:rsidRPr="00156932">
        <w:rPr>
          <w:rFonts w:ascii="Times New Roman" w:eastAsia="Arial Unicode MS" w:hAnsi="Times New Roman" w:cs="Times New Roman"/>
          <w:sz w:val="24"/>
          <w:szCs w:val="22"/>
          <w:bdr w:val="nil"/>
          <w:lang w:val="en-US"/>
        </w:rPr>
        <w:t>argument</w:t>
      </w:r>
      <w:r w:rsidR="00FA4C16">
        <w:rPr>
          <w:rFonts w:ascii="Times New Roman" w:eastAsia="Arial Unicode MS" w:hAnsi="Times New Roman" w:cs="Times New Roman"/>
          <w:sz w:val="24"/>
          <w:szCs w:val="22"/>
          <w:bdr w:val="nil"/>
          <w:lang w:val="en-US"/>
        </w:rPr>
        <w:t>,</w:t>
      </w:r>
      <w:r w:rsidR="00211EF5" w:rsidRPr="00156932">
        <w:rPr>
          <w:rFonts w:ascii="Times New Roman" w:eastAsia="Arial Unicode MS" w:hAnsi="Times New Roman" w:cs="Times New Roman"/>
          <w:sz w:val="24"/>
          <w:szCs w:val="22"/>
          <w:bdr w:val="nil"/>
          <w:lang w:val="en-US"/>
        </w:rPr>
        <w:t xml:space="preserve"> but</w:t>
      </w:r>
      <w:proofErr w:type="gramEnd"/>
      <w:r w:rsidR="00211EF5" w:rsidRPr="00156932">
        <w:rPr>
          <w:rFonts w:ascii="Times New Roman" w:eastAsia="Arial Unicode MS" w:hAnsi="Times New Roman" w:cs="Times New Roman"/>
          <w:sz w:val="24"/>
          <w:szCs w:val="22"/>
          <w:bdr w:val="nil"/>
          <w:lang w:val="en-US"/>
        </w:rPr>
        <w:t xml:space="preserve"> would </w:t>
      </w:r>
      <w:r w:rsidR="00FA4C16">
        <w:rPr>
          <w:rFonts w:ascii="Times New Roman" w:eastAsia="Arial Unicode MS" w:hAnsi="Times New Roman" w:cs="Times New Roman"/>
          <w:sz w:val="24"/>
          <w:szCs w:val="22"/>
          <w:bdr w:val="nil"/>
          <w:lang w:val="en-US"/>
        </w:rPr>
        <w:t xml:space="preserve">also </w:t>
      </w:r>
      <w:r w:rsidR="00211EF5" w:rsidRPr="00156932">
        <w:rPr>
          <w:rFonts w:ascii="Times New Roman" w:eastAsia="Arial Unicode MS" w:hAnsi="Times New Roman" w:cs="Times New Roman"/>
          <w:sz w:val="24"/>
          <w:szCs w:val="22"/>
          <w:bdr w:val="nil"/>
          <w:lang w:val="en-US"/>
        </w:rPr>
        <w:t>suggest that such facilities should be de-coupled, as far as possible, from YOIs</w:t>
      </w:r>
      <w:r w:rsidR="00156932" w:rsidRPr="00156932">
        <w:rPr>
          <w:rFonts w:ascii="Times New Roman" w:eastAsia="Arial Unicode MS" w:hAnsi="Times New Roman" w:cs="Times New Roman"/>
          <w:sz w:val="24"/>
          <w:szCs w:val="22"/>
          <w:bdr w:val="nil"/>
          <w:lang w:val="en-US"/>
        </w:rPr>
        <w:t xml:space="preserve"> and </w:t>
      </w:r>
      <w:r w:rsidR="00211EF5" w:rsidRPr="00156932">
        <w:rPr>
          <w:rFonts w:ascii="Times New Roman" w:eastAsia="Arial Unicode MS" w:hAnsi="Times New Roman" w:cs="Times New Roman"/>
          <w:sz w:val="24"/>
          <w:szCs w:val="22"/>
          <w:bdr w:val="nil"/>
          <w:lang w:val="en-US"/>
        </w:rPr>
        <w:t xml:space="preserve">STCs </w:t>
      </w:r>
      <w:r w:rsidR="00211EF5" w:rsidRPr="00156932">
        <w:rPr>
          <w:rFonts w:ascii="Times New Roman" w:hAnsi="Times New Roman" w:cs="Times New Roman"/>
          <w:sz w:val="24"/>
          <w:szCs w:val="22"/>
          <w:bdr w:val="nil"/>
          <w:lang w:val="en-US"/>
        </w:rPr>
        <w:t>because these institutions are failing to deliver such provision in a way that keeps vulnerable young people safe from harm.</w:t>
      </w:r>
      <w:r w:rsidR="0070563A" w:rsidRPr="00156932">
        <w:rPr>
          <w:rFonts w:ascii="Times New Roman" w:hAnsi="Times New Roman" w:cs="Times New Roman"/>
          <w:sz w:val="24"/>
          <w:szCs w:val="22"/>
          <w:bdr w:val="nil"/>
          <w:lang w:val="en-US"/>
        </w:rPr>
        <w:t xml:space="preserve"> </w:t>
      </w:r>
      <w:r w:rsidR="00B32314" w:rsidRPr="00156932">
        <w:rPr>
          <w:rFonts w:ascii="Times New Roman" w:hAnsi="Times New Roman" w:cs="Times New Roman"/>
          <w:sz w:val="24"/>
          <w:szCs w:val="22"/>
          <w:bdr w:val="nil"/>
          <w:lang w:val="en-US"/>
        </w:rPr>
        <w:t xml:space="preserve">Recent </w:t>
      </w:r>
      <w:r w:rsidR="0070563A" w:rsidRPr="00156932">
        <w:rPr>
          <w:rFonts w:ascii="Times New Roman" w:hAnsi="Times New Roman" w:cs="Times New Roman"/>
          <w:sz w:val="24"/>
          <w:szCs w:val="22"/>
          <w:bdr w:val="nil"/>
          <w:lang w:val="en-US"/>
        </w:rPr>
        <w:t>evidence here is shocking and substantial</w:t>
      </w:r>
      <w:r w:rsidR="00734C33" w:rsidRPr="00156932">
        <w:rPr>
          <w:rFonts w:ascii="Times New Roman" w:hAnsi="Times New Roman" w:cs="Times New Roman"/>
          <w:sz w:val="24"/>
          <w:szCs w:val="22"/>
          <w:bdr w:val="nil"/>
          <w:lang w:val="en-US"/>
        </w:rPr>
        <w:t xml:space="preserve"> (Goldson</w:t>
      </w:r>
      <w:r w:rsidR="00C36CDC">
        <w:rPr>
          <w:rFonts w:ascii="Times New Roman" w:hAnsi="Times New Roman" w:cs="Times New Roman"/>
          <w:sz w:val="24"/>
          <w:szCs w:val="22"/>
          <w:bdr w:val="nil"/>
          <w:lang w:val="en-US"/>
        </w:rPr>
        <w:t>, 2015</w:t>
      </w:r>
      <w:r w:rsidR="00734C33" w:rsidRPr="00156932">
        <w:rPr>
          <w:rFonts w:ascii="Times New Roman" w:hAnsi="Times New Roman" w:cs="Times New Roman"/>
          <w:sz w:val="24"/>
          <w:szCs w:val="22"/>
          <w:bdr w:val="nil"/>
          <w:lang w:val="en-US"/>
        </w:rPr>
        <w:t>).</w:t>
      </w:r>
    </w:p>
    <w:p w:rsidR="00CE7DA2" w:rsidRPr="006E2A67" w:rsidRDefault="005249B3" w:rsidP="006E2A67">
      <w:pPr>
        <w:pStyle w:val="CommentText"/>
        <w:spacing w:line="360" w:lineRule="auto"/>
        <w:jc w:val="both"/>
        <w:rPr>
          <w:rFonts w:ascii="Times New Roman" w:hAnsi="Times New Roman" w:cs="Times New Roman"/>
          <w:sz w:val="24"/>
          <w:szCs w:val="24"/>
          <w:bdr w:val="nil"/>
          <w:lang w:val="en-US"/>
        </w:rPr>
      </w:pPr>
      <w:r w:rsidRPr="00336AFD">
        <w:rPr>
          <w:rFonts w:ascii="Times New Roman" w:hAnsi="Times New Roman" w:cs="Times New Roman"/>
          <w:sz w:val="24"/>
          <w:szCs w:val="24"/>
          <w:bdr w:val="nil"/>
          <w:lang w:val="en-US"/>
        </w:rPr>
        <w:t>A recent report by the Standing Committee for Youth Justice</w:t>
      </w:r>
      <w:r w:rsidR="00394C62" w:rsidRPr="00336AFD">
        <w:rPr>
          <w:rFonts w:ascii="Times New Roman" w:hAnsi="Times New Roman" w:cs="Times New Roman"/>
          <w:sz w:val="24"/>
          <w:szCs w:val="24"/>
          <w:bdr w:val="nil"/>
          <w:lang w:val="en-US"/>
        </w:rPr>
        <w:t xml:space="preserve">, </w:t>
      </w:r>
      <w:r w:rsidR="00FA4C16">
        <w:rPr>
          <w:rFonts w:ascii="Times New Roman" w:hAnsi="Times New Roman" w:cs="Times New Roman"/>
          <w:sz w:val="24"/>
          <w:szCs w:val="24"/>
          <w:bdr w:val="nil"/>
          <w:lang w:val="en-US"/>
        </w:rPr>
        <w:t xml:space="preserve">an </w:t>
      </w:r>
      <w:r w:rsidR="00394C62" w:rsidRPr="00336AFD">
        <w:rPr>
          <w:rFonts w:ascii="Times New Roman" w:hAnsi="Times New Roman" w:cs="Times New Roman"/>
          <w:sz w:val="24"/>
          <w:szCs w:val="24"/>
          <w:bdr w:val="nil"/>
          <w:lang w:val="en-US"/>
        </w:rPr>
        <w:t>organization with member organizations drawn from across the sector, has</w:t>
      </w:r>
      <w:r w:rsidRPr="00336AFD">
        <w:rPr>
          <w:rFonts w:ascii="Times New Roman" w:hAnsi="Times New Roman" w:cs="Times New Roman"/>
          <w:sz w:val="24"/>
          <w:szCs w:val="24"/>
          <w:bdr w:val="nil"/>
          <w:lang w:val="en-US"/>
        </w:rPr>
        <w:t xml:space="preserve"> </w:t>
      </w:r>
      <w:r w:rsidR="00394C62" w:rsidRPr="00336AFD">
        <w:rPr>
          <w:rFonts w:ascii="Times New Roman" w:hAnsi="Times New Roman" w:cs="Times New Roman"/>
          <w:sz w:val="24"/>
          <w:szCs w:val="24"/>
          <w:bdr w:val="nil"/>
          <w:lang w:val="en-US"/>
        </w:rPr>
        <w:t xml:space="preserve">described our remaining YOIs and STCs as ‘violent, intimidating and . . . not conducive to helping troubled children to change’, while noting that </w:t>
      </w:r>
      <w:r w:rsidR="00156932" w:rsidRPr="00336AFD">
        <w:rPr>
          <w:rFonts w:ascii="Times New Roman" w:hAnsi="Times New Roman" w:cs="Times New Roman"/>
          <w:sz w:val="24"/>
          <w:szCs w:val="24"/>
          <w:bdr w:val="nil"/>
          <w:lang w:val="en-US"/>
        </w:rPr>
        <w:t xml:space="preserve">secure children’s homes (SCH) </w:t>
      </w:r>
      <w:r w:rsidR="00394C62" w:rsidRPr="00336AFD">
        <w:rPr>
          <w:rFonts w:ascii="Times New Roman" w:hAnsi="Times New Roman" w:cs="Times New Roman"/>
          <w:sz w:val="24"/>
          <w:szCs w:val="24"/>
          <w:bdr w:val="nil"/>
          <w:lang w:val="en-US"/>
        </w:rPr>
        <w:t xml:space="preserve">offer a much ‘higher level of care’ to ‘some of the most vulnerable children in the country’ (2016: 3). Even then, a teenager living in an SCH or other kind of children’s home is almost six times as likely to be criminalized as a looked after child in another form of placement, and twenty times more likely to be criminalized than a non- looked after child (Standing Committee for Youth Justice, 2016). Further, </w:t>
      </w:r>
      <w:r w:rsidR="00AF3036" w:rsidRPr="00336AFD">
        <w:rPr>
          <w:rFonts w:ascii="Times New Roman" w:hAnsi="Times New Roman" w:cs="Times New Roman"/>
          <w:sz w:val="24"/>
          <w:szCs w:val="24"/>
          <w:bdr w:val="nil"/>
          <w:lang w:val="en-US"/>
        </w:rPr>
        <w:t>recent inspection</w:t>
      </w:r>
      <w:r w:rsidR="00F34280" w:rsidRPr="00336AFD">
        <w:rPr>
          <w:rFonts w:ascii="Times New Roman" w:hAnsi="Times New Roman" w:cs="Times New Roman"/>
          <w:sz w:val="24"/>
          <w:szCs w:val="24"/>
          <w:bdr w:val="nil"/>
          <w:lang w:val="en-US"/>
        </w:rPr>
        <w:t>s</w:t>
      </w:r>
      <w:r w:rsidR="00AF3036" w:rsidRPr="00336AFD">
        <w:rPr>
          <w:rFonts w:ascii="Times New Roman" w:hAnsi="Times New Roman" w:cs="Times New Roman"/>
          <w:sz w:val="24"/>
          <w:szCs w:val="24"/>
          <w:bdr w:val="nil"/>
          <w:lang w:val="en-US"/>
        </w:rPr>
        <w:t xml:space="preserve"> of Medway STC by the Care Quality Commission, HM Inspectorate of Prisons and </w:t>
      </w:r>
      <w:proofErr w:type="spellStart"/>
      <w:r w:rsidR="00AF3036" w:rsidRPr="00336AFD">
        <w:rPr>
          <w:rFonts w:ascii="Times New Roman" w:hAnsi="Times New Roman" w:cs="Times New Roman"/>
          <w:sz w:val="24"/>
          <w:szCs w:val="24"/>
          <w:bdr w:val="nil"/>
          <w:lang w:val="en-US"/>
        </w:rPr>
        <w:t>Ofsted</w:t>
      </w:r>
      <w:proofErr w:type="spellEnd"/>
      <w:r w:rsidR="00AF3036" w:rsidRPr="00336AFD">
        <w:rPr>
          <w:rFonts w:ascii="Times New Roman" w:hAnsi="Times New Roman" w:cs="Times New Roman"/>
          <w:sz w:val="24"/>
          <w:szCs w:val="24"/>
          <w:bdr w:val="nil"/>
          <w:lang w:val="en-US"/>
        </w:rPr>
        <w:t xml:space="preserve"> </w:t>
      </w:r>
      <w:r w:rsidR="00A9755F" w:rsidRPr="00336AFD">
        <w:rPr>
          <w:rFonts w:ascii="Times New Roman" w:hAnsi="Times New Roman" w:cs="Times New Roman"/>
          <w:sz w:val="24"/>
          <w:szCs w:val="24"/>
          <w:bdr w:val="nil"/>
          <w:lang w:val="en-US"/>
        </w:rPr>
        <w:t xml:space="preserve">(2017) </w:t>
      </w:r>
      <w:r w:rsidR="00AF3036" w:rsidRPr="00336AFD">
        <w:rPr>
          <w:rFonts w:ascii="Times New Roman" w:hAnsi="Times New Roman" w:cs="Times New Roman"/>
          <w:sz w:val="24"/>
          <w:szCs w:val="24"/>
          <w:bdr w:val="nil"/>
          <w:lang w:val="en-US"/>
        </w:rPr>
        <w:t xml:space="preserve">judged it to be ‘inadequate’ across several criteria: ‘overall effectiveness’, ‘safety of young people’, ‘promoting positive </w:t>
      </w:r>
      <w:proofErr w:type="spellStart"/>
      <w:r w:rsidR="00AF3036" w:rsidRPr="00336AFD">
        <w:rPr>
          <w:rFonts w:ascii="Times New Roman" w:hAnsi="Times New Roman" w:cs="Times New Roman"/>
          <w:sz w:val="24"/>
          <w:szCs w:val="24"/>
          <w:bdr w:val="nil"/>
          <w:lang w:val="en-US"/>
        </w:rPr>
        <w:t>behaviour</w:t>
      </w:r>
      <w:proofErr w:type="spellEnd"/>
      <w:r w:rsidR="00AF3036" w:rsidRPr="00336AFD">
        <w:rPr>
          <w:rFonts w:ascii="Times New Roman" w:hAnsi="Times New Roman" w:cs="Times New Roman"/>
          <w:sz w:val="24"/>
          <w:szCs w:val="24"/>
          <w:bdr w:val="nil"/>
          <w:lang w:val="en-US"/>
        </w:rPr>
        <w:t>’, and ‘effectiveness of leaders and managers’; and to ‘require improvement’ in several others: ‘care’, ‘achievement’, ‘resettlement’ and ‘health’ of young people. This is a damning indictment of the performance of a youth justice estate that is evidently unfit for purpose</w:t>
      </w:r>
      <w:r w:rsidR="00F34280" w:rsidRPr="00336AFD">
        <w:rPr>
          <w:rFonts w:ascii="Times New Roman" w:hAnsi="Times New Roman" w:cs="Times New Roman"/>
          <w:sz w:val="24"/>
          <w:szCs w:val="24"/>
          <w:bdr w:val="nil"/>
          <w:lang w:val="en-US"/>
        </w:rPr>
        <w:t xml:space="preserve"> and has since prompted further calls from 36 leading child rights advocates for urgent action (Children and Young People Now, 2019)</w:t>
      </w:r>
      <w:r w:rsidR="00AF3036" w:rsidRPr="00336AFD">
        <w:rPr>
          <w:rFonts w:ascii="Times New Roman" w:hAnsi="Times New Roman" w:cs="Times New Roman"/>
          <w:sz w:val="24"/>
          <w:szCs w:val="24"/>
          <w:bdr w:val="nil"/>
          <w:lang w:val="en-US"/>
        </w:rPr>
        <w:t>.</w:t>
      </w:r>
      <w:r w:rsidR="00B15AA3" w:rsidRPr="00336AFD">
        <w:rPr>
          <w:rFonts w:ascii="Times New Roman" w:hAnsi="Times New Roman" w:cs="Times New Roman"/>
          <w:sz w:val="24"/>
          <w:szCs w:val="24"/>
          <w:bdr w:val="nil"/>
          <w:lang w:val="en-US"/>
        </w:rPr>
        <w:t xml:space="preserve"> </w:t>
      </w:r>
      <w:r w:rsidR="00496E58" w:rsidRPr="00336AFD">
        <w:rPr>
          <w:rFonts w:ascii="Times New Roman" w:hAnsi="Times New Roman" w:cs="Times New Roman"/>
          <w:sz w:val="24"/>
          <w:szCs w:val="24"/>
          <w:bdr w:val="nil"/>
          <w:lang w:val="en-US"/>
        </w:rPr>
        <w:t xml:space="preserve">The impact of that poor performance is felt more keenly by young black and minority ethnic inmates who make up a rising proportion of the remaining 1,000 young people in youth custody, now accounting for up to 40 per cent of this group </w:t>
      </w:r>
      <w:r w:rsidR="00496E58" w:rsidRPr="00336AFD">
        <w:rPr>
          <w:rFonts w:ascii="Times New Roman" w:hAnsi="Times New Roman" w:cs="Times New Roman"/>
          <w:color w:val="000000" w:themeColor="text1"/>
          <w:sz w:val="24"/>
          <w:szCs w:val="24"/>
        </w:rPr>
        <w:t>(</w:t>
      </w:r>
      <w:proofErr w:type="spellStart"/>
      <w:r w:rsidR="00496E58" w:rsidRPr="00336AFD">
        <w:rPr>
          <w:rFonts w:ascii="Times New Roman" w:hAnsi="Times New Roman" w:cs="Times New Roman"/>
          <w:bCs/>
          <w:color w:val="000000" w:themeColor="text1"/>
          <w:sz w:val="24"/>
          <w:szCs w:val="24"/>
        </w:rPr>
        <w:t>Lammy</w:t>
      </w:r>
      <w:proofErr w:type="spellEnd"/>
      <w:r w:rsidR="00496E58" w:rsidRPr="00336AFD">
        <w:rPr>
          <w:rFonts w:ascii="Times New Roman" w:hAnsi="Times New Roman" w:cs="Times New Roman"/>
          <w:bCs/>
          <w:color w:val="000000" w:themeColor="text1"/>
          <w:sz w:val="24"/>
          <w:szCs w:val="24"/>
        </w:rPr>
        <w:t xml:space="preserve"> Review</w:t>
      </w:r>
      <w:r w:rsidR="00496E58" w:rsidRPr="00336AFD">
        <w:rPr>
          <w:rFonts w:ascii="Times New Roman" w:hAnsi="Times New Roman" w:cs="Times New Roman"/>
          <w:color w:val="000000" w:themeColor="text1"/>
          <w:sz w:val="24"/>
          <w:szCs w:val="24"/>
        </w:rPr>
        <w:t>, 2017:4</w:t>
      </w:r>
      <w:r w:rsidR="00C36CDC">
        <w:rPr>
          <w:rFonts w:ascii="Times New Roman" w:hAnsi="Times New Roman" w:cs="Times New Roman"/>
          <w:color w:val="000000" w:themeColor="text1"/>
          <w:sz w:val="24"/>
          <w:szCs w:val="24"/>
        </w:rPr>
        <w:t xml:space="preserve">; </w:t>
      </w:r>
      <w:proofErr w:type="spellStart"/>
      <w:r w:rsidR="00C36CDC">
        <w:rPr>
          <w:rFonts w:ascii="Times New Roman" w:hAnsi="Times New Roman" w:cs="Times New Roman"/>
          <w:color w:val="000000" w:themeColor="text1"/>
          <w:sz w:val="24"/>
          <w:szCs w:val="24"/>
        </w:rPr>
        <w:t>Cunneen</w:t>
      </w:r>
      <w:proofErr w:type="spellEnd"/>
      <w:r w:rsidR="00C36CDC">
        <w:rPr>
          <w:rFonts w:ascii="Times New Roman" w:hAnsi="Times New Roman" w:cs="Times New Roman"/>
          <w:color w:val="000000" w:themeColor="text1"/>
          <w:sz w:val="24"/>
          <w:szCs w:val="24"/>
        </w:rPr>
        <w:t xml:space="preserve"> et al, 2018</w:t>
      </w:r>
      <w:r w:rsidR="00496E58" w:rsidRPr="00336AFD">
        <w:rPr>
          <w:rFonts w:ascii="Times New Roman" w:hAnsi="Times New Roman" w:cs="Times New Roman"/>
          <w:color w:val="000000" w:themeColor="text1"/>
          <w:sz w:val="24"/>
          <w:szCs w:val="24"/>
        </w:rPr>
        <w:t>).</w:t>
      </w:r>
    </w:p>
    <w:p w:rsidR="008C31C0" w:rsidRPr="00A35AE0" w:rsidRDefault="004F6D4C" w:rsidP="00652B36">
      <w:pPr>
        <w:pBdr>
          <w:top w:val="nil"/>
          <w:left w:val="nil"/>
          <w:bottom w:val="nil"/>
          <w:right w:val="nil"/>
          <w:between w:val="nil"/>
          <w:bar w:val="nil"/>
        </w:pBdr>
        <w:spacing w:line="360" w:lineRule="auto"/>
        <w:jc w:val="both"/>
        <w:rPr>
          <w:rFonts w:eastAsia="Arial Unicode MS"/>
          <w:bdr w:val="nil"/>
          <w:lang w:val="en-US"/>
        </w:rPr>
      </w:pPr>
      <w:r w:rsidRPr="00336AFD">
        <w:rPr>
          <w:rFonts w:eastAsia="Arial Unicode MS"/>
          <w:bdr w:val="nil"/>
          <w:lang w:val="en-US"/>
        </w:rPr>
        <w:t xml:space="preserve">Youth </w:t>
      </w:r>
      <w:proofErr w:type="spellStart"/>
      <w:r w:rsidRPr="00336AFD">
        <w:rPr>
          <w:rFonts w:eastAsia="Arial Unicode MS"/>
          <w:bdr w:val="nil"/>
          <w:lang w:val="en-US"/>
        </w:rPr>
        <w:t>decarceration</w:t>
      </w:r>
      <w:proofErr w:type="spellEnd"/>
      <w:r w:rsidR="003058D6" w:rsidRPr="00336AFD">
        <w:rPr>
          <w:rFonts w:eastAsia="Arial Unicode MS"/>
          <w:bdr w:val="nil"/>
          <w:lang w:val="en-US"/>
        </w:rPr>
        <w:t xml:space="preserve"> today</w:t>
      </w:r>
      <w:r w:rsidRPr="00336AFD">
        <w:rPr>
          <w:rFonts w:eastAsia="Arial Unicode MS"/>
          <w:bdr w:val="nil"/>
          <w:lang w:val="en-US"/>
        </w:rPr>
        <w:t xml:space="preserve"> is </w:t>
      </w:r>
      <w:r w:rsidRPr="00A35AE0">
        <w:rPr>
          <w:rFonts w:eastAsia="Arial Unicode MS"/>
          <w:bdr w:val="nil"/>
          <w:lang w:val="en-US"/>
        </w:rPr>
        <w:t xml:space="preserve">contingent on the closure of </w:t>
      </w:r>
      <w:r w:rsidR="00AF3036" w:rsidRPr="00A35AE0">
        <w:rPr>
          <w:rFonts w:eastAsia="Arial Unicode MS"/>
          <w:bdr w:val="nil"/>
          <w:lang w:val="en-US"/>
        </w:rPr>
        <w:t xml:space="preserve">our remaining </w:t>
      </w:r>
      <w:r w:rsidRPr="00A35AE0">
        <w:rPr>
          <w:rFonts w:eastAsia="Arial Unicode MS"/>
          <w:bdr w:val="nil"/>
          <w:lang w:val="en-US"/>
        </w:rPr>
        <w:t>youth incarceration facilities</w:t>
      </w:r>
      <w:r w:rsidR="00394C62" w:rsidRPr="00A35AE0">
        <w:rPr>
          <w:rFonts w:eastAsia="Arial Unicode MS"/>
          <w:bdr w:val="nil"/>
          <w:lang w:val="en-US"/>
        </w:rPr>
        <w:t xml:space="preserve"> and the creation of alternatives to </w:t>
      </w:r>
      <w:r w:rsidR="00394C62" w:rsidRPr="00470D88">
        <w:rPr>
          <w:rFonts w:eastAsia="Arial Unicode MS"/>
          <w:bdr w:val="nil"/>
          <w:lang w:val="en-US"/>
        </w:rPr>
        <w:t>youth custody</w:t>
      </w:r>
      <w:r w:rsidRPr="00470D88">
        <w:rPr>
          <w:rFonts w:eastAsia="Arial Unicode MS"/>
          <w:bdr w:val="nil"/>
          <w:lang w:val="en-US"/>
        </w:rPr>
        <w:t>.</w:t>
      </w:r>
      <w:r w:rsidR="00394C62" w:rsidRPr="00470D88">
        <w:rPr>
          <w:rFonts w:eastAsia="Arial Unicode MS"/>
          <w:bdr w:val="nil"/>
          <w:lang w:val="en-US"/>
        </w:rPr>
        <w:t xml:space="preserve"> This has now </w:t>
      </w:r>
      <w:r w:rsidR="0047058E" w:rsidRPr="00470D88">
        <w:rPr>
          <w:rFonts w:eastAsia="Arial Unicode MS"/>
          <w:bdr w:val="nil"/>
          <w:lang w:val="en-US"/>
        </w:rPr>
        <w:t xml:space="preserve">arguably </w:t>
      </w:r>
      <w:r w:rsidR="00394C62" w:rsidRPr="00470D88">
        <w:rPr>
          <w:rFonts w:eastAsia="Arial Unicode MS"/>
          <w:bdr w:val="nil"/>
          <w:lang w:val="en-US"/>
        </w:rPr>
        <w:t xml:space="preserve">become </w:t>
      </w:r>
      <w:r w:rsidR="00470D88" w:rsidRPr="00470D88">
        <w:rPr>
          <w:rFonts w:eastAsia="Arial Unicode MS"/>
          <w:bdr w:val="nil"/>
          <w:lang w:val="en-US"/>
        </w:rPr>
        <w:t xml:space="preserve">more </w:t>
      </w:r>
      <w:r w:rsidR="00470D88" w:rsidRPr="00470D88">
        <w:rPr>
          <w:rFonts w:eastAsia="Arial Unicode MS"/>
          <w:bdr w:val="nil"/>
          <w:lang w:val="en-US"/>
        </w:rPr>
        <w:lastRenderedPageBreak/>
        <w:t xml:space="preserve">of </w:t>
      </w:r>
      <w:r w:rsidR="00394C62" w:rsidRPr="00470D88">
        <w:rPr>
          <w:rFonts w:eastAsia="Arial Unicode MS"/>
          <w:bdr w:val="nil"/>
          <w:lang w:val="en-US"/>
        </w:rPr>
        <w:t>a mainstream view in the sector.</w:t>
      </w:r>
      <w:r w:rsidR="008C31C0" w:rsidRPr="00470D88">
        <w:rPr>
          <w:rFonts w:eastAsia="Arial Unicode MS"/>
          <w:bdr w:val="nil"/>
          <w:lang w:val="en-US"/>
        </w:rPr>
        <w:t xml:space="preserve"> The SCYJ calls for </w:t>
      </w:r>
      <w:r w:rsidR="00394C62" w:rsidRPr="00470D88">
        <w:rPr>
          <w:rFonts w:eastAsia="Arial Unicode MS"/>
          <w:bdr w:val="nil"/>
          <w:lang w:val="en-US"/>
        </w:rPr>
        <w:t>the development</w:t>
      </w:r>
      <w:r w:rsidR="00394C62" w:rsidRPr="00A35AE0">
        <w:rPr>
          <w:rFonts w:eastAsia="Arial Unicode MS"/>
          <w:bdr w:val="nil"/>
          <w:lang w:val="en-US"/>
        </w:rPr>
        <w:t xml:space="preserve"> of intensive therapeutic models as alternatives to youth custody (Standing Committee for Youth Justice, 2010). </w:t>
      </w:r>
      <w:r w:rsidR="008C31C0" w:rsidRPr="00A35AE0">
        <w:rPr>
          <w:rFonts w:eastAsia="Arial Unicode MS"/>
          <w:bdr w:val="nil"/>
          <w:lang w:val="en-US"/>
        </w:rPr>
        <w:t>They are</w:t>
      </w:r>
      <w:r w:rsidR="00394C62" w:rsidRPr="00A35AE0">
        <w:rPr>
          <w:rFonts w:eastAsia="Arial Unicode MS"/>
          <w:bdr w:val="nil"/>
          <w:lang w:val="en-US"/>
        </w:rPr>
        <w:t xml:space="preserve"> supported </w:t>
      </w:r>
      <w:r w:rsidR="008C31C0" w:rsidRPr="00A35AE0">
        <w:rPr>
          <w:rFonts w:eastAsia="Arial Unicode MS"/>
          <w:bdr w:val="nil"/>
          <w:lang w:val="en-US"/>
        </w:rPr>
        <w:t xml:space="preserve">in this </w:t>
      </w:r>
      <w:r w:rsidR="00394C62" w:rsidRPr="00A35AE0">
        <w:rPr>
          <w:rFonts w:eastAsia="Arial Unicode MS"/>
          <w:bdr w:val="nil"/>
          <w:lang w:val="en-US"/>
        </w:rPr>
        <w:t>by the Howard League who, in turn, back the conclusions of the UN Committee on the Rights of the Child on the pressing need for alternati</w:t>
      </w:r>
      <w:r w:rsidR="008C31C0" w:rsidRPr="00A35AE0">
        <w:rPr>
          <w:rFonts w:eastAsia="Arial Unicode MS"/>
          <w:bdr w:val="nil"/>
          <w:lang w:val="en-US"/>
        </w:rPr>
        <w:t xml:space="preserve">ves to child </w:t>
      </w:r>
      <w:r w:rsidR="00DF390F" w:rsidRPr="00A35AE0">
        <w:rPr>
          <w:rFonts w:eastAsia="Arial Unicode MS"/>
          <w:bdr w:val="nil"/>
          <w:lang w:val="en-US"/>
        </w:rPr>
        <w:t>custody in the UK (</w:t>
      </w:r>
      <w:hyperlink r:id="rId20" w:history="1">
        <w:r w:rsidR="00156932" w:rsidRPr="00A77041">
          <w:rPr>
            <w:rStyle w:val="Hyperlink"/>
            <w:rFonts w:eastAsia="Arial Unicode MS"/>
            <w:bdr w:val="nil"/>
            <w:lang w:val="en-US"/>
          </w:rPr>
          <w:t>https://howardleague.org/news/governmentfailingchildren/</w:t>
        </w:r>
      </w:hyperlink>
      <w:r w:rsidR="00DF390F" w:rsidRPr="00A35AE0">
        <w:rPr>
          <w:rFonts w:eastAsia="Arial Unicode MS"/>
          <w:bdr w:val="nil"/>
          <w:lang w:val="en-US"/>
        </w:rPr>
        <w:t>).</w:t>
      </w:r>
      <w:r w:rsidR="00156932">
        <w:rPr>
          <w:rFonts w:eastAsia="Arial Unicode MS"/>
          <w:bdr w:val="nil"/>
          <w:lang w:val="en-US"/>
        </w:rPr>
        <w:t xml:space="preserve"> </w:t>
      </w:r>
      <w:r w:rsidR="00261ADB" w:rsidRPr="00470D88">
        <w:rPr>
          <w:rFonts w:eastAsia="Arial Unicode MS"/>
          <w:bdr w:val="nil"/>
          <w:lang w:val="en-US"/>
        </w:rPr>
        <w:t xml:space="preserve">A 2013 </w:t>
      </w:r>
      <w:r w:rsidR="0026220C" w:rsidRPr="00470D88">
        <w:rPr>
          <w:rFonts w:eastAsia="Arial Unicode MS"/>
          <w:bdr w:val="nil"/>
          <w:lang w:val="en-US"/>
        </w:rPr>
        <w:t>consultation on</w:t>
      </w:r>
      <w:r w:rsidR="00261ADB" w:rsidRPr="00470D88">
        <w:rPr>
          <w:rFonts w:eastAsia="Arial Unicode MS"/>
          <w:bdr w:val="nil"/>
          <w:lang w:val="en-US"/>
        </w:rPr>
        <w:t xml:space="preserve"> the youth justice system completed for the MOJ with input from the Magistrates’ Association invites us to imagine a ‘radically different youth custody’ where community-based </w:t>
      </w:r>
      <w:r w:rsidR="0026220C" w:rsidRPr="00470D88">
        <w:rPr>
          <w:rFonts w:eastAsia="Arial Unicode MS"/>
          <w:bdr w:val="nil"/>
          <w:lang w:val="en-US"/>
        </w:rPr>
        <w:t xml:space="preserve">educational </w:t>
      </w:r>
      <w:r w:rsidR="00261ADB" w:rsidRPr="00470D88">
        <w:rPr>
          <w:rFonts w:eastAsia="Arial Unicode MS"/>
          <w:bdr w:val="nil"/>
          <w:lang w:val="en-US"/>
        </w:rPr>
        <w:t>alternatives would play a much greater part (Ministry of Justice, 2013:5).</w:t>
      </w:r>
    </w:p>
    <w:p w:rsidR="00CE7DA2" w:rsidRPr="00A35AE0" w:rsidRDefault="00CE7DA2" w:rsidP="00652B36">
      <w:pPr>
        <w:pBdr>
          <w:top w:val="nil"/>
          <w:left w:val="nil"/>
          <w:bottom w:val="nil"/>
          <w:right w:val="nil"/>
          <w:between w:val="nil"/>
          <w:bar w:val="nil"/>
        </w:pBdr>
        <w:spacing w:line="360" w:lineRule="auto"/>
        <w:jc w:val="both"/>
        <w:rPr>
          <w:rFonts w:eastAsia="Arial Unicode MS"/>
          <w:bdr w:val="nil"/>
          <w:lang w:val="en-US"/>
        </w:rPr>
      </w:pPr>
    </w:p>
    <w:p w:rsidR="00B15AA3" w:rsidRPr="006E2A67" w:rsidRDefault="00C45E9B" w:rsidP="00336AFD">
      <w:pPr>
        <w:pBdr>
          <w:top w:val="nil"/>
          <w:left w:val="nil"/>
          <w:bottom w:val="nil"/>
          <w:right w:val="nil"/>
          <w:between w:val="nil"/>
          <w:bar w:val="nil"/>
        </w:pBdr>
        <w:spacing w:line="360" w:lineRule="auto"/>
        <w:jc w:val="both"/>
        <w:rPr>
          <w:bCs/>
        </w:rPr>
      </w:pPr>
      <w:r w:rsidRPr="00A35AE0">
        <w:rPr>
          <w:rFonts w:eastAsia="Arial Unicode MS"/>
          <w:bdr w:val="nil"/>
          <w:lang w:val="en-US"/>
        </w:rPr>
        <w:t>Those alternatives are already established and are ready to be scaled up.</w:t>
      </w:r>
      <w:r w:rsidR="00E93D4E" w:rsidRPr="00A35AE0">
        <w:rPr>
          <w:rFonts w:eastAsia="Arial Unicode MS"/>
          <w:bdr w:val="nil"/>
          <w:lang w:val="en-US"/>
        </w:rPr>
        <w:t xml:space="preserve"> </w:t>
      </w:r>
      <w:r w:rsidR="00D90C86" w:rsidRPr="00A35AE0">
        <w:rPr>
          <w:rFonts w:eastAsia="Arial Unicode MS"/>
          <w:bdr w:val="nil"/>
          <w:lang w:val="en-US"/>
        </w:rPr>
        <w:t xml:space="preserve">In many ways, they are redolent of the </w:t>
      </w:r>
      <w:r w:rsidR="00127757" w:rsidRPr="00A35AE0">
        <w:rPr>
          <w:rFonts w:eastAsia="Arial Unicode MS"/>
          <w:bdr w:val="nil"/>
          <w:lang w:val="en-US"/>
        </w:rPr>
        <w:t xml:space="preserve">positive penology and </w:t>
      </w:r>
      <w:r w:rsidR="00D90C86" w:rsidRPr="00A35AE0">
        <w:rPr>
          <w:rFonts w:eastAsia="Arial Unicode MS"/>
          <w:bdr w:val="nil"/>
          <w:lang w:val="en-US"/>
        </w:rPr>
        <w:t xml:space="preserve">therapeutic impulses that underpinned the 1895 Gladstone Committee </w:t>
      </w:r>
      <w:r w:rsidR="00127757" w:rsidRPr="00A35AE0">
        <w:rPr>
          <w:rFonts w:eastAsia="Arial Unicode MS"/>
          <w:bdr w:val="nil"/>
          <w:lang w:val="en-US"/>
        </w:rPr>
        <w:t xml:space="preserve">and the first phase of </w:t>
      </w:r>
      <w:r w:rsidR="00156932">
        <w:rPr>
          <w:rFonts w:eastAsia="Arial Unicode MS"/>
          <w:bdr w:val="nil"/>
          <w:lang w:val="en-US"/>
        </w:rPr>
        <w:t xml:space="preserve">de facto </w:t>
      </w:r>
      <w:proofErr w:type="spellStart"/>
      <w:r w:rsidR="00127757" w:rsidRPr="00A35AE0">
        <w:rPr>
          <w:rFonts w:eastAsia="Arial Unicode MS"/>
          <w:bdr w:val="nil"/>
          <w:lang w:val="en-US"/>
        </w:rPr>
        <w:t>decarcera</w:t>
      </w:r>
      <w:r w:rsidR="00E02679" w:rsidRPr="00A35AE0">
        <w:rPr>
          <w:rFonts w:eastAsia="Arial Unicode MS"/>
          <w:bdr w:val="nil"/>
          <w:lang w:val="en-US"/>
        </w:rPr>
        <w:t>tion</w:t>
      </w:r>
      <w:proofErr w:type="spellEnd"/>
      <w:r w:rsidR="00E02679" w:rsidRPr="00A35AE0">
        <w:rPr>
          <w:rFonts w:eastAsia="Arial Unicode MS"/>
          <w:bdr w:val="nil"/>
          <w:lang w:val="en-US"/>
        </w:rPr>
        <w:t xml:space="preserve"> </w:t>
      </w:r>
      <w:r w:rsidR="00127757" w:rsidRPr="00A35AE0">
        <w:rPr>
          <w:rFonts w:eastAsia="Arial Unicode MS"/>
          <w:bdr w:val="nil"/>
          <w:lang w:val="en-US"/>
        </w:rPr>
        <w:t>practice ou</w:t>
      </w:r>
      <w:r w:rsidR="005524B5" w:rsidRPr="00A35AE0">
        <w:rPr>
          <w:rFonts w:eastAsia="Arial Unicode MS"/>
          <w:bdr w:val="nil"/>
          <w:lang w:val="en-US"/>
        </w:rPr>
        <w:t xml:space="preserve">tlined earlier in this </w:t>
      </w:r>
      <w:r w:rsidR="005E5C31" w:rsidRPr="00A35AE0">
        <w:rPr>
          <w:rFonts w:eastAsia="Arial Unicode MS"/>
          <w:bdr w:val="nil"/>
          <w:lang w:val="en-US"/>
        </w:rPr>
        <w:t>article</w:t>
      </w:r>
      <w:r w:rsidR="005E5C31">
        <w:rPr>
          <w:rFonts w:eastAsia="Arial Unicode MS"/>
          <w:bdr w:val="nil"/>
          <w:lang w:val="en-US"/>
        </w:rPr>
        <w:t>. The</w:t>
      </w:r>
      <w:r w:rsidR="00A37519" w:rsidRPr="00A35AE0">
        <w:rPr>
          <w:rFonts w:eastAsia="Arial Unicode MS"/>
          <w:bdr w:val="nil"/>
          <w:lang w:val="en-US"/>
        </w:rPr>
        <w:t xml:space="preserve"> </w:t>
      </w:r>
      <w:r w:rsidR="00E93D4E" w:rsidRPr="00A35AE0">
        <w:rPr>
          <w:rFonts w:eastAsia="Arial Unicode MS"/>
          <w:bdr w:val="nil"/>
          <w:lang w:val="en-US"/>
        </w:rPr>
        <w:t>Family Cent</w:t>
      </w:r>
      <w:r w:rsidR="0047224B">
        <w:rPr>
          <w:rFonts w:eastAsia="Arial Unicode MS"/>
          <w:bdr w:val="nil"/>
          <w:lang w:val="en-US"/>
        </w:rPr>
        <w:t>e</w:t>
      </w:r>
      <w:r w:rsidR="00E93D4E" w:rsidRPr="00A35AE0">
        <w:rPr>
          <w:rFonts w:eastAsia="Arial Unicode MS"/>
          <w:bdr w:val="nil"/>
          <w:lang w:val="en-US"/>
        </w:rPr>
        <w:t xml:space="preserve">red Treatment </w:t>
      </w:r>
      <w:r w:rsidR="00A37519" w:rsidRPr="00A35AE0">
        <w:rPr>
          <w:rFonts w:eastAsia="Arial Unicode MS"/>
          <w:bdr w:val="nil"/>
          <w:lang w:val="en-US"/>
        </w:rPr>
        <w:t xml:space="preserve">(FCT) </w:t>
      </w:r>
      <w:r w:rsidR="00E93D4E" w:rsidRPr="00A35AE0">
        <w:rPr>
          <w:rFonts w:eastAsia="Arial Unicode MS"/>
          <w:bdr w:val="nil"/>
          <w:lang w:val="en-US"/>
        </w:rPr>
        <w:t>model</w:t>
      </w:r>
      <w:r w:rsidR="00FD2CFA" w:rsidRPr="00A35AE0">
        <w:rPr>
          <w:rFonts w:eastAsia="Arial Unicode MS"/>
          <w:bdr w:val="nil"/>
          <w:lang w:val="en-US"/>
        </w:rPr>
        <w:t>, for example,</w:t>
      </w:r>
      <w:r w:rsidR="00E93D4E" w:rsidRPr="00A35AE0">
        <w:rPr>
          <w:rFonts w:eastAsia="Arial Unicode MS"/>
          <w:bdr w:val="nil"/>
          <w:lang w:val="en-US"/>
        </w:rPr>
        <w:t xml:space="preserve"> of</w:t>
      </w:r>
      <w:r w:rsidR="00A37519" w:rsidRPr="00A35AE0">
        <w:rPr>
          <w:rFonts w:eastAsia="Arial Unicode MS"/>
          <w:bdr w:val="nil"/>
          <w:lang w:val="en-US"/>
        </w:rPr>
        <w:t>fers a</w:t>
      </w:r>
      <w:r w:rsidR="00E93D4E" w:rsidRPr="00A35AE0">
        <w:rPr>
          <w:rFonts w:eastAsia="Arial Unicode MS"/>
          <w:bdr w:val="nil"/>
          <w:lang w:val="en-US"/>
        </w:rPr>
        <w:t xml:space="preserve"> ‘home-based service for juvenile court-involved youth’ that has been shown to be more effective than group care (GC) in reducing re-offending (Bright et al, 2017). </w:t>
      </w:r>
      <w:r w:rsidR="00081CDA" w:rsidRPr="00A35AE0">
        <w:rPr>
          <w:rFonts w:eastAsia="Arial Unicode MS"/>
          <w:bdr w:val="nil"/>
          <w:lang w:val="en-US"/>
        </w:rPr>
        <w:t>New</w:t>
      </w:r>
      <w:r w:rsidR="00081CDA" w:rsidRPr="00A35AE0">
        <w:rPr>
          <w:bCs/>
        </w:rPr>
        <w:t xml:space="preserve"> specialist community forensic child and adolescent mental health services (FCAMHS) exist in some part</w:t>
      </w:r>
      <w:r w:rsidR="005F41E8" w:rsidRPr="00A35AE0">
        <w:rPr>
          <w:bCs/>
        </w:rPr>
        <w:t>s</w:t>
      </w:r>
      <w:r w:rsidR="00081CDA" w:rsidRPr="00A35AE0">
        <w:rPr>
          <w:bCs/>
        </w:rPr>
        <w:t xml:space="preserve"> of the UK </w:t>
      </w:r>
      <w:r w:rsidR="005F41E8" w:rsidRPr="00A35AE0">
        <w:rPr>
          <w:bCs/>
        </w:rPr>
        <w:t>although</w:t>
      </w:r>
      <w:r w:rsidR="00081CDA" w:rsidRPr="00A35AE0">
        <w:rPr>
          <w:bCs/>
        </w:rPr>
        <w:t xml:space="preserve"> </w:t>
      </w:r>
      <w:r w:rsidR="005F41E8" w:rsidRPr="00A35AE0">
        <w:rPr>
          <w:bCs/>
        </w:rPr>
        <w:t>‘</w:t>
      </w:r>
      <w:r w:rsidR="00081CDA" w:rsidRPr="00A35AE0">
        <w:rPr>
          <w:bCs/>
        </w:rPr>
        <w:t>there is still no secure mental health in-patient provision for young mentally disordered offenders (or those with mental health needs outside the youth justice system who present high risk of harm to others) in Scotl</w:t>
      </w:r>
      <w:r w:rsidR="005F41E8" w:rsidRPr="00A35AE0">
        <w:rPr>
          <w:bCs/>
        </w:rPr>
        <w:t>and, Wales or Northern Ireland’</w:t>
      </w:r>
      <w:r w:rsidR="00081CDA" w:rsidRPr="00A35AE0">
        <w:rPr>
          <w:bCs/>
        </w:rPr>
        <w:t xml:space="preserve"> (Hindley, </w:t>
      </w:r>
      <w:proofErr w:type="spellStart"/>
      <w:r w:rsidR="00081CDA" w:rsidRPr="00A35AE0">
        <w:rPr>
          <w:bCs/>
        </w:rPr>
        <w:t>Lengua</w:t>
      </w:r>
      <w:proofErr w:type="spellEnd"/>
      <w:r w:rsidR="00081CDA" w:rsidRPr="00A35AE0">
        <w:rPr>
          <w:bCs/>
        </w:rPr>
        <w:t xml:space="preserve"> and White, 2017:36)</w:t>
      </w:r>
      <w:r w:rsidR="00727597" w:rsidRPr="00A35AE0">
        <w:rPr>
          <w:bCs/>
        </w:rPr>
        <w:t>. There is potential for much ‘</w:t>
      </w:r>
      <w:r w:rsidR="00081CDA" w:rsidRPr="00A35AE0">
        <w:rPr>
          <w:bCs/>
        </w:rPr>
        <w:t>greater co-ordination between different providers of services for high-risk young people, including multisystemic therapy (MST), multidimensional treatment foster care (MTFC) and mental health in/out-reach teams working in specialist residential settings a</w:t>
      </w:r>
      <w:r w:rsidR="00727597" w:rsidRPr="00A35AE0">
        <w:rPr>
          <w:bCs/>
        </w:rPr>
        <w:t>nd special educational settings’ (</w:t>
      </w:r>
      <w:r w:rsidR="00C456AD" w:rsidRPr="00A35AE0">
        <w:rPr>
          <w:bCs/>
        </w:rPr>
        <w:t xml:space="preserve">Hindley, </w:t>
      </w:r>
      <w:proofErr w:type="spellStart"/>
      <w:r w:rsidR="00C456AD" w:rsidRPr="00A35AE0">
        <w:rPr>
          <w:bCs/>
        </w:rPr>
        <w:t>Lengua</w:t>
      </w:r>
      <w:proofErr w:type="spellEnd"/>
      <w:r w:rsidR="00C456AD" w:rsidRPr="00A35AE0">
        <w:rPr>
          <w:bCs/>
        </w:rPr>
        <w:t xml:space="preserve"> and White, 2017:36)</w:t>
      </w:r>
      <w:r w:rsidR="00727597" w:rsidRPr="00A35AE0">
        <w:rPr>
          <w:bCs/>
        </w:rPr>
        <w:t>.</w:t>
      </w:r>
      <w:r w:rsidR="00156932">
        <w:rPr>
          <w:bCs/>
        </w:rPr>
        <w:t xml:space="preserve"> Criminological critics of </w:t>
      </w:r>
      <w:proofErr w:type="spellStart"/>
      <w:r w:rsidR="00156932">
        <w:rPr>
          <w:bCs/>
        </w:rPr>
        <w:t>decarceration</w:t>
      </w:r>
      <w:proofErr w:type="spellEnd"/>
      <w:r w:rsidR="00156932">
        <w:rPr>
          <w:bCs/>
        </w:rPr>
        <w:t xml:space="preserve"> have </w:t>
      </w:r>
      <w:r w:rsidR="00C31EC4">
        <w:rPr>
          <w:bCs/>
        </w:rPr>
        <w:t xml:space="preserve">tended to </w:t>
      </w:r>
      <w:r w:rsidR="00F91F3A">
        <w:rPr>
          <w:bCs/>
        </w:rPr>
        <w:t>regard</w:t>
      </w:r>
      <w:r w:rsidR="00C31EC4">
        <w:rPr>
          <w:bCs/>
        </w:rPr>
        <w:t xml:space="preserve"> any form of resident</w:t>
      </w:r>
      <w:r w:rsidR="00B15AA3">
        <w:rPr>
          <w:bCs/>
        </w:rPr>
        <w:t xml:space="preserve">ial </w:t>
      </w:r>
      <w:r w:rsidR="00F91F3A">
        <w:rPr>
          <w:bCs/>
        </w:rPr>
        <w:t xml:space="preserve">restraint </w:t>
      </w:r>
      <w:r w:rsidR="00B15AA3">
        <w:rPr>
          <w:bCs/>
        </w:rPr>
        <w:t xml:space="preserve">as </w:t>
      </w:r>
      <w:r w:rsidR="00F91F3A">
        <w:rPr>
          <w:bCs/>
        </w:rPr>
        <w:t xml:space="preserve">ultimately </w:t>
      </w:r>
      <w:proofErr w:type="spellStart"/>
      <w:r w:rsidR="00B15AA3">
        <w:rPr>
          <w:bCs/>
        </w:rPr>
        <w:t>incarceral</w:t>
      </w:r>
      <w:proofErr w:type="spellEnd"/>
      <w:r w:rsidR="00C31EC4">
        <w:rPr>
          <w:bCs/>
        </w:rPr>
        <w:t xml:space="preserve"> </w:t>
      </w:r>
      <w:r w:rsidR="00B15AA3">
        <w:rPr>
          <w:bCs/>
        </w:rPr>
        <w:t xml:space="preserve">and punitive </w:t>
      </w:r>
      <w:r w:rsidR="00C31EC4">
        <w:rPr>
          <w:bCs/>
        </w:rPr>
        <w:t>(</w:t>
      </w:r>
      <w:r w:rsidR="00B15AA3">
        <w:rPr>
          <w:bCs/>
        </w:rPr>
        <w:t>see</w:t>
      </w:r>
      <w:r w:rsidR="00C31EC4">
        <w:rPr>
          <w:bCs/>
        </w:rPr>
        <w:t xml:space="preserve"> Hudson </w:t>
      </w:r>
      <w:r w:rsidR="00B15AA3">
        <w:rPr>
          <w:bCs/>
        </w:rPr>
        <w:t>1984</w:t>
      </w:r>
      <w:r w:rsidR="00C31EC4">
        <w:rPr>
          <w:bCs/>
        </w:rPr>
        <w:t xml:space="preserve">). We </w:t>
      </w:r>
      <w:r w:rsidR="00B15AA3" w:rsidRPr="00470D88">
        <w:rPr>
          <w:bCs/>
        </w:rPr>
        <w:t>recognise that</w:t>
      </w:r>
      <w:r w:rsidR="00C31EC4" w:rsidRPr="00470D88">
        <w:rPr>
          <w:bCs/>
        </w:rPr>
        <w:t xml:space="preserve"> possibility </w:t>
      </w:r>
      <w:r w:rsidR="0064712B" w:rsidRPr="00470D88">
        <w:rPr>
          <w:bCs/>
        </w:rPr>
        <w:t>– and also note important critiques of ‘alternative provision’ and ‘secure colleges’ (</w:t>
      </w:r>
      <w:r w:rsidR="008409AD" w:rsidRPr="00470D88">
        <w:rPr>
          <w:rFonts w:eastAsia="Arial Unicode MS"/>
          <w:sz w:val="22"/>
          <w:szCs w:val="22"/>
          <w:bdr w:val="none" w:sz="0" w:space="0" w:color="auto" w:frame="1"/>
          <w:lang w:val="en-US"/>
        </w:rPr>
        <w:t>George, 2018</w:t>
      </w:r>
      <w:r w:rsidR="0064712B" w:rsidRPr="00470D88">
        <w:rPr>
          <w:bCs/>
        </w:rPr>
        <w:t xml:space="preserve">) - </w:t>
      </w:r>
      <w:r w:rsidR="00C31EC4" w:rsidRPr="00470D88">
        <w:rPr>
          <w:bCs/>
        </w:rPr>
        <w:t xml:space="preserve">but also </w:t>
      </w:r>
      <w:r w:rsidR="00B15AA3" w:rsidRPr="00470D88">
        <w:rPr>
          <w:bCs/>
        </w:rPr>
        <w:t>argue</w:t>
      </w:r>
      <w:r w:rsidR="00C31EC4" w:rsidRPr="00470D88">
        <w:rPr>
          <w:bCs/>
        </w:rPr>
        <w:t xml:space="preserve"> that </w:t>
      </w:r>
      <w:r w:rsidR="00142177" w:rsidRPr="00470D88">
        <w:rPr>
          <w:bCs/>
        </w:rPr>
        <w:t>‘net-widening’ arguments like these need to be more</w:t>
      </w:r>
      <w:r w:rsidR="00142177">
        <w:rPr>
          <w:bCs/>
        </w:rPr>
        <w:t xml:space="preserve"> nuanced: o</w:t>
      </w:r>
      <w:r w:rsidR="00C31EC4">
        <w:rPr>
          <w:bCs/>
        </w:rPr>
        <w:t xml:space="preserve">ur duty of care to </w:t>
      </w:r>
      <w:r w:rsidR="00B15AA3">
        <w:rPr>
          <w:bCs/>
        </w:rPr>
        <w:t xml:space="preserve">some </w:t>
      </w:r>
      <w:r w:rsidR="00C31EC4">
        <w:rPr>
          <w:bCs/>
        </w:rPr>
        <w:t xml:space="preserve">young people will, in </w:t>
      </w:r>
      <w:r w:rsidR="00B15AA3">
        <w:rPr>
          <w:bCs/>
        </w:rPr>
        <w:t>certain</w:t>
      </w:r>
      <w:r w:rsidR="00C31EC4">
        <w:rPr>
          <w:bCs/>
        </w:rPr>
        <w:t xml:space="preserve"> circumstances</w:t>
      </w:r>
      <w:r w:rsidR="00B15AA3">
        <w:rPr>
          <w:bCs/>
        </w:rPr>
        <w:t>,</w:t>
      </w:r>
      <w:r w:rsidR="00C31EC4">
        <w:rPr>
          <w:bCs/>
        </w:rPr>
        <w:t xml:space="preserve"> </w:t>
      </w:r>
      <w:r w:rsidR="00B15AA3">
        <w:rPr>
          <w:bCs/>
        </w:rPr>
        <w:t>require the use of</w:t>
      </w:r>
      <w:r w:rsidR="00C31EC4">
        <w:rPr>
          <w:bCs/>
        </w:rPr>
        <w:t xml:space="preserve"> rights-based</w:t>
      </w:r>
      <w:r w:rsidR="004F1AEB">
        <w:rPr>
          <w:bCs/>
        </w:rPr>
        <w:t>, therapeutically-oriented</w:t>
      </w:r>
      <w:r w:rsidR="00C31EC4">
        <w:rPr>
          <w:bCs/>
        </w:rPr>
        <w:t xml:space="preserve"> residential facilities.</w:t>
      </w:r>
      <w:r w:rsidR="00C34700">
        <w:rPr>
          <w:bCs/>
        </w:rPr>
        <w:t xml:space="preserve"> </w:t>
      </w:r>
    </w:p>
    <w:p w:rsidR="006731A4" w:rsidRPr="00A35AE0" w:rsidRDefault="00B15AA3" w:rsidP="00336AFD">
      <w:pPr>
        <w:pStyle w:val="NormalWeb"/>
        <w:spacing w:line="360" w:lineRule="auto"/>
        <w:jc w:val="both"/>
        <w:rPr>
          <w:rFonts w:eastAsia="Arial Unicode MS"/>
          <w:bdr w:val="nil"/>
          <w:lang w:val="en-US"/>
        </w:rPr>
      </w:pPr>
      <w:r w:rsidRPr="00496E58">
        <w:rPr>
          <w:rFonts w:eastAsia="Arial Unicode MS"/>
          <w:bdr w:val="nil"/>
          <w:lang w:val="en-US"/>
        </w:rPr>
        <w:t>Such facilities</w:t>
      </w:r>
      <w:r w:rsidR="004547D2" w:rsidRPr="00496E58">
        <w:rPr>
          <w:rFonts w:eastAsia="Arial Unicode MS"/>
          <w:bdr w:val="nil"/>
          <w:lang w:val="en-US"/>
        </w:rPr>
        <w:t xml:space="preserve"> could be </w:t>
      </w:r>
      <w:proofErr w:type="spellStart"/>
      <w:r w:rsidR="004547D2" w:rsidRPr="00496E58">
        <w:rPr>
          <w:rFonts w:eastAsia="Arial Unicode MS"/>
          <w:bdr w:val="nil"/>
          <w:lang w:val="en-US"/>
        </w:rPr>
        <w:t>co-ordinated</w:t>
      </w:r>
      <w:proofErr w:type="spellEnd"/>
      <w:r w:rsidR="004547D2" w:rsidRPr="00496E58">
        <w:rPr>
          <w:rFonts w:eastAsia="Arial Unicode MS"/>
          <w:bdr w:val="nil"/>
          <w:lang w:val="en-US"/>
        </w:rPr>
        <w:t xml:space="preserve"> </w:t>
      </w:r>
      <w:r w:rsidR="00516617" w:rsidRPr="00496E58">
        <w:rPr>
          <w:rFonts w:eastAsia="Arial Unicode MS"/>
          <w:bdr w:val="nil"/>
          <w:lang w:val="en-US"/>
        </w:rPr>
        <w:t xml:space="preserve">as part of </w:t>
      </w:r>
      <w:r w:rsidR="004547D2" w:rsidRPr="00496E58">
        <w:rPr>
          <w:rFonts w:eastAsia="Arial Unicode MS"/>
          <w:bdr w:val="nil"/>
          <w:lang w:val="en-US"/>
        </w:rPr>
        <w:t xml:space="preserve">a broader ‘smart </w:t>
      </w:r>
      <w:proofErr w:type="spellStart"/>
      <w:r w:rsidR="004547D2" w:rsidRPr="00496E58">
        <w:rPr>
          <w:rFonts w:eastAsia="Arial Unicode MS"/>
          <w:bdr w:val="nil"/>
          <w:lang w:val="en-US"/>
        </w:rPr>
        <w:t>decarceration</w:t>
      </w:r>
      <w:proofErr w:type="spellEnd"/>
      <w:r w:rsidR="004547D2" w:rsidRPr="00496E58">
        <w:rPr>
          <w:rFonts w:eastAsia="Arial Unicode MS"/>
          <w:bdr w:val="nil"/>
          <w:lang w:val="en-US"/>
        </w:rPr>
        <w:t xml:space="preserve">’ </w:t>
      </w:r>
      <w:proofErr w:type="spellStart"/>
      <w:r w:rsidR="004547D2" w:rsidRPr="00496E58">
        <w:rPr>
          <w:rFonts w:eastAsia="Arial Unicode MS"/>
          <w:bdr w:val="nil"/>
          <w:lang w:val="en-US"/>
        </w:rPr>
        <w:t>programme</w:t>
      </w:r>
      <w:proofErr w:type="spellEnd"/>
      <w:r w:rsidR="00B15872" w:rsidRPr="00496E58">
        <w:rPr>
          <w:rFonts w:eastAsia="Arial Unicode MS"/>
          <w:bdr w:val="nil"/>
          <w:lang w:val="en-US"/>
        </w:rPr>
        <w:t xml:space="preserve"> of the kind </w:t>
      </w:r>
      <w:r w:rsidR="00BA651C" w:rsidRPr="002B00C5">
        <w:rPr>
          <w:rFonts w:eastAsia="Arial Unicode MS"/>
          <w:bdr w:val="nil"/>
          <w:lang w:val="en-US"/>
        </w:rPr>
        <w:t>being</w:t>
      </w:r>
      <w:r w:rsidR="004547D2" w:rsidRPr="002B00C5">
        <w:rPr>
          <w:rFonts w:eastAsia="Arial Unicode MS"/>
          <w:bdr w:val="nil"/>
          <w:lang w:val="en-US"/>
        </w:rPr>
        <w:t xml:space="preserve"> </w:t>
      </w:r>
      <w:r w:rsidR="00BA651C" w:rsidRPr="002B00C5">
        <w:rPr>
          <w:rFonts w:eastAsia="Arial Unicode MS"/>
          <w:bdr w:val="nil"/>
          <w:lang w:val="en-US"/>
        </w:rPr>
        <w:t>developed</w:t>
      </w:r>
      <w:r w:rsidR="004547D2" w:rsidRPr="003C6620">
        <w:rPr>
          <w:rFonts w:eastAsia="Arial Unicode MS"/>
          <w:bdr w:val="nil"/>
          <w:lang w:val="en-US"/>
        </w:rPr>
        <w:t xml:space="preserve"> in the US</w:t>
      </w:r>
      <w:r w:rsidR="00516617" w:rsidRPr="003C6620">
        <w:rPr>
          <w:rFonts w:eastAsia="Arial Unicode MS"/>
          <w:bdr w:val="nil"/>
          <w:lang w:val="en-US"/>
        </w:rPr>
        <w:t xml:space="preserve"> (Epperson and Pettus-Davis, 2017)</w:t>
      </w:r>
      <w:r w:rsidR="00F91F3A">
        <w:rPr>
          <w:rFonts w:eastAsia="Arial Unicode MS"/>
          <w:bdr w:val="nil"/>
          <w:lang w:val="en-US"/>
        </w:rPr>
        <w:t xml:space="preserve"> that </w:t>
      </w:r>
      <w:r w:rsidR="00F91F3A">
        <w:t>seek</w:t>
      </w:r>
      <w:r w:rsidR="00810D38" w:rsidRPr="00F91F3A">
        <w:t xml:space="preserve"> </w:t>
      </w:r>
      <w:r w:rsidR="00BA651C" w:rsidRPr="00F91F3A">
        <w:t>to effect ‘criminal justice transformation’ by reducing ‘excessive, racially biased, ineffecti</w:t>
      </w:r>
      <w:r w:rsidR="00BA651C" w:rsidRPr="004E46A8">
        <w:t>ve and unaffordable’ mass incarceration (</w:t>
      </w:r>
      <w:proofErr w:type="spellStart"/>
      <w:r w:rsidR="00BA651C" w:rsidRPr="004E46A8">
        <w:t>Sherraden</w:t>
      </w:r>
      <w:proofErr w:type="spellEnd"/>
      <w:r w:rsidR="00BA651C" w:rsidRPr="004E46A8">
        <w:t>, 2017: viii</w:t>
      </w:r>
      <w:r w:rsidR="00810D38" w:rsidRPr="002F6747">
        <w:t>).</w:t>
      </w:r>
      <w:r w:rsidR="00810D38" w:rsidRPr="001D733F">
        <w:t xml:space="preserve"> </w:t>
      </w:r>
      <w:r w:rsidR="003C6620">
        <w:t>I</w:t>
      </w:r>
      <w:r w:rsidR="00BA651C" w:rsidRPr="00496E58">
        <w:rPr>
          <w:rFonts w:eastAsia="Arial Unicode MS"/>
          <w:bdr w:val="nil"/>
          <w:lang w:val="en-US"/>
        </w:rPr>
        <w:t xml:space="preserve">n </w:t>
      </w:r>
      <w:r w:rsidR="003C6620">
        <w:rPr>
          <w:rFonts w:eastAsia="Arial Unicode MS"/>
          <w:bdr w:val="nil"/>
          <w:lang w:val="en-US"/>
        </w:rPr>
        <w:t>England and Wales</w:t>
      </w:r>
      <w:r w:rsidR="00BA651C" w:rsidRPr="00496E58">
        <w:rPr>
          <w:rFonts w:eastAsia="Arial Unicode MS"/>
          <w:bdr w:val="nil"/>
          <w:lang w:val="en-US"/>
        </w:rPr>
        <w:t xml:space="preserve">, </w:t>
      </w:r>
      <w:r w:rsidR="00243A12" w:rsidRPr="00496E58">
        <w:rPr>
          <w:rFonts w:eastAsia="Arial Unicode MS"/>
          <w:bdr w:val="nil"/>
          <w:lang w:val="en-US"/>
        </w:rPr>
        <w:t xml:space="preserve">the FCT and </w:t>
      </w:r>
      <w:r w:rsidR="00243A12" w:rsidRPr="00496E58">
        <w:rPr>
          <w:bCs/>
        </w:rPr>
        <w:lastRenderedPageBreak/>
        <w:t xml:space="preserve">FCAMHS projects have the potential to become part of a </w:t>
      </w:r>
      <w:r w:rsidR="00BA651C" w:rsidRPr="00496E58">
        <w:rPr>
          <w:rFonts w:eastAsia="Arial Unicode MS"/>
          <w:bdr w:val="nil"/>
          <w:lang w:val="en-US"/>
        </w:rPr>
        <w:t xml:space="preserve">‘smart </w:t>
      </w:r>
      <w:proofErr w:type="spellStart"/>
      <w:r w:rsidR="00243A12" w:rsidRPr="00496E58">
        <w:rPr>
          <w:rFonts w:eastAsia="Arial Unicode MS"/>
          <w:bdr w:val="nil"/>
          <w:lang w:val="en-US"/>
        </w:rPr>
        <w:t>decarceration</w:t>
      </w:r>
      <w:proofErr w:type="spellEnd"/>
      <w:r w:rsidR="00243A12" w:rsidRPr="00496E58">
        <w:rPr>
          <w:rFonts w:eastAsia="Arial Unicode MS"/>
          <w:bdr w:val="nil"/>
          <w:lang w:val="en-US"/>
        </w:rPr>
        <w:t xml:space="preserve">’ initiative that could help to push the </w:t>
      </w:r>
      <w:proofErr w:type="spellStart"/>
      <w:r w:rsidR="00243A12" w:rsidRPr="00496E58">
        <w:rPr>
          <w:rFonts w:eastAsia="Arial Unicode MS"/>
          <w:bdr w:val="nil"/>
          <w:lang w:val="en-US"/>
        </w:rPr>
        <w:t>decarcera</w:t>
      </w:r>
      <w:r w:rsidR="00E02679" w:rsidRPr="00496E58">
        <w:rPr>
          <w:rFonts w:eastAsia="Arial Unicode MS"/>
          <w:bdr w:val="nil"/>
          <w:lang w:val="en-US"/>
        </w:rPr>
        <w:t>tion</w:t>
      </w:r>
      <w:proofErr w:type="spellEnd"/>
      <w:r w:rsidR="00243A12" w:rsidRPr="00496E58">
        <w:rPr>
          <w:rFonts w:eastAsia="Arial Unicode MS"/>
          <w:bdr w:val="nil"/>
          <w:lang w:val="en-US"/>
        </w:rPr>
        <w:t xml:space="preserve"> pendulum further by posing hard questions about the </w:t>
      </w:r>
      <w:r w:rsidR="00394C62" w:rsidRPr="00496E58">
        <w:rPr>
          <w:rFonts w:eastAsia="Arial Unicode MS"/>
          <w:bdr w:val="nil"/>
          <w:lang w:val="en-US"/>
        </w:rPr>
        <w:t xml:space="preserve">‘inevitability’ of </w:t>
      </w:r>
      <w:r w:rsidR="00243A12" w:rsidRPr="002B00C5">
        <w:rPr>
          <w:rFonts w:eastAsia="Arial Unicode MS"/>
          <w:bdr w:val="nil"/>
          <w:lang w:val="en-US"/>
        </w:rPr>
        <w:t xml:space="preserve">continuing </w:t>
      </w:r>
      <w:r w:rsidR="00B15872" w:rsidRPr="002B00C5">
        <w:rPr>
          <w:rFonts w:eastAsia="Arial Unicode MS"/>
          <w:bdr w:val="nil"/>
          <w:lang w:val="en-US"/>
        </w:rPr>
        <w:t xml:space="preserve">policies of </w:t>
      </w:r>
      <w:r w:rsidR="00394C62" w:rsidRPr="003C6620">
        <w:rPr>
          <w:rFonts w:eastAsia="Arial Unicode MS"/>
          <w:bdr w:val="nil"/>
          <w:lang w:val="en-US"/>
        </w:rPr>
        <w:t>child incarceration and child removal.</w:t>
      </w:r>
      <w:r w:rsidR="00394C62" w:rsidRPr="00A35AE0">
        <w:rPr>
          <w:rFonts w:eastAsia="Arial Unicode MS"/>
          <w:bdr w:val="nil"/>
          <w:lang w:val="en-US"/>
        </w:rPr>
        <w:t xml:space="preserve"> </w:t>
      </w:r>
    </w:p>
    <w:p w:rsidR="00D332A8" w:rsidRPr="00A35AE0" w:rsidRDefault="00D332A8" w:rsidP="00336AFD">
      <w:pPr>
        <w:pBdr>
          <w:top w:val="nil"/>
          <w:left w:val="nil"/>
          <w:bottom w:val="nil"/>
          <w:right w:val="nil"/>
          <w:between w:val="nil"/>
          <w:bar w:val="nil"/>
        </w:pBdr>
        <w:spacing w:line="360" w:lineRule="auto"/>
        <w:jc w:val="both"/>
        <w:rPr>
          <w:rFonts w:eastAsia="Arial Unicode MS"/>
          <w:bdr w:val="nil"/>
          <w:lang w:val="en-US"/>
        </w:rPr>
      </w:pPr>
    </w:p>
    <w:p w:rsidR="00243A12" w:rsidRPr="00A35AE0" w:rsidRDefault="00243A12" w:rsidP="00652B36">
      <w:pPr>
        <w:pBdr>
          <w:top w:val="nil"/>
          <w:left w:val="nil"/>
          <w:bottom w:val="nil"/>
          <w:right w:val="nil"/>
          <w:between w:val="nil"/>
          <w:bar w:val="nil"/>
        </w:pBdr>
        <w:spacing w:line="360" w:lineRule="auto"/>
        <w:jc w:val="both"/>
        <w:rPr>
          <w:rFonts w:eastAsia="Arial Unicode MS"/>
          <w:b/>
          <w:bdr w:val="nil"/>
          <w:lang w:val="en-US"/>
        </w:rPr>
      </w:pPr>
      <w:r w:rsidRPr="00A35AE0">
        <w:rPr>
          <w:rFonts w:eastAsia="Arial Unicode MS"/>
          <w:b/>
          <w:bdr w:val="nil"/>
          <w:lang w:val="en-US"/>
        </w:rPr>
        <w:t>Conclusion</w:t>
      </w:r>
    </w:p>
    <w:p w:rsidR="00CE7DA2" w:rsidRPr="00A35AE0" w:rsidRDefault="00CE7DA2" w:rsidP="00652B36">
      <w:pPr>
        <w:pBdr>
          <w:top w:val="nil"/>
          <w:left w:val="nil"/>
          <w:bottom w:val="nil"/>
          <w:right w:val="nil"/>
          <w:between w:val="nil"/>
          <w:bar w:val="nil"/>
        </w:pBdr>
        <w:spacing w:line="360" w:lineRule="auto"/>
        <w:jc w:val="both"/>
        <w:rPr>
          <w:rFonts w:eastAsia="Arial Unicode MS"/>
          <w:b/>
          <w:bdr w:val="nil"/>
          <w:lang w:val="en-US"/>
        </w:rPr>
      </w:pPr>
    </w:p>
    <w:p w:rsidR="0038773B" w:rsidRPr="00A35AE0" w:rsidRDefault="0038773B" w:rsidP="00652B36">
      <w:pPr>
        <w:pBdr>
          <w:top w:val="nil"/>
          <w:left w:val="nil"/>
          <w:bottom w:val="nil"/>
          <w:right w:val="nil"/>
          <w:between w:val="nil"/>
          <w:bar w:val="nil"/>
        </w:pBdr>
        <w:spacing w:line="360" w:lineRule="auto"/>
        <w:jc w:val="both"/>
        <w:rPr>
          <w:rFonts w:eastAsia="Arial Unicode MS"/>
          <w:bdr w:val="nil"/>
        </w:rPr>
      </w:pPr>
      <w:r w:rsidRPr="00A35AE0">
        <w:rPr>
          <w:rFonts w:eastAsia="Arial Unicode MS"/>
          <w:bdr w:val="nil"/>
        </w:rPr>
        <w:t>Th</w:t>
      </w:r>
      <w:r w:rsidR="00742FA0" w:rsidRPr="00A35AE0">
        <w:rPr>
          <w:rFonts w:eastAsia="Arial Unicode MS"/>
          <w:bdr w:val="nil"/>
        </w:rPr>
        <w:t xml:space="preserve">e </w:t>
      </w:r>
      <w:r w:rsidR="00A85625">
        <w:rPr>
          <w:rFonts w:eastAsia="Arial Unicode MS"/>
          <w:bdr w:val="nil"/>
        </w:rPr>
        <w:t xml:space="preserve">juvenile </w:t>
      </w:r>
      <w:proofErr w:type="spellStart"/>
      <w:r w:rsidR="00A85625">
        <w:rPr>
          <w:rFonts w:eastAsia="Arial Unicode MS"/>
          <w:bdr w:val="nil"/>
        </w:rPr>
        <w:t>decarceral</w:t>
      </w:r>
      <w:proofErr w:type="spellEnd"/>
      <w:r w:rsidR="00A85625">
        <w:rPr>
          <w:rFonts w:eastAsia="Arial Unicode MS"/>
          <w:bdr w:val="nil"/>
        </w:rPr>
        <w:t xml:space="preserve"> trends of the </w:t>
      </w:r>
      <w:r w:rsidR="00C36CDC">
        <w:rPr>
          <w:rFonts w:eastAsia="Arial Unicode MS"/>
          <w:bdr w:val="nil"/>
        </w:rPr>
        <w:t>late 1980s and early</w:t>
      </w:r>
      <w:r w:rsidR="00A85625">
        <w:rPr>
          <w:rFonts w:eastAsia="Arial Unicode MS"/>
          <w:bdr w:val="nil"/>
        </w:rPr>
        <w:t xml:space="preserve"> 1900s and</w:t>
      </w:r>
      <w:r w:rsidR="00C36CDC">
        <w:rPr>
          <w:rFonts w:eastAsia="Arial Unicode MS"/>
          <w:bdr w:val="nil"/>
        </w:rPr>
        <w:t>, again</w:t>
      </w:r>
      <w:r w:rsidR="00C36CDC" w:rsidRPr="00470D88">
        <w:rPr>
          <w:rFonts w:eastAsia="Arial Unicode MS"/>
          <w:bdr w:val="nil"/>
        </w:rPr>
        <w:t>, since</w:t>
      </w:r>
      <w:r w:rsidR="00742FA0" w:rsidRPr="00470D88">
        <w:rPr>
          <w:rFonts w:eastAsia="Arial Unicode MS"/>
          <w:bdr w:val="nil"/>
        </w:rPr>
        <w:t xml:space="preserve"> </w:t>
      </w:r>
      <w:r w:rsidR="003F07E5" w:rsidRPr="00470D88">
        <w:rPr>
          <w:rFonts w:eastAsia="Arial Unicode MS"/>
          <w:bdr w:val="nil"/>
        </w:rPr>
        <w:t>200</w:t>
      </w:r>
      <w:r w:rsidR="00C36CDC" w:rsidRPr="00470D88">
        <w:rPr>
          <w:rFonts w:eastAsia="Arial Unicode MS"/>
          <w:bdr w:val="nil"/>
        </w:rPr>
        <w:t>8,</w:t>
      </w:r>
      <w:r w:rsidR="00742FA0" w:rsidRPr="00470D88">
        <w:rPr>
          <w:rFonts w:eastAsia="Arial Unicode MS"/>
          <w:bdr w:val="nil"/>
        </w:rPr>
        <w:t xml:space="preserve"> are </w:t>
      </w:r>
      <w:r w:rsidRPr="00470D88">
        <w:rPr>
          <w:rFonts w:eastAsia="Arial Unicode MS"/>
          <w:bdr w:val="nil"/>
        </w:rPr>
        <w:t>particularly significant moment</w:t>
      </w:r>
      <w:r w:rsidR="00742FA0" w:rsidRPr="00470D88">
        <w:rPr>
          <w:rFonts w:eastAsia="Arial Unicode MS"/>
          <w:bdr w:val="nil"/>
        </w:rPr>
        <w:t>s</w:t>
      </w:r>
      <w:r w:rsidRPr="00470D88">
        <w:rPr>
          <w:rFonts w:eastAsia="Arial Unicode MS"/>
          <w:bdr w:val="nil"/>
        </w:rPr>
        <w:t xml:space="preserve"> </w:t>
      </w:r>
      <w:r w:rsidR="003C6620" w:rsidRPr="00470D88">
        <w:rPr>
          <w:rFonts w:eastAsia="Arial Unicode MS"/>
          <w:bdr w:val="nil"/>
        </w:rPr>
        <w:t xml:space="preserve">within the longer history outlined here </w:t>
      </w:r>
      <w:r w:rsidRPr="00470D88">
        <w:rPr>
          <w:rFonts w:eastAsia="Arial Unicode MS"/>
          <w:bdr w:val="nil"/>
        </w:rPr>
        <w:t>because they mark</w:t>
      </w:r>
      <w:r w:rsidR="003C6620" w:rsidRPr="00470D88">
        <w:rPr>
          <w:rFonts w:eastAsia="Arial Unicode MS"/>
          <w:bdr w:val="nil"/>
        </w:rPr>
        <w:t>ed</w:t>
      </w:r>
      <w:r w:rsidRPr="00470D88">
        <w:rPr>
          <w:rFonts w:eastAsia="Arial Unicode MS"/>
          <w:bdr w:val="nil"/>
        </w:rPr>
        <w:t xml:space="preserve"> distinctive shift</w:t>
      </w:r>
      <w:r w:rsidR="00A85625" w:rsidRPr="00470D88">
        <w:rPr>
          <w:rFonts w:eastAsia="Arial Unicode MS"/>
          <w:bdr w:val="nil"/>
        </w:rPr>
        <w:t>s</w:t>
      </w:r>
      <w:r w:rsidRPr="00470D88">
        <w:rPr>
          <w:rFonts w:eastAsia="Arial Unicode MS"/>
          <w:bdr w:val="nil"/>
        </w:rPr>
        <w:t xml:space="preserve"> in </w:t>
      </w:r>
      <w:r w:rsidR="00A85625" w:rsidRPr="00470D88">
        <w:rPr>
          <w:rFonts w:eastAsia="Arial Unicode MS"/>
          <w:bdr w:val="nil"/>
        </w:rPr>
        <w:t xml:space="preserve">respective cultures of youth </w:t>
      </w:r>
      <w:r w:rsidR="003C6620" w:rsidRPr="00470D88">
        <w:rPr>
          <w:rFonts w:eastAsia="Arial Unicode MS"/>
          <w:bdr w:val="nil"/>
        </w:rPr>
        <w:t xml:space="preserve">justice </w:t>
      </w:r>
      <w:r w:rsidRPr="00470D88">
        <w:rPr>
          <w:rFonts w:eastAsia="Arial Unicode MS"/>
          <w:bdr w:val="nil"/>
        </w:rPr>
        <w:t xml:space="preserve">and a collective questioning of </w:t>
      </w:r>
      <w:r w:rsidR="003C6620" w:rsidRPr="00470D88">
        <w:rPr>
          <w:rFonts w:eastAsia="Arial Unicode MS"/>
          <w:bdr w:val="nil"/>
        </w:rPr>
        <w:t xml:space="preserve">youth </w:t>
      </w:r>
      <w:r w:rsidRPr="00470D88">
        <w:rPr>
          <w:rFonts w:eastAsia="Arial Unicode MS"/>
          <w:bdr w:val="nil"/>
        </w:rPr>
        <w:t>institutionalisation as a response to social exclusion of many different kinds.</w:t>
      </w:r>
    </w:p>
    <w:p w:rsidR="00CE7DA2" w:rsidRPr="00A35AE0" w:rsidRDefault="00CE7DA2" w:rsidP="00652B36">
      <w:pPr>
        <w:pBdr>
          <w:top w:val="nil"/>
          <w:left w:val="nil"/>
          <w:bottom w:val="nil"/>
          <w:right w:val="nil"/>
          <w:between w:val="nil"/>
          <w:bar w:val="nil"/>
        </w:pBdr>
        <w:spacing w:line="360" w:lineRule="auto"/>
        <w:jc w:val="both"/>
        <w:rPr>
          <w:rFonts w:eastAsia="Arial Unicode MS"/>
          <w:b/>
          <w:bdr w:val="nil"/>
          <w:lang w:val="en-US"/>
        </w:rPr>
      </w:pPr>
    </w:p>
    <w:p w:rsidR="005B2FC6" w:rsidRPr="00336AFD" w:rsidRDefault="005B2FC6" w:rsidP="00336AFD">
      <w:pPr>
        <w:pBdr>
          <w:top w:val="nil"/>
          <w:left w:val="nil"/>
          <w:bottom w:val="nil"/>
          <w:right w:val="nil"/>
          <w:between w:val="nil"/>
          <w:bar w:val="nil"/>
        </w:pBdr>
        <w:spacing w:line="360" w:lineRule="auto"/>
        <w:jc w:val="both"/>
        <w:rPr>
          <w:rFonts w:eastAsia="Arial Unicode MS"/>
          <w:bdr w:val="nil"/>
          <w:lang w:val="en-US"/>
        </w:rPr>
      </w:pPr>
      <w:r w:rsidRPr="00A35AE0">
        <w:rPr>
          <w:rFonts w:eastAsia="Arial Unicode MS"/>
          <w:bdr w:val="nil"/>
          <w:lang w:val="en-US"/>
        </w:rPr>
        <w:t xml:space="preserve">In the early </w:t>
      </w:r>
      <w:r w:rsidR="00A85625">
        <w:rPr>
          <w:rFonts w:eastAsia="Arial Unicode MS"/>
          <w:bdr w:val="nil"/>
          <w:lang w:val="en-US"/>
        </w:rPr>
        <w:t>twentieth</w:t>
      </w:r>
      <w:r w:rsidR="003C6620">
        <w:rPr>
          <w:rFonts w:eastAsia="Arial Unicode MS"/>
          <w:bdr w:val="nil"/>
          <w:lang w:val="en-US"/>
        </w:rPr>
        <w:t xml:space="preserve"> </w:t>
      </w:r>
      <w:r w:rsidRPr="00A35AE0">
        <w:rPr>
          <w:rFonts w:eastAsia="Arial Unicode MS"/>
          <w:bdr w:val="nil"/>
          <w:lang w:val="en-US"/>
        </w:rPr>
        <w:t xml:space="preserve">century, a </w:t>
      </w:r>
      <w:r w:rsidR="00A85625">
        <w:rPr>
          <w:rFonts w:eastAsia="Arial Unicode MS"/>
          <w:bdr w:val="nil"/>
          <w:lang w:val="en-US"/>
        </w:rPr>
        <w:t xml:space="preserve">policy </w:t>
      </w:r>
      <w:r w:rsidRPr="00A35AE0">
        <w:rPr>
          <w:rFonts w:eastAsia="Arial Unicode MS"/>
          <w:bdr w:val="nil"/>
          <w:lang w:val="en-US"/>
        </w:rPr>
        <w:t xml:space="preserve">drift towards </w:t>
      </w:r>
      <w:r w:rsidR="003C6620">
        <w:rPr>
          <w:rFonts w:eastAsia="Arial Unicode MS"/>
          <w:bdr w:val="nil"/>
          <w:lang w:val="en-US"/>
        </w:rPr>
        <w:t xml:space="preserve">de facto </w:t>
      </w:r>
      <w:r w:rsidRPr="00A35AE0">
        <w:rPr>
          <w:rFonts w:eastAsia="Arial Unicode MS"/>
          <w:bdr w:val="nil"/>
          <w:lang w:val="en-US"/>
        </w:rPr>
        <w:t xml:space="preserve">youth </w:t>
      </w:r>
      <w:proofErr w:type="spellStart"/>
      <w:r w:rsidRPr="00A35AE0">
        <w:rPr>
          <w:rFonts w:eastAsia="Arial Unicode MS"/>
          <w:bdr w:val="nil"/>
          <w:lang w:val="en-US"/>
        </w:rPr>
        <w:t>decarceration</w:t>
      </w:r>
      <w:proofErr w:type="spellEnd"/>
      <w:r w:rsidR="003C6620">
        <w:rPr>
          <w:rFonts w:eastAsia="Arial Unicode MS"/>
          <w:bdr w:val="nil"/>
          <w:lang w:val="en-US"/>
        </w:rPr>
        <w:t xml:space="preserve"> </w:t>
      </w:r>
      <w:r w:rsidRPr="00A35AE0">
        <w:rPr>
          <w:rFonts w:eastAsia="Arial Unicode MS"/>
          <w:bdr w:val="nil"/>
          <w:lang w:val="en-US"/>
        </w:rPr>
        <w:t>dissipated for a number of distinct reason</w:t>
      </w:r>
      <w:r w:rsidR="00A85625">
        <w:rPr>
          <w:rFonts w:eastAsia="Arial Unicode MS"/>
          <w:bdr w:val="nil"/>
          <w:lang w:val="en-US"/>
        </w:rPr>
        <w:t xml:space="preserve">s: because of the challenge of the Second World War </w:t>
      </w:r>
      <w:r w:rsidR="003C6620">
        <w:rPr>
          <w:rFonts w:eastAsia="Arial Unicode MS"/>
          <w:bdr w:val="nil"/>
          <w:lang w:val="en-US"/>
        </w:rPr>
        <w:t>a</w:t>
      </w:r>
      <w:r w:rsidR="00A85625">
        <w:rPr>
          <w:rFonts w:eastAsia="Arial Unicode MS"/>
          <w:bdr w:val="nil"/>
          <w:lang w:val="en-US"/>
        </w:rPr>
        <w:t>nd its aftermath; because it</w:t>
      </w:r>
      <w:r w:rsidR="00B15872">
        <w:rPr>
          <w:rFonts w:eastAsia="Arial Unicode MS"/>
          <w:bdr w:val="nil"/>
          <w:lang w:val="en-US"/>
        </w:rPr>
        <w:t xml:space="preserve"> </w:t>
      </w:r>
      <w:r w:rsidRPr="00A35AE0">
        <w:rPr>
          <w:rFonts w:eastAsia="Arial Unicode MS"/>
          <w:bdr w:val="nil"/>
          <w:lang w:val="en-US"/>
        </w:rPr>
        <w:t xml:space="preserve">was not articulated as a strategic aim by any major players; </w:t>
      </w:r>
      <w:r w:rsidR="00A85625">
        <w:rPr>
          <w:rFonts w:eastAsia="Arial Unicode MS"/>
          <w:bdr w:val="nil"/>
          <w:lang w:val="en-US"/>
        </w:rPr>
        <w:t xml:space="preserve"> because </w:t>
      </w:r>
      <w:r w:rsidRPr="00A35AE0">
        <w:rPr>
          <w:rFonts w:eastAsia="Arial Unicode MS"/>
          <w:bdr w:val="nil"/>
          <w:lang w:val="en-US"/>
        </w:rPr>
        <w:t>progressives believed in their ability to improve remaining institutions</w:t>
      </w:r>
      <w:r w:rsidR="00A85625">
        <w:rPr>
          <w:rFonts w:eastAsia="Arial Unicode MS"/>
          <w:bdr w:val="nil"/>
          <w:lang w:val="en-US"/>
        </w:rPr>
        <w:t xml:space="preserve"> in line with positive penological ideals</w:t>
      </w:r>
      <w:r w:rsidRPr="00A35AE0">
        <w:rPr>
          <w:rFonts w:eastAsia="Arial Unicode MS"/>
          <w:bdr w:val="nil"/>
          <w:lang w:val="en-US"/>
        </w:rPr>
        <w:t xml:space="preserve">; because the practice of child </w:t>
      </w:r>
      <w:r w:rsidR="003C6620">
        <w:rPr>
          <w:rFonts w:eastAsia="Arial Unicode MS"/>
          <w:bdr w:val="nil"/>
          <w:lang w:val="en-US"/>
        </w:rPr>
        <w:t xml:space="preserve">removal and </w:t>
      </w:r>
      <w:proofErr w:type="spellStart"/>
      <w:r w:rsidR="00A85625">
        <w:rPr>
          <w:rFonts w:eastAsia="Arial Unicode MS"/>
          <w:bdr w:val="nil"/>
          <w:lang w:val="en-US"/>
        </w:rPr>
        <w:t>institutionalisation</w:t>
      </w:r>
      <w:proofErr w:type="spellEnd"/>
      <w:r w:rsidR="00A85625" w:rsidRPr="00A35AE0">
        <w:rPr>
          <w:rFonts w:eastAsia="Arial Unicode MS"/>
          <w:bdr w:val="nil"/>
          <w:lang w:val="en-US"/>
        </w:rPr>
        <w:t xml:space="preserve"> </w:t>
      </w:r>
      <w:r w:rsidRPr="00A35AE0">
        <w:rPr>
          <w:rFonts w:eastAsia="Arial Unicode MS"/>
          <w:bdr w:val="nil"/>
          <w:lang w:val="en-US"/>
        </w:rPr>
        <w:t xml:space="preserve">remained central to other areas of social policy, notably in child protection; because therapeutic alternatives and more psychologically-informed approaches to youth justice remained </w:t>
      </w:r>
      <w:r w:rsidRPr="00336AFD">
        <w:rPr>
          <w:rFonts w:eastAsia="Arial Unicode MS"/>
          <w:bdr w:val="nil"/>
          <w:lang w:val="en-US"/>
        </w:rPr>
        <w:t>relatively marginal</w:t>
      </w:r>
      <w:r w:rsidR="003C6620" w:rsidRPr="00336AFD">
        <w:rPr>
          <w:rFonts w:eastAsia="Arial Unicode MS"/>
          <w:bdr w:val="nil"/>
          <w:lang w:val="en-US"/>
        </w:rPr>
        <w:t xml:space="preserve"> and/or too costly</w:t>
      </w:r>
      <w:r w:rsidRPr="00336AFD">
        <w:rPr>
          <w:rFonts w:eastAsia="Arial Unicode MS"/>
          <w:bdr w:val="nil"/>
          <w:lang w:val="en-US"/>
        </w:rPr>
        <w:t xml:space="preserve">. Most importantly, it dissipated because of an underlying faith in the </w:t>
      </w:r>
      <w:r w:rsidR="003C6620" w:rsidRPr="00336AFD">
        <w:rPr>
          <w:rFonts w:eastAsia="Arial Unicode MS"/>
          <w:bdr w:val="nil"/>
          <w:lang w:val="en-US"/>
        </w:rPr>
        <w:t xml:space="preserve">‘last resort’ symbolic </w:t>
      </w:r>
      <w:r w:rsidRPr="00336AFD">
        <w:rPr>
          <w:rFonts w:eastAsia="Arial Unicode MS"/>
          <w:bdr w:val="nil"/>
          <w:lang w:val="en-US"/>
        </w:rPr>
        <w:t>place of total institutions in criminal justice policy.</w:t>
      </w:r>
    </w:p>
    <w:p w:rsidR="00CE7DA2" w:rsidRPr="00336AFD" w:rsidRDefault="00CE7DA2" w:rsidP="00336AFD">
      <w:pPr>
        <w:pBdr>
          <w:top w:val="nil"/>
          <w:left w:val="nil"/>
          <w:bottom w:val="nil"/>
          <w:right w:val="nil"/>
          <w:between w:val="nil"/>
          <w:bar w:val="nil"/>
        </w:pBdr>
        <w:spacing w:line="360" w:lineRule="auto"/>
        <w:jc w:val="both"/>
        <w:rPr>
          <w:rFonts w:eastAsia="Arial Unicode MS"/>
          <w:bdr w:val="nil"/>
          <w:lang w:val="en-US"/>
        </w:rPr>
      </w:pPr>
    </w:p>
    <w:p w:rsidR="005B2FC6" w:rsidRPr="00336AFD" w:rsidRDefault="005B2FC6" w:rsidP="00336AFD">
      <w:pPr>
        <w:pBdr>
          <w:top w:val="nil"/>
          <w:left w:val="nil"/>
          <w:bottom w:val="nil"/>
          <w:right w:val="nil"/>
          <w:between w:val="nil"/>
          <w:bar w:val="nil"/>
        </w:pBdr>
        <w:spacing w:line="360" w:lineRule="auto"/>
        <w:jc w:val="both"/>
        <w:rPr>
          <w:rFonts w:eastAsia="Arial Unicode MS"/>
          <w:bdr w:val="nil"/>
          <w:lang w:val="en-US"/>
        </w:rPr>
      </w:pPr>
      <w:r w:rsidRPr="00336AFD">
        <w:rPr>
          <w:rFonts w:eastAsia="Arial Unicode MS"/>
          <w:bdr w:val="nil"/>
          <w:lang w:val="en-US"/>
        </w:rPr>
        <w:t>In the</w:t>
      </w:r>
      <w:r w:rsidR="00A85625" w:rsidRPr="00336AFD">
        <w:rPr>
          <w:rFonts w:eastAsia="Arial Unicode MS"/>
          <w:bdr w:val="nil"/>
          <w:lang w:val="en-US"/>
        </w:rPr>
        <w:t xml:space="preserve"> early twenty-first</w:t>
      </w:r>
      <w:r w:rsidRPr="00336AFD">
        <w:rPr>
          <w:rFonts w:eastAsia="Arial Unicode MS"/>
          <w:bdr w:val="nil"/>
          <w:lang w:val="en-US"/>
        </w:rPr>
        <w:t xml:space="preserve"> century, the current move towards youth </w:t>
      </w:r>
      <w:proofErr w:type="spellStart"/>
      <w:r w:rsidRPr="00336AFD">
        <w:rPr>
          <w:rFonts w:eastAsia="Arial Unicode MS"/>
          <w:bdr w:val="nil"/>
          <w:lang w:val="en-US"/>
        </w:rPr>
        <w:t>decarceration</w:t>
      </w:r>
      <w:proofErr w:type="spellEnd"/>
      <w:r w:rsidRPr="00336AFD">
        <w:rPr>
          <w:rFonts w:eastAsia="Arial Unicode MS"/>
          <w:bdr w:val="nil"/>
          <w:lang w:val="en-US"/>
        </w:rPr>
        <w:t xml:space="preserve"> is much stronger because it is more orchestrated and more clearly articulated by the core agencies charged with the care and control of young people. It connects more readily with </w:t>
      </w:r>
      <w:r w:rsidR="00A85625" w:rsidRPr="00336AFD">
        <w:rPr>
          <w:rFonts w:eastAsia="Arial Unicode MS"/>
          <w:bdr w:val="nil"/>
          <w:lang w:val="en-US"/>
        </w:rPr>
        <w:t>n</w:t>
      </w:r>
      <w:r w:rsidRPr="00336AFD">
        <w:rPr>
          <w:rFonts w:eastAsia="Arial Unicode MS"/>
          <w:bdr w:val="nil"/>
          <w:lang w:val="en-US"/>
        </w:rPr>
        <w:t xml:space="preserve">ew </w:t>
      </w:r>
      <w:r w:rsidR="00A85625" w:rsidRPr="00336AFD">
        <w:rPr>
          <w:rFonts w:eastAsia="Arial Unicode MS"/>
          <w:bdr w:val="nil"/>
          <w:lang w:val="en-US"/>
        </w:rPr>
        <w:t>p</w:t>
      </w:r>
      <w:r w:rsidRPr="00336AFD">
        <w:rPr>
          <w:rFonts w:eastAsia="Arial Unicode MS"/>
          <w:bdr w:val="nil"/>
          <w:lang w:val="en-US"/>
        </w:rPr>
        <w:t xml:space="preserve">ublic </w:t>
      </w:r>
      <w:r w:rsidR="00A85625" w:rsidRPr="00336AFD">
        <w:rPr>
          <w:rFonts w:eastAsia="Arial Unicode MS"/>
          <w:bdr w:val="nil"/>
          <w:lang w:val="en-US"/>
        </w:rPr>
        <w:t>m</w:t>
      </w:r>
      <w:r w:rsidRPr="00336AFD">
        <w:rPr>
          <w:rFonts w:eastAsia="Arial Unicode MS"/>
          <w:bdr w:val="nil"/>
          <w:lang w:val="en-US"/>
        </w:rPr>
        <w:t xml:space="preserve">anagement discourses which </w:t>
      </w:r>
      <w:proofErr w:type="spellStart"/>
      <w:r w:rsidRPr="00336AFD">
        <w:rPr>
          <w:rFonts w:eastAsia="Arial Unicode MS"/>
          <w:bdr w:val="nil"/>
          <w:lang w:val="en-US"/>
        </w:rPr>
        <w:t>prioritise</w:t>
      </w:r>
      <w:proofErr w:type="spellEnd"/>
      <w:r w:rsidRPr="00336AFD">
        <w:rPr>
          <w:rFonts w:eastAsia="Arial Unicode MS"/>
          <w:bdr w:val="nil"/>
          <w:lang w:val="en-US"/>
        </w:rPr>
        <w:t xml:space="preserve"> value for money, performance measures and </w:t>
      </w:r>
      <w:proofErr w:type="gramStart"/>
      <w:r w:rsidRPr="00336AFD">
        <w:rPr>
          <w:rFonts w:eastAsia="Arial Unicode MS"/>
          <w:bdr w:val="nil"/>
          <w:lang w:val="en-US"/>
        </w:rPr>
        <w:t>actuarially-informed</w:t>
      </w:r>
      <w:proofErr w:type="gramEnd"/>
      <w:r w:rsidRPr="00336AFD">
        <w:rPr>
          <w:rFonts w:eastAsia="Arial Unicode MS"/>
          <w:bdr w:val="nil"/>
          <w:lang w:val="en-US"/>
        </w:rPr>
        <w:t xml:space="preserve"> interventions. Put simply, youth </w:t>
      </w:r>
      <w:proofErr w:type="spellStart"/>
      <w:r w:rsidRPr="00336AFD">
        <w:rPr>
          <w:rFonts w:eastAsia="Arial Unicode MS"/>
          <w:bdr w:val="nil"/>
          <w:lang w:val="en-US"/>
        </w:rPr>
        <w:t>decarceration</w:t>
      </w:r>
      <w:proofErr w:type="spellEnd"/>
      <w:r w:rsidRPr="00336AFD">
        <w:rPr>
          <w:rFonts w:eastAsia="Arial Unicode MS"/>
          <w:bdr w:val="nil"/>
          <w:lang w:val="en-US"/>
        </w:rPr>
        <w:t xml:space="preserve"> may happen because youth incarceration does not </w:t>
      </w:r>
      <w:r w:rsidR="00A85625" w:rsidRPr="00336AFD">
        <w:rPr>
          <w:rFonts w:eastAsia="Arial Unicode MS"/>
          <w:bdr w:val="nil"/>
          <w:lang w:val="en-US"/>
        </w:rPr>
        <w:t xml:space="preserve">appear to </w:t>
      </w:r>
      <w:r w:rsidRPr="00336AFD">
        <w:rPr>
          <w:rFonts w:eastAsia="Arial Unicode MS"/>
          <w:bdr w:val="nil"/>
          <w:lang w:val="en-US"/>
        </w:rPr>
        <w:t>offer a return on public</w:t>
      </w:r>
      <w:r w:rsidR="003C6620" w:rsidRPr="00336AFD">
        <w:rPr>
          <w:rFonts w:eastAsia="Arial Unicode MS"/>
          <w:bdr w:val="nil"/>
          <w:lang w:val="en-US"/>
        </w:rPr>
        <w:t xml:space="preserve"> </w:t>
      </w:r>
      <w:r w:rsidRPr="00336AFD">
        <w:rPr>
          <w:rFonts w:eastAsia="Arial Unicode MS"/>
          <w:bdr w:val="nil"/>
          <w:lang w:val="en-US"/>
        </w:rPr>
        <w:t>investment.</w:t>
      </w:r>
    </w:p>
    <w:p w:rsidR="00CE7DA2" w:rsidRPr="00336AFD" w:rsidRDefault="00CE7DA2" w:rsidP="00336AFD">
      <w:pPr>
        <w:pBdr>
          <w:top w:val="nil"/>
          <w:left w:val="nil"/>
          <w:bottom w:val="nil"/>
          <w:right w:val="nil"/>
          <w:between w:val="nil"/>
          <w:bar w:val="nil"/>
        </w:pBdr>
        <w:spacing w:line="360" w:lineRule="auto"/>
        <w:jc w:val="both"/>
        <w:rPr>
          <w:rFonts w:eastAsia="Arial Unicode MS"/>
          <w:bdr w:val="nil"/>
          <w:lang w:val="en-US"/>
        </w:rPr>
      </w:pPr>
    </w:p>
    <w:p w:rsidR="004D10D2" w:rsidRPr="00E901A1" w:rsidRDefault="00A85625" w:rsidP="00336AFD">
      <w:pPr>
        <w:pBdr>
          <w:top w:val="nil"/>
          <w:left w:val="nil"/>
          <w:bottom w:val="nil"/>
          <w:right w:val="nil"/>
          <w:between w:val="nil"/>
          <w:bar w:val="nil"/>
        </w:pBdr>
        <w:spacing w:line="360" w:lineRule="auto"/>
        <w:jc w:val="both"/>
        <w:rPr>
          <w:rFonts w:eastAsia="Arial Unicode MS"/>
          <w:bdr w:val="nil"/>
          <w:lang w:val="en-US"/>
        </w:rPr>
      </w:pPr>
      <w:r w:rsidRPr="00E901A1">
        <w:rPr>
          <w:rFonts w:eastAsia="Arial Unicode MS"/>
          <w:bdr w:val="nil"/>
          <w:lang w:val="en-US"/>
        </w:rPr>
        <w:t xml:space="preserve">Since </w:t>
      </w:r>
      <w:r w:rsidR="00E31231">
        <w:rPr>
          <w:rFonts w:eastAsia="Arial Unicode MS"/>
          <w:bdr w:val="nil"/>
          <w:lang w:val="en-US"/>
        </w:rPr>
        <w:t xml:space="preserve">the </w:t>
      </w:r>
      <w:r w:rsidRPr="00E901A1">
        <w:rPr>
          <w:rFonts w:eastAsia="Arial Unicode MS"/>
          <w:bdr w:val="nil"/>
          <w:lang w:val="en-US"/>
        </w:rPr>
        <w:t xml:space="preserve">early nineteenth century, subsequent </w:t>
      </w:r>
      <w:r w:rsidR="004D171E" w:rsidRPr="00E901A1">
        <w:rPr>
          <w:rFonts w:eastAsia="Arial Unicode MS"/>
          <w:bdr w:val="nil"/>
          <w:lang w:val="en-US"/>
        </w:rPr>
        <w:t>generation</w:t>
      </w:r>
      <w:r w:rsidRPr="00E901A1">
        <w:rPr>
          <w:rFonts w:eastAsia="Arial Unicode MS"/>
          <w:bdr w:val="nil"/>
          <w:lang w:val="en-US"/>
        </w:rPr>
        <w:t xml:space="preserve">s of reformers </w:t>
      </w:r>
      <w:r w:rsidR="004D171E" w:rsidRPr="00E901A1">
        <w:rPr>
          <w:rFonts w:eastAsia="Arial Unicode MS"/>
          <w:bdr w:val="nil"/>
          <w:lang w:val="en-US"/>
        </w:rPr>
        <w:t>ha</w:t>
      </w:r>
      <w:r w:rsidR="00FA4C16" w:rsidRPr="00E901A1">
        <w:rPr>
          <w:rFonts w:eastAsia="Arial Unicode MS"/>
          <w:bdr w:val="nil"/>
          <w:lang w:val="en-US"/>
        </w:rPr>
        <w:t>ve</w:t>
      </w:r>
      <w:r w:rsidR="004D171E" w:rsidRPr="00E901A1">
        <w:rPr>
          <w:rFonts w:eastAsia="Arial Unicode MS"/>
          <w:bdr w:val="nil"/>
          <w:lang w:val="en-US"/>
        </w:rPr>
        <w:t xml:space="preserve"> tried and failed to improve</w:t>
      </w:r>
      <w:r w:rsidR="00E901A1" w:rsidRPr="00E901A1">
        <w:rPr>
          <w:rFonts w:eastAsia="Arial Unicode MS"/>
          <w:bdr w:val="nil"/>
          <w:lang w:val="en-US"/>
        </w:rPr>
        <w:t xml:space="preserve"> conventional</w:t>
      </w:r>
      <w:r w:rsidR="004D171E" w:rsidRPr="00E901A1">
        <w:rPr>
          <w:rFonts w:eastAsia="Arial Unicode MS"/>
          <w:bdr w:val="nil"/>
          <w:lang w:val="en-US"/>
        </w:rPr>
        <w:t xml:space="preserve"> juvenile justice institutions. </w:t>
      </w:r>
      <w:r w:rsidR="00E901A1" w:rsidRPr="00E901A1">
        <w:rPr>
          <w:rFonts w:eastAsia="Arial Unicode MS"/>
          <w:bdr w:val="nil"/>
          <w:lang w:val="en-US"/>
        </w:rPr>
        <w:t>We argue that it is time to stop believing that we can do this</w:t>
      </w:r>
      <w:r w:rsidR="000D7D5F">
        <w:rPr>
          <w:rFonts w:eastAsia="Arial Unicode MS"/>
          <w:bdr w:val="nil"/>
          <w:lang w:val="en-US"/>
        </w:rPr>
        <w:t>,</w:t>
      </w:r>
      <w:r w:rsidR="00E901A1" w:rsidRPr="00E901A1">
        <w:rPr>
          <w:rFonts w:eastAsia="Arial Unicode MS"/>
          <w:bdr w:val="nil"/>
          <w:lang w:val="en-US"/>
        </w:rPr>
        <w:t xml:space="preserve"> and time to start thinking </w:t>
      </w:r>
      <w:r w:rsidR="004D171E" w:rsidRPr="00E901A1">
        <w:rPr>
          <w:rFonts w:eastAsia="Arial Unicode MS"/>
          <w:bdr w:val="nil"/>
          <w:lang w:val="en-US"/>
        </w:rPr>
        <w:t xml:space="preserve">more creatively about </w:t>
      </w:r>
      <w:r w:rsidR="00E901A1" w:rsidRPr="00E901A1">
        <w:rPr>
          <w:rFonts w:eastAsia="Arial Unicode MS"/>
          <w:bdr w:val="nil"/>
          <w:lang w:val="en-US"/>
        </w:rPr>
        <w:t xml:space="preserve">real </w:t>
      </w:r>
      <w:r w:rsidR="004D171E" w:rsidRPr="00E901A1">
        <w:rPr>
          <w:rFonts w:eastAsia="Arial Unicode MS"/>
          <w:bdr w:val="nil"/>
          <w:lang w:val="en-US"/>
        </w:rPr>
        <w:t>alternative</w:t>
      </w:r>
      <w:r w:rsidR="00F630AD" w:rsidRPr="00E901A1">
        <w:rPr>
          <w:rFonts w:eastAsia="Arial Unicode MS"/>
          <w:bdr w:val="nil"/>
          <w:lang w:val="en-US"/>
        </w:rPr>
        <w:t>s</w:t>
      </w:r>
      <w:r w:rsidR="004D171E" w:rsidRPr="00E901A1">
        <w:rPr>
          <w:rFonts w:eastAsia="Arial Unicode MS"/>
          <w:bdr w:val="nil"/>
          <w:lang w:val="en-US"/>
        </w:rPr>
        <w:t xml:space="preserve"> </w:t>
      </w:r>
      <w:r w:rsidR="00F630AD" w:rsidRPr="00E901A1">
        <w:rPr>
          <w:rFonts w:eastAsia="Arial Unicode MS"/>
          <w:bdr w:val="nil"/>
          <w:lang w:val="en-US"/>
        </w:rPr>
        <w:t>to youth incarceration</w:t>
      </w:r>
      <w:r w:rsidR="004D171E" w:rsidRPr="00E901A1">
        <w:rPr>
          <w:rFonts w:eastAsia="Arial Unicode MS"/>
          <w:bdr w:val="nil"/>
          <w:lang w:val="en-US"/>
        </w:rPr>
        <w:t>.</w:t>
      </w:r>
    </w:p>
    <w:p w:rsidR="00802EED" w:rsidRPr="00336AFD" w:rsidRDefault="00802EED" w:rsidP="00336AFD">
      <w:pPr>
        <w:pBdr>
          <w:top w:val="nil"/>
          <w:left w:val="nil"/>
          <w:bottom w:val="nil"/>
          <w:right w:val="nil"/>
          <w:between w:val="nil"/>
          <w:bar w:val="nil"/>
        </w:pBdr>
        <w:spacing w:line="360" w:lineRule="auto"/>
        <w:jc w:val="both"/>
        <w:rPr>
          <w:rFonts w:eastAsia="Arial Unicode MS"/>
          <w:bdr w:val="nil"/>
          <w:lang w:val="en-US"/>
        </w:rPr>
      </w:pPr>
    </w:p>
    <w:p w:rsidR="00802EED" w:rsidRPr="00336AFD" w:rsidRDefault="00802EED" w:rsidP="00336AFD">
      <w:pPr>
        <w:pBdr>
          <w:top w:val="nil"/>
          <w:left w:val="nil"/>
          <w:bottom w:val="nil"/>
          <w:right w:val="nil"/>
          <w:between w:val="nil"/>
          <w:bar w:val="nil"/>
        </w:pBdr>
        <w:spacing w:line="360" w:lineRule="auto"/>
        <w:jc w:val="both"/>
        <w:rPr>
          <w:rFonts w:eastAsia="Arial Unicode MS"/>
          <w:bdr w:val="nil"/>
          <w:lang w:val="en-US"/>
        </w:rPr>
      </w:pPr>
    </w:p>
    <w:p w:rsidR="00802EED" w:rsidRPr="00336AFD" w:rsidRDefault="00802EED" w:rsidP="00252515">
      <w:pPr>
        <w:contextualSpacing/>
        <w:jc w:val="both"/>
        <w:rPr>
          <w:rFonts w:eastAsia="Arial Unicode MS"/>
          <w:b/>
        </w:rPr>
      </w:pPr>
      <w:r w:rsidRPr="00336AFD">
        <w:rPr>
          <w:rFonts w:eastAsia="Arial Unicode MS"/>
          <w:b/>
        </w:rPr>
        <w:t>References</w:t>
      </w:r>
    </w:p>
    <w:p w:rsidR="00802EED" w:rsidRPr="00336AFD" w:rsidRDefault="00802EED" w:rsidP="00252515">
      <w:pPr>
        <w:contextualSpacing/>
        <w:jc w:val="both"/>
        <w:rPr>
          <w:rFonts w:eastAsia="Arial Unicode MS"/>
          <w:b/>
        </w:rPr>
      </w:pPr>
    </w:p>
    <w:p w:rsidR="00802EED" w:rsidRPr="00336AFD" w:rsidRDefault="00802EED" w:rsidP="00252515">
      <w:pPr>
        <w:contextualSpacing/>
        <w:jc w:val="both"/>
      </w:pPr>
      <w:r w:rsidRPr="00336AFD">
        <w:t xml:space="preserve">Adey, P., Godfrey, B and Cox, D. (2016) </w:t>
      </w:r>
      <w:r w:rsidRPr="00336AFD">
        <w:rPr>
          <w:i/>
        </w:rPr>
        <w:t>Crime, Wartime and Control: Protecting the Population of a Blitzed City, 1939-1945</w:t>
      </w:r>
      <w:r w:rsidRPr="00336AFD">
        <w:t xml:space="preserve">, Bloomsbury, London </w:t>
      </w:r>
    </w:p>
    <w:p w:rsidR="00802EED" w:rsidRPr="00336AFD" w:rsidRDefault="00802EED" w:rsidP="00252515">
      <w:pPr>
        <w:contextualSpacing/>
        <w:jc w:val="both"/>
      </w:pPr>
    </w:p>
    <w:p w:rsidR="00802EED" w:rsidRPr="00336AFD" w:rsidRDefault="00802EED" w:rsidP="00252515">
      <w:pPr>
        <w:contextualSpacing/>
        <w:jc w:val="both"/>
      </w:pPr>
      <w:r w:rsidRPr="00336AFD">
        <w:rPr>
          <w:color w:val="222222"/>
          <w:shd w:val="clear" w:color="auto" w:fill="FFFFFF"/>
        </w:rPr>
        <w:t>Bailey, V. (1997). English prisons, penal culture, and the abatement of imprisonment, 1895–1922. </w:t>
      </w:r>
      <w:r w:rsidRPr="00336AFD">
        <w:rPr>
          <w:i/>
          <w:iCs/>
          <w:color w:val="222222"/>
        </w:rPr>
        <w:t>Journal of British Studies</w:t>
      </w:r>
      <w:r w:rsidRPr="00336AFD">
        <w:rPr>
          <w:color w:val="222222"/>
          <w:shd w:val="clear" w:color="auto" w:fill="FFFFFF"/>
        </w:rPr>
        <w:t>, </w:t>
      </w:r>
      <w:r w:rsidRPr="00336AFD">
        <w:rPr>
          <w:i/>
          <w:iCs/>
          <w:color w:val="222222"/>
        </w:rPr>
        <w:t>36</w:t>
      </w:r>
      <w:r w:rsidRPr="00336AFD">
        <w:rPr>
          <w:color w:val="222222"/>
          <w:shd w:val="clear" w:color="auto" w:fill="FFFFFF"/>
        </w:rPr>
        <w:t>(3), 285-324.</w:t>
      </w:r>
    </w:p>
    <w:p w:rsidR="00802EED" w:rsidRPr="00336AFD" w:rsidRDefault="00802EED" w:rsidP="00252515">
      <w:pPr>
        <w:contextualSpacing/>
        <w:jc w:val="both"/>
        <w:rPr>
          <w:rFonts w:eastAsia="Arial Unicode MS"/>
          <w:color w:val="FF0000"/>
        </w:rPr>
      </w:pPr>
    </w:p>
    <w:p w:rsidR="00802EED" w:rsidRPr="00336AFD" w:rsidRDefault="00802EED" w:rsidP="00252515">
      <w:pPr>
        <w:contextualSpacing/>
        <w:jc w:val="both"/>
      </w:pPr>
      <w:r w:rsidRPr="00336AFD">
        <w:t xml:space="preserve">Bailey, V. (2019) </w:t>
      </w:r>
      <w:r w:rsidRPr="00336AFD">
        <w:rPr>
          <w:i/>
        </w:rPr>
        <w:t>The Rise and Fall of the Rehabilitative Ideal, 1895-197</w:t>
      </w:r>
      <w:r w:rsidRPr="00336AFD">
        <w:t>0, London: Routledge.</w:t>
      </w:r>
    </w:p>
    <w:p w:rsidR="00802EED" w:rsidRPr="00336AFD" w:rsidRDefault="00802EED" w:rsidP="00252515">
      <w:pPr>
        <w:contextualSpacing/>
        <w:jc w:val="both"/>
      </w:pPr>
    </w:p>
    <w:p w:rsidR="00802EED" w:rsidRPr="00336AFD" w:rsidRDefault="00802EED" w:rsidP="00252515">
      <w:pPr>
        <w:contextualSpacing/>
        <w:jc w:val="both"/>
      </w:pPr>
      <w:r w:rsidRPr="00336AFD">
        <w:t xml:space="preserve">Bingham, A., Delap, L., Jackson, L. and Settle, L. (2016) Historical child sexual abuse in England: The role of historians. In </w:t>
      </w:r>
      <w:r w:rsidRPr="00336AFD">
        <w:rPr>
          <w:rFonts w:eastAsia="Arial Unicode MS"/>
          <w:i/>
        </w:rPr>
        <w:t>History of Education</w:t>
      </w:r>
      <w:r w:rsidRPr="00336AFD">
        <w:rPr>
          <w:rFonts w:eastAsia="Arial Unicode MS"/>
        </w:rPr>
        <w:t>. 45, 4, p. 411-429</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rPr>
          <w:rFonts w:eastAsia="Arial Unicode MS"/>
        </w:rPr>
      </w:pPr>
      <w:r w:rsidRPr="00336AFD">
        <w:rPr>
          <w:rFonts w:eastAsia="Arial Unicode MS"/>
        </w:rPr>
        <w:t xml:space="preserve">Bright, C.L., Farrell, J., Winters, A.M., </w:t>
      </w:r>
      <w:proofErr w:type="spellStart"/>
      <w:r w:rsidRPr="00336AFD">
        <w:rPr>
          <w:rFonts w:eastAsia="Arial Unicode MS"/>
        </w:rPr>
        <w:t>Betsinger</w:t>
      </w:r>
      <w:proofErr w:type="spellEnd"/>
      <w:r w:rsidRPr="00336AFD">
        <w:rPr>
          <w:rFonts w:eastAsia="Arial Unicode MS"/>
        </w:rPr>
        <w:t xml:space="preserve">, S., and Lee, B.R. (2017) Family </w:t>
      </w:r>
      <w:proofErr w:type="spellStart"/>
      <w:r w:rsidRPr="00336AFD">
        <w:rPr>
          <w:rFonts w:eastAsia="Arial Unicode MS"/>
        </w:rPr>
        <w:t>Centered</w:t>
      </w:r>
      <w:proofErr w:type="spellEnd"/>
      <w:r w:rsidRPr="00336AFD">
        <w:rPr>
          <w:rFonts w:eastAsia="Arial Unicode MS"/>
        </w:rPr>
        <w:t xml:space="preserve"> Treatment, Juvenile Justice, and the Grand Challenge of Smart </w:t>
      </w:r>
      <w:proofErr w:type="spellStart"/>
      <w:r w:rsidRPr="00336AFD">
        <w:rPr>
          <w:rFonts w:eastAsia="Arial Unicode MS"/>
        </w:rPr>
        <w:t>Decarceration</w:t>
      </w:r>
      <w:proofErr w:type="spellEnd"/>
      <w:r w:rsidRPr="00336AFD">
        <w:rPr>
          <w:rFonts w:eastAsia="Arial Unicode MS"/>
        </w:rPr>
        <w:t>. Research on Social Work Practice. 28:5, 638-645</w:t>
      </w:r>
    </w:p>
    <w:p w:rsidR="00802EED" w:rsidRPr="00336AFD" w:rsidRDefault="00802EED" w:rsidP="00252515">
      <w:pPr>
        <w:contextualSpacing/>
        <w:jc w:val="both"/>
        <w:rPr>
          <w:rFonts w:eastAsiaTheme="minorHAnsi"/>
          <w:color w:val="FF0000"/>
        </w:rPr>
      </w:pPr>
    </w:p>
    <w:p w:rsidR="00802EED" w:rsidRPr="00336AFD" w:rsidRDefault="00802EED" w:rsidP="00252515">
      <w:pPr>
        <w:contextualSpacing/>
        <w:jc w:val="both"/>
        <w:rPr>
          <w:rFonts w:eastAsia="Arial Unicode MS"/>
        </w:rPr>
      </w:pPr>
      <w:r w:rsidRPr="00336AFD">
        <w:rPr>
          <w:rFonts w:eastAsia="Arial Unicode MS"/>
        </w:rPr>
        <w:t xml:space="preserve">Brown, D., </w:t>
      </w:r>
      <w:proofErr w:type="spellStart"/>
      <w:r w:rsidRPr="00336AFD">
        <w:rPr>
          <w:rFonts w:eastAsia="Arial Unicode MS"/>
        </w:rPr>
        <w:t>Cunneen</w:t>
      </w:r>
      <w:proofErr w:type="spellEnd"/>
      <w:r w:rsidRPr="00336AFD">
        <w:rPr>
          <w:rFonts w:eastAsia="Arial Unicode MS"/>
        </w:rPr>
        <w:t xml:space="preserve">, C., Schwartz, M., Stubbs, J., and Young, C. (2016) </w:t>
      </w:r>
      <w:r w:rsidRPr="00336AFD">
        <w:rPr>
          <w:rFonts w:eastAsia="Arial Unicode MS"/>
          <w:i/>
        </w:rPr>
        <w:t>Justice Reinvestment: Winding Back Imprisonment</w:t>
      </w:r>
      <w:r w:rsidRPr="00336AFD">
        <w:rPr>
          <w:rFonts w:eastAsia="Arial Unicode MS"/>
        </w:rPr>
        <w:t>. Palgrave Studies in Prisons and Penology/Springer.</w:t>
      </w:r>
    </w:p>
    <w:p w:rsidR="00802EED" w:rsidRPr="00336AFD" w:rsidRDefault="00802EED" w:rsidP="00252515">
      <w:pPr>
        <w:contextualSpacing/>
        <w:jc w:val="both"/>
        <w:rPr>
          <w:rFonts w:eastAsia="Arial Unicode MS"/>
        </w:rPr>
      </w:pPr>
    </w:p>
    <w:tbl>
      <w:tblPr>
        <w:tblW w:w="20145" w:type="dxa"/>
        <w:tblCellSpacing w:w="0" w:type="dxa"/>
        <w:shd w:val="clear" w:color="auto" w:fill="FFFFFF"/>
        <w:tblCellMar>
          <w:left w:w="0" w:type="dxa"/>
          <w:right w:w="0" w:type="dxa"/>
        </w:tblCellMar>
        <w:tblLook w:val="04A0" w:firstRow="1" w:lastRow="0" w:firstColumn="1" w:lastColumn="0" w:noHBand="0" w:noVBand="1"/>
      </w:tblPr>
      <w:tblGrid>
        <w:gridCol w:w="20145"/>
      </w:tblGrid>
      <w:tr w:rsidR="00802EED" w:rsidRPr="00336AFD" w:rsidTr="003748E1">
        <w:trPr>
          <w:tblCellSpacing w:w="0" w:type="dxa"/>
        </w:trPr>
        <w:tc>
          <w:tcPr>
            <w:tcW w:w="0" w:type="auto"/>
            <w:shd w:val="clear" w:color="auto" w:fill="FFFFFF"/>
            <w:hideMark/>
          </w:tcPr>
          <w:p w:rsidR="00802EED" w:rsidRPr="00336AFD" w:rsidRDefault="00802EED" w:rsidP="00252515">
            <w:pPr>
              <w:contextualSpacing/>
              <w:jc w:val="both"/>
              <w:rPr>
                <w:rFonts w:eastAsia="Arial Unicode MS"/>
                <w:b/>
                <w:bCs/>
              </w:rPr>
            </w:pPr>
          </w:p>
        </w:tc>
      </w:tr>
    </w:tbl>
    <w:p w:rsidR="00862FD4" w:rsidRPr="00862FD4" w:rsidRDefault="00862FD4" w:rsidP="00252515">
      <w:pPr>
        <w:jc w:val="both"/>
      </w:pPr>
      <w:r w:rsidRPr="00862FD4">
        <w:t xml:space="preserve">Burke, L. and Collett, S. (2015) </w:t>
      </w:r>
      <w:r w:rsidRPr="00862FD4">
        <w:rPr>
          <w:bCs/>
          <w:i/>
        </w:rPr>
        <w:t>Delivering rehabilitation: The politics, governance and control of probation</w:t>
      </w:r>
      <w:r w:rsidRPr="00862FD4">
        <w:t xml:space="preserve">. London: Routledge. </w:t>
      </w:r>
    </w:p>
    <w:p w:rsidR="00862FD4" w:rsidRPr="00862FD4" w:rsidRDefault="00862FD4" w:rsidP="00252515">
      <w:pPr>
        <w:jc w:val="both"/>
      </w:pPr>
    </w:p>
    <w:p w:rsidR="00862FD4" w:rsidRPr="00862FD4" w:rsidRDefault="00862FD4" w:rsidP="00252515">
      <w:pPr>
        <w:jc w:val="both"/>
      </w:pPr>
      <w:r w:rsidRPr="00862FD4">
        <w:t xml:space="preserve">Burke, L., Collett, S. and McNeill, F. (2018) </w:t>
      </w:r>
      <w:r w:rsidRPr="00862FD4">
        <w:rPr>
          <w:bCs/>
          <w:i/>
          <w:kern w:val="36"/>
        </w:rPr>
        <w:t>Reimagining Rehabilitation: Beyond the Individual</w:t>
      </w:r>
      <w:r w:rsidRPr="00862FD4">
        <w:rPr>
          <w:bCs/>
          <w:kern w:val="36"/>
        </w:rPr>
        <w:t>. London: Routledge</w:t>
      </w:r>
    </w:p>
    <w:p w:rsidR="00862FD4" w:rsidRPr="00862FD4" w:rsidRDefault="00862FD4" w:rsidP="00252515">
      <w:pPr>
        <w:contextualSpacing/>
        <w:jc w:val="both"/>
        <w:rPr>
          <w:rFonts w:eastAsia="Arial Unicode MS"/>
        </w:rPr>
      </w:pPr>
    </w:p>
    <w:p w:rsidR="00802EED" w:rsidRPr="00336AFD" w:rsidRDefault="00802EED" w:rsidP="00252515">
      <w:pPr>
        <w:contextualSpacing/>
        <w:jc w:val="both"/>
        <w:rPr>
          <w:rFonts w:eastAsia="Arial Unicode MS"/>
        </w:rPr>
      </w:pPr>
      <w:r w:rsidRPr="00336AFD">
        <w:rPr>
          <w:rFonts w:eastAsia="Arial Unicode MS"/>
        </w:rPr>
        <w:t>Carlen, P. (1990) Alternatives to Women’s Imprisonment, Milton Keynes: Open University Press.</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rPr>
          <w:rStyle w:val="reference-accessdate"/>
          <w:color w:val="222222"/>
        </w:rPr>
      </w:pPr>
      <w:r w:rsidRPr="00336AFD">
        <w:rPr>
          <w:color w:val="222222"/>
          <w:shd w:val="clear" w:color="auto" w:fill="FFFFFF"/>
        </w:rPr>
        <w:t>Carpenter, M. (1851).</w:t>
      </w:r>
      <w:r w:rsidRPr="00336AFD">
        <w:rPr>
          <w:rStyle w:val="apple-converted-space"/>
          <w:color w:val="222222"/>
          <w:shd w:val="clear" w:color="auto" w:fill="FFFFFF"/>
        </w:rPr>
        <w:t> </w:t>
      </w:r>
      <w:r w:rsidR="00862FD4" w:rsidRPr="00862FD4">
        <w:rPr>
          <w:i/>
          <w:iCs/>
          <w:color w:val="000000" w:themeColor="text1"/>
        </w:rPr>
        <w:t>Reformatory Schools: For the Children of the Perishing and Dangerous Classes and for Juvenile Offenders</w:t>
      </w:r>
      <w:r w:rsidRPr="00862FD4">
        <w:rPr>
          <w:color w:val="000000" w:themeColor="text1"/>
          <w:shd w:val="clear" w:color="auto" w:fill="FFFFFF"/>
        </w:rPr>
        <w:t xml:space="preserve">. </w:t>
      </w:r>
      <w:r w:rsidRPr="00336AFD">
        <w:rPr>
          <w:color w:val="222222"/>
          <w:shd w:val="clear" w:color="auto" w:fill="FFFFFF"/>
        </w:rPr>
        <w:t xml:space="preserve">London: C. </w:t>
      </w:r>
      <w:proofErr w:type="spellStart"/>
      <w:r w:rsidRPr="00336AFD">
        <w:rPr>
          <w:color w:val="222222"/>
          <w:shd w:val="clear" w:color="auto" w:fill="FFFFFF"/>
        </w:rPr>
        <w:t>Gilpin</w:t>
      </w:r>
      <w:proofErr w:type="spellEnd"/>
      <w:r w:rsidRPr="00336AFD">
        <w:rPr>
          <w:rStyle w:val="reference-accessdate"/>
          <w:color w:val="222222"/>
        </w:rPr>
        <w:t xml:space="preserve">. </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pPr>
      <w:r w:rsidRPr="00336AFD">
        <w:rPr>
          <w:rFonts w:eastAsia="Arial Unicode MS"/>
        </w:rPr>
        <w:t xml:space="preserve">Christie, N. (2000) </w:t>
      </w:r>
      <w:r w:rsidRPr="00336AFD">
        <w:rPr>
          <w:i/>
        </w:rPr>
        <w:t>Crime Control as Industry: Towards Gulags, Western Style?</w:t>
      </w:r>
      <w:r w:rsidRPr="00336AFD">
        <w:t xml:space="preserve"> London Routledge, 3</w:t>
      </w:r>
      <w:r w:rsidRPr="00336AFD">
        <w:rPr>
          <w:vertAlign w:val="superscript"/>
        </w:rPr>
        <w:t>rd</w:t>
      </w:r>
      <w:r w:rsidRPr="00336AFD">
        <w:t xml:space="preserve"> edition.</w:t>
      </w:r>
    </w:p>
    <w:p w:rsidR="00802EED" w:rsidRPr="00336AFD" w:rsidRDefault="00802EED" w:rsidP="00252515">
      <w:pPr>
        <w:contextualSpacing/>
        <w:jc w:val="both"/>
        <w:rPr>
          <w:color w:val="FF0000"/>
        </w:rPr>
      </w:pPr>
    </w:p>
    <w:p w:rsidR="00802EED" w:rsidRPr="00336AFD" w:rsidRDefault="00802EED" w:rsidP="00252515">
      <w:pPr>
        <w:contextualSpacing/>
        <w:jc w:val="both"/>
        <w:rPr>
          <w:color w:val="000000" w:themeColor="text1"/>
        </w:rPr>
      </w:pPr>
      <w:r w:rsidRPr="00336AFD">
        <w:rPr>
          <w:color w:val="000000" w:themeColor="text1"/>
        </w:rPr>
        <w:t xml:space="preserve">Cohen, S. (1972) </w:t>
      </w:r>
      <w:r w:rsidRPr="00336AFD">
        <w:rPr>
          <w:i/>
          <w:color w:val="000000" w:themeColor="text1"/>
        </w:rPr>
        <w:t>Folk Devils and Moral Panics: The Creation of Mods and Rockers</w:t>
      </w:r>
      <w:r w:rsidRPr="00336AFD">
        <w:rPr>
          <w:color w:val="000000" w:themeColor="text1"/>
        </w:rPr>
        <w:t>. London: MacGibbon and Kee</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rPr>
          <w:color w:val="000000" w:themeColor="text1"/>
        </w:rPr>
      </w:pPr>
      <w:r w:rsidRPr="00336AFD">
        <w:rPr>
          <w:color w:val="000000" w:themeColor="text1"/>
        </w:rPr>
        <w:t xml:space="preserve">Cohen, S. (1979) The punitive city: notes on the dispersal of social control. </w:t>
      </w:r>
      <w:r w:rsidRPr="00336AFD">
        <w:rPr>
          <w:i/>
          <w:color w:val="000000" w:themeColor="text1"/>
        </w:rPr>
        <w:t>Contemporary Crises</w:t>
      </w:r>
      <w:r w:rsidRPr="00336AFD">
        <w:rPr>
          <w:color w:val="000000" w:themeColor="text1"/>
        </w:rPr>
        <w:t>, 3, 83-93</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rPr>
          <w:color w:val="000000" w:themeColor="text1"/>
        </w:rPr>
      </w:pPr>
      <w:r w:rsidRPr="00336AFD">
        <w:rPr>
          <w:color w:val="000000" w:themeColor="text1"/>
        </w:rPr>
        <w:t xml:space="preserve">Cohen, S. (1985) </w:t>
      </w:r>
      <w:r w:rsidRPr="00336AFD">
        <w:rPr>
          <w:i/>
          <w:color w:val="000000" w:themeColor="text1"/>
        </w:rPr>
        <w:t>Visions of Social Control: Crime, Punishment and Classification</w:t>
      </w:r>
      <w:r w:rsidRPr="00336AFD">
        <w:rPr>
          <w:color w:val="000000" w:themeColor="text1"/>
        </w:rPr>
        <w:t>. Cambridge: Polity</w:t>
      </w:r>
    </w:p>
    <w:p w:rsidR="00802EED" w:rsidRPr="00336AFD" w:rsidRDefault="00802EED" w:rsidP="00252515">
      <w:pPr>
        <w:contextualSpacing/>
        <w:jc w:val="both"/>
        <w:rPr>
          <w:color w:val="000000" w:themeColor="text1"/>
        </w:rPr>
      </w:pPr>
    </w:p>
    <w:p w:rsidR="00802EED" w:rsidRDefault="00802EED" w:rsidP="00252515">
      <w:pPr>
        <w:contextualSpacing/>
        <w:jc w:val="both"/>
      </w:pPr>
      <w:r w:rsidRPr="00336AFD">
        <w:t xml:space="preserve">Coleman, J., and Warren-Adamson, C., (eds.) (1992) </w:t>
      </w:r>
      <w:r w:rsidRPr="00336AFD">
        <w:rPr>
          <w:i/>
        </w:rPr>
        <w:t>Youth Policy in the 1990s: The way forward</w:t>
      </w:r>
      <w:r w:rsidRPr="00336AFD">
        <w:t xml:space="preserve">, London: Routledge. </w:t>
      </w:r>
    </w:p>
    <w:p w:rsidR="00547F23" w:rsidRDefault="00547F23" w:rsidP="00252515">
      <w:pPr>
        <w:contextualSpacing/>
        <w:jc w:val="both"/>
      </w:pPr>
    </w:p>
    <w:p w:rsidR="00547F23" w:rsidRPr="00336AFD" w:rsidRDefault="00547F23" w:rsidP="00252515">
      <w:pPr>
        <w:contextualSpacing/>
        <w:jc w:val="both"/>
      </w:pPr>
      <w:r w:rsidRPr="00547F23">
        <w:t>Cox, A</w:t>
      </w:r>
      <w:r w:rsidR="00C42A27">
        <w:t>.</w:t>
      </w:r>
      <w:r w:rsidRPr="00547F23">
        <w:t xml:space="preserve">L., (2018). </w:t>
      </w:r>
      <w:r w:rsidRPr="00547F23">
        <w:rPr>
          <w:i/>
        </w:rPr>
        <w:t>Trapped in a vice: The consequences of confinement for young people.</w:t>
      </w:r>
      <w:r w:rsidRPr="00547F23">
        <w:t xml:space="preserve"> </w:t>
      </w:r>
      <w:r>
        <w:t xml:space="preserve">New York: </w:t>
      </w:r>
      <w:r w:rsidRPr="00547F23">
        <w:t>Rutgers University Press.</w:t>
      </w:r>
    </w:p>
    <w:p w:rsidR="00802EED" w:rsidRPr="00336AFD" w:rsidRDefault="00802EED" w:rsidP="00252515">
      <w:pPr>
        <w:contextualSpacing/>
        <w:jc w:val="both"/>
      </w:pPr>
    </w:p>
    <w:p w:rsidR="00802EED" w:rsidRPr="00336AFD" w:rsidRDefault="00802EED" w:rsidP="00252515">
      <w:pPr>
        <w:contextualSpacing/>
        <w:jc w:val="both"/>
      </w:pPr>
      <w:r w:rsidRPr="00336AFD">
        <w:t xml:space="preserve">Cox, P. and Shore, H. (eds.) (2002) </w:t>
      </w:r>
      <w:r w:rsidRPr="00336AFD">
        <w:rPr>
          <w:i/>
        </w:rPr>
        <w:t>Becoming Delinquent: British and European Youth,1650-1950</w:t>
      </w:r>
      <w:r w:rsidRPr="00336AFD">
        <w:t>, Aldershot: Ashgate Publishing.</w:t>
      </w:r>
    </w:p>
    <w:p w:rsidR="00802EED" w:rsidRPr="00336AFD" w:rsidRDefault="00802EED" w:rsidP="00252515">
      <w:pPr>
        <w:contextualSpacing/>
        <w:jc w:val="both"/>
      </w:pPr>
    </w:p>
    <w:p w:rsidR="00802EED" w:rsidRPr="00336AFD" w:rsidRDefault="00802EED" w:rsidP="00252515">
      <w:pPr>
        <w:contextualSpacing/>
        <w:jc w:val="both"/>
      </w:pPr>
      <w:r w:rsidRPr="00336AFD">
        <w:t xml:space="preserve">Cox, P. (2003) </w:t>
      </w:r>
      <w:r w:rsidRPr="00336AFD">
        <w:rPr>
          <w:i/>
        </w:rPr>
        <w:t>Gender, justice and welfare: Bad girls in Britain, 1900-1950</w:t>
      </w:r>
      <w:r w:rsidRPr="00336AFD">
        <w:t xml:space="preserve">. </w:t>
      </w:r>
      <w:proofErr w:type="spellStart"/>
      <w:r w:rsidRPr="00336AFD">
        <w:t>Basingtoke</w:t>
      </w:r>
      <w:proofErr w:type="spellEnd"/>
      <w:r w:rsidRPr="00336AFD">
        <w:t>: Palgrave</w:t>
      </w:r>
    </w:p>
    <w:p w:rsidR="00802EED" w:rsidRPr="00336AFD" w:rsidRDefault="00802EED" w:rsidP="00252515">
      <w:pPr>
        <w:contextualSpacing/>
        <w:jc w:val="both"/>
      </w:pPr>
    </w:p>
    <w:p w:rsidR="00802EED" w:rsidRPr="00336AFD" w:rsidRDefault="00802EED" w:rsidP="00252515">
      <w:pPr>
        <w:contextualSpacing/>
        <w:jc w:val="both"/>
      </w:pPr>
      <w:r w:rsidRPr="00336AFD">
        <w:t xml:space="preserve">Cox, P. (2018) Children and Relational Citizenship: A History. In M. Shaw and S. Bailey </w:t>
      </w:r>
      <w:proofErr w:type="gramStart"/>
      <w:r w:rsidRPr="00336AFD">
        <w:t>eds  Justice</w:t>
      </w:r>
      <w:proofErr w:type="gramEnd"/>
      <w:r w:rsidRPr="00336AFD">
        <w:t xml:space="preserve"> for Children and Families: A Developmental Perspective. Cambridge: Cambridge University Press/Royal College of Psychiatrists, pp42-49</w:t>
      </w:r>
    </w:p>
    <w:p w:rsidR="00802EED" w:rsidRPr="00336AFD" w:rsidRDefault="00802EED" w:rsidP="00252515">
      <w:pPr>
        <w:contextualSpacing/>
        <w:jc w:val="both"/>
      </w:pPr>
    </w:p>
    <w:p w:rsidR="00654491" w:rsidRPr="00654491" w:rsidRDefault="00654491" w:rsidP="00252515">
      <w:pPr>
        <w:contextualSpacing/>
        <w:jc w:val="both"/>
      </w:pPr>
      <w:r w:rsidRPr="00654491">
        <w:t xml:space="preserve">Crawford, A. and Newburn, T. (2003) </w:t>
      </w:r>
      <w:r w:rsidRPr="00654491">
        <w:rPr>
          <w:i/>
        </w:rPr>
        <w:t>Youth Offending and Restorative Justice: Implementing Reform in Youth Justice</w:t>
      </w:r>
      <w:r w:rsidRPr="00654491">
        <w:t>. Cullompton: Willan.</w:t>
      </w:r>
    </w:p>
    <w:p w:rsidR="00654491" w:rsidRDefault="00654491" w:rsidP="00252515">
      <w:pPr>
        <w:contextualSpacing/>
        <w:jc w:val="both"/>
      </w:pPr>
    </w:p>
    <w:p w:rsidR="00802EED" w:rsidRPr="00336AFD" w:rsidRDefault="00802EED" w:rsidP="00252515">
      <w:pPr>
        <w:contextualSpacing/>
        <w:jc w:val="both"/>
      </w:pPr>
      <w:r w:rsidRPr="00336AFD">
        <w:t xml:space="preserve">Crewe, B. and Liebling, A. (2017) Reconfiguring Penal Power. In Liebling, A., </w:t>
      </w:r>
      <w:proofErr w:type="spellStart"/>
      <w:r w:rsidRPr="00336AFD">
        <w:t>Maruna</w:t>
      </w:r>
      <w:proofErr w:type="spellEnd"/>
      <w:r w:rsidRPr="00336AFD">
        <w:t xml:space="preserve">, S. and </w:t>
      </w:r>
      <w:proofErr w:type="spellStart"/>
      <w:r w:rsidRPr="00336AFD">
        <w:t>McAra</w:t>
      </w:r>
      <w:proofErr w:type="spellEnd"/>
      <w:r w:rsidRPr="00336AFD">
        <w:t>, L. eds, Oxford Handbook of Criminology, Oxford University Press, chapter 39.</w:t>
      </w:r>
    </w:p>
    <w:p w:rsidR="00802EED" w:rsidRPr="00336AFD" w:rsidRDefault="00802EED" w:rsidP="00252515">
      <w:pPr>
        <w:contextualSpacing/>
        <w:jc w:val="both"/>
      </w:pPr>
    </w:p>
    <w:p w:rsidR="00802EED" w:rsidRPr="00336AFD" w:rsidRDefault="00802EED" w:rsidP="00252515">
      <w:pPr>
        <w:contextualSpacing/>
        <w:jc w:val="both"/>
      </w:pPr>
      <w:r w:rsidRPr="00336AFD">
        <w:t>Cullen, C. and Minchin, M. (1999) ‘The Prison Population in 1999: A statistical review’, Research Findings 118, Home Office Research, Development, and Statistics Directorate.</w:t>
      </w:r>
    </w:p>
    <w:p w:rsidR="00CC07D8" w:rsidRDefault="00CC07D8" w:rsidP="00252515">
      <w:pPr>
        <w:rPr>
          <w:rFonts w:asciiTheme="minorHAnsi" w:hAnsiTheme="minorHAnsi" w:cstheme="minorHAnsi"/>
        </w:rPr>
      </w:pPr>
    </w:p>
    <w:p w:rsidR="00654491" w:rsidRPr="00654491" w:rsidRDefault="00654491" w:rsidP="00252515">
      <w:pPr>
        <w:jc w:val="both"/>
        <w:rPr>
          <w:iCs/>
        </w:rPr>
      </w:pPr>
      <w:proofErr w:type="spellStart"/>
      <w:r w:rsidRPr="00654491">
        <w:t>Cunneen</w:t>
      </w:r>
      <w:proofErr w:type="spellEnd"/>
      <w:r w:rsidRPr="00654491">
        <w:t>, C. and Goldson, B. (2015) ‘</w:t>
      </w:r>
      <w:r w:rsidRPr="00654491">
        <w:rPr>
          <w:iCs/>
        </w:rPr>
        <w:t xml:space="preserve">Restorative justice: A critical analysis’, in Goldson, B. and Muncie, J. (eds) </w:t>
      </w:r>
      <w:r w:rsidRPr="00654491">
        <w:rPr>
          <w:i/>
          <w:iCs/>
        </w:rPr>
        <w:t>Youth Crime and Justice</w:t>
      </w:r>
      <w:r w:rsidRPr="00654491">
        <w:rPr>
          <w:iCs/>
        </w:rPr>
        <w:t>, 2</w:t>
      </w:r>
      <w:r w:rsidRPr="00654491">
        <w:rPr>
          <w:iCs/>
          <w:vertAlign w:val="superscript"/>
        </w:rPr>
        <w:t>nd</w:t>
      </w:r>
      <w:r w:rsidRPr="00654491">
        <w:rPr>
          <w:iCs/>
        </w:rPr>
        <w:t xml:space="preserve"> edition</w:t>
      </w:r>
    </w:p>
    <w:p w:rsidR="00654491" w:rsidRPr="00CC07D8" w:rsidRDefault="00654491" w:rsidP="00252515">
      <w:pPr>
        <w:jc w:val="both"/>
        <w:rPr>
          <w:iCs/>
        </w:rPr>
      </w:pPr>
    </w:p>
    <w:p w:rsidR="00CC07D8" w:rsidRDefault="00CC07D8" w:rsidP="00252515">
      <w:pPr>
        <w:jc w:val="both"/>
      </w:pPr>
      <w:proofErr w:type="spellStart"/>
      <w:r w:rsidRPr="00CC07D8">
        <w:t>Cunneen</w:t>
      </w:r>
      <w:proofErr w:type="spellEnd"/>
      <w:r w:rsidRPr="00CC07D8">
        <w:t xml:space="preserve">, C. Goldson, B. and Russell, S. (2018) ‘Human rights and youth justice reform in England and Wales: A systemic analysis’, </w:t>
      </w:r>
      <w:r w:rsidRPr="00CC07D8">
        <w:rPr>
          <w:i/>
        </w:rPr>
        <w:t>Criminology and Criminal Justice</w:t>
      </w:r>
      <w:r w:rsidRPr="00CC07D8">
        <w:t>, 18(4): 405-430.</w:t>
      </w:r>
    </w:p>
    <w:p w:rsidR="00CC07D8" w:rsidRPr="00336AFD" w:rsidRDefault="00CC07D8" w:rsidP="00252515">
      <w:pPr>
        <w:contextualSpacing/>
        <w:jc w:val="both"/>
      </w:pPr>
    </w:p>
    <w:p w:rsidR="00802EED" w:rsidRDefault="00802EED" w:rsidP="00252515">
      <w:pPr>
        <w:contextualSpacing/>
        <w:jc w:val="both"/>
        <w:rPr>
          <w:color w:val="222222"/>
          <w:shd w:val="clear" w:color="auto" w:fill="FFFFFF"/>
        </w:rPr>
      </w:pPr>
      <w:r w:rsidRPr="00336AFD">
        <w:rPr>
          <w:color w:val="222222"/>
          <w:shd w:val="clear" w:color="auto" w:fill="FFFFFF"/>
        </w:rPr>
        <w:t>Davin, A. (1996) </w:t>
      </w:r>
      <w:r w:rsidRPr="00336AFD">
        <w:rPr>
          <w:i/>
          <w:iCs/>
          <w:color w:val="222222"/>
        </w:rPr>
        <w:t>Growing up poor: home, school and street in London 1870-1914</w:t>
      </w:r>
      <w:r w:rsidRPr="00336AFD">
        <w:rPr>
          <w:color w:val="222222"/>
          <w:shd w:val="clear" w:color="auto" w:fill="FFFFFF"/>
        </w:rPr>
        <w:t xml:space="preserve">. Rivers </w:t>
      </w:r>
      <w:proofErr w:type="spellStart"/>
      <w:r w:rsidRPr="00336AFD">
        <w:rPr>
          <w:color w:val="222222"/>
          <w:shd w:val="clear" w:color="auto" w:fill="FFFFFF"/>
        </w:rPr>
        <w:t>Oram</w:t>
      </w:r>
      <w:proofErr w:type="spellEnd"/>
      <w:r w:rsidRPr="00336AFD">
        <w:rPr>
          <w:color w:val="222222"/>
          <w:shd w:val="clear" w:color="auto" w:fill="FFFFFF"/>
        </w:rPr>
        <w:t xml:space="preserve"> Press.</w:t>
      </w:r>
    </w:p>
    <w:p w:rsidR="00900981" w:rsidRPr="00336AFD" w:rsidRDefault="00900981" w:rsidP="00252515">
      <w:pPr>
        <w:contextualSpacing/>
        <w:jc w:val="both"/>
      </w:pPr>
    </w:p>
    <w:p w:rsidR="00A30C69" w:rsidRPr="00A30C69" w:rsidRDefault="00A30C69" w:rsidP="00252515">
      <w:pPr>
        <w:rPr>
          <w:color w:val="222222"/>
          <w:shd w:val="clear" w:color="auto" w:fill="FFFFFF"/>
          <w:lang w:eastAsia="en-GB"/>
        </w:rPr>
      </w:pPr>
      <w:r w:rsidRPr="00A30C69">
        <w:rPr>
          <w:color w:val="222222"/>
          <w:shd w:val="clear" w:color="auto" w:fill="FFFFFF"/>
          <w:lang w:eastAsia="en-GB"/>
        </w:rPr>
        <w:t>D</w:t>
      </w:r>
      <w:r w:rsidRPr="00CF67D6">
        <w:rPr>
          <w:color w:val="222222"/>
          <w:shd w:val="clear" w:color="auto" w:fill="FFFFFF"/>
          <w:lang w:eastAsia="en-GB"/>
        </w:rPr>
        <w:t xml:space="preserve">avis, A. Y., </w:t>
      </w:r>
      <w:r>
        <w:rPr>
          <w:color w:val="222222"/>
          <w:shd w:val="clear" w:color="auto" w:fill="FFFFFF"/>
          <w:lang w:eastAsia="en-GB"/>
        </w:rPr>
        <w:t>and</w:t>
      </w:r>
      <w:r w:rsidRPr="00CF67D6">
        <w:rPr>
          <w:color w:val="222222"/>
          <w:shd w:val="clear" w:color="auto" w:fill="FFFFFF"/>
          <w:lang w:eastAsia="en-GB"/>
        </w:rPr>
        <w:t xml:space="preserve"> Rodriguez, D. (2000). The challenge of prison abolition: A conversation. </w:t>
      </w:r>
      <w:r w:rsidRPr="00CF67D6">
        <w:rPr>
          <w:i/>
          <w:iCs/>
          <w:color w:val="222222"/>
          <w:lang w:eastAsia="en-GB"/>
        </w:rPr>
        <w:t>Social Justice</w:t>
      </w:r>
      <w:r w:rsidRPr="00CF67D6">
        <w:rPr>
          <w:color w:val="222222"/>
          <w:shd w:val="clear" w:color="auto" w:fill="FFFFFF"/>
          <w:lang w:eastAsia="en-GB"/>
        </w:rPr>
        <w:t>, </w:t>
      </w:r>
      <w:r w:rsidRPr="00CF67D6">
        <w:rPr>
          <w:i/>
          <w:iCs/>
          <w:color w:val="222222"/>
          <w:lang w:eastAsia="en-GB"/>
        </w:rPr>
        <w:t>27</w:t>
      </w:r>
      <w:r w:rsidRPr="00CF67D6">
        <w:rPr>
          <w:color w:val="222222"/>
          <w:shd w:val="clear" w:color="auto" w:fill="FFFFFF"/>
          <w:lang w:eastAsia="en-GB"/>
        </w:rPr>
        <w:t>(3 (81), 212-218.</w:t>
      </w:r>
    </w:p>
    <w:p w:rsidR="00802EED" w:rsidRPr="00336AFD" w:rsidRDefault="00802EED" w:rsidP="00252515">
      <w:pPr>
        <w:contextualSpacing/>
        <w:jc w:val="both"/>
        <w:rPr>
          <w:rFonts w:eastAsia="Arial Unicode MS"/>
          <w:b/>
          <w:color w:val="FF0000"/>
        </w:rPr>
      </w:pPr>
    </w:p>
    <w:p w:rsidR="00802EED" w:rsidRPr="00336AFD" w:rsidRDefault="00802EED" w:rsidP="00252515">
      <w:pPr>
        <w:contextualSpacing/>
        <w:jc w:val="both"/>
        <w:rPr>
          <w:rFonts w:eastAsia="Arial Unicode MS"/>
        </w:rPr>
      </w:pPr>
      <w:r w:rsidRPr="00336AFD">
        <w:rPr>
          <w:rFonts w:eastAsia="Arial Unicode MS"/>
        </w:rPr>
        <w:t xml:space="preserve">Deering, J. and </w:t>
      </w:r>
      <w:proofErr w:type="spellStart"/>
      <w:r w:rsidRPr="00336AFD">
        <w:rPr>
          <w:rFonts w:eastAsia="Arial Unicode MS"/>
        </w:rPr>
        <w:t>Feilzer</w:t>
      </w:r>
      <w:proofErr w:type="spellEnd"/>
      <w:r w:rsidRPr="00336AFD">
        <w:rPr>
          <w:rFonts w:eastAsia="Arial Unicode MS"/>
        </w:rPr>
        <w:t xml:space="preserve">, M.Y. (2015) </w:t>
      </w:r>
      <w:r w:rsidRPr="00336AFD">
        <w:rPr>
          <w:rFonts w:eastAsia="Arial Unicode MS"/>
          <w:i/>
        </w:rPr>
        <w:t xml:space="preserve">Privatising probation: is Transforming Rehabilitation the End of the Probation Ideal? </w:t>
      </w:r>
      <w:r w:rsidRPr="00336AFD">
        <w:rPr>
          <w:rFonts w:eastAsia="Arial Unicode MS"/>
        </w:rPr>
        <w:t>Bristol: Policy Press.</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rPr>
          <w:rFonts w:eastAsia="Arial Unicode MS"/>
        </w:rPr>
      </w:pPr>
      <w:r w:rsidRPr="00336AFD">
        <w:rPr>
          <w:rFonts w:eastAsia="Arial Unicode MS"/>
        </w:rPr>
        <w:t xml:space="preserve">Emsley, C. (2011) </w:t>
      </w:r>
      <w:r w:rsidRPr="00336AFD">
        <w:rPr>
          <w:rFonts w:eastAsia="Arial Unicode MS"/>
          <w:i/>
        </w:rPr>
        <w:t>Crime and Society in Twentieth Century England</w:t>
      </w:r>
      <w:r w:rsidRPr="00336AFD">
        <w:rPr>
          <w:rFonts w:eastAsia="Arial Unicode MS"/>
        </w:rPr>
        <w:t xml:space="preserve">, Longman Pearson. </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pPr>
      <w:r w:rsidRPr="00336AFD">
        <w:rPr>
          <w:rFonts w:eastAsia="Arial Unicode MS"/>
        </w:rPr>
        <w:t>Epperson, M. and Pettus-Davis, C. (eds) (2017)</w:t>
      </w:r>
      <w:r w:rsidRPr="00336AFD">
        <w:t xml:space="preserve"> </w:t>
      </w:r>
      <w:r w:rsidRPr="00336AFD">
        <w:rPr>
          <w:i/>
        </w:rPr>
        <w:t xml:space="preserve">Smart </w:t>
      </w:r>
      <w:proofErr w:type="spellStart"/>
      <w:r w:rsidRPr="00336AFD">
        <w:rPr>
          <w:i/>
        </w:rPr>
        <w:t>Decarceration</w:t>
      </w:r>
      <w:proofErr w:type="spellEnd"/>
      <w:r w:rsidRPr="00336AFD">
        <w:rPr>
          <w:i/>
        </w:rPr>
        <w:t>: Achieving Criminal Justice Transformation in the 21st Century</w:t>
      </w:r>
      <w:r w:rsidRPr="00336AFD">
        <w:t>, OUP USA.</w:t>
      </w:r>
    </w:p>
    <w:p w:rsidR="00802EED" w:rsidRPr="00336AFD" w:rsidRDefault="00802EED" w:rsidP="00252515">
      <w:pPr>
        <w:contextualSpacing/>
        <w:jc w:val="both"/>
      </w:pPr>
    </w:p>
    <w:p w:rsidR="00802EED" w:rsidRPr="00336AFD" w:rsidRDefault="00802EED" w:rsidP="00252515">
      <w:pPr>
        <w:contextualSpacing/>
        <w:jc w:val="both"/>
      </w:pPr>
      <w:r w:rsidRPr="00336AFD">
        <w:t xml:space="preserve">Farrant, W.J. (1921) </w:t>
      </w:r>
      <w:r w:rsidRPr="00336AFD">
        <w:rPr>
          <w:i/>
        </w:rPr>
        <w:t>Introduction to the 1919 Judicial Statistics</w:t>
      </w:r>
      <w:r w:rsidRPr="00336AFD">
        <w:t>, London: HMSO.</w:t>
      </w:r>
    </w:p>
    <w:p w:rsidR="00802EED" w:rsidRPr="00336AFD" w:rsidRDefault="00802EED" w:rsidP="00252515">
      <w:pPr>
        <w:contextualSpacing/>
        <w:jc w:val="both"/>
      </w:pPr>
    </w:p>
    <w:p w:rsidR="00802EED" w:rsidRPr="00336AFD" w:rsidRDefault="00802EED" w:rsidP="00252515">
      <w:pPr>
        <w:contextualSpacing/>
        <w:jc w:val="both"/>
        <w:rPr>
          <w:rFonts w:eastAsia="Arial Unicode MS"/>
          <w:color w:val="000000" w:themeColor="text1"/>
        </w:rPr>
      </w:pPr>
      <w:r w:rsidRPr="00336AFD">
        <w:rPr>
          <w:rFonts w:eastAsia="Arial Unicode MS"/>
          <w:color w:val="000000" w:themeColor="text1"/>
        </w:rPr>
        <w:t>Fox, L.W. (1952) The English Prison and Borstal System, Routledge and Kegan Paul.</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rPr>
          <w:rFonts w:eastAsia="Arial Unicode MS"/>
          <w:color w:val="FF0000"/>
        </w:rPr>
      </w:pPr>
      <w:r w:rsidRPr="00336AFD">
        <w:rPr>
          <w:color w:val="000000" w:themeColor="text1"/>
        </w:rPr>
        <w:t>Featherstone, B., Gupta, A., Morris, K.M. et al. (2016) </w:t>
      </w:r>
      <w:r w:rsidRPr="00336AFD">
        <w:rPr>
          <w:iCs/>
          <w:color w:val="000000" w:themeColor="text1"/>
        </w:rPr>
        <w:t>Let’s stop feeding the risk monster: towards a social model of ‘child protection’.</w:t>
      </w:r>
      <w:r w:rsidRPr="00336AFD">
        <w:rPr>
          <w:color w:val="000000" w:themeColor="text1"/>
        </w:rPr>
        <w:t> </w:t>
      </w:r>
      <w:r w:rsidRPr="00336AFD">
        <w:rPr>
          <w:i/>
          <w:color w:val="000000" w:themeColor="text1"/>
        </w:rPr>
        <w:t>Families, Relationships and Societies</w:t>
      </w:r>
      <w:r w:rsidRPr="00336AFD">
        <w:rPr>
          <w:color w:val="FF0000"/>
        </w:rPr>
        <w:t>.</w:t>
      </w:r>
      <w:r w:rsidRPr="00336AFD">
        <w:rPr>
          <w:rFonts w:eastAsia="Arial Unicode MS"/>
          <w:color w:val="FF0000"/>
        </w:rPr>
        <w:t xml:space="preserve"> </w:t>
      </w:r>
      <w:r w:rsidRPr="00336AFD">
        <w:rPr>
          <w:i/>
          <w:iCs/>
          <w:color w:val="222222"/>
        </w:rPr>
        <w:t>7</w:t>
      </w:r>
      <w:r w:rsidRPr="00336AFD">
        <w:rPr>
          <w:color w:val="222222"/>
          <w:shd w:val="clear" w:color="auto" w:fill="FFFFFF"/>
        </w:rPr>
        <w:t>(1), 7-22.</w:t>
      </w:r>
    </w:p>
    <w:p w:rsidR="00802EED" w:rsidRPr="00336AFD" w:rsidRDefault="00802EED" w:rsidP="00252515">
      <w:pPr>
        <w:contextualSpacing/>
        <w:jc w:val="both"/>
        <w:rPr>
          <w:color w:val="FF0000"/>
        </w:rPr>
      </w:pPr>
    </w:p>
    <w:p w:rsidR="00802EED" w:rsidRPr="00336AFD" w:rsidRDefault="00802EED" w:rsidP="00252515">
      <w:pPr>
        <w:contextualSpacing/>
        <w:jc w:val="both"/>
        <w:rPr>
          <w:rFonts w:eastAsia="Arial Unicode MS"/>
        </w:rPr>
      </w:pPr>
      <w:r w:rsidRPr="00336AFD">
        <w:rPr>
          <w:rFonts w:eastAsia="Arial Unicode MS"/>
        </w:rPr>
        <w:t xml:space="preserve">Fox, C. and Albertson, K. (2011a) ‘Payment by results and social impact bonds in the criminal justice sector: New challenges for the concept of evidence-based policy?’ </w:t>
      </w:r>
      <w:r w:rsidRPr="00336AFD">
        <w:rPr>
          <w:rFonts w:eastAsia="Arial Unicode MS"/>
          <w:i/>
        </w:rPr>
        <w:t>Crime and Criminal Justice</w:t>
      </w:r>
      <w:r w:rsidRPr="00336AFD">
        <w:rPr>
          <w:rFonts w:eastAsia="Arial Unicode MS"/>
        </w:rPr>
        <w:t>, pp. 1–19.</w:t>
      </w:r>
    </w:p>
    <w:p w:rsidR="00802EED" w:rsidRPr="00336AFD" w:rsidRDefault="00802EED" w:rsidP="00252515">
      <w:pPr>
        <w:contextualSpacing/>
        <w:jc w:val="both"/>
        <w:rPr>
          <w:rFonts w:eastAsia="Arial Unicode MS"/>
        </w:rPr>
      </w:pPr>
    </w:p>
    <w:p w:rsidR="00802EED" w:rsidRDefault="00802EED" w:rsidP="00252515">
      <w:pPr>
        <w:contextualSpacing/>
        <w:jc w:val="both"/>
        <w:rPr>
          <w:rFonts w:eastAsia="Arial Unicode MS"/>
        </w:rPr>
      </w:pPr>
      <w:r w:rsidRPr="00336AFD">
        <w:rPr>
          <w:rFonts w:eastAsia="Arial Unicode MS"/>
        </w:rPr>
        <w:t xml:space="preserve">Fox, C., Albertson, K. and Warburton, F. (2011b) Justice Reinvestment: Can it deliver more for less?’ </w:t>
      </w:r>
      <w:r w:rsidRPr="00336AFD">
        <w:rPr>
          <w:rFonts w:eastAsia="Arial Unicode MS"/>
          <w:i/>
        </w:rPr>
        <w:t>Howard Journal of Criminal Justice</w:t>
      </w:r>
      <w:r w:rsidRPr="00336AFD">
        <w:rPr>
          <w:rFonts w:eastAsia="Arial Unicode MS"/>
        </w:rPr>
        <w:t>, 50:2, pp.119-136</w:t>
      </w:r>
    </w:p>
    <w:p w:rsidR="00BB0E85" w:rsidRPr="00BB0E85" w:rsidRDefault="00BB0E85" w:rsidP="00252515">
      <w:pPr>
        <w:contextualSpacing/>
        <w:jc w:val="both"/>
        <w:rPr>
          <w:rFonts w:eastAsia="Arial Unicode MS"/>
        </w:rPr>
      </w:pPr>
    </w:p>
    <w:p w:rsidR="00BB0E85" w:rsidRDefault="000835A7" w:rsidP="00252515">
      <w:pPr>
        <w:pStyle w:val="Body"/>
        <w:spacing w:line="240" w:lineRule="auto"/>
        <w:rPr>
          <w:rFonts w:ascii="Times New Roman"/>
          <w:sz w:val="24"/>
          <w:szCs w:val="24"/>
          <w:lang w:val="en-US"/>
        </w:rPr>
      </w:pPr>
      <w:r w:rsidRPr="00BB0E85">
        <w:rPr>
          <w:rFonts w:ascii="Times New Roman"/>
          <w:sz w:val="24"/>
          <w:szCs w:val="24"/>
        </w:rPr>
        <w:t xml:space="preserve">Foucault, M. (1977) </w:t>
      </w:r>
      <w:r w:rsidRPr="00BB0E85">
        <w:rPr>
          <w:rFonts w:ascii="Times New Roman"/>
          <w:i/>
          <w:iCs/>
          <w:sz w:val="24"/>
          <w:szCs w:val="24"/>
          <w:lang w:val="en-US"/>
        </w:rPr>
        <w:t xml:space="preserve">Discipline and </w:t>
      </w:r>
      <w:proofErr w:type="gramStart"/>
      <w:r w:rsidRPr="00BB0E85">
        <w:rPr>
          <w:rFonts w:ascii="Times New Roman"/>
          <w:i/>
          <w:iCs/>
          <w:sz w:val="24"/>
          <w:szCs w:val="24"/>
          <w:lang w:val="en-US"/>
        </w:rPr>
        <w:t>Punish:</w:t>
      </w:r>
      <w:proofErr w:type="gramEnd"/>
      <w:r w:rsidRPr="00BB0E85">
        <w:rPr>
          <w:rFonts w:ascii="Times New Roman"/>
          <w:i/>
          <w:iCs/>
          <w:sz w:val="24"/>
          <w:szCs w:val="24"/>
          <w:lang w:val="en-US"/>
        </w:rPr>
        <w:t xml:space="preserve"> The Birth of the Prison</w:t>
      </w:r>
      <w:r w:rsidRPr="00BB0E85">
        <w:rPr>
          <w:rFonts w:ascii="Times New Roman"/>
          <w:sz w:val="24"/>
          <w:szCs w:val="24"/>
          <w:lang w:val="en-US"/>
        </w:rPr>
        <w:t>, New York, Vintage Books.</w:t>
      </w:r>
    </w:p>
    <w:p w:rsidR="00BB0E85" w:rsidRPr="00BB0E85" w:rsidRDefault="00BB0E85" w:rsidP="00252515">
      <w:pPr>
        <w:pStyle w:val="Body"/>
        <w:spacing w:line="240" w:lineRule="auto"/>
        <w:rPr>
          <w:rFonts w:ascii="Times New Roman"/>
          <w:sz w:val="24"/>
          <w:szCs w:val="24"/>
          <w:lang w:val="en-US"/>
        </w:rPr>
      </w:pPr>
    </w:p>
    <w:p w:rsidR="00802EED" w:rsidRPr="00336AFD" w:rsidRDefault="00802EED" w:rsidP="00252515">
      <w:pPr>
        <w:contextualSpacing/>
        <w:jc w:val="both"/>
        <w:rPr>
          <w:color w:val="FF0000"/>
        </w:rPr>
      </w:pPr>
      <w:r w:rsidRPr="00336AFD">
        <w:rPr>
          <w:rFonts w:eastAsia="Arial Unicode MS"/>
        </w:rPr>
        <w:t xml:space="preserve">Garland, D. (2002) </w:t>
      </w:r>
      <w:r w:rsidRPr="00336AFD">
        <w:rPr>
          <w:i/>
        </w:rPr>
        <w:t>The Culture of Control: Crime and Social Order in Contemporary Society</w:t>
      </w:r>
      <w:r w:rsidRPr="00336AFD">
        <w:t>, Oxford: Oxford University Press</w:t>
      </w:r>
      <w:r w:rsidRPr="00336AFD">
        <w:rPr>
          <w:color w:val="FF0000"/>
        </w:rPr>
        <w:t xml:space="preserve"> </w:t>
      </w:r>
    </w:p>
    <w:p w:rsidR="00802EED" w:rsidRPr="00336AFD" w:rsidRDefault="00802EED" w:rsidP="00252515">
      <w:pPr>
        <w:contextualSpacing/>
        <w:jc w:val="both"/>
        <w:rPr>
          <w:color w:val="FF0000"/>
        </w:rPr>
      </w:pPr>
    </w:p>
    <w:p w:rsidR="00802EED" w:rsidRDefault="00802EED" w:rsidP="00252515">
      <w:pPr>
        <w:contextualSpacing/>
        <w:jc w:val="both"/>
        <w:rPr>
          <w:iCs/>
          <w:color w:val="222222"/>
        </w:rPr>
      </w:pPr>
      <w:proofErr w:type="spellStart"/>
      <w:r w:rsidRPr="00336AFD">
        <w:rPr>
          <w:color w:val="222222"/>
          <w:shd w:val="clear" w:color="auto" w:fill="FFFFFF"/>
        </w:rPr>
        <w:t>Gatrell</w:t>
      </w:r>
      <w:proofErr w:type="spellEnd"/>
      <w:r w:rsidRPr="00336AFD">
        <w:rPr>
          <w:color w:val="222222"/>
          <w:shd w:val="clear" w:color="auto" w:fill="FFFFFF"/>
        </w:rPr>
        <w:t xml:space="preserve">, V.A.C. (1990). Crime, authority and the policeman-state. In Thompson, F.M.L. ed </w:t>
      </w:r>
      <w:r w:rsidRPr="00336AFD">
        <w:rPr>
          <w:i/>
          <w:iCs/>
          <w:color w:val="222222"/>
        </w:rPr>
        <w:t>Cambridge Social History of Britain 1750-1950</w:t>
      </w:r>
      <w:r w:rsidRPr="00336AFD">
        <w:rPr>
          <w:color w:val="222222"/>
          <w:shd w:val="clear" w:color="auto" w:fill="FFFFFF"/>
        </w:rPr>
        <w:t>, </w:t>
      </w:r>
      <w:r w:rsidRPr="00336AFD">
        <w:rPr>
          <w:iCs/>
          <w:color w:val="222222"/>
        </w:rPr>
        <w:t>vol 3, pp243-310</w:t>
      </w:r>
    </w:p>
    <w:p w:rsidR="008409AD" w:rsidRPr="008409AD" w:rsidRDefault="008409AD" w:rsidP="00252515">
      <w:pPr>
        <w:contextualSpacing/>
        <w:jc w:val="both"/>
      </w:pPr>
    </w:p>
    <w:p w:rsidR="008409AD" w:rsidRPr="008409AD" w:rsidRDefault="008409AD" w:rsidP="00252515">
      <w:pPr>
        <w:contextualSpacing/>
        <w:jc w:val="both"/>
        <w:rPr>
          <w:lang w:val="en-US"/>
        </w:rPr>
      </w:pPr>
      <w:r w:rsidRPr="008409AD">
        <w:t xml:space="preserve">George, M. (2018) </w:t>
      </w:r>
      <w:r w:rsidRPr="008409AD">
        <w:rPr>
          <w:bCs/>
        </w:rPr>
        <w:t xml:space="preserve">'Dumping grounds': Eight key points from today's alternative-provision hearing. TES, 6 Feb 2018 </w:t>
      </w:r>
      <w:r>
        <w:rPr>
          <w:lang w:val="en-US"/>
        </w:rPr>
        <w:t xml:space="preserve"> </w:t>
      </w:r>
      <w:hyperlink r:id="rId21" w:history="1">
        <w:r w:rsidRPr="00EC7331">
          <w:rPr>
            <w:rStyle w:val="Hyperlink"/>
            <w:lang w:val="en-US"/>
          </w:rPr>
          <w:t>https://www.tes.com/news/school-news/breaking-news/dumping-grounds-eight-key-points-todays-alternative-provision-hearing</w:t>
        </w:r>
      </w:hyperlink>
      <w:r>
        <w:rPr>
          <w:lang w:val="en-US"/>
        </w:rPr>
        <w:t xml:space="preserve"> </w:t>
      </w:r>
    </w:p>
    <w:p w:rsidR="00802EED" w:rsidRPr="00336AFD" w:rsidRDefault="00802EED" w:rsidP="00252515">
      <w:pPr>
        <w:contextualSpacing/>
        <w:jc w:val="both"/>
        <w:rPr>
          <w:rFonts w:eastAsia="Arial Unicode MS"/>
          <w:bdr w:val="nil"/>
        </w:rPr>
      </w:pPr>
    </w:p>
    <w:p w:rsidR="00802EED" w:rsidRPr="00336AFD" w:rsidRDefault="00802EED" w:rsidP="00252515">
      <w:pPr>
        <w:contextualSpacing/>
        <w:jc w:val="both"/>
      </w:pPr>
      <w:r w:rsidRPr="00336AFD">
        <w:t xml:space="preserve">Godfrey, B. (2008) ‘Changing prosecution practices and their impact on crime figures, 1857-1940’, </w:t>
      </w:r>
      <w:r w:rsidRPr="00336AFD">
        <w:rPr>
          <w:i/>
        </w:rPr>
        <w:t>British Journal of Criminology</w:t>
      </w:r>
      <w:r w:rsidRPr="00336AFD">
        <w:t>, 48, 2, pp.171-190.</w:t>
      </w:r>
    </w:p>
    <w:p w:rsidR="00802EED" w:rsidRPr="00336AFD" w:rsidRDefault="00802EED" w:rsidP="00252515">
      <w:pPr>
        <w:contextualSpacing/>
        <w:jc w:val="both"/>
      </w:pPr>
    </w:p>
    <w:p w:rsidR="00802EED" w:rsidRPr="00336AFD" w:rsidRDefault="00802EED" w:rsidP="00252515">
      <w:pPr>
        <w:contextualSpacing/>
        <w:jc w:val="both"/>
      </w:pPr>
      <w:r w:rsidRPr="00336AFD">
        <w:t xml:space="preserve">Godfrey, B., Cox, P, Shore, H. and Alker, Z. (2017) </w:t>
      </w:r>
      <w:r w:rsidRPr="00336AFD">
        <w:rPr>
          <w:i/>
        </w:rPr>
        <w:t>Young Criminal Lives: Life Courses and Life Chances from 1850</w:t>
      </w:r>
      <w:r w:rsidRPr="00336AFD">
        <w:t>, Clarendon Series in Criminology, Oxford University Press.</w:t>
      </w:r>
    </w:p>
    <w:p w:rsidR="00802EED" w:rsidRPr="00336AFD" w:rsidRDefault="00802EED" w:rsidP="00252515">
      <w:pPr>
        <w:contextualSpacing/>
        <w:jc w:val="both"/>
      </w:pPr>
    </w:p>
    <w:p w:rsidR="00802EED" w:rsidRDefault="00802EED" w:rsidP="00252515">
      <w:pPr>
        <w:autoSpaceDE w:val="0"/>
        <w:autoSpaceDN w:val="0"/>
        <w:adjustRightInd w:val="0"/>
        <w:spacing w:after="240"/>
        <w:contextualSpacing/>
        <w:jc w:val="both"/>
        <w:rPr>
          <w:rFonts w:eastAsiaTheme="minorHAnsi"/>
          <w:color w:val="000000"/>
          <w:lang w:val="en-US"/>
        </w:rPr>
      </w:pPr>
      <w:r w:rsidRPr="00336AFD">
        <w:t xml:space="preserve">Godfrey, B. (2018) ‘Fear of crime before “Fear of crime”?’ in Lee, M and </w:t>
      </w:r>
      <w:proofErr w:type="spellStart"/>
      <w:r w:rsidRPr="00336AFD">
        <w:t>Mythen</w:t>
      </w:r>
      <w:proofErr w:type="spellEnd"/>
      <w:r w:rsidRPr="00336AFD">
        <w:t xml:space="preserve">, B., </w:t>
      </w:r>
      <w:r w:rsidRPr="00336AFD">
        <w:rPr>
          <w:rFonts w:eastAsiaTheme="minorHAnsi"/>
          <w:bCs/>
          <w:i/>
          <w:color w:val="323233"/>
          <w:lang w:val="en-US"/>
        </w:rPr>
        <w:t>The Routledge International Handbook on Fear of Crime</w:t>
      </w:r>
      <w:r w:rsidRPr="00336AFD">
        <w:rPr>
          <w:rFonts w:eastAsiaTheme="minorHAnsi"/>
          <w:color w:val="000000"/>
          <w:lang w:val="en-US"/>
        </w:rPr>
        <w:t>, London Routledge</w:t>
      </w:r>
    </w:p>
    <w:p w:rsidR="00DE6F4B" w:rsidRDefault="00DE6F4B" w:rsidP="00252515">
      <w:pPr>
        <w:autoSpaceDE w:val="0"/>
        <w:autoSpaceDN w:val="0"/>
        <w:adjustRightInd w:val="0"/>
        <w:spacing w:after="240"/>
        <w:contextualSpacing/>
        <w:jc w:val="both"/>
        <w:rPr>
          <w:rFonts w:eastAsiaTheme="minorHAnsi"/>
          <w:color w:val="000000"/>
          <w:lang w:val="en-US"/>
        </w:rPr>
      </w:pPr>
    </w:p>
    <w:p w:rsidR="00654491" w:rsidRPr="00654491" w:rsidRDefault="00654491" w:rsidP="00252515">
      <w:pPr>
        <w:autoSpaceDE w:val="0"/>
        <w:autoSpaceDN w:val="0"/>
        <w:adjustRightInd w:val="0"/>
        <w:spacing w:after="240"/>
        <w:contextualSpacing/>
        <w:jc w:val="both"/>
        <w:rPr>
          <w:rFonts w:eastAsiaTheme="minorHAnsi"/>
          <w:color w:val="000000"/>
        </w:rPr>
      </w:pPr>
      <w:r w:rsidRPr="00654491">
        <w:rPr>
          <w:rFonts w:eastAsiaTheme="minorHAnsi"/>
          <w:color w:val="000000"/>
        </w:rPr>
        <w:t xml:space="preserve">Goldson, B. (2000) ‘Wither Diversion? Interventionism and the New Youth Justice’, in B. Goldson (ed) </w:t>
      </w:r>
      <w:r w:rsidRPr="00654491">
        <w:rPr>
          <w:rFonts w:eastAsiaTheme="minorHAnsi"/>
          <w:i/>
          <w:color w:val="000000"/>
        </w:rPr>
        <w:t>The New Youth Justice</w:t>
      </w:r>
      <w:r w:rsidRPr="00654491">
        <w:rPr>
          <w:rFonts w:eastAsiaTheme="minorHAnsi"/>
          <w:color w:val="000000"/>
        </w:rPr>
        <w:t>. Dorset: Russell House Publishing.</w:t>
      </w:r>
    </w:p>
    <w:p w:rsidR="00654491" w:rsidRDefault="00654491" w:rsidP="00252515"/>
    <w:p w:rsidR="00DE6F4B" w:rsidRDefault="00DE6F4B" w:rsidP="00252515">
      <w:pPr>
        <w:rPr>
          <w:lang w:val="en-US"/>
        </w:rPr>
      </w:pPr>
      <w:r w:rsidRPr="00DE6F4B">
        <w:t xml:space="preserve">Goldson, B. (2005) </w:t>
      </w:r>
      <w:r w:rsidRPr="00DE6F4B">
        <w:rPr>
          <w:lang w:val="en-US"/>
        </w:rPr>
        <w:t xml:space="preserve">‘Child Imprisonment: A Case for Abolition’, </w:t>
      </w:r>
      <w:r w:rsidRPr="00DE6F4B">
        <w:rPr>
          <w:i/>
          <w:lang w:val="en-US"/>
        </w:rPr>
        <w:t>Youth Justice</w:t>
      </w:r>
      <w:r w:rsidRPr="00DE6F4B">
        <w:rPr>
          <w:lang w:val="en-US"/>
        </w:rPr>
        <w:t>, 5(2): 77-90.</w:t>
      </w:r>
    </w:p>
    <w:p w:rsidR="00DD0387" w:rsidRDefault="00DD0387" w:rsidP="00252515">
      <w:pPr>
        <w:rPr>
          <w:lang w:val="en-US"/>
        </w:rPr>
      </w:pPr>
    </w:p>
    <w:p w:rsidR="00DD0387" w:rsidRPr="00DD0387" w:rsidRDefault="00DD0387" w:rsidP="00252515">
      <w:pPr>
        <w:jc w:val="both"/>
      </w:pPr>
      <w:r w:rsidRPr="00DD0387">
        <w:rPr>
          <w:iCs/>
        </w:rPr>
        <w:t xml:space="preserve">Goldson, B. and Muncie, J.  </w:t>
      </w:r>
      <w:r w:rsidRPr="00DD0387">
        <w:t>(2015) ‘Children’s Human Rights and Youth Justice with Integrity’</w:t>
      </w:r>
      <w:r w:rsidRPr="00DD0387">
        <w:rPr>
          <w:iCs/>
        </w:rPr>
        <w:t xml:space="preserve">, in Goldson, B. and Muncie, J. (eds) </w:t>
      </w:r>
      <w:r w:rsidRPr="00DD0387">
        <w:rPr>
          <w:i/>
          <w:iCs/>
        </w:rPr>
        <w:t>Youth Crime and Justice</w:t>
      </w:r>
      <w:r w:rsidRPr="00DD0387">
        <w:rPr>
          <w:iCs/>
        </w:rPr>
        <w:t>, 2</w:t>
      </w:r>
      <w:r w:rsidRPr="00DD0387">
        <w:rPr>
          <w:iCs/>
          <w:vertAlign w:val="superscript"/>
        </w:rPr>
        <w:t>nd</w:t>
      </w:r>
      <w:r w:rsidRPr="00DD0387">
        <w:rPr>
          <w:iCs/>
        </w:rPr>
        <w:t xml:space="preserve"> edition. London, Sage.</w:t>
      </w:r>
    </w:p>
    <w:p w:rsidR="00DE6F4B" w:rsidRPr="00336AFD" w:rsidRDefault="00DE6F4B" w:rsidP="00252515">
      <w:pPr>
        <w:autoSpaceDE w:val="0"/>
        <w:autoSpaceDN w:val="0"/>
        <w:adjustRightInd w:val="0"/>
        <w:spacing w:after="240"/>
        <w:contextualSpacing/>
        <w:jc w:val="both"/>
        <w:rPr>
          <w:rFonts w:eastAsiaTheme="minorHAnsi"/>
          <w:color w:val="000000"/>
          <w:lang w:val="en-US"/>
        </w:rPr>
      </w:pPr>
    </w:p>
    <w:p w:rsidR="00DE6F4B" w:rsidRDefault="00802EED" w:rsidP="00252515">
      <w:pPr>
        <w:contextualSpacing/>
        <w:jc w:val="both"/>
        <w:rPr>
          <w:iCs/>
          <w:color w:val="333333"/>
          <w:shd w:val="clear" w:color="auto" w:fill="FFFFFF"/>
        </w:rPr>
      </w:pPr>
      <w:r w:rsidRPr="00336AFD">
        <w:rPr>
          <w:iCs/>
          <w:color w:val="333333"/>
          <w:shd w:val="clear" w:color="auto" w:fill="FFFFFF"/>
        </w:rPr>
        <w:t>Goldson, B.</w:t>
      </w:r>
      <w:r w:rsidRPr="00336AFD">
        <w:rPr>
          <w:i/>
          <w:iCs/>
          <w:color w:val="333333"/>
          <w:shd w:val="clear" w:color="auto" w:fill="FFFFFF"/>
        </w:rPr>
        <w:t xml:space="preserve"> </w:t>
      </w:r>
      <w:r w:rsidRPr="00336AFD">
        <w:rPr>
          <w:iCs/>
          <w:color w:val="333333"/>
          <w:shd w:val="clear" w:color="auto" w:fill="FFFFFF"/>
        </w:rPr>
        <w:t>(2018)</w:t>
      </w:r>
      <w:r w:rsidRPr="00336AFD">
        <w:rPr>
          <w:i/>
          <w:iCs/>
          <w:color w:val="333333"/>
          <w:shd w:val="clear" w:color="auto" w:fill="FFFFFF"/>
        </w:rPr>
        <w:t xml:space="preserve"> Juvenile Justice in Europe: Past, Present and Future. </w:t>
      </w:r>
      <w:r w:rsidRPr="00336AFD">
        <w:rPr>
          <w:iCs/>
          <w:color w:val="333333"/>
          <w:shd w:val="clear" w:color="auto" w:fill="FFFFFF"/>
        </w:rPr>
        <w:t>London and New York: Routledge.</w:t>
      </w:r>
    </w:p>
    <w:p w:rsidR="00654491" w:rsidRDefault="00654491" w:rsidP="00252515">
      <w:pPr>
        <w:contextualSpacing/>
        <w:jc w:val="both"/>
        <w:rPr>
          <w:iCs/>
          <w:color w:val="333333"/>
          <w:shd w:val="clear" w:color="auto" w:fill="FFFFFF"/>
        </w:rPr>
      </w:pPr>
    </w:p>
    <w:p w:rsidR="005D7A6B" w:rsidRDefault="005D7A6B" w:rsidP="00252515">
      <w:pPr>
        <w:jc w:val="both"/>
        <w:rPr>
          <w:iCs/>
        </w:rPr>
      </w:pPr>
      <w:r w:rsidRPr="00CC07D8">
        <w:rPr>
          <w:iCs/>
        </w:rPr>
        <w:t xml:space="preserve">Goldson, B. </w:t>
      </w:r>
      <w:r w:rsidRPr="00CC07D8">
        <w:t>(2015) ‘The Circular Motions of Penal Politics and the Pervasive Irrationalities of Child Imprisonment’</w:t>
      </w:r>
      <w:r w:rsidRPr="00CC07D8">
        <w:rPr>
          <w:iCs/>
        </w:rPr>
        <w:t xml:space="preserve">, in Goldson, B. and Muncie, J. (eds) </w:t>
      </w:r>
      <w:r w:rsidRPr="00CC07D8">
        <w:rPr>
          <w:i/>
          <w:iCs/>
        </w:rPr>
        <w:t>Youth Crime and Justice</w:t>
      </w:r>
      <w:r w:rsidRPr="00CC07D8">
        <w:rPr>
          <w:iCs/>
        </w:rPr>
        <w:t>, 2</w:t>
      </w:r>
      <w:r w:rsidRPr="00CC07D8">
        <w:rPr>
          <w:iCs/>
          <w:vertAlign w:val="superscript"/>
        </w:rPr>
        <w:t>nd</w:t>
      </w:r>
      <w:r w:rsidRPr="00CC07D8">
        <w:rPr>
          <w:iCs/>
        </w:rPr>
        <w:t xml:space="preserve"> edition. London, Sage.</w:t>
      </w:r>
    </w:p>
    <w:p w:rsidR="005D7A6B" w:rsidRDefault="005D7A6B" w:rsidP="00252515">
      <w:pPr>
        <w:contextualSpacing/>
        <w:jc w:val="both"/>
        <w:rPr>
          <w:iCs/>
          <w:color w:val="333333"/>
          <w:shd w:val="clear" w:color="auto" w:fill="FFFFFF"/>
        </w:rPr>
      </w:pPr>
    </w:p>
    <w:p w:rsidR="00802EED" w:rsidRDefault="00802EED" w:rsidP="00252515">
      <w:pPr>
        <w:contextualSpacing/>
        <w:jc w:val="both"/>
        <w:rPr>
          <w:color w:val="000000" w:themeColor="text1"/>
        </w:rPr>
      </w:pPr>
      <w:r w:rsidRPr="00336AFD">
        <w:rPr>
          <w:color w:val="000000" w:themeColor="text1"/>
        </w:rPr>
        <w:t xml:space="preserve">Goldson, B. and Hardwick, N. (2017) Operational Review of </w:t>
      </w:r>
      <w:proofErr w:type="spellStart"/>
      <w:r w:rsidRPr="00336AFD">
        <w:rPr>
          <w:color w:val="000000" w:themeColor="text1"/>
        </w:rPr>
        <w:t>Oberstown</w:t>
      </w:r>
      <w:proofErr w:type="spellEnd"/>
      <w:r w:rsidRPr="00336AFD">
        <w:rPr>
          <w:color w:val="000000" w:themeColor="text1"/>
        </w:rPr>
        <w:t xml:space="preserve"> Children Detention Campus: Commissioned by the Board of Management, </w:t>
      </w:r>
      <w:proofErr w:type="spellStart"/>
      <w:r w:rsidRPr="00336AFD">
        <w:rPr>
          <w:color w:val="000000" w:themeColor="text1"/>
        </w:rPr>
        <w:t>Oberstown</w:t>
      </w:r>
      <w:proofErr w:type="spellEnd"/>
      <w:r w:rsidRPr="00336AFD">
        <w:rPr>
          <w:color w:val="000000" w:themeColor="text1"/>
        </w:rPr>
        <w:t xml:space="preserve"> Children Detention Campus for the Minister for Children and Youth Affairs, Government of Ireland (currently unpublished report). </w:t>
      </w:r>
    </w:p>
    <w:p w:rsidR="00A30C69" w:rsidRDefault="00A30C69" w:rsidP="00252515">
      <w:pPr>
        <w:contextualSpacing/>
        <w:jc w:val="both"/>
        <w:rPr>
          <w:color w:val="000000" w:themeColor="text1"/>
        </w:rPr>
      </w:pPr>
    </w:p>
    <w:p w:rsidR="00A30C69" w:rsidRPr="007676C3" w:rsidRDefault="00A30C69" w:rsidP="00252515">
      <w:pPr>
        <w:rPr>
          <w:lang w:eastAsia="en-GB"/>
        </w:rPr>
      </w:pPr>
      <w:r w:rsidRPr="007676C3">
        <w:rPr>
          <w:color w:val="222222"/>
          <w:shd w:val="clear" w:color="auto" w:fill="FFFFFF"/>
          <w:lang w:eastAsia="en-GB"/>
        </w:rPr>
        <w:t>Goodman, P., &amp; Dawe, M. (2015). Prisoners, Cows and Abattoirs: The Closing of Canada’s Prison Farms as a Political Penal Drama. </w:t>
      </w:r>
      <w:r w:rsidRPr="007676C3">
        <w:rPr>
          <w:i/>
          <w:iCs/>
          <w:color w:val="222222"/>
          <w:lang w:eastAsia="en-GB"/>
        </w:rPr>
        <w:t>British Journal of Criminology</w:t>
      </w:r>
      <w:r w:rsidRPr="007676C3">
        <w:rPr>
          <w:color w:val="222222"/>
          <w:shd w:val="clear" w:color="auto" w:fill="FFFFFF"/>
          <w:lang w:eastAsia="en-GB"/>
        </w:rPr>
        <w:t>, </w:t>
      </w:r>
      <w:r w:rsidRPr="007676C3">
        <w:rPr>
          <w:i/>
          <w:iCs/>
          <w:color w:val="222222"/>
          <w:lang w:eastAsia="en-GB"/>
        </w:rPr>
        <w:t>56</w:t>
      </w:r>
      <w:r w:rsidRPr="007676C3">
        <w:rPr>
          <w:color w:val="222222"/>
          <w:shd w:val="clear" w:color="auto" w:fill="FFFFFF"/>
          <w:lang w:eastAsia="en-GB"/>
        </w:rPr>
        <w:t>(4), 793-812.</w:t>
      </w:r>
    </w:p>
    <w:p w:rsidR="00A30C69" w:rsidRPr="00336AFD" w:rsidRDefault="00A30C69" w:rsidP="00252515">
      <w:pPr>
        <w:contextualSpacing/>
        <w:jc w:val="both"/>
        <w:rPr>
          <w:color w:val="000000" w:themeColor="text1"/>
        </w:rPr>
      </w:pPr>
    </w:p>
    <w:p w:rsidR="00A30C69" w:rsidRPr="00A30C69" w:rsidRDefault="00A30C69" w:rsidP="00252515">
      <w:pPr>
        <w:rPr>
          <w:color w:val="222222"/>
          <w:shd w:val="clear" w:color="auto" w:fill="FFFFFF"/>
          <w:lang w:eastAsia="en-GB"/>
        </w:rPr>
      </w:pPr>
      <w:r w:rsidRPr="003B67CC">
        <w:rPr>
          <w:color w:val="222222"/>
          <w:shd w:val="clear" w:color="auto" w:fill="FFFFFF"/>
          <w:lang w:eastAsia="en-GB"/>
        </w:rPr>
        <w:lastRenderedPageBreak/>
        <w:t>Gottschalk, M. (2005). Dismantling the carceral state: The future of penal policy reform. </w:t>
      </w:r>
      <w:r w:rsidRPr="003B67CC">
        <w:rPr>
          <w:i/>
          <w:iCs/>
          <w:color w:val="222222"/>
          <w:lang w:eastAsia="en-GB"/>
        </w:rPr>
        <w:t>Tex. L. Rev.</w:t>
      </w:r>
      <w:r w:rsidRPr="003B67CC">
        <w:rPr>
          <w:color w:val="222222"/>
          <w:shd w:val="clear" w:color="auto" w:fill="FFFFFF"/>
          <w:lang w:eastAsia="en-GB"/>
        </w:rPr>
        <w:t>, </w:t>
      </w:r>
      <w:r w:rsidRPr="003B67CC">
        <w:rPr>
          <w:i/>
          <w:iCs/>
          <w:color w:val="222222"/>
          <w:lang w:eastAsia="en-GB"/>
        </w:rPr>
        <w:t>84</w:t>
      </w:r>
      <w:r w:rsidRPr="003B67CC">
        <w:rPr>
          <w:color w:val="222222"/>
          <w:shd w:val="clear" w:color="auto" w:fill="FFFFFF"/>
          <w:lang w:eastAsia="en-GB"/>
        </w:rPr>
        <w:t>, 1693.</w:t>
      </w:r>
    </w:p>
    <w:p w:rsidR="00A30C69" w:rsidRPr="003B67CC" w:rsidRDefault="00A30C69" w:rsidP="00252515">
      <w:pPr>
        <w:rPr>
          <w:lang w:eastAsia="en-GB"/>
        </w:rPr>
      </w:pPr>
    </w:p>
    <w:p w:rsidR="00A30C69" w:rsidRPr="00A30C69" w:rsidRDefault="00A30C69" w:rsidP="00252515">
      <w:pPr>
        <w:rPr>
          <w:lang w:eastAsia="en-GB"/>
        </w:rPr>
      </w:pPr>
      <w:r w:rsidRPr="003B67CC">
        <w:rPr>
          <w:color w:val="222222"/>
          <w:shd w:val="clear" w:color="auto" w:fill="FFFFFF"/>
          <w:lang w:eastAsia="en-GB"/>
        </w:rPr>
        <w:t>Gottschalk, M. (2015). Razing the carceral state. </w:t>
      </w:r>
      <w:r w:rsidRPr="003B67CC">
        <w:rPr>
          <w:i/>
          <w:iCs/>
          <w:color w:val="222222"/>
          <w:lang w:eastAsia="en-GB"/>
        </w:rPr>
        <w:t>Social Justice</w:t>
      </w:r>
      <w:r w:rsidRPr="003B67CC">
        <w:rPr>
          <w:color w:val="222222"/>
          <w:shd w:val="clear" w:color="auto" w:fill="FFFFFF"/>
          <w:lang w:eastAsia="en-GB"/>
        </w:rPr>
        <w:t>, </w:t>
      </w:r>
      <w:r w:rsidRPr="003B67CC">
        <w:rPr>
          <w:i/>
          <w:iCs/>
          <w:color w:val="222222"/>
          <w:lang w:eastAsia="en-GB"/>
        </w:rPr>
        <w:t>42</w:t>
      </w:r>
      <w:r w:rsidRPr="003B67CC">
        <w:rPr>
          <w:color w:val="222222"/>
          <w:shd w:val="clear" w:color="auto" w:fill="FFFFFF"/>
          <w:lang w:eastAsia="en-GB"/>
        </w:rPr>
        <w:t>(2 (140), 31-51.</w:t>
      </w:r>
    </w:p>
    <w:p w:rsidR="00A30C69" w:rsidRPr="00336AFD" w:rsidRDefault="00A30C69" w:rsidP="00252515">
      <w:pPr>
        <w:contextualSpacing/>
        <w:jc w:val="both"/>
      </w:pPr>
    </w:p>
    <w:p w:rsidR="00802EED" w:rsidRPr="00336AFD" w:rsidRDefault="00802EED" w:rsidP="00252515">
      <w:pPr>
        <w:contextualSpacing/>
        <w:jc w:val="both"/>
      </w:pPr>
      <w:r w:rsidRPr="00336AFD">
        <w:t xml:space="preserve">Hale, C. (1999) ‘The Labour Market and Post-war Crime Trends in England and Wales’, in Carlen, P. and Morgan, R. </w:t>
      </w:r>
      <w:r w:rsidRPr="00336AFD">
        <w:rPr>
          <w:i/>
        </w:rPr>
        <w:t>Crime Unlimited? Questions for the 21st Century</w:t>
      </w:r>
      <w:r w:rsidRPr="00336AFD">
        <w:t>, Palgrave Macmillan, 30-56</w:t>
      </w:r>
    </w:p>
    <w:p w:rsidR="00802EED" w:rsidRPr="00336AFD" w:rsidRDefault="00802EED" w:rsidP="00252515">
      <w:pPr>
        <w:contextualSpacing/>
        <w:jc w:val="both"/>
      </w:pPr>
    </w:p>
    <w:p w:rsidR="00802EED" w:rsidRPr="00336AFD" w:rsidRDefault="00802EED" w:rsidP="00252515">
      <w:pPr>
        <w:contextualSpacing/>
        <w:jc w:val="both"/>
      </w:pPr>
      <w:r w:rsidRPr="00336AFD">
        <w:t xml:space="preserve">Hall, S., </w:t>
      </w:r>
      <w:proofErr w:type="spellStart"/>
      <w:r w:rsidRPr="00336AFD">
        <w:t>Critcher</w:t>
      </w:r>
      <w:proofErr w:type="spellEnd"/>
      <w:r w:rsidRPr="00336AFD">
        <w:t xml:space="preserve">, C., Jefferson, T., Clarke J. and Roberts, B. (1978) </w:t>
      </w:r>
      <w:r w:rsidRPr="00336AFD">
        <w:rPr>
          <w:i/>
        </w:rPr>
        <w:t>Policing the Crisis: Mugging, the State and Law and Order</w:t>
      </w:r>
      <w:r w:rsidRPr="00336AFD">
        <w:t>, Basingstoke: Macmillan.</w:t>
      </w:r>
    </w:p>
    <w:p w:rsidR="00802EED" w:rsidRPr="00336AFD" w:rsidRDefault="00802EED" w:rsidP="00252515">
      <w:pPr>
        <w:contextualSpacing/>
        <w:jc w:val="both"/>
      </w:pPr>
    </w:p>
    <w:p w:rsidR="00802EED" w:rsidRPr="00336AFD" w:rsidRDefault="00802EED" w:rsidP="00252515">
      <w:pPr>
        <w:contextualSpacing/>
        <w:jc w:val="both"/>
      </w:pPr>
      <w:r w:rsidRPr="00336AFD">
        <w:t xml:space="preserve">Hart, E. and </w:t>
      </w:r>
      <w:proofErr w:type="spellStart"/>
      <w:r w:rsidRPr="00336AFD">
        <w:t>Ginneken</w:t>
      </w:r>
      <w:proofErr w:type="spellEnd"/>
      <w:r w:rsidRPr="00336AFD">
        <w:t xml:space="preserve">, E. eds. (2017) </w:t>
      </w:r>
      <w:r w:rsidRPr="00336AFD">
        <w:rPr>
          <w:i/>
        </w:rPr>
        <w:t>New Perspectives on Desistance: Theoretical and Empirical Developments</w:t>
      </w:r>
      <w:r w:rsidRPr="00336AFD">
        <w:t>, Basingstoke: Palgrave Macmillan.</w:t>
      </w:r>
    </w:p>
    <w:p w:rsidR="00802EED" w:rsidRPr="00336AFD" w:rsidRDefault="00802EED" w:rsidP="00252515">
      <w:pPr>
        <w:contextualSpacing/>
        <w:jc w:val="both"/>
      </w:pPr>
    </w:p>
    <w:p w:rsidR="00802EED" w:rsidRPr="00336AFD" w:rsidRDefault="00802EED" w:rsidP="00252515">
      <w:pPr>
        <w:contextualSpacing/>
        <w:jc w:val="both"/>
        <w:rPr>
          <w:color w:val="222222"/>
          <w:shd w:val="clear" w:color="auto" w:fill="FFFFFF"/>
        </w:rPr>
      </w:pPr>
      <w:r w:rsidRPr="00336AFD">
        <w:rPr>
          <w:color w:val="222222"/>
          <w:shd w:val="clear" w:color="auto" w:fill="FFFFFF"/>
        </w:rPr>
        <w:t xml:space="preserve">Hendrick, H. (2003) </w:t>
      </w:r>
      <w:r w:rsidRPr="00336AFD">
        <w:rPr>
          <w:i/>
          <w:color w:val="222222"/>
          <w:shd w:val="clear" w:color="auto" w:fill="FFFFFF"/>
        </w:rPr>
        <w:t>Child Welfare: Historical Dimensions, Contemporary Debate</w:t>
      </w:r>
      <w:r w:rsidRPr="00336AFD">
        <w:rPr>
          <w:color w:val="222222"/>
          <w:shd w:val="clear" w:color="auto" w:fill="FFFFFF"/>
        </w:rPr>
        <w:t>. Bristol: Policy Press.</w:t>
      </w:r>
    </w:p>
    <w:p w:rsidR="00802EED" w:rsidRPr="00336AFD" w:rsidRDefault="00802EED" w:rsidP="00252515">
      <w:pPr>
        <w:contextualSpacing/>
        <w:jc w:val="both"/>
        <w:rPr>
          <w:color w:val="222222"/>
          <w:shd w:val="clear" w:color="auto" w:fill="FFFFFF"/>
        </w:rPr>
      </w:pPr>
    </w:p>
    <w:p w:rsidR="00802EED" w:rsidRPr="00336AFD" w:rsidRDefault="00802EED" w:rsidP="00252515">
      <w:pPr>
        <w:contextualSpacing/>
        <w:jc w:val="both"/>
      </w:pPr>
      <w:r w:rsidRPr="00336AFD">
        <w:rPr>
          <w:color w:val="222222"/>
          <w:shd w:val="clear" w:color="auto" w:fill="FFFFFF"/>
        </w:rPr>
        <w:t xml:space="preserve">Hindley, N., </w:t>
      </w:r>
      <w:proofErr w:type="spellStart"/>
      <w:r w:rsidRPr="00336AFD">
        <w:rPr>
          <w:color w:val="222222"/>
          <w:shd w:val="clear" w:color="auto" w:fill="FFFFFF"/>
        </w:rPr>
        <w:t>Lengua</w:t>
      </w:r>
      <w:proofErr w:type="spellEnd"/>
      <w:r w:rsidRPr="00336AFD">
        <w:rPr>
          <w:color w:val="222222"/>
          <w:shd w:val="clear" w:color="auto" w:fill="FFFFFF"/>
        </w:rPr>
        <w:t xml:space="preserve">, C., &amp; White, O. (2017). Forensic mental health services for children and adolescents: rationale and development, </w:t>
      </w:r>
      <w:proofErr w:type="spellStart"/>
      <w:r w:rsidRPr="00336AFD">
        <w:rPr>
          <w:i/>
          <w:iCs/>
          <w:color w:val="222222"/>
        </w:rPr>
        <w:t>BJPsych</w:t>
      </w:r>
      <w:proofErr w:type="spellEnd"/>
      <w:r w:rsidRPr="00336AFD">
        <w:rPr>
          <w:i/>
          <w:iCs/>
          <w:color w:val="222222"/>
        </w:rPr>
        <w:t xml:space="preserve"> Advances</w:t>
      </w:r>
      <w:r w:rsidRPr="00336AFD">
        <w:rPr>
          <w:color w:val="222222"/>
          <w:shd w:val="clear" w:color="auto" w:fill="FFFFFF"/>
        </w:rPr>
        <w:t>, </w:t>
      </w:r>
      <w:r w:rsidRPr="00336AFD">
        <w:rPr>
          <w:i/>
          <w:iCs/>
          <w:color w:val="222222"/>
        </w:rPr>
        <w:t>23</w:t>
      </w:r>
      <w:r w:rsidRPr="00336AFD">
        <w:rPr>
          <w:color w:val="222222"/>
          <w:shd w:val="clear" w:color="auto" w:fill="FFFFFF"/>
        </w:rPr>
        <w:t>(1), 36-43.</w:t>
      </w:r>
    </w:p>
    <w:p w:rsidR="00802EED" w:rsidRPr="00336AFD" w:rsidRDefault="00802EED" w:rsidP="00252515">
      <w:pPr>
        <w:contextualSpacing/>
        <w:jc w:val="both"/>
        <w:rPr>
          <w:color w:val="FF0000"/>
        </w:rPr>
      </w:pPr>
    </w:p>
    <w:p w:rsidR="00802EED" w:rsidRPr="00336AFD" w:rsidRDefault="00802EED" w:rsidP="00252515">
      <w:pPr>
        <w:contextualSpacing/>
        <w:jc w:val="both"/>
      </w:pPr>
      <w:r w:rsidRPr="00336AFD">
        <w:t xml:space="preserve">Hobhouse, S. and Brockway, A.F. (1922) </w:t>
      </w:r>
      <w:r w:rsidRPr="00336AFD">
        <w:rPr>
          <w:i/>
        </w:rPr>
        <w:t>The Report of the Prison System Enquiry Committee</w:t>
      </w:r>
      <w:r w:rsidRPr="00336AFD">
        <w:t xml:space="preserve">, (also published as </w:t>
      </w:r>
      <w:r w:rsidRPr="00336AFD">
        <w:rPr>
          <w:i/>
        </w:rPr>
        <w:t>English Prisons Today</w:t>
      </w:r>
      <w:r w:rsidRPr="00336AFD">
        <w:t>)</w:t>
      </w:r>
    </w:p>
    <w:p w:rsidR="00802EED" w:rsidRPr="00336AFD" w:rsidRDefault="00802EED" w:rsidP="00252515">
      <w:pPr>
        <w:contextualSpacing/>
        <w:jc w:val="both"/>
      </w:pPr>
    </w:p>
    <w:p w:rsidR="00802EED" w:rsidRPr="00336AFD" w:rsidRDefault="00802EED" w:rsidP="00252515">
      <w:pPr>
        <w:contextualSpacing/>
        <w:jc w:val="both"/>
      </w:pPr>
      <w:r w:rsidRPr="00336AFD">
        <w:t xml:space="preserve">Howard League (2014) </w:t>
      </w:r>
      <w:r w:rsidRPr="00336AFD">
        <w:rPr>
          <w:i/>
        </w:rPr>
        <w:t>Breaking point: Understaffing and overcrowding in prisons</w:t>
      </w:r>
      <w:r w:rsidRPr="00336AFD">
        <w:t>. London: Howard League for Penal Reform</w:t>
      </w:r>
    </w:p>
    <w:p w:rsidR="00802EED" w:rsidRPr="00336AFD" w:rsidRDefault="00802EED" w:rsidP="00252515">
      <w:pPr>
        <w:contextualSpacing/>
        <w:jc w:val="both"/>
      </w:pPr>
    </w:p>
    <w:p w:rsidR="00802EED" w:rsidRPr="00336AFD" w:rsidRDefault="00802EED" w:rsidP="00252515">
      <w:pPr>
        <w:contextualSpacing/>
        <w:jc w:val="both"/>
        <w:rPr>
          <w:rFonts w:eastAsia="Arial Unicode MS"/>
        </w:rPr>
      </w:pPr>
      <w:r w:rsidRPr="00336AFD">
        <w:rPr>
          <w:rFonts w:eastAsia="Arial Unicode MS"/>
        </w:rPr>
        <w:t>Hudson, B. (1984) The rising use of imprisonment: the impact of ‘</w:t>
      </w:r>
      <w:proofErr w:type="spellStart"/>
      <w:r w:rsidRPr="00336AFD">
        <w:rPr>
          <w:rFonts w:eastAsia="Arial Unicode MS"/>
        </w:rPr>
        <w:t>decarceration</w:t>
      </w:r>
      <w:proofErr w:type="spellEnd"/>
      <w:r w:rsidRPr="00336AFD">
        <w:rPr>
          <w:rFonts w:eastAsia="Arial Unicode MS"/>
        </w:rPr>
        <w:t xml:space="preserve">’ policies. </w:t>
      </w:r>
      <w:r w:rsidRPr="00336AFD">
        <w:rPr>
          <w:rFonts w:eastAsia="Arial Unicode MS"/>
          <w:i/>
        </w:rPr>
        <w:t>Critical Social Policy</w:t>
      </w:r>
      <w:r w:rsidRPr="00336AFD">
        <w:rPr>
          <w:rFonts w:eastAsia="Arial Unicode MS"/>
        </w:rPr>
        <w:t xml:space="preserve">, 11, 46-59 </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rPr>
          <w:rFonts w:eastAsia="Arial Unicode MS"/>
        </w:rPr>
      </w:pPr>
      <w:r w:rsidRPr="00336AFD">
        <w:rPr>
          <w:rFonts w:eastAsia="Arial Unicode MS"/>
        </w:rPr>
        <w:t xml:space="preserve">Hudson, B. (1987) Justice Through Punishment? Critique of the ‘Justice’ Model of Corrections. London: Macmillan </w:t>
      </w:r>
    </w:p>
    <w:p w:rsidR="00802EED" w:rsidRPr="00336AFD" w:rsidRDefault="00802EED" w:rsidP="00252515">
      <w:pPr>
        <w:contextualSpacing/>
        <w:jc w:val="both"/>
        <w:rPr>
          <w:rFonts w:eastAsia="Arial Unicode MS"/>
          <w:color w:val="FF0000"/>
        </w:rPr>
      </w:pPr>
    </w:p>
    <w:p w:rsidR="00802EED" w:rsidRPr="00336AFD" w:rsidRDefault="00802EED" w:rsidP="00252515">
      <w:pPr>
        <w:contextualSpacing/>
        <w:jc w:val="both"/>
      </w:pPr>
      <w:proofErr w:type="spellStart"/>
      <w:r w:rsidRPr="00336AFD">
        <w:t>Jewkes</w:t>
      </w:r>
      <w:proofErr w:type="spellEnd"/>
      <w:r w:rsidRPr="00336AFD">
        <w:t xml:space="preserve">, Y., Crewe, B. and Bennett, J. eds (2016) </w:t>
      </w:r>
      <w:r w:rsidRPr="00336AFD">
        <w:rPr>
          <w:i/>
        </w:rPr>
        <w:t>Handbook on Prisons</w:t>
      </w:r>
      <w:r w:rsidRPr="00336AFD">
        <w:t>, London: Routledge.</w:t>
      </w:r>
    </w:p>
    <w:p w:rsidR="00802EED" w:rsidRPr="00336AFD" w:rsidRDefault="00802EED" w:rsidP="00252515">
      <w:pPr>
        <w:contextualSpacing/>
        <w:jc w:val="both"/>
      </w:pPr>
    </w:p>
    <w:p w:rsidR="00802EED" w:rsidRDefault="00802EED" w:rsidP="00252515">
      <w:pPr>
        <w:contextualSpacing/>
        <w:jc w:val="both"/>
        <w:rPr>
          <w:color w:val="222222"/>
          <w:shd w:val="clear" w:color="auto" w:fill="FFFFFF"/>
        </w:rPr>
      </w:pPr>
      <w:r w:rsidRPr="00336AFD">
        <w:rPr>
          <w:color w:val="222222"/>
          <w:shd w:val="clear" w:color="auto" w:fill="FFFFFF"/>
        </w:rPr>
        <w:t>Johnston, H. (2015) </w:t>
      </w:r>
      <w:r w:rsidRPr="00336AFD">
        <w:rPr>
          <w:i/>
          <w:iCs/>
          <w:color w:val="222222"/>
        </w:rPr>
        <w:t>Crime in England 1815-1880: Experiencing the criminal justice system</w:t>
      </w:r>
      <w:r w:rsidRPr="00336AFD">
        <w:rPr>
          <w:color w:val="222222"/>
          <w:shd w:val="clear" w:color="auto" w:fill="FFFFFF"/>
        </w:rPr>
        <w:t>. Routledge.</w:t>
      </w:r>
    </w:p>
    <w:p w:rsidR="00900981" w:rsidRDefault="00900981" w:rsidP="00252515">
      <w:pPr>
        <w:contextualSpacing/>
        <w:jc w:val="both"/>
        <w:rPr>
          <w:color w:val="222222"/>
          <w:shd w:val="clear" w:color="auto" w:fill="FFFFFF"/>
        </w:rPr>
      </w:pPr>
    </w:p>
    <w:p w:rsidR="00900981" w:rsidRPr="00900981" w:rsidRDefault="00900981" w:rsidP="00252515">
      <w:pPr>
        <w:jc w:val="both"/>
        <w:rPr>
          <w:lang w:eastAsia="en-GB"/>
        </w:rPr>
      </w:pPr>
      <w:r w:rsidRPr="008A54C0">
        <w:rPr>
          <w:color w:val="222222"/>
          <w:shd w:val="clear" w:color="auto" w:fill="FFFFFF"/>
          <w:lang w:eastAsia="en-GB"/>
        </w:rPr>
        <w:t xml:space="preserve">Johnson, R., </w:t>
      </w:r>
      <w:proofErr w:type="spellStart"/>
      <w:r w:rsidRPr="008A54C0">
        <w:rPr>
          <w:color w:val="222222"/>
          <w:shd w:val="clear" w:color="auto" w:fill="FFFFFF"/>
          <w:lang w:eastAsia="en-GB"/>
        </w:rPr>
        <w:t>Hoelter</w:t>
      </w:r>
      <w:proofErr w:type="spellEnd"/>
      <w:r w:rsidRPr="008A54C0">
        <w:rPr>
          <w:color w:val="222222"/>
          <w:shd w:val="clear" w:color="auto" w:fill="FFFFFF"/>
          <w:lang w:eastAsia="en-GB"/>
        </w:rPr>
        <w:t xml:space="preserve">, H. J., </w:t>
      </w:r>
      <w:r>
        <w:rPr>
          <w:color w:val="222222"/>
          <w:shd w:val="clear" w:color="auto" w:fill="FFFFFF"/>
          <w:lang w:eastAsia="en-GB"/>
        </w:rPr>
        <w:t>and</w:t>
      </w:r>
      <w:r w:rsidRPr="008A54C0">
        <w:rPr>
          <w:color w:val="222222"/>
          <w:shd w:val="clear" w:color="auto" w:fill="FFFFFF"/>
          <w:lang w:eastAsia="en-GB"/>
        </w:rPr>
        <w:t xml:space="preserve"> Miller, J. G. (1981). Juvenile </w:t>
      </w:r>
      <w:proofErr w:type="spellStart"/>
      <w:r w:rsidRPr="008A54C0">
        <w:rPr>
          <w:color w:val="222222"/>
          <w:shd w:val="clear" w:color="auto" w:fill="FFFFFF"/>
          <w:lang w:eastAsia="en-GB"/>
        </w:rPr>
        <w:t>decarceration</w:t>
      </w:r>
      <w:proofErr w:type="spellEnd"/>
      <w:r w:rsidRPr="008A54C0">
        <w:rPr>
          <w:color w:val="222222"/>
          <w:shd w:val="clear" w:color="auto" w:fill="FFFFFF"/>
          <w:lang w:eastAsia="en-GB"/>
        </w:rPr>
        <w:t>: An exploratory study of correctional reform. </w:t>
      </w:r>
      <w:r w:rsidRPr="008A54C0">
        <w:rPr>
          <w:i/>
          <w:iCs/>
          <w:color w:val="222222"/>
          <w:lang w:eastAsia="en-GB"/>
        </w:rPr>
        <w:t>Corrections at the Crossroads: Designing Policy, Beverley Hills, Sage</w:t>
      </w:r>
      <w:r w:rsidRPr="008A54C0">
        <w:rPr>
          <w:color w:val="222222"/>
          <w:shd w:val="clear" w:color="auto" w:fill="FFFFFF"/>
          <w:lang w:eastAsia="en-GB"/>
        </w:rPr>
        <w:t>, 151-173.</w:t>
      </w:r>
    </w:p>
    <w:p w:rsidR="00802EED" w:rsidRPr="00336AFD" w:rsidRDefault="00802EED" w:rsidP="00252515">
      <w:pPr>
        <w:contextualSpacing/>
        <w:jc w:val="both"/>
        <w:rPr>
          <w:rFonts w:eastAsia="Arial Unicode MS"/>
          <w:b/>
          <w:color w:val="FF0000"/>
        </w:rPr>
      </w:pPr>
    </w:p>
    <w:p w:rsidR="00802EED" w:rsidRPr="00336AFD" w:rsidRDefault="00802EED" w:rsidP="00252515">
      <w:pPr>
        <w:contextualSpacing/>
        <w:jc w:val="both"/>
        <w:rPr>
          <w:i/>
          <w:color w:val="000000" w:themeColor="text1"/>
        </w:rPr>
      </w:pPr>
      <w:proofErr w:type="spellStart"/>
      <w:r w:rsidRPr="00336AFD">
        <w:rPr>
          <w:color w:val="000000" w:themeColor="text1"/>
        </w:rPr>
        <w:t>Lammy</w:t>
      </w:r>
      <w:proofErr w:type="spellEnd"/>
      <w:r w:rsidRPr="00336AFD">
        <w:rPr>
          <w:color w:val="000000" w:themeColor="text1"/>
        </w:rPr>
        <w:t xml:space="preserve">, D. (2017) </w:t>
      </w:r>
      <w:proofErr w:type="spellStart"/>
      <w:r w:rsidRPr="00336AFD">
        <w:rPr>
          <w:color w:val="000000" w:themeColor="text1"/>
        </w:rPr>
        <w:t>I</w:t>
      </w:r>
      <w:r w:rsidRPr="00336AFD">
        <w:rPr>
          <w:i/>
          <w:color w:val="000000" w:themeColor="text1"/>
        </w:rPr>
        <w:t>he</w:t>
      </w:r>
      <w:proofErr w:type="spellEnd"/>
      <w:r w:rsidRPr="00336AFD">
        <w:rPr>
          <w:i/>
          <w:color w:val="000000" w:themeColor="text1"/>
        </w:rPr>
        <w:t xml:space="preserve"> </w:t>
      </w:r>
      <w:proofErr w:type="spellStart"/>
      <w:r w:rsidRPr="00336AFD">
        <w:rPr>
          <w:i/>
          <w:color w:val="000000" w:themeColor="text1"/>
        </w:rPr>
        <w:t>Lammy</w:t>
      </w:r>
      <w:proofErr w:type="spellEnd"/>
      <w:r w:rsidRPr="00336AFD">
        <w:rPr>
          <w:i/>
          <w:color w:val="000000" w:themeColor="text1"/>
        </w:rPr>
        <w:t xml:space="preserve"> Review An independent review into the treatment of, and outcomes for, Black, Asian and Minority Ethnic individuals in the Criminal Justice System, </w:t>
      </w:r>
      <w:r w:rsidRPr="00336AFD">
        <w:rPr>
          <w:color w:val="000000" w:themeColor="text1"/>
        </w:rPr>
        <w:t>London: HMSO</w:t>
      </w:r>
    </w:p>
    <w:p w:rsidR="00802EED" w:rsidRPr="00336AFD" w:rsidRDefault="00802EED" w:rsidP="00252515">
      <w:pPr>
        <w:contextualSpacing/>
        <w:jc w:val="both"/>
      </w:pPr>
    </w:p>
    <w:p w:rsidR="00802EED" w:rsidRPr="00336AFD" w:rsidRDefault="00802EED" w:rsidP="00252515">
      <w:pPr>
        <w:contextualSpacing/>
        <w:jc w:val="both"/>
      </w:pPr>
      <w:r w:rsidRPr="00336AFD">
        <w:t xml:space="preserve">Lee, M. (1998) </w:t>
      </w:r>
      <w:r w:rsidRPr="00336AFD">
        <w:rPr>
          <w:i/>
        </w:rPr>
        <w:t>Youth, Crime and Police Work</w:t>
      </w:r>
      <w:r w:rsidRPr="00336AFD">
        <w:t xml:space="preserve">. Basingstoke: Palgrave Macmillan </w:t>
      </w:r>
    </w:p>
    <w:p w:rsidR="00802EED" w:rsidRPr="00336AFD" w:rsidRDefault="00802EED" w:rsidP="00252515">
      <w:pPr>
        <w:contextualSpacing/>
        <w:jc w:val="both"/>
      </w:pPr>
    </w:p>
    <w:p w:rsidR="00802EED" w:rsidRPr="00336AFD" w:rsidRDefault="00802EED" w:rsidP="00252515">
      <w:pPr>
        <w:contextualSpacing/>
        <w:jc w:val="both"/>
      </w:pPr>
      <w:proofErr w:type="spellStart"/>
      <w:r w:rsidRPr="00336AFD">
        <w:t>Lotti</w:t>
      </w:r>
      <w:proofErr w:type="spellEnd"/>
      <w:r w:rsidRPr="00336AFD">
        <w:t xml:space="preserve">, G. (2016) </w:t>
      </w:r>
      <w:r w:rsidRPr="00336AFD">
        <w:rPr>
          <w:i/>
        </w:rPr>
        <w:t>Tough on young offenders: helpful or harmful?</w:t>
      </w:r>
      <w:r w:rsidRPr="00336AFD">
        <w:t xml:space="preserve"> Warwick Economics Research Papers, 1126. University of Warwick</w:t>
      </w:r>
    </w:p>
    <w:p w:rsidR="00802EED" w:rsidRPr="00336AFD" w:rsidRDefault="00802EED" w:rsidP="00252515">
      <w:pPr>
        <w:contextualSpacing/>
        <w:jc w:val="both"/>
      </w:pPr>
    </w:p>
    <w:p w:rsidR="00BB0E85" w:rsidRDefault="00802EED" w:rsidP="00252515">
      <w:pPr>
        <w:contextualSpacing/>
        <w:jc w:val="both"/>
        <w:rPr>
          <w:color w:val="000000" w:themeColor="text1"/>
        </w:rPr>
      </w:pPr>
      <w:r w:rsidRPr="00336AFD">
        <w:rPr>
          <w:bCs/>
          <w:color w:val="000000" w:themeColor="text1"/>
        </w:rPr>
        <w:t xml:space="preserve">Mair, G. and Burke, L. (2013) </w:t>
      </w:r>
      <w:r w:rsidRPr="00336AFD">
        <w:rPr>
          <w:bCs/>
          <w:i/>
          <w:color w:val="000000" w:themeColor="text1"/>
        </w:rPr>
        <w:t>Redemption, Rehabilitation and Risk Management</w:t>
      </w:r>
      <w:r w:rsidRPr="00336AFD">
        <w:rPr>
          <w:bCs/>
          <w:i/>
          <w:color w:val="000000" w:themeColor="text1"/>
          <w:shd w:val="clear" w:color="auto" w:fill="FFFFFF"/>
        </w:rPr>
        <w:t>: </w:t>
      </w:r>
      <w:r w:rsidRPr="00336AFD">
        <w:rPr>
          <w:i/>
          <w:color w:val="000000" w:themeColor="text1"/>
        </w:rPr>
        <w:t xml:space="preserve">A History of Probation. </w:t>
      </w:r>
      <w:r w:rsidRPr="00336AFD">
        <w:rPr>
          <w:color w:val="000000" w:themeColor="text1"/>
        </w:rPr>
        <w:t>Cullompton: Willan</w:t>
      </w:r>
    </w:p>
    <w:p w:rsidR="00BB0E85" w:rsidRDefault="00BB0E85" w:rsidP="00252515">
      <w:pPr>
        <w:contextualSpacing/>
        <w:jc w:val="both"/>
        <w:rPr>
          <w:i/>
          <w:color w:val="000000" w:themeColor="text1"/>
        </w:rPr>
      </w:pPr>
    </w:p>
    <w:p w:rsidR="00BB0E85" w:rsidRPr="007676C3" w:rsidRDefault="00BB0E85" w:rsidP="00252515">
      <w:pPr>
        <w:rPr>
          <w:lang w:eastAsia="en-GB"/>
        </w:rPr>
      </w:pPr>
      <w:r w:rsidRPr="007676C3">
        <w:rPr>
          <w:color w:val="222222"/>
          <w:shd w:val="clear" w:color="auto" w:fill="FFFFFF"/>
          <w:lang w:eastAsia="en-GB"/>
        </w:rPr>
        <w:t xml:space="preserve">Matthews, R. (1987). </w:t>
      </w:r>
      <w:proofErr w:type="spellStart"/>
      <w:r w:rsidRPr="007676C3">
        <w:rPr>
          <w:color w:val="222222"/>
          <w:shd w:val="clear" w:color="auto" w:fill="FFFFFF"/>
          <w:lang w:eastAsia="en-GB"/>
        </w:rPr>
        <w:t>Decarceration</w:t>
      </w:r>
      <w:proofErr w:type="spellEnd"/>
      <w:r w:rsidRPr="007676C3">
        <w:rPr>
          <w:color w:val="222222"/>
          <w:shd w:val="clear" w:color="auto" w:fill="FFFFFF"/>
          <w:lang w:eastAsia="en-GB"/>
        </w:rPr>
        <w:t xml:space="preserve"> and social control: fantasies and realities. </w:t>
      </w:r>
      <w:r w:rsidRPr="007676C3">
        <w:rPr>
          <w:i/>
          <w:iCs/>
          <w:color w:val="222222"/>
          <w:lang w:eastAsia="en-GB"/>
        </w:rPr>
        <w:t>International Journal of the Sociology of Law</w:t>
      </w:r>
      <w:r w:rsidRPr="007676C3">
        <w:rPr>
          <w:color w:val="222222"/>
          <w:shd w:val="clear" w:color="auto" w:fill="FFFFFF"/>
          <w:lang w:eastAsia="en-GB"/>
        </w:rPr>
        <w:t>, </w:t>
      </w:r>
      <w:r w:rsidRPr="007676C3">
        <w:rPr>
          <w:i/>
          <w:iCs/>
          <w:color w:val="222222"/>
          <w:lang w:eastAsia="en-GB"/>
        </w:rPr>
        <w:t>15</w:t>
      </w:r>
      <w:r w:rsidRPr="007676C3">
        <w:rPr>
          <w:color w:val="222222"/>
          <w:shd w:val="clear" w:color="auto" w:fill="FFFFFF"/>
          <w:lang w:eastAsia="en-GB"/>
        </w:rPr>
        <w:t>(1), 39-60.</w:t>
      </w:r>
    </w:p>
    <w:p w:rsidR="00BB0E85" w:rsidRPr="00BB0E85" w:rsidRDefault="00BB0E85" w:rsidP="00252515">
      <w:pPr>
        <w:contextualSpacing/>
        <w:jc w:val="both"/>
        <w:rPr>
          <w:i/>
          <w:color w:val="000000" w:themeColor="text1"/>
        </w:rPr>
      </w:pPr>
    </w:p>
    <w:p w:rsidR="00802EED" w:rsidRPr="00336AFD" w:rsidRDefault="00802EED" w:rsidP="00252515">
      <w:pPr>
        <w:contextualSpacing/>
        <w:jc w:val="both"/>
        <w:rPr>
          <w:lang w:val="en-US"/>
        </w:rPr>
      </w:pPr>
      <w:r w:rsidRPr="00336AFD">
        <w:rPr>
          <w:lang w:val="en-US"/>
        </w:rPr>
        <w:t xml:space="preserve">McLaughlin, K., Osborne, S.P., and Ferlie, E. eds (2005) </w:t>
      </w:r>
      <w:r w:rsidRPr="00336AFD">
        <w:rPr>
          <w:i/>
          <w:lang w:val="en-US"/>
        </w:rPr>
        <w:t>New public management: current trends and future prospects</w:t>
      </w:r>
      <w:r w:rsidRPr="00336AFD">
        <w:rPr>
          <w:lang w:val="en-US"/>
        </w:rPr>
        <w:t>, London: Routledge.</w:t>
      </w:r>
    </w:p>
    <w:p w:rsidR="00802EED" w:rsidRPr="00336AFD" w:rsidRDefault="00802EED" w:rsidP="00252515">
      <w:pPr>
        <w:contextualSpacing/>
        <w:jc w:val="both"/>
        <w:rPr>
          <w:color w:val="FF0000"/>
          <w:shd w:val="clear" w:color="auto" w:fill="FFFFFF"/>
        </w:rPr>
      </w:pPr>
    </w:p>
    <w:p w:rsidR="00802EED" w:rsidRPr="00336AFD" w:rsidRDefault="00802EED" w:rsidP="00252515">
      <w:pPr>
        <w:contextualSpacing/>
        <w:jc w:val="both"/>
      </w:pPr>
      <w:r w:rsidRPr="00336AFD">
        <w:t xml:space="preserve">Meier, W. (2011) </w:t>
      </w:r>
      <w:r w:rsidRPr="00336AFD">
        <w:rPr>
          <w:i/>
        </w:rPr>
        <w:t>Property Crime in London</w:t>
      </w:r>
      <w:r w:rsidRPr="00336AFD">
        <w:t xml:space="preserve">, </w:t>
      </w:r>
      <w:r w:rsidRPr="00336AFD">
        <w:rPr>
          <w:i/>
        </w:rPr>
        <w:t>1850 to the present.</w:t>
      </w:r>
      <w:r w:rsidRPr="00336AFD">
        <w:t xml:space="preserve"> Basingstoke: Palgrave Macmillan.</w:t>
      </w:r>
    </w:p>
    <w:p w:rsidR="00802EED" w:rsidRPr="00336AFD" w:rsidRDefault="00802EED" w:rsidP="00252515">
      <w:pPr>
        <w:contextualSpacing/>
        <w:jc w:val="both"/>
      </w:pPr>
    </w:p>
    <w:p w:rsidR="00802EED" w:rsidRPr="00336AFD" w:rsidRDefault="00802EED" w:rsidP="00252515">
      <w:pPr>
        <w:contextualSpacing/>
        <w:jc w:val="both"/>
      </w:pPr>
      <w:r w:rsidRPr="00336AFD">
        <w:t xml:space="preserve">Moore, L., </w:t>
      </w:r>
      <w:proofErr w:type="spellStart"/>
      <w:r w:rsidRPr="00336AFD">
        <w:t>Scraton</w:t>
      </w:r>
      <w:proofErr w:type="spellEnd"/>
      <w:r w:rsidRPr="00336AFD">
        <w:t xml:space="preserve">, P. and Wahidin, A. eds (2017) </w:t>
      </w:r>
      <w:r w:rsidRPr="00336AFD">
        <w:rPr>
          <w:i/>
        </w:rPr>
        <w:t xml:space="preserve">Women’s Imprisonment and the Case for Abolition: Critical Reflections on </w:t>
      </w:r>
      <w:proofErr w:type="spellStart"/>
      <w:r w:rsidRPr="00336AFD">
        <w:rPr>
          <w:i/>
        </w:rPr>
        <w:t>Corston</w:t>
      </w:r>
      <w:proofErr w:type="spellEnd"/>
      <w:r w:rsidRPr="00336AFD">
        <w:rPr>
          <w:i/>
        </w:rPr>
        <w:t xml:space="preserve"> Ten Years On</w:t>
      </w:r>
      <w:r w:rsidRPr="00336AFD">
        <w:t>. London: Routledge</w:t>
      </w:r>
    </w:p>
    <w:p w:rsidR="00802EED" w:rsidRPr="00336AFD" w:rsidRDefault="00802EED" w:rsidP="00252515">
      <w:pPr>
        <w:contextualSpacing/>
        <w:jc w:val="both"/>
      </w:pPr>
    </w:p>
    <w:p w:rsidR="00802EED" w:rsidRPr="00336AFD" w:rsidRDefault="00802EED" w:rsidP="00252515">
      <w:pPr>
        <w:contextualSpacing/>
        <w:jc w:val="both"/>
      </w:pPr>
      <w:r w:rsidRPr="00336AFD">
        <w:t xml:space="preserve">Muncie, J. (1984) </w:t>
      </w:r>
      <w:r w:rsidRPr="00336AFD">
        <w:rPr>
          <w:i/>
        </w:rPr>
        <w:t>The Trouble with Kids Today: Youth and Crime in Post-war Britain</w:t>
      </w:r>
      <w:r w:rsidRPr="00336AFD">
        <w:t>, London: Harper Collins</w:t>
      </w:r>
    </w:p>
    <w:p w:rsidR="00802EED" w:rsidRPr="00336AFD" w:rsidRDefault="00802EED" w:rsidP="00252515">
      <w:pPr>
        <w:contextualSpacing/>
        <w:jc w:val="both"/>
      </w:pPr>
    </w:p>
    <w:p w:rsidR="00802EED" w:rsidRPr="00336AFD" w:rsidRDefault="00802EED" w:rsidP="00252515">
      <w:pPr>
        <w:contextualSpacing/>
        <w:jc w:val="both"/>
      </w:pPr>
      <w:r w:rsidRPr="00336AFD">
        <w:t xml:space="preserve">Muncie, J. (1990) “Failure never matters: detention centres and the politics of deterrence,” </w:t>
      </w:r>
      <w:r w:rsidRPr="00336AFD">
        <w:rPr>
          <w:i/>
        </w:rPr>
        <w:t>Critical Social Policy</w:t>
      </w:r>
      <w:r w:rsidRPr="00336AFD">
        <w:t xml:space="preserve">, 10, 28, 53-66. </w:t>
      </w:r>
    </w:p>
    <w:p w:rsidR="00802EED" w:rsidRPr="00336AFD" w:rsidRDefault="00802EED" w:rsidP="00252515">
      <w:pPr>
        <w:contextualSpacing/>
        <w:jc w:val="both"/>
      </w:pPr>
    </w:p>
    <w:p w:rsidR="00802EED" w:rsidRPr="00336AFD" w:rsidRDefault="00802EED" w:rsidP="00252515">
      <w:pPr>
        <w:contextualSpacing/>
        <w:jc w:val="both"/>
      </w:pPr>
      <w:r w:rsidRPr="00336AFD">
        <w:t xml:space="preserve">Muncie, J. (2009) </w:t>
      </w:r>
      <w:r w:rsidRPr="00336AFD">
        <w:rPr>
          <w:i/>
        </w:rPr>
        <w:t>Youth and Crime: A Critical Introduction</w:t>
      </w:r>
      <w:r w:rsidRPr="00336AFD">
        <w:t>, London: Sage</w:t>
      </w:r>
    </w:p>
    <w:p w:rsidR="00802EED" w:rsidRPr="00336AFD" w:rsidRDefault="00802EED" w:rsidP="00252515">
      <w:pPr>
        <w:contextualSpacing/>
        <w:jc w:val="both"/>
      </w:pPr>
    </w:p>
    <w:p w:rsidR="00802EED" w:rsidRPr="00336AFD" w:rsidRDefault="00802EED" w:rsidP="00252515">
      <w:pPr>
        <w:contextualSpacing/>
        <w:jc w:val="both"/>
        <w:rPr>
          <w:rFonts w:eastAsia="Arial Unicode MS"/>
          <w:color w:val="000000" w:themeColor="text1"/>
        </w:rPr>
      </w:pPr>
      <w:r w:rsidRPr="00336AFD">
        <w:rPr>
          <w:rFonts w:eastAsia="Arial Unicode MS"/>
          <w:color w:val="000000" w:themeColor="text1"/>
        </w:rPr>
        <w:t xml:space="preserve">Page, L. (1950) </w:t>
      </w:r>
      <w:r w:rsidRPr="00336AFD">
        <w:rPr>
          <w:rFonts w:eastAsia="Arial Unicode MS"/>
          <w:i/>
          <w:color w:val="000000" w:themeColor="text1"/>
        </w:rPr>
        <w:t>The Young Lag. A Study in Crime</w:t>
      </w:r>
      <w:r w:rsidRPr="00336AFD">
        <w:rPr>
          <w:rFonts w:eastAsia="Arial Unicode MS"/>
          <w:color w:val="000000" w:themeColor="text1"/>
        </w:rPr>
        <w:t>, Faber and Faber.</w:t>
      </w:r>
    </w:p>
    <w:p w:rsidR="00802EED" w:rsidRPr="00336AFD" w:rsidRDefault="00802EED" w:rsidP="00252515">
      <w:pPr>
        <w:contextualSpacing/>
        <w:jc w:val="both"/>
      </w:pPr>
    </w:p>
    <w:p w:rsidR="00802EED" w:rsidRPr="00336AFD" w:rsidRDefault="00802EED" w:rsidP="00252515">
      <w:pPr>
        <w:contextualSpacing/>
        <w:jc w:val="both"/>
      </w:pPr>
      <w:r w:rsidRPr="00336AFD">
        <w:t xml:space="preserve">Paterson, A. (1951) </w:t>
      </w:r>
      <w:r w:rsidRPr="00336AFD">
        <w:rPr>
          <w:i/>
        </w:rPr>
        <w:t>Paterson on Prisons: Being the Collected Papers of Sir Alexander Paterson</w:t>
      </w:r>
      <w:r w:rsidRPr="00336AFD">
        <w:t>. London: F. Muller.</w:t>
      </w:r>
    </w:p>
    <w:p w:rsidR="00802EED" w:rsidRPr="00336AFD" w:rsidRDefault="00802EED" w:rsidP="00252515">
      <w:pPr>
        <w:contextualSpacing/>
        <w:jc w:val="both"/>
      </w:pPr>
    </w:p>
    <w:p w:rsidR="00802EED" w:rsidRDefault="00802EED" w:rsidP="00252515">
      <w:pPr>
        <w:contextualSpacing/>
        <w:jc w:val="both"/>
        <w:rPr>
          <w:rFonts w:eastAsia="Arial Unicode MS"/>
        </w:rPr>
      </w:pPr>
      <w:r w:rsidRPr="00336AFD">
        <w:rPr>
          <w:rFonts w:eastAsia="Arial Unicode MS"/>
        </w:rPr>
        <w:t xml:space="preserve">Pearson, G. (1983) </w:t>
      </w:r>
      <w:r w:rsidRPr="00336AFD">
        <w:rPr>
          <w:rFonts w:eastAsia="Arial Unicode MS"/>
          <w:i/>
        </w:rPr>
        <w:t>Hooligan: A History of Respectable Fears</w:t>
      </w:r>
      <w:r w:rsidRPr="00336AFD">
        <w:rPr>
          <w:rFonts w:eastAsia="Arial Unicode MS"/>
        </w:rPr>
        <w:t>, London: Macmillan</w:t>
      </w:r>
    </w:p>
    <w:p w:rsidR="00A30C69" w:rsidRDefault="00A30C69" w:rsidP="00252515">
      <w:pPr>
        <w:contextualSpacing/>
        <w:jc w:val="both"/>
        <w:rPr>
          <w:rFonts w:eastAsia="Arial Unicode MS"/>
        </w:rPr>
      </w:pPr>
    </w:p>
    <w:p w:rsidR="00A30C69" w:rsidRPr="00A30C69" w:rsidRDefault="00A30C69" w:rsidP="00252515">
      <w:pPr>
        <w:rPr>
          <w:lang w:eastAsia="en-GB"/>
        </w:rPr>
      </w:pPr>
      <w:r w:rsidRPr="00CF67D6">
        <w:rPr>
          <w:color w:val="222222"/>
          <w:shd w:val="clear" w:color="auto" w:fill="FFFFFF"/>
          <w:lang w:eastAsia="en-GB"/>
        </w:rPr>
        <w:t xml:space="preserve">Platt, T. (2006). The prison </w:t>
      </w:r>
      <w:proofErr w:type="gramStart"/>
      <w:r w:rsidRPr="00CF67D6">
        <w:rPr>
          <w:color w:val="222222"/>
          <w:shd w:val="clear" w:color="auto" w:fill="FFFFFF"/>
          <w:lang w:eastAsia="en-GB"/>
        </w:rPr>
        <w:t>fix</w:t>
      </w:r>
      <w:proofErr w:type="gramEnd"/>
      <w:r w:rsidRPr="00CF67D6">
        <w:rPr>
          <w:color w:val="222222"/>
          <w:shd w:val="clear" w:color="auto" w:fill="FFFFFF"/>
          <w:lang w:eastAsia="en-GB"/>
        </w:rPr>
        <w:t>. </w:t>
      </w:r>
      <w:r w:rsidRPr="00CF67D6">
        <w:rPr>
          <w:i/>
          <w:iCs/>
          <w:color w:val="222222"/>
          <w:lang w:eastAsia="en-GB"/>
        </w:rPr>
        <w:t>Social Justice</w:t>
      </w:r>
      <w:r w:rsidRPr="00CF67D6">
        <w:rPr>
          <w:color w:val="222222"/>
          <w:shd w:val="clear" w:color="auto" w:fill="FFFFFF"/>
          <w:lang w:eastAsia="en-GB"/>
        </w:rPr>
        <w:t>, </w:t>
      </w:r>
      <w:r w:rsidRPr="00CF67D6">
        <w:rPr>
          <w:i/>
          <w:iCs/>
          <w:color w:val="222222"/>
          <w:lang w:eastAsia="en-GB"/>
        </w:rPr>
        <w:t>33</w:t>
      </w:r>
      <w:r w:rsidRPr="00CF67D6">
        <w:rPr>
          <w:color w:val="222222"/>
          <w:shd w:val="clear" w:color="auto" w:fill="FFFFFF"/>
          <w:lang w:eastAsia="en-GB"/>
        </w:rPr>
        <w:t>(4), 203.</w:t>
      </w:r>
    </w:p>
    <w:p w:rsidR="0057683C" w:rsidRPr="00336AFD" w:rsidRDefault="0057683C" w:rsidP="00252515">
      <w:pPr>
        <w:contextualSpacing/>
        <w:jc w:val="both"/>
        <w:rPr>
          <w:rFonts w:eastAsia="Arial Unicode MS"/>
        </w:rPr>
      </w:pPr>
    </w:p>
    <w:p w:rsidR="00802EED" w:rsidRPr="00336AFD" w:rsidRDefault="00802EED" w:rsidP="00252515">
      <w:pPr>
        <w:contextualSpacing/>
        <w:jc w:val="both"/>
        <w:rPr>
          <w:rFonts w:eastAsia="Arial Unicode MS"/>
        </w:rPr>
      </w:pPr>
      <w:r w:rsidRPr="00336AFD">
        <w:rPr>
          <w:rFonts w:eastAsia="Arial Unicode MS"/>
        </w:rPr>
        <w:t xml:space="preserve">Pratt, J. (2006) </w:t>
      </w:r>
      <w:r w:rsidRPr="00336AFD">
        <w:rPr>
          <w:rFonts w:eastAsia="Arial Unicode MS"/>
          <w:i/>
        </w:rPr>
        <w:t>Penal Populism</w:t>
      </w:r>
      <w:r w:rsidRPr="00336AFD">
        <w:rPr>
          <w:rFonts w:eastAsia="Arial Unicode MS"/>
        </w:rPr>
        <w:t xml:space="preserve">, London: Routledge. </w:t>
      </w:r>
    </w:p>
    <w:p w:rsidR="00802EED" w:rsidRPr="00336AFD" w:rsidRDefault="00802EED" w:rsidP="00252515">
      <w:pPr>
        <w:contextualSpacing/>
        <w:jc w:val="both"/>
        <w:rPr>
          <w:rFonts w:eastAsia="Arial Unicode MS"/>
        </w:rPr>
      </w:pPr>
    </w:p>
    <w:p w:rsidR="00802EED" w:rsidRPr="00336AFD" w:rsidRDefault="00802EED" w:rsidP="00252515">
      <w:pPr>
        <w:contextualSpacing/>
        <w:jc w:val="both"/>
      </w:pPr>
      <w:proofErr w:type="spellStart"/>
      <w:r w:rsidRPr="00336AFD">
        <w:rPr>
          <w:color w:val="222222"/>
          <w:shd w:val="clear" w:color="auto" w:fill="FFFFFF"/>
        </w:rPr>
        <w:t>Radzinowicz</w:t>
      </w:r>
      <w:proofErr w:type="spellEnd"/>
      <w:r w:rsidRPr="00336AFD">
        <w:rPr>
          <w:color w:val="222222"/>
          <w:shd w:val="clear" w:color="auto" w:fill="FFFFFF"/>
        </w:rPr>
        <w:t>, L., &amp; Hood, R. G. (1990). </w:t>
      </w:r>
      <w:r w:rsidRPr="00336AFD">
        <w:rPr>
          <w:i/>
          <w:iCs/>
          <w:color w:val="222222"/>
        </w:rPr>
        <w:t>The Emergence of Penal Policy: In Victorian and Edwardian England: Being Volume 5 of a History of English Criminal Law and Its Administration from 1750</w:t>
      </w:r>
      <w:r w:rsidRPr="00336AFD">
        <w:rPr>
          <w:color w:val="222222"/>
          <w:shd w:val="clear" w:color="auto" w:fill="FFFFFF"/>
        </w:rPr>
        <w:t>. Oxford University Press.</w:t>
      </w:r>
    </w:p>
    <w:p w:rsidR="00802EED" w:rsidRPr="00336AFD" w:rsidRDefault="00802EED" w:rsidP="00252515">
      <w:pPr>
        <w:contextualSpacing/>
        <w:jc w:val="both"/>
        <w:rPr>
          <w:rFonts w:eastAsia="Arial Unicode MS"/>
          <w:color w:val="FF0000"/>
          <w:bdr w:val="nil"/>
        </w:rPr>
      </w:pPr>
    </w:p>
    <w:p w:rsidR="00802EED" w:rsidRPr="00336AFD" w:rsidRDefault="00802EED" w:rsidP="00252515">
      <w:pPr>
        <w:contextualSpacing/>
        <w:jc w:val="both"/>
        <w:rPr>
          <w:b/>
          <w:bCs/>
        </w:rPr>
      </w:pPr>
      <w:r w:rsidRPr="00336AFD">
        <w:t xml:space="preserve">Rees, J. (2019) </w:t>
      </w:r>
      <w:r w:rsidRPr="00336AFD">
        <w:rPr>
          <w:bCs/>
        </w:rPr>
        <w:t xml:space="preserve">Wales has 'highest imprisonment rate' in western Europe. BBC News, </w:t>
      </w:r>
      <w:hyperlink r:id="rId22" w:history="1">
        <w:r w:rsidRPr="00336AFD">
          <w:rPr>
            <w:rStyle w:val="Hyperlink"/>
            <w:bCs/>
          </w:rPr>
          <w:t>https://www.bbc.co.uk/news/uk-wales-46878107</w:t>
        </w:r>
      </w:hyperlink>
      <w:r w:rsidRPr="00336AFD">
        <w:rPr>
          <w:bCs/>
        </w:rPr>
        <w:t>, accessed 7 March 2019</w:t>
      </w:r>
      <w:r w:rsidRPr="00336AFD">
        <w:rPr>
          <w:b/>
          <w:bCs/>
        </w:rPr>
        <w:t>.</w:t>
      </w:r>
    </w:p>
    <w:p w:rsidR="00802EED" w:rsidRPr="00336AFD" w:rsidRDefault="00802EED" w:rsidP="00252515">
      <w:pPr>
        <w:contextualSpacing/>
        <w:jc w:val="both"/>
        <w:rPr>
          <w:b/>
          <w:bCs/>
        </w:rPr>
      </w:pPr>
    </w:p>
    <w:p w:rsidR="00802EED" w:rsidRPr="00336AFD" w:rsidRDefault="00802EED" w:rsidP="00252515">
      <w:pPr>
        <w:contextualSpacing/>
        <w:jc w:val="both"/>
      </w:pPr>
      <w:r w:rsidRPr="00336AFD">
        <w:t xml:space="preserve">Rogers, H. (2014) ‘Kindness and reciprocity: Liberated prisoners and Christian charity in early nineteenth-century England’, </w:t>
      </w:r>
      <w:r w:rsidRPr="00336AFD">
        <w:rPr>
          <w:i/>
        </w:rPr>
        <w:t>Journal of Social History</w:t>
      </w:r>
      <w:r w:rsidRPr="00336AFD">
        <w:t xml:space="preserve"> 47 (3), 721-745.</w:t>
      </w:r>
    </w:p>
    <w:p w:rsidR="00802EED" w:rsidRPr="00336AFD" w:rsidRDefault="00802EED" w:rsidP="00252515">
      <w:pPr>
        <w:contextualSpacing/>
        <w:jc w:val="both"/>
      </w:pPr>
    </w:p>
    <w:p w:rsidR="00802EED" w:rsidRPr="00336AFD" w:rsidRDefault="00802EED" w:rsidP="00252515">
      <w:pPr>
        <w:contextualSpacing/>
        <w:jc w:val="both"/>
        <w:rPr>
          <w:color w:val="000000" w:themeColor="text1"/>
        </w:rPr>
      </w:pPr>
      <w:r w:rsidRPr="00336AFD">
        <w:rPr>
          <w:color w:val="000000" w:themeColor="text1"/>
        </w:rPr>
        <w:t xml:space="preserve">Ruggiero, V. (2010) </w:t>
      </w:r>
      <w:r w:rsidRPr="00336AFD">
        <w:rPr>
          <w:i/>
          <w:color w:val="000000" w:themeColor="text1"/>
        </w:rPr>
        <w:t>Penal Abolitionism</w:t>
      </w:r>
      <w:r w:rsidRPr="00336AFD">
        <w:rPr>
          <w:color w:val="000000" w:themeColor="text1"/>
        </w:rPr>
        <w:t>. Oxford: Oxford University Press.</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rPr>
          <w:color w:val="000000" w:themeColor="text1"/>
        </w:rPr>
      </w:pPr>
      <w:r w:rsidRPr="00336AFD">
        <w:rPr>
          <w:color w:val="000000" w:themeColor="text1"/>
        </w:rPr>
        <w:t>Ruggles-</w:t>
      </w:r>
      <w:proofErr w:type="spellStart"/>
      <w:r w:rsidRPr="00336AFD">
        <w:rPr>
          <w:color w:val="000000" w:themeColor="text1"/>
        </w:rPr>
        <w:t>Brise</w:t>
      </w:r>
      <w:proofErr w:type="spellEnd"/>
      <w:r w:rsidRPr="00336AFD">
        <w:rPr>
          <w:i/>
          <w:color w:val="000000" w:themeColor="text1"/>
        </w:rPr>
        <w:t xml:space="preserve"> </w:t>
      </w:r>
      <w:r w:rsidRPr="00336AFD">
        <w:rPr>
          <w:color w:val="000000" w:themeColor="text1"/>
        </w:rPr>
        <w:t xml:space="preserve">Sir E. (1921) </w:t>
      </w:r>
      <w:r w:rsidRPr="00336AFD">
        <w:rPr>
          <w:i/>
          <w:color w:val="000000" w:themeColor="text1"/>
        </w:rPr>
        <w:t>The English Prison System</w:t>
      </w:r>
      <w:r w:rsidRPr="00336AFD">
        <w:rPr>
          <w:color w:val="000000" w:themeColor="text1"/>
        </w:rPr>
        <w:t>, Macmillan.</w:t>
      </w:r>
    </w:p>
    <w:p w:rsidR="00802EED" w:rsidRPr="00336AFD" w:rsidRDefault="00802EED" w:rsidP="00252515">
      <w:pPr>
        <w:contextualSpacing/>
        <w:jc w:val="both"/>
        <w:rPr>
          <w:color w:val="FF0000"/>
        </w:rPr>
      </w:pPr>
    </w:p>
    <w:p w:rsidR="00802EED" w:rsidRPr="00336AFD" w:rsidRDefault="00802EED" w:rsidP="00252515">
      <w:pPr>
        <w:contextualSpacing/>
        <w:jc w:val="both"/>
      </w:pPr>
      <w:r w:rsidRPr="00336AFD">
        <w:lastRenderedPageBreak/>
        <w:t xml:space="preserve">Ryan, M. and Sim, J. (2007) Campaigning for and campaigning against prisons: excavating and reaffirming the case for prison abolition. In </w:t>
      </w:r>
      <w:proofErr w:type="spellStart"/>
      <w:r w:rsidRPr="00336AFD">
        <w:t>Jewkes</w:t>
      </w:r>
      <w:proofErr w:type="spellEnd"/>
      <w:r w:rsidRPr="00336AFD">
        <w:t xml:space="preserve">, Y. (ed) </w:t>
      </w:r>
      <w:r w:rsidRPr="00336AFD">
        <w:rPr>
          <w:i/>
        </w:rPr>
        <w:t>Handbook on Prisons</w:t>
      </w:r>
      <w:r w:rsidRPr="00336AFD">
        <w:t>, chapter 30. London: Routledge</w:t>
      </w:r>
    </w:p>
    <w:p w:rsidR="00802EED" w:rsidRPr="00336AFD" w:rsidRDefault="00802EED" w:rsidP="00252515">
      <w:pPr>
        <w:contextualSpacing/>
        <w:jc w:val="both"/>
      </w:pPr>
    </w:p>
    <w:p w:rsidR="00802EED" w:rsidRPr="00336AFD" w:rsidRDefault="00802EED" w:rsidP="00252515">
      <w:pPr>
        <w:contextualSpacing/>
        <w:jc w:val="both"/>
      </w:pPr>
      <w:r w:rsidRPr="00336AFD">
        <w:t xml:space="preserve">Scull, A. (1977) </w:t>
      </w:r>
      <w:proofErr w:type="spellStart"/>
      <w:r w:rsidRPr="00336AFD">
        <w:rPr>
          <w:i/>
        </w:rPr>
        <w:t>Decarceration</w:t>
      </w:r>
      <w:proofErr w:type="spellEnd"/>
      <w:r w:rsidRPr="00336AFD">
        <w:rPr>
          <w:i/>
        </w:rPr>
        <w:t>: Community Treatment and the Deviant - A Radical View</w:t>
      </w:r>
      <w:r w:rsidRPr="00336AFD">
        <w:t>, Prentice Hall.</w:t>
      </w:r>
    </w:p>
    <w:p w:rsidR="00802EED" w:rsidRPr="00336AFD" w:rsidRDefault="00802EED" w:rsidP="00252515">
      <w:pPr>
        <w:contextualSpacing/>
        <w:jc w:val="both"/>
      </w:pPr>
    </w:p>
    <w:p w:rsidR="00802EED" w:rsidRPr="00336AFD" w:rsidRDefault="00802EED" w:rsidP="00252515">
      <w:pPr>
        <w:contextualSpacing/>
        <w:jc w:val="both"/>
      </w:pPr>
      <w:r w:rsidRPr="00336AFD">
        <w:rPr>
          <w:color w:val="222222"/>
          <w:shd w:val="clear" w:color="auto" w:fill="FFFFFF"/>
        </w:rPr>
        <w:t xml:space="preserve">Scull, A. (1984) </w:t>
      </w:r>
      <w:proofErr w:type="spellStart"/>
      <w:r w:rsidRPr="00336AFD">
        <w:rPr>
          <w:i/>
          <w:color w:val="222222"/>
          <w:shd w:val="clear" w:color="auto" w:fill="FFFFFF"/>
        </w:rPr>
        <w:t>Decarceration</w:t>
      </w:r>
      <w:proofErr w:type="spellEnd"/>
      <w:r w:rsidR="00D02CC0">
        <w:rPr>
          <w:i/>
          <w:color w:val="222222"/>
          <w:shd w:val="clear" w:color="auto" w:fill="FFFFFF"/>
        </w:rPr>
        <w:t>,</w:t>
      </w:r>
      <w:r w:rsidRPr="00336AFD">
        <w:rPr>
          <w:color w:val="222222"/>
          <w:shd w:val="clear" w:color="auto" w:fill="FFFFFF"/>
        </w:rPr>
        <w:t xml:space="preserve"> New Brunswick.</w:t>
      </w:r>
    </w:p>
    <w:p w:rsidR="00802EED" w:rsidRPr="00336AFD" w:rsidRDefault="00802EED" w:rsidP="00252515">
      <w:pPr>
        <w:contextualSpacing/>
        <w:jc w:val="both"/>
        <w:rPr>
          <w:rFonts w:eastAsia="Arial Unicode MS"/>
          <w:color w:val="FF0000"/>
        </w:rPr>
      </w:pPr>
    </w:p>
    <w:p w:rsidR="00802EED" w:rsidRPr="00336AFD" w:rsidRDefault="00802EED" w:rsidP="00252515">
      <w:pPr>
        <w:contextualSpacing/>
        <w:jc w:val="both"/>
      </w:pPr>
      <w:proofErr w:type="spellStart"/>
      <w:r w:rsidRPr="00336AFD">
        <w:rPr>
          <w:color w:val="000000" w:themeColor="text1"/>
        </w:rPr>
        <w:t>Sherraden</w:t>
      </w:r>
      <w:proofErr w:type="spellEnd"/>
      <w:r w:rsidRPr="00336AFD">
        <w:rPr>
          <w:color w:val="000000" w:themeColor="text1"/>
        </w:rPr>
        <w:t>, M. (2017) foreword to</w:t>
      </w:r>
      <w:r w:rsidRPr="00336AFD">
        <w:rPr>
          <w:color w:val="000000" w:themeColor="text1"/>
          <w:shd w:val="clear" w:color="auto" w:fill="FFFFFF"/>
        </w:rPr>
        <w:t xml:space="preserve"> Epperson, Matthew, and Carrie Pettus-Davis, eds.</w:t>
      </w:r>
      <w:r w:rsidRPr="00336AFD">
        <w:rPr>
          <w:rStyle w:val="apple-converted-space"/>
          <w:color w:val="000000" w:themeColor="text1"/>
          <w:shd w:val="clear" w:color="auto" w:fill="FFFFFF"/>
        </w:rPr>
        <w:t> </w:t>
      </w:r>
      <w:r w:rsidRPr="00336AFD">
        <w:rPr>
          <w:i/>
          <w:iCs/>
          <w:color w:val="000000" w:themeColor="text1"/>
        </w:rPr>
        <w:t xml:space="preserve">Smart </w:t>
      </w:r>
      <w:proofErr w:type="spellStart"/>
      <w:r w:rsidRPr="00336AFD">
        <w:rPr>
          <w:i/>
          <w:iCs/>
          <w:color w:val="222222"/>
        </w:rPr>
        <w:t>Decarceration</w:t>
      </w:r>
      <w:proofErr w:type="spellEnd"/>
      <w:r w:rsidRPr="00336AFD">
        <w:rPr>
          <w:i/>
          <w:iCs/>
          <w:color w:val="222222"/>
        </w:rPr>
        <w:t>: Achieving Criminal Justice Transformation in the 21st Century</w:t>
      </w:r>
      <w:r w:rsidRPr="00336AFD">
        <w:rPr>
          <w:color w:val="222222"/>
          <w:shd w:val="clear" w:color="auto" w:fill="FFFFFF"/>
        </w:rPr>
        <w:t>. Oxford University Press, 2017.</w:t>
      </w:r>
    </w:p>
    <w:p w:rsidR="00802EED" w:rsidRPr="00336AFD" w:rsidRDefault="00802EED" w:rsidP="00252515">
      <w:pPr>
        <w:contextualSpacing/>
        <w:jc w:val="both"/>
        <w:rPr>
          <w:color w:val="FF0000"/>
        </w:rPr>
      </w:pPr>
    </w:p>
    <w:p w:rsidR="00802EED" w:rsidRPr="00336AFD" w:rsidRDefault="00802EED" w:rsidP="00252515">
      <w:pPr>
        <w:contextualSpacing/>
        <w:jc w:val="both"/>
        <w:rPr>
          <w:color w:val="000000" w:themeColor="text1"/>
        </w:rPr>
      </w:pPr>
      <w:r w:rsidRPr="00336AFD">
        <w:rPr>
          <w:rFonts w:eastAsia="Arial Unicode MS"/>
        </w:rPr>
        <w:t xml:space="preserve">Simon, J. (2014) </w:t>
      </w:r>
      <w:r w:rsidRPr="00336AFD">
        <w:rPr>
          <w:i/>
          <w:color w:val="000000" w:themeColor="text1"/>
        </w:rPr>
        <w:t>Mass Incarceration on Trial: A Remarkable Court Decision and the Future of Prisons in America</w:t>
      </w:r>
      <w:r w:rsidRPr="00336AFD">
        <w:t>, New Press.</w:t>
      </w:r>
      <w:r w:rsidRPr="00336AFD">
        <w:rPr>
          <w:color w:val="000000" w:themeColor="text1"/>
        </w:rPr>
        <w:t xml:space="preserve"> </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pPr>
      <w:r w:rsidRPr="00336AFD">
        <w:rPr>
          <w:color w:val="222222"/>
          <w:shd w:val="clear" w:color="auto" w:fill="FFFFFF"/>
        </w:rPr>
        <w:t>Sindall, R. (1990)</w:t>
      </w:r>
      <w:r w:rsidRPr="00336AFD">
        <w:rPr>
          <w:rStyle w:val="apple-converted-space"/>
          <w:color w:val="222222"/>
          <w:shd w:val="clear" w:color="auto" w:fill="FFFFFF"/>
        </w:rPr>
        <w:t> </w:t>
      </w:r>
      <w:r w:rsidRPr="00336AFD">
        <w:rPr>
          <w:i/>
          <w:iCs/>
          <w:color w:val="222222"/>
        </w:rPr>
        <w:t>Street violence in the nineteenth century</w:t>
      </w:r>
      <w:r w:rsidRPr="00336AFD">
        <w:rPr>
          <w:color w:val="222222"/>
          <w:shd w:val="clear" w:color="auto" w:fill="FFFFFF"/>
        </w:rPr>
        <w:t>. London: St. Martin's Press.</w:t>
      </w:r>
    </w:p>
    <w:p w:rsidR="00802EED" w:rsidRPr="00336AFD" w:rsidRDefault="00802EED" w:rsidP="00252515">
      <w:pPr>
        <w:contextualSpacing/>
        <w:jc w:val="both"/>
        <w:rPr>
          <w:color w:val="FF0000"/>
        </w:rPr>
      </w:pPr>
    </w:p>
    <w:p w:rsidR="00802EED" w:rsidRPr="00336AFD" w:rsidRDefault="00802EED" w:rsidP="00252515">
      <w:pPr>
        <w:contextualSpacing/>
        <w:jc w:val="both"/>
        <w:rPr>
          <w:rFonts w:eastAsia="Arial Unicode MS"/>
          <w:color w:val="000000" w:themeColor="text1"/>
          <w:bdr w:val="nil"/>
        </w:rPr>
      </w:pPr>
      <w:proofErr w:type="spellStart"/>
      <w:r w:rsidRPr="00336AFD">
        <w:rPr>
          <w:color w:val="222222"/>
          <w:shd w:val="clear" w:color="auto" w:fill="FFFFFF"/>
        </w:rPr>
        <w:t>Smaal</w:t>
      </w:r>
      <w:proofErr w:type="spellEnd"/>
      <w:r w:rsidRPr="00336AFD">
        <w:rPr>
          <w:color w:val="222222"/>
          <w:shd w:val="clear" w:color="auto" w:fill="FFFFFF"/>
        </w:rPr>
        <w:t>, Y. (2013). Historical perspectives on child sexual abuse, part 1.  </w:t>
      </w:r>
      <w:r w:rsidRPr="00336AFD">
        <w:rPr>
          <w:i/>
          <w:iCs/>
          <w:color w:val="222222"/>
        </w:rPr>
        <w:t>History Compass</w:t>
      </w:r>
      <w:r w:rsidRPr="00336AFD">
        <w:rPr>
          <w:color w:val="222222"/>
          <w:shd w:val="clear" w:color="auto" w:fill="FFFFFF"/>
        </w:rPr>
        <w:t>, </w:t>
      </w:r>
      <w:r w:rsidRPr="00336AFD">
        <w:rPr>
          <w:iCs/>
          <w:color w:val="222222"/>
        </w:rPr>
        <w:t>11</w:t>
      </w:r>
      <w:r w:rsidRPr="00336AFD">
        <w:rPr>
          <w:color w:val="222222"/>
          <w:shd w:val="clear" w:color="auto" w:fill="FFFFFF"/>
        </w:rPr>
        <w:t>(9), 702-714.</w:t>
      </w:r>
      <w:r w:rsidRPr="00336AFD">
        <w:rPr>
          <w:rFonts w:eastAsia="Arial Unicode MS"/>
          <w:color w:val="000000" w:themeColor="text1"/>
          <w:bdr w:val="nil"/>
        </w:rPr>
        <w:t xml:space="preserve"> </w:t>
      </w:r>
    </w:p>
    <w:p w:rsidR="00802EED" w:rsidRPr="00336AFD" w:rsidRDefault="00802EED" w:rsidP="00252515">
      <w:pPr>
        <w:contextualSpacing/>
        <w:jc w:val="both"/>
        <w:rPr>
          <w:rFonts w:eastAsia="Arial Unicode MS"/>
          <w:color w:val="FF0000"/>
          <w:bdr w:val="nil"/>
        </w:rPr>
      </w:pPr>
    </w:p>
    <w:p w:rsidR="00802EED" w:rsidRPr="00336AFD" w:rsidRDefault="00802EED" w:rsidP="00252515">
      <w:pPr>
        <w:contextualSpacing/>
        <w:jc w:val="both"/>
        <w:rPr>
          <w:color w:val="191C1F"/>
          <w:shd w:val="clear" w:color="auto" w:fill="FFFFFF"/>
        </w:rPr>
      </w:pPr>
      <w:r w:rsidRPr="00336AFD">
        <w:rPr>
          <w:color w:val="191C1F"/>
          <w:shd w:val="clear" w:color="auto" w:fill="FFFFFF"/>
        </w:rPr>
        <w:t xml:space="preserve">Sparks, R., Loader, I. and </w:t>
      </w:r>
      <w:proofErr w:type="spellStart"/>
      <w:r w:rsidRPr="00336AFD">
        <w:rPr>
          <w:color w:val="191C1F"/>
          <w:shd w:val="clear" w:color="auto" w:fill="FFFFFF"/>
        </w:rPr>
        <w:t>Dzur</w:t>
      </w:r>
      <w:proofErr w:type="spellEnd"/>
      <w:r w:rsidRPr="00336AFD">
        <w:rPr>
          <w:color w:val="191C1F"/>
          <w:shd w:val="clear" w:color="auto" w:fill="FFFFFF"/>
        </w:rPr>
        <w:t>,</w:t>
      </w:r>
      <w:r w:rsidRPr="00336AFD">
        <w:rPr>
          <w:rStyle w:val="apple-converted-space"/>
          <w:color w:val="191C1F"/>
          <w:shd w:val="clear" w:color="auto" w:fill="FFFFFF"/>
        </w:rPr>
        <w:t> A. (</w:t>
      </w:r>
      <w:r w:rsidRPr="00336AFD">
        <w:rPr>
          <w:color w:val="191C1F"/>
          <w:shd w:val="clear" w:color="auto" w:fill="FFFFFF"/>
        </w:rPr>
        <w:t xml:space="preserve">2016) </w:t>
      </w:r>
      <w:r w:rsidRPr="00336AFD">
        <w:rPr>
          <w:bCs/>
          <w:i/>
          <w:iCs/>
          <w:color w:val="191C1F"/>
        </w:rPr>
        <w:t>Democratic Theory and Mass Incarceration</w:t>
      </w:r>
      <w:r w:rsidRPr="00336AFD">
        <w:rPr>
          <w:color w:val="191C1F"/>
          <w:shd w:val="clear" w:color="auto" w:fill="FFFFFF"/>
        </w:rPr>
        <w:t xml:space="preserve">, Oxford University Press, </w:t>
      </w:r>
    </w:p>
    <w:p w:rsidR="00802EED" w:rsidRPr="00336AFD" w:rsidRDefault="00802EED" w:rsidP="00252515">
      <w:pPr>
        <w:contextualSpacing/>
        <w:jc w:val="both"/>
      </w:pPr>
    </w:p>
    <w:p w:rsidR="00802EED" w:rsidRPr="00336AFD" w:rsidRDefault="00802EED" w:rsidP="00252515">
      <w:pPr>
        <w:contextualSpacing/>
        <w:jc w:val="both"/>
      </w:pPr>
      <w:r w:rsidRPr="00336AFD">
        <w:rPr>
          <w:rFonts w:eastAsia="Arial Unicode MS"/>
        </w:rPr>
        <w:t xml:space="preserve">Smithies, E. (1982) </w:t>
      </w:r>
      <w:r w:rsidRPr="00336AFD">
        <w:rPr>
          <w:rFonts w:eastAsia="Arial Unicode MS"/>
          <w:i/>
        </w:rPr>
        <w:t>Crime in Wartime: A Social History of Crime in World War II</w:t>
      </w:r>
      <w:r w:rsidRPr="00336AFD">
        <w:rPr>
          <w:rFonts w:eastAsia="Arial Unicode MS"/>
        </w:rPr>
        <w:t xml:space="preserve">, London: </w:t>
      </w:r>
      <w:r w:rsidRPr="00336AFD">
        <w:t>Allen &amp; Unwin.</w:t>
      </w:r>
    </w:p>
    <w:p w:rsidR="00802EED" w:rsidRPr="00336AFD" w:rsidRDefault="00802EED" w:rsidP="00252515">
      <w:pPr>
        <w:contextualSpacing/>
        <w:jc w:val="both"/>
      </w:pPr>
    </w:p>
    <w:p w:rsidR="00802EED" w:rsidRPr="00336AFD" w:rsidRDefault="00802EED" w:rsidP="00252515">
      <w:pPr>
        <w:contextualSpacing/>
        <w:jc w:val="both"/>
      </w:pPr>
      <w:r w:rsidRPr="00336AFD">
        <w:t xml:space="preserve">Taylor Review (2016) </w:t>
      </w:r>
      <w:hyperlink r:id="rId23" w:tgtFrame="_blank" w:history="1">
        <w:r w:rsidRPr="00336AFD">
          <w:rPr>
            <w:rStyle w:val="Hyperlink"/>
          </w:rPr>
          <w:t>Review of the Youth Justice System in England and Wales</w:t>
        </w:r>
      </w:hyperlink>
      <w:r w:rsidRPr="00336AFD">
        <w:t>, by Charlie Taylor. London: Ministry of Justice</w:t>
      </w:r>
    </w:p>
    <w:p w:rsidR="00802EED" w:rsidRPr="00336AFD" w:rsidRDefault="00802EED" w:rsidP="00252515">
      <w:pPr>
        <w:contextualSpacing/>
        <w:jc w:val="both"/>
      </w:pPr>
    </w:p>
    <w:p w:rsidR="00802EED" w:rsidRPr="00336AFD" w:rsidRDefault="00802EED" w:rsidP="00252515">
      <w:pPr>
        <w:contextualSpacing/>
        <w:jc w:val="both"/>
        <w:rPr>
          <w:color w:val="222222"/>
          <w:shd w:val="clear" w:color="auto" w:fill="FFFFFF"/>
        </w:rPr>
      </w:pPr>
      <w:r w:rsidRPr="00336AFD">
        <w:rPr>
          <w:color w:val="222222"/>
          <w:shd w:val="clear" w:color="auto" w:fill="FFFFFF"/>
        </w:rPr>
        <w:t>Vanstone, M. (2017). </w:t>
      </w:r>
      <w:r w:rsidRPr="00336AFD">
        <w:rPr>
          <w:i/>
          <w:iCs/>
          <w:color w:val="222222"/>
        </w:rPr>
        <w:t>Supervising offenders in the community: A history of probation theory and practice</w:t>
      </w:r>
      <w:r w:rsidRPr="00336AFD">
        <w:rPr>
          <w:color w:val="222222"/>
          <w:shd w:val="clear" w:color="auto" w:fill="FFFFFF"/>
        </w:rPr>
        <w:t>. London: Routledge.</w:t>
      </w:r>
    </w:p>
    <w:p w:rsidR="00802EED" w:rsidRPr="00336AFD" w:rsidRDefault="00802EED" w:rsidP="00252515">
      <w:pPr>
        <w:contextualSpacing/>
        <w:jc w:val="both"/>
        <w:rPr>
          <w:color w:val="222222"/>
          <w:shd w:val="clear" w:color="auto" w:fill="FFFFFF"/>
        </w:rPr>
      </w:pPr>
    </w:p>
    <w:p w:rsidR="00802EED" w:rsidRPr="00336AFD" w:rsidRDefault="00802EED" w:rsidP="00252515">
      <w:pPr>
        <w:contextualSpacing/>
        <w:jc w:val="both"/>
      </w:pPr>
      <w:proofErr w:type="spellStart"/>
      <w:r w:rsidRPr="00336AFD">
        <w:rPr>
          <w:rFonts w:eastAsia="Arial Unicode MS"/>
        </w:rPr>
        <w:t>Waquant</w:t>
      </w:r>
      <w:proofErr w:type="spellEnd"/>
      <w:r w:rsidRPr="00336AFD">
        <w:rPr>
          <w:rFonts w:eastAsia="Arial Unicode MS"/>
        </w:rPr>
        <w:t xml:space="preserve">, L. (2010) </w:t>
      </w:r>
      <w:r w:rsidRPr="00336AFD">
        <w:rPr>
          <w:rFonts w:eastAsia="Arial Unicode MS"/>
          <w:i/>
        </w:rPr>
        <w:t>Prisons of Poverty</w:t>
      </w:r>
      <w:r w:rsidRPr="00336AFD">
        <w:rPr>
          <w:rFonts w:eastAsia="Arial Unicode MS"/>
        </w:rPr>
        <w:t xml:space="preserve">, </w:t>
      </w:r>
      <w:r w:rsidRPr="00336AFD">
        <w:rPr>
          <w:color w:val="333333"/>
          <w:shd w:val="clear" w:color="auto" w:fill="FFFFFF"/>
        </w:rPr>
        <w:t>University of Minnesota Press</w:t>
      </w:r>
      <w:r w:rsidRPr="00336AFD">
        <w:t>.</w:t>
      </w:r>
    </w:p>
    <w:p w:rsidR="00802EED" w:rsidRPr="00336AFD" w:rsidRDefault="00802EED" w:rsidP="00252515">
      <w:pPr>
        <w:contextualSpacing/>
        <w:jc w:val="both"/>
      </w:pPr>
    </w:p>
    <w:p w:rsidR="00802EED" w:rsidRPr="00336AFD" w:rsidRDefault="00802EED" w:rsidP="00252515">
      <w:pPr>
        <w:contextualSpacing/>
        <w:jc w:val="both"/>
      </w:pPr>
      <w:r w:rsidRPr="00336AFD">
        <w:rPr>
          <w:color w:val="222222"/>
          <w:shd w:val="clear" w:color="auto" w:fill="FFFFFF"/>
        </w:rPr>
        <w:t>Webb, S., &amp; Webb, B. P. (1922).</w:t>
      </w:r>
      <w:r w:rsidRPr="00336AFD">
        <w:rPr>
          <w:rStyle w:val="apple-converted-space"/>
          <w:color w:val="222222"/>
          <w:shd w:val="clear" w:color="auto" w:fill="FFFFFF"/>
        </w:rPr>
        <w:t> </w:t>
      </w:r>
      <w:r w:rsidRPr="00336AFD">
        <w:rPr>
          <w:i/>
          <w:iCs/>
          <w:color w:val="222222"/>
        </w:rPr>
        <w:t xml:space="preserve">English Local Government: English prisons under local government </w:t>
      </w:r>
      <w:r w:rsidRPr="00336AFD">
        <w:rPr>
          <w:color w:val="222222"/>
          <w:shd w:val="clear" w:color="auto" w:fill="FFFFFF"/>
        </w:rPr>
        <w:t>(Vol. 6). London: Longmans, Green and Company.</w:t>
      </w:r>
    </w:p>
    <w:p w:rsidR="00802EED" w:rsidRPr="00336AFD" w:rsidRDefault="00802EED" w:rsidP="00252515">
      <w:pPr>
        <w:contextualSpacing/>
        <w:jc w:val="both"/>
        <w:rPr>
          <w:color w:val="000000" w:themeColor="text1"/>
        </w:rPr>
      </w:pPr>
    </w:p>
    <w:p w:rsidR="00802EED" w:rsidRPr="00336AFD" w:rsidRDefault="00802EED" w:rsidP="00252515">
      <w:pPr>
        <w:contextualSpacing/>
        <w:jc w:val="both"/>
        <w:rPr>
          <w:color w:val="000000" w:themeColor="text1"/>
        </w:rPr>
      </w:pPr>
      <w:r w:rsidRPr="00336AFD">
        <w:rPr>
          <w:color w:val="000000" w:themeColor="text1"/>
        </w:rPr>
        <w:t xml:space="preserve">Whitehead, P. and Statham, R.  (2006) </w:t>
      </w:r>
      <w:r w:rsidRPr="00336AFD">
        <w:rPr>
          <w:bCs/>
          <w:i/>
          <w:color w:val="000000" w:themeColor="text1"/>
        </w:rPr>
        <w:t>The History of Probation: </w:t>
      </w:r>
      <w:r w:rsidRPr="00336AFD">
        <w:rPr>
          <w:i/>
          <w:color w:val="000000" w:themeColor="text1"/>
        </w:rPr>
        <w:t xml:space="preserve">Politics, Power and Cultural Change 1876-2005, </w:t>
      </w:r>
      <w:r w:rsidRPr="00336AFD">
        <w:rPr>
          <w:color w:val="000000" w:themeColor="text1"/>
        </w:rPr>
        <w:t>Michigan: Shaw and Sons.</w:t>
      </w:r>
    </w:p>
    <w:p w:rsidR="00802EED" w:rsidRPr="00336AFD" w:rsidRDefault="00802EED" w:rsidP="00252515">
      <w:pPr>
        <w:contextualSpacing/>
        <w:jc w:val="both"/>
        <w:rPr>
          <w:color w:val="FF0000"/>
        </w:rPr>
      </w:pPr>
    </w:p>
    <w:p w:rsidR="00802EED" w:rsidRPr="00336AFD" w:rsidRDefault="00802EED" w:rsidP="00252515">
      <w:pPr>
        <w:contextualSpacing/>
        <w:jc w:val="both"/>
      </w:pPr>
      <w:r w:rsidRPr="00336AFD">
        <w:t xml:space="preserve">Wiener, M. (1990) </w:t>
      </w:r>
      <w:r w:rsidRPr="00336AFD">
        <w:rPr>
          <w:i/>
        </w:rPr>
        <w:t>Reconstructing the Criminal: Culture, Law and Policy in England, 1830– 1914</w:t>
      </w:r>
      <w:r w:rsidRPr="00336AFD">
        <w:t>, Cambridge: Cambridge University Press.</w:t>
      </w:r>
    </w:p>
    <w:p w:rsidR="00802EED" w:rsidRPr="00336AFD" w:rsidRDefault="00802EED" w:rsidP="00252515">
      <w:pPr>
        <w:contextualSpacing/>
        <w:jc w:val="both"/>
      </w:pPr>
    </w:p>
    <w:p w:rsidR="00802EED" w:rsidRPr="00336AFD" w:rsidRDefault="00802EED" w:rsidP="00252515">
      <w:pPr>
        <w:contextualSpacing/>
        <w:jc w:val="both"/>
      </w:pPr>
      <w:r w:rsidRPr="00336AFD">
        <w:t xml:space="preserve">Williams, L and Godfrey, B. (2018) ‘Serious Property Crime in the Twentieth Century’, in </w:t>
      </w:r>
      <w:proofErr w:type="spellStart"/>
      <w:r w:rsidRPr="00336AFD">
        <w:t>Kilday</w:t>
      </w:r>
      <w:proofErr w:type="spellEnd"/>
      <w:r w:rsidRPr="00336AFD">
        <w:t xml:space="preserve">, A-M and Nash, D. (eds) </w:t>
      </w:r>
      <w:r w:rsidRPr="00336AFD">
        <w:rPr>
          <w:i/>
        </w:rPr>
        <w:t>Murder and Mayhem: Crime in Twentieth century Britain</w:t>
      </w:r>
      <w:r w:rsidRPr="00336AFD">
        <w:t>, Basingstoke: Palgrave</w:t>
      </w:r>
    </w:p>
    <w:p w:rsidR="00802EED" w:rsidRPr="00336AFD" w:rsidRDefault="00802EED" w:rsidP="00252515">
      <w:pPr>
        <w:contextualSpacing/>
        <w:jc w:val="both"/>
      </w:pPr>
    </w:p>
    <w:p w:rsidR="00802EED" w:rsidRPr="00336AFD" w:rsidRDefault="00802EED" w:rsidP="00252515">
      <w:pPr>
        <w:contextualSpacing/>
        <w:jc w:val="both"/>
      </w:pPr>
      <w:r w:rsidRPr="00336AFD">
        <w:rPr>
          <w:color w:val="222222"/>
          <w:shd w:val="clear" w:color="auto" w:fill="FFFFFF"/>
        </w:rPr>
        <w:t xml:space="preserve">Worrall, A. and Hoy, C. (2005). </w:t>
      </w:r>
      <w:r w:rsidRPr="00336AFD">
        <w:rPr>
          <w:i/>
          <w:color w:val="222222"/>
          <w:shd w:val="clear" w:color="auto" w:fill="FFFFFF"/>
        </w:rPr>
        <w:t xml:space="preserve">Punishment in the Community: Managing Offenders, </w:t>
      </w:r>
      <w:r w:rsidRPr="00336AFD">
        <w:rPr>
          <w:i/>
          <w:iCs/>
          <w:color w:val="222222"/>
        </w:rPr>
        <w:t xml:space="preserve">Making Choices, </w:t>
      </w:r>
      <w:r w:rsidRPr="00336AFD">
        <w:rPr>
          <w:iCs/>
          <w:color w:val="222222"/>
        </w:rPr>
        <w:t>2nd Edition, Cullompton: Willan Publishing</w:t>
      </w:r>
      <w:r w:rsidRPr="00336AFD">
        <w:rPr>
          <w:color w:val="222222"/>
          <w:shd w:val="clear" w:color="auto" w:fill="FFFFFF"/>
        </w:rPr>
        <w:t>.</w:t>
      </w:r>
    </w:p>
    <w:p w:rsidR="00802EED" w:rsidRPr="00336AFD" w:rsidRDefault="00802EED" w:rsidP="00252515">
      <w:pPr>
        <w:contextualSpacing/>
        <w:jc w:val="both"/>
        <w:rPr>
          <w:rFonts w:eastAsia="Arial Unicode MS"/>
          <w:color w:val="FF0000"/>
          <w:bdr w:val="nil"/>
        </w:rPr>
      </w:pPr>
    </w:p>
    <w:p w:rsidR="00802EED" w:rsidRPr="00336AFD" w:rsidRDefault="00802EED" w:rsidP="00252515">
      <w:pPr>
        <w:contextualSpacing/>
        <w:jc w:val="both"/>
      </w:pPr>
      <w:r w:rsidRPr="00336AFD">
        <w:t xml:space="preserve">Worrall, A. and Pease, K. (1986) The Prison Population in 1985. </w:t>
      </w:r>
      <w:r w:rsidRPr="00336AFD">
        <w:rPr>
          <w:i/>
        </w:rPr>
        <w:t>British Journal of Criminology</w:t>
      </w:r>
      <w:r w:rsidRPr="00336AFD">
        <w:t>, 26:2, 184-187</w:t>
      </w:r>
    </w:p>
    <w:p w:rsidR="00802EED" w:rsidRDefault="00802EED" w:rsidP="00252515">
      <w:pPr>
        <w:contextualSpacing/>
        <w:jc w:val="both"/>
      </w:pPr>
    </w:p>
    <w:p w:rsidR="006E38ED" w:rsidRDefault="006E38ED" w:rsidP="00252515">
      <w:pPr>
        <w:contextualSpacing/>
        <w:jc w:val="both"/>
      </w:pPr>
    </w:p>
    <w:p w:rsidR="006E38ED" w:rsidRDefault="006E38ED" w:rsidP="00252515">
      <w:pPr>
        <w:contextualSpacing/>
        <w:jc w:val="both"/>
      </w:pPr>
    </w:p>
    <w:p w:rsidR="006E38ED" w:rsidRPr="00336AFD" w:rsidRDefault="006E38ED" w:rsidP="00252515">
      <w:pPr>
        <w:contextualSpacing/>
        <w:jc w:val="both"/>
      </w:pPr>
    </w:p>
    <w:p w:rsidR="00802EED" w:rsidRPr="00336AFD" w:rsidRDefault="00802EED" w:rsidP="00252515">
      <w:pPr>
        <w:pBdr>
          <w:top w:val="nil"/>
          <w:left w:val="nil"/>
          <w:bottom w:val="nil"/>
          <w:right w:val="nil"/>
          <w:between w:val="nil"/>
          <w:bar w:val="nil"/>
        </w:pBdr>
        <w:spacing w:before="240"/>
        <w:contextualSpacing/>
        <w:jc w:val="both"/>
        <w:rPr>
          <w:rFonts w:eastAsia="Arial Unicode MS"/>
          <w:b/>
          <w:color w:val="000000" w:themeColor="text1"/>
          <w:bdr w:val="nil"/>
          <w:lang w:val="en-US"/>
        </w:rPr>
      </w:pPr>
      <w:r w:rsidRPr="00336AFD">
        <w:rPr>
          <w:b/>
          <w:bCs/>
        </w:rPr>
        <w:t>Online documents</w:t>
      </w:r>
    </w:p>
    <w:p w:rsidR="00802EED" w:rsidRPr="00336AFD" w:rsidRDefault="00802EED" w:rsidP="00252515">
      <w:pPr>
        <w:pBdr>
          <w:top w:val="nil"/>
          <w:left w:val="nil"/>
          <w:bottom w:val="nil"/>
          <w:right w:val="nil"/>
          <w:between w:val="nil"/>
          <w:bar w:val="nil"/>
        </w:pBdr>
        <w:spacing w:before="240"/>
        <w:jc w:val="both"/>
        <w:rPr>
          <w:rFonts w:eastAsia="Arial Unicode MS"/>
          <w:bdr w:val="nil"/>
          <w:lang w:val="en-US"/>
        </w:rPr>
      </w:pPr>
      <w:r w:rsidRPr="00336AFD">
        <w:rPr>
          <w:rFonts w:eastAsia="Arial Unicode MS"/>
          <w:bdr w:val="nil"/>
          <w:lang w:val="en-US"/>
        </w:rPr>
        <w:t xml:space="preserve">Care Quality Commission, HM Inspectorate of Prisons and </w:t>
      </w:r>
      <w:proofErr w:type="spellStart"/>
      <w:r w:rsidRPr="00336AFD">
        <w:rPr>
          <w:rFonts w:eastAsia="Arial Unicode MS"/>
          <w:bdr w:val="nil"/>
          <w:lang w:val="en-US"/>
        </w:rPr>
        <w:t>Ofsted</w:t>
      </w:r>
      <w:proofErr w:type="spellEnd"/>
      <w:r w:rsidRPr="00336AFD">
        <w:rPr>
          <w:rFonts w:eastAsia="Arial Unicode MS"/>
          <w:bdr w:val="nil"/>
          <w:lang w:val="en-US"/>
        </w:rPr>
        <w:t xml:space="preserve"> (2017) Inspection of Medway Secure Training Centre </w:t>
      </w:r>
      <w:hyperlink r:id="rId24" w:history="1">
        <w:r w:rsidRPr="00336AFD">
          <w:rPr>
            <w:rStyle w:val="Hyperlink"/>
            <w:rFonts w:eastAsia="Arial Unicode MS"/>
            <w:bdr w:val="nil"/>
            <w:lang w:val="en-US"/>
          </w:rPr>
          <w:t>https://files.api.ofsted.gov.uk/v1/file/50000127</w:t>
        </w:r>
      </w:hyperlink>
      <w:r w:rsidRPr="00336AFD">
        <w:rPr>
          <w:rFonts w:eastAsia="Arial Unicode MS"/>
          <w:bdr w:val="nil"/>
          <w:lang w:val="en-US"/>
        </w:rPr>
        <w:t xml:space="preserve"> </w:t>
      </w:r>
    </w:p>
    <w:p w:rsidR="00802EED" w:rsidRPr="00336AFD" w:rsidRDefault="00802EED" w:rsidP="00252515">
      <w:pPr>
        <w:pBdr>
          <w:top w:val="nil"/>
          <w:left w:val="nil"/>
          <w:bottom w:val="nil"/>
          <w:right w:val="nil"/>
          <w:between w:val="nil"/>
          <w:bar w:val="nil"/>
        </w:pBdr>
        <w:spacing w:before="240"/>
        <w:jc w:val="both"/>
        <w:rPr>
          <w:rFonts w:eastAsia="Arial Unicode MS"/>
          <w:bdr w:val="nil"/>
          <w:lang w:val="en-US"/>
        </w:rPr>
      </w:pPr>
    </w:p>
    <w:p w:rsidR="00802EED" w:rsidRPr="00336AFD" w:rsidRDefault="00802EED" w:rsidP="00252515">
      <w:pPr>
        <w:pBdr>
          <w:top w:val="nil"/>
          <w:left w:val="nil"/>
          <w:bottom w:val="nil"/>
          <w:right w:val="nil"/>
          <w:between w:val="nil"/>
          <w:bar w:val="nil"/>
        </w:pBdr>
        <w:jc w:val="both"/>
        <w:rPr>
          <w:rFonts w:eastAsia="Arial Unicode MS"/>
          <w:color w:val="000000" w:themeColor="text1"/>
          <w:bdr w:val="nil"/>
          <w:lang w:val="en-US"/>
        </w:rPr>
      </w:pPr>
      <w:r w:rsidRPr="00336AFD">
        <w:rPr>
          <w:rFonts w:eastAsia="Arial Unicode MS"/>
          <w:color w:val="000000" w:themeColor="text1"/>
          <w:bdr w:val="nil"/>
          <w:lang w:val="en-US"/>
        </w:rPr>
        <w:t xml:space="preserve">Children and Young People Now (2019) Government urged to close ‘irredeemable’ secure training </w:t>
      </w:r>
      <w:proofErr w:type="spellStart"/>
      <w:r w:rsidRPr="00336AFD">
        <w:rPr>
          <w:rFonts w:eastAsia="Arial Unicode MS"/>
          <w:color w:val="000000" w:themeColor="text1"/>
          <w:bdr w:val="nil"/>
          <w:lang w:val="en-US"/>
        </w:rPr>
        <w:t>centre</w:t>
      </w:r>
      <w:proofErr w:type="spellEnd"/>
    </w:p>
    <w:p w:rsidR="00802EED" w:rsidRPr="00336AFD" w:rsidRDefault="00D31ABD" w:rsidP="00252515">
      <w:pPr>
        <w:pBdr>
          <w:top w:val="nil"/>
          <w:left w:val="nil"/>
          <w:bottom w:val="nil"/>
          <w:right w:val="nil"/>
          <w:between w:val="nil"/>
          <w:bar w:val="nil"/>
        </w:pBdr>
        <w:jc w:val="both"/>
        <w:rPr>
          <w:rFonts w:eastAsia="Arial Unicode MS"/>
          <w:color w:val="000000" w:themeColor="text1"/>
          <w:bdr w:val="nil"/>
          <w:lang w:val="en-US"/>
        </w:rPr>
      </w:pPr>
      <w:hyperlink r:id="rId25" w:history="1">
        <w:r w:rsidR="00802EED" w:rsidRPr="00336AFD">
          <w:rPr>
            <w:rStyle w:val="Hyperlink"/>
            <w:rFonts w:eastAsia="Arial Unicode MS"/>
            <w:bdr w:val="nil"/>
            <w:lang w:val="en-US"/>
          </w:rPr>
          <w:t>https://www.cypnow.co.uk/cyp/news/2006351/government-urged-to-close-irredeemable-secure-training-centre</w:t>
        </w:r>
      </w:hyperlink>
      <w:r w:rsidR="00802EED" w:rsidRPr="00336AFD">
        <w:rPr>
          <w:rFonts w:eastAsia="Arial Unicode MS"/>
          <w:color w:val="000000" w:themeColor="text1"/>
          <w:bdr w:val="nil"/>
          <w:lang w:val="en-US"/>
        </w:rPr>
        <w:t xml:space="preserve"> </w:t>
      </w:r>
    </w:p>
    <w:p w:rsidR="00802EED" w:rsidRPr="00336AFD" w:rsidRDefault="00802EED" w:rsidP="00252515">
      <w:pPr>
        <w:pBdr>
          <w:top w:val="nil"/>
          <w:left w:val="nil"/>
          <w:bottom w:val="nil"/>
          <w:right w:val="nil"/>
          <w:between w:val="nil"/>
          <w:bar w:val="nil"/>
        </w:pBdr>
        <w:jc w:val="both"/>
        <w:rPr>
          <w:rFonts w:eastAsia="Arial Unicode MS"/>
          <w:color w:val="000000" w:themeColor="text1"/>
          <w:bdr w:val="nil"/>
          <w:lang w:val="en-US"/>
        </w:rPr>
      </w:pPr>
    </w:p>
    <w:p w:rsidR="00802EED" w:rsidRPr="00336AFD" w:rsidRDefault="00802EED" w:rsidP="00252515">
      <w:pPr>
        <w:pBdr>
          <w:top w:val="nil"/>
          <w:left w:val="nil"/>
          <w:bottom w:val="nil"/>
          <w:right w:val="nil"/>
          <w:between w:val="nil"/>
          <w:bar w:val="nil"/>
        </w:pBdr>
        <w:jc w:val="both"/>
        <w:rPr>
          <w:rFonts w:eastAsia="Arial Unicode MS"/>
          <w:color w:val="000000" w:themeColor="text1"/>
          <w:bdr w:val="nil"/>
          <w:lang w:val="en-US"/>
        </w:rPr>
      </w:pPr>
      <w:r w:rsidRPr="00336AFD">
        <w:rPr>
          <w:rFonts w:eastAsia="Arial Unicode MS"/>
          <w:color w:val="000000" w:themeColor="text1"/>
          <w:bdr w:val="nil"/>
          <w:lang w:val="en-US"/>
        </w:rPr>
        <w:t xml:space="preserve">CYC-Online (2000) Child and Youth Care Network. The three P’s of child rights: provision, protection and participation. Issue 16, May 2000. </w:t>
      </w:r>
      <w:hyperlink r:id="rId26" w:history="1">
        <w:r w:rsidRPr="00336AFD">
          <w:rPr>
            <w:rStyle w:val="Hyperlink"/>
            <w:rFonts w:eastAsia="Arial Unicode MS"/>
            <w:bdr w:val="nil"/>
            <w:lang w:val="en-US"/>
          </w:rPr>
          <w:t>https://www.cyc-net.org/cyc-online/cycol-0500-threepees.html</w:t>
        </w:r>
      </w:hyperlink>
      <w:r w:rsidRPr="00336AFD">
        <w:rPr>
          <w:rFonts w:eastAsia="Arial Unicode MS"/>
          <w:color w:val="000000" w:themeColor="text1"/>
          <w:bdr w:val="nil"/>
          <w:lang w:val="en-US"/>
        </w:rPr>
        <w:t xml:space="preserve"> </w:t>
      </w:r>
    </w:p>
    <w:p w:rsidR="00802EED" w:rsidRPr="00336AFD" w:rsidRDefault="00802EED" w:rsidP="00252515">
      <w:pPr>
        <w:pBdr>
          <w:top w:val="nil"/>
          <w:left w:val="nil"/>
          <w:bottom w:val="nil"/>
          <w:right w:val="nil"/>
          <w:between w:val="nil"/>
          <w:bar w:val="nil"/>
        </w:pBdr>
        <w:spacing w:before="240"/>
        <w:jc w:val="both"/>
        <w:rPr>
          <w:rStyle w:val="Hyperlink"/>
          <w:bCs/>
        </w:rPr>
      </w:pPr>
      <w:r w:rsidRPr="00336AFD">
        <w:rPr>
          <w:bCs/>
        </w:rPr>
        <w:t>HM Inspectorate of Probation (2016) Referral orders – do they achieve their potential?</w:t>
      </w:r>
    </w:p>
    <w:p w:rsidR="00802EED" w:rsidRPr="00336AFD" w:rsidRDefault="00D31ABD" w:rsidP="00252515">
      <w:pPr>
        <w:pBdr>
          <w:top w:val="nil"/>
          <w:left w:val="nil"/>
          <w:bottom w:val="nil"/>
          <w:right w:val="nil"/>
          <w:between w:val="nil"/>
          <w:bar w:val="nil"/>
        </w:pBdr>
        <w:jc w:val="both"/>
        <w:rPr>
          <w:rFonts w:eastAsia="Arial Unicode MS"/>
          <w:color w:val="000000" w:themeColor="text1"/>
          <w:bdr w:val="nil"/>
        </w:rPr>
      </w:pPr>
      <w:hyperlink r:id="rId27" w:history="1">
        <w:r w:rsidR="00802EED" w:rsidRPr="00336AFD">
          <w:rPr>
            <w:rStyle w:val="Hyperlink"/>
            <w:rFonts w:eastAsia="Arial Unicode MS"/>
            <w:bdr w:val="nil"/>
          </w:rPr>
          <w:t>https://www.justiceinspectorates.gov.uk/hmiprobation/wp-content/uploads/sites/5/2016/07/Referral-orders-do-they-achieve-their-potential.pdf</w:t>
        </w:r>
      </w:hyperlink>
    </w:p>
    <w:p w:rsidR="00802EED" w:rsidRDefault="00802EED" w:rsidP="00252515">
      <w:pPr>
        <w:pBdr>
          <w:top w:val="nil"/>
          <w:left w:val="nil"/>
          <w:bottom w:val="nil"/>
          <w:right w:val="nil"/>
          <w:between w:val="nil"/>
          <w:bar w:val="nil"/>
        </w:pBdr>
        <w:spacing w:before="240"/>
        <w:jc w:val="both"/>
        <w:rPr>
          <w:color w:val="0000FF" w:themeColor="hyperlink"/>
          <w:u w:val="single"/>
          <w:lang w:val="en-US"/>
        </w:rPr>
      </w:pPr>
      <w:r w:rsidRPr="00336AFD">
        <w:rPr>
          <w:lang w:val="en-US"/>
        </w:rPr>
        <w:t>Home Office (2004)</w:t>
      </w:r>
      <w:r w:rsidRPr="00336AFD">
        <w:rPr>
          <w:i/>
          <w:lang w:val="en-US"/>
        </w:rPr>
        <w:t xml:space="preserve"> Reducing </w:t>
      </w:r>
      <w:hyperlink r:id="rId28" w:history="1">
        <w:r w:rsidRPr="00336AFD">
          <w:rPr>
            <w:i/>
            <w:lang w:val="en-US"/>
          </w:rPr>
          <w:t>Crime</w:t>
        </w:r>
      </w:hyperlink>
      <w:r w:rsidRPr="00336AFD">
        <w:rPr>
          <w:i/>
          <w:lang w:val="en-US"/>
        </w:rPr>
        <w:t xml:space="preserve"> - Changing Lives</w:t>
      </w:r>
      <w:r w:rsidRPr="00336AFD">
        <w:rPr>
          <w:lang w:val="en-US"/>
        </w:rPr>
        <w:t xml:space="preserve">. London, HMSO </w:t>
      </w:r>
      <w:hyperlink r:id="rId29" w:history="1">
        <w:r w:rsidRPr="00336AFD">
          <w:rPr>
            <w:rStyle w:val="Hyperlink"/>
            <w:lang w:val="en-US"/>
          </w:rPr>
          <w:t>https://webarchive.nationalarchives.gov.uk/20080205174933/http://www.homeoffice.gov.uk/documents/reducing-crime-changing-lives?version=1</w:t>
        </w:r>
      </w:hyperlink>
    </w:p>
    <w:p w:rsidR="00BB082B" w:rsidRDefault="00BB082B" w:rsidP="00252515">
      <w:pPr>
        <w:pBdr>
          <w:top w:val="nil"/>
          <w:left w:val="nil"/>
          <w:bottom w:val="nil"/>
          <w:right w:val="nil"/>
          <w:between w:val="nil"/>
          <w:bar w:val="nil"/>
        </w:pBdr>
        <w:spacing w:before="240"/>
        <w:jc w:val="both"/>
        <w:rPr>
          <w:color w:val="000000" w:themeColor="text1"/>
        </w:rPr>
      </w:pPr>
      <w:r>
        <w:rPr>
          <w:color w:val="000000" w:themeColor="text1"/>
        </w:rPr>
        <w:t>Ministry of Justice (2013</w:t>
      </w:r>
      <w:r w:rsidRPr="00336AFD">
        <w:rPr>
          <w:color w:val="000000" w:themeColor="text1"/>
        </w:rPr>
        <w:t>)</w:t>
      </w:r>
      <w:r>
        <w:rPr>
          <w:color w:val="000000" w:themeColor="text1"/>
        </w:rPr>
        <w:t xml:space="preserve"> Transforming Youth Custody: Putting Education at the Heart of Detention.</w:t>
      </w:r>
      <w:hyperlink r:id="rId30" w:history="1">
        <w:r>
          <w:rPr>
            <w:rStyle w:val="Hyperlink"/>
          </w:rPr>
          <w:t>https://assets.publishing.service.gov.uk/government/uploads/system/uploads/attachment_data/file/181588/transforming-youth-custody.pdf</w:t>
        </w:r>
      </w:hyperlink>
    </w:p>
    <w:p w:rsidR="00BB082B" w:rsidRPr="00336AFD" w:rsidRDefault="00BB082B" w:rsidP="00252515">
      <w:pPr>
        <w:pBdr>
          <w:top w:val="nil"/>
          <w:left w:val="nil"/>
          <w:bottom w:val="nil"/>
          <w:right w:val="nil"/>
          <w:between w:val="nil"/>
          <w:bar w:val="nil"/>
        </w:pBdr>
        <w:spacing w:before="240"/>
        <w:jc w:val="both"/>
        <w:rPr>
          <w:color w:val="0000FF" w:themeColor="hyperlink"/>
          <w:u w:val="single"/>
          <w:lang w:val="en-US"/>
        </w:rPr>
      </w:pPr>
    </w:p>
    <w:p w:rsidR="00802EED" w:rsidRPr="00336AFD" w:rsidRDefault="00802EED" w:rsidP="00252515">
      <w:pPr>
        <w:pBdr>
          <w:top w:val="nil"/>
          <w:left w:val="nil"/>
          <w:bottom w:val="nil"/>
          <w:right w:val="nil"/>
          <w:between w:val="nil"/>
          <w:bar w:val="nil"/>
        </w:pBdr>
        <w:jc w:val="both"/>
        <w:rPr>
          <w:color w:val="000000" w:themeColor="text1"/>
        </w:rPr>
      </w:pPr>
      <w:r w:rsidRPr="00336AFD">
        <w:rPr>
          <w:color w:val="000000" w:themeColor="text1"/>
        </w:rPr>
        <w:t xml:space="preserve">Ministry of Justice (2014) </w:t>
      </w:r>
      <w:r w:rsidRPr="00336AFD">
        <w:rPr>
          <w:i/>
          <w:iCs/>
          <w:color w:val="000000" w:themeColor="text1"/>
        </w:rPr>
        <w:t>Offender Management Statistics Quarterly October-December 2013</w:t>
      </w:r>
      <w:r w:rsidRPr="00336AFD">
        <w:rPr>
          <w:color w:val="000000" w:themeColor="text1"/>
        </w:rPr>
        <w:t xml:space="preserve">, 24 April 2014; </w:t>
      </w:r>
      <w:hyperlink r:id="rId31" w:history="1">
        <w:r w:rsidRPr="00336AFD">
          <w:rPr>
            <w:rStyle w:val="Hyperlink"/>
          </w:rPr>
          <w:t>https://www.gov.uk/government/statistics/offender-management-statistics-quarterly-october-december-2013-and-annual</w:t>
        </w:r>
      </w:hyperlink>
      <w:r w:rsidRPr="00336AFD">
        <w:rPr>
          <w:color w:val="000000" w:themeColor="text1"/>
        </w:rPr>
        <w:t xml:space="preserve"> </w:t>
      </w:r>
    </w:p>
    <w:p w:rsidR="00802EED" w:rsidRPr="00336AFD" w:rsidRDefault="00802EED" w:rsidP="00252515">
      <w:pPr>
        <w:pBdr>
          <w:top w:val="nil"/>
          <w:left w:val="nil"/>
          <w:bottom w:val="nil"/>
          <w:right w:val="nil"/>
          <w:between w:val="nil"/>
          <w:bar w:val="nil"/>
        </w:pBdr>
        <w:jc w:val="both"/>
        <w:rPr>
          <w:color w:val="000000" w:themeColor="text1"/>
        </w:rPr>
      </w:pPr>
    </w:p>
    <w:p w:rsidR="00802EED" w:rsidRPr="00336AFD" w:rsidRDefault="00802EED" w:rsidP="00252515">
      <w:pPr>
        <w:pBdr>
          <w:top w:val="nil"/>
          <w:left w:val="nil"/>
          <w:bottom w:val="nil"/>
          <w:right w:val="nil"/>
          <w:between w:val="nil"/>
          <w:bar w:val="nil"/>
        </w:pBdr>
        <w:jc w:val="both"/>
        <w:rPr>
          <w:rFonts w:eastAsia="Arial Unicode MS"/>
          <w:color w:val="000000" w:themeColor="text1"/>
          <w:bdr w:val="nil"/>
        </w:rPr>
      </w:pPr>
      <w:r w:rsidRPr="00336AFD">
        <w:rPr>
          <w:rFonts w:eastAsia="Arial Unicode MS"/>
          <w:color w:val="000000" w:themeColor="text1"/>
          <w:bdr w:val="nil"/>
        </w:rPr>
        <w:t>Sentencing Council (2009) Sentencing Youth Consultation. Annex C. Draft Guidelines – Overarching Principles</w:t>
      </w:r>
    </w:p>
    <w:p w:rsidR="00802EED" w:rsidRPr="00336AFD" w:rsidRDefault="00D31ABD" w:rsidP="00252515">
      <w:pPr>
        <w:pBdr>
          <w:top w:val="nil"/>
          <w:left w:val="nil"/>
          <w:bottom w:val="nil"/>
          <w:right w:val="nil"/>
          <w:between w:val="nil"/>
          <w:bar w:val="nil"/>
        </w:pBdr>
        <w:jc w:val="both"/>
        <w:rPr>
          <w:rFonts w:eastAsia="Arial Unicode MS"/>
          <w:color w:val="000000" w:themeColor="text1"/>
          <w:bdr w:val="nil"/>
          <w:lang w:val="en-US"/>
        </w:rPr>
      </w:pPr>
      <w:hyperlink r:id="rId32" w:history="1">
        <w:r w:rsidR="00802EED" w:rsidRPr="00336AFD">
          <w:rPr>
            <w:rStyle w:val="Hyperlink"/>
            <w:rFonts w:eastAsia="Arial Unicode MS"/>
            <w:bdr w:val="nil"/>
            <w:lang w:val="en-US"/>
          </w:rPr>
          <w:t>https://www.sentencingcouncil.org.uk/wp-content/uploads/Draft-guideline-Sentencing-youths-consultation.pdf</w:t>
        </w:r>
      </w:hyperlink>
    </w:p>
    <w:p w:rsidR="00802EED" w:rsidRDefault="00802EED" w:rsidP="00252515">
      <w:pPr>
        <w:pBdr>
          <w:top w:val="nil"/>
          <w:left w:val="nil"/>
          <w:bottom w:val="nil"/>
          <w:right w:val="nil"/>
          <w:between w:val="nil"/>
          <w:bar w:val="nil"/>
        </w:pBdr>
        <w:spacing w:before="240"/>
        <w:jc w:val="both"/>
        <w:rPr>
          <w:rFonts w:eastAsia="Arial Unicode MS"/>
          <w:color w:val="FF0000"/>
          <w:bdr w:val="nil"/>
          <w:lang w:val="en-US"/>
        </w:rPr>
      </w:pPr>
      <w:r w:rsidRPr="00336AFD">
        <w:rPr>
          <w:rFonts w:eastAsia="Arial Unicode MS"/>
          <w:bdr w:val="nil"/>
          <w:lang w:val="en-US"/>
        </w:rPr>
        <w:t xml:space="preserve">Standing Committee for Youth Justice (2016) </w:t>
      </w:r>
      <w:r w:rsidRPr="00336AFD">
        <w:t>Submission to the Review of Youth Justice by Charlie Taylor, May 2016</w:t>
      </w:r>
      <w:r w:rsidRPr="00336AFD">
        <w:rPr>
          <w:rFonts w:eastAsia="Arial Unicode MS"/>
          <w:color w:val="FF0000"/>
          <w:bdr w:val="nil"/>
          <w:lang w:val="en-US"/>
        </w:rPr>
        <w:t xml:space="preserve"> </w:t>
      </w:r>
      <w:hyperlink r:id="rId33" w:history="1">
        <w:r w:rsidRPr="00336AFD">
          <w:rPr>
            <w:rStyle w:val="Hyperlink"/>
            <w:rFonts w:eastAsia="Arial Unicode MS"/>
            <w:bdr w:val="nil"/>
            <w:lang w:val="en-US"/>
          </w:rPr>
          <w:t>http://scyj.org.uk/wp-content/uploads/2016/05/SCYJ-submission-to-Charlie-Taylor-interim.pdf</w:t>
        </w:r>
      </w:hyperlink>
      <w:r w:rsidRPr="00336AFD">
        <w:rPr>
          <w:rFonts w:eastAsia="Arial Unicode MS"/>
          <w:color w:val="FF0000"/>
          <w:bdr w:val="nil"/>
          <w:lang w:val="en-US"/>
        </w:rPr>
        <w:t xml:space="preserve"> </w:t>
      </w:r>
    </w:p>
    <w:p w:rsidR="00A30C69" w:rsidRPr="00336AFD" w:rsidRDefault="00A30C69" w:rsidP="00252515">
      <w:pPr>
        <w:pBdr>
          <w:top w:val="nil"/>
          <w:left w:val="nil"/>
          <w:bottom w:val="nil"/>
          <w:right w:val="nil"/>
          <w:between w:val="nil"/>
          <w:bar w:val="nil"/>
        </w:pBdr>
        <w:spacing w:before="240"/>
        <w:jc w:val="both"/>
        <w:rPr>
          <w:rFonts w:eastAsia="Arial Unicode MS"/>
          <w:color w:val="FF0000"/>
          <w:bdr w:val="nil"/>
          <w:lang w:val="en-US"/>
        </w:rPr>
      </w:pPr>
    </w:p>
    <w:p w:rsidR="00802EED" w:rsidRPr="00336AFD" w:rsidRDefault="00802EED" w:rsidP="00252515">
      <w:pPr>
        <w:pBdr>
          <w:top w:val="nil"/>
          <w:left w:val="nil"/>
          <w:bottom w:val="nil"/>
          <w:right w:val="nil"/>
          <w:between w:val="nil"/>
          <w:bar w:val="nil"/>
        </w:pBdr>
        <w:jc w:val="both"/>
        <w:rPr>
          <w:rFonts w:eastAsia="Arial Unicode MS"/>
          <w:color w:val="000000" w:themeColor="text1"/>
          <w:bdr w:val="nil"/>
          <w:lang w:val="en-US"/>
        </w:rPr>
      </w:pPr>
      <w:r w:rsidRPr="00336AFD">
        <w:rPr>
          <w:rFonts w:eastAsia="Arial Unicode MS"/>
          <w:color w:val="000000" w:themeColor="text1"/>
          <w:bdr w:val="nil"/>
          <w:lang w:val="en-US"/>
        </w:rPr>
        <w:lastRenderedPageBreak/>
        <w:t xml:space="preserve">Youth Justice Board and Ministry of Justice (2016) </w:t>
      </w:r>
      <w:r w:rsidRPr="00336AFD">
        <w:rPr>
          <w:rStyle w:val="Hyperlink"/>
          <w:rFonts w:eastAsia="Arial Unicode MS"/>
          <w:color w:val="000000" w:themeColor="text1"/>
          <w:bdr w:val="nil"/>
        </w:rPr>
        <w:t>https://www.gov.uk/government/uploads/system/uploads/attachment_data/file/676072/youth_justice_statistics_2016-17.pdf</w:t>
      </w:r>
    </w:p>
    <w:p w:rsidR="00802EED" w:rsidRPr="00336AFD" w:rsidRDefault="00802EED" w:rsidP="00252515">
      <w:pPr>
        <w:pBdr>
          <w:top w:val="nil"/>
          <w:left w:val="nil"/>
          <w:bottom w:val="nil"/>
          <w:right w:val="nil"/>
          <w:between w:val="nil"/>
          <w:bar w:val="nil"/>
        </w:pBdr>
        <w:spacing w:before="240"/>
        <w:jc w:val="both"/>
        <w:rPr>
          <w:rFonts w:eastAsia="Arial Unicode MS"/>
          <w:color w:val="FF0000"/>
          <w:bdr w:val="nil"/>
          <w:lang w:val="en-US"/>
        </w:rPr>
      </w:pPr>
      <w:r w:rsidRPr="00336AFD">
        <w:rPr>
          <w:rFonts w:eastAsia="Arial Unicode MS"/>
          <w:bdr w:val="nil"/>
          <w:lang w:val="en-US"/>
        </w:rPr>
        <w:t xml:space="preserve">Youth Justice Board and Ministry of Justice (2018) </w:t>
      </w:r>
      <w:hyperlink r:id="rId34" w:history="1">
        <w:r w:rsidRPr="00336AFD">
          <w:rPr>
            <w:rStyle w:val="Hyperlink"/>
            <w:rFonts w:eastAsia="Arial Unicode MS"/>
            <w:bdr w:val="nil"/>
            <w:lang w:val="en-US"/>
          </w:rPr>
          <w:t>https://assets.publishing.service.gov.uk/government/uploads/system/uploads/attachment_data/file/774866/youth_justice_statistics_bulletin_2017_2018.pdf</w:t>
        </w:r>
      </w:hyperlink>
      <w:r w:rsidRPr="00336AFD">
        <w:rPr>
          <w:rFonts w:eastAsia="Arial Unicode MS"/>
          <w:color w:val="FF0000"/>
          <w:bdr w:val="nil"/>
          <w:lang w:val="en-US"/>
        </w:rPr>
        <w:t xml:space="preserve"> </w:t>
      </w:r>
    </w:p>
    <w:p w:rsidR="00802EED" w:rsidRPr="00336AFD" w:rsidRDefault="00802EED" w:rsidP="00252515">
      <w:pPr>
        <w:pBdr>
          <w:top w:val="nil"/>
          <w:left w:val="nil"/>
          <w:bottom w:val="nil"/>
          <w:right w:val="nil"/>
          <w:between w:val="nil"/>
          <w:bar w:val="nil"/>
        </w:pBdr>
        <w:spacing w:before="240"/>
        <w:jc w:val="both"/>
        <w:rPr>
          <w:rFonts w:eastAsia="Arial Unicode MS"/>
          <w:color w:val="FF0000"/>
          <w:bdr w:val="nil"/>
          <w:lang w:val="en-US"/>
        </w:rPr>
      </w:pPr>
    </w:p>
    <w:p w:rsidR="00802EED" w:rsidRPr="00336AFD" w:rsidRDefault="00802EED" w:rsidP="00252515">
      <w:pPr>
        <w:pBdr>
          <w:top w:val="nil"/>
          <w:left w:val="nil"/>
          <w:bottom w:val="nil"/>
          <w:right w:val="nil"/>
          <w:between w:val="nil"/>
          <w:bar w:val="nil"/>
        </w:pBdr>
        <w:jc w:val="both"/>
        <w:rPr>
          <w:rFonts w:eastAsia="Arial Unicode MS"/>
          <w:bdr w:val="nil"/>
          <w:lang w:val="en-US"/>
        </w:rPr>
      </w:pPr>
      <w:r w:rsidRPr="00336AFD">
        <w:rPr>
          <w:rFonts w:eastAsia="Arial Unicode MS"/>
          <w:bdr w:val="nil"/>
          <w:lang w:val="en-US"/>
        </w:rPr>
        <w:t>UN Convention on the Rights of the Child (1989)</w:t>
      </w:r>
    </w:p>
    <w:p w:rsidR="00802EED" w:rsidRPr="00336AFD" w:rsidRDefault="00D31ABD" w:rsidP="00252515">
      <w:pPr>
        <w:pBdr>
          <w:top w:val="nil"/>
          <w:left w:val="nil"/>
          <w:bottom w:val="nil"/>
          <w:right w:val="nil"/>
          <w:between w:val="nil"/>
          <w:bar w:val="nil"/>
        </w:pBdr>
        <w:jc w:val="both"/>
        <w:rPr>
          <w:rFonts w:eastAsia="Arial Unicode MS"/>
          <w:color w:val="FF0000"/>
          <w:bdr w:val="nil"/>
          <w:lang w:val="en-US"/>
        </w:rPr>
      </w:pPr>
      <w:hyperlink r:id="rId35" w:history="1">
        <w:r w:rsidR="00802EED" w:rsidRPr="00336AFD">
          <w:rPr>
            <w:rStyle w:val="Hyperlink"/>
            <w:rFonts w:eastAsia="Arial Unicode MS"/>
            <w:bdr w:val="nil"/>
            <w:lang w:val="en-US"/>
          </w:rPr>
          <w:t>https://www.ohchr.org/en/professionalinterest/pages/crc.aspx</w:t>
        </w:r>
      </w:hyperlink>
      <w:r w:rsidR="00802EED" w:rsidRPr="00336AFD">
        <w:rPr>
          <w:rFonts w:eastAsia="Arial Unicode MS"/>
          <w:color w:val="FF0000"/>
          <w:bdr w:val="nil"/>
          <w:lang w:val="en-US"/>
        </w:rPr>
        <w:t xml:space="preserve"> </w:t>
      </w:r>
    </w:p>
    <w:p w:rsidR="005C4006" w:rsidRPr="00A30C69" w:rsidRDefault="005C4006" w:rsidP="00252515">
      <w:pPr>
        <w:pBdr>
          <w:top w:val="nil"/>
          <w:left w:val="nil"/>
          <w:bottom w:val="nil"/>
          <w:right w:val="nil"/>
          <w:between w:val="nil"/>
          <w:bar w:val="nil"/>
        </w:pBdr>
        <w:jc w:val="both"/>
        <w:rPr>
          <w:rFonts w:eastAsia="Arial Unicode MS"/>
          <w:bdr w:val="nil"/>
          <w:lang w:val="en-US"/>
        </w:rPr>
      </w:pPr>
    </w:p>
    <w:p w:rsidR="005C4006" w:rsidRPr="00A30C69" w:rsidRDefault="005C4006" w:rsidP="00252515">
      <w:pPr>
        <w:rPr>
          <w:lang w:eastAsia="en-GB"/>
        </w:rPr>
      </w:pPr>
    </w:p>
    <w:p w:rsidR="005C4006" w:rsidRPr="00A30C69" w:rsidRDefault="005C4006" w:rsidP="00252515"/>
    <w:p w:rsidR="005C4006" w:rsidRPr="00A30C69" w:rsidRDefault="005C4006" w:rsidP="00252515">
      <w:pPr>
        <w:rPr>
          <w:color w:val="222222"/>
          <w:shd w:val="clear" w:color="auto" w:fill="FFFFFF"/>
          <w:lang w:eastAsia="en-GB"/>
        </w:rPr>
      </w:pPr>
    </w:p>
    <w:p w:rsidR="005C4006" w:rsidRPr="00A30C69" w:rsidRDefault="005C4006" w:rsidP="00252515">
      <w:pPr>
        <w:pBdr>
          <w:top w:val="nil"/>
          <w:left w:val="nil"/>
          <w:bottom w:val="nil"/>
          <w:right w:val="nil"/>
          <w:between w:val="nil"/>
          <w:bar w:val="nil"/>
        </w:pBdr>
        <w:jc w:val="both"/>
        <w:rPr>
          <w:rFonts w:eastAsia="Arial Unicode MS"/>
          <w:bdr w:val="nil"/>
          <w:lang w:val="en-US"/>
        </w:rPr>
      </w:pPr>
    </w:p>
    <w:p w:rsidR="005C4006" w:rsidRPr="00A30C69" w:rsidRDefault="005C4006" w:rsidP="00F97751">
      <w:pPr>
        <w:pBdr>
          <w:top w:val="nil"/>
          <w:left w:val="nil"/>
          <w:bottom w:val="nil"/>
          <w:right w:val="nil"/>
          <w:between w:val="nil"/>
          <w:bar w:val="nil"/>
        </w:pBdr>
        <w:spacing w:line="360" w:lineRule="auto"/>
        <w:jc w:val="both"/>
        <w:rPr>
          <w:rFonts w:eastAsia="Arial Unicode MS"/>
          <w:bdr w:val="nil"/>
          <w:lang w:val="en-US"/>
        </w:rPr>
      </w:pPr>
    </w:p>
    <w:sectPr w:rsidR="005C4006" w:rsidRPr="00A30C69" w:rsidSect="0070005A">
      <w:footerReference w:type="even"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BD" w:rsidRDefault="00D31ABD" w:rsidP="00C81033">
      <w:r>
        <w:separator/>
      </w:r>
    </w:p>
  </w:endnote>
  <w:endnote w:type="continuationSeparator" w:id="0">
    <w:p w:rsidR="00D31ABD" w:rsidRDefault="00D31ABD" w:rsidP="00C8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E1" w:rsidRDefault="003748E1" w:rsidP="00C35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8E1" w:rsidRDefault="00374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E1" w:rsidRDefault="003748E1" w:rsidP="00C35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6F00">
      <w:rPr>
        <w:rStyle w:val="PageNumber"/>
        <w:noProof/>
      </w:rPr>
      <w:t>21</w:t>
    </w:r>
    <w:r>
      <w:rPr>
        <w:rStyle w:val="PageNumber"/>
      </w:rPr>
      <w:fldChar w:fldCharType="end"/>
    </w:r>
  </w:p>
  <w:p w:rsidR="003748E1" w:rsidRDefault="0037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BD" w:rsidRDefault="00D31ABD" w:rsidP="00C81033">
      <w:r>
        <w:separator/>
      </w:r>
    </w:p>
  </w:footnote>
  <w:footnote w:type="continuationSeparator" w:id="0">
    <w:p w:rsidR="00D31ABD" w:rsidRDefault="00D31ABD" w:rsidP="00C81033">
      <w:r>
        <w:continuationSeparator/>
      </w:r>
    </w:p>
  </w:footnote>
  <w:footnote w:id="1">
    <w:p w:rsidR="00346159" w:rsidRPr="00346159" w:rsidRDefault="00346159" w:rsidP="00346159">
      <w:pPr>
        <w:jc w:val="both"/>
        <w:rPr>
          <w:sz w:val="22"/>
          <w:szCs w:val="22"/>
          <w:lang w:eastAsia="en-GB"/>
        </w:rPr>
      </w:pPr>
      <w:r w:rsidRPr="00346159">
        <w:rPr>
          <w:rStyle w:val="FootnoteReference"/>
          <w:sz w:val="22"/>
          <w:szCs w:val="22"/>
        </w:rPr>
        <w:footnoteRef/>
      </w:r>
      <w:r w:rsidRPr="00346159">
        <w:rPr>
          <w:sz w:val="22"/>
          <w:szCs w:val="22"/>
        </w:rPr>
        <w:t xml:space="preserve"> Researchers can access the Marshall Project for </w:t>
      </w:r>
      <w:proofErr w:type="spellStart"/>
      <w:r w:rsidRPr="00346159">
        <w:rPr>
          <w:sz w:val="22"/>
          <w:szCs w:val="22"/>
        </w:rPr>
        <w:t>decarceration</w:t>
      </w:r>
      <w:proofErr w:type="spellEnd"/>
      <w:r w:rsidRPr="00346159">
        <w:rPr>
          <w:sz w:val="22"/>
          <w:szCs w:val="22"/>
        </w:rPr>
        <w:t>-focused publications published since 2014, see https://www.the marshallproject</w:t>
      </w:r>
      <w:r w:rsidR="00CA7F5C">
        <w:rPr>
          <w:sz w:val="22"/>
          <w:szCs w:val="22"/>
        </w:rPr>
        <w:t>.org/records/1094-decarceration</w:t>
      </w:r>
      <w:r w:rsidRPr="00346159">
        <w:rPr>
          <w:sz w:val="22"/>
          <w:szCs w:val="22"/>
        </w:rPr>
        <w:t xml:space="preserve">. </w:t>
      </w:r>
    </w:p>
    <w:p w:rsidR="00346159" w:rsidRPr="00346159" w:rsidRDefault="00346159" w:rsidP="00346159">
      <w:pPr>
        <w:pStyle w:val="FootnoteText"/>
        <w:jc w:val="both"/>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854CA"/>
    <w:multiLevelType w:val="hybridMultilevel"/>
    <w:tmpl w:val="3A40FFAE"/>
    <w:lvl w:ilvl="0" w:tplc="D9A8A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87F94"/>
    <w:multiLevelType w:val="hybridMultilevel"/>
    <w:tmpl w:val="4EC0A7F8"/>
    <w:lvl w:ilvl="0" w:tplc="655ABEF4">
      <w:start w:val="1"/>
      <w:numFmt w:val="bullet"/>
      <w:lvlText w:val="•"/>
      <w:lvlJc w:val="left"/>
      <w:pPr>
        <w:tabs>
          <w:tab w:val="num" w:pos="720"/>
        </w:tabs>
        <w:ind w:left="720" w:hanging="360"/>
      </w:pPr>
      <w:rPr>
        <w:rFonts w:ascii="Arial" w:hAnsi="Arial" w:hint="default"/>
      </w:rPr>
    </w:lvl>
    <w:lvl w:ilvl="1" w:tplc="3C121052">
      <w:numFmt w:val="bullet"/>
      <w:lvlText w:val="–"/>
      <w:lvlJc w:val="left"/>
      <w:pPr>
        <w:tabs>
          <w:tab w:val="num" w:pos="1440"/>
        </w:tabs>
        <w:ind w:left="1440" w:hanging="360"/>
      </w:pPr>
      <w:rPr>
        <w:rFonts w:ascii="Arial" w:hAnsi="Arial" w:hint="default"/>
      </w:rPr>
    </w:lvl>
    <w:lvl w:ilvl="2" w:tplc="88D28B8A" w:tentative="1">
      <w:start w:val="1"/>
      <w:numFmt w:val="bullet"/>
      <w:lvlText w:val="•"/>
      <w:lvlJc w:val="left"/>
      <w:pPr>
        <w:tabs>
          <w:tab w:val="num" w:pos="2160"/>
        </w:tabs>
        <w:ind w:left="2160" w:hanging="360"/>
      </w:pPr>
      <w:rPr>
        <w:rFonts w:ascii="Arial" w:hAnsi="Arial" w:hint="default"/>
      </w:rPr>
    </w:lvl>
    <w:lvl w:ilvl="3" w:tplc="B1D6E4FE" w:tentative="1">
      <w:start w:val="1"/>
      <w:numFmt w:val="bullet"/>
      <w:lvlText w:val="•"/>
      <w:lvlJc w:val="left"/>
      <w:pPr>
        <w:tabs>
          <w:tab w:val="num" w:pos="2880"/>
        </w:tabs>
        <w:ind w:left="2880" w:hanging="360"/>
      </w:pPr>
      <w:rPr>
        <w:rFonts w:ascii="Arial" w:hAnsi="Arial" w:hint="default"/>
      </w:rPr>
    </w:lvl>
    <w:lvl w:ilvl="4" w:tplc="9C7A7350" w:tentative="1">
      <w:start w:val="1"/>
      <w:numFmt w:val="bullet"/>
      <w:lvlText w:val="•"/>
      <w:lvlJc w:val="left"/>
      <w:pPr>
        <w:tabs>
          <w:tab w:val="num" w:pos="3600"/>
        </w:tabs>
        <w:ind w:left="3600" w:hanging="360"/>
      </w:pPr>
      <w:rPr>
        <w:rFonts w:ascii="Arial" w:hAnsi="Arial" w:hint="default"/>
      </w:rPr>
    </w:lvl>
    <w:lvl w:ilvl="5" w:tplc="3B3A8530" w:tentative="1">
      <w:start w:val="1"/>
      <w:numFmt w:val="bullet"/>
      <w:lvlText w:val="•"/>
      <w:lvlJc w:val="left"/>
      <w:pPr>
        <w:tabs>
          <w:tab w:val="num" w:pos="4320"/>
        </w:tabs>
        <w:ind w:left="4320" w:hanging="360"/>
      </w:pPr>
      <w:rPr>
        <w:rFonts w:ascii="Arial" w:hAnsi="Arial" w:hint="default"/>
      </w:rPr>
    </w:lvl>
    <w:lvl w:ilvl="6" w:tplc="0C404B18" w:tentative="1">
      <w:start w:val="1"/>
      <w:numFmt w:val="bullet"/>
      <w:lvlText w:val="•"/>
      <w:lvlJc w:val="left"/>
      <w:pPr>
        <w:tabs>
          <w:tab w:val="num" w:pos="5040"/>
        </w:tabs>
        <w:ind w:left="5040" w:hanging="360"/>
      </w:pPr>
      <w:rPr>
        <w:rFonts w:ascii="Arial" w:hAnsi="Arial" w:hint="default"/>
      </w:rPr>
    </w:lvl>
    <w:lvl w:ilvl="7" w:tplc="6908B362" w:tentative="1">
      <w:start w:val="1"/>
      <w:numFmt w:val="bullet"/>
      <w:lvlText w:val="•"/>
      <w:lvlJc w:val="left"/>
      <w:pPr>
        <w:tabs>
          <w:tab w:val="num" w:pos="5760"/>
        </w:tabs>
        <w:ind w:left="5760" w:hanging="360"/>
      </w:pPr>
      <w:rPr>
        <w:rFonts w:ascii="Arial" w:hAnsi="Arial" w:hint="default"/>
      </w:rPr>
    </w:lvl>
    <w:lvl w:ilvl="8" w:tplc="31E0EC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0761FE"/>
    <w:multiLevelType w:val="hybridMultilevel"/>
    <w:tmpl w:val="4D202926"/>
    <w:lvl w:ilvl="0" w:tplc="B78E42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07"/>
    <w:rsid w:val="00000412"/>
    <w:rsid w:val="00000EE2"/>
    <w:rsid w:val="00001CE7"/>
    <w:rsid w:val="000059E6"/>
    <w:rsid w:val="00010A98"/>
    <w:rsid w:val="00011463"/>
    <w:rsid w:val="000117C0"/>
    <w:rsid w:val="00011B4D"/>
    <w:rsid w:val="00012D42"/>
    <w:rsid w:val="000130C0"/>
    <w:rsid w:val="000162CD"/>
    <w:rsid w:val="000218E6"/>
    <w:rsid w:val="0002495F"/>
    <w:rsid w:val="00027FBE"/>
    <w:rsid w:val="00030349"/>
    <w:rsid w:val="00030505"/>
    <w:rsid w:val="000313EE"/>
    <w:rsid w:val="000339E1"/>
    <w:rsid w:val="00033CCA"/>
    <w:rsid w:val="00034A43"/>
    <w:rsid w:val="0003506B"/>
    <w:rsid w:val="000359A6"/>
    <w:rsid w:val="000425E5"/>
    <w:rsid w:val="00042E4C"/>
    <w:rsid w:val="00046AD1"/>
    <w:rsid w:val="00047152"/>
    <w:rsid w:val="00056293"/>
    <w:rsid w:val="00056924"/>
    <w:rsid w:val="00056C1A"/>
    <w:rsid w:val="000575F0"/>
    <w:rsid w:val="000643D2"/>
    <w:rsid w:val="0006646C"/>
    <w:rsid w:val="0007048D"/>
    <w:rsid w:val="000705C1"/>
    <w:rsid w:val="0007096E"/>
    <w:rsid w:val="00071246"/>
    <w:rsid w:val="0007211C"/>
    <w:rsid w:val="00073442"/>
    <w:rsid w:val="00074ACF"/>
    <w:rsid w:val="00076287"/>
    <w:rsid w:val="00076372"/>
    <w:rsid w:val="000769EC"/>
    <w:rsid w:val="00076C6F"/>
    <w:rsid w:val="00077437"/>
    <w:rsid w:val="00081CDA"/>
    <w:rsid w:val="000825A1"/>
    <w:rsid w:val="000835A7"/>
    <w:rsid w:val="00083EC0"/>
    <w:rsid w:val="0008414A"/>
    <w:rsid w:val="00085D7B"/>
    <w:rsid w:val="00093D02"/>
    <w:rsid w:val="0009649E"/>
    <w:rsid w:val="00096C8C"/>
    <w:rsid w:val="000978D4"/>
    <w:rsid w:val="000A2234"/>
    <w:rsid w:val="000A2C26"/>
    <w:rsid w:val="000B190B"/>
    <w:rsid w:val="000B4048"/>
    <w:rsid w:val="000B6635"/>
    <w:rsid w:val="000C0A30"/>
    <w:rsid w:val="000C2040"/>
    <w:rsid w:val="000C24ED"/>
    <w:rsid w:val="000C4DDC"/>
    <w:rsid w:val="000C5951"/>
    <w:rsid w:val="000D0531"/>
    <w:rsid w:val="000D0ABE"/>
    <w:rsid w:val="000D1F29"/>
    <w:rsid w:val="000D4436"/>
    <w:rsid w:val="000D7D5F"/>
    <w:rsid w:val="000E1ACD"/>
    <w:rsid w:val="000E3322"/>
    <w:rsid w:val="000E7718"/>
    <w:rsid w:val="000F0AF9"/>
    <w:rsid w:val="000F3380"/>
    <w:rsid w:val="000F3B5E"/>
    <w:rsid w:val="000F4B0E"/>
    <w:rsid w:val="001046E0"/>
    <w:rsid w:val="0011084A"/>
    <w:rsid w:val="00110C85"/>
    <w:rsid w:val="00120B6E"/>
    <w:rsid w:val="00121C6F"/>
    <w:rsid w:val="00121F0A"/>
    <w:rsid w:val="0012541B"/>
    <w:rsid w:val="00127173"/>
    <w:rsid w:val="0012723A"/>
    <w:rsid w:val="00127757"/>
    <w:rsid w:val="00130403"/>
    <w:rsid w:val="00130FBE"/>
    <w:rsid w:val="0013166B"/>
    <w:rsid w:val="001343E4"/>
    <w:rsid w:val="001346B6"/>
    <w:rsid w:val="00134F3A"/>
    <w:rsid w:val="00135427"/>
    <w:rsid w:val="00137D5F"/>
    <w:rsid w:val="00142177"/>
    <w:rsid w:val="0014442E"/>
    <w:rsid w:val="00145886"/>
    <w:rsid w:val="0014729F"/>
    <w:rsid w:val="0015068B"/>
    <w:rsid w:val="00151FAB"/>
    <w:rsid w:val="001535A8"/>
    <w:rsid w:val="0015367A"/>
    <w:rsid w:val="00155775"/>
    <w:rsid w:val="00156932"/>
    <w:rsid w:val="0016239C"/>
    <w:rsid w:val="00165FAA"/>
    <w:rsid w:val="00166987"/>
    <w:rsid w:val="00170D1D"/>
    <w:rsid w:val="001725A5"/>
    <w:rsid w:val="00174322"/>
    <w:rsid w:val="001759C3"/>
    <w:rsid w:val="0017726D"/>
    <w:rsid w:val="001800E8"/>
    <w:rsid w:val="00182468"/>
    <w:rsid w:val="00182B31"/>
    <w:rsid w:val="001834AA"/>
    <w:rsid w:val="0018426E"/>
    <w:rsid w:val="001910F5"/>
    <w:rsid w:val="001949AF"/>
    <w:rsid w:val="001971CC"/>
    <w:rsid w:val="001A2DAF"/>
    <w:rsid w:val="001A3B21"/>
    <w:rsid w:val="001A4C84"/>
    <w:rsid w:val="001A70B4"/>
    <w:rsid w:val="001B159B"/>
    <w:rsid w:val="001B201B"/>
    <w:rsid w:val="001B2289"/>
    <w:rsid w:val="001B2DE4"/>
    <w:rsid w:val="001B4FEE"/>
    <w:rsid w:val="001B60C1"/>
    <w:rsid w:val="001B6769"/>
    <w:rsid w:val="001C3214"/>
    <w:rsid w:val="001C40C3"/>
    <w:rsid w:val="001D1304"/>
    <w:rsid w:val="001D16FB"/>
    <w:rsid w:val="001D281F"/>
    <w:rsid w:val="001D28B0"/>
    <w:rsid w:val="001D3A6F"/>
    <w:rsid w:val="001D3D0B"/>
    <w:rsid w:val="001D6B28"/>
    <w:rsid w:val="001D733F"/>
    <w:rsid w:val="001E1D12"/>
    <w:rsid w:val="001E2D84"/>
    <w:rsid w:val="001E4FDA"/>
    <w:rsid w:val="001E7183"/>
    <w:rsid w:val="001F0AFF"/>
    <w:rsid w:val="001F2A11"/>
    <w:rsid w:val="001F3AED"/>
    <w:rsid w:val="00201B9A"/>
    <w:rsid w:val="00204B82"/>
    <w:rsid w:val="0020547C"/>
    <w:rsid w:val="002102B7"/>
    <w:rsid w:val="00211EF5"/>
    <w:rsid w:val="00216EDE"/>
    <w:rsid w:val="00227C82"/>
    <w:rsid w:val="00230963"/>
    <w:rsid w:val="00231A3A"/>
    <w:rsid w:val="002349C7"/>
    <w:rsid w:val="002412A7"/>
    <w:rsid w:val="00241A04"/>
    <w:rsid w:val="00243A12"/>
    <w:rsid w:val="00244F0F"/>
    <w:rsid w:val="002515C2"/>
    <w:rsid w:val="00252357"/>
    <w:rsid w:val="00252515"/>
    <w:rsid w:val="002543BB"/>
    <w:rsid w:val="0025487B"/>
    <w:rsid w:val="00255C05"/>
    <w:rsid w:val="00260FD5"/>
    <w:rsid w:val="002612C2"/>
    <w:rsid w:val="00261ADB"/>
    <w:rsid w:val="0026220C"/>
    <w:rsid w:val="00270C49"/>
    <w:rsid w:val="00272E45"/>
    <w:rsid w:val="0027502C"/>
    <w:rsid w:val="002758C5"/>
    <w:rsid w:val="0028176D"/>
    <w:rsid w:val="0028491E"/>
    <w:rsid w:val="00285203"/>
    <w:rsid w:val="002865D4"/>
    <w:rsid w:val="00287E07"/>
    <w:rsid w:val="00293097"/>
    <w:rsid w:val="002933AD"/>
    <w:rsid w:val="00295499"/>
    <w:rsid w:val="00296280"/>
    <w:rsid w:val="002B00C5"/>
    <w:rsid w:val="002B2601"/>
    <w:rsid w:val="002C1457"/>
    <w:rsid w:val="002C199B"/>
    <w:rsid w:val="002C52D1"/>
    <w:rsid w:val="002D0285"/>
    <w:rsid w:val="002D1167"/>
    <w:rsid w:val="002D660C"/>
    <w:rsid w:val="002D7DF9"/>
    <w:rsid w:val="002E680A"/>
    <w:rsid w:val="002E7878"/>
    <w:rsid w:val="002F1A52"/>
    <w:rsid w:val="002F2986"/>
    <w:rsid w:val="002F5044"/>
    <w:rsid w:val="002F506C"/>
    <w:rsid w:val="002F6747"/>
    <w:rsid w:val="002F6B32"/>
    <w:rsid w:val="002F73B2"/>
    <w:rsid w:val="0030132E"/>
    <w:rsid w:val="00304296"/>
    <w:rsid w:val="00304399"/>
    <w:rsid w:val="003058D6"/>
    <w:rsid w:val="00317777"/>
    <w:rsid w:val="00322E3B"/>
    <w:rsid w:val="00326FEE"/>
    <w:rsid w:val="0032707B"/>
    <w:rsid w:val="00330707"/>
    <w:rsid w:val="003313E9"/>
    <w:rsid w:val="00331429"/>
    <w:rsid w:val="003324CA"/>
    <w:rsid w:val="003328BE"/>
    <w:rsid w:val="00333002"/>
    <w:rsid w:val="00334ED7"/>
    <w:rsid w:val="00336AFD"/>
    <w:rsid w:val="00337744"/>
    <w:rsid w:val="00337B7D"/>
    <w:rsid w:val="00343CF0"/>
    <w:rsid w:val="00344C81"/>
    <w:rsid w:val="00346159"/>
    <w:rsid w:val="0034621F"/>
    <w:rsid w:val="00350DC7"/>
    <w:rsid w:val="00351F62"/>
    <w:rsid w:val="0035282D"/>
    <w:rsid w:val="00353E3A"/>
    <w:rsid w:val="003547DE"/>
    <w:rsid w:val="0036198A"/>
    <w:rsid w:val="0036615B"/>
    <w:rsid w:val="00367C1A"/>
    <w:rsid w:val="00367E60"/>
    <w:rsid w:val="00370E7A"/>
    <w:rsid w:val="00372982"/>
    <w:rsid w:val="003746EF"/>
    <w:rsid w:val="003748E1"/>
    <w:rsid w:val="003751AC"/>
    <w:rsid w:val="00375569"/>
    <w:rsid w:val="003767E8"/>
    <w:rsid w:val="00381225"/>
    <w:rsid w:val="00384CF9"/>
    <w:rsid w:val="0038627A"/>
    <w:rsid w:val="00386462"/>
    <w:rsid w:val="0038773B"/>
    <w:rsid w:val="003906DD"/>
    <w:rsid w:val="003927EB"/>
    <w:rsid w:val="00392D96"/>
    <w:rsid w:val="00393139"/>
    <w:rsid w:val="00394C08"/>
    <w:rsid w:val="00394C62"/>
    <w:rsid w:val="00395A29"/>
    <w:rsid w:val="0039782E"/>
    <w:rsid w:val="003A026C"/>
    <w:rsid w:val="003A0D41"/>
    <w:rsid w:val="003A22F9"/>
    <w:rsid w:val="003A5D16"/>
    <w:rsid w:val="003A6C13"/>
    <w:rsid w:val="003B0DCE"/>
    <w:rsid w:val="003B15A0"/>
    <w:rsid w:val="003B1B81"/>
    <w:rsid w:val="003B3E93"/>
    <w:rsid w:val="003B46A1"/>
    <w:rsid w:val="003B4B32"/>
    <w:rsid w:val="003B4C62"/>
    <w:rsid w:val="003B64B5"/>
    <w:rsid w:val="003C02E7"/>
    <w:rsid w:val="003C191F"/>
    <w:rsid w:val="003C3664"/>
    <w:rsid w:val="003C6620"/>
    <w:rsid w:val="003C6718"/>
    <w:rsid w:val="003C6FFD"/>
    <w:rsid w:val="003D0ED4"/>
    <w:rsid w:val="003D391B"/>
    <w:rsid w:val="003D5519"/>
    <w:rsid w:val="003D5585"/>
    <w:rsid w:val="003D59D4"/>
    <w:rsid w:val="003E7A19"/>
    <w:rsid w:val="003F062B"/>
    <w:rsid w:val="003F07E5"/>
    <w:rsid w:val="003F1E4C"/>
    <w:rsid w:val="003F53DF"/>
    <w:rsid w:val="004006F7"/>
    <w:rsid w:val="00400BE2"/>
    <w:rsid w:val="00401B2F"/>
    <w:rsid w:val="00403FEB"/>
    <w:rsid w:val="004076EE"/>
    <w:rsid w:val="00414232"/>
    <w:rsid w:val="0041565C"/>
    <w:rsid w:val="00417D93"/>
    <w:rsid w:val="00421CEA"/>
    <w:rsid w:val="004221B8"/>
    <w:rsid w:val="00422CF8"/>
    <w:rsid w:val="00424414"/>
    <w:rsid w:val="004257F6"/>
    <w:rsid w:val="00430C11"/>
    <w:rsid w:val="00430D06"/>
    <w:rsid w:val="0043211B"/>
    <w:rsid w:val="00435EF9"/>
    <w:rsid w:val="00443848"/>
    <w:rsid w:val="004441BA"/>
    <w:rsid w:val="0044421F"/>
    <w:rsid w:val="004454D5"/>
    <w:rsid w:val="004525F1"/>
    <w:rsid w:val="00452A4D"/>
    <w:rsid w:val="004547D2"/>
    <w:rsid w:val="004569EB"/>
    <w:rsid w:val="00460291"/>
    <w:rsid w:val="004607C2"/>
    <w:rsid w:val="0046175B"/>
    <w:rsid w:val="00462714"/>
    <w:rsid w:val="00462F7D"/>
    <w:rsid w:val="00463372"/>
    <w:rsid w:val="004635FB"/>
    <w:rsid w:val="00464D73"/>
    <w:rsid w:val="0046505A"/>
    <w:rsid w:val="00465E13"/>
    <w:rsid w:val="0046607E"/>
    <w:rsid w:val="004665EC"/>
    <w:rsid w:val="0047058E"/>
    <w:rsid w:val="00470791"/>
    <w:rsid w:val="00470C2F"/>
    <w:rsid w:val="00470D88"/>
    <w:rsid w:val="0047224B"/>
    <w:rsid w:val="004758F2"/>
    <w:rsid w:val="00476FFB"/>
    <w:rsid w:val="004870E7"/>
    <w:rsid w:val="00487554"/>
    <w:rsid w:val="00492118"/>
    <w:rsid w:val="00496E58"/>
    <w:rsid w:val="0049730F"/>
    <w:rsid w:val="00497317"/>
    <w:rsid w:val="004A0BEA"/>
    <w:rsid w:val="004A0F71"/>
    <w:rsid w:val="004A6ADF"/>
    <w:rsid w:val="004B0F55"/>
    <w:rsid w:val="004B187E"/>
    <w:rsid w:val="004B30EC"/>
    <w:rsid w:val="004B4C24"/>
    <w:rsid w:val="004B647A"/>
    <w:rsid w:val="004B6CD6"/>
    <w:rsid w:val="004B7C82"/>
    <w:rsid w:val="004D10D2"/>
    <w:rsid w:val="004D171E"/>
    <w:rsid w:val="004D3871"/>
    <w:rsid w:val="004D3F7F"/>
    <w:rsid w:val="004D5074"/>
    <w:rsid w:val="004D5E7B"/>
    <w:rsid w:val="004E46A2"/>
    <w:rsid w:val="004E46A8"/>
    <w:rsid w:val="004E60E7"/>
    <w:rsid w:val="004E7C94"/>
    <w:rsid w:val="004F0633"/>
    <w:rsid w:val="004F1065"/>
    <w:rsid w:val="004F1752"/>
    <w:rsid w:val="004F1AEB"/>
    <w:rsid w:val="004F6348"/>
    <w:rsid w:val="004F6D4C"/>
    <w:rsid w:val="00501129"/>
    <w:rsid w:val="0050118A"/>
    <w:rsid w:val="00502A64"/>
    <w:rsid w:val="00505068"/>
    <w:rsid w:val="00507DA7"/>
    <w:rsid w:val="00512C8B"/>
    <w:rsid w:val="00513C93"/>
    <w:rsid w:val="0051580E"/>
    <w:rsid w:val="00516617"/>
    <w:rsid w:val="005175D3"/>
    <w:rsid w:val="00520EBE"/>
    <w:rsid w:val="00523D27"/>
    <w:rsid w:val="005249B3"/>
    <w:rsid w:val="005257B7"/>
    <w:rsid w:val="005270CE"/>
    <w:rsid w:val="00527302"/>
    <w:rsid w:val="00530291"/>
    <w:rsid w:val="00530B2D"/>
    <w:rsid w:val="005314AD"/>
    <w:rsid w:val="005320AB"/>
    <w:rsid w:val="00532876"/>
    <w:rsid w:val="0053370A"/>
    <w:rsid w:val="00534E45"/>
    <w:rsid w:val="00536336"/>
    <w:rsid w:val="00536868"/>
    <w:rsid w:val="005419DB"/>
    <w:rsid w:val="00541C32"/>
    <w:rsid w:val="00545326"/>
    <w:rsid w:val="00545482"/>
    <w:rsid w:val="00547B45"/>
    <w:rsid w:val="00547F23"/>
    <w:rsid w:val="005524B5"/>
    <w:rsid w:val="00565F7E"/>
    <w:rsid w:val="00566371"/>
    <w:rsid w:val="00573F08"/>
    <w:rsid w:val="0057683C"/>
    <w:rsid w:val="00580B87"/>
    <w:rsid w:val="00581C13"/>
    <w:rsid w:val="005A1030"/>
    <w:rsid w:val="005A2396"/>
    <w:rsid w:val="005A2A25"/>
    <w:rsid w:val="005A535F"/>
    <w:rsid w:val="005B1131"/>
    <w:rsid w:val="005B1E8E"/>
    <w:rsid w:val="005B22E0"/>
    <w:rsid w:val="005B2FC6"/>
    <w:rsid w:val="005B5817"/>
    <w:rsid w:val="005C0051"/>
    <w:rsid w:val="005C10AC"/>
    <w:rsid w:val="005C4006"/>
    <w:rsid w:val="005C56AC"/>
    <w:rsid w:val="005C598D"/>
    <w:rsid w:val="005C7654"/>
    <w:rsid w:val="005D251D"/>
    <w:rsid w:val="005D709B"/>
    <w:rsid w:val="005D7A6B"/>
    <w:rsid w:val="005E17E6"/>
    <w:rsid w:val="005E1DFD"/>
    <w:rsid w:val="005E5C31"/>
    <w:rsid w:val="005E66D5"/>
    <w:rsid w:val="005F02AC"/>
    <w:rsid w:val="005F1774"/>
    <w:rsid w:val="005F36E7"/>
    <w:rsid w:val="005F41E8"/>
    <w:rsid w:val="005F42E3"/>
    <w:rsid w:val="005F6B8F"/>
    <w:rsid w:val="005F6E0A"/>
    <w:rsid w:val="00600001"/>
    <w:rsid w:val="006040B9"/>
    <w:rsid w:val="006062E0"/>
    <w:rsid w:val="006117D1"/>
    <w:rsid w:val="00613436"/>
    <w:rsid w:val="00616354"/>
    <w:rsid w:val="006170D5"/>
    <w:rsid w:val="00620660"/>
    <w:rsid w:val="00621BE7"/>
    <w:rsid w:val="00622F52"/>
    <w:rsid w:val="00626949"/>
    <w:rsid w:val="006269BB"/>
    <w:rsid w:val="00626AB8"/>
    <w:rsid w:val="00626E7B"/>
    <w:rsid w:val="006301D5"/>
    <w:rsid w:val="00634938"/>
    <w:rsid w:val="006370D3"/>
    <w:rsid w:val="006376A5"/>
    <w:rsid w:val="00640EA7"/>
    <w:rsid w:val="00645C41"/>
    <w:rsid w:val="00646A1E"/>
    <w:rsid w:val="0064712B"/>
    <w:rsid w:val="00647701"/>
    <w:rsid w:val="00650A44"/>
    <w:rsid w:val="00651985"/>
    <w:rsid w:val="006520AB"/>
    <w:rsid w:val="00652B36"/>
    <w:rsid w:val="00654491"/>
    <w:rsid w:val="0066123E"/>
    <w:rsid w:val="00662B5A"/>
    <w:rsid w:val="00663899"/>
    <w:rsid w:val="00665160"/>
    <w:rsid w:val="00666E6B"/>
    <w:rsid w:val="00671979"/>
    <w:rsid w:val="006731A4"/>
    <w:rsid w:val="00674E19"/>
    <w:rsid w:val="006828F5"/>
    <w:rsid w:val="00684311"/>
    <w:rsid w:val="0068534B"/>
    <w:rsid w:val="00686BFF"/>
    <w:rsid w:val="00692A65"/>
    <w:rsid w:val="00693AEB"/>
    <w:rsid w:val="00693BF4"/>
    <w:rsid w:val="006947E4"/>
    <w:rsid w:val="006A0C1A"/>
    <w:rsid w:val="006A16CB"/>
    <w:rsid w:val="006A36C6"/>
    <w:rsid w:val="006B0DC8"/>
    <w:rsid w:val="006B2032"/>
    <w:rsid w:val="006C10B7"/>
    <w:rsid w:val="006C3B41"/>
    <w:rsid w:val="006C4F50"/>
    <w:rsid w:val="006C62A6"/>
    <w:rsid w:val="006C6D37"/>
    <w:rsid w:val="006D1654"/>
    <w:rsid w:val="006D1D9E"/>
    <w:rsid w:val="006D2A11"/>
    <w:rsid w:val="006D379F"/>
    <w:rsid w:val="006D493A"/>
    <w:rsid w:val="006D53CD"/>
    <w:rsid w:val="006E0DBF"/>
    <w:rsid w:val="006E120C"/>
    <w:rsid w:val="006E1B9B"/>
    <w:rsid w:val="006E2A67"/>
    <w:rsid w:val="006E38ED"/>
    <w:rsid w:val="006E5768"/>
    <w:rsid w:val="006E6BE5"/>
    <w:rsid w:val="006E6DE5"/>
    <w:rsid w:val="006E72A3"/>
    <w:rsid w:val="0070005A"/>
    <w:rsid w:val="00701365"/>
    <w:rsid w:val="007027CA"/>
    <w:rsid w:val="0070563A"/>
    <w:rsid w:val="00706A74"/>
    <w:rsid w:val="00713ADE"/>
    <w:rsid w:val="00715369"/>
    <w:rsid w:val="00716537"/>
    <w:rsid w:val="007203C1"/>
    <w:rsid w:val="0072081F"/>
    <w:rsid w:val="007223EE"/>
    <w:rsid w:val="00724595"/>
    <w:rsid w:val="007256A5"/>
    <w:rsid w:val="00725EF8"/>
    <w:rsid w:val="00726D6C"/>
    <w:rsid w:val="00727597"/>
    <w:rsid w:val="007343B0"/>
    <w:rsid w:val="00734C33"/>
    <w:rsid w:val="0073561B"/>
    <w:rsid w:val="00736AC2"/>
    <w:rsid w:val="00736AFD"/>
    <w:rsid w:val="00742598"/>
    <w:rsid w:val="00742B0A"/>
    <w:rsid w:val="00742FA0"/>
    <w:rsid w:val="00750EFD"/>
    <w:rsid w:val="0075284A"/>
    <w:rsid w:val="00752DD4"/>
    <w:rsid w:val="007645CE"/>
    <w:rsid w:val="007665E5"/>
    <w:rsid w:val="0076698E"/>
    <w:rsid w:val="007723EF"/>
    <w:rsid w:val="00780250"/>
    <w:rsid w:val="00787F77"/>
    <w:rsid w:val="00791499"/>
    <w:rsid w:val="00796A95"/>
    <w:rsid w:val="007A4045"/>
    <w:rsid w:val="007A5763"/>
    <w:rsid w:val="007A5A68"/>
    <w:rsid w:val="007A637F"/>
    <w:rsid w:val="007A77C3"/>
    <w:rsid w:val="007B21B8"/>
    <w:rsid w:val="007B29A9"/>
    <w:rsid w:val="007B36EE"/>
    <w:rsid w:val="007B43CB"/>
    <w:rsid w:val="007B560F"/>
    <w:rsid w:val="007B584E"/>
    <w:rsid w:val="007C266F"/>
    <w:rsid w:val="007D2363"/>
    <w:rsid w:val="007D34C6"/>
    <w:rsid w:val="007D4069"/>
    <w:rsid w:val="007E3DDC"/>
    <w:rsid w:val="007E4B07"/>
    <w:rsid w:val="007E6261"/>
    <w:rsid w:val="007E6BFC"/>
    <w:rsid w:val="007E761C"/>
    <w:rsid w:val="007F4D39"/>
    <w:rsid w:val="007F5194"/>
    <w:rsid w:val="007F6CCF"/>
    <w:rsid w:val="007F78A0"/>
    <w:rsid w:val="00800842"/>
    <w:rsid w:val="00802EED"/>
    <w:rsid w:val="008047A2"/>
    <w:rsid w:val="00810D38"/>
    <w:rsid w:val="00811AAC"/>
    <w:rsid w:val="00811E8A"/>
    <w:rsid w:val="0081416B"/>
    <w:rsid w:val="0081419C"/>
    <w:rsid w:val="008148AC"/>
    <w:rsid w:val="00816C3E"/>
    <w:rsid w:val="00816F71"/>
    <w:rsid w:val="008227FE"/>
    <w:rsid w:val="008313A9"/>
    <w:rsid w:val="008319A5"/>
    <w:rsid w:val="00834AF4"/>
    <w:rsid w:val="00835FB8"/>
    <w:rsid w:val="00836434"/>
    <w:rsid w:val="008409AD"/>
    <w:rsid w:val="00841068"/>
    <w:rsid w:val="008412AF"/>
    <w:rsid w:val="008437EB"/>
    <w:rsid w:val="008440C4"/>
    <w:rsid w:val="0084729C"/>
    <w:rsid w:val="008478A4"/>
    <w:rsid w:val="008542EF"/>
    <w:rsid w:val="00854EAD"/>
    <w:rsid w:val="00862FD4"/>
    <w:rsid w:val="00863325"/>
    <w:rsid w:val="00864F13"/>
    <w:rsid w:val="00867EAA"/>
    <w:rsid w:val="00871B6C"/>
    <w:rsid w:val="0087287A"/>
    <w:rsid w:val="00873B65"/>
    <w:rsid w:val="00874197"/>
    <w:rsid w:val="008800C1"/>
    <w:rsid w:val="0088154E"/>
    <w:rsid w:val="0088305D"/>
    <w:rsid w:val="00883D36"/>
    <w:rsid w:val="00884226"/>
    <w:rsid w:val="008850FD"/>
    <w:rsid w:val="008955C2"/>
    <w:rsid w:val="0089731D"/>
    <w:rsid w:val="008A419C"/>
    <w:rsid w:val="008A4E84"/>
    <w:rsid w:val="008A5124"/>
    <w:rsid w:val="008A54C0"/>
    <w:rsid w:val="008B2383"/>
    <w:rsid w:val="008B3436"/>
    <w:rsid w:val="008B6F1A"/>
    <w:rsid w:val="008C0B12"/>
    <w:rsid w:val="008C1108"/>
    <w:rsid w:val="008C1305"/>
    <w:rsid w:val="008C1CD2"/>
    <w:rsid w:val="008C200F"/>
    <w:rsid w:val="008C31C0"/>
    <w:rsid w:val="008C5EAD"/>
    <w:rsid w:val="008D189C"/>
    <w:rsid w:val="008D2AB3"/>
    <w:rsid w:val="008D43B7"/>
    <w:rsid w:val="008D4E70"/>
    <w:rsid w:val="008D53A4"/>
    <w:rsid w:val="008D5921"/>
    <w:rsid w:val="008E109E"/>
    <w:rsid w:val="008E727D"/>
    <w:rsid w:val="008F01DF"/>
    <w:rsid w:val="008F0B4F"/>
    <w:rsid w:val="008F0FC4"/>
    <w:rsid w:val="008F23F9"/>
    <w:rsid w:val="008F43A9"/>
    <w:rsid w:val="008F4F86"/>
    <w:rsid w:val="008F6FED"/>
    <w:rsid w:val="00900981"/>
    <w:rsid w:val="00902FD1"/>
    <w:rsid w:val="00904E36"/>
    <w:rsid w:val="00910C2B"/>
    <w:rsid w:val="00911C47"/>
    <w:rsid w:val="0091244D"/>
    <w:rsid w:val="009170BE"/>
    <w:rsid w:val="009205D1"/>
    <w:rsid w:val="00921BA2"/>
    <w:rsid w:val="00924A98"/>
    <w:rsid w:val="00926A09"/>
    <w:rsid w:val="00930FA7"/>
    <w:rsid w:val="00931858"/>
    <w:rsid w:val="00935762"/>
    <w:rsid w:val="00936926"/>
    <w:rsid w:val="009404D6"/>
    <w:rsid w:val="00940A22"/>
    <w:rsid w:val="0094103E"/>
    <w:rsid w:val="00942522"/>
    <w:rsid w:val="009447E1"/>
    <w:rsid w:val="00945633"/>
    <w:rsid w:val="00945751"/>
    <w:rsid w:val="00946F07"/>
    <w:rsid w:val="0094797F"/>
    <w:rsid w:val="00950A75"/>
    <w:rsid w:val="00953474"/>
    <w:rsid w:val="00954B67"/>
    <w:rsid w:val="009553A8"/>
    <w:rsid w:val="009556A0"/>
    <w:rsid w:val="00957961"/>
    <w:rsid w:val="009603EF"/>
    <w:rsid w:val="009625E6"/>
    <w:rsid w:val="00963506"/>
    <w:rsid w:val="00964D3D"/>
    <w:rsid w:val="00966B33"/>
    <w:rsid w:val="0096745D"/>
    <w:rsid w:val="00967E6A"/>
    <w:rsid w:val="00970474"/>
    <w:rsid w:val="009748E0"/>
    <w:rsid w:val="00995F18"/>
    <w:rsid w:val="009A21D7"/>
    <w:rsid w:val="009A3426"/>
    <w:rsid w:val="009B1C75"/>
    <w:rsid w:val="009B24D9"/>
    <w:rsid w:val="009B2926"/>
    <w:rsid w:val="009B2CFB"/>
    <w:rsid w:val="009B497A"/>
    <w:rsid w:val="009B545A"/>
    <w:rsid w:val="009B54A5"/>
    <w:rsid w:val="009B6152"/>
    <w:rsid w:val="009B6B80"/>
    <w:rsid w:val="009C3240"/>
    <w:rsid w:val="009C39A9"/>
    <w:rsid w:val="009C3BFD"/>
    <w:rsid w:val="009D00B0"/>
    <w:rsid w:val="009D2A03"/>
    <w:rsid w:val="009D30D8"/>
    <w:rsid w:val="009D6A6F"/>
    <w:rsid w:val="009D7F19"/>
    <w:rsid w:val="009E1593"/>
    <w:rsid w:val="009E409B"/>
    <w:rsid w:val="009E4F6F"/>
    <w:rsid w:val="009F0205"/>
    <w:rsid w:val="009F0BE8"/>
    <w:rsid w:val="009F24D1"/>
    <w:rsid w:val="00A01121"/>
    <w:rsid w:val="00A016AB"/>
    <w:rsid w:val="00A0230A"/>
    <w:rsid w:val="00A026FB"/>
    <w:rsid w:val="00A02D94"/>
    <w:rsid w:val="00A02FA6"/>
    <w:rsid w:val="00A0448D"/>
    <w:rsid w:val="00A05DDA"/>
    <w:rsid w:val="00A10D22"/>
    <w:rsid w:val="00A12378"/>
    <w:rsid w:val="00A13534"/>
    <w:rsid w:val="00A15DF4"/>
    <w:rsid w:val="00A164D8"/>
    <w:rsid w:val="00A22B17"/>
    <w:rsid w:val="00A25ABF"/>
    <w:rsid w:val="00A30444"/>
    <w:rsid w:val="00A30C69"/>
    <w:rsid w:val="00A31133"/>
    <w:rsid w:val="00A33711"/>
    <w:rsid w:val="00A33ECA"/>
    <w:rsid w:val="00A35AE0"/>
    <w:rsid w:val="00A3681F"/>
    <w:rsid w:val="00A37519"/>
    <w:rsid w:val="00A45707"/>
    <w:rsid w:val="00A569E3"/>
    <w:rsid w:val="00A56BFD"/>
    <w:rsid w:val="00A5776D"/>
    <w:rsid w:val="00A63211"/>
    <w:rsid w:val="00A66BBF"/>
    <w:rsid w:val="00A70890"/>
    <w:rsid w:val="00A70FF7"/>
    <w:rsid w:val="00A800FF"/>
    <w:rsid w:val="00A80B2F"/>
    <w:rsid w:val="00A81D44"/>
    <w:rsid w:val="00A83FA5"/>
    <w:rsid w:val="00A84067"/>
    <w:rsid w:val="00A84B8F"/>
    <w:rsid w:val="00A84CC4"/>
    <w:rsid w:val="00A85625"/>
    <w:rsid w:val="00A8684B"/>
    <w:rsid w:val="00A87B0D"/>
    <w:rsid w:val="00A936E1"/>
    <w:rsid w:val="00A94D9A"/>
    <w:rsid w:val="00A968D6"/>
    <w:rsid w:val="00A9755F"/>
    <w:rsid w:val="00AA03B1"/>
    <w:rsid w:val="00AA2822"/>
    <w:rsid w:val="00AA64CF"/>
    <w:rsid w:val="00AA6F27"/>
    <w:rsid w:val="00AA7814"/>
    <w:rsid w:val="00AB03DB"/>
    <w:rsid w:val="00AB0784"/>
    <w:rsid w:val="00AB0E35"/>
    <w:rsid w:val="00AB18D8"/>
    <w:rsid w:val="00AB29A4"/>
    <w:rsid w:val="00AB29C3"/>
    <w:rsid w:val="00AB2BF0"/>
    <w:rsid w:val="00AB2FEE"/>
    <w:rsid w:val="00AB423B"/>
    <w:rsid w:val="00AC100B"/>
    <w:rsid w:val="00AC1206"/>
    <w:rsid w:val="00AC23B8"/>
    <w:rsid w:val="00AD06D0"/>
    <w:rsid w:val="00AD28F1"/>
    <w:rsid w:val="00AD2A5D"/>
    <w:rsid w:val="00AE09AB"/>
    <w:rsid w:val="00AE1838"/>
    <w:rsid w:val="00AE1A4E"/>
    <w:rsid w:val="00AE27F2"/>
    <w:rsid w:val="00AE2E42"/>
    <w:rsid w:val="00AE3DF0"/>
    <w:rsid w:val="00AF0F1B"/>
    <w:rsid w:val="00AF3036"/>
    <w:rsid w:val="00AF3EEB"/>
    <w:rsid w:val="00AF656C"/>
    <w:rsid w:val="00AF73E0"/>
    <w:rsid w:val="00AF7680"/>
    <w:rsid w:val="00B024F1"/>
    <w:rsid w:val="00B071F2"/>
    <w:rsid w:val="00B15872"/>
    <w:rsid w:val="00B15AA3"/>
    <w:rsid w:val="00B20254"/>
    <w:rsid w:val="00B222D7"/>
    <w:rsid w:val="00B24317"/>
    <w:rsid w:val="00B255B4"/>
    <w:rsid w:val="00B25E34"/>
    <w:rsid w:val="00B30E0D"/>
    <w:rsid w:val="00B31455"/>
    <w:rsid w:val="00B32015"/>
    <w:rsid w:val="00B32314"/>
    <w:rsid w:val="00B345F4"/>
    <w:rsid w:val="00B34967"/>
    <w:rsid w:val="00B363B5"/>
    <w:rsid w:val="00B40C3E"/>
    <w:rsid w:val="00B4105B"/>
    <w:rsid w:val="00B418A8"/>
    <w:rsid w:val="00B43D12"/>
    <w:rsid w:val="00B44ED3"/>
    <w:rsid w:val="00B45ABF"/>
    <w:rsid w:val="00B50461"/>
    <w:rsid w:val="00B53A90"/>
    <w:rsid w:val="00B54D0A"/>
    <w:rsid w:val="00B60BEE"/>
    <w:rsid w:val="00B62BA5"/>
    <w:rsid w:val="00B646AA"/>
    <w:rsid w:val="00B677C7"/>
    <w:rsid w:val="00B70DEA"/>
    <w:rsid w:val="00B71714"/>
    <w:rsid w:val="00B7357B"/>
    <w:rsid w:val="00B7379A"/>
    <w:rsid w:val="00B73901"/>
    <w:rsid w:val="00B74BC6"/>
    <w:rsid w:val="00B80BF2"/>
    <w:rsid w:val="00B813FF"/>
    <w:rsid w:val="00B8316C"/>
    <w:rsid w:val="00B83850"/>
    <w:rsid w:val="00B83C27"/>
    <w:rsid w:val="00B84176"/>
    <w:rsid w:val="00B87206"/>
    <w:rsid w:val="00B90D48"/>
    <w:rsid w:val="00B93965"/>
    <w:rsid w:val="00B95461"/>
    <w:rsid w:val="00B96055"/>
    <w:rsid w:val="00B97B48"/>
    <w:rsid w:val="00BA0389"/>
    <w:rsid w:val="00BA651C"/>
    <w:rsid w:val="00BA6F0E"/>
    <w:rsid w:val="00BB082B"/>
    <w:rsid w:val="00BB0E85"/>
    <w:rsid w:val="00BB3600"/>
    <w:rsid w:val="00BC18A5"/>
    <w:rsid w:val="00BC6BE2"/>
    <w:rsid w:val="00BC7E05"/>
    <w:rsid w:val="00BD0894"/>
    <w:rsid w:val="00BD1B59"/>
    <w:rsid w:val="00BD1CE1"/>
    <w:rsid w:val="00BD1D42"/>
    <w:rsid w:val="00BD7969"/>
    <w:rsid w:val="00BE65AE"/>
    <w:rsid w:val="00BF18BB"/>
    <w:rsid w:val="00BF21FC"/>
    <w:rsid w:val="00C044DD"/>
    <w:rsid w:val="00C05F6E"/>
    <w:rsid w:val="00C0787A"/>
    <w:rsid w:val="00C1252E"/>
    <w:rsid w:val="00C13AF8"/>
    <w:rsid w:val="00C17424"/>
    <w:rsid w:val="00C20726"/>
    <w:rsid w:val="00C2091A"/>
    <w:rsid w:val="00C219EB"/>
    <w:rsid w:val="00C22508"/>
    <w:rsid w:val="00C22A04"/>
    <w:rsid w:val="00C2697C"/>
    <w:rsid w:val="00C274E0"/>
    <w:rsid w:val="00C31EC4"/>
    <w:rsid w:val="00C32251"/>
    <w:rsid w:val="00C33107"/>
    <w:rsid w:val="00C34700"/>
    <w:rsid w:val="00C355ED"/>
    <w:rsid w:val="00C36CDC"/>
    <w:rsid w:val="00C42A27"/>
    <w:rsid w:val="00C454CE"/>
    <w:rsid w:val="00C456AD"/>
    <w:rsid w:val="00C45AE8"/>
    <w:rsid w:val="00C45E9B"/>
    <w:rsid w:val="00C503A5"/>
    <w:rsid w:val="00C54E92"/>
    <w:rsid w:val="00C5538E"/>
    <w:rsid w:val="00C571E6"/>
    <w:rsid w:val="00C674E0"/>
    <w:rsid w:val="00C72A68"/>
    <w:rsid w:val="00C72CE3"/>
    <w:rsid w:val="00C73439"/>
    <w:rsid w:val="00C74BCD"/>
    <w:rsid w:val="00C77517"/>
    <w:rsid w:val="00C81033"/>
    <w:rsid w:val="00C85DB6"/>
    <w:rsid w:val="00C87CF9"/>
    <w:rsid w:val="00C91E7F"/>
    <w:rsid w:val="00C9474D"/>
    <w:rsid w:val="00C96F00"/>
    <w:rsid w:val="00CA45D5"/>
    <w:rsid w:val="00CA4DC9"/>
    <w:rsid w:val="00CA5624"/>
    <w:rsid w:val="00CA6F98"/>
    <w:rsid w:val="00CA7F5C"/>
    <w:rsid w:val="00CB450A"/>
    <w:rsid w:val="00CC07D8"/>
    <w:rsid w:val="00CD3EC0"/>
    <w:rsid w:val="00CD4205"/>
    <w:rsid w:val="00CD52B7"/>
    <w:rsid w:val="00CD650A"/>
    <w:rsid w:val="00CE432D"/>
    <w:rsid w:val="00CE470B"/>
    <w:rsid w:val="00CE4C18"/>
    <w:rsid w:val="00CE50F3"/>
    <w:rsid w:val="00CE6AC1"/>
    <w:rsid w:val="00CE7DA2"/>
    <w:rsid w:val="00CE7FFE"/>
    <w:rsid w:val="00CF1474"/>
    <w:rsid w:val="00CF2079"/>
    <w:rsid w:val="00CF404D"/>
    <w:rsid w:val="00D02CC0"/>
    <w:rsid w:val="00D03712"/>
    <w:rsid w:val="00D048C0"/>
    <w:rsid w:val="00D05E04"/>
    <w:rsid w:val="00D0733C"/>
    <w:rsid w:val="00D1383D"/>
    <w:rsid w:val="00D13C18"/>
    <w:rsid w:val="00D145B5"/>
    <w:rsid w:val="00D15920"/>
    <w:rsid w:val="00D22CAF"/>
    <w:rsid w:val="00D26322"/>
    <w:rsid w:val="00D26632"/>
    <w:rsid w:val="00D26F00"/>
    <w:rsid w:val="00D31ABD"/>
    <w:rsid w:val="00D332A8"/>
    <w:rsid w:val="00D33C40"/>
    <w:rsid w:val="00D342B9"/>
    <w:rsid w:val="00D34AB9"/>
    <w:rsid w:val="00D34DF6"/>
    <w:rsid w:val="00D37475"/>
    <w:rsid w:val="00D419FB"/>
    <w:rsid w:val="00D43774"/>
    <w:rsid w:val="00D46719"/>
    <w:rsid w:val="00D51B43"/>
    <w:rsid w:val="00D541D4"/>
    <w:rsid w:val="00D54AA2"/>
    <w:rsid w:val="00D562D7"/>
    <w:rsid w:val="00D60C32"/>
    <w:rsid w:val="00D62663"/>
    <w:rsid w:val="00D633EB"/>
    <w:rsid w:val="00D65909"/>
    <w:rsid w:val="00D65AF8"/>
    <w:rsid w:val="00D662AA"/>
    <w:rsid w:val="00D6715D"/>
    <w:rsid w:val="00D67408"/>
    <w:rsid w:val="00D67FCB"/>
    <w:rsid w:val="00D715F9"/>
    <w:rsid w:val="00D71FDA"/>
    <w:rsid w:val="00D72D12"/>
    <w:rsid w:val="00D734E6"/>
    <w:rsid w:val="00D76813"/>
    <w:rsid w:val="00D76BED"/>
    <w:rsid w:val="00D8162B"/>
    <w:rsid w:val="00D854E4"/>
    <w:rsid w:val="00D90C86"/>
    <w:rsid w:val="00D93D3E"/>
    <w:rsid w:val="00D97921"/>
    <w:rsid w:val="00DA3E92"/>
    <w:rsid w:val="00DA47F2"/>
    <w:rsid w:val="00DA5C06"/>
    <w:rsid w:val="00DA6F7D"/>
    <w:rsid w:val="00DB165D"/>
    <w:rsid w:val="00DB3755"/>
    <w:rsid w:val="00DB6EE7"/>
    <w:rsid w:val="00DB77AD"/>
    <w:rsid w:val="00DC1A63"/>
    <w:rsid w:val="00DC589F"/>
    <w:rsid w:val="00DC744B"/>
    <w:rsid w:val="00DD0387"/>
    <w:rsid w:val="00DD1E64"/>
    <w:rsid w:val="00DD711F"/>
    <w:rsid w:val="00DE0BD9"/>
    <w:rsid w:val="00DE197C"/>
    <w:rsid w:val="00DE1CD2"/>
    <w:rsid w:val="00DE1DB0"/>
    <w:rsid w:val="00DE32CD"/>
    <w:rsid w:val="00DE5C06"/>
    <w:rsid w:val="00DE6F4B"/>
    <w:rsid w:val="00DF17FE"/>
    <w:rsid w:val="00DF1B16"/>
    <w:rsid w:val="00DF2F51"/>
    <w:rsid w:val="00DF34D5"/>
    <w:rsid w:val="00DF3577"/>
    <w:rsid w:val="00DF390F"/>
    <w:rsid w:val="00DF5DB3"/>
    <w:rsid w:val="00DF6087"/>
    <w:rsid w:val="00DF69AD"/>
    <w:rsid w:val="00DF6A73"/>
    <w:rsid w:val="00E02679"/>
    <w:rsid w:val="00E046C3"/>
    <w:rsid w:val="00E07D05"/>
    <w:rsid w:val="00E10E5E"/>
    <w:rsid w:val="00E11D7B"/>
    <w:rsid w:val="00E141FF"/>
    <w:rsid w:val="00E143ED"/>
    <w:rsid w:val="00E1482E"/>
    <w:rsid w:val="00E17F40"/>
    <w:rsid w:val="00E216E1"/>
    <w:rsid w:val="00E24C36"/>
    <w:rsid w:val="00E255FA"/>
    <w:rsid w:val="00E261C9"/>
    <w:rsid w:val="00E2722F"/>
    <w:rsid w:val="00E31231"/>
    <w:rsid w:val="00E325FE"/>
    <w:rsid w:val="00E333B0"/>
    <w:rsid w:val="00E367B4"/>
    <w:rsid w:val="00E42A2E"/>
    <w:rsid w:val="00E44289"/>
    <w:rsid w:val="00E45B4E"/>
    <w:rsid w:val="00E47237"/>
    <w:rsid w:val="00E472C2"/>
    <w:rsid w:val="00E5315B"/>
    <w:rsid w:val="00E5410B"/>
    <w:rsid w:val="00E624E7"/>
    <w:rsid w:val="00E66A3D"/>
    <w:rsid w:val="00E7358F"/>
    <w:rsid w:val="00E75550"/>
    <w:rsid w:val="00E77FA9"/>
    <w:rsid w:val="00E8238B"/>
    <w:rsid w:val="00E82812"/>
    <w:rsid w:val="00E901A1"/>
    <w:rsid w:val="00E93D4E"/>
    <w:rsid w:val="00E9676D"/>
    <w:rsid w:val="00E974F3"/>
    <w:rsid w:val="00EA0870"/>
    <w:rsid w:val="00EA195F"/>
    <w:rsid w:val="00EA425B"/>
    <w:rsid w:val="00EA630C"/>
    <w:rsid w:val="00EB2875"/>
    <w:rsid w:val="00EB34BF"/>
    <w:rsid w:val="00EB3E91"/>
    <w:rsid w:val="00EB475B"/>
    <w:rsid w:val="00EB73CF"/>
    <w:rsid w:val="00EB77C7"/>
    <w:rsid w:val="00EC03C1"/>
    <w:rsid w:val="00EC34DD"/>
    <w:rsid w:val="00EC5241"/>
    <w:rsid w:val="00ED20F2"/>
    <w:rsid w:val="00ED542A"/>
    <w:rsid w:val="00EE0223"/>
    <w:rsid w:val="00EE7B49"/>
    <w:rsid w:val="00EF23B4"/>
    <w:rsid w:val="00EF70C4"/>
    <w:rsid w:val="00F0372F"/>
    <w:rsid w:val="00F05511"/>
    <w:rsid w:val="00F11E66"/>
    <w:rsid w:val="00F2025A"/>
    <w:rsid w:val="00F2492F"/>
    <w:rsid w:val="00F24F1C"/>
    <w:rsid w:val="00F33983"/>
    <w:rsid w:val="00F34280"/>
    <w:rsid w:val="00F3621E"/>
    <w:rsid w:val="00F3754F"/>
    <w:rsid w:val="00F40AAB"/>
    <w:rsid w:val="00F413F6"/>
    <w:rsid w:val="00F44889"/>
    <w:rsid w:val="00F466A4"/>
    <w:rsid w:val="00F46ADA"/>
    <w:rsid w:val="00F46F19"/>
    <w:rsid w:val="00F56AEE"/>
    <w:rsid w:val="00F577AC"/>
    <w:rsid w:val="00F61D2C"/>
    <w:rsid w:val="00F62985"/>
    <w:rsid w:val="00F630AD"/>
    <w:rsid w:val="00F63D61"/>
    <w:rsid w:val="00F662B1"/>
    <w:rsid w:val="00F663C7"/>
    <w:rsid w:val="00F70A49"/>
    <w:rsid w:val="00F72E5A"/>
    <w:rsid w:val="00F8238D"/>
    <w:rsid w:val="00F82B96"/>
    <w:rsid w:val="00F85E95"/>
    <w:rsid w:val="00F873CD"/>
    <w:rsid w:val="00F9001C"/>
    <w:rsid w:val="00F91F3A"/>
    <w:rsid w:val="00F94165"/>
    <w:rsid w:val="00F94A58"/>
    <w:rsid w:val="00F964B6"/>
    <w:rsid w:val="00F97751"/>
    <w:rsid w:val="00FA3F97"/>
    <w:rsid w:val="00FA4AE7"/>
    <w:rsid w:val="00FA4C16"/>
    <w:rsid w:val="00FA5D84"/>
    <w:rsid w:val="00FA68DE"/>
    <w:rsid w:val="00FB127D"/>
    <w:rsid w:val="00FB5F33"/>
    <w:rsid w:val="00FB7014"/>
    <w:rsid w:val="00FC3244"/>
    <w:rsid w:val="00FC50EF"/>
    <w:rsid w:val="00FD17B0"/>
    <w:rsid w:val="00FD2CFA"/>
    <w:rsid w:val="00FD441A"/>
    <w:rsid w:val="00FE2D8C"/>
    <w:rsid w:val="00FE58A3"/>
    <w:rsid w:val="00FE709A"/>
    <w:rsid w:val="00FE7EF6"/>
    <w:rsid w:val="00FF5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7E5FE"/>
  <w15:docId w15:val="{9EFE1E2D-6F57-44BB-980D-14BB3F5E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0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A47F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E680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A81D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0BF2"/>
    <w:rPr>
      <w:sz w:val="16"/>
      <w:szCs w:val="16"/>
    </w:rPr>
  </w:style>
  <w:style w:type="paragraph" w:styleId="CommentText">
    <w:name w:val="annotation text"/>
    <w:basedOn w:val="Normal"/>
    <w:link w:val="CommentTextChar"/>
    <w:uiPriority w:val="99"/>
    <w:unhideWhenUsed/>
    <w:rsid w:val="00B80BF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80BF2"/>
    <w:rPr>
      <w:sz w:val="20"/>
      <w:szCs w:val="20"/>
    </w:rPr>
  </w:style>
  <w:style w:type="paragraph" w:styleId="CommentSubject">
    <w:name w:val="annotation subject"/>
    <w:basedOn w:val="CommentText"/>
    <w:next w:val="CommentText"/>
    <w:link w:val="CommentSubjectChar"/>
    <w:uiPriority w:val="99"/>
    <w:semiHidden/>
    <w:unhideWhenUsed/>
    <w:rsid w:val="00B80BF2"/>
    <w:rPr>
      <w:b/>
      <w:bCs/>
    </w:rPr>
  </w:style>
  <w:style w:type="character" w:customStyle="1" w:styleId="CommentSubjectChar">
    <w:name w:val="Comment Subject Char"/>
    <w:basedOn w:val="CommentTextChar"/>
    <w:link w:val="CommentSubject"/>
    <w:uiPriority w:val="99"/>
    <w:semiHidden/>
    <w:rsid w:val="00B80BF2"/>
    <w:rPr>
      <w:b/>
      <w:bCs/>
      <w:sz w:val="20"/>
      <w:szCs w:val="20"/>
    </w:rPr>
  </w:style>
  <w:style w:type="paragraph" w:styleId="BalloonText">
    <w:name w:val="Balloon Text"/>
    <w:basedOn w:val="Normal"/>
    <w:link w:val="BalloonTextChar"/>
    <w:uiPriority w:val="99"/>
    <w:semiHidden/>
    <w:unhideWhenUsed/>
    <w:rsid w:val="00B80BF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80BF2"/>
    <w:rPr>
      <w:rFonts w:ascii="Segoe UI" w:hAnsi="Segoe UI" w:cs="Segoe UI"/>
      <w:sz w:val="18"/>
      <w:szCs w:val="18"/>
    </w:rPr>
  </w:style>
  <w:style w:type="paragraph" w:styleId="ListParagraph">
    <w:name w:val="List Paragraph"/>
    <w:basedOn w:val="Normal"/>
    <w:uiPriority w:val="34"/>
    <w:qFormat/>
    <w:rsid w:val="0007211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2D94"/>
    <w:rPr>
      <w:color w:val="0000FF" w:themeColor="hyperlink"/>
      <w:u w:val="single"/>
    </w:rPr>
  </w:style>
  <w:style w:type="paragraph" w:styleId="Revision">
    <w:name w:val="Revision"/>
    <w:hidden/>
    <w:uiPriority w:val="99"/>
    <w:semiHidden/>
    <w:rsid w:val="000425E5"/>
    <w:pPr>
      <w:spacing w:after="0" w:line="240" w:lineRule="auto"/>
    </w:pPr>
  </w:style>
  <w:style w:type="character" w:customStyle="1" w:styleId="UnresolvedMention1">
    <w:name w:val="Unresolved Mention1"/>
    <w:basedOn w:val="DefaultParagraphFont"/>
    <w:uiPriority w:val="99"/>
    <w:semiHidden/>
    <w:unhideWhenUsed/>
    <w:rsid w:val="00AC100B"/>
    <w:rPr>
      <w:color w:val="605E5C"/>
      <w:shd w:val="clear" w:color="auto" w:fill="E1DFDD"/>
    </w:rPr>
  </w:style>
  <w:style w:type="character" w:styleId="Emphasis">
    <w:name w:val="Emphasis"/>
    <w:basedOn w:val="DefaultParagraphFont"/>
    <w:uiPriority w:val="20"/>
    <w:qFormat/>
    <w:rsid w:val="00DC1A63"/>
    <w:rPr>
      <w:i/>
      <w:iCs/>
    </w:rPr>
  </w:style>
  <w:style w:type="character" w:customStyle="1" w:styleId="apple-converted-space">
    <w:name w:val="apple-converted-space"/>
    <w:basedOn w:val="DefaultParagraphFont"/>
    <w:rsid w:val="00DC1A63"/>
  </w:style>
  <w:style w:type="paragraph" w:styleId="EndnoteText">
    <w:name w:val="endnote text"/>
    <w:basedOn w:val="Normal"/>
    <w:link w:val="EndnoteTextChar"/>
    <w:unhideWhenUsed/>
    <w:rsid w:val="00C81033"/>
    <w:rPr>
      <w:rFonts w:asciiTheme="minorHAnsi" w:eastAsiaTheme="minorHAnsi" w:hAnsiTheme="minorHAnsi" w:cstheme="minorBidi"/>
    </w:rPr>
  </w:style>
  <w:style w:type="character" w:customStyle="1" w:styleId="EndnoteTextChar">
    <w:name w:val="Endnote Text Char"/>
    <w:basedOn w:val="DefaultParagraphFont"/>
    <w:link w:val="EndnoteText"/>
    <w:rsid w:val="00C81033"/>
    <w:rPr>
      <w:sz w:val="24"/>
      <w:szCs w:val="24"/>
    </w:rPr>
  </w:style>
  <w:style w:type="character" w:styleId="EndnoteReference">
    <w:name w:val="endnote reference"/>
    <w:basedOn w:val="DefaultParagraphFont"/>
    <w:unhideWhenUsed/>
    <w:rsid w:val="00C81033"/>
    <w:rPr>
      <w:vertAlign w:val="superscript"/>
    </w:rPr>
  </w:style>
  <w:style w:type="paragraph" w:styleId="Header">
    <w:name w:val="header"/>
    <w:basedOn w:val="Normal"/>
    <w:link w:val="HeaderChar"/>
    <w:uiPriority w:val="99"/>
    <w:unhideWhenUsed/>
    <w:rsid w:val="000E33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3322"/>
  </w:style>
  <w:style w:type="paragraph" w:styleId="Footer">
    <w:name w:val="footer"/>
    <w:basedOn w:val="Normal"/>
    <w:link w:val="FooterChar"/>
    <w:uiPriority w:val="99"/>
    <w:unhideWhenUsed/>
    <w:rsid w:val="000E33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3322"/>
  </w:style>
  <w:style w:type="character" w:styleId="Strong">
    <w:name w:val="Strong"/>
    <w:basedOn w:val="DefaultParagraphFont"/>
    <w:uiPriority w:val="22"/>
    <w:qFormat/>
    <w:rsid w:val="00736AFD"/>
    <w:rPr>
      <w:b/>
      <w:bCs/>
    </w:rPr>
  </w:style>
  <w:style w:type="paragraph" w:styleId="FootnoteText">
    <w:name w:val="footnote text"/>
    <w:basedOn w:val="Normal"/>
    <w:link w:val="FootnoteTextChar"/>
    <w:uiPriority w:val="99"/>
    <w:semiHidden/>
    <w:unhideWhenUsed/>
    <w:rsid w:val="008D2AB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D2AB3"/>
    <w:rPr>
      <w:sz w:val="20"/>
      <w:szCs w:val="20"/>
    </w:rPr>
  </w:style>
  <w:style w:type="character" w:styleId="FootnoteReference">
    <w:name w:val="footnote reference"/>
    <w:basedOn w:val="DefaultParagraphFont"/>
    <w:uiPriority w:val="99"/>
    <w:semiHidden/>
    <w:unhideWhenUsed/>
    <w:rsid w:val="008D2AB3"/>
    <w:rPr>
      <w:vertAlign w:val="superscript"/>
    </w:rPr>
  </w:style>
  <w:style w:type="paragraph" w:styleId="NormalWeb">
    <w:name w:val="Normal (Web)"/>
    <w:basedOn w:val="Normal"/>
    <w:uiPriority w:val="99"/>
    <w:unhideWhenUsed/>
    <w:rsid w:val="00A968D6"/>
    <w:pPr>
      <w:spacing w:before="100" w:beforeAutospacing="1" w:after="100" w:afterAutospacing="1"/>
    </w:pPr>
  </w:style>
  <w:style w:type="character" w:customStyle="1" w:styleId="Heading1Char">
    <w:name w:val="Heading 1 Char"/>
    <w:basedOn w:val="DefaultParagraphFont"/>
    <w:link w:val="Heading1"/>
    <w:uiPriority w:val="9"/>
    <w:rsid w:val="00DA47F2"/>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DA47F2"/>
    <w:rPr>
      <w:i/>
      <w:iCs/>
    </w:rPr>
  </w:style>
  <w:style w:type="character" w:customStyle="1" w:styleId="a-size-large">
    <w:name w:val="a-size-large"/>
    <w:basedOn w:val="DefaultParagraphFont"/>
    <w:rsid w:val="001343E4"/>
  </w:style>
  <w:style w:type="character" w:customStyle="1" w:styleId="Heading2Char">
    <w:name w:val="Heading 2 Char"/>
    <w:basedOn w:val="DefaultParagraphFont"/>
    <w:link w:val="Heading2"/>
    <w:uiPriority w:val="9"/>
    <w:semiHidden/>
    <w:rsid w:val="002E680A"/>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A81D44"/>
    <w:rPr>
      <w:rFonts w:asciiTheme="majorHAnsi" w:eastAsiaTheme="majorEastAsia" w:hAnsiTheme="majorHAnsi" w:cstheme="majorBidi"/>
      <w:color w:val="365F91" w:themeColor="accent1" w:themeShade="BF"/>
      <w:sz w:val="24"/>
      <w:szCs w:val="24"/>
    </w:rPr>
  </w:style>
  <w:style w:type="character" w:customStyle="1" w:styleId="a-icon-alt">
    <w:name w:val="a-icon-alt"/>
    <w:basedOn w:val="DefaultParagraphFont"/>
    <w:rsid w:val="00A81D44"/>
  </w:style>
  <w:style w:type="paragraph" w:styleId="z-TopofForm">
    <w:name w:val="HTML Top of Form"/>
    <w:basedOn w:val="Normal"/>
    <w:next w:val="Normal"/>
    <w:link w:val="z-TopofFormChar"/>
    <w:hidden/>
    <w:uiPriority w:val="99"/>
    <w:semiHidden/>
    <w:unhideWhenUsed/>
    <w:rsid w:val="00A81D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81D44"/>
    <w:rPr>
      <w:rFonts w:ascii="Arial" w:eastAsia="Times New Roman" w:hAnsi="Arial" w:cs="Arial"/>
      <w:vanish/>
      <w:sz w:val="16"/>
      <w:szCs w:val="16"/>
    </w:rPr>
  </w:style>
  <w:style w:type="character" w:customStyle="1" w:styleId="a-text-bold">
    <w:name w:val="a-text-bold"/>
    <w:basedOn w:val="DefaultParagraphFont"/>
    <w:rsid w:val="00A81D44"/>
  </w:style>
  <w:style w:type="character" w:customStyle="1" w:styleId="a-size-medium">
    <w:name w:val="a-size-medium"/>
    <w:basedOn w:val="DefaultParagraphFont"/>
    <w:rsid w:val="00A81D44"/>
  </w:style>
  <w:style w:type="character" w:customStyle="1" w:styleId="a-declarative">
    <w:name w:val="a-declarative"/>
    <w:basedOn w:val="DefaultParagraphFont"/>
    <w:rsid w:val="00A81D44"/>
  </w:style>
  <w:style w:type="character" w:customStyle="1" w:styleId="a-size-small">
    <w:name w:val="a-size-small"/>
    <w:basedOn w:val="DefaultParagraphFont"/>
    <w:rsid w:val="00A81D44"/>
  </w:style>
  <w:style w:type="character" w:customStyle="1" w:styleId="a-size-base">
    <w:name w:val="a-size-base"/>
    <w:basedOn w:val="DefaultParagraphFont"/>
    <w:rsid w:val="00A81D44"/>
  </w:style>
  <w:style w:type="character" w:customStyle="1" w:styleId="a-color-tertiary">
    <w:name w:val="a-color-tertiary"/>
    <w:basedOn w:val="DefaultParagraphFont"/>
    <w:rsid w:val="00A81D44"/>
  </w:style>
  <w:style w:type="character" w:customStyle="1" w:styleId="a-button-inner">
    <w:name w:val="a-button-inner"/>
    <w:basedOn w:val="DefaultParagraphFont"/>
    <w:rsid w:val="00A81D44"/>
  </w:style>
  <w:style w:type="character" w:customStyle="1" w:styleId="a-button-text">
    <w:name w:val="a-button-text"/>
    <w:basedOn w:val="DefaultParagraphFont"/>
    <w:rsid w:val="00A81D44"/>
  </w:style>
  <w:style w:type="character" w:customStyle="1" w:styleId="a-size-mini">
    <w:name w:val="a-size-mini"/>
    <w:basedOn w:val="DefaultParagraphFont"/>
    <w:rsid w:val="00A81D44"/>
  </w:style>
  <w:style w:type="character" w:customStyle="1" w:styleId="a-color-price">
    <w:name w:val="a-color-price"/>
    <w:basedOn w:val="DefaultParagraphFont"/>
    <w:rsid w:val="00A81D44"/>
  </w:style>
  <w:style w:type="paragraph" w:styleId="z-BottomofForm">
    <w:name w:val="HTML Bottom of Form"/>
    <w:basedOn w:val="Normal"/>
    <w:next w:val="Normal"/>
    <w:link w:val="z-BottomofFormChar"/>
    <w:hidden/>
    <w:uiPriority w:val="99"/>
    <w:semiHidden/>
    <w:unhideWhenUsed/>
    <w:rsid w:val="00A81D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81D44"/>
    <w:rPr>
      <w:rFonts w:ascii="Arial" w:eastAsia="Times New Roman" w:hAnsi="Arial" w:cs="Arial"/>
      <w:vanish/>
      <w:sz w:val="16"/>
      <w:szCs w:val="16"/>
    </w:rPr>
  </w:style>
  <w:style w:type="character" w:customStyle="1" w:styleId="a-color-link">
    <w:name w:val="a-color-link"/>
    <w:basedOn w:val="DefaultParagraphFont"/>
    <w:rsid w:val="00A81D44"/>
  </w:style>
  <w:style w:type="character" w:styleId="FollowedHyperlink">
    <w:name w:val="FollowedHyperlink"/>
    <w:basedOn w:val="DefaultParagraphFont"/>
    <w:uiPriority w:val="99"/>
    <w:semiHidden/>
    <w:unhideWhenUsed/>
    <w:rsid w:val="0088305D"/>
    <w:rPr>
      <w:color w:val="800080" w:themeColor="followedHyperlink"/>
      <w:u w:val="single"/>
    </w:rPr>
  </w:style>
  <w:style w:type="character" w:styleId="PageNumber">
    <w:name w:val="page number"/>
    <w:basedOn w:val="DefaultParagraphFont"/>
    <w:uiPriority w:val="99"/>
    <w:semiHidden/>
    <w:unhideWhenUsed/>
    <w:rsid w:val="00C355ED"/>
  </w:style>
  <w:style w:type="character" w:customStyle="1" w:styleId="fn">
    <w:name w:val="fn"/>
    <w:basedOn w:val="DefaultParagraphFont"/>
    <w:rsid w:val="00D71FDA"/>
  </w:style>
  <w:style w:type="character" w:customStyle="1" w:styleId="Subtitle1">
    <w:name w:val="Subtitle1"/>
    <w:basedOn w:val="DefaultParagraphFont"/>
    <w:rsid w:val="00D71FDA"/>
  </w:style>
  <w:style w:type="character" w:customStyle="1" w:styleId="reference-accessdate">
    <w:name w:val="reference-accessdate"/>
    <w:basedOn w:val="DefaultParagraphFont"/>
    <w:rsid w:val="00963506"/>
  </w:style>
  <w:style w:type="character" w:customStyle="1" w:styleId="nowrap">
    <w:name w:val="nowrap"/>
    <w:basedOn w:val="DefaultParagraphFont"/>
    <w:rsid w:val="00963506"/>
  </w:style>
  <w:style w:type="character" w:customStyle="1" w:styleId="UnresolvedMention2">
    <w:name w:val="Unresolved Mention2"/>
    <w:basedOn w:val="DefaultParagraphFont"/>
    <w:uiPriority w:val="99"/>
    <w:semiHidden/>
    <w:unhideWhenUsed/>
    <w:rsid w:val="0051580E"/>
    <w:rPr>
      <w:color w:val="605E5C"/>
      <w:shd w:val="clear" w:color="auto" w:fill="E1DFDD"/>
    </w:rPr>
  </w:style>
  <w:style w:type="paragraph" w:customStyle="1" w:styleId="Body">
    <w:name w:val="Body"/>
    <w:rsid w:val="000835A7"/>
    <w:pPr>
      <w:pBdr>
        <w:top w:val="nil"/>
        <w:left w:val="nil"/>
        <w:bottom w:val="nil"/>
        <w:right w:val="nil"/>
        <w:between w:val="nil"/>
        <w:bar w:val="nil"/>
      </w:pBdr>
      <w:spacing w:after="0" w:line="480" w:lineRule="auto"/>
      <w:jc w:val="both"/>
    </w:pPr>
    <w:rPr>
      <w:rFonts w:ascii="Cambria" w:eastAsia="Cambria" w:hAnsi="Cambria" w:cs="Cambria"/>
      <w:color w:val="000000"/>
      <w:u w:color="000000"/>
      <w:bdr w:val="nil"/>
      <w:lang w:val="fr-FR"/>
    </w:rPr>
  </w:style>
  <w:style w:type="character" w:customStyle="1" w:styleId="UnresolvedMention3">
    <w:name w:val="Unresolved Mention3"/>
    <w:basedOn w:val="DefaultParagraphFont"/>
    <w:uiPriority w:val="99"/>
    <w:semiHidden/>
    <w:unhideWhenUsed/>
    <w:rsid w:val="0034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501">
      <w:bodyDiv w:val="1"/>
      <w:marLeft w:val="0"/>
      <w:marRight w:val="0"/>
      <w:marTop w:val="0"/>
      <w:marBottom w:val="0"/>
      <w:divBdr>
        <w:top w:val="none" w:sz="0" w:space="0" w:color="auto"/>
        <w:left w:val="none" w:sz="0" w:space="0" w:color="auto"/>
        <w:bottom w:val="none" w:sz="0" w:space="0" w:color="auto"/>
        <w:right w:val="none" w:sz="0" w:space="0" w:color="auto"/>
      </w:divBdr>
      <w:divsChild>
        <w:div w:id="1954051387">
          <w:marLeft w:val="0"/>
          <w:marRight w:val="0"/>
          <w:marTop w:val="0"/>
          <w:marBottom w:val="0"/>
          <w:divBdr>
            <w:top w:val="none" w:sz="0" w:space="0" w:color="auto"/>
            <w:left w:val="none" w:sz="0" w:space="0" w:color="auto"/>
            <w:bottom w:val="none" w:sz="0" w:space="0" w:color="auto"/>
            <w:right w:val="none" w:sz="0" w:space="0" w:color="auto"/>
          </w:divBdr>
          <w:divsChild>
            <w:div w:id="1037042995">
              <w:marLeft w:val="0"/>
              <w:marRight w:val="0"/>
              <w:marTop w:val="0"/>
              <w:marBottom w:val="0"/>
              <w:divBdr>
                <w:top w:val="none" w:sz="0" w:space="0" w:color="auto"/>
                <w:left w:val="none" w:sz="0" w:space="0" w:color="auto"/>
                <w:bottom w:val="none" w:sz="0" w:space="0" w:color="auto"/>
                <w:right w:val="none" w:sz="0" w:space="0" w:color="auto"/>
              </w:divBdr>
              <w:divsChild>
                <w:div w:id="4125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702">
      <w:bodyDiv w:val="1"/>
      <w:marLeft w:val="0"/>
      <w:marRight w:val="0"/>
      <w:marTop w:val="0"/>
      <w:marBottom w:val="0"/>
      <w:divBdr>
        <w:top w:val="none" w:sz="0" w:space="0" w:color="auto"/>
        <w:left w:val="none" w:sz="0" w:space="0" w:color="auto"/>
        <w:bottom w:val="none" w:sz="0" w:space="0" w:color="auto"/>
        <w:right w:val="none" w:sz="0" w:space="0" w:color="auto"/>
      </w:divBdr>
      <w:divsChild>
        <w:div w:id="1691640536">
          <w:marLeft w:val="547"/>
          <w:marRight w:val="0"/>
          <w:marTop w:val="86"/>
          <w:marBottom w:val="0"/>
          <w:divBdr>
            <w:top w:val="none" w:sz="0" w:space="0" w:color="auto"/>
            <w:left w:val="none" w:sz="0" w:space="0" w:color="auto"/>
            <w:bottom w:val="none" w:sz="0" w:space="0" w:color="auto"/>
            <w:right w:val="none" w:sz="0" w:space="0" w:color="auto"/>
          </w:divBdr>
        </w:div>
        <w:div w:id="188840989">
          <w:marLeft w:val="1166"/>
          <w:marRight w:val="0"/>
          <w:marTop w:val="72"/>
          <w:marBottom w:val="0"/>
          <w:divBdr>
            <w:top w:val="none" w:sz="0" w:space="0" w:color="auto"/>
            <w:left w:val="none" w:sz="0" w:space="0" w:color="auto"/>
            <w:bottom w:val="none" w:sz="0" w:space="0" w:color="auto"/>
            <w:right w:val="none" w:sz="0" w:space="0" w:color="auto"/>
          </w:divBdr>
        </w:div>
        <w:div w:id="426509099">
          <w:marLeft w:val="547"/>
          <w:marRight w:val="0"/>
          <w:marTop w:val="86"/>
          <w:marBottom w:val="0"/>
          <w:divBdr>
            <w:top w:val="none" w:sz="0" w:space="0" w:color="auto"/>
            <w:left w:val="none" w:sz="0" w:space="0" w:color="auto"/>
            <w:bottom w:val="none" w:sz="0" w:space="0" w:color="auto"/>
            <w:right w:val="none" w:sz="0" w:space="0" w:color="auto"/>
          </w:divBdr>
        </w:div>
        <w:div w:id="765804330">
          <w:marLeft w:val="1166"/>
          <w:marRight w:val="0"/>
          <w:marTop w:val="72"/>
          <w:marBottom w:val="0"/>
          <w:divBdr>
            <w:top w:val="none" w:sz="0" w:space="0" w:color="auto"/>
            <w:left w:val="none" w:sz="0" w:space="0" w:color="auto"/>
            <w:bottom w:val="none" w:sz="0" w:space="0" w:color="auto"/>
            <w:right w:val="none" w:sz="0" w:space="0" w:color="auto"/>
          </w:divBdr>
        </w:div>
        <w:div w:id="2061467351">
          <w:marLeft w:val="547"/>
          <w:marRight w:val="0"/>
          <w:marTop w:val="86"/>
          <w:marBottom w:val="0"/>
          <w:divBdr>
            <w:top w:val="none" w:sz="0" w:space="0" w:color="auto"/>
            <w:left w:val="none" w:sz="0" w:space="0" w:color="auto"/>
            <w:bottom w:val="none" w:sz="0" w:space="0" w:color="auto"/>
            <w:right w:val="none" w:sz="0" w:space="0" w:color="auto"/>
          </w:divBdr>
        </w:div>
        <w:div w:id="1701126733">
          <w:marLeft w:val="1166"/>
          <w:marRight w:val="0"/>
          <w:marTop w:val="72"/>
          <w:marBottom w:val="0"/>
          <w:divBdr>
            <w:top w:val="none" w:sz="0" w:space="0" w:color="auto"/>
            <w:left w:val="none" w:sz="0" w:space="0" w:color="auto"/>
            <w:bottom w:val="none" w:sz="0" w:space="0" w:color="auto"/>
            <w:right w:val="none" w:sz="0" w:space="0" w:color="auto"/>
          </w:divBdr>
        </w:div>
        <w:div w:id="950942230">
          <w:marLeft w:val="547"/>
          <w:marRight w:val="0"/>
          <w:marTop w:val="86"/>
          <w:marBottom w:val="0"/>
          <w:divBdr>
            <w:top w:val="none" w:sz="0" w:space="0" w:color="auto"/>
            <w:left w:val="none" w:sz="0" w:space="0" w:color="auto"/>
            <w:bottom w:val="none" w:sz="0" w:space="0" w:color="auto"/>
            <w:right w:val="none" w:sz="0" w:space="0" w:color="auto"/>
          </w:divBdr>
        </w:div>
        <w:div w:id="1993168453">
          <w:marLeft w:val="1166"/>
          <w:marRight w:val="0"/>
          <w:marTop w:val="72"/>
          <w:marBottom w:val="0"/>
          <w:divBdr>
            <w:top w:val="none" w:sz="0" w:space="0" w:color="auto"/>
            <w:left w:val="none" w:sz="0" w:space="0" w:color="auto"/>
            <w:bottom w:val="none" w:sz="0" w:space="0" w:color="auto"/>
            <w:right w:val="none" w:sz="0" w:space="0" w:color="auto"/>
          </w:divBdr>
        </w:div>
        <w:div w:id="745421475">
          <w:marLeft w:val="547"/>
          <w:marRight w:val="0"/>
          <w:marTop w:val="86"/>
          <w:marBottom w:val="0"/>
          <w:divBdr>
            <w:top w:val="none" w:sz="0" w:space="0" w:color="auto"/>
            <w:left w:val="none" w:sz="0" w:space="0" w:color="auto"/>
            <w:bottom w:val="none" w:sz="0" w:space="0" w:color="auto"/>
            <w:right w:val="none" w:sz="0" w:space="0" w:color="auto"/>
          </w:divBdr>
        </w:div>
        <w:div w:id="1792288636">
          <w:marLeft w:val="1166"/>
          <w:marRight w:val="0"/>
          <w:marTop w:val="72"/>
          <w:marBottom w:val="0"/>
          <w:divBdr>
            <w:top w:val="none" w:sz="0" w:space="0" w:color="auto"/>
            <w:left w:val="none" w:sz="0" w:space="0" w:color="auto"/>
            <w:bottom w:val="none" w:sz="0" w:space="0" w:color="auto"/>
            <w:right w:val="none" w:sz="0" w:space="0" w:color="auto"/>
          </w:divBdr>
        </w:div>
        <w:div w:id="1466385886">
          <w:marLeft w:val="547"/>
          <w:marRight w:val="0"/>
          <w:marTop w:val="86"/>
          <w:marBottom w:val="0"/>
          <w:divBdr>
            <w:top w:val="none" w:sz="0" w:space="0" w:color="auto"/>
            <w:left w:val="none" w:sz="0" w:space="0" w:color="auto"/>
            <w:bottom w:val="none" w:sz="0" w:space="0" w:color="auto"/>
            <w:right w:val="none" w:sz="0" w:space="0" w:color="auto"/>
          </w:divBdr>
        </w:div>
        <w:div w:id="1538355444">
          <w:marLeft w:val="1166"/>
          <w:marRight w:val="0"/>
          <w:marTop w:val="72"/>
          <w:marBottom w:val="0"/>
          <w:divBdr>
            <w:top w:val="none" w:sz="0" w:space="0" w:color="auto"/>
            <w:left w:val="none" w:sz="0" w:space="0" w:color="auto"/>
            <w:bottom w:val="none" w:sz="0" w:space="0" w:color="auto"/>
            <w:right w:val="none" w:sz="0" w:space="0" w:color="auto"/>
          </w:divBdr>
        </w:div>
        <w:div w:id="446584894">
          <w:marLeft w:val="547"/>
          <w:marRight w:val="0"/>
          <w:marTop w:val="86"/>
          <w:marBottom w:val="0"/>
          <w:divBdr>
            <w:top w:val="none" w:sz="0" w:space="0" w:color="auto"/>
            <w:left w:val="none" w:sz="0" w:space="0" w:color="auto"/>
            <w:bottom w:val="none" w:sz="0" w:space="0" w:color="auto"/>
            <w:right w:val="none" w:sz="0" w:space="0" w:color="auto"/>
          </w:divBdr>
        </w:div>
        <w:div w:id="1468627079">
          <w:marLeft w:val="1166"/>
          <w:marRight w:val="0"/>
          <w:marTop w:val="72"/>
          <w:marBottom w:val="0"/>
          <w:divBdr>
            <w:top w:val="none" w:sz="0" w:space="0" w:color="auto"/>
            <w:left w:val="none" w:sz="0" w:space="0" w:color="auto"/>
            <w:bottom w:val="none" w:sz="0" w:space="0" w:color="auto"/>
            <w:right w:val="none" w:sz="0" w:space="0" w:color="auto"/>
          </w:divBdr>
        </w:div>
      </w:divsChild>
    </w:div>
    <w:div w:id="104156917">
      <w:bodyDiv w:val="1"/>
      <w:marLeft w:val="0"/>
      <w:marRight w:val="0"/>
      <w:marTop w:val="0"/>
      <w:marBottom w:val="0"/>
      <w:divBdr>
        <w:top w:val="none" w:sz="0" w:space="0" w:color="auto"/>
        <w:left w:val="none" w:sz="0" w:space="0" w:color="auto"/>
        <w:bottom w:val="none" w:sz="0" w:space="0" w:color="auto"/>
        <w:right w:val="none" w:sz="0" w:space="0" w:color="auto"/>
      </w:divBdr>
    </w:div>
    <w:div w:id="125926958">
      <w:bodyDiv w:val="1"/>
      <w:marLeft w:val="0"/>
      <w:marRight w:val="0"/>
      <w:marTop w:val="0"/>
      <w:marBottom w:val="0"/>
      <w:divBdr>
        <w:top w:val="none" w:sz="0" w:space="0" w:color="auto"/>
        <w:left w:val="none" w:sz="0" w:space="0" w:color="auto"/>
        <w:bottom w:val="none" w:sz="0" w:space="0" w:color="auto"/>
        <w:right w:val="none" w:sz="0" w:space="0" w:color="auto"/>
      </w:divBdr>
    </w:div>
    <w:div w:id="138615906">
      <w:bodyDiv w:val="1"/>
      <w:marLeft w:val="0"/>
      <w:marRight w:val="0"/>
      <w:marTop w:val="0"/>
      <w:marBottom w:val="0"/>
      <w:divBdr>
        <w:top w:val="none" w:sz="0" w:space="0" w:color="auto"/>
        <w:left w:val="none" w:sz="0" w:space="0" w:color="auto"/>
        <w:bottom w:val="none" w:sz="0" w:space="0" w:color="auto"/>
        <w:right w:val="none" w:sz="0" w:space="0" w:color="auto"/>
      </w:divBdr>
    </w:div>
    <w:div w:id="158544646">
      <w:bodyDiv w:val="1"/>
      <w:marLeft w:val="0"/>
      <w:marRight w:val="0"/>
      <w:marTop w:val="0"/>
      <w:marBottom w:val="0"/>
      <w:divBdr>
        <w:top w:val="none" w:sz="0" w:space="0" w:color="auto"/>
        <w:left w:val="none" w:sz="0" w:space="0" w:color="auto"/>
        <w:bottom w:val="none" w:sz="0" w:space="0" w:color="auto"/>
        <w:right w:val="none" w:sz="0" w:space="0" w:color="auto"/>
      </w:divBdr>
    </w:div>
    <w:div w:id="160512182">
      <w:bodyDiv w:val="1"/>
      <w:marLeft w:val="0"/>
      <w:marRight w:val="0"/>
      <w:marTop w:val="0"/>
      <w:marBottom w:val="0"/>
      <w:divBdr>
        <w:top w:val="none" w:sz="0" w:space="0" w:color="auto"/>
        <w:left w:val="none" w:sz="0" w:space="0" w:color="auto"/>
        <w:bottom w:val="none" w:sz="0" w:space="0" w:color="auto"/>
        <w:right w:val="none" w:sz="0" w:space="0" w:color="auto"/>
      </w:divBdr>
    </w:div>
    <w:div w:id="191574325">
      <w:bodyDiv w:val="1"/>
      <w:marLeft w:val="0"/>
      <w:marRight w:val="0"/>
      <w:marTop w:val="0"/>
      <w:marBottom w:val="0"/>
      <w:divBdr>
        <w:top w:val="none" w:sz="0" w:space="0" w:color="auto"/>
        <w:left w:val="none" w:sz="0" w:space="0" w:color="auto"/>
        <w:bottom w:val="none" w:sz="0" w:space="0" w:color="auto"/>
        <w:right w:val="none" w:sz="0" w:space="0" w:color="auto"/>
      </w:divBdr>
    </w:div>
    <w:div w:id="206067138">
      <w:bodyDiv w:val="1"/>
      <w:marLeft w:val="0"/>
      <w:marRight w:val="0"/>
      <w:marTop w:val="0"/>
      <w:marBottom w:val="0"/>
      <w:divBdr>
        <w:top w:val="none" w:sz="0" w:space="0" w:color="auto"/>
        <w:left w:val="none" w:sz="0" w:space="0" w:color="auto"/>
        <w:bottom w:val="none" w:sz="0" w:space="0" w:color="auto"/>
        <w:right w:val="none" w:sz="0" w:space="0" w:color="auto"/>
      </w:divBdr>
    </w:div>
    <w:div w:id="210113526">
      <w:bodyDiv w:val="1"/>
      <w:marLeft w:val="0"/>
      <w:marRight w:val="0"/>
      <w:marTop w:val="0"/>
      <w:marBottom w:val="0"/>
      <w:divBdr>
        <w:top w:val="none" w:sz="0" w:space="0" w:color="auto"/>
        <w:left w:val="none" w:sz="0" w:space="0" w:color="auto"/>
        <w:bottom w:val="none" w:sz="0" w:space="0" w:color="auto"/>
        <w:right w:val="none" w:sz="0" w:space="0" w:color="auto"/>
      </w:divBdr>
    </w:div>
    <w:div w:id="318971693">
      <w:bodyDiv w:val="1"/>
      <w:marLeft w:val="0"/>
      <w:marRight w:val="0"/>
      <w:marTop w:val="0"/>
      <w:marBottom w:val="0"/>
      <w:divBdr>
        <w:top w:val="none" w:sz="0" w:space="0" w:color="auto"/>
        <w:left w:val="none" w:sz="0" w:space="0" w:color="auto"/>
        <w:bottom w:val="none" w:sz="0" w:space="0" w:color="auto"/>
        <w:right w:val="none" w:sz="0" w:space="0" w:color="auto"/>
      </w:divBdr>
    </w:div>
    <w:div w:id="345252252">
      <w:bodyDiv w:val="1"/>
      <w:marLeft w:val="0"/>
      <w:marRight w:val="0"/>
      <w:marTop w:val="0"/>
      <w:marBottom w:val="0"/>
      <w:divBdr>
        <w:top w:val="none" w:sz="0" w:space="0" w:color="auto"/>
        <w:left w:val="none" w:sz="0" w:space="0" w:color="auto"/>
        <w:bottom w:val="none" w:sz="0" w:space="0" w:color="auto"/>
        <w:right w:val="none" w:sz="0" w:space="0" w:color="auto"/>
      </w:divBdr>
    </w:div>
    <w:div w:id="357629987">
      <w:bodyDiv w:val="1"/>
      <w:marLeft w:val="0"/>
      <w:marRight w:val="0"/>
      <w:marTop w:val="0"/>
      <w:marBottom w:val="0"/>
      <w:divBdr>
        <w:top w:val="none" w:sz="0" w:space="0" w:color="auto"/>
        <w:left w:val="none" w:sz="0" w:space="0" w:color="auto"/>
        <w:bottom w:val="none" w:sz="0" w:space="0" w:color="auto"/>
        <w:right w:val="none" w:sz="0" w:space="0" w:color="auto"/>
      </w:divBdr>
      <w:divsChild>
        <w:div w:id="2062945438">
          <w:marLeft w:val="0"/>
          <w:marRight w:val="0"/>
          <w:marTop w:val="0"/>
          <w:marBottom w:val="0"/>
          <w:divBdr>
            <w:top w:val="none" w:sz="0" w:space="0" w:color="auto"/>
            <w:left w:val="none" w:sz="0" w:space="0" w:color="auto"/>
            <w:bottom w:val="none" w:sz="0" w:space="0" w:color="auto"/>
            <w:right w:val="none" w:sz="0" w:space="0" w:color="auto"/>
          </w:divBdr>
          <w:divsChild>
            <w:div w:id="1623658295">
              <w:marLeft w:val="0"/>
              <w:marRight w:val="0"/>
              <w:marTop w:val="0"/>
              <w:marBottom w:val="0"/>
              <w:divBdr>
                <w:top w:val="none" w:sz="0" w:space="0" w:color="auto"/>
                <w:left w:val="none" w:sz="0" w:space="0" w:color="auto"/>
                <w:bottom w:val="none" w:sz="0" w:space="0" w:color="auto"/>
                <w:right w:val="none" w:sz="0" w:space="0" w:color="auto"/>
              </w:divBdr>
              <w:divsChild>
                <w:div w:id="2059161394">
                  <w:marLeft w:val="0"/>
                  <w:marRight w:val="0"/>
                  <w:marTop w:val="0"/>
                  <w:marBottom w:val="0"/>
                  <w:divBdr>
                    <w:top w:val="none" w:sz="0" w:space="0" w:color="auto"/>
                    <w:left w:val="none" w:sz="0" w:space="0" w:color="auto"/>
                    <w:bottom w:val="none" w:sz="0" w:space="0" w:color="auto"/>
                    <w:right w:val="none" w:sz="0" w:space="0" w:color="auto"/>
                  </w:divBdr>
                </w:div>
              </w:divsChild>
            </w:div>
            <w:div w:id="1704479572">
              <w:marLeft w:val="0"/>
              <w:marRight w:val="0"/>
              <w:marTop w:val="0"/>
              <w:marBottom w:val="0"/>
              <w:divBdr>
                <w:top w:val="none" w:sz="0" w:space="0" w:color="auto"/>
                <w:left w:val="none" w:sz="0" w:space="0" w:color="auto"/>
                <w:bottom w:val="none" w:sz="0" w:space="0" w:color="auto"/>
                <w:right w:val="none" w:sz="0" w:space="0" w:color="auto"/>
              </w:divBdr>
              <w:divsChild>
                <w:div w:id="1281953899">
                  <w:marLeft w:val="0"/>
                  <w:marRight w:val="0"/>
                  <w:marTop w:val="0"/>
                  <w:marBottom w:val="0"/>
                  <w:divBdr>
                    <w:top w:val="none" w:sz="0" w:space="0" w:color="auto"/>
                    <w:left w:val="none" w:sz="0" w:space="0" w:color="auto"/>
                    <w:bottom w:val="none" w:sz="0" w:space="0" w:color="auto"/>
                    <w:right w:val="none" w:sz="0" w:space="0" w:color="auto"/>
                  </w:divBdr>
                </w:div>
              </w:divsChild>
            </w:div>
            <w:div w:id="1130127590">
              <w:marLeft w:val="0"/>
              <w:marRight w:val="0"/>
              <w:marTop w:val="0"/>
              <w:marBottom w:val="0"/>
              <w:divBdr>
                <w:top w:val="none" w:sz="0" w:space="0" w:color="auto"/>
                <w:left w:val="none" w:sz="0" w:space="0" w:color="auto"/>
                <w:bottom w:val="none" w:sz="0" w:space="0" w:color="auto"/>
                <w:right w:val="none" w:sz="0" w:space="0" w:color="auto"/>
              </w:divBdr>
              <w:divsChild>
                <w:div w:id="1134911199">
                  <w:marLeft w:val="0"/>
                  <w:marRight w:val="0"/>
                  <w:marTop w:val="0"/>
                  <w:marBottom w:val="0"/>
                  <w:divBdr>
                    <w:top w:val="none" w:sz="0" w:space="0" w:color="auto"/>
                    <w:left w:val="none" w:sz="0" w:space="0" w:color="auto"/>
                    <w:bottom w:val="none" w:sz="0" w:space="0" w:color="auto"/>
                    <w:right w:val="none" w:sz="0" w:space="0" w:color="auto"/>
                  </w:divBdr>
                  <w:divsChild>
                    <w:div w:id="89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97747">
      <w:bodyDiv w:val="1"/>
      <w:marLeft w:val="0"/>
      <w:marRight w:val="0"/>
      <w:marTop w:val="0"/>
      <w:marBottom w:val="0"/>
      <w:divBdr>
        <w:top w:val="none" w:sz="0" w:space="0" w:color="auto"/>
        <w:left w:val="none" w:sz="0" w:space="0" w:color="auto"/>
        <w:bottom w:val="none" w:sz="0" w:space="0" w:color="auto"/>
        <w:right w:val="none" w:sz="0" w:space="0" w:color="auto"/>
      </w:divBdr>
    </w:div>
    <w:div w:id="435028594">
      <w:bodyDiv w:val="1"/>
      <w:marLeft w:val="0"/>
      <w:marRight w:val="0"/>
      <w:marTop w:val="0"/>
      <w:marBottom w:val="0"/>
      <w:divBdr>
        <w:top w:val="none" w:sz="0" w:space="0" w:color="auto"/>
        <w:left w:val="none" w:sz="0" w:space="0" w:color="auto"/>
        <w:bottom w:val="none" w:sz="0" w:space="0" w:color="auto"/>
        <w:right w:val="none" w:sz="0" w:space="0" w:color="auto"/>
      </w:divBdr>
    </w:div>
    <w:div w:id="446193835">
      <w:bodyDiv w:val="1"/>
      <w:marLeft w:val="0"/>
      <w:marRight w:val="0"/>
      <w:marTop w:val="0"/>
      <w:marBottom w:val="0"/>
      <w:divBdr>
        <w:top w:val="none" w:sz="0" w:space="0" w:color="auto"/>
        <w:left w:val="none" w:sz="0" w:space="0" w:color="auto"/>
        <w:bottom w:val="none" w:sz="0" w:space="0" w:color="auto"/>
        <w:right w:val="none" w:sz="0" w:space="0" w:color="auto"/>
      </w:divBdr>
      <w:divsChild>
        <w:div w:id="2053455532">
          <w:marLeft w:val="0"/>
          <w:marRight w:val="0"/>
          <w:marTop w:val="0"/>
          <w:marBottom w:val="0"/>
          <w:divBdr>
            <w:top w:val="none" w:sz="0" w:space="0" w:color="auto"/>
            <w:left w:val="none" w:sz="0" w:space="0" w:color="auto"/>
            <w:bottom w:val="none" w:sz="0" w:space="0" w:color="auto"/>
            <w:right w:val="none" w:sz="0" w:space="0" w:color="auto"/>
          </w:divBdr>
        </w:div>
        <w:div w:id="1841314816">
          <w:marLeft w:val="0"/>
          <w:marRight w:val="0"/>
          <w:marTop w:val="0"/>
          <w:marBottom w:val="0"/>
          <w:divBdr>
            <w:top w:val="none" w:sz="0" w:space="0" w:color="auto"/>
            <w:left w:val="none" w:sz="0" w:space="0" w:color="auto"/>
            <w:bottom w:val="none" w:sz="0" w:space="0" w:color="auto"/>
            <w:right w:val="none" w:sz="0" w:space="0" w:color="auto"/>
          </w:divBdr>
        </w:div>
        <w:div w:id="1455950928">
          <w:marLeft w:val="0"/>
          <w:marRight w:val="0"/>
          <w:marTop w:val="0"/>
          <w:marBottom w:val="0"/>
          <w:divBdr>
            <w:top w:val="none" w:sz="0" w:space="0" w:color="auto"/>
            <w:left w:val="none" w:sz="0" w:space="0" w:color="auto"/>
            <w:bottom w:val="none" w:sz="0" w:space="0" w:color="auto"/>
            <w:right w:val="none" w:sz="0" w:space="0" w:color="auto"/>
          </w:divBdr>
        </w:div>
        <w:div w:id="1463228343">
          <w:marLeft w:val="0"/>
          <w:marRight w:val="0"/>
          <w:marTop w:val="0"/>
          <w:marBottom w:val="0"/>
          <w:divBdr>
            <w:top w:val="none" w:sz="0" w:space="0" w:color="auto"/>
            <w:left w:val="none" w:sz="0" w:space="0" w:color="auto"/>
            <w:bottom w:val="none" w:sz="0" w:space="0" w:color="auto"/>
            <w:right w:val="none" w:sz="0" w:space="0" w:color="auto"/>
          </w:divBdr>
        </w:div>
        <w:div w:id="1762946648">
          <w:marLeft w:val="0"/>
          <w:marRight w:val="0"/>
          <w:marTop w:val="0"/>
          <w:marBottom w:val="0"/>
          <w:divBdr>
            <w:top w:val="none" w:sz="0" w:space="0" w:color="auto"/>
            <w:left w:val="none" w:sz="0" w:space="0" w:color="auto"/>
            <w:bottom w:val="none" w:sz="0" w:space="0" w:color="auto"/>
            <w:right w:val="none" w:sz="0" w:space="0" w:color="auto"/>
          </w:divBdr>
        </w:div>
        <w:div w:id="1559828885">
          <w:marLeft w:val="0"/>
          <w:marRight w:val="0"/>
          <w:marTop w:val="0"/>
          <w:marBottom w:val="0"/>
          <w:divBdr>
            <w:top w:val="none" w:sz="0" w:space="0" w:color="auto"/>
            <w:left w:val="none" w:sz="0" w:space="0" w:color="auto"/>
            <w:bottom w:val="none" w:sz="0" w:space="0" w:color="auto"/>
            <w:right w:val="none" w:sz="0" w:space="0" w:color="auto"/>
          </w:divBdr>
        </w:div>
        <w:div w:id="178200246">
          <w:marLeft w:val="0"/>
          <w:marRight w:val="0"/>
          <w:marTop w:val="0"/>
          <w:marBottom w:val="0"/>
          <w:divBdr>
            <w:top w:val="none" w:sz="0" w:space="0" w:color="auto"/>
            <w:left w:val="none" w:sz="0" w:space="0" w:color="auto"/>
            <w:bottom w:val="none" w:sz="0" w:space="0" w:color="auto"/>
            <w:right w:val="none" w:sz="0" w:space="0" w:color="auto"/>
          </w:divBdr>
        </w:div>
        <w:div w:id="998537758">
          <w:marLeft w:val="0"/>
          <w:marRight w:val="0"/>
          <w:marTop w:val="0"/>
          <w:marBottom w:val="0"/>
          <w:divBdr>
            <w:top w:val="none" w:sz="0" w:space="0" w:color="auto"/>
            <w:left w:val="none" w:sz="0" w:space="0" w:color="auto"/>
            <w:bottom w:val="none" w:sz="0" w:space="0" w:color="auto"/>
            <w:right w:val="none" w:sz="0" w:space="0" w:color="auto"/>
          </w:divBdr>
        </w:div>
        <w:div w:id="1860729618">
          <w:marLeft w:val="0"/>
          <w:marRight w:val="0"/>
          <w:marTop w:val="0"/>
          <w:marBottom w:val="0"/>
          <w:divBdr>
            <w:top w:val="none" w:sz="0" w:space="0" w:color="auto"/>
            <w:left w:val="none" w:sz="0" w:space="0" w:color="auto"/>
            <w:bottom w:val="none" w:sz="0" w:space="0" w:color="auto"/>
            <w:right w:val="none" w:sz="0" w:space="0" w:color="auto"/>
          </w:divBdr>
        </w:div>
        <w:div w:id="400643548">
          <w:marLeft w:val="0"/>
          <w:marRight w:val="0"/>
          <w:marTop w:val="0"/>
          <w:marBottom w:val="0"/>
          <w:divBdr>
            <w:top w:val="none" w:sz="0" w:space="0" w:color="auto"/>
            <w:left w:val="none" w:sz="0" w:space="0" w:color="auto"/>
            <w:bottom w:val="none" w:sz="0" w:space="0" w:color="auto"/>
            <w:right w:val="none" w:sz="0" w:space="0" w:color="auto"/>
          </w:divBdr>
        </w:div>
        <w:div w:id="1950165459">
          <w:marLeft w:val="0"/>
          <w:marRight w:val="0"/>
          <w:marTop w:val="0"/>
          <w:marBottom w:val="0"/>
          <w:divBdr>
            <w:top w:val="none" w:sz="0" w:space="0" w:color="auto"/>
            <w:left w:val="none" w:sz="0" w:space="0" w:color="auto"/>
            <w:bottom w:val="none" w:sz="0" w:space="0" w:color="auto"/>
            <w:right w:val="none" w:sz="0" w:space="0" w:color="auto"/>
          </w:divBdr>
        </w:div>
        <w:div w:id="639458538">
          <w:marLeft w:val="0"/>
          <w:marRight w:val="0"/>
          <w:marTop w:val="0"/>
          <w:marBottom w:val="0"/>
          <w:divBdr>
            <w:top w:val="none" w:sz="0" w:space="0" w:color="auto"/>
            <w:left w:val="none" w:sz="0" w:space="0" w:color="auto"/>
            <w:bottom w:val="none" w:sz="0" w:space="0" w:color="auto"/>
            <w:right w:val="none" w:sz="0" w:space="0" w:color="auto"/>
          </w:divBdr>
        </w:div>
        <w:div w:id="352271984">
          <w:marLeft w:val="0"/>
          <w:marRight w:val="0"/>
          <w:marTop w:val="0"/>
          <w:marBottom w:val="0"/>
          <w:divBdr>
            <w:top w:val="none" w:sz="0" w:space="0" w:color="auto"/>
            <w:left w:val="none" w:sz="0" w:space="0" w:color="auto"/>
            <w:bottom w:val="none" w:sz="0" w:space="0" w:color="auto"/>
            <w:right w:val="none" w:sz="0" w:space="0" w:color="auto"/>
          </w:divBdr>
        </w:div>
        <w:div w:id="2069838536">
          <w:marLeft w:val="0"/>
          <w:marRight w:val="0"/>
          <w:marTop w:val="0"/>
          <w:marBottom w:val="0"/>
          <w:divBdr>
            <w:top w:val="none" w:sz="0" w:space="0" w:color="auto"/>
            <w:left w:val="none" w:sz="0" w:space="0" w:color="auto"/>
            <w:bottom w:val="none" w:sz="0" w:space="0" w:color="auto"/>
            <w:right w:val="none" w:sz="0" w:space="0" w:color="auto"/>
          </w:divBdr>
        </w:div>
        <w:div w:id="871111753">
          <w:marLeft w:val="0"/>
          <w:marRight w:val="0"/>
          <w:marTop w:val="0"/>
          <w:marBottom w:val="0"/>
          <w:divBdr>
            <w:top w:val="none" w:sz="0" w:space="0" w:color="auto"/>
            <w:left w:val="none" w:sz="0" w:space="0" w:color="auto"/>
            <w:bottom w:val="none" w:sz="0" w:space="0" w:color="auto"/>
            <w:right w:val="none" w:sz="0" w:space="0" w:color="auto"/>
          </w:divBdr>
        </w:div>
        <w:div w:id="567880304">
          <w:marLeft w:val="0"/>
          <w:marRight w:val="0"/>
          <w:marTop w:val="0"/>
          <w:marBottom w:val="0"/>
          <w:divBdr>
            <w:top w:val="none" w:sz="0" w:space="0" w:color="auto"/>
            <w:left w:val="none" w:sz="0" w:space="0" w:color="auto"/>
            <w:bottom w:val="none" w:sz="0" w:space="0" w:color="auto"/>
            <w:right w:val="none" w:sz="0" w:space="0" w:color="auto"/>
          </w:divBdr>
        </w:div>
        <w:div w:id="641467410">
          <w:marLeft w:val="0"/>
          <w:marRight w:val="0"/>
          <w:marTop w:val="0"/>
          <w:marBottom w:val="0"/>
          <w:divBdr>
            <w:top w:val="none" w:sz="0" w:space="0" w:color="auto"/>
            <w:left w:val="none" w:sz="0" w:space="0" w:color="auto"/>
            <w:bottom w:val="none" w:sz="0" w:space="0" w:color="auto"/>
            <w:right w:val="none" w:sz="0" w:space="0" w:color="auto"/>
          </w:divBdr>
        </w:div>
        <w:div w:id="840856677">
          <w:marLeft w:val="0"/>
          <w:marRight w:val="0"/>
          <w:marTop w:val="0"/>
          <w:marBottom w:val="0"/>
          <w:divBdr>
            <w:top w:val="none" w:sz="0" w:space="0" w:color="auto"/>
            <w:left w:val="none" w:sz="0" w:space="0" w:color="auto"/>
            <w:bottom w:val="none" w:sz="0" w:space="0" w:color="auto"/>
            <w:right w:val="none" w:sz="0" w:space="0" w:color="auto"/>
          </w:divBdr>
        </w:div>
        <w:div w:id="1865510814">
          <w:marLeft w:val="0"/>
          <w:marRight w:val="0"/>
          <w:marTop w:val="0"/>
          <w:marBottom w:val="0"/>
          <w:divBdr>
            <w:top w:val="none" w:sz="0" w:space="0" w:color="auto"/>
            <w:left w:val="none" w:sz="0" w:space="0" w:color="auto"/>
            <w:bottom w:val="none" w:sz="0" w:space="0" w:color="auto"/>
            <w:right w:val="none" w:sz="0" w:space="0" w:color="auto"/>
          </w:divBdr>
        </w:div>
        <w:div w:id="545603123">
          <w:marLeft w:val="0"/>
          <w:marRight w:val="0"/>
          <w:marTop w:val="0"/>
          <w:marBottom w:val="0"/>
          <w:divBdr>
            <w:top w:val="none" w:sz="0" w:space="0" w:color="auto"/>
            <w:left w:val="none" w:sz="0" w:space="0" w:color="auto"/>
            <w:bottom w:val="none" w:sz="0" w:space="0" w:color="auto"/>
            <w:right w:val="none" w:sz="0" w:space="0" w:color="auto"/>
          </w:divBdr>
        </w:div>
        <w:div w:id="1382242775">
          <w:marLeft w:val="0"/>
          <w:marRight w:val="0"/>
          <w:marTop w:val="0"/>
          <w:marBottom w:val="0"/>
          <w:divBdr>
            <w:top w:val="none" w:sz="0" w:space="0" w:color="auto"/>
            <w:left w:val="none" w:sz="0" w:space="0" w:color="auto"/>
            <w:bottom w:val="none" w:sz="0" w:space="0" w:color="auto"/>
            <w:right w:val="none" w:sz="0" w:space="0" w:color="auto"/>
          </w:divBdr>
        </w:div>
        <w:div w:id="553002530">
          <w:marLeft w:val="0"/>
          <w:marRight w:val="0"/>
          <w:marTop w:val="0"/>
          <w:marBottom w:val="0"/>
          <w:divBdr>
            <w:top w:val="none" w:sz="0" w:space="0" w:color="auto"/>
            <w:left w:val="none" w:sz="0" w:space="0" w:color="auto"/>
            <w:bottom w:val="none" w:sz="0" w:space="0" w:color="auto"/>
            <w:right w:val="none" w:sz="0" w:space="0" w:color="auto"/>
          </w:divBdr>
        </w:div>
        <w:div w:id="122771442">
          <w:marLeft w:val="0"/>
          <w:marRight w:val="0"/>
          <w:marTop w:val="0"/>
          <w:marBottom w:val="0"/>
          <w:divBdr>
            <w:top w:val="none" w:sz="0" w:space="0" w:color="auto"/>
            <w:left w:val="none" w:sz="0" w:space="0" w:color="auto"/>
            <w:bottom w:val="none" w:sz="0" w:space="0" w:color="auto"/>
            <w:right w:val="none" w:sz="0" w:space="0" w:color="auto"/>
          </w:divBdr>
        </w:div>
        <w:div w:id="175462924">
          <w:marLeft w:val="0"/>
          <w:marRight w:val="0"/>
          <w:marTop w:val="0"/>
          <w:marBottom w:val="0"/>
          <w:divBdr>
            <w:top w:val="none" w:sz="0" w:space="0" w:color="auto"/>
            <w:left w:val="none" w:sz="0" w:space="0" w:color="auto"/>
            <w:bottom w:val="none" w:sz="0" w:space="0" w:color="auto"/>
            <w:right w:val="none" w:sz="0" w:space="0" w:color="auto"/>
          </w:divBdr>
        </w:div>
        <w:div w:id="370766494">
          <w:marLeft w:val="0"/>
          <w:marRight w:val="0"/>
          <w:marTop w:val="0"/>
          <w:marBottom w:val="0"/>
          <w:divBdr>
            <w:top w:val="none" w:sz="0" w:space="0" w:color="auto"/>
            <w:left w:val="none" w:sz="0" w:space="0" w:color="auto"/>
            <w:bottom w:val="none" w:sz="0" w:space="0" w:color="auto"/>
            <w:right w:val="none" w:sz="0" w:space="0" w:color="auto"/>
          </w:divBdr>
        </w:div>
        <w:div w:id="968827079">
          <w:marLeft w:val="0"/>
          <w:marRight w:val="0"/>
          <w:marTop w:val="0"/>
          <w:marBottom w:val="0"/>
          <w:divBdr>
            <w:top w:val="none" w:sz="0" w:space="0" w:color="auto"/>
            <w:left w:val="none" w:sz="0" w:space="0" w:color="auto"/>
            <w:bottom w:val="none" w:sz="0" w:space="0" w:color="auto"/>
            <w:right w:val="none" w:sz="0" w:space="0" w:color="auto"/>
          </w:divBdr>
        </w:div>
        <w:div w:id="293871236">
          <w:marLeft w:val="0"/>
          <w:marRight w:val="0"/>
          <w:marTop w:val="0"/>
          <w:marBottom w:val="0"/>
          <w:divBdr>
            <w:top w:val="none" w:sz="0" w:space="0" w:color="auto"/>
            <w:left w:val="none" w:sz="0" w:space="0" w:color="auto"/>
            <w:bottom w:val="none" w:sz="0" w:space="0" w:color="auto"/>
            <w:right w:val="none" w:sz="0" w:space="0" w:color="auto"/>
          </w:divBdr>
        </w:div>
        <w:div w:id="1367634638">
          <w:marLeft w:val="0"/>
          <w:marRight w:val="0"/>
          <w:marTop w:val="0"/>
          <w:marBottom w:val="0"/>
          <w:divBdr>
            <w:top w:val="none" w:sz="0" w:space="0" w:color="auto"/>
            <w:left w:val="none" w:sz="0" w:space="0" w:color="auto"/>
            <w:bottom w:val="none" w:sz="0" w:space="0" w:color="auto"/>
            <w:right w:val="none" w:sz="0" w:space="0" w:color="auto"/>
          </w:divBdr>
        </w:div>
        <w:div w:id="1983579650">
          <w:marLeft w:val="0"/>
          <w:marRight w:val="0"/>
          <w:marTop w:val="0"/>
          <w:marBottom w:val="0"/>
          <w:divBdr>
            <w:top w:val="none" w:sz="0" w:space="0" w:color="auto"/>
            <w:left w:val="none" w:sz="0" w:space="0" w:color="auto"/>
            <w:bottom w:val="none" w:sz="0" w:space="0" w:color="auto"/>
            <w:right w:val="none" w:sz="0" w:space="0" w:color="auto"/>
          </w:divBdr>
        </w:div>
        <w:div w:id="1905530178">
          <w:marLeft w:val="0"/>
          <w:marRight w:val="0"/>
          <w:marTop w:val="0"/>
          <w:marBottom w:val="0"/>
          <w:divBdr>
            <w:top w:val="none" w:sz="0" w:space="0" w:color="auto"/>
            <w:left w:val="none" w:sz="0" w:space="0" w:color="auto"/>
            <w:bottom w:val="none" w:sz="0" w:space="0" w:color="auto"/>
            <w:right w:val="none" w:sz="0" w:space="0" w:color="auto"/>
          </w:divBdr>
        </w:div>
        <w:div w:id="574125609">
          <w:marLeft w:val="0"/>
          <w:marRight w:val="0"/>
          <w:marTop w:val="0"/>
          <w:marBottom w:val="0"/>
          <w:divBdr>
            <w:top w:val="none" w:sz="0" w:space="0" w:color="auto"/>
            <w:left w:val="none" w:sz="0" w:space="0" w:color="auto"/>
            <w:bottom w:val="none" w:sz="0" w:space="0" w:color="auto"/>
            <w:right w:val="none" w:sz="0" w:space="0" w:color="auto"/>
          </w:divBdr>
        </w:div>
        <w:div w:id="525100545">
          <w:marLeft w:val="0"/>
          <w:marRight w:val="0"/>
          <w:marTop w:val="0"/>
          <w:marBottom w:val="0"/>
          <w:divBdr>
            <w:top w:val="none" w:sz="0" w:space="0" w:color="auto"/>
            <w:left w:val="none" w:sz="0" w:space="0" w:color="auto"/>
            <w:bottom w:val="none" w:sz="0" w:space="0" w:color="auto"/>
            <w:right w:val="none" w:sz="0" w:space="0" w:color="auto"/>
          </w:divBdr>
        </w:div>
        <w:div w:id="1675721459">
          <w:marLeft w:val="0"/>
          <w:marRight w:val="0"/>
          <w:marTop w:val="0"/>
          <w:marBottom w:val="0"/>
          <w:divBdr>
            <w:top w:val="none" w:sz="0" w:space="0" w:color="auto"/>
            <w:left w:val="none" w:sz="0" w:space="0" w:color="auto"/>
            <w:bottom w:val="none" w:sz="0" w:space="0" w:color="auto"/>
            <w:right w:val="none" w:sz="0" w:space="0" w:color="auto"/>
          </w:divBdr>
        </w:div>
        <w:div w:id="1971282363">
          <w:marLeft w:val="0"/>
          <w:marRight w:val="0"/>
          <w:marTop w:val="0"/>
          <w:marBottom w:val="0"/>
          <w:divBdr>
            <w:top w:val="none" w:sz="0" w:space="0" w:color="auto"/>
            <w:left w:val="none" w:sz="0" w:space="0" w:color="auto"/>
            <w:bottom w:val="none" w:sz="0" w:space="0" w:color="auto"/>
            <w:right w:val="none" w:sz="0" w:space="0" w:color="auto"/>
          </w:divBdr>
        </w:div>
        <w:div w:id="1967882232">
          <w:marLeft w:val="0"/>
          <w:marRight w:val="0"/>
          <w:marTop w:val="0"/>
          <w:marBottom w:val="0"/>
          <w:divBdr>
            <w:top w:val="none" w:sz="0" w:space="0" w:color="auto"/>
            <w:left w:val="none" w:sz="0" w:space="0" w:color="auto"/>
            <w:bottom w:val="none" w:sz="0" w:space="0" w:color="auto"/>
            <w:right w:val="none" w:sz="0" w:space="0" w:color="auto"/>
          </w:divBdr>
        </w:div>
        <w:div w:id="152527321">
          <w:marLeft w:val="0"/>
          <w:marRight w:val="0"/>
          <w:marTop w:val="0"/>
          <w:marBottom w:val="0"/>
          <w:divBdr>
            <w:top w:val="none" w:sz="0" w:space="0" w:color="auto"/>
            <w:left w:val="none" w:sz="0" w:space="0" w:color="auto"/>
            <w:bottom w:val="none" w:sz="0" w:space="0" w:color="auto"/>
            <w:right w:val="none" w:sz="0" w:space="0" w:color="auto"/>
          </w:divBdr>
        </w:div>
        <w:div w:id="1798909764">
          <w:marLeft w:val="0"/>
          <w:marRight w:val="0"/>
          <w:marTop w:val="0"/>
          <w:marBottom w:val="0"/>
          <w:divBdr>
            <w:top w:val="none" w:sz="0" w:space="0" w:color="auto"/>
            <w:left w:val="none" w:sz="0" w:space="0" w:color="auto"/>
            <w:bottom w:val="none" w:sz="0" w:space="0" w:color="auto"/>
            <w:right w:val="none" w:sz="0" w:space="0" w:color="auto"/>
          </w:divBdr>
        </w:div>
        <w:div w:id="1716126412">
          <w:marLeft w:val="0"/>
          <w:marRight w:val="0"/>
          <w:marTop w:val="0"/>
          <w:marBottom w:val="0"/>
          <w:divBdr>
            <w:top w:val="none" w:sz="0" w:space="0" w:color="auto"/>
            <w:left w:val="none" w:sz="0" w:space="0" w:color="auto"/>
            <w:bottom w:val="none" w:sz="0" w:space="0" w:color="auto"/>
            <w:right w:val="none" w:sz="0" w:space="0" w:color="auto"/>
          </w:divBdr>
        </w:div>
        <w:div w:id="1350831038">
          <w:marLeft w:val="0"/>
          <w:marRight w:val="0"/>
          <w:marTop w:val="0"/>
          <w:marBottom w:val="0"/>
          <w:divBdr>
            <w:top w:val="none" w:sz="0" w:space="0" w:color="auto"/>
            <w:left w:val="none" w:sz="0" w:space="0" w:color="auto"/>
            <w:bottom w:val="none" w:sz="0" w:space="0" w:color="auto"/>
            <w:right w:val="none" w:sz="0" w:space="0" w:color="auto"/>
          </w:divBdr>
        </w:div>
        <w:div w:id="1884900850">
          <w:marLeft w:val="0"/>
          <w:marRight w:val="0"/>
          <w:marTop w:val="0"/>
          <w:marBottom w:val="0"/>
          <w:divBdr>
            <w:top w:val="none" w:sz="0" w:space="0" w:color="auto"/>
            <w:left w:val="none" w:sz="0" w:space="0" w:color="auto"/>
            <w:bottom w:val="none" w:sz="0" w:space="0" w:color="auto"/>
            <w:right w:val="none" w:sz="0" w:space="0" w:color="auto"/>
          </w:divBdr>
        </w:div>
        <w:div w:id="1528131345">
          <w:marLeft w:val="0"/>
          <w:marRight w:val="0"/>
          <w:marTop w:val="0"/>
          <w:marBottom w:val="0"/>
          <w:divBdr>
            <w:top w:val="none" w:sz="0" w:space="0" w:color="auto"/>
            <w:left w:val="none" w:sz="0" w:space="0" w:color="auto"/>
            <w:bottom w:val="none" w:sz="0" w:space="0" w:color="auto"/>
            <w:right w:val="none" w:sz="0" w:space="0" w:color="auto"/>
          </w:divBdr>
        </w:div>
        <w:div w:id="454326318">
          <w:marLeft w:val="0"/>
          <w:marRight w:val="0"/>
          <w:marTop w:val="0"/>
          <w:marBottom w:val="0"/>
          <w:divBdr>
            <w:top w:val="none" w:sz="0" w:space="0" w:color="auto"/>
            <w:left w:val="none" w:sz="0" w:space="0" w:color="auto"/>
            <w:bottom w:val="none" w:sz="0" w:space="0" w:color="auto"/>
            <w:right w:val="none" w:sz="0" w:space="0" w:color="auto"/>
          </w:divBdr>
        </w:div>
      </w:divsChild>
    </w:div>
    <w:div w:id="542711504">
      <w:bodyDiv w:val="1"/>
      <w:marLeft w:val="0"/>
      <w:marRight w:val="0"/>
      <w:marTop w:val="0"/>
      <w:marBottom w:val="0"/>
      <w:divBdr>
        <w:top w:val="none" w:sz="0" w:space="0" w:color="auto"/>
        <w:left w:val="none" w:sz="0" w:space="0" w:color="auto"/>
        <w:bottom w:val="none" w:sz="0" w:space="0" w:color="auto"/>
        <w:right w:val="none" w:sz="0" w:space="0" w:color="auto"/>
      </w:divBdr>
    </w:div>
    <w:div w:id="544029701">
      <w:bodyDiv w:val="1"/>
      <w:marLeft w:val="0"/>
      <w:marRight w:val="0"/>
      <w:marTop w:val="0"/>
      <w:marBottom w:val="0"/>
      <w:divBdr>
        <w:top w:val="none" w:sz="0" w:space="0" w:color="auto"/>
        <w:left w:val="none" w:sz="0" w:space="0" w:color="auto"/>
        <w:bottom w:val="none" w:sz="0" w:space="0" w:color="auto"/>
        <w:right w:val="none" w:sz="0" w:space="0" w:color="auto"/>
      </w:divBdr>
    </w:div>
    <w:div w:id="574439474">
      <w:bodyDiv w:val="1"/>
      <w:marLeft w:val="0"/>
      <w:marRight w:val="0"/>
      <w:marTop w:val="0"/>
      <w:marBottom w:val="0"/>
      <w:divBdr>
        <w:top w:val="none" w:sz="0" w:space="0" w:color="auto"/>
        <w:left w:val="none" w:sz="0" w:space="0" w:color="auto"/>
        <w:bottom w:val="none" w:sz="0" w:space="0" w:color="auto"/>
        <w:right w:val="none" w:sz="0" w:space="0" w:color="auto"/>
      </w:divBdr>
    </w:div>
    <w:div w:id="660083961">
      <w:bodyDiv w:val="1"/>
      <w:marLeft w:val="0"/>
      <w:marRight w:val="0"/>
      <w:marTop w:val="0"/>
      <w:marBottom w:val="0"/>
      <w:divBdr>
        <w:top w:val="none" w:sz="0" w:space="0" w:color="auto"/>
        <w:left w:val="none" w:sz="0" w:space="0" w:color="auto"/>
        <w:bottom w:val="none" w:sz="0" w:space="0" w:color="auto"/>
        <w:right w:val="none" w:sz="0" w:space="0" w:color="auto"/>
      </w:divBdr>
    </w:div>
    <w:div w:id="665519430">
      <w:bodyDiv w:val="1"/>
      <w:marLeft w:val="0"/>
      <w:marRight w:val="0"/>
      <w:marTop w:val="0"/>
      <w:marBottom w:val="0"/>
      <w:divBdr>
        <w:top w:val="none" w:sz="0" w:space="0" w:color="auto"/>
        <w:left w:val="none" w:sz="0" w:space="0" w:color="auto"/>
        <w:bottom w:val="none" w:sz="0" w:space="0" w:color="auto"/>
        <w:right w:val="none" w:sz="0" w:space="0" w:color="auto"/>
      </w:divBdr>
    </w:div>
    <w:div w:id="676467054">
      <w:bodyDiv w:val="1"/>
      <w:marLeft w:val="0"/>
      <w:marRight w:val="0"/>
      <w:marTop w:val="0"/>
      <w:marBottom w:val="0"/>
      <w:divBdr>
        <w:top w:val="none" w:sz="0" w:space="0" w:color="auto"/>
        <w:left w:val="none" w:sz="0" w:space="0" w:color="auto"/>
        <w:bottom w:val="none" w:sz="0" w:space="0" w:color="auto"/>
        <w:right w:val="none" w:sz="0" w:space="0" w:color="auto"/>
      </w:divBdr>
    </w:div>
    <w:div w:id="700278081">
      <w:bodyDiv w:val="1"/>
      <w:marLeft w:val="0"/>
      <w:marRight w:val="0"/>
      <w:marTop w:val="0"/>
      <w:marBottom w:val="0"/>
      <w:divBdr>
        <w:top w:val="none" w:sz="0" w:space="0" w:color="auto"/>
        <w:left w:val="none" w:sz="0" w:space="0" w:color="auto"/>
        <w:bottom w:val="none" w:sz="0" w:space="0" w:color="auto"/>
        <w:right w:val="none" w:sz="0" w:space="0" w:color="auto"/>
      </w:divBdr>
    </w:div>
    <w:div w:id="744425184">
      <w:bodyDiv w:val="1"/>
      <w:marLeft w:val="0"/>
      <w:marRight w:val="0"/>
      <w:marTop w:val="0"/>
      <w:marBottom w:val="0"/>
      <w:divBdr>
        <w:top w:val="none" w:sz="0" w:space="0" w:color="auto"/>
        <w:left w:val="none" w:sz="0" w:space="0" w:color="auto"/>
        <w:bottom w:val="none" w:sz="0" w:space="0" w:color="auto"/>
        <w:right w:val="none" w:sz="0" w:space="0" w:color="auto"/>
      </w:divBdr>
    </w:div>
    <w:div w:id="779568993">
      <w:bodyDiv w:val="1"/>
      <w:marLeft w:val="0"/>
      <w:marRight w:val="0"/>
      <w:marTop w:val="0"/>
      <w:marBottom w:val="0"/>
      <w:divBdr>
        <w:top w:val="none" w:sz="0" w:space="0" w:color="auto"/>
        <w:left w:val="none" w:sz="0" w:space="0" w:color="auto"/>
        <w:bottom w:val="none" w:sz="0" w:space="0" w:color="auto"/>
        <w:right w:val="none" w:sz="0" w:space="0" w:color="auto"/>
      </w:divBdr>
    </w:div>
    <w:div w:id="940070987">
      <w:bodyDiv w:val="1"/>
      <w:marLeft w:val="0"/>
      <w:marRight w:val="0"/>
      <w:marTop w:val="0"/>
      <w:marBottom w:val="0"/>
      <w:divBdr>
        <w:top w:val="none" w:sz="0" w:space="0" w:color="auto"/>
        <w:left w:val="none" w:sz="0" w:space="0" w:color="auto"/>
        <w:bottom w:val="none" w:sz="0" w:space="0" w:color="auto"/>
        <w:right w:val="none" w:sz="0" w:space="0" w:color="auto"/>
      </w:divBdr>
      <w:divsChild>
        <w:div w:id="1127316776">
          <w:marLeft w:val="0"/>
          <w:marRight w:val="60"/>
          <w:marTop w:val="0"/>
          <w:marBottom w:val="0"/>
          <w:divBdr>
            <w:top w:val="none" w:sz="0" w:space="0" w:color="auto"/>
            <w:left w:val="none" w:sz="0" w:space="0" w:color="auto"/>
            <w:bottom w:val="none" w:sz="0" w:space="0" w:color="auto"/>
            <w:right w:val="none" w:sz="0" w:space="0" w:color="auto"/>
          </w:divBdr>
        </w:div>
        <w:div w:id="81075583">
          <w:marLeft w:val="0"/>
          <w:marRight w:val="0"/>
          <w:marTop w:val="0"/>
          <w:marBottom w:val="0"/>
          <w:divBdr>
            <w:top w:val="none" w:sz="0" w:space="0" w:color="auto"/>
            <w:left w:val="none" w:sz="0" w:space="0" w:color="auto"/>
            <w:bottom w:val="none" w:sz="0" w:space="0" w:color="auto"/>
            <w:right w:val="none" w:sz="0" w:space="0" w:color="auto"/>
          </w:divBdr>
        </w:div>
        <w:div w:id="491793294">
          <w:marLeft w:val="0"/>
          <w:marRight w:val="0"/>
          <w:marTop w:val="0"/>
          <w:marBottom w:val="0"/>
          <w:divBdr>
            <w:top w:val="none" w:sz="0" w:space="0" w:color="auto"/>
            <w:left w:val="none" w:sz="0" w:space="0" w:color="auto"/>
            <w:bottom w:val="none" w:sz="0" w:space="0" w:color="auto"/>
            <w:right w:val="none" w:sz="0" w:space="0" w:color="auto"/>
          </w:divBdr>
        </w:div>
        <w:div w:id="1922760885">
          <w:marLeft w:val="0"/>
          <w:marRight w:val="0"/>
          <w:marTop w:val="0"/>
          <w:marBottom w:val="0"/>
          <w:divBdr>
            <w:top w:val="none" w:sz="0" w:space="0" w:color="auto"/>
            <w:left w:val="none" w:sz="0" w:space="0" w:color="auto"/>
            <w:bottom w:val="none" w:sz="0" w:space="0" w:color="auto"/>
            <w:right w:val="none" w:sz="0" w:space="0" w:color="auto"/>
          </w:divBdr>
        </w:div>
      </w:divsChild>
    </w:div>
    <w:div w:id="946934852">
      <w:bodyDiv w:val="1"/>
      <w:marLeft w:val="0"/>
      <w:marRight w:val="0"/>
      <w:marTop w:val="0"/>
      <w:marBottom w:val="0"/>
      <w:divBdr>
        <w:top w:val="none" w:sz="0" w:space="0" w:color="auto"/>
        <w:left w:val="none" w:sz="0" w:space="0" w:color="auto"/>
        <w:bottom w:val="none" w:sz="0" w:space="0" w:color="auto"/>
        <w:right w:val="none" w:sz="0" w:space="0" w:color="auto"/>
      </w:divBdr>
    </w:div>
    <w:div w:id="958100518">
      <w:bodyDiv w:val="1"/>
      <w:marLeft w:val="0"/>
      <w:marRight w:val="0"/>
      <w:marTop w:val="0"/>
      <w:marBottom w:val="0"/>
      <w:divBdr>
        <w:top w:val="none" w:sz="0" w:space="0" w:color="auto"/>
        <w:left w:val="none" w:sz="0" w:space="0" w:color="auto"/>
        <w:bottom w:val="none" w:sz="0" w:space="0" w:color="auto"/>
        <w:right w:val="none" w:sz="0" w:space="0" w:color="auto"/>
      </w:divBdr>
    </w:div>
    <w:div w:id="965089809">
      <w:bodyDiv w:val="1"/>
      <w:marLeft w:val="0"/>
      <w:marRight w:val="0"/>
      <w:marTop w:val="0"/>
      <w:marBottom w:val="0"/>
      <w:divBdr>
        <w:top w:val="none" w:sz="0" w:space="0" w:color="auto"/>
        <w:left w:val="none" w:sz="0" w:space="0" w:color="auto"/>
        <w:bottom w:val="none" w:sz="0" w:space="0" w:color="auto"/>
        <w:right w:val="none" w:sz="0" w:space="0" w:color="auto"/>
      </w:divBdr>
      <w:divsChild>
        <w:div w:id="752430351">
          <w:marLeft w:val="0"/>
          <w:marRight w:val="0"/>
          <w:marTop w:val="0"/>
          <w:marBottom w:val="0"/>
          <w:divBdr>
            <w:top w:val="none" w:sz="0" w:space="0" w:color="auto"/>
            <w:left w:val="none" w:sz="0" w:space="0" w:color="auto"/>
            <w:bottom w:val="none" w:sz="0" w:space="0" w:color="auto"/>
            <w:right w:val="none" w:sz="0" w:space="0" w:color="auto"/>
          </w:divBdr>
          <w:divsChild>
            <w:div w:id="1578975157">
              <w:marLeft w:val="0"/>
              <w:marRight w:val="0"/>
              <w:marTop w:val="0"/>
              <w:marBottom w:val="0"/>
              <w:divBdr>
                <w:top w:val="none" w:sz="0" w:space="0" w:color="auto"/>
                <w:left w:val="none" w:sz="0" w:space="0" w:color="auto"/>
                <w:bottom w:val="none" w:sz="0" w:space="0" w:color="auto"/>
                <w:right w:val="none" w:sz="0" w:space="0" w:color="auto"/>
              </w:divBdr>
              <w:divsChild>
                <w:div w:id="7573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124">
      <w:bodyDiv w:val="1"/>
      <w:marLeft w:val="0"/>
      <w:marRight w:val="0"/>
      <w:marTop w:val="0"/>
      <w:marBottom w:val="0"/>
      <w:divBdr>
        <w:top w:val="none" w:sz="0" w:space="0" w:color="auto"/>
        <w:left w:val="none" w:sz="0" w:space="0" w:color="auto"/>
        <w:bottom w:val="none" w:sz="0" w:space="0" w:color="auto"/>
        <w:right w:val="none" w:sz="0" w:space="0" w:color="auto"/>
      </w:divBdr>
      <w:divsChild>
        <w:div w:id="1334336033">
          <w:marLeft w:val="0"/>
          <w:marRight w:val="0"/>
          <w:marTop w:val="0"/>
          <w:marBottom w:val="0"/>
          <w:divBdr>
            <w:top w:val="none" w:sz="0" w:space="0" w:color="auto"/>
            <w:left w:val="none" w:sz="0" w:space="0" w:color="auto"/>
            <w:bottom w:val="none" w:sz="0" w:space="0" w:color="auto"/>
            <w:right w:val="none" w:sz="0" w:space="0" w:color="auto"/>
          </w:divBdr>
          <w:divsChild>
            <w:div w:id="846212258">
              <w:marLeft w:val="0"/>
              <w:marRight w:val="0"/>
              <w:marTop w:val="0"/>
              <w:marBottom w:val="0"/>
              <w:divBdr>
                <w:top w:val="none" w:sz="0" w:space="0" w:color="auto"/>
                <w:left w:val="none" w:sz="0" w:space="0" w:color="auto"/>
                <w:bottom w:val="none" w:sz="0" w:space="0" w:color="auto"/>
                <w:right w:val="none" w:sz="0" w:space="0" w:color="auto"/>
              </w:divBdr>
              <w:divsChild>
                <w:div w:id="364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2663">
      <w:bodyDiv w:val="1"/>
      <w:marLeft w:val="0"/>
      <w:marRight w:val="0"/>
      <w:marTop w:val="0"/>
      <w:marBottom w:val="0"/>
      <w:divBdr>
        <w:top w:val="none" w:sz="0" w:space="0" w:color="auto"/>
        <w:left w:val="none" w:sz="0" w:space="0" w:color="auto"/>
        <w:bottom w:val="none" w:sz="0" w:space="0" w:color="auto"/>
        <w:right w:val="none" w:sz="0" w:space="0" w:color="auto"/>
      </w:divBdr>
    </w:div>
    <w:div w:id="1099645538">
      <w:bodyDiv w:val="1"/>
      <w:marLeft w:val="0"/>
      <w:marRight w:val="0"/>
      <w:marTop w:val="0"/>
      <w:marBottom w:val="0"/>
      <w:divBdr>
        <w:top w:val="none" w:sz="0" w:space="0" w:color="auto"/>
        <w:left w:val="none" w:sz="0" w:space="0" w:color="auto"/>
        <w:bottom w:val="none" w:sz="0" w:space="0" w:color="auto"/>
        <w:right w:val="none" w:sz="0" w:space="0" w:color="auto"/>
      </w:divBdr>
    </w:div>
    <w:div w:id="1122728792">
      <w:bodyDiv w:val="1"/>
      <w:marLeft w:val="0"/>
      <w:marRight w:val="0"/>
      <w:marTop w:val="0"/>
      <w:marBottom w:val="0"/>
      <w:divBdr>
        <w:top w:val="none" w:sz="0" w:space="0" w:color="auto"/>
        <w:left w:val="none" w:sz="0" w:space="0" w:color="auto"/>
        <w:bottom w:val="none" w:sz="0" w:space="0" w:color="auto"/>
        <w:right w:val="none" w:sz="0" w:space="0" w:color="auto"/>
      </w:divBdr>
    </w:div>
    <w:div w:id="1129737699">
      <w:bodyDiv w:val="1"/>
      <w:marLeft w:val="0"/>
      <w:marRight w:val="0"/>
      <w:marTop w:val="0"/>
      <w:marBottom w:val="0"/>
      <w:divBdr>
        <w:top w:val="none" w:sz="0" w:space="0" w:color="auto"/>
        <w:left w:val="none" w:sz="0" w:space="0" w:color="auto"/>
        <w:bottom w:val="none" w:sz="0" w:space="0" w:color="auto"/>
        <w:right w:val="none" w:sz="0" w:space="0" w:color="auto"/>
      </w:divBdr>
    </w:div>
    <w:div w:id="1183932530">
      <w:bodyDiv w:val="1"/>
      <w:marLeft w:val="0"/>
      <w:marRight w:val="0"/>
      <w:marTop w:val="0"/>
      <w:marBottom w:val="0"/>
      <w:divBdr>
        <w:top w:val="none" w:sz="0" w:space="0" w:color="auto"/>
        <w:left w:val="none" w:sz="0" w:space="0" w:color="auto"/>
        <w:bottom w:val="none" w:sz="0" w:space="0" w:color="auto"/>
        <w:right w:val="none" w:sz="0" w:space="0" w:color="auto"/>
      </w:divBdr>
    </w:div>
    <w:div w:id="1242064089">
      <w:bodyDiv w:val="1"/>
      <w:marLeft w:val="0"/>
      <w:marRight w:val="0"/>
      <w:marTop w:val="0"/>
      <w:marBottom w:val="0"/>
      <w:divBdr>
        <w:top w:val="none" w:sz="0" w:space="0" w:color="auto"/>
        <w:left w:val="none" w:sz="0" w:space="0" w:color="auto"/>
        <w:bottom w:val="none" w:sz="0" w:space="0" w:color="auto"/>
        <w:right w:val="none" w:sz="0" w:space="0" w:color="auto"/>
      </w:divBdr>
    </w:div>
    <w:div w:id="1275792243">
      <w:bodyDiv w:val="1"/>
      <w:marLeft w:val="0"/>
      <w:marRight w:val="0"/>
      <w:marTop w:val="0"/>
      <w:marBottom w:val="0"/>
      <w:divBdr>
        <w:top w:val="none" w:sz="0" w:space="0" w:color="auto"/>
        <w:left w:val="none" w:sz="0" w:space="0" w:color="auto"/>
        <w:bottom w:val="none" w:sz="0" w:space="0" w:color="auto"/>
        <w:right w:val="none" w:sz="0" w:space="0" w:color="auto"/>
      </w:divBdr>
      <w:divsChild>
        <w:div w:id="1642274533">
          <w:marLeft w:val="300"/>
          <w:marRight w:val="0"/>
          <w:marTop w:val="0"/>
          <w:marBottom w:val="330"/>
          <w:divBdr>
            <w:top w:val="none" w:sz="0" w:space="0" w:color="auto"/>
            <w:left w:val="none" w:sz="0" w:space="0" w:color="auto"/>
            <w:bottom w:val="none" w:sz="0" w:space="0" w:color="auto"/>
            <w:right w:val="none" w:sz="0" w:space="0" w:color="auto"/>
          </w:divBdr>
          <w:divsChild>
            <w:div w:id="1480881776">
              <w:marLeft w:val="0"/>
              <w:marRight w:val="0"/>
              <w:marTop w:val="0"/>
              <w:marBottom w:val="0"/>
              <w:divBdr>
                <w:top w:val="none" w:sz="0" w:space="0" w:color="auto"/>
                <w:left w:val="none" w:sz="0" w:space="0" w:color="auto"/>
                <w:bottom w:val="none" w:sz="0" w:space="0" w:color="auto"/>
                <w:right w:val="none" w:sz="0" w:space="0" w:color="auto"/>
              </w:divBdr>
              <w:divsChild>
                <w:div w:id="141235857">
                  <w:marLeft w:val="0"/>
                  <w:marRight w:val="0"/>
                  <w:marTop w:val="0"/>
                  <w:marBottom w:val="330"/>
                  <w:divBdr>
                    <w:top w:val="none" w:sz="0" w:space="0" w:color="auto"/>
                    <w:left w:val="none" w:sz="0" w:space="0" w:color="auto"/>
                    <w:bottom w:val="none" w:sz="0" w:space="0" w:color="auto"/>
                    <w:right w:val="none" w:sz="0" w:space="0" w:color="auto"/>
                  </w:divBdr>
                </w:div>
              </w:divsChild>
            </w:div>
            <w:div w:id="253907013">
              <w:marLeft w:val="0"/>
              <w:marRight w:val="0"/>
              <w:marTop w:val="0"/>
              <w:marBottom w:val="0"/>
              <w:divBdr>
                <w:top w:val="none" w:sz="0" w:space="0" w:color="auto"/>
                <w:left w:val="none" w:sz="0" w:space="0" w:color="auto"/>
                <w:bottom w:val="none" w:sz="0" w:space="0" w:color="auto"/>
                <w:right w:val="none" w:sz="0" w:space="0" w:color="auto"/>
              </w:divBdr>
              <w:divsChild>
                <w:div w:id="1132596755">
                  <w:marLeft w:val="0"/>
                  <w:marRight w:val="0"/>
                  <w:marTop w:val="0"/>
                  <w:marBottom w:val="330"/>
                  <w:divBdr>
                    <w:top w:val="none" w:sz="0" w:space="0" w:color="auto"/>
                    <w:left w:val="none" w:sz="0" w:space="0" w:color="auto"/>
                    <w:bottom w:val="none" w:sz="0" w:space="0" w:color="auto"/>
                    <w:right w:val="none" w:sz="0" w:space="0" w:color="auto"/>
                  </w:divBdr>
                  <w:divsChild>
                    <w:div w:id="1238859629">
                      <w:marLeft w:val="0"/>
                      <w:marRight w:val="0"/>
                      <w:marTop w:val="0"/>
                      <w:marBottom w:val="0"/>
                      <w:divBdr>
                        <w:top w:val="none" w:sz="0" w:space="0" w:color="auto"/>
                        <w:left w:val="none" w:sz="0" w:space="0" w:color="auto"/>
                        <w:bottom w:val="none" w:sz="0" w:space="0" w:color="auto"/>
                        <w:right w:val="none" w:sz="0" w:space="0" w:color="auto"/>
                      </w:divBdr>
                      <w:divsChild>
                        <w:div w:id="241767521">
                          <w:marLeft w:val="0"/>
                          <w:marRight w:val="0"/>
                          <w:marTop w:val="0"/>
                          <w:marBottom w:val="0"/>
                          <w:divBdr>
                            <w:top w:val="none" w:sz="0" w:space="0" w:color="auto"/>
                            <w:left w:val="none" w:sz="0" w:space="0" w:color="auto"/>
                            <w:bottom w:val="none" w:sz="0" w:space="0" w:color="auto"/>
                            <w:right w:val="none" w:sz="0" w:space="0" w:color="auto"/>
                          </w:divBdr>
                          <w:divsChild>
                            <w:div w:id="798718888">
                              <w:marLeft w:val="0"/>
                              <w:marRight w:val="0"/>
                              <w:marTop w:val="0"/>
                              <w:marBottom w:val="0"/>
                              <w:divBdr>
                                <w:top w:val="single" w:sz="6" w:space="0" w:color="DDDDDD"/>
                                <w:left w:val="single" w:sz="6" w:space="0" w:color="DDDDDD"/>
                                <w:bottom w:val="single" w:sz="6" w:space="0" w:color="DDDDDD"/>
                                <w:right w:val="single" w:sz="6" w:space="0" w:color="DDDDDD"/>
                              </w:divBdr>
                              <w:divsChild>
                                <w:div w:id="1302879073">
                                  <w:marLeft w:val="0"/>
                                  <w:marRight w:val="0"/>
                                  <w:marTop w:val="0"/>
                                  <w:marBottom w:val="0"/>
                                  <w:divBdr>
                                    <w:top w:val="none" w:sz="0" w:space="0" w:color="auto"/>
                                    <w:left w:val="none" w:sz="0" w:space="0" w:color="auto"/>
                                    <w:bottom w:val="none" w:sz="0" w:space="0" w:color="auto"/>
                                    <w:right w:val="none" w:sz="0" w:space="0" w:color="auto"/>
                                  </w:divBdr>
                                  <w:divsChild>
                                    <w:div w:id="2061055902">
                                      <w:marLeft w:val="0"/>
                                      <w:marRight w:val="0"/>
                                      <w:marTop w:val="0"/>
                                      <w:marBottom w:val="0"/>
                                      <w:divBdr>
                                        <w:top w:val="none" w:sz="0" w:space="0" w:color="auto"/>
                                        <w:left w:val="none" w:sz="0" w:space="0" w:color="auto"/>
                                        <w:bottom w:val="none" w:sz="0" w:space="0" w:color="auto"/>
                                        <w:right w:val="none" w:sz="0" w:space="0" w:color="auto"/>
                                      </w:divBdr>
                                      <w:divsChild>
                                        <w:div w:id="1878397459">
                                          <w:marLeft w:val="0"/>
                                          <w:marRight w:val="0"/>
                                          <w:marTop w:val="0"/>
                                          <w:marBottom w:val="0"/>
                                          <w:divBdr>
                                            <w:top w:val="none" w:sz="0" w:space="0" w:color="auto"/>
                                            <w:left w:val="none" w:sz="0" w:space="0" w:color="auto"/>
                                            <w:bottom w:val="none" w:sz="0" w:space="0" w:color="auto"/>
                                            <w:right w:val="none" w:sz="0" w:space="0" w:color="auto"/>
                                          </w:divBdr>
                                          <w:divsChild>
                                            <w:div w:id="1486127002">
                                              <w:marLeft w:val="0"/>
                                              <w:marRight w:val="0"/>
                                              <w:marTop w:val="0"/>
                                              <w:marBottom w:val="0"/>
                                              <w:divBdr>
                                                <w:top w:val="none" w:sz="0" w:space="0" w:color="auto"/>
                                                <w:left w:val="none" w:sz="0" w:space="0" w:color="auto"/>
                                                <w:bottom w:val="none" w:sz="0" w:space="0" w:color="auto"/>
                                                <w:right w:val="none" w:sz="0" w:space="0" w:color="auto"/>
                                              </w:divBdr>
                                              <w:divsChild>
                                                <w:div w:id="1489663642">
                                                  <w:marLeft w:val="0"/>
                                                  <w:marRight w:val="69"/>
                                                  <w:marTop w:val="0"/>
                                                  <w:marBottom w:val="0"/>
                                                  <w:divBdr>
                                                    <w:top w:val="none" w:sz="0" w:space="0" w:color="auto"/>
                                                    <w:left w:val="none" w:sz="0" w:space="0" w:color="auto"/>
                                                    <w:bottom w:val="none" w:sz="0" w:space="0" w:color="auto"/>
                                                    <w:right w:val="none" w:sz="0" w:space="0" w:color="auto"/>
                                                  </w:divBdr>
                                                </w:div>
                                                <w:div w:id="389154615">
                                                  <w:marLeft w:val="0"/>
                                                  <w:marRight w:val="0"/>
                                                  <w:marTop w:val="0"/>
                                                  <w:marBottom w:val="0"/>
                                                  <w:divBdr>
                                                    <w:top w:val="none" w:sz="0" w:space="0" w:color="auto"/>
                                                    <w:left w:val="none" w:sz="0" w:space="0" w:color="auto"/>
                                                    <w:bottom w:val="none" w:sz="0" w:space="0" w:color="auto"/>
                                                    <w:right w:val="none" w:sz="0" w:space="0" w:color="auto"/>
                                                  </w:divBdr>
                                                  <w:divsChild>
                                                    <w:div w:id="721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1784">
                                          <w:marLeft w:val="0"/>
                                          <w:marRight w:val="0"/>
                                          <w:marTop w:val="0"/>
                                          <w:marBottom w:val="0"/>
                                          <w:divBdr>
                                            <w:top w:val="none" w:sz="0" w:space="0" w:color="auto"/>
                                            <w:left w:val="none" w:sz="0" w:space="0" w:color="auto"/>
                                            <w:bottom w:val="none" w:sz="0" w:space="0" w:color="auto"/>
                                            <w:right w:val="none" w:sz="0" w:space="0" w:color="auto"/>
                                          </w:divBdr>
                                          <w:divsChild>
                                            <w:div w:id="2046980381">
                                              <w:marLeft w:val="0"/>
                                              <w:marRight w:val="0"/>
                                              <w:marTop w:val="0"/>
                                              <w:marBottom w:val="330"/>
                                              <w:divBdr>
                                                <w:top w:val="none" w:sz="0" w:space="0" w:color="auto"/>
                                                <w:left w:val="none" w:sz="0" w:space="0" w:color="auto"/>
                                                <w:bottom w:val="none" w:sz="0" w:space="0" w:color="auto"/>
                                                <w:right w:val="none" w:sz="0" w:space="0" w:color="auto"/>
                                              </w:divBdr>
                                              <w:divsChild>
                                                <w:div w:id="1758794226">
                                                  <w:marLeft w:val="0"/>
                                                  <w:marRight w:val="0"/>
                                                  <w:marTop w:val="0"/>
                                                  <w:marBottom w:val="0"/>
                                                  <w:divBdr>
                                                    <w:top w:val="none" w:sz="0" w:space="0" w:color="auto"/>
                                                    <w:left w:val="none" w:sz="0" w:space="0" w:color="auto"/>
                                                    <w:bottom w:val="none" w:sz="0" w:space="0" w:color="auto"/>
                                                    <w:right w:val="none" w:sz="0" w:space="0" w:color="auto"/>
                                                  </w:divBdr>
                                                </w:div>
                                              </w:divsChild>
                                            </w:div>
                                            <w:div w:id="1099134016">
                                              <w:marLeft w:val="0"/>
                                              <w:marRight w:val="0"/>
                                              <w:marTop w:val="0"/>
                                              <w:marBottom w:val="0"/>
                                              <w:divBdr>
                                                <w:top w:val="none" w:sz="0" w:space="0" w:color="auto"/>
                                                <w:left w:val="none" w:sz="0" w:space="0" w:color="auto"/>
                                                <w:bottom w:val="none" w:sz="0" w:space="0" w:color="auto"/>
                                                <w:right w:val="none" w:sz="0" w:space="0" w:color="auto"/>
                                              </w:divBdr>
                                              <w:divsChild>
                                                <w:div w:id="1310212549">
                                                  <w:marLeft w:val="0"/>
                                                  <w:marRight w:val="0"/>
                                                  <w:marTop w:val="0"/>
                                                  <w:marBottom w:val="0"/>
                                                  <w:divBdr>
                                                    <w:top w:val="none" w:sz="0" w:space="0" w:color="auto"/>
                                                    <w:left w:val="none" w:sz="0" w:space="0" w:color="auto"/>
                                                    <w:bottom w:val="none" w:sz="0" w:space="0" w:color="auto"/>
                                                    <w:right w:val="none" w:sz="0" w:space="0" w:color="auto"/>
                                                  </w:divBdr>
                                                  <w:divsChild>
                                                    <w:div w:id="1806704748">
                                                      <w:marLeft w:val="0"/>
                                                      <w:marRight w:val="0"/>
                                                      <w:marTop w:val="0"/>
                                                      <w:marBottom w:val="0"/>
                                                      <w:divBdr>
                                                        <w:top w:val="none" w:sz="0" w:space="0" w:color="auto"/>
                                                        <w:left w:val="none" w:sz="0" w:space="0" w:color="auto"/>
                                                        <w:bottom w:val="none" w:sz="0" w:space="0" w:color="auto"/>
                                                        <w:right w:val="none" w:sz="0" w:space="0" w:color="auto"/>
                                                      </w:divBdr>
                                                      <w:divsChild>
                                                        <w:div w:id="8553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9649">
                                              <w:marLeft w:val="0"/>
                                              <w:marRight w:val="0"/>
                                              <w:marTop w:val="0"/>
                                              <w:marBottom w:val="330"/>
                                              <w:divBdr>
                                                <w:top w:val="none" w:sz="0" w:space="0" w:color="auto"/>
                                                <w:left w:val="none" w:sz="0" w:space="0" w:color="auto"/>
                                                <w:bottom w:val="none" w:sz="0" w:space="0" w:color="auto"/>
                                                <w:right w:val="none" w:sz="0" w:space="0" w:color="auto"/>
                                              </w:divBdr>
                                              <w:divsChild>
                                                <w:div w:id="1993754116">
                                                  <w:marLeft w:val="0"/>
                                                  <w:marRight w:val="0"/>
                                                  <w:marTop w:val="0"/>
                                                  <w:marBottom w:val="0"/>
                                                  <w:divBdr>
                                                    <w:top w:val="none" w:sz="0" w:space="0" w:color="auto"/>
                                                    <w:left w:val="none" w:sz="0" w:space="0" w:color="auto"/>
                                                    <w:bottom w:val="none" w:sz="0" w:space="0" w:color="auto"/>
                                                    <w:right w:val="none" w:sz="0" w:space="0" w:color="auto"/>
                                                  </w:divBdr>
                                                </w:div>
                                                <w:div w:id="664866686">
                                                  <w:marLeft w:val="0"/>
                                                  <w:marRight w:val="0"/>
                                                  <w:marTop w:val="0"/>
                                                  <w:marBottom w:val="0"/>
                                                  <w:divBdr>
                                                    <w:top w:val="none" w:sz="0" w:space="0" w:color="auto"/>
                                                    <w:left w:val="none" w:sz="0" w:space="0" w:color="auto"/>
                                                    <w:bottom w:val="none" w:sz="0" w:space="0" w:color="auto"/>
                                                    <w:right w:val="none" w:sz="0" w:space="0" w:color="auto"/>
                                                  </w:divBdr>
                                                </w:div>
                                                <w:div w:id="1402752945">
                                                  <w:marLeft w:val="0"/>
                                                  <w:marRight w:val="0"/>
                                                  <w:marTop w:val="0"/>
                                                  <w:marBottom w:val="0"/>
                                                  <w:divBdr>
                                                    <w:top w:val="none" w:sz="0" w:space="0" w:color="auto"/>
                                                    <w:left w:val="none" w:sz="0" w:space="0" w:color="auto"/>
                                                    <w:bottom w:val="none" w:sz="0" w:space="0" w:color="auto"/>
                                                    <w:right w:val="none" w:sz="0" w:space="0" w:color="auto"/>
                                                  </w:divBdr>
                                                </w:div>
                                              </w:divsChild>
                                            </w:div>
                                            <w:div w:id="1302882715">
                                              <w:marLeft w:val="0"/>
                                              <w:marRight w:val="0"/>
                                              <w:marTop w:val="0"/>
                                              <w:marBottom w:val="0"/>
                                              <w:divBdr>
                                                <w:top w:val="none" w:sz="0" w:space="0" w:color="auto"/>
                                                <w:left w:val="none" w:sz="0" w:space="0" w:color="auto"/>
                                                <w:bottom w:val="none" w:sz="0" w:space="0" w:color="auto"/>
                                                <w:right w:val="none" w:sz="0" w:space="0" w:color="auto"/>
                                              </w:divBdr>
                                            </w:div>
                                            <w:div w:id="1592473017">
                                              <w:marLeft w:val="0"/>
                                              <w:marRight w:val="0"/>
                                              <w:marTop w:val="0"/>
                                              <w:marBottom w:val="0"/>
                                              <w:divBdr>
                                                <w:top w:val="none" w:sz="0" w:space="0" w:color="auto"/>
                                                <w:left w:val="none" w:sz="0" w:space="0" w:color="auto"/>
                                                <w:bottom w:val="none" w:sz="0" w:space="0" w:color="auto"/>
                                                <w:right w:val="none" w:sz="0" w:space="0" w:color="auto"/>
                                              </w:divBdr>
                                              <w:divsChild>
                                                <w:div w:id="1442216777">
                                                  <w:marLeft w:val="0"/>
                                                  <w:marRight w:val="0"/>
                                                  <w:marTop w:val="0"/>
                                                  <w:marBottom w:val="0"/>
                                                  <w:divBdr>
                                                    <w:top w:val="none" w:sz="0" w:space="0" w:color="auto"/>
                                                    <w:left w:val="none" w:sz="0" w:space="0" w:color="auto"/>
                                                    <w:bottom w:val="none" w:sz="0" w:space="0" w:color="auto"/>
                                                    <w:right w:val="none" w:sz="0" w:space="0" w:color="auto"/>
                                                  </w:divBdr>
                                                  <w:divsChild>
                                                    <w:div w:id="1785225201">
                                                      <w:marLeft w:val="0"/>
                                                      <w:marRight w:val="0"/>
                                                      <w:marTop w:val="0"/>
                                                      <w:marBottom w:val="0"/>
                                                      <w:divBdr>
                                                        <w:top w:val="none" w:sz="0" w:space="0" w:color="auto"/>
                                                        <w:left w:val="none" w:sz="0" w:space="0" w:color="auto"/>
                                                        <w:bottom w:val="none" w:sz="0" w:space="0" w:color="auto"/>
                                                        <w:right w:val="none" w:sz="0" w:space="0" w:color="auto"/>
                                                      </w:divBdr>
                                                      <w:divsChild>
                                                        <w:div w:id="3830236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324677">
                      <w:marLeft w:val="0"/>
                      <w:marRight w:val="0"/>
                      <w:marTop w:val="0"/>
                      <w:marBottom w:val="0"/>
                      <w:divBdr>
                        <w:top w:val="single" w:sz="6" w:space="0" w:color="DDDDDD"/>
                        <w:left w:val="single" w:sz="6" w:space="0" w:color="DDDDDD"/>
                        <w:bottom w:val="single" w:sz="6" w:space="0" w:color="DDDDDD"/>
                        <w:right w:val="single" w:sz="6" w:space="0" w:color="DDDDDD"/>
                      </w:divBdr>
                      <w:divsChild>
                        <w:div w:id="520165250">
                          <w:marLeft w:val="0"/>
                          <w:marRight w:val="0"/>
                          <w:marTop w:val="0"/>
                          <w:marBottom w:val="0"/>
                          <w:divBdr>
                            <w:top w:val="none" w:sz="0" w:space="0" w:color="auto"/>
                            <w:left w:val="none" w:sz="0" w:space="0" w:color="auto"/>
                            <w:bottom w:val="none" w:sz="0" w:space="0" w:color="auto"/>
                            <w:right w:val="none" w:sz="0" w:space="0" w:color="auto"/>
                          </w:divBdr>
                          <w:divsChild>
                            <w:div w:id="396972823">
                              <w:marLeft w:val="0"/>
                              <w:marRight w:val="0"/>
                              <w:marTop w:val="0"/>
                              <w:marBottom w:val="0"/>
                              <w:divBdr>
                                <w:top w:val="none" w:sz="0" w:space="0" w:color="auto"/>
                                <w:left w:val="none" w:sz="0" w:space="0" w:color="auto"/>
                                <w:bottom w:val="none" w:sz="0" w:space="0" w:color="auto"/>
                                <w:right w:val="none" w:sz="0" w:space="0" w:color="auto"/>
                              </w:divBdr>
                            </w:div>
                            <w:div w:id="1165241715">
                              <w:marLeft w:val="0"/>
                              <w:marRight w:val="0"/>
                              <w:marTop w:val="0"/>
                              <w:marBottom w:val="0"/>
                              <w:divBdr>
                                <w:top w:val="none" w:sz="0" w:space="0" w:color="auto"/>
                                <w:left w:val="none" w:sz="0" w:space="0" w:color="auto"/>
                                <w:bottom w:val="none" w:sz="0" w:space="0" w:color="auto"/>
                                <w:right w:val="none" w:sz="0" w:space="0" w:color="auto"/>
                              </w:divBdr>
                              <w:divsChild>
                                <w:div w:id="377167853">
                                  <w:marLeft w:val="0"/>
                                  <w:marRight w:val="0"/>
                                  <w:marTop w:val="0"/>
                                  <w:marBottom w:val="0"/>
                                  <w:divBdr>
                                    <w:top w:val="none" w:sz="0" w:space="0" w:color="auto"/>
                                    <w:left w:val="none" w:sz="0" w:space="0" w:color="auto"/>
                                    <w:bottom w:val="none" w:sz="0" w:space="0" w:color="auto"/>
                                    <w:right w:val="none" w:sz="0" w:space="0" w:color="auto"/>
                                  </w:divBdr>
                                  <w:divsChild>
                                    <w:div w:id="1535540503">
                                      <w:marLeft w:val="0"/>
                                      <w:marRight w:val="0"/>
                                      <w:marTop w:val="0"/>
                                      <w:marBottom w:val="0"/>
                                      <w:divBdr>
                                        <w:top w:val="none" w:sz="0" w:space="0" w:color="auto"/>
                                        <w:left w:val="none" w:sz="0" w:space="0" w:color="auto"/>
                                        <w:bottom w:val="none" w:sz="0" w:space="0" w:color="auto"/>
                                        <w:right w:val="none" w:sz="0" w:space="0" w:color="auto"/>
                                      </w:divBdr>
                                      <w:divsChild>
                                        <w:div w:id="1457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3414">
                  <w:marLeft w:val="0"/>
                  <w:marRight w:val="0"/>
                  <w:marTop w:val="0"/>
                  <w:marBottom w:val="0"/>
                  <w:divBdr>
                    <w:top w:val="none" w:sz="0" w:space="0" w:color="auto"/>
                    <w:left w:val="none" w:sz="0" w:space="0" w:color="auto"/>
                    <w:bottom w:val="none" w:sz="0" w:space="0" w:color="auto"/>
                    <w:right w:val="none" w:sz="0" w:space="0" w:color="auto"/>
                  </w:divBdr>
                  <w:divsChild>
                    <w:div w:id="351498843">
                      <w:marLeft w:val="0"/>
                      <w:marRight w:val="0"/>
                      <w:marTop w:val="0"/>
                      <w:marBottom w:val="0"/>
                      <w:divBdr>
                        <w:top w:val="none" w:sz="0" w:space="0" w:color="auto"/>
                        <w:left w:val="none" w:sz="0" w:space="0" w:color="auto"/>
                        <w:bottom w:val="none" w:sz="0" w:space="0" w:color="auto"/>
                        <w:right w:val="none" w:sz="0" w:space="0" w:color="auto"/>
                      </w:divBdr>
                      <w:divsChild>
                        <w:div w:id="20222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6670">
              <w:marLeft w:val="0"/>
              <w:marRight w:val="0"/>
              <w:marTop w:val="0"/>
              <w:marBottom w:val="0"/>
              <w:divBdr>
                <w:top w:val="none" w:sz="0" w:space="0" w:color="auto"/>
                <w:left w:val="none" w:sz="0" w:space="0" w:color="auto"/>
                <w:bottom w:val="none" w:sz="0" w:space="0" w:color="auto"/>
                <w:right w:val="none" w:sz="0" w:space="0" w:color="auto"/>
              </w:divBdr>
              <w:divsChild>
                <w:div w:id="328682931">
                  <w:marLeft w:val="0"/>
                  <w:marRight w:val="0"/>
                  <w:marTop w:val="0"/>
                  <w:marBottom w:val="330"/>
                  <w:divBdr>
                    <w:top w:val="none" w:sz="0" w:space="0" w:color="auto"/>
                    <w:left w:val="none" w:sz="0" w:space="0" w:color="auto"/>
                    <w:bottom w:val="none" w:sz="0" w:space="0" w:color="auto"/>
                    <w:right w:val="none" w:sz="0" w:space="0" w:color="auto"/>
                  </w:divBdr>
                  <w:divsChild>
                    <w:div w:id="21467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582">
              <w:marLeft w:val="0"/>
              <w:marRight w:val="0"/>
              <w:marTop w:val="0"/>
              <w:marBottom w:val="0"/>
              <w:divBdr>
                <w:top w:val="none" w:sz="0" w:space="0" w:color="auto"/>
                <w:left w:val="none" w:sz="0" w:space="0" w:color="auto"/>
                <w:bottom w:val="none" w:sz="0" w:space="0" w:color="auto"/>
                <w:right w:val="none" w:sz="0" w:space="0" w:color="auto"/>
              </w:divBdr>
              <w:divsChild>
                <w:div w:id="1117867667">
                  <w:marLeft w:val="0"/>
                  <w:marRight w:val="0"/>
                  <w:marTop w:val="0"/>
                  <w:marBottom w:val="0"/>
                  <w:divBdr>
                    <w:top w:val="none" w:sz="0" w:space="0" w:color="auto"/>
                    <w:left w:val="none" w:sz="0" w:space="0" w:color="auto"/>
                    <w:bottom w:val="none" w:sz="0" w:space="0" w:color="auto"/>
                    <w:right w:val="none" w:sz="0" w:space="0" w:color="auto"/>
                  </w:divBdr>
                  <w:divsChild>
                    <w:div w:id="347954378">
                      <w:marLeft w:val="0"/>
                      <w:marRight w:val="0"/>
                      <w:marTop w:val="100"/>
                      <w:marBottom w:val="100"/>
                      <w:divBdr>
                        <w:top w:val="none" w:sz="0" w:space="0" w:color="auto"/>
                        <w:left w:val="none" w:sz="0" w:space="0" w:color="auto"/>
                        <w:bottom w:val="none" w:sz="0" w:space="0" w:color="auto"/>
                        <w:right w:val="none" w:sz="0" w:space="0" w:color="auto"/>
                      </w:divBdr>
                      <w:divsChild>
                        <w:div w:id="6205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2356">
          <w:marLeft w:val="0"/>
          <w:marRight w:val="300"/>
          <w:marTop w:val="0"/>
          <w:marBottom w:val="0"/>
          <w:divBdr>
            <w:top w:val="none" w:sz="0" w:space="0" w:color="auto"/>
            <w:left w:val="none" w:sz="0" w:space="0" w:color="auto"/>
            <w:bottom w:val="none" w:sz="0" w:space="0" w:color="auto"/>
            <w:right w:val="none" w:sz="0" w:space="0" w:color="auto"/>
          </w:divBdr>
          <w:divsChild>
            <w:div w:id="1168595126">
              <w:marLeft w:val="0"/>
              <w:marRight w:val="0"/>
              <w:marTop w:val="0"/>
              <w:marBottom w:val="0"/>
              <w:divBdr>
                <w:top w:val="none" w:sz="0" w:space="0" w:color="auto"/>
                <w:left w:val="none" w:sz="0" w:space="0" w:color="auto"/>
                <w:bottom w:val="none" w:sz="0" w:space="0" w:color="auto"/>
                <w:right w:val="none" w:sz="0" w:space="0" w:color="auto"/>
              </w:divBdr>
              <w:divsChild>
                <w:div w:id="1078551167">
                  <w:marLeft w:val="0"/>
                  <w:marRight w:val="0"/>
                  <w:marTop w:val="0"/>
                  <w:marBottom w:val="0"/>
                  <w:divBdr>
                    <w:top w:val="none" w:sz="0" w:space="0" w:color="auto"/>
                    <w:left w:val="none" w:sz="0" w:space="0" w:color="auto"/>
                    <w:bottom w:val="none" w:sz="0" w:space="0" w:color="auto"/>
                    <w:right w:val="none" w:sz="0" w:space="0" w:color="auto"/>
                  </w:divBdr>
                  <w:divsChild>
                    <w:div w:id="704596644">
                      <w:marLeft w:val="0"/>
                      <w:marRight w:val="0"/>
                      <w:marTop w:val="150"/>
                      <w:marBottom w:val="150"/>
                      <w:divBdr>
                        <w:top w:val="none" w:sz="0" w:space="0" w:color="auto"/>
                        <w:left w:val="none" w:sz="0" w:space="0" w:color="auto"/>
                        <w:bottom w:val="none" w:sz="0" w:space="0" w:color="auto"/>
                        <w:right w:val="none" w:sz="0" w:space="0" w:color="auto"/>
                      </w:divBdr>
                      <w:divsChild>
                        <w:div w:id="1782161">
                          <w:marLeft w:val="0"/>
                          <w:marRight w:val="0"/>
                          <w:marTop w:val="0"/>
                          <w:marBottom w:val="0"/>
                          <w:divBdr>
                            <w:top w:val="none" w:sz="0" w:space="0" w:color="auto"/>
                            <w:left w:val="none" w:sz="0" w:space="0" w:color="auto"/>
                            <w:bottom w:val="none" w:sz="0" w:space="0" w:color="auto"/>
                            <w:right w:val="none" w:sz="0" w:space="0" w:color="auto"/>
                          </w:divBdr>
                          <w:divsChild>
                            <w:div w:id="208349243">
                              <w:marLeft w:val="0"/>
                              <w:marRight w:val="0"/>
                              <w:marTop w:val="0"/>
                              <w:marBottom w:val="0"/>
                              <w:divBdr>
                                <w:top w:val="none" w:sz="0" w:space="0" w:color="auto"/>
                                <w:left w:val="none" w:sz="0" w:space="0" w:color="auto"/>
                                <w:bottom w:val="none" w:sz="0" w:space="0" w:color="auto"/>
                                <w:right w:val="none" w:sz="0" w:space="0" w:color="auto"/>
                              </w:divBdr>
                              <w:divsChild>
                                <w:div w:id="534774307">
                                  <w:marLeft w:val="0"/>
                                  <w:marRight w:val="0"/>
                                  <w:marTop w:val="0"/>
                                  <w:marBottom w:val="0"/>
                                  <w:divBdr>
                                    <w:top w:val="none" w:sz="0" w:space="0" w:color="auto"/>
                                    <w:left w:val="none" w:sz="0" w:space="0" w:color="auto"/>
                                    <w:bottom w:val="none" w:sz="0" w:space="0" w:color="auto"/>
                                    <w:right w:val="none" w:sz="0" w:space="0" w:color="auto"/>
                                  </w:divBdr>
                                  <w:divsChild>
                                    <w:div w:id="11431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8359">
                      <w:marLeft w:val="0"/>
                      <w:marRight w:val="0"/>
                      <w:marTop w:val="0"/>
                      <w:marBottom w:val="0"/>
                      <w:divBdr>
                        <w:top w:val="none" w:sz="0" w:space="0" w:color="auto"/>
                        <w:left w:val="none" w:sz="0" w:space="0" w:color="auto"/>
                        <w:bottom w:val="none" w:sz="0" w:space="0" w:color="auto"/>
                        <w:right w:val="none" w:sz="0" w:space="0" w:color="auto"/>
                      </w:divBdr>
                      <w:divsChild>
                        <w:div w:id="1223819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95507033">
              <w:marLeft w:val="0"/>
              <w:marRight w:val="0"/>
              <w:marTop w:val="0"/>
              <w:marBottom w:val="0"/>
              <w:divBdr>
                <w:top w:val="none" w:sz="0" w:space="0" w:color="auto"/>
                <w:left w:val="none" w:sz="0" w:space="0" w:color="auto"/>
                <w:bottom w:val="none" w:sz="0" w:space="0" w:color="auto"/>
                <w:right w:val="none" w:sz="0" w:space="0" w:color="auto"/>
              </w:divBdr>
              <w:divsChild>
                <w:div w:id="1050228785">
                  <w:marLeft w:val="0"/>
                  <w:marRight w:val="0"/>
                  <w:marTop w:val="0"/>
                  <w:marBottom w:val="0"/>
                  <w:divBdr>
                    <w:top w:val="none" w:sz="0" w:space="0" w:color="auto"/>
                    <w:left w:val="none" w:sz="0" w:space="0" w:color="auto"/>
                    <w:bottom w:val="none" w:sz="0" w:space="0" w:color="auto"/>
                    <w:right w:val="none" w:sz="0" w:space="0" w:color="auto"/>
                  </w:divBdr>
                  <w:divsChild>
                    <w:div w:id="104934467">
                      <w:marLeft w:val="0"/>
                      <w:marRight w:val="60"/>
                      <w:marTop w:val="0"/>
                      <w:marBottom w:val="0"/>
                      <w:divBdr>
                        <w:top w:val="none" w:sz="0" w:space="0" w:color="auto"/>
                        <w:left w:val="none" w:sz="0" w:space="0" w:color="auto"/>
                        <w:bottom w:val="none" w:sz="0" w:space="0" w:color="auto"/>
                        <w:right w:val="none" w:sz="0" w:space="0" w:color="auto"/>
                      </w:divBdr>
                      <w:divsChild>
                        <w:div w:id="1767340244">
                          <w:marLeft w:val="0"/>
                          <w:marRight w:val="0"/>
                          <w:marTop w:val="0"/>
                          <w:marBottom w:val="0"/>
                          <w:divBdr>
                            <w:top w:val="none" w:sz="0" w:space="0" w:color="auto"/>
                            <w:left w:val="none" w:sz="0" w:space="0" w:color="auto"/>
                            <w:bottom w:val="none" w:sz="0" w:space="0" w:color="auto"/>
                            <w:right w:val="none" w:sz="0" w:space="0" w:color="auto"/>
                          </w:divBdr>
                        </w:div>
                      </w:divsChild>
                    </w:div>
                    <w:div w:id="146171555">
                      <w:marLeft w:val="0"/>
                      <w:marRight w:val="60"/>
                      <w:marTop w:val="0"/>
                      <w:marBottom w:val="0"/>
                      <w:divBdr>
                        <w:top w:val="none" w:sz="0" w:space="0" w:color="auto"/>
                        <w:left w:val="none" w:sz="0" w:space="0" w:color="auto"/>
                        <w:bottom w:val="none" w:sz="0" w:space="0" w:color="auto"/>
                        <w:right w:val="none" w:sz="0" w:space="0" w:color="auto"/>
                      </w:divBdr>
                    </w:div>
                    <w:div w:id="6956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59272">
          <w:marLeft w:val="0"/>
          <w:marRight w:val="4800"/>
          <w:marTop w:val="0"/>
          <w:marBottom w:val="0"/>
          <w:divBdr>
            <w:top w:val="none" w:sz="0" w:space="0" w:color="auto"/>
            <w:left w:val="none" w:sz="0" w:space="0" w:color="auto"/>
            <w:bottom w:val="none" w:sz="0" w:space="0" w:color="auto"/>
            <w:right w:val="none" w:sz="0" w:space="0" w:color="auto"/>
          </w:divBdr>
          <w:divsChild>
            <w:div w:id="931737389">
              <w:marLeft w:val="0"/>
              <w:marRight w:val="0"/>
              <w:marTop w:val="0"/>
              <w:marBottom w:val="0"/>
              <w:divBdr>
                <w:top w:val="none" w:sz="0" w:space="0" w:color="auto"/>
                <w:left w:val="none" w:sz="0" w:space="0" w:color="auto"/>
                <w:bottom w:val="none" w:sz="0" w:space="0" w:color="auto"/>
                <w:right w:val="none" w:sz="0" w:space="0" w:color="auto"/>
              </w:divBdr>
              <w:divsChild>
                <w:div w:id="20457884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280603774">
      <w:bodyDiv w:val="1"/>
      <w:marLeft w:val="0"/>
      <w:marRight w:val="0"/>
      <w:marTop w:val="0"/>
      <w:marBottom w:val="0"/>
      <w:divBdr>
        <w:top w:val="none" w:sz="0" w:space="0" w:color="auto"/>
        <w:left w:val="none" w:sz="0" w:space="0" w:color="auto"/>
        <w:bottom w:val="none" w:sz="0" w:space="0" w:color="auto"/>
        <w:right w:val="none" w:sz="0" w:space="0" w:color="auto"/>
      </w:divBdr>
    </w:div>
    <w:div w:id="1311862825">
      <w:bodyDiv w:val="1"/>
      <w:marLeft w:val="0"/>
      <w:marRight w:val="0"/>
      <w:marTop w:val="0"/>
      <w:marBottom w:val="0"/>
      <w:divBdr>
        <w:top w:val="none" w:sz="0" w:space="0" w:color="auto"/>
        <w:left w:val="none" w:sz="0" w:space="0" w:color="auto"/>
        <w:bottom w:val="none" w:sz="0" w:space="0" w:color="auto"/>
        <w:right w:val="none" w:sz="0" w:space="0" w:color="auto"/>
      </w:divBdr>
    </w:div>
    <w:div w:id="1342078875">
      <w:bodyDiv w:val="1"/>
      <w:marLeft w:val="0"/>
      <w:marRight w:val="0"/>
      <w:marTop w:val="0"/>
      <w:marBottom w:val="0"/>
      <w:divBdr>
        <w:top w:val="none" w:sz="0" w:space="0" w:color="auto"/>
        <w:left w:val="none" w:sz="0" w:space="0" w:color="auto"/>
        <w:bottom w:val="none" w:sz="0" w:space="0" w:color="auto"/>
        <w:right w:val="none" w:sz="0" w:space="0" w:color="auto"/>
      </w:divBdr>
    </w:div>
    <w:div w:id="1369573690">
      <w:bodyDiv w:val="1"/>
      <w:marLeft w:val="0"/>
      <w:marRight w:val="0"/>
      <w:marTop w:val="0"/>
      <w:marBottom w:val="0"/>
      <w:divBdr>
        <w:top w:val="none" w:sz="0" w:space="0" w:color="auto"/>
        <w:left w:val="none" w:sz="0" w:space="0" w:color="auto"/>
        <w:bottom w:val="none" w:sz="0" w:space="0" w:color="auto"/>
        <w:right w:val="none" w:sz="0" w:space="0" w:color="auto"/>
      </w:divBdr>
    </w:div>
    <w:div w:id="1514567399">
      <w:bodyDiv w:val="1"/>
      <w:marLeft w:val="0"/>
      <w:marRight w:val="0"/>
      <w:marTop w:val="0"/>
      <w:marBottom w:val="0"/>
      <w:divBdr>
        <w:top w:val="none" w:sz="0" w:space="0" w:color="auto"/>
        <w:left w:val="none" w:sz="0" w:space="0" w:color="auto"/>
        <w:bottom w:val="none" w:sz="0" w:space="0" w:color="auto"/>
        <w:right w:val="none" w:sz="0" w:space="0" w:color="auto"/>
      </w:divBdr>
    </w:div>
    <w:div w:id="1552228797">
      <w:bodyDiv w:val="1"/>
      <w:marLeft w:val="0"/>
      <w:marRight w:val="0"/>
      <w:marTop w:val="0"/>
      <w:marBottom w:val="0"/>
      <w:divBdr>
        <w:top w:val="none" w:sz="0" w:space="0" w:color="auto"/>
        <w:left w:val="none" w:sz="0" w:space="0" w:color="auto"/>
        <w:bottom w:val="none" w:sz="0" w:space="0" w:color="auto"/>
        <w:right w:val="none" w:sz="0" w:space="0" w:color="auto"/>
      </w:divBdr>
    </w:div>
    <w:div w:id="1613896815">
      <w:bodyDiv w:val="1"/>
      <w:marLeft w:val="0"/>
      <w:marRight w:val="0"/>
      <w:marTop w:val="0"/>
      <w:marBottom w:val="0"/>
      <w:divBdr>
        <w:top w:val="none" w:sz="0" w:space="0" w:color="auto"/>
        <w:left w:val="none" w:sz="0" w:space="0" w:color="auto"/>
        <w:bottom w:val="none" w:sz="0" w:space="0" w:color="auto"/>
        <w:right w:val="none" w:sz="0" w:space="0" w:color="auto"/>
      </w:divBdr>
    </w:div>
    <w:div w:id="1629585127">
      <w:bodyDiv w:val="1"/>
      <w:marLeft w:val="0"/>
      <w:marRight w:val="0"/>
      <w:marTop w:val="0"/>
      <w:marBottom w:val="0"/>
      <w:divBdr>
        <w:top w:val="none" w:sz="0" w:space="0" w:color="auto"/>
        <w:left w:val="none" w:sz="0" w:space="0" w:color="auto"/>
        <w:bottom w:val="none" w:sz="0" w:space="0" w:color="auto"/>
        <w:right w:val="none" w:sz="0" w:space="0" w:color="auto"/>
      </w:divBdr>
      <w:divsChild>
        <w:div w:id="1363937436">
          <w:marLeft w:val="0"/>
          <w:marRight w:val="0"/>
          <w:marTop w:val="0"/>
          <w:marBottom w:val="0"/>
          <w:divBdr>
            <w:top w:val="none" w:sz="0" w:space="0" w:color="auto"/>
            <w:left w:val="none" w:sz="0" w:space="0" w:color="auto"/>
            <w:bottom w:val="none" w:sz="0" w:space="0" w:color="auto"/>
            <w:right w:val="none" w:sz="0" w:space="0" w:color="auto"/>
          </w:divBdr>
          <w:divsChild>
            <w:div w:id="11707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400">
      <w:bodyDiv w:val="1"/>
      <w:marLeft w:val="0"/>
      <w:marRight w:val="0"/>
      <w:marTop w:val="0"/>
      <w:marBottom w:val="0"/>
      <w:divBdr>
        <w:top w:val="none" w:sz="0" w:space="0" w:color="auto"/>
        <w:left w:val="none" w:sz="0" w:space="0" w:color="auto"/>
        <w:bottom w:val="none" w:sz="0" w:space="0" w:color="auto"/>
        <w:right w:val="none" w:sz="0" w:space="0" w:color="auto"/>
      </w:divBdr>
    </w:div>
    <w:div w:id="1689527019">
      <w:bodyDiv w:val="1"/>
      <w:marLeft w:val="0"/>
      <w:marRight w:val="0"/>
      <w:marTop w:val="0"/>
      <w:marBottom w:val="0"/>
      <w:divBdr>
        <w:top w:val="none" w:sz="0" w:space="0" w:color="auto"/>
        <w:left w:val="none" w:sz="0" w:space="0" w:color="auto"/>
        <w:bottom w:val="none" w:sz="0" w:space="0" w:color="auto"/>
        <w:right w:val="none" w:sz="0" w:space="0" w:color="auto"/>
      </w:divBdr>
    </w:div>
    <w:div w:id="1720201855">
      <w:bodyDiv w:val="1"/>
      <w:marLeft w:val="0"/>
      <w:marRight w:val="0"/>
      <w:marTop w:val="0"/>
      <w:marBottom w:val="0"/>
      <w:divBdr>
        <w:top w:val="none" w:sz="0" w:space="0" w:color="auto"/>
        <w:left w:val="none" w:sz="0" w:space="0" w:color="auto"/>
        <w:bottom w:val="none" w:sz="0" w:space="0" w:color="auto"/>
        <w:right w:val="none" w:sz="0" w:space="0" w:color="auto"/>
      </w:divBdr>
      <w:divsChild>
        <w:div w:id="2124374446">
          <w:marLeft w:val="0"/>
          <w:marRight w:val="0"/>
          <w:marTop w:val="0"/>
          <w:marBottom w:val="0"/>
          <w:divBdr>
            <w:top w:val="none" w:sz="0" w:space="0" w:color="auto"/>
            <w:left w:val="none" w:sz="0" w:space="0" w:color="auto"/>
            <w:bottom w:val="none" w:sz="0" w:space="0" w:color="auto"/>
            <w:right w:val="none" w:sz="0" w:space="0" w:color="auto"/>
          </w:divBdr>
          <w:divsChild>
            <w:div w:id="1693190345">
              <w:marLeft w:val="0"/>
              <w:marRight w:val="0"/>
              <w:marTop w:val="0"/>
              <w:marBottom w:val="0"/>
              <w:divBdr>
                <w:top w:val="none" w:sz="0" w:space="0" w:color="auto"/>
                <w:left w:val="none" w:sz="0" w:space="0" w:color="auto"/>
                <w:bottom w:val="none" w:sz="0" w:space="0" w:color="auto"/>
                <w:right w:val="none" w:sz="0" w:space="0" w:color="auto"/>
              </w:divBdr>
              <w:divsChild>
                <w:div w:id="740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7854">
      <w:bodyDiv w:val="1"/>
      <w:marLeft w:val="0"/>
      <w:marRight w:val="0"/>
      <w:marTop w:val="0"/>
      <w:marBottom w:val="0"/>
      <w:divBdr>
        <w:top w:val="none" w:sz="0" w:space="0" w:color="auto"/>
        <w:left w:val="none" w:sz="0" w:space="0" w:color="auto"/>
        <w:bottom w:val="none" w:sz="0" w:space="0" w:color="auto"/>
        <w:right w:val="none" w:sz="0" w:space="0" w:color="auto"/>
      </w:divBdr>
    </w:div>
    <w:div w:id="1782258915">
      <w:bodyDiv w:val="1"/>
      <w:marLeft w:val="0"/>
      <w:marRight w:val="0"/>
      <w:marTop w:val="0"/>
      <w:marBottom w:val="0"/>
      <w:divBdr>
        <w:top w:val="none" w:sz="0" w:space="0" w:color="auto"/>
        <w:left w:val="none" w:sz="0" w:space="0" w:color="auto"/>
        <w:bottom w:val="none" w:sz="0" w:space="0" w:color="auto"/>
        <w:right w:val="none" w:sz="0" w:space="0" w:color="auto"/>
      </w:divBdr>
    </w:div>
    <w:div w:id="1790663261">
      <w:bodyDiv w:val="1"/>
      <w:marLeft w:val="0"/>
      <w:marRight w:val="0"/>
      <w:marTop w:val="0"/>
      <w:marBottom w:val="0"/>
      <w:divBdr>
        <w:top w:val="none" w:sz="0" w:space="0" w:color="auto"/>
        <w:left w:val="none" w:sz="0" w:space="0" w:color="auto"/>
        <w:bottom w:val="none" w:sz="0" w:space="0" w:color="auto"/>
        <w:right w:val="none" w:sz="0" w:space="0" w:color="auto"/>
      </w:divBdr>
    </w:div>
    <w:div w:id="1974142197">
      <w:bodyDiv w:val="1"/>
      <w:marLeft w:val="0"/>
      <w:marRight w:val="0"/>
      <w:marTop w:val="0"/>
      <w:marBottom w:val="0"/>
      <w:divBdr>
        <w:top w:val="none" w:sz="0" w:space="0" w:color="auto"/>
        <w:left w:val="none" w:sz="0" w:space="0" w:color="auto"/>
        <w:bottom w:val="none" w:sz="0" w:space="0" w:color="auto"/>
        <w:right w:val="none" w:sz="0" w:space="0" w:color="auto"/>
      </w:divBdr>
    </w:div>
    <w:div w:id="1986397378">
      <w:bodyDiv w:val="1"/>
      <w:marLeft w:val="0"/>
      <w:marRight w:val="0"/>
      <w:marTop w:val="0"/>
      <w:marBottom w:val="0"/>
      <w:divBdr>
        <w:top w:val="none" w:sz="0" w:space="0" w:color="auto"/>
        <w:left w:val="none" w:sz="0" w:space="0" w:color="auto"/>
        <w:bottom w:val="none" w:sz="0" w:space="0" w:color="auto"/>
        <w:right w:val="none" w:sz="0" w:space="0" w:color="auto"/>
      </w:divBdr>
    </w:div>
    <w:div w:id="2013993856">
      <w:bodyDiv w:val="1"/>
      <w:marLeft w:val="0"/>
      <w:marRight w:val="0"/>
      <w:marTop w:val="0"/>
      <w:marBottom w:val="0"/>
      <w:divBdr>
        <w:top w:val="none" w:sz="0" w:space="0" w:color="auto"/>
        <w:left w:val="none" w:sz="0" w:space="0" w:color="auto"/>
        <w:bottom w:val="none" w:sz="0" w:space="0" w:color="auto"/>
        <w:right w:val="none" w:sz="0" w:space="0" w:color="auto"/>
      </w:divBdr>
      <w:divsChild>
        <w:div w:id="144053536">
          <w:marLeft w:val="0"/>
          <w:marRight w:val="0"/>
          <w:marTop w:val="0"/>
          <w:marBottom w:val="0"/>
          <w:divBdr>
            <w:top w:val="none" w:sz="0" w:space="0" w:color="auto"/>
            <w:left w:val="none" w:sz="0" w:space="0" w:color="auto"/>
            <w:bottom w:val="none" w:sz="0" w:space="0" w:color="auto"/>
            <w:right w:val="none" w:sz="0" w:space="0" w:color="auto"/>
          </w:divBdr>
          <w:divsChild>
            <w:div w:id="524095359">
              <w:marLeft w:val="0"/>
              <w:marRight w:val="0"/>
              <w:marTop w:val="0"/>
              <w:marBottom w:val="0"/>
              <w:divBdr>
                <w:top w:val="none" w:sz="0" w:space="0" w:color="auto"/>
                <w:left w:val="none" w:sz="0" w:space="0" w:color="auto"/>
                <w:bottom w:val="none" w:sz="0" w:space="0" w:color="auto"/>
                <w:right w:val="none" w:sz="0" w:space="0" w:color="auto"/>
              </w:divBdr>
              <w:divsChild>
                <w:div w:id="12730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8696">
      <w:bodyDiv w:val="1"/>
      <w:marLeft w:val="0"/>
      <w:marRight w:val="0"/>
      <w:marTop w:val="0"/>
      <w:marBottom w:val="0"/>
      <w:divBdr>
        <w:top w:val="none" w:sz="0" w:space="0" w:color="auto"/>
        <w:left w:val="none" w:sz="0" w:space="0" w:color="auto"/>
        <w:bottom w:val="none" w:sz="0" w:space="0" w:color="auto"/>
        <w:right w:val="none" w:sz="0" w:space="0" w:color="auto"/>
      </w:divBdr>
    </w:div>
    <w:div w:id="21409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orm.uk/events/major-speech-rt-hon-david-gauke-mp-lord-chancellor-and-secretary-state-justice" TargetMode="External"/><Relationship Id="rId18" Type="http://schemas.openxmlformats.org/officeDocument/2006/relationships/chart" Target="charts/chart6.xml"/><Relationship Id="rId26" Type="http://schemas.openxmlformats.org/officeDocument/2006/relationships/hyperlink" Target="https://www.cyc-net.org/cyc-online/cycol-0500-threepees.html" TargetMode="External"/><Relationship Id="rId39" Type="http://schemas.openxmlformats.org/officeDocument/2006/relationships/theme" Target="theme/theme1.xml"/><Relationship Id="rId21" Type="http://schemas.openxmlformats.org/officeDocument/2006/relationships/hyperlink" Target="https://www.tes.com/news/school-news/breaking-news/dumping-grounds-eight-key-points-todays-alternative-provision-hearing" TargetMode="External"/><Relationship Id="rId34" Type="http://schemas.openxmlformats.org/officeDocument/2006/relationships/hyperlink" Target="https://assets.publishing.service.gov.uk/government/uploads/system/uploads/attachment_data/file/774866/youth_justice_statistics_bulletin_2017_2018.pdf" TargetMode="External"/><Relationship Id="rId7" Type="http://schemas.openxmlformats.org/officeDocument/2006/relationships/endnotes" Target="endnotes.xml"/><Relationship Id="rId12" Type="http://schemas.openxmlformats.org/officeDocument/2006/relationships/hyperlink" Target="https://webarchive.nationalarchives.gov.uk/+/www.justice.gov.uk/publications/docs/women-justice-system-exec-summary.pdf" TargetMode="External"/><Relationship Id="rId17" Type="http://schemas.openxmlformats.org/officeDocument/2006/relationships/chart" Target="charts/chart5.xml"/><Relationship Id="rId25" Type="http://schemas.openxmlformats.org/officeDocument/2006/relationships/hyperlink" Target="https://www.cypnow.co.uk/cyp/news/2006351/government-urged-to-close-irredeemable-secure-training-centre" TargetMode="External"/><Relationship Id="rId33" Type="http://schemas.openxmlformats.org/officeDocument/2006/relationships/hyperlink" Target="http://scyj.org.uk/wp-content/uploads/2016/05/SCYJ-submission-to-Charlie-Taylor-interim.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howardleague.org/news/governmentfailingchildren/" TargetMode="External"/><Relationship Id="rId29" Type="http://schemas.openxmlformats.org/officeDocument/2006/relationships/hyperlink" Target="https://webarchive.nationalarchives.gov.uk/20080205174933/http://www.homeoffice.gov.uk/documents/reducing-crime-changing-lives?vers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parliament.uk/pa/cm201719/cmselect/cmjust/482/482.pdf" TargetMode="External"/><Relationship Id="rId24" Type="http://schemas.openxmlformats.org/officeDocument/2006/relationships/hyperlink" Target="https://files.api.ofsted.gov.uk/v1/file/50000127" TargetMode="External"/><Relationship Id="rId32" Type="http://schemas.openxmlformats.org/officeDocument/2006/relationships/hyperlink" Target="https://www.sentencingcouncil.org.uk/wp-content/uploads/Draft-guideline-Sentencing-youths-consultation.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yjlc.uk/wp-content/uploads/2016/12/Review-of-the-Youth-Justice-System.pdf" TargetMode="External"/><Relationship Id="rId28" Type="http://schemas.openxmlformats.org/officeDocument/2006/relationships/hyperlink" Target="https://www.theguardian.com/uk/ukcrime" TargetMode="External"/><Relationship Id="rId36" Type="http://schemas.openxmlformats.org/officeDocument/2006/relationships/footer" Target="footer1.xml"/><Relationship Id="rId10" Type="http://schemas.openxmlformats.org/officeDocument/2006/relationships/hyperlink" Target="https://www.theguardian.com/uk/ukcrime" TargetMode="External"/><Relationship Id="rId19" Type="http://schemas.openxmlformats.org/officeDocument/2006/relationships/hyperlink" Target="https://www.justiceinspectorates.gov.uk/hmiprobation/wp-" TargetMode="External"/><Relationship Id="rId31" Type="http://schemas.openxmlformats.org/officeDocument/2006/relationships/hyperlink" Target="https://www.gov.uk/government/statistics/offender-management-statistics-quarterly-october-december-2013-and-annual" TargetMode="External"/><Relationship Id="rId4" Type="http://schemas.openxmlformats.org/officeDocument/2006/relationships/settings" Target="settings.xml"/><Relationship Id="rId9" Type="http://schemas.openxmlformats.org/officeDocument/2006/relationships/hyperlink" Target="https://www.researchcatalogue.esrc.ac.uk/grants/RES-062-23-3102/read" TargetMode="External"/><Relationship Id="rId14" Type="http://schemas.openxmlformats.org/officeDocument/2006/relationships/chart" Target="charts/chart2.xml"/><Relationship Id="rId22" Type="http://schemas.openxmlformats.org/officeDocument/2006/relationships/hyperlink" Target="https://www.bbc.co.uk/news/uk-wales-46878107" TargetMode="External"/><Relationship Id="rId27" Type="http://schemas.openxmlformats.org/officeDocument/2006/relationships/hyperlink" Target="https://www.justiceinspectorates.gov.uk/hmiprobation/wp-content/uploads/sites/5/2016/07/Referral-orders-do-they-achieve-their-potential.pdf" TargetMode="External"/><Relationship Id="rId30" Type="http://schemas.openxmlformats.org/officeDocument/2006/relationships/hyperlink" Target="https://assets.publishing.service.gov.uk/government/uploads/system/uploads/attachment_data/file/181588/transforming-youth-custody.pdf" TargetMode="External"/><Relationship Id="rId35" Type="http://schemas.openxmlformats.org/officeDocument/2006/relationships/hyperlink" Target="https://www.ohchr.org/en/professionalinterest/pages/crc.aspx"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barrygodfrey\Documents\RESEARCH\RESEARCH%20PROJECTS\Res%20projects%201995-2013\PAST\ESRC%20Licenses\DATA\English%20data\Statistics%20for%20use%20in%20project\Copy%20of%20Prison_numbers%20MARCH%202018.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barrygodfrey\Documents\RESEARCH\RESEARCH%20PROJECTS\Res%20projects%201995-2013\PAST\Nuffield_Prison%20Pop\DATABASE-FINAL\Prison%20project%20files%20\different%20disposals%201856%20to%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barrygodfrey\Documents\RESEARCH\RESEARCH%20PROJECTS\Res%20projects%201995-2013\PAST\Nuffield_Prison%20Pop\DATABASE-FINAL\Prison%20project%20files%20\different%20disposals%201856%20to%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barrygodfrey\Documents\RESEARCH\PUBLICATIONS\ARTICLES\in%20progress\decarceration\different%20disposals%201856%20to%202018%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barrygodfrey\Documents\RESEARCH\PUBLICATIONS\ARTICLES\in%20progress\decarceration\different%20disposals%201856%20to%202018%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barrygodfrey\Documents\RESEARCH\PUBLICATIONS\ARTICLES\in%20progress\decarceration\different%20disposals%201856%20to%202018%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'pop figs prison '!$B$2</c:f>
              <c:strCache>
                <c:ptCount val="1"/>
                <c:pt idx="0">
                  <c:v>prison population</c:v>
                </c:pt>
              </c:strCache>
            </c:strRef>
          </c:tx>
          <c:spPr>
            <a:ln w="28575" cap="rnd">
              <a:solidFill>
                <a:schemeClr val="tx1"/>
              </a:solidFill>
              <a:round/>
            </a:ln>
            <a:effectLst/>
          </c:spPr>
          <c:marker>
            <c:symbol val="none"/>
          </c:marker>
          <c:cat>
            <c:numRef>
              <c:f>'pop figs prison '!$A$3:$A$165</c:f>
              <c:numCache>
                <c:formatCode>General</c:formatCode>
                <c:ptCount val="163"/>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pt idx="72">
                  <c:v>1928</c:v>
                </c:pt>
                <c:pt idx="73">
                  <c:v>1929</c:v>
                </c:pt>
                <c:pt idx="74">
                  <c:v>1930</c:v>
                </c:pt>
                <c:pt idx="75">
                  <c:v>1931</c:v>
                </c:pt>
                <c:pt idx="76">
                  <c:v>1932</c:v>
                </c:pt>
                <c:pt idx="77">
                  <c:v>1933</c:v>
                </c:pt>
                <c:pt idx="78">
                  <c:v>1934</c:v>
                </c:pt>
                <c:pt idx="79">
                  <c:v>1935</c:v>
                </c:pt>
                <c:pt idx="80">
                  <c:v>1936</c:v>
                </c:pt>
                <c:pt idx="81">
                  <c:v>1937</c:v>
                </c:pt>
                <c:pt idx="82">
                  <c:v>1938</c:v>
                </c:pt>
                <c:pt idx="83">
                  <c:v>1939</c:v>
                </c:pt>
                <c:pt idx="84">
                  <c:v>1940</c:v>
                </c:pt>
                <c:pt idx="85">
                  <c:v>1941</c:v>
                </c:pt>
                <c:pt idx="86">
                  <c:v>1942</c:v>
                </c:pt>
                <c:pt idx="87">
                  <c:v>1943</c:v>
                </c:pt>
                <c:pt idx="88">
                  <c:v>1944</c:v>
                </c:pt>
                <c:pt idx="89">
                  <c:v>1945</c:v>
                </c:pt>
                <c:pt idx="90">
                  <c:v>1946</c:v>
                </c:pt>
                <c:pt idx="91">
                  <c:v>1947</c:v>
                </c:pt>
                <c:pt idx="92">
                  <c:v>1948</c:v>
                </c:pt>
                <c:pt idx="93">
                  <c:v>1949</c:v>
                </c:pt>
                <c:pt idx="94">
                  <c:v>1950</c:v>
                </c:pt>
                <c:pt idx="95">
                  <c:v>1951</c:v>
                </c:pt>
                <c:pt idx="96">
                  <c:v>1952</c:v>
                </c:pt>
                <c:pt idx="97">
                  <c:v>1953</c:v>
                </c:pt>
                <c:pt idx="98">
                  <c:v>1954</c:v>
                </c:pt>
                <c:pt idx="99">
                  <c:v>1955</c:v>
                </c:pt>
                <c:pt idx="100">
                  <c:v>1956</c:v>
                </c:pt>
                <c:pt idx="101">
                  <c:v>1957</c:v>
                </c:pt>
                <c:pt idx="102">
                  <c:v>1958</c:v>
                </c:pt>
                <c:pt idx="103">
                  <c:v>1959</c:v>
                </c:pt>
                <c:pt idx="104">
                  <c:v>1960</c:v>
                </c:pt>
                <c:pt idx="105">
                  <c:v>1961</c:v>
                </c:pt>
                <c:pt idx="106">
                  <c:v>1962</c:v>
                </c:pt>
                <c:pt idx="107">
                  <c:v>1963</c:v>
                </c:pt>
                <c:pt idx="108">
                  <c:v>1964</c:v>
                </c:pt>
                <c:pt idx="109">
                  <c:v>1965</c:v>
                </c:pt>
                <c:pt idx="110">
                  <c:v>1966</c:v>
                </c:pt>
                <c:pt idx="111">
                  <c:v>1967</c:v>
                </c:pt>
                <c:pt idx="112">
                  <c:v>1968</c:v>
                </c:pt>
                <c:pt idx="113">
                  <c:v>1969</c:v>
                </c:pt>
                <c:pt idx="114">
                  <c:v>1970</c:v>
                </c:pt>
                <c:pt idx="115">
                  <c:v>1971</c:v>
                </c:pt>
                <c:pt idx="116">
                  <c:v>1972</c:v>
                </c:pt>
                <c:pt idx="117">
                  <c:v>1973</c:v>
                </c:pt>
                <c:pt idx="118">
                  <c:v>1974</c:v>
                </c:pt>
                <c:pt idx="119">
                  <c:v>1975</c:v>
                </c:pt>
                <c:pt idx="120">
                  <c:v>1976</c:v>
                </c:pt>
                <c:pt idx="121">
                  <c:v>1977</c:v>
                </c:pt>
                <c:pt idx="122">
                  <c:v>1978</c:v>
                </c:pt>
                <c:pt idx="123">
                  <c:v>1979</c:v>
                </c:pt>
                <c:pt idx="124">
                  <c:v>1980</c:v>
                </c:pt>
                <c:pt idx="125">
                  <c:v>1981</c:v>
                </c:pt>
                <c:pt idx="126">
                  <c:v>1982</c:v>
                </c:pt>
                <c:pt idx="127">
                  <c:v>1983</c:v>
                </c:pt>
                <c:pt idx="128">
                  <c:v>1984</c:v>
                </c:pt>
                <c:pt idx="129">
                  <c:v>1985</c:v>
                </c:pt>
                <c:pt idx="130">
                  <c:v>1986</c:v>
                </c:pt>
                <c:pt idx="131">
                  <c:v>1987</c:v>
                </c:pt>
                <c:pt idx="132">
                  <c:v>1988</c:v>
                </c:pt>
                <c:pt idx="133">
                  <c:v>1989</c:v>
                </c:pt>
                <c:pt idx="134">
                  <c:v>1990</c:v>
                </c:pt>
                <c:pt idx="135">
                  <c:v>1991</c:v>
                </c:pt>
                <c:pt idx="136">
                  <c:v>1992</c:v>
                </c:pt>
                <c:pt idx="137">
                  <c:v>1993</c:v>
                </c:pt>
                <c:pt idx="138">
                  <c:v>1994</c:v>
                </c:pt>
                <c:pt idx="139">
                  <c:v>1995</c:v>
                </c:pt>
                <c:pt idx="140">
                  <c:v>1996</c:v>
                </c:pt>
                <c:pt idx="141">
                  <c:v>1997</c:v>
                </c:pt>
                <c:pt idx="142">
                  <c:v>1998</c:v>
                </c:pt>
                <c:pt idx="143">
                  <c:v>1999</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2016</c:v>
                </c:pt>
                <c:pt idx="161">
                  <c:v>2017</c:v>
                </c:pt>
                <c:pt idx="162">
                  <c:v>2018</c:v>
                </c:pt>
              </c:numCache>
            </c:numRef>
          </c:cat>
          <c:val>
            <c:numRef>
              <c:f>'pop figs prison '!$B$3:$B$165</c:f>
              <c:numCache>
                <c:formatCode>General</c:formatCode>
                <c:ptCount val="163"/>
                <c:pt idx="0">
                  <c:v>20325</c:v>
                </c:pt>
                <c:pt idx="1">
                  <c:v>21562</c:v>
                </c:pt>
                <c:pt idx="2">
                  <c:v>21553</c:v>
                </c:pt>
                <c:pt idx="3">
                  <c:v>19586</c:v>
                </c:pt>
                <c:pt idx="4">
                  <c:v>18423</c:v>
                </c:pt>
                <c:pt idx="5">
                  <c:v>19069</c:v>
                </c:pt>
                <c:pt idx="6">
                  <c:v>20679</c:v>
                </c:pt>
                <c:pt idx="7">
                  <c:v>21491</c:v>
                </c:pt>
                <c:pt idx="8">
                  <c:v>20680</c:v>
                </c:pt>
                <c:pt idx="9">
                  <c:v>20305</c:v>
                </c:pt>
                <c:pt idx="10">
                  <c:v>19993</c:v>
                </c:pt>
                <c:pt idx="11">
                  <c:v>20473</c:v>
                </c:pt>
                <c:pt idx="12">
                  <c:v>21583</c:v>
                </c:pt>
                <c:pt idx="13">
                  <c:v>23546</c:v>
                </c:pt>
                <c:pt idx="14">
                  <c:v>23909</c:v>
                </c:pt>
                <c:pt idx="15">
                  <c:v>22892</c:v>
                </c:pt>
                <c:pt idx="16">
                  <c:v>21969</c:v>
                </c:pt>
                <c:pt idx="17">
                  <c:v>22025</c:v>
                </c:pt>
                <c:pt idx="18">
                  <c:v>22250</c:v>
                </c:pt>
                <c:pt idx="19">
                  <c:v>23054</c:v>
                </c:pt>
                <c:pt idx="20">
                  <c:v>23616</c:v>
                </c:pt>
                <c:pt idx="21">
                  <c:v>25040</c:v>
                </c:pt>
                <c:pt idx="22">
                  <c:v>24883</c:v>
                </c:pt>
                <c:pt idx="23">
                  <c:v>25074</c:v>
                </c:pt>
                <c:pt idx="24">
                  <c:v>23791</c:v>
                </c:pt>
                <c:pt idx="25">
                  <c:v>23475</c:v>
                </c:pt>
                <c:pt idx="26">
                  <c:v>23513</c:v>
                </c:pt>
                <c:pt idx="27">
                  <c:v>22765</c:v>
                </c:pt>
                <c:pt idx="28">
                  <c:v>21795</c:v>
                </c:pt>
                <c:pt idx="29">
                  <c:v>20107</c:v>
                </c:pt>
                <c:pt idx="30">
                  <c:v>19244</c:v>
                </c:pt>
                <c:pt idx="31">
                  <c:v>18770</c:v>
                </c:pt>
                <c:pt idx="32">
                  <c:v>17898</c:v>
                </c:pt>
                <c:pt idx="33">
                  <c:v>16885</c:v>
                </c:pt>
                <c:pt idx="34">
                  <c:v>15686</c:v>
                </c:pt>
                <c:pt idx="35">
                  <c:v>14915</c:v>
                </c:pt>
                <c:pt idx="36">
                  <c:v>15091</c:v>
                </c:pt>
                <c:pt idx="37">
                  <c:v>15632</c:v>
                </c:pt>
                <c:pt idx="38">
                  <c:v>15173</c:v>
                </c:pt>
                <c:pt idx="39">
                  <c:v>14954</c:v>
                </c:pt>
                <c:pt idx="40">
                  <c:v>14457</c:v>
                </c:pt>
                <c:pt idx="41">
                  <c:v>14335</c:v>
                </c:pt>
                <c:pt idx="42">
                  <c:v>14880</c:v>
                </c:pt>
                <c:pt idx="43">
                  <c:v>14383</c:v>
                </c:pt>
                <c:pt idx="44">
                  <c:v>14459</c:v>
                </c:pt>
                <c:pt idx="45">
                  <c:v>15971</c:v>
                </c:pt>
                <c:pt idx="46">
                  <c:v>16323</c:v>
                </c:pt>
                <c:pt idx="47">
                  <c:v>17410</c:v>
                </c:pt>
                <c:pt idx="48">
                  <c:v>18147</c:v>
                </c:pt>
                <c:pt idx="49">
                  <c:v>18371</c:v>
                </c:pt>
                <c:pt idx="50">
                  <c:v>18059</c:v>
                </c:pt>
                <c:pt idx="51">
                  <c:v>17989</c:v>
                </c:pt>
                <c:pt idx="52">
                  <c:v>19226</c:v>
                </c:pt>
                <c:pt idx="53">
                  <c:v>19095</c:v>
                </c:pt>
                <c:pt idx="54">
                  <c:v>17837</c:v>
                </c:pt>
                <c:pt idx="55">
                  <c:v>16621</c:v>
                </c:pt>
                <c:pt idx="56">
                  <c:v>15937</c:v>
                </c:pt>
                <c:pt idx="57">
                  <c:v>14725</c:v>
                </c:pt>
                <c:pt idx="58">
                  <c:v>12438</c:v>
                </c:pt>
                <c:pt idx="59">
                  <c:v>11311</c:v>
                </c:pt>
                <c:pt idx="60">
                  <c:v>10058</c:v>
                </c:pt>
                <c:pt idx="61">
                  <c:v>9660</c:v>
                </c:pt>
                <c:pt idx="62">
                  <c:v>9199</c:v>
                </c:pt>
                <c:pt idx="63">
                  <c:v>9683</c:v>
                </c:pt>
                <c:pt idx="64">
                  <c:v>11000</c:v>
                </c:pt>
                <c:pt idx="65">
                  <c:v>12179</c:v>
                </c:pt>
                <c:pt idx="66">
                  <c:v>11766</c:v>
                </c:pt>
                <c:pt idx="67">
                  <c:v>11148</c:v>
                </c:pt>
                <c:pt idx="68">
                  <c:v>10750</c:v>
                </c:pt>
                <c:pt idx="69">
                  <c:v>10509</c:v>
                </c:pt>
                <c:pt idx="70">
                  <c:v>10860</c:v>
                </c:pt>
                <c:pt idx="71">
                  <c:v>11179</c:v>
                </c:pt>
                <c:pt idx="72">
                  <c:v>11109</c:v>
                </c:pt>
                <c:pt idx="73">
                  <c:v>10861</c:v>
                </c:pt>
                <c:pt idx="74">
                  <c:v>11346</c:v>
                </c:pt>
                <c:pt idx="75">
                  <c:v>11676</c:v>
                </c:pt>
                <c:pt idx="76">
                  <c:v>12803</c:v>
                </c:pt>
                <c:pt idx="77">
                  <c:v>12986</c:v>
                </c:pt>
                <c:pt idx="78">
                  <c:v>12286</c:v>
                </c:pt>
                <c:pt idx="79">
                  <c:v>11306</c:v>
                </c:pt>
                <c:pt idx="80">
                  <c:v>10613</c:v>
                </c:pt>
                <c:pt idx="81">
                  <c:v>10562</c:v>
                </c:pt>
                <c:pt idx="82">
                  <c:v>11086</c:v>
                </c:pt>
                <c:pt idx="83">
                  <c:v>10326</c:v>
                </c:pt>
                <c:pt idx="84">
                  <c:v>9377</c:v>
                </c:pt>
                <c:pt idx="85">
                  <c:v>10636</c:v>
                </c:pt>
                <c:pt idx="86">
                  <c:v>12400</c:v>
                </c:pt>
                <c:pt idx="87">
                  <c:v>12790</c:v>
                </c:pt>
                <c:pt idx="88">
                  <c:v>12915</c:v>
                </c:pt>
                <c:pt idx="89">
                  <c:v>14708</c:v>
                </c:pt>
                <c:pt idx="90">
                  <c:v>15789</c:v>
                </c:pt>
                <c:pt idx="91">
                  <c:v>17067</c:v>
                </c:pt>
                <c:pt idx="92">
                  <c:v>19765</c:v>
                </c:pt>
                <c:pt idx="93">
                  <c:v>19829</c:v>
                </c:pt>
                <c:pt idx="94">
                  <c:v>20474</c:v>
                </c:pt>
                <c:pt idx="95">
                  <c:v>21780</c:v>
                </c:pt>
                <c:pt idx="96">
                  <c:v>23680</c:v>
                </c:pt>
                <c:pt idx="97">
                  <c:v>23610</c:v>
                </c:pt>
                <c:pt idx="98">
                  <c:v>22421</c:v>
                </c:pt>
                <c:pt idx="99">
                  <c:v>21734</c:v>
                </c:pt>
                <c:pt idx="100">
                  <c:v>20807</c:v>
                </c:pt>
                <c:pt idx="101">
                  <c:v>22607</c:v>
                </c:pt>
                <c:pt idx="102">
                  <c:v>25379</c:v>
                </c:pt>
                <c:pt idx="103">
                  <c:v>26623</c:v>
                </c:pt>
                <c:pt idx="104">
                  <c:v>27099</c:v>
                </c:pt>
                <c:pt idx="105">
                  <c:v>29025</c:v>
                </c:pt>
                <c:pt idx="106">
                  <c:v>31063</c:v>
                </c:pt>
                <c:pt idx="107">
                  <c:v>30896</c:v>
                </c:pt>
                <c:pt idx="108">
                  <c:v>29600</c:v>
                </c:pt>
                <c:pt idx="109">
                  <c:v>30421</c:v>
                </c:pt>
                <c:pt idx="110">
                  <c:v>33086</c:v>
                </c:pt>
                <c:pt idx="111">
                  <c:v>35009</c:v>
                </c:pt>
                <c:pt idx="112">
                  <c:v>32461</c:v>
                </c:pt>
                <c:pt idx="113">
                  <c:v>34667</c:v>
                </c:pt>
                <c:pt idx="114">
                  <c:v>39028</c:v>
                </c:pt>
                <c:pt idx="115">
                  <c:v>39708</c:v>
                </c:pt>
                <c:pt idx="116">
                  <c:v>38328</c:v>
                </c:pt>
                <c:pt idx="117">
                  <c:v>36774</c:v>
                </c:pt>
                <c:pt idx="118">
                  <c:v>36867</c:v>
                </c:pt>
                <c:pt idx="119">
                  <c:v>39820</c:v>
                </c:pt>
                <c:pt idx="120">
                  <c:v>41443</c:v>
                </c:pt>
                <c:pt idx="121">
                  <c:v>41570</c:v>
                </c:pt>
                <c:pt idx="122">
                  <c:v>41796</c:v>
                </c:pt>
                <c:pt idx="123">
                  <c:v>42220</c:v>
                </c:pt>
                <c:pt idx="124">
                  <c:v>42264</c:v>
                </c:pt>
                <c:pt idx="125">
                  <c:v>43311</c:v>
                </c:pt>
                <c:pt idx="126">
                  <c:v>43707</c:v>
                </c:pt>
                <c:pt idx="127">
                  <c:v>43462</c:v>
                </c:pt>
                <c:pt idx="128">
                  <c:v>43295</c:v>
                </c:pt>
                <c:pt idx="129">
                  <c:v>46233</c:v>
                </c:pt>
                <c:pt idx="130">
                  <c:v>46770</c:v>
                </c:pt>
                <c:pt idx="131">
                  <c:v>48426</c:v>
                </c:pt>
                <c:pt idx="132">
                  <c:v>48872</c:v>
                </c:pt>
                <c:pt idx="133">
                  <c:v>48500</c:v>
                </c:pt>
                <c:pt idx="134">
                  <c:v>44975</c:v>
                </c:pt>
                <c:pt idx="135">
                  <c:v>44809</c:v>
                </c:pt>
                <c:pt idx="136">
                  <c:v>44719</c:v>
                </c:pt>
                <c:pt idx="137">
                  <c:v>44552</c:v>
                </c:pt>
                <c:pt idx="138">
                  <c:v>48621</c:v>
                </c:pt>
                <c:pt idx="139">
                  <c:v>50962</c:v>
                </c:pt>
                <c:pt idx="140">
                  <c:v>55281</c:v>
                </c:pt>
                <c:pt idx="141">
                  <c:v>61114</c:v>
                </c:pt>
                <c:pt idx="142">
                  <c:v>65299</c:v>
                </c:pt>
                <c:pt idx="143">
                  <c:v>64770</c:v>
                </c:pt>
                <c:pt idx="144">
                  <c:v>64602</c:v>
                </c:pt>
                <c:pt idx="145">
                  <c:v>66300</c:v>
                </c:pt>
                <c:pt idx="146">
                  <c:v>70778</c:v>
                </c:pt>
                <c:pt idx="147">
                  <c:v>73078</c:v>
                </c:pt>
                <c:pt idx="148">
                  <c:v>75979</c:v>
                </c:pt>
                <c:pt idx="149">
                  <c:v>78127</c:v>
                </c:pt>
                <c:pt idx="150">
                  <c:v>80216</c:v>
                </c:pt>
                <c:pt idx="151">
                  <c:v>82572</c:v>
                </c:pt>
                <c:pt idx="152">
                  <c:v>83559</c:v>
                </c:pt>
                <c:pt idx="153">
                  <c:v>84725</c:v>
                </c:pt>
                <c:pt idx="154">
                  <c:v>85951</c:v>
                </c:pt>
                <c:pt idx="155">
                  <c:v>86634</c:v>
                </c:pt>
                <c:pt idx="156">
                  <c:v>84249</c:v>
                </c:pt>
                <c:pt idx="157">
                  <c:v>85307</c:v>
                </c:pt>
                <c:pt idx="158">
                  <c:v>85626</c:v>
                </c:pt>
                <c:pt idx="159">
                  <c:v>85348</c:v>
                </c:pt>
                <c:pt idx="160">
                  <c:v>85441</c:v>
                </c:pt>
                <c:pt idx="161">
                  <c:v>84746</c:v>
                </c:pt>
                <c:pt idx="162">
                  <c:v>83857</c:v>
                </c:pt>
              </c:numCache>
            </c:numRef>
          </c:val>
          <c:smooth val="0"/>
          <c:extLst>
            <c:ext xmlns:c16="http://schemas.microsoft.com/office/drawing/2014/chart" uri="{C3380CC4-5D6E-409C-BE32-E72D297353CC}">
              <c16:uniqueId val="{00000000-CB99-4EF7-833D-11D5A027148D}"/>
            </c:ext>
          </c:extLst>
        </c:ser>
        <c:ser>
          <c:idx val="1"/>
          <c:order val="1"/>
          <c:tx>
            <c:strRef>
              <c:f>'pop figs prison '!$F$2</c:f>
              <c:strCache>
                <c:ptCount val="1"/>
                <c:pt idx="0">
                  <c:v>offences (1000s)</c:v>
                </c:pt>
              </c:strCache>
            </c:strRef>
          </c:tx>
          <c:spPr>
            <a:ln w="28575" cap="rnd">
              <a:solidFill>
                <a:schemeClr val="bg2">
                  <a:lumMod val="75000"/>
                </a:schemeClr>
              </a:solidFill>
              <a:round/>
            </a:ln>
            <a:effectLst/>
          </c:spPr>
          <c:marker>
            <c:symbol val="none"/>
          </c:marker>
          <c:cat>
            <c:numRef>
              <c:f>'pop figs prison '!$A$3:$A$165</c:f>
              <c:numCache>
                <c:formatCode>General</c:formatCode>
                <c:ptCount val="163"/>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pt idx="72">
                  <c:v>1928</c:v>
                </c:pt>
                <c:pt idx="73">
                  <c:v>1929</c:v>
                </c:pt>
                <c:pt idx="74">
                  <c:v>1930</c:v>
                </c:pt>
                <c:pt idx="75">
                  <c:v>1931</c:v>
                </c:pt>
                <c:pt idx="76">
                  <c:v>1932</c:v>
                </c:pt>
                <c:pt idx="77">
                  <c:v>1933</c:v>
                </c:pt>
                <c:pt idx="78">
                  <c:v>1934</c:v>
                </c:pt>
                <c:pt idx="79">
                  <c:v>1935</c:v>
                </c:pt>
                <c:pt idx="80">
                  <c:v>1936</c:v>
                </c:pt>
                <c:pt idx="81">
                  <c:v>1937</c:v>
                </c:pt>
                <c:pt idx="82">
                  <c:v>1938</c:v>
                </c:pt>
                <c:pt idx="83">
                  <c:v>1939</c:v>
                </c:pt>
                <c:pt idx="84">
                  <c:v>1940</c:v>
                </c:pt>
                <c:pt idx="85">
                  <c:v>1941</c:v>
                </c:pt>
                <c:pt idx="86">
                  <c:v>1942</c:v>
                </c:pt>
                <c:pt idx="87">
                  <c:v>1943</c:v>
                </c:pt>
                <c:pt idx="88">
                  <c:v>1944</c:v>
                </c:pt>
                <c:pt idx="89">
                  <c:v>1945</c:v>
                </c:pt>
                <c:pt idx="90">
                  <c:v>1946</c:v>
                </c:pt>
                <c:pt idx="91">
                  <c:v>1947</c:v>
                </c:pt>
                <c:pt idx="92">
                  <c:v>1948</c:v>
                </c:pt>
                <c:pt idx="93">
                  <c:v>1949</c:v>
                </c:pt>
                <c:pt idx="94">
                  <c:v>1950</c:v>
                </c:pt>
                <c:pt idx="95">
                  <c:v>1951</c:v>
                </c:pt>
                <c:pt idx="96">
                  <c:v>1952</c:v>
                </c:pt>
                <c:pt idx="97">
                  <c:v>1953</c:v>
                </c:pt>
                <c:pt idx="98">
                  <c:v>1954</c:v>
                </c:pt>
                <c:pt idx="99">
                  <c:v>1955</c:v>
                </c:pt>
                <c:pt idx="100">
                  <c:v>1956</c:v>
                </c:pt>
                <c:pt idx="101">
                  <c:v>1957</c:v>
                </c:pt>
                <c:pt idx="102">
                  <c:v>1958</c:v>
                </c:pt>
                <c:pt idx="103">
                  <c:v>1959</c:v>
                </c:pt>
                <c:pt idx="104">
                  <c:v>1960</c:v>
                </c:pt>
                <c:pt idx="105">
                  <c:v>1961</c:v>
                </c:pt>
                <c:pt idx="106">
                  <c:v>1962</c:v>
                </c:pt>
                <c:pt idx="107">
                  <c:v>1963</c:v>
                </c:pt>
                <c:pt idx="108">
                  <c:v>1964</c:v>
                </c:pt>
                <c:pt idx="109">
                  <c:v>1965</c:v>
                </c:pt>
                <c:pt idx="110">
                  <c:v>1966</c:v>
                </c:pt>
                <c:pt idx="111">
                  <c:v>1967</c:v>
                </c:pt>
                <c:pt idx="112">
                  <c:v>1968</c:v>
                </c:pt>
                <c:pt idx="113">
                  <c:v>1969</c:v>
                </c:pt>
                <c:pt idx="114">
                  <c:v>1970</c:v>
                </c:pt>
                <c:pt idx="115">
                  <c:v>1971</c:v>
                </c:pt>
                <c:pt idx="116">
                  <c:v>1972</c:v>
                </c:pt>
                <c:pt idx="117">
                  <c:v>1973</c:v>
                </c:pt>
                <c:pt idx="118">
                  <c:v>1974</c:v>
                </c:pt>
                <c:pt idx="119">
                  <c:v>1975</c:v>
                </c:pt>
                <c:pt idx="120">
                  <c:v>1976</c:v>
                </c:pt>
                <c:pt idx="121">
                  <c:v>1977</c:v>
                </c:pt>
                <c:pt idx="122">
                  <c:v>1978</c:v>
                </c:pt>
                <c:pt idx="123">
                  <c:v>1979</c:v>
                </c:pt>
                <c:pt idx="124">
                  <c:v>1980</c:v>
                </c:pt>
                <c:pt idx="125">
                  <c:v>1981</c:v>
                </c:pt>
                <c:pt idx="126">
                  <c:v>1982</c:v>
                </c:pt>
                <c:pt idx="127">
                  <c:v>1983</c:v>
                </c:pt>
                <c:pt idx="128">
                  <c:v>1984</c:v>
                </c:pt>
                <c:pt idx="129">
                  <c:v>1985</c:v>
                </c:pt>
                <c:pt idx="130">
                  <c:v>1986</c:v>
                </c:pt>
                <c:pt idx="131">
                  <c:v>1987</c:v>
                </c:pt>
                <c:pt idx="132">
                  <c:v>1988</c:v>
                </c:pt>
                <c:pt idx="133">
                  <c:v>1989</c:v>
                </c:pt>
                <c:pt idx="134">
                  <c:v>1990</c:v>
                </c:pt>
                <c:pt idx="135">
                  <c:v>1991</c:v>
                </c:pt>
                <c:pt idx="136">
                  <c:v>1992</c:v>
                </c:pt>
                <c:pt idx="137">
                  <c:v>1993</c:v>
                </c:pt>
                <c:pt idx="138">
                  <c:v>1994</c:v>
                </c:pt>
                <c:pt idx="139">
                  <c:v>1995</c:v>
                </c:pt>
                <c:pt idx="140">
                  <c:v>1996</c:v>
                </c:pt>
                <c:pt idx="141">
                  <c:v>1997</c:v>
                </c:pt>
                <c:pt idx="142">
                  <c:v>1998</c:v>
                </c:pt>
                <c:pt idx="143">
                  <c:v>1999</c:v>
                </c:pt>
                <c:pt idx="144">
                  <c:v>2000</c:v>
                </c:pt>
                <c:pt idx="145">
                  <c:v>2001</c:v>
                </c:pt>
                <c:pt idx="146">
                  <c:v>2002</c:v>
                </c:pt>
                <c:pt idx="147">
                  <c:v>2003</c:v>
                </c:pt>
                <c:pt idx="148">
                  <c:v>2004</c:v>
                </c:pt>
                <c:pt idx="149">
                  <c:v>2005</c:v>
                </c:pt>
                <c:pt idx="150">
                  <c:v>2006</c:v>
                </c:pt>
                <c:pt idx="151">
                  <c:v>2007</c:v>
                </c:pt>
                <c:pt idx="152">
                  <c:v>2008</c:v>
                </c:pt>
                <c:pt idx="153">
                  <c:v>2009</c:v>
                </c:pt>
                <c:pt idx="154">
                  <c:v>2010</c:v>
                </c:pt>
                <c:pt idx="155">
                  <c:v>2011</c:v>
                </c:pt>
                <c:pt idx="156">
                  <c:v>2012</c:v>
                </c:pt>
                <c:pt idx="157">
                  <c:v>2013</c:v>
                </c:pt>
                <c:pt idx="158">
                  <c:v>2014</c:v>
                </c:pt>
                <c:pt idx="159">
                  <c:v>2015</c:v>
                </c:pt>
                <c:pt idx="160">
                  <c:v>2016</c:v>
                </c:pt>
                <c:pt idx="161">
                  <c:v>2017</c:v>
                </c:pt>
                <c:pt idx="162">
                  <c:v>2018</c:v>
                </c:pt>
              </c:numCache>
            </c:numRef>
          </c:cat>
          <c:val>
            <c:numRef>
              <c:f>'pop figs prison '!$F$3:$F$165</c:f>
              <c:numCache>
                <c:formatCode>0</c:formatCode>
                <c:ptCount val="163"/>
                <c:pt idx="0">
                  <c:v>410</c:v>
                </c:pt>
                <c:pt idx="1">
                  <c:v>404.03399999999971</c:v>
                </c:pt>
                <c:pt idx="2">
                  <c:v>392.81</c:v>
                </c:pt>
                <c:pt idx="3">
                  <c:v>384.91799999999972</c:v>
                </c:pt>
                <c:pt idx="4">
                  <c:v>394.7169999999997</c:v>
                </c:pt>
                <c:pt idx="5">
                  <c:v>409.00799999999992</c:v>
                </c:pt>
                <c:pt idx="6">
                  <c:v>421.863</c:v>
                </c:pt>
                <c:pt idx="7">
                  <c:v>440.91300000000001</c:v>
                </c:pt>
                <c:pt idx="8">
                  <c:v>458.9139999999997</c:v>
                </c:pt>
                <c:pt idx="9">
                  <c:v>481.77</c:v>
                </c:pt>
                <c:pt idx="10">
                  <c:v>474.66500000000002</c:v>
                </c:pt>
                <c:pt idx="11">
                  <c:v>490.75200000000001</c:v>
                </c:pt>
                <c:pt idx="12">
                  <c:v>517.875</c:v>
                </c:pt>
                <c:pt idx="13">
                  <c:v>526.86899999999969</c:v>
                </c:pt>
                <c:pt idx="14">
                  <c:v>540.71600000000001</c:v>
                </c:pt>
                <c:pt idx="15">
                  <c:v>559.92899999999997</c:v>
                </c:pt>
                <c:pt idx="16">
                  <c:v>590.11400000000003</c:v>
                </c:pt>
                <c:pt idx="17">
                  <c:v>622.17399999999998</c:v>
                </c:pt>
                <c:pt idx="18">
                  <c:v>649.82699999999966</c:v>
                </c:pt>
                <c:pt idx="19">
                  <c:v>661.61300000000006</c:v>
                </c:pt>
                <c:pt idx="20">
                  <c:v>653.053</c:v>
                </c:pt>
                <c:pt idx="21">
                  <c:v>676.77300000000002</c:v>
                </c:pt>
                <c:pt idx="22">
                  <c:v>641.03800000000001</c:v>
                </c:pt>
                <c:pt idx="23">
                  <c:v>663.404</c:v>
                </c:pt>
                <c:pt idx="24">
                  <c:v>669.03699999999969</c:v>
                </c:pt>
                <c:pt idx="25">
                  <c:v>716.27800000000002</c:v>
                </c:pt>
                <c:pt idx="26">
                  <c:v>725.87099999999998</c:v>
                </c:pt>
                <c:pt idx="27">
                  <c:v>724.70799999999997</c:v>
                </c:pt>
                <c:pt idx="28">
                  <c:v>684.08100000000002</c:v>
                </c:pt>
                <c:pt idx="29">
                  <c:v>639.77599999999995</c:v>
                </c:pt>
                <c:pt idx="30">
                  <c:v>663.8869999999996</c:v>
                </c:pt>
                <c:pt idx="31">
                  <c:v>668.553</c:v>
                </c:pt>
                <c:pt idx="32">
                  <c:v>689.15800000000002</c:v>
                </c:pt>
                <c:pt idx="33">
                  <c:v>738.06099999999969</c:v>
                </c:pt>
                <c:pt idx="34">
                  <c:v>733.14</c:v>
                </c:pt>
                <c:pt idx="35">
                  <c:v>711.24300000000005</c:v>
                </c:pt>
                <c:pt idx="36">
                  <c:v>649.37099999999998</c:v>
                </c:pt>
                <c:pt idx="37">
                  <c:v>678.57799999999997</c:v>
                </c:pt>
                <c:pt idx="38">
                  <c:v>667.50199999999961</c:v>
                </c:pt>
                <c:pt idx="39">
                  <c:v>700.33799999999951</c:v>
                </c:pt>
                <c:pt idx="40">
                  <c:v>738.50099999999998</c:v>
                </c:pt>
                <c:pt idx="41">
                  <c:v>785.38800000000003</c:v>
                </c:pt>
                <c:pt idx="42">
                  <c:v>824.26</c:v>
                </c:pt>
                <c:pt idx="43">
                  <c:v>760.25</c:v>
                </c:pt>
                <c:pt idx="44">
                  <c:v>779.33999999999969</c:v>
                </c:pt>
                <c:pt idx="45">
                  <c:v>809.62</c:v>
                </c:pt>
                <c:pt idx="46">
                  <c:v>832.6</c:v>
                </c:pt>
                <c:pt idx="47">
                  <c:v>861.72</c:v>
                </c:pt>
                <c:pt idx="48">
                  <c:v>929.07</c:v>
                </c:pt>
                <c:pt idx="49">
                  <c:v>946.55</c:v>
                </c:pt>
                <c:pt idx="50">
                  <c:v>916.65</c:v>
                </c:pt>
                <c:pt idx="51">
                  <c:v>988.22</c:v>
                </c:pt>
                <c:pt idx="52">
                  <c:v>1052.79</c:v>
                </c:pt>
                <c:pt idx="53">
                  <c:v>1052.8699999999999</c:v>
                </c:pt>
                <c:pt idx="54">
                  <c:v>1031.32</c:v>
                </c:pt>
                <c:pt idx="55">
                  <c:v>971.71</c:v>
                </c:pt>
                <c:pt idx="56">
                  <c:v>1019.97</c:v>
                </c:pt>
                <c:pt idx="57">
                  <c:v>979.3299999999997</c:v>
                </c:pt>
                <c:pt idx="58">
                  <c:v>893.87</c:v>
                </c:pt>
                <c:pt idx="59">
                  <c:v>779.72</c:v>
                </c:pt>
                <c:pt idx="60">
                  <c:v>806.53</c:v>
                </c:pt>
                <c:pt idx="61">
                  <c:v>888.64</c:v>
                </c:pt>
                <c:pt idx="62">
                  <c:v>877.62</c:v>
                </c:pt>
                <c:pt idx="63">
                  <c:v>878.27</c:v>
                </c:pt>
                <c:pt idx="64">
                  <c:v>1008.27</c:v>
                </c:pt>
                <c:pt idx="65">
                  <c:v>1032.58</c:v>
                </c:pt>
                <c:pt idx="66">
                  <c:v>1073.2</c:v>
                </c:pt>
                <c:pt idx="67">
                  <c:v>1102.06</c:v>
                </c:pt>
                <c:pt idx="68">
                  <c:v>1125.74</c:v>
                </c:pt>
                <c:pt idx="69">
                  <c:v>1139.8599999999999</c:v>
                </c:pt>
                <c:pt idx="70">
                  <c:v>1334.6</c:v>
                </c:pt>
                <c:pt idx="71">
                  <c:v>1257.03</c:v>
                </c:pt>
                <c:pt idx="72">
                  <c:v>1304.69</c:v>
                </c:pt>
                <c:pt idx="73">
                  <c:v>1345.81</c:v>
                </c:pt>
                <c:pt idx="74">
                  <c:v>1470.31</c:v>
                </c:pt>
                <c:pt idx="75">
                  <c:v>1592.78</c:v>
                </c:pt>
                <c:pt idx="76">
                  <c:v>2081.75</c:v>
                </c:pt>
                <c:pt idx="77">
                  <c:v>2272.85</c:v>
                </c:pt>
                <c:pt idx="78">
                  <c:v>2333.59</c:v>
                </c:pt>
                <c:pt idx="79">
                  <c:v>2343.7199999999998</c:v>
                </c:pt>
                <c:pt idx="80">
                  <c:v>2488.0300000000002</c:v>
                </c:pt>
                <c:pt idx="81">
                  <c:v>2662.65</c:v>
                </c:pt>
                <c:pt idx="82">
                  <c:v>2832.2</c:v>
                </c:pt>
                <c:pt idx="83">
                  <c:v>2037.71</c:v>
                </c:pt>
                <c:pt idx="84">
                  <c:v>3051.14</c:v>
                </c:pt>
                <c:pt idx="85">
                  <c:v>3586.55</c:v>
                </c:pt>
                <c:pt idx="86">
                  <c:v>3648.89</c:v>
                </c:pt>
                <c:pt idx="87">
                  <c:v>3727.6</c:v>
                </c:pt>
                <c:pt idx="88">
                  <c:v>4150.1000000000004</c:v>
                </c:pt>
                <c:pt idx="89">
                  <c:v>4783.9399999999996</c:v>
                </c:pt>
                <c:pt idx="90">
                  <c:v>4725.17</c:v>
                </c:pt>
                <c:pt idx="91">
                  <c:v>4985.8</c:v>
                </c:pt>
                <c:pt idx="92">
                  <c:v>5226.84</c:v>
                </c:pt>
                <c:pt idx="93">
                  <c:v>4598.6899999999996</c:v>
                </c:pt>
                <c:pt idx="94">
                  <c:v>4614.3500000000004</c:v>
                </c:pt>
                <c:pt idx="95">
                  <c:v>5245.06</c:v>
                </c:pt>
                <c:pt idx="96">
                  <c:v>5135.59</c:v>
                </c:pt>
                <c:pt idx="97">
                  <c:v>4729.8900000000003</c:v>
                </c:pt>
                <c:pt idx="98">
                  <c:v>4343.2700000000004</c:v>
                </c:pt>
                <c:pt idx="99">
                  <c:v>4380.8500000000004</c:v>
                </c:pt>
                <c:pt idx="100">
                  <c:v>4797.1000000000004</c:v>
                </c:pt>
                <c:pt idx="101">
                  <c:v>5455.62</c:v>
                </c:pt>
                <c:pt idx="102">
                  <c:v>6265.09</c:v>
                </c:pt>
                <c:pt idx="103">
                  <c:v>6756.26</c:v>
                </c:pt>
                <c:pt idx="104">
                  <c:v>7437.13</c:v>
                </c:pt>
                <c:pt idx="105">
                  <c:v>8069</c:v>
                </c:pt>
                <c:pt idx="106">
                  <c:v>8964.24</c:v>
                </c:pt>
                <c:pt idx="107">
                  <c:v>9780.76</c:v>
                </c:pt>
                <c:pt idx="108">
                  <c:v>10679.63</c:v>
                </c:pt>
                <c:pt idx="109">
                  <c:v>11338.82</c:v>
                </c:pt>
                <c:pt idx="110">
                  <c:v>11998.59</c:v>
                </c:pt>
                <c:pt idx="111">
                  <c:v>12073.54</c:v>
                </c:pt>
                <c:pt idx="112">
                  <c:v>12890.9</c:v>
                </c:pt>
                <c:pt idx="113">
                  <c:v>14886.38</c:v>
                </c:pt>
                <c:pt idx="114">
                  <c:v>15559.95</c:v>
                </c:pt>
                <c:pt idx="115">
                  <c:v>16460.810000000001</c:v>
                </c:pt>
                <c:pt idx="116">
                  <c:v>16902.189999999999</c:v>
                </c:pt>
                <c:pt idx="117">
                  <c:v>16576.689999999999</c:v>
                </c:pt>
                <c:pt idx="118">
                  <c:v>19633.599999999991</c:v>
                </c:pt>
                <c:pt idx="119">
                  <c:v>21056.31</c:v>
                </c:pt>
                <c:pt idx="120">
                  <c:v>21357.13</c:v>
                </c:pt>
                <c:pt idx="121">
                  <c:v>26365.17</c:v>
                </c:pt>
                <c:pt idx="122">
                  <c:v>25614.99</c:v>
                </c:pt>
                <c:pt idx="123">
                  <c:v>25367.37</c:v>
                </c:pt>
                <c:pt idx="124">
                  <c:v>26882.35</c:v>
                </c:pt>
                <c:pt idx="125">
                  <c:v>29637.64</c:v>
                </c:pt>
                <c:pt idx="126">
                  <c:v>32624.22</c:v>
                </c:pt>
                <c:pt idx="127">
                  <c:v>32470.3</c:v>
                </c:pt>
                <c:pt idx="128">
                  <c:v>34991.07</c:v>
                </c:pt>
                <c:pt idx="129">
                  <c:v>36118.83</c:v>
                </c:pt>
                <c:pt idx="130">
                  <c:v>38474.1</c:v>
                </c:pt>
                <c:pt idx="131">
                  <c:v>38922.01</c:v>
                </c:pt>
                <c:pt idx="132">
                  <c:v>37157.67</c:v>
                </c:pt>
                <c:pt idx="133">
                  <c:v>38707.480000000003</c:v>
                </c:pt>
                <c:pt idx="134">
                  <c:v>45436.11</c:v>
                </c:pt>
                <c:pt idx="135">
                  <c:v>52761.73</c:v>
                </c:pt>
                <c:pt idx="136">
                  <c:v>55917.17</c:v>
                </c:pt>
                <c:pt idx="137">
                  <c:v>55262.55</c:v>
                </c:pt>
                <c:pt idx="138">
                  <c:v>52529.8</c:v>
                </c:pt>
                <c:pt idx="139">
                  <c:v>51002.41</c:v>
                </c:pt>
                <c:pt idx="140">
                  <c:v>50365.52</c:v>
                </c:pt>
                <c:pt idx="141">
                  <c:v>45983.27</c:v>
                </c:pt>
                <c:pt idx="142">
                  <c:v>45453.37</c:v>
                </c:pt>
                <c:pt idx="143">
                  <c:v>44818.17</c:v>
                </c:pt>
                <c:pt idx="144">
                  <c:v>51090.89</c:v>
                </c:pt>
                <c:pt idx="145">
                  <c:v>53011.87</c:v>
                </c:pt>
                <c:pt idx="146">
                  <c:v>51708.43</c:v>
                </c:pt>
                <c:pt idx="147">
                  <c:v>55250.239999999998</c:v>
                </c:pt>
                <c:pt idx="148">
                  <c:v>59749.599999999999</c:v>
                </c:pt>
                <c:pt idx="149">
                  <c:v>60137.59</c:v>
                </c:pt>
                <c:pt idx="150">
                  <c:v>56375.11</c:v>
                </c:pt>
                <c:pt idx="151">
                  <c:v>55551.72</c:v>
                </c:pt>
                <c:pt idx="152">
                  <c:v>54275.58</c:v>
                </c:pt>
                <c:pt idx="153">
                  <c:v>49522.77</c:v>
                </c:pt>
                <c:pt idx="154">
                  <c:v>47026.97</c:v>
                </c:pt>
                <c:pt idx="155">
                  <c:v>43382.95</c:v>
                </c:pt>
                <c:pt idx="156">
                  <c:v>41509.160000000003</c:v>
                </c:pt>
                <c:pt idx="157">
                  <c:v>40230.07</c:v>
                </c:pt>
                <c:pt idx="158">
                  <c:v>37330.589999999997</c:v>
                </c:pt>
                <c:pt idx="159">
                  <c:v>37177.68</c:v>
                </c:pt>
                <c:pt idx="160">
                  <c:v>38112.68</c:v>
                </c:pt>
              </c:numCache>
            </c:numRef>
          </c:val>
          <c:smooth val="0"/>
          <c:extLst>
            <c:ext xmlns:c16="http://schemas.microsoft.com/office/drawing/2014/chart" uri="{C3380CC4-5D6E-409C-BE32-E72D297353CC}">
              <c16:uniqueId val="{00000001-CB99-4EF7-833D-11D5A027148D}"/>
            </c:ext>
          </c:extLst>
        </c:ser>
        <c:dLbls>
          <c:showLegendKey val="0"/>
          <c:showVal val="0"/>
          <c:showCatName val="0"/>
          <c:showSerName val="0"/>
          <c:showPercent val="0"/>
          <c:showBubbleSize val="0"/>
        </c:dLbls>
        <c:smooth val="0"/>
        <c:axId val="2098397032"/>
        <c:axId val="2099192488"/>
      </c:lineChart>
      <c:catAx>
        <c:axId val="209839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9192488"/>
        <c:crosses val="autoZero"/>
        <c:auto val="1"/>
        <c:lblAlgn val="ctr"/>
        <c:lblOffset val="100"/>
        <c:noMultiLvlLbl val="0"/>
      </c:catAx>
      <c:valAx>
        <c:axId val="209919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8397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graphs!$K$4</c:f>
              <c:strCache>
                <c:ptCount val="1"/>
                <c:pt idx="0">
                  <c:v> total</c:v>
                </c:pt>
              </c:strCache>
            </c:strRef>
          </c:tx>
          <c:spPr>
            <a:ln w="12700" cap="rnd">
              <a:solidFill>
                <a:schemeClr val="tx1"/>
              </a:solidFill>
              <a:round/>
            </a:ln>
            <a:effectLst/>
          </c:spPr>
          <c:marker>
            <c:symbol val="none"/>
          </c:marker>
          <c:cat>
            <c:numRef>
              <c:f>graphs!$A$5:$A$76</c:f>
              <c:numCache>
                <c:formatCode>General</c:formatCode>
                <c:ptCount val="72"/>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numCache>
            </c:numRef>
          </c:cat>
          <c:val>
            <c:numRef>
              <c:f>graphs!$K$5:$K$76</c:f>
              <c:numCache>
                <c:formatCode>General</c:formatCode>
                <c:ptCount val="72"/>
                <c:pt idx="0">
                  <c:v>38849</c:v>
                </c:pt>
                <c:pt idx="1">
                  <c:v>42456</c:v>
                </c:pt>
                <c:pt idx="3">
                  <c:v>31763</c:v>
                </c:pt>
                <c:pt idx="4">
                  <c:v>28671</c:v>
                </c:pt>
                <c:pt idx="5">
                  <c:v>32596</c:v>
                </c:pt>
                <c:pt idx="6">
                  <c:v>34406</c:v>
                </c:pt>
                <c:pt idx="7">
                  <c:v>35477</c:v>
                </c:pt>
                <c:pt idx="8">
                  <c:v>34129</c:v>
                </c:pt>
                <c:pt idx="9">
                  <c:v>34688</c:v>
                </c:pt>
                <c:pt idx="10">
                  <c:v>33985</c:v>
                </c:pt>
                <c:pt idx="11">
                  <c:v>36079</c:v>
                </c:pt>
                <c:pt idx="12">
                  <c:v>38780</c:v>
                </c:pt>
                <c:pt idx="13">
                  <c:v>42214</c:v>
                </c:pt>
                <c:pt idx="14">
                  <c:v>41875</c:v>
                </c:pt>
                <c:pt idx="15">
                  <c:v>36395</c:v>
                </c:pt>
                <c:pt idx="16">
                  <c:v>35611</c:v>
                </c:pt>
                <c:pt idx="17">
                  <c:v>36388</c:v>
                </c:pt>
                <c:pt idx="18">
                  <c:v>36125</c:v>
                </c:pt>
                <c:pt idx="19">
                  <c:v>34124</c:v>
                </c:pt>
                <c:pt idx="20">
                  <c:v>34066</c:v>
                </c:pt>
                <c:pt idx="21">
                  <c:v>35697</c:v>
                </c:pt>
                <c:pt idx="22">
                  <c:v>29575</c:v>
                </c:pt>
                <c:pt idx="23">
                  <c:v>36183</c:v>
                </c:pt>
                <c:pt idx="24">
                  <c:v>33837</c:v>
                </c:pt>
                <c:pt idx="25">
                  <c:v>36339</c:v>
                </c:pt>
                <c:pt idx="26">
                  <c:v>35117</c:v>
                </c:pt>
                <c:pt idx="27">
                  <c:v>33564</c:v>
                </c:pt>
                <c:pt idx="28">
                  <c:v>31713</c:v>
                </c:pt>
                <c:pt idx="29">
                  <c:v>34780</c:v>
                </c:pt>
                <c:pt idx="30">
                  <c:v>31755</c:v>
                </c:pt>
                <c:pt idx="31">
                  <c:v>31670</c:v>
                </c:pt>
                <c:pt idx="32">
                  <c:v>32567</c:v>
                </c:pt>
                <c:pt idx="33">
                  <c:v>29385</c:v>
                </c:pt>
                <c:pt idx="34">
                  <c:v>26829</c:v>
                </c:pt>
                <c:pt idx="35">
                  <c:v>27333</c:v>
                </c:pt>
                <c:pt idx="36">
                  <c:v>28214</c:v>
                </c:pt>
                <c:pt idx="37">
                  <c:v>24509</c:v>
                </c:pt>
                <c:pt idx="38">
                  <c:v>24295</c:v>
                </c:pt>
                <c:pt idx="39">
                  <c:v>21471</c:v>
                </c:pt>
                <c:pt idx="40">
                  <c:v>17874</c:v>
                </c:pt>
                <c:pt idx="41">
                  <c:v>19194</c:v>
                </c:pt>
                <c:pt idx="42">
                  <c:v>20345</c:v>
                </c:pt>
                <c:pt idx="43">
                  <c:v>16575</c:v>
                </c:pt>
                <c:pt idx="44">
                  <c:v>15190</c:v>
                </c:pt>
                <c:pt idx="45">
                  <c:v>16929</c:v>
                </c:pt>
                <c:pt idx="46">
                  <c:v>16753</c:v>
                </c:pt>
                <c:pt idx="47">
                  <c:v>18648</c:v>
                </c:pt>
                <c:pt idx="48">
                  <c:v>19603</c:v>
                </c:pt>
                <c:pt idx="49">
                  <c:v>19248</c:v>
                </c:pt>
                <c:pt idx="50">
                  <c:v>17846</c:v>
                </c:pt>
                <c:pt idx="51">
                  <c:v>14666</c:v>
                </c:pt>
                <c:pt idx="52">
                  <c:v>14504</c:v>
                </c:pt>
                <c:pt idx="53">
                  <c:v>13865</c:v>
                </c:pt>
                <c:pt idx="54">
                  <c:v>12089</c:v>
                </c:pt>
                <c:pt idx="55">
                  <c:v>9434</c:v>
                </c:pt>
                <c:pt idx="56">
                  <c:v>9027</c:v>
                </c:pt>
                <c:pt idx="57">
                  <c:v>7505</c:v>
                </c:pt>
                <c:pt idx="63">
                  <c:v>5255</c:v>
                </c:pt>
                <c:pt idx="66">
                  <c:v>3951</c:v>
                </c:pt>
                <c:pt idx="67">
                  <c:v>3083</c:v>
                </c:pt>
                <c:pt idx="68">
                  <c:v>3297</c:v>
                </c:pt>
                <c:pt idx="69">
                  <c:v>2753</c:v>
                </c:pt>
                <c:pt idx="70">
                  <c:v>3245</c:v>
                </c:pt>
                <c:pt idx="71">
                  <c:v>2925</c:v>
                </c:pt>
              </c:numCache>
            </c:numRef>
          </c:val>
          <c:smooth val="0"/>
          <c:extLst>
            <c:ext xmlns:c16="http://schemas.microsoft.com/office/drawing/2014/chart" uri="{C3380CC4-5D6E-409C-BE32-E72D297353CC}">
              <c16:uniqueId val="{00000000-3884-AF41-B885-F21A8709366F}"/>
            </c:ext>
          </c:extLst>
        </c:ser>
        <c:ser>
          <c:idx val="1"/>
          <c:order val="1"/>
          <c:tx>
            <c:strRef>
              <c:f>graphs!$L$4</c:f>
              <c:strCache>
                <c:ptCount val="1"/>
                <c:pt idx="0">
                  <c:v>under 16</c:v>
                </c:pt>
              </c:strCache>
            </c:strRef>
          </c:tx>
          <c:spPr>
            <a:ln w="19050" cap="rnd">
              <a:solidFill>
                <a:schemeClr val="bg2">
                  <a:lumMod val="75000"/>
                </a:schemeClr>
              </a:solidFill>
              <a:round/>
            </a:ln>
            <a:effectLst/>
          </c:spPr>
          <c:marker>
            <c:symbol val="none"/>
          </c:marker>
          <c:cat>
            <c:numRef>
              <c:f>graphs!$A$5:$A$76</c:f>
              <c:numCache>
                <c:formatCode>General</c:formatCode>
                <c:ptCount val="72"/>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numCache>
            </c:numRef>
          </c:cat>
          <c:val>
            <c:numRef>
              <c:f>graphs!$L$5:$L$76</c:f>
              <c:numCache>
                <c:formatCode>General</c:formatCode>
                <c:ptCount val="72"/>
                <c:pt idx="0">
                  <c:v>13981</c:v>
                </c:pt>
                <c:pt idx="1">
                  <c:v>12507</c:v>
                </c:pt>
                <c:pt idx="3">
                  <c:v>8913</c:v>
                </c:pt>
                <c:pt idx="4">
                  <c:v>8029</c:v>
                </c:pt>
                <c:pt idx="5">
                  <c:v>8796</c:v>
                </c:pt>
                <c:pt idx="6">
                  <c:v>8338</c:v>
                </c:pt>
                <c:pt idx="7">
                  <c:v>8459</c:v>
                </c:pt>
                <c:pt idx="8">
                  <c:v>8857</c:v>
                </c:pt>
                <c:pt idx="9">
                  <c:v>9640</c:v>
                </c:pt>
                <c:pt idx="10">
                  <c:v>9358</c:v>
                </c:pt>
                <c:pt idx="11">
                  <c:v>9637</c:v>
                </c:pt>
                <c:pt idx="12">
                  <c:v>10069</c:v>
                </c:pt>
                <c:pt idx="13">
                  <c:v>10314</c:v>
                </c:pt>
                <c:pt idx="14">
                  <c:v>9998</c:v>
                </c:pt>
                <c:pt idx="15">
                  <c:v>8977</c:v>
                </c:pt>
                <c:pt idx="16">
                  <c:v>9363</c:v>
                </c:pt>
                <c:pt idx="17">
                  <c:v>9359</c:v>
                </c:pt>
                <c:pt idx="18">
                  <c:v>8933</c:v>
                </c:pt>
                <c:pt idx="19">
                  <c:v>7212</c:v>
                </c:pt>
                <c:pt idx="20">
                  <c:v>7138</c:v>
                </c:pt>
                <c:pt idx="21">
                  <c:v>7553</c:v>
                </c:pt>
                <c:pt idx="22">
                  <c:v>9381</c:v>
                </c:pt>
                <c:pt idx="23">
                  <c:v>7124</c:v>
                </c:pt>
                <c:pt idx="24">
                  <c:v>5639</c:v>
                </c:pt>
                <c:pt idx="25">
                  <c:v>6073</c:v>
                </c:pt>
                <c:pt idx="26">
                  <c:v>5699</c:v>
                </c:pt>
                <c:pt idx="27">
                  <c:v>5279</c:v>
                </c:pt>
                <c:pt idx="28">
                  <c:v>4879</c:v>
                </c:pt>
                <c:pt idx="29">
                  <c:v>4813</c:v>
                </c:pt>
                <c:pt idx="30">
                  <c:v>4924</c:v>
                </c:pt>
                <c:pt idx="31">
                  <c:v>4852</c:v>
                </c:pt>
                <c:pt idx="32">
                  <c:v>5066</c:v>
                </c:pt>
                <c:pt idx="33">
                  <c:v>4366</c:v>
                </c:pt>
                <c:pt idx="34">
                  <c:v>3872</c:v>
                </c:pt>
                <c:pt idx="35">
                  <c:v>3919</c:v>
                </c:pt>
                <c:pt idx="36">
                  <c:v>4028</c:v>
                </c:pt>
                <c:pt idx="37">
                  <c:v>2924</c:v>
                </c:pt>
                <c:pt idx="38">
                  <c:v>2252</c:v>
                </c:pt>
                <c:pt idx="39">
                  <c:v>1973</c:v>
                </c:pt>
                <c:pt idx="40">
                  <c:v>1498</c:v>
                </c:pt>
                <c:pt idx="41">
                  <c:v>1688</c:v>
                </c:pt>
                <c:pt idx="42">
                  <c:v>1813</c:v>
                </c:pt>
                <c:pt idx="43">
                  <c:v>1363</c:v>
                </c:pt>
                <c:pt idx="44">
                  <c:v>1353</c:v>
                </c:pt>
                <c:pt idx="45">
                  <c:v>1344</c:v>
                </c:pt>
                <c:pt idx="46">
                  <c:v>1081</c:v>
                </c:pt>
                <c:pt idx="47">
                  <c:v>1110</c:v>
                </c:pt>
                <c:pt idx="48">
                  <c:v>1203</c:v>
                </c:pt>
                <c:pt idx="49">
                  <c:v>1045</c:v>
                </c:pt>
                <c:pt idx="50">
                  <c:v>1115</c:v>
                </c:pt>
                <c:pt idx="51">
                  <c:v>580</c:v>
                </c:pt>
                <c:pt idx="52">
                  <c:v>643</c:v>
                </c:pt>
                <c:pt idx="53">
                  <c:v>222</c:v>
                </c:pt>
                <c:pt idx="54">
                  <c:v>51</c:v>
                </c:pt>
                <c:pt idx="55">
                  <c:v>21</c:v>
                </c:pt>
                <c:pt idx="56">
                  <c:v>40</c:v>
                </c:pt>
                <c:pt idx="57">
                  <c:v>15</c:v>
                </c:pt>
                <c:pt idx="63">
                  <c:v>25</c:v>
                </c:pt>
                <c:pt idx="66">
                  <c:v>13</c:v>
                </c:pt>
                <c:pt idx="67">
                  <c:v>3</c:v>
                </c:pt>
                <c:pt idx="68">
                  <c:v>5</c:v>
                </c:pt>
                <c:pt idx="69">
                  <c:v>8</c:v>
                </c:pt>
                <c:pt idx="70">
                  <c:v>2</c:v>
                </c:pt>
                <c:pt idx="71">
                  <c:v>5</c:v>
                </c:pt>
              </c:numCache>
            </c:numRef>
          </c:val>
          <c:smooth val="0"/>
          <c:extLst>
            <c:ext xmlns:c16="http://schemas.microsoft.com/office/drawing/2014/chart" uri="{C3380CC4-5D6E-409C-BE32-E72D297353CC}">
              <c16:uniqueId val="{00000001-3884-AF41-B885-F21A8709366F}"/>
            </c:ext>
          </c:extLst>
        </c:ser>
        <c:dLbls>
          <c:showLegendKey val="0"/>
          <c:showVal val="0"/>
          <c:showCatName val="0"/>
          <c:showSerName val="0"/>
          <c:showPercent val="0"/>
          <c:showBubbleSize val="0"/>
        </c:dLbls>
        <c:smooth val="0"/>
        <c:axId val="2092032376"/>
        <c:axId val="2092035928"/>
      </c:lineChart>
      <c:catAx>
        <c:axId val="209203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2035928"/>
        <c:crosses val="autoZero"/>
        <c:auto val="1"/>
        <c:lblAlgn val="ctr"/>
        <c:lblOffset val="100"/>
        <c:noMultiLvlLbl val="0"/>
      </c:catAx>
      <c:valAx>
        <c:axId val="2092035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03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Reformatory</c:v>
          </c:tx>
          <c:spPr>
            <a:ln w="12700" cap="rnd">
              <a:solidFill>
                <a:schemeClr val="bg2">
                  <a:lumMod val="75000"/>
                </a:schemeClr>
              </a:solidFill>
              <a:round/>
            </a:ln>
            <a:effectLst/>
          </c:spPr>
          <c:marker>
            <c:symbol val="none"/>
          </c:marker>
          <c:cat>
            <c:numRef>
              <c:f>Sheet1!$A$40:$A$74</c:f>
              <c:numCache>
                <c:formatCode>General</c:formatCode>
                <c:ptCount val="35"/>
                <c:pt idx="0">
                  <c:v>1893</c:v>
                </c:pt>
                <c:pt idx="1">
                  <c:v>1894</c:v>
                </c:pt>
                <c:pt idx="2">
                  <c:v>1895</c:v>
                </c:pt>
                <c:pt idx="3">
                  <c:v>1896</c:v>
                </c:pt>
                <c:pt idx="4">
                  <c:v>1897</c:v>
                </c:pt>
                <c:pt idx="5">
                  <c:v>1898</c:v>
                </c:pt>
                <c:pt idx="6">
                  <c:v>1899</c:v>
                </c:pt>
                <c:pt idx="7">
                  <c:v>1900</c:v>
                </c:pt>
                <c:pt idx="8">
                  <c:v>1901</c:v>
                </c:pt>
                <c:pt idx="9">
                  <c:v>1902</c:v>
                </c:pt>
                <c:pt idx="10">
                  <c:v>1903</c:v>
                </c:pt>
                <c:pt idx="11">
                  <c:v>1904</c:v>
                </c:pt>
                <c:pt idx="12">
                  <c:v>1905</c:v>
                </c:pt>
                <c:pt idx="13">
                  <c:v>1906</c:v>
                </c:pt>
                <c:pt idx="14">
                  <c:v>1907</c:v>
                </c:pt>
                <c:pt idx="15">
                  <c:v>1908</c:v>
                </c:pt>
                <c:pt idx="16">
                  <c:v>1909</c:v>
                </c:pt>
                <c:pt idx="17">
                  <c:v>1910</c:v>
                </c:pt>
                <c:pt idx="18">
                  <c:v>1911</c:v>
                </c:pt>
                <c:pt idx="19">
                  <c:v>1912</c:v>
                </c:pt>
                <c:pt idx="20">
                  <c:v>1913</c:v>
                </c:pt>
                <c:pt idx="21">
                  <c:v>1914</c:v>
                </c:pt>
                <c:pt idx="22">
                  <c:v>1915</c:v>
                </c:pt>
                <c:pt idx="23">
                  <c:v>1916</c:v>
                </c:pt>
                <c:pt idx="24">
                  <c:v>1917</c:v>
                </c:pt>
                <c:pt idx="25">
                  <c:v>1918</c:v>
                </c:pt>
                <c:pt idx="26">
                  <c:v>1919</c:v>
                </c:pt>
                <c:pt idx="27">
                  <c:v>1920</c:v>
                </c:pt>
                <c:pt idx="28">
                  <c:v>1921</c:v>
                </c:pt>
                <c:pt idx="29">
                  <c:v>1922</c:v>
                </c:pt>
                <c:pt idx="30">
                  <c:v>1923</c:v>
                </c:pt>
                <c:pt idx="31">
                  <c:v>1924</c:v>
                </c:pt>
                <c:pt idx="32">
                  <c:v>1925</c:v>
                </c:pt>
                <c:pt idx="33">
                  <c:v>1926</c:v>
                </c:pt>
                <c:pt idx="34">
                  <c:v>1927</c:v>
                </c:pt>
              </c:numCache>
            </c:numRef>
          </c:cat>
          <c:val>
            <c:numRef>
              <c:f>Sheet1!$J$40:$J$74</c:f>
              <c:numCache>
                <c:formatCode>General</c:formatCode>
                <c:ptCount val="35"/>
                <c:pt idx="0">
                  <c:v>1195</c:v>
                </c:pt>
                <c:pt idx="1">
                  <c:v>1285</c:v>
                </c:pt>
                <c:pt idx="2">
                  <c:v>1120</c:v>
                </c:pt>
                <c:pt idx="3">
                  <c:v>1051</c:v>
                </c:pt>
                <c:pt idx="4">
                  <c:v>1171</c:v>
                </c:pt>
                <c:pt idx="5">
                  <c:v>1246</c:v>
                </c:pt>
                <c:pt idx="6">
                  <c:v>1134</c:v>
                </c:pt>
                <c:pt idx="7">
                  <c:v>1292</c:v>
                </c:pt>
                <c:pt idx="8">
                  <c:v>1294</c:v>
                </c:pt>
                <c:pt idx="9">
                  <c:v>1205</c:v>
                </c:pt>
                <c:pt idx="10">
                  <c:v>1127</c:v>
                </c:pt>
                <c:pt idx="11">
                  <c:v>1129</c:v>
                </c:pt>
                <c:pt idx="12">
                  <c:v>1186</c:v>
                </c:pt>
                <c:pt idx="13">
                  <c:v>1257</c:v>
                </c:pt>
                <c:pt idx="14">
                  <c:v>1257</c:v>
                </c:pt>
                <c:pt idx="15">
                  <c:v>1377</c:v>
                </c:pt>
                <c:pt idx="16">
                  <c:v>1271</c:v>
                </c:pt>
                <c:pt idx="17">
                  <c:v>1287</c:v>
                </c:pt>
                <c:pt idx="18">
                  <c:v>1181</c:v>
                </c:pt>
                <c:pt idx="19">
                  <c:v>1300</c:v>
                </c:pt>
                <c:pt idx="20">
                  <c:v>1250</c:v>
                </c:pt>
                <c:pt idx="21">
                  <c:v>1285</c:v>
                </c:pt>
                <c:pt idx="24">
                  <c:v>1817</c:v>
                </c:pt>
                <c:pt idx="25">
                  <c:v>1685</c:v>
                </c:pt>
                <c:pt idx="26">
                  <c:v>1083</c:v>
                </c:pt>
                <c:pt idx="29">
                  <c:v>564</c:v>
                </c:pt>
                <c:pt idx="31">
                  <c:v>530</c:v>
                </c:pt>
                <c:pt idx="32">
                  <c:v>578</c:v>
                </c:pt>
                <c:pt idx="33">
                  <c:v>549</c:v>
                </c:pt>
                <c:pt idx="34">
                  <c:v>525</c:v>
                </c:pt>
              </c:numCache>
            </c:numRef>
          </c:val>
          <c:smooth val="0"/>
          <c:extLst>
            <c:ext xmlns:c16="http://schemas.microsoft.com/office/drawing/2014/chart" uri="{C3380CC4-5D6E-409C-BE32-E72D297353CC}">
              <c16:uniqueId val="{00000000-9E80-4C89-87F8-2220297C429F}"/>
            </c:ext>
          </c:extLst>
        </c:ser>
        <c:ser>
          <c:idx val="1"/>
          <c:order val="1"/>
          <c:tx>
            <c:v>Industrial School</c:v>
          </c:tx>
          <c:spPr>
            <a:ln w="19050" cap="rnd">
              <a:solidFill>
                <a:schemeClr val="tx1"/>
              </a:solidFill>
              <a:round/>
            </a:ln>
            <a:effectLst/>
          </c:spPr>
          <c:marker>
            <c:symbol val="none"/>
          </c:marker>
          <c:cat>
            <c:numRef>
              <c:f>Sheet1!$A$40:$A$74</c:f>
              <c:numCache>
                <c:formatCode>General</c:formatCode>
                <c:ptCount val="35"/>
                <c:pt idx="0">
                  <c:v>1893</c:v>
                </c:pt>
                <c:pt idx="1">
                  <c:v>1894</c:v>
                </c:pt>
                <c:pt idx="2">
                  <c:v>1895</c:v>
                </c:pt>
                <c:pt idx="3">
                  <c:v>1896</c:v>
                </c:pt>
                <c:pt idx="4">
                  <c:v>1897</c:v>
                </c:pt>
                <c:pt idx="5">
                  <c:v>1898</c:v>
                </c:pt>
                <c:pt idx="6">
                  <c:v>1899</c:v>
                </c:pt>
                <c:pt idx="7">
                  <c:v>1900</c:v>
                </c:pt>
                <c:pt idx="8">
                  <c:v>1901</c:v>
                </c:pt>
                <c:pt idx="9">
                  <c:v>1902</c:v>
                </c:pt>
                <c:pt idx="10">
                  <c:v>1903</c:v>
                </c:pt>
                <c:pt idx="11">
                  <c:v>1904</c:v>
                </c:pt>
                <c:pt idx="12">
                  <c:v>1905</c:v>
                </c:pt>
                <c:pt idx="13">
                  <c:v>1906</c:v>
                </c:pt>
                <c:pt idx="14">
                  <c:v>1907</c:v>
                </c:pt>
                <c:pt idx="15">
                  <c:v>1908</c:v>
                </c:pt>
                <c:pt idx="16">
                  <c:v>1909</c:v>
                </c:pt>
                <c:pt idx="17">
                  <c:v>1910</c:v>
                </c:pt>
                <c:pt idx="18">
                  <c:v>1911</c:v>
                </c:pt>
                <c:pt idx="19">
                  <c:v>1912</c:v>
                </c:pt>
                <c:pt idx="20">
                  <c:v>1913</c:v>
                </c:pt>
                <c:pt idx="21">
                  <c:v>1914</c:v>
                </c:pt>
                <c:pt idx="22">
                  <c:v>1915</c:v>
                </c:pt>
                <c:pt idx="23">
                  <c:v>1916</c:v>
                </c:pt>
                <c:pt idx="24">
                  <c:v>1917</c:v>
                </c:pt>
                <c:pt idx="25">
                  <c:v>1918</c:v>
                </c:pt>
                <c:pt idx="26">
                  <c:v>1919</c:v>
                </c:pt>
                <c:pt idx="27">
                  <c:v>1920</c:v>
                </c:pt>
                <c:pt idx="28">
                  <c:v>1921</c:v>
                </c:pt>
                <c:pt idx="29">
                  <c:v>1922</c:v>
                </c:pt>
                <c:pt idx="30">
                  <c:v>1923</c:v>
                </c:pt>
                <c:pt idx="31">
                  <c:v>1924</c:v>
                </c:pt>
                <c:pt idx="32">
                  <c:v>1925</c:v>
                </c:pt>
                <c:pt idx="33">
                  <c:v>1926</c:v>
                </c:pt>
                <c:pt idx="34">
                  <c:v>1927</c:v>
                </c:pt>
              </c:numCache>
            </c:numRef>
          </c:cat>
          <c:val>
            <c:numRef>
              <c:f>Sheet1!$K$40:$K$74</c:f>
              <c:numCache>
                <c:formatCode>General</c:formatCode>
                <c:ptCount val="35"/>
                <c:pt idx="0">
                  <c:v>6706</c:v>
                </c:pt>
                <c:pt idx="1">
                  <c:v>6815</c:v>
                </c:pt>
                <c:pt idx="2">
                  <c:v>6711</c:v>
                </c:pt>
                <c:pt idx="3">
                  <c:v>7334</c:v>
                </c:pt>
                <c:pt idx="4">
                  <c:v>6822</c:v>
                </c:pt>
                <c:pt idx="5">
                  <c:v>7005</c:v>
                </c:pt>
                <c:pt idx="6">
                  <c:v>7245</c:v>
                </c:pt>
                <c:pt idx="7">
                  <c:v>6874</c:v>
                </c:pt>
                <c:pt idx="8">
                  <c:v>7052</c:v>
                </c:pt>
                <c:pt idx="9">
                  <c:v>6220</c:v>
                </c:pt>
                <c:pt idx="10">
                  <c:v>5717</c:v>
                </c:pt>
                <c:pt idx="11">
                  <c:v>5417</c:v>
                </c:pt>
                <c:pt idx="12">
                  <c:v>5927</c:v>
                </c:pt>
                <c:pt idx="13">
                  <c:v>5399</c:v>
                </c:pt>
                <c:pt idx="14">
                  <c:v>5161</c:v>
                </c:pt>
                <c:pt idx="15">
                  <c:v>5119</c:v>
                </c:pt>
                <c:pt idx="16">
                  <c:v>4601</c:v>
                </c:pt>
                <c:pt idx="17">
                  <c:v>4501</c:v>
                </c:pt>
                <c:pt idx="18">
                  <c:v>4157</c:v>
                </c:pt>
                <c:pt idx="19">
                  <c:v>4762</c:v>
                </c:pt>
                <c:pt idx="20">
                  <c:v>4613</c:v>
                </c:pt>
                <c:pt idx="21">
                  <c:v>4435</c:v>
                </c:pt>
                <c:pt idx="24">
                  <c:v>4317</c:v>
                </c:pt>
                <c:pt idx="25">
                  <c:v>3579</c:v>
                </c:pt>
                <c:pt idx="26">
                  <c:v>2495</c:v>
                </c:pt>
                <c:pt idx="29">
                  <c:v>484</c:v>
                </c:pt>
                <c:pt idx="31">
                  <c:v>526</c:v>
                </c:pt>
                <c:pt idx="32">
                  <c:v>552</c:v>
                </c:pt>
                <c:pt idx="33">
                  <c:v>487</c:v>
                </c:pt>
                <c:pt idx="34">
                  <c:v>447</c:v>
                </c:pt>
              </c:numCache>
            </c:numRef>
          </c:val>
          <c:smooth val="0"/>
          <c:extLst>
            <c:ext xmlns:c16="http://schemas.microsoft.com/office/drawing/2014/chart" uri="{C3380CC4-5D6E-409C-BE32-E72D297353CC}">
              <c16:uniqueId val="{00000001-9E80-4C89-87F8-2220297C429F}"/>
            </c:ext>
          </c:extLst>
        </c:ser>
        <c:ser>
          <c:idx val="2"/>
          <c:order val="2"/>
          <c:tx>
            <c:v>Borstal</c:v>
          </c:tx>
          <c:spPr>
            <a:ln w="15875" cap="rnd">
              <a:solidFill>
                <a:schemeClr val="bg2">
                  <a:lumMod val="50000"/>
                </a:schemeClr>
              </a:solidFill>
              <a:round/>
            </a:ln>
            <a:effectLst/>
          </c:spPr>
          <c:marker>
            <c:symbol val="none"/>
          </c:marker>
          <c:cat>
            <c:numRef>
              <c:f>Sheet1!$A$40:$A$74</c:f>
              <c:numCache>
                <c:formatCode>General</c:formatCode>
                <c:ptCount val="35"/>
                <c:pt idx="0">
                  <c:v>1893</c:v>
                </c:pt>
                <c:pt idx="1">
                  <c:v>1894</c:v>
                </c:pt>
                <c:pt idx="2">
                  <c:v>1895</c:v>
                </c:pt>
                <c:pt idx="3">
                  <c:v>1896</c:v>
                </c:pt>
                <c:pt idx="4">
                  <c:v>1897</c:v>
                </c:pt>
                <c:pt idx="5">
                  <c:v>1898</c:v>
                </c:pt>
                <c:pt idx="6">
                  <c:v>1899</c:v>
                </c:pt>
                <c:pt idx="7">
                  <c:v>1900</c:v>
                </c:pt>
                <c:pt idx="8">
                  <c:v>1901</c:v>
                </c:pt>
                <c:pt idx="9">
                  <c:v>1902</c:v>
                </c:pt>
                <c:pt idx="10">
                  <c:v>1903</c:v>
                </c:pt>
                <c:pt idx="11">
                  <c:v>1904</c:v>
                </c:pt>
                <c:pt idx="12">
                  <c:v>1905</c:v>
                </c:pt>
                <c:pt idx="13">
                  <c:v>1906</c:v>
                </c:pt>
                <c:pt idx="14">
                  <c:v>1907</c:v>
                </c:pt>
                <c:pt idx="15">
                  <c:v>1908</c:v>
                </c:pt>
                <c:pt idx="16">
                  <c:v>1909</c:v>
                </c:pt>
                <c:pt idx="17">
                  <c:v>1910</c:v>
                </c:pt>
                <c:pt idx="18">
                  <c:v>1911</c:v>
                </c:pt>
                <c:pt idx="19">
                  <c:v>1912</c:v>
                </c:pt>
                <c:pt idx="20">
                  <c:v>1913</c:v>
                </c:pt>
                <c:pt idx="21">
                  <c:v>1914</c:v>
                </c:pt>
                <c:pt idx="22">
                  <c:v>1915</c:v>
                </c:pt>
                <c:pt idx="23">
                  <c:v>1916</c:v>
                </c:pt>
                <c:pt idx="24">
                  <c:v>1917</c:v>
                </c:pt>
                <c:pt idx="25">
                  <c:v>1918</c:v>
                </c:pt>
                <c:pt idx="26">
                  <c:v>1919</c:v>
                </c:pt>
                <c:pt idx="27">
                  <c:v>1920</c:v>
                </c:pt>
                <c:pt idx="28">
                  <c:v>1921</c:v>
                </c:pt>
                <c:pt idx="29">
                  <c:v>1922</c:v>
                </c:pt>
                <c:pt idx="30">
                  <c:v>1923</c:v>
                </c:pt>
                <c:pt idx="31">
                  <c:v>1924</c:v>
                </c:pt>
                <c:pt idx="32">
                  <c:v>1925</c:v>
                </c:pt>
                <c:pt idx="33">
                  <c:v>1926</c:v>
                </c:pt>
                <c:pt idx="34">
                  <c:v>1927</c:v>
                </c:pt>
              </c:numCache>
            </c:numRef>
          </c:cat>
          <c:val>
            <c:numRef>
              <c:f>Sheet1!$L$40:$L$74</c:f>
              <c:numCache>
                <c:formatCode>General</c:formatCode>
                <c:ptCount val="35"/>
                <c:pt idx="16">
                  <c:v>216</c:v>
                </c:pt>
                <c:pt idx="17">
                  <c:v>445</c:v>
                </c:pt>
                <c:pt idx="18">
                  <c:v>527</c:v>
                </c:pt>
                <c:pt idx="19">
                  <c:v>547</c:v>
                </c:pt>
                <c:pt idx="20">
                  <c:v>522</c:v>
                </c:pt>
                <c:pt idx="21">
                  <c:v>514</c:v>
                </c:pt>
                <c:pt idx="22">
                  <c:v>262</c:v>
                </c:pt>
                <c:pt idx="23">
                  <c:v>449</c:v>
                </c:pt>
                <c:pt idx="24">
                  <c:v>485</c:v>
                </c:pt>
                <c:pt idx="25">
                  <c:v>612</c:v>
                </c:pt>
                <c:pt idx="26">
                  <c:v>685</c:v>
                </c:pt>
                <c:pt idx="29">
                  <c:v>473</c:v>
                </c:pt>
                <c:pt idx="30">
                  <c:v>470</c:v>
                </c:pt>
                <c:pt idx="31">
                  <c:v>483</c:v>
                </c:pt>
                <c:pt idx="32">
                  <c:v>505</c:v>
                </c:pt>
                <c:pt idx="33">
                  <c:v>601</c:v>
                </c:pt>
                <c:pt idx="34">
                  <c:v>565</c:v>
                </c:pt>
              </c:numCache>
            </c:numRef>
          </c:val>
          <c:smooth val="0"/>
          <c:extLst>
            <c:ext xmlns:c16="http://schemas.microsoft.com/office/drawing/2014/chart" uri="{C3380CC4-5D6E-409C-BE32-E72D297353CC}">
              <c16:uniqueId val="{00000002-9E80-4C89-87F8-2220297C429F}"/>
            </c:ext>
          </c:extLst>
        </c:ser>
        <c:dLbls>
          <c:showLegendKey val="0"/>
          <c:showVal val="0"/>
          <c:showCatName val="0"/>
          <c:showSerName val="0"/>
          <c:showPercent val="0"/>
          <c:showBubbleSize val="0"/>
        </c:dLbls>
        <c:smooth val="0"/>
        <c:axId val="2092078376"/>
        <c:axId val="2092081928"/>
      </c:lineChart>
      <c:catAx>
        <c:axId val="2092078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92081928"/>
        <c:crosses val="autoZero"/>
        <c:auto val="1"/>
        <c:lblAlgn val="ctr"/>
        <c:lblOffset val="100"/>
        <c:noMultiLvlLbl val="0"/>
      </c:catAx>
      <c:valAx>
        <c:axId val="209208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2078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graphs!$B$184</c:f>
              <c:strCache>
                <c:ptCount val="1"/>
                <c:pt idx="0">
                  <c:v> youth custody </c:v>
                </c:pt>
              </c:strCache>
            </c:strRef>
          </c:tx>
          <c:spPr>
            <a:ln w="15875" cap="rnd">
              <a:solidFill>
                <a:schemeClr val="bg2">
                  <a:lumMod val="25000"/>
                </a:schemeClr>
              </a:solidFill>
              <a:prstDash val="sysDash"/>
              <a:round/>
            </a:ln>
            <a:effectLst/>
          </c:spPr>
          <c:marker>
            <c:symbol val="none"/>
          </c:marker>
          <c:cat>
            <c:numRef>
              <c:f>graphs!$A$185:$A$218</c:f>
              <c:numCache>
                <c:formatCode>General</c:formatCode>
                <c:ptCount val="34"/>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numCache>
            </c:numRef>
          </c:cat>
          <c:val>
            <c:numRef>
              <c:f>graphs!$B$185:$B$218</c:f>
              <c:numCache>
                <c:formatCode>General</c:formatCode>
                <c:ptCount val="34"/>
                <c:pt idx="0">
                  <c:v>3081</c:v>
                </c:pt>
                <c:pt idx="1">
                  <c:v>2861</c:v>
                </c:pt>
                <c:pt idx="2">
                  <c:v>2703</c:v>
                </c:pt>
                <c:pt idx="3">
                  <c:v>1288</c:v>
                </c:pt>
                <c:pt idx="4">
                  <c:v>1467</c:v>
                </c:pt>
                <c:pt idx="5">
                  <c:v>1243</c:v>
                </c:pt>
                <c:pt idx="6">
                  <c:v>1370</c:v>
                </c:pt>
                <c:pt idx="7">
                  <c:v>1267</c:v>
                </c:pt>
                <c:pt idx="8">
                  <c:v>1170</c:v>
                </c:pt>
                <c:pt idx="9">
                  <c:v>1231</c:v>
                </c:pt>
                <c:pt idx="10">
                  <c:v>1404</c:v>
                </c:pt>
                <c:pt idx="11">
                  <c:v>1649</c:v>
                </c:pt>
                <c:pt idx="12">
                  <c:v>1947</c:v>
                </c:pt>
                <c:pt idx="13">
                  <c:v>2660</c:v>
                </c:pt>
                <c:pt idx="14">
                  <c:v>3269</c:v>
                </c:pt>
                <c:pt idx="15">
                  <c:v>3249</c:v>
                </c:pt>
                <c:pt idx="16">
                  <c:v>2926</c:v>
                </c:pt>
                <c:pt idx="17">
                  <c:v>2563</c:v>
                </c:pt>
                <c:pt idx="18">
                  <c:v>2733</c:v>
                </c:pt>
                <c:pt idx="19">
                  <c:v>3137</c:v>
                </c:pt>
                <c:pt idx="20">
                  <c:v>3761</c:v>
                </c:pt>
                <c:pt idx="21">
                  <c:v>3681</c:v>
                </c:pt>
                <c:pt idx="22">
                  <c:v>2536</c:v>
                </c:pt>
                <c:pt idx="23">
                  <c:v>2951</c:v>
                </c:pt>
                <c:pt idx="24">
                  <c:v>3337</c:v>
                </c:pt>
                <c:pt idx="25">
                  <c:v>3544</c:v>
                </c:pt>
                <c:pt idx="26">
                  <c:v>5231</c:v>
                </c:pt>
                <c:pt idx="27">
                  <c:v>4615</c:v>
                </c:pt>
                <c:pt idx="28">
                  <c:v>4369</c:v>
                </c:pt>
                <c:pt idx="32">
                  <c:v>5653</c:v>
                </c:pt>
                <c:pt idx="33">
                  <c:v>6256</c:v>
                </c:pt>
              </c:numCache>
            </c:numRef>
          </c:val>
          <c:smooth val="0"/>
          <c:extLst>
            <c:ext xmlns:c16="http://schemas.microsoft.com/office/drawing/2014/chart" uri="{C3380CC4-5D6E-409C-BE32-E72D297353CC}">
              <c16:uniqueId val="{00000000-D9ED-214C-BC3E-B54200BDFB04}"/>
            </c:ext>
          </c:extLst>
        </c:ser>
        <c:ser>
          <c:idx val="2"/>
          <c:order val="1"/>
          <c:tx>
            <c:strRef>
              <c:f>graphs!$C$184</c:f>
              <c:strCache>
                <c:ptCount val="1"/>
                <c:pt idx="0">
                  <c:v>detention centre</c:v>
                </c:pt>
              </c:strCache>
            </c:strRef>
          </c:tx>
          <c:spPr>
            <a:ln w="15875" cap="rnd">
              <a:solidFill>
                <a:schemeClr val="tx1"/>
              </a:solidFill>
              <a:round/>
            </a:ln>
            <a:effectLst/>
          </c:spPr>
          <c:marker>
            <c:symbol val="none"/>
          </c:marker>
          <c:cat>
            <c:numRef>
              <c:f>graphs!$A$185:$A$218</c:f>
              <c:numCache>
                <c:formatCode>General</c:formatCode>
                <c:ptCount val="34"/>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numCache>
            </c:numRef>
          </c:cat>
          <c:val>
            <c:numRef>
              <c:f>graphs!$C$185:$C$218</c:f>
              <c:numCache>
                <c:formatCode>General</c:formatCode>
                <c:ptCount val="34"/>
                <c:pt idx="8">
                  <c:v>479</c:v>
                </c:pt>
                <c:pt idx="9">
                  <c:v>586</c:v>
                </c:pt>
                <c:pt idx="10">
                  <c:v>818</c:v>
                </c:pt>
                <c:pt idx="11">
                  <c:v>1093</c:v>
                </c:pt>
                <c:pt idx="12">
                  <c:v>1302</c:v>
                </c:pt>
                <c:pt idx="13">
                  <c:v>1356</c:v>
                </c:pt>
                <c:pt idx="14">
                  <c:v>1295</c:v>
                </c:pt>
                <c:pt idx="15">
                  <c:v>2311</c:v>
                </c:pt>
                <c:pt idx="16">
                  <c:v>3598</c:v>
                </c:pt>
                <c:pt idx="17">
                  <c:v>4743</c:v>
                </c:pt>
                <c:pt idx="18">
                  <c:v>5890</c:v>
                </c:pt>
                <c:pt idx="19">
                  <c:v>6827</c:v>
                </c:pt>
                <c:pt idx="20">
                  <c:v>7260</c:v>
                </c:pt>
                <c:pt idx="21">
                  <c:v>7220</c:v>
                </c:pt>
                <c:pt idx="22">
                  <c:v>7729</c:v>
                </c:pt>
                <c:pt idx="23">
                  <c:v>8356</c:v>
                </c:pt>
                <c:pt idx="24">
                  <c:v>9144</c:v>
                </c:pt>
                <c:pt idx="25">
                  <c:v>9146</c:v>
                </c:pt>
                <c:pt idx="26">
                  <c:v>7561</c:v>
                </c:pt>
                <c:pt idx="27">
                  <c:v>7561</c:v>
                </c:pt>
                <c:pt idx="28">
                  <c:v>9151</c:v>
                </c:pt>
                <c:pt idx="29">
                  <c:v>10203</c:v>
                </c:pt>
                <c:pt idx="30">
                  <c:v>10444</c:v>
                </c:pt>
                <c:pt idx="31">
                  <c:v>10863</c:v>
                </c:pt>
                <c:pt idx="32">
                  <c:v>11638</c:v>
                </c:pt>
                <c:pt idx="33">
                  <c:v>11602</c:v>
                </c:pt>
              </c:numCache>
            </c:numRef>
          </c:val>
          <c:smooth val="0"/>
          <c:extLst>
            <c:ext xmlns:c16="http://schemas.microsoft.com/office/drawing/2014/chart" uri="{C3380CC4-5D6E-409C-BE32-E72D297353CC}">
              <c16:uniqueId val="{00000001-D9ED-214C-BC3E-B54200BDFB04}"/>
            </c:ext>
          </c:extLst>
        </c:ser>
        <c:ser>
          <c:idx val="3"/>
          <c:order val="2"/>
          <c:tx>
            <c:strRef>
              <c:f>graphs!$D$184</c:f>
              <c:strCache>
                <c:ptCount val="1"/>
                <c:pt idx="0">
                  <c:v>borstal</c:v>
                </c:pt>
              </c:strCache>
            </c:strRef>
          </c:tx>
          <c:spPr>
            <a:ln w="15875" cap="rnd">
              <a:solidFill>
                <a:schemeClr val="bg2">
                  <a:lumMod val="50000"/>
                </a:schemeClr>
              </a:solidFill>
              <a:round/>
            </a:ln>
            <a:effectLst/>
          </c:spPr>
          <c:marker>
            <c:symbol val="none"/>
          </c:marker>
          <c:cat>
            <c:numRef>
              <c:f>graphs!$A$185:$A$218</c:f>
              <c:numCache>
                <c:formatCode>General</c:formatCode>
                <c:ptCount val="34"/>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numCache>
            </c:numRef>
          </c:cat>
          <c:val>
            <c:numRef>
              <c:f>graphs!$D$185:$D$218</c:f>
              <c:numCache>
                <c:formatCode>General</c:formatCode>
                <c:ptCount val="34"/>
                <c:pt idx="0">
                  <c:v>2096</c:v>
                </c:pt>
                <c:pt idx="1">
                  <c:v>1902</c:v>
                </c:pt>
                <c:pt idx="2">
                  <c:v>1980</c:v>
                </c:pt>
                <c:pt idx="3">
                  <c:v>1927</c:v>
                </c:pt>
                <c:pt idx="4">
                  <c:v>1978</c:v>
                </c:pt>
                <c:pt idx="5">
                  <c:v>2089</c:v>
                </c:pt>
                <c:pt idx="6">
                  <c:v>2277</c:v>
                </c:pt>
                <c:pt idx="7">
                  <c:v>1947</c:v>
                </c:pt>
                <c:pt idx="8">
                  <c:v>1947</c:v>
                </c:pt>
                <c:pt idx="9">
                  <c:v>1643</c:v>
                </c:pt>
                <c:pt idx="10">
                  <c:v>1997</c:v>
                </c:pt>
                <c:pt idx="11">
                  <c:v>2463</c:v>
                </c:pt>
                <c:pt idx="12">
                  <c:v>3162</c:v>
                </c:pt>
                <c:pt idx="13">
                  <c:v>3164</c:v>
                </c:pt>
                <c:pt idx="14">
                  <c:v>3586</c:v>
                </c:pt>
                <c:pt idx="15">
                  <c:v>3715</c:v>
                </c:pt>
                <c:pt idx="16">
                  <c:v>3858</c:v>
                </c:pt>
                <c:pt idx="17">
                  <c:v>3696</c:v>
                </c:pt>
                <c:pt idx="18">
                  <c:v>3863</c:v>
                </c:pt>
                <c:pt idx="19">
                  <c:v>4048</c:v>
                </c:pt>
                <c:pt idx="20">
                  <c:v>5061</c:v>
                </c:pt>
                <c:pt idx="21">
                  <c:v>5160</c:v>
                </c:pt>
                <c:pt idx="22">
                  <c:v>5154</c:v>
                </c:pt>
                <c:pt idx="23">
                  <c:v>6043</c:v>
                </c:pt>
                <c:pt idx="24">
                  <c:v>7476</c:v>
                </c:pt>
                <c:pt idx="25">
                  <c:v>7156</c:v>
                </c:pt>
                <c:pt idx="26">
                  <c:v>6447</c:v>
                </c:pt>
                <c:pt idx="27">
                  <c:v>6054</c:v>
                </c:pt>
                <c:pt idx="28">
                  <c:v>6455</c:v>
                </c:pt>
                <c:pt idx="29">
                  <c:v>7267</c:v>
                </c:pt>
                <c:pt idx="30">
                  <c:v>7247</c:v>
                </c:pt>
                <c:pt idx="31">
                  <c:v>6903</c:v>
                </c:pt>
                <c:pt idx="32">
                  <c:v>7067</c:v>
                </c:pt>
                <c:pt idx="33">
                  <c:v>6580</c:v>
                </c:pt>
              </c:numCache>
            </c:numRef>
          </c:val>
          <c:smooth val="0"/>
          <c:extLst>
            <c:ext xmlns:c16="http://schemas.microsoft.com/office/drawing/2014/chart" uri="{C3380CC4-5D6E-409C-BE32-E72D297353CC}">
              <c16:uniqueId val="{00000002-D9ED-214C-BC3E-B54200BDFB04}"/>
            </c:ext>
          </c:extLst>
        </c:ser>
        <c:dLbls>
          <c:showLegendKey val="0"/>
          <c:showVal val="0"/>
          <c:showCatName val="0"/>
          <c:showSerName val="0"/>
          <c:showPercent val="0"/>
          <c:showBubbleSize val="0"/>
        </c:dLbls>
        <c:smooth val="0"/>
        <c:axId val="2092124488"/>
        <c:axId val="2092128040"/>
      </c:lineChart>
      <c:catAx>
        <c:axId val="209212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92128040"/>
        <c:crosses val="autoZero"/>
        <c:auto val="0"/>
        <c:lblAlgn val="ctr"/>
        <c:lblOffset val="100"/>
        <c:tickLblSkip val="5"/>
        <c:tickMarkSkip val="5"/>
        <c:noMultiLvlLbl val="0"/>
      </c:catAx>
      <c:valAx>
        <c:axId val="2092128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9212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'youth custody 1991 to 1999'!$B$3</c:f>
              <c:strCache>
                <c:ptCount val="1"/>
                <c:pt idx="0">
                  <c:v>males</c:v>
                </c:pt>
              </c:strCache>
            </c:strRef>
          </c:tx>
          <c:spPr>
            <a:ln w="15875" cap="rnd">
              <a:solidFill>
                <a:schemeClr val="tx1"/>
              </a:solidFill>
              <a:round/>
            </a:ln>
            <a:effectLst/>
          </c:spPr>
          <c:marker>
            <c:symbol val="none"/>
          </c:marker>
          <c:cat>
            <c:numRef>
              <c:f>'youth custody 1991 to 1999'!$A$4:$A$12</c:f>
              <c:numCache>
                <c:formatCode>General</c:formatCode>
                <c:ptCount val="9"/>
                <c:pt idx="0">
                  <c:v>1991</c:v>
                </c:pt>
                <c:pt idx="1">
                  <c:v>1992</c:v>
                </c:pt>
                <c:pt idx="2">
                  <c:v>1993</c:v>
                </c:pt>
                <c:pt idx="3">
                  <c:v>1994</c:v>
                </c:pt>
                <c:pt idx="4">
                  <c:v>1995</c:v>
                </c:pt>
                <c:pt idx="5">
                  <c:v>1996</c:v>
                </c:pt>
                <c:pt idx="6">
                  <c:v>1997</c:v>
                </c:pt>
                <c:pt idx="7">
                  <c:v>1998</c:v>
                </c:pt>
                <c:pt idx="8">
                  <c:v>1999</c:v>
                </c:pt>
              </c:numCache>
            </c:numRef>
          </c:cat>
          <c:val>
            <c:numRef>
              <c:f>'youth custody 1991 to 1999'!$B$4:$B$12</c:f>
              <c:numCache>
                <c:formatCode>General</c:formatCode>
                <c:ptCount val="9"/>
                <c:pt idx="0">
                  <c:v>5700</c:v>
                </c:pt>
                <c:pt idx="1">
                  <c:v>5300</c:v>
                </c:pt>
                <c:pt idx="2">
                  <c:v>5000</c:v>
                </c:pt>
                <c:pt idx="3">
                  <c:v>5200</c:v>
                </c:pt>
                <c:pt idx="4">
                  <c:v>5600</c:v>
                </c:pt>
                <c:pt idx="5">
                  <c:v>6500</c:v>
                </c:pt>
                <c:pt idx="6">
                  <c:v>7600</c:v>
                </c:pt>
                <c:pt idx="7">
                  <c:v>8200</c:v>
                </c:pt>
                <c:pt idx="8">
                  <c:v>8000</c:v>
                </c:pt>
              </c:numCache>
            </c:numRef>
          </c:val>
          <c:smooth val="0"/>
          <c:extLst>
            <c:ext xmlns:c16="http://schemas.microsoft.com/office/drawing/2014/chart" uri="{C3380CC4-5D6E-409C-BE32-E72D297353CC}">
              <c16:uniqueId val="{00000000-D4A0-8344-AEEF-E5BE34BB64BE}"/>
            </c:ext>
          </c:extLst>
        </c:ser>
        <c:ser>
          <c:idx val="1"/>
          <c:order val="1"/>
          <c:tx>
            <c:strRef>
              <c:f>'youth custody 1991 to 1999'!$C$3</c:f>
              <c:strCache>
                <c:ptCount val="1"/>
                <c:pt idx="0">
                  <c:v>females</c:v>
                </c:pt>
              </c:strCache>
            </c:strRef>
          </c:tx>
          <c:spPr>
            <a:ln w="19050" cap="rnd">
              <a:solidFill>
                <a:schemeClr val="tx1">
                  <a:lumMod val="50000"/>
                  <a:lumOff val="50000"/>
                </a:schemeClr>
              </a:solidFill>
              <a:round/>
            </a:ln>
            <a:effectLst/>
          </c:spPr>
          <c:marker>
            <c:symbol val="none"/>
          </c:marker>
          <c:cat>
            <c:numRef>
              <c:f>'youth custody 1991 to 1999'!$A$4:$A$12</c:f>
              <c:numCache>
                <c:formatCode>General</c:formatCode>
                <c:ptCount val="9"/>
                <c:pt idx="0">
                  <c:v>1991</c:v>
                </c:pt>
                <c:pt idx="1">
                  <c:v>1992</c:v>
                </c:pt>
                <c:pt idx="2">
                  <c:v>1993</c:v>
                </c:pt>
                <c:pt idx="3">
                  <c:v>1994</c:v>
                </c:pt>
                <c:pt idx="4">
                  <c:v>1995</c:v>
                </c:pt>
                <c:pt idx="5">
                  <c:v>1996</c:v>
                </c:pt>
                <c:pt idx="6">
                  <c:v>1997</c:v>
                </c:pt>
                <c:pt idx="7">
                  <c:v>1998</c:v>
                </c:pt>
                <c:pt idx="8">
                  <c:v>1999</c:v>
                </c:pt>
              </c:numCache>
            </c:numRef>
          </c:cat>
          <c:val>
            <c:numRef>
              <c:f>'youth custody 1991 to 1999'!$C$4:$C$12</c:f>
              <c:numCache>
                <c:formatCode>General</c:formatCode>
                <c:ptCount val="9"/>
                <c:pt idx="0">
                  <c:v>1200</c:v>
                </c:pt>
                <c:pt idx="1">
                  <c:v>1200</c:v>
                </c:pt>
                <c:pt idx="2">
                  <c:v>1100</c:v>
                </c:pt>
                <c:pt idx="3">
                  <c:v>1300</c:v>
                </c:pt>
                <c:pt idx="4">
                  <c:v>1500</c:v>
                </c:pt>
                <c:pt idx="5">
                  <c:v>1700</c:v>
                </c:pt>
                <c:pt idx="6">
                  <c:v>2000</c:v>
                </c:pt>
                <c:pt idx="7">
                  <c:v>2400</c:v>
                </c:pt>
                <c:pt idx="8">
                  <c:v>2500</c:v>
                </c:pt>
              </c:numCache>
            </c:numRef>
          </c:val>
          <c:smooth val="0"/>
          <c:extLst>
            <c:ext xmlns:c16="http://schemas.microsoft.com/office/drawing/2014/chart" uri="{C3380CC4-5D6E-409C-BE32-E72D297353CC}">
              <c16:uniqueId val="{00000001-D4A0-8344-AEEF-E5BE34BB64BE}"/>
            </c:ext>
          </c:extLst>
        </c:ser>
        <c:dLbls>
          <c:showLegendKey val="0"/>
          <c:showVal val="0"/>
          <c:showCatName val="0"/>
          <c:showSerName val="0"/>
          <c:showPercent val="0"/>
          <c:showBubbleSize val="0"/>
        </c:dLbls>
        <c:smooth val="0"/>
        <c:axId val="2092164168"/>
        <c:axId val="2092167720"/>
      </c:lineChart>
      <c:catAx>
        <c:axId val="209216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167720"/>
        <c:crosses val="autoZero"/>
        <c:auto val="1"/>
        <c:lblAlgn val="ctr"/>
        <c:lblOffset val="100"/>
        <c:noMultiLvlLbl val="0"/>
      </c:catAx>
      <c:valAx>
        <c:axId val="2092167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16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a:solidFill>
                <a:schemeClr val="tx1"/>
              </a:solidFill>
              <a:round/>
            </a:ln>
            <a:effectLst/>
          </c:spPr>
          <c:marker>
            <c:symbol val="none"/>
          </c:marker>
          <c:cat>
            <c:strRef>
              <c:f>'youth custody 2007-18'!$A$4:$A$13</c:f>
              <c:strCache>
                <c:ptCount val="10"/>
                <c:pt idx="0">
                  <c:v>2007/8</c:v>
                </c:pt>
                <c:pt idx="1">
                  <c:v>2008/9</c:v>
                </c:pt>
                <c:pt idx="2">
                  <c:v>2009/10</c:v>
                </c:pt>
                <c:pt idx="3">
                  <c:v>2010/11</c:v>
                </c:pt>
                <c:pt idx="4">
                  <c:v>2011/12</c:v>
                </c:pt>
                <c:pt idx="5">
                  <c:v>2012/13</c:v>
                </c:pt>
                <c:pt idx="6">
                  <c:v>2013/14</c:v>
                </c:pt>
                <c:pt idx="7">
                  <c:v>2014/15</c:v>
                </c:pt>
                <c:pt idx="8">
                  <c:v>2015/16</c:v>
                </c:pt>
                <c:pt idx="9">
                  <c:v>2016/17</c:v>
                </c:pt>
              </c:strCache>
            </c:strRef>
          </c:cat>
          <c:val>
            <c:numRef>
              <c:f>'youth custody 2007-18'!$B$4:$B$13</c:f>
              <c:numCache>
                <c:formatCode>General</c:formatCode>
                <c:ptCount val="10"/>
                <c:pt idx="0">
                  <c:v>6853</c:v>
                </c:pt>
                <c:pt idx="1">
                  <c:v>6720</c:v>
                </c:pt>
                <c:pt idx="2">
                  <c:v>5130</c:v>
                </c:pt>
                <c:pt idx="3">
                  <c:v>4177</c:v>
                </c:pt>
                <c:pt idx="4">
                  <c:v>3925</c:v>
                </c:pt>
                <c:pt idx="5">
                  <c:v>2780</c:v>
                </c:pt>
                <c:pt idx="6">
                  <c:v>2226</c:v>
                </c:pt>
                <c:pt idx="7">
                  <c:v>1834</c:v>
                </c:pt>
                <c:pt idx="8">
                  <c:v>1700</c:v>
                </c:pt>
                <c:pt idx="9">
                  <c:v>870</c:v>
                </c:pt>
              </c:numCache>
            </c:numRef>
          </c:val>
          <c:smooth val="0"/>
          <c:extLst>
            <c:ext xmlns:c16="http://schemas.microsoft.com/office/drawing/2014/chart" uri="{C3380CC4-5D6E-409C-BE32-E72D297353CC}">
              <c16:uniqueId val="{00000000-AF29-2241-9D66-2501B13BE933}"/>
            </c:ext>
          </c:extLst>
        </c:ser>
        <c:dLbls>
          <c:showLegendKey val="0"/>
          <c:showVal val="0"/>
          <c:showCatName val="0"/>
          <c:showSerName val="0"/>
          <c:showPercent val="0"/>
          <c:showBubbleSize val="0"/>
        </c:dLbls>
        <c:smooth val="0"/>
        <c:axId val="2089734312"/>
        <c:axId val="2095079016"/>
      </c:lineChart>
      <c:catAx>
        <c:axId val="208973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95079016"/>
        <c:crosses val="autoZero"/>
        <c:auto val="1"/>
        <c:lblAlgn val="ctr"/>
        <c:lblOffset val="100"/>
        <c:noMultiLvlLbl val="0"/>
      </c:catAx>
      <c:valAx>
        <c:axId val="209507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2089734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770E-4282-ED4F-A14E-8EADED7E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Pamela</dc:creator>
  <cp:keywords/>
  <dc:description/>
  <cp:lastModifiedBy>Godfrey, Barry</cp:lastModifiedBy>
  <cp:revision>3</cp:revision>
  <cp:lastPrinted>2019-03-07T16:52:00Z</cp:lastPrinted>
  <dcterms:created xsi:type="dcterms:W3CDTF">2019-11-15T15:35:00Z</dcterms:created>
  <dcterms:modified xsi:type="dcterms:W3CDTF">2019-11-15T16:01:00Z</dcterms:modified>
</cp:coreProperties>
</file>