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830" w:rsidRDefault="007206BB" w:rsidP="00CB2434">
      <w:pPr>
        <w:spacing w:line="480" w:lineRule="auto"/>
        <w:jc w:val="both"/>
        <w:rPr>
          <w:lang w:val="en-GB"/>
        </w:rPr>
      </w:pPr>
      <w:r>
        <w:rPr>
          <w:lang w:val="en-GB"/>
        </w:rPr>
        <w:tab/>
      </w:r>
    </w:p>
    <w:p w:rsidR="00196B8B" w:rsidRDefault="00196B8B" w:rsidP="00CB2434">
      <w:pPr>
        <w:spacing w:line="480" w:lineRule="auto"/>
        <w:jc w:val="both"/>
        <w:rPr>
          <w:lang w:val="en-GB"/>
        </w:rPr>
      </w:pPr>
    </w:p>
    <w:p w:rsidR="00196B8B" w:rsidRPr="00704EFD" w:rsidRDefault="00196B8B" w:rsidP="00CB2434">
      <w:pPr>
        <w:spacing w:line="480" w:lineRule="auto"/>
        <w:jc w:val="both"/>
        <w:rPr>
          <w:lang w:val="en-GB"/>
        </w:rPr>
      </w:pPr>
    </w:p>
    <w:p w:rsidR="006B07F2" w:rsidRDefault="006B07F2" w:rsidP="00CB2434">
      <w:pPr>
        <w:spacing w:line="480" w:lineRule="auto"/>
        <w:jc w:val="both"/>
        <w:rPr>
          <w:rFonts w:ascii="Arial" w:hAnsi="Arial" w:cs="Arial"/>
          <w:b/>
          <w:caps/>
          <w:lang w:val="en-GB"/>
        </w:rPr>
      </w:pPr>
    </w:p>
    <w:p w:rsidR="00B17830" w:rsidRPr="00403418" w:rsidRDefault="00B17830" w:rsidP="00CB2434">
      <w:pPr>
        <w:spacing w:line="480" w:lineRule="auto"/>
        <w:jc w:val="center"/>
        <w:rPr>
          <w:rFonts w:ascii="Arial" w:hAnsi="Arial" w:cs="Arial"/>
          <w:b/>
          <w:caps/>
          <w:lang w:val="en-GB"/>
        </w:rPr>
      </w:pPr>
      <w:r w:rsidRPr="00403418">
        <w:rPr>
          <w:rFonts w:ascii="Arial" w:hAnsi="Arial" w:cs="Arial"/>
          <w:b/>
          <w:caps/>
          <w:lang w:val="en-GB"/>
        </w:rPr>
        <w:t xml:space="preserve">Predicting the Criminal Records of Male-on-Female UK Homicide Offenders from Crime Scene </w:t>
      </w:r>
      <w:r w:rsidR="006A415D">
        <w:rPr>
          <w:rFonts w:ascii="Arial" w:hAnsi="Arial" w:cs="Arial"/>
          <w:b/>
          <w:caps/>
          <w:lang w:val="en-GB"/>
        </w:rPr>
        <w:t>Behavior</w:t>
      </w:r>
      <w:r w:rsidRPr="00403418">
        <w:rPr>
          <w:rFonts w:ascii="Arial" w:hAnsi="Arial" w:cs="Arial"/>
          <w:b/>
          <w:caps/>
          <w:lang w:val="en-GB"/>
        </w:rPr>
        <w:t>s</w:t>
      </w:r>
    </w:p>
    <w:p w:rsidR="00196B8B" w:rsidRDefault="00196B8B" w:rsidP="00CB2434">
      <w:pPr>
        <w:spacing w:line="480" w:lineRule="auto"/>
        <w:jc w:val="both"/>
        <w:rPr>
          <w:lang w:val="en-GB"/>
        </w:rPr>
      </w:pPr>
    </w:p>
    <w:p w:rsidR="00196B8B" w:rsidRPr="003200A5" w:rsidRDefault="003200A5" w:rsidP="00CB2434">
      <w:pPr>
        <w:spacing w:line="480" w:lineRule="auto"/>
        <w:jc w:val="center"/>
        <w:rPr>
          <w:rFonts w:ascii="Arial" w:hAnsi="Arial" w:cs="Arial"/>
          <w:vertAlign w:val="superscript"/>
          <w:lang w:val="en-GB"/>
        </w:rPr>
      </w:pPr>
      <w:r>
        <w:rPr>
          <w:rFonts w:ascii="Arial" w:hAnsi="Arial" w:cs="Arial"/>
          <w:lang w:val="en-GB"/>
        </w:rPr>
        <w:t xml:space="preserve">Dr Louise Almond </w:t>
      </w:r>
      <w:r>
        <w:rPr>
          <w:rFonts w:ascii="Arial" w:hAnsi="Arial" w:cs="Arial"/>
          <w:vertAlign w:val="superscript"/>
          <w:lang w:val="en-GB"/>
        </w:rPr>
        <w:t>1</w:t>
      </w:r>
    </w:p>
    <w:p w:rsidR="00196B8B" w:rsidRPr="00685A98" w:rsidRDefault="00196B8B" w:rsidP="00CB2434">
      <w:pPr>
        <w:spacing w:line="480" w:lineRule="auto"/>
        <w:jc w:val="center"/>
        <w:rPr>
          <w:rFonts w:ascii="Arial" w:hAnsi="Arial" w:cs="Arial"/>
          <w:vertAlign w:val="superscript"/>
          <w:lang w:val="en-GB"/>
        </w:rPr>
      </w:pPr>
      <w:r>
        <w:rPr>
          <w:rFonts w:ascii="Arial" w:hAnsi="Arial" w:cs="Arial"/>
          <w:lang w:val="en-GB"/>
        </w:rPr>
        <w:t>Elias Matin</w:t>
      </w:r>
      <w:r w:rsidR="00685A98">
        <w:rPr>
          <w:rFonts w:ascii="Arial" w:hAnsi="Arial" w:cs="Arial"/>
          <w:vertAlign w:val="superscript"/>
          <w:lang w:val="en-GB"/>
        </w:rPr>
        <w:t>1</w:t>
      </w:r>
    </w:p>
    <w:p w:rsidR="00685A98" w:rsidRDefault="00685A98" w:rsidP="00CB2434">
      <w:pPr>
        <w:spacing w:line="480" w:lineRule="auto"/>
        <w:jc w:val="center"/>
        <w:rPr>
          <w:rFonts w:ascii="Arial" w:hAnsi="Arial" w:cs="Arial"/>
          <w:vertAlign w:val="superscript"/>
          <w:lang w:val="en-GB"/>
        </w:rPr>
      </w:pPr>
      <w:r>
        <w:rPr>
          <w:rFonts w:ascii="Arial" w:hAnsi="Arial" w:cs="Arial"/>
          <w:lang w:val="en-GB"/>
        </w:rPr>
        <w:t>Dr Michelle McManus</w:t>
      </w:r>
      <w:r>
        <w:rPr>
          <w:rFonts w:ascii="Arial" w:hAnsi="Arial" w:cs="Arial"/>
          <w:vertAlign w:val="superscript"/>
          <w:lang w:val="en-GB"/>
        </w:rPr>
        <w:t>2</w:t>
      </w:r>
    </w:p>
    <w:p w:rsidR="00685A98" w:rsidRDefault="00685A98" w:rsidP="00CB2434">
      <w:pPr>
        <w:spacing w:line="480" w:lineRule="auto"/>
        <w:jc w:val="center"/>
        <w:rPr>
          <w:rFonts w:ascii="Arial" w:hAnsi="Arial" w:cs="Arial"/>
          <w:vertAlign w:val="superscript"/>
          <w:lang w:val="en-GB"/>
        </w:rPr>
      </w:pPr>
    </w:p>
    <w:p w:rsidR="00685A98" w:rsidRDefault="00685A98" w:rsidP="00CB2434">
      <w:pPr>
        <w:spacing w:line="480" w:lineRule="auto"/>
        <w:jc w:val="center"/>
        <w:rPr>
          <w:rFonts w:ascii="Arial" w:hAnsi="Arial" w:cs="Arial"/>
          <w:lang w:val="en-GB"/>
        </w:rPr>
      </w:pPr>
      <w:r>
        <w:rPr>
          <w:rFonts w:ascii="Arial" w:hAnsi="Arial" w:cs="Arial"/>
          <w:vertAlign w:val="superscript"/>
          <w:lang w:val="en-GB"/>
        </w:rPr>
        <w:t>1</w:t>
      </w:r>
      <w:r>
        <w:rPr>
          <w:rFonts w:ascii="Arial" w:hAnsi="Arial" w:cs="Arial"/>
          <w:lang w:val="en-GB"/>
        </w:rPr>
        <w:t>University of Liverpool</w:t>
      </w:r>
    </w:p>
    <w:p w:rsidR="00CB2434" w:rsidRDefault="00CB2434" w:rsidP="00CB2434">
      <w:pPr>
        <w:spacing w:line="480" w:lineRule="auto"/>
        <w:jc w:val="center"/>
        <w:rPr>
          <w:rFonts w:ascii="Arial" w:hAnsi="Arial" w:cs="Arial"/>
          <w:lang w:val="en-GB"/>
        </w:rPr>
      </w:pPr>
      <w:r>
        <w:rPr>
          <w:rFonts w:ascii="Arial" w:hAnsi="Arial" w:cs="Arial"/>
          <w:lang w:val="en-GB"/>
        </w:rPr>
        <w:t>School of Psychology</w:t>
      </w:r>
    </w:p>
    <w:p w:rsidR="00CB2434" w:rsidRDefault="00CB2434" w:rsidP="00CB2434">
      <w:pPr>
        <w:spacing w:line="480" w:lineRule="auto"/>
        <w:jc w:val="center"/>
        <w:rPr>
          <w:rFonts w:ascii="Arial" w:hAnsi="Arial" w:cs="Arial"/>
          <w:lang w:val="en-GB"/>
        </w:rPr>
      </w:pPr>
      <w:r>
        <w:rPr>
          <w:rFonts w:ascii="Arial" w:hAnsi="Arial" w:cs="Arial"/>
          <w:lang w:val="en-GB"/>
        </w:rPr>
        <w:t>Liverpool</w:t>
      </w:r>
    </w:p>
    <w:p w:rsidR="00CB2434" w:rsidRDefault="00CB2434" w:rsidP="00CB2434">
      <w:pPr>
        <w:spacing w:line="480" w:lineRule="auto"/>
        <w:jc w:val="center"/>
        <w:rPr>
          <w:rFonts w:ascii="Arial" w:hAnsi="Arial" w:cs="Arial"/>
          <w:lang w:val="en-GB"/>
        </w:rPr>
      </w:pPr>
      <w:r>
        <w:rPr>
          <w:rFonts w:ascii="Arial" w:hAnsi="Arial" w:cs="Arial"/>
          <w:lang w:val="en-GB"/>
        </w:rPr>
        <w:t>UK</w:t>
      </w:r>
    </w:p>
    <w:p w:rsidR="00CB2434" w:rsidRDefault="00F06D73" w:rsidP="00CB2434">
      <w:pPr>
        <w:spacing w:line="480" w:lineRule="auto"/>
        <w:jc w:val="center"/>
        <w:rPr>
          <w:rFonts w:ascii="Arial" w:hAnsi="Arial" w:cs="Arial"/>
          <w:lang w:val="en-GB"/>
        </w:rPr>
      </w:pPr>
      <w:hyperlink r:id="rId8" w:history="1">
        <w:r w:rsidR="00CB2434" w:rsidRPr="00B83126">
          <w:rPr>
            <w:rStyle w:val="Hyperlink"/>
            <w:rFonts w:ascii="Arial" w:hAnsi="Arial" w:cs="Arial"/>
            <w:lang w:val="en-GB"/>
          </w:rPr>
          <w:t>lalmond@liverpool.ac.uk</w:t>
        </w:r>
      </w:hyperlink>
    </w:p>
    <w:p w:rsidR="00CB2434" w:rsidRDefault="00CB2434" w:rsidP="00CB2434">
      <w:pPr>
        <w:spacing w:line="480" w:lineRule="auto"/>
        <w:jc w:val="center"/>
        <w:rPr>
          <w:rFonts w:ascii="Arial" w:hAnsi="Arial" w:cs="Arial"/>
          <w:lang w:val="en-GB"/>
        </w:rPr>
      </w:pPr>
    </w:p>
    <w:p w:rsidR="00685A98" w:rsidRDefault="00685A98" w:rsidP="00CB2434">
      <w:pPr>
        <w:spacing w:line="480" w:lineRule="auto"/>
        <w:jc w:val="center"/>
        <w:rPr>
          <w:rFonts w:ascii="Arial" w:hAnsi="Arial" w:cs="Arial"/>
          <w:lang w:val="en-GB"/>
        </w:rPr>
      </w:pPr>
      <w:r>
        <w:rPr>
          <w:rFonts w:ascii="Arial" w:hAnsi="Arial" w:cs="Arial"/>
          <w:vertAlign w:val="superscript"/>
          <w:lang w:val="en-GB"/>
        </w:rPr>
        <w:t>2</w:t>
      </w:r>
      <w:r>
        <w:rPr>
          <w:rFonts w:ascii="Arial" w:hAnsi="Arial" w:cs="Arial"/>
          <w:lang w:val="en-GB"/>
        </w:rPr>
        <w:t>Public Health Wales</w:t>
      </w:r>
    </w:p>
    <w:p w:rsidR="00CB2434" w:rsidRDefault="00CB2434" w:rsidP="00CB2434">
      <w:pPr>
        <w:spacing w:line="480" w:lineRule="auto"/>
        <w:jc w:val="center"/>
        <w:rPr>
          <w:rFonts w:ascii="Arial" w:hAnsi="Arial" w:cs="Arial"/>
          <w:lang w:val="en-GB"/>
        </w:rPr>
      </w:pPr>
      <w:r w:rsidRPr="00CB2434">
        <w:rPr>
          <w:rFonts w:ascii="Arial" w:hAnsi="Arial" w:cs="Arial"/>
          <w:lang w:val="en-GB"/>
        </w:rPr>
        <w:t>Policy, Research &amp; International Development</w:t>
      </w:r>
    </w:p>
    <w:p w:rsidR="00CB2434" w:rsidRDefault="00CB2434" w:rsidP="00CB2434">
      <w:pPr>
        <w:spacing w:line="480" w:lineRule="auto"/>
        <w:jc w:val="center"/>
        <w:rPr>
          <w:rFonts w:ascii="Arial" w:hAnsi="Arial" w:cs="Arial"/>
          <w:lang w:val="en-GB"/>
        </w:rPr>
      </w:pPr>
      <w:r>
        <w:rPr>
          <w:rFonts w:ascii="Arial" w:hAnsi="Arial" w:cs="Arial"/>
          <w:lang w:val="en-GB"/>
        </w:rPr>
        <w:t>Wrexham</w:t>
      </w:r>
    </w:p>
    <w:p w:rsidR="00CB2434" w:rsidRDefault="00CB2434" w:rsidP="00CB2434">
      <w:pPr>
        <w:spacing w:line="480" w:lineRule="auto"/>
        <w:jc w:val="center"/>
        <w:rPr>
          <w:rFonts w:ascii="Arial" w:hAnsi="Arial" w:cs="Arial"/>
          <w:lang w:val="en-GB"/>
        </w:rPr>
      </w:pPr>
      <w:r>
        <w:rPr>
          <w:rFonts w:ascii="Arial" w:hAnsi="Arial" w:cs="Arial"/>
          <w:lang w:val="en-GB"/>
        </w:rPr>
        <w:t>Wales</w:t>
      </w:r>
    </w:p>
    <w:p w:rsidR="00CB2434" w:rsidRPr="00685A98" w:rsidRDefault="00CB2434" w:rsidP="00CB2434">
      <w:pPr>
        <w:spacing w:line="480" w:lineRule="auto"/>
        <w:jc w:val="center"/>
        <w:rPr>
          <w:rFonts w:ascii="Arial" w:hAnsi="Arial" w:cs="Arial"/>
          <w:lang w:val="en-GB"/>
        </w:rPr>
      </w:pPr>
      <w:r>
        <w:rPr>
          <w:rFonts w:ascii="Arial" w:hAnsi="Arial" w:cs="Arial"/>
          <w:lang w:val="en-GB"/>
        </w:rPr>
        <w:t>UK</w:t>
      </w:r>
    </w:p>
    <w:p w:rsidR="00685A98" w:rsidRPr="00685A98" w:rsidRDefault="00685A98" w:rsidP="00CB2434">
      <w:pPr>
        <w:spacing w:line="480" w:lineRule="auto"/>
        <w:jc w:val="both"/>
        <w:rPr>
          <w:rFonts w:ascii="Arial" w:hAnsi="Arial" w:cs="Arial"/>
          <w:vertAlign w:val="superscript"/>
          <w:lang w:val="en-GB"/>
        </w:rPr>
      </w:pPr>
    </w:p>
    <w:p w:rsidR="003200A5" w:rsidRDefault="003200A5" w:rsidP="00CB2434">
      <w:pPr>
        <w:spacing w:after="160" w:line="480" w:lineRule="auto"/>
        <w:jc w:val="both"/>
        <w:rPr>
          <w:rFonts w:ascii="Arial" w:hAnsi="Arial" w:cs="Arial"/>
          <w:lang w:val="en-GB"/>
        </w:rPr>
      </w:pPr>
    </w:p>
    <w:p w:rsidR="00CB2434" w:rsidRDefault="00CB2434" w:rsidP="00CB2434">
      <w:pPr>
        <w:pStyle w:val="TextkrperMA"/>
        <w:ind w:firstLine="0"/>
        <w:rPr>
          <w:lang w:val="en-GB"/>
        </w:rPr>
      </w:pPr>
    </w:p>
    <w:p w:rsidR="003200A5" w:rsidRPr="003200A5" w:rsidRDefault="003200A5" w:rsidP="00CB2434">
      <w:pPr>
        <w:pStyle w:val="TextkrperMA"/>
        <w:ind w:firstLine="0"/>
        <w:rPr>
          <w:b/>
          <w:lang w:val="en-GB"/>
        </w:rPr>
      </w:pPr>
      <w:r w:rsidRPr="003200A5">
        <w:rPr>
          <w:b/>
          <w:lang w:val="en-GB"/>
        </w:rPr>
        <w:lastRenderedPageBreak/>
        <w:t>Abstract</w:t>
      </w:r>
    </w:p>
    <w:p w:rsidR="008070E4" w:rsidRPr="007206BB" w:rsidRDefault="008070E4" w:rsidP="00CB2434">
      <w:pPr>
        <w:pStyle w:val="TextkrperMA"/>
        <w:rPr>
          <w:lang w:val="en-GB"/>
        </w:rPr>
      </w:pPr>
      <w:r w:rsidRPr="003200A5">
        <w:rPr>
          <w:lang w:val="en-GB"/>
        </w:rPr>
        <w:t xml:space="preserve">Offender profiling follows the idea that if offenders’ crime scene actions can be empirically linked to their background characteristics, it will be possible to predict one from the other </w:t>
      </w:r>
      <w:r w:rsidR="00D519C3" w:rsidRPr="003200A5">
        <w:rPr>
          <w:lang w:val="en-GB"/>
        </w:rPr>
        <w:fldChar w:fldCharType="begin" w:fldLock="1"/>
      </w:r>
      <w:r w:rsidRPr="003200A5">
        <w:rPr>
          <w:lang w:val="en-GB"/>
        </w:rPr>
        <w:instrText>ADDIN CSL_CITATION {"citationItems":[{"id":"ITEM-1","itemData":{"DOI":"10.1177/0963721410396825","ISBN":"0963721410","ISSN":"09637214","abstract":"Determining the characteristics of an unknown offender from details of a crime is at the heart of much crime fiction. Although it has roots in the inferences made by Sherlock Holmes, Sir Arthur Conan Doyle never provided empirical evidence for Holmes’ inferences, or models of how such inferences can be made. Yet it ought to be possible to utilize psychological theories to derive inferences about offenders. This possibility has become a significant aspect of the new domain known as investigative psychology, which among other things seeks to establish what are called ‘‘profiling equations.’’ Although these are not equations in the literal, mathematical sense, they serve to summarize the search for consistent associations between aspects of a crime and features of the criminal that will be useful to investigations. Some progress has been made in modeling the process for establishing these links, elucidating consistencies in human actions often ignored in studies of individual differences.","author":[{"dropping-particle":"V.","family":"Canter","given":"David","non-dropping-particle":"","parse-names":false,"suffix":""}],"container-title":"Current Directions in Psychological Science","id":"ITEM-1","issue":"1","issued":{"date-parts":[["2011"]]},"page":"5-10","title":"Resolving the offender \"profiling equations\" and the emergence of an investigative psychology","type":"article-journal","volume":"20"},"uris":["http://www.mendeley.com/documents/?uuid=a19aeb76-1fc5-40d8-923c-71bb9929dc66"]}],"mendeley":{"formattedCitation":"(Canter, 2011)","plainTextFormattedCitation":"(Canter, 2011)","previouslyFormattedCitation":"(Canter, 2011)"},"properties":{"noteIndex":0},"schema":"https://github.com/citation-style-language/schema/raw/master/csl-citation.json"}</w:instrText>
      </w:r>
      <w:r w:rsidR="00D519C3" w:rsidRPr="003200A5">
        <w:rPr>
          <w:lang w:val="en-GB"/>
        </w:rPr>
        <w:fldChar w:fldCharType="separate"/>
      </w:r>
      <w:r w:rsidRPr="003200A5">
        <w:rPr>
          <w:noProof/>
          <w:lang w:val="en-GB"/>
        </w:rPr>
        <w:t>(Canter, 2011)</w:t>
      </w:r>
      <w:r w:rsidR="00D519C3" w:rsidRPr="003200A5">
        <w:rPr>
          <w:lang w:val="en-GB"/>
        </w:rPr>
        <w:fldChar w:fldCharType="end"/>
      </w:r>
      <w:r w:rsidRPr="003200A5">
        <w:rPr>
          <w:lang w:val="en-GB"/>
        </w:rPr>
        <w:t xml:space="preserve">.  </w:t>
      </w:r>
      <w:r>
        <w:rPr>
          <w:lang w:val="en-GB"/>
        </w:rPr>
        <w:t xml:space="preserve">There is a lack of research exploring whether homicide offenders’ crime scene actions are predictive of their criminal histories, despite the potential utility of such information </w:t>
      </w:r>
      <w:r w:rsidR="00D519C3">
        <w:rPr>
          <w:lang w:val="en-GB"/>
        </w:rPr>
        <w:fldChar w:fldCharType="begin" w:fldLock="1"/>
      </w:r>
      <w:r>
        <w:rPr>
          <w:lang w:val="en-GB"/>
        </w:rPr>
        <w:instrText>ADDIN CSL_CITATION {"citationItems":[{"id":"ITEM-1","itemData":{"author":[{"dropping-particle":"","family":"Alison","given":"Laurence J","non-dropping-particle":"","parse-names":false,"suffix":""},{"dropping-particle":"","family":"Goodwill","given":"Alasdair M.","non-dropping-particle":"","parse-names":false,"suffix":""},{"dropping-particle":"","family":"Alison","given":"E","non-dropping-particle":"","parse-names":false,"suffix":""}],"container-title":"The forensic psychologist's casebook","editor":[{"dropping-particle":"","family":"Alison","given":"Laurence J.","non-dropping-particle":"","parse-names":false,"suffix":""}],"id":"ITEM-1","issued":{"date-parts":[["2005"]]},"page":"235-248","publisher":"Willan Publishing","publisher-place":"Devon","title":"Guidelines for profilers","type":"chapter"},"uris":["http://www.mendeley.com/documents/?uuid=324a8cde-6e4e-454d-952a-a0ed56ce8e25"]}],"mendeley":{"formattedCitation":"(Alison, Goodwill, &amp; Alison, 2005)","plainTextFormattedCitation":"(Alison, Goodwill, &amp; Alison, 2005)","previouslyFormattedCitation":"(Alison, Goodwill, &amp; Alison, 2005)"},"properties":{"noteIndex":0},"schema":"https://github.com/citation-style-language/schema/raw/master/csl-citation.json"}</w:instrText>
      </w:r>
      <w:r w:rsidR="00D519C3">
        <w:rPr>
          <w:lang w:val="en-GB"/>
        </w:rPr>
        <w:fldChar w:fldCharType="separate"/>
      </w:r>
      <w:r w:rsidRPr="000163D5">
        <w:rPr>
          <w:noProof/>
          <w:lang w:val="en-GB"/>
        </w:rPr>
        <w:t>(</w:t>
      </w:r>
      <w:r w:rsidR="00300C46">
        <w:rPr>
          <w:noProof/>
          <w:szCs w:val="24"/>
          <w:lang w:val="en-GB"/>
        </w:rPr>
        <w:t>Almond, McManus, Bal, O’Brien, Rainbow, &amp; Webb, 2018</w:t>
      </w:r>
      <w:r w:rsidRPr="000163D5">
        <w:rPr>
          <w:noProof/>
          <w:lang w:val="en-GB"/>
        </w:rPr>
        <w:t>)</w:t>
      </w:r>
      <w:r w:rsidR="00D519C3">
        <w:rPr>
          <w:lang w:val="en-GB"/>
        </w:rPr>
        <w:fldChar w:fldCharType="end"/>
      </w:r>
      <w:r>
        <w:rPr>
          <w:lang w:val="en-GB"/>
        </w:rPr>
        <w:t>.</w:t>
      </w:r>
      <w:r w:rsidR="007206BB">
        <w:rPr>
          <w:lang w:val="en-GB"/>
        </w:rPr>
        <w:t xml:space="preserve"> </w:t>
      </w:r>
      <w:r w:rsidRPr="007206BB">
        <w:rPr>
          <w:lang w:val="en-GB"/>
        </w:rPr>
        <w:t>The current study addresses this gap in the literature.</w:t>
      </w:r>
    </w:p>
    <w:p w:rsidR="00ED364F" w:rsidRPr="008070E4" w:rsidRDefault="002D1F28" w:rsidP="00CB2434">
      <w:pPr>
        <w:pStyle w:val="TextkrperMA"/>
        <w:rPr>
          <w:lang w:val="en-GB"/>
        </w:rPr>
      </w:pPr>
      <w:r>
        <w:rPr>
          <w:lang w:val="en-GB"/>
        </w:rPr>
        <w:t xml:space="preserve">A </w:t>
      </w:r>
      <w:r w:rsidR="008070E4">
        <w:rPr>
          <w:lang w:val="en-GB"/>
        </w:rPr>
        <w:t xml:space="preserve">sample of 213 adult male-on-female homicides with sexual or unknown motive was drawn from a UK-wide database. Relationships between 13 pre-conviction variables and 29 crime scene </w:t>
      </w:r>
      <w:proofErr w:type="spellStart"/>
      <w:r w:rsidR="006A415D">
        <w:rPr>
          <w:lang w:val="en-GB"/>
        </w:rPr>
        <w:t>behavior</w:t>
      </w:r>
      <w:r w:rsidR="008070E4">
        <w:rPr>
          <w:lang w:val="en-GB"/>
        </w:rPr>
        <w:t>s</w:t>
      </w:r>
      <w:proofErr w:type="spellEnd"/>
      <w:r w:rsidR="008070E4">
        <w:rPr>
          <w:lang w:val="en-GB"/>
        </w:rPr>
        <w:t xml:space="preserve"> were explored using a bivariate statistical approach. Subsequently, </w:t>
      </w:r>
      <w:r w:rsidR="008070E4" w:rsidRPr="00DA59A9">
        <w:rPr>
          <w:lang w:val="en-GB"/>
        </w:rPr>
        <w:t>binary logistic regression models</w:t>
      </w:r>
      <w:r w:rsidR="008070E4">
        <w:rPr>
          <w:lang w:val="en-GB"/>
        </w:rPr>
        <w:t xml:space="preserve"> were used</w:t>
      </w:r>
      <w:r w:rsidR="008070E4" w:rsidRPr="00DA59A9">
        <w:rPr>
          <w:lang w:val="en-GB"/>
        </w:rPr>
        <w:t xml:space="preserve"> to predict the presence</w:t>
      </w:r>
      <w:r w:rsidR="007206BB">
        <w:rPr>
          <w:lang w:val="en-GB"/>
        </w:rPr>
        <w:t>,</w:t>
      </w:r>
      <w:r w:rsidR="008070E4" w:rsidRPr="00DA59A9">
        <w:rPr>
          <w:lang w:val="en-GB"/>
        </w:rPr>
        <w:t xml:space="preserve"> or absence</w:t>
      </w:r>
      <w:r w:rsidR="007206BB">
        <w:rPr>
          <w:lang w:val="en-GB"/>
        </w:rPr>
        <w:t>,</w:t>
      </w:r>
      <w:r w:rsidR="008070E4" w:rsidRPr="00DA59A9">
        <w:rPr>
          <w:lang w:val="en-GB"/>
        </w:rPr>
        <w:t xml:space="preserve"> of specific pre</w:t>
      </w:r>
      <w:r w:rsidR="008070E4" w:rsidRPr="00DA59A9">
        <w:rPr>
          <w:lang w:val="en-GB"/>
        </w:rPr>
        <w:noBreakHyphen/>
        <w:t>conviction</w:t>
      </w:r>
      <w:r w:rsidR="008070E4">
        <w:rPr>
          <w:lang w:val="en-GB"/>
        </w:rPr>
        <w:t>s</w:t>
      </w:r>
      <w:r w:rsidR="008070E4" w:rsidRPr="00DA59A9">
        <w:rPr>
          <w:lang w:val="en-GB"/>
        </w:rPr>
        <w:t xml:space="preserve"> based on a </w:t>
      </w:r>
      <w:r w:rsidR="008070E4" w:rsidRPr="00DA59A9">
        <w:rPr>
          <w:i/>
          <w:lang w:val="en-GB"/>
        </w:rPr>
        <w:t>combination</w:t>
      </w:r>
      <w:r w:rsidR="008070E4" w:rsidRPr="00DA59A9">
        <w:rPr>
          <w:lang w:val="en-GB"/>
        </w:rPr>
        <w:t xml:space="preserve"> of offence </w:t>
      </w:r>
      <w:proofErr w:type="spellStart"/>
      <w:r w:rsidR="006A415D">
        <w:rPr>
          <w:lang w:val="en-GB"/>
        </w:rPr>
        <w:t>behavior</w:t>
      </w:r>
      <w:r w:rsidR="008070E4" w:rsidRPr="00DA59A9">
        <w:rPr>
          <w:lang w:val="en-GB"/>
        </w:rPr>
        <w:t>s</w:t>
      </w:r>
      <w:proofErr w:type="spellEnd"/>
      <w:r w:rsidR="008070E4">
        <w:rPr>
          <w:lang w:val="en-GB"/>
        </w:rPr>
        <w:t>.</w:t>
      </w:r>
      <w:r w:rsidR="003200A5">
        <w:rPr>
          <w:lang w:val="en-GB"/>
        </w:rPr>
        <w:t xml:space="preserve"> </w:t>
      </w:r>
      <w:r w:rsidR="008070E4">
        <w:rPr>
          <w:lang w:val="en-GB"/>
        </w:rPr>
        <w:t xml:space="preserve">Analyses highlighted 16 statistically significant associations between key offence </w:t>
      </w:r>
      <w:proofErr w:type="spellStart"/>
      <w:r w:rsidR="006A415D">
        <w:rPr>
          <w:lang w:val="en-GB"/>
        </w:rPr>
        <w:t>behavior</w:t>
      </w:r>
      <w:r w:rsidR="008070E4">
        <w:rPr>
          <w:lang w:val="en-GB"/>
        </w:rPr>
        <w:t>s</w:t>
      </w:r>
      <w:proofErr w:type="spellEnd"/>
      <w:r w:rsidR="008070E4">
        <w:rPr>
          <w:lang w:val="en-GB"/>
        </w:rPr>
        <w:t xml:space="preserve"> and previous convictions, these associations were often “less likely” to result in previous conviction. The analysis failed to find any association for various other variables, most notably sexual pre</w:t>
      </w:r>
      <w:r w:rsidR="008070E4">
        <w:rPr>
          <w:lang w:val="en-GB"/>
        </w:rPr>
        <w:noBreakHyphen/>
        <w:t>convictions.</w:t>
      </w:r>
      <w:r w:rsidR="003200A5">
        <w:rPr>
          <w:lang w:val="en-GB"/>
        </w:rPr>
        <w:t xml:space="preserve"> </w:t>
      </w:r>
      <w:r w:rsidR="008070E4" w:rsidRPr="008070E4">
        <w:rPr>
          <w:lang w:val="en-GB"/>
        </w:rPr>
        <w:t xml:space="preserve">Results indicate offenders’ criminal histories can be predicted from their offence </w:t>
      </w:r>
      <w:proofErr w:type="spellStart"/>
      <w:r w:rsidR="006A415D">
        <w:rPr>
          <w:lang w:val="en-GB"/>
        </w:rPr>
        <w:t>behavior</w:t>
      </w:r>
      <w:r w:rsidR="008070E4" w:rsidRPr="008070E4">
        <w:rPr>
          <w:lang w:val="en-GB"/>
        </w:rPr>
        <w:t>s</w:t>
      </w:r>
      <w:proofErr w:type="spellEnd"/>
      <w:r w:rsidR="008070E4" w:rsidRPr="008070E4">
        <w:rPr>
          <w:lang w:val="en-GB"/>
        </w:rPr>
        <w:t>, though not all pre</w:t>
      </w:r>
      <w:r w:rsidR="008070E4" w:rsidRPr="008070E4">
        <w:rPr>
          <w:lang w:val="en-GB"/>
        </w:rPr>
        <w:noBreakHyphen/>
        <w:t xml:space="preserve">convictions may be similarly suited. </w:t>
      </w:r>
      <w:r w:rsidR="003200A5">
        <w:t>Implications for practice are discussed.</w:t>
      </w:r>
    </w:p>
    <w:p w:rsidR="00503F26" w:rsidRDefault="00503F26" w:rsidP="00CB2434">
      <w:pPr>
        <w:pStyle w:val="TextkrperMA"/>
        <w:ind w:firstLine="0"/>
        <w:rPr>
          <w:lang w:val="en-GB"/>
        </w:rPr>
      </w:pPr>
    </w:p>
    <w:p w:rsidR="003200A5" w:rsidRDefault="003200A5" w:rsidP="00CB2434">
      <w:pPr>
        <w:pStyle w:val="TextkrperMA"/>
        <w:ind w:firstLine="0"/>
        <w:rPr>
          <w:lang w:val="en-GB"/>
        </w:rPr>
      </w:pPr>
    </w:p>
    <w:p w:rsidR="003200A5" w:rsidRDefault="003200A5" w:rsidP="00CB2434">
      <w:pPr>
        <w:pStyle w:val="TextkrperMA"/>
        <w:ind w:firstLine="0"/>
        <w:rPr>
          <w:lang w:val="en-GB"/>
        </w:rPr>
      </w:pPr>
    </w:p>
    <w:p w:rsidR="003200A5" w:rsidRPr="00DA59A9" w:rsidRDefault="003200A5" w:rsidP="00CB2434">
      <w:pPr>
        <w:pStyle w:val="TextkrperMA"/>
        <w:ind w:firstLine="0"/>
        <w:rPr>
          <w:lang w:val="en-GB"/>
        </w:rPr>
      </w:pPr>
    </w:p>
    <w:p w:rsidR="001F7B7C" w:rsidRPr="00DA59A9" w:rsidRDefault="00EA6255" w:rsidP="00CB2434">
      <w:pPr>
        <w:pStyle w:val="Heading1"/>
        <w:jc w:val="both"/>
        <w:rPr>
          <w:rFonts w:cs="Arial"/>
          <w:lang w:val="en-GB"/>
        </w:rPr>
      </w:pPr>
      <w:bookmarkStart w:id="0" w:name="_Toc523226009"/>
      <w:r w:rsidRPr="00DA59A9">
        <w:rPr>
          <w:rFonts w:cs="Arial"/>
          <w:lang w:val="en-GB"/>
        </w:rPr>
        <w:lastRenderedPageBreak/>
        <w:t>Introduction</w:t>
      </w:r>
      <w:bookmarkEnd w:id="0"/>
    </w:p>
    <w:p w:rsidR="00A14558" w:rsidRDefault="00861BCC" w:rsidP="00CB2434">
      <w:pPr>
        <w:pStyle w:val="TextkrperMA"/>
        <w:rPr>
          <w:lang w:val="en-GB"/>
        </w:rPr>
      </w:pPr>
      <w:r>
        <w:rPr>
          <w:lang w:val="en-GB"/>
        </w:rPr>
        <w:t>The majority of homicide</w:t>
      </w:r>
      <w:r w:rsidR="00CF55E2">
        <w:rPr>
          <w:lang w:val="en-GB"/>
        </w:rPr>
        <w:t xml:space="preserve">s in the United Kingdom are solved relatively </w:t>
      </w:r>
      <w:r w:rsidR="002306F8">
        <w:rPr>
          <w:lang w:val="en-GB"/>
        </w:rPr>
        <w:t>quickly</w:t>
      </w:r>
      <w:r w:rsidR="00CF55E2">
        <w:rPr>
          <w:lang w:val="en-GB"/>
        </w:rPr>
        <w:t xml:space="preserve"> </w:t>
      </w:r>
      <w:r w:rsidR="002306F8">
        <w:rPr>
          <w:lang w:val="en-GB"/>
        </w:rPr>
        <w:t>after the offence occurred</w:t>
      </w:r>
      <w:r w:rsidR="00BC1D7D">
        <w:rPr>
          <w:lang w:val="en-GB"/>
        </w:rPr>
        <w:t xml:space="preserve"> </w:t>
      </w:r>
      <w:r w:rsidR="00D519C3">
        <w:rPr>
          <w:lang w:val="en-GB"/>
        </w:rPr>
        <w:fldChar w:fldCharType="begin" w:fldLock="1"/>
      </w:r>
      <w:r w:rsidR="004216DE">
        <w:rPr>
          <w:lang w:val="en-GB"/>
        </w:rPr>
        <w:instrText>ADDIN CSL_CITATION {"citationItems":[{"id":"ITEM-1","itemData":{"URL":"http://webarchive.nationalarchives.gov.uk/20110223130954/http://rds.homeoffice.gov.uk/rds/pdfs04/r218.pdf","accessed":{"date-parts":[["2018","1","18"]]},"author":[{"dropping-particle":"","family":"Nicol","given":"C","non-dropping-particle":"","parse-names":false,"suffix":""},{"dropping-particle":"","family":"Innes","given":"Martin","non-dropping-particle":"","parse-names":false,"suffix":""},{"dropping-particle":"","family":"Gee","given":"D","non-dropping-particle":"","parse-names":false,"suffix":""},{"dropping-particle":"","family":"Feist","given":"Andy","non-dropping-particle":"","parse-names":false,"suffix":""}],"id":"ITEM-1","issued":{"date-parts":[["2004"]]},"title":"Reviewing murder investigations: An analysis of progress reviews from six police forces","type":"webpage"},"uris":["http://www.mendeley.com/documents/?uuid=91d4c102-1723-4f2e-8ed3-e2aa8e18701e"]}],"mendeley":{"formattedCitation":"(Nicol, Innes, Gee, &amp; Feist, 2004)","plainTextFormattedCitation":"(Nicol, Innes, Gee, &amp; Feist, 2004)","previouslyFormattedCitation":"(Nicol, Innes, Gee, &amp; Feist, 2004)"},"properties":{"noteIndex":0},"schema":"https://github.com/citation-style-language/schema/raw/master/csl-citation.json"}</w:instrText>
      </w:r>
      <w:r w:rsidR="00D519C3">
        <w:rPr>
          <w:lang w:val="en-GB"/>
        </w:rPr>
        <w:fldChar w:fldCharType="separate"/>
      </w:r>
      <w:r w:rsidR="00BC1D7D" w:rsidRPr="00BC1D7D">
        <w:rPr>
          <w:noProof/>
          <w:lang w:val="en-GB"/>
        </w:rPr>
        <w:t>(Nicol, Innes, Gee, &amp; Feist, 2004)</w:t>
      </w:r>
      <w:r w:rsidR="00D519C3">
        <w:rPr>
          <w:lang w:val="en-GB"/>
        </w:rPr>
        <w:fldChar w:fldCharType="end"/>
      </w:r>
      <w:r w:rsidR="00CF55E2">
        <w:rPr>
          <w:lang w:val="en-GB"/>
        </w:rPr>
        <w:t xml:space="preserve">. </w:t>
      </w:r>
      <w:r w:rsidR="002F6CB3">
        <w:rPr>
          <w:lang w:val="en-GB"/>
        </w:rPr>
        <w:t>I</w:t>
      </w:r>
      <w:r w:rsidR="00CF55E2">
        <w:rPr>
          <w:lang w:val="en-GB"/>
        </w:rPr>
        <w:t xml:space="preserve">n about one quarter of homicide </w:t>
      </w:r>
      <w:r w:rsidR="002306F8">
        <w:rPr>
          <w:lang w:val="en-GB"/>
        </w:rPr>
        <w:t>cases</w:t>
      </w:r>
      <w:r w:rsidR="00C130D5">
        <w:rPr>
          <w:lang w:val="en-GB"/>
        </w:rPr>
        <w:t>,</w:t>
      </w:r>
      <w:r w:rsidR="002F6CB3">
        <w:rPr>
          <w:lang w:val="en-GB"/>
        </w:rPr>
        <w:t xml:space="preserve"> however,</w:t>
      </w:r>
      <w:r w:rsidR="00C130D5">
        <w:rPr>
          <w:lang w:val="en-GB"/>
        </w:rPr>
        <w:t xml:space="preserve"> </w:t>
      </w:r>
      <w:r w:rsidR="002306F8">
        <w:rPr>
          <w:lang w:val="en-GB"/>
        </w:rPr>
        <w:t>investigators</w:t>
      </w:r>
      <w:r w:rsidR="00C130D5">
        <w:rPr>
          <w:lang w:val="en-GB"/>
        </w:rPr>
        <w:t xml:space="preserve"> are confronted with complex scenarios, in which possible suspects and relationships between involved individuals cannot be identified quickly</w:t>
      </w:r>
      <w:r w:rsidR="002306F8">
        <w:rPr>
          <w:lang w:val="en-GB"/>
        </w:rPr>
        <w:t xml:space="preserve"> </w:t>
      </w:r>
      <w:r w:rsidR="00D519C3">
        <w:rPr>
          <w:lang w:val="en-GB"/>
        </w:rPr>
        <w:fldChar w:fldCharType="begin" w:fldLock="1"/>
      </w:r>
      <w:r w:rsidR="00822E7C">
        <w:rPr>
          <w:lang w:val="en-GB"/>
        </w:rPr>
        <w:instrText>ADDIN CSL_CITATION {"citationItems":[{"id":"ITEM-1","itemData":{"URL":"http://eprints.lancs.ac.uk/9492/1/francishomicide2004.pdf","accessed":{"date-parts":[["2017","12","28"]]},"author":[{"dropping-particle":"","family":"Francis","given":"Brian","non-dropping-particle":"","parse-names":false,"suffix":""},{"dropping-particle":"","family":"Barry","given":"J.","non-dropping-particle":"","parse-names":false,"suffix":""},{"dropping-particle":"","family":"Bowater","given":"R.","non-dropping-particle":"","parse-names":false,"suffix":""},{"dropping-particle":"","family":"Miller","given":"N.","non-dropping-particle":"","parse-names":false,"suffix":""},{"dropping-particle":"","family":"Soothill","given":"K.","non-dropping-particle":"","parse-names":false,"suffix":""},{"dropping-particle":"","family":"Ackerley","given":"E.","non-dropping-particle":"","parse-names":false,"suffix":""}],"id":"ITEM-1","issued":{"date-parts":[["2004"]]},"publisher":"UK Home Office","title":"Using homicide data to assist murder investigations","type":"webpage"},"uris":["http://www.mendeley.com/documents/?uuid=46f34aab-805b-4157-85f2-442656652f3d"]}],"mendeley":{"formattedCitation":"(Francis et al., 2004)","plainTextFormattedCitation":"(Francis et al., 2004)","previouslyFormattedCitation":"(Francis et al., 2004)"},"properties":{"noteIndex":0},"schema":"https://github.com/citation-style-language/schema/raw/master/csl-citation.json"}</w:instrText>
      </w:r>
      <w:r w:rsidR="00D519C3">
        <w:rPr>
          <w:lang w:val="en-GB"/>
        </w:rPr>
        <w:fldChar w:fldCharType="separate"/>
      </w:r>
      <w:r w:rsidR="002306F8" w:rsidRPr="002306F8">
        <w:rPr>
          <w:noProof/>
          <w:lang w:val="en-GB"/>
        </w:rPr>
        <w:t>(Francis et al., 2004)</w:t>
      </w:r>
      <w:r w:rsidR="00D519C3">
        <w:rPr>
          <w:lang w:val="en-GB"/>
        </w:rPr>
        <w:fldChar w:fldCharType="end"/>
      </w:r>
      <w:r w:rsidR="00C130D5">
        <w:rPr>
          <w:lang w:val="en-GB"/>
        </w:rPr>
        <w:t xml:space="preserve">. </w:t>
      </w:r>
      <w:r w:rsidR="006B42D9">
        <w:rPr>
          <w:lang w:val="en-GB"/>
        </w:rPr>
        <w:t>H</w:t>
      </w:r>
      <w:r w:rsidR="002306F8">
        <w:rPr>
          <w:lang w:val="en-GB"/>
        </w:rPr>
        <w:t>omicide</w:t>
      </w:r>
      <w:r w:rsidR="006B42D9">
        <w:rPr>
          <w:lang w:val="en-GB"/>
        </w:rPr>
        <w:t xml:space="preserve">s </w:t>
      </w:r>
      <w:r w:rsidR="002306F8">
        <w:rPr>
          <w:lang w:val="en-GB"/>
        </w:rPr>
        <w:t>involv</w:t>
      </w:r>
      <w:r w:rsidR="006B42D9">
        <w:rPr>
          <w:lang w:val="en-GB"/>
        </w:rPr>
        <w:t>ing</w:t>
      </w:r>
      <w:r w:rsidR="00C130D5">
        <w:rPr>
          <w:lang w:val="en-GB"/>
        </w:rPr>
        <w:t xml:space="preserve"> </w:t>
      </w:r>
      <w:r w:rsidR="006B42D9">
        <w:rPr>
          <w:lang w:val="en-GB"/>
        </w:rPr>
        <w:t xml:space="preserve">stranger or child victims, sexual elements, an unknown motive, or serial </w:t>
      </w:r>
      <w:r w:rsidR="002D4D9E">
        <w:rPr>
          <w:lang w:val="en-GB"/>
        </w:rPr>
        <w:t>offences</w:t>
      </w:r>
      <w:r w:rsidR="006B42D9">
        <w:rPr>
          <w:lang w:val="en-GB"/>
        </w:rPr>
        <w:t xml:space="preserve"> are </w:t>
      </w:r>
      <w:r w:rsidR="002D4D9E">
        <w:rPr>
          <w:lang w:val="en-GB"/>
        </w:rPr>
        <w:t>usually</w:t>
      </w:r>
      <w:r w:rsidR="006B42D9">
        <w:rPr>
          <w:lang w:val="en-GB"/>
        </w:rPr>
        <w:t xml:space="preserve"> </w:t>
      </w:r>
      <w:r w:rsidR="002D4D9E">
        <w:rPr>
          <w:lang w:val="en-GB"/>
        </w:rPr>
        <w:t>more</w:t>
      </w:r>
      <w:r w:rsidR="006B42D9">
        <w:rPr>
          <w:lang w:val="en-GB"/>
        </w:rPr>
        <w:t xml:space="preserve"> difficult to detect and </w:t>
      </w:r>
      <w:r w:rsidR="00C130D5">
        <w:rPr>
          <w:lang w:val="en-GB"/>
        </w:rPr>
        <w:t>consume considerable amounts of police resources, attract increased media attention</w:t>
      </w:r>
      <w:r w:rsidR="006B42D9">
        <w:rPr>
          <w:lang w:val="en-GB"/>
        </w:rPr>
        <w:t>,</w:t>
      </w:r>
      <w:r w:rsidR="00C130D5">
        <w:rPr>
          <w:lang w:val="en-GB"/>
        </w:rPr>
        <w:t xml:space="preserve"> and are often perceived as especially severe, baring the potential to negatively impact the</w:t>
      </w:r>
      <w:r w:rsidR="00091B81">
        <w:rPr>
          <w:lang w:val="en-GB"/>
        </w:rPr>
        <w:t xml:space="preserve"> public’s</w:t>
      </w:r>
      <w:r w:rsidR="00C130D5">
        <w:rPr>
          <w:lang w:val="en-GB"/>
        </w:rPr>
        <w:t xml:space="preserve"> general fear of crime and, thus, </w:t>
      </w:r>
      <w:r w:rsidR="00C12427">
        <w:rPr>
          <w:lang w:val="en-GB"/>
        </w:rPr>
        <w:t>their</w:t>
      </w:r>
      <w:r w:rsidR="00C130D5">
        <w:rPr>
          <w:lang w:val="en-GB"/>
        </w:rPr>
        <w:t xml:space="preserve"> perceptions of police </w:t>
      </w:r>
      <w:r w:rsidR="001F652A">
        <w:rPr>
          <w:lang w:val="en-GB"/>
        </w:rPr>
        <w:t>efficiency</w:t>
      </w:r>
      <w:r w:rsidR="00C130D5">
        <w:rPr>
          <w:lang w:val="en-GB"/>
        </w:rPr>
        <w:t xml:space="preserve"> </w:t>
      </w:r>
      <w:r w:rsidR="00D519C3">
        <w:rPr>
          <w:lang w:val="en-GB"/>
        </w:rPr>
        <w:fldChar w:fldCharType="begin" w:fldLock="1"/>
      </w:r>
      <w:r w:rsidR="00EA7901">
        <w:rPr>
          <w:lang w:val="en-GB"/>
        </w:rPr>
        <w:instrText>ADDIN CSL_CITATION {"citationItems":[{"id":"ITEM-1","itemData":{"URL":"http://eprints.lancs.ac.uk/9492/1/francishomicide2004.pdf","accessed":{"date-parts":[["2017","12","28"]]},"author":[{"dropping-particle":"","family":"Francis","given":"Brian","non-dropping-particle":"","parse-names":false,"suffix":""},{"dropping-particle":"","family":"Barry","given":"J.","non-dropping-particle":"","parse-names":false,"suffix":""},{"dropping-particle":"","family":"Bowater","given":"R.","non-dropping-particle":"","parse-names":false,"suffix":""},{"dropping-particle":"","family":"Miller","given":"N.","non-dropping-particle":"","parse-names":false,"suffix":""},{"dropping-particle":"","family":"Soothill","given":"K.","non-dropping-particle":"","parse-names":false,"suffix":""},{"dropping-particle":"","family":"Ackerley","given":"E.","non-dropping-particle":"","parse-names":false,"suffix":""}],"id":"ITEM-1","issued":{"date-parts":[["2004"]]},"publisher":"UK Home Office","title":"Using homicide data to assist murder investigations","type":"webpage"},"uris":["http://www.mendeley.com/documents/?uuid=46f34aab-805b-4157-85f2-442656652f3d"]},{"id":"ITEM-2","itemData":{"author":[{"dropping-particle":"","family":"Innes","given":"Martin","non-dropping-particle":"","parse-names":false,"suffix":""}],"id":"ITEM-2","issued":{"date-parts":[["2003"]]},"publisher":"Oxford University Press","title":"Investigating Murder: Detective Work and the Police Response to Criminal Homicide","type":"book"},"uris":["http://www.mendeley.com/documents/?uuid=fa904a2d-2981-43f1-9c91-d82a0e426766"]},{"id":"ITEM-3","itemData":{"DOI":"10.1002/jip.1396","ISSN":"15444767","abstract":"This paper considers the role of a Behavioural Investigative Adviser (BIA) in assisting with the decision-making of a Senior Investigating Officer (SIO) in difficult-to-detect murder investigations. It outlines the need for transparent evidence-based decision-making from both the SIO and the BIA. The paper then details a piece of relevant, applied research that can assist in this end. The research utilised a pragmatic psychology approach to analyse 312 detected murder cases from the Serious Crime Analysis Section database. Some significant patterns relating what is known about the offence at different stages of an investigation and inferences regarding the offender were found, indicating that certain offence information can lead to some reliable predictions and these can be refined as more information becomes available. However, the findings also indicate that base rate frequencies and a ‘best-guess’ methodology may be as, if not more, useful than more complex statistical techniques when providing advice to investigations.","author":[{"dropping-particle":"","family":"Cole","given":"Terri","non-dropping-particle":"","parse-names":false,"suffix":""},{"dropping-particle":"","family":"Brown","given":"Jennifer","non-dropping-particle":"","parse-names":false,"suffix":""}],"container-title":"Journal of Investigative Psychology and Offender Profiling","id":"ITEM-3","issue":"3","issued":{"date-parts":[["2014"]]},"page":"191-220","title":"Behavioural investigative advice: Assistance to investigative decision-making in difficult-to-detect murder","type":"article-journal","volume":"11"},"uris":["http://www.mendeley.com/documents/?uuid=629c73c0-ceec-4270-a53d-d29df1aafd12"]}],"mendeley":{"formattedCitation":"(Cole &amp; Brown, 2014; Francis et al., 2004; Innes, 2003)","plainTextFormattedCitation":"(Cole &amp; Brown, 2014; Francis et al., 2004; Innes, 2003)","previouslyFormattedCitation":"(Cole &amp; Brown, 2014; Francis et al., 2004; Innes, 2003)"},"properties":{"noteIndex":0},"schema":"https://github.com/citation-style-language/schema/raw/master/csl-citation.json"}</w:instrText>
      </w:r>
      <w:r w:rsidR="00D519C3">
        <w:rPr>
          <w:lang w:val="en-GB"/>
        </w:rPr>
        <w:fldChar w:fldCharType="separate"/>
      </w:r>
      <w:r w:rsidR="00C130D5" w:rsidRPr="00C03BEC">
        <w:rPr>
          <w:noProof/>
          <w:lang w:val="en-GB"/>
        </w:rPr>
        <w:t>(Cole &amp; Brown, 2014; Francis et al., 2004; Innes, 2003)</w:t>
      </w:r>
      <w:r w:rsidR="00D519C3">
        <w:rPr>
          <w:lang w:val="en-GB"/>
        </w:rPr>
        <w:fldChar w:fldCharType="end"/>
      </w:r>
      <w:r w:rsidR="00C130D5">
        <w:rPr>
          <w:lang w:val="en-GB"/>
        </w:rPr>
        <w:t>.</w:t>
      </w:r>
    </w:p>
    <w:p w:rsidR="00795508" w:rsidRDefault="00C130D5" w:rsidP="00CB2434">
      <w:pPr>
        <w:pStyle w:val="TextkrperMA"/>
        <w:rPr>
          <w:lang w:val="en-GB"/>
        </w:rPr>
      </w:pPr>
      <w:r>
        <w:rPr>
          <w:lang w:val="en-GB"/>
        </w:rPr>
        <w:t>Within the</w:t>
      </w:r>
      <w:r w:rsidR="00CF55E2">
        <w:rPr>
          <w:lang w:val="en-GB"/>
        </w:rPr>
        <w:t xml:space="preserve"> UK</w:t>
      </w:r>
      <w:r>
        <w:rPr>
          <w:lang w:val="en-GB"/>
        </w:rPr>
        <w:t xml:space="preserve">, practitioners’ experience in such </w:t>
      </w:r>
      <w:r w:rsidR="00B05F7E">
        <w:rPr>
          <w:lang w:val="en-GB"/>
        </w:rPr>
        <w:t>difficult</w:t>
      </w:r>
      <w:r w:rsidR="00B05F7E">
        <w:rPr>
          <w:lang w:val="en-GB"/>
        </w:rPr>
        <w:noBreakHyphen/>
        <w:t>to</w:t>
      </w:r>
      <w:r w:rsidR="00B05F7E">
        <w:rPr>
          <w:lang w:val="en-GB"/>
        </w:rPr>
        <w:noBreakHyphen/>
        <w:t xml:space="preserve">solve </w:t>
      </w:r>
      <w:r>
        <w:rPr>
          <w:lang w:val="en-GB"/>
        </w:rPr>
        <w:t xml:space="preserve">cases is often complemented with empirically grounded investigative support provided by </w:t>
      </w:r>
      <w:proofErr w:type="spellStart"/>
      <w:r w:rsidR="006A415D">
        <w:rPr>
          <w:lang w:val="en-GB"/>
        </w:rPr>
        <w:t>Behavior</w:t>
      </w:r>
      <w:r>
        <w:rPr>
          <w:lang w:val="en-GB"/>
        </w:rPr>
        <w:t>al</w:t>
      </w:r>
      <w:proofErr w:type="spellEnd"/>
      <w:r>
        <w:rPr>
          <w:lang w:val="en-GB"/>
        </w:rPr>
        <w:t xml:space="preserve"> Investigative Advis</w:t>
      </w:r>
      <w:r w:rsidR="00F006F0">
        <w:rPr>
          <w:lang w:val="en-GB"/>
        </w:rPr>
        <w:t>e</w:t>
      </w:r>
      <w:r>
        <w:rPr>
          <w:lang w:val="en-GB"/>
        </w:rPr>
        <w:t xml:space="preserve">rs </w:t>
      </w:r>
      <w:r w:rsidR="00D519C3">
        <w:rPr>
          <w:lang w:val="en-GB"/>
        </w:rPr>
        <w:fldChar w:fldCharType="begin" w:fldLock="1"/>
      </w:r>
      <w:r w:rsidR="00592BE8">
        <w:rPr>
          <w:lang w:val="en-GB"/>
        </w:rPr>
        <w:instrText>ADDIN CSL_CITATION {"citationItems":[{"id":"ITEM-1","itemData":{"author":[{"dropping-particle":"","family":"Rainbow","given":"Lee","non-dropping-particle":"","parse-names":false,"suffix":""},{"dropping-particle":"","family":"Gregory","given":"Adam","non-dropping-particle":"","parse-names":false,"suffix":""}],"container-title":"The Journal of Homicide and Major Incident Investigation","id":"ITEM-1","issue":"1","issued":{"date-parts":[["2009"]]},"page":"71-82","title":"Behavioural Investigative Advice: A contemporary view","type":"article-journal","volume":"5"},"prefix":"BIAs, ","uris":["http://www.mendeley.com/documents/?uuid=741388eb-fc4a-4a13-b842-aafdf7458d80"]}],"mendeley":{"formattedCitation":"(BIAs, Rainbow &amp; Gregory, 2009)","plainTextFormattedCitation":"(BIAs, Rainbow &amp; Gregory, 2009)","previouslyFormattedCitation":"(BIAs, Rainbow &amp; Gregory, 2009)"},"properties":{"noteIndex":0},"schema":"https://github.com/citation-style-language/schema/raw/master/csl-citation.json"}</w:instrText>
      </w:r>
      <w:r w:rsidR="00D519C3">
        <w:rPr>
          <w:lang w:val="en-GB"/>
        </w:rPr>
        <w:fldChar w:fldCharType="separate"/>
      </w:r>
      <w:r w:rsidRPr="00FE13D6">
        <w:rPr>
          <w:noProof/>
          <w:lang w:val="en-GB"/>
        </w:rPr>
        <w:t>(BIAs, Rainbow &amp; Gregory, 2009)</w:t>
      </w:r>
      <w:r w:rsidR="00D519C3">
        <w:rPr>
          <w:lang w:val="en-GB"/>
        </w:rPr>
        <w:fldChar w:fldCharType="end"/>
      </w:r>
      <w:r>
        <w:rPr>
          <w:lang w:val="en-GB"/>
        </w:rPr>
        <w:t xml:space="preserve">. One of the core competencies of BIAs is their ability to make logical, evidence-based inferences on likely offender characteristics based on the </w:t>
      </w:r>
      <w:proofErr w:type="spellStart"/>
      <w:r w:rsidR="006A415D">
        <w:rPr>
          <w:lang w:val="en-GB"/>
        </w:rPr>
        <w:t>behavior</w:t>
      </w:r>
      <w:r>
        <w:rPr>
          <w:lang w:val="en-GB"/>
        </w:rPr>
        <w:t>al</w:t>
      </w:r>
      <w:proofErr w:type="spellEnd"/>
      <w:r>
        <w:rPr>
          <w:lang w:val="en-GB"/>
        </w:rPr>
        <w:t xml:space="preserve"> assessment of a crime scene</w:t>
      </w:r>
      <w:r w:rsidR="00F57F34">
        <w:rPr>
          <w:lang w:val="en-GB"/>
        </w:rPr>
        <w:t xml:space="preserve">. </w:t>
      </w:r>
      <w:r w:rsidR="00B801BA">
        <w:rPr>
          <w:lang w:val="en-GB"/>
        </w:rPr>
        <w:t xml:space="preserve">This form of investigative support, commonly referred to as </w:t>
      </w:r>
      <w:r w:rsidR="00B801BA" w:rsidRPr="007D2A8B">
        <w:rPr>
          <w:i/>
          <w:lang w:val="en-GB"/>
        </w:rPr>
        <w:t>offender profiling</w:t>
      </w:r>
      <w:r w:rsidR="00B801BA">
        <w:rPr>
          <w:lang w:val="en-GB"/>
        </w:rPr>
        <w:t xml:space="preserve">, </w:t>
      </w:r>
      <w:r w:rsidR="006E548F">
        <w:rPr>
          <w:lang w:val="en-GB"/>
        </w:rPr>
        <w:t xml:space="preserve">can be a valuable </w:t>
      </w:r>
      <w:r w:rsidR="00B5790E">
        <w:rPr>
          <w:lang w:val="en-GB"/>
        </w:rPr>
        <w:t>instrument</w:t>
      </w:r>
      <w:r w:rsidR="006E548F">
        <w:rPr>
          <w:lang w:val="en-GB"/>
        </w:rPr>
        <w:t xml:space="preserve"> to assist police in prioritising potential </w:t>
      </w:r>
      <w:r w:rsidR="00300C46">
        <w:rPr>
          <w:lang w:val="en-GB"/>
        </w:rPr>
        <w:t>nominals</w:t>
      </w:r>
      <w:r w:rsidR="006E548F">
        <w:rPr>
          <w:lang w:val="en-GB"/>
        </w:rPr>
        <w:t xml:space="preserve"> and efficiently directing scarce resources in demanding investigations </w:t>
      </w:r>
      <w:r w:rsidR="00D519C3">
        <w:rPr>
          <w:lang w:val="en-GB"/>
        </w:rPr>
        <w:fldChar w:fldCharType="begin" w:fldLock="1"/>
      </w:r>
      <w:r w:rsidR="006E548F">
        <w:rPr>
          <w:lang w:val="en-GB"/>
        </w:rPr>
        <w:instrText>ADDIN CSL_CITATION {"citationItems":[{"id":"ITEM-1","itemData":{"DOI":"10.1002/jip.1396","ISSN":"15444767","abstract":"This paper considers the role of a Behavioural Investigative Adviser (BIA) in assisting with the decision-making of a Senior Investigating Officer (SIO) in difficult-to-detect murder investigations. It outlines the need for transparent evidence-based decision-making from both the SIO and the BIA. The paper then details a piece of relevant, applied research that can assist in this end. The research utilised a pragmatic psychology approach to analyse 312 detected murder cases from the Serious Crime Analysis Section database. Some significant patterns relating what is known about the offence at different stages of an investigation and inferences regarding the offender were found, indicating that certain offence information can lead to some reliable predictions and these can be refined as more information becomes available. However, the findings also indicate that base rate frequencies and a ‘best-guess’ methodology may be as, if not more, useful than more complex statistical techniques when providing advice to investigations.","author":[{"dropping-particle":"","family":"Cole","given":"Terri","non-dropping-particle":"","parse-names":false,"suffix":""},{"dropping-particle":"","family":"Brown","given":"Jennifer","non-dropping-particle":"","parse-names":false,"suffix":""}],"container-title":"Journal of Investigative Psychology and Offender Profiling","id":"ITEM-1","issue":"3","issued":{"date-parts":[["2014"]]},"page":"191-220","title":"Behavioural investigative advice: Assistance to investigative decision-making in difficult-to-detect murder","type":"article-journal","volume":"11"},"uris":["http://www.mendeley.com/documents/?uuid=629c73c0-ceec-4270-a53d-d29df1aafd12"]},{"id":"ITEM-2","itemData":{"author":[{"dropping-particle":"","family":"Rainbow","given":"Lee","non-dropping-particle":"","parse-names":false,"suffix":""},{"dropping-particle":"","family":"Gregory","given":"Adam","non-dropping-particle":"","parse-names":false,"suffix":""}],"container-title":"The Journal of Homicide and Major Incident Investigation","id":"ITEM-2","issue":"1","issued":{"date-parts":[["2009"]]},"page":"71-82","title":"Behavioural Investigative Advice: A contemporary view","type":"article-journal","volume":"5"},"uris":["http://www.mendeley.com/documents/?uuid=741388eb-fc4a-4a13-b842-aafdf7458d80"]}],"mendeley":{"formattedCitation":"(Cole &amp; Brown, 2014; Rainbow &amp; Gregory, 2009)","plainTextFormattedCitation":"(Cole &amp; Brown, 2014; Rainbow &amp; Gregory, 2009)","previouslyFormattedCitation":"(Cole &amp; Brown, 2014; Rainbow &amp; Gregory, 2009)"},"properties":{"noteIndex":0},"schema":"https://github.com/citation-style-language/schema/raw/master/csl-citation.json"}</w:instrText>
      </w:r>
      <w:r w:rsidR="00D519C3">
        <w:rPr>
          <w:lang w:val="en-GB"/>
        </w:rPr>
        <w:fldChar w:fldCharType="separate"/>
      </w:r>
      <w:r w:rsidR="006E548F" w:rsidRPr="008F024D">
        <w:rPr>
          <w:noProof/>
          <w:lang w:val="en-GB"/>
        </w:rPr>
        <w:t>(Cole &amp; Brown, 2014; Rainbow &amp; Gregory, 2009)</w:t>
      </w:r>
      <w:r w:rsidR="00D519C3">
        <w:rPr>
          <w:lang w:val="en-GB"/>
        </w:rPr>
        <w:fldChar w:fldCharType="end"/>
      </w:r>
      <w:r w:rsidR="006E548F">
        <w:rPr>
          <w:lang w:val="en-GB"/>
        </w:rPr>
        <w:t xml:space="preserve">. </w:t>
      </w:r>
      <w:r w:rsidR="00310EEB">
        <w:rPr>
          <w:lang w:val="en-GB"/>
        </w:rPr>
        <w:t xml:space="preserve">Offender profiling </w:t>
      </w:r>
      <w:r w:rsidR="006E548F">
        <w:rPr>
          <w:lang w:val="en-GB"/>
        </w:rPr>
        <w:t xml:space="preserve">generally rests on the assumption of homology, i.e. offenders who commit crimes in a similar manner will also share similar background characteristics </w:t>
      </w:r>
      <w:r w:rsidR="00D519C3">
        <w:rPr>
          <w:lang w:val="en-GB"/>
        </w:rPr>
        <w:fldChar w:fldCharType="begin" w:fldLock="1"/>
      </w:r>
      <w:r w:rsidR="006E548F">
        <w:rPr>
          <w:lang w:val="en-GB"/>
        </w:rPr>
        <w:instrText>ADDIN CSL_CITATION {"citationItems":[{"id":"ITEM-1","itemData":{"DOI":"10.1037/1076-8971.8.1.115","ISSN":"1076-8971","author":[{"dropping-particle":"","family":"Alison","given":"Laurence J.","non-dropping-particle":"","parse-names":false,"suffix":""},{"dropping-particle":"","family":"Bennell","given":"Craig","non-dropping-particle":"","parse-names":false,"suffix":""},{"dropping-particle":"","family":"Mokros","given":"Andreas","non-dropping-particle":"","parse-names":false,"suffix":""},{"dropping-particle":"","family":"Ormerod","given":"David","non-dropping-particle":"","parse-names":false,"suffix":""}],"container-title":"Psychology, Public Policy, and Law","id":"ITEM-1","issue":"1","issued":{"date-parts":[["2002"]]},"page":"115-135","title":"The personality paradox in offender profiling: A theoretical review of the processes involved in deriving background characteristics from crime scene actions.","type":"article-journal","volume":"8"},"uris":["http://www.mendeley.com/documents/?uuid=e07c0ee6-9cc2-4dd5-a4a6-ccd65e0c2e93"]},{"id":"ITEM-2","itemData":{"DOI":"10.1348/135532502168360","ISBN":"1355325021","ISSN":"13553259","abstract":"Purpose. Conventional approaches to offender pro? ling assume a homology of the characteristics of offenders with their crime scene actions: the more similar two offenders are with respect to background characteristics, the higher the resem- blance in their crime scene behaviour. This implicit working hypothesis is tested empirically. Methods. The study is based on a sample of 100 British male stranger rapists. These individuals were indexed with respect to the similarity in their crime scene actions as derived from witness statements. They were then compared with respect to their socio-demographic features and criminal histories as derived from police records. In a correlational analysis, we tested whether increased similarity in one domain (offence behaviour) coincided with higher resemblance in the other domains (socio-demographic features and previous convictions). Results. There is no positive linear relationship for any of the comparisons, i.e. rapists who offend in a similar fashion are not more similar with respect to age, socio-demographic features (such as employment situation and ethnicity) or their criminal records. Conclusions. These ? ndings indicate no evidence for the assumption of a homol- ogy between crime scene actions and background characteristics for the rapists in the sample. We argue that this result suggests that the homology assumption is too simplistic to provide a basis for offender pro? ling. Implications for future research include the search for a suitable framework for offender pro? ling that is grounded in personality psychology. Further, methodological considerations are discussed, such as the potential application of probabilistic scales. Offender","author":[{"dropping-particle":"","family":"Mokros","given":"Andreas","non-dropping-particle":"","parse-names":false,"suffix":""},{"dropping-particle":"","family":"Alison","given":"Laurence J.","non-dropping-particle":"","parse-names":false,"suffix":""}],"container-title":"Legal and Criminological Psychology","id":"ITEM-2","issue":"1","issued":{"date-parts":[["2002"]]},"page":"25-43","title":"Is offender profiling possible? Testing the predicted homology of crime scene actions and background characteristics in a sample of rapists","type":"article-journal","volume":"7"},"uris":["http://www.mendeley.com/documents/?uuid=1033f952-d91d-4a34-9948-53e47322edce"]}],"mendeley":{"formattedCitation":"(Alison, Bennell, Mokros, &amp; Ormerod, 2002; Mokros &amp; Alison, 2002)","plainTextFormattedCitation":"(Alison, Bennell, Mokros, &amp; Ormerod, 2002; Mokros &amp; Alison, 2002)","previouslyFormattedCitation":"(Alison, Bennell, Mokros, &amp; Ormerod, 2002; Mokros &amp; Alison, 2002)"},"properties":{"noteIndex":0},"schema":"https://github.com/citation-style-language/schema/raw/master/csl-citation.json"}</w:instrText>
      </w:r>
      <w:r w:rsidR="00D519C3">
        <w:rPr>
          <w:lang w:val="en-GB"/>
        </w:rPr>
        <w:fldChar w:fldCharType="separate"/>
      </w:r>
      <w:r w:rsidR="006E548F" w:rsidRPr="00A370BE">
        <w:rPr>
          <w:noProof/>
          <w:lang w:val="en-GB"/>
        </w:rPr>
        <w:t>(Alison, Bennell, Mokros, &amp; Ormerod, 2002; Mokros &amp; Alison, 2002)</w:t>
      </w:r>
      <w:r w:rsidR="00D519C3">
        <w:rPr>
          <w:lang w:val="en-GB"/>
        </w:rPr>
        <w:fldChar w:fldCharType="end"/>
      </w:r>
      <w:r w:rsidR="006E548F">
        <w:rPr>
          <w:lang w:val="en-GB"/>
        </w:rPr>
        <w:t>.</w:t>
      </w:r>
      <w:r w:rsidR="00815A3E">
        <w:rPr>
          <w:lang w:val="en-GB"/>
        </w:rPr>
        <w:t xml:space="preserve"> </w:t>
      </w:r>
      <w:r w:rsidR="00133690">
        <w:rPr>
          <w:lang w:val="en-GB"/>
        </w:rPr>
        <w:t xml:space="preserve">Based on this tenet, </w:t>
      </w:r>
      <w:r w:rsidR="00353236">
        <w:rPr>
          <w:lang w:val="en-GB"/>
        </w:rPr>
        <w:t>offender profiling seeks to establish</w:t>
      </w:r>
      <w:r w:rsidR="004216DE">
        <w:rPr>
          <w:lang w:val="en-GB"/>
        </w:rPr>
        <w:t xml:space="preserve"> so</w:t>
      </w:r>
      <w:r w:rsidR="004216DE">
        <w:rPr>
          <w:lang w:val="en-GB"/>
        </w:rPr>
        <w:noBreakHyphen/>
        <w:t xml:space="preserve">called “A to C equations”, investigating </w:t>
      </w:r>
      <w:r w:rsidR="00353236" w:rsidRPr="00353236">
        <w:rPr>
          <w:i/>
          <w:lang w:val="en-GB"/>
        </w:rPr>
        <w:t>if</w:t>
      </w:r>
      <w:r w:rsidR="00353236">
        <w:rPr>
          <w:lang w:val="en-GB"/>
        </w:rPr>
        <w:t xml:space="preserve"> and </w:t>
      </w:r>
      <w:r w:rsidR="00353236" w:rsidRPr="00353236">
        <w:rPr>
          <w:i/>
          <w:lang w:val="en-GB"/>
        </w:rPr>
        <w:t>how</w:t>
      </w:r>
      <w:r w:rsidR="00353236">
        <w:rPr>
          <w:lang w:val="en-GB"/>
        </w:rPr>
        <w:t xml:space="preserve"> crime scene actions</w:t>
      </w:r>
      <w:r w:rsidR="004216DE">
        <w:rPr>
          <w:lang w:val="en-GB"/>
        </w:rPr>
        <w:t> (</w:t>
      </w:r>
      <w:r w:rsidR="00353236">
        <w:rPr>
          <w:lang w:val="en-GB"/>
        </w:rPr>
        <w:t xml:space="preserve">A) </w:t>
      </w:r>
      <w:r w:rsidR="002479BE">
        <w:rPr>
          <w:lang w:val="en-GB"/>
        </w:rPr>
        <w:t>can be</w:t>
      </w:r>
      <w:r w:rsidR="00353236">
        <w:rPr>
          <w:lang w:val="en-GB"/>
        </w:rPr>
        <w:t xml:space="preserve"> </w:t>
      </w:r>
      <w:r w:rsidR="006029CF">
        <w:rPr>
          <w:lang w:val="en-GB"/>
        </w:rPr>
        <w:t>linked</w:t>
      </w:r>
      <w:r w:rsidR="00353236">
        <w:rPr>
          <w:lang w:val="en-GB"/>
        </w:rPr>
        <w:t xml:space="preserve"> to </w:t>
      </w:r>
      <w:r w:rsidR="002479BE">
        <w:rPr>
          <w:lang w:val="en-GB"/>
        </w:rPr>
        <w:t xml:space="preserve">offender </w:t>
      </w:r>
      <w:r w:rsidR="00353236">
        <w:rPr>
          <w:lang w:val="en-GB"/>
        </w:rPr>
        <w:t>background characteristics (C)</w:t>
      </w:r>
      <w:r w:rsidR="004216DE">
        <w:rPr>
          <w:lang w:val="en-GB"/>
        </w:rPr>
        <w:t xml:space="preserve">, in order to allow for predictive </w:t>
      </w:r>
      <w:r w:rsidR="004216DE">
        <w:rPr>
          <w:lang w:val="en-GB"/>
        </w:rPr>
        <w:lastRenderedPageBreak/>
        <w:t xml:space="preserve">inferences </w:t>
      </w:r>
      <w:r w:rsidR="002479BE">
        <w:rPr>
          <w:lang w:val="en-GB"/>
        </w:rPr>
        <w:t>in unsolved criminal cases</w:t>
      </w:r>
      <w:r w:rsidR="004216DE">
        <w:rPr>
          <w:lang w:val="en-GB"/>
        </w:rPr>
        <w:t xml:space="preserve"> </w:t>
      </w:r>
      <w:r w:rsidR="00D519C3">
        <w:rPr>
          <w:lang w:val="en-GB"/>
        </w:rPr>
        <w:fldChar w:fldCharType="begin" w:fldLock="1"/>
      </w:r>
      <w:r w:rsidR="00312196">
        <w:rPr>
          <w:lang w:val="en-GB"/>
        </w:rPr>
        <w:instrText>ADDIN CSL_CITATION {"citationItems":[{"id":"ITEM-1","itemData":{"DOI":"10.1177/0963721410396825","ISBN":"0963721410","ISSN":"09637214","abstract":"Determining the characteristics of an unknown offender from details of a crime is at the heart of much crime fiction. Although it has roots in the inferences made by Sherlock Holmes, Sir Arthur Conan Doyle never provided empirical evidence for Holmes’ inferences, or models of how such inferences can be made. Yet it ought to be possible to utilize psychological theories to derive inferences about offenders. This possibility has become a significant aspect of the new domain known as investigative psychology, which among other things seeks to establish what are called ‘‘profiling equations.’’ Although these are not equations in the literal, mathematical sense, they serve to summarize the search for consistent associations between aspects of a crime and features of the criminal that will be useful to investigations. Some progress has been made in modeling the process for establishing these links, elucidating consistencies in human actions often ignored in studies of individual differences.","author":[{"dropping-particle":"V.","family":"Canter","given":"David","non-dropping-particle":"","parse-names":false,"suffix":""}],"container-title":"Current Directions in Psychological Science","id":"ITEM-1","issue":"1","issued":{"date-parts":[["2011"]]},"page":"5-10","title":"Resolving the offender \"profiling equations\" and the emergence of an investigative psychology","type":"article-journal","volume":"20"},"uris":["http://www.mendeley.com/documents/?uuid=a19aeb76-1fc5-40d8-923c-71bb9929dc66"]}],"mendeley":{"formattedCitation":"(Canter, 2011)","plainTextFormattedCitation":"(Canter, 2011)","previouslyFormattedCitation":"(Canter, 2011)"},"properties":{"noteIndex":0},"schema":"https://github.com/citation-style-language/schema/raw/master/csl-citation.json"}</w:instrText>
      </w:r>
      <w:r w:rsidR="00D519C3">
        <w:rPr>
          <w:lang w:val="en-GB"/>
        </w:rPr>
        <w:fldChar w:fldCharType="separate"/>
      </w:r>
      <w:r w:rsidR="004216DE" w:rsidRPr="004216DE">
        <w:rPr>
          <w:noProof/>
          <w:lang w:val="en-GB"/>
        </w:rPr>
        <w:t>(Canter, 2011)</w:t>
      </w:r>
      <w:r w:rsidR="00D519C3">
        <w:rPr>
          <w:lang w:val="en-GB"/>
        </w:rPr>
        <w:fldChar w:fldCharType="end"/>
      </w:r>
      <w:r w:rsidR="004216DE">
        <w:rPr>
          <w:lang w:val="en-GB"/>
        </w:rPr>
        <w:t>.</w:t>
      </w:r>
      <w:r w:rsidR="00353236">
        <w:rPr>
          <w:lang w:val="en-GB"/>
        </w:rPr>
        <w:t xml:space="preserve"> </w:t>
      </w:r>
      <w:r w:rsidR="004216DE">
        <w:rPr>
          <w:lang w:val="en-GB"/>
        </w:rPr>
        <w:t>With regard to practical utility</w:t>
      </w:r>
      <w:r w:rsidR="00310EEB" w:rsidRPr="00310EEB">
        <w:rPr>
          <w:lang w:val="en-GB"/>
        </w:rPr>
        <w:t xml:space="preserve">, </w:t>
      </w:r>
      <w:r w:rsidR="006E548F">
        <w:rPr>
          <w:lang w:val="en-GB"/>
        </w:rPr>
        <w:t xml:space="preserve">profiling </w:t>
      </w:r>
      <w:r w:rsidR="00310EEB" w:rsidRPr="00310EEB">
        <w:rPr>
          <w:lang w:val="en-GB"/>
        </w:rPr>
        <w:t>inferences made by BIAs</w:t>
      </w:r>
      <w:r w:rsidR="00300C46">
        <w:rPr>
          <w:lang w:val="en-GB"/>
        </w:rPr>
        <w:t xml:space="preserve"> should ideally</w:t>
      </w:r>
      <w:r w:rsidR="00310EEB" w:rsidRPr="00310EEB">
        <w:rPr>
          <w:lang w:val="en-GB"/>
        </w:rPr>
        <w:t xml:space="preserve"> </w:t>
      </w:r>
      <w:r w:rsidR="008C5137">
        <w:rPr>
          <w:lang w:val="en-GB"/>
        </w:rPr>
        <w:t xml:space="preserve">relate </w:t>
      </w:r>
      <w:r w:rsidR="00575B2E">
        <w:rPr>
          <w:lang w:val="en-GB"/>
        </w:rPr>
        <w:t xml:space="preserve">to offender background information that is </w:t>
      </w:r>
      <w:r w:rsidR="00833388">
        <w:rPr>
          <w:lang w:val="en-GB"/>
        </w:rPr>
        <w:t>overt</w:t>
      </w:r>
      <w:r w:rsidR="00575B2E">
        <w:rPr>
          <w:lang w:val="en-GB"/>
        </w:rPr>
        <w:t>, objective, and readily available to investigators</w:t>
      </w:r>
      <w:r w:rsidR="005F7ACC">
        <w:rPr>
          <w:lang w:val="en-GB"/>
        </w:rPr>
        <w:t>, such as the offender’s likely age, sex, or previous criminal convictions</w:t>
      </w:r>
      <w:r w:rsidR="00727DD1">
        <w:rPr>
          <w:lang w:val="en-GB"/>
        </w:rPr>
        <w:t xml:space="preserve"> </w:t>
      </w:r>
      <w:r w:rsidR="00D519C3">
        <w:rPr>
          <w:lang w:val="en-GB"/>
        </w:rPr>
        <w:fldChar w:fldCharType="begin" w:fldLock="1"/>
      </w:r>
      <w:r w:rsidR="00BB62F0">
        <w:rPr>
          <w:lang w:val="en-GB"/>
        </w:rPr>
        <w:instrText>ADDIN CSL_CITATION {"citationItems":[{"id":"ITEM-1","itemData":{"author":[{"dropping-particle":"","family":"Alison","given":"Laurence J","non-dropping-particle":"","parse-names":false,"suffix":""},{"dropping-particle":"","family":"Goodwill","given":"Alasdair M.","non-dropping-particle":"","parse-names":false,"suffix":""},{"dropping-particle":"","family":"Alison","given":"E","non-dropping-particle":"","parse-names":false,"suffix":""}],"container-title":"The forensic psychologist's casebook","editor":[{"dropping-particle":"","family":"Alison","given":"Laurence J.","non-dropping-particle":"","parse-names":false,"suffix":""}],"id":"ITEM-1","issued":{"date-parts":[["2005"]]},"page":"235-248","publisher":"Willan Publishing","publisher-place":"Devon","title":"Guidelines for profilers","type":"chapter"},"uris":["http://www.mendeley.com/documents/?uuid=324a8cde-6e4e-454d-952a-a0ed56ce8e25"]}],"mendeley":{"formattedCitation":"(Alison et al., 2005)","plainTextFormattedCitation":"(Alison et al., 2005)","previouslyFormattedCitation":"(Alison et al., 2005)"},"properties":{"noteIndex":0},"schema":"https://github.com/citation-style-language/schema/raw/master/csl-citation.json"}</w:instrText>
      </w:r>
      <w:r w:rsidR="00D519C3">
        <w:rPr>
          <w:lang w:val="en-GB"/>
        </w:rPr>
        <w:fldChar w:fldCharType="separate"/>
      </w:r>
      <w:r w:rsidR="000163D5" w:rsidRPr="000163D5">
        <w:rPr>
          <w:noProof/>
          <w:lang w:val="en-GB"/>
        </w:rPr>
        <w:t>(Alison et al., 2005)</w:t>
      </w:r>
      <w:r w:rsidR="00D519C3">
        <w:rPr>
          <w:lang w:val="en-GB"/>
        </w:rPr>
        <w:fldChar w:fldCharType="end"/>
      </w:r>
      <w:r w:rsidR="00727DD1">
        <w:rPr>
          <w:lang w:val="en-GB"/>
        </w:rPr>
        <w:t xml:space="preserve">. </w:t>
      </w:r>
      <w:r w:rsidR="00833388">
        <w:rPr>
          <w:lang w:val="en-GB"/>
        </w:rPr>
        <w:t>In addition, investigative advice given by BIAs</w:t>
      </w:r>
      <w:r w:rsidR="006B3806" w:rsidRPr="006B3806">
        <w:rPr>
          <w:lang w:val="en-GB"/>
        </w:rPr>
        <w:t xml:space="preserve"> </w:t>
      </w:r>
      <w:r w:rsidR="006B3806">
        <w:rPr>
          <w:lang w:val="en-GB"/>
        </w:rPr>
        <w:t xml:space="preserve">must be transparent as to how adequately and reliably it is backed by scientific research </w:t>
      </w:r>
      <w:r w:rsidR="00D519C3">
        <w:rPr>
          <w:lang w:val="en-GB"/>
        </w:rPr>
        <w:fldChar w:fldCharType="begin" w:fldLock="1"/>
      </w:r>
      <w:r w:rsidR="00EA7901">
        <w:rPr>
          <w:lang w:val="en-GB"/>
        </w:rPr>
        <w:instrText>ADDIN CSL_CITATION {"citationItems":[{"id":"ITEM-1","itemData":{"DOI":"10.1002/jip.59","ISBN":"9780203809051","ISSN":"15444759","abstract":"This study examined the content of a contemporary sample of behavioural investigative advice reports produced by the National Policing Improvements Agency (NPIA), formally known as the National Centre for Policing Excellence, and compared this sample with previous offender-profiling samples reported by Alison, Smith, Eastman, and Rainbow in 2003. Forty-seven reports written in 2005 were content analysed. The reports contained 805 claims, although 96% of the claims contained grounds for their claim, only 34% had any formal support or backing. In terms of confirmability, 70% of the claims were verifiable. However, only 43% were falsifiable, in that they could be objectively measured post-conviction. Analysis also showed that there were differences when comparing the different types of claims made (i.e. behavioural, temporal) and the different types of reports compiled by the NPIA (i.e. behavioural assessment report, linking report, etc.) Comparisons show that there is a very large positive difference between the contemporary behavioural investigative advice sample and previous non-NPIA expert advice in terms of the substantiveness of their arguments. Contemporary NPIA behavioural investigative advice has clearer boundaries around the claims made and presents material in a more coherent and evidence-based format than previous expert advice. (PsycINFO Database Record (c) 2009 APA, all rights reserved) (from the journal abstract)","author":[{"dropping-particle":"","family":"Almond","given":"Louise","non-dropping-particle":"","parse-names":false,"suffix":""},{"dropping-particle":"","family":"Alison","given":"Laurence","non-dropping-particle":"","parse-names":false,"suffix":""},{"dropping-particle":"","family":"Porter","given":"Louise","non-dropping-particle":"","parse-names":false,"suffix":""}],"container-title":"Journal of Investigative Psychology and Offender Profiling","id":"ITEM-1","issue":"2","issued":{"date-parts":[["2007","6","22"]]},"page":"71-83","publisher":"Routledge","title":"An evaluation and comparison of claims made in behavioural investigative advice reports compiled by the National Policing Improvements Agency in the United Kingdom","type":"article-journal","volume":"4"},"uris":["http://www.mendeley.com/documents/?uuid=50c6b743-8ed5-4af5-9641-a92430256fc4"]},{"id":"ITEM-2","itemData":{"DOI":"10.1080/1068316031000116265","ISBN":"1068-316X","ISSN":"1068316X","abstract":"This study sought to identify the extent to which claims about the probable characteristics of offenders in ‘offender profiles’ were based on substantive arguments. Because Toulmin’s (1958) philosophy of argument has been demonstrated as a useful way of breaking down arguments into their constituent parts (Burleson, 1979) we examined the extent to which profiles contained grounds, warrants, backing and rebuttals to support or refute various claims about offenders. Twenty-one profiles, representing a range of ‘profiling styles’, were obtained from a variety of sources. All of these had been used in major criminal investigations either in the UK or internationally. Of the nearly 4,000 claims made, nearly 80% were unsubstantiated. That is, they contained no grounds, warrant, backing or rebuttal. Moreover, less than 31% of the claims were falsifiable. We argue that (a) this demonstrates the need for a careful, systematic evaluation of profiling advice (b) Toulmin’s structure is one useful method for evaluating such material and for providing a possible framework for such advice.","author":[{"dropping-particle":"","family":"Alison","given":"Laurence J.","non-dropping-particle":"","parse-names":false,"suffix":""},{"dropping-particle":"","family":"Smith","given":"Matthew D.","non-dropping-particle":"","parse-names":false,"suffix":""},{"dropping-particle":"","family":"Eastman","given":"Oliver","non-dropping-particle":"","parse-names":false,"suffix":""},{"dropping-particle":"","family":"Rainbow","given":"Lee","non-dropping-particle":"","parse-names":false,"suffix":""}],"container-title":"Psychology, Crime and Law","id":"ITEM-2","issue":"2","issued":{"date-parts":[["2003"]]},"page":"173-183","title":"Toulmin's philosophy of argument and its relevance to offender profiling","type":"article-journal","volume":"9"},"uris":["http://www.mendeley.com/documents/?uuid=be7b2218-083d-43c9-b970-ef95f207288d"]}],"mendeley":{"formattedCitation":"(Alison, Smith, Eastman, &amp; Rainbow, 2003; Almond, Alison, &amp; Porter, 2007)","plainTextFormattedCitation":"(Alison, Smith, Eastman, &amp; Rainbow, 2003; Almond, Alison, &amp; Porter, 2007)","previouslyFormattedCitation":"(Alison, Smith, Eastman, &amp; Rainbow, 2003; Almond, Alison, &amp; Porter, 2007)"},"properties":{"noteIndex":0},"schema":"https://github.com/citation-style-language/schema/raw/master/csl-citation.json"}</w:instrText>
      </w:r>
      <w:r w:rsidR="00D519C3">
        <w:rPr>
          <w:lang w:val="en-GB"/>
        </w:rPr>
        <w:fldChar w:fldCharType="separate"/>
      </w:r>
      <w:r w:rsidR="00EA7901" w:rsidRPr="00EA7901">
        <w:rPr>
          <w:noProof/>
          <w:lang w:val="en-GB"/>
        </w:rPr>
        <w:t>(Alison, Smith, Eastman, &amp; Rainbow, 2003; Almond, Alison, &amp; Porter, 2007)</w:t>
      </w:r>
      <w:r w:rsidR="00D519C3">
        <w:rPr>
          <w:lang w:val="en-GB"/>
        </w:rPr>
        <w:fldChar w:fldCharType="end"/>
      </w:r>
      <w:r w:rsidR="0052436A">
        <w:rPr>
          <w:lang w:val="en-GB"/>
        </w:rPr>
        <w:t>. Taken together, this highlights</w:t>
      </w:r>
      <w:r w:rsidR="006B3806">
        <w:rPr>
          <w:lang w:val="en-GB"/>
        </w:rPr>
        <w:t xml:space="preserve"> the need for a broad and pragmatic </w:t>
      </w:r>
      <w:r w:rsidR="00044B71">
        <w:rPr>
          <w:lang w:val="en-GB"/>
        </w:rPr>
        <w:t>research foundation</w:t>
      </w:r>
      <w:r w:rsidR="000A42C3">
        <w:rPr>
          <w:lang w:val="en-GB"/>
        </w:rPr>
        <w:t xml:space="preserve"> </w:t>
      </w:r>
      <w:r w:rsidR="005E71C1">
        <w:rPr>
          <w:lang w:val="en-GB"/>
        </w:rPr>
        <w:t>on which to base profiling claims</w:t>
      </w:r>
      <w:r w:rsidR="005030C8">
        <w:rPr>
          <w:lang w:val="en-GB"/>
        </w:rPr>
        <w:t xml:space="preserve"> on</w:t>
      </w:r>
      <w:r w:rsidR="00A15712">
        <w:rPr>
          <w:lang w:val="en-GB"/>
        </w:rPr>
        <w:t>.</w:t>
      </w:r>
    </w:p>
    <w:p w:rsidR="009A2567" w:rsidRDefault="0052436A" w:rsidP="00CB2434">
      <w:pPr>
        <w:pStyle w:val="TextkrperMA"/>
        <w:rPr>
          <w:lang w:val="en-GB"/>
        </w:rPr>
      </w:pPr>
      <w:r>
        <w:rPr>
          <w:lang w:val="en-GB"/>
        </w:rPr>
        <w:t>A</w:t>
      </w:r>
      <w:r w:rsidR="009512A6">
        <w:rPr>
          <w:lang w:val="en-GB"/>
        </w:rPr>
        <w:t xml:space="preserve"> </w:t>
      </w:r>
      <w:r w:rsidR="00F53BCD">
        <w:rPr>
          <w:lang w:val="en-GB"/>
        </w:rPr>
        <w:t>number</w:t>
      </w:r>
      <w:r w:rsidR="009512A6">
        <w:rPr>
          <w:lang w:val="en-GB"/>
        </w:rPr>
        <w:t xml:space="preserve"> of international </w:t>
      </w:r>
      <w:r w:rsidR="00F53BCD">
        <w:rPr>
          <w:lang w:val="en-GB"/>
        </w:rPr>
        <w:t>studies</w:t>
      </w:r>
      <w:r w:rsidR="00180212">
        <w:rPr>
          <w:lang w:val="en-GB"/>
        </w:rPr>
        <w:t xml:space="preserve"> ha</w:t>
      </w:r>
      <w:r w:rsidR="00F53BCD">
        <w:rPr>
          <w:lang w:val="en-GB"/>
        </w:rPr>
        <w:t>ve</w:t>
      </w:r>
      <w:r w:rsidR="00180212">
        <w:rPr>
          <w:lang w:val="en-GB"/>
        </w:rPr>
        <w:t xml:space="preserve"> extend</w:t>
      </w:r>
      <w:r w:rsidR="00C6464C">
        <w:rPr>
          <w:lang w:val="en-GB"/>
        </w:rPr>
        <w:t>ed</w:t>
      </w:r>
      <w:r w:rsidR="00180212">
        <w:rPr>
          <w:lang w:val="en-GB"/>
        </w:rPr>
        <w:t xml:space="preserve"> the available evidence</w:t>
      </w:r>
      <w:r w:rsidR="006B3806">
        <w:rPr>
          <w:lang w:val="en-GB"/>
        </w:rPr>
        <w:t xml:space="preserve"> </w:t>
      </w:r>
      <w:r w:rsidR="00180212">
        <w:rPr>
          <w:lang w:val="en-GB"/>
        </w:rPr>
        <w:t xml:space="preserve">base for offender profiling </w:t>
      </w:r>
      <w:r w:rsidR="00AF28E4">
        <w:rPr>
          <w:lang w:val="en-GB"/>
        </w:rPr>
        <w:t>attempts in homicide cases</w:t>
      </w:r>
      <w:r w:rsidR="00F53BCD">
        <w:rPr>
          <w:lang w:val="en-GB"/>
        </w:rPr>
        <w:t xml:space="preserve"> over the last decades</w:t>
      </w:r>
      <w:r w:rsidR="00180212">
        <w:rPr>
          <w:lang w:val="en-GB"/>
        </w:rPr>
        <w:t xml:space="preserve"> </w:t>
      </w:r>
      <w:r w:rsidR="00D519C3">
        <w:rPr>
          <w:lang w:val="en-GB"/>
        </w:rPr>
        <w:fldChar w:fldCharType="begin" w:fldLock="1"/>
      </w:r>
      <w:r w:rsidR="000A584E">
        <w:rPr>
          <w:lang w:val="en-GB"/>
        </w:rPr>
        <w:instrText>ADDIN CSL_CITATION {"citationItems":[{"id":"ITEM-1","itemData":{"DOI":"10.1177/1088767915613828","ISBN":"1088767915613","ISSN":"15526720","abstract":"This study examines the validity of a statistical offender profiling technique that predicts the multi-dimensional classification of homicide offenders. Analyzing 539 Japanese homicide cases, we constructed multivariate prediction models that infer classifications defined by three dichotomous variables (stranger offender, solo offender, money-oriented motive) on the basis of crime scene information. We evaluated the validity of the models with a 10-fold cross-validation procedure and a receiver operating characteristic (ROC) analysis, and found the models to have moderate accuracy (area under the curve [AUC] = .73 to .82). We discussed the results from the perspective of the offender’s rational choices in the crime scene and crime specialization.","author":[{"dropping-particle":"","family":"Fujita","given":"Goro","non-dropping-particle":"","parse-names":false,"suffix":""},{"dropping-particle":"","family":"Watanabe","given":"Kazumi","non-dropping-particle":"","parse-names":false,"suffix":""},{"dropping-particle":"","family":"Yokota","given":"Kaeko","non-dropping-particle":"","parse-names":false,"suffix":""},{"dropping-particle":"","family":"Suzuki","given":"Mamoru","non-dropping-particle":"","parse-names":false,"suffix":""},{"dropping-particle":"","family":"Wachi","given":"Taeko","non-dropping-particle":"","parse-names":false,"suffix":""},{"dropping-particle":"","family":"Otsuka","given":"Yusuke","non-dropping-particle":"","parse-names":false,"suffix":""},{"dropping-particle":"","family":"Kuraishi","given":"Hiroki","non-dropping-particle":"","parse-names":false,"suffix":""}],"container-title":"Homicide Studies","id":"ITEM-1","issue":"4","issued":{"date-parts":[["2016"]]},"page":"295-320","title":"A Multivariate Model for Analyzing Crime Scene Information: Predicting Stranger, Solo Offender, and Money-Oriented Motive of Japanese Homicides","type":"article-journal","volume":"20"},"uris":["http://www.mendeley.com/documents/?uuid=b75a1755-ed1a-414a-bb8b-b99323040e8b"]},{"id":"ITEM-2","itemData":{"DOI":"10.1111/1467-9450.00328","ISBN":"00365564","ISSN":"00365564","PMID":"12778978","abstract":"A theoretical distinction between instrumental and expressive aggression was used in analyzing offender characteristics and their associations with crime scene actions in Finnish homicides. Twenty-one variables reflecting the offenders' criminal activity, previous relationships with intimates and victims, and general social and psychological adjustment were derived from files of single-offender/single-victim homicides occurring between 1980 and 1994 (n = 502). Additionally, three variables describing post-offense actions and police interview behavior were included. A multidimensional scaling procedure was used to investigate the interrelationships between the variables. A distinction between expressive and instrumental characteristics was observable in the empirical structure, which was divided into three subthemes of Instrumental, Expressive: Blood, and Expressive: Intimate. Associations between the characteristics with five previously identified subthemes of crime scene actions were computed. In addition, the subthemes of crime scene actions were related to post-offense actions and police interview behavior, with Expressive themes being associated with less denial as well as a greater likelihood of surrendering and confession. The practical usefulness for police investigations and theoretical implications of the results are discussed.","author":[{"dropping-particle":"","family":"Santtila","given":"Pekka","non-dropping-particle":"","parse-names":false,"suffix":""},{"dropping-particle":"","family":"Häkkänen","given":"Helinä","non-dropping-particle":"","parse-names":false,"suffix":""},{"dropping-particle":"","family":"Canter","given":"David","non-dropping-particle":"","parse-names":false,"suffix":""},{"dropping-particle":"","family":"Elfgren","given":"Thomas","non-dropping-particle":"","parse-names":false,"suffix":""}],"container-title":"Scandinavian Journal of Psychology","id":"ITEM-2","issue":"2","issued":{"date-parts":[["2003"]]},"page":"107-118","title":"Classifying homicide offenders and predicting their characteristics from crime scene behavior","type":"article-journal","volume":"44"},"uris":["http://www.mendeley.com/documents/?uuid=c5ba7d3b-2e9b-4117-a9db-87286e57557f"]},{"id":"ITEM-3","itemData":{"DOI":"10.1002/(SICI)1099-0798(199907/09)17:3&lt;391::AID-BSL352&gt;3.0.CO;2-Z","ISBN":"0735-3936; 1099-0798","ISSN":"07353936","PMID":"10481136","abstract":"The literature on \"offender profiling\" suggests that different \"styles\" of homicide will reflect differences in the background characteristics of the offender. To test this suggestion, hypotheses were drawn from studies of aggression to propose that murder crime scenes would reveal stylistic distinctions in the role of the aggression in the offense. It was further hypothesized that these distinctions would be clearest for those crime scene indicators that reflect the instrument (cognitive) actions that shape the offense rather than the more expressive (impulsive and emotional) components. Hypotheses about associated offender characteristics were also deduced on the assumption that the murder scene theme revealed the killers' typical styles of interpersonal transaction. To test these hypotheses MDS analyses were carried out on the crime scene and offender characteristics derived from 82 single offender, single victim stranger homicides. A multivariate structure resulted, including all three hypothesized styles, allowing 65% of the cases to be assigned to unique styles and a further 36% to be assigned to appropriate hybrids. Offender characteristics related in the anticipated way to the different crime scene styles, providing a basis for law enforcement inferences about offenders in stranger murders.","author":[{"dropping-particle":"","family":"Salfati","given":"C. Gabrielle","non-dropping-particle":"","parse-names":false,"suffix":""},{"dropping-particle":"V.","family":"Canter","given":"David","non-dropping-particle":"","parse-names":false,"suffix":""}],"container-title":"Behavioral Sciences and the Law","id":"ITEM-3","issue":"3","issued":{"date-parts":[["1999"]]},"page":"391-406","title":"Differentiating stranger murders: Profiling offender characteristics from behavioral styles","type":"article-journal","volume":"17"},"uris":["http://www.mendeley.com/documents/?uuid=93a6f533-b776-4553-9029-8e1eda147d37"]},{"id":"ITEM-4","itemData":{"DOI":"10.1177/1088767910397281","ISBN":"1088767910397","ISSN":"1088-7679","abstract":"Research has consistently shown that the average individual who commits one or more homicides is likely to have a criminal record, but little research has focused on whether individuals behave in a psychologically or thematically consistent way in both their homicide crime scene actions and prior offending. The current study examines the crime scene behaviors of single and serial homicide offenders to identify patterns that can be compared to themes in their prior offending. The results showed that crime scene actions occurred on a continuum from hostile to cognitive actions with serial offenders concentrating at the latter end of this continuum. However, only a small group of the serial homicide offenders committed similarly themed prior offenses and homicide behaviors, which raises questions regarding the hypotheses of behavioral consistency underlying offender profiling. (PsycINFO Database Record (c) 2012 APA, all rights reserved). (journal abstract)","author":[{"dropping-particle":"","family":"Trojan","given":"Carrie","non-dropping-particle":"","parse-names":false,"suffix":""},{"dropping-particle":"","family":"Salfati","given":"C. Gabrielle","non-dropping-particle":"","parse-names":false,"suffix":""}],"container-title":"Homicide Studies","id":"ITEM-4","issue":"1","issued":{"date-parts":[["2011"]]},"page":"3-31","title":"Linking Criminal History to Crime Scene Behavior in Single-Victim and Serial Homicide: Implications for Offender Profiling Research","type":"article-journal","volume":"15"},"uris":["http://www.mendeley.com/documents/?uuid=bc3ca59b-10b9-473a-8feb-8166acc0f80d"]},{"id":"ITEM-5","itemData":{"URL":"http://eprints.lancs.ac.uk/9492/1/francishomicide2004.pdf","accessed":{"date-parts":[["2017","12","28"]]},"author":[{"dropping-particle":"","family":"Francis","given":"Brian","non-dropping-particle":"","parse-names":false,"suffix":""},{"dropping-particle":"","family":"Barry","given":"J.","non-dropping-particle":"","parse-names":false,"suffix":""},{"dropping-particle":"","family":"Bowater","given":"R.","non-dropping-particle":"","parse-names":false,"suffix":""},{"dropping-particle":"","family":"Miller","given":"N.","non-dropping-particle":"","parse-names":false,"suffix":""},{"dropping-particle":"","family":"Soothill","given":"K.","non-dropping-particle":"","parse-names":false,"suffix":""},{"dropping-particle":"","family":"Ackerley","given":"E.","non-dropping-particle":"","parse-names":false,"suffix":""}],"id":"ITEM-5","issued":{"date-parts":[["2004"]]},"publisher":"UK Home Office","title":"Using homicide data to assist murder investigations","type":"webpage"},"uris":["http://www.mendeley.com/documents/?uuid=46f34aab-805b-4157-85f2-442656652f3d"]},{"id":"ITEM-6","itemData":{"DOI":"10.1002/jip.1396","ISSN":"15444767","abstract":"This paper considers the role of a Behavioural Investigative Adviser (BIA) in assisting with the decision-making of a Senior Investigating Officer (SIO) in difficult-to-detect murder investigations. It outlines the need for transparent evidence-based decision-making from both the SIO and the BIA. The paper then details a piece of relevant, applied research that can assist in this end. The research utilised a pragmatic psychology approach to analyse 312 detected murder cases from the Serious Crime Analysis Section database. Some significant patterns relating what is known about the offence at different stages of an investigation and inferences regarding the offender were found, indicating that certain offence information can lead to some reliable predictions and these can be refined as more information becomes available. However, the findings also indicate that base rate frequencies and a ‘best-guess’ methodology may be as, if not more, useful than more complex statistical techniques when providing advice to investigations.","author":[{"dropping-particle":"","family":"Cole","given":"Terri","non-dropping-particle":"","parse-names":false,"suffix":""},{"dropping-particle":"","family":"Brown","given":"Jennifer","non-dropping-particle":"","parse-names":false,"suffix":""}],"container-title":"Journal of Investigative Psychology and Offender Profiling","id":"ITEM-6","issue":"3","issued":{"date-parts":[["2014"]]},"page":"191-220","title":"Behavioural investigative advice: Assistance to investigative decision-making in difficult-to-detect murder","type":"article-journal","volume":"11"},"prefix":"e.g.","uris":["http://www.mendeley.com/documents/?uuid=629c73c0-ceec-4270-a53d-d29df1aafd12"]},{"id":"ITEM-7","itemData":{"DOI":"10.1177/1088767910382833","ISSN":"10887679","abstract":"The present study explored the link between offenders' prior criminal specialization (violent crime, sexual crime, or burglary/theft) and subsequent homicide crime scene type (exploit, control, distance) in 77 U.S. cases of single-offender/single-victim homicides. Specialists as compared to those with no prior criminal history were significantly more likely to engage in goal directed behaviors such as controlling the victim, controlling the outcome, and exploitative behaviors (sex and theft). Sexual crime specialists specifically were the more distinct subtype. The findings indicated differences in how first-time homicide offenders approach the crime scene and are discussed in line with the usefulness to homicide investigators.","author":[{"dropping-particle":"","family":"Horning","given":"Amber M.","non-dropping-particle":"","parse-names":false,"suffix":""},{"dropping-particle":"","family":"Salfati","given":"C. Gabrielle","non-dropping-particle":"","parse-names":false,"suffix":""},{"dropping-particle":"","family":"Crawford","given":"Kristan","non-dropping-particle":"","parse-names":false,"suffix":""}],"container-title":"Homicide Studies","id":"ITEM-7","issue":"4","issued":{"date-parts":[["2010"]]},"page":"377-399","title":"Prior crime specialization and its relationship to homicide crime scene behavior type","type":"article-journal","volume":"14"},"uris":["http://www.mendeley.com/documents/?uuid=d62abb86-9906-4e83-b595-4e4b7f087b46"]}],"mendeley":{"formattedCitation":"(e.g. Cole &amp; Brown, 2014; Francis et al., 2004; Fujita et al., 2016; Horning, Salfati, &amp; Crawford, 2010; Salfati &amp; Canter, 1999; Santtila, Häkkänen, Canter, &amp; Elfgren, 2003; Trojan &amp; Salfati, 2011)","plainTextFormattedCitation":"(e.g. Cole &amp; Brown, 2014; Francis et al., 2004; Fujita et al., 2016; Horning, Salfati, &amp; Crawford, 2010; Salfati &amp; Canter, 1999; Santtila, Häkkänen, Canter, &amp; Elfgren, 2003; Trojan &amp; Salfati, 2011)","previouslyFormattedCitation":"(e.g. Cole &amp; Brown, 2014; Francis et al., 2004; Fujita et al., 2016; Horning, Salfati, &amp; Crawford, 2010; Salfati &amp; Canter, 1999; Santtila, Häkkänen, Canter, &amp; Elfgren, 2003; Trojan &amp; Salfati, 2011)"},"properties":{"noteIndex":0},"schema":"https://github.com/citation-style-language/schema/raw/master/csl-citation.json"}</w:instrText>
      </w:r>
      <w:r w:rsidR="00D519C3">
        <w:rPr>
          <w:lang w:val="en-GB"/>
        </w:rPr>
        <w:fldChar w:fldCharType="separate"/>
      </w:r>
      <w:r w:rsidR="00F53BCD" w:rsidRPr="00F53BCD">
        <w:rPr>
          <w:noProof/>
          <w:lang w:val="en-GB"/>
        </w:rPr>
        <w:t>(e.g. Cole &amp; Brown, 2014; Francis et al., 2004; Fujita et al., 2016; Horning, Salfati, &amp; Crawford, 2010; Salfati &amp; Canter, 1999; Santtila, Häkkänen, Canter, &amp; Elfgren, 2003; Trojan &amp; Salfati, 2011)</w:t>
      </w:r>
      <w:r w:rsidR="00D519C3">
        <w:rPr>
          <w:lang w:val="en-GB"/>
        </w:rPr>
        <w:fldChar w:fldCharType="end"/>
      </w:r>
      <w:r w:rsidR="00815A3E">
        <w:rPr>
          <w:lang w:val="en-GB"/>
        </w:rPr>
        <w:t>. However,</w:t>
      </w:r>
      <w:r w:rsidR="00180212">
        <w:rPr>
          <w:lang w:val="en-GB"/>
        </w:rPr>
        <w:t xml:space="preserve"> </w:t>
      </w:r>
      <w:r w:rsidR="00F8135E">
        <w:rPr>
          <w:lang w:val="en-GB"/>
        </w:rPr>
        <w:t xml:space="preserve">relatively few studies have examined </w:t>
      </w:r>
      <w:r w:rsidR="00E70D25" w:rsidRPr="006659BD">
        <w:rPr>
          <w:i/>
          <w:lang w:val="en-GB"/>
        </w:rPr>
        <w:t>specifically</w:t>
      </w:r>
      <w:r w:rsidR="00FE093C">
        <w:rPr>
          <w:lang w:val="en-GB"/>
        </w:rPr>
        <w:t xml:space="preserve"> </w:t>
      </w:r>
      <w:r w:rsidR="00F8135E">
        <w:rPr>
          <w:lang w:val="en-GB"/>
        </w:rPr>
        <w:t>whether</w:t>
      </w:r>
      <w:r w:rsidR="00D3118C">
        <w:rPr>
          <w:lang w:val="en-GB"/>
        </w:rPr>
        <w:t xml:space="preserve"> homicide</w:t>
      </w:r>
      <w:r w:rsidR="00F8135E">
        <w:rPr>
          <w:lang w:val="en-GB"/>
        </w:rPr>
        <w:t xml:space="preserve"> </w:t>
      </w:r>
      <w:r w:rsidR="00E70D25">
        <w:rPr>
          <w:lang w:val="en-GB"/>
        </w:rPr>
        <w:t xml:space="preserve">offenders’ </w:t>
      </w:r>
      <w:r w:rsidR="00E70D25" w:rsidRPr="00817D25">
        <w:rPr>
          <w:i/>
          <w:lang w:val="en-GB"/>
        </w:rPr>
        <w:t xml:space="preserve">criminal </w:t>
      </w:r>
      <w:r w:rsidR="00F44DED" w:rsidRPr="00817D25">
        <w:rPr>
          <w:i/>
          <w:lang w:val="en-GB"/>
        </w:rPr>
        <w:t>histor</w:t>
      </w:r>
      <w:r w:rsidR="00BC408A" w:rsidRPr="00817D25">
        <w:rPr>
          <w:i/>
          <w:lang w:val="en-GB"/>
        </w:rPr>
        <w:t>ies</w:t>
      </w:r>
      <w:r w:rsidR="00E70D25">
        <w:rPr>
          <w:lang w:val="en-GB"/>
        </w:rPr>
        <w:t xml:space="preserve"> can be inferred from their crime scene actions. </w:t>
      </w:r>
      <w:r w:rsidR="00F44DED">
        <w:rPr>
          <w:lang w:val="en-GB"/>
        </w:rPr>
        <w:t xml:space="preserve">Criminal history profiling follows the idea that an offender’s prior criminal experience, such as encounters with the criminal justice system or previously successful criminal strategies, will influence future </w:t>
      </w:r>
      <w:proofErr w:type="spellStart"/>
      <w:r w:rsidR="006A415D">
        <w:rPr>
          <w:lang w:val="en-GB"/>
        </w:rPr>
        <w:t>behavior</w:t>
      </w:r>
      <w:r w:rsidR="00F44DED">
        <w:rPr>
          <w:lang w:val="en-GB"/>
        </w:rPr>
        <w:t>s</w:t>
      </w:r>
      <w:proofErr w:type="spellEnd"/>
      <w:r w:rsidR="00F44DED">
        <w:rPr>
          <w:lang w:val="en-GB"/>
        </w:rPr>
        <w:t xml:space="preserve"> this offender exhibits in the commission of a crime </w:t>
      </w:r>
      <w:r w:rsidR="00D519C3">
        <w:rPr>
          <w:lang w:val="en-GB"/>
        </w:rPr>
        <w:fldChar w:fldCharType="begin" w:fldLock="1"/>
      </w:r>
      <w:r w:rsidR="002965C9">
        <w:rPr>
          <w:lang w:val="en-GB"/>
        </w:rPr>
        <w:instrText>ADDIN CSL_CITATION {"citationItems":[{"id":"ITEM-1","itemData":{"DOI":"10.1016/j.jcrimjus.2010.09.004","ISBN":"0047-2352","ISSN":"00472352","abstract":"Purpose: Although rational choice researchers has investigated how offenders successfully commit certain crimes, there is a lack of research looking at the factors explaining the use - or not - of certain detection avoidance strategies. This study introduces the concept of \"forensic awareness\" as a detection avoidance strategy, and proposes to examine the effect of disinhibitors, target selection behaviors, and acts that may potentially leave evidence at the crime scene on its use. Methods: Factors influencing forensic awareness are tested using logistic regression models on a sample of 222 rape events collected from offenders incarcerated in Canada. Results: Offenders exhibit less forensic awareness when under the influence of drugs and/or alcohol. However, offenders who show some form of target selection are more likely to take forensic precautions. Finally, offenders who break and enter in the victim's residence, and undertake specific sexual acts during the crime are also more likely to exhibit forensic awareness. Conclusion: Despite the increasing use and knowledge of forensic evidence by law enforcement, offenders are inconsistent in their forensic awareness and they direct most of their efforts toward protecting their identity, neglecting to either destroy or clean up DNA that could be recovered at the crime scene. © 2010 Elsevier Ltd.","author":[{"dropping-particle":"","family":"Beauregard","given":"Eric","non-dropping-particle":"","parse-names":false,"suffix":""},{"dropping-particle":"","family":"Bouchard","given":"Martin","non-dropping-particle":"","parse-names":false,"suffix":""}],"container-title":"Journal of Criminal Justice","id":"ITEM-1","issue":"6","issued":{"date-parts":[["2010"]]},"page":"1160-1166","publisher":"Elsevier Ltd","title":"Cleaning up your act: Forensic awareness as a detection avoidance strategy","type":"article-journal","volume":"38"},"uris":["http://www.mendeley.com/documents/?uuid=664c7740-ae3e-46c7-97fe-0d99ef28ecaa"]},{"id":"ITEM-2","itemData":{"DOI":"10.1016/S1355-0306(97)72169-5","ISBN":"1355-0306","ISSN":"13550306","PMID":"9302833","abstract":"Approximately 85% of stranger rapists have criminal records, which usually contain a mixture of crime types. This study was designed to ascertain if inferences about such records could be made from aspects of offence behaviour, as described by the rape victims, focusing on both non-sexual behaviours and traits more obviously associated with previous criminality. The statistical technique used was logistic regression. The results demonstrated that it was very possible to obtain indications of a rapist's criminal antecedents from his offence behaviour. The three most promising models were those that predicted whether or not the offender had convictions for burglary, whether or not he had convictions for violent offences, and whether the offence was an apparent 'one-off' occurrence rather than the work of an experienced rapist.","author":[{"dropping-particle":"","family":"Davies","given":"A.","non-dropping-particle":"","parse-names":false,"suffix":""},{"dropping-particle":"","family":"Wittebrood","given":"K.","non-dropping-particle":"","parse-names":false,"suffix":""},{"dropping-particle":"","family":"Jackson","given":"J. L.","non-dropping-particle":"","parse-names":false,"suffix":""}],"container-title":"Science and Justice - Journal of the Forensic Science Society","id":"ITEM-2","issue":"3","issued":{"date-parts":[["1997"]]},"page":"161-170","title":"Predicting the criminal antecedents of a stranger rapist from his offence behaviour","type":"article-journal","volume":"37"},"uris":["http://www.mendeley.com/documents/?uuid=85219464-b5f5-4e44-b3a2-413f67f0b67e"]},{"id":"ITEM-3","itemData":{"DOI":"10.1177/0306624X12456682","ISSN":"0306624X","PMID":"22871587","abstract":"Few empirical studies have been conducted that examine the phenomenon of sexual homicide, and among these studies, many have been limited by small sample size. Although interesting and informative, these studies may not be representative of the greater phenomenon of sexual murder and may be subject to sampling bias that could have significant effects on results. The current study aims to provide a descriptive analysis of the largest sample of sexual homicide cases across Canada in the past 62 years. In doing so, the study aims to examine offender and victim characteristics, victim targeting and access, and modus operandi. Findings show that cases of sexual homicide and sexual murderers included in the current study differ in many aspects from the portrait of the sexual murderer and his or her crime depicted in previous studies. The authors' results may prove useful to the police officers responsible for the investigation of these crimes.","author":[{"dropping-particle":"","family":"Beauregard","given":"Eric","non-dropping-particle":"","parse-names":false,"suffix":""},{"dropping-particle":"","family":"Martineau","given":"Melissa","non-dropping-particle":"","parse-names":false,"suffix":""}],"container-title":"International Journal of Offender Therapy and Comparative Criminology","id":"ITEM-3","issue":"12","issued":{"date-parts":[["2013"]]},"page":"1454-1476","title":"A descriptive study of sexual homicide in Canada: Implications for police investigation","type":"article-journal","volume":"57"},"uris":["http://www.mendeley.com/documents/?uuid=7e5e0e4b-458b-44ee-893c-15c7e835796c"]}],"mendeley":{"formattedCitation":"(Beauregard &amp; Bouchard, 2010; Beauregard &amp; Martineau, 2013; Davies et al., 1997)","plainTextFormattedCitation":"(Beauregard &amp; Bouchard, 2010; Beauregard &amp; Martineau, 2013; Davies et al., 1997)","previouslyFormattedCitation":"(Beauregard &amp; Bouchard, 2010; Beauregard &amp; Martineau, 2013; Davies et al., 1997)"},"properties":{"noteIndex":0},"schema":"https://github.com/citation-style-language/schema/raw/master/csl-citation.json"}</w:instrText>
      </w:r>
      <w:r w:rsidR="00D519C3">
        <w:rPr>
          <w:lang w:val="en-GB"/>
        </w:rPr>
        <w:fldChar w:fldCharType="separate"/>
      </w:r>
      <w:r w:rsidR="00BB62F0" w:rsidRPr="00BB62F0">
        <w:rPr>
          <w:noProof/>
          <w:lang w:val="en-GB"/>
        </w:rPr>
        <w:t>(Beauregard &amp; Bouchard, 2010; Beauregard &amp; Martineau, 2013; Davies et al., 1997)</w:t>
      </w:r>
      <w:r w:rsidR="00D519C3">
        <w:rPr>
          <w:lang w:val="en-GB"/>
        </w:rPr>
        <w:fldChar w:fldCharType="end"/>
      </w:r>
      <w:r w:rsidR="00F44DED">
        <w:rPr>
          <w:lang w:val="en-GB"/>
        </w:rPr>
        <w:t xml:space="preserve">. The current lack of studies </w:t>
      </w:r>
      <w:r w:rsidR="00BC408A">
        <w:rPr>
          <w:lang w:val="en-GB"/>
        </w:rPr>
        <w:t xml:space="preserve">exploring links between homicide offenders crimes scene actions and </w:t>
      </w:r>
      <w:r w:rsidR="00A15712">
        <w:rPr>
          <w:lang w:val="en-GB"/>
        </w:rPr>
        <w:t>their pre-convictions</w:t>
      </w:r>
      <w:r w:rsidR="00F44DED">
        <w:rPr>
          <w:lang w:val="en-GB"/>
        </w:rPr>
        <w:t xml:space="preserve"> is unfortunate given the potential usefulness of</w:t>
      </w:r>
      <w:r w:rsidR="00FB4363">
        <w:rPr>
          <w:lang w:val="en-GB"/>
        </w:rPr>
        <w:t xml:space="preserve"> such</w:t>
      </w:r>
      <w:r w:rsidR="00F44DED">
        <w:rPr>
          <w:lang w:val="en-GB"/>
        </w:rPr>
        <w:t xml:space="preserve"> information</w:t>
      </w:r>
      <w:r w:rsidR="00FB4363">
        <w:rPr>
          <w:lang w:val="en-GB"/>
        </w:rPr>
        <w:t xml:space="preserve"> to investigations</w:t>
      </w:r>
      <w:r w:rsidR="00F44DED">
        <w:rPr>
          <w:lang w:val="en-GB"/>
        </w:rPr>
        <w:t xml:space="preserve">, as 1) most homicide offenders appear to have criminal antecedents of some kind </w:t>
      </w:r>
      <w:r w:rsidR="00D519C3">
        <w:rPr>
          <w:lang w:val="en-GB"/>
        </w:rPr>
        <w:fldChar w:fldCharType="begin" w:fldLock="1"/>
      </w:r>
      <w:r w:rsidR="00761E9D">
        <w:rPr>
          <w:lang w:val="en-GB"/>
        </w:rPr>
        <w:instrText>ADDIN CSL_CITATION {"citationItems":[{"id":"ITEM-1","itemData":{"DOI":"10.1177/1088767906288577","ISSN":"1088-7679","author":[{"dropping-particle":"","family":"Broidy","given":"Lisa M.","non-dropping-particle":"","parse-names":false,"suffix":""},{"dropping-particle":"","family":"Daday","given":"Jerry K.","non-dropping-particle":"","parse-names":false,"suffix":""},{"dropping-particle":"","family":"Crandall","given":"Cameron S.","non-dropping-particle":"","parse-names":false,"suffix":""},{"dropping-particle":"","family":"Sklar","given":"David P.","non-dropping-particle":"","parse-names":false,"suffix":""},{"dropping-particle":"","family":"Jost","given":"Peter F.","non-dropping-particle":"","parse-names":false,"suffix":""}],"container-title":"Homicide Studies","id":"ITEM-1","issue":"3","issued":{"date-parts":[["2006","8","24"]]},"page":"155-180","title":"Exploring Demographic, Structural, and Behavioral Overlap Among Homicide Offenders and Victims","type":"article-journal","volume":"10"},"uris":["http://www.mendeley.com/documents/?uuid=b8f3fff5-ef76-4d2d-a801-d109b067e126"]},{"id":"ITEM-2","itemData":{"ISBN":"1-84082-838-8","URL":"http://eprints.lancs.ac.uk/3423/1/prs144.pdf","abstract":"Improving our understanding of criminal careers and how they relate to very serious offences is important in order to improve both preventative and investigative responses. The primary aim of this study was to identify the presence of risk factors within a prior criminal history that might have some potential application in appropriate interventions for serious offenders. It explores the previous criminal histories of those who had been convicted of murder or serious sexual assault (SSA). The study explores the relationship between the previous criminal history of an individual and the risk of subsequent conviction for murder, on the one hand, and SSA of an adult female, on the other.","accessed":{"date-parts":[["2018","8","8"]]},"author":[{"dropping-particle":"","family":"Soothill","given":"Keith","non-dropping-particle":"","parse-names":false,"suffix":""},{"dropping-particle":"","family":"Francis","given":"Brian","non-dropping-particle":"","parse-names":false,"suffix":""},{"dropping-particle":"","family":"Ackerley","given":"Elizabeth","non-dropping-particle":"","parse-names":false,"suffix":""},{"dropping-particle":"","family":"Fligelstone","given":"Rachel","non-dropping-particle":"","parse-names":false,"suffix":""}],"id":"ITEM-2","issued":{"date-parts":[["2002"]]},"title":"Murder and Serious Sexual Assault: What criminal histories can reveal about future serious offending","type":"webpage"},"uris":["http://www.mendeley.com/documents/?uuid=11e046d0-554d-4755-a543-1ab775d64279"]},{"id":"ITEM-3","itemData":{"DOI":"10.1177/1088767914530555","ISSN":"1088-7679","abstract":"Research into stranger sexual homicide remains limited as is our understanding of this crime, and this can hinder criminal investigations and the assessment and management of offenders. This study aims to address this. Using data gathered by various British police forces, this study presents a descriptive profile of adult male-on-female stranger sexual homicide in Great Britain in recent years. Along with demographic and occupational data on offenders and victims, the criminal histories of offenders are illustrated as are their offense behaviors. The results are discussed in light of similar research, and future directions and implications are considered.","author":[{"dropping-particle":"V","family":"Greenall","given":"Paul","non-dropping-particle":"","parse-names":false,"suffix":""},{"dropping-particle":"","family":"Richardson","given":"Clare","non-dropping-particle":"","parse-names":false,"suffix":""}],"container-title":"Homicide Studies","id":"ITEM-3","issue":"3","issued":{"date-parts":[["2015"]]},"page":"237-256","title":"Adult Male-on-Female Stranger Sexual Homicide: A Descriptive (Baseline) Study From Great Britain","type":"article-journal","volume":"19"},"uris":["http://www.mendeley.com/documents/?uuid=8967f511-83cf-4c39-abbe-53d30d6e85e0"]},{"id":"ITEM-4","itemData":{"DOI":"10.1002/jip.1396","ISSN":"15444767","abstract":"This paper considers the role of a Behavioural Investigative Adviser (BIA) in assisting with the decision-making of a Senior Investigating Officer (SIO) in difficult-to-detect murder investigations. It outlines the need for transparent evidence-based decision-making from both the SIO and the BIA. The paper then details a piece of relevant, applied research that can assist in this end. The research utilised a pragmatic psychology approach to analyse 312 detected murder cases from the Serious Crime Analysis Section database. Some significant patterns relating what is known about the offence at different stages of an investigation and inferences regarding the offender were found, indicating that certain offence information can lead to some reliable predictions and these can be refined as more information becomes available. However, the findings also indicate that base rate frequencies and a ‘best-guess’ methodology may be as, if not more, useful than more complex statistical techniques when providing advice to investigations.","author":[{"dropping-particle":"","family":"Cole","given":"Terri","non-dropping-particle":"","parse-names":false,"suffix":""},{"dropping-particle":"","family":"Brown","given":"Jennifer","non-dropping-particle":"","parse-names":false,"suffix":""}],"container-title":"Journal of Investigative Psychology and Offender Profiling","id":"ITEM-4","issue":"3","issued":{"date-parts":[["2014"]]},"page":"191-220","title":"Behavioural investigative advice: Assistance to investigative decision-making in difficult-to-detect murder","type":"article-journal","volume":"11"},"uris":["http://www.mendeley.com/documents/?uuid=629c73c0-ceec-4270-a53d-d29df1aafd12"]}],"mendeley":{"formattedCitation":"(Broidy, Daday, Crandall, Sklar, &amp; Jost, 2006; Cole &amp; Brown, 2014; Greenall &amp; Richardson, 2015; Soothill, Francis, Ackerley, &amp; Fligelstone, 2002)","plainTextFormattedCitation":"(Broidy, Daday, Crandall, Sklar, &amp; Jost, 2006; Cole &amp; Brown, 2014; Greenall &amp; Richardson, 2015; Soothill, Francis, Ackerley, &amp; Fligelstone, 2002)","previouslyFormattedCitation":"(Broidy, Daday, Crandall, Sklar, &amp; Jost, 2006; Cole &amp; Brown, 2014; Greenall &amp; Richardson, 2015; Soothill, Francis, Ackerley, &amp; Fligelstone, 2002)"},"properties":{"noteIndex":0},"schema":"https://github.com/citation-style-language/schema/raw/master/csl-citation.json"}</w:instrText>
      </w:r>
      <w:r w:rsidR="00D519C3">
        <w:rPr>
          <w:lang w:val="en-GB"/>
        </w:rPr>
        <w:fldChar w:fldCharType="separate"/>
      </w:r>
      <w:r w:rsidR="00761E9D" w:rsidRPr="00761E9D">
        <w:rPr>
          <w:noProof/>
          <w:lang w:val="en-GB"/>
        </w:rPr>
        <w:t>(Broidy, Daday, Crandall, Sklar, &amp; Jost, 2006; Cole &amp; Brown, 2014; Greenall &amp; Richardson, 2015; Soothill, Francis, Ackerley, &amp; Fligelstone, 2002)</w:t>
      </w:r>
      <w:r w:rsidR="00D519C3">
        <w:rPr>
          <w:lang w:val="en-GB"/>
        </w:rPr>
        <w:fldChar w:fldCharType="end"/>
      </w:r>
      <w:r w:rsidR="00F44DED">
        <w:rPr>
          <w:lang w:val="en-GB"/>
        </w:rPr>
        <w:t xml:space="preserve"> and 2) information on previous criminal convictions is easily </w:t>
      </w:r>
      <w:r w:rsidR="00F44DED">
        <w:rPr>
          <w:lang w:val="en-GB"/>
        </w:rPr>
        <w:lastRenderedPageBreak/>
        <w:t>available to investigators through police databases</w:t>
      </w:r>
      <w:r w:rsidR="00300C46">
        <w:rPr>
          <w:lang w:val="en-GB"/>
        </w:rPr>
        <w:t xml:space="preserve"> as long as their offending has been in the UK </w:t>
      </w:r>
      <w:r w:rsidR="00F44DED">
        <w:rPr>
          <w:lang w:val="en-GB"/>
        </w:rPr>
        <w:t xml:space="preserve"> </w:t>
      </w:r>
      <w:r w:rsidR="00D519C3">
        <w:rPr>
          <w:lang w:val="en-GB"/>
        </w:rPr>
        <w:fldChar w:fldCharType="begin" w:fldLock="1"/>
      </w:r>
      <w:r w:rsidR="00761E9D">
        <w:rPr>
          <w:lang w:val="en-GB"/>
        </w:rPr>
        <w:instrText>ADDIN CSL_CITATION {"citationItems":[{"id":"ITEM-1","itemData":{"author":[{"dropping-particle":"","family":"Alison","given":"Laurence J","non-dropping-particle":"","parse-names":false,"suffix":""},{"dropping-particle":"","family":"Goodwill","given":"Alasdair M.","non-dropping-particle":"","parse-names":false,"suffix":""},{"dropping-particle":"","family":"Alison","given":"E","non-dropping-particle":"","parse-names":false,"suffix":""}],"container-title":"The forensic psychologist's casebook","editor":[{"dropping-particle":"","family":"Alison","given":"Laurence J.","non-dropping-particle":"","parse-names":false,"suffix":""}],"id":"ITEM-1","issued":{"date-parts":[["2005"]]},"page":"235-248","publisher":"Willan Publishing","publisher-place":"Devon","title":"Guidelines for profilers","type":"chapter"},"uris":["http://www.mendeley.com/documents/?uuid=324a8cde-6e4e-454d-952a-a0ed56ce8e25"]}],"mendeley":{"formattedCitation":"(Alison et al., 2005)","plainTextFormattedCitation":"(Alison et al., 2005)","previouslyFormattedCitation":"(Alison et al., 2005)"},"properties":{"noteIndex":0},"schema":"https://github.com/citation-style-language/schema/raw/master/csl-citation.json"}</w:instrText>
      </w:r>
      <w:r w:rsidR="00D519C3">
        <w:rPr>
          <w:lang w:val="en-GB"/>
        </w:rPr>
        <w:fldChar w:fldCharType="separate"/>
      </w:r>
      <w:r w:rsidR="00F44DED" w:rsidRPr="00822E7C">
        <w:rPr>
          <w:noProof/>
          <w:lang w:val="en-GB"/>
        </w:rPr>
        <w:t>(Alison et al., 2005)</w:t>
      </w:r>
      <w:r w:rsidR="00D519C3">
        <w:rPr>
          <w:lang w:val="en-GB"/>
        </w:rPr>
        <w:fldChar w:fldCharType="end"/>
      </w:r>
      <w:r w:rsidR="00F44DED">
        <w:rPr>
          <w:lang w:val="en-GB"/>
        </w:rPr>
        <w:t>.</w:t>
      </w:r>
    </w:p>
    <w:p w:rsidR="00787146" w:rsidRDefault="00066433" w:rsidP="00CB2434">
      <w:pPr>
        <w:pStyle w:val="TextkrperMA"/>
        <w:rPr>
          <w:lang w:val="en-GB"/>
        </w:rPr>
      </w:pPr>
      <w:r>
        <w:rPr>
          <w:lang w:val="en-GB"/>
        </w:rPr>
        <w:t>Furthermore, the few e</w:t>
      </w:r>
      <w:r w:rsidR="009A2567">
        <w:rPr>
          <w:lang w:val="en-GB"/>
        </w:rPr>
        <w:t xml:space="preserve">xisting studies so far are divided by </w:t>
      </w:r>
      <w:r w:rsidR="009D6EA4">
        <w:rPr>
          <w:lang w:val="en-GB"/>
        </w:rPr>
        <w:t>a fundamental dispute</w:t>
      </w:r>
      <w:r w:rsidR="009A2567">
        <w:rPr>
          <w:lang w:val="en-GB"/>
        </w:rPr>
        <w:t xml:space="preserve"> in the general offender profiling literature</w:t>
      </w:r>
      <w:r w:rsidR="000F4B2A">
        <w:rPr>
          <w:lang w:val="en-GB"/>
        </w:rPr>
        <w:t>,</w:t>
      </w:r>
      <w:r w:rsidR="009A2567">
        <w:rPr>
          <w:lang w:val="en-GB"/>
        </w:rPr>
        <w:t xml:space="preserve"> concerning</w:t>
      </w:r>
      <w:r w:rsidR="009D6EA4">
        <w:rPr>
          <w:lang w:val="en-GB"/>
        </w:rPr>
        <w:t xml:space="preserve"> </w:t>
      </w:r>
      <w:r w:rsidR="00CB7AA5">
        <w:rPr>
          <w:lang w:val="en-GB"/>
        </w:rPr>
        <w:t>which</w:t>
      </w:r>
      <w:r w:rsidR="009D6EA4">
        <w:rPr>
          <w:lang w:val="en-GB"/>
        </w:rPr>
        <w:t xml:space="preserve"> statistical approach</w:t>
      </w:r>
      <w:r w:rsidR="00137C09">
        <w:rPr>
          <w:lang w:val="en-GB"/>
        </w:rPr>
        <w:t xml:space="preserve"> should be preferred</w:t>
      </w:r>
      <w:r w:rsidR="009D6EA4">
        <w:rPr>
          <w:lang w:val="en-GB"/>
        </w:rPr>
        <w:t xml:space="preserve"> for linking crime scene actions to offender characteristics</w:t>
      </w:r>
      <w:r w:rsidR="007E06A3">
        <w:rPr>
          <w:lang w:val="en-GB"/>
        </w:rPr>
        <w:t xml:space="preserve"> </w:t>
      </w:r>
      <w:r w:rsidR="00D519C3">
        <w:rPr>
          <w:lang w:val="en-GB"/>
        </w:rPr>
        <w:fldChar w:fldCharType="begin" w:fldLock="1"/>
      </w:r>
      <w:r w:rsidR="007E06A3">
        <w:rPr>
          <w:lang w:val="en-GB"/>
        </w:rPr>
        <w:instrText>ADDIN CSL_CITATION {"citationItems":[{"id":"ITEM-1","itemData":{"DOI":"10.1348/135532509X463347","ISBN":"1355-3259","ISSN":"13553259","PMID":"49022337","abstract":"This paper outlines a brief history of the evolutionary trajectory of offender profiling and illustrates the three broad strands (investigative, clinical, and statistical) that emerged in the 1970s-1990s. We then indicate how a more pragmatic, interdisciplinary practitioner-academic model has emerged in recent years and go on to describe the range of contributions that are now made across the criminal justice field. More recently termed 'behavioural investigative advice' in the UK, the paper then argues that whilst a range of potential contributions exist (from linking crimes, risk assessment, provision of bad character evidence, investigative interviewing advice, to geoprofiling), the nature of the process by which that contribution occurs is not yet well understood. The review of these potential contributions concludes with several suggestions and recommendations for further research and relevant methodologies by which to conduct that research. This includes the requirement to combine conceptual and theory-driven models alongside empirically driven statistical approaches, as well as the requirement to more precisely delineate and describe how contributions are made by behavioural experts through cognitive task analyses and associated methods. (PsycINFO Database Record (c) 2010 APA, all rights reserved) (journal abstract)","author":[{"dropping-particle":"","family":"Alison","given":"Laurence J.","non-dropping-particle":"","parse-names":false,"suffix":""},{"dropping-particle":"","family":"Goodwill","given":"Alasdair","non-dropping-particle":"","parse-names":false,"suffix":""},{"dropping-particle":"","family":"Almond","given":"Louise","non-dropping-particle":"","parse-names":false,"suffix":""},{"dropping-particle":"","family":"Heuvel","given":"Claudia","non-dropping-particle":"","parse-names":false,"suffix":""},{"dropping-particle":"","family":"Winter","given":"Jan","non-dropping-particle":"","parse-names":false,"suffix":""}],"container-title":"Legal and Criminological Psychology","id":"ITEM-1","issue":"1","issued":{"date-parts":[["2010"]]},"page":"115-132","title":"Pragmatic solutions to offender profiling and behavioural investigative advice","type":"article-journal","volume":"15"},"uris":["http://www.mendeley.com/documents/?uuid=9ae7ced6-a2c6-44d0-84e6-7fca54dfe9c8"]}],"mendeley":{"formattedCitation":"(Alison, Goodwill, Almond, Heuvel, &amp; Winter, 2010)","plainTextFormattedCitation":"(Alison, Goodwill, Almond, Heuvel, &amp; Winter, 2010)","previouslyFormattedCitation":"(Alison, Goodwill, Almond, Heuvel, &amp; Winter, 2010)"},"properties":{"noteIndex":0},"schema":"https://github.com/citation-style-language/schema/raw/master/csl-citation.json"}</w:instrText>
      </w:r>
      <w:r w:rsidR="00D519C3">
        <w:rPr>
          <w:lang w:val="en-GB"/>
        </w:rPr>
        <w:fldChar w:fldCharType="separate"/>
      </w:r>
      <w:r w:rsidR="007E06A3" w:rsidRPr="00761E9D">
        <w:rPr>
          <w:noProof/>
          <w:lang w:val="en-GB"/>
        </w:rPr>
        <w:t>(Alison, Goodwill, Almond, Heuvel, &amp; Winter, 2010)</w:t>
      </w:r>
      <w:r w:rsidR="00D519C3">
        <w:rPr>
          <w:lang w:val="en-GB"/>
        </w:rPr>
        <w:fldChar w:fldCharType="end"/>
      </w:r>
      <w:r w:rsidR="00C2621B">
        <w:rPr>
          <w:lang w:val="en-GB"/>
        </w:rPr>
        <w:t>.</w:t>
      </w:r>
      <w:r w:rsidR="008E2448">
        <w:rPr>
          <w:lang w:val="en-GB"/>
        </w:rPr>
        <w:t xml:space="preserve"> </w:t>
      </w:r>
      <w:r w:rsidR="00C2621B">
        <w:rPr>
          <w:lang w:val="en-GB"/>
        </w:rPr>
        <w:t>S</w:t>
      </w:r>
      <w:r w:rsidR="00137C09">
        <w:rPr>
          <w:lang w:val="en-GB"/>
        </w:rPr>
        <w:t xml:space="preserve">ome authors </w:t>
      </w:r>
      <w:r w:rsidR="00C2621B">
        <w:rPr>
          <w:lang w:val="en-GB"/>
        </w:rPr>
        <w:t xml:space="preserve">have </w:t>
      </w:r>
      <w:r w:rsidR="00C0595C">
        <w:rPr>
          <w:lang w:val="en-GB"/>
        </w:rPr>
        <w:t>favoured</w:t>
      </w:r>
      <w:r w:rsidR="00137C09">
        <w:rPr>
          <w:lang w:val="en-GB"/>
        </w:rPr>
        <w:t xml:space="preserve"> </w:t>
      </w:r>
      <w:r w:rsidR="007E06A3">
        <w:rPr>
          <w:lang w:val="en-GB"/>
        </w:rPr>
        <w:t xml:space="preserve">direct bivariate associations </w:t>
      </w:r>
      <w:r w:rsidR="008E2448">
        <w:rPr>
          <w:lang w:val="en-GB"/>
        </w:rPr>
        <w:t>to explore</w:t>
      </w:r>
      <w:r w:rsidR="007E06A3">
        <w:rPr>
          <w:lang w:val="en-GB"/>
        </w:rPr>
        <w:t xml:space="preserve"> the relationship between single offence </w:t>
      </w:r>
      <w:proofErr w:type="spellStart"/>
      <w:r w:rsidR="006A415D">
        <w:rPr>
          <w:lang w:val="en-GB"/>
        </w:rPr>
        <w:t>behavior</w:t>
      </w:r>
      <w:r w:rsidR="007E06A3">
        <w:rPr>
          <w:lang w:val="en-GB"/>
        </w:rPr>
        <w:t>s</w:t>
      </w:r>
      <w:proofErr w:type="spellEnd"/>
      <w:r w:rsidR="007E06A3">
        <w:rPr>
          <w:lang w:val="en-GB"/>
        </w:rPr>
        <w:t xml:space="preserve"> and prior offences </w:t>
      </w:r>
      <w:r w:rsidR="00D519C3">
        <w:rPr>
          <w:lang w:val="en-GB"/>
        </w:rPr>
        <w:fldChar w:fldCharType="begin" w:fldLock="1"/>
      </w:r>
      <w:r w:rsidR="00EA7901">
        <w:rPr>
          <w:lang w:val="en-GB"/>
        </w:rPr>
        <w:instrText>ADDIN CSL_CITATION {"citationItems":[{"id":"ITEM-1","itemData":{"DOI":"10.1177/0886260510383036","ISBN":"9781935676430","ISSN":"08862605","PMID":"20956439","abstract":"This study examines victim, offender, and offence characteristics associated with sexual assaults by strangers of older women compared to those against younger women. Cases are obtained from the Serious Crime Analysis Section of the United Kingdom National Policing Improvement Agency (NPIA; formerly Centrex). All possible cases of rape, attempted rape, and lesser sexual assault involving a single female victim aged 60 or older are selected (n = 53). These are matched with a sample of sexual assaults against women aged between 20 to 45 years ( n = 53). Research findings reveal significant differences in relation to a number of variables, including ethnicity of the offender, number of previous convictions of the offender, and characteristics associated with the assault itself. The results of this research reveal new information about violent sexual assaults on older women by strangers and have implications for practitioners dealing with such cases.","author":[{"dropping-particle":"","family":"Lea","given":"Susan J.","non-dropping-particle":"","parse-names":false,"suffix":""},{"dropping-particle":"","family":"Hunt","given":"Laura","non-dropping-particle":"","parse-names":false,"suffix":""},{"dropping-particle":"","family":"Shaw","given":"Steve","non-dropping-particle":"","parse-names":false,"suffix":""}],"container-title":"Journal of Interpersonal Violence","id":"ITEM-1","issue":"11","issued":{"date-parts":[["2011"]]},"page":"2303-2320","title":"Sexual Assault of Older Women by Strangers","type":"article-journal","volume":"26"},"uris":["http://www.mendeley.com/documents/?uuid=31a6d219-df60-4d04-90a8-8e2457597c44"]},{"id":"ITEM-2","itemData":{"DOI":"10.1080/13552600601090329","ISBN":"1355-2600","ISSN":"17426545","abstract":"International research has suggested that rapist criminal histories can be predicted from certain offence behaviours. Ninety-six solved stranger rape cases were examined to determine if there was consistency in a New Zealand sample. Rapist behaviours during the offence were compared with criminal convictions prior to the rape. The primary statistical technique used was likelihood ratio stepwise binary logistic regression. Predictive utility of the results was limited, due to significant correlation coefficients between the criminal history variables. Nevertheless, the current study reflected the general findings of similar descriptive international research. These outcomes were: the majority of stranger rapists had prior criminal convictions, and the majority of those convictions were for property offences not sexual offending. Furthermore, ethnic minorities were over-represented among the offenders, and the majority of stranger rapists started committing their first known rapes in their mid- to late 20s. Finally, methodological difficulties were encountered during this study. This highlights the need to refine existing statistical approaches to predictive offender-based research.","author":[{"dropping-particle":"","family":"Scott","given":"David","non-dropping-particle":"","parse-names":false,"suffix":""},{"dropping-particle":"","family":"Lambie","given":"Ian","non-dropping-particle":"","parse-names":false,"suffix":""},{"dropping-particle":"","family":"Henwood","given":"David","non-dropping-particle":"","parse-names":false,"suffix":""},{"dropping-particle":"","family":"Lamb","given":"Russell","non-dropping-particle":"","parse-names":false,"suffix":""}],"container-title":"Journal of Sexual Aggression","id":"ITEM-2","issue":"3","issued":{"date-parts":[["2006"]]},"page":"265-275","title":"Profiling stranger rapists: Linking offence behaviour to previous criminal histories using a regression model","type":"article-journal","volume":"12"},"uris":["http://www.mendeley.com/documents/?uuid=8edaf7ca-fdf1-4508-a0a4-221571006bb7"]},{"id":"ITEM-3","itemData":{"DOI":"10.1177/0886260518756118","ISSN":"0886-2605","author":[{"dropping-particle":"","family":"Almond","given":"Louise","non-dropping-particle":"","parse-names":false,"suffix":""},{"dropping-particle":"","family":"McManus","given":"Michelle","non-dropping-particle":"","parse-names":false,"suffix":""},{"dropping-particle":"","family":"Bal","given":"Amarat","non-dropping-particle":"","parse-names":false,"suffix":""},{"dropping-particle":"","family":"O’Brien","given":"Freya","non-dropping-particle":"","parse-names":false,"suffix":""},{"dropping-particle":"","family":"Rainbow","given":"Lee","non-dropping-particle":"","parse-names":false,"suffix":""},{"dropping-particle":"","family":"Webb","given":"Mark","non-dropping-particle":"","parse-names":false,"suffix":""}],"container-title":"Journal of Interpersonal Violence","id":"ITEM-3","issued":{"date-parts":[["2018","2","14"]]},"title":"Assisting the Investigation of Stranger Rapes: Predicting the Criminal Record of U.K. Stranger Rapists From Their Crime Scene Behaviors","type":"article-journal"},"prefix":"e.g.","uris":["http://www.mendeley.com/documents/?uuid=93ad9675-99ea-4e4e-91b3-6ca0db1894a3"]},{"id":"ITEM-4","itemData":{"DOI":"10.1016/S1355-0306(97)72169-5","ISBN":"1355-0306","ISSN":"13550306","PMID":"9302833","abstract":"Approximately 85% of stranger rapists have criminal records, which usually contain a mixture of crime types. This study was designed to ascertain if inferences about such records could be made from aspects of offence behaviour, as described by the rape victims, focusing on both non-sexual behaviours and traits more obviously associated with previous criminality. The statistical technique used was logistic regression. The results demonstrated that it was very possible to obtain indications of a rapist's criminal antecedents from his offence behaviour. The three most promising models were those that predicted whether or not the offender had convictions for burglary, whether or not he had convictions for violent offences, and whether the offence was an apparent 'one-off' occurrence rather than the work of an experienced rapist.","author":[{"dropping-particle":"","family":"Davies","given":"A.","non-dropping-particle":"","parse-names":false,"suffix":""},{"dropping-particle":"","family":"Wittebrood","given":"K.","non-dropping-particle":"","parse-names":false,"suffix":""},{"dropping-particle":"","family":"Jackson","given":"J. L.","non-dropping-particle":"","parse-names":false,"suffix":""}],"container-title":"Science and Justice - Journal of the Forensic Science Society","id":"ITEM-4","issue":"3","issued":{"date-parts":[["1997"]]},"page":"161-170","title":"Predicting the criminal antecedents of a stranger rapist from his offence behaviour","type":"article-journal","volume":"37"},"uris":["http://www.mendeley.com/documents/?uuid=85219464-b5f5-4e44-b3a2-413f67f0b67e"]},{"id":"ITEM-5","itemData":{"DOI":"10.1002/jip.103","ISSN":"15444759","abstract":"A sample of stranger rape offences (n = 271) registered in Dutch Violence Crime Linkage Analysis System database in the Netherlands between 1997 and 2007 was studied with the objective of developing statistical meodels, which give an indication of the probability of basic offender characteristics.","author":[{"dropping-particle":"","family":"Beek","given":"Mirjam","non-dropping-particle":"ter","parse-names":false,"suffix":""},{"dropping-particle":"","family":"Eshof","given":"Paul","non-dropping-particle":"van den","parse-names":false,"suffix":""},{"dropping-particle":"","family":"Mali","given":"Bas","non-dropping-particle":"","parse-names":false,"suffix":""}],"container-title":"Journal of Investigative Psychology and Offender Profiling","id":"ITEM-5","issue":"1","issued":{"date-parts":[["2010"]]},"page":"31-47","title":"Statistical modelling in the investigation of stranger rape","type":"article-journal","volume":"7"},"uris":["http://www.mendeley.com/documents/?uuid=48323226-5d59-419b-90d0-ca2380be5419"]},{"id":"ITEM-6","itemData":{"DOI":"10.1002/jip.1396","ISSN":"15444767","abstract":"This paper considers the role of a Behavioural Investigative Adviser (BIA) in assisting with the decision-making of a Senior Investigating Officer (SIO) in difficult-to-detect murder investigations. It outlines the need for transparent evidence-based decision-making from both the SIO and the BIA. The paper then details a piece of relevant, applied research that can assist in this end. The research utilised a pragmatic psychology approach to analyse 312 detected murder cases from the Serious Crime Analysis Section database. Some significant patterns relating what is known about the offence at different stages of an investigation and inferences regarding the offender were found, indicating that certain offence information can lead to some reliable predictions and these can be refined as more information becomes available. However, the findings also indicate that base rate frequencies and a ‘best-guess’ methodology may be as, if not more, useful than more complex statistical techniques when providing advice to investigations.","author":[{"dropping-particle":"","family":"Cole","given":"Terri","non-dropping-particle":"","parse-names":false,"suffix":""},{"dropping-particle":"","family":"Brown","given":"Jennifer","non-dropping-particle":"","parse-names":false,"suffix":""}],"container-title":"Journal of Investigative Psychology and Offender Profiling","id":"ITEM-6","issue":"3","issued":{"date-parts":[["2014"]]},"page":"191-220","title":"Behavioural investigative advice: Assistance to investigative decision-making in difficult-to-detect murder","type":"article-journal","volume":"11"},"uris":["http://www.mendeley.com/documents/?uuid=629c73c0-ceec-4270-a53d-d29df1aafd12"]}],"mendeley":{"formattedCitation":"(e.g. Almond et al., 2018; Cole &amp; Brown, 2014; Davies et al., 1997; Lea, Hunt, &amp; Shaw, 2011; Scott, Lambie, Henwood, &amp; Lamb, 2006; ter Beek, van den Eshof, &amp; Mali, 2010)","plainTextFormattedCitation":"(e.g. Almond et al., 2018; Cole &amp; Brown, 2014; Davies et al., 1997; Lea, Hunt, &amp; Shaw, 2011; Scott, Lambie, Henwood, &amp; Lamb, 2006; ter Beek, van den Eshof, &amp; Mali, 2010)","previouslyFormattedCitation":"(e.g. Almond et al., 2018; Cole &amp; Brown, 2014; Davies et al., 1997; Lea, Hunt, &amp; Shaw, 2011; Scott, Lambie, Henwood, &amp; Lamb, 2006; ter Beek, van den Eshof, &amp; Mali, 2010)"},"properties":{"noteIndex":0},"schema":"https://github.com/citation-style-language/schema/raw/master/csl-citation.json"}</w:instrText>
      </w:r>
      <w:r w:rsidR="00D519C3">
        <w:rPr>
          <w:lang w:val="en-GB"/>
        </w:rPr>
        <w:fldChar w:fldCharType="separate"/>
      </w:r>
      <w:r w:rsidR="005C5714" w:rsidRPr="005C5714">
        <w:rPr>
          <w:noProof/>
          <w:lang w:val="en-GB"/>
        </w:rPr>
        <w:t>(e.g. Almond et al., 2018; Cole &amp; Brown, 2014; Davies et al., 1997; Lea, Hunt, &amp; Shaw, 2011; Scott, Lambie, Henwood, &amp; Lamb, 2006; ter Beek, van den Eshof, &amp; Mali, 2010)</w:t>
      </w:r>
      <w:r w:rsidR="00D519C3">
        <w:rPr>
          <w:lang w:val="en-GB"/>
        </w:rPr>
        <w:fldChar w:fldCharType="end"/>
      </w:r>
      <w:r w:rsidR="00137C09">
        <w:rPr>
          <w:lang w:val="en-GB"/>
        </w:rPr>
        <w:t xml:space="preserve">. </w:t>
      </w:r>
      <w:r w:rsidR="008E2448">
        <w:rPr>
          <w:lang w:val="en-GB"/>
        </w:rPr>
        <w:t xml:space="preserve">In the context of stranger rape, for example, Almond et al. </w:t>
      </w:r>
      <w:r w:rsidR="00D519C3">
        <w:rPr>
          <w:lang w:val="en-GB"/>
        </w:rPr>
        <w:fldChar w:fldCharType="begin" w:fldLock="1"/>
      </w:r>
      <w:r w:rsidR="00EA7901">
        <w:rPr>
          <w:lang w:val="en-GB"/>
        </w:rPr>
        <w:instrText>ADDIN CSL_CITATION {"citationItems":[{"id":"ITEM-1","itemData":{"DOI":"10.1177/0886260518756118","ISSN":"0886-2605","author":[{"dropping-particle":"","family":"Almond","given":"Louise","non-dropping-particle":"","parse-names":false,"suffix":""},{"dropping-particle":"","family":"McManus","given":"Michelle","non-dropping-particle":"","parse-names":false,"suffix":""},{"dropping-particle":"","family":"Bal","given":"Amarat","non-dropping-particle":"","parse-names":false,"suffix":""},{"dropping-particle":"","family":"O’Brien","given":"Freya","non-dropping-particle":"","parse-names":false,"suffix":""},{"dropping-particle":"","family":"Rainbow","given":"Lee","non-dropping-particle":"","parse-names":false,"suffix":""},{"dropping-particle":"","family":"Webb","given":"Mark","non-dropping-particle":"","parse-names":false,"suffix":""}],"container-title":"Journal of Interpersonal Violence","id":"ITEM-1","issued":{"date-parts":[["2018","2","14"]]},"title":"Assisting the Investigation of Stranger Rapes: Predicting the Criminal Record of U.K. Stranger Rapists From Their Crime Scene Behaviors","type":"article-journal"},"suppress-author":1,"uris":["http://www.mendeley.com/documents/?uuid=93ad9675-99ea-4e4e-91b3-6ca0db1894a3"]}],"mendeley":{"formattedCitation":"(2018)","plainTextFormattedCitation":"(2018)","previouslyFormattedCitation":"(2018)"},"properties":{"noteIndex":0},"schema":"https://github.com/citation-style-language/schema/raw/master/csl-citation.json"}</w:instrText>
      </w:r>
      <w:r w:rsidR="00D519C3">
        <w:rPr>
          <w:lang w:val="en-GB"/>
        </w:rPr>
        <w:fldChar w:fldCharType="separate"/>
      </w:r>
      <w:r w:rsidR="003D3DE1" w:rsidRPr="003D3DE1">
        <w:rPr>
          <w:noProof/>
          <w:lang w:val="en-GB"/>
        </w:rPr>
        <w:t>(2018)</w:t>
      </w:r>
      <w:r w:rsidR="00D519C3">
        <w:rPr>
          <w:lang w:val="en-GB"/>
        </w:rPr>
        <w:fldChar w:fldCharType="end"/>
      </w:r>
      <w:r w:rsidR="008E2448">
        <w:rPr>
          <w:lang w:val="en-GB"/>
        </w:rPr>
        <w:t xml:space="preserve"> found in their replication of the classic Davies et al. </w:t>
      </w:r>
      <w:r w:rsidR="00D519C3">
        <w:rPr>
          <w:lang w:val="en-GB"/>
        </w:rPr>
        <w:fldChar w:fldCharType="begin" w:fldLock="1"/>
      </w:r>
      <w:r w:rsidR="008E2448">
        <w:rPr>
          <w:lang w:val="en-GB"/>
        </w:rPr>
        <w:instrText>ADDIN CSL_CITATION {"citationItems":[{"id":"ITEM-1","itemData":{"DOI":"10.1016/S1355-0306(97)72169-5","ISBN":"1355-0306","ISSN":"13550306","PMID":"9302833","abstract":"Approximately 85% of stranger rapists have criminal records, which usually contain a mixture of crime types. This study was designed to ascertain if inferences about such records could be made from aspects of offence behaviour, as described by the rape victims, focusing on both non-sexual behaviours and traits more obviously associated with previous criminality. The statistical technique used was logistic regression. The results demonstrated that it was very possible to obtain indications of a rapist's criminal antecedents from his offence behaviour. The three most promising models were those that predicted whether or not the offender had convictions for burglary, whether or not he had convictions for violent offences, and whether the offence was an apparent 'one-off' occurrence rather than the work of an experienced rapist.","author":[{"dropping-particle":"","family":"Davies","given":"A.","non-dropping-particle":"","parse-names":false,"suffix":""},{"dropping-particle":"","family":"Wittebrood","given":"K.","non-dropping-particle":"","parse-names":false,"suffix":""},{"dropping-particle":"","family":"Jackson","given":"J. L.","non-dropping-particle":"","parse-names":false,"suffix":""}],"container-title":"Science and Justice - Journal of the Forensic Science Society","id":"ITEM-1","issue":"3","issued":{"date-parts":[["1997"]]},"page":"161-170","title":"Predicting the criminal antecedents of a stranger rapist from his offence behaviour","type":"article-journal","volume":"37"},"suppress-author":1,"uris":["http://www.mendeley.com/documents/?uuid=85219464-b5f5-4e44-b3a2-413f67f0b67e"]}],"mendeley":{"formattedCitation":"(1997)","plainTextFormattedCitation":"(1997)","previouslyFormattedCitation":"(1997)"},"properties":{"noteIndex":0},"schema":"https://github.com/citation-style-language/schema/raw/master/csl-citation.json"}</w:instrText>
      </w:r>
      <w:r w:rsidR="00D519C3">
        <w:rPr>
          <w:lang w:val="en-GB"/>
        </w:rPr>
        <w:fldChar w:fldCharType="separate"/>
      </w:r>
      <w:r w:rsidR="008E2448" w:rsidRPr="007F0D5D">
        <w:rPr>
          <w:noProof/>
          <w:lang w:val="en-GB"/>
        </w:rPr>
        <w:t>(1997)</w:t>
      </w:r>
      <w:r w:rsidR="00D519C3">
        <w:rPr>
          <w:lang w:val="en-GB"/>
        </w:rPr>
        <w:fldChar w:fldCharType="end"/>
      </w:r>
      <w:r w:rsidR="008E2448">
        <w:rPr>
          <w:lang w:val="en-GB"/>
        </w:rPr>
        <w:t xml:space="preserve"> study that stranger rapists who forced their entry were </w:t>
      </w:r>
      <w:r w:rsidR="009C2555">
        <w:rPr>
          <w:lang w:val="en-GB"/>
        </w:rPr>
        <w:t>2.5</w:t>
      </w:r>
      <w:r w:rsidR="008E2448">
        <w:rPr>
          <w:lang w:val="en-GB"/>
        </w:rPr>
        <w:t xml:space="preserve"> times more likely to have a previous conviction for burglary, whereas offenders who disabled their victim’s phone were nearly </w:t>
      </w:r>
      <w:r w:rsidR="00F34795">
        <w:rPr>
          <w:lang w:val="en-GB"/>
        </w:rPr>
        <w:t>5</w:t>
      </w:r>
      <w:r w:rsidR="008E2448">
        <w:rPr>
          <w:lang w:val="en-GB"/>
        </w:rPr>
        <w:t xml:space="preserve"> times more likely to have previously been convicted for a violent crime. </w:t>
      </w:r>
      <w:r w:rsidR="00787146">
        <w:rPr>
          <w:lang w:val="en-GB"/>
        </w:rPr>
        <w:t xml:space="preserve">Contrarily, other authors have employed a thematic approach, which investigates how themes or typologies of crime scene actions relate to clusters of offender characteristics </w:t>
      </w:r>
      <w:r w:rsidR="00D519C3">
        <w:rPr>
          <w:lang w:val="en-GB"/>
        </w:rPr>
        <w:fldChar w:fldCharType="begin" w:fldLock="1"/>
      </w:r>
      <w:r w:rsidR="00787146">
        <w:rPr>
          <w:lang w:val="en-GB"/>
        </w:rPr>
        <w:instrText>ADDIN CSL_CITATION {"citationItems":[{"id":"ITEM-1","itemData":{"DOI":"10.1177/1088767900004003004","ISBN":"0893-3200","ISSN":"10887679","PMID":"803973233","abstract":"One of the main areas of concern regarding offender profiling has been the general lack of extensive empirical studies on the psychological processes underpinning this process. This study aimed to investigate the possibility of establishing a model of homicide behaviors that could be used as a basis for evaluating the scientific validity of offender profiling. A sample of 247 British single offender-single victim solved homicide cases was analyzed using a nonmetric multidimensional scaling procedure known as Smallest Space Analysis. The results indicated that homicide crime scenes could most readily be differentiated in terms of the expressive and instrumental role the victim had to the offender. The backgrounds of the offenders could similarly be differentiated by an expressive/instrumental thematic split. However, when these two elements were combined, there was a substantial mix between crime scene themes and themes of background characteristics. The results are discussed in terms of the validity of classifying homicide into a expressive/instrumental dichotomy and the implications this classification may have for offender profiling.","author":[{"dropping-particle":"","family":"Salfati","given":"C. Gabrielle","non-dropping-particle":"","parse-names":false,"suffix":""}],"container-title":"Homicide Studies","id":"ITEM-1","issue":"3","issued":{"date-parts":[["2000","8","24"]]},"page":"265-293","title":"The Nature of Expressiveness and Instrumentality in Homicide: Implications for Offender Profiling","type":"article-journal","volume":"4"},"uris":["http://www.mendeley.com/documents/?uuid=bf440b07-05fe-422b-b29c-d7c380213e11"]},{"id":"ITEM-2","itemData":{"DOI":"10.1002/(SICI)1099-0798(199907/09)17:3&lt;391::AID-BSL352&gt;3.0.CO;2-Z","ISBN":"0735-3936; 1099-0798","ISSN":"07353936","PMID":"10481136","abstract":"The literature on \"offender profiling\" suggests that different \"styles\" of homicide will reflect differences in the background characteristics of the offender. To test this suggestion, hypotheses were drawn from studies of aggression to propose that murder crime scenes would reveal stylistic distinctions in the role of the aggression in the offense. It was further hypothesized that these distinctions would be clearest for those crime scene indicators that reflect the instrument (cognitive) actions that shape the offense rather than the more expressive (impulsive and emotional) components. Hypotheses about associated offender characteristics were also deduced on the assumption that the murder scene theme revealed the killers' typical styles of interpersonal transaction. To test these hypotheses MDS analyses were carried out on the crime scene and offender characteristics derived from 82 single offender, single victim stranger homicides. A multivariate structure resulted, including all three hypothesized styles, allowing 65% of the cases to be assigned to unique styles and a further 36% to be assigned to appropriate hybrids. Offender characteristics related in the anticipated way to the different crime scene styles, providing a basis for law enforcement inferences about offenders in stranger murders.","author":[{"dropping-particle":"","family":"Salfati","given":"C. Gabrielle","non-dropping-particle":"","parse-names":false,"suffix":""},{"dropping-particle":"V.","family":"Canter","given":"David","non-dropping-particle":"","parse-names":false,"suffix":""}],"container-title":"Behavioral Sciences and the Law","id":"ITEM-2","issue":"3","issued":{"date-parts":[["1999"]]},"page":"391-406","title":"Differentiating stranger murders: Profiling offender characteristics from behavioral styles","type":"article-journal","volume":"17"},"uris":["http://www.mendeley.com/documents/?uuid=93a6f533-b776-4553-9029-8e1eda147d37"]},{"id":"ITEM-3","itemData":{"DOI":"10.1177/1088767910382833","ISSN":"10887679","abstract":"The present study explored the link between offenders' prior criminal specialization (violent crime, sexual crime, or burglary/theft) and subsequent homicide crime scene type (exploit, control, distance) in 77 U.S. cases of single-offender/single-victim homicides. Specialists as compared to those with no prior criminal history were significantly more likely to engage in goal directed behaviors such as controlling the victim, controlling the outcome, and exploitative behaviors (sex and theft). Sexual crime specialists specifically were the more distinct subtype. The findings indicated differences in how first-time homicide offenders approach the crime scene and are discussed in line with the usefulness to homicide investigators.","author":[{"dropping-particle":"","family":"Horning","given":"Amber M.","non-dropping-particle":"","parse-names":false,"suffix":""},{"dropping-particle":"","family":"Salfati","given":"C. Gabrielle","non-dropping-particle":"","parse-names":false,"suffix":""},{"dropping-particle":"","family":"Crawford","given":"Kristan","non-dropping-particle":"","parse-names":false,"suffix":""}],"container-title":"Homicide Studies","id":"ITEM-3","issue":"4","issued":{"date-parts":[["2010"]]},"page":"377-399","title":"Prior crime specialization and its relationship to homicide crime scene behavior type","type":"article-journal","volume":"14"},"prefix":"e.g. ","uris":["http://www.mendeley.com/documents/?uuid=d62abb86-9906-4e83-b595-4e4b7f087b46"]},{"id":"ITEM-4","itemData":{"DOI":"10.1177/1088767910397281","ISBN":"1088767910397","ISSN":"1088-7679","abstract":"Research has consistently shown that the average individual who commits one or more homicides is likely to have a criminal record, but little research has focused on whether individuals behave in a psychologically or thematically consistent way in both their homicide crime scene actions and prior offending. The current study examines the crime scene behaviors of single and serial homicide offenders to identify patterns that can be compared to themes in their prior offending. The results showed that crime scene actions occurred on a continuum from hostile to cognitive actions with serial offenders concentrating at the latter end of this continuum. However, only a small group of the serial homicide offenders committed similarly themed prior offenses and homicide behaviors, which raises questions regarding the hypotheses of behavioral consistency underlying offender profiling. (PsycINFO Database Record (c) 2012 APA, all rights reserved). (journal abstract)","author":[{"dropping-particle":"","family":"Trojan","given":"Carrie","non-dropping-particle":"","parse-names":false,"suffix":""},{"dropping-particle":"","family":"Salfati","given":"C. Gabrielle","non-dropping-particle":"","parse-names":false,"suffix":""}],"container-title":"Homicide Studies","id":"ITEM-4","issue":"1","issued":{"date-parts":[["2011"]]},"page":"3-31","title":"Linking Criminal History to Crime Scene Behavior in Single-Victim and Serial Homicide: Implications for Offender Profiling Research","type":"article-journal","volume":"15"},"uris":["http://www.mendeley.com/documents/?uuid=bc3ca59b-10b9-473a-8feb-8166acc0f80d"]},{"id":"ITEM-5","itemData":{"DOI":"10.1111/1467-9450.00328","ISBN":"00365564","ISSN":"00365564","PMID":"12778978","abstract":"A theoretical distinction between instrumental and expressive aggression was used in analyzing offender characteristics and their associations with crime scene actions in Finnish homicides. Twenty-one variables reflecting the offenders' criminal activity, previous relationships with intimates and victims, and general social and psychological adjustment were derived from files of single-offender/single-victim homicides occurring between 1980 and 1994 (n = 502). Additionally, three variables describing post-offense actions and police interview behavior were included. A multidimensional scaling procedure was used to investigate the interrelationships between the variables. A distinction between expressive and instrumental characteristics was observable in the empirical structure, which was divided into three subthemes of Instrumental, Expressive: Blood, and Expressive: Intimate. Associations between the characteristics with five previously identified subthemes of crime scene actions were computed. In addition, the subthemes of crime scene actions were related to post-offense actions and police interview behavior, with Expressive themes being associated with less denial as well as a greater likelihood of surrendering and confession. The practical usefulness for police investigations and theoretical implications of the results are discussed.","author":[{"dropping-particle":"","family":"Santtila","given":"Pekka","non-dropping-particle":"","parse-names":false,"suffix":""},{"dropping-particle":"","family":"Häkkänen","given":"Helinä","non-dropping-particle":"","parse-names":false,"suffix":""},{"dropping-particle":"","family":"Canter","given":"David","non-dropping-particle":"","parse-names":false,"suffix":""},{"dropping-particle":"","family":"Elfgren","given":"Thomas","non-dropping-particle":"","parse-names":false,"suffix":""}],"container-title":"Scandinavian Journal of Psychology","id":"ITEM-5","issue":"2","issued":{"date-parts":[["2003"]]},"page":"107-118","title":"Classifying homicide offenders and predicting their characteristics from crime scene behavior","type":"article-journal","volume":"44"},"uris":["http://www.mendeley.com/documents/?uuid=c5ba7d3b-2e9b-4117-a9db-87286e57557f"]}],"mendeley":{"formattedCitation":"(e.g. Horning et al., 2010; Salfati, 2000; Salfati &amp; Canter, 1999; Santtila et al., 2003; Trojan &amp; Salfati, 2011)","plainTextFormattedCitation":"(e.g. Horning et al., 2010; Salfati, 2000; Salfati &amp; Canter, 1999; Santtila et al., 2003; Trojan &amp; Salfati, 2011)","previouslyFormattedCitation":"(e.g. Horning et al., 2010; Salfati, 2000; Salfati &amp; Canter, 1999; Santtila et al., 2003; Trojan &amp; Salfati, 2011)"},"properties":{"noteIndex":0},"schema":"https://github.com/citation-style-language/schema/raw/master/csl-citation.json"}</w:instrText>
      </w:r>
      <w:r w:rsidR="00D519C3">
        <w:rPr>
          <w:lang w:val="en-GB"/>
        </w:rPr>
        <w:fldChar w:fldCharType="separate"/>
      </w:r>
      <w:r w:rsidR="00787146" w:rsidRPr="00077A05">
        <w:rPr>
          <w:noProof/>
          <w:lang w:val="en-GB"/>
        </w:rPr>
        <w:t>(e.g. Horning et al., 2010; Salfati, 2000; Salfati &amp; Canter, 1999; Santtila et al., 2003; Trojan &amp; Salfati, 2011)</w:t>
      </w:r>
      <w:r w:rsidR="00D519C3">
        <w:rPr>
          <w:lang w:val="en-GB"/>
        </w:rPr>
        <w:fldChar w:fldCharType="end"/>
      </w:r>
      <w:r w:rsidR="00787146">
        <w:rPr>
          <w:lang w:val="en-GB"/>
        </w:rPr>
        <w:t xml:space="preserve">. While the dispute over the most appropriate statistical approach for offender profiling might not yet be ultimately resolved, there is some evidence that direct bivariate associations outperform thematic approaches in their predictive power </w:t>
      </w:r>
      <w:r w:rsidR="00D519C3">
        <w:rPr>
          <w:lang w:val="en-GB"/>
        </w:rPr>
        <w:fldChar w:fldCharType="begin" w:fldLock="1"/>
      </w:r>
      <w:r w:rsidR="00787146">
        <w:rPr>
          <w:lang w:val="en-GB"/>
        </w:rPr>
        <w:instrText>ADDIN CSL_CITATION {"citationItems":[{"id":"ITEM-1","itemData":{"DOI":"10.1002/bsl.867","ISBN":"1099-0798 (Electronic)\\r0735-3936 (Linking)","ISSN":"07353936","PMID":"20422646","abstract":"This article briefly discusses the historical development of the constructs of paraphilia and psychopathy. An overview of recent developments in the assessment of these constructs for legal purposes is also provided. The historical, clinical, legal, and ethical obligations of clinicians who work with persons suffering from paraphilias and co-morbid psychopathy is then reviewed. An emphasis of the current article is integrating recent developments in the construct of psychopathy into a discussion of sex offender risk assessment and treatment. The co-morbidity of psychopathy and paraphilias as factors in predicting risk of recidivism is reviewed. The need for practitioners to remain cognizant of language requirements in both legal and clinical contexts is addressed. Finally, this article reviews the legal history of sex offender legislation and its evolution into current United States Supreme Court jurisprudence.","author":[{"dropping-particle":"","family":"Goodwill","given":"Alasdair M.","non-dropping-particle":"","parse-names":false,"suffix":""},{"dropping-particle":"","family":"Alison","given":"Laurence J.","non-dropping-particle":"","parse-names":false,"suffix":""},{"dropping-particle":"","family":"Beech","given":"Anthony R.","non-dropping-particle":"","parse-names":false,"suffix":""}],"container-title":"Behavioral Sciences &amp; the Law","id":"ITEM-1","issue":"4","issued":{"date-parts":[["2009","7"]]},"page":"507-529","title":"What works in offender profiling? A comparison of typological, thematic, and multivariate models","type":"article-journal","volume":"27"},"uris":["http://www.mendeley.com/documents/?uuid=76b16981-8fdb-45b0-8374-77ec44795e7c"]}],"mendeley":{"formattedCitation":"(Goodwill, Alison, &amp; Beech, 2009)","plainTextFormattedCitation":"(Goodwill, Alison, &amp; Beech, 2009)","previouslyFormattedCitation":"(Goodwill, Alison, &amp; Beech, 2009)"},"properties":{"noteIndex":0},"schema":"https://github.com/citation-style-language/schema/raw/master/csl-citation.json"}</w:instrText>
      </w:r>
      <w:r w:rsidR="00D519C3">
        <w:rPr>
          <w:lang w:val="en-GB"/>
        </w:rPr>
        <w:fldChar w:fldCharType="separate"/>
      </w:r>
      <w:r w:rsidR="00787146" w:rsidRPr="00F001C1">
        <w:rPr>
          <w:noProof/>
          <w:lang w:val="en-GB"/>
        </w:rPr>
        <w:t>(Goodwill, Alison, &amp; Beech, 2009)</w:t>
      </w:r>
      <w:r w:rsidR="00D519C3">
        <w:rPr>
          <w:lang w:val="en-GB"/>
        </w:rPr>
        <w:fldChar w:fldCharType="end"/>
      </w:r>
      <w:r w:rsidR="00787146">
        <w:rPr>
          <w:lang w:val="en-GB"/>
        </w:rPr>
        <w:t>.</w:t>
      </w:r>
    </w:p>
    <w:p w:rsidR="00412CB3" w:rsidRDefault="00C0595C" w:rsidP="00CB2434">
      <w:pPr>
        <w:pStyle w:val="TextkrperMA"/>
        <w:rPr>
          <w:lang w:val="en-GB"/>
        </w:rPr>
      </w:pPr>
      <w:r>
        <w:rPr>
          <w:lang w:val="en-GB"/>
        </w:rPr>
        <w:t xml:space="preserve">Despite the general dearth of research and the ongoing methodological dispute, some studies have shed light on possible relationships between offence </w:t>
      </w:r>
      <w:proofErr w:type="spellStart"/>
      <w:r w:rsidR="006A415D">
        <w:rPr>
          <w:lang w:val="en-GB"/>
        </w:rPr>
        <w:t>behavior</w:t>
      </w:r>
      <w:r>
        <w:rPr>
          <w:lang w:val="en-GB"/>
        </w:rPr>
        <w:t>s</w:t>
      </w:r>
      <w:proofErr w:type="spellEnd"/>
      <w:r>
        <w:rPr>
          <w:lang w:val="en-GB"/>
        </w:rPr>
        <w:t xml:space="preserve"> and previous convictions in the context of homicide</w:t>
      </w:r>
      <w:r w:rsidR="004C0E74">
        <w:rPr>
          <w:lang w:val="en-GB"/>
        </w:rPr>
        <w:t xml:space="preserve"> </w:t>
      </w:r>
      <w:r w:rsidR="00D519C3">
        <w:rPr>
          <w:lang w:val="en-GB"/>
        </w:rPr>
        <w:fldChar w:fldCharType="begin" w:fldLock="1"/>
      </w:r>
      <w:r w:rsidR="00C1535A">
        <w:rPr>
          <w:lang w:val="en-GB"/>
        </w:rPr>
        <w:instrText>ADDIN CSL_CITATION {"citationItems":[{"id":"ITEM-1","itemData":{"DOI":"10.1177/1088767910382833","ISSN":"10887679","abstract":"The present study explored the link between offenders' prior criminal specialization (violent crime, sexual crime, or burglary/theft) and subsequent homicide crime scene type (exploit, control, distance) in 77 U.S. cases of single-offender/single-victim homicides. Specialists as compared to those with no prior criminal history were significantly more likely to engage in goal directed behaviors such as controlling the victim, controlling the outcome, and exploitative behaviors (sex and theft). Sexual crime specialists specifically were the more distinct subtype. The findings indicated differences in how first-time homicide offenders approach the crime scene and are discussed in line with the usefulness to homicide investigators.","author":[{"dropping-particle":"","family":"Horning","given":"Amber M.","non-dropping-particle":"","parse-names":false,"suffix":""},{"dropping-particle":"","family":"Salfati","given":"C. Gabrielle","non-dropping-particle":"","parse-names":false,"suffix":""},{"dropping-particle":"","family":"Crawford","given":"Kristan","non-dropping-particle":"","parse-names":false,"suffix":""}],"container-title":"Homicide Studies","id":"ITEM-1","issue":"4","issued":{"date-parts":[["2010"]]},"page":"377-399","title":"Prior crime specialization and its relationship to homicide crime scene behavior type","type":"article-journal","volume":"14"},"uris":["http://www.mendeley.com/documents/?uuid=d62abb86-9906-4e83-b595-4e4b7f087b46"]},{"id":"ITEM-2","itemData":{"DOI":"10.1002/jip.1396","ISSN":"15444767","abstract":"This paper considers the role of a Behavioural Investigative Adviser (BIA) in assisting with the decision-making of a Senior Investigating Officer (SIO) in difficult-to-detect murder investigations. It outlines the need for transparent evidence-based decision-making from both the SIO and the BIA. The paper then details a piece of relevant, applied research that can assist in this end. The research utilised a pragmatic psychology approach to analyse 312 detected murder cases from the Serious Crime Analysis Section database. Some significant patterns relating what is known about the offence at different stages of an investigation and inferences regarding the offender were found, indicating that certain offence information can lead to some reliable predictions and these can be refined as more information becomes available. However, the findings also indicate that base rate frequencies and a ‘best-guess’ methodology may be as, if not more, useful than more complex statistical techniques when providing advice to investigations.","author":[{"dropping-particle":"","family":"Cole","given":"Terri","non-dropping-particle":"","parse-names":false,"suffix":""},{"dropping-particle":"","family":"Brown","given":"Jennifer","non-dropping-particle":"","parse-names":false,"suffix":""}],"container-title":"Journal of Investigative Psychology and Offender Profiling","id":"ITEM-2","issue":"3","issued":{"date-parts":[["2014"]]},"page":"191-220","title":"Behavioural investigative advice: Assistance to investigative decision-making in difficult-to-detect murder","type":"article-journal","volume":"11"},"prefix":"e.g.","uris":["http://www.mendeley.com/documents/?uuid=629c73c0-ceec-4270-a53d-d29df1aafd12"]},{"id":"ITEM-3","itemData":{"DOI":"10.1177/1088767910397281","ISBN":"1088767910397","ISSN":"1088-7679","abstract":"Research has consistently shown that the average individual who commits one or more homicides is likely to have a criminal record, but little research has focused on whether individuals behave in a psychologically or thematically consistent way in both their homicide crime scene actions and prior offending. The current study examines the crime scene behaviors of single and serial homicide offenders to identify patterns that can be compared to themes in their prior offending. The results showed that crime scene actions occurred on a continuum from hostile to cognitive actions with serial offenders concentrating at the latter end of this continuum. However, only a small group of the serial homicide offenders committed similarly themed prior offenses and homicide behaviors, which raises questions regarding the hypotheses of behavioral consistency underlying offender profiling. (PsycINFO Database Record (c) 2012 APA, all rights reserved). (journal abstract)","author":[{"dropping-particle":"","family":"Trojan","given":"Carrie","non-dropping-particle":"","parse-names":false,"suffix":""},{"dropping-particle":"","family":"Salfati","given":"C. Gabrielle","non-dropping-particle":"","parse-names":false,"suffix":""}],"container-title":"Homicide Studies","id":"ITEM-3","issue":"1","issued":{"date-parts":[["2011"]]},"page":"3-31","title":"Linking Criminal History to Crime Scene Behavior in Single-Victim and Serial Homicide: Implications for Offender Profiling Research","type":"article-journal","volume":"15"},"uris":["http://www.mendeley.com/documents/?uuid=bc3ca59b-10b9-473a-8feb-8166acc0f80d"]},{"id":"ITEM-4","itemData":{"DOI":"10.1002/(SICI)1099-0798(199907/09)17:3&lt;391::AID-BSL352&gt;3.0.CO;2-Z","ISBN":"0735-3936; 1099-0798","ISSN":"07353936","PMID":"10481136","abstract":"The literature on \"offender profiling\" suggests that different \"styles\" of homicide will reflect differences in the background characteristics of the offender. To test this suggestion, hypotheses were drawn from studies of aggression to propose that murder crime scenes would reveal stylistic distinctions in the role of the aggression in the offense. It was further hypothesized that these distinctions would be clearest for those crime scene indicators that reflect the instrument (cognitive) actions that shape the offense rather than the more expressive (impulsive and emotional) components. Hypotheses about associated offender characteristics were also deduced on the assumption that the murder scene theme revealed the killers' typical styles of interpersonal transaction. To test these hypotheses MDS analyses were carried out on the crime scene and offender characteristics derived from 82 single offender, single victim stranger homicides. A multivariate structure resulted, including all three hypothesized styles, allowing 65% of the cases to be assigned to unique styles and a further 36% to be assigned to appropriate hybrids. Offender characteristics related in the anticipated way to the different crime scene styles, providing a basis for law enforcement inferences about offenders in stranger murders.","author":[{"dropping-particle":"","family":"Salfati","given":"C. Gabrielle","non-dropping-particle":"","parse-names":false,"suffix":""},{"dropping-particle":"V.","family":"Canter","given":"David","non-dropping-particle":"","parse-names":false,"suffix":""}],"container-title":"Behavioral Sciences and the Law","id":"ITEM-4","issue":"3","issued":{"date-parts":[["1999"]]},"page":"391-406","title":"Differentiating stranger murders: Profiling offender characteristics from behavioral styles","type":"article-journal","volume":"17"},"uris":["http://www.mendeley.com/documents/?uuid=93a6f533-b776-4553-9029-8e1eda147d37"]}],"mendeley":{"formattedCitation":"(e.g. Cole &amp; Brown, 2014; Horning et al., 2010; Salfati &amp; Canter, 1999; Trojan &amp; Salfati, 2011)","plainTextFormattedCitation":"(e.g. Cole &amp; Brown, 2014; Horning et al., 2010; Salfati &amp; Canter, 1999; Trojan &amp; Salfati, 2011)","previouslyFormattedCitation":"(e.g. Cole &amp; Brown, 2014; Horning et al., 2010; Salfati &amp; Canter, 1999; Trojan &amp; Salfati, 2011)"},"properties":{"noteIndex":0},"schema":"https://github.com/citation-style-language/schema/raw/master/csl-citation.json"}</w:instrText>
      </w:r>
      <w:r w:rsidR="00D519C3">
        <w:rPr>
          <w:lang w:val="en-GB"/>
        </w:rPr>
        <w:fldChar w:fldCharType="separate"/>
      </w:r>
      <w:r w:rsidR="002A2B1D" w:rsidRPr="002A2B1D">
        <w:rPr>
          <w:noProof/>
          <w:lang w:val="en-GB"/>
        </w:rPr>
        <w:t>(e.g. Cole &amp; Brown, 2014; Horning et al., 2010; Salfati &amp; Canter, 1999; Trojan &amp; Salfati, 2011)</w:t>
      </w:r>
      <w:r w:rsidR="00D519C3">
        <w:rPr>
          <w:lang w:val="en-GB"/>
        </w:rPr>
        <w:fldChar w:fldCharType="end"/>
      </w:r>
      <w:r>
        <w:rPr>
          <w:lang w:val="en-GB"/>
        </w:rPr>
        <w:t>.</w:t>
      </w:r>
      <w:r w:rsidR="008E2448">
        <w:rPr>
          <w:lang w:val="en-GB"/>
        </w:rPr>
        <w:t xml:space="preserve"> </w:t>
      </w:r>
      <w:r w:rsidR="00602893">
        <w:rPr>
          <w:lang w:val="en-GB"/>
        </w:rPr>
        <w:t xml:space="preserve">Employing </w:t>
      </w:r>
      <w:r w:rsidR="00602893">
        <w:rPr>
          <w:lang w:val="en-GB"/>
        </w:rPr>
        <w:lastRenderedPageBreak/>
        <w:t xml:space="preserve">a direct, bivariate statistical approach </w:t>
      </w:r>
      <w:r w:rsidR="00E77D94">
        <w:rPr>
          <w:lang w:val="en-GB"/>
        </w:rPr>
        <w:t xml:space="preserve">on </w:t>
      </w:r>
      <w:r>
        <w:rPr>
          <w:lang w:val="en-GB"/>
        </w:rPr>
        <w:t>a sample of difficult</w:t>
      </w:r>
      <w:r>
        <w:rPr>
          <w:lang w:val="en-GB"/>
        </w:rPr>
        <w:noBreakHyphen/>
        <w:t>to</w:t>
      </w:r>
      <w:r>
        <w:rPr>
          <w:lang w:val="en-GB"/>
        </w:rPr>
        <w:noBreakHyphen/>
        <w:t xml:space="preserve">detect homicide cases, </w:t>
      </w:r>
      <w:r w:rsidR="008E2448">
        <w:rPr>
          <w:lang w:val="en-GB"/>
        </w:rPr>
        <w:t xml:space="preserve">Cole and Brown </w:t>
      </w:r>
      <w:r w:rsidR="00D519C3">
        <w:rPr>
          <w:lang w:val="en-GB"/>
        </w:rPr>
        <w:fldChar w:fldCharType="begin" w:fldLock="1"/>
      </w:r>
      <w:r w:rsidR="008E2448">
        <w:rPr>
          <w:lang w:val="en-GB"/>
        </w:rPr>
        <w:instrText>ADDIN CSL_CITATION {"citationItems":[{"id":"ITEM-1","itemData":{"DOI":"10.1002/jip.1396","ISSN":"15444767","abstract":"This paper considers the role of a Behavioural Investigative Adviser (BIA) in assisting with the decision-making of a Senior Investigating Officer (SIO) in difficult-to-detect murder investigations. It outlines the need for transparent evidence-based decision-making from both the SIO and the BIA. The paper then details a piece of relevant, applied research that can assist in this end. The research utilised a pragmatic psychology approach to analyse 312 detected murder cases from the Serious Crime Analysis Section database. Some significant patterns relating what is known about the offence at different stages of an investigation and inferences regarding the offender were found, indicating that certain offence information can lead to some reliable predictions and these can be refined as more information becomes available. However, the findings also indicate that base rate frequencies and a ‘best-guess’ methodology may be as, if not more, useful than more complex statistical techniques when providing advice to investigations.","author":[{"dropping-particle":"","family":"Cole","given":"Terri","non-dropping-particle":"","parse-names":false,"suffix":""},{"dropping-particle":"","family":"Brown","given":"Jennifer","non-dropping-particle":"","parse-names":false,"suffix":""}],"container-title":"Journal of Investigative Psychology and Offender Profiling","id":"ITEM-1","issue":"3","issued":{"date-parts":[["2014"]]},"page":"191-220","title":"Behavioural investigative advice: Assistance to investigative decision-making in difficult-to-detect murder","type":"article-journal","volume":"11"},"suppress-author":1,"uris":["http://www.mendeley.com/documents/?uuid=629c73c0-ceec-4270-a53d-d29df1aafd12"]}],"mendeley":{"formattedCitation":"(2014)","plainTextFormattedCitation":"(2014)","previouslyFormattedCitation":"(2014)"},"properties":{"noteIndex":0},"schema":"https://github.com/citation-style-language/schema/raw/master/csl-citation.json"}</w:instrText>
      </w:r>
      <w:r w:rsidR="00D519C3">
        <w:rPr>
          <w:lang w:val="en-GB"/>
        </w:rPr>
        <w:fldChar w:fldCharType="separate"/>
      </w:r>
      <w:r w:rsidR="008E2448" w:rsidRPr="00A4451F">
        <w:rPr>
          <w:noProof/>
          <w:lang w:val="en-GB"/>
        </w:rPr>
        <w:t>(2014)</w:t>
      </w:r>
      <w:r w:rsidR="00D519C3">
        <w:rPr>
          <w:lang w:val="en-GB"/>
        </w:rPr>
        <w:fldChar w:fldCharType="end"/>
      </w:r>
      <w:r w:rsidR="008E2448">
        <w:rPr>
          <w:lang w:val="en-GB"/>
        </w:rPr>
        <w:t xml:space="preserve"> found</w:t>
      </w:r>
      <w:r>
        <w:rPr>
          <w:lang w:val="en-GB"/>
        </w:rPr>
        <w:t>, for example,</w:t>
      </w:r>
      <w:r w:rsidR="008E2448">
        <w:rPr>
          <w:lang w:val="en-GB"/>
        </w:rPr>
        <w:t xml:space="preserve"> that killers who were under the influence of alcohol or drugs </w:t>
      </w:r>
      <w:r w:rsidR="00F34795">
        <w:rPr>
          <w:lang w:val="en-GB"/>
        </w:rPr>
        <w:t>during</w:t>
      </w:r>
      <w:r w:rsidR="008E2448">
        <w:rPr>
          <w:lang w:val="en-GB"/>
        </w:rPr>
        <w:t xml:space="preserve"> the offence, were more than twice as likely to have a previous conviction for violent offences, whereas murderers who took pieces of their victim’s clothing with them were nearly </w:t>
      </w:r>
      <w:r w:rsidR="00F34795">
        <w:rPr>
          <w:lang w:val="en-GB"/>
        </w:rPr>
        <w:t>2.5</w:t>
      </w:r>
      <w:r w:rsidR="008E2448">
        <w:rPr>
          <w:lang w:val="en-GB"/>
        </w:rPr>
        <w:t xml:space="preserve"> times more likely to have been previously arrested for a sexual offence.</w:t>
      </w:r>
      <w:r>
        <w:rPr>
          <w:lang w:val="en-GB"/>
        </w:rPr>
        <w:t xml:space="preserve"> </w:t>
      </w:r>
      <w:r w:rsidR="00AC26EC">
        <w:rPr>
          <w:lang w:val="en-GB"/>
        </w:rPr>
        <w:t>Using</w:t>
      </w:r>
      <w:r>
        <w:rPr>
          <w:lang w:val="en-GB"/>
        </w:rPr>
        <w:t xml:space="preserve"> a more thematic approach, </w:t>
      </w:r>
      <w:r w:rsidR="00C2621B">
        <w:rPr>
          <w:lang w:val="en-GB"/>
        </w:rPr>
        <w:t>Horning et al.</w:t>
      </w:r>
      <w:r w:rsidR="004F7839">
        <w:rPr>
          <w:lang w:val="en-GB"/>
        </w:rPr>
        <w:t xml:space="preserve"> </w:t>
      </w:r>
      <w:r w:rsidR="00D519C3">
        <w:rPr>
          <w:lang w:val="en-GB"/>
        </w:rPr>
        <w:fldChar w:fldCharType="begin" w:fldLock="1"/>
      </w:r>
      <w:r w:rsidR="004C0E74">
        <w:rPr>
          <w:lang w:val="en-GB"/>
        </w:rPr>
        <w:instrText>ADDIN CSL_CITATION {"citationItems":[{"id":"ITEM-1","itemData":{"DOI":"10.1177/1088767910382833","ISSN":"10887679","abstract":"The present study explored the link between offenders' prior criminal specialization (violent crime, sexual crime, or burglary/theft) and subsequent homicide crime scene type (exploit, control, distance) in 77 U.S. cases of single-offender/single-victim homicides. Specialists as compared to those with no prior criminal history were significantly more likely to engage in goal directed behaviors such as controlling the victim, controlling the outcome, and exploitative behaviors (sex and theft). Sexual crime specialists specifically were the more distinct subtype. The findings indicated differences in how first-time homicide offenders approach the crime scene and are discussed in line with the usefulness to homicide investigators.","author":[{"dropping-particle":"","family":"Horning","given":"Amber M.","non-dropping-particle":"","parse-names":false,"suffix":""},{"dropping-particle":"","family":"Salfati","given":"C. Gabrielle","non-dropping-particle":"","parse-names":false,"suffix":""},{"dropping-particle":"","family":"Crawford","given":"Kristan","non-dropping-particle":"","parse-names":false,"suffix":""}],"container-title":"Homicide Studies","id":"ITEM-1","issue":"4","issued":{"date-parts":[["2010"]]},"page":"377-399","title":"Prior crime specialization and its relationship to homicide crime scene behavior type","type":"article-journal","volume":"14"},"suppress-author":1,"uris":["http://www.mendeley.com/documents/?uuid=d62abb86-9906-4e83-b595-4e4b7f087b46"]}],"mendeley":{"formattedCitation":"(2010)","plainTextFormattedCitation":"(2010)","previouslyFormattedCitation":"(2010)"},"properties":{"noteIndex":0},"schema":"https://github.com/citation-style-language/schema/raw/master/csl-citation.json"}</w:instrText>
      </w:r>
      <w:r w:rsidR="00D519C3">
        <w:rPr>
          <w:lang w:val="en-GB"/>
        </w:rPr>
        <w:fldChar w:fldCharType="separate"/>
      </w:r>
      <w:r w:rsidR="00C2621B" w:rsidRPr="00C2621B">
        <w:rPr>
          <w:noProof/>
          <w:lang w:val="en-GB"/>
        </w:rPr>
        <w:t>(2010)</w:t>
      </w:r>
      <w:r w:rsidR="00D519C3">
        <w:rPr>
          <w:lang w:val="en-GB"/>
        </w:rPr>
        <w:fldChar w:fldCharType="end"/>
      </w:r>
      <w:r>
        <w:rPr>
          <w:lang w:val="en-GB"/>
        </w:rPr>
        <w:t xml:space="preserve"> </w:t>
      </w:r>
      <w:r w:rsidR="004C0E74">
        <w:rPr>
          <w:lang w:val="en-GB"/>
        </w:rPr>
        <w:t>demonstrated</w:t>
      </w:r>
      <w:r w:rsidR="004F7839">
        <w:rPr>
          <w:lang w:val="en-GB"/>
        </w:rPr>
        <w:t xml:space="preserve"> </w:t>
      </w:r>
      <w:r w:rsidR="00C2621B">
        <w:rPr>
          <w:lang w:val="en-GB"/>
        </w:rPr>
        <w:t>that homicide offenders</w:t>
      </w:r>
      <w:r w:rsidR="00290429">
        <w:rPr>
          <w:lang w:val="en-GB"/>
        </w:rPr>
        <w:t>,</w:t>
      </w:r>
      <w:r w:rsidR="00C2621B">
        <w:rPr>
          <w:lang w:val="en-GB"/>
        </w:rPr>
        <w:t xml:space="preserve"> </w:t>
      </w:r>
      <w:r w:rsidR="004C0E74">
        <w:rPr>
          <w:lang w:val="en-GB"/>
        </w:rPr>
        <w:t>who</w:t>
      </w:r>
      <w:r>
        <w:rPr>
          <w:lang w:val="en-GB"/>
        </w:rPr>
        <w:t xml:space="preserve"> </w:t>
      </w:r>
      <w:r w:rsidR="004C0E74">
        <w:rPr>
          <w:lang w:val="en-GB"/>
        </w:rPr>
        <w:t>showed</w:t>
      </w:r>
      <w:r>
        <w:rPr>
          <w:lang w:val="en-GB"/>
        </w:rPr>
        <w:t xml:space="preserve"> some degree of specialisation towards violent, sexual, or acquisitive crimes in their criminal histories</w:t>
      </w:r>
      <w:r w:rsidR="00BF1224">
        <w:rPr>
          <w:lang w:val="en-GB"/>
        </w:rPr>
        <w:t>,</w:t>
      </w:r>
      <w:r>
        <w:rPr>
          <w:lang w:val="en-GB"/>
        </w:rPr>
        <w:t xml:space="preserve"> were more likely</w:t>
      </w:r>
      <w:r w:rsidR="00DA4158">
        <w:rPr>
          <w:lang w:val="en-GB"/>
        </w:rPr>
        <w:t xml:space="preserve"> to</w:t>
      </w:r>
      <w:r>
        <w:rPr>
          <w:lang w:val="en-GB"/>
        </w:rPr>
        <w:t xml:space="preserve"> engage in goal directed </w:t>
      </w:r>
      <w:proofErr w:type="spellStart"/>
      <w:r w:rsidR="006A415D">
        <w:rPr>
          <w:lang w:val="en-GB"/>
        </w:rPr>
        <w:t>behavior</w:t>
      </w:r>
      <w:r>
        <w:rPr>
          <w:lang w:val="en-GB"/>
        </w:rPr>
        <w:t>s</w:t>
      </w:r>
      <w:proofErr w:type="spellEnd"/>
      <w:r>
        <w:rPr>
          <w:lang w:val="en-GB"/>
        </w:rPr>
        <w:t xml:space="preserve"> at the crime scene, such as controlling the victim </w:t>
      </w:r>
      <w:r w:rsidR="00F831B4">
        <w:rPr>
          <w:lang w:val="en-GB"/>
        </w:rPr>
        <w:t xml:space="preserve">or </w:t>
      </w:r>
      <w:r>
        <w:rPr>
          <w:lang w:val="en-GB"/>
        </w:rPr>
        <w:t xml:space="preserve">sexually </w:t>
      </w:r>
      <w:r w:rsidR="00F831B4">
        <w:rPr>
          <w:lang w:val="en-GB"/>
        </w:rPr>
        <w:t>and</w:t>
      </w:r>
      <w:r>
        <w:rPr>
          <w:lang w:val="en-GB"/>
        </w:rPr>
        <w:t xml:space="preserve"> materially exploitative </w:t>
      </w:r>
      <w:proofErr w:type="spellStart"/>
      <w:r w:rsidR="006A415D">
        <w:rPr>
          <w:lang w:val="en-GB"/>
        </w:rPr>
        <w:t>behavior</w:t>
      </w:r>
      <w:r>
        <w:rPr>
          <w:lang w:val="en-GB"/>
        </w:rPr>
        <w:t>s</w:t>
      </w:r>
      <w:proofErr w:type="spellEnd"/>
      <w:r w:rsidR="00D1610A">
        <w:rPr>
          <w:lang w:val="en-GB"/>
        </w:rPr>
        <w:t>, when compared to non-specialist offenders.</w:t>
      </w:r>
    </w:p>
    <w:p w:rsidR="00D536C7" w:rsidRDefault="0099529B" w:rsidP="00CB2434">
      <w:pPr>
        <w:pStyle w:val="TextkrperMA"/>
        <w:rPr>
          <w:lang w:val="en-GB"/>
        </w:rPr>
      </w:pPr>
      <w:r>
        <w:rPr>
          <w:lang w:val="en-GB"/>
        </w:rPr>
        <w:t>However, the majority of the</w:t>
      </w:r>
      <w:r w:rsidR="002A2B1D">
        <w:rPr>
          <w:lang w:val="en-GB"/>
        </w:rPr>
        <w:t xml:space="preserve"> existing</w:t>
      </w:r>
      <w:r>
        <w:rPr>
          <w:lang w:val="en-GB"/>
        </w:rPr>
        <w:t xml:space="preserve"> studies </w:t>
      </w:r>
      <w:r w:rsidR="002A2B1D">
        <w:rPr>
          <w:lang w:val="en-GB"/>
        </w:rPr>
        <w:t xml:space="preserve">thus far </w:t>
      </w:r>
      <w:r w:rsidR="00D536C7">
        <w:rPr>
          <w:lang w:val="en-GB"/>
        </w:rPr>
        <w:t xml:space="preserve">are arguably based on non-contemporary samples and have either contained a limited number of previous conviction categories </w:t>
      </w:r>
      <w:r w:rsidR="00D519C3">
        <w:rPr>
          <w:lang w:val="en-GB"/>
        </w:rPr>
        <w:fldChar w:fldCharType="begin" w:fldLock="1"/>
      </w:r>
      <w:r w:rsidR="00D536C7">
        <w:rPr>
          <w:lang w:val="en-GB"/>
        </w:rPr>
        <w:instrText>ADDIN CSL_CITATION {"citationItems":[{"id":"ITEM-1","itemData":{"DOI":"10.1002/jip.1396","ISSN":"15444767","abstract":"This paper considers the role of a Behavioural Investigative Adviser (BIA) in assisting with the decision-making of a Senior Investigating Officer (SIO) in difficult-to-detect murder investigations. It outlines the need for transparent evidence-based decision-making from both the SIO and the BIA. The paper then details a piece of relevant, applied research that can assist in this end. The research utilised a pragmatic psychology approach to analyse 312 detected murder cases from the Serious Crime Analysis Section database. Some significant patterns relating what is known about the offence at different stages of an investigation and inferences regarding the offender were found, indicating that certain offence information can lead to some reliable predictions and these can be refined as more information becomes available. However, the findings also indicate that base rate frequencies and a ‘best-guess’ methodology may be as, if not more, useful than more complex statistical techniques when providing advice to investigations.","author":[{"dropping-particle":"","family":"Cole","given":"Terri","non-dropping-particle":"","parse-names":false,"suffix":""},{"dropping-particle":"","family":"Brown","given":"Jennifer","non-dropping-particle":"","parse-names":false,"suffix":""}],"container-title":"Journal of Investigative Psychology and Offender Profiling","id":"ITEM-1","issue":"3","issued":{"date-parts":[["2014"]]},"page":"191-220","title":"Behavioural investigative advice: Assistance to investigative decision-making in difficult-to-detect murder","type":"article-journal","volume":"11"},"uris":["http://www.mendeley.com/documents/?uuid=629c73c0-ceec-4270-a53d-d29df1aafd12"]}],"mendeley":{"formattedCitation":"(Cole &amp; Brown, 2014)","plainTextFormattedCitation":"(Cole &amp; Brown, 2014)","previouslyFormattedCitation":"(Cole &amp; Brown, 2014)"},"properties":{"noteIndex":0},"schema":"https://github.com/citation-style-language/schema/raw/master/csl-citation.json"}</w:instrText>
      </w:r>
      <w:r w:rsidR="00D519C3">
        <w:rPr>
          <w:lang w:val="en-GB"/>
        </w:rPr>
        <w:fldChar w:fldCharType="separate"/>
      </w:r>
      <w:r w:rsidR="00D536C7" w:rsidRPr="000A584E">
        <w:rPr>
          <w:noProof/>
          <w:lang w:val="en-GB"/>
        </w:rPr>
        <w:t>(Cole &amp; Brown, 2014)</w:t>
      </w:r>
      <w:r w:rsidR="00D519C3">
        <w:rPr>
          <w:lang w:val="en-GB"/>
        </w:rPr>
        <w:fldChar w:fldCharType="end"/>
      </w:r>
      <w:r w:rsidR="00D536C7">
        <w:rPr>
          <w:lang w:val="en-GB"/>
        </w:rPr>
        <w:t xml:space="preserve"> or have grouped multiple previous convictions into broader clusters</w:t>
      </w:r>
      <w:r w:rsidR="002A2B1D">
        <w:rPr>
          <w:lang w:val="en-GB"/>
        </w:rPr>
        <w:t xml:space="preserve"> or typologies</w:t>
      </w:r>
      <w:r w:rsidR="00D536C7">
        <w:rPr>
          <w:lang w:val="en-GB"/>
        </w:rPr>
        <w:t xml:space="preserve"> </w:t>
      </w:r>
      <w:r w:rsidR="00D519C3">
        <w:rPr>
          <w:lang w:val="en-GB"/>
        </w:rPr>
        <w:fldChar w:fldCharType="begin" w:fldLock="1"/>
      </w:r>
      <w:r w:rsidR="00D536C7">
        <w:rPr>
          <w:lang w:val="en-GB"/>
        </w:rPr>
        <w:instrText>ADDIN CSL_CITATION {"citationItems":[{"id":"ITEM-1","itemData":{"DOI":"10.1002/(SICI)1099-0798(199907/09)17:3&lt;391::AID-BSL352&gt;3.0.CO;2-Z","ISBN":"0735-3936; 1099-0798","ISSN":"07353936","PMID":"10481136","abstract":"The literature on \"offender profiling\" suggests that different \"styles\" of homicide will reflect differences in the background characteristics of the offender. To test this suggestion, hypotheses were drawn from studies of aggression to propose that murder crime scenes would reveal stylistic distinctions in the role of the aggression in the offense. It was further hypothesized that these distinctions would be clearest for those crime scene indicators that reflect the instrument (cognitive) actions that shape the offense rather than the more expressive (impulsive and emotional) components. Hypotheses about associated offender characteristics were also deduced on the assumption that the murder scene theme revealed the killers' typical styles of interpersonal transaction. To test these hypotheses MDS analyses were carried out on the crime scene and offender characteristics derived from 82 single offender, single victim stranger homicides. A multivariate structure resulted, including all three hypothesized styles, allowing 65% of the cases to be assigned to unique styles and a further 36% to be assigned to appropriate hybrids. Offender characteristics related in the anticipated way to the different crime scene styles, providing a basis for law enforcement inferences about offenders in stranger murders.","author":[{"dropping-particle":"","family":"Salfati","given":"C. Gabrielle","non-dropping-particle":"","parse-names":false,"suffix":""},{"dropping-particle":"V.","family":"Canter","given":"David","non-dropping-particle":"","parse-names":false,"suffix":""}],"container-title":"Behavioral Sciences and the Law","id":"ITEM-1","issue":"3","issued":{"date-parts":[["1999"]]},"page":"391-406","title":"Differentiating stranger murders: Profiling offender characteristics from behavioral styles","type":"article-journal","volume":"17"},"uris":["http://www.mendeley.com/documents/?uuid=93a6f533-b776-4553-9029-8e1eda147d37"]},{"id":"ITEM-2","itemData":{"DOI":"10.1177/1088767910382833","ISSN":"10887679","abstract":"The present study explored the link between offenders' prior criminal specialization (violent crime, sexual crime, or burglary/theft) and subsequent homicide crime scene type (exploit, control, distance) in 77 U.S. cases of single-offender/single-victim homicides. Specialists as compared to those with no prior criminal history were significantly more likely to engage in goal directed behaviors such as controlling the victim, controlling the outcome, and exploitative behaviors (sex and theft). Sexual crime specialists specifically were the more distinct subtype. The findings indicated differences in how first-time homicide offenders approach the crime scene and are discussed in line with the usefulness to homicide investigators.","author":[{"dropping-particle":"","family":"Horning","given":"Amber M.","non-dropping-particle":"","parse-names":false,"suffix":""},{"dropping-particle":"","family":"Salfati","given":"C. Gabrielle","non-dropping-particle":"","parse-names":false,"suffix":""},{"dropping-particle":"","family":"Crawford","given":"Kristan","non-dropping-particle":"","parse-names":false,"suffix":""}],"container-title":"Homicide Studies","id":"ITEM-2","issue":"4","issued":{"date-parts":[["2010"]]},"page":"377-399","title":"Prior crime specialization and its relationship to homicide crime scene behavior type","type":"article-journal","volume":"14"},"uris":["http://www.mendeley.com/documents/?uuid=d62abb86-9906-4e83-b595-4e4b7f087b46"]},{"id":"ITEM-3","itemData":{"DOI":"10.1177/1088767910397281","ISBN":"1088767910397","ISSN":"1088-7679","abstract":"Research has consistently shown that the average individual who commits one or more homicides is likely to have a criminal record, but little research has focused on whether individuals behave in a psychologically or thematically consistent way in both their homicide crime scene actions and prior offending. The current study examines the crime scene behaviors of single and serial homicide offenders to identify patterns that can be compared to themes in their prior offending. The results showed that crime scene actions occurred on a continuum from hostile to cognitive actions with serial offenders concentrating at the latter end of this continuum. However, only a small group of the serial homicide offenders committed similarly themed prior offenses and homicide behaviors, which raises questions regarding the hypotheses of behavioral consistency underlying offender profiling. (PsycINFO Database Record (c) 2012 APA, all rights reserved). (journal abstract)","author":[{"dropping-particle":"","family":"Trojan","given":"Carrie","non-dropping-particle":"","parse-names":false,"suffix":""},{"dropping-particle":"","family":"Salfati","given":"C. Gabrielle","non-dropping-particle":"","parse-names":false,"suffix":""}],"container-title":"Homicide Studies","id":"ITEM-3","issue":"1","issued":{"date-parts":[["2011"]]},"page":"3-31","title":"Linking Criminal History to Crime Scene Behavior in Single-Victim and Serial Homicide: Implications for Offender Profiling Research","type":"article-journal","volume":"15"},"uris":["http://www.mendeley.com/documents/?uuid=bc3ca59b-10b9-473a-8feb-8166acc0f80d"]}],"mendeley":{"formattedCitation":"(Horning et al., 2010; Salfati &amp; Canter, 1999; Trojan &amp; Salfati, 2011)","plainTextFormattedCitation":"(Horning et al., 2010; Salfati &amp; Canter, 1999; Trojan &amp; Salfati, 2011)","previouslyFormattedCitation":"(Horning et al., 2010; Salfati &amp; Canter, 1999; Trojan &amp; Salfati, 2011)"},"properties":{"noteIndex":0},"schema":"https://github.com/citation-style-language/schema/raw/master/csl-citation.json"}</w:instrText>
      </w:r>
      <w:r w:rsidR="00D519C3">
        <w:rPr>
          <w:lang w:val="en-GB"/>
        </w:rPr>
        <w:fldChar w:fldCharType="separate"/>
      </w:r>
      <w:r w:rsidR="00D536C7" w:rsidRPr="000A584E">
        <w:rPr>
          <w:noProof/>
          <w:lang w:val="en-GB"/>
        </w:rPr>
        <w:t>(Horning et al., 2010; Salfati &amp; Canter, 1999; Trojan &amp; Salfati, 2011)</w:t>
      </w:r>
      <w:r w:rsidR="00D519C3">
        <w:rPr>
          <w:lang w:val="en-GB"/>
        </w:rPr>
        <w:fldChar w:fldCharType="end"/>
      </w:r>
      <w:r w:rsidR="00D536C7">
        <w:rPr>
          <w:lang w:val="en-GB"/>
        </w:rPr>
        <w:t>. Thus, exploring a</w:t>
      </w:r>
      <w:r w:rsidR="00273F3B">
        <w:rPr>
          <w:lang w:val="en-GB"/>
        </w:rPr>
        <w:t xml:space="preserve"> larger and</w:t>
      </w:r>
      <w:r w:rsidR="00D536C7">
        <w:rPr>
          <w:lang w:val="en-GB"/>
        </w:rPr>
        <w:t xml:space="preserve"> more specific set of previous conviction variables may help to not only answer whether offenders’ criminal histories can be reliably predicted from their crime scene actions, but also whether certain pre</w:t>
      </w:r>
      <w:r w:rsidR="00F34795">
        <w:rPr>
          <w:lang w:val="en-GB"/>
        </w:rPr>
        <w:noBreakHyphen/>
      </w:r>
      <w:r w:rsidR="00D536C7">
        <w:rPr>
          <w:lang w:val="en-GB"/>
        </w:rPr>
        <w:t xml:space="preserve">convictions may be better suited for prediction than others. </w:t>
      </w:r>
      <w:r w:rsidR="002978C9">
        <w:rPr>
          <w:lang w:val="en-GB"/>
        </w:rPr>
        <w:t xml:space="preserve">In addition, </w:t>
      </w:r>
      <w:r w:rsidR="00D97BA1">
        <w:rPr>
          <w:lang w:val="en-GB"/>
        </w:rPr>
        <w:t xml:space="preserve">previous studies </w:t>
      </w:r>
      <w:r w:rsidR="00C10890">
        <w:rPr>
          <w:lang w:val="en-GB"/>
        </w:rPr>
        <w:t>have mostly analysed samples including both male and female killers</w:t>
      </w:r>
      <w:r w:rsidR="00A82E80">
        <w:rPr>
          <w:lang w:val="en-GB"/>
        </w:rPr>
        <w:t xml:space="preserve">, even though </w:t>
      </w:r>
      <w:r w:rsidR="00C10890">
        <w:rPr>
          <w:lang w:val="en-GB"/>
        </w:rPr>
        <w:t xml:space="preserve">research </w:t>
      </w:r>
      <w:r w:rsidR="00DF2B99">
        <w:rPr>
          <w:lang w:val="en-GB"/>
        </w:rPr>
        <w:t xml:space="preserve">has repeatedly highlighted differences </w:t>
      </w:r>
      <w:r w:rsidR="00A82E80">
        <w:rPr>
          <w:lang w:val="en-GB"/>
        </w:rPr>
        <w:t>in</w:t>
      </w:r>
      <w:r w:rsidR="00DF2B99">
        <w:rPr>
          <w:lang w:val="en-GB"/>
        </w:rPr>
        <w:t xml:space="preserve"> crime scene </w:t>
      </w:r>
      <w:proofErr w:type="spellStart"/>
      <w:r w:rsidR="006A415D">
        <w:rPr>
          <w:lang w:val="en-GB"/>
        </w:rPr>
        <w:t>behavior</w:t>
      </w:r>
      <w:r w:rsidR="00DF2B99">
        <w:rPr>
          <w:lang w:val="en-GB"/>
        </w:rPr>
        <w:t>s</w:t>
      </w:r>
      <w:proofErr w:type="spellEnd"/>
      <w:r w:rsidR="00DF2B99">
        <w:rPr>
          <w:lang w:val="en-GB"/>
        </w:rPr>
        <w:t>, criminal histories, and general psychological functioning</w:t>
      </w:r>
      <w:r w:rsidR="00A82E80">
        <w:rPr>
          <w:lang w:val="en-GB"/>
        </w:rPr>
        <w:t xml:space="preserve"> between the two groups</w:t>
      </w:r>
      <w:r w:rsidR="00C10890">
        <w:rPr>
          <w:lang w:val="en-GB"/>
        </w:rPr>
        <w:t xml:space="preserve"> </w:t>
      </w:r>
      <w:r w:rsidR="00D519C3">
        <w:rPr>
          <w:lang w:val="en-GB"/>
        </w:rPr>
        <w:fldChar w:fldCharType="begin" w:fldLock="1"/>
      </w:r>
      <w:r w:rsidR="009A3BEB">
        <w:rPr>
          <w:lang w:val="en-GB"/>
        </w:rPr>
        <w:instrText>ADDIN CSL_CITATION {"citationItems":[{"id":"ITEM-1","itemData":{"DOI":"10.1002/cbm.782","ISBN":"0761921133","ISSN":"09579664","PMID":"20632435","abstract":"People with a major mental disorder are at increased risk of committing crimes, especially violent crimes, compared with the general population. Sub-groups have been identified based on age of onset of anti-social or violent behaviour. Mentally disordered offenders with early onset anti-social behaviour tend to have a lifelong pattern of it, but in a clinical setting, are they easily identifiable as a distinct sub-group?","author":[{"dropping-particle":"","family":"Putkonen","given":"Hanna","non-dropping-particle":"","parse-names":false,"suffix":""},{"dropping-particle":"","family":"Weizmann-Henelius","given":"Ghitta","non-dropping-particle":"","parse-names":false,"suffix":""},{"dropping-particle":"","family":"Lindberg","given":"Nina","non-dropping-particle":"","parse-names":false,"suffix":""},{"dropping-particle":"","family":"Rovamo","given":"Tuija","non-dropping-particle":"","parse-names":false,"suffix":""},{"dropping-particle":"","family":"Häkkänen-nyholm","given":"Helinä","non-dropping-particle":"","parse-names":false,"suffix":""}],"container-title":"Criminal Behaviour and Mental Health","id":"ITEM-1","issue":"1","issued":{"date-parts":[["2011","2"]]},"page":"51-62","title":"Gender differences in homicide offenders' criminal career, substance abuse and mental health care. A nationwide register-based study of Finnish homicide offenders 1995-2004","type":"article-journal","volume":"21"},"uris":["http://www.mendeley.com/documents/?uuid=55a2e7ea-1f1d-49f8-9b18-67654fda6807"]},{"id":"ITEM-2","itemData":{"ISBN":"0886-6708","ISSN":"0886-6708","PMID":"2098088","abstract":"This study compares the patterns of homicides committed by women and men. Classic comparison studies of homicides by men and women suggest that each group kills in ways that are reflective of socially approved gender role behavior. More recently, however, research on women who kill suggests that they frequently do so in response to threats of violence by men. In contrast to the gender role and self-protection models of women's homicides, the liberation hypothesis suggests that patterns of women's violence will increasingly resemble patterns of violence by men. Based on our analysis of court records of 158 cases of homicides by men and women over a six-year period, we find little support for the liberation hypothesis and considerable support for the gender role and self-protection models. Compared to men, women more frequently kill intimates and kill in situations in which their victim initiated the physical aggression.","author":[{"dropping-particle":"","family":"Jurik","given":"N C","non-dropping-particle":"","parse-names":false,"suffix":""},{"dropping-particle":"","family":"Winn","given":"R","non-dropping-particle":"","parse-names":false,"suffix":""}],"container-title":"Violence and victims","id":"ITEM-2","issue":"4","issued":{"date-parts":[["1990"]]},"page":"227-242","title":"Gender and homicide: a comparison of men and women who kill.","type":"article-journal","volume":"5"},"uris":["http://www.mendeley.com/documents/?uuid=e4a20952-4d08-4355-98d9-e293a025f919"]},{"id":"ITEM-3","itemData":{"DOI":"10.1080/14999013.2016.1152615","ISSN":"19329903","abstract":"ABSTRACTHomicide committed by female offenders is an understudied phenomenon. This study examines whether incidence rates of male-perpetrated and female-perpetrated homicide have changed from 1990 to 2010, and investigates similarities and differences between male and female homicide offenders, by examining a dataset comprising all cases of homicide in Sweden (N = 1,570). The results indicate a decline in the incidence of both male-perpetrated and female-perpetrated homicide during the observed period, as well as stable proportions of female offenders. There were also pronounced differences between male and female homicide offenders with adult victims: victims of female offenders were more often male, intimate partners, intoxicated at the time of the offense, and killed by sharp force injuries. Previous violence between victim and offender was also more common in cases with female offenders, and they committed homicide-suicide less often. There were less pronounced differences between male and female homi...","author":[{"dropping-particle":"","family":"Trägårdh","given":"Karin","non-dropping-particle":"","parse-names":false,"suffix":""},{"dropping-particle":"","family":"Nilsson","given":"Thomas","non-dropping-particle":"","parse-names":false,"suffix":""},{"dropping-particle":"","family":"Granath","given":"Sven","non-dropping-particle":"","parse-names":false,"suffix":""},{"dropping-particle":"","family":"Sturup","given":"Joakim","non-dropping-particle":"","parse-names":false,"suffix":""}],"container-title":"International Journal of Forensic Mental Health","id":"ITEM-3","issue":"2","issued":{"date-parts":[["2016"]]},"page":"125-135","title":"A time trend study of swedish male and female homicide offenders from 1990 to 2010","type":"article-journal","volume":"15"},"uris":["http://www.mendeley.com/documents/?uuid=d350742c-bf7c-42c5-b11d-9e16b5377e41"]}],"mendeley":{"formattedCitation":"(Jurik &amp; Winn, 1990; Putkonen, Weizmann-Henelius, Lindberg, Rovamo, &amp; Häkkänen-nyholm, 2011; Trägårdh, Nilsson, Granath, &amp; Sturup, 2016)","plainTextFormattedCitation":"(Jurik &amp; Winn, 1990; Putkonen, Weizmann-Henelius, Lindberg, Rovamo, &amp; Häkkänen-nyholm, 2011; Trägårdh, Nilsson, Granath, &amp; Sturup, 2016)","previouslyFormattedCitation":"(Jurik &amp; Winn, 1990; Putkonen, Weizmann-Henelius, Lindberg, Rovamo, &amp; Häkkänen-nyholm, 2011; Trägårdh, Nilsson, Granath, &amp; Sturup, 2016)"},"properties":{"noteIndex":0},"schema":"https://github.com/citation-style-language/schema/raw/master/csl-citation.json"}</w:instrText>
      </w:r>
      <w:r w:rsidR="00D519C3">
        <w:rPr>
          <w:lang w:val="en-GB"/>
        </w:rPr>
        <w:fldChar w:fldCharType="separate"/>
      </w:r>
      <w:r w:rsidR="00C1535A" w:rsidRPr="00C1535A">
        <w:rPr>
          <w:noProof/>
          <w:lang w:val="en-GB"/>
        </w:rPr>
        <w:t>(Jurik &amp; Winn, 1990; Putkonen, Weizmann-Henelius, Lindberg, Rovamo, &amp; Häkkänen-nyholm, 2011; Trägårdh, Nilsson, Granath, &amp; Sturup, 2016)</w:t>
      </w:r>
      <w:r w:rsidR="00D519C3">
        <w:rPr>
          <w:lang w:val="en-GB"/>
        </w:rPr>
        <w:fldChar w:fldCharType="end"/>
      </w:r>
      <w:r w:rsidR="00DF2B99">
        <w:rPr>
          <w:lang w:val="en-GB"/>
        </w:rPr>
        <w:t xml:space="preserve">, </w:t>
      </w:r>
      <w:r w:rsidR="00412CB3">
        <w:rPr>
          <w:lang w:val="en-GB"/>
        </w:rPr>
        <w:t xml:space="preserve">Similarly, </w:t>
      </w:r>
      <w:r w:rsidR="00312196">
        <w:rPr>
          <w:lang w:val="en-GB"/>
        </w:rPr>
        <w:t xml:space="preserve">prior studies indicate that offenders with female victims may differ from killers that </w:t>
      </w:r>
      <w:r w:rsidR="00312196">
        <w:rPr>
          <w:lang w:val="en-GB"/>
        </w:rPr>
        <w:lastRenderedPageBreak/>
        <w:t xml:space="preserve">target male victims </w:t>
      </w:r>
      <w:r w:rsidR="00D519C3">
        <w:rPr>
          <w:lang w:val="en-GB"/>
        </w:rPr>
        <w:fldChar w:fldCharType="begin" w:fldLock="1"/>
      </w:r>
      <w:r w:rsidR="008A6BFF">
        <w:rPr>
          <w:lang w:val="en-GB"/>
        </w:rPr>
        <w:instrText>ADDIN CSL_CITATION {"citationItems":[{"id":"ITEM-1","itemData":{"DOI":"10.1177/0886260512438282","ISBN":"0886-2605\\r1552-6518","ISSN":"08862605","PMID":"22491217","abstract":"Femicide, the murder of females (most often at the hands of males), is an understudied area in homicide research. Furthermore, femicide perpetrated by females has been all but ignored. One reason this may be is because of the rarity of homicide victimization perpetrated by females. Rather, most homicide incidents consist of a male offender and a male victim. When a homicide does involve a female, either as a victim or as an offender, the other party implicated is generally a male. The primary goal of the proposed study is to provide an in-depth, albeit exploratory, examination of female-perpetrated femicide. Using homicide data taken from the Dallas Homicide Unit, 403 cases of femicide will be analyzed, with special attention devoted to comparing female-perpetrated femicide incidents (n = 39) against male-perpetrated femicide incidents (n = 364). Specifically, the current study will explore the similarities and differences in sociodemographic characteristics of victims and suspects, offense characteristics, and offense circumstances. Contrary to what was expected, results, at first glance, seem to suggest an overwhelming similarity between femicide suspects and victims, irrespective of gender. However, when the relationship between victim and suspect is considered, distinct differences appear. Implications from these findings as well as limitations and suggestions for further research are discussed.","author":[{"dropping-particle":"","family":"Muftić","given":"Lisa R.","non-dropping-particle":"","parse-names":false,"suffix":""},{"dropping-particle":"","family":"Baumann","given":"Miranda L.","non-dropping-particle":"","parse-names":false,"suffix":""}],"container-title":"Journal of Interpersonal Violence","id":"ITEM-1","issue":"14","issued":{"date-parts":[["2012"]]},"page":"2824-2844","title":"Female Versus Male Perpetrated Femicide: An Exploratory Analysis of Whether Offender Gender Matters","type":"article-journal","volume":"27"},"uris":["http://www.mendeley.com/documents/?uuid=491a28a7-b95e-4d69-8e62-937e3f656c19"]}],"mendeley":{"formattedCitation":"(Muftić &amp; Baumann, 2012)","plainTextFormattedCitation":"(Muftić &amp; Baumann, 2012)","previouslyFormattedCitation":"(Muftić &amp; Baumann, 2012)"},"properties":{"noteIndex":0},"schema":"https://github.com/citation-style-language/schema/raw/master/csl-citation.json"}</w:instrText>
      </w:r>
      <w:r w:rsidR="00D519C3">
        <w:rPr>
          <w:lang w:val="en-GB"/>
        </w:rPr>
        <w:fldChar w:fldCharType="separate"/>
      </w:r>
      <w:r w:rsidR="00312196" w:rsidRPr="00312196">
        <w:rPr>
          <w:noProof/>
          <w:lang w:val="en-GB"/>
        </w:rPr>
        <w:t>(Muftić &amp; Baumann, 2012)</w:t>
      </w:r>
      <w:r w:rsidR="00D519C3">
        <w:rPr>
          <w:lang w:val="en-GB"/>
        </w:rPr>
        <w:fldChar w:fldCharType="end"/>
      </w:r>
      <w:r w:rsidR="00A82E80">
        <w:rPr>
          <w:lang w:val="en-GB"/>
        </w:rPr>
        <w:t>, indicating more extensive arrest records and differences in weapon involvement and methods of killing in femicide offenders</w:t>
      </w:r>
      <w:r w:rsidR="008A6BFF">
        <w:rPr>
          <w:lang w:val="en-GB"/>
        </w:rPr>
        <w:t xml:space="preserve"> </w:t>
      </w:r>
      <w:r w:rsidR="00D519C3">
        <w:rPr>
          <w:lang w:val="en-GB"/>
        </w:rPr>
        <w:fldChar w:fldCharType="begin" w:fldLock="1"/>
      </w:r>
      <w:r w:rsidR="001974F3">
        <w:rPr>
          <w:lang w:val="en-GB"/>
        </w:rPr>
        <w:instrText>ADDIN CSL_CITATION {"citationItems":[{"id":"ITEM-1","itemData":{"ISBN":"1945-7073(Electronic),0886-6708(Print)","abstract":"Focused on the offender, the victim–offender relationship, and the circumstances surrounding homicide against women in a study of 131 persons (aged 13–74 yrs; 82% male) arrested for homicides against 123 women. Analysis of police data showed that while offenders against women are generally subject to homicidal patterns characteristic of other killers, they may less likely be Black, more likely be male, and more likely have been arrested previously. These offenders are also less likely to employ firearms and more likely to beat, strangle, or suffocate their victims. (PsycINFO Database Record (c) 2018 APA, all rights reserved)","author":[{"dropping-particle":"","family":"Goetting","given":"Ann","non-dropping-particle":"","parse-names":false,"suffix":""}],"container-title":"Violence and Victims","id":"ITEM-1","issue":"2","issued":{"date-parts":[["1991"]]},"page":"159-168","publisher":"Springer Publishing","publisher-place":"US","title":"Female victims of homicide: A portrait of their killers and the circumstances of their deaths.","type":"article","volume":"6"},"uris":["http://www.mendeley.com/documents/?uuid=48680bdb-1ffe-4c79-964a-c9ac4121099c"]}],"mendeley":{"formattedCitation":"(Goetting, 1991)","plainTextFormattedCitation":"(Goetting, 1991)","previouslyFormattedCitation":"(Goetting, 1991)"},"properties":{"noteIndex":0},"schema":"https://github.com/citation-style-language/schema/raw/master/csl-citation.json"}</w:instrText>
      </w:r>
      <w:r w:rsidR="00D519C3">
        <w:rPr>
          <w:lang w:val="en-GB"/>
        </w:rPr>
        <w:fldChar w:fldCharType="separate"/>
      </w:r>
      <w:r w:rsidR="008A6BFF" w:rsidRPr="008A6BFF">
        <w:rPr>
          <w:noProof/>
          <w:lang w:val="en-GB"/>
        </w:rPr>
        <w:t>(Goetting, 1991)</w:t>
      </w:r>
      <w:r w:rsidR="00D519C3">
        <w:rPr>
          <w:lang w:val="en-GB"/>
        </w:rPr>
        <w:fldChar w:fldCharType="end"/>
      </w:r>
      <w:r w:rsidR="00A82E80">
        <w:rPr>
          <w:lang w:val="en-GB"/>
        </w:rPr>
        <w:t>. There may, therefore, be a need to specialise predictive profiling efforts towards what appear to be distinct homicidal offender sub-populations.</w:t>
      </w:r>
    </w:p>
    <w:p w:rsidR="00592BE8" w:rsidRDefault="00592BE8" w:rsidP="00CB2434">
      <w:pPr>
        <w:pStyle w:val="TextkrperMA"/>
        <w:rPr>
          <w:lang w:val="en-GB"/>
        </w:rPr>
      </w:pPr>
      <w:r>
        <w:rPr>
          <w:lang w:val="en-GB"/>
        </w:rPr>
        <w:t>In conclusion of the theoretical, practical, and methodological considerations outlined above, the study proposed here aim</w:t>
      </w:r>
      <w:r w:rsidR="00B85D0D">
        <w:rPr>
          <w:lang w:val="en-GB"/>
        </w:rPr>
        <w:t>ed</w:t>
      </w:r>
      <w:r>
        <w:rPr>
          <w:lang w:val="en-GB"/>
        </w:rPr>
        <w:t xml:space="preserve"> </w:t>
      </w:r>
      <w:r w:rsidR="00A91F56">
        <w:rPr>
          <w:lang w:val="en-GB"/>
        </w:rPr>
        <w:t xml:space="preserve">to explore the </w:t>
      </w:r>
      <w:r>
        <w:rPr>
          <w:lang w:val="en-GB"/>
        </w:rPr>
        <w:t xml:space="preserve">relationships between </w:t>
      </w:r>
      <w:r w:rsidR="002E57BA">
        <w:rPr>
          <w:lang w:val="en-GB"/>
        </w:rPr>
        <w:t xml:space="preserve">a large set of </w:t>
      </w:r>
      <w:r>
        <w:rPr>
          <w:lang w:val="en-GB"/>
        </w:rPr>
        <w:t xml:space="preserve">homicide offender pre-convictions and specific crime scene </w:t>
      </w:r>
      <w:proofErr w:type="spellStart"/>
      <w:r w:rsidR="006A415D">
        <w:rPr>
          <w:lang w:val="en-GB"/>
        </w:rPr>
        <w:t>behavior</w:t>
      </w:r>
      <w:r>
        <w:rPr>
          <w:lang w:val="en-GB"/>
        </w:rPr>
        <w:t>s</w:t>
      </w:r>
      <w:proofErr w:type="spellEnd"/>
      <w:r>
        <w:rPr>
          <w:lang w:val="en-GB"/>
        </w:rPr>
        <w:t xml:space="preserve"> using a bivariate statistical approach. </w:t>
      </w:r>
      <w:r w:rsidR="0086617A">
        <w:rPr>
          <w:lang w:val="en-GB"/>
        </w:rPr>
        <w:t>The sample utilised was focussed</w:t>
      </w:r>
      <w:r>
        <w:rPr>
          <w:lang w:val="en-GB"/>
        </w:rPr>
        <w:t xml:space="preserve"> on </w:t>
      </w:r>
      <w:r w:rsidR="002E57BA">
        <w:rPr>
          <w:lang w:val="en-GB"/>
        </w:rPr>
        <w:t>a</w:t>
      </w:r>
      <w:r>
        <w:rPr>
          <w:lang w:val="en-GB"/>
        </w:rPr>
        <w:t xml:space="preserve"> large</w:t>
      </w:r>
      <w:r w:rsidR="002E57BA">
        <w:rPr>
          <w:lang w:val="en-GB"/>
        </w:rPr>
        <w:t>, yet specific</w:t>
      </w:r>
      <w:r>
        <w:rPr>
          <w:lang w:val="en-GB"/>
        </w:rPr>
        <w:t xml:space="preserve"> homicide offender</w:t>
      </w:r>
      <w:r w:rsidRPr="0077186F">
        <w:rPr>
          <w:lang w:val="en-GB"/>
        </w:rPr>
        <w:t xml:space="preserve"> </w:t>
      </w:r>
      <w:r>
        <w:rPr>
          <w:lang w:val="en-GB"/>
        </w:rPr>
        <w:t>sub-group, i.e. adult male-on-female offenders with adult victims</w:t>
      </w:r>
      <w:r w:rsidR="002E57BA">
        <w:rPr>
          <w:lang w:val="en-GB"/>
        </w:rPr>
        <w:t>.</w:t>
      </w:r>
      <w:r w:rsidR="00B85D0D">
        <w:rPr>
          <w:lang w:val="en-GB"/>
        </w:rPr>
        <w:t xml:space="preserve"> To increase the practical applicability of any findings, this study</w:t>
      </w:r>
      <w:r>
        <w:rPr>
          <w:lang w:val="en-GB"/>
        </w:rPr>
        <w:t xml:space="preserve"> </w:t>
      </w:r>
      <w:r w:rsidR="00B85D0D">
        <w:rPr>
          <w:lang w:val="en-GB"/>
        </w:rPr>
        <w:t>used</w:t>
      </w:r>
      <w:r>
        <w:rPr>
          <w:lang w:val="en-GB"/>
        </w:rPr>
        <w:t xml:space="preserve"> a contemporary sample of investigative policing data </w:t>
      </w:r>
      <w:r w:rsidR="00B85D0D">
        <w:rPr>
          <w:lang w:val="en-GB"/>
        </w:rPr>
        <w:t xml:space="preserve">drawn from a database </w:t>
      </w:r>
      <w:r w:rsidR="00CE424B">
        <w:rPr>
          <w:lang w:val="en-GB"/>
        </w:rPr>
        <w:t>of</w:t>
      </w:r>
      <w:r w:rsidR="00B85D0D">
        <w:rPr>
          <w:lang w:val="en-GB"/>
        </w:rPr>
        <w:t xml:space="preserve"> hard</w:t>
      </w:r>
      <w:r w:rsidR="00B85D0D">
        <w:rPr>
          <w:lang w:val="en-GB"/>
        </w:rPr>
        <w:noBreakHyphen/>
        <w:t>to</w:t>
      </w:r>
      <w:r w:rsidR="00B85D0D">
        <w:rPr>
          <w:lang w:val="en-GB"/>
        </w:rPr>
        <w:noBreakHyphen/>
        <w:t>solve homicide cases with sexual or unknown motive</w:t>
      </w:r>
      <w:r>
        <w:rPr>
          <w:lang w:val="en-GB"/>
        </w:rPr>
        <w:t>. In doing so, this study address</w:t>
      </w:r>
      <w:r w:rsidR="00B85D0D">
        <w:rPr>
          <w:lang w:val="en-GB"/>
        </w:rPr>
        <w:t>es</w:t>
      </w:r>
      <w:r>
        <w:rPr>
          <w:lang w:val="en-GB"/>
        </w:rPr>
        <w:t xml:space="preserve"> the need for a separate, offence-specific, up-to-date empirical basis BIAs can refer to when aiming at predicting an unknown offender’s likely criminal history in cases of unsolved homicide.</w:t>
      </w:r>
    </w:p>
    <w:p w:rsidR="00044B71" w:rsidRDefault="00044B71" w:rsidP="00CB2434">
      <w:pPr>
        <w:pStyle w:val="TextkrperMA"/>
        <w:rPr>
          <w:lang w:val="en-GB"/>
        </w:rPr>
      </w:pPr>
    </w:p>
    <w:p w:rsidR="00651498" w:rsidRPr="00044B71" w:rsidRDefault="004037BC" w:rsidP="00CB2434">
      <w:pPr>
        <w:pStyle w:val="TextkrperMA"/>
        <w:ind w:firstLine="0"/>
        <w:rPr>
          <w:b/>
          <w:lang w:val="en-GB"/>
        </w:rPr>
      </w:pPr>
      <w:bookmarkStart w:id="1" w:name="_Toc523226010"/>
      <w:r w:rsidRPr="00044B71">
        <w:rPr>
          <w:b/>
          <w:lang w:val="en-GB"/>
        </w:rPr>
        <w:t>Method</w:t>
      </w:r>
      <w:bookmarkEnd w:id="1"/>
    </w:p>
    <w:p w:rsidR="00C725FC" w:rsidRPr="00DA59A9" w:rsidRDefault="00C725FC" w:rsidP="00CB2434">
      <w:pPr>
        <w:pStyle w:val="Heading2"/>
        <w:jc w:val="both"/>
        <w:rPr>
          <w:lang w:val="en-GB"/>
        </w:rPr>
      </w:pPr>
      <w:bookmarkStart w:id="2" w:name="_Toc523226011"/>
      <w:r w:rsidRPr="00DA59A9">
        <w:rPr>
          <w:lang w:val="en-GB"/>
        </w:rPr>
        <w:t>Database</w:t>
      </w:r>
      <w:bookmarkEnd w:id="2"/>
    </w:p>
    <w:p w:rsidR="009E7C35" w:rsidRPr="00DA59A9" w:rsidRDefault="009E7C35" w:rsidP="00CB2434">
      <w:pPr>
        <w:pStyle w:val="TextkrperMA"/>
        <w:rPr>
          <w:lang w:val="en-GB"/>
        </w:rPr>
      </w:pPr>
      <w:r w:rsidRPr="00DA59A9">
        <w:rPr>
          <w:lang w:val="en-GB"/>
        </w:rPr>
        <w:t>The present study is based on</w:t>
      </w:r>
      <w:r w:rsidR="00370A02" w:rsidRPr="00DA59A9">
        <w:rPr>
          <w:lang w:val="en-GB"/>
        </w:rPr>
        <w:t xml:space="preserve"> </w:t>
      </w:r>
      <w:r w:rsidR="00C845E0" w:rsidRPr="00DA59A9">
        <w:rPr>
          <w:lang w:val="en-GB"/>
        </w:rPr>
        <w:t>secondary</w:t>
      </w:r>
      <w:r w:rsidRPr="00DA59A9">
        <w:rPr>
          <w:lang w:val="en-GB"/>
        </w:rPr>
        <w:t xml:space="preserve"> case data </w:t>
      </w:r>
      <w:r w:rsidR="000415E2" w:rsidRPr="00DA59A9">
        <w:rPr>
          <w:lang w:val="en-GB"/>
        </w:rPr>
        <w:t xml:space="preserve">provided by the National Crime Agency’s (NCA) Serious Crime Analysis Section (SCAS). </w:t>
      </w:r>
      <w:r w:rsidR="008C5346" w:rsidRPr="00DA59A9">
        <w:rPr>
          <w:lang w:val="en-GB"/>
        </w:rPr>
        <w:t xml:space="preserve">SCAS operates a unique, UK-wide database </w:t>
      </w:r>
      <w:r w:rsidR="00FB724D" w:rsidRPr="00DA59A9">
        <w:rPr>
          <w:lang w:val="en-GB"/>
        </w:rPr>
        <w:t>holding</w:t>
      </w:r>
      <w:r w:rsidR="008C5346" w:rsidRPr="00DA59A9">
        <w:rPr>
          <w:lang w:val="en-GB"/>
        </w:rPr>
        <w:t xml:space="preserve"> details of rape, homicide, and abduction cases that meet specific criteri</w:t>
      </w:r>
      <w:r w:rsidR="00E0221A" w:rsidRPr="00DA59A9">
        <w:rPr>
          <w:lang w:val="en-GB"/>
        </w:rPr>
        <w:t>a</w:t>
      </w:r>
      <w:r w:rsidR="008C5346" w:rsidRPr="00DA59A9">
        <w:rPr>
          <w:lang w:val="en-GB"/>
        </w:rPr>
        <w:t>.</w:t>
      </w:r>
      <w:r w:rsidR="00676D3F" w:rsidRPr="00DA59A9">
        <w:rPr>
          <w:lang w:val="en-GB"/>
        </w:rPr>
        <w:t xml:space="preserve"> </w:t>
      </w:r>
      <w:r w:rsidR="00647B7E" w:rsidRPr="00DA59A9">
        <w:rPr>
          <w:lang w:val="en-GB"/>
        </w:rPr>
        <w:t>For homicide, these criteria include cases</w:t>
      </w:r>
      <w:r w:rsidR="00974043" w:rsidRPr="00DA59A9">
        <w:rPr>
          <w:lang w:val="en-GB"/>
        </w:rPr>
        <w:t xml:space="preserve"> where BIA support may typically be requested, i.e. </w:t>
      </w:r>
      <w:r w:rsidR="00717198" w:rsidRPr="00DA59A9">
        <w:rPr>
          <w:lang w:val="en-GB"/>
        </w:rPr>
        <w:t>homicides</w:t>
      </w:r>
      <w:r w:rsidR="00647B7E" w:rsidRPr="00DA59A9">
        <w:rPr>
          <w:lang w:val="en-GB"/>
        </w:rPr>
        <w:t xml:space="preserve"> with </w:t>
      </w:r>
      <w:r w:rsidR="00C725FC" w:rsidRPr="00DA59A9">
        <w:rPr>
          <w:lang w:val="en-GB"/>
        </w:rPr>
        <w:t xml:space="preserve">a </w:t>
      </w:r>
      <w:r w:rsidR="00647B7E" w:rsidRPr="00DA59A9">
        <w:rPr>
          <w:lang w:val="en-GB"/>
        </w:rPr>
        <w:t xml:space="preserve">known sexual motive as well as </w:t>
      </w:r>
      <w:r w:rsidR="00717198" w:rsidRPr="00DA59A9">
        <w:rPr>
          <w:lang w:val="en-GB"/>
        </w:rPr>
        <w:t>homicides</w:t>
      </w:r>
      <w:r w:rsidR="00647B7E" w:rsidRPr="00DA59A9">
        <w:rPr>
          <w:lang w:val="en-GB"/>
        </w:rPr>
        <w:t xml:space="preserve"> with unknown motive</w:t>
      </w:r>
      <w:r w:rsidR="001C0F20">
        <w:rPr>
          <w:lang w:val="en-GB"/>
        </w:rPr>
        <w:t>,</w:t>
      </w:r>
      <w:r w:rsidR="00647B7E" w:rsidRPr="00DA59A9">
        <w:rPr>
          <w:lang w:val="en-GB"/>
        </w:rPr>
        <w:t xml:space="preserve"> </w:t>
      </w:r>
      <w:r w:rsidR="002B088D" w:rsidRPr="00DA59A9">
        <w:rPr>
          <w:lang w:val="en-GB"/>
        </w:rPr>
        <w:t>in which</w:t>
      </w:r>
      <w:r w:rsidR="00647B7E" w:rsidRPr="00DA59A9">
        <w:rPr>
          <w:lang w:val="en-GB"/>
        </w:rPr>
        <w:t xml:space="preserve"> </w:t>
      </w:r>
      <w:r w:rsidR="0060298C" w:rsidRPr="00DA59A9">
        <w:rPr>
          <w:lang w:val="en-GB"/>
        </w:rPr>
        <w:t>the offender</w:t>
      </w:r>
      <w:r w:rsidR="0060298C" w:rsidRPr="00DA59A9">
        <w:rPr>
          <w:lang w:val="en-GB"/>
        </w:rPr>
        <w:noBreakHyphen/>
        <w:t xml:space="preserve">victim relationship is </w:t>
      </w:r>
      <w:r w:rsidR="0060298C" w:rsidRPr="00DA59A9">
        <w:rPr>
          <w:lang w:val="en-GB"/>
        </w:rPr>
        <w:lastRenderedPageBreak/>
        <w:t>unknown or strange</w:t>
      </w:r>
      <w:r w:rsidR="00974043" w:rsidRPr="00DA59A9">
        <w:rPr>
          <w:lang w:val="en-GB"/>
        </w:rPr>
        <w:t xml:space="preserve">r </w:t>
      </w:r>
      <w:r w:rsidR="00D519C3" w:rsidRPr="00DA59A9">
        <w:rPr>
          <w:lang w:val="en-GB"/>
        </w:rPr>
        <w:fldChar w:fldCharType="begin" w:fldLock="1"/>
      </w:r>
      <w:r w:rsidR="00A06C28" w:rsidRPr="00DA59A9">
        <w:rPr>
          <w:lang w:val="en-GB"/>
        </w:rPr>
        <w:instrText>ADDIN CSL_CITATION {"citationItems":[{"id":"ITEM-1","itemData":{"author":[{"dropping-particle":"","family":"Rainbow","given":"Lee","non-dropping-particle":"","parse-names":false,"suffix":""},{"dropping-particle":"","family":"Gregory","given":"Adam","non-dropping-particle":"","parse-names":false,"suffix":""}],"container-title":"The Journal of Homicide and Major Incident Investigation","id":"ITEM-1","issue":"1","issued":{"date-parts":[["2009"]]},"page":"71-82","title":"Behavioural Investigative Advice: A contemporary view","type":"article-journal","volume":"5"},"uris":["http://www.mendeley.com/documents/?uuid=741388eb-fc4a-4a13-b842-aafdf7458d80"]}],"mendeley":{"formattedCitation":"(Rainbow &amp; Gregory, 2009)","plainTextFormattedCitation":"(Rainbow &amp; Gregory, 2009)","previouslyFormattedCitation":"(Rainbow &amp; Gregory, 2009)"},"properties":{"noteIndex":0},"schema":"https://github.com/citation-style-language/schema/raw/master/csl-citation.json"}</w:instrText>
      </w:r>
      <w:r w:rsidR="00D519C3" w:rsidRPr="00DA59A9">
        <w:rPr>
          <w:lang w:val="en-GB"/>
        </w:rPr>
        <w:fldChar w:fldCharType="separate"/>
      </w:r>
      <w:r w:rsidR="00974043" w:rsidRPr="00DA59A9">
        <w:rPr>
          <w:noProof/>
          <w:lang w:val="en-GB"/>
        </w:rPr>
        <w:t>(Rainbow &amp; Gregory, 2009)</w:t>
      </w:r>
      <w:r w:rsidR="00D519C3" w:rsidRPr="00DA59A9">
        <w:rPr>
          <w:lang w:val="en-GB"/>
        </w:rPr>
        <w:fldChar w:fldCharType="end"/>
      </w:r>
      <w:r w:rsidR="00974043" w:rsidRPr="00DA59A9">
        <w:rPr>
          <w:lang w:val="en-GB"/>
        </w:rPr>
        <w:t xml:space="preserve">. </w:t>
      </w:r>
      <w:r w:rsidR="00E0221A" w:rsidRPr="00DA59A9">
        <w:rPr>
          <w:lang w:val="en-GB"/>
        </w:rPr>
        <w:t xml:space="preserve">SCAS </w:t>
      </w:r>
      <w:r w:rsidR="002B088D" w:rsidRPr="00DA59A9">
        <w:rPr>
          <w:lang w:val="en-GB"/>
        </w:rPr>
        <w:t xml:space="preserve">receive case files from all UK police forces, which are then coded </w:t>
      </w:r>
      <w:r w:rsidR="009D3A44" w:rsidRPr="00DA59A9">
        <w:rPr>
          <w:lang w:val="en-GB"/>
        </w:rPr>
        <w:t xml:space="preserve">and entered into </w:t>
      </w:r>
      <w:r w:rsidR="006B781E" w:rsidRPr="00DA59A9">
        <w:rPr>
          <w:lang w:val="en-GB"/>
        </w:rPr>
        <w:t>a</w:t>
      </w:r>
      <w:r w:rsidR="009D3A44" w:rsidRPr="00DA59A9">
        <w:rPr>
          <w:lang w:val="en-GB"/>
        </w:rPr>
        <w:t xml:space="preserve"> Violent Crime Linkage Analysis </w:t>
      </w:r>
      <w:r w:rsidR="00F0566A" w:rsidRPr="00DA59A9">
        <w:rPr>
          <w:lang w:val="en-GB"/>
        </w:rPr>
        <w:t xml:space="preserve">System </w:t>
      </w:r>
      <w:r w:rsidR="009D3A44" w:rsidRPr="00DA59A9">
        <w:rPr>
          <w:lang w:val="en-GB"/>
        </w:rPr>
        <w:t>(ViCLAS) database</w:t>
      </w:r>
      <w:r w:rsidR="00EA3692" w:rsidRPr="00DA59A9">
        <w:rPr>
          <w:lang w:val="en-GB"/>
        </w:rPr>
        <w:t xml:space="preserve"> involving a rigorous quality control process and highly trained staff to ensure input accuracy and interrater reliability</w:t>
      </w:r>
      <w:r w:rsidR="00F0566A" w:rsidRPr="00DA59A9">
        <w:rPr>
          <w:lang w:val="en-GB"/>
        </w:rPr>
        <w:t xml:space="preserve"> </w:t>
      </w:r>
      <w:r w:rsidR="00D519C3" w:rsidRPr="00DA59A9">
        <w:rPr>
          <w:lang w:val="en-GB"/>
        </w:rPr>
        <w:fldChar w:fldCharType="begin" w:fldLock="1"/>
      </w:r>
      <w:r w:rsidR="00EA7901">
        <w:rPr>
          <w:lang w:val="en-GB"/>
        </w:rPr>
        <w:instrText>ADDIN CSL_CITATION {"citationItems":[{"id":"ITEM-1","itemData":{"DOI":"10.1177/0886260518756118","ISSN":"0886-2605","author":[{"dropping-particle":"","family":"Almond","given":"Louise","non-dropping-particle":"","parse-names":false,"suffix":""},{"dropping-particle":"","family":"McManus","given":"Michelle","non-dropping-particle":"","parse-names":false,"suffix":""},{"dropping-particle":"","family":"Bal","given":"Amarat","non-dropping-particle":"","parse-names":false,"suffix":""},{"dropping-particle":"","family":"O’Brien","given":"Freya","non-dropping-particle":"","parse-names":false,"suffix":""},{"dropping-particle":"","family":"Rainbow","given":"Lee","non-dropping-particle":"","parse-names":false,"suffix":""},{"dropping-particle":"","family":"Webb","given":"Mark","non-dropping-particle":"","parse-names":false,"suffix":""}],"container-title":"Journal of Interpersonal Violence","id":"ITEM-1","issued":{"date-parts":[["2018","2","14"]]},"title":"Assisting the Investigation of Stranger Rapes: Predicting the Criminal Record of U.K. Stranger Rapists From Their Crime Scene Behaviors","type":"article-journal"},"uris":["http://www.mendeley.com/documents/?uuid=93ad9675-99ea-4e4e-91b3-6ca0db1894a3"]}],"mendeley":{"formattedCitation":"(Almond et al., 2018)","plainTextFormattedCitation":"(Almond et al., 2018)","previouslyFormattedCitation":"(Almond et al., 2018)"},"properties":{"noteIndex":0},"schema":"https://github.com/citation-style-language/schema/raw/master/csl-citation.json"}</w:instrText>
      </w:r>
      <w:r w:rsidR="00D519C3" w:rsidRPr="00DA59A9">
        <w:rPr>
          <w:lang w:val="en-GB"/>
        </w:rPr>
        <w:fldChar w:fldCharType="separate"/>
      </w:r>
      <w:r w:rsidR="00A06C28" w:rsidRPr="00DA59A9">
        <w:rPr>
          <w:noProof/>
          <w:lang w:val="en-GB"/>
        </w:rPr>
        <w:t>(Almond et al., 2018)</w:t>
      </w:r>
      <w:r w:rsidR="00D519C3" w:rsidRPr="00DA59A9">
        <w:rPr>
          <w:lang w:val="en-GB"/>
        </w:rPr>
        <w:fldChar w:fldCharType="end"/>
      </w:r>
      <w:r w:rsidR="00EA3692" w:rsidRPr="00DA59A9">
        <w:rPr>
          <w:lang w:val="en-GB"/>
        </w:rPr>
        <w:t>. The dataset utilised herein was</w:t>
      </w:r>
      <w:r w:rsidR="00676D3F" w:rsidRPr="00DA59A9">
        <w:rPr>
          <w:lang w:val="en-GB"/>
        </w:rPr>
        <w:t xml:space="preserve"> provided to the </w:t>
      </w:r>
      <w:r w:rsidR="004D52F1" w:rsidRPr="00DA59A9">
        <w:rPr>
          <w:lang w:val="en-GB"/>
        </w:rPr>
        <w:t>author</w:t>
      </w:r>
      <w:r w:rsidR="00676D3F" w:rsidRPr="00DA59A9">
        <w:rPr>
          <w:lang w:val="en-GB"/>
        </w:rPr>
        <w:t xml:space="preserve"> in a clean, pre</w:t>
      </w:r>
      <w:r w:rsidR="00000153" w:rsidRPr="00DA59A9">
        <w:rPr>
          <w:lang w:val="en-GB"/>
        </w:rPr>
        <w:t>-</w:t>
      </w:r>
      <w:r w:rsidR="00676D3F" w:rsidRPr="00DA59A9">
        <w:rPr>
          <w:lang w:val="en-GB"/>
        </w:rPr>
        <w:t>coded, and anonymised form</w:t>
      </w:r>
      <w:r w:rsidR="00EA3692" w:rsidRPr="00DA59A9">
        <w:rPr>
          <w:lang w:val="en-GB"/>
        </w:rPr>
        <w:t>.</w:t>
      </w:r>
      <w:r w:rsidR="006672B2">
        <w:rPr>
          <w:lang w:val="en-GB"/>
        </w:rPr>
        <w:t xml:space="preserve"> </w:t>
      </w:r>
    </w:p>
    <w:p w:rsidR="00B34CDB" w:rsidRPr="00DA59A9" w:rsidRDefault="005A229A" w:rsidP="00CB2434">
      <w:pPr>
        <w:pStyle w:val="Heading2"/>
        <w:jc w:val="both"/>
        <w:rPr>
          <w:lang w:val="en-GB"/>
        </w:rPr>
      </w:pPr>
      <w:bookmarkStart w:id="3" w:name="_Toc523226012"/>
      <w:r w:rsidRPr="00DA59A9">
        <w:rPr>
          <w:lang w:val="en-GB"/>
        </w:rPr>
        <w:t>Sample</w:t>
      </w:r>
      <w:bookmarkEnd w:id="3"/>
    </w:p>
    <w:p w:rsidR="005831BB" w:rsidRPr="00DA59A9" w:rsidRDefault="00863101" w:rsidP="00CB2434">
      <w:pPr>
        <w:pStyle w:val="TextkrperMA"/>
        <w:rPr>
          <w:lang w:val="en-GB"/>
        </w:rPr>
      </w:pPr>
      <w:r w:rsidRPr="00DA59A9">
        <w:rPr>
          <w:lang w:val="en-GB"/>
        </w:rPr>
        <w:t xml:space="preserve">For this study, </w:t>
      </w:r>
      <w:r w:rsidR="00FE393B" w:rsidRPr="00DA59A9">
        <w:rPr>
          <w:lang w:val="en-GB"/>
        </w:rPr>
        <w:t xml:space="preserve">a sample </w:t>
      </w:r>
      <w:r w:rsidR="00717198" w:rsidRPr="00DA59A9">
        <w:rPr>
          <w:lang w:val="en-GB"/>
        </w:rPr>
        <w:t xml:space="preserve">of </w:t>
      </w:r>
      <w:r w:rsidR="004505AB" w:rsidRPr="00DA59A9">
        <w:rPr>
          <w:lang w:val="en-GB"/>
        </w:rPr>
        <w:t xml:space="preserve">solved homicide cases involving a single female victim and a single male offender </w:t>
      </w:r>
      <w:r w:rsidR="00C157DD" w:rsidRPr="00DA59A9">
        <w:rPr>
          <w:lang w:val="en-GB"/>
        </w:rPr>
        <w:t>was</w:t>
      </w:r>
      <w:r w:rsidR="00FE393B" w:rsidRPr="00DA59A9">
        <w:rPr>
          <w:lang w:val="en-GB"/>
        </w:rPr>
        <w:t xml:space="preserve"> drawn from</w:t>
      </w:r>
      <w:r w:rsidRPr="00DA59A9">
        <w:rPr>
          <w:lang w:val="en-GB"/>
        </w:rPr>
        <w:t xml:space="preserve"> ViCLAS by SCAS</w:t>
      </w:r>
      <w:r w:rsidR="00C157DD" w:rsidRPr="00DA59A9">
        <w:rPr>
          <w:lang w:val="en-GB"/>
        </w:rPr>
        <w:t xml:space="preserve"> based on the following criteria:</w:t>
      </w:r>
      <w:r w:rsidR="007400DB" w:rsidRPr="00DA59A9">
        <w:rPr>
          <w:lang w:val="en-GB"/>
        </w:rPr>
        <w:t xml:space="preserve"> First, offences must have occurred between 1985 and 2017. </w:t>
      </w:r>
      <w:r w:rsidR="006D68D2" w:rsidRPr="00DA59A9">
        <w:rPr>
          <w:lang w:val="en-GB"/>
        </w:rPr>
        <w:t xml:space="preserve">Second, </w:t>
      </w:r>
      <w:r w:rsidR="004505AB" w:rsidRPr="00DA59A9">
        <w:rPr>
          <w:lang w:val="en-GB"/>
        </w:rPr>
        <w:t xml:space="preserve">both victim and offender </w:t>
      </w:r>
      <w:r w:rsidR="00323E65" w:rsidRPr="00DA59A9">
        <w:rPr>
          <w:lang w:val="en-GB"/>
        </w:rPr>
        <w:t>must have been</w:t>
      </w:r>
      <w:r w:rsidR="004505AB" w:rsidRPr="00DA59A9">
        <w:rPr>
          <w:lang w:val="en-GB"/>
        </w:rPr>
        <w:t xml:space="preserve"> adults (above the age of 16) at the time of the offence</w:t>
      </w:r>
      <w:r w:rsidR="007400DB" w:rsidRPr="00DA59A9">
        <w:rPr>
          <w:lang w:val="en-GB"/>
        </w:rPr>
        <w:t xml:space="preserve">. </w:t>
      </w:r>
      <w:r w:rsidR="004505AB" w:rsidRPr="00DA59A9">
        <w:rPr>
          <w:lang w:val="en-GB"/>
        </w:rPr>
        <w:t>Third, d</w:t>
      </w:r>
      <w:r w:rsidR="007400DB" w:rsidRPr="00DA59A9">
        <w:rPr>
          <w:lang w:val="en-GB"/>
        </w:rPr>
        <w:t xml:space="preserve">ata must be taken from cases involving single offenders </w:t>
      </w:r>
      <w:r w:rsidR="004505AB" w:rsidRPr="00DA59A9">
        <w:rPr>
          <w:lang w:val="en-GB"/>
        </w:rPr>
        <w:t xml:space="preserve">and single victims </w:t>
      </w:r>
      <w:r w:rsidR="007400DB" w:rsidRPr="00DA59A9">
        <w:rPr>
          <w:lang w:val="en-GB"/>
        </w:rPr>
        <w:t xml:space="preserve">only. </w:t>
      </w:r>
      <w:r w:rsidR="004505AB" w:rsidRPr="00DA59A9">
        <w:rPr>
          <w:lang w:val="en-GB"/>
        </w:rPr>
        <w:t>And finally, f</w:t>
      </w:r>
      <w:r w:rsidR="007400DB" w:rsidRPr="00DA59A9">
        <w:rPr>
          <w:lang w:val="en-GB"/>
        </w:rPr>
        <w:t>or serial homicide</w:t>
      </w:r>
      <w:r w:rsidR="00F24103" w:rsidRPr="00DA59A9">
        <w:rPr>
          <w:lang w:val="en-GB"/>
        </w:rPr>
        <w:t>s</w:t>
      </w:r>
      <w:r w:rsidR="007400DB" w:rsidRPr="00DA59A9">
        <w:rPr>
          <w:lang w:val="en-GB"/>
        </w:rPr>
        <w:t xml:space="preserve">, only the first victim </w:t>
      </w:r>
      <w:r w:rsidR="00323E65" w:rsidRPr="00DA59A9">
        <w:rPr>
          <w:lang w:val="en-GB"/>
        </w:rPr>
        <w:t>must be</w:t>
      </w:r>
      <w:r w:rsidR="007400DB" w:rsidRPr="00DA59A9">
        <w:rPr>
          <w:lang w:val="en-GB"/>
        </w:rPr>
        <w:t xml:space="preserve"> included in the dataset</w:t>
      </w:r>
      <w:r w:rsidR="004505AB" w:rsidRPr="00DA59A9">
        <w:rPr>
          <w:lang w:val="en-GB"/>
        </w:rPr>
        <w:t xml:space="preserve"> to avoid </w:t>
      </w:r>
      <w:r w:rsidR="008F4ED6" w:rsidRPr="00DA59A9">
        <w:rPr>
          <w:lang w:val="en-GB"/>
        </w:rPr>
        <w:t xml:space="preserve">any biases resulting from </w:t>
      </w:r>
      <w:r w:rsidR="009738E7" w:rsidRPr="00DA59A9">
        <w:rPr>
          <w:lang w:val="en-GB"/>
        </w:rPr>
        <w:t xml:space="preserve">an overrepresentation of certain </w:t>
      </w:r>
      <w:r w:rsidR="00F24103" w:rsidRPr="00DA59A9">
        <w:rPr>
          <w:lang w:val="en-GB"/>
        </w:rPr>
        <w:t xml:space="preserve">serial </w:t>
      </w:r>
      <w:r w:rsidR="009738E7" w:rsidRPr="00DA59A9">
        <w:rPr>
          <w:lang w:val="en-GB"/>
        </w:rPr>
        <w:t>offenders.</w:t>
      </w:r>
      <w:r w:rsidR="00C84E9F" w:rsidRPr="00DA59A9">
        <w:rPr>
          <w:lang w:val="en-GB"/>
        </w:rPr>
        <w:t xml:space="preserve"> After eliminating four cases in which no pre</w:t>
      </w:r>
      <w:r w:rsidR="00E91666">
        <w:rPr>
          <w:lang w:val="en-GB"/>
        </w:rPr>
        <w:t>-</w:t>
      </w:r>
      <w:r w:rsidR="00C84E9F" w:rsidRPr="00DA59A9">
        <w:rPr>
          <w:lang w:val="en-GB"/>
        </w:rPr>
        <w:t>conviction information was available, a final sample of 213 cases was obtained</w:t>
      </w:r>
      <w:r w:rsidR="001E6774" w:rsidRPr="00DA59A9">
        <w:rPr>
          <w:lang w:val="en-GB"/>
        </w:rPr>
        <w:t>.</w:t>
      </w:r>
    </w:p>
    <w:p w:rsidR="005A229A" w:rsidRPr="00DA59A9" w:rsidRDefault="005831BB" w:rsidP="00CB2434">
      <w:pPr>
        <w:pStyle w:val="TextkrperMA"/>
        <w:rPr>
          <w:lang w:val="en-GB"/>
        </w:rPr>
      </w:pPr>
      <w:r w:rsidRPr="00DA59A9">
        <w:rPr>
          <w:lang w:val="en-GB"/>
        </w:rPr>
        <w:t>Sample demographics show that o</w:t>
      </w:r>
      <w:r w:rsidR="001E6774" w:rsidRPr="00DA59A9">
        <w:rPr>
          <w:lang w:val="en-GB"/>
        </w:rPr>
        <w:t>n average, offenders (</w:t>
      </w:r>
      <w:r w:rsidR="001E6774" w:rsidRPr="00DA59A9">
        <w:rPr>
          <w:i/>
          <w:lang w:val="en-GB"/>
        </w:rPr>
        <w:t>M</w:t>
      </w:r>
      <w:r w:rsidR="001E6774" w:rsidRPr="00DA59A9">
        <w:rPr>
          <w:lang w:val="en-GB"/>
        </w:rPr>
        <w:t> = 31.38, </w:t>
      </w:r>
      <w:r w:rsidR="001E6774" w:rsidRPr="00DA59A9">
        <w:rPr>
          <w:i/>
          <w:lang w:val="en-GB"/>
        </w:rPr>
        <w:t>SD</w:t>
      </w:r>
      <w:r w:rsidR="001E6774" w:rsidRPr="00DA59A9">
        <w:rPr>
          <w:lang w:val="en-GB"/>
        </w:rPr>
        <w:t> = 9.42) were younger than victims (</w:t>
      </w:r>
      <w:r w:rsidR="001E6774" w:rsidRPr="00DA59A9">
        <w:rPr>
          <w:i/>
          <w:lang w:val="en-GB"/>
        </w:rPr>
        <w:t>M</w:t>
      </w:r>
      <w:r w:rsidR="001E6774" w:rsidRPr="00DA59A9">
        <w:rPr>
          <w:lang w:val="en-GB"/>
        </w:rPr>
        <w:t> = 37.83, </w:t>
      </w:r>
      <w:r w:rsidR="001E6774" w:rsidRPr="00DA59A9">
        <w:rPr>
          <w:i/>
          <w:lang w:val="en-GB"/>
        </w:rPr>
        <w:t>SD</w:t>
      </w:r>
      <w:r w:rsidR="001E6774" w:rsidRPr="00DA59A9">
        <w:rPr>
          <w:lang w:val="en-GB"/>
        </w:rPr>
        <w:t> = 19.95)</w:t>
      </w:r>
      <w:r w:rsidR="00845FA9" w:rsidRPr="00DA59A9">
        <w:rPr>
          <w:lang w:val="en-GB"/>
        </w:rPr>
        <w:t xml:space="preserve"> with most offenders being of European descent (89.2%), in relation to offenders of African Caribbean (</w:t>
      </w:r>
      <w:r w:rsidR="00FB25EF" w:rsidRPr="00DA59A9">
        <w:rPr>
          <w:lang w:val="en-GB"/>
        </w:rPr>
        <w:t>6.1%</w:t>
      </w:r>
      <w:r w:rsidR="00845FA9" w:rsidRPr="00DA59A9">
        <w:rPr>
          <w:lang w:val="en-GB"/>
        </w:rPr>
        <w:t>), Asian</w:t>
      </w:r>
      <w:r w:rsidR="0084277E" w:rsidRPr="00DA59A9">
        <w:rPr>
          <w:lang w:val="en-GB"/>
        </w:rPr>
        <w:t> </w:t>
      </w:r>
      <w:r w:rsidR="0093117B" w:rsidRPr="00DA59A9">
        <w:rPr>
          <w:lang w:val="en-GB"/>
        </w:rPr>
        <w:t>(</w:t>
      </w:r>
      <w:r w:rsidR="005E67E1" w:rsidRPr="00DA59A9">
        <w:rPr>
          <w:lang w:val="en-GB"/>
        </w:rPr>
        <w:t>2.8%</w:t>
      </w:r>
      <w:r w:rsidR="0093117B" w:rsidRPr="00DA59A9">
        <w:rPr>
          <w:lang w:val="en-GB"/>
        </w:rPr>
        <w:t xml:space="preserve">), and Oriental </w:t>
      </w:r>
      <w:r w:rsidR="00300C46">
        <w:rPr>
          <w:lang w:val="en-GB"/>
        </w:rPr>
        <w:t xml:space="preserve">or </w:t>
      </w:r>
      <w:r w:rsidR="0093117B" w:rsidRPr="00DA59A9">
        <w:rPr>
          <w:lang w:val="en-GB"/>
        </w:rPr>
        <w:t>Arabic (</w:t>
      </w:r>
      <w:r w:rsidR="005E67E1" w:rsidRPr="00DA59A9">
        <w:rPr>
          <w:lang w:val="en-GB"/>
        </w:rPr>
        <w:t>1.4%</w:t>
      </w:r>
      <w:r w:rsidR="0093117B" w:rsidRPr="00DA59A9">
        <w:rPr>
          <w:lang w:val="en-GB"/>
        </w:rPr>
        <w:t>) descent.</w:t>
      </w:r>
      <w:r w:rsidR="0084277E" w:rsidRPr="00DA59A9">
        <w:rPr>
          <w:lang w:val="en-GB"/>
        </w:rPr>
        <w:t xml:space="preserve"> One offender was classified as of unknown descent (0.5%).</w:t>
      </w:r>
      <w:r w:rsidR="00000153" w:rsidRPr="00DA59A9">
        <w:rPr>
          <w:lang w:val="en-GB"/>
        </w:rPr>
        <w:t xml:space="preserve"> Table 1 displays the frequencies </w:t>
      </w:r>
      <w:r w:rsidR="0097508B" w:rsidRPr="00DA59A9">
        <w:rPr>
          <w:lang w:val="en-GB"/>
        </w:rPr>
        <w:t>of relationships between offenders and their victims in this sample.</w:t>
      </w:r>
    </w:p>
    <w:p w:rsidR="00E84F4E" w:rsidRPr="00DA59A9" w:rsidRDefault="00E84F4E" w:rsidP="00CB2434">
      <w:pPr>
        <w:pStyle w:val="TextkrperMA"/>
        <w:rPr>
          <w:lang w:val="en-GB"/>
        </w:rPr>
      </w:pPr>
    </w:p>
    <w:p w:rsidR="005A229A" w:rsidRPr="00DA59A9" w:rsidRDefault="005A229A" w:rsidP="00CB2434">
      <w:pPr>
        <w:pStyle w:val="Heading2"/>
        <w:jc w:val="both"/>
        <w:rPr>
          <w:lang w:val="en-GB"/>
        </w:rPr>
      </w:pPr>
      <w:bookmarkStart w:id="4" w:name="_Toc523226013"/>
      <w:r w:rsidRPr="00DA59A9">
        <w:rPr>
          <w:lang w:val="en-GB"/>
        </w:rPr>
        <w:lastRenderedPageBreak/>
        <w:t>Procedure</w:t>
      </w:r>
      <w:bookmarkEnd w:id="4"/>
    </w:p>
    <w:p w:rsidR="000E24F6" w:rsidRDefault="007A0DFF" w:rsidP="00CB2434">
      <w:pPr>
        <w:pStyle w:val="TextkrperMA"/>
        <w:rPr>
          <w:lang w:val="en-GB"/>
        </w:rPr>
      </w:pPr>
      <w:r w:rsidRPr="00DA59A9">
        <w:rPr>
          <w:lang w:val="en-GB"/>
        </w:rPr>
        <w:t xml:space="preserve">Variables extracted from ViCLAS </w:t>
      </w:r>
      <w:r w:rsidR="003C43A2" w:rsidRPr="00DA59A9">
        <w:rPr>
          <w:lang w:val="en-GB"/>
        </w:rPr>
        <w:t xml:space="preserve">related </w:t>
      </w:r>
      <w:r w:rsidR="00C41CBD" w:rsidRPr="00DA59A9">
        <w:rPr>
          <w:lang w:val="en-GB"/>
        </w:rPr>
        <w:t xml:space="preserve">to either </w:t>
      </w:r>
      <w:r w:rsidR="00C41CBD" w:rsidRPr="00DA59A9">
        <w:rPr>
          <w:i/>
          <w:lang w:val="en-GB"/>
        </w:rPr>
        <w:t>previous convictions</w:t>
      </w:r>
      <w:r w:rsidR="00C41CBD" w:rsidRPr="00DA59A9">
        <w:rPr>
          <w:lang w:val="en-GB"/>
        </w:rPr>
        <w:t xml:space="preserve"> of the offender</w:t>
      </w:r>
      <w:r w:rsidR="00E136DC" w:rsidRPr="00DA59A9">
        <w:rPr>
          <w:lang w:val="en-GB"/>
        </w:rPr>
        <w:t xml:space="preserve"> at the time of the </w:t>
      </w:r>
      <w:r w:rsidR="00E522BB" w:rsidRPr="00DA59A9">
        <w:rPr>
          <w:lang w:val="en-GB"/>
        </w:rPr>
        <w:t xml:space="preserve">index </w:t>
      </w:r>
      <w:r w:rsidR="00E136DC" w:rsidRPr="00DA59A9">
        <w:rPr>
          <w:lang w:val="en-GB"/>
        </w:rPr>
        <w:t>offence</w:t>
      </w:r>
      <w:r w:rsidR="00C41CBD" w:rsidRPr="00DA59A9">
        <w:rPr>
          <w:lang w:val="en-GB"/>
        </w:rPr>
        <w:t xml:space="preserve"> or specific </w:t>
      </w:r>
      <w:proofErr w:type="spellStart"/>
      <w:r w:rsidR="006A415D">
        <w:rPr>
          <w:i/>
          <w:lang w:val="en-GB"/>
        </w:rPr>
        <w:t>behavior</w:t>
      </w:r>
      <w:r w:rsidR="00E136DC" w:rsidRPr="00DA59A9">
        <w:rPr>
          <w:i/>
          <w:lang w:val="en-GB"/>
        </w:rPr>
        <w:t>al</w:t>
      </w:r>
      <w:proofErr w:type="spellEnd"/>
      <w:r w:rsidR="00C41CBD" w:rsidRPr="00DA59A9">
        <w:rPr>
          <w:i/>
          <w:lang w:val="en-GB"/>
        </w:rPr>
        <w:t xml:space="preserve"> </w:t>
      </w:r>
      <w:r w:rsidR="00E522BB" w:rsidRPr="00DA59A9">
        <w:rPr>
          <w:i/>
          <w:lang w:val="en-GB"/>
        </w:rPr>
        <w:t xml:space="preserve">offence </w:t>
      </w:r>
      <w:r w:rsidR="00C41CBD" w:rsidRPr="00DA59A9">
        <w:rPr>
          <w:i/>
          <w:lang w:val="en-GB"/>
        </w:rPr>
        <w:t>characteristics</w:t>
      </w:r>
      <w:r w:rsidR="00E136DC" w:rsidRPr="00DA59A9">
        <w:rPr>
          <w:lang w:val="en-GB"/>
        </w:rPr>
        <w:t xml:space="preserve"> that were observed at the crime scene.</w:t>
      </w:r>
      <w:r w:rsidR="00C36962" w:rsidRPr="00DA59A9">
        <w:rPr>
          <w:lang w:val="en-GB"/>
        </w:rPr>
        <w:t xml:space="preserve"> </w:t>
      </w:r>
      <w:r w:rsidR="00AA08EF" w:rsidRPr="00DA59A9">
        <w:rPr>
          <w:lang w:val="en-GB"/>
        </w:rPr>
        <w:t xml:space="preserve">Offence </w:t>
      </w:r>
      <w:proofErr w:type="spellStart"/>
      <w:r w:rsidR="006A415D">
        <w:rPr>
          <w:lang w:val="en-GB"/>
        </w:rPr>
        <w:t>behavior</w:t>
      </w:r>
      <w:proofErr w:type="spellEnd"/>
      <w:r w:rsidR="00AA08EF" w:rsidRPr="00DA59A9">
        <w:rPr>
          <w:lang w:val="en-GB"/>
        </w:rPr>
        <w:t xml:space="preserve"> variables </w:t>
      </w:r>
      <w:r w:rsidRPr="00DA59A9">
        <w:rPr>
          <w:lang w:val="en-GB"/>
        </w:rPr>
        <w:t>were pre</w:t>
      </w:r>
      <w:r w:rsidR="00000153" w:rsidRPr="00DA59A9">
        <w:rPr>
          <w:lang w:val="en-GB"/>
        </w:rPr>
        <w:t>-</w:t>
      </w:r>
      <w:r w:rsidRPr="00DA59A9">
        <w:rPr>
          <w:lang w:val="en-GB"/>
        </w:rPr>
        <w:t xml:space="preserve">coded </w:t>
      </w:r>
      <w:r w:rsidR="00AA08EF" w:rsidRPr="00DA59A9">
        <w:rPr>
          <w:lang w:val="en-GB"/>
        </w:rPr>
        <w:t xml:space="preserve">by SCAS </w:t>
      </w:r>
      <w:r w:rsidRPr="00DA59A9">
        <w:rPr>
          <w:lang w:val="en-GB"/>
        </w:rPr>
        <w:t>in a dichotomous format with 1 indicating presence and 0 indicating absence</w:t>
      </w:r>
      <w:r w:rsidR="00BE4578" w:rsidRPr="00DA59A9">
        <w:rPr>
          <w:lang w:val="en-GB"/>
        </w:rPr>
        <w:t xml:space="preserve"> (or unknown status)</w:t>
      </w:r>
      <w:r w:rsidRPr="00DA59A9">
        <w:rPr>
          <w:lang w:val="en-GB"/>
        </w:rPr>
        <w:t xml:space="preserve"> of specific </w:t>
      </w:r>
      <w:proofErr w:type="spellStart"/>
      <w:r w:rsidR="006A415D">
        <w:rPr>
          <w:lang w:val="en-GB"/>
        </w:rPr>
        <w:t>behavior</w:t>
      </w:r>
      <w:r w:rsidRPr="00DA59A9">
        <w:rPr>
          <w:lang w:val="en-GB"/>
        </w:rPr>
        <w:t>s</w:t>
      </w:r>
      <w:proofErr w:type="spellEnd"/>
      <w:r w:rsidRPr="00DA59A9">
        <w:rPr>
          <w:lang w:val="en-GB"/>
        </w:rPr>
        <w:t xml:space="preserve"> </w:t>
      </w:r>
      <w:r w:rsidR="00BE4578" w:rsidRPr="00DA59A9">
        <w:rPr>
          <w:lang w:val="en-GB"/>
        </w:rPr>
        <w:t>and</w:t>
      </w:r>
      <w:r w:rsidRPr="00DA59A9">
        <w:rPr>
          <w:lang w:val="en-GB"/>
        </w:rPr>
        <w:t xml:space="preserve"> c</w:t>
      </w:r>
      <w:r w:rsidR="00757A32" w:rsidRPr="00DA59A9">
        <w:rPr>
          <w:lang w:val="en-GB"/>
        </w:rPr>
        <w:t xml:space="preserve">rime scene characteristics. </w:t>
      </w:r>
      <w:r w:rsidR="006C76DB" w:rsidRPr="00DA59A9">
        <w:rPr>
          <w:lang w:val="en-GB"/>
        </w:rPr>
        <w:t xml:space="preserve">A total of 29 offence </w:t>
      </w:r>
      <w:proofErr w:type="spellStart"/>
      <w:r w:rsidR="006A415D">
        <w:rPr>
          <w:lang w:val="en-GB"/>
        </w:rPr>
        <w:t>behavior</w:t>
      </w:r>
      <w:proofErr w:type="spellEnd"/>
      <w:r w:rsidR="006C76DB" w:rsidRPr="00DA59A9">
        <w:rPr>
          <w:lang w:val="en-GB"/>
        </w:rPr>
        <w:t xml:space="preserve"> variables (see Table </w:t>
      </w:r>
      <w:r w:rsidR="002048C6">
        <w:rPr>
          <w:lang w:val="en-GB"/>
        </w:rPr>
        <w:t>2</w:t>
      </w:r>
      <w:r w:rsidR="006C76DB" w:rsidRPr="00DA59A9">
        <w:rPr>
          <w:lang w:val="en-GB"/>
        </w:rPr>
        <w:t xml:space="preserve">) broadly falling into the categories of </w:t>
      </w:r>
      <w:r w:rsidR="006C76DB" w:rsidRPr="00DA59A9">
        <w:rPr>
          <w:i/>
          <w:lang w:val="en-GB"/>
        </w:rPr>
        <w:t xml:space="preserve">sexual </w:t>
      </w:r>
      <w:proofErr w:type="spellStart"/>
      <w:r w:rsidR="006A415D">
        <w:rPr>
          <w:i/>
          <w:lang w:val="en-GB"/>
        </w:rPr>
        <w:t>behavior</w:t>
      </w:r>
      <w:r w:rsidR="006C76DB" w:rsidRPr="00DA59A9">
        <w:rPr>
          <w:i/>
          <w:lang w:val="en-GB"/>
        </w:rPr>
        <w:t>s</w:t>
      </w:r>
      <w:proofErr w:type="spellEnd"/>
      <w:r w:rsidR="006C76DB" w:rsidRPr="00DA59A9">
        <w:rPr>
          <w:lang w:val="en-GB"/>
        </w:rPr>
        <w:t xml:space="preserve">, </w:t>
      </w:r>
      <w:r w:rsidR="006C76DB" w:rsidRPr="00DA59A9">
        <w:rPr>
          <w:i/>
          <w:lang w:val="en-GB"/>
        </w:rPr>
        <w:t xml:space="preserve">weapon </w:t>
      </w:r>
      <w:r w:rsidR="007D7DE5" w:rsidRPr="00DA59A9">
        <w:rPr>
          <w:i/>
          <w:lang w:val="en-GB"/>
        </w:rPr>
        <w:t>involvement</w:t>
      </w:r>
      <w:r w:rsidR="006C76DB" w:rsidRPr="00DA59A9">
        <w:rPr>
          <w:lang w:val="en-GB"/>
        </w:rPr>
        <w:t xml:space="preserve">, </w:t>
      </w:r>
      <w:r w:rsidR="006C76DB" w:rsidRPr="00DA59A9">
        <w:rPr>
          <w:i/>
          <w:lang w:val="en-GB"/>
        </w:rPr>
        <w:t>method of killing</w:t>
      </w:r>
      <w:r w:rsidR="006C76DB" w:rsidRPr="00DA59A9">
        <w:rPr>
          <w:lang w:val="en-GB"/>
        </w:rPr>
        <w:t xml:space="preserve">, </w:t>
      </w:r>
      <w:r w:rsidR="006C76DB" w:rsidRPr="00DA59A9">
        <w:rPr>
          <w:i/>
          <w:lang w:val="en-GB"/>
        </w:rPr>
        <w:t>body disposal</w:t>
      </w:r>
      <w:r w:rsidR="006C76DB" w:rsidRPr="00DA59A9">
        <w:rPr>
          <w:lang w:val="en-GB"/>
        </w:rPr>
        <w:t xml:space="preserve">, </w:t>
      </w:r>
      <w:r w:rsidR="006C76DB" w:rsidRPr="00DA59A9">
        <w:rPr>
          <w:i/>
          <w:lang w:val="en-GB"/>
        </w:rPr>
        <w:t>theft</w:t>
      </w:r>
      <w:r w:rsidR="000E24F6">
        <w:rPr>
          <w:lang w:val="en-GB"/>
        </w:rPr>
        <w:t>,</w:t>
      </w:r>
      <w:r w:rsidR="006C76DB" w:rsidRPr="00DA59A9">
        <w:rPr>
          <w:lang w:val="en-GB"/>
        </w:rPr>
        <w:t xml:space="preserve"> </w:t>
      </w:r>
      <w:r w:rsidR="006C76DB" w:rsidRPr="00DA59A9">
        <w:rPr>
          <w:i/>
          <w:lang w:val="en-GB"/>
        </w:rPr>
        <w:t>precautions</w:t>
      </w:r>
      <w:r w:rsidR="006C76DB" w:rsidRPr="00DA59A9">
        <w:rPr>
          <w:lang w:val="en-GB"/>
        </w:rPr>
        <w:t xml:space="preserve">, and </w:t>
      </w:r>
      <w:r w:rsidR="006C76DB" w:rsidRPr="00DA59A9">
        <w:rPr>
          <w:i/>
          <w:lang w:val="en-GB"/>
        </w:rPr>
        <w:t xml:space="preserve">other </w:t>
      </w:r>
      <w:proofErr w:type="spellStart"/>
      <w:r w:rsidR="006A415D">
        <w:rPr>
          <w:i/>
          <w:lang w:val="en-GB"/>
        </w:rPr>
        <w:t>behavior</w:t>
      </w:r>
      <w:r w:rsidR="006C76DB" w:rsidRPr="00DA59A9">
        <w:rPr>
          <w:i/>
          <w:lang w:val="en-GB"/>
        </w:rPr>
        <w:t>s</w:t>
      </w:r>
      <w:proofErr w:type="spellEnd"/>
      <w:r w:rsidR="000E24F6">
        <w:rPr>
          <w:lang w:val="en-GB"/>
        </w:rPr>
        <w:t>,</w:t>
      </w:r>
      <w:r w:rsidR="006C76DB" w:rsidRPr="00DA59A9">
        <w:rPr>
          <w:lang w:val="en-GB"/>
        </w:rPr>
        <w:t xml:space="preserve"> were selected for the analysis based on a number of previous studies on homicide </w:t>
      </w:r>
      <w:r w:rsidR="00D519C3" w:rsidRPr="00DA59A9">
        <w:rPr>
          <w:lang w:val="en-GB"/>
        </w:rPr>
        <w:fldChar w:fldCharType="begin" w:fldLock="1"/>
      </w:r>
      <w:r w:rsidR="00390B02" w:rsidRPr="00DA59A9">
        <w:rPr>
          <w:lang w:val="en-GB"/>
        </w:rPr>
        <w:instrText>ADDIN CSL_CITATION {"citationItems":[{"id":"ITEM-1","itemData":{"DOI":"10.1002/jip.1396","ISSN":"15444767","abstract":"This paper considers the role of a Behavioural Investigative Adviser (BIA) in assisting with the decision-making of a Senior Investigating Officer (SIO) in difficult-to-detect murder investigations. It outlines the need for transparent evidence-based decision-making from both the SIO and the BIA. The paper then details a piece of relevant, applied research that can assist in this end. The research utilised a pragmatic psychology approach to analyse 312 detected murder cases from the Serious Crime Analysis Section database. Some significant patterns relating what is known about the offence at different stages of an investigation and inferences regarding the offender were found, indicating that certain offence information can lead to some reliable predictions and these can be refined as more information becomes available. However, the findings also indicate that base rate frequencies and a ‘best-guess’ methodology may be as, if not more, useful than more complex statistical techniques when providing advice to investigations.","author":[{"dropping-particle":"","family":"Cole","given":"Terri","non-dropping-particle":"","parse-names":false,"suffix":""},{"dropping-particle":"","family":"Brown","given":"Jennifer","non-dropping-particle":"","parse-names":false,"suffix":""}],"container-title":"Journal of Investigative Psychology and Offender Profiling","id":"ITEM-1","issue":"3","issued":{"date-parts":[["2014"]]},"page":"191-220","title":"Behavioural investigative advice: Assistance to investigative decision-making in difficult-to-detect murder","type":"article-journal","volume":"11"},"uris":["http://www.mendeley.com/documents/?uuid=629c73c0-ceec-4270-a53d-d29df1aafd12"]},{"id":"ITEM-2","itemData":{"DOI":"10.1177/1088767914530555","ISSN":"1088-7679","abstract":"Research into stranger sexual homicide remains limited as is our understanding of this crime, and this can hinder criminal investigations and the assessment and management of offenders. This study aims to address this. Using data gathered by various British police forces, this study presents a descriptive profile of adult male-on-female stranger sexual homicide in Great Britain in recent years. Along with demographic and occupational data on offenders and victims, the criminal histories of offenders are illustrated as are their offense behaviors. The results are discussed in light of similar research, and future directions and implications are considered.","author":[{"dropping-particle":"V","family":"Greenall","given":"Paul","non-dropping-particle":"","parse-names":false,"suffix":""},{"dropping-particle":"","family":"Richardson","given":"Clare","non-dropping-particle":"","parse-names":false,"suffix":""}],"container-title":"Homicide Studies","id":"ITEM-2","issue":"3","issued":{"date-parts":[["2015"]]},"page":"237-256","title":"Adult Male-on-Female Stranger Sexual Homicide: A Descriptive (Baseline) Study From Great Britain","type":"article-journal","volume":"19"},"uris":["http://www.mendeley.com/documents/?uuid=8967f511-83cf-4c39-abbe-53d30d6e85e0"]},{"id":"ITEM-3","itemData":{"author":[{"dropping-particle":"","family":"Pell","given":"Connor","non-dropping-particle":"","parse-names":false,"suffix":""}],"id":"ITEM-3","issued":{"date-parts":[["2017"]]},"publisher":"University of Liverpool","title":"Body Part Removal: A Thematic Exploration of UK Homicide Offences","type":"thesis"},"uris":["http://www.mendeley.com/documents/?uuid=64e74554-56d0-4824-bae6-63c83f8fa0ff"]},{"id":"ITEM-4","itemData":{"URL":"https://www.ons.gov.uk/peoplepopulationandcommunity/crimeandjustice/compendium/focusonviolentcrimeandsexualoffences/yearendingmarch2016/pdf","accessed":{"date-parts":[["2017","12","8"]]},"author":[{"dropping-particle":"","family":"Wright","given":"Emma","non-dropping-particle":"","parse-names":false,"suffix":""}],"id":"ITEM-4","issued":{"date-parts":[["2017"]]},"title":"Focus on violent crime and sexual offences, England and Wales: year ending Mar 2016","type":"webpage"},"uris":["http://www.mendeley.com/documents/?uuid=5bf7e084-9aa6-4783-a7c7-a607899d482d"]}],"mendeley":{"formattedCitation":"(Cole &amp; Brown, 2014; Greenall &amp; Richardson, 2015; Pell, 2017; Wright, 2017)","plainTextFormattedCitation":"(Cole &amp; Brown, 2014; Greenall &amp; Richardson, 2015; Pell, 2017; Wright, 2017)","previouslyFormattedCitation":"(Cole &amp; Brown, 2014; Greenall &amp; Richardson, 2015; Pell, 2017; Wright, 2017)"},"properties":{"noteIndex":0},"schema":"https://github.com/citation-style-language/schema/raw/master/csl-citation.json"}</w:instrText>
      </w:r>
      <w:r w:rsidR="00D519C3" w:rsidRPr="00DA59A9">
        <w:rPr>
          <w:lang w:val="en-GB"/>
        </w:rPr>
        <w:fldChar w:fldCharType="separate"/>
      </w:r>
      <w:r w:rsidR="006C76DB" w:rsidRPr="00DA59A9">
        <w:rPr>
          <w:noProof/>
          <w:lang w:val="en-GB"/>
        </w:rPr>
        <w:t>(Cole &amp; Brown, 2014; Greenall &amp; Richardson, 2015; Pell, 2017; Wright, 2017)</w:t>
      </w:r>
      <w:r w:rsidR="00D519C3" w:rsidRPr="00DA59A9">
        <w:rPr>
          <w:lang w:val="en-GB"/>
        </w:rPr>
        <w:fldChar w:fldCharType="end"/>
      </w:r>
      <w:r w:rsidR="006C76DB" w:rsidRPr="00DA59A9">
        <w:rPr>
          <w:lang w:val="en-GB"/>
        </w:rPr>
        <w:t xml:space="preserve">. </w:t>
      </w:r>
    </w:p>
    <w:p w:rsidR="00D16C58" w:rsidRDefault="000E24F6" w:rsidP="00CB2434">
      <w:pPr>
        <w:pStyle w:val="TextkrperMA"/>
        <w:spacing w:after="240"/>
        <w:rPr>
          <w:lang w:val="en-GB"/>
        </w:rPr>
      </w:pPr>
      <w:r>
        <w:rPr>
          <w:lang w:val="en-GB"/>
        </w:rPr>
        <w:t>S</w:t>
      </w:r>
      <w:r w:rsidR="00561C6E" w:rsidRPr="00DA59A9">
        <w:rPr>
          <w:lang w:val="en-GB"/>
        </w:rPr>
        <w:t>ome low frequency variables (e.g. different recorded types of vaginal penetration) were combined into broader, superordinate categories (e.g. general vaginal penetration).</w:t>
      </w:r>
      <w:r w:rsidR="00B000E1" w:rsidRPr="00DA59A9">
        <w:rPr>
          <w:lang w:val="en-GB"/>
        </w:rPr>
        <w:t xml:space="preserve"> Notably, variables relating to precautions taken were grouped to reflect whether offenders manipulated the </w:t>
      </w:r>
      <w:r w:rsidR="00B000E1" w:rsidRPr="00DA59A9">
        <w:rPr>
          <w:i/>
          <w:lang w:val="en-GB"/>
        </w:rPr>
        <w:t>crime scene</w:t>
      </w:r>
      <w:r w:rsidR="00EB33EB" w:rsidRPr="00DA59A9">
        <w:rPr>
          <w:i/>
          <w:lang w:val="en-GB"/>
        </w:rPr>
        <w:t xml:space="preserve"> </w:t>
      </w:r>
      <w:r w:rsidR="00EB33EB" w:rsidRPr="00DA59A9">
        <w:rPr>
          <w:lang w:val="en-GB"/>
        </w:rPr>
        <w:t>(e.g. destroyed forensics)</w:t>
      </w:r>
      <w:r w:rsidR="00B000E1" w:rsidRPr="00DA59A9">
        <w:rPr>
          <w:lang w:val="en-GB"/>
        </w:rPr>
        <w:t xml:space="preserve">, the </w:t>
      </w:r>
      <w:r w:rsidR="00B000E1" w:rsidRPr="00DA59A9">
        <w:rPr>
          <w:i/>
          <w:lang w:val="en-GB"/>
        </w:rPr>
        <w:t>victim</w:t>
      </w:r>
      <w:r w:rsidR="00296329" w:rsidRPr="00DA59A9">
        <w:rPr>
          <w:i/>
          <w:lang w:val="en-GB"/>
        </w:rPr>
        <w:t xml:space="preserve"> </w:t>
      </w:r>
      <w:r w:rsidR="00296329" w:rsidRPr="00DA59A9">
        <w:rPr>
          <w:lang w:val="en-GB"/>
        </w:rPr>
        <w:t>(e.g. blindfolding, gagging)</w:t>
      </w:r>
      <w:r w:rsidR="00B000E1" w:rsidRPr="00DA59A9">
        <w:rPr>
          <w:lang w:val="en-GB"/>
        </w:rPr>
        <w:t xml:space="preserve">, or </w:t>
      </w:r>
      <w:r w:rsidR="00B000E1" w:rsidRPr="00DA59A9">
        <w:rPr>
          <w:i/>
          <w:lang w:val="en-GB"/>
        </w:rPr>
        <w:t>themselves</w:t>
      </w:r>
      <w:r w:rsidR="00296329" w:rsidRPr="00DA59A9">
        <w:rPr>
          <w:lang w:val="en-GB"/>
        </w:rPr>
        <w:t xml:space="preserve"> (e.g. wearing gloves, condoms)</w:t>
      </w:r>
      <w:r w:rsidR="00B000E1" w:rsidRPr="00DA59A9">
        <w:rPr>
          <w:lang w:val="en-GB"/>
        </w:rPr>
        <w:t xml:space="preserve"> to avoid detection</w:t>
      </w:r>
      <w:r w:rsidR="00D0715B" w:rsidRPr="00DA59A9">
        <w:rPr>
          <w:lang w:val="en-GB"/>
        </w:rPr>
        <w:t xml:space="preserve"> or facilitate the offence</w:t>
      </w:r>
      <w:r w:rsidR="00B000E1" w:rsidRPr="00DA59A9">
        <w:rPr>
          <w:lang w:val="en-GB"/>
        </w:rPr>
        <w:t>.</w:t>
      </w:r>
      <w:r w:rsidR="006C76DB" w:rsidRPr="00DA59A9">
        <w:rPr>
          <w:lang w:val="en-GB"/>
        </w:rPr>
        <w:t xml:space="preserve"> V</w:t>
      </w:r>
      <w:r w:rsidR="00DC3DB1" w:rsidRPr="00DA59A9">
        <w:rPr>
          <w:lang w:val="en-GB"/>
        </w:rPr>
        <w:t xml:space="preserve">ariables relating to the </w:t>
      </w:r>
      <w:r w:rsidR="00D50470" w:rsidRPr="00DA59A9">
        <w:rPr>
          <w:lang w:val="en-GB"/>
        </w:rPr>
        <w:t>method of killing</w:t>
      </w:r>
      <w:r w:rsidR="00DC3DB1" w:rsidRPr="00DA59A9">
        <w:rPr>
          <w:lang w:val="en-GB"/>
        </w:rPr>
        <w:t xml:space="preserve"> </w:t>
      </w:r>
      <w:r w:rsidR="00B03518" w:rsidRPr="00DA59A9">
        <w:rPr>
          <w:lang w:val="en-GB"/>
        </w:rPr>
        <w:t xml:space="preserve">(blunt force, sharp force, </w:t>
      </w:r>
      <w:proofErr w:type="gramStart"/>
      <w:r w:rsidR="00B03518" w:rsidRPr="00DA59A9">
        <w:rPr>
          <w:lang w:val="en-GB"/>
        </w:rPr>
        <w:t>asphyxia</w:t>
      </w:r>
      <w:proofErr w:type="gramEnd"/>
      <w:r w:rsidR="00B03518" w:rsidRPr="00DA59A9">
        <w:rPr>
          <w:lang w:val="en-GB"/>
        </w:rPr>
        <w:t xml:space="preserve">/strangulation) </w:t>
      </w:r>
      <w:r w:rsidR="006C76DB" w:rsidRPr="00DA59A9">
        <w:rPr>
          <w:lang w:val="en-GB"/>
        </w:rPr>
        <w:t>and</w:t>
      </w:r>
      <w:r w:rsidR="00343E89" w:rsidRPr="00DA59A9">
        <w:rPr>
          <w:lang w:val="en-GB"/>
        </w:rPr>
        <w:t xml:space="preserve"> variables concerning theft from the crime scene</w:t>
      </w:r>
      <w:r w:rsidR="00B03518" w:rsidRPr="00DA59A9">
        <w:rPr>
          <w:lang w:val="en-GB"/>
        </w:rPr>
        <w:t xml:space="preserve"> (personal</w:t>
      </w:r>
      <w:r w:rsidR="00524293" w:rsidRPr="00DA59A9">
        <w:rPr>
          <w:lang w:val="en-GB"/>
        </w:rPr>
        <w:t xml:space="preserve"> items</w:t>
      </w:r>
      <w:r w:rsidR="00B03518" w:rsidRPr="00DA59A9">
        <w:rPr>
          <w:lang w:val="en-GB"/>
        </w:rPr>
        <w:t>, valuable</w:t>
      </w:r>
      <w:r w:rsidR="00561C6E" w:rsidRPr="00DA59A9">
        <w:rPr>
          <w:lang w:val="en-GB"/>
        </w:rPr>
        <w:t>s</w:t>
      </w:r>
      <w:r w:rsidR="00B03518" w:rsidRPr="00DA59A9">
        <w:rPr>
          <w:lang w:val="en-GB"/>
        </w:rPr>
        <w:t>, clothing stolen)</w:t>
      </w:r>
      <w:r w:rsidR="00343E89" w:rsidRPr="00DA59A9">
        <w:rPr>
          <w:lang w:val="en-GB"/>
        </w:rPr>
        <w:t xml:space="preserve"> were coded from free text boxes by the autho</w:t>
      </w:r>
      <w:r w:rsidR="00561C6E" w:rsidRPr="00DA59A9">
        <w:rPr>
          <w:lang w:val="en-GB"/>
        </w:rPr>
        <w:t>r.</w:t>
      </w:r>
      <w:r w:rsidR="00ED0BBE">
        <w:rPr>
          <w:lang w:val="en-GB"/>
        </w:rPr>
        <w:t xml:space="preserve"> It should be noted that in cases of homicide, it is generally unlikely to obtain a complete and exhaustive picture of a killer’s offence </w:t>
      </w:r>
      <w:proofErr w:type="spellStart"/>
      <w:r w:rsidR="006A415D">
        <w:rPr>
          <w:lang w:val="en-GB"/>
        </w:rPr>
        <w:t>behavior</w:t>
      </w:r>
      <w:r w:rsidR="00ED0BBE">
        <w:rPr>
          <w:lang w:val="en-GB"/>
        </w:rPr>
        <w:t>s</w:t>
      </w:r>
      <w:proofErr w:type="spellEnd"/>
      <w:r w:rsidR="00ED0BBE">
        <w:rPr>
          <w:lang w:val="en-GB"/>
        </w:rPr>
        <w:t xml:space="preserve"> solely through observing the crime scene. This implicates that 1) the absence of a recorded variable does not </w:t>
      </w:r>
      <w:r w:rsidR="001A13E1">
        <w:rPr>
          <w:lang w:val="en-GB"/>
        </w:rPr>
        <w:t>necessarily</w:t>
      </w:r>
      <w:r w:rsidR="00ED0BBE">
        <w:rPr>
          <w:lang w:val="en-GB"/>
        </w:rPr>
        <w:t xml:space="preserve"> equal the absence of the respective </w:t>
      </w:r>
      <w:proofErr w:type="spellStart"/>
      <w:r w:rsidR="006A415D">
        <w:rPr>
          <w:lang w:val="en-GB"/>
        </w:rPr>
        <w:t>behavior</w:t>
      </w:r>
      <w:proofErr w:type="spellEnd"/>
      <w:r w:rsidR="00ED0BBE">
        <w:rPr>
          <w:lang w:val="en-GB"/>
        </w:rPr>
        <w:t xml:space="preserve">, and 2) the presence of a recorded variable </w:t>
      </w:r>
      <w:r w:rsidR="003D64CA">
        <w:rPr>
          <w:lang w:val="en-GB"/>
        </w:rPr>
        <w:t xml:space="preserve">cannot guarantee that the offender carried out that </w:t>
      </w:r>
      <w:proofErr w:type="spellStart"/>
      <w:r w:rsidR="006A415D">
        <w:rPr>
          <w:lang w:val="en-GB"/>
        </w:rPr>
        <w:t>behavior</w:t>
      </w:r>
      <w:proofErr w:type="spellEnd"/>
    </w:p>
    <w:p w:rsidR="002048C6" w:rsidRPr="00044B71" w:rsidRDefault="002048C6" w:rsidP="00CB2434">
      <w:pPr>
        <w:spacing w:after="160" w:line="480" w:lineRule="auto"/>
        <w:jc w:val="both"/>
        <w:rPr>
          <w:rFonts w:ascii="Arial" w:hAnsi="Arial" w:cs="Arial"/>
          <w:lang w:val="en-GB"/>
        </w:rPr>
      </w:pPr>
      <w:r w:rsidRPr="00044B71">
        <w:rPr>
          <w:rFonts w:ascii="Arial" w:hAnsi="Arial" w:cs="Arial"/>
          <w:lang w:val="en-GB"/>
        </w:rPr>
        <w:lastRenderedPageBreak/>
        <w:t>In addition to the</w:t>
      </w:r>
      <w:r w:rsidR="00F563E1" w:rsidRPr="00044B71">
        <w:rPr>
          <w:rFonts w:ascii="Arial" w:hAnsi="Arial" w:cs="Arial"/>
          <w:lang w:val="en-GB"/>
        </w:rPr>
        <w:t>se</w:t>
      </w:r>
      <w:r w:rsidRPr="00044B71">
        <w:rPr>
          <w:rFonts w:ascii="Arial" w:hAnsi="Arial" w:cs="Arial"/>
          <w:lang w:val="en-GB"/>
        </w:rPr>
        <w:t xml:space="preserve"> offence </w:t>
      </w:r>
      <w:proofErr w:type="spellStart"/>
      <w:r w:rsidR="006A415D">
        <w:rPr>
          <w:rFonts w:ascii="Arial" w:hAnsi="Arial" w:cs="Arial"/>
          <w:lang w:val="en-GB"/>
        </w:rPr>
        <w:t>behavior</w:t>
      </w:r>
      <w:proofErr w:type="spellEnd"/>
      <w:r w:rsidRPr="00044B71">
        <w:rPr>
          <w:rFonts w:ascii="Arial" w:hAnsi="Arial" w:cs="Arial"/>
          <w:lang w:val="en-GB"/>
        </w:rPr>
        <w:t xml:space="preserve"> variables, a total of 13 pre-conviction</w:t>
      </w:r>
      <w:r w:rsidR="00CA5D40" w:rsidRPr="00044B71">
        <w:rPr>
          <w:rFonts w:ascii="Arial" w:hAnsi="Arial" w:cs="Arial"/>
          <w:lang w:val="en-GB"/>
        </w:rPr>
        <w:t>s</w:t>
      </w:r>
      <w:r w:rsidRPr="00044B71">
        <w:rPr>
          <w:rFonts w:ascii="Arial" w:hAnsi="Arial" w:cs="Arial"/>
          <w:lang w:val="en-GB"/>
        </w:rPr>
        <w:t xml:space="preserve"> (see Table 3) </w:t>
      </w:r>
      <w:r w:rsidR="003D1174" w:rsidRPr="00044B71">
        <w:rPr>
          <w:rFonts w:ascii="Arial" w:hAnsi="Arial" w:cs="Arial"/>
          <w:lang w:val="en-GB"/>
        </w:rPr>
        <w:t>were</w:t>
      </w:r>
      <w:r w:rsidRPr="00044B71">
        <w:rPr>
          <w:rFonts w:ascii="Arial" w:hAnsi="Arial" w:cs="Arial"/>
          <w:lang w:val="en-GB"/>
        </w:rPr>
        <w:t xml:space="preserve"> selected, based on variables used in previous studies on sexual homicide </w:t>
      </w:r>
      <w:r w:rsidR="00D519C3" w:rsidRPr="00044B71">
        <w:rPr>
          <w:rFonts w:ascii="Arial" w:hAnsi="Arial" w:cs="Arial"/>
          <w:lang w:val="en-GB"/>
        </w:rPr>
        <w:fldChar w:fldCharType="begin" w:fldLock="1"/>
      </w:r>
      <w:r w:rsidRPr="00044B71">
        <w:rPr>
          <w:rFonts w:ascii="Arial" w:hAnsi="Arial" w:cs="Arial"/>
          <w:lang w:val="en-GB"/>
        </w:rPr>
        <w:instrText>ADDIN CSL_CITATION {"citationItems":[{"id":"ITEM-1","itemData":{"DOI":"10.1177/1088767914530555","ISSN":"1088-7679","abstract":"Research into stranger sexual homicide remains limited as is our understanding of this crime, and this can hinder criminal investigations and the assessment and management of offenders. This study aims to address this. Using data gathered by various British police forces, this study presents a descriptive profile of adult male-on-female stranger sexual homicide in Great Britain in recent years. Along with demographic and occupational data on offenders and victims, the criminal histories of offenders are illustrated as are their offense behaviors. The results are discussed in light of similar research, and future directions and implications are considered.","author":[{"dropping-particle":"V","family":"Greenall","given":"Paul","non-dropping-particle":"","parse-names":false,"suffix":""},{"dropping-particle":"","family":"Richardson","given":"Clare","non-dropping-particle":"","parse-names":false,"suffix":""}],"container-title":"Homicide Studies","id":"ITEM-1","issue":"3","issued":{"date-parts":[["2015"]]},"page":"237-256","title":"Adult Male-on-Female Stranger Sexual Homicide: A Descriptive (Baseline) Study From Great Britain","type":"article-journal","volume":"19"},"uris":["http://www.mendeley.com/documents/?uuid=8967f511-83cf-4c39-abbe-53d30d6e85e0"]}],"mendeley":{"formattedCitation":"(Greenall &amp; Richardson, 2015)","plainTextFormattedCitation":"(Greenall &amp; Richardson, 2015)","previouslyFormattedCitation":"(Greenall &amp; Richardson, 2015)"},"properties":{"noteIndex":0},"schema":"https://github.com/citation-style-language/schema/raw/master/csl-citation.json"}</w:instrText>
      </w:r>
      <w:r w:rsidR="00D519C3" w:rsidRPr="00044B71">
        <w:rPr>
          <w:rFonts w:ascii="Arial" w:hAnsi="Arial" w:cs="Arial"/>
          <w:lang w:val="en-GB"/>
        </w:rPr>
        <w:fldChar w:fldCharType="separate"/>
      </w:r>
      <w:r w:rsidRPr="00044B71">
        <w:rPr>
          <w:rFonts w:ascii="Arial" w:hAnsi="Arial" w:cs="Arial"/>
          <w:noProof/>
          <w:lang w:val="en-GB"/>
        </w:rPr>
        <w:t>(Greenall &amp; Richardson, 2015)</w:t>
      </w:r>
      <w:r w:rsidR="00D519C3" w:rsidRPr="00044B71">
        <w:rPr>
          <w:rFonts w:ascii="Arial" w:hAnsi="Arial" w:cs="Arial"/>
          <w:lang w:val="en-GB"/>
        </w:rPr>
        <w:fldChar w:fldCharType="end"/>
      </w:r>
      <w:r w:rsidRPr="00044B71">
        <w:rPr>
          <w:rFonts w:ascii="Arial" w:hAnsi="Arial" w:cs="Arial"/>
          <w:lang w:val="en-GB"/>
        </w:rPr>
        <w:t xml:space="preserve"> and rape </w:t>
      </w:r>
      <w:r w:rsidR="00D519C3" w:rsidRPr="00044B71">
        <w:rPr>
          <w:rFonts w:ascii="Arial" w:hAnsi="Arial" w:cs="Arial"/>
          <w:lang w:val="en-GB"/>
        </w:rPr>
        <w:fldChar w:fldCharType="begin" w:fldLock="1"/>
      </w:r>
      <w:r w:rsidR="00EA7901" w:rsidRPr="00044B71">
        <w:rPr>
          <w:rFonts w:ascii="Arial" w:hAnsi="Arial" w:cs="Arial"/>
          <w:lang w:val="en-GB"/>
        </w:rPr>
        <w:instrText>ADDIN CSL_CITATION {"citationItems":[{"id":"ITEM-1","itemData":{"DOI":"10.1177/0886260518756118","ISSN":"0886-2605","author":[{"dropping-particle":"","family":"Almond","given":"Louise","non-dropping-particle":"","parse-names":false,"suffix":""},{"dropping-particle":"","family":"McManus","given":"Michelle","non-dropping-particle":"","parse-names":false,"suffix":""},{"dropping-particle":"","family":"Bal","given":"Amarat","non-dropping-particle":"","parse-names":false,"suffix":""},{"dropping-particle":"","family":"O’Brien","given":"Freya","non-dropping-particle":"","parse-names":false,"suffix":""},{"dropping-particle":"","family":"Rainbow","given":"Lee","non-dropping-particle":"","parse-names":false,"suffix":""},{"dropping-particle":"","family":"Webb","given":"Mark","non-dropping-particle":"","parse-names":false,"suffix":""}],"container-title":"Journal of Interpersonal Violence","id":"ITEM-1","issued":{"date-parts":[["2018","2","14"]]},"title":"Assisting the Investigation of Stranger Rapes: Predicting the Criminal Record of U.K. Stranger Rapists From Their Crime Scene Behaviors","type":"article-journal"},"uris":["http://www.mendeley.com/documents/?uuid=93ad9675-99ea-4e4e-91b3-6ca0db1894a3"]}],"mendeley":{"formattedCitation":"(Almond et al., 2018)","plainTextFormattedCitation":"(Almond et al., 2018)","previouslyFormattedCitation":"(Almond et al., 2018)"},"properties":{"noteIndex":0},"schema":"https://github.com/citation-style-language/schema/raw/master/csl-citation.json"}</w:instrText>
      </w:r>
      <w:r w:rsidR="00D519C3" w:rsidRPr="00044B71">
        <w:rPr>
          <w:rFonts w:ascii="Arial" w:hAnsi="Arial" w:cs="Arial"/>
          <w:lang w:val="en-GB"/>
        </w:rPr>
        <w:fldChar w:fldCharType="separate"/>
      </w:r>
      <w:r w:rsidRPr="00044B71">
        <w:rPr>
          <w:rFonts w:ascii="Arial" w:hAnsi="Arial" w:cs="Arial"/>
          <w:noProof/>
          <w:lang w:val="en-GB"/>
        </w:rPr>
        <w:t>(Almond et al., 2018)</w:t>
      </w:r>
      <w:r w:rsidR="00D519C3" w:rsidRPr="00044B71">
        <w:rPr>
          <w:rFonts w:ascii="Arial" w:hAnsi="Arial" w:cs="Arial"/>
          <w:lang w:val="en-GB"/>
        </w:rPr>
        <w:fldChar w:fldCharType="end"/>
      </w:r>
      <w:r w:rsidRPr="00044B71">
        <w:rPr>
          <w:rFonts w:ascii="Arial" w:hAnsi="Arial" w:cs="Arial"/>
          <w:lang w:val="en-GB"/>
        </w:rPr>
        <w:t xml:space="preserve">. </w:t>
      </w:r>
    </w:p>
    <w:p w:rsidR="002048C6" w:rsidRPr="00DA59A9" w:rsidRDefault="002048C6" w:rsidP="00CB2434">
      <w:pPr>
        <w:pStyle w:val="TextkrperMA"/>
        <w:ind w:firstLine="0"/>
        <w:rPr>
          <w:lang w:val="en-GB"/>
        </w:rPr>
      </w:pPr>
    </w:p>
    <w:p w:rsidR="005A229A" w:rsidRPr="00DA59A9" w:rsidRDefault="005A229A" w:rsidP="00CB2434">
      <w:pPr>
        <w:pStyle w:val="Heading2"/>
        <w:jc w:val="both"/>
        <w:rPr>
          <w:lang w:val="en-GB"/>
        </w:rPr>
      </w:pPr>
      <w:bookmarkStart w:id="5" w:name="_Toc523226014"/>
      <w:r w:rsidRPr="00DA59A9">
        <w:rPr>
          <w:lang w:val="en-GB"/>
        </w:rPr>
        <w:t>Statistical Analysis</w:t>
      </w:r>
      <w:bookmarkEnd w:id="5"/>
    </w:p>
    <w:p w:rsidR="003C6A13" w:rsidRPr="00DA59A9" w:rsidRDefault="003C6A13" w:rsidP="00CB2434">
      <w:pPr>
        <w:pStyle w:val="TextkrperMA"/>
        <w:rPr>
          <w:lang w:val="en-GB"/>
        </w:rPr>
      </w:pPr>
      <w:r w:rsidRPr="00DA59A9">
        <w:rPr>
          <w:lang w:val="en-GB"/>
        </w:rPr>
        <w:t>This study aim</w:t>
      </w:r>
      <w:r w:rsidR="00B06838" w:rsidRPr="00DA59A9">
        <w:rPr>
          <w:lang w:val="en-GB"/>
        </w:rPr>
        <w:t>ed</w:t>
      </w:r>
      <w:r w:rsidRPr="00DA59A9">
        <w:rPr>
          <w:lang w:val="en-GB"/>
        </w:rPr>
        <w:t xml:space="preserve"> to replicate the methodology </w:t>
      </w:r>
      <w:r w:rsidR="00B06838" w:rsidRPr="00DA59A9">
        <w:rPr>
          <w:lang w:val="en-GB"/>
        </w:rPr>
        <w:t>originally introduced</w:t>
      </w:r>
      <w:r w:rsidRPr="00DA59A9">
        <w:rPr>
          <w:lang w:val="en-GB"/>
        </w:rPr>
        <w:t xml:space="preserve"> by Davies et al. </w:t>
      </w:r>
      <w:r w:rsidR="00D519C3" w:rsidRPr="00DA59A9">
        <w:rPr>
          <w:lang w:val="en-GB"/>
        </w:rPr>
        <w:fldChar w:fldCharType="begin" w:fldLock="1"/>
      </w:r>
      <w:r w:rsidR="00390B02" w:rsidRPr="00DA59A9">
        <w:rPr>
          <w:lang w:val="en-GB"/>
        </w:rPr>
        <w:instrText>ADDIN CSL_CITATION {"citationItems":[{"id":"ITEM-1","itemData":{"DOI":"10.1016/S1355-0306(97)72169-5","ISBN":"1355-0306","ISSN":"13550306","PMID":"9302833","abstract":"Approximately 85% of stranger rapists have criminal records, which usually contain a mixture of crime types. This study was designed to ascertain if inferences about such records could be made from aspects of offence behaviour, as described by the rape victims, focusing on both non-sexual behaviours and traits more obviously associated with previous criminality. The statistical technique used was logistic regression. The results demonstrated that it was very possible to obtain indications of a rapist's criminal antecedents from his offence behaviour. The three most promising models were those that predicted whether or not the offender had convictions for burglary, whether or not he had convictions for violent offences, and whether the offence was an apparent 'one-off' occurrence rather than the work of an experienced rapist.","author":[{"dropping-particle":"","family":"Davies","given":"A.","non-dropping-particle":"","parse-names":false,"suffix":""},{"dropping-particle":"","family":"Wittebrood","given":"K.","non-dropping-particle":"","parse-names":false,"suffix":""},{"dropping-particle":"","family":"Jackson","given":"J. L.","non-dropping-particle":"","parse-names":false,"suffix":""}],"container-title":"Science and Justice - Journal of the Forensic Science Society","id":"ITEM-1","issue":"3","issued":{"date-parts":[["1997"]]},"page":"161-170","title":"Predicting the criminal antecedents of a stranger rapist from his offence behaviour","type":"article-journal","volume":"37"},"suppress-author":1,"uris":["http://www.mendeley.com/documents/?uuid=85219464-b5f5-4e44-b3a2-413f67f0b67e"]}],"mendeley":{"formattedCitation":"(1997)","plainTextFormattedCitation":"(1997)","previouslyFormattedCitation":"(1997)"},"properties":{"noteIndex":0},"schema":"https://github.com/citation-style-language/schema/raw/master/csl-citation.json"}</w:instrText>
      </w:r>
      <w:r w:rsidR="00D519C3" w:rsidRPr="00DA59A9">
        <w:rPr>
          <w:lang w:val="en-GB"/>
        </w:rPr>
        <w:fldChar w:fldCharType="separate"/>
      </w:r>
      <w:r w:rsidR="00390B02" w:rsidRPr="00DA59A9">
        <w:rPr>
          <w:noProof/>
          <w:lang w:val="en-GB"/>
        </w:rPr>
        <w:t>(1997)</w:t>
      </w:r>
      <w:r w:rsidR="00D519C3" w:rsidRPr="00DA59A9">
        <w:rPr>
          <w:lang w:val="en-GB"/>
        </w:rPr>
        <w:fldChar w:fldCharType="end"/>
      </w:r>
      <w:r w:rsidRPr="00DA59A9">
        <w:rPr>
          <w:lang w:val="en-GB"/>
        </w:rPr>
        <w:t xml:space="preserve"> </w:t>
      </w:r>
      <w:r w:rsidR="00B06838" w:rsidRPr="00DA59A9">
        <w:rPr>
          <w:lang w:val="en-GB"/>
        </w:rPr>
        <w:t>for their investigation of stranger rapists</w:t>
      </w:r>
      <w:r w:rsidR="00390B02" w:rsidRPr="00DA59A9">
        <w:rPr>
          <w:lang w:val="en-GB"/>
        </w:rPr>
        <w:t>’</w:t>
      </w:r>
      <w:r w:rsidR="00B06838" w:rsidRPr="00DA59A9">
        <w:rPr>
          <w:lang w:val="en-GB"/>
        </w:rPr>
        <w:t xml:space="preserve"> pre-convictions in </w:t>
      </w:r>
      <w:r w:rsidR="00390B02" w:rsidRPr="00DA59A9">
        <w:rPr>
          <w:lang w:val="en-GB"/>
        </w:rPr>
        <w:t>a new</w:t>
      </w:r>
      <w:r w:rsidR="00B06838" w:rsidRPr="00DA59A9">
        <w:rPr>
          <w:lang w:val="en-GB"/>
        </w:rPr>
        <w:t xml:space="preserve"> context</w:t>
      </w:r>
      <w:r w:rsidR="00390B02" w:rsidRPr="00DA59A9">
        <w:rPr>
          <w:lang w:val="en-GB"/>
        </w:rPr>
        <w:t xml:space="preserve"> – that </w:t>
      </w:r>
      <w:r w:rsidR="005871B9" w:rsidRPr="00DA59A9">
        <w:rPr>
          <w:lang w:val="en-GB"/>
        </w:rPr>
        <w:t>of</w:t>
      </w:r>
      <w:r w:rsidRPr="00DA59A9">
        <w:rPr>
          <w:lang w:val="en-GB"/>
        </w:rPr>
        <w:t xml:space="preserve"> male-on-female homicide offenders. Specifically, this study </w:t>
      </w:r>
      <w:r w:rsidR="00390B02" w:rsidRPr="00DA59A9">
        <w:rPr>
          <w:lang w:val="en-GB"/>
        </w:rPr>
        <w:t>adopted</w:t>
      </w:r>
      <w:r w:rsidRPr="00DA59A9">
        <w:rPr>
          <w:lang w:val="en-GB"/>
        </w:rPr>
        <w:t xml:space="preserve"> the statistically more sophisticated approach recently </w:t>
      </w:r>
      <w:r w:rsidR="00FE58C4" w:rsidRPr="00DA59A9">
        <w:rPr>
          <w:lang w:val="en-GB"/>
        </w:rPr>
        <w:t>employed</w:t>
      </w:r>
      <w:r w:rsidRPr="00DA59A9">
        <w:rPr>
          <w:lang w:val="en-GB"/>
        </w:rPr>
        <w:t xml:space="preserve"> by Almond, et al. </w:t>
      </w:r>
      <w:r w:rsidR="00D519C3" w:rsidRPr="00DA59A9">
        <w:rPr>
          <w:lang w:val="en-GB"/>
        </w:rPr>
        <w:fldChar w:fldCharType="begin" w:fldLock="1"/>
      </w:r>
      <w:r w:rsidR="00EA7901">
        <w:rPr>
          <w:lang w:val="en-GB"/>
        </w:rPr>
        <w:instrText>ADDIN CSL_CITATION {"citationItems":[{"id":"ITEM-1","itemData":{"DOI":"10.1177/0886260518756118","ISSN":"0886-2605","author":[{"dropping-particle":"","family":"Almond","given":"Louise","non-dropping-particle":"","parse-names":false,"suffix":""},{"dropping-particle":"","family":"McManus","given":"Michelle","non-dropping-particle":"","parse-names":false,"suffix":""},{"dropping-particle":"","family":"Bal","given":"Amarat","non-dropping-particle":"","parse-names":false,"suffix":""},{"dropping-particle":"","family":"O’Brien","given":"Freya","non-dropping-particle":"","parse-names":false,"suffix":""},{"dropping-particle":"","family":"Rainbow","given":"Lee","non-dropping-particle":"","parse-names":false,"suffix":""},{"dropping-particle":"","family":"Webb","given":"Mark","non-dropping-particle":"","parse-names":false,"suffix":""}],"container-title":"Journal of Interpersonal Violence","id":"ITEM-1","issued":{"date-parts":[["2018","2","14"]]},"title":"Assisting the Investigation of Stranger Rapes: Predicting the Criminal Record of U.K. Stranger Rapists From Their Crime Scene Behaviors","type":"article-journal"},"suppress-author":1,"uris":["http://www.mendeley.com/documents/?uuid=93ad9675-99ea-4e4e-91b3-6ca0db1894a3"]}],"mendeley":{"formattedCitation":"(2018)","plainTextFormattedCitation":"(2018)","previouslyFormattedCitation":"(2018)"},"properties":{"noteIndex":0},"schema":"https://github.com/citation-style-language/schema/raw/master/csl-citation.json"}</w:instrText>
      </w:r>
      <w:r w:rsidR="00D519C3" w:rsidRPr="00DA59A9">
        <w:rPr>
          <w:lang w:val="en-GB"/>
        </w:rPr>
        <w:fldChar w:fldCharType="separate"/>
      </w:r>
      <w:r w:rsidR="00390B02" w:rsidRPr="00DA59A9">
        <w:rPr>
          <w:noProof/>
          <w:lang w:val="en-GB"/>
        </w:rPr>
        <w:t>(2018)</w:t>
      </w:r>
      <w:r w:rsidR="00D519C3" w:rsidRPr="00DA59A9">
        <w:rPr>
          <w:lang w:val="en-GB"/>
        </w:rPr>
        <w:fldChar w:fldCharType="end"/>
      </w:r>
      <w:r w:rsidR="00390B02" w:rsidRPr="00DA59A9">
        <w:rPr>
          <w:lang w:val="en-GB"/>
        </w:rPr>
        <w:t xml:space="preserve"> </w:t>
      </w:r>
      <w:r w:rsidRPr="00DA59A9">
        <w:rPr>
          <w:lang w:val="en-GB"/>
        </w:rPr>
        <w:t xml:space="preserve">in their </w:t>
      </w:r>
      <w:r w:rsidR="002A35D6" w:rsidRPr="00DA59A9">
        <w:rPr>
          <w:lang w:val="en-GB"/>
        </w:rPr>
        <w:t>contemporary</w:t>
      </w:r>
      <w:r w:rsidRPr="00DA59A9">
        <w:rPr>
          <w:lang w:val="en-GB"/>
        </w:rPr>
        <w:t xml:space="preserve"> replication of the Davies et al. </w:t>
      </w:r>
      <w:r w:rsidR="00D519C3" w:rsidRPr="00DA59A9">
        <w:rPr>
          <w:lang w:val="en-GB"/>
        </w:rPr>
        <w:fldChar w:fldCharType="begin" w:fldLock="1"/>
      </w:r>
      <w:r w:rsidR="00D16CB9" w:rsidRPr="00DA59A9">
        <w:rPr>
          <w:lang w:val="en-GB"/>
        </w:rPr>
        <w:instrText>ADDIN CSL_CITATION {"citationItems":[{"id":"ITEM-1","itemData":{"DOI":"10.1016/S1355-0306(97)72169-5","ISBN":"1355-0306","ISSN":"13550306","PMID":"9302833","abstract":"Approximately 85% of stranger rapists have criminal records, which usually contain a mixture of crime types. This study was designed to ascertain if inferences about such records could be made from aspects of offence behaviour, as described by the rape victims, focusing on both non-sexual behaviours and traits more obviously associated with previous criminality. The statistical technique used was logistic regression. The results demonstrated that it was very possible to obtain indications of a rapist's criminal antecedents from his offence behaviour. The three most promising models were those that predicted whether or not the offender had convictions for burglary, whether or not he had convictions for violent offences, and whether the offence was an apparent 'one-off' occurrence rather than the work of an experienced rapist.","author":[{"dropping-particle":"","family":"Davies","given":"A.","non-dropping-particle":"","parse-names":false,"suffix":""},{"dropping-particle":"","family":"Wittebrood","given":"K.","non-dropping-particle":"","parse-names":false,"suffix":""},{"dropping-particle":"","family":"Jackson","given":"J. L.","non-dropping-particle":"","parse-names":false,"suffix":""}],"container-title":"Science and Justice - Journal of the Forensic Science Society","id":"ITEM-1","issue":"3","issued":{"date-parts":[["1997"]]},"page":"161-170","title":"Predicting the criminal antecedents of a stranger rapist from his offence behaviour","type":"article-journal","volume":"37"},"suppress-author":1,"uris":["http://www.mendeley.com/documents/?uuid=85219464-b5f5-4e44-b3a2-413f67f0b67e"]}],"mendeley":{"formattedCitation":"(1997)","plainTextFormattedCitation":"(1997)","previouslyFormattedCitation":"(1997)"},"properties":{"noteIndex":0},"schema":"https://github.com/citation-style-language/schema/raw/master/csl-citation.json"}</w:instrText>
      </w:r>
      <w:r w:rsidR="00D519C3" w:rsidRPr="00DA59A9">
        <w:rPr>
          <w:lang w:val="en-GB"/>
        </w:rPr>
        <w:fldChar w:fldCharType="separate"/>
      </w:r>
      <w:r w:rsidR="002A35D6" w:rsidRPr="00DA59A9">
        <w:rPr>
          <w:noProof/>
          <w:lang w:val="en-GB"/>
        </w:rPr>
        <w:t>(1997)</w:t>
      </w:r>
      <w:r w:rsidR="00D519C3" w:rsidRPr="00DA59A9">
        <w:rPr>
          <w:lang w:val="en-GB"/>
        </w:rPr>
        <w:fldChar w:fldCharType="end"/>
      </w:r>
      <w:r w:rsidRPr="00DA59A9">
        <w:rPr>
          <w:lang w:val="en-GB"/>
        </w:rPr>
        <w:t xml:space="preserve"> study.</w:t>
      </w:r>
    </w:p>
    <w:p w:rsidR="003C6A13" w:rsidRPr="00DA59A9" w:rsidRDefault="003C6A13" w:rsidP="00CB2434">
      <w:pPr>
        <w:pStyle w:val="TextkrperMA"/>
        <w:rPr>
          <w:lang w:val="en-GB"/>
        </w:rPr>
      </w:pPr>
      <w:r w:rsidRPr="00DA59A9">
        <w:rPr>
          <w:lang w:val="en-GB"/>
        </w:rPr>
        <w:t xml:space="preserve">Data </w:t>
      </w:r>
      <w:r w:rsidR="00E24C61" w:rsidRPr="00DA59A9">
        <w:rPr>
          <w:lang w:val="en-GB"/>
        </w:rPr>
        <w:t>was</w:t>
      </w:r>
      <w:r w:rsidRPr="00DA59A9">
        <w:rPr>
          <w:lang w:val="en-GB"/>
        </w:rPr>
        <w:t xml:space="preserve"> analysed in two stages. In </w:t>
      </w:r>
      <w:r w:rsidRPr="00DA59A9">
        <w:rPr>
          <w:i/>
          <w:lang w:val="en-GB"/>
        </w:rPr>
        <w:t>stage one</w:t>
      </w:r>
      <w:r w:rsidRPr="00DA59A9">
        <w:rPr>
          <w:lang w:val="en-GB"/>
        </w:rPr>
        <w:t xml:space="preserve">, </w:t>
      </w:r>
      <w:r w:rsidR="00E24C61" w:rsidRPr="00DA59A9">
        <w:rPr>
          <w:lang w:val="en-GB"/>
        </w:rPr>
        <w:t xml:space="preserve">separate </w:t>
      </w:r>
      <w:r w:rsidRPr="00DA59A9">
        <w:rPr>
          <w:lang w:val="en-GB"/>
        </w:rPr>
        <w:t xml:space="preserve">chi-square </w:t>
      </w:r>
      <w:r w:rsidR="00E24C61" w:rsidRPr="00DA59A9">
        <w:rPr>
          <w:lang w:val="en-GB"/>
        </w:rPr>
        <w:t>tests</w:t>
      </w:r>
      <w:r w:rsidRPr="00DA59A9">
        <w:rPr>
          <w:lang w:val="en-GB"/>
        </w:rPr>
        <w:t xml:space="preserve"> </w:t>
      </w:r>
      <w:r w:rsidR="00E24C61" w:rsidRPr="00DA59A9">
        <w:rPr>
          <w:lang w:val="en-GB"/>
        </w:rPr>
        <w:t>were</w:t>
      </w:r>
      <w:r w:rsidRPr="00DA59A9">
        <w:rPr>
          <w:lang w:val="en-GB"/>
        </w:rPr>
        <w:t xml:space="preserve"> </w:t>
      </w:r>
      <w:r w:rsidR="00DA6F8F">
        <w:rPr>
          <w:lang w:val="en-GB"/>
        </w:rPr>
        <w:t>employed</w:t>
      </w:r>
      <w:r w:rsidRPr="00DA59A9">
        <w:rPr>
          <w:lang w:val="en-GB"/>
        </w:rPr>
        <w:t xml:space="preserve"> to investigate whether any direct </w:t>
      </w:r>
      <w:r w:rsidR="00DA6F8F">
        <w:rPr>
          <w:lang w:val="en-GB"/>
        </w:rPr>
        <w:t>associations</w:t>
      </w:r>
      <w:r w:rsidRPr="00DA59A9">
        <w:rPr>
          <w:lang w:val="en-GB"/>
        </w:rPr>
        <w:t xml:space="preserve"> between offence </w:t>
      </w:r>
      <w:proofErr w:type="spellStart"/>
      <w:r w:rsidR="006A415D">
        <w:rPr>
          <w:lang w:val="en-GB"/>
        </w:rPr>
        <w:t>behavior</w:t>
      </w:r>
      <w:proofErr w:type="spellEnd"/>
      <w:r w:rsidRPr="00DA59A9">
        <w:rPr>
          <w:lang w:val="en-GB"/>
        </w:rPr>
        <w:t xml:space="preserve"> variables and conviction variables</w:t>
      </w:r>
      <w:r w:rsidR="00627BD9">
        <w:rPr>
          <w:lang w:val="en-GB"/>
        </w:rPr>
        <w:t xml:space="preserve"> could be </w:t>
      </w:r>
      <w:r w:rsidR="005F32B8">
        <w:rPr>
          <w:lang w:val="en-GB"/>
        </w:rPr>
        <w:t>identified</w:t>
      </w:r>
      <w:r w:rsidRPr="00DA59A9">
        <w:rPr>
          <w:lang w:val="en-GB"/>
        </w:rPr>
        <w:t xml:space="preserve">. </w:t>
      </w:r>
      <w:r w:rsidR="00E31847" w:rsidRPr="00DA59A9">
        <w:rPr>
          <w:lang w:val="en-GB"/>
        </w:rPr>
        <w:t>Where test assumptions were violated (expected frequencies must be &gt; 5 in each cell), Fisher’s exact tests were used</w:t>
      </w:r>
      <w:r w:rsidR="00E31847">
        <w:rPr>
          <w:lang w:val="en-GB"/>
        </w:rPr>
        <w:t xml:space="preserve"> </w:t>
      </w:r>
      <w:r w:rsidR="00D519C3">
        <w:rPr>
          <w:lang w:val="en-GB"/>
        </w:rPr>
        <w:fldChar w:fldCharType="begin" w:fldLock="1"/>
      </w:r>
      <w:r w:rsidR="00E31847">
        <w:rPr>
          <w:lang w:val="en-GB"/>
        </w:rPr>
        <w:instrText>ADDIN CSL_CITATION {"citationItems":[{"id":"ITEM-1","itemData":{"author":[{"dropping-particle":"","family":"Field","given":"A P","non-dropping-particle":"","parse-names":false,"suffix":""}],"edition":"4","id":"ITEM-1","issued":{"date-parts":[["2013"]]},"publisher":"Sage","publisher-place":"London","title":"Discovering Statistics Using IBM SPSS Statistics","type":"book"},"uris":["http://www.mendeley.com/documents/?uuid=9ba66154-9710-4c46-8645-3a3c3c04bd3e"]}],"mendeley":{"formattedCitation":"(Field, 2013)","plainTextFormattedCitation":"(Field, 2013)","previouslyFormattedCitation":"(Field, 2013)"},"properties":{"noteIndex":0},"schema":"https://github.com/citation-style-language/schema/raw/master/csl-citation.json"}</w:instrText>
      </w:r>
      <w:r w:rsidR="00D519C3">
        <w:rPr>
          <w:lang w:val="en-GB"/>
        </w:rPr>
        <w:fldChar w:fldCharType="separate"/>
      </w:r>
      <w:r w:rsidR="00E31847" w:rsidRPr="00074F07">
        <w:rPr>
          <w:noProof/>
          <w:lang w:val="en-GB"/>
        </w:rPr>
        <w:t>(Field, 2013)</w:t>
      </w:r>
      <w:r w:rsidR="00D519C3">
        <w:rPr>
          <w:lang w:val="en-GB"/>
        </w:rPr>
        <w:fldChar w:fldCharType="end"/>
      </w:r>
      <w:r w:rsidR="00E31847" w:rsidRPr="00DA59A9">
        <w:rPr>
          <w:lang w:val="en-GB"/>
        </w:rPr>
        <w:t>.</w:t>
      </w:r>
      <w:r w:rsidR="00E31847">
        <w:rPr>
          <w:lang w:val="en-GB"/>
        </w:rPr>
        <w:t xml:space="preserve"> </w:t>
      </w:r>
      <w:r w:rsidR="00E31847" w:rsidRPr="00DA59A9">
        <w:rPr>
          <w:lang w:val="en-GB"/>
        </w:rPr>
        <w:t>In order to account for multiple testing on the same sample, Bonferroni-Holm corrections were applied to adjust p-values.</w:t>
      </w:r>
      <w:r w:rsidR="00E31847">
        <w:rPr>
          <w:lang w:val="en-GB"/>
        </w:rPr>
        <w:t xml:space="preserve"> </w:t>
      </w:r>
      <w:r w:rsidRPr="00DA59A9">
        <w:rPr>
          <w:lang w:val="en-GB"/>
        </w:rPr>
        <w:t>To further qualify any significant associations, Odds Ratios</w:t>
      </w:r>
      <w:r w:rsidR="00DB0C4F" w:rsidRPr="00DA59A9">
        <w:rPr>
          <w:lang w:val="en-GB"/>
        </w:rPr>
        <w:t xml:space="preserve"> (OR)</w:t>
      </w:r>
      <w:r w:rsidRPr="00DA59A9">
        <w:rPr>
          <w:lang w:val="en-GB"/>
        </w:rPr>
        <w:t xml:space="preserve"> </w:t>
      </w:r>
      <w:r w:rsidR="00E24C61" w:rsidRPr="00DA59A9">
        <w:rPr>
          <w:lang w:val="en-GB"/>
        </w:rPr>
        <w:t>were calculated</w:t>
      </w:r>
      <w:r w:rsidRPr="00DA59A9">
        <w:rPr>
          <w:lang w:val="en-GB"/>
        </w:rPr>
        <w:t xml:space="preserve"> to assess the </w:t>
      </w:r>
      <w:r w:rsidR="00207C89" w:rsidRPr="00DA59A9">
        <w:rPr>
          <w:lang w:val="en-GB"/>
        </w:rPr>
        <w:t>likelihood</w:t>
      </w:r>
      <w:r w:rsidRPr="00DA59A9">
        <w:rPr>
          <w:lang w:val="en-GB"/>
        </w:rPr>
        <w:t xml:space="preserve"> of</w:t>
      </w:r>
      <w:r w:rsidR="00E800A4">
        <w:rPr>
          <w:lang w:val="en-GB"/>
        </w:rPr>
        <w:t xml:space="preserve"> </w:t>
      </w:r>
      <w:r w:rsidR="006134C6">
        <w:rPr>
          <w:lang w:val="en-GB"/>
        </w:rPr>
        <w:t xml:space="preserve">an offender having </w:t>
      </w:r>
      <w:r w:rsidRPr="00DA59A9">
        <w:rPr>
          <w:lang w:val="en-GB"/>
        </w:rPr>
        <w:t xml:space="preserve">a </w:t>
      </w:r>
      <w:r w:rsidR="000C591D">
        <w:rPr>
          <w:lang w:val="en-GB"/>
        </w:rPr>
        <w:t>specific</w:t>
      </w:r>
      <w:r w:rsidRPr="00DA59A9">
        <w:rPr>
          <w:lang w:val="en-GB"/>
        </w:rPr>
        <w:t xml:space="preserve"> pre-conviction based on </w:t>
      </w:r>
      <w:r w:rsidR="005B33A0" w:rsidRPr="00DA59A9">
        <w:rPr>
          <w:lang w:val="en-GB"/>
        </w:rPr>
        <w:t xml:space="preserve">the presence or absence of </w:t>
      </w:r>
      <w:r w:rsidRPr="00DA59A9">
        <w:rPr>
          <w:lang w:val="en-GB"/>
        </w:rPr>
        <w:t xml:space="preserve">single </w:t>
      </w:r>
      <w:proofErr w:type="spellStart"/>
      <w:r w:rsidR="006A415D">
        <w:rPr>
          <w:lang w:val="en-GB"/>
        </w:rPr>
        <w:t>behavior</w:t>
      </w:r>
      <w:r w:rsidRPr="00DA59A9">
        <w:rPr>
          <w:lang w:val="en-GB"/>
        </w:rPr>
        <w:t>s</w:t>
      </w:r>
      <w:proofErr w:type="spellEnd"/>
      <w:r w:rsidRPr="00DA59A9">
        <w:rPr>
          <w:lang w:val="en-GB"/>
        </w:rPr>
        <w:t xml:space="preserve"> during the offence. </w:t>
      </w:r>
      <w:r w:rsidR="000F2995" w:rsidRPr="00DA59A9">
        <w:rPr>
          <w:lang w:val="en-GB"/>
        </w:rPr>
        <w:t>An OR &gt; 1 indicates that the probability of a pre</w:t>
      </w:r>
      <w:r w:rsidR="000F2995" w:rsidRPr="00DA59A9">
        <w:rPr>
          <w:lang w:val="en-GB"/>
        </w:rPr>
        <w:noBreakHyphen/>
        <w:t xml:space="preserve">conviction </w:t>
      </w:r>
      <w:r w:rsidR="000F2995" w:rsidRPr="00DA59A9">
        <w:rPr>
          <w:i/>
          <w:lang w:val="en-GB"/>
        </w:rPr>
        <w:t>A</w:t>
      </w:r>
      <w:r w:rsidR="000F2995" w:rsidRPr="00DA59A9">
        <w:rPr>
          <w:lang w:val="en-GB"/>
        </w:rPr>
        <w:t xml:space="preserve"> is increased if an offence </w:t>
      </w:r>
      <w:proofErr w:type="spellStart"/>
      <w:r w:rsidR="006A415D">
        <w:rPr>
          <w:lang w:val="en-GB"/>
        </w:rPr>
        <w:t>behavior</w:t>
      </w:r>
      <w:proofErr w:type="spellEnd"/>
      <w:r w:rsidR="000F2995" w:rsidRPr="00DA59A9">
        <w:rPr>
          <w:lang w:val="en-GB"/>
        </w:rPr>
        <w:t xml:space="preserve"> </w:t>
      </w:r>
      <w:r w:rsidR="000F2995" w:rsidRPr="00DA59A9">
        <w:rPr>
          <w:i/>
          <w:lang w:val="en-GB"/>
        </w:rPr>
        <w:t>B</w:t>
      </w:r>
      <w:r w:rsidR="000F2995" w:rsidRPr="00DA59A9">
        <w:rPr>
          <w:lang w:val="en-GB"/>
        </w:rPr>
        <w:t xml:space="preserve"> was observed, whereas the probability of </w:t>
      </w:r>
      <w:r w:rsidR="000F2995" w:rsidRPr="00DA59A9">
        <w:rPr>
          <w:i/>
          <w:lang w:val="en-GB"/>
        </w:rPr>
        <w:t>A</w:t>
      </w:r>
      <w:r w:rsidR="000F2995" w:rsidRPr="00DA59A9">
        <w:rPr>
          <w:lang w:val="en-GB"/>
        </w:rPr>
        <w:t xml:space="preserve"> is decreased if </w:t>
      </w:r>
      <w:r w:rsidR="000F2995" w:rsidRPr="00DA59A9">
        <w:rPr>
          <w:i/>
          <w:lang w:val="en-GB"/>
        </w:rPr>
        <w:t>B</w:t>
      </w:r>
      <w:r w:rsidR="000F2995" w:rsidRPr="00DA59A9">
        <w:rPr>
          <w:lang w:val="en-GB"/>
        </w:rPr>
        <w:t xml:space="preserve"> was not observed (and vice versa for ORs &lt; 1)</w:t>
      </w:r>
      <w:r w:rsidR="000F2995" w:rsidRPr="000F2995">
        <w:rPr>
          <w:i/>
          <w:lang w:val="en-GB"/>
        </w:rPr>
        <w:t xml:space="preserve"> </w:t>
      </w:r>
      <w:r w:rsidR="00D519C3" w:rsidRPr="00DA59A9">
        <w:rPr>
          <w:i/>
          <w:lang w:val="en-GB"/>
        </w:rPr>
        <w:fldChar w:fldCharType="begin" w:fldLock="1"/>
      </w:r>
      <w:r w:rsidR="000F2995" w:rsidRPr="00DA59A9">
        <w:rPr>
          <w:i/>
          <w:lang w:val="en-GB"/>
        </w:rPr>
        <w:instrText>ADDIN CSL_CITATION {"citationItems":[{"id":"ITEM-1","itemData":{"DOI":"10.1177/1098214005275825","ISBN":"1098214005","ISSN":"1098-2140","abstract":"Abstract: Binary outcome data are common in research and evaluation. They are often analyzed using logistic regression, and results of these analyses are often reported in the form of odds ratios (ORs).However,ORs are not directly interpretable in the metric commonly used in policy-relevant discussions, which concerns probabilities.ORs are unfamiliar to nonresearchers, and their relation- ship to probability implications is not well understood by researchers. For example, the common practice of taking ORs as direct estimates of changes in probabilities (i.e., as risk ratios) systematically inflates effect sizes in probability terms. Fortunately, the probability implications of ORs can be derived simply and can be presented concretely as contrasting pairs of probabilities. These probability pairs are easily understandable by both the research and the lay audiences for evaluation results. After reviewing the relationship between probabilities, odds, and their ratios, this article shows how to explore ORs’ implications for probabilities, illustrating with recent examples from the literature.","author":[{"dropping-particle":"","family":"Liberman","given":"Akiva M","non-dropping-particle":"","parse-names":false,"suffix":""}],"container-title":"American Journal of Evaluation","id":"ITEM-1","issue":"2","issued":{"date-parts":[["2005","6","30"]]},"page":"253-266","title":"How Much More Likely? The Implications of Odds Ratios for Probabilities","type":"article-journal","volume":"26"},"uris":["http://www.mendeley.com/documents/?uuid=792692f3-ddc4-49b6-85fe-30cc9e21857e"]}],"mendeley":{"formattedCitation":"(Liberman, 2005)","plainTextFormattedCitation":"(Liberman, 2005)","previouslyFormattedCitation":"(Liberman, 2005)"},"properties":{"noteIndex":0},"schema":"https://github.com/citation-style-language/schema/raw/master/csl-citation.json"}</w:instrText>
      </w:r>
      <w:r w:rsidR="00D519C3" w:rsidRPr="00DA59A9">
        <w:rPr>
          <w:i/>
          <w:lang w:val="en-GB"/>
        </w:rPr>
        <w:fldChar w:fldCharType="separate"/>
      </w:r>
      <w:r w:rsidR="000F2995" w:rsidRPr="00DA59A9">
        <w:rPr>
          <w:noProof/>
          <w:lang w:val="en-GB"/>
        </w:rPr>
        <w:t>(Liberman, 2005)</w:t>
      </w:r>
      <w:r w:rsidR="00D519C3" w:rsidRPr="00DA59A9">
        <w:rPr>
          <w:i/>
          <w:lang w:val="en-GB"/>
        </w:rPr>
        <w:fldChar w:fldCharType="end"/>
      </w:r>
      <w:r w:rsidR="000F2995" w:rsidRPr="00DA59A9">
        <w:rPr>
          <w:lang w:val="en-GB"/>
        </w:rPr>
        <w:t>.</w:t>
      </w:r>
      <w:r w:rsidR="000F2995">
        <w:rPr>
          <w:lang w:val="en-GB"/>
        </w:rPr>
        <w:t xml:space="preserve"> </w:t>
      </w:r>
      <w:r w:rsidR="00E31847" w:rsidRPr="00DA59A9">
        <w:rPr>
          <w:lang w:val="en-GB"/>
        </w:rPr>
        <w:t xml:space="preserve">According to Chen, Cohen, and Chen </w:t>
      </w:r>
      <w:r w:rsidR="00D519C3" w:rsidRPr="00DA59A9">
        <w:rPr>
          <w:lang w:val="en-GB"/>
        </w:rPr>
        <w:fldChar w:fldCharType="begin" w:fldLock="1"/>
      </w:r>
      <w:r w:rsidR="00E31847">
        <w:rPr>
          <w:lang w:val="en-GB"/>
        </w:rPr>
        <w:instrText>ADDIN CSL_CITATION {"citationItems":[{"id":"ITEM-1","itemData":{"DOI":"10.1080/03610911003650383","ISSN":"0361-0918","author":[{"dropping-particle":"","family":"Chen","given":"Henian","non-dropping-particle":"","parse-names":false,"suffix":""},{"dropping-particle":"","family":"Cohen","given":"Patricia","non-dropping-particle":"","parse-names":false,"suffix":""},{"dropping-particle":"","family":"Chen","given":"Sophie","non-dropping-particle":"","parse-names":false,"suffix":""}],"container-title":"Communications in Statistics - Simulation and Computation","id":"ITEM-1","issue":"4","issued":{"date-parts":[["2010","3","31"]]},"page":"860-864","title":"How Big is a Big Odds Ratio? Interpreting the Magnitudes of Odds Ratios in Epidemiological Studies","type":"article-journal","volume":"39"},"suppress-author":1,"uris":["http://www.mendeley.com/documents/?uuid=dfbeaeaa-6c6e-49aa-82d1-fff4d117621b"]}],"mendeley":{"formattedCitation":"(2010)","plainTextFormattedCitation":"(2010)","previouslyFormattedCitation":"(2010)"},"properties":{"noteIndex":0},"schema":"https://github.com/citation-style-language/schema/raw/master/csl-citation.json"}</w:instrText>
      </w:r>
      <w:r w:rsidR="00D519C3" w:rsidRPr="00DA59A9">
        <w:rPr>
          <w:lang w:val="en-GB"/>
        </w:rPr>
        <w:fldChar w:fldCharType="separate"/>
      </w:r>
      <w:r w:rsidR="00E31847" w:rsidRPr="00DA59A9">
        <w:rPr>
          <w:noProof/>
          <w:lang w:val="en-GB"/>
        </w:rPr>
        <w:t>(2010)</w:t>
      </w:r>
      <w:r w:rsidR="00D519C3" w:rsidRPr="00DA59A9">
        <w:rPr>
          <w:lang w:val="en-GB"/>
        </w:rPr>
        <w:fldChar w:fldCharType="end"/>
      </w:r>
      <w:r w:rsidR="00E31847" w:rsidRPr="00DA59A9">
        <w:rPr>
          <w:lang w:val="en-GB"/>
        </w:rPr>
        <w:t xml:space="preserve">, the strength of the identified </w:t>
      </w:r>
      <w:r w:rsidR="007C1D0E">
        <w:rPr>
          <w:lang w:val="en-GB"/>
        </w:rPr>
        <w:t>associations</w:t>
      </w:r>
      <w:r w:rsidR="00E31847" w:rsidRPr="00DA59A9">
        <w:rPr>
          <w:lang w:val="en-GB"/>
        </w:rPr>
        <w:t xml:space="preserve"> can be considered low (OR &lt; 1.5), medium (OR 1.5 - 5), or high (OR &gt; 5).</w:t>
      </w:r>
    </w:p>
    <w:p w:rsidR="005C6CD0" w:rsidRDefault="003C6A13" w:rsidP="00CB2434">
      <w:pPr>
        <w:pStyle w:val="TextkrperMA"/>
        <w:rPr>
          <w:lang w:val="en-GB"/>
        </w:rPr>
      </w:pPr>
      <w:r w:rsidRPr="00DA59A9">
        <w:rPr>
          <w:lang w:val="en-GB"/>
        </w:rPr>
        <w:lastRenderedPageBreak/>
        <w:t xml:space="preserve">In </w:t>
      </w:r>
      <w:r w:rsidRPr="00DA59A9">
        <w:rPr>
          <w:i/>
          <w:lang w:val="en-GB"/>
        </w:rPr>
        <w:t>stage two</w:t>
      </w:r>
      <w:r w:rsidRPr="00DA59A9">
        <w:rPr>
          <w:lang w:val="en-GB"/>
        </w:rPr>
        <w:t xml:space="preserve">, logistic regression models </w:t>
      </w:r>
      <w:r w:rsidR="009A19EC" w:rsidRPr="00DA59A9">
        <w:rPr>
          <w:lang w:val="en-GB"/>
        </w:rPr>
        <w:t>were</w:t>
      </w:r>
      <w:r w:rsidRPr="00DA59A9">
        <w:rPr>
          <w:lang w:val="en-GB"/>
        </w:rPr>
        <w:t xml:space="preserve"> used to predict an offender’s previous convictions based on a combination of significant offence </w:t>
      </w:r>
      <w:proofErr w:type="spellStart"/>
      <w:r w:rsidR="006A415D">
        <w:rPr>
          <w:lang w:val="en-GB"/>
        </w:rPr>
        <w:t>behavior</w:t>
      </w:r>
      <w:proofErr w:type="spellEnd"/>
      <w:r w:rsidRPr="00DA59A9">
        <w:rPr>
          <w:lang w:val="en-GB"/>
        </w:rPr>
        <w:t xml:space="preserve"> variables identified in stage one. A separate forced-entry logistic regression </w:t>
      </w:r>
      <w:r w:rsidR="009A19EC" w:rsidRPr="00DA59A9">
        <w:rPr>
          <w:lang w:val="en-GB"/>
        </w:rPr>
        <w:t>was</w:t>
      </w:r>
      <w:r w:rsidRPr="00DA59A9">
        <w:rPr>
          <w:lang w:val="en-GB"/>
        </w:rPr>
        <w:t xml:space="preserve"> performed for each pre-conviction type. In addition, it </w:t>
      </w:r>
      <w:r w:rsidR="009A19EC" w:rsidRPr="00DA59A9">
        <w:rPr>
          <w:lang w:val="en-GB"/>
        </w:rPr>
        <w:t>was</w:t>
      </w:r>
      <w:r w:rsidRPr="00DA59A9">
        <w:rPr>
          <w:lang w:val="en-GB"/>
        </w:rPr>
        <w:t xml:space="preserve"> assessed how much each predictor variable contribute</w:t>
      </w:r>
      <w:r w:rsidR="009A19EC" w:rsidRPr="00DA59A9">
        <w:rPr>
          <w:lang w:val="en-GB"/>
        </w:rPr>
        <w:t>d</w:t>
      </w:r>
      <w:r w:rsidRPr="00DA59A9">
        <w:rPr>
          <w:lang w:val="en-GB"/>
        </w:rPr>
        <w:t xml:space="preserve"> to the predictive accuracy of the model and if these contributions </w:t>
      </w:r>
      <w:r w:rsidR="009A19EC" w:rsidRPr="00DA59A9">
        <w:rPr>
          <w:lang w:val="en-GB"/>
        </w:rPr>
        <w:t>were</w:t>
      </w:r>
      <w:r w:rsidRPr="00DA59A9">
        <w:rPr>
          <w:lang w:val="en-GB"/>
        </w:rPr>
        <w:t xml:space="preserve"> statistically significant. To evaluate their usefulness to practitioners, each of the models’ ability to predict a certain pre-conviction </w:t>
      </w:r>
      <w:r w:rsidR="009A19EC" w:rsidRPr="00DA59A9">
        <w:rPr>
          <w:lang w:val="en-GB"/>
        </w:rPr>
        <w:t>was</w:t>
      </w:r>
      <w:r w:rsidRPr="00DA59A9">
        <w:rPr>
          <w:lang w:val="en-GB"/>
        </w:rPr>
        <w:t xml:space="preserve"> compared with the “best guess” investigators would face without knowledge of any offence </w:t>
      </w:r>
      <w:proofErr w:type="spellStart"/>
      <w:r w:rsidR="006A415D">
        <w:rPr>
          <w:lang w:val="en-GB"/>
        </w:rPr>
        <w:t>behavior</w:t>
      </w:r>
      <w:proofErr w:type="spellEnd"/>
      <w:r w:rsidR="009A19EC" w:rsidRPr="00DA59A9">
        <w:rPr>
          <w:lang w:val="en-GB"/>
        </w:rPr>
        <w:t xml:space="preserve"> (i.e. a guess based only on the base rate of </w:t>
      </w:r>
      <w:r w:rsidR="003419EB" w:rsidRPr="00DA59A9">
        <w:rPr>
          <w:lang w:val="en-GB"/>
        </w:rPr>
        <w:t>a particular</w:t>
      </w:r>
      <w:r w:rsidR="009A19EC" w:rsidRPr="00DA59A9">
        <w:rPr>
          <w:lang w:val="en-GB"/>
        </w:rPr>
        <w:t xml:space="preserve"> pre-conviction in this sample).</w:t>
      </w:r>
      <w:r w:rsidR="00367322">
        <w:rPr>
          <w:lang w:val="en-GB"/>
        </w:rPr>
        <w:t xml:space="preserve"> As an additional measure of model performance, Receiver Operating Characteristics (ROC) Area </w:t>
      </w:r>
      <w:proofErr w:type="gramStart"/>
      <w:r w:rsidR="00367322">
        <w:rPr>
          <w:lang w:val="en-GB"/>
        </w:rPr>
        <w:t>Under</w:t>
      </w:r>
      <w:proofErr w:type="gramEnd"/>
      <w:r w:rsidR="00367322">
        <w:rPr>
          <w:lang w:val="en-GB"/>
        </w:rPr>
        <w:t xml:space="preserve"> the Curve (AUC) values were calculated.</w:t>
      </w:r>
    </w:p>
    <w:p w:rsidR="00044B71" w:rsidRDefault="00044B71" w:rsidP="00CB2434">
      <w:pPr>
        <w:spacing w:after="160"/>
        <w:jc w:val="both"/>
        <w:rPr>
          <w:lang w:val="en-GB"/>
        </w:rPr>
      </w:pPr>
      <w:bookmarkStart w:id="6" w:name="_Toc523226015"/>
    </w:p>
    <w:p w:rsidR="00651498" w:rsidRPr="00044B71" w:rsidRDefault="004037BC" w:rsidP="00CB2434">
      <w:pPr>
        <w:spacing w:after="160"/>
        <w:jc w:val="both"/>
        <w:rPr>
          <w:rFonts w:ascii="Arial" w:hAnsi="Arial" w:cs="Arial"/>
          <w:b/>
          <w:lang w:val="en-GB"/>
        </w:rPr>
      </w:pPr>
      <w:r w:rsidRPr="00044B71">
        <w:rPr>
          <w:rFonts w:ascii="Arial" w:hAnsi="Arial" w:cs="Arial"/>
          <w:b/>
          <w:lang w:val="en-GB"/>
        </w:rPr>
        <w:t>Results</w:t>
      </w:r>
      <w:bookmarkEnd w:id="6"/>
    </w:p>
    <w:p w:rsidR="005B33A0" w:rsidRPr="00DA59A9" w:rsidRDefault="005B33A0" w:rsidP="00CB2434">
      <w:pPr>
        <w:pStyle w:val="Heading2"/>
        <w:jc w:val="both"/>
        <w:rPr>
          <w:lang w:val="en-GB"/>
        </w:rPr>
      </w:pPr>
      <w:bookmarkStart w:id="7" w:name="_Toc523226016"/>
      <w:r w:rsidRPr="00DA59A9">
        <w:rPr>
          <w:lang w:val="en-GB"/>
        </w:rPr>
        <w:t>Descriptive Statistics</w:t>
      </w:r>
      <w:bookmarkEnd w:id="7"/>
    </w:p>
    <w:p w:rsidR="00705BD7" w:rsidRDefault="00705BD7" w:rsidP="00CB2434">
      <w:pPr>
        <w:pStyle w:val="TextkrperMA"/>
        <w:rPr>
          <w:lang w:val="en-GB"/>
        </w:rPr>
      </w:pPr>
      <w:r w:rsidRPr="00DA59A9">
        <w:rPr>
          <w:lang w:val="en-GB"/>
        </w:rPr>
        <w:t xml:space="preserve">Table </w:t>
      </w:r>
      <w:r w:rsidR="00F207D4">
        <w:rPr>
          <w:lang w:val="en-GB"/>
        </w:rPr>
        <w:t>2</w:t>
      </w:r>
      <w:r w:rsidRPr="00DA59A9">
        <w:rPr>
          <w:lang w:val="en-GB"/>
        </w:rPr>
        <w:t xml:space="preserve"> displays the frequency of offence </w:t>
      </w:r>
      <w:proofErr w:type="spellStart"/>
      <w:r w:rsidR="006A415D">
        <w:rPr>
          <w:lang w:val="en-GB"/>
        </w:rPr>
        <w:t>behavior</w:t>
      </w:r>
      <w:proofErr w:type="spellEnd"/>
      <w:r w:rsidRPr="00DA59A9">
        <w:rPr>
          <w:lang w:val="en-GB"/>
        </w:rPr>
        <w:t xml:space="preserve"> variables in this sample. While only a minority of offenders had previous convictions for sexual crimes (14.6%), the majority of cases in this dataset (73.2%) can be classified as sexual homicides based on </w:t>
      </w:r>
      <w:proofErr w:type="spellStart"/>
      <w:r w:rsidR="006A415D">
        <w:rPr>
          <w:lang w:val="en-GB"/>
        </w:rPr>
        <w:t>behavior</w:t>
      </w:r>
      <w:r w:rsidRPr="00DA59A9">
        <w:rPr>
          <w:lang w:val="en-GB"/>
        </w:rPr>
        <w:t>s</w:t>
      </w:r>
      <w:proofErr w:type="spellEnd"/>
      <w:r w:rsidRPr="00DA59A9">
        <w:rPr>
          <w:lang w:val="en-GB"/>
        </w:rPr>
        <w:t xml:space="preserve"> observed from the crime scene, according to the criteria proposed by Ressler et al. </w:t>
      </w:r>
      <w:r w:rsidR="00D519C3" w:rsidRPr="00DA59A9">
        <w:rPr>
          <w:lang w:val="en-GB"/>
        </w:rPr>
        <w:fldChar w:fldCharType="begin" w:fldLock="1"/>
      </w:r>
      <w:r w:rsidRPr="00DA59A9">
        <w:rPr>
          <w:lang w:val="en-GB"/>
        </w:rPr>
        <w:instrText>ADDIN CSL_CITATION {"citationItems":[{"id":"ITEM-1","itemData":{"author":[{"dropping-particle":"","family":"Ressler","given":"R. K.","non-dropping-particle":"","parse-names":false,"suffix":""},{"dropping-particle":"","family":"Burgess","given":"A. W.","non-dropping-particle":"","parse-names":false,"suffix":""},{"dropping-particle":"","family":"Douglas","given":"J. E.","non-dropping-particle":"","parse-names":false,"suffix":""}],"id":"ITEM-1","issued":{"date-parts":[["1988"]]},"publisher":"Lexington","publisher-place":"New York","title":"Sexual homicide: Patterns and motives","type":"book"},"suppress-author":1,"uris":["http://www.mendeley.com/documents/?uuid=6502a1b8-e0da-4ab3-bcf1-58a4fda47955"]}],"mendeley":{"formattedCitation":"(1988)","plainTextFormattedCitation":"(1988)","previouslyFormattedCitation":"(1988)"},"properties":{"noteIndex":0},"schema":"https://github.com/citation-style-language/schema/raw/master/csl-citation.json"}</w:instrText>
      </w:r>
      <w:r w:rsidR="00D519C3" w:rsidRPr="00DA59A9">
        <w:rPr>
          <w:lang w:val="en-GB"/>
        </w:rPr>
        <w:fldChar w:fldCharType="separate"/>
      </w:r>
      <w:r w:rsidRPr="00DA59A9">
        <w:rPr>
          <w:noProof/>
          <w:lang w:val="en-GB"/>
        </w:rPr>
        <w:t>(1988)</w:t>
      </w:r>
      <w:r w:rsidR="00D519C3" w:rsidRPr="00DA59A9">
        <w:rPr>
          <w:lang w:val="en-GB"/>
        </w:rPr>
        <w:fldChar w:fldCharType="end"/>
      </w:r>
      <w:r w:rsidRPr="00DA59A9">
        <w:rPr>
          <w:lang w:val="en-GB"/>
        </w:rPr>
        <w:t xml:space="preserve">. More specifically, most of the cases involved some degree of disrobement of the victim (66.2%), whereas overt sexual </w:t>
      </w:r>
      <w:proofErr w:type="spellStart"/>
      <w:r w:rsidR="006A415D">
        <w:rPr>
          <w:lang w:val="en-GB"/>
        </w:rPr>
        <w:t>behavior</w:t>
      </w:r>
      <w:r w:rsidRPr="00DA59A9">
        <w:rPr>
          <w:lang w:val="en-GB"/>
        </w:rPr>
        <w:t>s</w:t>
      </w:r>
      <w:proofErr w:type="spellEnd"/>
      <w:r w:rsidRPr="00DA59A9">
        <w:rPr>
          <w:lang w:val="en-GB"/>
        </w:rPr>
        <w:t xml:space="preserve"> (41.8%) and injuries to victims’ sexual areas (16.4%) were less commonly observed. A relatively large group of offenders in this sample engaged in some form of theft from the victim (44.1%). Similarly, a sizeable minority took precautions in relation to the </w:t>
      </w:r>
      <w:r>
        <w:rPr>
          <w:lang w:val="en-GB"/>
        </w:rPr>
        <w:t xml:space="preserve">homicide </w:t>
      </w:r>
      <w:r w:rsidRPr="00DA59A9">
        <w:rPr>
          <w:lang w:val="en-GB"/>
        </w:rPr>
        <w:t>crime (40.8%).</w:t>
      </w:r>
    </w:p>
    <w:p w:rsidR="00805838" w:rsidRPr="00DA59A9" w:rsidRDefault="004B7FBF" w:rsidP="00CB2434">
      <w:pPr>
        <w:pStyle w:val="TextkrperMA"/>
        <w:rPr>
          <w:lang w:val="en-GB"/>
        </w:rPr>
      </w:pPr>
      <w:r w:rsidRPr="00DA59A9">
        <w:rPr>
          <w:lang w:val="en-GB"/>
        </w:rPr>
        <w:t>F</w:t>
      </w:r>
      <w:r w:rsidR="00731290" w:rsidRPr="00DA59A9">
        <w:rPr>
          <w:lang w:val="en-GB"/>
        </w:rPr>
        <w:t xml:space="preserve">requencies of offenders’ previous convictions are displayed in Table </w:t>
      </w:r>
      <w:r w:rsidR="000F5A49">
        <w:rPr>
          <w:lang w:val="en-GB"/>
        </w:rPr>
        <w:t>3</w:t>
      </w:r>
      <w:r w:rsidR="00731290" w:rsidRPr="00DA59A9">
        <w:rPr>
          <w:lang w:val="en-GB"/>
        </w:rPr>
        <w:t>.</w:t>
      </w:r>
      <w:r w:rsidR="00521747" w:rsidRPr="00DA59A9">
        <w:rPr>
          <w:lang w:val="en-GB"/>
        </w:rPr>
        <w:t xml:space="preserve"> </w:t>
      </w:r>
      <w:r w:rsidR="00834CA5" w:rsidRPr="00DA59A9">
        <w:rPr>
          <w:lang w:val="en-GB"/>
        </w:rPr>
        <w:t>Most</w:t>
      </w:r>
      <w:r w:rsidR="00521747" w:rsidRPr="00DA59A9">
        <w:rPr>
          <w:lang w:val="en-GB"/>
        </w:rPr>
        <w:t xml:space="preserve"> offenders </w:t>
      </w:r>
      <w:r w:rsidR="00EA5455" w:rsidRPr="00DA59A9">
        <w:rPr>
          <w:lang w:val="en-GB"/>
        </w:rPr>
        <w:t xml:space="preserve">(73.7%) </w:t>
      </w:r>
      <w:r w:rsidR="008F356C" w:rsidRPr="00DA59A9">
        <w:rPr>
          <w:lang w:val="en-GB"/>
        </w:rPr>
        <w:t>had been convicted at least once prior to the index homicide</w:t>
      </w:r>
      <w:r w:rsidR="00B63BD3" w:rsidRPr="00DA59A9">
        <w:rPr>
          <w:lang w:val="en-GB"/>
        </w:rPr>
        <w:t>,</w:t>
      </w:r>
      <w:r w:rsidR="00EA5455" w:rsidRPr="00DA59A9">
        <w:rPr>
          <w:lang w:val="en-GB"/>
        </w:rPr>
        <w:t xml:space="preserve"> with </w:t>
      </w:r>
      <w:r w:rsidR="00B05A66" w:rsidRPr="00DA59A9">
        <w:rPr>
          <w:lang w:val="en-GB"/>
        </w:rPr>
        <w:lastRenderedPageBreak/>
        <w:t>theft</w:t>
      </w:r>
      <w:r w:rsidR="00996062" w:rsidRPr="00DA59A9">
        <w:rPr>
          <w:lang w:val="en-GB"/>
        </w:rPr>
        <w:t xml:space="preserve"> (45.1%)</w:t>
      </w:r>
      <w:r w:rsidR="00B05A66" w:rsidRPr="00DA59A9">
        <w:rPr>
          <w:lang w:val="en-GB"/>
        </w:rPr>
        <w:t>, violence</w:t>
      </w:r>
      <w:r w:rsidR="00996062" w:rsidRPr="00DA59A9">
        <w:rPr>
          <w:lang w:val="en-GB"/>
        </w:rPr>
        <w:t xml:space="preserve"> (</w:t>
      </w:r>
      <w:r w:rsidR="00397026" w:rsidRPr="00DA59A9">
        <w:rPr>
          <w:lang w:val="en-GB"/>
        </w:rPr>
        <w:t>39.0%</w:t>
      </w:r>
      <w:r w:rsidR="00996062" w:rsidRPr="00DA59A9">
        <w:rPr>
          <w:lang w:val="en-GB"/>
        </w:rPr>
        <w:t>)</w:t>
      </w:r>
      <w:r w:rsidR="00B05A66" w:rsidRPr="00DA59A9">
        <w:rPr>
          <w:lang w:val="en-GB"/>
        </w:rPr>
        <w:t>, burglary</w:t>
      </w:r>
      <w:r w:rsidR="00996062" w:rsidRPr="00DA59A9">
        <w:rPr>
          <w:lang w:val="en-GB"/>
        </w:rPr>
        <w:t xml:space="preserve"> (</w:t>
      </w:r>
      <w:r w:rsidR="00397026" w:rsidRPr="00DA59A9">
        <w:rPr>
          <w:lang w:val="en-GB"/>
        </w:rPr>
        <w:t>35.2%</w:t>
      </w:r>
      <w:r w:rsidR="00996062" w:rsidRPr="00DA59A9">
        <w:rPr>
          <w:lang w:val="en-GB"/>
        </w:rPr>
        <w:t>)</w:t>
      </w:r>
      <w:r w:rsidR="00B05A66" w:rsidRPr="00DA59A9">
        <w:rPr>
          <w:lang w:val="en-GB"/>
        </w:rPr>
        <w:t>, and criminal damage</w:t>
      </w:r>
      <w:r w:rsidR="00996062" w:rsidRPr="00DA59A9">
        <w:rPr>
          <w:lang w:val="en-GB"/>
        </w:rPr>
        <w:t xml:space="preserve"> (</w:t>
      </w:r>
      <w:r w:rsidR="00397026" w:rsidRPr="00DA59A9">
        <w:rPr>
          <w:lang w:val="en-GB"/>
        </w:rPr>
        <w:t>33.3%</w:t>
      </w:r>
      <w:r w:rsidR="00996062" w:rsidRPr="00DA59A9">
        <w:rPr>
          <w:lang w:val="en-GB"/>
        </w:rPr>
        <w:t>)</w:t>
      </w:r>
      <w:r w:rsidR="00B05A66" w:rsidRPr="00DA59A9">
        <w:rPr>
          <w:lang w:val="en-GB"/>
        </w:rPr>
        <w:t xml:space="preserve"> being the most frequent conviction </w:t>
      </w:r>
      <w:r w:rsidR="00C51DF9" w:rsidRPr="00DA59A9">
        <w:rPr>
          <w:lang w:val="en-GB"/>
        </w:rPr>
        <w:t xml:space="preserve">categories. </w:t>
      </w:r>
      <w:r w:rsidR="00BF77CC">
        <w:rPr>
          <w:lang w:val="en-GB"/>
        </w:rPr>
        <w:t>H</w:t>
      </w:r>
      <w:r w:rsidR="00EA5455" w:rsidRPr="00DA59A9">
        <w:rPr>
          <w:lang w:val="en-GB"/>
        </w:rPr>
        <w:t xml:space="preserve">owever, </w:t>
      </w:r>
      <w:r w:rsidR="00B63BD3" w:rsidRPr="00DA59A9">
        <w:rPr>
          <w:lang w:val="en-GB"/>
        </w:rPr>
        <w:t xml:space="preserve">there is </w:t>
      </w:r>
      <w:r w:rsidR="00EA5455" w:rsidRPr="00DA59A9">
        <w:rPr>
          <w:lang w:val="en-GB"/>
        </w:rPr>
        <w:t xml:space="preserve">also </w:t>
      </w:r>
      <w:r w:rsidR="00B63BD3" w:rsidRPr="00DA59A9">
        <w:rPr>
          <w:lang w:val="en-GB"/>
        </w:rPr>
        <w:t>a sizeable minority</w:t>
      </w:r>
      <w:r w:rsidR="00EA5455" w:rsidRPr="00DA59A9">
        <w:rPr>
          <w:lang w:val="en-GB"/>
        </w:rPr>
        <w:t xml:space="preserve"> of offenders (26.3%) </w:t>
      </w:r>
      <w:r w:rsidR="008F356C" w:rsidRPr="00DA59A9">
        <w:rPr>
          <w:lang w:val="en-GB"/>
        </w:rPr>
        <w:t>without any previous criminal history</w:t>
      </w:r>
      <w:r w:rsidR="00EA5455" w:rsidRPr="00DA59A9">
        <w:rPr>
          <w:lang w:val="en-GB"/>
        </w:rPr>
        <w:t>.</w:t>
      </w:r>
      <w:r w:rsidR="00080107" w:rsidRPr="00DA59A9">
        <w:rPr>
          <w:lang w:val="en-GB"/>
        </w:rPr>
        <w:t xml:space="preserve"> </w:t>
      </w:r>
    </w:p>
    <w:p w:rsidR="00044B71" w:rsidRDefault="00044B71" w:rsidP="00CB2434">
      <w:pPr>
        <w:pStyle w:val="Heading2"/>
        <w:jc w:val="both"/>
        <w:rPr>
          <w:lang w:val="en-GB"/>
        </w:rPr>
      </w:pPr>
      <w:bookmarkStart w:id="8" w:name="_Toc523226017"/>
    </w:p>
    <w:p w:rsidR="005B33A0" w:rsidRPr="00DA59A9" w:rsidRDefault="005B33A0" w:rsidP="00CB2434">
      <w:pPr>
        <w:pStyle w:val="Heading2"/>
        <w:jc w:val="both"/>
        <w:rPr>
          <w:lang w:val="en-GB"/>
        </w:rPr>
      </w:pPr>
      <w:r w:rsidRPr="00DA59A9">
        <w:rPr>
          <w:lang w:val="en-GB"/>
        </w:rPr>
        <w:t>Exploring Male-on-Female Homicide Offenders</w:t>
      </w:r>
      <w:r w:rsidR="00281067" w:rsidRPr="00DA59A9">
        <w:rPr>
          <w:lang w:val="en-GB"/>
        </w:rPr>
        <w:t>’</w:t>
      </w:r>
      <w:r w:rsidRPr="00DA59A9">
        <w:rPr>
          <w:lang w:val="en-GB"/>
        </w:rPr>
        <w:t xml:space="preserve"> </w:t>
      </w:r>
      <w:proofErr w:type="spellStart"/>
      <w:r w:rsidR="006A415D">
        <w:rPr>
          <w:lang w:val="en-GB"/>
        </w:rPr>
        <w:t>Behavior</w:t>
      </w:r>
      <w:r w:rsidRPr="00DA59A9">
        <w:rPr>
          <w:lang w:val="en-GB"/>
        </w:rPr>
        <w:t>s</w:t>
      </w:r>
      <w:proofErr w:type="spellEnd"/>
      <w:r w:rsidRPr="00DA59A9">
        <w:rPr>
          <w:lang w:val="en-GB"/>
        </w:rPr>
        <w:t xml:space="preserve"> and Conviction Histories</w:t>
      </w:r>
      <w:bookmarkEnd w:id="8"/>
      <w:r w:rsidRPr="00DA59A9">
        <w:rPr>
          <w:lang w:val="en-GB"/>
        </w:rPr>
        <w:t xml:space="preserve"> </w:t>
      </w:r>
    </w:p>
    <w:p w:rsidR="0037127F" w:rsidRDefault="00A804E2" w:rsidP="00CB2434">
      <w:pPr>
        <w:pStyle w:val="TextkrperMA"/>
        <w:rPr>
          <w:lang w:val="en-GB"/>
        </w:rPr>
      </w:pPr>
      <w:r w:rsidRPr="00DA59A9">
        <w:rPr>
          <w:lang w:val="en-GB"/>
        </w:rPr>
        <w:t xml:space="preserve">To explore whether any </w:t>
      </w:r>
      <w:r w:rsidR="00DB0C4F" w:rsidRPr="00DA59A9">
        <w:rPr>
          <w:lang w:val="en-GB"/>
        </w:rPr>
        <w:t>bivariate</w:t>
      </w:r>
      <w:r w:rsidRPr="00DA59A9">
        <w:rPr>
          <w:lang w:val="en-GB"/>
        </w:rPr>
        <w:t xml:space="preserve"> associations between </w:t>
      </w:r>
      <w:r w:rsidR="00B77418" w:rsidRPr="00DA59A9">
        <w:rPr>
          <w:lang w:val="en-GB"/>
        </w:rPr>
        <w:t>single</w:t>
      </w:r>
      <w:r w:rsidRPr="00DA59A9">
        <w:rPr>
          <w:lang w:val="en-GB"/>
        </w:rPr>
        <w:t xml:space="preserve"> crime scene </w:t>
      </w:r>
      <w:proofErr w:type="spellStart"/>
      <w:r w:rsidR="006A415D">
        <w:rPr>
          <w:lang w:val="en-GB"/>
        </w:rPr>
        <w:t>behavior</w:t>
      </w:r>
      <w:r w:rsidRPr="00DA59A9">
        <w:rPr>
          <w:lang w:val="en-GB"/>
        </w:rPr>
        <w:t>s</w:t>
      </w:r>
      <w:proofErr w:type="spellEnd"/>
      <w:r w:rsidRPr="00DA59A9">
        <w:rPr>
          <w:lang w:val="en-GB"/>
        </w:rPr>
        <w:t xml:space="preserve"> and specific pre-convictions </w:t>
      </w:r>
      <w:r w:rsidR="00B77418" w:rsidRPr="00DA59A9">
        <w:rPr>
          <w:lang w:val="en-GB"/>
        </w:rPr>
        <w:t>could be found, chi-square analyses were conducted.</w:t>
      </w:r>
      <w:r w:rsidR="000758A8" w:rsidRPr="00DA59A9">
        <w:rPr>
          <w:lang w:val="en-GB"/>
        </w:rPr>
        <w:t xml:space="preserve"> </w:t>
      </w:r>
      <w:r w:rsidR="0037693D" w:rsidRPr="00DA59A9">
        <w:rPr>
          <w:lang w:val="en-GB"/>
        </w:rPr>
        <w:t xml:space="preserve">No significant associations were found for </w:t>
      </w:r>
      <w:r w:rsidR="00962F06">
        <w:rPr>
          <w:lang w:val="en-GB"/>
        </w:rPr>
        <w:t>several</w:t>
      </w:r>
      <w:r w:rsidR="002F2499" w:rsidRPr="00DA59A9">
        <w:rPr>
          <w:lang w:val="en-GB"/>
        </w:rPr>
        <w:t xml:space="preserve"> crime scene </w:t>
      </w:r>
      <w:proofErr w:type="spellStart"/>
      <w:r w:rsidR="006A415D">
        <w:rPr>
          <w:lang w:val="en-GB"/>
        </w:rPr>
        <w:t>behavior</w:t>
      </w:r>
      <w:proofErr w:type="spellEnd"/>
      <w:r w:rsidR="002F2499" w:rsidRPr="00DA59A9">
        <w:rPr>
          <w:lang w:val="en-GB"/>
        </w:rPr>
        <w:t xml:space="preserve"> variables as well as the pre</w:t>
      </w:r>
      <w:r w:rsidR="004573AE">
        <w:rPr>
          <w:lang w:val="en-GB"/>
        </w:rPr>
        <w:noBreakHyphen/>
      </w:r>
      <w:r w:rsidR="002F2499" w:rsidRPr="00DA59A9">
        <w:rPr>
          <w:lang w:val="en-GB"/>
        </w:rPr>
        <w:t xml:space="preserve">conviction variables </w:t>
      </w:r>
      <w:r w:rsidR="002F2499" w:rsidRPr="00DA59A9">
        <w:rPr>
          <w:i/>
          <w:lang w:val="en-GB"/>
        </w:rPr>
        <w:t>criminal record</w:t>
      </w:r>
      <w:r w:rsidR="002F2499" w:rsidRPr="00DA59A9">
        <w:rPr>
          <w:lang w:val="en-GB"/>
        </w:rPr>
        <w:t xml:space="preserve">, </w:t>
      </w:r>
      <w:r w:rsidR="0037693D" w:rsidRPr="00DA59A9">
        <w:rPr>
          <w:i/>
          <w:lang w:val="en-GB"/>
        </w:rPr>
        <w:t>drug</w:t>
      </w:r>
      <w:r w:rsidR="002F2499" w:rsidRPr="00DA59A9">
        <w:rPr>
          <w:i/>
          <w:lang w:val="en-GB"/>
        </w:rPr>
        <w:t>s</w:t>
      </w:r>
      <w:r w:rsidR="0037693D" w:rsidRPr="00DA59A9">
        <w:rPr>
          <w:lang w:val="en-GB"/>
        </w:rPr>
        <w:t xml:space="preserve">, </w:t>
      </w:r>
      <w:r w:rsidR="0037693D" w:rsidRPr="00DA59A9">
        <w:rPr>
          <w:i/>
          <w:lang w:val="en-GB"/>
        </w:rPr>
        <w:t>public order</w:t>
      </w:r>
      <w:r w:rsidR="0037693D" w:rsidRPr="00DA59A9">
        <w:rPr>
          <w:lang w:val="en-GB"/>
        </w:rPr>
        <w:t>,</w:t>
      </w:r>
      <w:r w:rsidR="002F2499" w:rsidRPr="00DA59A9">
        <w:rPr>
          <w:lang w:val="en-GB"/>
        </w:rPr>
        <w:t xml:space="preserve"> </w:t>
      </w:r>
      <w:r w:rsidR="002F2499" w:rsidRPr="00DA59A9">
        <w:rPr>
          <w:i/>
          <w:lang w:val="en-GB"/>
        </w:rPr>
        <w:t>robbery</w:t>
      </w:r>
      <w:r w:rsidR="0037693D" w:rsidRPr="00DA59A9">
        <w:rPr>
          <w:lang w:val="en-GB"/>
        </w:rPr>
        <w:t xml:space="preserve"> and </w:t>
      </w:r>
      <w:r w:rsidR="0037693D" w:rsidRPr="00DA59A9">
        <w:rPr>
          <w:i/>
          <w:lang w:val="en-GB"/>
        </w:rPr>
        <w:t>sexual crimes</w:t>
      </w:r>
      <w:r w:rsidR="0037693D" w:rsidRPr="00DA59A9">
        <w:rPr>
          <w:lang w:val="en-GB"/>
        </w:rPr>
        <w:t xml:space="preserve">, whereas </w:t>
      </w:r>
      <w:r w:rsidR="0037693D" w:rsidRPr="00DA59A9">
        <w:rPr>
          <w:i/>
          <w:lang w:val="en-GB"/>
        </w:rPr>
        <w:t>arson</w:t>
      </w:r>
      <w:r w:rsidR="0037693D" w:rsidRPr="00DA59A9">
        <w:rPr>
          <w:lang w:val="en-GB"/>
        </w:rPr>
        <w:t xml:space="preserve"> and </w:t>
      </w:r>
      <w:r w:rsidR="0037693D" w:rsidRPr="00DA59A9">
        <w:rPr>
          <w:i/>
          <w:lang w:val="en-GB"/>
        </w:rPr>
        <w:t>homicide</w:t>
      </w:r>
      <w:r w:rsidR="0037693D" w:rsidRPr="00DA59A9">
        <w:rPr>
          <w:lang w:val="en-GB"/>
        </w:rPr>
        <w:t xml:space="preserve"> were excluded from </w:t>
      </w:r>
      <w:r w:rsidR="00E140EC" w:rsidRPr="00DA59A9">
        <w:rPr>
          <w:lang w:val="en-GB"/>
        </w:rPr>
        <w:t>the</w:t>
      </w:r>
      <w:r w:rsidR="0037693D" w:rsidRPr="00DA59A9">
        <w:rPr>
          <w:lang w:val="en-GB"/>
        </w:rPr>
        <w:t xml:space="preserve"> analysis due to their extremely low frequency within this sample.</w:t>
      </w:r>
      <w:r w:rsidR="000C4AA5" w:rsidRPr="00DA59A9">
        <w:rPr>
          <w:lang w:val="en-GB"/>
        </w:rPr>
        <w:t xml:space="preserve"> </w:t>
      </w:r>
      <w:r w:rsidR="00DB0C4F" w:rsidRPr="00DA59A9">
        <w:rPr>
          <w:lang w:val="en-GB"/>
        </w:rPr>
        <w:t>A</w:t>
      </w:r>
      <w:r w:rsidR="00830CC1" w:rsidRPr="00DA59A9">
        <w:rPr>
          <w:lang w:val="en-GB"/>
        </w:rPr>
        <w:t xml:space="preserve"> total of 16 statistically significant relationships (</w:t>
      </w:r>
      <w:r w:rsidR="00830CC1" w:rsidRPr="00DA59A9">
        <w:rPr>
          <w:i/>
          <w:lang w:val="en-GB"/>
        </w:rPr>
        <w:t>p</w:t>
      </w:r>
      <w:r w:rsidR="00830CC1" w:rsidRPr="00DA59A9">
        <w:rPr>
          <w:lang w:val="en-GB"/>
        </w:rPr>
        <w:t> &lt; .05)</w:t>
      </w:r>
      <w:r w:rsidR="00DB0C4F" w:rsidRPr="00DA59A9">
        <w:rPr>
          <w:lang w:val="en-GB"/>
        </w:rPr>
        <w:t xml:space="preserve"> were obtained, for which Table 4 shows Odds Ratios </w:t>
      </w:r>
      <w:r w:rsidR="00B044A6" w:rsidRPr="00DA59A9">
        <w:rPr>
          <w:lang w:val="en-GB"/>
        </w:rPr>
        <w:t>a</w:t>
      </w:r>
      <w:r w:rsidR="00EC3E33" w:rsidRPr="00DA59A9">
        <w:rPr>
          <w:lang w:val="en-GB"/>
        </w:rPr>
        <w:t>s a measure of effect size and direction</w:t>
      </w:r>
      <w:r w:rsidR="00DB0C4F" w:rsidRPr="00DA59A9">
        <w:rPr>
          <w:lang w:val="en-GB"/>
        </w:rPr>
        <w:t>.</w:t>
      </w:r>
    </w:p>
    <w:p w:rsidR="009335A0" w:rsidRPr="00DA59A9" w:rsidRDefault="008C4E14" w:rsidP="00CB2434">
      <w:pPr>
        <w:pStyle w:val="Heading3"/>
        <w:jc w:val="both"/>
        <w:rPr>
          <w:lang w:val="en-GB"/>
        </w:rPr>
      </w:pPr>
      <w:bookmarkStart w:id="9" w:name="_Toc523226018"/>
      <w:r w:rsidRPr="00DA59A9">
        <w:rPr>
          <w:lang w:val="en-GB"/>
        </w:rPr>
        <w:t xml:space="preserve">Precautionary </w:t>
      </w:r>
      <w:proofErr w:type="spellStart"/>
      <w:r w:rsidR="006A415D">
        <w:rPr>
          <w:lang w:val="en-GB"/>
        </w:rPr>
        <w:t>behavior</w:t>
      </w:r>
      <w:r w:rsidRPr="00DA59A9">
        <w:rPr>
          <w:lang w:val="en-GB"/>
        </w:rPr>
        <w:t>s</w:t>
      </w:r>
      <w:proofErr w:type="spellEnd"/>
      <w:r w:rsidRPr="00DA59A9">
        <w:rPr>
          <w:lang w:val="en-GB"/>
        </w:rPr>
        <w:t>.</w:t>
      </w:r>
      <w:bookmarkEnd w:id="9"/>
    </w:p>
    <w:p w:rsidR="008C4E14" w:rsidRPr="00DA59A9" w:rsidRDefault="00CE500A" w:rsidP="00CB2434">
      <w:pPr>
        <w:pStyle w:val="TextkrperMA"/>
        <w:rPr>
          <w:lang w:val="en-GB"/>
        </w:rPr>
      </w:pPr>
      <w:r w:rsidRPr="00DA59A9">
        <w:rPr>
          <w:lang w:val="en-GB"/>
        </w:rPr>
        <w:t xml:space="preserve">If an offender took </w:t>
      </w:r>
      <w:r w:rsidRPr="00DA59A9">
        <w:rPr>
          <w:i/>
          <w:lang w:val="en-GB"/>
        </w:rPr>
        <w:t>precautions relating to the crime scene</w:t>
      </w:r>
      <w:r w:rsidR="00B96B2A" w:rsidRPr="00DA59A9">
        <w:rPr>
          <w:lang w:val="en-GB"/>
        </w:rPr>
        <w:t>,</w:t>
      </w:r>
      <w:r w:rsidRPr="00DA59A9">
        <w:rPr>
          <w:lang w:val="en-GB"/>
        </w:rPr>
        <w:t xml:space="preserve"> he </w:t>
      </w:r>
      <w:r w:rsidR="00335AB1">
        <w:rPr>
          <w:lang w:val="en-GB"/>
        </w:rPr>
        <w:t xml:space="preserve">was nearly 3 times </w:t>
      </w:r>
      <w:r w:rsidR="00335AB1" w:rsidRPr="00805511">
        <w:rPr>
          <w:i/>
          <w:lang w:val="en-GB"/>
        </w:rPr>
        <w:t>less</w:t>
      </w:r>
      <w:r w:rsidR="00335AB1">
        <w:rPr>
          <w:lang w:val="en-GB"/>
        </w:rPr>
        <w:t xml:space="preserve"> likely (OR &lt; 1, therefore 1/0.36 = 2.78) to have</w:t>
      </w:r>
      <w:r w:rsidRPr="00DA59A9">
        <w:rPr>
          <w:lang w:val="en-GB"/>
        </w:rPr>
        <w:t xml:space="preserve"> a previous conviction for </w:t>
      </w:r>
      <w:r w:rsidRPr="00DA59A9">
        <w:rPr>
          <w:i/>
          <w:lang w:val="en-GB"/>
        </w:rPr>
        <w:t>weapon</w:t>
      </w:r>
      <w:r w:rsidR="000C09BC">
        <w:rPr>
          <w:i/>
          <w:lang w:val="en-GB"/>
        </w:rPr>
        <w:noBreakHyphen/>
      </w:r>
      <w:r w:rsidRPr="00DA59A9">
        <w:rPr>
          <w:i/>
          <w:lang w:val="en-GB"/>
        </w:rPr>
        <w:t>related crimes</w:t>
      </w:r>
      <w:r w:rsidRPr="00DA59A9">
        <w:rPr>
          <w:lang w:val="en-GB"/>
        </w:rPr>
        <w:t xml:space="preserve">, </w:t>
      </w:r>
      <w:r w:rsidRPr="00DA59A9">
        <w:rPr>
          <w:i/>
          <w:lang w:val="en-GB"/>
        </w:rPr>
        <w:sym w:font="Symbol" w:char="F063"/>
      </w:r>
      <w:r w:rsidRPr="00DA59A9">
        <w:rPr>
          <w:i/>
          <w:lang w:val="en-GB"/>
        </w:rPr>
        <w:t>²</w:t>
      </w:r>
      <w:r w:rsidRPr="00DA59A9">
        <w:rPr>
          <w:lang w:val="en-GB"/>
        </w:rPr>
        <w:t>(1) = </w:t>
      </w:r>
      <w:r w:rsidR="0035144A" w:rsidRPr="00DA59A9">
        <w:rPr>
          <w:lang w:val="en-GB"/>
        </w:rPr>
        <w:t>4.213</w:t>
      </w:r>
      <w:r w:rsidRPr="00DA59A9">
        <w:rPr>
          <w:lang w:val="en-GB"/>
        </w:rPr>
        <w:t xml:space="preserve">, </w:t>
      </w:r>
      <w:r w:rsidRPr="00DA59A9">
        <w:rPr>
          <w:i/>
          <w:lang w:val="en-GB"/>
        </w:rPr>
        <w:t>p</w:t>
      </w:r>
      <w:r w:rsidRPr="00DA59A9">
        <w:rPr>
          <w:lang w:val="en-GB"/>
        </w:rPr>
        <w:t> = </w:t>
      </w:r>
      <w:r w:rsidR="00CA0B32" w:rsidRPr="00DA59A9">
        <w:rPr>
          <w:lang w:val="en-GB"/>
        </w:rPr>
        <w:t>.04</w:t>
      </w:r>
      <w:r w:rsidR="00FF2EE1" w:rsidRPr="00DA59A9">
        <w:rPr>
          <w:lang w:val="en-GB"/>
        </w:rPr>
        <w:t>0</w:t>
      </w:r>
      <w:r w:rsidRPr="00DA59A9">
        <w:rPr>
          <w:lang w:val="en-GB"/>
        </w:rPr>
        <w:t>.</w:t>
      </w:r>
    </w:p>
    <w:p w:rsidR="008C4E14" w:rsidRPr="00DA59A9" w:rsidRDefault="008C4E14" w:rsidP="00CB2434">
      <w:pPr>
        <w:pStyle w:val="Heading3"/>
        <w:jc w:val="both"/>
        <w:rPr>
          <w:lang w:val="en-GB"/>
        </w:rPr>
      </w:pPr>
      <w:bookmarkStart w:id="10" w:name="_Toc523226019"/>
      <w:r w:rsidRPr="00DA59A9">
        <w:rPr>
          <w:lang w:val="en-GB"/>
        </w:rPr>
        <w:t xml:space="preserve">Sexual </w:t>
      </w:r>
      <w:proofErr w:type="spellStart"/>
      <w:r w:rsidR="006A415D">
        <w:rPr>
          <w:lang w:val="en-GB"/>
        </w:rPr>
        <w:t>behavior</w:t>
      </w:r>
      <w:r w:rsidRPr="00DA59A9">
        <w:rPr>
          <w:lang w:val="en-GB"/>
        </w:rPr>
        <w:t>s</w:t>
      </w:r>
      <w:proofErr w:type="spellEnd"/>
      <w:r w:rsidRPr="00DA59A9">
        <w:rPr>
          <w:lang w:val="en-GB"/>
        </w:rPr>
        <w:t>.</w:t>
      </w:r>
      <w:bookmarkEnd w:id="10"/>
    </w:p>
    <w:p w:rsidR="008C4E14" w:rsidRPr="00DA59A9" w:rsidRDefault="004D3EEC" w:rsidP="00CB2434">
      <w:pPr>
        <w:pStyle w:val="TextkrperMA"/>
        <w:rPr>
          <w:lang w:val="en-GB"/>
        </w:rPr>
      </w:pPr>
      <w:r>
        <w:rPr>
          <w:lang w:val="en-GB"/>
        </w:rPr>
        <w:t>I</w:t>
      </w:r>
      <w:r w:rsidRPr="00DA59A9">
        <w:rPr>
          <w:lang w:val="en-GB"/>
        </w:rPr>
        <w:t xml:space="preserve">f </w:t>
      </w:r>
      <w:r w:rsidRPr="00DA59A9">
        <w:rPr>
          <w:i/>
          <w:lang w:val="en-GB"/>
        </w:rPr>
        <w:t>vaginal penetration</w:t>
      </w:r>
      <w:r w:rsidRPr="00DA59A9">
        <w:rPr>
          <w:lang w:val="en-GB"/>
        </w:rPr>
        <w:t xml:space="preserve"> did occur during the homicide</w:t>
      </w:r>
      <w:r>
        <w:rPr>
          <w:lang w:val="en-GB"/>
        </w:rPr>
        <w:t>,</w:t>
      </w:r>
      <w:r w:rsidRPr="00DA59A9">
        <w:rPr>
          <w:lang w:val="en-GB"/>
        </w:rPr>
        <w:t xml:space="preserve"> </w:t>
      </w:r>
      <w:r>
        <w:rPr>
          <w:lang w:val="en-GB"/>
        </w:rPr>
        <w:t>t</w:t>
      </w:r>
      <w:r w:rsidR="00CD4C24" w:rsidRPr="00DA59A9">
        <w:rPr>
          <w:lang w:val="en-GB"/>
        </w:rPr>
        <w:t>he likelihoods of</w:t>
      </w:r>
      <w:r w:rsidR="00B96B2A" w:rsidRPr="00DA59A9">
        <w:rPr>
          <w:lang w:val="en-GB"/>
        </w:rPr>
        <w:t xml:space="preserve"> </w:t>
      </w:r>
      <w:r>
        <w:rPr>
          <w:lang w:val="en-GB"/>
        </w:rPr>
        <w:t xml:space="preserve">several </w:t>
      </w:r>
      <w:r w:rsidR="00B96B2A" w:rsidRPr="00DA59A9">
        <w:rPr>
          <w:lang w:val="en-GB"/>
        </w:rPr>
        <w:t>pre</w:t>
      </w:r>
      <w:r>
        <w:rPr>
          <w:lang w:val="en-GB"/>
        </w:rPr>
        <w:noBreakHyphen/>
      </w:r>
      <w:r w:rsidR="00B96B2A" w:rsidRPr="00DA59A9">
        <w:rPr>
          <w:lang w:val="en-GB"/>
        </w:rPr>
        <w:t xml:space="preserve">convictions </w:t>
      </w:r>
      <w:r w:rsidRPr="00DA59A9">
        <w:rPr>
          <w:lang w:val="en-GB"/>
        </w:rPr>
        <w:t>were reduced significantly</w:t>
      </w:r>
      <w:r>
        <w:rPr>
          <w:lang w:val="en-GB"/>
        </w:rPr>
        <w:t>, with</w:t>
      </w:r>
      <w:r w:rsidR="00B96B2A" w:rsidRPr="00DA59A9">
        <w:rPr>
          <w:lang w:val="en-GB"/>
        </w:rPr>
        <w:t xml:space="preserve"> </w:t>
      </w:r>
      <w:r w:rsidR="00B96B2A" w:rsidRPr="00DA59A9">
        <w:rPr>
          <w:i/>
          <w:lang w:val="en-GB"/>
        </w:rPr>
        <w:t>theft</w:t>
      </w:r>
      <w:r w:rsidR="0088513A">
        <w:rPr>
          <w:lang w:val="en-GB"/>
        </w:rPr>
        <w:t>,</w:t>
      </w:r>
      <w:r w:rsidR="0088513A" w:rsidRPr="00DA59A9">
        <w:rPr>
          <w:lang w:val="en-GB"/>
        </w:rPr>
        <w:t xml:space="preserve"> </w:t>
      </w:r>
      <w:r w:rsidR="0088513A" w:rsidRPr="00DA59A9">
        <w:rPr>
          <w:i/>
          <w:lang w:val="en-GB"/>
        </w:rPr>
        <w:sym w:font="Symbol" w:char="F063"/>
      </w:r>
      <w:r w:rsidR="0088513A" w:rsidRPr="00DA59A9">
        <w:rPr>
          <w:i/>
          <w:lang w:val="en-GB"/>
        </w:rPr>
        <w:t>²</w:t>
      </w:r>
      <w:r w:rsidR="0088513A" w:rsidRPr="00DA59A9">
        <w:rPr>
          <w:lang w:val="en-GB"/>
        </w:rPr>
        <w:t xml:space="preserve">(1) = 5.910, </w:t>
      </w:r>
      <w:r w:rsidR="0088513A" w:rsidRPr="00DA59A9">
        <w:rPr>
          <w:i/>
          <w:lang w:val="en-GB"/>
        </w:rPr>
        <w:t>p</w:t>
      </w:r>
      <w:r w:rsidR="0088513A" w:rsidRPr="00DA59A9">
        <w:rPr>
          <w:lang w:val="en-GB"/>
        </w:rPr>
        <w:t xml:space="preserve"> = .015, and </w:t>
      </w:r>
      <w:r w:rsidR="0088513A" w:rsidRPr="00DA59A9">
        <w:rPr>
          <w:i/>
          <w:lang w:val="en-GB"/>
        </w:rPr>
        <w:t>violence</w:t>
      </w:r>
      <w:r w:rsidR="0088513A">
        <w:rPr>
          <w:lang w:val="en-GB"/>
        </w:rPr>
        <w:t xml:space="preserve">, </w:t>
      </w:r>
      <w:r w:rsidR="0088513A" w:rsidRPr="00DA59A9">
        <w:rPr>
          <w:i/>
          <w:lang w:val="en-GB"/>
        </w:rPr>
        <w:sym w:font="Symbol" w:char="F063"/>
      </w:r>
      <w:r w:rsidR="0088513A" w:rsidRPr="00DA59A9">
        <w:rPr>
          <w:i/>
          <w:lang w:val="en-GB"/>
        </w:rPr>
        <w:t>²</w:t>
      </w:r>
      <w:r w:rsidR="0088513A" w:rsidRPr="00DA59A9">
        <w:rPr>
          <w:lang w:val="en-GB"/>
        </w:rPr>
        <w:t xml:space="preserve">(1) = 4.626, </w:t>
      </w:r>
      <w:r w:rsidR="0088513A" w:rsidRPr="00DA59A9">
        <w:rPr>
          <w:i/>
          <w:lang w:val="en-GB"/>
        </w:rPr>
        <w:t>p</w:t>
      </w:r>
      <w:r w:rsidR="0088513A" w:rsidRPr="00DA59A9">
        <w:rPr>
          <w:lang w:val="en-GB"/>
        </w:rPr>
        <w:t> = .031,</w:t>
      </w:r>
      <w:r w:rsidR="0088513A">
        <w:rPr>
          <w:lang w:val="en-GB"/>
        </w:rPr>
        <w:t xml:space="preserve"> </w:t>
      </w:r>
      <w:r>
        <w:rPr>
          <w:lang w:val="en-GB"/>
        </w:rPr>
        <w:t xml:space="preserve">being </w:t>
      </w:r>
      <w:r w:rsidR="0088513A">
        <w:rPr>
          <w:lang w:val="en-GB"/>
        </w:rPr>
        <w:t>2</w:t>
      </w:r>
      <w:r>
        <w:rPr>
          <w:lang w:val="en-GB"/>
        </w:rPr>
        <w:t xml:space="preserve"> times</w:t>
      </w:r>
      <w:r w:rsidR="0088513A">
        <w:rPr>
          <w:lang w:val="en-GB"/>
        </w:rPr>
        <w:t xml:space="preserve"> and </w:t>
      </w:r>
      <w:r w:rsidR="00B96B2A" w:rsidRPr="00DA59A9">
        <w:rPr>
          <w:i/>
          <w:lang w:val="en-GB"/>
        </w:rPr>
        <w:t>weapon</w:t>
      </w:r>
      <w:r w:rsidR="0088513A" w:rsidRPr="00DA59A9">
        <w:rPr>
          <w:i/>
          <w:lang w:val="en-GB"/>
        </w:rPr>
        <w:t>-related crimes</w:t>
      </w:r>
      <w:r w:rsidR="0088513A">
        <w:rPr>
          <w:lang w:val="en-GB"/>
        </w:rPr>
        <w:t xml:space="preserve"> nearly 2.5 times</w:t>
      </w:r>
      <w:r w:rsidR="00805511" w:rsidRPr="00805511">
        <w:rPr>
          <w:i/>
          <w:lang w:val="en-GB"/>
        </w:rPr>
        <w:t xml:space="preserve"> </w:t>
      </w:r>
      <w:r w:rsidR="00805511" w:rsidRPr="0088513A">
        <w:rPr>
          <w:i/>
          <w:lang w:val="en-GB"/>
        </w:rPr>
        <w:t>less</w:t>
      </w:r>
      <w:r w:rsidR="00805511">
        <w:rPr>
          <w:lang w:val="en-GB"/>
        </w:rPr>
        <w:t xml:space="preserve"> likely</w:t>
      </w:r>
      <w:r w:rsidR="0088513A">
        <w:rPr>
          <w:lang w:val="en-GB"/>
        </w:rPr>
        <w:t>,</w:t>
      </w:r>
      <w:r w:rsidR="003231E8" w:rsidRPr="00DA59A9">
        <w:rPr>
          <w:lang w:val="en-GB"/>
        </w:rPr>
        <w:t xml:space="preserve"> </w:t>
      </w:r>
      <w:r w:rsidR="003231E8" w:rsidRPr="00DA59A9">
        <w:rPr>
          <w:i/>
          <w:lang w:val="en-GB"/>
        </w:rPr>
        <w:sym w:font="Symbol" w:char="F063"/>
      </w:r>
      <w:r w:rsidR="003231E8" w:rsidRPr="00DA59A9">
        <w:rPr>
          <w:i/>
          <w:lang w:val="en-GB"/>
        </w:rPr>
        <w:t>²</w:t>
      </w:r>
      <w:r w:rsidR="003231E8" w:rsidRPr="00DA59A9">
        <w:rPr>
          <w:lang w:val="en-GB"/>
        </w:rPr>
        <w:t>(1) = </w:t>
      </w:r>
      <w:r w:rsidR="00FF2EE1" w:rsidRPr="00DA59A9">
        <w:rPr>
          <w:lang w:val="en-GB"/>
        </w:rPr>
        <w:t>4.039</w:t>
      </w:r>
      <w:r w:rsidR="003231E8" w:rsidRPr="00DA59A9">
        <w:rPr>
          <w:lang w:val="en-GB"/>
        </w:rPr>
        <w:t xml:space="preserve">, </w:t>
      </w:r>
      <w:r w:rsidR="003231E8" w:rsidRPr="00DA59A9">
        <w:rPr>
          <w:i/>
          <w:lang w:val="en-GB"/>
        </w:rPr>
        <w:t>p</w:t>
      </w:r>
      <w:r w:rsidR="003231E8" w:rsidRPr="00DA59A9">
        <w:rPr>
          <w:lang w:val="en-GB"/>
        </w:rPr>
        <w:t> = </w:t>
      </w:r>
      <w:r w:rsidR="00FF2EE1" w:rsidRPr="00DA59A9">
        <w:rPr>
          <w:lang w:val="en-GB"/>
        </w:rPr>
        <w:t>.044</w:t>
      </w:r>
      <w:r w:rsidR="003231E8" w:rsidRPr="00DA59A9">
        <w:rPr>
          <w:lang w:val="en-GB"/>
        </w:rPr>
        <w:t xml:space="preserve">. </w:t>
      </w:r>
      <w:r w:rsidR="0088513A">
        <w:rPr>
          <w:lang w:val="en-GB"/>
        </w:rPr>
        <w:t>Similarly, p</w:t>
      </w:r>
      <w:r w:rsidR="003231E8" w:rsidRPr="00DA59A9">
        <w:rPr>
          <w:lang w:val="en-GB"/>
        </w:rPr>
        <w:t>re-conviction</w:t>
      </w:r>
      <w:r w:rsidR="0088513A">
        <w:rPr>
          <w:lang w:val="en-GB"/>
        </w:rPr>
        <w:t>s</w:t>
      </w:r>
      <w:r w:rsidR="003231E8" w:rsidRPr="00DA59A9">
        <w:rPr>
          <w:lang w:val="en-GB"/>
        </w:rPr>
        <w:t xml:space="preserve"> for </w:t>
      </w:r>
      <w:r w:rsidR="003231E8" w:rsidRPr="00DA59A9">
        <w:rPr>
          <w:i/>
          <w:lang w:val="en-GB"/>
        </w:rPr>
        <w:t>violen</w:t>
      </w:r>
      <w:r w:rsidR="0031178A" w:rsidRPr="00DA59A9">
        <w:rPr>
          <w:i/>
          <w:lang w:val="en-GB"/>
        </w:rPr>
        <w:t>t crimes</w:t>
      </w:r>
      <w:r w:rsidR="003231E8" w:rsidRPr="00DA59A9">
        <w:rPr>
          <w:lang w:val="en-GB"/>
        </w:rPr>
        <w:t xml:space="preserve"> w</w:t>
      </w:r>
      <w:r w:rsidR="00CD4C24" w:rsidRPr="00DA59A9">
        <w:rPr>
          <w:lang w:val="en-GB"/>
        </w:rPr>
        <w:t>ere</w:t>
      </w:r>
      <w:r w:rsidR="003231E8" w:rsidRPr="00DA59A9">
        <w:rPr>
          <w:lang w:val="en-GB"/>
        </w:rPr>
        <w:t xml:space="preserve"> </w:t>
      </w:r>
      <w:r w:rsidR="0088513A">
        <w:rPr>
          <w:lang w:val="en-GB"/>
        </w:rPr>
        <w:t xml:space="preserve">2.5 times </w:t>
      </w:r>
      <w:r w:rsidR="0088513A" w:rsidRPr="0088513A">
        <w:rPr>
          <w:i/>
          <w:lang w:val="en-GB"/>
        </w:rPr>
        <w:t>less</w:t>
      </w:r>
      <w:r w:rsidR="0088513A">
        <w:rPr>
          <w:lang w:val="en-GB"/>
        </w:rPr>
        <w:t xml:space="preserve"> likely</w:t>
      </w:r>
      <w:r w:rsidR="00CD4C24" w:rsidRPr="00DA59A9">
        <w:rPr>
          <w:lang w:val="en-GB"/>
        </w:rPr>
        <w:t xml:space="preserve"> </w:t>
      </w:r>
      <w:r w:rsidR="003231E8" w:rsidRPr="00DA59A9">
        <w:rPr>
          <w:lang w:val="en-GB"/>
        </w:rPr>
        <w:t xml:space="preserve">if the offender </w:t>
      </w:r>
      <w:r w:rsidR="003231E8" w:rsidRPr="00DA59A9">
        <w:rPr>
          <w:i/>
          <w:lang w:val="en-GB"/>
        </w:rPr>
        <w:t>moved the victim’s clothing to expose</w:t>
      </w:r>
      <w:r w:rsidR="003231E8" w:rsidRPr="00DA59A9">
        <w:rPr>
          <w:lang w:val="en-GB"/>
        </w:rPr>
        <w:t xml:space="preserve"> her, </w:t>
      </w:r>
      <w:r w:rsidR="003231E8" w:rsidRPr="00DA59A9">
        <w:rPr>
          <w:i/>
          <w:lang w:val="en-GB"/>
        </w:rPr>
        <w:lastRenderedPageBreak/>
        <w:sym w:font="Symbol" w:char="F063"/>
      </w:r>
      <w:r w:rsidR="003231E8" w:rsidRPr="00DA59A9">
        <w:rPr>
          <w:i/>
          <w:lang w:val="en-GB"/>
        </w:rPr>
        <w:t>²</w:t>
      </w:r>
      <w:r w:rsidR="003231E8" w:rsidRPr="00DA59A9">
        <w:rPr>
          <w:lang w:val="en-GB"/>
        </w:rPr>
        <w:t>(1) = </w:t>
      </w:r>
      <w:r w:rsidR="00FF2EE1" w:rsidRPr="00DA59A9">
        <w:rPr>
          <w:lang w:val="en-GB"/>
        </w:rPr>
        <w:t>4.054</w:t>
      </w:r>
      <w:r w:rsidR="003231E8" w:rsidRPr="00DA59A9">
        <w:rPr>
          <w:lang w:val="en-GB"/>
        </w:rPr>
        <w:t xml:space="preserve">, </w:t>
      </w:r>
      <w:r w:rsidR="003231E8" w:rsidRPr="00DA59A9">
        <w:rPr>
          <w:i/>
          <w:lang w:val="en-GB"/>
        </w:rPr>
        <w:t>p</w:t>
      </w:r>
      <w:r w:rsidR="003231E8" w:rsidRPr="00DA59A9">
        <w:rPr>
          <w:lang w:val="en-GB"/>
        </w:rPr>
        <w:t> = </w:t>
      </w:r>
      <w:r w:rsidR="00FF2EE1" w:rsidRPr="00DA59A9">
        <w:rPr>
          <w:lang w:val="en-GB"/>
        </w:rPr>
        <w:t>.044</w:t>
      </w:r>
      <w:r w:rsidR="003231E8" w:rsidRPr="00DA59A9">
        <w:rPr>
          <w:lang w:val="en-GB"/>
        </w:rPr>
        <w:t>.</w:t>
      </w:r>
      <w:r w:rsidR="006921AA" w:rsidRPr="00DA59A9">
        <w:rPr>
          <w:lang w:val="en-GB"/>
        </w:rPr>
        <w:t xml:space="preserve"> Contrarily, </w:t>
      </w:r>
      <w:r w:rsidR="006F5902" w:rsidRPr="00DA59A9">
        <w:rPr>
          <w:lang w:val="en-GB"/>
        </w:rPr>
        <w:t>a</w:t>
      </w:r>
      <w:r w:rsidR="006921AA" w:rsidRPr="00DA59A9">
        <w:rPr>
          <w:lang w:val="en-GB"/>
        </w:rPr>
        <w:t xml:space="preserve"> previous conviction for </w:t>
      </w:r>
      <w:r w:rsidR="006921AA" w:rsidRPr="00DA59A9">
        <w:rPr>
          <w:i/>
          <w:lang w:val="en-GB"/>
        </w:rPr>
        <w:t>fraud</w:t>
      </w:r>
      <w:r w:rsidR="006921AA" w:rsidRPr="00DA59A9">
        <w:rPr>
          <w:lang w:val="en-GB"/>
        </w:rPr>
        <w:t xml:space="preserve"> </w:t>
      </w:r>
      <w:r w:rsidR="006F5902" w:rsidRPr="00DA59A9">
        <w:rPr>
          <w:lang w:val="en-GB"/>
        </w:rPr>
        <w:t xml:space="preserve">was </w:t>
      </w:r>
      <w:r w:rsidR="0088513A">
        <w:rPr>
          <w:lang w:val="en-GB"/>
        </w:rPr>
        <w:t xml:space="preserve">2 times </w:t>
      </w:r>
      <w:r w:rsidR="0088513A" w:rsidRPr="0088513A">
        <w:rPr>
          <w:i/>
          <w:lang w:val="en-GB"/>
        </w:rPr>
        <w:t>more</w:t>
      </w:r>
      <w:r w:rsidR="0088513A">
        <w:rPr>
          <w:lang w:val="en-GB"/>
        </w:rPr>
        <w:t xml:space="preserve"> likely</w:t>
      </w:r>
      <w:r w:rsidR="006F5902" w:rsidRPr="00DA59A9">
        <w:rPr>
          <w:lang w:val="en-GB"/>
        </w:rPr>
        <w:t xml:space="preserve"> </w:t>
      </w:r>
      <w:r w:rsidR="006921AA" w:rsidRPr="00DA59A9">
        <w:rPr>
          <w:lang w:val="en-GB"/>
        </w:rPr>
        <w:t xml:space="preserve">if the victim was found </w:t>
      </w:r>
      <w:r w:rsidR="006921AA" w:rsidRPr="00DA59A9">
        <w:rPr>
          <w:i/>
          <w:lang w:val="en-GB"/>
        </w:rPr>
        <w:t>naked</w:t>
      </w:r>
      <w:r w:rsidR="006921AA" w:rsidRPr="00DA59A9">
        <w:rPr>
          <w:lang w:val="en-GB"/>
        </w:rPr>
        <w:t>,</w:t>
      </w:r>
      <w:r w:rsidR="006921AA" w:rsidRPr="00DA59A9">
        <w:rPr>
          <w:i/>
          <w:lang w:val="en-GB"/>
        </w:rPr>
        <w:t xml:space="preserve"> </w:t>
      </w:r>
      <w:r w:rsidR="006921AA" w:rsidRPr="00DA59A9">
        <w:rPr>
          <w:i/>
          <w:lang w:val="en-GB"/>
        </w:rPr>
        <w:sym w:font="Symbol" w:char="F063"/>
      </w:r>
      <w:r w:rsidR="006921AA" w:rsidRPr="00DA59A9">
        <w:rPr>
          <w:i/>
          <w:lang w:val="en-GB"/>
        </w:rPr>
        <w:t>²</w:t>
      </w:r>
      <w:r w:rsidR="006921AA" w:rsidRPr="00DA59A9">
        <w:rPr>
          <w:lang w:val="en-GB"/>
        </w:rPr>
        <w:t>(1) = </w:t>
      </w:r>
      <w:r w:rsidR="008442EA" w:rsidRPr="00DA59A9">
        <w:rPr>
          <w:lang w:val="en-GB"/>
        </w:rPr>
        <w:t>3.885</w:t>
      </w:r>
      <w:r w:rsidR="006921AA" w:rsidRPr="00DA59A9">
        <w:rPr>
          <w:lang w:val="en-GB"/>
        </w:rPr>
        <w:t xml:space="preserve">, </w:t>
      </w:r>
      <w:r w:rsidR="006921AA" w:rsidRPr="00DA59A9">
        <w:rPr>
          <w:i/>
          <w:lang w:val="en-GB"/>
        </w:rPr>
        <w:t>p</w:t>
      </w:r>
      <w:r w:rsidR="006921AA" w:rsidRPr="00DA59A9">
        <w:rPr>
          <w:lang w:val="en-GB"/>
        </w:rPr>
        <w:t> =</w:t>
      </w:r>
      <w:r w:rsidR="0099402F" w:rsidRPr="00DA59A9">
        <w:rPr>
          <w:lang w:val="en-GB"/>
        </w:rPr>
        <w:t> </w:t>
      </w:r>
      <w:r w:rsidR="008442EA" w:rsidRPr="00DA59A9">
        <w:rPr>
          <w:lang w:val="en-GB"/>
        </w:rPr>
        <w:t>.049</w:t>
      </w:r>
      <w:r w:rsidR="0099402F" w:rsidRPr="00DA59A9">
        <w:rPr>
          <w:lang w:val="en-GB"/>
        </w:rPr>
        <w:t>.</w:t>
      </w:r>
    </w:p>
    <w:p w:rsidR="008C4E14" w:rsidRPr="00DA59A9" w:rsidRDefault="008C4E14" w:rsidP="00CB2434">
      <w:pPr>
        <w:pStyle w:val="Heading3"/>
        <w:jc w:val="both"/>
        <w:rPr>
          <w:lang w:val="en-GB"/>
        </w:rPr>
      </w:pPr>
      <w:bookmarkStart w:id="11" w:name="_Toc523226020"/>
      <w:r w:rsidRPr="00DA59A9">
        <w:rPr>
          <w:lang w:val="en-GB"/>
        </w:rPr>
        <w:t>Weapon involvement.</w:t>
      </w:r>
      <w:bookmarkEnd w:id="11"/>
    </w:p>
    <w:p w:rsidR="008C4E14" w:rsidRPr="00DA59A9" w:rsidRDefault="006F63BD" w:rsidP="00CB2434">
      <w:pPr>
        <w:pStyle w:val="TextkrperMA"/>
        <w:rPr>
          <w:lang w:val="en-GB"/>
        </w:rPr>
      </w:pPr>
      <w:r w:rsidRPr="00DA59A9">
        <w:rPr>
          <w:lang w:val="en-GB"/>
        </w:rPr>
        <w:t xml:space="preserve">If there was evidence that </w:t>
      </w:r>
      <w:r w:rsidR="0088513A">
        <w:rPr>
          <w:lang w:val="en-GB"/>
        </w:rPr>
        <w:t xml:space="preserve">an </w:t>
      </w:r>
      <w:r w:rsidRPr="00DA59A9">
        <w:rPr>
          <w:lang w:val="en-GB"/>
        </w:rPr>
        <w:t xml:space="preserve">offender </w:t>
      </w:r>
      <w:r w:rsidRPr="00DA59A9">
        <w:rPr>
          <w:i/>
          <w:lang w:val="en-GB"/>
        </w:rPr>
        <w:t xml:space="preserve">brought </w:t>
      </w:r>
      <w:r w:rsidR="0031178A" w:rsidRPr="00DA59A9">
        <w:rPr>
          <w:i/>
          <w:lang w:val="en-GB"/>
        </w:rPr>
        <w:t>a weapon</w:t>
      </w:r>
      <w:r w:rsidR="0031178A" w:rsidRPr="00DA59A9">
        <w:rPr>
          <w:lang w:val="en-GB"/>
        </w:rPr>
        <w:t xml:space="preserve"> to the crime scene, </w:t>
      </w:r>
      <w:r w:rsidR="0088513A">
        <w:rPr>
          <w:lang w:val="en-GB"/>
        </w:rPr>
        <w:t>pre</w:t>
      </w:r>
      <w:r w:rsidR="0088513A">
        <w:rPr>
          <w:lang w:val="en-GB"/>
        </w:rPr>
        <w:noBreakHyphen/>
      </w:r>
      <w:r w:rsidR="0031178A" w:rsidRPr="00DA59A9">
        <w:rPr>
          <w:lang w:val="en-GB"/>
        </w:rPr>
        <w:t xml:space="preserve">convictions for </w:t>
      </w:r>
      <w:r w:rsidR="0031178A" w:rsidRPr="00DA59A9">
        <w:rPr>
          <w:i/>
          <w:lang w:val="en-GB"/>
        </w:rPr>
        <w:t>criminal damage</w:t>
      </w:r>
      <w:r w:rsidR="0031178A" w:rsidRPr="00DA59A9">
        <w:rPr>
          <w:lang w:val="en-GB"/>
        </w:rPr>
        <w:t>,</w:t>
      </w:r>
      <w:r w:rsidR="0031178A" w:rsidRPr="00DA59A9">
        <w:rPr>
          <w:i/>
          <w:lang w:val="en-GB"/>
        </w:rPr>
        <w:t xml:space="preserve"> </w:t>
      </w:r>
      <w:r w:rsidR="0031178A" w:rsidRPr="00DA59A9">
        <w:rPr>
          <w:i/>
          <w:lang w:val="en-GB"/>
        </w:rPr>
        <w:sym w:font="Symbol" w:char="F063"/>
      </w:r>
      <w:r w:rsidR="0031178A" w:rsidRPr="00DA59A9">
        <w:rPr>
          <w:i/>
          <w:lang w:val="en-GB"/>
        </w:rPr>
        <w:t>²</w:t>
      </w:r>
      <w:r w:rsidR="0031178A" w:rsidRPr="00DA59A9">
        <w:rPr>
          <w:lang w:val="en-GB"/>
        </w:rPr>
        <w:t>(1) = </w:t>
      </w:r>
      <w:r w:rsidR="00846FE0" w:rsidRPr="00DA59A9">
        <w:rPr>
          <w:lang w:val="en-GB"/>
        </w:rPr>
        <w:t>4.034</w:t>
      </w:r>
      <w:r w:rsidR="0031178A" w:rsidRPr="00DA59A9">
        <w:rPr>
          <w:lang w:val="en-GB"/>
        </w:rPr>
        <w:t xml:space="preserve">, </w:t>
      </w:r>
      <w:r w:rsidR="0031178A" w:rsidRPr="00DA59A9">
        <w:rPr>
          <w:i/>
          <w:lang w:val="en-GB"/>
        </w:rPr>
        <w:t>p</w:t>
      </w:r>
      <w:r w:rsidR="0031178A" w:rsidRPr="00DA59A9">
        <w:rPr>
          <w:lang w:val="en-GB"/>
        </w:rPr>
        <w:t> = </w:t>
      </w:r>
      <w:r w:rsidR="00846FE0" w:rsidRPr="00DA59A9">
        <w:rPr>
          <w:lang w:val="en-GB"/>
        </w:rPr>
        <w:t>.045</w:t>
      </w:r>
      <w:r w:rsidR="0031178A" w:rsidRPr="00DA59A9">
        <w:rPr>
          <w:lang w:val="en-GB"/>
        </w:rPr>
        <w:t>,</w:t>
      </w:r>
      <w:r w:rsidR="0088513A">
        <w:rPr>
          <w:lang w:val="en-GB"/>
        </w:rPr>
        <w:t xml:space="preserve"> and</w:t>
      </w:r>
      <w:r w:rsidR="0031178A" w:rsidRPr="00DA59A9">
        <w:rPr>
          <w:lang w:val="en-GB"/>
        </w:rPr>
        <w:t xml:space="preserve"> </w:t>
      </w:r>
      <w:r w:rsidR="0031178A" w:rsidRPr="00DA59A9">
        <w:rPr>
          <w:i/>
          <w:lang w:val="en-GB"/>
        </w:rPr>
        <w:t>theft</w:t>
      </w:r>
      <w:r w:rsidR="0031178A" w:rsidRPr="00DA59A9">
        <w:rPr>
          <w:lang w:val="en-GB"/>
        </w:rPr>
        <w:t>,</w:t>
      </w:r>
      <w:r w:rsidR="0031178A" w:rsidRPr="00DA59A9">
        <w:rPr>
          <w:i/>
          <w:lang w:val="en-GB"/>
        </w:rPr>
        <w:t xml:space="preserve"> </w:t>
      </w:r>
      <w:r w:rsidR="0031178A" w:rsidRPr="00DA59A9">
        <w:rPr>
          <w:i/>
          <w:lang w:val="en-GB"/>
        </w:rPr>
        <w:sym w:font="Symbol" w:char="F063"/>
      </w:r>
      <w:r w:rsidR="0031178A" w:rsidRPr="00DA59A9">
        <w:rPr>
          <w:i/>
          <w:lang w:val="en-GB"/>
        </w:rPr>
        <w:t>²</w:t>
      </w:r>
      <w:r w:rsidR="0031178A" w:rsidRPr="00DA59A9">
        <w:rPr>
          <w:lang w:val="en-GB"/>
        </w:rPr>
        <w:t>(1) = </w:t>
      </w:r>
      <w:r w:rsidR="001B09D4" w:rsidRPr="00DA59A9">
        <w:rPr>
          <w:lang w:val="en-GB"/>
        </w:rPr>
        <w:t>4.996</w:t>
      </w:r>
      <w:r w:rsidR="0031178A" w:rsidRPr="00DA59A9">
        <w:rPr>
          <w:lang w:val="en-GB"/>
        </w:rPr>
        <w:t xml:space="preserve">, </w:t>
      </w:r>
      <w:r w:rsidR="0031178A" w:rsidRPr="00DA59A9">
        <w:rPr>
          <w:i/>
          <w:lang w:val="en-GB"/>
        </w:rPr>
        <w:t>p</w:t>
      </w:r>
      <w:r w:rsidR="0031178A" w:rsidRPr="00DA59A9">
        <w:rPr>
          <w:lang w:val="en-GB"/>
        </w:rPr>
        <w:t> = </w:t>
      </w:r>
      <w:r w:rsidR="001B09D4" w:rsidRPr="00DA59A9">
        <w:rPr>
          <w:lang w:val="en-GB"/>
        </w:rPr>
        <w:t>.025</w:t>
      </w:r>
      <w:r w:rsidR="0031178A" w:rsidRPr="00DA59A9">
        <w:rPr>
          <w:lang w:val="en-GB"/>
        </w:rPr>
        <w:t xml:space="preserve">, </w:t>
      </w:r>
      <w:r w:rsidR="0088513A">
        <w:rPr>
          <w:lang w:val="en-GB"/>
        </w:rPr>
        <w:t xml:space="preserve">were about 2.5 times </w:t>
      </w:r>
      <w:r w:rsidR="0088513A" w:rsidRPr="00F24827">
        <w:rPr>
          <w:i/>
          <w:lang w:val="en-GB"/>
        </w:rPr>
        <w:t>less</w:t>
      </w:r>
      <w:r w:rsidR="0088513A">
        <w:rPr>
          <w:lang w:val="en-GB"/>
        </w:rPr>
        <w:t xml:space="preserve"> likely, whereas prior</w:t>
      </w:r>
      <w:r w:rsidR="0031178A" w:rsidRPr="00DA59A9">
        <w:rPr>
          <w:lang w:val="en-GB"/>
        </w:rPr>
        <w:t xml:space="preserve"> </w:t>
      </w:r>
      <w:r w:rsidR="0031178A" w:rsidRPr="00DA59A9">
        <w:rPr>
          <w:i/>
          <w:lang w:val="en-GB"/>
        </w:rPr>
        <w:t xml:space="preserve">violence-related </w:t>
      </w:r>
      <w:r w:rsidR="0088513A">
        <w:rPr>
          <w:lang w:val="en-GB"/>
        </w:rPr>
        <w:t xml:space="preserve">convictions were nearly 3.5 times </w:t>
      </w:r>
      <w:r w:rsidR="0088513A" w:rsidRPr="00805511">
        <w:rPr>
          <w:i/>
          <w:lang w:val="en-GB"/>
        </w:rPr>
        <w:t>less</w:t>
      </w:r>
      <w:r w:rsidR="0088513A">
        <w:rPr>
          <w:lang w:val="en-GB"/>
        </w:rPr>
        <w:t xml:space="preserve"> likely</w:t>
      </w:r>
      <w:r w:rsidR="0031178A" w:rsidRPr="00DA59A9">
        <w:rPr>
          <w:lang w:val="en-GB"/>
        </w:rPr>
        <w:t>,</w:t>
      </w:r>
      <w:r w:rsidR="0031178A" w:rsidRPr="00DA59A9">
        <w:rPr>
          <w:i/>
          <w:lang w:val="en-GB"/>
        </w:rPr>
        <w:t xml:space="preserve"> </w:t>
      </w:r>
      <w:r w:rsidR="0031178A" w:rsidRPr="00DA59A9">
        <w:rPr>
          <w:i/>
          <w:lang w:val="en-GB"/>
        </w:rPr>
        <w:sym w:font="Symbol" w:char="F063"/>
      </w:r>
      <w:r w:rsidR="0031178A" w:rsidRPr="00DA59A9">
        <w:rPr>
          <w:i/>
          <w:lang w:val="en-GB"/>
        </w:rPr>
        <w:t>²</w:t>
      </w:r>
      <w:r w:rsidR="0031178A" w:rsidRPr="00DA59A9">
        <w:rPr>
          <w:lang w:val="en-GB"/>
        </w:rPr>
        <w:t>(1) = </w:t>
      </w:r>
      <w:r w:rsidR="00EC44FC" w:rsidRPr="00DA59A9">
        <w:rPr>
          <w:lang w:val="en-GB"/>
        </w:rPr>
        <w:t>7.094</w:t>
      </w:r>
      <w:r w:rsidR="0031178A" w:rsidRPr="00DA59A9">
        <w:rPr>
          <w:lang w:val="en-GB"/>
        </w:rPr>
        <w:t xml:space="preserve">, </w:t>
      </w:r>
      <w:r w:rsidR="0031178A" w:rsidRPr="00DA59A9">
        <w:rPr>
          <w:i/>
          <w:lang w:val="en-GB"/>
        </w:rPr>
        <w:t>p</w:t>
      </w:r>
      <w:r w:rsidR="0031178A" w:rsidRPr="00DA59A9">
        <w:rPr>
          <w:lang w:val="en-GB"/>
        </w:rPr>
        <w:t> = </w:t>
      </w:r>
      <w:r w:rsidR="00EC44FC" w:rsidRPr="00DA59A9">
        <w:rPr>
          <w:lang w:val="en-GB"/>
        </w:rPr>
        <w:t>.008</w:t>
      </w:r>
      <w:r w:rsidR="0031178A" w:rsidRPr="00DA59A9">
        <w:rPr>
          <w:lang w:val="en-GB"/>
        </w:rPr>
        <w:t xml:space="preserve">. However, the use of a </w:t>
      </w:r>
      <w:r w:rsidR="0031178A" w:rsidRPr="00DA59A9">
        <w:rPr>
          <w:i/>
          <w:lang w:val="en-GB"/>
        </w:rPr>
        <w:t>bludgeoning weapon</w:t>
      </w:r>
      <w:r w:rsidR="0031178A" w:rsidRPr="00DA59A9">
        <w:rPr>
          <w:lang w:val="en-GB"/>
        </w:rPr>
        <w:t xml:space="preserve"> increased offenders’ likelihood of having a previous conviction for </w:t>
      </w:r>
      <w:r w:rsidR="0031178A" w:rsidRPr="00DA59A9">
        <w:rPr>
          <w:i/>
          <w:lang w:val="en-GB"/>
        </w:rPr>
        <w:t>fraud</w:t>
      </w:r>
      <w:r w:rsidR="0031178A" w:rsidRPr="00DA59A9">
        <w:rPr>
          <w:lang w:val="en-GB"/>
        </w:rPr>
        <w:t xml:space="preserve">, </w:t>
      </w:r>
      <w:r w:rsidR="0031178A" w:rsidRPr="00DA59A9">
        <w:rPr>
          <w:i/>
          <w:lang w:val="en-GB"/>
        </w:rPr>
        <w:sym w:font="Symbol" w:char="F063"/>
      </w:r>
      <w:r w:rsidR="0031178A" w:rsidRPr="00DA59A9">
        <w:rPr>
          <w:i/>
          <w:lang w:val="en-GB"/>
        </w:rPr>
        <w:t>²</w:t>
      </w:r>
      <w:r w:rsidR="0031178A" w:rsidRPr="00DA59A9">
        <w:rPr>
          <w:lang w:val="en-GB"/>
        </w:rPr>
        <w:t>(1) = </w:t>
      </w:r>
      <w:r w:rsidR="0036695E" w:rsidRPr="00DA59A9">
        <w:rPr>
          <w:lang w:val="en-GB"/>
        </w:rPr>
        <w:t>5.102</w:t>
      </w:r>
      <w:r w:rsidR="0031178A" w:rsidRPr="00DA59A9">
        <w:rPr>
          <w:lang w:val="en-GB"/>
        </w:rPr>
        <w:t xml:space="preserve">, </w:t>
      </w:r>
      <w:r w:rsidR="0031178A" w:rsidRPr="00DA59A9">
        <w:rPr>
          <w:i/>
          <w:lang w:val="en-GB"/>
        </w:rPr>
        <w:t>p</w:t>
      </w:r>
      <w:r w:rsidR="0031178A" w:rsidRPr="00DA59A9">
        <w:rPr>
          <w:lang w:val="en-GB"/>
        </w:rPr>
        <w:t> = </w:t>
      </w:r>
      <w:r w:rsidR="0036695E" w:rsidRPr="00DA59A9">
        <w:rPr>
          <w:lang w:val="en-GB"/>
        </w:rPr>
        <w:t>.024</w:t>
      </w:r>
      <w:r w:rsidR="0027542C">
        <w:rPr>
          <w:lang w:val="en-GB"/>
        </w:rPr>
        <w:t xml:space="preserve">, making it </w:t>
      </w:r>
      <w:r w:rsidR="004F7D66">
        <w:rPr>
          <w:lang w:val="en-GB"/>
        </w:rPr>
        <w:t xml:space="preserve">more than </w:t>
      </w:r>
      <w:r w:rsidR="0027542C">
        <w:rPr>
          <w:lang w:val="en-GB"/>
        </w:rPr>
        <w:t xml:space="preserve">2 times </w:t>
      </w:r>
      <w:r w:rsidR="004F7D66">
        <w:rPr>
          <w:lang w:val="en-GB"/>
        </w:rPr>
        <w:t>as</w:t>
      </w:r>
      <w:r w:rsidR="0027542C">
        <w:rPr>
          <w:lang w:val="en-GB"/>
        </w:rPr>
        <w:t xml:space="preserve"> likely.</w:t>
      </w:r>
    </w:p>
    <w:p w:rsidR="008C4E14" w:rsidRPr="00DA59A9" w:rsidRDefault="008C4E14" w:rsidP="00CB2434">
      <w:pPr>
        <w:pStyle w:val="Heading3"/>
        <w:jc w:val="both"/>
        <w:rPr>
          <w:lang w:val="en-GB"/>
        </w:rPr>
      </w:pPr>
      <w:bookmarkStart w:id="12" w:name="_Toc523226021"/>
      <w:r w:rsidRPr="00DA59A9">
        <w:rPr>
          <w:lang w:val="en-GB"/>
        </w:rPr>
        <w:t>Method of killing.</w:t>
      </w:r>
      <w:bookmarkEnd w:id="12"/>
    </w:p>
    <w:p w:rsidR="008C4E14" w:rsidRPr="00DA59A9" w:rsidRDefault="00DB2C85" w:rsidP="00CB2434">
      <w:pPr>
        <w:pStyle w:val="TextkrperMA"/>
        <w:rPr>
          <w:lang w:val="en-GB"/>
        </w:rPr>
      </w:pPr>
      <w:r>
        <w:rPr>
          <w:lang w:val="en-GB"/>
        </w:rPr>
        <w:t>K</w:t>
      </w:r>
      <w:r w:rsidR="0099402F" w:rsidRPr="00DA59A9">
        <w:rPr>
          <w:lang w:val="en-GB"/>
        </w:rPr>
        <w:t xml:space="preserve">illing the victim through </w:t>
      </w:r>
      <w:r w:rsidR="0099402F" w:rsidRPr="00DA59A9">
        <w:rPr>
          <w:i/>
          <w:lang w:val="en-GB"/>
        </w:rPr>
        <w:t>blunt force</w:t>
      </w:r>
      <w:r w:rsidR="0099402F" w:rsidRPr="00DA59A9">
        <w:rPr>
          <w:lang w:val="en-GB"/>
        </w:rPr>
        <w:t xml:space="preserve"> increased </w:t>
      </w:r>
      <w:r w:rsidR="00F24827">
        <w:rPr>
          <w:lang w:val="en-GB"/>
        </w:rPr>
        <w:t xml:space="preserve">an </w:t>
      </w:r>
      <w:r w:rsidR="0099402F" w:rsidRPr="00DA59A9">
        <w:rPr>
          <w:lang w:val="en-GB"/>
        </w:rPr>
        <w:t>offender</w:t>
      </w:r>
      <w:r w:rsidR="00F24827">
        <w:rPr>
          <w:lang w:val="en-GB"/>
        </w:rPr>
        <w:t>’</w:t>
      </w:r>
      <w:r w:rsidR="0099402F" w:rsidRPr="00DA59A9">
        <w:rPr>
          <w:lang w:val="en-GB"/>
        </w:rPr>
        <w:t xml:space="preserve">s likelihood of having a previous </w:t>
      </w:r>
      <w:r w:rsidR="006D145D" w:rsidRPr="00DA59A9">
        <w:rPr>
          <w:i/>
          <w:lang w:val="en-GB"/>
        </w:rPr>
        <w:t>criminal damage</w:t>
      </w:r>
      <w:r w:rsidR="0099402F" w:rsidRPr="00DA59A9">
        <w:rPr>
          <w:lang w:val="en-GB"/>
        </w:rPr>
        <w:t xml:space="preserve"> conviction, </w:t>
      </w:r>
      <w:r w:rsidR="0099402F" w:rsidRPr="00DA59A9">
        <w:rPr>
          <w:i/>
          <w:lang w:val="en-GB"/>
        </w:rPr>
        <w:sym w:font="Symbol" w:char="F063"/>
      </w:r>
      <w:r w:rsidR="0099402F" w:rsidRPr="00DA59A9">
        <w:rPr>
          <w:i/>
          <w:lang w:val="en-GB"/>
        </w:rPr>
        <w:t>²</w:t>
      </w:r>
      <w:r w:rsidR="0099402F" w:rsidRPr="00DA59A9">
        <w:rPr>
          <w:lang w:val="en-GB"/>
        </w:rPr>
        <w:t>(1) = </w:t>
      </w:r>
      <w:r w:rsidR="006D145D" w:rsidRPr="00DA59A9">
        <w:rPr>
          <w:lang w:val="en-GB"/>
        </w:rPr>
        <w:t>4.393</w:t>
      </w:r>
      <w:r w:rsidR="0099402F" w:rsidRPr="00DA59A9">
        <w:rPr>
          <w:lang w:val="en-GB"/>
        </w:rPr>
        <w:t xml:space="preserve">, </w:t>
      </w:r>
      <w:r w:rsidR="0099402F" w:rsidRPr="00DA59A9">
        <w:rPr>
          <w:i/>
          <w:lang w:val="en-GB"/>
        </w:rPr>
        <w:t>p</w:t>
      </w:r>
      <w:r w:rsidR="0099402F" w:rsidRPr="00DA59A9">
        <w:rPr>
          <w:lang w:val="en-GB"/>
        </w:rPr>
        <w:t> = </w:t>
      </w:r>
      <w:r w:rsidR="006D145D" w:rsidRPr="00DA59A9">
        <w:rPr>
          <w:lang w:val="en-GB"/>
        </w:rPr>
        <w:t>.036</w:t>
      </w:r>
      <w:r w:rsidR="0099402F" w:rsidRPr="00DA59A9">
        <w:rPr>
          <w:lang w:val="en-GB"/>
        </w:rPr>
        <w:t>,</w:t>
      </w:r>
      <w:r w:rsidR="00805511">
        <w:rPr>
          <w:lang w:val="en-GB"/>
        </w:rPr>
        <w:t xml:space="preserve"> making it nearly twice as likely</w:t>
      </w:r>
      <w:r>
        <w:rPr>
          <w:lang w:val="en-GB"/>
        </w:rPr>
        <w:t xml:space="preserve">. Associated in the opposite direction, </w:t>
      </w:r>
      <w:r w:rsidRPr="00DA59A9">
        <w:rPr>
          <w:i/>
          <w:lang w:val="en-GB"/>
        </w:rPr>
        <w:t xml:space="preserve">weapon-related </w:t>
      </w:r>
      <w:r>
        <w:rPr>
          <w:lang w:val="en-GB"/>
        </w:rPr>
        <w:t>pre</w:t>
      </w:r>
      <w:r>
        <w:rPr>
          <w:lang w:val="en-GB"/>
        </w:rPr>
        <w:noBreakHyphen/>
        <w:t>convictions</w:t>
      </w:r>
      <w:r w:rsidRPr="00DA59A9">
        <w:rPr>
          <w:i/>
          <w:lang w:val="en-GB"/>
        </w:rPr>
        <w:t xml:space="preserve"> </w:t>
      </w:r>
      <w:r>
        <w:rPr>
          <w:lang w:val="en-GB"/>
        </w:rPr>
        <w:t xml:space="preserve">were almost 3.5 times </w:t>
      </w:r>
      <w:r w:rsidRPr="00F65B8A">
        <w:rPr>
          <w:i/>
          <w:lang w:val="en-GB"/>
        </w:rPr>
        <w:t>less</w:t>
      </w:r>
      <w:r>
        <w:rPr>
          <w:lang w:val="en-GB"/>
        </w:rPr>
        <w:t xml:space="preserve"> likely, </w:t>
      </w:r>
      <w:r w:rsidRPr="00DA59A9">
        <w:rPr>
          <w:i/>
          <w:lang w:val="en-GB"/>
        </w:rPr>
        <w:sym w:font="Symbol" w:char="F063"/>
      </w:r>
      <w:r w:rsidRPr="00DA59A9">
        <w:rPr>
          <w:i/>
          <w:lang w:val="en-GB"/>
        </w:rPr>
        <w:t>²</w:t>
      </w:r>
      <w:r w:rsidRPr="00DA59A9">
        <w:rPr>
          <w:lang w:val="en-GB"/>
        </w:rPr>
        <w:t xml:space="preserve">(1) = 7.561, </w:t>
      </w:r>
      <w:r w:rsidRPr="00DA59A9">
        <w:rPr>
          <w:i/>
          <w:lang w:val="en-GB"/>
        </w:rPr>
        <w:t>p</w:t>
      </w:r>
      <w:r w:rsidRPr="00DA59A9">
        <w:rPr>
          <w:lang w:val="en-GB"/>
        </w:rPr>
        <w:t> = .006</w:t>
      </w:r>
      <w:r>
        <w:rPr>
          <w:lang w:val="en-GB"/>
        </w:rPr>
        <w:t>, if death was caused</w:t>
      </w:r>
      <w:r w:rsidR="0099402F" w:rsidRPr="00DA59A9">
        <w:rPr>
          <w:lang w:val="en-GB"/>
        </w:rPr>
        <w:t xml:space="preserve"> through </w:t>
      </w:r>
      <w:r w:rsidR="0099402F" w:rsidRPr="00DA59A9">
        <w:rPr>
          <w:i/>
          <w:lang w:val="en-GB"/>
        </w:rPr>
        <w:t>asphyxia/strangulation</w:t>
      </w:r>
      <w:r w:rsidR="00805511">
        <w:rPr>
          <w:lang w:val="en-GB"/>
        </w:rPr>
        <w:t>.</w:t>
      </w:r>
    </w:p>
    <w:p w:rsidR="008C4E14" w:rsidRPr="00DA59A9" w:rsidRDefault="008C4E14" w:rsidP="00CB2434">
      <w:pPr>
        <w:pStyle w:val="Heading3"/>
        <w:jc w:val="both"/>
        <w:rPr>
          <w:lang w:val="en-GB"/>
        </w:rPr>
      </w:pPr>
      <w:bookmarkStart w:id="13" w:name="_Toc523226022"/>
      <w:r w:rsidRPr="00DA59A9">
        <w:rPr>
          <w:lang w:val="en-GB"/>
        </w:rPr>
        <w:t xml:space="preserve">Other </w:t>
      </w:r>
      <w:proofErr w:type="spellStart"/>
      <w:r w:rsidR="006A415D">
        <w:rPr>
          <w:lang w:val="en-GB"/>
        </w:rPr>
        <w:t>behavior</w:t>
      </w:r>
      <w:r w:rsidRPr="00DA59A9">
        <w:rPr>
          <w:lang w:val="en-GB"/>
        </w:rPr>
        <w:t>s</w:t>
      </w:r>
      <w:proofErr w:type="spellEnd"/>
      <w:r w:rsidRPr="00DA59A9">
        <w:rPr>
          <w:lang w:val="en-GB"/>
        </w:rPr>
        <w:t>.</w:t>
      </w:r>
      <w:bookmarkEnd w:id="13"/>
    </w:p>
    <w:p w:rsidR="008C4E14" w:rsidRDefault="00B90C6D" w:rsidP="00CB2434">
      <w:pPr>
        <w:pStyle w:val="TextkrperMA"/>
        <w:rPr>
          <w:lang w:val="en-GB"/>
        </w:rPr>
      </w:pPr>
      <w:r w:rsidRPr="00DA59A9">
        <w:rPr>
          <w:lang w:val="en-GB"/>
        </w:rPr>
        <w:t xml:space="preserve">The use of a </w:t>
      </w:r>
      <w:r w:rsidRPr="00DA59A9">
        <w:rPr>
          <w:i/>
          <w:lang w:val="en-GB"/>
        </w:rPr>
        <w:t>vehicle</w:t>
      </w:r>
      <w:r w:rsidRPr="00DA59A9">
        <w:rPr>
          <w:lang w:val="en-GB"/>
        </w:rPr>
        <w:t xml:space="preserve"> in association with the index homicide </w:t>
      </w:r>
      <w:r w:rsidR="004B79EA">
        <w:rPr>
          <w:lang w:val="en-GB"/>
        </w:rPr>
        <w:t>made a pre</w:t>
      </w:r>
      <w:r w:rsidR="004B79EA">
        <w:rPr>
          <w:lang w:val="en-GB"/>
        </w:rPr>
        <w:noBreakHyphen/>
        <w:t>conviction</w:t>
      </w:r>
      <w:r w:rsidRPr="00DA59A9">
        <w:rPr>
          <w:lang w:val="en-GB"/>
        </w:rPr>
        <w:t xml:space="preserve"> for </w:t>
      </w:r>
      <w:r w:rsidRPr="00DA59A9">
        <w:rPr>
          <w:i/>
          <w:lang w:val="en-GB"/>
        </w:rPr>
        <w:t>criminal damage</w:t>
      </w:r>
      <w:r w:rsidR="004B79EA">
        <w:rPr>
          <w:lang w:val="en-GB"/>
        </w:rPr>
        <w:t xml:space="preserve"> nearly 2.5 times </w:t>
      </w:r>
      <w:r w:rsidR="004B79EA" w:rsidRPr="004B79EA">
        <w:rPr>
          <w:i/>
          <w:lang w:val="en-GB"/>
        </w:rPr>
        <w:t>less</w:t>
      </w:r>
      <w:r w:rsidR="004B79EA">
        <w:rPr>
          <w:lang w:val="en-GB"/>
        </w:rPr>
        <w:t xml:space="preserve"> likely</w:t>
      </w:r>
      <w:r w:rsidRPr="00DA59A9">
        <w:rPr>
          <w:i/>
          <w:lang w:val="en-GB"/>
        </w:rPr>
        <w:t xml:space="preserve"> </w:t>
      </w:r>
      <w:r w:rsidRPr="00DA59A9">
        <w:rPr>
          <w:i/>
          <w:lang w:val="en-GB"/>
        </w:rPr>
        <w:sym w:font="Symbol" w:char="F063"/>
      </w:r>
      <w:r w:rsidRPr="00DA59A9">
        <w:rPr>
          <w:i/>
          <w:lang w:val="en-GB"/>
        </w:rPr>
        <w:t>²</w:t>
      </w:r>
      <w:r w:rsidRPr="00DA59A9">
        <w:rPr>
          <w:lang w:val="en-GB"/>
        </w:rPr>
        <w:t>(1) = </w:t>
      </w:r>
      <w:r w:rsidR="00D044A5" w:rsidRPr="00DA59A9">
        <w:rPr>
          <w:lang w:val="en-GB"/>
        </w:rPr>
        <w:t>5.932</w:t>
      </w:r>
      <w:r w:rsidRPr="00DA59A9">
        <w:rPr>
          <w:lang w:val="en-GB"/>
        </w:rPr>
        <w:t xml:space="preserve">, </w:t>
      </w:r>
      <w:r w:rsidRPr="00DA59A9">
        <w:rPr>
          <w:i/>
          <w:lang w:val="en-GB"/>
        </w:rPr>
        <w:t>p</w:t>
      </w:r>
      <w:r w:rsidRPr="00DA59A9">
        <w:rPr>
          <w:lang w:val="en-GB"/>
        </w:rPr>
        <w:t> = </w:t>
      </w:r>
      <w:r w:rsidR="00D044A5" w:rsidRPr="00DA59A9">
        <w:rPr>
          <w:lang w:val="en-GB"/>
        </w:rPr>
        <w:t>.015</w:t>
      </w:r>
      <w:r w:rsidRPr="00DA59A9">
        <w:rPr>
          <w:lang w:val="en-GB"/>
        </w:rPr>
        <w:t xml:space="preserve">. If the offence comprised an element of </w:t>
      </w:r>
      <w:r w:rsidRPr="00DA59A9">
        <w:rPr>
          <w:i/>
          <w:lang w:val="en-GB"/>
        </w:rPr>
        <w:t>arson</w:t>
      </w:r>
      <w:r w:rsidRPr="00DA59A9">
        <w:rPr>
          <w:lang w:val="en-GB"/>
        </w:rPr>
        <w:t xml:space="preserve">, the likelihood of prior convictions for </w:t>
      </w:r>
      <w:r w:rsidR="00652207" w:rsidRPr="00DA59A9">
        <w:rPr>
          <w:i/>
          <w:lang w:val="en-GB"/>
        </w:rPr>
        <w:t>violent crimes</w:t>
      </w:r>
      <w:r w:rsidR="00945EE4" w:rsidRPr="00DA59A9">
        <w:rPr>
          <w:lang w:val="en-GB"/>
        </w:rPr>
        <w:t xml:space="preserve"> (</w:t>
      </w:r>
      <w:r w:rsidRPr="00DA59A9">
        <w:rPr>
          <w:i/>
          <w:lang w:val="en-GB"/>
        </w:rPr>
        <w:t>p</w:t>
      </w:r>
      <w:r w:rsidRPr="00DA59A9">
        <w:rPr>
          <w:lang w:val="en-GB"/>
        </w:rPr>
        <w:t> = </w:t>
      </w:r>
      <w:r w:rsidR="00366430" w:rsidRPr="00DA59A9">
        <w:rPr>
          <w:lang w:val="en-GB"/>
        </w:rPr>
        <w:t>.030</w:t>
      </w:r>
      <w:r w:rsidR="00945EE4" w:rsidRPr="00DA59A9">
        <w:rPr>
          <w:lang w:val="en-GB"/>
        </w:rPr>
        <w:t>)</w:t>
      </w:r>
      <w:r w:rsidRPr="00DA59A9">
        <w:rPr>
          <w:lang w:val="en-GB"/>
        </w:rPr>
        <w:t xml:space="preserve">, and </w:t>
      </w:r>
      <w:r w:rsidRPr="00DA59A9">
        <w:rPr>
          <w:i/>
          <w:lang w:val="en-GB"/>
        </w:rPr>
        <w:t>burglary</w:t>
      </w:r>
      <w:r w:rsidR="00A2181A" w:rsidRPr="00DA59A9">
        <w:rPr>
          <w:lang w:val="en-GB"/>
        </w:rPr>
        <w:t xml:space="preserve"> (</w:t>
      </w:r>
      <w:r w:rsidRPr="00DA59A9">
        <w:rPr>
          <w:i/>
          <w:lang w:val="en-GB"/>
        </w:rPr>
        <w:t>p</w:t>
      </w:r>
      <w:r w:rsidRPr="00DA59A9">
        <w:rPr>
          <w:lang w:val="en-GB"/>
        </w:rPr>
        <w:t> = </w:t>
      </w:r>
      <w:r w:rsidR="00A2181A" w:rsidRPr="00DA59A9">
        <w:rPr>
          <w:lang w:val="en-GB"/>
        </w:rPr>
        <w:t>.010)</w:t>
      </w:r>
      <w:r w:rsidRPr="00DA59A9">
        <w:rPr>
          <w:lang w:val="en-GB"/>
        </w:rPr>
        <w:t>, were increased</w:t>
      </w:r>
      <w:r w:rsidR="00C42F37" w:rsidRPr="00DA59A9">
        <w:rPr>
          <w:lang w:val="en-GB"/>
        </w:rPr>
        <w:t xml:space="preserve"> (due to the low frequency of arson as an offence element, Fisher’s exact tests are reported)</w:t>
      </w:r>
      <w:r w:rsidRPr="00DA59A9">
        <w:rPr>
          <w:lang w:val="en-GB"/>
        </w:rPr>
        <w:t xml:space="preserve">. Similarly, a </w:t>
      </w:r>
      <w:r w:rsidRPr="00DA59A9">
        <w:rPr>
          <w:i/>
          <w:lang w:val="en-GB"/>
        </w:rPr>
        <w:t>burglary</w:t>
      </w:r>
      <w:r w:rsidRPr="00DA59A9">
        <w:rPr>
          <w:lang w:val="en-GB"/>
        </w:rPr>
        <w:t xml:space="preserve"> pre-conviction</w:t>
      </w:r>
      <w:r w:rsidR="00407157">
        <w:rPr>
          <w:lang w:val="en-GB"/>
        </w:rPr>
        <w:t xml:space="preserve"> was</w:t>
      </w:r>
      <w:r w:rsidR="004E465E">
        <w:rPr>
          <w:lang w:val="en-GB"/>
        </w:rPr>
        <w:t xml:space="preserve"> more than 2.5 times </w:t>
      </w:r>
      <w:r w:rsidR="004E465E" w:rsidRPr="00EC3687">
        <w:rPr>
          <w:i/>
          <w:lang w:val="en-GB"/>
        </w:rPr>
        <w:t>more</w:t>
      </w:r>
      <w:r w:rsidR="004E465E">
        <w:rPr>
          <w:lang w:val="en-GB"/>
        </w:rPr>
        <w:t xml:space="preserve"> likely if</w:t>
      </w:r>
      <w:r w:rsidR="00407157" w:rsidRPr="00407157">
        <w:rPr>
          <w:lang w:val="en-GB"/>
        </w:rPr>
        <w:t xml:space="preserve"> </w:t>
      </w:r>
      <w:r w:rsidR="00407157" w:rsidRPr="00DA59A9">
        <w:rPr>
          <w:lang w:val="en-GB"/>
        </w:rPr>
        <w:t xml:space="preserve">a </w:t>
      </w:r>
      <w:r w:rsidR="00407157" w:rsidRPr="00DA59A9">
        <w:rPr>
          <w:i/>
          <w:lang w:val="en-GB"/>
        </w:rPr>
        <w:t>burglary element</w:t>
      </w:r>
      <w:r w:rsidR="00407157" w:rsidRPr="00DA59A9">
        <w:rPr>
          <w:lang w:val="en-GB"/>
        </w:rPr>
        <w:t xml:space="preserve"> </w:t>
      </w:r>
      <w:r w:rsidR="004E465E">
        <w:rPr>
          <w:lang w:val="en-GB"/>
        </w:rPr>
        <w:t xml:space="preserve">was present in the </w:t>
      </w:r>
      <w:r w:rsidR="00061C4C">
        <w:rPr>
          <w:lang w:val="en-GB"/>
        </w:rPr>
        <w:t xml:space="preserve">index </w:t>
      </w:r>
      <w:r w:rsidR="004E465E">
        <w:rPr>
          <w:lang w:val="en-GB"/>
        </w:rPr>
        <w:t>homicide</w:t>
      </w:r>
      <w:r w:rsidRPr="00DA59A9">
        <w:rPr>
          <w:lang w:val="en-GB"/>
        </w:rPr>
        <w:t>,</w:t>
      </w:r>
      <w:r w:rsidRPr="00DA59A9">
        <w:rPr>
          <w:i/>
          <w:lang w:val="en-GB"/>
        </w:rPr>
        <w:t xml:space="preserve"> </w:t>
      </w:r>
      <w:r w:rsidRPr="00DA59A9">
        <w:rPr>
          <w:i/>
          <w:lang w:val="en-GB"/>
        </w:rPr>
        <w:sym w:font="Symbol" w:char="F063"/>
      </w:r>
      <w:r w:rsidRPr="00DA59A9">
        <w:rPr>
          <w:i/>
          <w:lang w:val="en-GB"/>
        </w:rPr>
        <w:t>²</w:t>
      </w:r>
      <w:r w:rsidRPr="00DA59A9">
        <w:rPr>
          <w:lang w:val="en-GB"/>
        </w:rPr>
        <w:t>(1) = </w:t>
      </w:r>
      <w:r w:rsidR="00A94AC4" w:rsidRPr="00DA59A9">
        <w:rPr>
          <w:lang w:val="en-GB"/>
        </w:rPr>
        <w:t>8.213</w:t>
      </w:r>
      <w:r w:rsidRPr="00DA59A9">
        <w:rPr>
          <w:lang w:val="en-GB"/>
        </w:rPr>
        <w:t xml:space="preserve">, </w:t>
      </w:r>
      <w:r w:rsidRPr="00DA59A9">
        <w:rPr>
          <w:i/>
          <w:lang w:val="en-GB"/>
        </w:rPr>
        <w:t>p</w:t>
      </w:r>
      <w:r w:rsidRPr="00DA59A9">
        <w:rPr>
          <w:lang w:val="en-GB"/>
        </w:rPr>
        <w:t> = </w:t>
      </w:r>
      <w:r w:rsidR="00A94AC4" w:rsidRPr="00DA59A9">
        <w:rPr>
          <w:lang w:val="en-GB"/>
        </w:rPr>
        <w:t>.004</w:t>
      </w:r>
      <w:r w:rsidRPr="00DA59A9">
        <w:rPr>
          <w:lang w:val="en-GB"/>
        </w:rPr>
        <w:t>.</w:t>
      </w:r>
    </w:p>
    <w:p w:rsidR="002D2B21" w:rsidRDefault="00B63110" w:rsidP="00CB2434">
      <w:pPr>
        <w:pStyle w:val="TextkrperMA"/>
        <w:rPr>
          <w:lang w:val="en-GB"/>
        </w:rPr>
      </w:pPr>
      <w:r w:rsidRPr="00DA59A9">
        <w:rPr>
          <w:lang w:val="en-GB"/>
        </w:rPr>
        <w:lastRenderedPageBreak/>
        <w:t>After applying Bonferroni-Holm corrections (</w:t>
      </w:r>
      <w:r w:rsidR="00B73803" w:rsidRPr="00DA59A9">
        <w:rPr>
          <w:lang w:val="en-GB"/>
        </w:rPr>
        <w:t xml:space="preserve">dividing the uncorrected </w:t>
      </w:r>
      <w:r w:rsidR="00B73803" w:rsidRPr="00DA59A9">
        <w:rPr>
          <w:lang w:val="en-GB"/>
        </w:rPr>
        <w:sym w:font="Symbol" w:char="F061"/>
      </w:r>
      <w:r w:rsidR="00B73803" w:rsidRPr="00DA59A9">
        <w:rPr>
          <w:lang w:val="en-GB"/>
        </w:rPr>
        <w:t> = .05 by the number dependent variables k = </w:t>
      </w:r>
      <w:r w:rsidR="00E140EC" w:rsidRPr="00DA59A9">
        <w:rPr>
          <w:lang w:val="en-GB"/>
        </w:rPr>
        <w:t>11</w:t>
      </w:r>
      <w:r w:rsidR="00B73803" w:rsidRPr="00DA59A9">
        <w:rPr>
          <w:lang w:val="en-GB"/>
        </w:rPr>
        <w:t xml:space="preserve">, </w:t>
      </w:r>
      <w:r w:rsidR="00B73803" w:rsidRPr="00DA59A9">
        <w:rPr>
          <w:i/>
          <w:lang w:val="en-GB"/>
        </w:rPr>
        <w:sym w:font="Symbol" w:char="F061"/>
      </w:r>
      <w:r w:rsidRPr="00DA59A9">
        <w:rPr>
          <w:i/>
          <w:vertAlign w:val="subscript"/>
          <w:lang w:val="en-GB"/>
        </w:rPr>
        <w:t>corr.</w:t>
      </w:r>
      <w:r w:rsidRPr="00DA59A9">
        <w:rPr>
          <w:lang w:val="en-GB"/>
        </w:rPr>
        <w:t> </w:t>
      </w:r>
      <w:r w:rsidR="00B73803" w:rsidRPr="00DA59A9">
        <w:rPr>
          <w:lang w:val="en-GB"/>
        </w:rPr>
        <w:t>=</w:t>
      </w:r>
      <w:r w:rsidRPr="00DA59A9">
        <w:rPr>
          <w:lang w:val="en-GB"/>
        </w:rPr>
        <w:t> .00</w:t>
      </w:r>
      <w:r w:rsidR="00897BAE" w:rsidRPr="00DA59A9">
        <w:rPr>
          <w:lang w:val="en-GB"/>
        </w:rPr>
        <w:t>45</w:t>
      </w:r>
      <w:r w:rsidR="00B73803" w:rsidRPr="00DA59A9">
        <w:rPr>
          <w:lang w:val="en-GB"/>
        </w:rPr>
        <w:t>)</w:t>
      </w:r>
      <w:r w:rsidR="00E140EC" w:rsidRPr="00DA59A9">
        <w:rPr>
          <w:lang w:val="en-GB"/>
        </w:rPr>
        <w:t>,</w:t>
      </w:r>
      <w:r w:rsidRPr="00DA59A9">
        <w:rPr>
          <w:lang w:val="en-GB"/>
        </w:rPr>
        <w:t xml:space="preserve"> </w:t>
      </w:r>
      <w:r w:rsidR="00E140EC" w:rsidRPr="00DA59A9">
        <w:rPr>
          <w:lang w:val="en-GB"/>
        </w:rPr>
        <w:t xml:space="preserve">only the association of </w:t>
      </w:r>
      <w:r w:rsidR="00E140EC" w:rsidRPr="002D20EE">
        <w:rPr>
          <w:i/>
          <w:lang w:val="en-GB"/>
        </w:rPr>
        <w:t>burglary element</w:t>
      </w:r>
      <w:r w:rsidR="00E140EC" w:rsidRPr="00DA59A9">
        <w:rPr>
          <w:lang w:val="en-GB"/>
        </w:rPr>
        <w:t xml:space="preserve"> with </w:t>
      </w:r>
      <w:r w:rsidR="00E140EC" w:rsidRPr="002D20EE">
        <w:rPr>
          <w:i/>
          <w:lang w:val="en-GB"/>
        </w:rPr>
        <w:t>burglary</w:t>
      </w:r>
      <w:r w:rsidR="00E140EC" w:rsidRPr="00DA59A9">
        <w:rPr>
          <w:lang w:val="en-GB"/>
        </w:rPr>
        <w:t xml:space="preserve"> pre-conviction reached statistical significance</w:t>
      </w:r>
      <w:r w:rsidRPr="00DA59A9">
        <w:rPr>
          <w:lang w:val="en-GB"/>
        </w:rPr>
        <w:t>. Therefore, results obtained so far should be interpreted with caution.</w:t>
      </w:r>
    </w:p>
    <w:p w:rsidR="005B33A0" w:rsidRPr="00DA59A9" w:rsidRDefault="005B33A0" w:rsidP="00CB2434">
      <w:pPr>
        <w:pStyle w:val="Heading2"/>
        <w:jc w:val="both"/>
        <w:rPr>
          <w:lang w:val="en-GB"/>
        </w:rPr>
      </w:pPr>
      <w:bookmarkStart w:id="14" w:name="_Toc523226023"/>
      <w:r w:rsidRPr="00DA59A9">
        <w:rPr>
          <w:lang w:val="en-GB"/>
        </w:rPr>
        <w:t>Logistic Regression Models</w:t>
      </w:r>
      <w:bookmarkEnd w:id="14"/>
    </w:p>
    <w:p w:rsidR="00686868" w:rsidRPr="00DA59A9" w:rsidRDefault="00265208" w:rsidP="00CB2434">
      <w:pPr>
        <w:pStyle w:val="TextkrperMA"/>
        <w:rPr>
          <w:lang w:val="en-GB"/>
        </w:rPr>
      </w:pPr>
      <w:r w:rsidRPr="00DA59A9">
        <w:rPr>
          <w:lang w:val="en-GB"/>
        </w:rPr>
        <w:t>The significant</w:t>
      </w:r>
      <w:r w:rsidR="004834AA" w:rsidRPr="00DA59A9">
        <w:rPr>
          <w:lang w:val="en-GB"/>
        </w:rPr>
        <w:t xml:space="preserve"> bivariate</w:t>
      </w:r>
      <w:r w:rsidRPr="00DA59A9">
        <w:rPr>
          <w:lang w:val="en-GB"/>
        </w:rPr>
        <w:t xml:space="preserve"> associations identified in the first step of the analysis were then entered into binary logistic regression models to predict</w:t>
      </w:r>
      <w:r w:rsidR="004834AA" w:rsidRPr="00DA59A9">
        <w:rPr>
          <w:lang w:val="en-GB"/>
        </w:rPr>
        <w:t xml:space="preserve"> the presence or absence of a specific pre</w:t>
      </w:r>
      <w:r w:rsidR="004834AA" w:rsidRPr="00DA59A9">
        <w:rPr>
          <w:lang w:val="en-GB"/>
        </w:rPr>
        <w:noBreakHyphen/>
        <w:t xml:space="preserve">conviction based on a </w:t>
      </w:r>
      <w:r w:rsidR="004834AA" w:rsidRPr="00DA59A9">
        <w:rPr>
          <w:i/>
          <w:lang w:val="en-GB"/>
        </w:rPr>
        <w:t>combination</w:t>
      </w:r>
      <w:r w:rsidR="004834AA" w:rsidRPr="00DA59A9">
        <w:rPr>
          <w:lang w:val="en-GB"/>
        </w:rPr>
        <w:t xml:space="preserve"> of offence </w:t>
      </w:r>
      <w:proofErr w:type="spellStart"/>
      <w:r w:rsidR="006A415D">
        <w:rPr>
          <w:lang w:val="en-GB"/>
        </w:rPr>
        <w:t>behavior</w:t>
      </w:r>
      <w:r w:rsidR="004834AA" w:rsidRPr="00DA59A9">
        <w:rPr>
          <w:lang w:val="en-GB"/>
        </w:rPr>
        <w:t>s</w:t>
      </w:r>
      <w:proofErr w:type="spellEnd"/>
      <w:r w:rsidR="004834AA" w:rsidRPr="00DA59A9">
        <w:rPr>
          <w:lang w:val="en-GB"/>
        </w:rPr>
        <w:t>.</w:t>
      </w:r>
    </w:p>
    <w:p w:rsidR="004834AA" w:rsidRDefault="0032570A" w:rsidP="00CB2434">
      <w:pPr>
        <w:pStyle w:val="Heading3"/>
        <w:jc w:val="both"/>
        <w:rPr>
          <w:lang w:val="en-GB"/>
        </w:rPr>
      </w:pPr>
      <w:bookmarkStart w:id="15" w:name="_Toc523226024"/>
      <w:r w:rsidRPr="00DA59A9">
        <w:rPr>
          <w:lang w:val="en-GB"/>
        </w:rPr>
        <w:t>Burglary.</w:t>
      </w:r>
      <w:bookmarkEnd w:id="15"/>
    </w:p>
    <w:p w:rsidR="00D5086D" w:rsidRDefault="00C95D65" w:rsidP="00CB2434">
      <w:pPr>
        <w:pStyle w:val="TextkrperMA"/>
        <w:rPr>
          <w:lang w:val="en-GB"/>
        </w:rPr>
      </w:pPr>
      <w:r>
        <w:rPr>
          <w:lang w:val="en-GB"/>
        </w:rPr>
        <w:t xml:space="preserve">Using a logistic regression model, it was attempted to predict whether offenders did or did not have a previous conviction for </w:t>
      </w:r>
      <w:r w:rsidRPr="007108B2">
        <w:rPr>
          <w:i/>
          <w:lang w:val="en-GB"/>
        </w:rPr>
        <w:t>burglary</w:t>
      </w:r>
      <w:r>
        <w:rPr>
          <w:lang w:val="en-GB"/>
        </w:rPr>
        <w:t xml:space="preserve"> based on the presence or absence of a </w:t>
      </w:r>
      <w:r w:rsidRPr="007108B2">
        <w:rPr>
          <w:i/>
          <w:lang w:val="en-GB"/>
        </w:rPr>
        <w:t>burglary</w:t>
      </w:r>
      <w:r>
        <w:rPr>
          <w:lang w:val="en-GB"/>
        </w:rPr>
        <w:t xml:space="preserve"> </w:t>
      </w:r>
      <w:r w:rsidRPr="007108B2">
        <w:rPr>
          <w:i/>
          <w:lang w:val="en-GB"/>
        </w:rPr>
        <w:t>element</w:t>
      </w:r>
      <w:r>
        <w:rPr>
          <w:lang w:val="en-GB"/>
        </w:rPr>
        <w:t xml:space="preserve"> in the index homicide offence</w:t>
      </w:r>
      <w:r w:rsidR="0064092B">
        <w:rPr>
          <w:lang w:val="en-GB"/>
        </w:rPr>
        <w:t xml:space="preserve"> (see Table 5)</w:t>
      </w:r>
      <w:r>
        <w:rPr>
          <w:lang w:val="en-GB"/>
        </w:rPr>
        <w:t>.</w:t>
      </w:r>
      <w:r w:rsidR="007108B2">
        <w:rPr>
          <w:lang w:val="en-GB"/>
        </w:rPr>
        <w:t xml:space="preserve"> </w:t>
      </w:r>
      <w:r w:rsidR="003363C8">
        <w:rPr>
          <w:lang w:val="en-GB"/>
        </w:rPr>
        <w:t xml:space="preserve">While </w:t>
      </w:r>
      <w:r w:rsidR="00567363">
        <w:rPr>
          <w:lang w:val="en-GB"/>
        </w:rPr>
        <w:t>the variable</w:t>
      </w:r>
      <w:r w:rsidR="003363C8">
        <w:rPr>
          <w:lang w:val="en-GB"/>
        </w:rPr>
        <w:t xml:space="preserve"> </w:t>
      </w:r>
      <w:r w:rsidR="003363C8">
        <w:rPr>
          <w:i/>
          <w:lang w:val="en-GB"/>
        </w:rPr>
        <w:t xml:space="preserve">arson element </w:t>
      </w:r>
      <w:r w:rsidR="003363C8">
        <w:rPr>
          <w:lang w:val="en-GB"/>
        </w:rPr>
        <w:t xml:space="preserve">was also found to be associated with burglary pre-convictions in the previous step, it had to be excluded from the logistic regression analysis as it violated basic assumptions of the model (expected cell frequencies were </w:t>
      </w:r>
      <w:r w:rsidR="00567363">
        <w:rPr>
          <w:lang w:val="en-GB"/>
        </w:rPr>
        <w:t>less than</w:t>
      </w:r>
      <w:r w:rsidR="003363C8">
        <w:rPr>
          <w:lang w:val="en-GB"/>
        </w:rPr>
        <w:t xml:space="preserve"> 5 in </w:t>
      </w:r>
      <w:r w:rsidR="00567363">
        <w:rPr>
          <w:lang w:val="en-GB"/>
        </w:rPr>
        <w:t>more than</w:t>
      </w:r>
      <w:r w:rsidR="003363C8">
        <w:rPr>
          <w:lang w:val="en-GB"/>
        </w:rPr>
        <w:t xml:space="preserve"> 20% of cells if arson element was included). </w:t>
      </w:r>
      <w:r w:rsidR="007108B2">
        <w:rPr>
          <w:lang w:val="en-GB"/>
        </w:rPr>
        <w:t xml:space="preserve">The </w:t>
      </w:r>
      <w:r w:rsidR="00157718">
        <w:rPr>
          <w:lang w:val="en-GB"/>
        </w:rPr>
        <w:t xml:space="preserve">remaining one-factorial </w:t>
      </w:r>
      <w:r w:rsidR="007108B2">
        <w:rPr>
          <w:lang w:val="en-GB"/>
        </w:rPr>
        <w:t xml:space="preserve">model reached statistical significance, </w:t>
      </w:r>
      <w:r w:rsidR="007108B2" w:rsidRPr="00DA59A9">
        <w:rPr>
          <w:i/>
          <w:lang w:val="en-GB"/>
        </w:rPr>
        <w:sym w:font="Symbol" w:char="F063"/>
      </w:r>
      <w:r w:rsidR="007108B2" w:rsidRPr="00DA59A9">
        <w:rPr>
          <w:i/>
          <w:lang w:val="en-GB"/>
        </w:rPr>
        <w:t>²</w:t>
      </w:r>
      <w:r w:rsidR="007108B2" w:rsidRPr="00DA59A9">
        <w:rPr>
          <w:lang w:val="en-GB"/>
        </w:rPr>
        <w:t>(</w:t>
      </w:r>
      <w:r w:rsidR="003658C3">
        <w:rPr>
          <w:lang w:val="en-GB"/>
        </w:rPr>
        <w:t>1</w:t>
      </w:r>
      <w:r w:rsidR="007108B2" w:rsidRPr="00DA59A9">
        <w:rPr>
          <w:lang w:val="en-GB"/>
        </w:rPr>
        <w:t>) = </w:t>
      </w:r>
      <w:r w:rsidR="002E15BC">
        <w:rPr>
          <w:lang w:val="en-GB"/>
        </w:rPr>
        <w:t>7.925</w:t>
      </w:r>
      <w:r w:rsidR="007108B2" w:rsidRPr="00DA59A9">
        <w:rPr>
          <w:lang w:val="en-GB"/>
        </w:rPr>
        <w:t xml:space="preserve">, </w:t>
      </w:r>
      <w:r w:rsidR="007108B2" w:rsidRPr="00DA59A9">
        <w:rPr>
          <w:i/>
          <w:lang w:val="en-GB"/>
        </w:rPr>
        <w:t>p</w:t>
      </w:r>
      <w:r w:rsidR="007108B2" w:rsidRPr="00DA59A9">
        <w:rPr>
          <w:lang w:val="en-GB"/>
        </w:rPr>
        <w:t> = .0</w:t>
      </w:r>
      <w:r w:rsidR="002E15BC">
        <w:rPr>
          <w:lang w:val="en-GB"/>
        </w:rPr>
        <w:t>05</w:t>
      </w:r>
      <w:r w:rsidR="007108B2">
        <w:rPr>
          <w:lang w:val="en-GB"/>
        </w:rPr>
        <w:t xml:space="preserve">, </w:t>
      </w:r>
      <w:r w:rsidR="00157718">
        <w:rPr>
          <w:lang w:val="en-GB"/>
        </w:rPr>
        <w:t>with</w:t>
      </w:r>
      <w:r w:rsidR="007108B2">
        <w:rPr>
          <w:lang w:val="en-GB"/>
        </w:rPr>
        <w:t xml:space="preserve"> </w:t>
      </w:r>
      <w:r w:rsidR="007108B2" w:rsidRPr="00567363">
        <w:rPr>
          <w:i/>
          <w:lang w:val="en-GB"/>
        </w:rPr>
        <w:t>burglary element</w:t>
      </w:r>
      <w:r w:rsidR="007108B2">
        <w:rPr>
          <w:lang w:val="en-GB"/>
        </w:rPr>
        <w:t xml:space="preserve"> </w:t>
      </w:r>
      <w:r w:rsidR="00157718">
        <w:rPr>
          <w:lang w:val="en-GB"/>
        </w:rPr>
        <w:t>contributing significantly</w:t>
      </w:r>
      <w:r w:rsidR="007108B2">
        <w:rPr>
          <w:lang w:val="en-GB"/>
        </w:rPr>
        <w:t xml:space="preserve"> to the model (</w:t>
      </w:r>
      <w:r w:rsidR="007108B2" w:rsidRPr="001A00C4">
        <w:rPr>
          <w:i/>
          <w:lang w:val="en-GB"/>
        </w:rPr>
        <w:t>p</w:t>
      </w:r>
      <w:r w:rsidR="007108B2">
        <w:rPr>
          <w:lang w:val="en-GB"/>
        </w:rPr>
        <w:t> = .0</w:t>
      </w:r>
      <w:r w:rsidR="00C0580A">
        <w:rPr>
          <w:lang w:val="en-GB"/>
        </w:rPr>
        <w:t>05</w:t>
      </w:r>
      <w:r w:rsidR="007108B2">
        <w:rPr>
          <w:lang w:val="en-GB"/>
        </w:rPr>
        <w:t>)</w:t>
      </w:r>
      <w:r w:rsidR="00766E4C">
        <w:rPr>
          <w:lang w:val="en-GB"/>
        </w:rPr>
        <w:t>,</w:t>
      </w:r>
      <w:r w:rsidR="00E56C15">
        <w:rPr>
          <w:lang w:val="en-GB"/>
        </w:rPr>
        <w:t xml:space="preserve"> as indicated by the Wald criterion</w:t>
      </w:r>
      <w:r w:rsidR="007108B2">
        <w:rPr>
          <w:lang w:val="en-GB"/>
        </w:rPr>
        <w:t>.</w:t>
      </w:r>
      <w:r w:rsidR="00567363">
        <w:rPr>
          <w:lang w:val="en-GB"/>
        </w:rPr>
        <w:t xml:space="preserve"> The whole model explained between 3.7% (Cox and Snell </w:t>
      </w:r>
      <w:r w:rsidR="00567363">
        <w:rPr>
          <w:i/>
          <w:lang w:val="en-GB"/>
        </w:rPr>
        <w:t>R²</w:t>
      </w:r>
      <w:r w:rsidR="00567363">
        <w:rPr>
          <w:lang w:val="en-GB"/>
        </w:rPr>
        <w:t>) and 5.0% (</w:t>
      </w:r>
      <w:proofErr w:type="spellStart"/>
      <w:r w:rsidR="00567363">
        <w:rPr>
          <w:lang w:val="en-GB"/>
        </w:rPr>
        <w:t>Nagelkerke</w:t>
      </w:r>
      <w:proofErr w:type="spellEnd"/>
      <w:r w:rsidR="00567363">
        <w:rPr>
          <w:lang w:val="en-GB"/>
        </w:rPr>
        <w:t xml:space="preserve"> </w:t>
      </w:r>
      <w:r w:rsidR="00567363" w:rsidRPr="00567363">
        <w:rPr>
          <w:i/>
          <w:lang w:val="en-GB"/>
        </w:rPr>
        <w:t>R</w:t>
      </w:r>
      <w:r w:rsidR="00567363">
        <w:rPr>
          <w:i/>
          <w:lang w:val="en-GB"/>
        </w:rPr>
        <w:t>²</w:t>
      </w:r>
      <w:r w:rsidR="00567363">
        <w:rPr>
          <w:lang w:val="en-GB"/>
        </w:rPr>
        <w:t xml:space="preserve">) </w:t>
      </w:r>
      <w:r w:rsidR="00567363" w:rsidRPr="00567363">
        <w:rPr>
          <w:lang w:val="en-GB"/>
        </w:rPr>
        <w:t>of</w:t>
      </w:r>
      <w:r w:rsidR="00567363">
        <w:rPr>
          <w:lang w:val="en-GB"/>
        </w:rPr>
        <w:t xml:space="preserve"> the variance in the dependent variable burglary pre-conviction</w:t>
      </w:r>
      <w:r w:rsidR="00424858">
        <w:rPr>
          <w:lang w:val="en-GB"/>
        </w:rPr>
        <w:t>, correctly classifying 66.2% of all cases.</w:t>
      </w:r>
    </w:p>
    <w:p w:rsidR="00660209" w:rsidRDefault="00660209" w:rsidP="00CB2434">
      <w:pPr>
        <w:pStyle w:val="TextkrperMA"/>
        <w:rPr>
          <w:lang w:val="en-GB"/>
        </w:rPr>
      </w:pPr>
    </w:p>
    <w:p w:rsidR="00812D6E" w:rsidRPr="00DA59A9" w:rsidRDefault="00812D6E" w:rsidP="00CB2434">
      <w:pPr>
        <w:pStyle w:val="TextkrperMA"/>
        <w:ind w:firstLine="0"/>
        <w:rPr>
          <w:lang w:val="en-GB"/>
        </w:rPr>
      </w:pPr>
    </w:p>
    <w:p w:rsidR="0032570A" w:rsidRDefault="0032570A" w:rsidP="00CB2434">
      <w:pPr>
        <w:pStyle w:val="Heading3"/>
        <w:jc w:val="both"/>
        <w:rPr>
          <w:lang w:val="en-GB"/>
        </w:rPr>
      </w:pPr>
      <w:bookmarkStart w:id="16" w:name="_Toc523226025"/>
      <w:r w:rsidRPr="00DA59A9">
        <w:rPr>
          <w:lang w:val="en-GB"/>
        </w:rPr>
        <w:lastRenderedPageBreak/>
        <w:t>Criminal Damage.</w:t>
      </w:r>
      <w:bookmarkEnd w:id="16"/>
    </w:p>
    <w:p w:rsidR="00216F16" w:rsidRPr="006F35D3" w:rsidRDefault="0064610B" w:rsidP="00CB2434">
      <w:pPr>
        <w:pStyle w:val="TextkrperMA"/>
        <w:rPr>
          <w:lang w:val="en-GB"/>
        </w:rPr>
      </w:pPr>
      <w:r>
        <w:rPr>
          <w:lang w:val="en-GB"/>
        </w:rPr>
        <w:t>Two of the three</w:t>
      </w:r>
      <w:r w:rsidR="006F35D3">
        <w:rPr>
          <w:lang w:val="en-GB"/>
        </w:rPr>
        <w:t xml:space="preserve"> previously identified crime scene </w:t>
      </w:r>
      <w:proofErr w:type="spellStart"/>
      <w:r w:rsidR="006A415D">
        <w:rPr>
          <w:lang w:val="en-GB"/>
        </w:rPr>
        <w:t>behavior</w:t>
      </w:r>
      <w:r w:rsidR="006F35D3">
        <w:rPr>
          <w:lang w:val="en-GB"/>
        </w:rPr>
        <w:t>s</w:t>
      </w:r>
      <w:proofErr w:type="spellEnd"/>
      <w:r>
        <w:rPr>
          <w:lang w:val="en-GB"/>
        </w:rPr>
        <w:t>, namely</w:t>
      </w:r>
      <w:r w:rsidR="006F35D3">
        <w:rPr>
          <w:lang w:val="en-GB"/>
        </w:rPr>
        <w:t xml:space="preserve"> </w:t>
      </w:r>
      <w:r w:rsidR="006F35D3" w:rsidRPr="006F35D3">
        <w:rPr>
          <w:i/>
          <w:lang w:val="en-GB"/>
        </w:rPr>
        <w:t>vehicle used</w:t>
      </w:r>
      <w:r>
        <w:rPr>
          <w:lang w:val="en-GB"/>
        </w:rPr>
        <w:t xml:space="preserve"> </w:t>
      </w:r>
      <w:r w:rsidR="006F35D3">
        <w:rPr>
          <w:lang w:val="en-GB"/>
        </w:rPr>
        <w:t xml:space="preserve">and </w:t>
      </w:r>
      <w:r w:rsidR="006F35D3" w:rsidRPr="006F35D3">
        <w:rPr>
          <w:i/>
          <w:lang w:val="en-GB"/>
        </w:rPr>
        <w:t>death blunt force</w:t>
      </w:r>
      <w:r w:rsidR="00317544">
        <w:rPr>
          <w:i/>
          <w:lang w:val="en-GB"/>
        </w:rPr>
        <w:t>,</w:t>
      </w:r>
      <w:r w:rsidR="006F35D3">
        <w:rPr>
          <w:lang w:val="en-GB"/>
        </w:rPr>
        <w:t xml:space="preserve"> were entered into a logistic regression</w:t>
      </w:r>
      <w:r w:rsidR="00E402D3">
        <w:rPr>
          <w:lang w:val="en-GB"/>
        </w:rPr>
        <w:t xml:space="preserve"> (see Table 5</w:t>
      </w:r>
      <w:r w:rsidR="0064092B">
        <w:rPr>
          <w:lang w:val="en-GB"/>
        </w:rPr>
        <w:t>)</w:t>
      </w:r>
      <w:r w:rsidR="006F35D3">
        <w:rPr>
          <w:lang w:val="en-GB"/>
        </w:rPr>
        <w:t xml:space="preserve"> to predict the presence or absence of a </w:t>
      </w:r>
      <w:r w:rsidR="006F35D3">
        <w:rPr>
          <w:i/>
          <w:lang w:val="en-GB"/>
        </w:rPr>
        <w:t xml:space="preserve">criminal damage </w:t>
      </w:r>
      <w:r w:rsidR="006F35D3" w:rsidRPr="00A16CF7">
        <w:rPr>
          <w:lang w:val="en-GB"/>
        </w:rPr>
        <w:t>pre-conviction</w:t>
      </w:r>
      <w:r>
        <w:rPr>
          <w:lang w:val="en-GB"/>
        </w:rPr>
        <w:t xml:space="preserve"> (</w:t>
      </w:r>
      <w:r w:rsidRPr="00B76920">
        <w:rPr>
          <w:i/>
          <w:lang w:val="en-GB"/>
        </w:rPr>
        <w:t xml:space="preserve">weapon brought </w:t>
      </w:r>
      <w:r w:rsidR="00B76920" w:rsidRPr="00B76920">
        <w:rPr>
          <w:i/>
          <w:lang w:val="en-GB"/>
        </w:rPr>
        <w:t xml:space="preserve">by </w:t>
      </w:r>
      <w:r w:rsidRPr="00B76920">
        <w:rPr>
          <w:i/>
          <w:lang w:val="en-GB"/>
        </w:rPr>
        <w:t>offender</w:t>
      </w:r>
      <w:r>
        <w:rPr>
          <w:lang w:val="en-GB"/>
        </w:rPr>
        <w:t xml:space="preserve"> was excluded due to violations of</w:t>
      </w:r>
      <w:r w:rsidR="00317544">
        <w:rPr>
          <w:lang w:val="en-GB"/>
        </w:rPr>
        <w:t xml:space="preserve"> model</w:t>
      </w:r>
      <w:r>
        <w:rPr>
          <w:lang w:val="en-GB"/>
        </w:rPr>
        <w:t xml:space="preserve"> assumptions)</w:t>
      </w:r>
      <w:r w:rsidR="006F35D3">
        <w:rPr>
          <w:lang w:val="en-GB"/>
        </w:rPr>
        <w:t xml:space="preserve">. </w:t>
      </w:r>
      <w:r w:rsidR="00A16CF7">
        <w:rPr>
          <w:lang w:val="en-GB"/>
        </w:rPr>
        <w:t xml:space="preserve">The resulting model reached statistical significance, </w:t>
      </w:r>
      <w:r w:rsidR="00A16CF7" w:rsidRPr="00DA59A9">
        <w:rPr>
          <w:i/>
          <w:lang w:val="en-GB"/>
        </w:rPr>
        <w:sym w:font="Symbol" w:char="F063"/>
      </w:r>
      <w:r w:rsidR="00A16CF7" w:rsidRPr="00DA59A9">
        <w:rPr>
          <w:i/>
          <w:lang w:val="en-GB"/>
        </w:rPr>
        <w:t>²</w:t>
      </w:r>
      <w:r w:rsidR="00A16CF7" w:rsidRPr="00DA59A9">
        <w:rPr>
          <w:lang w:val="en-GB"/>
        </w:rPr>
        <w:t>(</w:t>
      </w:r>
      <w:r>
        <w:rPr>
          <w:lang w:val="en-GB"/>
        </w:rPr>
        <w:t>2</w:t>
      </w:r>
      <w:r w:rsidR="00A16CF7" w:rsidRPr="00DA59A9">
        <w:rPr>
          <w:lang w:val="en-GB"/>
        </w:rPr>
        <w:t>) = </w:t>
      </w:r>
      <w:r>
        <w:rPr>
          <w:lang w:val="en-GB"/>
        </w:rPr>
        <w:t>10.801</w:t>
      </w:r>
      <w:r w:rsidR="00A16CF7" w:rsidRPr="00DA59A9">
        <w:rPr>
          <w:lang w:val="en-GB"/>
        </w:rPr>
        <w:t xml:space="preserve">, </w:t>
      </w:r>
      <w:r w:rsidR="00A16CF7" w:rsidRPr="00DA59A9">
        <w:rPr>
          <w:i/>
          <w:lang w:val="en-GB"/>
        </w:rPr>
        <w:t>p</w:t>
      </w:r>
      <w:r w:rsidR="00A16CF7" w:rsidRPr="00DA59A9">
        <w:rPr>
          <w:lang w:val="en-GB"/>
        </w:rPr>
        <w:t> = .0</w:t>
      </w:r>
      <w:r w:rsidR="00A16CF7">
        <w:rPr>
          <w:lang w:val="en-GB"/>
        </w:rPr>
        <w:t>05</w:t>
      </w:r>
      <w:r>
        <w:rPr>
          <w:lang w:val="en-GB"/>
        </w:rPr>
        <w:t xml:space="preserve">, </w:t>
      </w:r>
      <w:r w:rsidR="00AE1860">
        <w:rPr>
          <w:lang w:val="en-GB"/>
        </w:rPr>
        <w:t xml:space="preserve">with both </w:t>
      </w:r>
      <w:r w:rsidR="00AE1860" w:rsidRPr="00551470">
        <w:rPr>
          <w:i/>
          <w:lang w:val="en-GB"/>
        </w:rPr>
        <w:t>vehicle used</w:t>
      </w:r>
      <w:r w:rsidR="00AE1860">
        <w:rPr>
          <w:lang w:val="en-GB"/>
        </w:rPr>
        <w:t xml:space="preserve"> </w:t>
      </w:r>
      <w:r w:rsidR="00551470">
        <w:rPr>
          <w:lang w:val="en-GB"/>
        </w:rPr>
        <w:t>(</w:t>
      </w:r>
      <w:r w:rsidR="00551470" w:rsidRPr="001A00C4">
        <w:rPr>
          <w:i/>
          <w:lang w:val="en-GB"/>
        </w:rPr>
        <w:t>p</w:t>
      </w:r>
      <w:r w:rsidR="00551470">
        <w:rPr>
          <w:lang w:val="en-GB"/>
        </w:rPr>
        <w:t> = .0</w:t>
      </w:r>
      <w:r w:rsidR="006E418C">
        <w:rPr>
          <w:lang w:val="en-GB"/>
        </w:rPr>
        <w:t>16</w:t>
      </w:r>
      <w:r w:rsidR="00551470">
        <w:rPr>
          <w:lang w:val="en-GB"/>
        </w:rPr>
        <w:t xml:space="preserve">) and </w:t>
      </w:r>
      <w:r w:rsidR="00551470" w:rsidRPr="00551470">
        <w:rPr>
          <w:i/>
          <w:lang w:val="en-GB"/>
        </w:rPr>
        <w:t>death blunt force</w:t>
      </w:r>
      <w:r w:rsidR="00551470">
        <w:rPr>
          <w:lang w:val="en-GB"/>
        </w:rPr>
        <w:t xml:space="preserve"> (</w:t>
      </w:r>
      <w:r w:rsidR="00551470" w:rsidRPr="001A00C4">
        <w:rPr>
          <w:i/>
          <w:lang w:val="en-GB"/>
        </w:rPr>
        <w:t>p</w:t>
      </w:r>
      <w:r w:rsidR="00551470">
        <w:rPr>
          <w:lang w:val="en-GB"/>
        </w:rPr>
        <w:t> = .0</w:t>
      </w:r>
      <w:r w:rsidR="006E418C">
        <w:rPr>
          <w:lang w:val="en-GB"/>
        </w:rPr>
        <w:t>34</w:t>
      </w:r>
      <w:r w:rsidR="00551470">
        <w:rPr>
          <w:lang w:val="en-GB"/>
        </w:rPr>
        <w:t xml:space="preserve">) contributing significantly to the model. Overall, the model </w:t>
      </w:r>
      <w:r w:rsidR="00F76F0C">
        <w:rPr>
          <w:lang w:val="en-GB"/>
        </w:rPr>
        <w:t xml:space="preserve">correctly classified 66.7% of all cases, </w:t>
      </w:r>
      <w:r w:rsidR="00551470">
        <w:rPr>
          <w:lang w:val="en-GB"/>
        </w:rPr>
        <w:t>explain</w:t>
      </w:r>
      <w:r w:rsidR="00F76F0C">
        <w:rPr>
          <w:lang w:val="en-GB"/>
        </w:rPr>
        <w:t>ing</w:t>
      </w:r>
      <w:r w:rsidR="00551470">
        <w:rPr>
          <w:lang w:val="en-GB"/>
        </w:rPr>
        <w:t xml:space="preserve"> between 4.9% (Cox and Snell </w:t>
      </w:r>
      <w:r w:rsidR="00551470">
        <w:rPr>
          <w:i/>
          <w:lang w:val="en-GB"/>
        </w:rPr>
        <w:t>R²</w:t>
      </w:r>
      <w:r w:rsidR="00551470">
        <w:rPr>
          <w:lang w:val="en-GB"/>
        </w:rPr>
        <w:t>) and 6.9% (</w:t>
      </w:r>
      <w:proofErr w:type="spellStart"/>
      <w:r w:rsidR="00551470">
        <w:rPr>
          <w:lang w:val="en-GB"/>
        </w:rPr>
        <w:t>Nagelkerke</w:t>
      </w:r>
      <w:proofErr w:type="spellEnd"/>
      <w:r w:rsidR="00551470">
        <w:rPr>
          <w:lang w:val="en-GB"/>
        </w:rPr>
        <w:t xml:space="preserve"> </w:t>
      </w:r>
      <w:r w:rsidR="00551470" w:rsidRPr="00567363">
        <w:rPr>
          <w:i/>
          <w:lang w:val="en-GB"/>
        </w:rPr>
        <w:t>R</w:t>
      </w:r>
      <w:r w:rsidR="00551470">
        <w:rPr>
          <w:i/>
          <w:lang w:val="en-GB"/>
        </w:rPr>
        <w:t>²</w:t>
      </w:r>
      <w:r w:rsidR="00551470">
        <w:rPr>
          <w:lang w:val="en-GB"/>
        </w:rPr>
        <w:t xml:space="preserve">) </w:t>
      </w:r>
      <w:r w:rsidR="00551470" w:rsidRPr="00567363">
        <w:rPr>
          <w:lang w:val="en-GB"/>
        </w:rPr>
        <w:t>of</w:t>
      </w:r>
      <w:r w:rsidR="00551470">
        <w:rPr>
          <w:lang w:val="en-GB"/>
        </w:rPr>
        <w:t xml:space="preserve"> the variance in</w:t>
      </w:r>
      <w:r w:rsidR="00F4594F">
        <w:rPr>
          <w:lang w:val="en-GB"/>
        </w:rPr>
        <w:t xml:space="preserve"> the</w:t>
      </w:r>
      <w:r w:rsidR="00551470">
        <w:rPr>
          <w:lang w:val="en-GB"/>
        </w:rPr>
        <w:t xml:space="preserve"> </w:t>
      </w:r>
      <w:r w:rsidR="00F4594F">
        <w:rPr>
          <w:lang w:val="en-GB"/>
        </w:rPr>
        <w:t>pre-conviction variable</w:t>
      </w:r>
      <w:r w:rsidR="00F4594F" w:rsidRPr="00551470">
        <w:rPr>
          <w:i/>
          <w:lang w:val="en-GB"/>
        </w:rPr>
        <w:t xml:space="preserve"> </w:t>
      </w:r>
      <w:r w:rsidR="00551470" w:rsidRPr="00551470">
        <w:rPr>
          <w:i/>
          <w:lang w:val="en-GB"/>
        </w:rPr>
        <w:t>criminal damage</w:t>
      </w:r>
      <w:r w:rsidR="00551470">
        <w:rPr>
          <w:lang w:val="en-GB"/>
        </w:rPr>
        <w:t>.</w:t>
      </w:r>
    </w:p>
    <w:p w:rsidR="009C699F" w:rsidRPr="00DA59A9" w:rsidRDefault="009C699F" w:rsidP="00CB2434">
      <w:pPr>
        <w:jc w:val="both"/>
        <w:rPr>
          <w:lang w:val="en-GB"/>
        </w:rPr>
      </w:pPr>
    </w:p>
    <w:p w:rsidR="0032570A" w:rsidRDefault="0032570A" w:rsidP="00CB2434">
      <w:pPr>
        <w:pStyle w:val="Heading3"/>
        <w:jc w:val="both"/>
        <w:rPr>
          <w:lang w:val="en-GB"/>
        </w:rPr>
      </w:pPr>
      <w:bookmarkStart w:id="17" w:name="_Toc523226026"/>
      <w:r w:rsidRPr="00DA59A9">
        <w:rPr>
          <w:lang w:val="en-GB"/>
        </w:rPr>
        <w:t>Fraud.</w:t>
      </w:r>
      <w:bookmarkEnd w:id="17"/>
    </w:p>
    <w:p w:rsidR="00864C7C" w:rsidRPr="00840BFA" w:rsidRDefault="00840BFA" w:rsidP="00CB2434">
      <w:pPr>
        <w:pStyle w:val="TextkrperMA"/>
        <w:rPr>
          <w:lang w:val="en-GB"/>
        </w:rPr>
      </w:pPr>
      <w:r>
        <w:rPr>
          <w:lang w:val="en-GB"/>
        </w:rPr>
        <w:t xml:space="preserve">The two significant crime scene </w:t>
      </w:r>
      <w:proofErr w:type="spellStart"/>
      <w:r w:rsidR="006A415D">
        <w:rPr>
          <w:lang w:val="en-GB"/>
        </w:rPr>
        <w:t>behavior</w:t>
      </w:r>
      <w:r>
        <w:rPr>
          <w:lang w:val="en-GB"/>
        </w:rPr>
        <w:t>s</w:t>
      </w:r>
      <w:proofErr w:type="spellEnd"/>
      <w:r>
        <w:rPr>
          <w:lang w:val="en-GB"/>
        </w:rPr>
        <w:t xml:space="preserve"> of </w:t>
      </w:r>
      <w:r>
        <w:rPr>
          <w:i/>
          <w:lang w:val="en-GB"/>
        </w:rPr>
        <w:t>victim naked</w:t>
      </w:r>
      <w:r>
        <w:rPr>
          <w:lang w:val="en-GB"/>
        </w:rPr>
        <w:t xml:space="preserve"> and </w:t>
      </w:r>
      <w:r>
        <w:rPr>
          <w:i/>
          <w:lang w:val="en-GB"/>
        </w:rPr>
        <w:t>bludgeoning weapon</w:t>
      </w:r>
      <w:r>
        <w:rPr>
          <w:lang w:val="en-GB"/>
        </w:rPr>
        <w:t xml:space="preserve"> were entered into a logist</w:t>
      </w:r>
      <w:r w:rsidR="00E402D3">
        <w:rPr>
          <w:lang w:val="en-GB"/>
        </w:rPr>
        <w:t>ic regression model (see Table 5</w:t>
      </w:r>
      <w:r>
        <w:rPr>
          <w:lang w:val="en-GB"/>
        </w:rPr>
        <w:t xml:space="preserve">) to predict whether offenders did or did not have a previous </w:t>
      </w:r>
      <w:r w:rsidRPr="00840BFA">
        <w:rPr>
          <w:i/>
          <w:lang w:val="en-GB"/>
        </w:rPr>
        <w:t>fraud</w:t>
      </w:r>
      <w:r>
        <w:rPr>
          <w:lang w:val="en-GB"/>
        </w:rPr>
        <w:t xml:space="preserve"> conviction, with the resulting model being statistically significant, </w:t>
      </w:r>
      <w:r w:rsidRPr="00DA59A9">
        <w:rPr>
          <w:i/>
          <w:lang w:val="en-GB"/>
        </w:rPr>
        <w:sym w:font="Symbol" w:char="F063"/>
      </w:r>
      <w:r w:rsidRPr="00DA59A9">
        <w:rPr>
          <w:i/>
          <w:lang w:val="en-GB"/>
        </w:rPr>
        <w:t>²</w:t>
      </w:r>
      <w:r w:rsidRPr="00DA59A9">
        <w:rPr>
          <w:lang w:val="en-GB"/>
        </w:rPr>
        <w:t>(</w:t>
      </w:r>
      <w:r>
        <w:rPr>
          <w:lang w:val="en-GB"/>
        </w:rPr>
        <w:t>2</w:t>
      </w:r>
      <w:r w:rsidRPr="00DA59A9">
        <w:rPr>
          <w:lang w:val="en-GB"/>
        </w:rPr>
        <w:t>) = </w:t>
      </w:r>
      <w:r w:rsidR="00701E54">
        <w:rPr>
          <w:lang w:val="en-GB"/>
        </w:rPr>
        <w:t>8.450</w:t>
      </w:r>
      <w:r w:rsidRPr="00DA59A9">
        <w:rPr>
          <w:lang w:val="en-GB"/>
        </w:rPr>
        <w:t xml:space="preserve">, </w:t>
      </w:r>
      <w:r w:rsidRPr="00DA59A9">
        <w:rPr>
          <w:i/>
          <w:lang w:val="en-GB"/>
        </w:rPr>
        <w:t>p</w:t>
      </w:r>
      <w:r w:rsidRPr="00DA59A9">
        <w:rPr>
          <w:lang w:val="en-GB"/>
        </w:rPr>
        <w:t> = .0</w:t>
      </w:r>
      <w:r w:rsidR="00701E54">
        <w:rPr>
          <w:lang w:val="en-GB"/>
        </w:rPr>
        <w:t xml:space="preserve">15, </w:t>
      </w:r>
      <w:r w:rsidR="009345B1">
        <w:rPr>
          <w:lang w:val="en-GB"/>
        </w:rPr>
        <w:t xml:space="preserve">and both </w:t>
      </w:r>
      <w:r w:rsidR="009345B1" w:rsidRPr="009345B1">
        <w:rPr>
          <w:i/>
          <w:lang w:val="en-GB"/>
        </w:rPr>
        <w:t xml:space="preserve">victim naked </w:t>
      </w:r>
      <w:r w:rsidR="009345B1">
        <w:rPr>
          <w:lang w:val="en-GB"/>
        </w:rPr>
        <w:t>(</w:t>
      </w:r>
      <w:r w:rsidR="009345B1" w:rsidRPr="001A00C4">
        <w:rPr>
          <w:i/>
          <w:lang w:val="en-GB"/>
        </w:rPr>
        <w:t>p</w:t>
      </w:r>
      <w:r w:rsidR="009345B1">
        <w:rPr>
          <w:lang w:val="en-GB"/>
        </w:rPr>
        <w:t xml:space="preserve"> = .050) and </w:t>
      </w:r>
      <w:r w:rsidR="009345B1" w:rsidRPr="009345B1">
        <w:rPr>
          <w:i/>
          <w:lang w:val="en-GB"/>
        </w:rPr>
        <w:t xml:space="preserve">bludgeoning weapon </w:t>
      </w:r>
      <w:r w:rsidR="009345B1">
        <w:rPr>
          <w:lang w:val="en-GB"/>
        </w:rPr>
        <w:t>(</w:t>
      </w:r>
      <w:r w:rsidR="009345B1" w:rsidRPr="001A00C4">
        <w:rPr>
          <w:i/>
          <w:lang w:val="en-GB"/>
        </w:rPr>
        <w:t>p</w:t>
      </w:r>
      <w:r w:rsidR="009345B1">
        <w:rPr>
          <w:lang w:val="en-GB"/>
        </w:rPr>
        <w:t xml:space="preserve"> = .026) contributing significantly to the model. The full model accounted for between 3.9% (Cox and Snell </w:t>
      </w:r>
      <w:r w:rsidR="009345B1">
        <w:rPr>
          <w:i/>
          <w:lang w:val="en-GB"/>
        </w:rPr>
        <w:t>R²</w:t>
      </w:r>
      <w:r w:rsidR="009345B1">
        <w:rPr>
          <w:lang w:val="en-GB"/>
        </w:rPr>
        <w:t>) and 6.0% (</w:t>
      </w:r>
      <w:proofErr w:type="spellStart"/>
      <w:r w:rsidR="009345B1">
        <w:rPr>
          <w:lang w:val="en-GB"/>
        </w:rPr>
        <w:t>Nagelkerke</w:t>
      </w:r>
      <w:proofErr w:type="spellEnd"/>
      <w:r w:rsidR="009345B1">
        <w:rPr>
          <w:lang w:val="en-GB"/>
        </w:rPr>
        <w:t xml:space="preserve"> </w:t>
      </w:r>
      <w:r w:rsidR="009345B1" w:rsidRPr="00567363">
        <w:rPr>
          <w:i/>
          <w:lang w:val="en-GB"/>
        </w:rPr>
        <w:t>R</w:t>
      </w:r>
      <w:r w:rsidR="009345B1">
        <w:rPr>
          <w:i/>
          <w:lang w:val="en-GB"/>
        </w:rPr>
        <w:t>²</w:t>
      </w:r>
      <w:r w:rsidR="009345B1">
        <w:rPr>
          <w:lang w:val="en-GB"/>
        </w:rPr>
        <w:t xml:space="preserve">) </w:t>
      </w:r>
      <w:r w:rsidR="009345B1" w:rsidRPr="00567363">
        <w:rPr>
          <w:lang w:val="en-GB"/>
        </w:rPr>
        <w:t>of</w:t>
      </w:r>
      <w:r w:rsidR="009345B1">
        <w:rPr>
          <w:lang w:val="en-GB"/>
        </w:rPr>
        <w:t xml:space="preserve"> the variance in </w:t>
      </w:r>
      <w:r w:rsidR="009345B1" w:rsidRPr="009345B1">
        <w:rPr>
          <w:i/>
          <w:lang w:val="en-GB"/>
        </w:rPr>
        <w:t xml:space="preserve">fraud </w:t>
      </w:r>
      <w:r w:rsidR="009345B1">
        <w:rPr>
          <w:lang w:val="en-GB"/>
        </w:rPr>
        <w:t>pre-conviction status</w:t>
      </w:r>
      <w:r w:rsidR="00B76920">
        <w:rPr>
          <w:lang w:val="en-GB"/>
        </w:rPr>
        <w:t xml:space="preserve">, correctly classifying </w:t>
      </w:r>
      <w:r w:rsidR="00A11856">
        <w:rPr>
          <w:lang w:val="en-GB"/>
        </w:rPr>
        <w:t>78.9</w:t>
      </w:r>
      <w:r w:rsidR="00B76920">
        <w:rPr>
          <w:lang w:val="en-GB"/>
        </w:rPr>
        <w:t>% of all cases</w:t>
      </w:r>
      <w:r w:rsidR="009345B1">
        <w:rPr>
          <w:lang w:val="en-GB"/>
        </w:rPr>
        <w:t>.</w:t>
      </w:r>
    </w:p>
    <w:p w:rsidR="009C699F" w:rsidRPr="00DA59A9" w:rsidRDefault="009C699F" w:rsidP="00CB2434">
      <w:pPr>
        <w:jc w:val="both"/>
        <w:rPr>
          <w:lang w:val="en-GB"/>
        </w:rPr>
      </w:pPr>
    </w:p>
    <w:p w:rsidR="0032570A" w:rsidRDefault="0032570A" w:rsidP="00CB2434">
      <w:pPr>
        <w:pStyle w:val="Heading3"/>
        <w:jc w:val="both"/>
        <w:rPr>
          <w:lang w:val="en-GB"/>
        </w:rPr>
      </w:pPr>
      <w:bookmarkStart w:id="18" w:name="_Toc523226027"/>
      <w:r w:rsidRPr="00DA59A9">
        <w:rPr>
          <w:lang w:val="en-GB"/>
        </w:rPr>
        <w:t>Theft.</w:t>
      </w:r>
      <w:bookmarkEnd w:id="18"/>
    </w:p>
    <w:p w:rsidR="004C5E72" w:rsidRPr="004C5E72" w:rsidRDefault="00B76920" w:rsidP="00CB2434">
      <w:pPr>
        <w:pStyle w:val="TextkrperMA"/>
        <w:rPr>
          <w:lang w:val="en-GB"/>
        </w:rPr>
      </w:pPr>
      <w:r>
        <w:rPr>
          <w:lang w:val="en-GB"/>
        </w:rPr>
        <w:t xml:space="preserve">Chi-square analyses previously identified two crime scene </w:t>
      </w:r>
      <w:proofErr w:type="spellStart"/>
      <w:r w:rsidR="006A415D">
        <w:rPr>
          <w:lang w:val="en-GB"/>
        </w:rPr>
        <w:t>behavior</w:t>
      </w:r>
      <w:r>
        <w:rPr>
          <w:lang w:val="en-GB"/>
        </w:rPr>
        <w:t>s</w:t>
      </w:r>
      <w:proofErr w:type="spellEnd"/>
      <w:r>
        <w:rPr>
          <w:lang w:val="en-GB"/>
        </w:rPr>
        <w:t xml:space="preserve"> to be significantly associated with </w:t>
      </w:r>
      <w:r w:rsidRPr="00B76920">
        <w:rPr>
          <w:i/>
          <w:lang w:val="en-GB"/>
        </w:rPr>
        <w:t>theft</w:t>
      </w:r>
      <w:r>
        <w:rPr>
          <w:lang w:val="en-GB"/>
        </w:rPr>
        <w:t xml:space="preserve"> pre-conviction status. A logist</w:t>
      </w:r>
      <w:r w:rsidR="00E402D3">
        <w:rPr>
          <w:lang w:val="en-GB"/>
        </w:rPr>
        <w:t>ic regression model (see Table 5</w:t>
      </w:r>
      <w:r>
        <w:rPr>
          <w:lang w:val="en-GB"/>
        </w:rPr>
        <w:t>) including both variables (</w:t>
      </w:r>
      <w:r>
        <w:rPr>
          <w:i/>
          <w:lang w:val="en-GB"/>
        </w:rPr>
        <w:t>vaginal penetration</w:t>
      </w:r>
      <w:r>
        <w:rPr>
          <w:lang w:val="en-GB"/>
        </w:rPr>
        <w:t xml:space="preserve"> and </w:t>
      </w:r>
      <w:r>
        <w:rPr>
          <w:i/>
          <w:lang w:val="en-GB"/>
        </w:rPr>
        <w:t>weapon brought by offender)</w:t>
      </w:r>
      <w:r>
        <w:rPr>
          <w:lang w:val="en-GB"/>
        </w:rPr>
        <w:t xml:space="preserve"> reached statistical significance, </w:t>
      </w:r>
      <w:r w:rsidRPr="00DA59A9">
        <w:rPr>
          <w:i/>
          <w:lang w:val="en-GB"/>
        </w:rPr>
        <w:sym w:font="Symbol" w:char="F063"/>
      </w:r>
      <w:r w:rsidRPr="00DA59A9">
        <w:rPr>
          <w:i/>
          <w:lang w:val="en-GB"/>
        </w:rPr>
        <w:t>²</w:t>
      </w:r>
      <w:r w:rsidRPr="00DA59A9">
        <w:rPr>
          <w:lang w:val="en-GB"/>
        </w:rPr>
        <w:t>(</w:t>
      </w:r>
      <w:r>
        <w:rPr>
          <w:lang w:val="en-GB"/>
        </w:rPr>
        <w:t>2</w:t>
      </w:r>
      <w:r w:rsidRPr="00DA59A9">
        <w:rPr>
          <w:lang w:val="en-GB"/>
        </w:rPr>
        <w:t>) = </w:t>
      </w:r>
      <w:r>
        <w:rPr>
          <w:lang w:val="en-GB"/>
        </w:rPr>
        <w:t>11.474</w:t>
      </w:r>
      <w:r w:rsidRPr="00DA59A9">
        <w:rPr>
          <w:lang w:val="en-GB"/>
        </w:rPr>
        <w:t xml:space="preserve">, </w:t>
      </w:r>
      <w:r w:rsidRPr="00DA59A9">
        <w:rPr>
          <w:i/>
          <w:lang w:val="en-GB"/>
        </w:rPr>
        <w:t>p</w:t>
      </w:r>
      <w:r w:rsidRPr="00DA59A9">
        <w:rPr>
          <w:lang w:val="en-GB"/>
        </w:rPr>
        <w:t> = .0</w:t>
      </w:r>
      <w:r>
        <w:rPr>
          <w:lang w:val="en-GB"/>
        </w:rPr>
        <w:t xml:space="preserve">03, and both </w:t>
      </w:r>
      <w:r>
        <w:rPr>
          <w:i/>
          <w:lang w:val="en-GB"/>
        </w:rPr>
        <w:t xml:space="preserve">vaginal </w:t>
      </w:r>
      <w:r>
        <w:rPr>
          <w:i/>
          <w:lang w:val="en-GB"/>
        </w:rPr>
        <w:lastRenderedPageBreak/>
        <w:t>penetration</w:t>
      </w:r>
      <w:r w:rsidRPr="009345B1">
        <w:rPr>
          <w:i/>
          <w:lang w:val="en-GB"/>
        </w:rPr>
        <w:t xml:space="preserve"> </w:t>
      </w:r>
      <w:r>
        <w:rPr>
          <w:lang w:val="en-GB"/>
        </w:rPr>
        <w:t>(</w:t>
      </w:r>
      <w:r w:rsidRPr="001A00C4">
        <w:rPr>
          <w:i/>
          <w:lang w:val="en-GB"/>
        </w:rPr>
        <w:t>p</w:t>
      </w:r>
      <w:r>
        <w:rPr>
          <w:lang w:val="en-GB"/>
        </w:rPr>
        <w:t> = .0</w:t>
      </w:r>
      <w:r w:rsidR="00DF1AF9">
        <w:rPr>
          <w:lang w:val="en-GB"/>
        </w:rPr>
        <w:t>14</w:t>
      </w:r>
      <w:r>
        <w:rPr>
          <w:lang w:val="en-GB"/>
        </w:rPr>
        <w:t xml:space="preserve">) and </w:t>
      </w:r>
      <w:r>
        <w:rPr>
          <w:i/>
          <w:lang w:val="en-GB"/>
        </w:rPr>
        <w:t>weapon brought by offender</w:t>
      </w:r>
      <w:r w:rsidRPr="009345B1">
        <w:rPr>
          <w:i/>
          <w:lang w:val="en-GB"/>
        </w:rPr>
        <w:t xml:space="preserve"> </w:t>
      </w:r>
      <w:r>
        <w:rPr>
          <w:lang w:val="en-GB"/>
        </w:rPr>
        <w:t>(</w:t>
      </w:r>
      <w:r w:rsidRPr="001A00C4">
        <w:rPr>
          <w:i/>
          <w:lang w:val="en-GB"/>
        </w:rPr>
        <w:t>p</w:t>
      </w:r>
      <w:r>
        <w:rPr>
          <w:lang w:val="en-GB"/>
        </w:rPr>
        <w:t> = .02</w:t>
      </w:r>
      <w:r w:rsidR="00C80389">
        <w:rPr>
          <w:lang w:val="en-GB"/>
        </w:rPr>
        <w:t>5</w:t>
      </w:r>
      <w:r>
        <w:rPr>
          <w:lang w:val="en-GB"/>
        </w:rPr>
        <w:t>) made significant contributions to the prediction. This model</w:t>
      </w:r>
      <w:r w:rsidR="00A11856">
        <w:rPr>
          <w:lang w:val="en-GB"/>
        </w:rPr>
        <w:t xml:space="preserve"> correctly classified 61.0% of the cases and</w:t>
      </w:r>
      <w:r>
        <w:rPr>
          <w:lang w:val="en-GB"/>
        </w:rPr>
        <w:t xml:space="preserve"> explained between </w:t>
      </w:r>
      <w:r w:rsidR="00A11856">
        <w:rPr>
          <w:lang w:val="en-GB"/>
        </w:rPr>
        <w:t>5.2</w:t>
      </w:r>
      <w:r>
        <w:rPr>
          <w:lang w:val="en-GB"/>
        </w:rPr>
        <w:t xml:space="preserve">% (Cox and Snell </w:t>
      </w:r>
      <w:r>
        <w:rPr>
          <w:i/>
          <w:lang w:val="en-GB"/>
        </w:rPr>
        <w:t>R²</w:t>
      </w:r>
      <w:r>
        <w:rPr>
          <w:lang w:val="en-GB"/>
        </w:rPr>
        <w:t xml:space="preserve">) and </w:t>
      </w:r>
      <w:r w:rsidR="00A11856">
        <w:rPr>
          <w:lang w:val="en-GB"/>
        </w:rPr>
        <w:t>7</w:t>
      </w:r>
      <w:r>
        <w:rPr>
          <w:lang w:val="en-GB"/>
        </w:rPr>
        <w:t>.0% (</w:t>
      </w:r>
      <w:proofErr w:type="spellStart"/>
      <w:r>
        <w:rPr>
          <w:lang w:val="en-GB"/>
        </w:rPr>
        <w:t>Nagelkerke</w:t>
      </w:r>
      <w:proofErr w:type="spellEnd"/>
      <w:r>
        <w:rPr>
          <w:lang w:val="en-GB"/>
        </w:rPr>
        <w:t xml:space="preserve"> </w:t>
      </w:r>
      <w:r w:rsidRPr="00567363">
        <w:rPr>
          <w:i/>
          <w:lang w:val="en-GB"/>
        </w:rPr>
        <w:t>R</w:t>
      </w:r>
      <w:r>
        <w:rPr>
          <w:i/>
          <w:lang w:val="en-GB"/>
        </w:rPr>
        <w:t>²</w:t>
      </w:r>
      <w:r>
        <w:rPr>
          <w:lang w:val="en-GB"/>
        </w:rPr>
        <w:t xml:space="preserve">) </w:t>
      </w:r>
      <w:r w:rsidRPr="00567363">
        <w:rPr>
          <w:lang w:val="en-GB"/>
        </w:rPr>
        <w:t>of</w:t>
      </w:r>
      <w:r>
        <w:rPr>
          <w:lang w:val="en-GB"/>
        </w:rPr>
        <w:t xml:space="preserve"> the variance in </w:t>
      </w:r>
      <w:r w:rsidR="00F935CC">
        <w:rPr>
          <w:i/>
          <w:lang w:val="en-GB"/>
        </w:rPr>
        <w:t>theft</w:t>
      </w:r>
      <w:r w:rsidRPr="009345B1">
        <w:rPr>
          <w:i/>
          <w:lang w:val="en-GB"/>
        </w:rPr>
        <w:t xml:space="preserve"> </w:t>
      </w:r>
      <w:r>
        <w:rPr>
          <w:lang w:val="en-GB"/>
        </w:rPr>
        <w:t>pre-conviction status.</w:t>
      </w:r>
    </w:p>
    <w:p w:rsidR="009C699F" w:rsidRPr="00DA59A9" w:rsidRDefault="009C699F" w:rsidP="00CB2434">
      <w:pPr>
        <w:jc w:val="both"/>
        <w:rPr>
          <w:lang w:val="en-GB"/>
        </w:rPr>
      </w:pPr>
    </w:p>
    <w:p w:rsidR="0032570A" w:rsidRDefault="0032570A" w:rsidP="00CB2434">
      <w:pPr>
        <w:pStyle w:val="Heading3"/>
        <w:jc w:val="both"/>
        <w:rPr>
          <w:lang w:val="en-GB"/>
        </w:rPr>
      </w:pPr>
      <w:bookmarkStart w:id="19" w:name="_Toc523226028"/>
      <w:r w:rsidRPr="00DA59A9">
        <w:rPr>
          <w:lang w:val="en-GB"/>
        </w:rPr>
        <w:t>Weapons.</w:t>
      </w:r>
      <w:bookmarkEnd w:id="19"/>
    </w:p>
    <w:p w:rsidR="00621274" w:rsidRPr="004C5E72" w:rsidRDefault="00B11D5D" w:rsidP="00CB2434">
      <w:pPr>
        <w:pStyle w:val="TextkrperMA"/>
        <w:rPr>
          <w:lang w:val="en-GB"/>
        </w:rPr>
      </w:pPr>
      <w:r>
        <w:rPr>
          <w:lang w:val="en-GB"/>
        </w:rPr>
        <w:t>The</w:t>
      </w:r>
      <w:r w:rsidR="00621274">
        <w:rPr>
          <w:lang w:val="en-GB"/>
        </w:rPr>
        <w:t xml:space="preserve"> crime scene </w:t>
      </w:r>
      <w:proofErr w:type="spellStart"/>
      <w:r w:rsidR="006A415D">
        <w:rPr>
          <w:lang w:val="en-GB"/>
        </w:rPr>
        <w:t>behavior</w:t>
      </w:r>
      <w:r w:rsidR="00621274">
        <w:rPr>
          <w:lang w:val="en-GB"/>
        </w:rPr>
        <w:t>s</w:t>
      </w:r>
      <w:proofErr w:type="spellEnd"/>
      <w:r>
        <w:rPr>
          <w:lang w:val="en-GB"/>
        </w:rPr>
        <w:t xml:space="preserve"> </w:t>
      </w:r>
      <w:r>
        <w:rPr>
          <w:i/>
          <w:lang w:val="en-GB"/>
        </w:rPr>
        <w:t>precautions scene, vaginal penetration,</w:t>
      </w:r>
      <w:r>
        <w:rPr>
          <w:lang w:val="en-GB"/>
        </w:rPr>
        <w:t xml:space="preserve"> and </w:t>
      </w:r>
      <w:r>
        <w:rPr>
          <w:i/>
          <w:lang w:val="en-GB"/>
        </w:rPr>
        <w:t>death asphyxia/strangulation</w:t>
      </w:r>
      <w:r>
        <w:rPr>
          <w:lang w:val="en-GB"/>
        </w:rPr>
        <w:t xml:space="preserve"> were identified as </w:t>
      </w:r>
      <w:r w:rsidR="00621274">
        <w:rPr>
          <w:lang w:val="en-GB"/>
        </w:rPr>
        <w:t xml:space="preserve">significantly </w:t>
      </w:r>
      <w:r>
        <w:rPr>
          <w:lang w:val="en-GB"/>
        </w:rPr>
        <w:t>related</w:t>
      </w:r>
      <w:r w:rsidR="00621274">
        <w:rPr>
          <w:lang w:val="en-GB"/>
        </w:rPr>
        <w:t xml:space="preserve"> with </w:t>
      </w:r>
      <w:r>
        <w:rPr>
          <w:i/>
          <w:lang w:val="en-GB"/>
        </w:rPr>
        <w:t>weapon-related pre</w:t>
      </w:r>
      <w:r>
        <w:rPr>
          <w:i/>
          <w:lang w:val="en-GB"/>
        </w:rPr>
        <w:noBreakHyphen/>
        <w:t>convictions</w:t>
      </w:r>
      <w:r w:rsidR="00621274">
        <w:rPr>
          <w:lang w:val="en-GB"/>
        </w:rPr>
        <w:t xml:space="preserve">. </w:t>
      </w:r>
      <w:r w:rsidR="00BE4A9F">
        <w:rPr>
          <w:lang w:val="en-GB"/>
        </w:rPr>
        <w:t xml:space="preserve">Except for </w:t>
      </w:r>
      <w:r w:rsidR="00BE4A9F">
        <w:rPr>
          <w:i/>
          <w:lang w:val="en-GB"/>
        </w:rPr>
        <w:t xml:space="preserve">vaginal </w:t>
      </w:r>
      <w:r w:rsidR="00BE4A9F" w:rsidRPr="007C20AD">
        <w:rPr>
          <w:i/>
          <w:lang w:val="en-GB"/>
        </w:rPr>
        <w:t>penetration</w:t>
      </w:r>
      <w:r w:rsidR="00BE4A9F">
        <w:rPr>
          <w:lang w:val="en-GB"/>
        </w:rPr>
        <w:t xml:space="preserve"> (excluded due to violation of assumptions), a</w:t>
      </w:r>
      <w:r w:rsidRPr="00BE4A9F">
        <w:rPr>
          <w:lang w:val="en-GB"/>
        </w:rPr>
        <w:t>ll</w:t>
      </w:r>
      <w:r>
        <w:rPr>
          <w:lang w:val="en-GB"/>
        </w:rPr>
        <w:t xml:space="preserve"> of these variables were entered into a</w:t>
      </w:r>
      <w:r w:rsidR="00621274">
        <w:rPr>
          <w:lang w:val="en-GB"/>
        </w:rPr>
        <w:t xml:space="preserve"> logistic regression model (see Table </w:t>
      </w:r>
      <w:r w:rsidR="00E402D3">
        <w:rPr>
          <w:lang w:val="en-GB"/>
        </w:rPr>
        <w:t>5</w:t>
      </w:r>
      <w:r w:rsidR="00621274">
        <w:rPr>
          <w:lang w:val="en-GB"/>
        </w:rPr>
        <w:t xml:space="preserve">) </w:t>
      </w:r>
      <w:r>
        <w:rPr>
          <w:lang w:val="en-GB"/>
        </w:rPr>
        <w:t>that reached statistical significance</w:t>
      </w:r>
      <w:r w:rsidR="00621274">
        <w:rPr>
          <w:lang w:val="en-GB"/>
        </w:rPr>
        <w:t xml:space="preserve">, </w:t>
      </w:r>
      <w:r w:rsidR="00621274" w:rsidRPr="00DA59A9">
        <w:rPr>
          <w:i/>
          <w:lang w:val="en-GB"/>
        </w:rPr>
        <w:sym w:font="Symbol" w:char="F063"/>
      </w:r>
      <w:r w:rsidR="00621274" w:rsidRPr="00DA59A9">
        <w:rPr>
          <w:i/>
          <w:lang w:val="en-GB"/>
        </w:rPr>
        <w:t>²</w:t>
      </w:r>
      <w:r w:rsidR="00621274" w:rsidRPr="00DA59A9">
        <w:rPr>
          <w:lang w:val="en-GB"/>
        </w:rPr>
        <w:t>(</w:t>
      </w:r>
      <w:r w:rsidR="007C20AD">
        <w:rPr>
          <w:lang w:val="en-GB"/>
        </w:rPr>
        <w:t>2</w:t>
      </w:r>
      <w:r w:rsidR="00621274" w:rsidRPr="00DA59A9">
        <w:rPr>
          <w:lang w:val="en-GB"/>
        </w:rPr>
        <w:t>) = </w:t>
      </w:r>
      <w:r w:rsidR="007C20AD">
        <w:rPr>
          <w:lang w:val="en-GB"/>
        </w:rPr>
        <w:t>13.5</w:t>
      </w:r>
      <w:r w:rsidR="0064637F">
        <w:rPr>
          <w:lang w:val="en-GB"/>
        </w:rPr>
        <w:t>33</w:t>
      </w:r>
      <w:r w:rsidR="00621274" w:rsidRPr="00DA59A9">
        <w:rPr>
          <w:lang w:val="en-GB"/>
        </w:rPr>
        <w:t xml:space="preserve">, </w:t>
      </w:r>
      <w:r w:rsidR="00621274" w:rsidRPr="00DA59A9">
        <w:rPr>
          <w:i/>
          <w:lang w:val="en-GB"/>
        </w:rPr>
        <w:t>p</w:t>
      </w:r>
      <w:r w:rsidR="00621274" w:rsidRPr="00DA59A9">
        <w:rPr>
          <w:lang w:val="en-GB"/>
        </w:rPr>
        <w:t> = .0</w:t>
      </w:r>
      <w:r w:rsidR="00621274">
        <w:rPr>
          <w:lang w:val="en-GB"/>
        </w:rPr>
        <w:t>0</w:t>
      </w:r>
      <w:r w:rsidR="007C20AD">
        <w:rPr>
          <w:lang w:val="en-GB"/>
        </w:rPr>
        <w:t>1</w:t>
      </w:r>
      <w:r w:rsidR="00621274">
        <w:rPr>
          <w:lang w:val="en-GB"/>
        </w:rPr>
        <w:t xml:space="preserve">, </w:t>
      </w:r>
      <w:r w:rsidR="007C20AD">
        <w:rPr>
          <w:lang w:val="en-GB"/>
        </w:rPr>
        <w:t>with</w:t>
      </w:r>
      <w:r w:rsidR="00621274">
        <w:rPr>
          <w:lang w:val="en-GB"/>
        </w:rPr>
        <w:t xml:space="preserve"> both </w:t>
      </w:r>
      <w:r w:rsidR="002C29F8">
        <w:rPr>
          <w:i/>
          <w:lang w:val="en-GB"/>
        </w:rPr>
        <w:t>precautions scene</w:t>
      </w:r>
      <w:r w:rsidR="00621274" w:rsidRPr="009345B1">
        <w:rPr>
          <w:i/>
          <w:lang w:val="en-GB"/>
        </w:rPr>
        <w:t xml:space="preserve"> </w:t>
      </w:r>
      <w:r w:rsidR="00621274">
        <w:rPr>
          <w:lang w:val="en-GB"/>
        </w:rPr>
        <w:t>(</w:t>
      </w:r>
      <w:r w:rsidR="00621274" w:rsidRPr="001A00C4">
        <w:rPr>
          <w:i/>
          <w:lang w:val="en-GB"/>
        </w:rPr>
        <w:t>p</w:t>
      </w:r>
      <w:r w:rsidR="00621274">
        <w:rPr>
          <w:lang w:val="en-GB"/>
        </w:rPr>
        <w:t> = .0</w:t>
      </w:r>
      <w:r w:rsidR="007C20AD">
        <w:rPr>
          <w:lang w:val="en-GB"/>
        </w:rPr>
        <w:t>39</w:t>
      </w:r>
      <w:r w:rsidR="00621274">
        <w:rPr>
          <w:lang w:val="en-GB"/>
        </w:rPr>
        <w:t xml:space="preserve">) and </w:t>
      </w:r>
      <w:r w:rsidR="002C29F8">
        <w:rPr>
          <w:i/>
          <w:lang w:val="en-GB"/>
        </w:rPr>
        <w:t>death asphyxia/strangulation</w:t>
      </w:r>
      <w:r w:rsidR="00621274" w:rsidRPr="009345B1">
        <w:rPr>
          <w:i/>
          <w:lang w:val="en-GB"/>
        </w:rPr>
        <w:t xml:space="preserve"> </w:t>
      </w:r>
      <w:r w:rsidR="00621274">
        <w:rPr>
          <w:lang w:val="en-GB"/>
        </w:rPr>
        <w:t>(</w:t>
      </w:r>
      <w:r w:rsidR="00621274" w:rsidRPr="001A00C4">
        <w:rPr>
          <w:i/>
          <w:lang w:val="en-GB"/>
        </w:rPr>
        <w:t>p</w:t>
      </w:r>
      <w:r w:rsidR="00621274">
        <w:rPr>
          <w:lang w:val="en-GB"/>
        </w:rPr>
        <w:t> = .0</w:t>
      </w:r>
      <w:r w:rsidR="007C20AD">
        <w:rPr>
          <w:lang w:val="en-GB"/>
        </w:rPr>
        <w:t>07</w:t>
      </w:r>
      <w:r w:rsidR="00621274">
        <w:rPr>
          <w:lang w:val="en-GB"/>
        </w:rPr>
        <w:t xml:space="preserve">) </w:t>
      </w:r>
      <w:r w:rsidR="002C29F8">
        <w:rPr>
          <w:lang w:val="en-GB"/>
        </w:rPr>
        <w:t>contributing significantly to the model</w:t>
      </w:r>
      <w:r w:rsidR="00621274">
        <w:rPr>
          <w:lang w:val="en-GB"/>
        </w:rPr>
        <w:t xml:space="preserve">. </w:t>
      </w:r>
      <w:r w:rsidR="0064637F">
        <w:rPr>
          <w:lang w:val="en-GB"/>
        </w:rPr>
        <w:t>In total, the</w:t>
      </w:r>
      <w:r w:rsidR="00621274">
        <w:rPr>
          <w:lang w:val="en-GB"/>
        </w:rPr>
        <w:t xml:space="preserve"> model classified </w:t>
      </w:r>
      <w:r w:rsidR="0064637F">
        <w:rPr>
          <w:lang w:val="en-GB"/>
        </w:rPr>
        <w:t>81</w:t>
      </w:r>
      <w:r w:rsidR="00621274">
        <w:rPr>
          <w:lang w:val="en-GB"/>
        </w:rPr>
        <w:t>.</w:t>
      </w:r>
      <w:r w:rsidR="0064637F">
        <w:rPr>
          <w:lang w:val="en-GB"/>
        </w:rPr>
        <w:t>7</w:t>
      </w:r>
      <w:r w:rsidR="00621274">
        <w:rPr>
          <w:lang w:val="en-GB"/>
        </w:rPr>
        <w:t>% of the cases</w:t>
      </w:r>
      <w:r w:rsidR="0064637F">
        <w:rPr>
          <w:lang w:val="en-GB"/>
        </w:rPr>
        <w:t xml:space="preserve"> correctly</w:t>
      </w:r>
      <w:r w:rsidR="00621274">
        <w:rPr>
          <w:lang w:val="en-GB"/>
        </w:rPr>
        <w:t xml:space="preserve"> and </w:t>
      </w:r>
      <w:r w:rsidR="0064637F">
        <w:rPr>
          <w:lang w:val="en-GB"/>
        </w:rPr>
        <w:t>accounted for</w:t>
      </w:r>
      <w:r w:rsidR="00621274">
        <w:rPr>
          <w:lang w:val="en-GB"/>
        </w:rPr>
        <w:t xml:space="preserve"> between </w:t>
      </w:r>
      <w:r w:rsidR="0064637F">
        <w:rPr>
          <w:lang w:val="en-GB"/>
        </w:rPr>
        <w:t>6</w:t>
      </w:r>
      <w:r w:rsidR="00621274">
        <w:rPr>
          <w:lang w:val="en-GB"/>
        </w:rPr>
        <w:t xml:space="preserve">.2% (Cox and Snell </w:t>
      </w:r>
      <w:r w:rsidR="00621274">
        <w:rPr>
          <w:i/>
          <w:lang w:val="en-GB"/>
        </w:rPr>
        <w:t>R²</w:t>
      </w:r>
      <w:r w:rsidR="00621274">
        <w:rPr>
          <w:lang w:val="en-GB"/>
        </w:rPr>
        <w:t xml:space="preserve">) and </w:t>
      </w:r>
      <w:r w:rsidR="0064637F">
        <w:rPr>
          <w:lang w:val="en-GB"/>
        </w:rPr>
        <w:t>10</w:t>
      </w:r>
      <w:r w:rsidR="00621274">
        <w:rPr>
          <w:lang w:val="en-GB"/>
        </w:rPr>
        <w:t>.0% (</w:t>
      </w:r>
      <w:proofErr w:type="spellStart"/>
      <w:r w:rsidR="00621274">
        <w:rPr>
          <w:lang w:val="en-GB"/>
        </w:rPr>
        <w:t>Nagelkerke</w:t>
      </w:r>
      <w:proofErr w:type="spellEnd"/>
      <w:r w:rsidR="00621274">
        <w:rPr>
          <w:lang w:val="en-GB"/>
        </w:rPr>
        <w:t xml:space="preserve"> </w:t>
      </w:r>
      <w:r w:rsidR="00621274" w:rsidRPr="00567363">
        <w:rPr>
          <w:i/>
          <w:lang w:val="en-GB"/>
        </w:rPr>
        <w:t>R</w:t>
      </w:r>
      <w:r w:rsidR="00621274">
        <w:rPr>
          <w:i/>
          <w:lang w:val="en-GB"/>
        </w:rPr>
        <w:t>²</w:t>
      </w:r>
      <w:r w:rsidR="00621274">
        <w:rPr>
          <w:lang w:val="en-GB"/>
        </w:rPr>
        <w:t xml:space="preserve">) </w:t>
      </w:r>
      <w:r w:rsidR="00621274" w:rsidRPr="00567363">
        <w:rPr>
          <w:lang w:val="en-GB"/>
        </w:rPr>
        <w:t>of</w:t>
      </w:r>
      <w:r w:rsidR="00621274">
        <w:rPr>
          <w:lang w:val="en-GB"/>
        </w:rPr>
        <w:t xml:space="preserve"> the variance in </w:t>
      </w:r>
      <w:r w:rsidR="00A82906">
        <w:rPr>
          <w:i/>
          <w:lang w:val="en-GB"/>
        </w:rPr>
        <w:t>weapons</w:t>
      </w:r>
      <w:r w:rsidR="00621274" w:rsidRPr="009345B1">
        <w:rPr>
          <w:i/>
          <w:lang w:val="en-GB"/>
        </w:rPr>
        <w:t xml:space="preserve"> </w:t>
      </w:r>
      <w:r w:rsidR="00621274">
        <w:rPr>
          <w:lang w:val="en-GB"/>
        </w:rPr>
        <w:t>pre-conviction status.</w:t>
      </w:r>
    </w:p>
    <w:p w:rsidR="009C699F" w:rsidRPr="00DA59A9" w:rsidRDefault="009C699F" w:rsidP="00CB2434">
      <w:pPr>
        <w:jc w:val="both"/>
        <w:rPr>
          <w:lang w:val="en-GB"/>
        </w:rPr>
      </w:pPr>
    </w:p>
    <w:p w:rsidR="0032570A" w:rsidRDefault="0032570A" w:rsidP="00CB2434">
      <w:pPr>
        <w:pStyle w:val="Heading3"/>
        <w:jc w:val="both"/>
        <w:rPr>
          <w:lang w:val="en-GB"/>
        </w:rPr>
      </w:pPr>
      <w:bookmarkStart w:id="20" w:name="_Toc523226029"/>
      <w:r w:rsidRPr="00DA59A9">
        <w:rPr>
          <w:lang w:val="en-GB"/>
        </w:rPr>
        <w:t>Violence.</w:t>
      </w:r>
      <w:bookmarkEnd w:id="20"/>
    </w:p>
    <w:p w:rsidR="000F33F3" w:rsidRPr="004C5E72" w:rsidRDefault="00046889" w:rsidP="00CB2434">
      <w:pPr>
        <w:pStyle w:val="TextkrperMA"/>
        <w:rPr>
          <w:lang w:val="en-GB"/>
        </w:rPr>
      </w:pPr>
      <w:r>
        <w:rPr>
          <w:lang w:val="en-GB"/>
        </w:rPr>
        <w:t xml:space="preserve">Of the four crime scene </w:t>
      </w:r>
      <w:proofErr w:type="spellStart"/>
      <w:r w:rsidR="006A415D">
        <w:rPr>
          <w:lang w:val="en-GB"/>
        </w:rPr>
        <w:t>behavior</w:t>
      </w:r>
      <w:r>
        <w:rPr>
          <w:lang w:val="en-GB"/>
        </w:rPr>
        <w:t>s</w:t>
      </w:r>
      <w:proofErr w:type="spellEnd"/>
      <w:r>
        <w:rPr>
          <w:lang w:val="en-GB"/>
        </w:rPr>
        <w:t xml:space="preserve"> previously identified to be associated with </w:t>
      </w:r>
      <w:r w:rsidRPr="00046889">
        <w:rPr>
          <w:i/>
          <w:lang w:val="en-GB"/>
        </w:rPr>
        <w:t>violence-related pre-convictions</w:t>
      </w:r>
      <w:r>
        <w:rPr>
          <w:lang w:val="en-GB"/>
        </w:rPr>
        <w:t xml:space="preserve">, only </w:t>
      </w:r>
      <w:r w:rsidR="000F33F3">
        <w:rPr>
          <w:i/>
          <w:lang w:val="en-GB"/>
        </w:rPr>
        <w:t xml:space="preserve">vaginal </w:t>
      </w:r>
      <w:r w:rsidR="000F33F3" w:rsidRPr="007C20AD">
        <w:rPr>
          <w:i/>
          <w:lang w:val="en-GB"/>
        </w:rPr>
        <w:t>penetration</w:t>
      </w:r>
      <w:r w:rsidR="000F33F3">
        <w:rPr>
          <w:lang w:val="en-GB"/>
        </w:rPr>
        <w:t xml:space="preserve"> </w:t>
      </w:r>
      <w:r>
        <w:rPr>
          <w:lang w:val="en-GB"/>
        </w:rPr>
        <w:t xml:space="preserve">and </w:t>
      </w:r>
      <w:r>
        <w:rPr>
          <w:i/>
          <w:lang w:val="en-GB"/>
        </w:rPr>
        <w:t xml:space="preserve">weapon brought by offender </w:t>
      </w:r>
      <w:r w:rsidRPr="00046889">
        <w:rPr>
          <w:lang w:val="en-GB"/>
        </w:rPr>
        <w:t xml:space="preserve">were included </w:t>
      </w:r>
      <w:r>
        <w:rPr>
          <w:lang w:val="en-GB"/>
        </w:rPr>
        <w:t>in a logistic regressi</w:t>
      </w:r>
      <w:r w:rsidR="00E402D3">
        <w:rPr>
          <w:lang w:val="en-GB"/>
        </w:rPr>
        <w:t>on model as depicted in Table 5</w:t>
      </w:r>
      <w:r>
        <w:rPr>
          <w:lang w:val="en-GB"/>
        </w:rPr>
        <w:t xml:space="preserve"> </w:t>
      </w:r>
      <w:r w:rsidR="000F33F3">
        <w:rPr>
          <w:lang w:val="en-GB"/>
        </w:rPr>
        <w:t>(</w:t>
      </w:r>
      <w:r w:rsidRPr="00046889">
        <w:rPr>
          <w:i/>
          <w:lang w:val="en-GB"/>
        </w:rPr>
        <w:t>arson element</w:t>
      </w:r>
      <w:r>
        <w:rPr>
          <w:lang w:val="en-GB"/>
        </w:rPr>
        <w:t xml:space="preserve"> and </w:t>
      </w:r>
      <w:r w:rsidRPr="00046889">
        <w:rPr>
          <w:i/>
          <w:lang w:val="en-GB"/>
        </w:rPr>
        <w:t>clothing moved to expose</w:t>
      </w:r>
      <w:r>
        <w:rPr>
          <w:lang w:val="en-GB"/>
        </w:rPr>
        <w:t xml:space="preserve"> were </w:t>
      </w:r>
      <w:r w:rsidR="000F33F3">
        <w:rPr>
          <w:lang w:val="en-GB"/>
        </w:rPr>
        <w:t>excluded due to violation</w:t>
      </w:r>
      <w:r>
        <w:rPr>
          <w:lang w:val="en-GB"/>
        </w:rPr>
        <w:t>s</w:t>
      </w:r>
      <w:r w:rsidR="000F33F3">
        <w:rPr>
          <w:lang w:val="en-GB"/>
        </w:rPr>
        <w:t xml:space="preserve"> of </w:t>
      </w:r>
      <w:r>
        <w:rPr>
          <w:lang w:val="en-GB"/>
        </w:rPr>
        <w:t xml:space="preserve">model </w:t>
      </w:r>
      <w:r w:rsidR="000F33F3">
        <w:rPr>
          <w:lang w:val="en-GB"/>
        </w:rPr>
        <w:t>assumptions)</w:t>
      </w:r>
      <w:r>
        <w:rPr>
          <w:lang w:val="en-GB"/>
        </w:rPr>
        <w:t xml:space="preserve">. This model successfully predicted the pre-conviction variable </w:t>
      </w:r>
      <w:r w:rsidRPr="00046889">
        <w:rPr>
          <w:i/>
          <w:lang w:val="en-GB"/>
        </w:rPr>
        <w:t>violence</w:t>
      </w:r>
      <w:r w:rsidR="000F33F3">
        <w:rPr>
          <w:lang w:val="en-GB"/>
        </w:rPr>
        <w:t xml:space="preserve">, </w:t>
      </w:r>
      <w:r w:rsidR="000F33F3" w:rsidRPr="00DA59A9">
        <w:rPr>
          <w:i/>
          <w:lang w:val="en-GB"/>
        </w:rPr>
        <w:sym w:font="Symbol" w:char="F063"/>
      </w:r>
      <w:r w:rsidR="000F33F3" w:rsidRPr="00DA59A9">
        <w:rPr>
          <w:i/>
          <w:lang w:val="en-GB"/>
        </w:rPr>
        <w:t>²</w:t>
      </w:r>
      <w:r w:rsidR="000F33F3" w:rsidRPr="00DA59A9">
        <w:rPr>
          <w:lang w:val="en-GB"/>
        </w:rPr>
        <w:t>(</w:t>
      </w:r>
      <w:r w:rsidR="000F33F3">
        <w:rPr>
          <w:lang w:val="en-GB"/>
        </w:rPr>
        <w:t>2</w:t>
      </w:r>
      <w:r w:rsidR="000F33F3" w:rsidRPr="00DA59A9">
        <w:rPr>
          <w:lang w:val="en-GB"/>
        </w:rPr>
        <w:t>) = </w:t>
      </w:r>
      <w:r w:rsidR="00BA2E1D">
        <w:rPr>
          <w:lang w:val="en-GB"/>
        </w:rPr>
        <w:t>12.795</w:t>
      </w:r>
      <w:r w:rsidR="000F33F3" w:rsidRPr="00DA59A9">
        <w:rPr>
          <w:lang w:val="en-GB"/>
        </w:rPr>
        <w:t xml:space="preserve">, </w:t>
      </w:r>
      <w:r w:rsidR="000F33F3" w:rsidRPr="00DA59A9">
        <w:rPr>
          <w:i/>
          <w:lang w:val="en-GB"/>
        </w:rPr>
        <w:t>p</w:t>
      </w:r>
      <w:r w:rsidR="000F33F3" w:rsidRPr="00DA59A9">
        <w:rPr>
          <w:lang w:val="en-GB"/>
        </w:rPr>
        <w:t> = .0</w:t>
      </w:r>
      <w:r w:rsidR="000F33F3">
        <w:rPr>
          <w:lang w:val="en-GB"/>
        </w:rPr>
        <w:t>0</w:t>
      </w:r>
      <w:r w:rsidR="00BA2E1D">
        <w:rPr>
          <w:lang w:val="en-GB"/>
        </w:rPr>
        <w:t>2</w:t>
      </w:r>
      <w:r w:rsidR="000F33F3">
        <w:rPr>
          <w:lang w:val="en-GB"/>
        </w:rPr>
        <w:t xml:space="preserve">, </w:t>
      </w:r>
      <w:r>
        <w:rPr>
          <w:lang w:val="en-GB"/>
        </w:rPr>
        <w:t>and</w:t>
      </w:r>
      <w:r w:rsidR="000F33F3">
        <w:rPr>
          <w:lang w:val="en-GB"/>
        </w:rPr>
        <w:t xml:space="preserve"> both </w:t>
      </w:r>
      <w:r>
        <w:rPr>
          <w:i/>
          <w:lang w:val="en-GB"/>
        </w:rPr>
        <w:t>vaginal penetration</w:t>
      </w:r>
      <w:r w:rsidR="000F33F3" w:rsidRPr="009345B1">
        <w:rPr>
          <w:i/>
          <w:lang w:val="en-GB"/>
        </w:rPr>
        <w:t xml:space="preserve"> </w:t>
      </w:r>
      <w:r w:rsidR="000F33F3">
        <w:rPr>
          <w:lang w:val="en-GB"/>
        </w:rPr>
        <w:t>(</w:t>
      </w:r>
      <w:r w:rsidR="000F33F3" w:rsidRPr="001A00C4">
        <w:rPr>
          <w:i/>
          <w:lang w:val="en-GB"/>
        </w:rPr>
        <w:t>p</w:t>
      </w:r>
      <w:r w:rsidR="000F33F3">
        <w:rPr>
          <w:lang w:val="en-GB"/>
        </w:rPr>
        <w:t> = .0</w:t>
      </w:r>
      <w:r w:rsidR="00BA2E1D">
        <w:rPr>
          <w:lang w:val="en-GB"/>
        </w:rPr>
        <w:t>28</w:t>
      </w:r>
      <w:r w:rsidR="000F33F3">
        <w:rPr>
          <w:lang w:val="en-GB"/>
        </w:rPr>
        <w:t xml:space="preserve">) and </w:t>
      </w:r>
      <w:r>
        <w:rPr>
          <w:i/>
          <w:lang w:val="en-GB"/>
        </w:rPr>
        <w:t>weapon brought by offender</w:t>
      </w:r>
      <w:r w:rsidR="000F33F3" w:rsidRPr="009345B1">
        <w:rPr>
          <w:i/>
          <w:lang w:val="en-GB"/>
        </w:rPr>
        <w:t xml:space="preserve"> </w:t>
      </w:r>
      <w:r w:rsidR="000F33F3">
        <w:rPr>
          <w:lang w:val="en-GB"/>
        </w:rPr>
        <w:t>(</w:t>
      </w:r>
      <w:r w:rsidR="000F33F3" w:rsidRPr="001A00C4">
        <w:rPr>
          <w:i/>
          <w:lang w:val="en-GB"/>
        </w:rPr>
        <w:t>p</w:t>
      </w:r>
      <w:r w:rsidR="000F33F3">
        <w:rPr>
          <w:lang w:val="en-GB"/>
        </w:rPr>
        <w:t> = .00</w:t>
      </w:r>
      <w:r w:rsidR="00B35E89">
        <w:rPr>
          <w:lang w:val="en-GB"/>
        </w:rPr>
        <w:t>9</w:t>
      </w:r>
      <w:r w:rsidR="000F33F3">
        <w:rPr>
          <w:lang w:val="en-GB"/>
        </w:rPr>
        <w:t>) contribut</w:t>
      </w:r>
      <w:r>
        <w:rPr>
          <w:lang w:val="en-GB"/>
        </w:rPr>
        <w:t>ed</w:t>
      </w:r>
      <w:r w:rsidR="000F33F3">
        <w:rPr>
          <w:lang w:val="en-GB"/>
        </w:rPr>
        <w:t xml:space="preserve"> significantly to the model. </w:t>
      </w:r>
      <w:r>
        <w:rPr>
          <w:lang w:val="en-GB"/>
        </w:rPr>
        <w:t>Correctly classifying</w:t>
      </w:r>
      <w:r w:rsidR="000F33F3">
        <w:rPr>
          <w:lang w:val="en-GB"/>
        </w:rPr>
        <w:t xml:space="preserve"> </w:t>
      </w:r>
      <w:r w:rsidR="00CB6668">
        <w:rPr>
          <w:lang w:val="en-GB"/>
        </w:rPr>
        <w:t>61.0</w:t>
      </w:r>
      <w:r w:rsidR="000F33F3">
        <w:rPr>
          <w:lang w:val="en-GB"/>
        </w:rPr>
        <w:t xml:space="preserve">% of </w:t>
      </w:r>
      <w:r>
        <w:rPr>
          <w:lang w:val="en-GB"/>
        </w:rPr>
        <w:t>all</w:t>
      </w:r>
      <w:r w:rsidR="000F33F3">
        <w:rPr>
          <w:lang w:val="en-GB"/>
        </w:rPr>
        <w:t xml:space="preserve"> cases</w:t>
      </w:r>
      <w:r>
        <w:rPr>
          <w:lang w:val="en-GB"/>
        </w:rPr>
        <w:t xml:space="preserve">, the model </w:t>
      </w:r>
      <w:r w:rsidR="000F33F3">
        <w:rPr>
          <w:lang w:val="en-GB"/>
        </w:rPr>
        <w:t xml:space="preserve">accounted for between </w:t>
      </w:r>
      <w:r w:rsidR="00CB6668">
        <w:rPr>
          <w:lang w:val="en-GB"/>
        </w:rPr>
        <w:t>5.8</w:t>
      </w:r>
      <w:r w:rsidR="000F33F3">
        <w:rPr>
          <w:lang w:val="en-GB"/>
        </w:rPr>
        <w:t xml:space="preserve">% (Cox and Snell </w:t>
      </w:r>
      <w:r w:rsidR="000F33F3">
        <w:rPr>
          <w:i/>
          <w:lang w:val="en-GB"/>
        </w:rPr>
        <w:t>R²</w:t>
      </w:r>
      <w:r w:rsidR="000F33F3">
        <w:rPr>
          <w:lang w:val="en-GB"/>
        </w:rPr>
        <w:t xml:space="preserve">) and </w:t>
      </w:r>
      <w:r w:rsidR="00CB6668">
        <w:rPr>
          <w:lang w:val="en-GB"/>
        </w:rPr>
        <w:t>7.9</w:t>
      </w:r>
      <w:r w:rsidR="000F33F3">
        <w:rPr>
          <w:lang w:val="en-GB"/>
        </w:rPr>
        <w:t>% (</w:t>
      </w:r>
      <w:proofErr w:type="spellStart"/>
      <w:r w:rsidR="000F33F3">
        <w:rPr>
          <w:lang w:val="en-GB"/>
        </w:rPr>
        <w:t>Nagelkerke</w:t>
      </w:r>
      <w:proofErr w:type="spellEnd"/>
      <w:r w:rsidR="000F33F3">
        <w:rPr>
          <w:lang w:val="en-GB"/>
        </w:rPr>
        <w:t xml:space="preserve"> </w:t>
      </w:r>
      <w:r w:rsidR="000F33F3" w:rsidRPr="00567363">
        <w:rPr>
          <w:i/>
          <w:lang w:val="en-GB"/>
        </w:rPr>
        <w:t>R</w:t>
      </w:r>
      <w:r w:rsidR="000F33F3">
        <w:rPr>
          <w:i/>
          <w:lang w:val="en-GB"/>
        </w:rPr>
        <w:t>²</w:t>
      </w:r>
      <w:r w:rsidR="000F33F3">
        <w:rPr>
          <w:lang w:val="en-GB"/>
        </w:rPr>
        <w:t xml:space="preserve">) </w:t>
      </w:r>
      <w:r w:rsidR="000F33F3" w:rsidRPr="00567363">
        <w:rPr>
          <w:lang w:val="en-GB"/>
        </w:rPr>
        <w:t>of</w:t>
      </w:r>
      <w:r w:rsidR="000F33F3">
        <w:rPr>
          <w:lang w:val="en-GB"/>
        </w:rPr>
        <w:t xml:space="preserve"> the variance in </w:t>
      </w:r>
      <w:r>
        <w:rPr>
          <w:i/>
          <w:lang w:val="en-GB"/>
        </w:rPr>
        <w:t>violence</w:t>
      </w:r>
      <w:r w:rsidR="000F33F3" w:rsidRPr="009345B1">
        <w:rPr>
          <w:i/>
          <w:lang w:val="en-GB"/>
        </w:rPr>
        <w:t xml:space="preserve"> </w:t>
      </w:r>
      <w:r w:rsidR="000F33F3" w:rsidRPr="00392B6D">
        <w:rPr>
          <w:i/>
          <w:lang w:val="en-GB"/>
        </w:rPr>
        <w:t>pre-conviction</w:t>
      </w:r>
      <w:r w:rsidR="000F33F3">
        <w:rPr>
          <w:lang w:val="en-GB"/>
        </w:rPr>
        <w:t xml:space="preserve"> status.</w:t>
      </w:r>
    </w:p>
    <w:p w:rsidR="00E10C85" w:rsidRDefault="00E10C85" w:rsidP="00CB2434">
      <w:pPr>
        <w:jc w:val="both"/>
        <w:rPr>
          <w:lang w:val="en-GB"/>
        </w:rPr>
      </w:pPr>
    </w:p>
    <w:p w:rsidR="00C7172E" w:rsidRDefault="00C633C7" w:rsidP="00CB2434">
      <w:pPr>
        <w:pStyle w:val="Heading3"/>
        <w:jc w:val="both"/>
        <w:rPr>
          <w:lang w:val="en-GB"/>
        </w:rPr>
      </w:pPr>
      <w:bookmarkStart w:id="21" w:name="_Toc523226030"/>
      <w:r>
        <w:rPr>
          <w:lang w:val="en-GB"/>
        </w:rPr>
        <w:t xml:space="preserve">Prediction </w:t>
      </w:r>
      <w:r w:rsidR="00DA6D10">
        <w:rPr>
          <w:lang w:val="en-GB"/>
        </w:rPr>
        <w:t>and performance of logistic regression models</w:t>
      </w:r>
      <w:bookmarkEnd w:id="21"/>
    </w:p>
    <w:p w:rsidR="003F204E" w:rsidRDefault="00E60FEF" w:rsidP="00CB2434">
      <w:pPr>
        <w:pStyle w:val="TextkrperMA"/>
        <w:rPr>
          <w:lang w:val="en-GB"/>
        </w:rPr>
      </w:pPr>
      <w:r>
        <w:rPr>
          <w:lang w:val="en-GB"/>
        </w:rPr>
        <w:t xml:space="preserve">Mirroring the original Davies et al. </w:t>
      </w:r>
      <w:r w:rsidR="00D519C3">
        <w:rPr>
          <w:lang w:val="en-GB"/>
        </w:rPr>
        <w:fldChar w:fldCharType="begin" w:fldLock="1"/>
      </w:r>
      <w:r w:rsidR="007C4E1F">
        <w:rPr>
          <w:lang w:val="en-GB"/>
        </w:rPr>
        <w:instrText>ADDIN CSL_CITATION {"citationItems":[{"id":"ITEM-1","itemData":{"DOI":"10.1016/S1355-0306(97)72169-5","ISBN":"1355-0306","ISSN":"13550306","PMID":"9302833","abstract":"Approximately 85% of stranger rapists have criminal records, which usually contain a mixture of crime types. This study was designed to ascertain if inferences about such records could be made from aspects of offence behaviour, as described by the rape victims, focusing on both non-sexual behaviours and traits more obviously associated with previous criminality. The statistical technique used was logistic regression. The results demonstrated that it was very possible to obtain indications of a rapist's criminal antecedents from his offence behaviour. The three most promising models were those that predicted whether or not the offender had convictions for burglary, whether or not he had convictions for violent offences, and whether the offence was an apparent 'one-off' occurrence rather than the work of an experienced rapist.","author":[{"dropping-particle":"","family":"Davies","given":"A.","non-dropping-particle":"","parse-names":false,"suffix":""},{"dropping-particle":"","family":"Wittebrood","given":"K.","non-dropping-particle":"","parse-names":false,"suffix":""},{"dropping-particle":"","family":"Jackson","given":"J. L.","non-dropping-particle":"","parse-names":false,"suffix":""}],"container-title":"Science and Justice - Journal of the Forensic Science Society","id":"ITEM-1","issue":"3","issued":{"date-parts":[["1997"]]},"page":"161-170","title":"Predicting the criminal antecedents of a stranger rapist from his offence behaviour","type":"article-journal","volume":"37"},"suppress-author":1,"uris":["http://www.mendeley.com/documents/?uuid=85219464-b5f5-4e44-b3a2-413f67f0b67e"]}],"mendeley":{"formattedCitation":"(1997)","plainTextFormattedCitation":"(1997)","previouslyFormattedCitation":"(1997)"},"properties":{"noteIndex":0},"schema":"https://github.com/citation-style-language/schema/raw/master/csl-citation.json"}</w:instrText>
      </w:r>
      <w:r w:rsidR="00D519C3">
        <w:rPr>
          <w:lang w:val="en-GB"/>
        </w:rPr>
        <w:fldChar w:fldCharType="separate"/>
      </w:r>
      <w:r w:rsidRPr="00E60FEF">
        <w:rPr>
          <w:noProof/>
          <w:lang w:val="en-GB"/>
        </w:rPr>
        <w:t>(1997)</w:t>
      </w:r>
      <w:r w:rsidR="00D519C3">
        <w:rPr>
          <w:lang w:val="en-GB"/>
        </w:rPr>
        <w:fldChar w:fldCharType="end"/>
      </w:r>
      <w:r w:rsidR="00AE51CA">
        <w:rPr>
          <w:lang w:val="en-GB"/>
        </w:rPr>
        <w:t xml:space="preserve"> paper</w:t>
      </w:r>
      <w:r w:rsidR="002858B5">
        <w:rPr>
          <w:lang w:val="en-GB"/>
        </w:rPr>
        <w:t>, Table 11 shows the log</w:t>
      </w:r>
      <w:r>
        <w:rPr>
          <w:lang w:val="en-GB"/>
        </w:rPr>
        <w:t>it values of all logistic regression models produced in the current study.</w:t>
      </w:r>
      <w:r w:rsidR="00AE51CA">
        <w:rPr>
          <w:lang w:val="en-GB"/>
        </w:rPr>
        <w:t xml:space="preserve"> These models predict the probability of whether an offender does or does not have a specific pre</w:t>
      </w:r>
      <w:r w:rsidR="00AE51CA">
        <w:rPr>
          <w:lang w:val="en-GB"/>
        </w:rPr>
        <w:noBreakHyphen/>
        <w:t xml:space="preserve">conviction based on the presence or absence of a combination of crime scene </w:t>
      </w:r>
      <w:proofErr w:type="spellStart"/>
      <w:r w:rsidR="006A415D">
        <w:rPr>
          <w:lang w:val="en-GB"/>
        </w:rPr>
        <w:t>behavior</w:t>
      </w:r>
      <w:proofErr w:type="spellEnd"/>
      <w:r w:rsidR="00AE51CA">
        <w:rPr>
          <w:lang w:val="en-GB"/>
        </w:rPr>
        <w:t xml:space="preserve"> for each case in the sample using a model equation. To predict the probability of a </w:t>
      </w:r>
      <w:r w:rsidR="00AE51CA" w:rsidRPr="00AE51CA">
        <w:rPr>
          <w:i/>
          <w:lang w:val="en-GB"/>
        </w:rPr>
        <w:t>theft</w:t>
      </w:r>
      <w:r w:rsidR="00AE51CA">
        <w:rPr>
          <w:lang w:val="en-GB"/>
        </w:rPr>
        <w:t xml:space="preserve"> pre</w:t>
      </w:r>
      <w:r w:rsidR="00AE51CA">
        <w:rPr>
          <w:lang w:val="en-GB"/>
        </w:rPr>
        <w:noBreakHyphen/>
        <w:t xml:space="preserve">conviction in </w:t>
      </w:r>
      <w:r w:rsidR="000200FF">
        <w:rPr>
          <w:lang w:val="en-GB"/>
        </w:rPr>
        <w:t xml:space="preserve">a </w:t>
      </w:r>
      <w:r w:rsidR="00AE51CA">
        <w:rPr>
          <w:lang w:val="en-GB"/>
        </w:rPr>
        <w:t>case</w:t>
      </w:r>
      <w:r w:rsidR="007B7D59">
        <w:rPr>
          <w:lang w:val="en-GB"/>
        </w:rPr>
        <w:t xml:space="preserve"> in</w:t>
      </w:r>
      <w:r w:rsidR="00AE51CA">
        <w:rPr>
          <w:lang w:val="en-GB"/>
        </w:rPr>
        <w:t xml:space="preserve"> </w:t>
      </w:r>
      <w:r w:rsidR="007B7D59">
        <w:rPr>
          <w:lang w:val="en-GB"/>
        </w:rPr>
        <w:t>which</w:t>
      </w:r>
      <w:r w:rsidR="00AE51CA">
        <w:rPr>
          <w:lang w:val="en-GB"/>
        </w:rPr>
        <w:t>, for example</w:t>
      </w:r>
      <w:r w:rsidR="007B7D59">
        <w:rPr>
          <w:lang w:val="en-GB"/>
        </w:rPr>
        <w:t>,</w:t>
      </w:r>
      <w:r w:rsidR="00AE51CA">
        <w:rPr>
          <w:lang w:val="en-GB"/>
        </w:rPr>
        <w:t xml:space="preserve"> </w:t>
      </w:r>
      <w:r w:rsidR="007B7D59">
        <w:rPr>
          <w:lang w:val="en-GB"/>
        </w:rPr>
        <w:t xml:space="preserve">the offender engaged in </w:t>
      </w:r>
      <w:r w:rsidR="007B7D59" w:rsidRPr="007B7D59">
        <w:rPr>
          <w:i/>
          <w:lang w:val="en-GB"/>
        </w:rPr>
        <w:t>vaginal penetration</w:t>
      </w:r>
      <w:r w:rsidR="00D00C93">
        <w:rPr>
          <w:i/>
          <w:lang w:val="en-GB"/>
        </w:rPr>
        <w:t>,</w:t>
      </w:r>
      <w:r w:rsidR="007B7D59">
        <w:rPr>
          <w:lang w:val="en-GB"/>
        </w:rPr>
        <w:t xml:space="preserve"> but did not </w:t>
      </w:r>
      <w:r w:rsidR="007B7D59" w:rsidRPr="007B7D59">
        <w:rPr>
          <w:i/>
          <w:lang w:val="en-GB"/>
        </w:rPr>
        <w:t>bring a weapon</w:t>
      </w:r>
      <w:r w:rsidR="007B7D59">
        <w:rPr>
          <w:lang w:val="en-GB"/>
        </w:rPr>
        <w:t xml:space="preserve"> to the crime scene, the log-odds would equal:</w:t>
      </w:r>
    </w:p>
    <w:p w:rsidR="003F204E" w:rsidRDefault="007E4F48" w:rsidP="00CB2434">
      <w:pPr>
        <w:pStyle w:val="TextkrperMA"/>
        <w:ind w:firstLine="0"/>
        <w:rPr>
          <w:rFonts w:eastAsiaTheme="minorEastAsia"/>
          <w:lang w:val="en-GB"/>
        </w:rPr>
      </w:pPr>
      <m:oMath>
        <m:r>
          <w:rPr>
            <w:rFonts w:ascii="Cambria Math" w:hAnsi="Cambria Math"/>
            <w:lang w:val="en-GB"/>
          </w:rPr>
          <m:t xml:space="preserve">.171 </m:t>
        </m:r>
        <m:d>
          <m:dPr>
            <m:ctrlPr>
              <w:rPr>
                <w:rFonts w:ascii="Cambria Math" w:hAnsi="Cambria Math"/>
                <w:i/>
                <w:lang w:val="en-GB"/>
              </w:rPr>
            </m:ctrlPr>
          </m:dPr>
          <m:e>
            <m:r>
              <w:rPr>
                <w:rFonts w:ascii="Cambria Math" w:hAnsi="Cambria Math"/>
                <w:lang w:val="en-GB"/>
              </w:rPr>
              <m:t>constant</m:t>
            </m:r>
          </m:e>
        </m:d>
        <m:r>
          <w:rPr>
            <w:rFonts w:ascii="Cambria Math" w:hAnsi="Cambria Math"/>
            <w:lang w:val="en-GB"/>
          </w:rPr>
          <m:t xml:space="preserve">- .768*1 </m:t>
        </m:r>
        <m:d>
          <m:dPr>
            <m:ctrlPr>
              <w:rPr>
                <w:rFonts w:ascii="Cambria Math" w:hAnsi="Cambria Math"/>
                <w:i/>
                <w:lang w:val="en-GB"/>
              </w:rPr>
            </m:ctrlPr>
          </m:dPr>
          <m:e>
            <m:r>
              <w:rPr>
                <w:rFonts w:ascii="Cambria Math" w:hAnsi="Cambria Math"/>
                <w:lang w:val="en-GB"/>
              </w:rPr>
              <m:t>vaginal penetration</m:t>
            </m:r>
          </m:e>
        </m:d>
        <m:r>
          <w:rPr>
            <w:rFonts w:ascii="Cambria Math" w:hAnsi="Cambria Math"/>
            <w:lang w:val="en-GB"/>
          </w:rPr>
          <m:t xml:space="preserve">- .949*0 </m:t>
        </m:r>
        <m:d>
          <m:dPr>
            <m:ctrlPr>
              <w:rPr>
                <w:rFonts w:ascii="Cambria Math" w:hAnsi="Cambria Math"/>
                <w:i/>
                <w:lang w:val="en-GB"/>
              </w:rPr>
            </m:ctrlPr>
          </m:dPr>
          <m:e>
            <m:r>
              <w:rPr>
                <w:rFonts w:ascii="Cambria Math" w:hAnsi="Cambria Math"/>
                <w:lang w:val="en-GB"/>
              </w:rPr>
              <m:t>weapon</m:t>
            </m:r>
          </m:e>
        </m:d>
        <m:r>
          <w:rPr>
            <w:rFonts w:ascii="Cambria Math" w:hAnsi="Cambria Math"/>
            <w:lang w:val="en-GB"/>
          </w:rPr>
          <m:t>= -.597</m:t>
        </m:r>
      </m:oMath>
      <w:r w:rsidR="007B7D59">
        <w:rPr>
          <w:rFonts w:eastAsiaTheme="minorEastAsia"/>
          <w:lang w:val="en-GB"/>
        </w:rPr>
        <w:t>.</w:t>
      </w:r>
    </w:p>
    <w:p w:rsidR="003F204E" w:rsidRDefault="007B7D59" w:rsidP="00CB2434">
      <w:pPr>
        <w:pStyle w:val="TextkrperMA"/>
        <w:ind w:firstLine="0"/>
        <w:rPr>
          <w:rFonts w:eastAsiaTheme="minorEastAsia"/>
          <w:lang w:val="en-GB"/>
        </w:rPr>
      </w:pPr>
      <w:r>
        <w:rPr>
          <w:rFonts w:eastAsiaTheme="minorEastAsia"/>
          <w:lang w:val="en-GB"/>
        </w:rPr>
        <w:t>The probability of a theft pre-conviction would then be:</w:t>
      </w:r>
    </w:p>
    <w:p w:rsidR="00142DB7" w:rsidRDefault="00F06D73" w:rsidP="00CB2434">
      <w:pPr>
        <w:pStyle w:val="TextkrperMA"/>
        <w:tabs>
          <w:tab w:val="left" w:pos="3686"/>
          <w:tab w:val="left" w:pos="4111"/>
          <w:tab w:val="left" w:pos="4678"/>
        </w:tabs>
        <w:ind w:firstLine="2694"/>
        <w:rPr>
          <w:rFonts w:eastAsiaTheme="minorEastAsia"/>
          <w:lang w:val="en-GB"/>
        </w:rPr>
      </w:pPr>
      <m:oMath>
        <m:f>
          <m:fPr>
            <m:ctrlPr>
              <w:rPr>
                <w:rFonts w:ascii="Cambria Math" w:eastAsiaTheme="minorEastAsia" w:hAnsi="Cambria Math"/>
                <w:i/>
                <w:sz w:val="36"/>
                <w:szCs w:val="24"/>
                <w:lang w:val="en-GB"/>
              </w:rPr>
            </m:ctrlPr>
          </m:fPr>
          <m:num>
            <m:sSup>
              <m:sSupPr>
                <m:ctrlPr>
                  <w:rPr>
                    <w:rFonts w:ascii="Cambria Math" w:eastAsiaTheme="minorEastAsia" w:hAnsi="Cambria Math"/>
                    <w:i/>
                    <w:sz w:val="36"/>
                    <w:szCs w:val="24"/>
                    <w:lang w:val="en-GB"/>
                  </w:rPr>
                </m:ctrlPr>
              </m:sSupPr>
              <m:e>
                <m:r>
                  <w:rPr>
                    <w:rFonts w:ascii="Cambria Math" w:hAnsi="Cambria Math"/>
                    <w:sz w:val="36"/>
                    <w:szCs w:val="24"/>
                    <w:lang w:val="en-GB"/>
                  </w:rPr>
                  <m:t>e</m:t>
                </m:r>
              </m:e>
              <m:sup>
                <m:r>
                  <w:rPr>
                    <w:rFonts w:ascii="Cambria Math" w:hAnsi="Cambria Math"/>
                    <w:sz w:val="36"/>
                    <w:szCs w:val="24"/>
                    <w:lang w:val="en-GB"/>
                  </w:rPr>
                  <m:t>-.597</m:t>
                </m:r>
              </m:sup>
            </m:sSup>
          </m:num>
          <m:den>
            <m:r>
              <w:rPr>
                <w:rFonts w:ascii="Cambria Math" w:eastAsiaTheme="minorEastAsia" w:hAnsi="Cambria Math"/>
                <w:sz w:val="36"/>
                <w:szCs w:val="24"/>
                <w:lang w:val="en-GB"/>
              </w:rPr>
              <m:t>1+</m:t>
            </m:r>
            <m:sSup>
              <m:sSupPr>
                <m:ctrlPr>
                  <w:rPr>
                    <w:rFonts w:ascii="Cambria Math" w:eastAsiaTheme="minorEastAsia" w:hAnsi="Cambria Math"/>
                    <w:i/>
                    <w:sz w:val="36"/>
                    <w:szCs w:val="24"/>
                    <w:lang w:val="en-GB"/>
                  </w:rPr>
                </m:ctrlPr>
              </m:sSupPr>
              <m:e>
                <m:r>
                  <w:rPr>
                    <w:rFonts w:ascii="Cambria Math" w:hAnsi="Cambria Math"/>
                    <w:sz w:val="36"/>
                    <w:szCs w:val="24"/>
                    <w:lang w:val="en-GB"/>
                  </w:rPr>
                  <m:t>e</m:t>
                </m:r>
              </m:e>
              <m:sup>
                <m:r>
                  <w:rPr>
                    <w:rFonts w:ascii="Cambria Math" w:hAnsi="Cambria Math"/>
                    <w:sz w:val="36"/>
                    <w:szCs w:val="24"/>
                    <w:lang w:val="en-GB"/>
                  </w:rPr>
                  <m:t>-.597</m:t>
                </m:r>
              </m:sup>
            </m:sSup>
          </m:den>
        </m:f>
      </m:oMath>
      <w:r w:rsidR="00836A3F">
        <w:rPr>
          <w:rFonts w:eastAsiaTheme="minorEastAsia"/>
          <w:lang w:val="en-GB"/>
        </w:rPr>
        <w:t xml:space="preserve"> </w:t>
      </w:r>
      <w:r w:rsidR="003F204E">
        <w:rPr>
          <w:rFonts w:eastAsiaTheme="minorEastAsia"/>
          <w:lang w:val="en-GB"/>
        </w:rPr>
        <w:tab/>
      </w:r>
      <w:proofErr w:type="gramStart"/>
      <w:r w:rsidR="00836A3F">
        <w:rPr>
          <w:rFonts w:eastAsiaTheme="minorEastAsia"/>
          <w:lang w:val="en-GB"/>
        </w:rPr>
        <w:t>or</w:t>
      </w:r>
      <w:proofErr w:type="gramEnd"/>
      <w:r w:rsidR="00836A3F">
        <w:rPr>
          <w:rFonts w:eastAsiaTheme="minorEastAsia"/>
          <w:lang w:val="en-GB"/>
        </w:rPr>
        <w:t xml:space="preserve"> </w:t>
      </w:r>
      <w:r w:rsidR="003F204E">
        <w:rPr>
          <w:rFonts w:eastAsiaTheme="minorEastAsia"/>
          <w:lang w:val="en-GB"/>
        </w:rPr>
        <w:tab/>
      </w:r>
      <w:r w:rsidR="000C5FB0">
        <w:rPr>
          <w:rFonts w:eastAsiaTheme="minorEastAsia"/>
          <w:lang w:val="en-GB"/>
        </w:rPr>
        <w:t>35.5</w:t>
      </w:r>
      <w:r w:rsidR="00836A3F">
        <w:rPr>
          <w:rFonts w:eastAsiaTheme="minorEastAsia"/>
          <w:lang w:val="en-GB"/>
        </w:rPr>
        <w:t xml:space="preserve">%. </w:t>
      </w:r>
    </w:p>
    <w:p w:rsidR="00E402D3" w:rsidRDefault="00F025B6" w:rsidP="00CB2434">
      <w:pPr>
        <w:pStyle w:val="TextkrperMA"/>
        <w:ind w:firstLine="0"/>
        <w:rPr>
          <w:lang w:val="en-GB"/>
        </w:rPr>
      </w:pPr>
      <w:r>
        <w:rPr>
          <w:lang w:val="en-GB"/>
        </w:rPr>
        <w:t>In terms of model performance, t</w:t>
      </w:r>
      <w:r w:rsidR="008C6A23">
        <w:rPr>
          <w:lang w:val="en-GB"/>
        </w:rPr>
        <w:t xml:space="preserve">he percentage of cases correctly classified by </w:t>
      </w:r>
      <w:r>
        <w:rPr>
          <w:lang w:val="en-GB"/>
        </w:rPr>
        <w:t xml:space="preserve">the </w:t>
      </w:r>
      <w:r w:rsidR="008C6A23">
        <w:rPr>
          <w:lang w:val="en-GB"/>
        </w:rPr>
        <w:t xml:space="preserve">logistic regression models based on their probability estimations </w:t>
      </w:r>
      <w:r>
        <w:rPr>
          <w:lang w:val="en-GB"/>
        </w:rPr>
        <w:t xml:space="preserve">using crime scene information </w:t>
      </w:r>
      <w:r w:rsidR="008C6A23">
        <w:rPr>
          <w:lang w:val="en-GB"/>
        </w:rPr>
        <w:t>(criterion: &gt; 50% vs. &lt; 50%)</w:t>
      </w:r>
      <w:r>
        <w:rPr>
          <w:lang w:val="en-GB"/>
        </w:rPr>
        <w:t xml:space="preserve"> is only slightly higher </w:t>
      </w:r>
      <w:r w:rsidR="00CE6CC6">
        <w:rPr>
          <w:lang w:val="en-GB"/>
        </w:rPr>
        <w:t>(</w:t>
      </w:r>
      <w:r w:rsidR="00CE6CC6" w:rsidRPr="00CE6CC6">
        <w:rPr>
          <w:i/>
          <w:lang w:val="en-GB"/>
        </w:rPr>
        <w:t>burglary, theft</w:t>
      </w:r>
      <w:r w:rsidR="00CE6CC6">
        <w:rPr>
          <w:lang w:val="en-GB"/>
        </w:rPr>
        <w:t xml:space="preserve">) </w:t>
      </w:r>
      <w:r>
        <w:rPr>
          <w:lang w:val="en-GB"/>
        </w:rPr>
        <w:t xml:space="preserve">or equal </w:t>
      </w:r>
      <w:r w:rsidR="00CE6CC6">
        <w:rPr>
          <w:lang w:val="en-GB"/>
        </w:rPr>
        <w:t>(</w:t>
      </w:r>
      <w:r w:rsidR="00CE6CC6" w:rsidRPr="00CE6CC6">
        <w:rPr>
          <w:i/>
          <w:lang w:val="en-GB"/>
        </w:rPr>
        <w:t>criminal damage, fraud, weapons, violence</w:t>
      </w:r>
      <w:r w:rsidR="00CE6CC6">
        <w:rPr>
          <w:lang w:val="en-GB"/>
        </w:rPr>
        <w:t xml:space="preserve">) </w:t>
      </w:r>
      <w:r>
        <w:rPr>
          <w:lang w:val="en-GB"/>
        </w:rPr>
        <w:t>to the performance of a simple “best guess” approach</w:t>
      </w:r>
      <w:r w:rsidR="00CE6CC6">
        <w:rPr>
          <w:lang w:val="en-GB"/>
        </w:rPr>
        <w:t xml:space="preserve"> </w:t>
      </w:r>
      <w:r w:rsidR="00B36506">
        <w:rPr>
          <w:lang w:val="en-GB"/>
        </w:rPr>
        <w:t>that uses</w:t>
      </w:r>
      <w:r w:rsidR="00CE6CC6">
        <w:rPr>
          <w:lang w:val="en-GB"/>
        </w:rPr>
        <w:t xml:space="preserve"> only base-rate </w:t>
      </w:r>
      <w:r w:rsidR="00B36506">
        <w:rPr>
          <w:lang w:val="en-GB"/>
        </w:rPr>
        <w:t xml:space="preserve">pre-conviction </w:t>
      </w:r>
      <w:r w:rsidR="00CE6CC6">
        <w:rPr>
          <w:lang w:val="en-GB"/>
        </w:rPr>
        <w:t xml:space="preserve">information </w:t>
      </w:r>
      <w:r w:rsidR="00B36506">
        <w:rPr>
          <w:lang w:val="en-GB"/>
        </w:rPr>
        <w:t xml:space="preserve">of this sample (e.g. probability of an offender having a </w:t>
      </w:r>
      <w:r w:rsidR="00B36506" w:rsidRPr="003D0768">
        <w:rPr>
          <w:i/>
          <w:lang w:val="en-GB"/>
        </w:rPr>
        <w:t>fraud</w:t>
      </w:r>
      <w:r w:rsidR="00B36506">
        <w:rPr>
          <w:lang w:val="en-GB"/>
        </w:rPr>
        <w:t xml:space="preserve"> pre-conviction irrespective of his crime scene </w:t>
      </w:r>
      <w:proofErr w:type="spellStart"/>
      <w:r w:rsidR="006A415D">
        <w:rPr>
          <w:lang w:val="en-GB"/>
        </w:rPr>
        <w:t>behavior</w:t>
      </w:r>
      <w:proofErr w:type="spellEnd"/>
      <w:r w:rsidR="00B36506">
        <w:rPr>
          <w:lang w:val="en-GB"/>
        </w:rPr>
        <w:t xml:space="preserve"> </w:t>
      </w:r>
      <w:r w:rsidR="00BA7DA8">
        <w:rPr>
          <w:lang w:val="en-GB"/>
        </w:rPr>
        <w:t>is</w:t>
      </w:r>
      <w:r w:rsidR="00B36506">
        <w:rPr>
          <w:lang w:val="en-GB"/>
        </w:rPr>
        <w:t xml:space="preserve"> 21.1%).</w:t>
      </w:r>
      <w:r w:rsidR="00E6690F">
        <w:rPr>
          <w:lang w:val="en-GB"/>
        </w:rPr>
        <w:t xml:space="preserve"> As an additional measure of the models’ discriminant performances, ROC AUC analyses </w:t>
      </w:r>
      <w:r w:rsidR="002770E9">
        <w:rPr>
          <w:lang w:val="en-GB"/>
        </w:rPr>
        <w:t>were conducted</w:t>
      </w:r>
      <w:r w:rsidR="00E6690F">
        <w:rPr>
          <w:lang w:val="en-GB"/>
        </w:rPr>
        <w:t xml:space="preserve">. AUC values </w:t>
      </w:r>
      <w:r w:rsidR="00E402D3">
        <w:rPr>
          <w:lang w:val="en-GB"/>
        </w:rPr>
        <w:t>displayed in Table 6</w:t>
      </w:r>
      <w:r w:rsidR="002770E9">
        <w:rPr>
          <w:lang w:val="en-GB"/>
        </w:rPr>
        <w:t xml:space="preserve"> are equivalent to the probability with which proposed logistic regression models will assign a randomly chosen case, in which the offender </w:t>
      </w:r>
      <w:r w:rsidR="002770E9" w:rsidRPr="002770E9">
        <w:rPr>
          <w:i/>
          <w:lang w:val="en-GB"/>
        </w:rPr>
        <w:t>did</w:t>
      </w:r>
      <w:r w:rsidR="002770E9">
        <w:rPr>
          <w:lang w:val="en-GB"/>
        </w:rPr>
        <w:t xml:space="preserve"> have a certain pre-conviction, with a higher probability estimation than a randomly chosen case, in which the offender </w:t>
      </w:r>
      <w:r w:rsidR="002770E9" w:rsidRPr="002770E9">
        <w:rPr>
          <w:i/>
          <w:lang w:val="en-GB"/>
        </w:rPr>
        <w:t>did not</w:t>
      </w:r>
      <w:r w:rsidR="002770E9">
        <w:rPr>
          <w:lang w:val="en-GB"/>
        </w:rPr>
        <w:t xml:space="preserve"> have th</w:t>
      </w:r>
      <w:r w:rsidR="007600FA">
        <w:rPr>
          <w:lang w:val="en-GB"/>
        </w:rPr>
        <w:t>is</w:t>
      </w:r>
      <w:r w:rsidR="002770E9">
        <w:rPr>
          <w:lang w:val="en-GB"/>
        </w:rPr>
        <w:t xml:space="preserve"> pre-conviction</w:t>
      </w:r>
      <w:r w:rsidR="007C4E1F">
        <w:rPr>
          <w:lang w:val="en-GB"/>
        </w:rPr>
        <w:t xml:space="preserve"> </w:t>
      </w:r>
      <w:r w:rsidR="00D519C3">
        <w:rPr>
          <w:lang w:val="en-GB"/>
        </w:rPr>
        <w:fldChar w:fldCharType="begin" w:fldLock="1"/>
      </w:r>
      <w:r w:rsidR="007C4E1F">
        <w:rPr>
          <w:lang w:val="en-GB"/>
        </w:rPr>
        <w:instrText>ADDIN CSL_CITATION {"citationItems":[{"id":"ITEM-1","itemData":{"DOI":"10.1016/j.patrec.2005.10.010","ISBN":"01678655","ISSN":"01678655","PMID":"9820922","abstract":"Receiver operating characteristics (ROC) graphs are useful for organizing classifiers and visualizing their performance. ROC graphs are commonly used in medical decision making, and in recent years have been used increasingly in machine learning and data mining research. Although ROC graphs are apparently simple, there are some common misconceptions and pitfalls when using them in practice. The purpose of this article is to serve as an introduction to ROC graphs and as a guide for using them in research. © 2005 Elsevier B.V. All rights reserved.","author":[{"dropping-particle":"","family":"Fawcett","given":"Tom","non-dropping-particle":"","parse-names":false,"suffix":""}],"container-title":"Pattern Recognition Letters","id":"ITEM-1","issue":"8","issued":{"date-parts":[["2006"]]},"page":"861-874","title":"An introduction to ROC analysis","type":"article-journal","volume":"27"},"uris":["http://www.mendeley.com/documents/?uuid=97dfc2f9-bd65-4c7d-be88-86cdf2a2cc3a"]}],"mendeley":{"formattedCitation":"(Fawcett, 2006)","plainTextFormattedCitation":"(Fawcett, 2006)","previouslyFormattedCitation":"(Fawcett, 2006)"},"properties":{"noteIndex":0},"schema":"https://github.com/citation-style-language/schema/raw/master/csl-citation.json"}</w:instrText>
      </w:r>
      <w:r w:rsidR="00D519C3">
        <w:rPr>
          <w:lang w:val="en-GB"/>
        </w:rPr>
        <w:fldChar w:fldCharType="separate"/>
      </w:r>
      <w:r w:rsidR="007C4E1F" w:rsidRPr="007C4E1F">
        <w:rPr>
          <w:noProof/>
          <w:lang w:val="en-GB"/>
        </w:rPr>
        <w:t>(Fawcett, 2006)</w:t>
      </w:r>
      <w:r w:rsidR="00D519C3">
        <w:rPr>
          <w:lang w:val="en-GB"/>
        </w:rPr>
        <w:fldChar w:fldCharType="end"/>
      </w:r>
      <w:r w:rsidR="002770E9">
        <w:rPr>
          <w:lang w:val="en-GB"/>
        </w:rPr>
        <w:t xml:space="preserve">. </w:t>
      </w:r>
      <w:r w:rsidR="00430E41">
        <w:rPr>
          <w:lang w:val="en-GB"/>
        </w:rPr>
        <w:lastRenderedPageBreak/>
        <w:t xml:space="preserve">AUC </w:t>
      </w:r>
      <w:r w:rsidR="007C4E1F">
        <w:rPr>
          <w:lang w:val="en-GB"/>
        </w:rPr>
        <w:t xml:space="preserve">probabilities </w:t>
      </w:r>
      <w:r w:rsidR="00430E41">
        <w:rPr>
          <w:lang w:val="en-GB"/>
        </w:rPr>
        <w:t>range from 58,4%</w:t>
      </w:r>
      <w:r w:rsidR="007C4E1F">
        <w:rPr>
          <w:lang w:val="en-GB"/>
        </w:rPr>
        <w:t xml:space="preserve"> (</w:t>
      </w:r>
      <w:r w:rsidR="007C4E1F" w:rsidRPr="007C4E1F">
        <w:rPr>
          <w:i/>
          <w:lang w:val="en-GB"/>
        </w:rPr>
        <w:t>burglary</w:t>
      </w:r>
      <w:r w:rsidR="007C4E1F">
        <w:rPr>
          <w:lang w:val="en-GB"/>
        </w:rPr>
        <w:t>) to 66.2% (</w:t>
      </w:r>
      <w:r w:rsidR="007C4E1F" w:rsidRPr="007C4E1F">
        <w:rPr>
          <w:i/>
          <w:lang w:val="en-GB"/>
        </w:rPr>
        <w:t>weapons</w:t>
      </w:r>
      <w:r w:rsidR="007C4E1F">
        <w:rPr>
          <w:lang w:val="en-GB"/>
        </w:rPr>
        <w:t xml:space="preserve">), suggesting overall poor to medium model performances </w:t>
      </w:r>
      <w:r w:rsidR="00D519C3">
        <w:rPr>
          <w:lang w:val="en-GB"/>
        </w:rPr>
        <w:fldChar w:fldCharType="begin" w:fldLock="1"/>
      </w:r>
      <w:r w:rsidR="00592BE8">
        <w:rPr>
          <w:lang w:val="en-GB"/>
        </w:rPr>
        <w:instrText>ADDIN CSL_CITATION {"citationItems":[{"id":"ITEM-1","itemData":{"DOI":"10.1007/s10979-005-6832-7","ISBN":"0147-7307","ISSN":"01477307","PMID":"16254746","abstract":"In order to facilitate comparisons across follow-up studies that have used different measures of effect size, we provide a table of effect size equivalencies for the three most common measures: ROC area (AUC), Cohen's d, and r. We outline why AUC is the preferred measure of predictive or diagnostic accuracy in forensic psychology or psychiatry, and we urge researchers and practitioners to use numbers rather than verbal labels to characterize effect sizes.","author":[{"dropping-particle":"","family":"Rice","given":"Marnie E.","non-dropping-particle":"","parse-names":false,"suffix":""},{"dropping-particle":"","family":"Harris","given":"Grant T.","non-dropping-particle":"","parse-names":false,"suffix":""}],"container-title":"Law and Human Behavior","id":"ITEM-1","issue":"5","issued":{"date-parts":[["2005"]]},"page":"615-620","title":"Comparing effect sizes in follow-up studies: ROC area, Cohen's d, and r","type":"article-journal","volume":"29"},"uris":["http://www.mendeley.com/documents/?uuid=266d2b57-f995-46d9-ad13-3b8ef08dd991"]}],"mendeley":{"formattedCitation":"(Rice &amp; Harris, 2005)","plainTextFormattedCitation":"(Rice &amp; Harris, 2005)","previouslyFormattedCitation":"(Rice &amp; Harris, 2005)"},"properties":{"noteIndex":0},"schema":"https://github.com/citation-style-language/schema/raw/master/csl-citation.json"}</w:instrText>
      </w:r>
      <w:r w:rsidR="00D519C3">
        <w:rPr>
          <w:lang w:val="en-GB"/>
        </w:rPr>
        <w:fldChar w:fldCharType="separate"/>
      </w:r>
      <w:r w:rsidR="007C4E1F" w:rsidRPr="007C4E1F">
        <w:rPr>
          <w:noProof/>
          <w:lang w:val="en-GB"/>
        </w:rPr>
        <w:t>(Rice &amp; Harris, 2005)</w:t>
      </w:r>
      <w:r w:rsidR="00D519C3">
        <w:rPr>
          <w:lang w:val="en-GB"/>
        </w:rPr>
        <w:fldChar w:fldCharType="end"/>
      </w:r>
      <w:bookmarkStart w:id="22" w:name="_Toc523226031"/>
    </w:p>
    <w:p w:rsidR="00E402D3" w:rsidRDefault="00E402D3" w:rsidP="00CB2434">
      <w:pPr>
        <w:pStyle w:val="TextkrperMA"/>
        <w:ind w:firstLine="0"/>
        <w:rPr>
          <w:lang w:val="en-GB"/>
        </w:rPr>
      </w:pPr>
    </w:p>
    <w:p w:rsidR="00651498" w:rsidRPr="00E402D3" w:rsidRDefault="004037BC" w:rsidP="00CB2434">
      <w:pPr>
        <w:pStyle w:val="TextkrperMA"/>
        <w:ind w:firstLine="0"/>
        <w:rPr>
          <w:b/>
          <w:lang w:val="en-GB"/>
        </w:rPr>
      </w:pPr>
      <w:r w:rsidRPr="00E402D3">
        <w:rPr>
          <w:b/>
          <w:lang w:val="en-GB"/>
        </w:rPr>
        <w:t>Discussion</w:t>
      </w:r>
      <w:bookmarkEnd w:id="22"/>
    </w:p>
    <w:p w:rsidR="004A5F3F" w:rsidRDefault="00E9170C" w:rsidP="00CB2434">
      <w:pPr>
        <w:pStyle w:val="TextkrperMA"/>
        <w:rPr>
          <w:lang w:val="en-GB"/>
        </w:rPr>
      </w:pPr>
      <w:r>
        <w:rPr>
          <w:lang w:val="en-GB"/>
        </w:rPr>
        <w:t>The purpose of this</w:t>
      </w:r>
      <w:r w:rsidR="00B64AE7">
        <w:rPr>
          <w:lang w:val="en-GB"/>
        </w:rPr>
        <w:t xml:space="preserve"> study was to explore whether male-on-female homicide offenders’ criminal histories could be predicted from their crime scene actions</w:t>
      </w:r>
      <w:r w:rsidR="009E00EA">
        <w:rPr>
          <w:lang w:val="en-GB"/>
        </w:rPr>
        <w:t xml:space="preserve">. By </w:t>
      </w:r>
      <w:r w:rsidR="00AA683F">
        <w:rPr>
          <w:lang w:val="en-GB"/>
        </w:rPr>
        <w:t>using a contemporary set of investigative policing data and a large number of previous conviction variables</w:t>
      </w:r>
      <w:r w:rsidR="00661697">
        <w:rPr>
          <w:lang w:val="en-GB"/>
        </w:rPr>
        <w:t>, this study aimed at extending the available evidence-base for criminal history profiling in cases of hard-to-solve homicide</w:t>
      </w:r>
      <w:r w:rsidR="00AA683F">
        <w:rPr>
          <w:lang w:val="en-GB"/>
        </w:rPr>
        <w:t>.</w:t>
      </w:r>
      <w:r w:rsidR="00B64AE7">
        <w:rPr>
          <w:lang w:val="en-GB"/>
        </w:rPr>
        <w:t xml:space="preserve"> </w:t>
      </w:r>
      <w:r w:rsidR="00C839AD">
        <w:rPr>
          <w:lang w:val="en-GB"/>
        </w:rPr>
        <w:t>T</w:t>
      </w:r>
      <w:r w:rsidR="00157CE5">
        <w:rPr>
          <w:lang w:val="en-GB"/>
        </w:rPr>
        <w:t xml:space="preserve">he present research </w:t>
      </w:r>
      <w:r w:rsidR="00517C47">
        <w:rPr>
          <w:lang w:val="en-GB"/>
        </w:rPr>
        <w:t xml:space="preserve">successfully </w:t>
      </w:r>
      <w:r w:rsidR="00157CE5">
        <w:rPr>
          <w:lang w:val="en-GB"/>
        </w:rPr>
        <w:t>demonstrate</w:t>
      </w:r>
      <w:r w:rsidR="00517C47">
        <w:rPr>
          <w:lang w:val="en-GB"/>
        </w:rPr>
        <w:t>d</w:t>
      </w:r>
      <w:r w:rsidR="0073485D">
        <w:rPr>
          <w:lang w:val="en-GB"/>
        </w:rPr>
        <w:t xml:space="preserve"> that</w:t>
      </w:r>
      <w:r w:rsidR="00A165CA">
        <w:rPr>
          <w:lang w:val="en-GB"/>
        </w:rPr>
        <w:t xml:space="preserve"> 1)</w:t>
      </w:r>
      <w:r w:rsidR="0073485D">
        <w:rPr>
          <w:lang w:val="en-GB"/>
        </w:rPr>
        <w:t xml:space="preserve"> single crime scene actions could be </w:t>
      </w:r>
      <w:r w:rsidR="00FB6B99">
        <w:rPr>
          <w:lang w:val="en-GB"/>
        </w:rPr>
        <w:t>empirically</w:t>
      </w:r>
      <w:r w:rsidR="0073485D">
        <w:rPr>
          <w:lang w:val="en-GB"/>
        </w:rPr>
        <w:t xml:space="preserve"> linked to single previous conviction variables</w:t>
      </w:r>
      <w:r w:rsidR="00A9670C">
        <w:rPr>
          <w:lang w:val="en-GB"/>
        </w:rPr>
        <w:t xml:space="preserve"> using a bivariate statistical approach</w:t>
      </w:r>
      <w:r w:rsidR="0073485D">
        <w:rPr>
          <w:lang w:val="en-GB"/>
        </w:rPr>
        <w:t xml:space="preserve"> </w:t>
      </w:r>
      <w:r w:rsidR="00157CE5">
        <w:rPr>
          <w:lang w:val="en-GB"/>
        </w:rPr>
        <w:t>and that 2) multivariate statistical models were able to predict the probabilit</w:t>
      </w:r>
      <w:r w:rsidR="00437BBF">
        <w:rPr>
          <w:lang w:val="en-GB"/>
        </w:rPr>
        <w:t>y</w:t>
      </w:r>
      <w:r w:rsidR="00157CE5">
        <w:rPr>
          <w:lang w:val="en-GB"/>
        </w:rPr>
        <w:t xml:space="preserve"> of a specific pre</w:t>
      </w:r>
      <w:r w:rsidR="00157CE5">
        <w:rPr>
          <w:lang w:val="en-GB"/>
        </w:rPr>
        <w:noBreakHyphen/>
        <w:t xml:space="preserve">conviction based on a combination of </w:t>
      </w:r>
      <w:r w:rsidR="001751E9">
        <w:rPr>
          <w:lang w:val="en-GB"/>
        </w:rPr>
        <w:t xml:space="preserve">offence </w:t>
      </w:r>
      <w:proofErr w:type="spellStart"/>
      <w:r w:rsidR="006A415D">
        <w:rPr>
          <w:lang w:val="en-GB"/>
        </w:rPr>
        <w:t>behavior</w:t>
      </w:r>
      <w:r w:rsidR="00801EDB">
        <w:rPr>
          <w:lang w:val="en-GB"/>
        </w:rPr>
        <w:t>s</w:t>
      </w:r>
      <w:proofErr w:type="spellEnd"/>
      <w:r w:rsidR="00801EDB">
        <w:rPr>
          <w:lang w:val="en-GB"/>
        </w:rPr>
        <w:t xml:space="preserve"> observed from the crime scene. </w:t>
      </w:r>
      <w:r w:rsidR="00DF036B">
        <w:rPr>
          <w:lang w:val="en-GB"/>
        </w:rPr>
        <w:t>T</w:t>
      </w:r>
      <w:r w:rsidR="00C839AD">
        <w:rPr>
          <w:lang w:val="en-GB"/>
        </w:rPr>
        <w:t>his study</w:t>
      </w:r>
      <w:r w:rsidR="009C44F7">
        <w:rPr>
          <w:lang w:val="en-GB"/>
        </w:rPr>
        <w:t>,</w:t>
      </w:r>
      <w:r w:rsidR="00C839AD">
        <w:rPr>
          <w:lang w:val="en-GB"/>
        </w:rPr>
        <w:t xml:space="preserve"> therefore</w:t>
      </w:r>
      <w:r w:rsidR="009C44F7">
        <w:rPr>
          <w:lang w:val="en-GB"/>
        </w:rPr>
        <w:t>,</w:t>
      </w:r>
      <w:r w:rsidR="00C839AD">
        <w:rPr>
          <w:lang w:val="en-GB"/>
        </w:rPr>
        <w:t xml:space="preserve"> successfully replicated the methodological approach proposed by Davies et al. </w:t>
      </w:r>
      <w:r w:rsidR="00D519C3">
        <w:rPr>
          <w:lang w:val="en-GB"/>
        </w:rPr>
        <w:fldChar w:fldCharType="begin" w:fldLock="1"/>
      </w:r>
      <w:r w:rsidR="00FA3D29">
        <w:rPr>
          <w:lang w:val="en-GB"/>
        </w:rPr>
        <w:instrText>ADDIN CSL_CITATION {"citationItems":[{"id":"ITEM-1","itemData":{"DOI":"10.1016/S1355-0306(97)72169-5","ISBN":"1355-0306","ISSN":"13550306","PMID":"9302833","abstract":"Approximately 85% of stranger rapists have criminal records, which usually contain a mixture of crime types. This study was designed to ascertain if inferences about such records could be made from aspects of offence behaviour, as described by the rape victims, focusing on both non-sexual behaviours and traits more obviously associated with previous criminality. The statistical technique used was logistic regression. The results demonstrated that it was very possible to obtain indications of a rapist's criminal antecedents from his offence behaviour. The three most promising models were those that predicted whether or not the offender had convictions for burglary, whether or not he had convictions for violent offences, and whether the offence was an apparent 'one-off' occurrence rather than the work of an experienced rapist.","author":[{"dropping-particle":"","family":"Davies","given":"A.","non-dropping-particle":"","parse-names":false,"suffix":""},{"dropping-particle":"","family":"Wittebrood","given":"K.","non-dropping-particle":"","parse-names":false,"suffix":""},{"dropping-particle":"","family":"Jackson","given":"J. L.","non-dropping-particle":"","parse-names":false,"suffix":""}],"container-title":"Science and Justice - Journal of the Forensic Science Society","id":"ITEM-1","issue":"3","issued":{"date-parts":[["1997"]]},"page":"161-170","title":"Predicting the criminal antecedents of a stranger rapist from his offence behaviour","type":"article-journal","volume":"37"},"suppress-author":1,"uris":["http://www.mendeley.com/documents/?uuid=85219464-b5f5-4e44-b3a2-413f67f0b67e"]}],"mendeley":{"formattedCitation":"(1997)","plainTextFormattedCitation":"(1997)","previouslyFormattedCitation":"(1997)"},"properties":{"noteIndex":0},"schema":"https://github.com/citation-style-language/schema/raw/master/csl-citation.json"}</w:instrText>
      </w:r>
      <w:r w:rsidR="00D519C3">
        <w:rPr>
          <w:lang w:val="en-GB"/>
        </w:rPr>
        <w:fldChar w:fldCharType="separate"/>
      </w:r>
      <w:r w:rsidR="00C839AD" w:rsidRPr="00C839AD">
        <w:rPr>
          <w:noProof/>
          <w:lang w:val="en-GB"/>
        </w:rPr>
        <w:t>(1997)</w:t>
      </w:r>
      <w:r w:rsidR="00D519C3">
        <w:rPr>
          <w:lang w:val="en-GB"/>
        </w:rPr>
        <w:fldChar w:fldCharType="end"/>
      </w:r>
      <w:r w:rsidR="00C839AD">
        <w:rPr>
          <w:lang w:val="en-GB"/>
        </w:rPr>
        <w:t xml:space="preserve"> and later Almond et al. </w:t>
      </w:r>
      <w:r w:rsidR="00D519C3">
        <w:rPr>
          <w:lang w:val="en-GB"/>
        </w:rPr>
        <w:fldChar w:fldCharType="begin" w:fldLock="1"/>
      </w:r>
      <w:r w:rsidR="00EA7901">
        <w:rPr>
          <w:lang w:val="en-GB"/>
        </w:rPr>
        <w:instrText>ADDIN CSL_CITATION {"citationItems":[{"id":"ITEM-1","itemData":{"DOI":"10.1177/0886260518756118","ISSN":"0886-2605","author":[{"dropping-particle":"","family":"Almond","given":"Louise","non-dropping-particle":"","parse-names":false,"suffix":""},{"dropping-particle":"","family":"McManus","given":"Michelle","non-dropping-particle":"","parse-names":false,"suffix":""},{"dropping-particle":"","family":"Bal","given":"Amarat","non-dropping-particle":"","parse-names":false,"suffix":""},{"dropping-particle":"","family":"O’Brien","given":"Freya","non-dropping-particle":"","parse-names":false,"suffix":""},{"dropping-particle":"","family":"Rainbow","given":"Lee","non-dropping-particle":"","parse-names":false,"suffix":""},{"dropping-particle":"","family":"Webb","given":"Mark","non-dropping-particle":"","parse-names":false,"suffix":""}],"container-title":"Journal of Interpersonal Violence","id":"ITEM-1","issued":{"date-parts":[["2018","2","14"]]},"title":"Assisting the Investigation of Stranger Rapes: Predicting the Criminal Record of U.K. Stranger Rapists From Their Crime Scene Behaviors","type":"article-journal"},"suppress-author":1,"uris":["http://www.mendeley.com/documents/?uuid=93ad9675-99ea-4e4e-91b3-6ca0db1894a3"]}],"mendeley":{"formattedCitation":"(2018)","plainTextFormattedCitation":"(2018)","previouslyFormattedCitation":"(2018)"},"properties":{"noteIndex":0},"schema":"https://github.com/citation-style-language/schema/raw/master/csl-citation.json"}</w:instrText>
      </w:r>
      <w:r w:rsidR="00D519C3">
        <w:rPr>
          <w:lang w:val="en-GB"/>
        </w:rPr>
        <w:fldChar w:fldCharType="separate"/>
      </w:r>
      <w:r w:rsidR="00C839AD" w:rsidRPr="00B64AE7">
        <w:rPr>
          <w:noProof/>
          <w:lang w:val="en-GB"/>
        </w:rPr>
        <w:t>(2018)</w:t>
      </w:r>
      <w:r w:rsidR="00D519C3">
        <w:rPr>
          <w:lang w:val="en-GB"/>
        </w:rPr>
        <w:fldChar w:fldCharType="end"/>
      </w:r>
      <w:r w:rsidR="00C839AD" w:rsidRPr="00C839AD">
        <w:rPr>
          <w:lang w:val="en-GB"/>
        </w:rPr>
        <w:t xml:space="preserve"> </w:t>
      </w:r>
      <w:r w:rsidR="00C839AD">
        <w:rPr>
          <w:lang w:val="en-GB"/>
        </w:rPr>
        <w:t>in a new criminal context, i.e. hard-to-solve male-on-female homicide cases.</w:t>
      </w:r>
      <w:r w:rsidR="004763EE">
        <w:rPr>
          <w:lang w:val="en-GB"/>
        </w:rPr>
        <w:t xml:space="preserve"> </w:t>
      </w:r>
      <w:r w:rsidR="009C44F7">
        <w:rPr>
          <w:lang w:val="en-GB"/>
        </w:rPr>
        <w:t>T</w:t>
      </w:r>
      <w:r w:rsidR="00C462BD">
        <w:rPr>
          <w:lang w:val="en-GB"/>
        </w:rPr>
        <w:t>heoretical and practical implications of the obtained results are proposed and discussed with regard to a number of methodological limitations.</w:t>
      </w:r>
    </w:p>
    <w:p w:rsidR="0038017E" w:rsidRDefault="00EC707D" w:rsidP="00CB2434">
      <w:pPr>
        <w:pStyle w:val="TextkrperMA"/>
        <w:rPr>
          <w:lang w:val="en-GB"/>
        </w:rPr>
      </w:pPr>
      <w:r>
        <w:rPr>
          <w:lang w:val="en-GB"/>
        </w:rPr>
        <w:t xml:space="preserve">First, </w:t>
      </w:r>
      <w:r w:rsidR="00291972">
        <w:rPr>
          <w:lang w:val="en-GB"/>
        </w:rPr>
        <w:t xml:space="preserve">results suggest that </w:t>
      </w:r>
      <w:r w:rsidR="00C406BB">
        <w:rPr>
          <w:lang w:val="en-GB"/>
        </w:rPr>
        <w:t>not all</w:t>
      </w:r>
      <w:r w:rsidR="00291972">
        <w:rPr>
          <w:lang w:val="en-GB"/>
        </w:rPr>
        <w:t xml:space="preserve"> prior convictions may be</w:t>
      </w:r>
      <w:r w:rsidR="00C406BB">
        <w:rPr>
          <w:lang w:val="en-GB"/>
        </w:rPr>
        <w:t xml:space="preserve"> similarly</w:t>
      </w:r>
      <w:r w:rsidR="00291972">
        <w:rPr>
          <w:lang w:val="en-GB"/>
        </w:rPr>
        <w:t xml:space="preserve"> suited for prediction based on </w:t>
      </w:r>
      <w:proofErr w:type="spellStart"/>
      <w:r w:rsidR="006A415D">
        <w:rPr>
          <w:lang w:val="en-GB"/>
        </w:rPr>
        <w:t>behavior</w:t>
      </w:r>
      <w:r w:rsidR="00291972">
        <w:rPr>
          <w:lang w:val="en-GB"/>
        </w:rPr>
        <w:t>al</w:t>
      </w:r>
      <w:proofErr w:type="spellEnd"/>
      <w:r w:rsidR="00291972">
        <w:rPr>
          <w:lang w:val="en-GB"/>
        </w:rPr>
        <w:t xml:space="preserve"> characteristics of </w:t>
      </w:r>
      <w:r w:rsidR="00F43AA2">
        <w:rPr>
          <w:lang w:val="en-GB"/>
        </w:rPr>
        <w:t>a</w:t>
      </w:r>
      <w:r w:rsidR="00291972">
        <w:rPr>
          <w:lang w:val="en-GB"/>
        </w:rPr>
        <w:t xml:space="preserve"> crime sc</w:t>
      </w:r>
      <w:r w:rsidR="00C406BB">
        <w:rPr>
          <w:lang w:val="en-GB"/>
        </w:rPr>
        <w:t>ene.</w:t>
      </w:r>
      <w:r w:rsidR="00291972">
        <w:rPr>
          <w:lang w:val="en-GB"/>
        </w:rPr>
        <w:t xml:space="preserve"> W</w:t>
      </w:r>
      <w:r w:rsidR="00BE1FCB">
        <w:rPr>
          <w:lang w:val="en-GB"/>
        </w:rPr>
        <w:t xml:space="preserve">hile </w:t>
      </w:r>
      <w:r>
        <w:rPr>
          <w:lang w:val="en-GB"/>
        </w:rPr>
        <w:t>th</w:t>
      </w:r>
      <w:r w:rsidR="00C406BB">
        <w:rPr>
          <w:lang w:val="en-GB"/>
        </w:rPr>
        <w:t>is</w:t>
      </w:r>
      <w:r>
        <w:rPr>
          <w:lang w:val="en-GB"/>
        </w:rPr>
        <w:t xml:space="preserve"> study was successful in linking </w:t>
      </w:r>
      <w:r w:rsidRPr="00485C0D">
        <w:rPr>
          <w:i/>
          <w:lang w:val="en-GB"/>
        </w:rPr>
        <w:t>some</w:t>
      </w:r>
      <w:r>
        <w:rPr>
          <w:lang w:val="en-GB"/>
        </w:rPr>
        <w:t xml:space="preserve"> pre-conviction variables to certain offence </w:t>
      </w:r>
      <w:proofErr w:type="spellStart"/>
      <w:r w:rsidR="006A415D">
        <w:rPr>
          <w:lang w:val="en-GB"/>
        </w:rPr>
        <w:t>behavior</w:t>
      </w:r>
      <w:r>
        <w:rPr>
          <w:lang w:val="en-GB"/>
        </w:rPr>
        <w:t>s</w:t>
      </w:r>
      <w:proofErr w:type="spellEnd"/>
      <w:r>
        <w:rPr>
          <w:lang w:val="en-GB"/>
        </w:rPr>
        <w:t xml:space="preserve">, </w:t>
      </w:r>
      <w:r w:rsidR="00BE1FCB">
        <w:rPr>
          <w:lang w:val="en-GB"/>
        </w:rPr>
        <w:t>it</w:t>
      </w:r>
      <w:r>
        <w:rPr>
          <w:lang w:val="en-GB"/>
        </w:rPr>
        <w:t xml:space="preserve"> failed to find any empirical association for </w:t>
      </w:r>
      <w:r w:rsidR="00C03BA7">
        <w:rPr>
          <w:lang w:val="en-GB"/>
        </w:rPr>
        <w:t>several</w:t>
      </w:r>
      <w:r w:rsidR="00BE1FCB">
        <w:rPr>
          <w:lang w:val="en-GB"/>
        </w:rPr>
        <w:t xml:space="preserve"> </w:t>
      </w:r>
      <w:r w:rsidR="00BE1FCB" w:rsidRPr="004D664A">
        <w:rPr>
          <w:lang w:val="en-GB"/>
        </w:rPr>
        <w:t>other</w:t>
      </w:r>
      <w:r w:rsidR="00BE1FCB">
        <w:rPr>
          <w:lang w:val="en-GB"/>
        </w:rPr>
        <w:t xml:space="preserve"> pre-convictions</w:t>
      </w:r>
      <w:r w:rsidR="00BC63A7">
        <w:rPr>
          <w:lang w:val="en-GB"/>
        </w:rPr>
        <w:t xml:space="preserve">, namely </w:t>
      </w:r>
      <w:r w:rsidR="00BC63A7" w:rsidRPr="00DA59A9">
        <w:rPr>
          <w:i/>
          <w:lang w:val="en-GB"/>
        </w:rPr>
        <w:t>criminal record</w:t>
      </w:r>
      <w:r w:rsidR="00BC63A7" w:rsidRPr="00DA59A9">
        <w:rPr>
          <w:lang w:val="en-GB"/>
        </w:rPr>
        <w:t xml:space="preserve">, </w:t>
      </w:r>
      <w:r w:rsidR="00BC63A7" w:rsidRPr="00DA59A9">
        <w:rPr>
          <w:i/>
          <w:lang w:val="en-GB"/>
        </w:rPr>
        <w:t>drugs</w:t>
      </w:r>
      <w:r w:rsidR="00BC63A7" w:rsidRPr="00DA59A9">
        <w:rPr>
          <w:lang w:val="en-GB"/>
        </w:rPr>
        <w:t xml:space="preserve">, </w:t>
      </w:r>
      <w:r w:rsidR="00BC63A7" w:rsidRPr="00DA59A9">
        <w:rPr>
          <w:i/>
          <w:lang w:val="en-GB"/>
        </w:rPr>
        <w:t>public order</w:t>
      </w:r>
      <w:r w:rsidR="00BC63A7" w:rsidRPr="00DA59A9">
        <w:rPr>
          <w:lang w:val="en-GB"/>
        </w:rPr>
        <w:t xml:space="preserve">, </w:t>
      </w:r>
      <w:r w:rsidR="00BC63A7" w:rsidRPr="00DA59A9">
        <w:rPr>
          <w:i/>
          <w:lang w:val="en-GB"/>
        </w:rPr>
        <w:t>robbery</w:t>
      </w:r>
      <w:r w:rsidR="00BC63A7">
        <w:rPr>
          <w:i/>
          <w:lang w:val="en-GB"/>
        </w:rPr>
        <w:t>,</w:t>
      </w:r>
      <w:r w:rsidR="00BC63A7" w:rsidRPr="00DA59A9">
        <w:rPr>
          <w:lang w:val="en-GB"/>
        </w:rPr>
        <w:t xml:space="preserve"> and </w:t>
      </w:r>
      <w:r w:rsidR="00BC63A7" w:rsidRPr="00DA59A9">
        <w:rPr>
          <w:i/>
          <w:lang w:val="en-GB"/>
        </w:rPr>
        <w:t>sexual crimes</w:t>
      </w:r>
      <w:r w:rsidR="00BC63A7">
        <w:rPr>
          <w:i/>
          <w:lang w:val="en-GB"/>
        </w:rPr>
        <w:t>.</w:t>
      </w:r>
      <w:r w:rsidR="009E1B4D">
        <w:rPr>
          <w:lang w:val="en-GB"/>
        </w:rPr>
        <w:t xml:space="preserve"> The</w:t>
      </w:r>
      <w:r w:rsidR="00BC63A7">
        <w:rPr>
          <w:lang w:val="en-GB"/>
        </w:rPr>
        <w:t xml:space="preserve"> general</w:t>
      </w:r>
      <w:r w:rsidR="009E1B4D">
        <w:rPr>
          <w:lang w:val="en-GB"/>
        </w:rPr>
        <w:t xml:space="preserve"> finding that only some pre-convictions seem to be related to offence </w:t>
      </w:r>
      <w:proofErr w:type="spellStart"/>
      <w:r w:rsidR="006A415D">
        <w:rPr>
          <w:lang w:val="en-GB"/>
        </w:rPr>
        <w:t>behavior</w:t>
      </w:r>
      <w:r w:rsidR="009E1B4D">
        <w:rPr>
          <w:lang w:val="en-GB"/>
        </w:rPr>
        <w:t>s</w:t>
      </w:r>
      <w:proofErr w:type="spellEnd"/>
      <w:r w:rsidR="009E1B4D">
        <w:rPr>
          <w:lang w:val="en-GB"/>
        </w:rPr>
        <w:t xml:space="preserve"> is </w:t>
      </w:r>
      <w:r w:rsidR="0083107B">
        <w:rPr>
          <w:lang w:val="en-GB"/>
        </w:rPr>
        <w:t>mirrored in</w:t>
      </w:r>
      <w:r w:rsidR="009E1B4D">
        <w:rPr>
          <w:lang w:val="en-GB"/>
        </w:rPr>
        <w:t xml:space="preserve"> previous studies </w:t>
      </w:r>
      <w:r w:rsidR="0083107B">
        <w:rPr>
          <w:lang w:val="en-GB"/>
        </w:rPr>
        <w:t>that have used</w:t>
      </w:r>
      <w:r w:rsidR="009E1B4D">
        <w:rPr>
          <w:lang w:val="en-GB"/>
        </w:rPr>
        <w:t xml:space="preserve"> a similar</w:t>
      </w:r>
      <w:r w:rsidR="00790EBB">
        <w:rPr>
          <w:lang w:val="en-GB"/>
        </w:rPr>
        <w:t xml:space="preserve"> bivariate linking</w:t>
      </w:r>
      <w:r w:rsidR="009E1B4D">
        <w:rPr>
          <w:lang w:val="en-GB"/>
        </w:rPr>
        <w:t xml:space="preserve"> approach</w:t>
      </w:r>
      <w:r w:rsidR="00A35BA3">
        <w:rPr>
          <w:lang w:val="en-GB"/>
        </w:rPr>
        <w:t xml:space="preserve"> </w:t>
      </w:r>
      <w:r w:rsidR="00D519C3">
        <w:rPr>
          <w:lang w:val="en-GB"/>
        </w:rPr>
        <w:fldChar w:fldCharType="begin" w:fldLock="1"/>
      </w:r>
      <w:r w:rsidR="00EA7901">
        <w:rPr>
          <w:lang w:val="en-GB"/>
        </w:rPr>
        <w:instrText>ADDIN CSL_CITATION {"citationItems":[{"id":"ITEM-1","itemData":{"DOI":"10.1002/jip.1396","ISSN":"15444767","abstract":"This paper considers the role of a Behavioural Investigative Adviser (BIA) in assisting with the decision-making of a Senior Investigating Officer (SIO) in difficult-to-detect murder investigations. It outlines the need for transparent evidence-based decision-making from both the SIO and the BIA. The paper then details a piece of relevant, applied research that can assist in this end. The research utilised a pragmatic psychology approach to analyse 312 detected murder cases from the Serious Crime Analysis Section database. Some significant patterns relating what is known about the offence at different stages of an investigation and inferences regarding the offender were found, indicating that certain offence information can lead to some reliable predictions and these can be refined as more information becomes available. However, the findings also indicate that base rate frequencies and a ‘best-guess’ methodology may be as, if not more, useful than more complex statistical techniques when providing advice to investigations.","author":[{"dropping-particle":"","family":"Cole","given":"Terri","non-dropping-particle":"","parse-names":false,"suffix":""},{"dropping-particle":"","family":"Brown","given":"Jennifer","non-dropping-particle":"","parse-names":false,"suffix":""}],"container-title":"Journal of Investigative Psychology and Offender Profiling","id":"ITEM-1","issue":"3","issued":{"date-parts":[["2014"]]},"page":"191-220","title":"Behavioural investigative advice: Assistance to investigative decision-making in difficult-to-detect murder","type":"article-journal","volume":"11"},"uris":["http://www.mendeley.com/documents/?uuid=629c73c0-ceec-4270-a53d-d29df1aafd12"]},{"id":"ITEM-2","itemData":{"DOI":"10.1177/0886260518756118","ISSN":"0886-2605","author":[{"dropping-particle":"","family":"Almond","given":"Louise","non-dropping-particle":"","parse-names":false,"suffix":""},{"dropping-particle":"","family":"McManus","given":"Michelle","non-dropping-particle":"","parse-names":false,"suffix":""},{"dropping-particle":"","family":"Bal","given":"Amarat","non-dropping-particle":"","parse-names":false,"suffix":""},{"dropping-particle":"","family":"O’Brien","given":"Freya","non-dropping-particle":"","parse-names":false,"suffix":""},{"dropping-particle":"","family":"Rainbow","given":"Lee","non-dropping-particle":"","parse-names":false,"suffix":""},{"dropping-particle":"","family":"Webb","given":"Mark","non-dropping-particle":"","parse-names":false,"suffix":""}],"container-title":"Journal of Interpersonal Violence","id":"ITEM-2","issued":{"date-parts":[["2018","2","14"]]},"title":"Assisting the Investigation of Stranger Rapes: Predicting the Criminal Record of U.K. Stranger Rapists From Their Crime Scene Behaviors","type":"article-journal"},"prefix":"e.g.","uris":["http://www.mendeley.com/documents/?uuid=93ad9675-99ea-4e4e-91b3-6ca0db1894a3"]}],"mendeley":{"formattedCitation":"(e.g. Almond et al., 2018; Cole &amp; Brown, 2014)","plainTextFormattedCitation":"(e.g. Almond et al., 2018; Cole &amp; Brown, 2014)","previouslyFormattedCitation":"(e.g. Almond et al., 2018; Cole &amp; Brown, 2014)"},"properties":{"noteIndex":0},"schema":"https://github.com/citation-style-language/schema/raw/master/csl-citation.json"}</w:instrText>
      </w:r>
      <w:r w:rsidR="00D519C3">
        <w:rPr>
          <w:lang w:val="en-GB"/>
        </w:rPr>
        <w:fldChar w:fldCharType="separate"/>
      </w:r>
      <w:r w:rsidR="00A35BA3" w:rsidRPr="00A35BA3">
        <w:rPr>
          <w:noProof/>
          <w:lang w:val="en-GB"/>
        </w:rPr>
        <w:t xml:space="preserve">(e.g. Almond et </w:t>
      </w:r>
      <w:r w:rsidR="00A35BA3" w:rsidRPr="00A35BA3">
        <w:rPr>
          <w:noProof/>
          <w:lang w:val="en-GB"/>
        </w:rPr>
        <w:lastRenderedPageBreak/>
        <w:t>al., 2018; Cole &amp; Brown, 2014)</w:t>
      </w:r>
      <w:r w:rsidR="00D519C3">
        <w:rPr>
          <w:lang w:val="en-GB"/>
        </w:rPr>
        <w:fldChar w:fldCharType="end"/>
      </w:r>
      <w:r w:rsidR="00A35BA3">
        <w:rPr>
          <w:lang w:val="en-GB"/>
        </w:rPr>
        <w:t>,</w:t>
      </w:r>
      <w:r w:rsidR="00EF4166">
        <w:rPr>
          <w:lang w:val="en-GB"/>
        </w:rPr>
        <w:t xml:space="preserve"> </w:t>
      </w:r>
      <w:r w:rsidR="00A35BA3">
        <w:rPr>
          <w:lang w:val="en-GB"/>
        </w:rPr>
        <w:t>which</w:t>
      </w:r>
      <w:r w:rsidR="007E61ED">
        <w:rPr>
          <w:lang w:val="en-GB"/>
        </w:rPr>
        <w:t xml:space="preserve"> lend</w:t>
      </w:r>
      <w:r w:rsidR="00DE0A4E">
        <w:rPr>
          <w:lang w:val="en-GB"/>
        </w:rPr>
        <w:t>s</w:t>
      </w:r>
      <w:r w:rsidR="007E61ED">
        <w:rPr>
          <w:lang w:val="en-GB"/>
        </w:rPr>
        <w:t xml:space="preserve"> some support </w:t>
      </w:r>
      <w:r w:rsidR="00B11906">
        <w:rPr>
          <w:lang w:val="en-GB"/>
        </w:rPr>
        <w:t>to</w:t>
      </w:r>
      <w:r w:rsidR="007E61ED">
        <w:rPr>
          <w:lang w:val="en-GB"/>
        </w:rPr>
        <w:t xml:space="preserve"> the assumption that the link between offender characteristics and crime scene </w:t>
      </w:r>
      <w:proofErr w:type="spellStart"/>
      <w:r w:rsidR="006A415D">
        <w:rPr>
          <w:lang w:val="en-GB"/>
        </w:rPr>
        <w:t>behavior</w:t>
      </w:r>
      <w:r w:rsidR="007E61ED">
        <w:rPr>
          <w:lang w:val="en-GB"/>
        </w:rPr>
        <w:t>s</w:t>
      </w:r>
      <w:proofErr w:type="spellEnd"/>
      <w:r w:rsidR="007E61ED">
        <w:rPr>
          <w:lang w:val="en-GB"/>
        </w:rPr>
        <w:t xml:space="preserve"> </w:t>
      </w:r>
      <w:r w:rsidR="003674F9">
        <w:rPr>
          <w:lang w:val="en-GB"/>
        </w:rPr>
        <w:t xml:space="preserve">in general </w:t>
      </w:r>
      <w:r w:rsidR="007E61ED">
        <w:rPr>
          <w:lang w:val="en-GB"/>
        </w:rPr>
        <w:t>may be highly idiosyncratic</w:t>
      </w:r>
      <w:r w:rsidR="00A35BA3">
        <w:rPr>
          <w:lang w:val="en-GB"/>
        </w:rPr>
        <w:t>.</w:t>
      </w:r>
      <w:r w:rsidR="00AD642B">
        <w:rPr>
          <w:lang w:val="en-GB"/>
        </w:rPr>
        <w:t xml:space="preserve"> </w:t>
      </w:r>
      <w:r w:rsidR="008D0DC4">
        <w:rPr>
          <w:lang w:val="en-GB"/>
        </w:rPr>
        <w:t>Accordingly</w:t>
      </w:r>
      <w:r w:rsidR="00AD642B">
        <w:rPr>
          <w:lang w:val="en-GB"/>
        </w:rPr>
        <w:t xml:space="preserve">, it has been argued that homology as the core tenet of offender profiling (i.e. two offenders who commit a certain type of crime in a similar way will show similar characteristics) may only be valid for </w:t>
      </w:r>
      <w:r w:rsidR="00AD642B" w:rsidRPr="00043BE5">
        <w:rPr>
          <w:i/>
          <w:lang w:val="en-GB"/>
        </w:rPr>
        <w:t>specific</w:t>
      </w:r>
      <w:r w:rsidR="00AD642B">
        <w:rPr>
          <w:lang w:val="en-GB"/>
        </w:rPr>
        <w:t xml:space="preserve"> offence </w:t>
      </w:r>
      <w:proofErr w:type="spellStart"/>
      <w:r w:rsidR="006A415D">
        <w:rPr>
          <w:lang w:val="en-GB"/>
        </w:rPr>
        <w:t>behavior</w:t>
      </w:r>
      <w:r w:rsidR="00AD642B">
        <w:rPr>
          <w:lang w:val="en-GB"/>
        </w:rPr>
        <w:t>s</w:t>
      </w:r>
      <w:proofErr w:type="spellEnd"/>
      <w:r w:rsidR="00AD642B">
        <w:rPr>
          <w:lang w:val="en-GB"/>
        </w:rPr>
        <w:t xml:space="preserve"> and </w:t>
      </w:r>
      <w:r w:rsidR="00AD642B" w:rsidRPr="00043BE5">
        <w:rPr>
          <w:i/>
          <w:lang w:val="en-GB"/>
        </w:rPr>
        <w:t>single</w:t>
      </w:r>
      <w:r w:rsidR="00AD642B">
        <w:rPr>
          <w:lang w:val="en-GB"/>
        </w:rPr>
        <w:t xml:space="preserve"> offender characteristic</w:t>
      </w:r>
      <w:r w:rsidR="00417F5E">
        <w:rPr>
          <w:lang w:val="en-GB"/>
        </w:rPr>
        <w:t>s</w:t>
      </w:r>
      <w:r w:rsidR="008B6F6A">
        <w:rPr>
          <w:lang w:val="en-GB"/>
        </w:rPr>
        <w:t xml:space="preserve"> </w:t>
      </w:r>
      <w:r w:rsidR="00D519C3">
        <w:rPr>
          <w:lang w:val="en-GB"/>
        </w:rPr>
        <w:fldChar w:fldCharType="begin" w:fldLock="1"/>
      </w:r>
      <w:r w:rsidR="00DD2436">
        <w:rPr>
          <w:lang w:val="en-GB"/>
        </w:rPr>
        <w:instrText>ADDIN CSL_CITATION {"citationItems":[{"id":"ITEM-1","itemData":{"author":[{"dropping-particle":"","family":"Taylor","given":"Paul J.","non-dropping-particle":"","parse-names":false,"suffix":""},{"dropping-particle":"","family":"Snook","given":"Brent","non-dropping-particle":"","parse-names":false,"suffix":""},{"dropping-particle":"","family":"Bennell","given":"Craig","non-dropping-particle":"","parse-names":false,"suffix":""},{"dropping-particle":"","family":"Porter","given":"Louise E.","non-dropping-particle":"","parse-names":false,"suffix":""}],"container-title":"APA handbook of forensic psychology (Vol. 2, Criminal investigation, adjudication, and sentencing outcomes)","editor":[{"dropping-particle":"","family":"Cutler","given":"B L","non-dropping-particle":"","parse-names":false,"suffix":""},{"dropping-particle":"","family":"Zapf","given":"P A","non-dropping-particle":"","parse-names":false,"suffix":""}],"id":"ITEM-1","issued":{"date-parts":[["2015"]]},"page":"165-186","publisher":"American Psychological Association","publisher-place":"Washington, DC","title":"Investigative Psychology","type":"chapter"},"prefix":"e.g.","uris":["http://www.mendeley.com/documents/?uuid=dea2a478-59d7-4563-a75d-d9a43279ae47"]},{"id":"ITEM-2","itemData":{"DOI":"10.1002/jip.103","ISSN":"15444759","abstract":"A sample of stranger rape offences (n = 271) registered in Dutch Violence Crime Linkage Analysis System database in the Netherlands between 1997 and 2007 was studied with the objective of developing statistical meodels, which give an indication of the probability of basic offender characteristics.","author":[{"dropping-particle":"","family":"Beek","given":"Mirjam","non-dropping-particle":"ter","parse-names":false,"suffix":""},{"dropping-particle":"","family":"Eshof","given":"Paul","non-dropping-particle":"van den","parse-names":false,"suffix":""},{"dropping-particle":"","family":"Mali","given":"Bas","non-dropping-particle":"","parse-names":false,"suffix":""}],"container-title":"Journal of Investigative Psychology and Offender Profiling","id":"ITEM-2","issue":"1","issued":{"date-parts":[["2010"]]},"page":"31-47","title":"Statistical modelling in the investigation of stranger rape","type":"article-journal","volume":"7"},"uris":["http://www.mendeley.com/documents/?uuid=48323226-5d59-419b-90d0-ca2380be5419"]}],"mendeley":{"formattedCitation":"(e.g. Taylor, Snook, Bennell, &amp; Porter, 2015; ter Beek et al., 2010)","plainTextFormattedCitation":"(e.g. Taylor, Snook, Bennell, &amp; Porter, 2015; ter Beek et al., 2010)","previouslyFormattedCitation":"(e.g. Taylor, Snook, Bennell, &amp; Porter, 2015; ter Beek et al., 2010)"},"properties":{"noteIndex":0},"schema":"https://github.com/citation-style-language/schema/raw/master/csl-citation.json"}</w:instrText>
      </w:r>
      <w:r w:rsidR="00D519C3">
        <w:rPr>
          <w:lang w:val="en-GB"/>
        </w:rPr>
        <w:fldChar w:fldCharType="separate"/>
      </w:r>
      <w:r w:rsidR="0097737A" w:rsidRPr="0097737A">
        <w:rPr>
          <w:noProof/>
          <w:lang w:val="en-GB"/>
        </w:rPr>
        <w:t>(e.g. Taylor, Snook, Bennell, &amp; Porter, 2015; ter Beek et al., 2010)</w:t>
      </w:r>
      <w:r w:rsidR="00D519C3">
        <w:rPr>
          <w:lang w:val="en-GB"/>
        </w:rPr>
        <w:fldChar w:fldCharType="end"/>
      </w:r>
      <w:r w:rsidR="008D0DC4">
        <w:rPr>
          <w:lang w:val="en-GB"/>
        </w:rPr>
        <w:t>. This</w:t>
      </w:r>
      <w:r w:rsidR="00417F5E">
        <w:rPr>
          <w:lang w:val="en-GB"/>
        </w:rPr>
        <w:t xml:space="preserve"> oppose</w:t>
      </w:r>
      <w:r w:rsidR="008D0DC4">
        <w:rPr>
          <w:lang w:val="en-GB"/>
        </w:rPr>
        <w:t>s</w:t>
      </w:r>
      <w:r w:rsidR="00417F5E">
        <w:rPr>
          <w:lang w:val="en-GB"/>
        </w:rPr>
        <w:t xml:space="preserve"> the idea that</w:t>
      </w:r>
      <w:r w:rsidR="00AD642B">
        <w:rPr>
          <w:lang w:val="en-GB"/>
        </w:rPr>
        <w:t xml:space="preserve"> </w:t>
      </w:r>
      <w:r w:rsidR="008B6F6A">
        <w:rPr>
          <w:lang w:val="en-GB"/>
        </w:rPr>
        <w:t xml:space="preserve">broader offence </w:t>
      </w:r>
      <w:proofErr w:type="spellStart"/>
      <w:r w:rsidR="006A415D">
        <w:rPr>
          <w:lang w:val="en-GB"/>
        </w:rPr>
        <w:t>behavior</w:t>
      </w:r>
      <w:proofErr w:type="spellEnd"/>
      <w:r w:rsidR="008B6F6A">
        <w:rPr>
          <w:lang w:val="en-GB"/>
        </w:rPr>
        <w:t xml:space="preserve"> clusters (e.g. themes) </w:t>
      </w:r>
      <w:r w:rsidR="00417F5E">
        <w:rPr>
          <w:lang w:val="en-GB"/>
        </w:rPr>
        <w:t>could be</w:t>
      </w:r>
      <w:r w:rsidR="006A15E2">
        <w:rPr>
          <w:lang w:val="en-GB"/>
        </w:rPr>
        <w:t xml:space="preserve"> empirically</w:t>
      </w:r>
      <w:r w:rsidR="00417F5E">
        <w:rPr>
          <w:lang w:val="en-GB"/>
        </w:rPr>
        <w:t xml:space="preserve"> associated with a</w:t>
      </w:r>
      <w:r w:rsidR="008B6F6A">
        <w:rPr>
          <w:lang w:val="en-GB"/>
        </w:rPr>
        <w:t xml:space="preserve"> standard set of background characteristics (e.g. offender types)</w:t>
      </w:r>
      <w:r w:rsidR="00417F5E">
        <w:rPr>
          <w:lang w:val="en-GB"/>
        </w:rPr>
        <w:t>, which</w:t>
      </w:r>
      <w:r w:rsidR="00E07CED">
        <w:rPr>
          <w:lang w:val="en-GB"/>
        </w:rPr>
        <w:t xml:space="preserve"> indeed</w:t>
      </w:r>
      <w:r w:rsidR="00417F5E">
        <w:rPr>
          <w:lang w:val="en-GB"/>
        </w:rPr>
        <w:t xml:space="preserve"> has proven difficult in prior research </w:t>
      </w:r>
      <w:r w:rsidR="00D519C3">
        <w:rPr>
          <w:lang w:val="en-GB"/>
        </w:rPr>
        <w:fldChar w:fldCharType="begin" w:fldLock="1"/>
      </w:r>
      <w:r w:rsidR="00A35BA3">
        <w:rPr>
          <w:lang w:val="en-GB"/>
        </w:rPr>
        <w:instrText>ADDIN CSL_CITATION {"citationItems":[{"id":"ITEM-1","itemData":{"DOI":"10.1348/135532502168360","ISBN":"1355325021","ISSN":"13553259","abstract":"Purpose. Conventional approaches to offender pro? ling assume a homology of the characteristics of offenders with their crime scene actions: the more similar two offenders are with respect to background characteristics, the higher the resem- blance in their crime scene behaviour. This implicit working hypothesis is tested empirically. Methods. The study is based on a sample of 100 British male stranger rapists. These individuals were indexed with respect to the similarity in their crime scene actions as derived from witness statements. They were then compared with respect to their socio-demographic features and criminal histories as derived from police records. In a correlational analysis, we tested whether increased similarity in one domain (offence behaviour) coincided with higher resemblance in the other domains (socio-demographic features and previous convictions). Results. There is no positive linear relationship for any of the comparisons, i.e. rapists who offend in a similar fashion are not more similar with respect to age, socio-demographic features (such as employment situation and ethnicity) or their criminal records. Conclusions. These ? ndings indicate no evidence for the assumption of a homol- ogy between crime scene actions and background characteristics for the rapists in the sample. We argue that this result suggests that the homology assumption is too simplistic to provide a basis for offender pro? ling. Implications for future research include the search for a suitable framework for offender pro? ling that is grounded in personality psychology. Further, methodological considerations are discussed, such as the potential application of probabilistic scales. Offender","author":[{"dropping-particle":"","family":"Mokros","given":"Andreas","non-dropping-particle":"","parse-names":false,"suffix":""},{"dropping-particle":"","family":"Alison","given":"Laurence J.","non-dropping-particle":"","parse-names":false,"suffix":""}],"container-title":"Legal and Criminological Psychology","id":"ITEM-1","issue":"1","issued":{"date-parts":[["2002"]]},"page":"25-43","title":"Is offender profiling possible? Testing the predicted homology of crime scene actions and background characteristics in a sample of rapists","type":"article-journal","volume":"7"},"uris":["http://www.mendeley.com/documents/?uuid=1033f952-d91d-4a34-9948-53e47322edce"]},{"id":"ITEM-2","itemData":{"DOI":"10.1177/1088767910397281","ISBN":"1088767910397","ISSN":"1088-7679","abstract":"Research has consistently shown that the average individual who commits one or more homicides is likely to have a criminal record, but little research has focused on whether individuals behave in a psychologically or thematically consistent way in both their homicide crime scene actions and prior offending. The current study examines the crime scene behaviors of single and serial homicide offenders to identify patterns that can be compared to themes in their prior offending. The results showed that crime scene actions occurred on a continuum from hostile to cognitive actions with serial offenders concentrating at the latter end of this continuum. However, only a small group of the serial homicide offenders committed similarly themed prior offenses and homicide behaviors, which raises questions regarding the hypotheses of behavioral consistency underlying offender profiling. (PsycINFO Database Record (c) 2012 APA, all rights reserved). (journal abstract)","author":[{"dropping-particle":"","family":"Trojan","given":"Carrie","non-dropping-particle":"","parse-names":false,"suffix":""},{"dropping-particle":"","family":"Salfati","given":"C. Gabrielle","non-dropping-particle":"","parse-names":false,"suffix":""}],"container-title":"Homicide Studies","id":"ITEM-2","issue":"1","issued":{"date-parts":[["2011"]]},"page":"3-31","title":"Linking Criminal History to Crime Scene Behavior in Single-Victim and Serial Homicide: Implications for Offender Profiling Research","type":"article-journal","volume":"15"},"uris":["http://www.mendeley.com/documents/?uuid=bc3ca59b-10b9-473a-8feb-8166acc0f80d"]}],"mendeley":{"formattedCitation":"(Mokros &amp; Alison, 2002; Trojan &amp; Salfati, 2011)","plainTextFormattedCitation":"(Mokros &amp; Alison, 2002; Trojan &amp; Salfati, 2011)","previouslyFormattedCitation":"(Mokros &amp; Alison, 2002; Trojan &amp; Salfati, 2011)"},"properties":{"noteIndex":0},"schema":"https://github.com/citation-style-language/schema/raw/master/csl-citation.json"}</w:instrText>
      </w:r>
      <w:r w:rsidR="00D519C3">
        <w:rPr>
          <w:lang w:val="en-GB"/>
        </w:rPr>
        <w:fldChar w:fldCharType="separate"/>
      </w:r>
      <w:r w:rsidR="00FC42A6" w:rsidRPr="00FC42A6">
        <w:rPr>
          <w:noProof/>
          <w:lang w:val="en-GB"/>
        </w:rPr>
        <w:t>(Mokros &amp; Alison, 2002; Trojan &amp; Salfati, 2011)</w:t>
      </w:r>
      <w:r w:rsidR="00D519C3">
        <w:rPr>
          <w:lang w:val="en-GB"/>
        </w:rPr>
        <w:fldChar w:fldCharType="end"/>
      </w:r>
      <w:r w:rsidR="00FC42A6">
        <w:rPr>
          <w:lang w:val="en-GB"/>
        </w:rPr>
        <w:t xml:space="preserve">. Therefore, it is argued here that </w:t>
      </w:r>
      <w:r w:rsidR="00B11906">
        <w:rPr>
          <w:lang w:val="en-GB"/>
        </w:rPr>
        <w:t>further</w:t>
      </w:r>
      <w:r w:rsidR="00DE0A4E">
        <w:rPr>
          <w:lang w:val="en-GB"/>
        </w:rPr>
        <w:t xml:space="preserve"> efforts</w:t>
      </w:r>
      <w:r w:rsidR="00FC42A6">
        <w:rPr>
          <w:lang w:val="en-GB"/>
        </w:rPr>
        <w:t xml:space="preserve"> are needed</w:t>
      </w:r>
      <w:r w:rsidR="00DE0A4E">
        <w:rPr>
          <w:lang w:val="en-GB"/>
        </w:rPr>
        <w:t xml:space="preserve"> to isolate and understand </w:t>
      </w:r>
      <w:r w:rsidR="00DE22C7" w:rsidRPr="00417F5E">
        <w:rPr>
          <w:i/>
          <w:lang w:val="en-GB"/>
        </w:rPr>
        <w:t>direct</w:t>
      </w:r>
      <w:r w:rsidR="00DE22C7">
        <w:rPr>
          <w:lang w:val="en-GB"/>
        </w:rPr>
        <w:t xml:space="preserve"> </w:t>
      </w:r>
      <w:r w:rsidR="003D5ACA">
        <w:rPr>
          <w:lang w:val="en-GB"/>
        </w:rPr>
        <w:t xml:space="preserve">links between </w:t>
      </w:r>
      <w:r w:rsidR="00B11906">
        <w:rPr>
          <w:lang w:val="en-GB"/>
        </w:rPr>
        <w:t>key offence</w:t>
      </w:r>
      <w:r w:rsidR="003D5ACA">
        <w:rPr>
          <w:lang w:val="en-GB"/>
        </w:rPr>
        <w:t xml:space="preserve"> </w:t>
      </w:r>
      <w:proofErr w:type="spellStart"/>
      <w:r w:rsidR="006A415D">
        <w:rPr>
          <w:lang w:val="en-GB"/>
        </w:rPr>
        <w:t>behavior</w:t>
      </w:r>
      <w:r w:rsidR="003D5ACA">
        <w:rPr>
          <w:lang w:val="en-GB"/>
        </w:rPr>
        <w:t>s</w:t>
      </w:r>
      <w:proofErr w:type="spellEnd"/>
      <w:r w:rsidR="003D5ACA">
        <w:rPr>
          <w:lang w:val="en-GB"/>
        </w:rPr>
        <w:t xml:space="preserve"> and </w:t>
      </w:r>
      <w:r w:rsidR="00B11906">
        <w:rPr>
          <w:lang w:val="en-GB"/>
        </w:rPr>
        <w:t>individual background characteristics</w:t>
      </w:r>
      <w:r w:rsidR="00151422">
        <w:rPr>
          <w:lang w:val="en-GB"/>
        </w:rPr>
        <w:t>.</w:t>
      </w:r>
      <w:r w:rsidR="008D54BD">
        <w:rPr>
          <w:lang w:val="en-GB"/>
        </w:rPr>
        <w:t xml:space="preserve"> </w:t>
      </w:r>
    </w:p>
    <w:p w:rsidR="008D1E48" w:rsidRDefault="00411204" w:rsidP="00CB2434">
      <w:pPr>
        <w:pStyle w:val="TextkrperMA"/>
        <w:rPr>
          <w:lang w:val="en-GB"/>
        </w:rPr>
      </w:pPr>
      <w:r>
        <w:rPr>
          <w:lang w:val="en-GB"/>
        </w:rPr>
        <w:t>In the context of criminal history profiling</w:t>
      </w:r>
      <w:r w:rsidR="008B6F6A">
        <w:rPr>
          <w:lang w:val="en-GB"/>
        </w:rPr>
        <w:t>,</w:t>
      </w:r>
      <w:r w:rsidR="00B1495B">
        <w:rPr>
          <w:lang w:val="en-GB"/>
        </w:rPr>
        <w:t xml:space="preserve"> </w:t>
      </w:r>
      <w:r>
        <w:rPr>
          <w:lang w:val="en-GB"/>
        </w:rPr>
        <w:t xml:space="preserve">the few existing studies </w:t>
      </w:r>
      <w:r w:rsidR="00B11E88">
        <w:rPr>
          <w:lang w:val="en-GB"/>
        </w:rPr>
        <w:t xml:space="preserve">exploring </w:t>
      </w:r>
      <w:r w:rsidR="008B6F6A">
        <w:rPr>
          <w:lang w:val="en-GB"/>
        </w:rPr>
        <w:t xml:space="preserve">these </w:t>
      </w:r>
      <w:r w:rsidR="00B11E88">
        <w:rPr>
          <w:lang w:val="en-GB"/>
        </w:rPr>
        <w:t>direct</w:t>
      </w:r>
      <w:r w:rsidR="008B6F6A">
        <w:rPr>
          <w:lang w:val="en-GB"/>
        </w:rPr>
        <w:t>, bivariate</w:t>
      </w:r>
      <w:r w:rsidR="00B11E88">
        <w:rPr>
          <w:lang w:val="en-GB"/>
        </w:rPr>
        <w:t xml:space="preserve"> relationships</w:t>
      </w:r>
      <w:r w:rsidR="008B6F6A">
        <w:rPr>
          <w:lang w:val="en-GB"/>
        </w:rPr>
        <w:t>, however,</w:t>
      </w:r>
      <w:r w:rsidR="00B1495B">
        <w:rPr>
          <w:lang w:val="en-GB"/>
        </w:rPr>
        <w:t xml:space="preserve"> differ in their findings on which pre-convictions </w:t>
      </w:r>
      <w:r w:rsidR="001D0AC4" w:rsidRPr="00A601DC">
        <w:rPr>
          <w:i/>
          <w:lang w:val="en-GB"/>
        </w:rPr>
        <w:t>exactly</w:t>
      </w:r>
      <w:r w:rsidR="001D0AC4">
        <w:rPr>
          <w:lang w:val="en-GB"/>
        </w:rPr>
        <w:t xml:space="preserve"> </w:t>
      </w:r>
      <w:r w:rsidR="00B1495B">
        <w:rPr>
          <w:lang w:val="en-GB"/>
        </w:rPr>
        <w:t>could an</w:t>
      </w:r>
      <w:r w:rsidR="007131A1">
        <w:rPr>
          <w:lang w:val="en-GB"/>
        </w:rPr>
        <w:t>d</w:t>
      </w:r>
      <w:r w:rsidR="00B1495B">
        <w:rPr>
          <w:lang w:val="en-GB"/>
        </w:rPr>
        <w:t xml:space="preserve"> could not be linked to crime scene </w:t>
      </w:r>
      <w:proofErr w:type="spellStart"/>
      <w:r w:rsidR="006A415D">
        <w:rPr>
          <w:lang w:val="en-GB"/>
        </w:rPr>
        <w:t>behavior</w:t>
      </w:r>
      <w:r w:rsidR="00B1495B">
        <w:rPr>
          <w:lang w:val="en-GB"/>
        </w:rPr>
        <w:t>s</w:t>
      </w:r>
      <w:proofErr w:type="spellEnd"/>
      <w:r w:rsidR="001D0AC4">
        <w:rPr>
          <w:lang w:val="en-GB"/>
        </w:rPr>
        <w:t xml:space="preserve">. While both this study and Almond et al. </w:t>
      </w:r>
      <w:r w:rsidR="00D519C3">
        <w:rPr>
          <w:lang w:val="en-GB"/>
        </w:rPr>
        <w:fldChar w:fldCharType="begin" w:fldLock="1"/>
      </w:r>
      <w:r w:rsidR="00EA7901">
        <w:rPr>
          <w:lang w:val="en-GB"/>
        </w:rPr>
        <w:instrText>ADDIN CSL_CITATION {"citationItems":[{"id":"ITEM-1","itemData":{"DOI":"10.1177/0886260518756118","ISSN":"0886-2605","author":[{"dropping-particle":"","family":"Almond","given":"Louise","non-dropping-particle":"","parse-names":false,"suffix":""},{"dropping-particle":"","family":"McManus","given":"Michelle","non-dropping-particle":"","parse-names":false,"suffix":""},{"dropping-particle":"","family":"Bal","given":"Amarat","non-dropping-particle":"","parse-names":false,"suffix":""},{"dropping-particle":"","family":"O’Brien","given":"Freya","non-dropping-particle":"","parse-names":false,"suffix":""},{"dropping-particle":"","family":"Rainbow","given":"Lee","non-dropping-particle":"","parse-names":false,"suffix":""},{"dropping-particle":"","family":"Webb","given":"Mark","non-dropping-particle":"","parse-names":false,"suffix":""}],"container-title":"Journal of Interpersonal Violence","id":"ITEM-1","issued":{"date-parts":[["2018","2","14"]]},"title":"Assisting the Investigation of Stranger Rapes: Predicting the Criminal Record of U.K. Stranger Rapists From Their Crime Scene Behaviors","type":"article-journal"},"suppress-author":1,"uris":["http://www.mendeley.com/documents/?uuid=93ad9675-99ea-4e4e-91b3-6ca0db1894a3"]}],"mendeley":{"formattedCitation":"(2018)","plainTextFormattedCitation":"(2018)","previouslyFormattedCitation":"(2018)"},"properties":{"noteIndex":0},"schema":"https://github.com/citation-style-language/schema/raw/master/csl-citation.json"}</w:instrText>
      </w:r>
      <w:r w:rsidR="00D519C3">
        <w:rPr>
          <w:lang w:val="en-GB"/>
        </w:rPr>
        <w:fldChar w:fldCharType="separate"/>
      </w:r>
      <w:r w:rsidR="001D0AC4" w:rsidRPr="001D0AC4">
        <w:rPr>
          <w:noProof/>
          <w:lang w:val="en-GB"/>
        </w:rPr>
        <w:t>(2018)</w:t>
      </w:r>
      <w:r w:rsidR="00D519C3">
        <w:rPr>
          <w:lang w:val="en-GB"/>
        </w:rPr>
        <w:fldChar w:fldCharType="end"/>
      </w:r>
      <w:r w:rsidR="001D0AC4">
        <w:rPr>
          <w:lang w:val="en-GB"/>
        </w:rPr>
        <w:t xml:space="preserve">, for example, did not find any association between offence variables and a history of sexual crime, Cole and Brown </w:t>
      </w:r>
      <w:r w:rsidR="00D519C3">
        <w:rPr>
          <w:lang w:val="en-GB"/>
        </w:rPr>
        <w:fldChar w:fldCharType="begin" w:fldLock="1"/>
      </w:r>
      <w:r w:rsidR="00151422">
        <w:rPr>
          <w:lang w:val="en-GB"/>
        </w:rPr>
        <w:instrText>ADDIN CSL_CITATION {"citationItems":[{"id":"ITEM-1","itemData":{"DOI":"10.1002/jip.1396","ISSN":"15444767","abstract":"This paper considers the role of a Behavioural Investigative Adviser (BIA) in assisting with the decision-making of a Senior Investigating Officer (SIO) in difficult-to-detect murder investigations. It outlines the need for transparent evidence-based decision-making from both the SIO and the BIA. The paper then details a piece of relevant, applied research that can assist in this end. The research utilised a pragmatic psychology approach to analyse 312 detected murder cases from the Serious Crime Analysis Section database. Some significant patterns relating what is known about the offence at different stages of an investigation and inferences regarding the offender were found, indicating that certain offence information can lead to some reliable predictions and these can be refined as more information becomes available. However, the findings also indicate that base rate frequencies and a ‘best-guess’ methodology may be as, if not more, useful than more complex statistical techniques when providing advice to investigations.","author":[{"dropping-particle":"","family":"Cole","given":"Terri","non-dropping-particle":"","parse-names":false,"suffix":""},{"dropping-particle":"","family":"Brown","given":"Jennifer","non-dropping-particle":"","parse-names":false,"suffix":""}],"container-title":"Journal of Investigative Psychology and Offender Profiling","id":"ITEM-1","issue":"3","issued":{"date-parts":[["2014"]]},"page":"191-220","title":"Behavioural investigative advice: Assistance to investigative decision-making in difficult-to-detect murder","type":"article-journal","volume":"11"},"suppress-author":1,"uris":["http://www.mendeley.com/documents/?uuid=629c73c0-ceec-4270-a53d-d29df1aafd12"]}],"mendeley":{"formattedCitation":"(2014)","plainTextFormattedCitation":"(2014)","previouslyFormattedCitation":"(2014)"},"properties":{"noteIndex":0},"schema":"https://github.com/citation-style-language/schema/raw/master/csl-citation.json"}</w:instrText>
      </w:r>
      <w:r w:rsidR="00D519C3">
        <w:rPr>
          <w:lang w:val="en-GB"/>
        </w:rPr>
        <w:fldChar w:fldCharType="separate"/>
      </w:r>
      <w:r w:rsidR="001D0AC4" w:rsidRPr="001D0AC4">
        <w:rPr>
          <w:noProof/>
          <w:lang w:val="en-GB"/>
        </w:rPr>
        <w:t>(2014)</w:t>
      </w:r>
      <w:r w:rsidR="00D519C3">
        <w:rPr>
          <w:lang w:val="en-GB"/>
        </w:rPr>
        <w:fldChar w:fldCharType="end"/>
      </w:r>
      <w:r w:rsidR="001D0AC4">
        <w:rPr>
          <w:lang w:val="en-GB"/>
        </w:rPr>
        <w:t xml:space="preserve"> found prior sexual offences to be positively associated with the lack of precautionary </w:t>
      </w:r>
      <w:proofErr w:type="spellStart"/>
      <w:r w:rsidR="006A415D">
        <w:rPr>
          <w:lang w:val="en-GB"/>
        </w:rPr>
        <w:t>behavior</w:t>
      </w:r>
      <w:r w:rsidR="001D0AC4">
        <w:rPr>
          <w:lang w:val="en-GB"/>
        </w:rPr>
        <w:t>s</w:t>
      </w:r>
      <w:proofErr w:type="spellEnd"/>
      <w:r w:rsidR="001D0AC4">
        <w:rPr>
          <w:lang w:val="en-GB"/>
        </w:rPr>
        <w:t xml:space="preserve"> at the scene and theft of clothing from the victim.</w:t>
      </w:r>
      <w:r w:rsidR="000013AA">
        <w:rPr>
          <w:lang w:val="en-GB"/>
        </w:rPr>
        <w:t xml:space="preserve"> </w:t>
      </w:r>
      <w:r w:rsidR="00532165">
        <w:rPr>
          <w:lang w:val="en-GB"/>
        </w:rPr>
        <w:t>M</w:t>
      </w:r>
      <w:r w:rsidR="008D1E48">
        <w:rPr>
          <w:lang w:val="en-GB"/>
        </w:rPr>
        <w:t>ore studies will be needed to establish</w:t>
      </w:r>
      <w:r w:rsidR="00B11E88">
        <w:rPr>
          <w:lang w:val="en-GB"/>
        </w:rPr>
        <w:t>,</w:t>
      </w:r>
      <w:r w:rsidR="008D1E48">
        <w:rPr>
          <w:lang w:val="en-GB"/>
        </w:rPr>
        <w:t xml:space="preserve"> whether some (and if so, </w:t>
      </w:r>
      <w:r w:rsidR="008D1E48" w:rsidRPr="0057361D">
        <w:rPr>
          <w:i/>
          <w:lang w:val="en-GB"/>
        </w:rPr>
        <w:t>which</w:t>
      </w:r>
      <w:r w:rsidR="008D1E48">
        <w:rPr>
          <w:lang w:val="en-GB"/>
        </w:rPr>
        <w:t xml:space="preserve">) pre-convictions may generally </w:t>
      </w:r>
      <w:r w:rsidR="00A601DC">
        <w:rPr>
          <w:lang w:val="en-GB"/>
        </w:rPr>
        <w:t xml:space="preserve">be </w:t>
      </w:r>
      <w:r w:rsidR="008D1E48">
        <w:rPr>
          <w:lang w:val="en-GB"/>
        </w:rPr>
        <w:t xml:space="preserve">better suited for prediction from crime scene </w:t>
      </w:r>
      <w:proofErr w:type="spellStart"/>
      <w:r w:rsidR="006A415D">
        <w:rPr>
          <w:lang w:val="en-GB"/>
        </w:rPr>
        <w:t>behavior</w:t>
      </w:r>
      <w:r w:rsidR="008D1E48">
        <w:rPr>
          <w:lang w:val="en-GB"/>
        </w:rPr>
        <w:t>s</w:t>
      </w:r>
      <w:proofErr w:type="spellEnd"/>
      <w:r w:rsidR="008D1E48">
        <w:rPr>
          <w:lang w:val="en-GB"/>
        </w:rPr>
        <w:t xml:space="preserve"> than others, and whether differences exist with regard to the type of crime (e.g. rape vs. homicide)</w:t>
      </w:r>
      <w:r w:rsidR="00F11269">
        <w:rPr>
          <w:lang w:val="en-GB"/>
        </w:rPr>
        <w:t>,</w:t>
      </w:r>
      <w:r w:rsidR="008D1E48">
        <w:rPr>
          <w:lang w:val="en-GB"/>
        </w:rPr>
        <w:t xml:space="preserve"> or subsamples of offenders (e.g. male vs. female offenders</w:t>
      </w:r>
      <w:r w:rsidR="0083531F">
        <w:rPr>
          <w:lang w:val="en-GB"/>
        </w:rPr>
        <w:t>,</w:t>
      </w:r>
      <w:r w:rsidR="008D1E48">
        <w:rPr>
          <w:lang w:val="en-GB"/>
        </w:rPr>
        <w:t xml:space="preserve"> targeting female vs. male victims).</w:t>
      </w:r>
    </w:p>
    <w:p w:rsidR="00532165" w:rsidRDefault="008D07AF" w:rsidP="00CB2434">
      <w:pPr>
        <w:pStyle w:val="TextkrperMA"/>
        <w:rPr>
          <w:lang w:val="en-GB"/>
        </w:rPr>
      </w:pPr>
      <w:r>
        <w:rPr>
          <w:lang w:val="en-GB"/>
        </w:rPr>
        <w:lastRenderedPageBreak/>
        <w:t>Among the key findings in the current study</w:t>
      </w:r>
      <w:r w:rsidR="001915A1">
        <w:rPr>
          <w:lang w:val="en-GB"/>
        </w:rPr>
        <w:t xml:space="preserve"> is</w:t>
      </w:r>
      <w:r>
        <w:rPr>
          <w:lang w:val="en-GB"/>
        </w:rPr>
        <w:t xml:space="preserve"> the association of crimes </w:t>
      </w:r>
      <w:r w:rsidR="005A335F">
        <w:rPr>
          <w:lang w:val="en-GB"/>
        </w:rPr>
        <w:t>containing</w:t>
      </w:r>
      <w:r>
        <w:rPr>
          <w:lang w:val="en-GB"/>
        </w:rPr>
        <w:t xml:space="preserve"> a </w:t>
      </w:r>
      <w:r>
        <w:rPr>
          <w:i/>
          <w:lang w:val="en-GB"/>
        </w:rPr>
        <w:t xml:space="preserve">burglary element </w:t>
      </w:r>
      <w:r w:rsidR="00432E5B">
        <w:rPr>
          <w:lang w:val="en-GB"/>
        </w:rPr>
        <w:t xml:space="preserve">with a prior conviction for </w:t>
      </w:r>
      <w:r w:rsidR="00432E5B" w:rsidRPr="005A335F">
        <w:rPr>
          <w:i/>
          <w:lang w:val="en-GB"/>
        </w:rPr>
        <w:t>burglary</w:t>
      </w:r>
      <w:r w:rsidR="00432E5B">
        <w:rPr>
          <w:lang w:val="en-GB"/>
        </w:rPr>
        <w:t xml:space="preserve"> </w:t>
      </w:r>
      <w:r w:rsidR="000808C1">
        <w:rPr>
          <w:lang w:val="en-GB"/>
        </w:rPr>
        <w:t>(more than 2.5 times more likely)</w:t>
      </w:r>
      <w:proofErr w:type="gramStart"/>
      <w:r w:rsidR="00F11269">
        <w:rPr>
          <w:lang w:val="en-GB"/>
        </w:rPr>
        <w:t>.</w:t>
      </w:r>
      <w:proofErr w:type="gramEnd"/>
      <w:r w:rsidR="001915A1">
        <w:rPr>
          <w:lang w:val="en-GB"/>
        </w:rPr>
        <w:t xml:space="preserve"> </w:t>
      </w:r>
      <w:r w:rsidR="005A335F">
        <w:rPr>
          <w:lang w:val="en-GB"/>
        </w:rPr>
        <w:t xml:space="preserve">This finding is consistent </w:t>
      </w:r>
      <w:r w:rsidR="00730F94">
        <w:rPr>
          <w:lang w:val="en-GB"/>
        </w:rPr>
        <w:t xml:space="preserve">with </w:t>
      </w:r>
      <w:r w:rsidR="001915A1">
        <w:rPr>
          <w:lang w:val="en-GB"/>
        </w:rPr>
        <w:t>evidence</w:t>
      </w:r>
      <w:r w:rsidR="00F17F60">
        <w:rPr>
          <w:lang w:val="en-GB"/>
        </w:rPr>
        <w:t xml:space="preserve"> for criminal specialisation</w:t>
      </w:r>
      <w:r w:rsidR="000A4396">
        <w:rPr>
          <w:lang w:val="en-GB"/>
        </w:rPr>
        <w:t>s</w:t>
      </w:r>
      <w:r w:rsidR="00F17F60">
        <w:rPr>
          <w:lang w:val="en-GB"/>
        </w:rPr>
        <w:t xml:space="preserve"> </w:t>
      </w:r>
      <w:r w:rsidR="001915A1">
        <w:rPr>
          <w:lang w:val="en-GB"/>
        </w:rPr>
        <w:t>among</w:t>
      </w:r>
      <w:r w:rsidR="00F17F60">
        <w:rPr>
          <w:lang w:val="en-GB"/>
        </w:rPr>
        <w:t xml:space="preserve"> homicide offenders</w:t>
      </w:r>
      <w:r w:rsidR="001915A1">
        <w:rPr>
          <w:lang w:val="en-GB"/>
        </w:rPr>
        <w:t>, which highlights a</w:t>
      </w:r>
      <w:r w:rsidR="00F17F60">
        <w:rPr>
          <w:lang w:val="en-GB"/>
        </w:rPr>
        <w:t xml:space="preserve"> large sub-group </w:t>
      </w:r>
      <w:r w:rsidR="00BA5824">
        <w:rPr>
          <w:lang w:val="en-GB"/>
        </w:rPr>
        <w:t>displaying</w:t>
      </w:r>
      <w:r w:rsidR="001915A1">
        <w:rPr>
          <w:lang w:val="en-GB"/>
        </w:rPr>
        <w:t xml:space="preserve"> histories of</w:t>
      </w:r>
      <w:r w:rsidR="00F17F60">
        <w:rPr>
          <w:lang w:val="en-GB"/>
        </w:rPr>
        <w:t xml:space="preserve"> predominantly instrumental crimes</w:t>
      </w:r>
      <w:r w:rsidR="000A4396">
        <w:rPr>
          <w:lang w:val="en-GB"/>
        </w:rPr>
        <w:t>,</w:t>
      </w:r>
      <w:r w:rsidR="00F17F60">
        <w:rPr>
          <w:lang w:val="en-GB"/>
        </w:rPr>
        <w:t xml:space="preserve"> </w:t>
      </w:r>
      <w:r w:rsidR="006A15E2">
        <w:rPr>
          <w:lang w:val="en-GB"/>
        </w:rPr>
        <w:t xml:space="preserve">such as </w:t>
      </w:r>
      <w:r w:rsidR="006A15E2" w:rsidRPr="006A15E2">
        <w:rPr>
          <w:i/>
          <w:lang w:val="en-GB"/>
        </w:rPr>
        <w:t>theft, burglary</w:t>
      </w:r>
      <w:r w:rsidR="006A15E2">
        <w:rPr>
          <w:lang w:val="en-GB"/>
        </w:rPr>
        <w:t xml:space="preserve">, or </w:t>
      </w:r>
      <w:r w:rsidR="006A15E2" w:rsidRPr="006A15E2">
        <w:rPr>
          <w:i/>
          <w:lang w:val="en-GB"/>
        </w:rPr>
        <w:t>robbery</w:t>
      </w:r>
      <w:r w:rsidR="00F17F60">
        <w:rPr>
          <w:lang w:val="en-GB"/>
        </w:rPr>
        <w:t xml:space="preserve"> </w:t>
      </w:r>
      <w:r w:rsidR="00D519C3">
        <w:rPr>
          <w:lang w:val="en-GB"/>
        </w:rPr>
        <w:fldChar w:fldCharType="begin" w:fldLock="1"/>
      </w:r>
      <w:r w:rsidR="009D1CEC">
        <w:rPr>
          <w:lang w:val="en-GB"/>
        </w:rPr>
        <w:instrText>ADDIN CSL_CITATION {"citationItems":[{"id":"ITEM-1","itemData":{"DOI":"10.1108/JCP-09-2015-0027","ISSN":"2009-3829","abstract":"Purpose – The purpose of this paper is to determine how offenses co-occur in the backgrounds of homicide offenders and if identified groups of offenses reflect an underlying theoretical construct or theme; and to determine if offenders specialize in thematically similar offenses. Design/methodology/approach – The previous convictions of 122 single-victim homicide offenders were examined using smallest space analysis to identify groups of co-occurring offenses across offenders’ criminal histories. Findings – The results showed a thematic distinction between violent vs instrumental offenses and 84 percent of offenders specialized in offenses within a single dominant theme, suggesting that the framework can differentiate the majority of offenders’ criminal backgrounds. Possible sub-themes were identified that could suggest further demarcation of the themes and provide a more refined framework that may be of even greater utility in differentiating offenders. Research limitations/implications – This study utilized data from a single American city that may affect generalizability of the findings. The exclusion of a timeline for prior offending precludes consideration of offending escalation. Originality/value – The current study uses an alternative approach to conceptualize specialization according to how offenses co-occur in the backgrounds of homicide offenders. This approach is less restrictive than considering the offenses in isolation to one another and may be of greater utility in empirically derived offender profiling models. The thematic framework developed herein can act as a foundation for future studies.","author":[{"dropping-particle":"","family":"Trojan","given":"Carrie","non-dropping-particle":"","parse-names":false,"suffix":""},{"dropping-particle":"","family":"Salfati","given":"C. Gabrielle","non-dropping-particle":"","parse-names":false,"suffix":""}],"container-title":"Journal of Criminal Psychology","id":"ITEM-1","issue":"1","issued":{"date-parts":[["2016","2"]]},"page":"28-41","title":"Criminal history of homicide offenders: a multi-dimensional analysis of criminal specialization","type":"article-journal","volume":"6"},"uris":["http://www.mendeley.com/documents/?uuid=7543d2e3-e695-4c2b-80fc-481edb5d7b57"]}],"mendeley":{"formattedCitation":"(Trojan &amp; Salfati, 2016)","plainTextFormattedCitation":"(Trojan &amp; Salfati, 2016)","previouslyFormattedCitation":"(Trojan &amp; Salfati, 2016)"},"properties":{"noteIndex":0},"schema":"https://github.com/citation-style-language/schema/raw/master/csl-citation.json"}</w:instrText>
      </w:r>
      <w:r w:rsidR="00D519C3">
        <w:rPr>
          <w:lang w:val="en-GB"/>
        </w:rPr>
        <w:fldChar w:fldCharType="separate"/>
      </w:r>
      <w:r w:rsidR="00F17F60" w:rsidRPr="00F17F60">
        <w:rPr>
          <w:noProof/>
          <w:lang w:val="en-GB"/>
        </w:rPr>
        <w:t>(Trojan &amp; Salfati, 2016)</w:t>
      </w:r>
      <w:r w:rsidR="00D519C3">
        <w:rPr>
          <w:lang w:val="en-GB"/>
        </w:rPr>
        <w:fldChar w:fldCharType="end"/>
      </w:r>
      <w:r w:rsidR="00F17F60">
        <w:rPr>
          <w:lang w:val="en-GB"/>
        </w:rPr>
        <w:t xml:space="preserve">. </w:t>
      </w:r>
      <w:r w:rsidR="00BA5824">
        <w:rPr>
          <w:lang w:val="en-GB"/>
        </w:rPr>
        <w:t>As</w:t>
      </w:r>
      <w:r w:rsidR="00F91F03">
        <w:rPr>
          <w:lang w:val="en-GB"/>
        </w:rPr>
        <w:t xml:space="preserve"> most homicides in the current study contained overt</w:t>
      </w:r>
      <w:r w:rsidR="00F11269">
        <w:rPr>
          <w:lang w:val="en-GB"/>
        </w:rPr>
        <w:t>,</w:t>
      </w:r>
      <w:r w:rsidR="00F91F03">
        <w:rPr>
          <w:lang w:val="en-GB"/>
        </w:rPr>
        <w:t xml:space="preserve"> or covert sexual </w:t>
      </w:r>
      <w:proofErr w:type="spellStart"/>
      <w:r w:rsidR="006A415D">
        <w:rPr>
          <w:lang w:val="en-GB"/>
        </w:rPr>
        <w:t>behavior</w:t>
      </w:r>
      <w:r w:rsidR="00F91F03">
        <w:rPr>
          <w:lang w:val="en-GB"/>
        </w:rPr>
        <w:t>s</w:t>
      </w:r>
      <w:proofErr w:type="spellEnd"/>
      <w:r w:rsidR="00F91F03">
        <w:rPr>
          <w:lang w:val="en-GB"/>
        </w:rPr>
        <w:t xml:space="preserve"> (73.2%), </w:t>
      </w:r>
      <w:r w:rsidR="00BA5824">
        <w:rPr>
          <w:lang w:val="en-GB"/>
        </w:rPr>
        <w:t>it is interesting to note that fo</w:t>
      </w:r>
      <w:r w:rsidR="000935CF">
        <w:rPr>
          <w:lang w:val="en-GB"/>
        </w:rPr>
        <w:t>r cases of stranger rape,</w:t>
      </w:r>
      <w:r w:rsidR="000A4396">
        <w:rPr>
          <w:lang w:val="en-GB"/>
        </w:rPr>
        <w:t xml:space="preserve"> </w:t>
      </w:r>
      <w:r w:rsidR="000808C1">
        <w:rPr>
          <w:lang w:val="en-GB"/>
        </w:rPr>
        <w:t xml:space="preserve">the crime scene </w:t>
      </w:r>
      <w:proofErr w:type="spellStart"/>
      <w:r w:rsidR="006A415D">
        <w:rPr>
          <w:lang w:val="en-GB"/>
        </w:rPr>
        <w:t>behavior</w:t>
      </w:r>
      <w:proofErr w:type="spellEnd"/>
      <w:r w:rsidR="000808C1">
        <w:rPr>
          <w:lang w:val="en-GB"/>
        </w:rPr>
        <w:t xml:space="preserve"> </w:t>
      </w:r>
      <w:r w:rsidR="000808C1">
        <w:rPr>
          <w:i/>
          <w:lang w:val="en-GB"/>
        </w:rPr>
        <w:t>forced entry</w:t>
      </w:r>
      <w:r w:rsidR="000808C1">
        <w:rPr>
          <w:lang w:val="en-GB"/>
        </w:rPr>
        <w:t xml:space="preserve"> </w:t>
      </w:r>
      <w:r w:rsidR="000935CF">
        <w:rPr>
          <w:lang w:val="en-GB"/>
        </w:rPr>
        <w:t xml:space="preserve">has been identified </w:t>
      </w:r>
      <w:r w:rsidR="000808C1">
        <w:rPr>
          <w:lang w:val="en-GB"/>
        </w:rPr>
        <w:t xml:space="preserve">as a significant predictor </w:t>
      </w:r>
      <w:r w:rsidR="00DD2436">
        <w:rPr>
          <w:lang w:val="en-GB"/>
        </w:rPr>
        <w:t xml:space="preserve">of prior convictions for acquisitive crime types (i.e. </w:t>
      </w:r>
      <w:r w:rsidR="00DD2436" w:rsidRPr="00B036E4">
        <w:rPr>
          <w:i/>
          <w:lang w:val="en-GB"/>
        </w:rPr>
        <w:t>burglary, theft, robbery</w:t>
      </w:r>
      <w:r w:rsidR="00DD2436">
        <w:rPr>
          <w:lang w:val="en-GB"/>
        </w:rPr>
        <w:t xml:space="preserve">) </w:t>
      </w:r>
      <w:r w:rsidR="00C177D7">
        <w:rPr>
          <w:lang w:val="en-GB"/>
        </w:rPr>
        <w:t xml:space="preserve">in multiple studies </w:t>
      </w:r>
      <w:r w:rsidR="00D519C3">
        <w:rPr>
          <w:lang w:val="en-GB"/>
        </w:rPr>
        <w:fldChar w:fldCharType="begin" w:fldLock="1"/>
      </w:r>
      <w:r w:rsidR="00EA7901">
        <w:rPr>
          <w:lang w:val="en-GB"/>
        </w:rPr>
        <w:instrText>ADDIN CSL_CITATION {"citationItems":[{"id":"ITEM-1","itemData":{"DOI":"10.1177/0886260518756118","ISSN":"0886-2605","author":[{"dropping-particle":"","family":"Almond","given":"Louise","non-dropping-particle":"","parse-names":false,"suffix":""},{"dropping-particle":"","family":"McManus","given":"Michelle","non-dropping-particle":"","parse-names":false,"suffix":""},{"dropping-particle":"","family":"Bal","given":"Amarat","non-dropping-particle":"","parse-names":false,"suffix":""},{"dropping-particle":"","family":"O’Brien","given":"Freya","non-dropping-particle":"","parse-names":false,"suffix":""},{"dropping-particle":"","family":"Rainbow","given":"Lee","non-dropping-particle":"","parse-names":false,"suffix":""},{"dropping-particle":"","family":"Webb","given":"Mark","non-dropping-particle":"","parse-names":false,"suffix":""}],"container-title":"Journal of Interpersonal Violence","id":"ITEM-1","issued":{"date-parts":[["2018","2","14"]]},"title":"Assisting the Investigation of Stranger Rapes: Predicting the Criminal Record of U.K. Stranger Rapists From Their Crime Scene Behaviors","type":"article-journal"},"uris":["http://www.mendeley.com/documents/?uuid=93ad9675-99ea-4e4e-91b3-6ca0db1894a3"]},{"id":"ITEM-2","itemData":{"DOI":"10.1016/S1355-0306(97)72169-5","ISBN":"1355-0306","ISSN":"13550306","PMID":"9302833","abstract":"Approximately 85% of stranger rapists have criminal records, which usually contain a mixture of crime types. This study was designed to ascertain if inferences about such records could be made from aspects of offence behaviour, as described by the rape victims, focusing on both non-sexual behaviours and traits more obviously associated with previous criminality. The statistical technique used was logistic regression. The results demonstrated that it was very possible to obtain indications of a rapist's criminal antecedents from his offence behaviour. The three most promising models were those that predicted whether or not the offender had convictions for burglary, whether or not he had convictions for violent offences, and whether the offence was an apparent 'one-off' occurrence rather than the work of an experienced rapist.","author":[{"dropping-particle":"","family":"Davies","given":"A.","non-dropping-particle":"","parse-names":false,"suffix":""},{"dropping-particle":"","family":"Wittebrood","given":"K.","non-dropping-particle":"","parse-names":false,"suffix":""},{"dropping-particle":"","family":"Jackson","given":"J. L.","non-dropping-particle":"","parse-names":false,"suffix":""}],"container-title":"Science and Justice - Journal of the Forensic Science Society","id":"ITEM-2","issue":"3","issued":{"date-parts":[["1997"]]},"page":"161-170","title":"Predicting the criminal antecedents of a stranger rapist from his offence behaviour","type":"article-journal","volume":"37"},"uris":["http://www.mendeley.com/documents/?uuid=85219464-b5f5-4e44-b3a2-413f67f0b67e"]},{"id":"ITEM-3","itemData":{"DOI":"10.1080/13552600601090329","ISBN":"1355-2600","ISSN":"17426545","abstract":"International research has suggested that rapist criminal histories can be predicted from certain offence behaviours. Ninety-six solved stranger rape cases were examined to determine if there was consistency in a New Zealand sample. Rapist behaviours during the offence were compared with criminal convictions prior to the rape. The primary statistical technique used was likelihood ratio stepwise binary logistic regression. Predictive utility of the results was limited, due to significant correlation coefficients between the criminal history variables. Nevertheless, the current study reflected the general findings of similar descriptive international research. These outcomes were: the majority of stranger rapists had prior criminal convictions, and the majority of those convictions were for property offences not sexual offending. Furthermore, ethnic minorities were over-represented among the offenders, and the majority of stranger rapists started committing their first known rapes in their mid- to late 20s. Finally, methodological difficulties were encountered during this study. This highlights the need to refine existing statistical approaches to predictive offender-based research.","author":[{"dropping-particle":"","family":"Scott","given":"David","non-dropping-particle":"","parse-names":false,"suffix":""},{"dropping-particle":"","family":"Lambie","given":"Ian","non-dropping-particle":"","parse-names":false,"suffix":""},{"dropping-particle":"","family":"Henwood","given":"David","non-dropping-particle":"","parse-names":false,"suffix":""},{"dropping-particle":"","family":"Lamb","given":"Russell","non-dropping-particle":"","parse-names":false,"suffix":""}],"container-title":"Journal of Sexual Aggression","id":"ITEM-3","issue":"3","issued":{"date-parts":[["2006"]]},"page":"265-275","title":"Profiling stranger rapists: Linking offence behaviour to previous criminal histories using a regression model","type":"article-journal","volume":"12"},"uris":["http://www.mendeley.com/documents/?uuid=8edaf7ca-fdf1-4508-a0a4-221571006bb7"]}],"mendeley":{"formattedCitation":"(Almond et al., 2018; Davies et al., 1997; Scott et al., 2006)","plainTextFormattedCitation":"(Almond et al., 2018; Davies et al., 1997; Scott et al., 2006)","previouslyFormattedCitation":"(Almond et al., 2018; Davies et al., 1997; Scott et al., 2006)"},"properties":{"noteIndex":0},"schema":"https://github.com/citation-style-language/schema/raw/master/csl-citation.json"}</w:instrText>
      </w:r>
      <w:r w:rsidR="00D519C3">
        <w:rPr>
          <w:lang w:val="en-GB"/>
        </w:rPr>
        <w:fldChar w:fldCharType="separate"/>
      </w:r>
      <w:r w:rsidR="00DD2436" w:rsidRPr="00DD2436">
        <w:rPr>
          <w:noProof/>
          <w:lang w:val="en-GB"/>
        </w:rPr>
        <w:t>(Almond et al., 2018; Davies et al., 1997; Scott et al., 2006)</w:t>
      </w:r>
      <w:r w:rsidR="00D519C3">
        <w:rPr>
          <w:lang w:val="en-GB"/>
        </w:rPr>
        <w:fldChar w:fldCharType="end"/>
      </w:r>
      <w:r w:rsidR="00F91F03">
        <w:rPr>
          <w:lang w:val="en-GB"/>
        </w:rPr>
        <w:t xml:space="preserve">. </w:t>
      </w:r>
      <w:r w:rsidR="00F92A7F">
        <w:rPr>
          <w:lang w:val="en-GB"/>
        </w:rPr>
        <w:t>Previous research</w:t>
      </w:r>
      <w:r w:rsidR="000A4396">
        <w:rPr>
          <w:lang w:val="en-GB"/>
        </w:rPr>
        <w:t xml:space="preserve"> ha</w:t>
      </w:r>
      <w:r w:rsidR="00F92A7F">
        <w:rPr>
          <w:lang w:val="en-GB"/>
        </w:rPr>
        <w:t>s</w:t>
      </w:r>
      <w:r w:rsidR="00F56BC8">
        <w:rPr>
          <w:lang w:val="en-GB"/>
        </w:rPr>
        <w:t xml:space="preserve"> further</w:t>
      </w:r>
      <w:r w:rsidR="000A4396">
        <w:rPr>
          <w:lang w:val="en-GB"/>
        </w:rPr>
        <w:t xml:space="preserve"> </w:t>
      </w:r>
      <w:r w:rsidR="005A76C4">
        <w:rPr>
          <w:lang w:val="en-GB"/>
        </w:rPr>
        <w:t>highlighted</w:t>
      </w:r>
      <w:r w:rsidR="000A4396">
        <w:rPr>
          <w:lang w:val="en-GB"/>
        </w:rPr>
        <w:t xml:space="preserve"> a link between sexual homicide and a history of </w:t>
      </w:r>
      <w:r w:rsidR="009D1CEC">
        <w:rPr>
          <w:lang w:val="en-GB"/>
        </w:rPr>
        <w:t xml:space="preserve">burglary </w:t>
      </w:r>
      <w:r w:rsidR="00D519C3">
        <w:rPr>
          <w:lang w:val="en-GB"/>
        </w:rPr>
        <w:fldChar w:fldCharType="begin" w:fldLock="1"/>
      </w:r>
      <w:r w:rsidR="0024536D">
        <w:rPr>
          <w:lang w:val="en-GB"/>
        </w:rPr>
        <w:instrText>ADDIN CSL_CITATION {"citationItems":[{"id":"ITEM-1","itemData":{"ISSN":"1093-6793","PMID":"10400431","abstract":"Burglary, the third most common crime after larceny-theft and motor vehicle theft, is rarely the focus of forensic psychiatric study. While most burglaries are motivated simply by material gain, there is a subgroup of burglaries fueled by sexual dynamics. The authors differentiate two types of sexual burglaries: 1) fetish burglaries with overt sexual dynamics; and 2) voyeuristic burglaries, in which the sexual element is often covert and far more subtle. Many forensic practitioners have informally noted the relationship of burglaries to sexual homicide, but this relationship has not otherwise been studied in any detail. In this article, the incidence of (sexual) burglaries by 52 sexual murderers whom the authors evaluated, as well as the incidence in cases reported by others, is reported. Implications of these findings for forensic assessments and profiling of unidentified offenders are discussed.","author":[{"dropping-particle":"","family":"Schlesinger","given":"L B","non-dropping-particle":"","parse-names":false,"suffix":""},{"dropping-particle":"","family":"Revitch","given":"E","non-dropping-particle":"","parse-names":false,"suffix":""}],"container-title":"The journal of the American Academy of Psychiatry and the Law","id":"ITEM-1","issue":"2","issued":{"date-parts":[["1999"]]},"page":"227-238","title":"Sexual burglaries and sexual homicide: clinical, forensic, and investigative considerations.","type":"article-journal","volume":"27"},"prefix":"e.g.","uris":["http://www.mendeley.com/documents/?uuid=40f9eab1-d1bf-45cc-8715-811ccd86f12a"]}],"mendeley":{"formattedCitation":"(e.g. Schlesinger &amp; Revitch, 1999)","plainTextFormattedCitation":"(e.g. Schlesinger &amp; Revitch, 1999)","previouslyFormattedCitation":"(e.g. Schlesinger &amp; Revitch, 1999)"},"properties":{"noteIndex":0},"schema":"https://github.com/citation-style-language/schema/raw/master/csl-citation.json"}</w:instrText>
      </w:r>
      <w:r w:rsidR="00D519C3">
        <w:rPr>
          <w:lang w:val="en-GB"/>
        </w:rPr>
        <w:fldChar w:fldCharType="separate"/>
      </w:r>
      <w:r w:rsidR="009D1CEC" w:rsidRPr="009D1CEC">
        <w:rPr>
          <w:noProof/>
          <w:lang w:val="en-GB"/>
        </w:rPr>
        <w:t>(e.g. Schlesinger &amp; Revitch, 1999)</w:t>
      </w:r>
      <w:r w:rsidR="00D519C3">
        <w:rPr>
          <w:lang w:val="en-GB"/>
        </w:rPr>
        <w:fldChar w:fldCharType="end"/>
      </w:r>
      <w:r w:rsidR="00F56BC8">
        <w:rPr>
          <w:lang w:val="en-GB"/>
        </w:rPr>
        <w:t>,</w:t>
      </w:r>
      <w:r w:rsidR="009D1CEC">
        <w:rPr>
          <w:lang w:val="en-GB"/>
        </w:rPr>
        <w:t xml:space="preserve"> </w:t>
      </w:r>
      <w:r w:rsidR="0024536D">
        <w:rPr>
          <w:lang w:val="en-GB"/>
        </w:rPr>
        <w:t xml:space="preserve">with </w:t>
      </w:r>
      <w:r w:rsidR="00F92A7F">
        <w:rPr>
          <w:lang w:val="en-GB"/>
        </w:rPr>
        <w:t>some authors</w:t>
      </w:r>
      <w:r w:rsidR="0024536D">
        <w:rPr>
          <w:lang w:val="en-GB"/>
        </w:rPr>
        <w:t xml:space="preserve"> suggesting that repeat burglary offenders may escalate from non-contact burglaries towards burglaries featuring more serious, interpersonal offence elements depending on a number of circumstantial factors </w:t>
      </w:r>
      <w:r w:rsidR="00D519C3">
        <w:rPr>
          <w:lang w:val="en-GB"/>
        </w:rPr>
        <w:fldChar w:fldCharType="begin" w:fldLock="1"/>
      </w:r>
      <w:r w:rsidR="00864AF8">
        <w:rPr>
          <w:lang w:val="en-GB"/>
        </w:rPr>
        <w:instrText>ADDIN CSL_CITATION {"citationItems":[{"id":"ITEM-1","itemData":{"DOI":"10.1177/0306624X14533109","ISSN":"15526933","PMID":"24825671","abstract":"Research in the field of sexual aggression often assumes escalation in the criminal careers of sexual offenders. Sexual offenders are thought to begin their criminal careers with non-contact sexual offenses or non-sexual offenses and then escalate to more serious crimes, specifically sexual violence. The commission of one crime in particular--burglary--has been found to be a predictor of future violence in sexual offenders. The present study investigated the nature and extent of escalation in the criminal histories of 161 sex offenders who committed at least two burglaries. Six types of escalations were considered: type of burglary, occupancy, violence, weapon, frequency, and the victim-offender relationship. Escalators and non-escalators were compared, differences between the groups were reviewed, and the cumulative effect of various forms of escalation was analyzed. Results indicated that escalators and non-escalators could be differentiated on a number of important dimensions that might assist in the earlier detection of subsequently more dangerous offenders.","author":[{"dropping-particle":"","family":"Pedneault","given":"Amelie","non-dropping-particle":"","parse-names":false,"suffix":""},{"dropping-particle":"","family":"Harris","given":"Danielle A.","non-dropping-particle":"","parse-names":false,"suffix":""},{"dropping-particle":"","family":"Knight","given":"Raymond A.","non-dropping-particle":"","parse-names":false,"suffix":""}],"container-title":"International Journal of Offender Therapy and Comparative Criminology","id":"ITEM-1","issue":"11","issued":{"date-parts":[["2015"]]},"page":"1203-1221","title":"An examination of escalation in burglaries committed by sexual offenders","type":"article-journal","volume":"59"},"uris":["http://www.mendeley.com/documents/?uuid=b2e30b40-238c-4a57-b884-418ea46a3949"]}],"mendeley":{"formattedCitation":"(Pedneault, Harris, &amp; Knight, 2015)","plainTextFormattedCitation":"(Pedneault, Harris, &amp; Knight, 2015)","previouslyFormattedCitation":"(Pedneault, Harris, &amp; Knight, 2015)"},"properties":{"noteIndex":0},"schema":"https://github.com/citation-style-language/schema/raw/master/csl-citation.json"}</w:instrText>
      </w:r>
      <w:r w:rsidR="00D519C3">
        <w:rPr>
          <w:lang w:val="en-GB"/>
        </w:rPr>
        <w:fldChar w:fldCharType="separate"/>
      </w:r>
      <w:r w:rsidR="0024536D" w:rsidRPr="0024536D">
        <w:rPr>
          <w:noProof/>
          <w:lang w:val="en-GB"/>
        </w:rPr>
        <w:t>(Pedneault, Harris, &amp; Knight, 2015)</w:t>
      </w:r>
      <w:r w:rsidR="00D519C3">
        <w:rPr>
          <w:lang w:val="en-GB"/>
        </w:rPr>
        <w:fldChar w:fldCharType="end"/>
      </w:r>
      <w:r w:rsidR="0024536D">
        <w:rPr>
          <w:lang w:val="en-GB"/>
        </w:rPr>
        <w:t>.</w:t>
      </w:r>
      <w:r w:rsidR="00F91F03">
        <w:rPr>
          <w:lang w:val="en-GB"/>
        </w:rPr>
        <w:t xml:space="preserve"> </w:t>
      </w:r>
      <w:r w:rsidR="005F0F5D">
        <w:rPr>
          <w:lang w:val="en-GB"/>
        </w:rPr>
        <w:t>Taken together</w:t>
      </w:r>
      <w:r w:rsidR="00F91F03">
        <w:rPr>
          <w:lang w:val="en-GB"/>
        </w:rPr>
        <w:t xml:space="preserve">, </w:t>
      </w:r>
      <w:r w:rsidR="00F91F03" w:rsidRPr="00E10A11">
        <w:rPr>
          <w:i/>
          <w:lang w:val="en-GB"/>
        </w:rPr>
        <w:t>burglary elements</w:t>
      </w:r>
      <w:r w:rsidR="00E10A11">
        <w:rPr>
          <w:lang w:val="en-GB"/>
        </w:rPr>
        <w:t xml:space="preserve"> </w:t>
      </w:r>
      <w:r w:rsidR="00F91F03">
        <w:rPr>
          <w:lang w:val="en-GB"/>
        </w:rPr>
        <w:t>within homicides</w:t>
      </w:r>
      <w:r w:rsidR="00E10A11">
        <w:rPr>
          <w:lang w:val="en-GB"/>
        </w:rPr>
        <w:t xml:space="preserve"> and serious sexual crimes </w:t>
      </w:r>
      <w:r w:rsidR="00A36AA4">
        <w:rPr>
          <w:lang w:val="en-GB"/>
        </w:rPr>
        <w:t xml:space="preserve">appear </w:t>
      </w:r>
      <w:r w:rsidR="00E10A11">
        <w:rPr>
          <w:lang w:val="en-GB"/>
        </w:rPr>
        <w:t xml:space="preserve">as key indicators of previous </w:t>
      </w:r>
      <w:r w:rsidR="00E10A11" w:rsidRPr="00E10A11">
        <w:rPr>
          <w:i/>
          <w:lang w:val="en-GB"/>
        </w:rPr>
        <w:t>burglary</w:t>
      </w:r>
      <w:r w:rsidR="00E10A11">
        <w:rPr>
          <w:lang w:val="en-GB"/>
        </w:rPr>
        <w:t xml:space="preserve"> crimes</w:t>
      </w:r>
      <w:r w:rsidR="00A36AA4">
        <w:rPr>
          <w:lang w:val="en-GB"/>
        </w:rPr>
        <w:t xml:space="preserve"> in the literature</w:t>
      </w:r>
      <w:r w:rsidR="00E10A11">
        <w:rPr>
          <w:lang w:val="en-GB"/>
        </w:rPr>
        <w:t xml:space="preserve">, even though a generalisation of this finding towards other types of acquisitive crimes (e.g. </w:t>
      </w:r>
      <w:r w:rsidR="00E10A11" w:rsidRPr="00E10A11">
        <w:rPr>
          <w:i/>
          <w:lang w:val="en-GB"/>
        </w:rPr>
        <w:t>theft, robbery</w:t>
      </w:r>
      <w:r w:rsidR="00E10A11">
        <w:rPr>
          <w:lang w:val="en-GB"/>
        </w:rPr>
        <w:t>) could not be supported in the current study.</w:t>
      </w:r>
    </w:p>
    <w:p w:rsidR="0093714C" w:rsidRDefault="00E94BDB" w:rsidP="00CB2434">
      <w:pPr>
        <w:pStyle w:val="TextkrperMA"/>
        <w:rPr>
          <w:lang w:val="en-GB"/>
        </w:rPr>
      </w:pPr>
      <w:r>
        <w:rPr>
          <w:lang w:val="en-GB"/>
        </w:rPr>
        <w:t>Interestingly, s</w:t>
      </w:r>
      <w:r w:rsidR="00F43DAC">
        <w:rPr>
          <w:lang w:val="en-GB"/>
        </w:rPr>
        <w:t xml:space="preserve">exual </w:t>
      </w:r>
      <w:proofErr w:type="spellStart"/>
      <w:r w:rsidR="006A415D">
        <w:rPr>
          <w:lang w:val="en-GB"/>
        </w:rPr>
        <w:t>behavior</w:t>
      </w:r>
      <w:r w:rsidR="00F43DAC">
        <w:rPr>
          <w:lang w:val="en-GB"/>
        </w:rPr>
        <w:t>s</w:t>
      </w:r>
      <w:proofErr w:type="spellEnd"/>
      <w:r w:rsidR="00F43DAC">
        <w:rPr>
          <w:lang w:val="en-GB"/>
        </w:rPr>
        <w:t xml:space="preserve"> were</w:t>
      </w:r>
      <w:r w:rsidR="00CE360F">
        <w:rPr>
          <w:lang w:val="en-GB"/>
        </w:rPr>
        <w:t xml:space="preserve"> </w:t>
      </w:r>
      <w:r w:rsidR="00F43DAC">
        <w:rPr>
          <w:lang w:val="en-GB"/>
        </w:rPr>
        <w:t>predominantly negatively associated with prior conviction variables in this sample</w:t>
      </w:r>
      <w:r w:rsidR="0089649F">
        <w:rPr>
          <w:lang w:val="en-GB"/>
        </w:rPr>
        <w:t>.</w:t>
      </w:r>
      <w:r w:rsidR="00F43DAC">
        <w:rPr>
          <w:lang w:val="en-GB"/>
        </w:rPr>
        <w:t xml:space="preserve"> </w:t>
      </w:r>
      <w:r w:rsidR="0089649F">
        <w:rPr>
          <w:lang w:val="en-GB"/>
        </w:rPr>
        <w:t>If</w:t>
      </w:r>
      <w:r w:rsidR="00F43DAC">
        <w:rPr>
          <w:lang w:val="en-GB"/>
        </w:rPr>
        <w:t xml:space="preserve"> </w:t>
      </w:r>
      <w:r w:rsidR="00BC3602">
        <w:rPr>
          <w:i/>
          <w:lang w:val="en-GB"/>
        </w:rPr>
        <w:t>vaginal penetration</w:t>
      </w:r>
      <w:r w:rsidR="00BC3602">
        <w:rPr>
          <w:lang w:val="en-GB"/>
        </w:rPr>
        <w:t xml:space="preserve"> </w:t>
      </w:r>
      <w:r w:rsidR="0089649F">
        <w:rPr>
          <w:lang w:val="en-GB"/>
        </w:rPr>
        <w:t xml:space="preserve">was observed, </w:t>
      </w:r>
      <w:r w:rsidR="00BC3602">
        <w:rPr>
          <w:lang w:val="en-GB"/>
        </w:rPr>
        <w:t xml:space="preserve">the likelihoods of prior </w:t>
      </w:r>
      <w:r w:rsidR="00BC3602">
        <w:rPr>
          <w:i/>
          <w:lang w:val="en-GB"/>
        </w:rPr>
        <w:t xml:space="preserve">theft, weapons, </w:t>
      </w:r>
      <w:r w:rsidR="00BC3602">
        <w:rPr>
          <w:lang w:val="en-GB"/>
        </w:rPr>
        <w:t xml:space="preserve">and </w:t>
      </w:r>
      <w:r w:rsidR="00BC3602">
        <w:rPr>
          <w:i/>
          <w:lang w:val="en-GB"/>
        </w:rPr>
        <w:t>violence</w:t>
      </w:r>
      <w:r w:rsidR="00BC3602">
        <w:rPr>
          <w:lang w:val="en-GB"/>
        </w:rPr>
        <w:t xml:space="preserve"> pre-convictions</w:t>
      </w:r>
      <w:r w:rsidR="0089649F">
        <w:rPr>
          <w:lang w:val="en-GB"/>
        </w:rPr>
        <w:t xml:space="preserve"> were reduced, whereas</w:t>
      </w:r>
      <w:r w:rsidR="00BC3602">
        <w:rPr>
          <w:lang w:val="en-GB"/>
        </w:rPr>
        <w:t xml:space="preserve"> </w:t>
      </w:r>
      <w:r w:rsidR="00BC3602">
        <w:rPr>
          <w:i/>
          <w:lang w:val="en-GB"/>
        </w:rPr>
        <w:t>clothing moved</w:t>
      </w:r>
      <w:r w:rsidR="00BC3602">
        <w:rPr>
          <w:lang w:val="en-GB"/>
        </w:rPr>
        <w:t xml:space="preserve"> further decreas</w:t>
      </w:r>
      <w:r w:rsidR="0089649F">
        <w:rPr>
          <w:lang w:val="en-GB"/>
        </w:rPr>
        <w:t>ed</w:t>
      </w:r>
      <w:r w:rsidR="00BC3602">
        <w:rPr>
          <w:lang w:val="en-GB"/>
        </w:rPr>
        <w:t xml:space="preserve"> the likelihood of prior </w:t>
      </w:r>
      <w:r w:rsidR="00BC3602" w:rsidRPr="00BC3602">
        <w:rPr>
          <w:i/>
          <w:lang w:val="en-GB"/>
        </w:rPr>
        <w:t>violence</w:t>
      </w:r>
      <w:r w:rsidR="00BC3602">
        <w:rPr>
          <w:lang w:val="en-GB"/>
        </w:rPr>
        <w:t xml:space="preserve"> convictions.</w:t>
      </w:r>
      <w:r w:rsidR="00CE360F">
        <w:rPr>
          <w:lang w:val="en-GB"/>
        </w:rPr>
        <w:t xml:space="preserve"> An exemption was found in prior </w:t>
      </w:r>
      <w:r w:rsidR="00CE360F" w:rsidRPr="00CE360F">
        <w:rPr>
          <w:i/>
          <w:lang w:val="en-GB"/>
        </w:rPr>
        <w:t>fraud</w:t>
      </w:r>
      <w:r w:rsidR="00CE360F">
        <w:rPr>
          <w:lang w:val="en-GB"/>
        </w:rPr>
        <w:t xml:space="preserve"> convictions being two times </w:t>
      </w:r>
      <w:r w:rsidR="00CE360F" w:rsidRPr="006A15E2">
        <w:rPr>
          <w:i/>
          <w:lang w:val="en-GB"/>
        </w:rPr>
        <w:t>more</w:t>
      </w:r>
      <w:r w:rsidR="00CE360F">
        <w:rPr>
          <w:lang w:val="en-GB"/>
        </w:rPr>
        <w:t xml:space="preserve"> likely if the </w:t>
      </w:r>
      <w:r w:rsidR="00CE360F" w:rsidRPr="00CE360F">
        <w:rPr>
          <w:i/>
          <w:lang w:val="en-GB"/>
        </w:rPr>
        <w:t>victim was found naked</w:t>
      </w:r>
      <w:r w:rsidR="00CE360F">
        <w:rPr>
          <w:lang w:val="en-GB"/>
        </w:rPr>
        <w:t xml:space="preserve">. These findings </w:t>
      </w:r>
      <w:r w:rsidR="00C6670E">
        <w:rPr>
          <w:lang w:val="en-GB"/>
        </w:rPr>
        <w:t xml:space="preserve">have not yet been recorded, </w:t>
      </w:r>
      <w:r w:rsidR="00C6670E">
        <w:rPr>
          <w:lang w:val="en-GB"/>
        </w:rPr>
        <w:lastRenderedPageBreak/>
        <w:t>given that</w:t>
      </w:r>
      <w:r w:rsidR="00CE360F">
        <w:rPr>
          <w:lang w:val="en-GB"/>
        </w:rPr>
        <w:t xml:space="preserve"> prior bivariate criminal history profiling studies either did not examine specific sexual </w:t>
      </w:r>
      <w:proofErr w:type="spellStart"/>
      <w:r w:rsidR="006A415D">
        <w:rPr>
          <w:lang w:val="en-GB"/>
        </w:rPr>
        <w:t>behavior</w:t>
      </w:r>
      <w:r w:rsidR="00CE360F">
        <w:rPr>
          <w:lang w:val="en-GB"/>
        </w:rPr>
        <w:t>s</w:t>
      </w:r>
      <w:proofErr w:type="spellEnd"/>
      <w:r w:rsidR="00CE360F">
        <w:rPr>
          <w:lang w:val="en-GB"/>
        </w:rPr>
        <w:t xml:space="preserve"> </w:t>
      </w:r>
      <w:r w:rsidR="00D519C3">
        <w:rPr>
          <w:lang w:val="en-GB"/>
        </w:rPr>
        <w:fldChar w:fldCharType="begin" w:fldLock="1"/>
      </w:r>
      <w:r w:rsidR="00EA7901">
        <w:rPr>
          <w:lang w:val="en-GB"/>
        </w:rPr>
        <w:instrText>ADDIN CSL_CITATION {"citationItems":[{"id":"ITEM-1","itemData":{"DOI":"10.1177/0886260518756118","ISSN":"0886-2605","author":[{"dropping-particle":"","family":"Almond","given":"Louise","non-dropping-particle":"","parse-names":false,"suffix":""},{"dropping-particle":"","family":"McManus","given":"Michelle","non-dropping-particle":"","parse-names":false,"suffix":""},{"dropping-particle":"","family":"Bal","given":"Amarat","non-dropping-particle":"","parse-names":false,"suffix":""},{"dropping-particle":"","family":"O’Brien","given":"Freya","non-dropping-particle":"","parse-names":false,"suffix":""},{"dropping-particle":"","family":"Rainbow","given":"Lee","non-dropping-particle":"","parse-names":false,"suffix":""},{"dropping-particle":"","family":"Webb","given":"Mark","non-dropping-particle":"","parse-names":false,"suffix":""}],"container-title":"Journal of Interpersonal Violence","id":"ITEM-1","issued":{"date-parts":[["2018","2","14"]]},"title":"Assisting the Investigation of Stranger Rapes: Predicting the Criminal Record of U.K. Stranger Rapists From Their Crime Scene Behaviors","type":"article-journal"},"uris":["http://www.mendeley.com/documents/?uuid=93ad9675-99ea-4e4e-91b3-6ca0db1894a3"]}],"mendeley":{"formattedCitation":"(Almond et al., 2018)","plainTextFormattedCitation":"(Almond et al., 2018)","previouslyFormattedCitation":"(Almond et al., 2018)"},"properties":{"noteIndex":0},"schema":"https://github.com/citation-style-language/schema/raw/master/csl-citation.json"}</w:instrText>
      </w:r>
      <w:r w:rsidR="00D519C3">
        <w:rPr>
          <w:lang w:val="en-GB"/>
        </w:rPr>
        <w:fldChar w:fldCharType="separate"/>
      </w:r>
      <w:r w:rsidR="00CE360F" w:rsidRPr="00CE360F">
        <w:rPr>
          <w:noProof/>
          <w:lang w:val="en-GB"/>
        </w:rPr>
        <w:t>(Almond et al., 2018)</w:t>
      </w:r>
      <w:r w:rsidR="00D519C3">
        <w:rPr>
          <w:lang w:val="en-GB"/>
        </w:rPr>
        <w:fldChar w:fldCharType="end"/>
      </w:r>
      <w:r w:rsidR="00F11269">
        <w:rPr>
          <w:lang w:val="en-GB"/>
        </w:rPr>
        <w:t>,</w:t>
      </w:r>
      <w:r w:rsidR="00CE360F">
        <w:rPr>
          <w:lang w:val="en-GB"/>
        </w:rPr>
        <w:t xml:space="preserve"> or did not find any relationships between sexual </w:t>
      </w:r>
      <w:proofErr w:type="spellStart"/>
      <w:r w:rsidR="006A415D">
        <w:rPr>
          <w:lang w:val="en-GB"/>
        </w:rPr>
        <w:t>behavior</w:t>
      </w:r>
      <w:r w:rsidR="00CE360F">
        <w:rPr>
          <w:lang w:val="en-GB"/>
        </w:rPr>
        <w:t>s</w:t>
      </w:r>
      <w:proofErr w:type="spellEnd"/>
      <w:r w:rsidR="00CE360F">
        <w:rPr>
          <w:lang w:val="en-GB"/>
        </w:rPr>
        <w:t xml:space="preserve"> and prior convictions </w:t>
      </w:r>
      <w:r w:rsidR="00D519C3">
        <w:rPr>
          <w:lang w:val="en-GB"/>
        </w:rPr>
        <w:fldChar w:fldCharType="begin" w:fldLock="1"/>
      </w:r>
      <w:r w:rsidR="0093714C">
        <w:rPr>
          <w:lang w:val="en-GB"/>
        </w:rPr>
        <w:instrText>ADDIN CSL_CITATION {"citationItems":[{"id":"ITEM-1","itemData":{"DOI":"10.1002/jip.1396","ISSN":"15444767","abstract":"This paper considers the role of a Behavioural Investigative Adviser (BIA) in assisting with the decision-making of a Senior Investigating Officer (SIO) in difficult-to-detect murder investigations. It outlines the need for transparent evidence-based decision-making from both the SIO and the BIA. The paper then details a piece of relevant, applied research that can assist in this end. The research utilised a pragmatic psychology approach to analyse 312 detected murder cases from the Serious Crime Analysis Section database. Some significant patterns relating what is known about the offence at different stages of an investigation and inferences regarding the offender were found, indicating that certain offence information can lead to some reliable predictions and these can be refined as more information becomes available. However, the findings also indicate that base rate frequencies and a ‘best-guess’ methodology may be as, if not more, useful than more complex statistical techniques when providing advice to investigations.","author":[{"dropping-particle":"","family":"Cole","given":"Terri","non-dropping-particle":"","parse-names":false,"suffix":""},{"dropping-particle":"","family":"Brown","given":"Jennifer","non-dropping-particle":"","parse-names":false,"suffix":""}],"container-title":"Journal of Investigative Psychology and Offender Profiling","id":"ITEM-1","issue":"3","issued":{"date-parts":[["2014"]]},"page":"191-220","title":"Behavioural investigative advice: Assistance to investigative decision-making in difficult-to-detect murder","type":"article-journal","volume":"11"},"uris":["http://www.mendeley.com/documents/?uuid=629c73c0-ceec-4270-a53d-d29df1aafd12"]}],"mendeley":{"formattedCitation":"(Cole &amp; Brown, 2014)","plainTextFormattedCitation":"(Cole &amp; Brown, 2014)","previouslyFormattedCitation":"(Cole &amp; Brown, 2014)"},"properties":{"noteIndex":0},"schema":"https://github.com/citation-style-language/schema/raw/master/csl-citation.json"}</w:instrText>
      </w:r>
      <w:r w:rsidR="00D519C3">
        <w:rPr>
          <w:lang w:val="en-GB"/>
        </w:rPr>
        <w:fldChar w:fldCharType="separate"/>
      </w:r>
      <w:r w:rsidR="00CE360F" w:rsidRPr="00CE360F">
        <w:rPr>
          <w:noProof/>
          <w:lang w:val="en-GB"/>
        </w:rPr>
        <w:t>(Cole &amp; Brown, 2014)</w:t>
      </w:r>
      <w:r w:rsidR="00D519C3">
        <w:rPr>
          <w:lang w:val="en-GB"/>
        </w:rPr>
        <w:fldChar w:fldCharType="end"/>
      </w:r>
      <w:r w:rsidR="00CE360F">
        <w:rPr>
          <w:lang w:val="en-GB"/>
        </w:rPr>
        <w:t xml:space="preserve">. </w:t>
      </w:r>
      <w:r w:rsidR="005E03E7">
        <w:rPr>
          <w:lang w:val="en-GB"/>
        </w:rPr>
        <w:t xml:space="preserve">Similarly, </w:t>
      </w:r>
      <w:proofErr w:type="spellStart"/>
      <w:r w:rsidR="006A415D">
        <w:rPr>
          <w:lang w:val="en-GB"/>
        </w:rPr>
        <w:t>behavior</w:t>
      </w:r>
      <w:r w:rsidR="005E03E7">
        <w:rPr>
          <w:lang w:val="en-GB"/>
        </w:rPr>
        <w:t>s</w:t>
      </w:r>
      <w:proofErr w:type="spellEnd"/>
      <w:r w:rsidR="005E03E7">
        <w:rPr>
          <w:lang w:val="en-GB"/>
        </w:rPr>
        <w:t xml:space="preserve"> indicating some degree of premeditation were also negatively associated with pre</w:t>
      </w:r>
      <w:r w:rsidR="005E03E7">
        <w:rPr>
          <w:lang w:val="en-GB"/>
        </w:rPr>
        <w:noBreakHyphen/>
        <w:t xml:space="preserve">conviction variables in the current sample, with </w:t>
      </w:r>
      <w:r w:rsidR="005E03E7" w:rsidRPr="00864AF8">
        <w:rPr>
          <w:i/>
          <w:lang w:val="en-GB"/>
        </w:rPr>
        <w:t>weapon brought</w:t>
      </w:r>
      <w:r w:rsidR="005E03E7">
        <w:rPr>
          <w:lang w:val="en-GB"/>
        </w:rPr>
        <w:t xml:space="preserve"> decreasing the likelihood of prior </w:t>
      </w:r>
      <w:r w:rsidR="005E03E7">
        <w:rPr>
          <w:i/>
          <w:lang w:val="en-GB"/>
        </w:rPr>
        <w:t xml:space="preserve">theft, violence, </w:t>
      </w:r>
      <w:r w:rsidR="005E03E7">
        <w:rPr>
          <w:lang w:val="en-GB"/>
        </w:rPr>
        <w:t>and</w:t>
      </w:r>
      <w:r w:rsidR="005E03E7">
        <w:rPr>
          <w:i/>
          <w:lang w:val="en-GB"/>
        </w:rPr>
        <w:t xml:space="preserve"> criminal damage </w:t>
      </w:r>
      <w:r w:rsidR="005E03E7">
        <w:rPr>
          <w:lang w:val="en-GB"/>
        </w:rPr>
        <w:t xml:space="preserve">convictions and </w:t>
      </w:r>
      <w:r w:rsidR="005E03E7">
        <w:rPr>
          <w:i/>
          <w:lang w:val="en-GB"/>
        </w:rPr>
        <w:t>weapon</w:t>
      </w:r>
      <w:r w:rsidR="005E03E7">
        <w:rPr>
          <w:lang w:val="en-GB"/>
        </w:rPr>
        <w:noBreakHyphen/>
        <w:t xml:space="preserve">related pre-convictions being less likely if </w:t>
      </w:r>
      <w:r w:rsidR="005E03E7" w:rsidRPr="00B21284">
        <w:rPr>
          <w:i/>
          <w:lang w:val="en-GB"/>
        </w:rPr>
        <w:t>precautions</w:t>
      </w:r>
      <w:r w:rsidR="005E03E7">
        <w:rPr>
          <w:lang w:val="en-GB"/>
        </w:rPr>
        <w:t xml:space="preserve"> </w:t>
      </w:r>
      <w:r w:rsidR="005E03E7" w:rsidRPr="00864AF8">
        <w:rPr>
          <w:i/>
          <w:lang w:val="en-GB"/>
        </w:rPr>
        <w:t>concerning the crime scene</w:t>
      </w:r>
      <w:r w:rsidR="005E03E7">
        <w:rPr>
          <w:lang w:val="en-GB"/>
        </w:rPr>
        <w:t xml:space="preserve"> were observed. </w:t>
      </w:r>
      <w:r w:rsidR="00AE4514">
        <w:rPr>
          <w:lang w:val="en-GB"/>
        </w:rPr>
        <w:t xml:space="preserve">While it may be tempting to derive </w:t>
      </w:r>
      <w:r w:rsidR="00AE4514" w:rsidRPr="0080137E">
        <w:rPr>
          <w:i/>
          <w:lang w:val="en-GB"/>
        </w:rPr>
        <w:t>theoretical</w:t>
      </w:r>
      <w:r w:rsidR="00AE4514">
        <w:rPr>
          <w:lang w:val="en-GB"/>
        </w:rPr>
        <w:t xml:space="preserve"> implications</w:t>
      </w:r>
      <w:r w:rsidR="002A4C36">
        <w:rPr>
          <w:lang w:val="en-GB"/>
        </w:rPr>
        <w:t xml:space="preserve"> </w:t>
      </w:r>
      <w:r w:rsidR="00AE4514">
        <w:rPr>
          <w:lang w:val="en-GB"/>
        </w:rPr>
        <w:t xml:space="preserve">from </w:t>
      </w:r>
      <w:r w:rsidR="002A4C36">
        <w:rPr>
          <w:lang w:val="en-GB"/>
        </w:rPr>
        <w:t>the present</w:t>
      </w:r>
      <w:r w:rsidR="00AE4514">
        <w:rPr>
          <w:lang w:val="en-GB"/>
        </w:rPr>
        <w:t xml:space="preserve"> finding</w:t>
      </w:r>
      <w:r w:rsidR="002A4C36">
        <w:rPr>
          <w:lang w:val="en-GB"/>
        </w:rPr>
        <w:t>s,</w:t>
      </w:r>
      <w:r w:rsidR="00AE4514">
        <w:rPr>
          <w:lang w:val="en-GB"/>
        </w:rPr>
        <w:t xml:space="preserve"> </w:t>
      </w:r>
      <w:r w:rsidR="001C5B13">
        <w:rPr>
          <w:lang w:val="en-GB"/>
        </w:rPr>
        <w:t>it should be borne in mind that this study was very much explorato</w:t>
      </w:r>
      <w:r w:rsidR="00FA4879">
        <w:rPr>
          <w:lang w:val="en-GB"/>
        </w:rPr>
        <w:t>ry</w:t>
      </w:r>
      <w:r w:rsidR="0093714C">
        <w:rPr>
          <w:lang w:val="en-GB"/>
        </w:rPr>
        <w:t xml:space="preserve"> and was neither conceptualised to explicitly test nor retrospectively allow for inferences on </w:t>
      </w:r>
      <w:r w:rsidR="00F56BC8">
        <w:rPr>
          <w:lang w:val="en-GB"/>
        </w:rPr>
        <w:t>underlying</w:t>
      </w:r>
      <w:r w:rsidR="0093714C">
        <w:rPr>
          <w:lang w:val="en-GB"/>
        </w:rPr>
        <w:t xml:space="preserve"> psychological constructs that</w:t>
      </w:r>
      <w:r w:rsidR="00F56BC8">
        <w:rPr>
          <w:lang w:val="en-GB"/>
        </w:rPr>
        <w:t xml:space="preserve"> may </w:t>
      </w:r>
      <w:r w:rsidR="0093714C">
        <w:rPr>
          <w:lang w:val="en-GB"/>
        </w:rPr>
        <w:t>explain the</w:t>
      </w:r>
      <w:r w:rsidR="00F56BC8">
        <w:rPr>
          <w:lang w:val="en-GB"/>
        </w:rPr>
        <w:t xml:space="preserve"> cause for the</w:t>
      </w:r>
      <w:r w:rsidR="0093714C">
        <w:rPr>
          <w:lang w:val="en-GB"/>
        </w:rPr>
        <w:t xml:space="preserve"> </w:t>
      </w:r>
      <w:r w:rsidR="00EB173D">
        <w:rPr>
          <w:lang w:val="en-GB"/>
        </w:rPr>
        <w:t xml:space="preserve">identified </w:t>
      </w:r>
      <w:r w:rsidR="0093714C">
        <w:rPr>
          <w:lang w:val="en-GB"/>
        </w:rPr>
        <w:t>associations</w:t>
      </w:r>
      <w:r w:rsidR="00F56BC8">
        <w:rPr>
          <w:lang w:val="en-GB"/>
        </w:rPr>
        <w:t xml:space="preserve">. This </w:t>
      </w:r>
      <w:r w:rsidR="0093714C">
        <w:rPr>
          <w:lang w:val="en-GB"/>
        </w:rPr>
        <w:t>is generally the case in s</w:t>
      </w:r>
      <w:r w:rsidR="00FA4879">
        <w:rPr>
          <w:lang w:val="en-GB"/>
        </w:rPr>
        <w:t xml:space="preserve">tudies employing a direct, bivariate profiling approach </w:t>
      </w:r>
      <w:r w:rsidR="00D519C3">
        <w:rPr>
          <w:lang w:val="en-GB"/>
        </w:rPr>
        <w:fldChar w:fldCharType="begin" w:fldLock="1"/>
      </w:r>
      <w:r w:rsidR="007D04A9">
        <w:rPr>
          <w:lang w:val="en-GB"/>
        </w:rPr>
        <w:instrText>ADDIN CSL_CITATION {"citationItems":[{"id":"ITEM-1","itemData":{"DOI":"10.1016/j.avb.2008.01.001","ISBN":"1359-1789","ISSN":"13591789","abstract":"The literature on profiling homicide offenders was examined with regard to its underlying assumptions of offender consistency and specificity. While only moderate evidence for the behavioral consistency hypothesis was found, research did support the hypothesis of stable relationships between offense behaviors and offender characteristics (specificity hypothesis). When considering the specificity assumption, special attention has been given to the underlying concepts relating offense and offender characteristics. These underlying concepts were compared with offender profiling theories and a new model was proposed that can account for the current criticisms on offender profiling. This new model of offense pathways provides an overview of the psychological processes the offender experienced during his or her offense, emphasizes the importance of a contextualized perspective, and is consistent with the view that the homicide offense is a process that develops over time. The authors conclude that in order to derive offender profiles, offense pathways in homicide offenders should be investigated as a collection of underlying psychological concepts between offense and offender characteristics. © 2008 Elsevier Ltd. All rights reserved.","author":[{"dropping-particle":"","family":"Crabbé","given":"An","non-dropping-particle":"","parse-names":false,"suffix":""},{"dropping-particle":"","family":"Decoene","given":"Stef","non-dropping-particle":"","parse-names":false,"suffix":""},{"dropping-particle":"","family":"Vertommen","given":"Hans","non-dropping-particle":"","parse-names":false,"suffix":""}],"container-title":"Aggression and Violent Behavior","id":"ITEM-1","issue":"2","issued":{"date-parts":[["2008"]]},"page":"88-106","title":"Profiling homicide offenders: A review of assumptions and theories","type":"article-journal","volume":"13"},"uris":["http://www.mendeley.com/documents/?uuid=d19b4f66-66e3-4c57-9f6b-0dadebca4c5a"]}],"mendeley":{"formattedCitation":"(Crabbé et al., 2008)","plainTextFormattedCitation":"(Crabbé et al., 2008)","previouslyFormattedCitation":"(Crabbé et al., 2008)"},"properties":{"noteIndex":0},"schema":"https://github.com/citation-style-language/schema/raw/master/csl-citation.json"}</w:instrText>
      </w:r>
      <w:r w:rsidR="00D519C3">
        <w:rPr>
          <w:lang w:val="en-GB"/>
        </w:rPr>
        <w:fldChar w:fldCharType="separate"/>
      </w:r>
      <w:r w:rsidR="007D04A9" w:rsidRPr="007D04A9">
        <w:rPr>
          <w:noProof/>
          <w:lang w:val="en-GB"/>
        </w:rPr>
        <w:t>(Crabbé et al., 2008)</w:t>
      </w:r>
      <w:r w:rsidR="00D519C3">
        <w:rPr>
          <w:lang w:val="en-GB"/>
        </w:rPr>
        <w:fldChar w:fldCharType="end"/>
      </w:r>
      <w:r w:rsidR="0093714C">
        <w:rPr>
          <w:lang w:val="en-GB"/>
        </w:rPr>
        <w:t>.</w:t>
      </w:r>
      <w:r w:rsidR="00FA4879">
        <w:rPr>
          <w:lang w:val="en-GB"/>
        </w:rPr>
        <w:t xml:space="preserve"> </w:t>
      </w:r>
      <w:r w:rsidR="00001665">
        <w:rPr>
          <w:lang w:val="en-GB"/>
        </w:rPr>
        <w:t>However,</w:t>
      </w:r>
      <w:r w:rsidR="00EB173D">
        <w:rPr>
          <w:lang w:val="en-GB"/>
        </w:rPr>
        <w:t xml:space="preserve"> the present study’s success in finding some offence </w:t>
      </w:r>
      <w:proofErr w:type="spellStart"/>
      <w:r w:rsidR="006A415D">
        <w:rPr>
          <w:lang w:val="en-GB"/>
        </w:rPr>
        <w:t>behavior</w:t>
      </w:r>
      <w:r w:rsidR="00EB173D">
        <w:rPr>
          <w:lang w:val="en-GB"/>
        </w:rPr>
        <w:t>s</w:t>
      </w:r>
      <w:proofErr w:type="spellEnd"/>
      <w:r w:rsidR="00EB173D">
        <w:rPr>
          <w:lang w:val="en-GB"/>
        </w:rPr>
        <w:t xml:space="preserve"> predictive of homicide offenders’ pre-convictions has important </w:t>
      </w:r>
      <w:r w:rsidR="00EB173D" w:rsidRPr="0080137E">
        <w:rPr>
          <w:i/>
          <w:lang w:val="en-GB"/>
        </w:rPr>
        <w:t>practical</w:t>
      </w:r>
      <w:r w:rsidR="00EB173D">
        <w:rPr>
          <w:lang w:val="en-GB"/>
        </w:rPr>
        <w:t xml:space="preserve"> implications.</w:t>
      </w:r>
    </w:p>
    <w:p w:rsidR="00D64628" w:rsidRDefault="007D7FF2" w:rsidP="00CB2434">
      <w:pPr>
        <w:pStyle w:val="TextkrperMA"/>
        <w:rPr>
          <w:lang w:val="en-GB"/>
        </w:rPr>
      </w:pPr>
      <w:r>
        <w:rPr>
          <w:lang w:val="en-GB"/>
        </w:rPr>
        <w:t xml:space="preserve">In unsolved cases of homicide, </w:t>
      </w:r>
      <w:r w:rsidR="00EC7DF6">
        <w:rPr>
          <w:lang w:val="en-GB"/>
        </w:rPr>
        <w:t>the availability of an empirical basis that allows</w:t>
      </w:r>
      <w:r>
        <w:rPr>
          <w:lang w:val="en-GB"/>
        </w:rPr>
        <w:t xml:space="preserve"> to estimate the probability of an offender having a certain pre-conviction based on his </w:t>
      </w:r>
      <w:proofErr w:type="spellStart"/>
      <w:r w:rsidR="006A415D">
        <w:rPr>
          <w:lang w:val="en-GB"/>
        </w:rPr>
        <w:t>behavior</w:t>
      </w:r>
      <w:r>
        <w:rPr>
          <w:lang w:val="en-GB"/>
        </w:rPr>
        <w:t>s</w:t>
      </w:r>
      <w:proofErr w:type="spellEnd"/>
      <w:r>
        <w:rPr>
          <w:lang w:val="en-GB"/>
        </w:rPr>
        <w:t xml:space="preserve"> </w:t>
      </w:r>
      <w:r w:rsidR="00A54445">
        <w:rPr>
          <w:lang w:val="en-GB"/>
        </w:rPr>
        <w:t>at</w:t>
      </w:r>
      <w:r>
        <w:rPr>
          <w:lang w:val="en-GB"/>
        </w:rPr>
        <w:t xml:space="preserve"> the crime scene would undoubtedly be beneficial to the investigation. </w:t>
      </w:r>
      <w:r w:rsidR="00DA6A9D">
        <w:rPr>
          <w:lang w:val="en-GB"/>
        </w:rPr>
        <w:t xml:space="preserve">Using the predictive models identified in this study, such probabilities could be calculated at the beginning of an investigation. Outcomes may assist </w:t>
      </w:r>
      <w:r w:rsidR="00446308">
        <w:rPr>
          <w:lang w:val="en-GB"/>
        </w:rPr>
        <w:t xml:space="preserve">in prioritising potential </w:t>
      </w:r>
      <w:r w:rsidR="00300C46">
        <w:rPr>
          <w:lang w:val="en-GB"/>
        </w:rPr>
        <w:t xml:space="preserve">nominals </w:t>
      </w:r>
      <w:r w:rsidR="00446308">
        <w:rPr>
          <w:lang w:val="en-GB"/>
        </w:rPr>
        <w:t>according to the degree of similarity between theirs and the most likely criminal history of the offender</w:t>
      </w:r>
      <w:r w:rsidR="00F56BC8">
        <w:rPr>
          <w:lang w:val="en-GB"/>
        </w:rPr>
        <w:t>,</w:t>
      </w:r>
      <w:r w:rsidR="00446308">
        <w:rPr>
          <w:lang w:val="en-GB"/>
        </w:rPr>
        <w:t xml:space="preserve"> as predicted by the models.</w:t>
      </w:r>
      <w:r w:rsidR="00EC7DF6">
        <w:rPr>
          <w:lang w:val="en-GB"/>
        </w:rPr>
        <w:t xml:space="preserve"> Similarly, </w:t>
      </w:r>
      <w:r w:rsidR="00A35B8E">
        <w:rPr>
          <w:lang w:val="en-GB"/>
        </w:rPr>
        <w:t>the</w:t>
      </w:r>
      <w:r w:rsidR="00A54445">
        <w:rPr>
          <w:lang w:val="en-GB"/>
        </w:rPr>
        <w:t xml:space="preserve"> statistical</w:t>
      </w:r>
      <w:r w:rsidR="00A35B8E">
        <w:rPr>
          <w:lang w:val="en-GB"/>
        </w:rPr>
        <w:t xml:space="preserve"> models proposed here may </w:t>
      </w:r>
      <w:r w:rsidR="003F6DF5">
        <w:rPr>
          <w:lang w:val="en-GB"/>
        </w:rPr>
        <w:t>suggest new lines of enquiry</w:t>
      </w:r>
      <w:r w:rsidR="00A54445">
        <w:rPr>
          <w:lang w:val="en-GB"/>
        </w:rPr>
        <w:t xml:space="preserve"> if, for example, not all predictive </w:t>
      </w:r>
      <w:proofErr w:type="spellStart"/>
      <w:r w:rsidR="006A415D">
        <w:rPr>
          <w:lang w:val="en-GB"/>
        </w:rPr>
        <w:t>behavior</w:t>
      </w:r>
      <w:r w:rsidR="00A54445">
        <w:rPr>
          <w:lang w:val="en-GB"/>
        </w:rPr>
        <w:t>s</w:t>
      </w:r>
      <w:proofErr w:type="spellEnd"/>
      <w:r w:rsidR="00A54445">
        <w:rPr>
          <w:lang w:val="en-GB"/>
        </w:rPr>
        <w:t xml:space="preserve"> included in the models have </w:t>
      </w:r>
      <w:r w:rsidR="00F56BC8">
        <w:rPr>
          <w:lang w:val="en-GB"/>
        </w:rPr>
        <w:t xml:space="preserve">yet </w:t>
      </w:r>
      <w:r w:rsidR="00A54445">
        <w:rPr>
          <w:lang w:val="en-GB"/>
        </w:rPr>
        <w:t>been confirmed as present or absent in a given</w:t>
      </w:r>
      <w:r w:rsidR="003608EA">
        <w:rPr>
          <w:lang w:val="en-GB"/>
        </w:rPr>
        <w:t xml:space="preserve"> investigation. </w:t>
      </w:r>
      <w:r w:rsidR="0070274B">
        <w:rPr>
          <w:lang w:val="en-GB"/>
        </w:rPr>
        <w:t>Overall</w:t>
      </w:r>
      <w:r w:rsidR="00A425C4">
        <w:rPr>
          <w:lang w:val="en-GB"/>
        </w:rPr>
        <w:t xml:space="preserve">, this study may not only contribute </w:t>
      </w:r>
      <w:r w:rsidR="00A425C4">
        <w:rPr>
          <w:lang w:val="en-GB"/>
        </w:rPr>
        <w:lastRenderedPageBreak/>
        <w:t>to improving detection rates of homicide offences</w:t>
      </w:r>
      <w:r w:rsidR="004307FC">
        <w:rPr>
          <w:lang w:val="en-GB"/>
        </w:rPr>
        <w:t xml:space="preserve">, it may also increase the efficiency with which police resources are allocated in homicide investigations, thereby reducing the time and financial efforts associated with apprehending offenders </w:t>
      </w:r>
      <w:r w:rsidR="00D519C3">
        <w:rPr>
          <w:lang w:val="en-GB"/>
        </w:rPr>
        <w:fldChar w:fldCharType="begin" w:fldLock="1"/>
      </w:r>
      <w:r w:rsidR="00427F95">
        <w:rPr>
          <w:lang w:val="en-GB"/>
        </w:rPr>
        <w:instrText>ADDIN CSL_CITATION {"citationItems":[{"id":"ITEM-1","itemData":{"author":[{"dropping-particle":"","family":"Rainbow","given":"Lee","non-dropping-particle":"","parse-names":false,"suffix":""},{"dropping-particle":"","family":"Gregory","given":"Adam","non-dropping-particle":"","parse-names":false,"suffix":""}],"container-title":"The Journal of Homicide and Major Incident Investigation","id":"ITEM-1","issue":"1","issued":{"date-parts":[["2009"]]},"page":"71-82","title":"Behavioural Investigative Advice: A contemporary view","type":"article-journal","volume":"5"},"uris":["http://www.mendeley.com/documents/?uuid=741388eb-fc4a-4a13-b842-aafdf7458d80"]},{"id":"ITEM-2","itemData":{"DOI":"10.1348/135532509X463347","ISBN":"1355-3259","ISSN":"13553259","PMID":"49022337","abstract":"This paper outlines a brief history of the evolutionary trajectory of offender profiling and illustrates the three broad strands (investigative, clinical, and statistical) that emerged in the 1970s-1990s. We then indicate how a more pragmatic, interdisciplinary practitioner-academic model has emerged in recent years and go on to describe the range of contributions that are now made across the criminal justice field. More recently termed 'behavioural investigative advice' in the UK, the paper then argues that whilst a range of potential contributions exist (from linking crimes, risk assessment, provision of bad character evidence, investigative interviewing advice, to geoprofiling), the nature of the process by which that contribution occurs is not yet well understood. The review of these potential contributions concludes with several suggestions and recommendations for further research and relevant methodologies by which to conduct that research. This includes the requirement to combine conceptual and theory-driven models alongside empirically driven statistical approaches, as well as the requirement to more precisely delineate and describe how contributions are made by behavioural experts through cognitive task analyses and associated methods. (PsycINFO Database Record (c) 2010 APA, all rights reserved) (journal abstract)","author":[{"dropping-particle":"","family":"Alison","given":"Laurence J.","non-dropping-particle":"","parse-names":false,"suffix":""},{"dropping-particle":"","family":"Goodwill","given":"Alasdair","non-dropping-particle":"","parse-names":false,"suffix":""},{"dropping-particle":"","family":"Almond","given":"Louise","non-dropping-particle":"","parse-names":false,"suffix":""},{"dropping-particle":"","family":"Heuvel","given":"Claudia","non-dropping-particle":"","parse-names":false,"suffix":""},{"dropping-particle":"","family":"Winter","given":"Jan","non-dropping-particle":"","parse-names":false,"suffix":""}],"container-title":"Legal and Criminological Psychology","id":"ITEM-2","issue":"1","issued":{"date-parts":[["2010"]]},"page":"115-132","title":"Pragmatic solutions to offender profiling and behavioural investigative advice","type":"article-journal","volume":"15"},"uris":["http://www.mendeley.com/documents/?uuid=9ae7ced6-a2c6-44d0-84e6-7fca54dfe9c8"]}],"mendeley":{"formattedCitation":"(Alison et al., 2010; Rainbow &amp; Gregory, 2009)","plainTextFormattedCitation":"(Alison et al., 2010; Rainbow &amp; Gregory, 2009)","previouslyFormattedCitation":"(Alison et al., 2010; Rainbow &amp; Gregory, 2009)"},"properties":{"noteIndex":0},"schema":"https://github.com/citation-style-language/schema/raw/master/csl-citation.json"}</w:instrText>
      </w:r>
      <w:r w:rsidR="00D519C3">
        <w:rPr>
          <w:lang w:val="en-GB"/>
        </w:rPr>
        <w:fldChar w:fldCharType="separate"/>
      </w:r>
      <w:r w:rsidR="00A34468" w:rsidRPr="00A34468">
        <w:rPr>
          <w:noProof/>
          <w:lang w:val="en-GB"/>
        </w:rPr>
        <w:t>(Alison et al., 2010; Rainbow &amp; Gregory, 2009)</w:t>
      </w:r>
      <w:r w:rsidR="00D519C3">
        <w:rPr>
          <w:lang w:val="en-GB"/>
        </w:rPr>
        <w:fldChar w:fldCharType="end"/>
      </w:r>
      <w:r w:rsidR="004307FC">
        <w:rPr>
          <w:lang w:val="en-GB"/>
        </w:rPr>
        <w:t>.</w:t>
      </w:r>
      <w:r w:rsidR="00A34468">
        <w:rPr>
          <w:lang w:val="en-GB"/>
        </w:rPr>
        <w:t xml:space="preserve"> </w:t>
      </w:r>
      <w:r w:rsidR="007F7599">
        <w:rPr>
          <w:lang w:val="en-GB"/>
        </w:rPr>
        <w:t>Most importantly, the present findings are therefore directly relevant to the work of BIAs</w:t>
      </w:r>
      <w:r w:rsidR="00F41FFB">
        <w:rPr>
          <w:lang w:val="en-GB"/>
        </w:rPr>
        <w:t xml:space="preserve"> by</w:t>
      </w:r>
      <w:r w:rsidR="00A34468">
        <w:rPr>
          <w:lang w:val="en-GB"/>
        </w:rPr>
        <w:t xml:space="preserve"> </w:t>
      </w:r>
      <w:r w:rsidR="003B1C69">
        <w:rPr>
          <w:lang w:val="en-GB"/>
        </w:rPr>
        <w:t>providing</w:t>
      </w:r>
      <w:r w:rsidR="00A34468">
        <w:rPr>
          <w:lang w:val="en-GB"/>
        </w:rPr>
        <w:t xml:space="preserve"> an evidence base on which they are required to base their investigative claims and inferences on </w:t>
      </w:r>
      <w:r w:rsidR="00D519C3">
        <w:rPr>
          <w:lang w:val="en-GB"/>
        </w:rPr>
        <w:fldChar w:fldCharType="begin" w:fldLock="1"/>
      </w:r>
      <w:r w:rsidR="00EA7901">
        <w:rPr>
          <w:lang w:val="en-GB"/>
        </w:rPr>
        <w:instrText>ADDIN CSL_CITATION {"citationItems":[{"id":"ITEM-1","itemData":{"DOI":"10.1080/1068316031000116265","ISBN":"1068-316X","ISSN":"1068316X","abstract":"This study sought to identify the extent to which claims about the probable characteristics of offenders in ‘offender profiles’ were based on substantive arguments. Because Toulmin’s (1958) philosophy of argument has been demonstrated as a useful way of breaking down arguments into their constituent parts (Burleson, 1979) we examined the extent to which profiles contained grounds, warrants, backing and rebuttals to support or refute various claims about offenders. Twenty-one profiles, representing a range of ‘profiling styles’, were obtained from a variety of sources. All of these had been used in major criminal investigations either in the UK or internationally. Of the nearly 4,000 claims made, nearly 80% were unsubstantiated. That is, they contained no grounds, warrant, backing or rebuttal. Moreover, less than 31% of the claims were falsifiable. We argue that (a) this demonstrates the need for a careful, systematic evaluation of profiling advice (b) Toulmin’s structure is one useful method for evaluating such material and for providing a possible framework for such advice.","author":[{"dropping-particle":"","family":"Alison","given":"Laurence J.","non-dropping-particle":"","parse-names":false,"suffix":""},{"dropping-particle":"","family":"Smith","given":"Matthew D.","non-dropping-particle":"","parse-names":false,"suffix":""},{"dropping-particle":"","family":"Eastman","given":"Oliver","non-dropping-particle":"","parse-names":false,"suffix":""},{"dropping-particle":"","family":"Rainbow","given":"Lee","non-dropping-particle":"","parse-names":false,"suffix":""}],"container-title":"Psychology, Crime and Law","id":"ITEM-1","issue":"2","issued":{"date-parts":[["2003"]]},"page":"173-183","title":"Toulmin's philosophy of argument and its relevance to offender profiling","type":"article-journal","volume":"9"},"uris":["http://www.mendeley.com/documents/?uuid=be7b2218-083d-43c9-b970-ef95f207288d"]},{"id":"ITEM-2","itemData":{"DOI":"10.1002/jip.59","ISBN":"9780203809051","ISSN":"15444759","abstract":"This study examined the content of a contemporary sample of behavioural investigative advice reports produced by the National Policing Improvements Agency (NPIA), formally known as the National Centre for Policing Excellence, and compared this sample with previous offender-profiling samples reported by Alison, Smith, Eastman, and Rainbow in 2003. Forty-seven reports written in 2005 were content analysed. The reports contained 805 claims, although 96% of the claims contained grounds for their claim, only 34% had any formal support or backing. In terms of confirmability, 70% of the claims were verifiable. However, only 43% were falsifiable, in that they could be objectively measured post-conviction. Analysis also showed that there were differences when comparing the different types of claims made (i.e. behavioural, temporal) and the different types of reports compiled by the NPIA (i.e. behavioural assessment report, linking report, etc.) Comparisons show that there is a very large positive difference between the contemporary behavioural investigative advice sample and previous non-NPIA expert advice in terms of the substantiveness of their arguments. Contemporary NPIA behavioural investigative advice has clearer boundaries around the claims made and presents material in a more coherent and evidence-based format than previous expert advice. (PsycINFO Database Record (c) 2009 APA, all rights reserved) (from the journal abstract)","author":[{"dropping-particle":"","family":"Almond","given":"Louise","non-dropping-particle":"","parse-names":false,"suffix":""},{"dropping-particle":"","family":"Alison","given":"Laurence","non-dropping-particle":"","parse-names":false,"suffix":""},{"dropping-particle":"","family":"Porter","given":"Louise","non-dropping-particle":"","parse-names":false,"suffix":""}],"container-title":"Journal of Investigative Psychology and Offender Profiling","id":"ITEM-2","issue":"2","issued":{"date-parts":[["2007","6","22"]]},"page":"71-83","publisher":"Routledge","title":"An evaluation and comparison of claims made in behavioural investigative advice reports compiled by the National Policing Improvements Agency in the United Kingdom","type":"article-journal","volume":"4"},"uris":["http://www.mendeley.com/documents/?uuid=50c6b743-8ed5-4af5-9641-a92430256fc4"]}],"mendeley":{"formattedCitation":"(Alison et al., 2003; Almond et al., 2007)","plainTextFormattedCitation":"(Alison et al., 2003; Almond et al., 2007)","previouslyFormattedCitation":"(Alison et al., 2003; Almond et al., 2007)"},"properties":{"noteIndex":0},"schema":"https://github.com/citation-style-language/schema/raw/master/csl-citation.json"}</w:instrText>
      </w:r>
      <w:r w:rsidR="00D519C3">
        <w:rPr>
          <w:lang w:val="en-GB"/>
        </w:rPr>
        <w:fldChar w:fldCharType="separate"/>
      </w:r>
      <w:r w:rsidR="00EA7901" w:rsidRPr="00EA7901">
        <w:rPr>
          <w:noProof/>
          <w:lang w:val="en-GB"/>
        </w:rPr>
        <w:t>(Alison et al., 2003; Almond et al., 2007)</w:t>
      </w:r>
      <w:r w:rsidR="00D519C3">
        <w:rPr>
          <w:lang w:val="en-GB"/>
        </w:rPr>
        <w:fldChar w:fldCharType="end"/>
      </w:r>
      <w:r w:rsidR="00A34468">
        <w:rPr>
          <w:lang w:val="en-GB"/>
        </w:rPr>
        <w:t>.</w:t>
      </w:r>
      <w:r w:rsidR="00BE2A93">
        <w:rPr>
          <w:lang w:val="en-GB"/>
        </w:rPr>
        <w:t xml:space="preserve"> The practical utility of the results obtained herein is, however, </w:t>
      </w:r>
      <w:r w:rsidR="003B1C69">
        <w:rPr>
          <w:lang w:val="en-GB"/>
        </w:rPr>
        <w:t>qualified</w:t>
      </w:r>
      <w:r w:rsidR="00BE2A93">
        <w:rPr>
          <w:lang w:val="en-GB"/>
        </w:rPr>
        <w:t xml:space="preserve"> by a variety of limitations.</w:t>
      </w:r>
    </w:p>
    <w:p w:rsidR="00864AF8" w:rsidRDefault="001C5B13" w:rsidP="00CB2434">
      <w:pPr>
        <w:pStyle w:val="Heading2"/>
        <w:jc w:val="both"/>
        <w:rPr>
          <w:lang w:val="en-GB"/>
        </w:rPr>
      </w:pPr>
      <w:r>
        <w:rPr>
          <w:lang w:val="en-GB"/>
        </w:rPr>
        <w:t xml:space="preserve"> </w:t>
      </w:r>
      <w:bookmarkStart w:id="23" w:name="_Toc523226032"/>
      <w:r w:rsidR="00D64628">
        <w:rPr>
          <w:lang w:val="en-GB"/>
        </w:rPr>
        <w:t>Limitations</w:t>
      </w:r>
      <w:bookmarkEnd w:id="23"/>
    </w:p>
    <w:p w:rsidR="00961F83" w:rsidRDefault="000F22D0" w:rsidP="00CB2434">
      <w:pPr>
        <w:pStyle w:val="TextkrperMA"/>
        <w:rPr>
          <w:lang w:val="en-GB"/>
        </w:rPr>
      </w:pPr>
      <w:r>
        <w:rPr>
          <w:lang w:val="en-GB"/>
        </w:rPr>
        <w:t xml:space="preserve">First, </w:t>
      </w:r>
      <w:r w:rsidR="00833322">
        <w:rPr>
          <w:lang w:val="en-GB"/>
        </w:rPr>
        <w:t xml:space="preserve">some statistical issues should be noted </w:t>
      </w:r>
      <w:r w:rsidR="00351AEB">
        <w:rPr>
          <w:lang w:val="en-GB"/>
        </w:rPr>
        <w:t>regarding</w:t>
      </w:r>
      <w:r w:rsidR="00833322">
        <w:rPr>
          <w:lang w:val="en-GB"/>
        </w:rPr>
        <w:t xml:space="preserve"> the results in this study. </w:t>
      </w:r>
      <w:r w:rsidR="002819A0">
        <w:rPr>
          <w:lang w:val="en-GB"/>
        </w:rPr>
        <w:t xml:space="preserve">To identify, which crime scene </w:t>
      </w:r>
      <w:proofErr w:type="spellStart"/>
      <w:r w:rsidR="006A415D">
        <w:rPr>
          <w:lang w:val="en-GB"/>
        </w:rPr>
        <w:t>behavior</w:t>
      </w:r>
      <w:r w:rsidR="002819A0">
        <w:rPr>
          <w:lang w:val="en-GB"/>
        </w:rPr>
        <w:t>s</w:t>
      </w:r>
      <w:proofErr w:type="spellEnd"/>
      <w:r w:rsidR="002819A0">
        <w:rPr>
          <w:lang w:val="en-GB"/>
        </w:rPr>
        <w:t xml:space="preserve"> were significantly related to which offender pre</w:t>
      </w:r>
      <w:r w:rsidR="002819A0">
        <w:rPr>
          <w:lang w:val="en-GB"/>
        </w:rPr>
        <w:noBreakHyphen/>
        <w:t xml:space="preserve">convictions, this study utilised </w:t>
      </w:r>
      <w:r w:rsidR="002819A0" w:rsidRPr="003E3970">
        <w:rPr>
          <w:lang w:val="en-GB"/>
        </w:rPr>
        <w:t>multiple</w:t>
      </w:r>
      <w:r w:rsidR="002819A0">
        <w:rPr>
          <w:lang w:val="en-GB"/>
        </w:rPr>
        <w:t xml:space="preserve"> chi-squared </w:t>
      </w:r>
      <w:r w:rsidR="00A04836">
        <w:rPr>
          <w:lang w:val="en-GB"/>
        </w:rPr>
        <w:t>tests</w:t>
      </w:r>
      <w:r w:rsidR="002819A0">
        <w:rPr>
          <w:lang w:val="en-GB"/>
        </w:rPr>
        <w:t xml:space="preserve">, but only </w:t>
      </w:r>
      <w:r w:rsidR="002819A0" w:rsidRPr="002B1BEC">
        <w:rPr>
          <w:i/>
          <w:lang w:val="en-GB"/>
        </w:rPr>
        <w:t>one</w:t>
      </w:r>
      <w:r w:rsidR="002819A0">
        <w:rPr>
          <w:lang w:val="en-GB"/>
        </w:rPr>
        <w:t xml:space="preserve"> of the identified relationships</w:t>
      </w:r>
      <w:r w:rsidR="005A45D8">
        <w:rPr>
          <w:lang w:val="en-GB"/>
        </w:rPr>
        <w:t xml:space="preserve"> (</w:t>
      </w:r>
      <w:r w:rsidR="005A45D8" w:rsidRPr="005A45D8">
        <w:rPr>
          <w:i/>
          <w:lang w:val="en-GB"/>
        </w:rPr>
        <w:t>burglary element</w:t>
      </w:r>
      <w:r w:rsidR="005A45D8">
        <w:rPr>
          <w:lang w:val="en-GB"/>
        </w:rPr>
        <w:t xml:space="preserve"> with prior </w:t>
      </w:r>
      <w:r w:rsidR="005A45D8" w:rsidRPr="005A45D8">
        <w:rPr>
          <w:i/>
          <w:lang w:val="en-GB"/>
        </w:rPr>
        <w:t>burglary</w:t>
      </w:r>
      <w:r w:rsidR="005A45D8">
        <w:rPr>
          <w:lang w:val="en-GB"/>
        </w:rPr>
        <w:t xml:space="preserve"> conviction)</w:t>
      </w:r>
      <w:r w:rsidR="002819A0">
        <w:rPr>
          <w:lang w:val="en-GB"/>
        </w:rPr>
        <w:t xml:space="preserve"> remained significant after applying Bonferroni-Holm corrections. </w:t>
      </w:r>
      <w:r w:rsidR="002B1BEC">
        <w:rPr>
          <w:lang w:val="en-GB"/>
        </w:rPr>
        <w:t xml:space="preserve">As the probability of obtaining false positive results is inflated when large numbers of tests are performed on the same sample </w:t>
      </w:r>
      <w:r w:rsidR="00D519C3">
        <w:rPr>
          <w:lang w:val="en-GB"/>
        </w:rPr>
        <w:fldChar w:fldCharType="begin" w:fldLock="1"/>
      </w:r>
      <w:r w:rsidR="00A341D5">
        <w:rPr>
          <w:lang w:val="en-GB"/>
        </w:rPr>
        <w:instrText>ADDIN CSL_CITATION {"citationItems":[{"id":"ITEM-1","itemData":{"DOI":"10.1002/per.1919","ISBN":"1099-0984","ISSN":"08902070","PMID":"25246403","abstract":"Abstract: Replicability of findings is at the heart of any empirical science. The aim of this article is to move the current replicability debate in psychology towards concrete recommendations for improvement. We focus on research practices but also offer guidelines for reviewers, editors, journal management, teachers, granting institutions, and university promotion committees, highlighting some of the emerging and existing practical solutions that can facilitate implementation of these recommendations. The challenges for improving replicability in psychological science are systemic. Improvement can occur only if changes are made at many levels of practice, evaluation, and reward","author":[{"dropping-particle":"","family":"Asendorpf","given":"Jens B.","non-dropping-particle":"","parse-names":false,"suffix":""},{"dropping-particle":"","family":"Conner","given":"Mark","non-dropping-particle":"","parse-names":false,"suffix":""},{"dropping-particle":"","family":"Fruyt","given":"Filip","non-dropping-particle":"De","parse-names":false,"suffix":""},{"dropping-particle":"","family":"Houwer","given":"Jan","non-dropping-particle":"De","parse-names":false,"suffix":""},{"dropping-particle":"","family":"Denissen","given":"Jaap J. A.","non-dropping-particle":"","parse-names":false,"suffix":""},{"dropping-particle":"","family":"Fiedler","given":"Klaus","non-dropping-particle":"","parse-names":false,"suffix":""},{"dropping-particle":"","family":"Fiedler","given":"Susann","non-dropping-particle":"","parse-names":false,"suffix":""},{"dropping-particle":"","family":"Funder","given":"David C.","non-dropping-particle":"","parse-names":false,"suffix":""},{"dropping-particle":"","family":"Kliegl","given":"Reinhold","non-dropping-particle":"","parse-names":false,"suffix":""},{"dropping-particle":"","family":"Nosek","given":"Brian A.","non-dropping-particle":"","parse-names":false,"suffix":""},{"dropping-particle":"","family":"Perugini","given":"Marco","non-dropping-particle":"","parse-names":false,"suffix":""},{"dropping-particle":"","family":"Roberts","given":"Brent W.","non-dropping-particle":"","parse-names":false,"suffix":""},{"dropping-particle":"","family":"Schmitt","given":"Manfred","non-dropping-particle":"","parse-names":false,"suffix":""},{"dropping-particle":"","family":"Aken","given":"Marcel A. G.","non-dropping-particle":"van","parse-names":false,"suffix":""},{"dropping-particle":"","family":"Weber","given":"Hannelore","non-dropping-particle":"","parse-names":false,"suffix":""},{"dropping-particle":"","family":"Wicherts","given":"Jelte M.","non-dropping-particle":"","parse-names":false,"suffix":""}],"container-title":"European Journal of Personality","id":"ITEM-1","issue":"2","issued":{"date-parts":[["2013","3"]]},"page":"108-119","title":"Recommendations for Increasing Replicability in Psychology","type":"article-journal","volume":"27"},"uris":["http://www.mendeley.com/documents/?uuid=bea080d8-1123-4586-9de5-d4d36c74642b"]}],"mendeley":{"formattedCitation":"(Asendorpf et al., 2013)","plainTextFormattedCitation":"(Asendorpf et al., 2013)","previouslyFormattedCitation":"(Asendorpf et al., 2013)"},"properties":{"noteIndex":0},"schema":"https://github.com/citation-style-language/schema/raw/master/csl-citation.json"}</w:instrText>
      </w:r>
      <w:r w:rsidR="00D519C3">
        <w:rPr>
          <w:lang w:val="en-GB"/>
        </w:rPr>
        <w:fldChar w:fldCharType="separate"/>
      </w:r>
      <w:r w:rsidR="007930A7" w:rsidRPr="007930A7">
        <w:rPr>
          <w:noProof/>
          <w:lang w:val="en-GB"/>
        </w:rPr>
        <w:t>(Asendorpf et al., 2013)</w:t>
      </w:r>
      <w:r w:rsidR="00D519C3">
        <w:rPr>
          <w:lang w:val="en-GB"/>
        </w:rPr>
        <w:fldChar w:fldCharType="end"/>
      </w:r>
      <w:r w:rsidR="002B1BEC">
        <w:rPr>
          <w:lang w:val="en-GB"/>
        </w:rPr>
        <w:t>, it may</w:t>
      </w:r>
      <w:r w:rsidR="00F11269">
        <w:rPr>
          <w:lang w:val="en-GB"/>
        </w:rPr>
        <w:t>,</w:t>
      </w:r>
      <w:r w:rsidR="002B1BEC">
        <w:rPr>
          <w:lang w:val="en-GB"/>
        </w:rPr>
        <w:t xml:space="preserve"> therefore</w:t>
      </w:r>
      <w:r w:rsidR="00F11269">
        <w:rPr>
          <w:lang w:val="en-GB"/>
        </w:rPr>
        <w:t>,</w:t>
      </w:r>
      <w:r w:rsidR="002B1BEC">
        <w:rPr>
          <w:lang w:val="en-GB"/>
        </w:rPr>
        <w:t xml:space="preserve"> be th</w:t>
      </w:r>
      <w:r w:rsidR="000F724A">
        <w:rPr>
          <w:lang w:val="en-GB"/>
        </w:rPr>
        <w:t xml:space="preserve">at this study has identified some variables as linked, when in fact, they </w:t>
      </w:r>
      <w:r w:rsidR="00A04836">
        <w:rPr>
          <w:lang w:val="en-GB"/>
        </w:rPr>
        <w:t>are</w:t>
      </w:r>
      <w:r w:rsidR="000F724A">
        <w:rPr>
          <w:lang w:val="en-GB"/>
        </w:rPr>
        <w:t xml:space="preserve"> not. </w:t>
      </w:r>
      <w:r w:rsidR="003E3970">
        <w:rPr>
          <w:lang w:val="en-GB"/>
        </w:rPr>
        <w:t>Furthermore, while the sample in this study can be considered large</w:t>
      </w:r>
      <w:r w:rsidR="00B331C9">
        <w:rPr>
          <w:lang w:val="en-GB"/>
        </w:rPr>
        <w:t xml:space="preserve"> </w:t>
      </w:r>
      <w:r w:rsidR="00B331C9" w:rsidRPr="00B331C9">
        <w:rPr>
          <w:lang w:val="en-GB"/>
        </w:rPr>
        <w:t>(</w:t>
      </w:r>
      <w:r w:rsidR="00B331C9" w:rsidRPr="00B331C9">
        <w:rPr>
          <w:i/>
          <w:lang w:val="en-GB"/>
        </w:rPr>
        <w:t>N</w:t>
      </w:r>
      <w:r w:rsidR="00B331C9" w:rsidRPr="00B331C9">
        <w:rPr>
          <w:lang w:val="en-GB"/>
        </w:rPr>
        <w:t> = 213)</w:t>
      </w:r>
      <w:r w:rsidR="003E3970">
        <w:rPr>
          <w:lang w:val="en-GB"/>
        </w:rPr>
        <w:t xml:space="preserve"> </w:t>
      </w:r>
      <w:r w:rsidR="00B331C9">
        <w:rPr>
          <w:lang w:val="en-GB"/>
        </w:rPr>
        <w:t xml:space="preserve">regarding the </w:t>
      </w:r>
      <w:r w:rsidR="00DB3794">
        <w:rPr>
          <w:lang w:val="en-GB"/>
        </w:rPr>
        <w:t>context of hard</w:t>
      </w:r>
      <w:r w:rsidR="00DB3794">
        <w:rPr>
          <w:lang w:val="en-GB"/>
        </w:rPr>
        <w:noBreakHyphen/>
        <w:t>to</w:t>
      </w:r>
      <w:r w:rsidR="00DB3794">
        <w:rPr>
          <w:lang w:val="en-GB"/>
        </w:rPr>
        <w:noBreakHyphen/>
        <w:t>solve homicide</w:t>
      </w:r>
      <w:r w:rsidR="003E3970">
        <w:rPr>
          <w:lang w:val="en-GB"/>
        </w:rPr>
        <w:t xml:space="preserve">, the </w:t>
      </w:r>
      <w:r w:rsidR="00B331C9">
        <w:rPr>
          <w:lang w:val="en-GB"/>
        </w:rPr>
        <w:t xml:space="preserve">sample size was relatively small </w:t>
      </w:r>
      <w:r w:rsidR="009C2D35">
        <w:rPr>
          <w:lang w:val="en-GB"/>
        </w:rPr>
        <w:t xml:space="preserve">in comparison to other studies that </w:t>
      </w:r>
      <w:r w:rsidR="007B525C">
        <w:rPr>
          <w:lang w:val="en-GB"/>
        </w:rPr>
        <w:t>rely on</w:t>
      </w:r>
      <w:r w:rsidR="009C2D35">
        <w:rPr>
          <w:lang w:val="en-GB"/>
        </w:rPr>
        <w:t xml:space="preserve"> logistic regression models</w:t>
      </w:r>
      <w:r w:rsidR="007B525C">
        <w:rPr>
          <w:lang w:val="en-GB"/>
        </w:rPr>
        <w:t xml:space="preserve"> </w:t>
      </w:r>
      <w:r w:rsidR="00D519C3">
        <w:rPr>
          <w:lang w:val="en-GB"/>
        </w:rPr>
        <w:fldChar w:fldCharType="begin" w:fldLock="1"/>
      </w:r>
      <w:r w:rsidR="002D344C">
        <w:rPr>
          <w:lang w:val="en-GB"/>
        </w:rPr>
        <w:instrText>ADDIN CSL_CITATION {"citationItems":[{"id":"ITEM-1","itemData":{"DOI":"10.1111/1467-9884.00173","ISSN":"0039-0526","author":[{"dropping-particle":"","family":"Cramer","given":"J. S.","non-dropping-particle":"","parse-names":false,"suffix":""}],"container-title":"Journal of the Royal Statistical Society: Series D (The Statistician)","id":"ITEM-1","issue":"1","issued":{"date-parts":[["1999","3"]]},"page":"85-94","title":"Predictive Performance of the Binary Logit Model in Unbalanced Samples","type":"article-journal","volume":"48"},"uris":["http://www.mendeley.com/documents/?uuid=87d59c56-84eb-4ed8-9052-9a7a4c5a898b"]}],"mendeley":{"formattedCitation":"(Cramer, 1999)","plainTextFormattedCitation":"(Cramer, 1999)","previouslyFormattedCitation":"(Cramer, 1999)"},"properties":{"noteIndex":0},"schema":"https://github.com/citation-style-language/schema/raw/master/csl-citation.json"}</w:instrText>
      </w:r>
      <w:r w:rsidR="00D519C3">
        <w:rPr>
          <w:lang w:val="en-GB"/>
        </w:rPr>
        <w:fldChar w:fldCharType="separate"/>
      </w:r>
      <w:r w:rsidR="00A341D5" w:rsidRPr="00A341D5">
        <w:rPr>
          <w:noProof/>
          <w:lang w:val="en-GB"/>
        </w:rPr>
        <w:t>(Cramer, 1999)</w:t>
      </w:r>
      <w:r w:rsidR="00D519C3">
        <w:rPr>
          <w:lang w:val="en-GB"/>
        </w:rPr>
        <w:fldChar w:fldCharType="end"/>
      </w:r>
      <w:r w:rsidR="002D344C">
        <w:rPr>
          <w:lang w:val="en-GB"/>
        </w:rPr>
        <w:t xml:space="preserve">, resulting in the parameter estimations of the present models being less stable and potentially susceptible to biases </w:t>
      </w:r>
      <w:r w:rsidR="00D519C3">
        <w:rPr>
          <w:lang w:val="en-GB"/>
        </w:rPr>
        <w:fldChar w:fldCharType="begin" w:fldLock="1"/>
      </w:r>
      <w:r w:rsidR="00BA6BE7">
        <w:rPr>
          <w:lang w:val="en-GB"/>
        </w:rPr>
        <w:instrText>ADDIN CSL_CITATION {"citationItems":[{"id":"ITEM-1","itemData":{"DOI":"10.1186/1471-2288-9-56","ISBN":"1471-2288 (Electronic)\\r1471-2288 (Linking)","ISSN":"14712288","PMID":"19635144","abstract":"BACKGROUND: In epidemiological studies researchers use logistic regression as an analytical tool to study the association of a binary outcome to a set of possible exposures. METHODS: Using a simulation study we illustrate how the analytically derived bias of odds ratios modelling in logistic regression varies as a function of the sample size. RESULTS: Logistic regression overestimates odds ratios in studies with small to moderate samples size. The small sample size induced bias is a systematic one, bias away from null. Regression coefficient estimates shifts away from zero, odds ratios from one. CONCLUSION: If several small studies are pooled without consideration of the bias introduced by the inherent mathematical properties of the logistic regression model, researchers may be mislead to erroneous interpretation of the results.","author":[{"dropping-particle":"","family":"Nemes","given":"Szilard","non-dropping-particle":"","parse-names":false,"suffix":""},{"dropping-particle":"","family":"Jonasson","given":"Junmei Miao","non-dropping-particle":"","parse-names":false,"suffix":""},{"dropping-particle":"","family":"Genell","given":"Anna","non-dropping-particle":"","parse-names":false,"suffix":""},{"dropping-particle":"","family":"Steineck","given":"Gunnar","non-dropping-particle":"","parse-names":false,"suffix":""}],"container-title":"BMC Medical Research Methodology","id":"ITEM-1","issue":"1","issued":{"date-parts":[["2009"]]},"page":"1-5","title":"Bias in odds ratios by logistic regression modelling and sample size","type":"article-journal","volume":"9"},"uris":["http://www.mendeley.com/documents/?uuid=e0997f39-1f31-4b30-855c-e8e34e9b755f"]},{"id":"ITEM-2","itemData":{"author":[{"dropping-particle":"","family":"Field","given":"A P","non-dropping-particle":"","parse-names":false,"suffix":""}],"edition":"4","id":"ITEM-2","issued":{"date-parts":[["2013"]]},"publisher":"Sage","publisher-place":"London","title":"Discovering Statistics Using IBM SPSS Statistics","type":"book"},"uris":["http://www.mendeley.com/documents/?uuid=9ba66154-9710-4c46-8645-3a3c3c04bd3e"]}],"mendeley":{"formattedCitation":"(Field, 2013; Nemes, Jonasson, Genell, &amp; Steineck, 2009)","plainTextFormattedCitation":"(Field, 2013; Nemes, Jonasson, Genell, &amp; Steineck, 2009)","previouslyFormattedCitation":"(Field, 2013; Nemes, Jonasson, Genell, &amp; Steineck, 2009)"},"properties":{"noteIndex":0},"schema":"https://github.com/citation-style-language/schema/raw/master/csl-citation.json"}</w:instrText>
      </w:r>
      <w:r w:rsidR="00D519C3">
        <w:rPr>
          <w:lang w:val="en-GB"/>
        </w:rPr>
        <w:fldChar w:fldCharType="separate"/>
      </w:r>
      <w:r w:rsidR="002D344C" w:rsidRPr="002D344C">
        <w:rPr>
          <w:noProof/>
          <w:lang w:val="en-GB"/>
        </w:rPr>
        <w:t>(Field, 2013; Nemes, Jonasson, Genell, &amp; Steineck, 2009)</w:t>
      </w:r>
      <w:r w:rsidR="00D519C3">
        <w:rPr>
          <w:lang w:val="en-GB"/>
        </w:rPr>
        <w:fldChar w:fldCharType="end"/>
      </w:r>
      <w:r w:rsidR="002D344C">
        <w:rPr>
          <w:lang w:val="en-GB"/>
        </w:rPr>
        <w:t>.</w:t>
      </w:r>
    </w:p>
    <w:p w:rsidR="003D0FCE" w:rsidRDefault="002D344C" w:rsidP="00CB2434">
      <w:pPr>
        <w:pStyle w:val="TextkrperMA"/>
        <w:rPr>
          <w:lang w:val="en-GB"/>
        </w:rPr>
      </w:pPr>
      <w:r>
        <w:rPr>
          <w:lang w:val="en-GB"/>
        </w:rPr>
        <w:t xml:space="preserve">Second, measures of predictive accuracy indicated that the complex </w:t>
      </w:r>
      <w:r w:rsidR="00F05E05">
        <w:rPr>
          <w:lang w:val="en-GB"/>
        </w:rPr>
        <w:t>logistic regression</w:t>
      </w:r>
      <w:r>
        <w:rPr>
          <w:lang w:val="en-GB"/>
        </w:rPr>
        <w:t xml:space="preserve"> models utilised in this study</w:t>
      </w:r>
      <w:r w:rsidR="00EF5251">
        <w:rPr>
          <w:lang w:val="en-GB"/>
        </w:rPr>
        <w:t xml:space="preserve"> had an overall poor to medium performance, making them </w:t>
      </w:r>
      <w:r w:rsidR="000756A4">
        <w:rPr>
          <w:lang w:val="en-GB"/>
        </w:rPr>
        <w:t xml:space="preserve">only slightly better than a guess based </w:t>
      </w:r>
      <w:r w:rsidR="00EF5251">
        <w:rPr>
          <w:lang w:val="en-GB"/>
        </w:rPr>
        <w:t xml:space="preserve">solely </w:t>
      </w:r>
      <w:r w:rsidR="000756A4">
        <w:rPr>
          <w:lang w:val="en-GB"/>
        </w:rPr>
        <w:t xml:space="preserve">on </w:t>
      </w:r>
      <w:r w:rsidR="00F05E05">
        <w:rPr>
          <w:lang w:val="en-GB"/>
        </w:rPr>
        <w:t>pre</w:t>
      </w:r>
      <w:r w:rsidR="00F05E05">
        <w:rPr>
          <w:lang w:val="en-GB"/>
        </w:rPr>
        <w:noBreakHyphen/>
        <w:t xml:space="preserve">conviction </w:t>
      </w:r>
      <w:r w:rsidR="00F05E05">
        <w:rPr>
          <w:lang w:val="en-GB"/>
        </w:rPr>
        <w:lastRenderedPageBreak/>
        <w:t xml:space="preserve">frequencies </w:t>
      </w:r>
      <w:r w:rsidR="000756A4">
        <w:rPr>
          <w:lang w:val="en-GB"/>
        </w:rPr>
        <w:t>in this sample.</w:t>
      </w:r>
      <w:r w:rsidR="00F05E05">
        <w:rPr>
          <w:lang w:val="en-GB"/>
        </w:rPr>
        <w:t xml:space="preserve"> While this highlights the value of simple base rate information for offender profiling efforts, </w:t>
      </w:r>
      <w:r w:rsidR="004600B2">
        <w:rPr>
          <w:lang w:val="en-GB"/>
        </w:rPr>
        <w:t xml:space="preserve">the models provided herein may still be useful in </w:t>
      </w:r>
      <w:r w:rsidR="00C70CB0">
        <w:rPr>
          <w:lang w:val="en-GB"/>
        </w:rPr>
        <w:t xml:space="preserve">rare </w:t>
      </w:r>
      <w:r w:rsidR="004600B2">
        <w:rPr>
          <w:lang w:val="en-GB"/>
        </w:rPr>
        <w:t xml:space="preserve">cases, in which crime scene </w:t>
      </w:r>
      <w:proofErr w:type="spellStart"/>
      <w:r w:rsidR="006A415D">
        <w:rPr>
          <w:lang w:val="en-GB"/>
        </w:rPr>
        <w:t>behavior</w:t>
      </w:r>
      <w:r w:rsidR="004600B2">
        <w:rPr>
          <w:lang w:val="en-GB"/>
        </w:rPr>
        <w:t>s</w:t>
      </w:r>
      <w:proofErr w:type="spellEnd"/>
      <w:r w:rsidR="004600B2">
        <w:rPr>
          <w:lang w:val="en-GB"/>
        </w:rPr>
        <w:t xml:space="preserve"> indicate a divergence from the base rate norm (e.g. probability of </w:t>
      </w:r>
      <w:r w:rsidR="004600B2" w:rsidRPr="004600B2">
        <w:rPr>
          <w:i/>
          <w:lang w:val="en-GB"/>
        </w:rPr>
        <w:t>theft</w:t>
      </w:r>
      <w:r w:rsidR="004600B2">
        <w:rPr>
          <w:lang w:val="en-GB"/>
        </w:rPr>
        <w:t xml:space="preserve"> pre</w:t>
      </w:r>
      <w:r w:rsidR="004600B2">
        <w:rPr>
          <w:lang w:val="en-GB"/>
        </w:rPr>
        <w:noBreakHyphen/>
        <w:t xml:space="preserve">conviction &gt; 50% if no </w:t>
      </w:r>
      <w:r w:rsidR="004600B2" w:rsidRPr="004600B2">
        <w:rPr>
          <w:i/>
          <w:lang w:val="en-GB"/>
        </w:rPr>
        <w:t>vaginal penetration</w:t>
      </w:r>
      <w:r w:rsidR="004600B2">
        <w:rPr>
          <w:lang w:val="en-GB"/>
        </w:rPr>
        <w:t xml:space="preserve"> and no </w:t>
      </w:r>
      <w:r w:rsidR="004600B2" w:rsidRPr="004600B2">
        <w:rPr>
          <w:i/>
          <w:lang w:val="en-GB"/>
        </w:rPr>
        <w:t>weapon brought</w:t>
      </w:r>
      <w:r w:rsidR="00CC2182" w:rsidRPr="00CC2182">
        <w:rPr>
          <w:lang w:val="en-GB"/>
        </w:rPr>
        <w:t xml:space="preserve"> </w:t>
      </w:r>
      <w:r w:rsidR="00CC2182">
        <w:rPr>
          <w:lang w:val="en-GB"/>
        </w:rPr>
        <w:t>vs. 45% base rate</w:t>
      </w:r>
      <w:r w:rsidR="004600B2">
        <w:rPr>
          <w:lang w:val="en-GB"/>
        </w:rPr>
        <w:t>)</w:t>
      </w:r>
      <w:r w:rsidR="00EF5251">
        <w:rPr>
          <w:lang w:val="en-GB"/>
        </w:rPr>
        <w:t>.</w:t>
      </w:r>
    </w:p>
    <w:p w:rsidR="00A16012" w:rsidRDefault="00A16012" w:rsidP="00CB2434">
      <w:pPr>
        <w:pStyle w:val="TextkrperMA"/>
        <w:rPr>
          <w:lang w:val="en-GB"/>
        </w:rPr>
      </w:pPr>
      <w:r>
        <w:rPr>
          <w:lang w:val="en-GB"/>
        </w:rPr>
        <w:t xml:space="preserve">On a more conceptual level, </w:t>
      </w:r>
      <w:r w:rsidR="00B97164">
        <w:rPr>
          <w:lang w:val="en-GB"/>
        </w:rPr>
        <w:t xml:space="preserve">this study was based on solved homicide cases only, </w:t>
      </w:r>
      <w:r w:rsidR="00F20C75">
        <w:rPr>
          <w:lang w:val="en-GB"/>
        </w:rPr>
        <w:t>therefore</w:t>
      </w:r>
      <w:r w:rsidR="00F11269">
        <w:rPr>
          <w:lang w:val="en-GB"/>
        </w:rPr>
        <w:t>,</w:t>
      </w:r>
      <w:r w:rsidR="00F20C75">
        <w:rPr>
          <w:lang w:val="en-GB"/>
        </w:rPr>
        <w:t xml:space="preserve"> excluding those offenders who may be most proficient in avoiding detection.</w:t>
      </w:r>
      <w:r w:rsidR="00BA6BE7">
        <w:rPr>
          <w:lang w:val="en-GB"/>
        </w:rPr>
        <w:t xml:space="preserve"> It has been argued that measures other than prior convictions, such as previous charges or arrests</w:t>
      </w:r>
      <w:r w:rsidR="001A1419">
        <w:rPr>
          <w:lang w:val="en-GB"/>
        </w:rPr>
        <w:t>,</w:t>
      </w:r>
      <w:r w:rsidR="00BA6BE7">
        <w:rPr>
          <w:lang w:val="en-GB"/>
        </w:rPr>
        <w:t xml:space="preserve"> may be more indicative of an offender’s criminal history </w:t>
      </w:r>
      <w:r w:rsidR="00D519C3">
        <w:rPr>
          <w:lang w:val="en-GB"/>
        </w:rPr>
        <w:fldChar w:fldCharType="begin" w:fldLock="1"/>
      </w:r>
      <w:r w:rsidR="00EA7901">
        <w:rPr>
          <w:lang w:val="en-GB"/>
        </w:rPr>
        <w:instrText>ADDIN CSL_CITATION {"citationItems":[{"id":"ITEM-1","itemData":{"DOI":"10.1177/0886260518756118","ISSN":"0886-2605","author":[{"dropping-particle":"","family":"Almond","given":"Louise","non-dropping-particle":"","parse-names":false,"suffix":""},{"dropping-particle":"","family":"McManus","given":"Michelle","non-dropping-particle":"","parse-names":false,"suffix":""},{"dropping-particle":"","family":"Bal","given":"Amarat","non-dropping-particle":"","parse-names":false,"suffix":""},{"dropping-particle":"","family":"O’Brien","given":"Freya","non-dropping-particle":"","parse-names":false,"suffix":""},{"dropping-particle":"","family":"Rainbow","given":"Lee","non-dropping-particle":"","parse-names":false,"suffix":""},{"dropping-particle":"","family":"Webb","given":"Mark","non-dropping-particle":"","parse-names":false,"suffix":""}],"container-title":"Journal of Interpersonal Violence","id":"ITEM-1","issued":{"date-parts":[["2018","2","14"]]},"title":"Assisting the Investigation of Stranger Rapes: Predicting the Criminal Record of U.K. Stranger Rapists From Their Crime Scene Behaviors","type":"article-journal"},"uris":["http://www.mendeley.com/documents/?uuid=93ad9675-99ea-4e4e-91b3-6ca0db1894a3"]}],"mendeley":{"formattedCitation":"(Almond et al., 2018)","plainTextFormattedCitation":"(Almond et al., 2018)","previouslyFormattedCitation":"(Almond et al., 2018)"},"properties":{"noteIndex":0},"schema":"https://github.com/citation-style-language/schema/raw/master/csl-citation.json"}</w:instrText>
      </w:r>
      <w:r w:rsidR="00D519C3">
        <w:rPr>
          <w:lang w:val="en-GB"/>
        </w:rPr>
        <w:fldChar w:fldCharType="separate"/>
      </w:r>
      <w:r w:rsidR="00BA6BE7" w:rsidRPr="00BA6BE7">
        <w:rPr>
          <w:noProof/>
          <w:lang w:val="en-GB"/>
        </w:rPr>
        <w:t>(Almond et al., 2018)</w:t>
      </w:r>
      <w:r w:rsidR="00D519C3">
        <w:rPr>
          <w:lang w:val="en-GB"/>
        </w:rPr>
        <w:fldChar w:fldCharType="end"/>
      </w:r>
      <w:r w:rsidR="00BA6BE7">
        <w:rPr>
          <w:lang w:val="en-GB"/>
        </w:rPr>
        <w:t xml:space="preserve">. Therefore, </w:t>
      </w:r>
      <w:r w:rsidR="00500E1E">
        <w:rPr>
          <w:lang w:val="en-GB"/>
        </w:rPr>
        <w:t xml:space="preserve">generalisations from </w:t>
      </w:r>
      <w:r w:rsidR="00BA6BE7">
        <w:rPr>
          <w:lang w:val="en-GB"/>
        </w:rPr>
        <w:t xml:space="preserve">the current findings should be </w:t>
      </w:r>
      <w:r w:rsidR="002D71B2">
        <w:rPr>
          <w:lang w:val="en-GB"/>
        </w:rPr>
        <w:t>treated</w:t>
      </w:r>
      <w:r w:rsidR="00500E1E">
        <w:rPr>
          <w:lang w:val="en-GB"/>
        </w:rPr>
        <w:t xml:space="preserve"> </w:t>
      </w:r>
      <w:r w:rsidR="00BA6BE7">
        <w:rPr>
          <w:lang w:val="en-GB"/>
        </w:rPr>
        <w:t xml:space="preserve">with some degree of caution. Caution is further advisable, as the data used herein was not explicitly collected </w:t>
      </w:r>
      <w:r w:rsidR="00C9000B">
        <w:rPr>
          <w:lang w:val="en-GB"/>
        </w:rPr>
        <w:t>for research purposes</w:t>
      </w:r>
      <w:r w:rsidR="00F11269">
        <w:rPr>
          <w:lang w:val="en-GB"/>
        </w:rPr>
        <w:t>,</w:t>
      </w:r>
      <w:r w:rsidR="00C9000B">
        <w:rPr>
          <w:lang w:val="en-GB"/>
        </w:rPr>
        <w:t xml:space="preserve"> but ultimately stemmed from police record</w:t>
      </w:r>
      <w:r w:rsidR="002D71B2">
        <w:rPr>
          <w:lang w:val="en-GB"/>
        </w:rPr>
        <w:t>s</w:t>
      </w:r>
      <w:r w:rsidR="00C9000B">
        <w:rPr>
          <w:lang w:val="en-GB"/>
        </w:rPr>
        <w:t xml:space="preserve">. Although </w:t>
      </w:r>
      <w:r w:rsidR="00F11269">
        <w:rPr>
          <w:lang w:val="en-GB"/>
        </w:rPr>
        <w:t>the data is</w:t>
      </w:r>
      <w:r w:rsidR="00C9000B">
        <w:rPr>
          <w:lang w:val="en-GB"/>
        </w:rPr>
        <w:t xml:space="preserve"> subject to a rigorous quality control progress before being entered into the SCAS database, the completeness of the data cannot be guaranteed, especially regarding the level of detail requested for some of the offence </w:t>
      </w:r>
      <w:proofErr w:type="spellStart"/>
      <w:r w:rsidR="006A415D">
        <w:rPr>
          <w:lang w:val="en-GB"/>
        </w:rPr>
        <w:t>behavior</w:t>
      </w:r>
      <w:proofErr w:type="spellEnd"/>
      <w:r w:rsidR="00C9000B">
        <w:rPr>
          <w:lang w:val="en-GB"/>
        </w:rPr>
        <w:t xml:space="preserve"> variables.</w:t>
      </w:r>
      <w:r w:rsidR="00C81A7F">
        <w:t xml:space="preserve"> </w:t>
      </w:r>
      <w:r w:rsidR="00C81A7F">
        <w:rPr>
          <w:lang w:val="en-GB"/>
        </w:rPr>
        <w:t>A</w:t>
      </w:r>
      <w:r w:rsidR="00C81A7F" w:rsidRPr="00C81A7F">
        <w:rPr>
          <w:lang w:val="en-GB"/>
        </w:rPr>
        <w:t xml:space="preserve">lthough all </w:t>
      </w:r>
      <w:proofErr w:type="spellStart"/>
      <w:r w:rsidR="006A415D">
        <w:rPr>
          <w:lang w:val="en-GB"/>
        </w:rPr>
        <w:t>behavior</w:t>
      </w:r>
      <w:r w:rsidR="00C81A7F" w:rsidRPr="00C81A7F">
        <w:rPr>
          <w:lang w:val="en-GB"/>
        </w:rPr>
        <w:t>s</w:t>
      </w:r>
      <w:proofErr w:type="spellEnd"/>
      <w:r w:rsidR="00C81A7F" w:rsidRPr="00C81A7F">
        <w:rPr>
          <w:lang w:val="en-GB"/>
        </w:rPr>
        <w:t xml:space="preserve"> that were evident would have been coded, due to the fact that the victim is not able to report on the offender’s </w:t>
      </w:r>
      <w:proofErr w:type="spellStart"/>
      <w:r w:rsidR="006A415D">
        <w:rPr>
          <w:lang w:val="en-GB"/>
        </w:rPr>
        <w:t>behavior</w:t>
      </w:r>
      <w:proofErr w:type="spellEnd"/>
      <w:r w:rsidR="00C81A7F" w:rsidRPr="00C81A7F">
        <w:rPr>
          <w:lang w:val="en-GB"/>
        </w:rPr>
        <w:t xml:space="preserve"> in a homicide, there is the potential that not all </w:t>
      </w:r>
      <w:proofErr w:type="spellStart"/>
      <w:r w:rsidR="006A415D">
        <w:rPr>
          <w:lang w:val="en-GB"/>
        </w:rPr>
        <w:t>behavior</w:t>
      </w:r>
      <w:r w:rsidR="00C81A7F" w:rsidRPr="00C81A7F">
        <w:rPr>
          <w:lang w:val="en-GB"/>
        </w:rPr>
        <w:t>s</w:t>
      </w:r>
      <w:proofErr w:type="spellEnd"/>
      <w:r w:rsidR="00C81A7F" w:rsidRPr="00C81A7F">
        <w:rPr>
          <w:lang w:val="en-GB"/>
        </w:rPr>
        <w:t xml:space="preserve"> that occurred in the offence were coded</w:t>
      </w:r>
      <w:r w:rsidR="00300C46">
        <w:rPr>
          <w:lang w:val="en-GB"/>
        </w:rPr>
        <w:t>. A</w:t>
      </w:r>
      <w:r w:rsidR="009D470A">
        <w:rPr>
          <w:lang w:val="en-GB"/>
        </w:rPr>
        <w:t xml:space="preserve">s this piece of applied research was conceptualised as a practical instrument for police investigations, reliance on policing data </w:t>
      </w:r>
      <w:r w:rsidR="00C65EDC">
        <w:rPr>
          <w:lang w:val="en-GB"/>
        </w:rPr>
        <w:t xml:space="preserve">may arguably increase </w:t>
      </w:r>
      <w:r w:rsidR="00B276F3">
        <w:rPr>
          <w:lang w:val="en-GB"/>
        </w:rPr>
        <w:t xml:space="preserve">the </w:t>
      </w:r>
      <w:r w:rsidR="00C65EDC">
        <w:rPr>
          <w:lang w:val="en-GB"/>
        </w:rPr>
        <w:t xml:space="preserve">ecological validity of </w:t>
      </w:r>
      <w:r w:rsidR="00B276F3">
        <w:rPr>
          <w:lang w:val="en-GB"/>
        </w:rPr>
        <w:t>this study</w:t>
      </w:r>
      <w:r w:rsidR="00C65EDC">
        <w:rPr>
          <w:lang w:val="en-GB"/>
        </w:rPr>
        <w:t xml:space="preserve"> </w:t>
      </w:r>
      <w:r w:rsidR="00D519C3">
        <w:rPr>
          <w:lang w:val="en-GB"/>
        </w:rPr>
        <w:fldChar w:fldCharType="begin" w:fldLock="1"/>
      </w:r>
      <w:r w:rsidR="008E788D">
        <w:rPr>
          <w:lang w:val="en-GB"/>
        </w:rPr>
        <w:instrText>ADDIN CSL_CITATION {"citationItems":[{"id":"ITEM-1","itemData":{"DOI":"10.1348/135532502168360","ISBN":"1355325021","ISSN":"13553259","abstract":"Purpose. Conventional approaches to offender pro? ling assume a homology of the characteristics of offenders with their crime scene actions: the more similar two offenders are with respect to background characteristics, the higher the resem- blance in their crime scene behaviour. This implicit working hypothesis is tested empirically. Methods. The study is based on a sample of 100 British male stranger rapists. These individuals were indexed with respect to the similarity in their crime scene actions as derived from witness statements. They were then compared with respect to their socio-demographic features and criminal histories as derived from police records. In a correlational analysis, we tested whether increased similarity in one domain (offence behaviour) coincided with higher resemblance in the other domains (socio-demographic features and previous convictions). Results. There is no positive linear relationship for any of the comparisons, i.e. rapists who offend in a similar fashion are not more similar with respect to age, socio-demographic features (such as employment situation and ethnicity) or their criminal records. Conclusions. These ? ndings indicate no evidence for the assumption of a homol- ogy between crime scene actions and background characteristics for the rapists in the sample. We argue that this result suggests that the homology assumption is too simplistic to provide a basis for offender pro? ling. Implications for future research include the search for a suitable framework for offender pro? ling that is grounded in personality psychology. Further, methodological considerations are discussed, such as the potential application of probabilistic scales. Offender","author":[{"dropping-particle":"","family":"Mokros","given":"Andreas","non-dropping-particle":"","parse-names":false,"suffix":""},{"dropping-particle":"","family":"Alison","given":"Laurence J.","non-dropping-particle":"","parse-names":false,"suffix":""}],"container-title":"Legal and Criminological Psychology","id":"ITEM-1","issue":"1","issued":{"date-parts":[["2002"]]},"page":"25-43","title":"Is offender profiling possible? Testing the predicted homology of crime scene actions and background characteristics in a sample of rapists","type":"article-journal","volume":"7"},"uris":["http://www.mendeley.com/documents/?uuid=1033f952-d91d-4a34-9948-53e47322edce"]}],"mendeley":{"formattedCitation":"(Mokros &amp; Alison, 2002)","plainTextFormattedCitation":"(Mokros &amp; Alison, 2002)","previouslyFormattedCitation":"(Mokros &amp; Alison, 2002)"},"properties":{"noteIndex":0},"schema":"https://github.com/citation-style-language/schema/raw/master/csl-citation.json"}</w:instrText>
      </w:r>
      <w:r w:rsidR="00D519C3">
        <w:rPr>
          <w:lang w:val="en-GB"/>
        </w:rPr>
        <w:fldChar w:fldCharType="separate"/>
      </w:r>
      <w:r w:rsidR="00B276F3" w:rsidRPr="00B276F3">
        <w:rPr>
          <w:noProof/>
          <w:lang w:val="en-GB"/>
        </w:rPr>
        <w:t>(Mokros &amp; Alison, 2002)</w:t>
      </w:r>
      <w:r w:rsidR="00D519C3">
        <w:rPr>
          <w:lang w:val="en-GB"/>
        </w:rPr>
        <w:fldChar w:fldCharType="end"/>
      </w:r>
      <w:r w:rsidR="00C65EDC">
        <w:rPr>
          <w:lang w:val="en-GB"/>
        </w:rPr>
        <w:t>.</w:t>
      </w:r>
    </w:p>
    <w:p w:rsidR="003D64CA" w:rsidRPr="00F11269" w:rsidRDefault="003D64CA" w:rsidP="00CB2434">
      <w:pPr>
        <w:pStyle w:val="TextkrperMA"/>
      </w:pPr>
      <w:r w:rsidRPr="003D64CA">
        <w:t>There is also a potential bias in the results towards</w:t>
      </w:r>
      <w:r>
        <w:t xml:space="preserve"> those who do not have a </w:t>
      </w:r>
      <w:r w:rsidR="00C81A7F">
        <w:t xml:space="preserve">substantial </w:t>
      </w:r>
      <w:r>
        <w:t>previous criminal history</w:t>
      </w:r>
      <w:r w:rsidRPr="003D64CA">
        <w:t xml:space="preserve">. As </w:t>
      </w:r>
      <w:r w:rsidR="006A415D">
        <w:t>behavior</w:t>
      </w:r>
      <w:r w:rsidRPr="003D64CA">
        <w:t xml:space="preserve">s such as sexual </w:t>
      </w:r>
      <w:r w:rsidR="006A415D">
        <w:t>behavior</w:t>
      </w:r>
      <w:r w:rsidRPr="003D64CA">
        <w:t xml:space="preserve">s and weapon brought to the scene are more likely to be recorded due to forensic evidence i.e. semen or weapon left at the scence may  be biased towards those that are less </w:t>
      </w:r>
      <w:r w:rsidRPr="003D64CA">
        <w:lastRenderedPageBreak/>
        <w:t>criminally competent which may then be reflec</w:t>
      </w:r>
      <w:r w:rsidR="00F11269">
        <w:t xml:space="preserve">ted in their criminal history. </w:t>
      </w:r>
      <w:r w:rsidRPr="003D64CA">
        <w:t xml:space="preserve">There may be plenty of other cases with similar </w:t>
      </w:r>
      <w:r w:rsidR="006A415D">
        <w:t>behavior</w:t>
      </w:r>
      <w:r w:rsidRPr="003D64CA">
        <w:t>s that occurred in the offence but are not evident – and this may be a reflection of the perpetrator‘s criminal competence/sophistication/history.</w:t>
      </w:r>
    </w:p>
    <w:p w:rsidR="00086272" w:rsidRDefault="00F43EC3" w:rsidP="00CB2434">
      <w:pPr>
        <w:pStyle w:val="TextkrperMA"/>
        <w:rPr>
          <w:lang w:val="en-GB"/>
        </w:rPr>
      </w:pPr>
      <w:r>
        <w:rPr>
          <w:lang w:val="en-GB"/>
        </w:rPr>
        <w:t xml:space="preserve">Finally, </w:t>
      </w:r>
      <w:r w:rsidR="00EB6707">
        <w:rPr>
          <w:lang w:val="en-GB"/>
        </w:rPr>
        <w:t xml:space="preserve">the proposed statistical models were constructed to </w:t>
      </w:r>
      <w:r w:rsidR="008E788D">
        <w:rPr>
          <w:lang w:val="en-GB"/>
        </w:rPr>
        <w:t>optimise</w:t>
      </w:r>
      <w:r w:rsidR="00EB6707">
        <w:rPr>
          <w:lang w:val="en-GB"/>
        </w:rPr>
        <w:t xml:space="preserve"> the</w:t>
      </w:r>
      <w:r w:rsidR="008E788D">
        <w:rPr>
          <w:lang w:val="en-GB"/>
        </w:rPr>
        <w:t xml:space="preserve">ir </w:t>
      </w:r>
      <w:r w:rsidR="00EB6707">
        <w:rPr>
          <w:lang w:val="en-GB"/>
        </w:rPr>
        <w:t>predictive accuracy in the current sample</w:t>
      </w:r>
      <w:r w:rsidR="008E788D">
        <w:rPr>
          <w:lang w:val="en-GB"/>
        </w:rPr>
        <w:t xml:space="preserve">, which may contain random errors and other idiosyncrasies, especially </w:t>
      </w:r>
      <w:r w:rsidR="005F699D">
        <w:rPr>
          <w:lang w:val="en-GB"/>
        </w:rPr>
        <w:t>with regard to</w:t>
      </w:r>
      <w:r w:rsidR="008E788D">
        <w:rPr>
          <w:lang w:val="en-GB"/>
        </w:rPr>
        <w:t xml:space="preserve"> </w:t>
      </w:r>
      <w:r w:rsidR="008F31C5">
        <w:rPr>
          <w:lang w:val="en-GB"/>
        </w:rPr>
        <w:t>the</w:t>
      </w:r>
      <w:r w:rsidR="008E788D">
        <w:rPr>
          <w:lang w:val="en-GB"/>
        </w:rPr>
        <w:t xml:space="preserve"> small sample size </w:t>
      </w:r>
      <w:r w:rsidR="00D519C3">
        <w:rPr>
          <w:lang w:val="en-GB"/>
        </w:rPr>
        <w:fldChar w:fldCharType="begin" w:fldLock="1"/>
      </w:r>
      <w:r w:rsidR="00DA33E0">
        <w:rPr>
          <w:lang w:val="en-GB"/>
        </w:rPr>
        <w:instrText>ADDIN CSL_CITATION {"citationItems":[{"id":"ITEM-1","itemData":{"DOI":"10.1111/lcrp.12115","ISSN":"20448333","abstract":"Purpose. This article provides a re-analysis of Vrij et al.'s (2017, Leg. Crim. Psychol. 22, 1) meta-analysis of the cognitive approach to lie detection. Vrij et al.'s analyses confounded dependent variables, capitalized on aberrant controls, and used unreliable data to inflate support. Methods. Meta-analysis was used to reanalyse Vrij et al.'s data. Studies of human detection and studies involving statistical classification were analysed separately. Results. The advantage offered by the cognitive approach was much smaller than previously claimed. Accuracies in control conditions were unusually low, and the most supportive findings came from the least reliable data. Conclusions. Human detection and statistical classification are different. The evidence for the cognitive approach has been overstated. Vrij, Fisher, and Blank (2017) published the first meta-analysis assessing the effectiveness of Vrij's (2015) new cognitive approach to lie detection. Their basic premise is that verbal and nonverbal deception cues can be amplified by making lying more cognitively effortful. Cues can be amplified in three ways: (1) instilling additional cognitive load, (2) prompting additional information, and (3) employing unexpected questions. Amplified cues lead to more accurate deception detection. Vrij et al. (2017) reported that their cognitive approach showed a 15-point advantage over the traditional standard approach. They claimed 71% correct classification for their cognitive approach compared to 56% for the standard approach in head-to-head experimental comparisons. This essay provides a critical look at Vrij et al.'s (2017) claims, methods, and data. Vrij et al.'s meta-analysis averaged across two conceptually, empirically, and pragmatically different types of outcomes. As a result of conflated outcomes, evidence for the cognitive approach was exaggerated and important patterns of findings were hidden. Specifically, accuracy in the controls and reliability in assessment correlate negatively with support for the cognitive approach.","author":[{"dropping-particle":"","family":"Levine","given":"Timothy R.","non-dropping-particle":"","parse-names":false,"suffix":""},{"dropping-particle":"","family":"Blair","given":"J. Pete","non-dropping-particle":"","parse-names":false,"suffix":""},{"dropping-particle":"","family":"Carpenter","given":"Christopher J.","non-dropping-particle":"","parse-names":false,"suffix":""}],"container-title":"Legal and Criminological Psychology","id":"ITEM-1","issued":{"date-parts":[["2017"]]},"page":"7-19","title":"A critical look at meta-analytic evidence for the cognitive approach to lie detection: A re-examination of Vrij, Fisher, and Blank (2017)","type":"article-journal"},"uris":["http://www.mendeley.com/documents/?uuid=f12764ec-bd73-465d-99a2-79c9103a94eb"]}],"mendeley":{"formattedCitation":"(Levine, Blair, &amp; Carpenter, 2017)","plainTextFormattedCitation":"(Levine, Blair, &amp; Carpenter, 2017)","previouslyFormattedCitation":"(Levine, Blair, &amp; Carpenter, 2017)"},"properties":{"noteIndex":0},"schema":"https://github.com/citation-style-language/schema/raw/master/csl-citation.json"}</w:instrText>
      </w:r>
      <w:r w:rsidR="00D519C3">
        <w:rPr>
          <w:lang w:val="en-GB"/>
        </w:rPr>
        <w:fldChar w:fldCharType="separate"/>
      </w:r>
      <w:r w:rsidR="008E788D" w:rsidRPr="008E788D">
        <w:rPr>
          <w:noProof/>
          <w:lang w:val="en-GB"/>
        </w:rPr>
        <w:t>(Levine, Blair, &amp; Carpenter, 2017)</w:t>
      </w:r>
      <w:r w:rsidR="00D519C3">
        <w:rPr>
          <w:lang w:val="en-GB"/>
        </w:rPr>
        <w:fldChar w:fldCharType="end"/>
      </w:r>
      <w:r w:rsidR="008E788D">
        <w:rPr>
          <w:lang w:val="en-GB"/>
        </w:rPr>
        <w:t>. It is therefore important to validate the findings on a separate sample, in order to determine accuracy shrinkage and predictive performance for new cases, that were not used to construct the models</w:t>
      </w:r>
      <w:r w:rsidR="005F699D">
        <w:rPr>
          <w:lang w:val="en-GB"/>
        </w:rPr>
        <w:t xml:space="preserve"> </w:t>
      </w:r>
      <w:r w:rsidR="00D519C3">
        <w:rPr>
          <w:lang w:val="en-GB"/>
        </w:rPr>
        <w:fldChar w:fldCharType="begin" w:fldLock="1"/>
      </w:r>
      <w:r w:rsidR="00EA688E">
        <w:rPr>
          <w:lang w:val="en-GB"/>
        </w:rPr>
        <w:instrText>ADDIN CSL_CITATION {"citationItems":[{"id":"ITEM-1","itemData":{"DOI":"10.1002/jip.1396","ISSN":"15444767","abstract":"This paper considers the role of a Behavioural Investigative Adviser (BIA) in assisting with the decision-making of a Senior Investigating Officer (SIO) in difficult-to-detect murder investigations. It outlines the need for transparent evidence-based decision-making from both the SIO and the BIA. The paper then details a piece of relevant, applied research that can assist in this end. The research utilised a pragmatic psychology approach to analyse 312 detected murder cases from the Serious Crime Analysis Section database. Some significant patterns relating what is known about the offence at different stages of an investigation and inferences regarding the offender were found, indicating that certain offence information can lead to some reliable predictions and these can be refined as more information becomes available. However, the findings also indicate that base rate frequencies and a ‘best-guess’ methodology may be as, if not more, useful than more complex statistical techniques when providing advice to investigations.","author":[{"dropping-particle":"","family":"Cole","given":"Terri","non-dropping-particle":"","parse-names":false,"suffix":""},{"dropping-particle":"","family":"Brown","given":"Jennifer","non-dropping-particle":"","parse-names":false,"suffix":""}],"container-title":"Journal of Investigative Psychology and Offender Profiling","id":"ITEM-1","issue":"3","issued":{"date-parts":[["2014"]]},"page":"191-220","title":"Behavioural investigative advice: Assistance to investigative decision-making in difficult-to-detect murder","type":"article-journal","volume":"11"},"uris":["http://www.mendeley.com/documents/?uuid=629c73c0-ceec-4270-a53d-d29df1aafd12"]},{"id":"ITEM-2","itemData":{"DOI":"10.1002/jip.103","ISSN":"15444759","abstract":"A sample of stranger rape offences (n = 271) registered in Dutch Violence Crime Linkage Analysis System database in the Netherlands between 1997 and 2007 was studied with the objective of developing statistical meodels, which give an indication of the probability of basic offender characteristics.","author":[{"dropping-particle":"","family":"Beek","given":"Mirjam","non-dropping-particle":"ter","parse-names":false,"suffix":""},{"dropping-particle":"","family":"Eshof","given":"Paul","non-dropping-particle":"van den","parse-names":false,"suffix":""},{"dropping-particle":"","family":"Mali","given":"Bas","non-dropping-particle":"","parse-names":false,"suffix":""}],"container-title":"Journal of Investigative Psychology and Offender Profiling","id":"ITEM-2","issue":"1","issued":{"date-parts":[["2010"]]},"page":"31-47","title":"Statistical modelling in the investigation of stranger rape","type":"article-journal","volume":"7"},"uris":["http://www.mendeley.com/documents/?uuid=48323226-5d59-419b-90d0-ca2380be5419"]}],"mendeley":{"formattedCitation":"(Cole &amp; Brown, 2014; ter Beek et al., 2010)","plainTextFormattedCitation":"(Cole &amp; Brown, 2014; ter Beek et al., 2010)","previouslyFormattedCitation":"(Cole &amp; Brown, 2014; ter Beek et al., 2010)"},"properties":{"noteIndex":0},"schema":"https://github.com/citation-style-language/schema/raw/master/csl-citation.json"}</w:instrText>
      </w:r>
      <w:r w:rsidR="00D519C3">
        <w:rPr>
          <w:lang w:val="en-GB"/>
        </w:rPr>
        <w:fldChar w:fldCharType="separate"/>
      </w:r>
      <w:r w:rsidR="00DA33E0" w:rsidRPr="00DA33E0">
        <w:rPr>
          <w:noProof/>
          <w:lang w:val="en-GB"/>
        </w:rPr>
        <w:t>(Cole &amp; Brown, 2014; ter Beek et al., 2010)</w:t>
      </w:r>
      <w:r w:rsidR="00D519C3">
        <w:rPr>
          <w:lang w:val="en-GB"/>
        </w:rPr>
        <w:fldChar w:fldCharType="end"/>
      </w:r>
      <w:r w:rsidR="008E788D">
        <w:rPr>
          <w:lang w:val="en-GB"/>
        </w:rPr>
        <w:t>.</w:t>
      </w:r>
      <w:r w:rsidR="0060769F">
        <w:rPr>
          <w:lang w:val="en-GB"/>
        </w:rPr>
        <w:t xml:space="preserve"> As the present sample is exhaustive and contains all homicide cases that matched the inclusion criteria in the UK, further research would have to either rely on data from other countries or future cases from within the UK, raising questions of </w:t>
      </w:r>
      <w:r w:rsidR="00666716">
        <w:rPr>
          <w:lang w:val="en-GB"/>
        </w:rPr>
        <w:t xml:space="preserve">regional or temporal </w:t>
      </w:r>
      <w:r w:rsidR="00A30178">
        <w:rPr>
          <w:lang w:val="en-GB"/>
        </w:rPr>
        <w:t>comparability</w:t>
      </w:r>
      <w:r w:rsidR="00666716">
        <w:rPr>
          <w:lang w:val="en-GB"/>
        </w:rPr>
        <w:t xml:space="preserve"> between the samples.</w:t>
      </w:r>
    </w:p>
    <w:p w:rsidR="003D0FCE" w:rsidRDefault="003D0FCE" w:rsidP="00CB2434">
      <w:pPr>
        <w:pStyle w:val="Heading2"/>
        <w:jc w:val="both"/>
        <w:rPr>
          <w:lang w:val="en-GB"/>
        </w:rPr>
      </w:pPr>
      <w:bookmarkStart w:id="24" w:name="_Toc523226033"/>
      <w:r>
        <w:rPr>
          <w:lang w:val="en-GB"/>
        </w:rPr>
        <w:t>Conclusion</w:t>
      </w:r>
      <w:bookmarkEnd w:id="24"/>
    </w:p>
    <w:p w:rsidR="00826796" w:rsidRPr="00826796" w:rsidRDefault="007B3BEB" w:rsidP="00CB2434">
      <w:pPr>
        <w:pStyle w:val="TextkrperMA"/>
        <w:rPr>
          <w:lang w:val="en-GB"/>
        </w:rPr>
      </w:pPr>
      <w:r>
        <w:rPr>
          <w:lang w:val="en-GB"/>
        </w:rPr>
        <w:t xml:space="preserve">In conclusion, this study has provided </w:t>
      </w:r>
      <w:r w:rsidR="008C471B">
        <w:rPr>
          <w:lang w:val="en-GB"/>
        </w:rPr>
        <w:t xml:space="preserve">a broad empirical overview on links between a large set of offender criminal history variables and crime scene </w:t>
      </w:r>
      <w:proofErr w:type="spellStart"/>
      <w:r w:rsidR="006A415D">
        <w:rPr>
          <w:lang w:val="en-GB"/>
        </w:rPr>
        <w:t>behavior</w:t>
      </w:r>
      <w:r w:rsidR="008C471B">
        <w:rPr>
          <w:lang w:val="en-GB"/>
        </w:rPr>
        <w:t>s</w:t>
      </w:r>
      <w:proofErr w:type="spellEnd"/>
      <w:r w:rsidR="008C471B">
        <w:rPr>
          <w:lang w:val="en-GB"/>
        </w:rPr>
        <w:t xml:space="preserve"> in cases of homicide</w:t>
      </w:r>
      <w:r w:rsidR="008B7C7E">
        <w:rPr>
          <w:lang w:val="en-GB"/>
        </w:rPr>
        <w:t>. By proposing statistical models that allow for predictions of the most likely criminal history of an offender as indicated by his specifi</w:t>
      </w:r>
      <w:r w:rsidR="000D2F87">
        <w:rPr>
          <w:lang w:val="en-GB"/>
        </w:rPr>
        <w:t xml:space="preserve">c offence </w:t>
      </w:r>
      <w:proofErr w:type="spellStart"/>
      <w:r w:rsidR="006A415D">
        <w:rPr>
          <w:lang w:val="en-GB"/>
        </w:rPr>
        <w:t>behavior</w:t>
      </w:r>
      <w:r w:rsidR="000D2F87">
        <w:rPr>
          <w:lang w:val="en-GB"/>
        </w:rPr>
        <w:t>s</w:t>
      </w:r>
      <w:proofErr w:type="spellEnd"/>
      <w:r w:rsidR="000D2F87">
        <w:rPr>
          <w:lang w:val="en-GB"/>
        </w:rPr>
        <w:t xml:space="preserve">, the current results may be of practical utility to homicide investigations. </w:t>
      </w:r>
      <w:r w:rsidR="00A919DC">
        <w:rPr>
          <w:lang w:val="en-GB"/>
        </w:rPr>
        <w:t xml:space="preserve">However, as </w:t>
      </w:r>
      <w:r w:rsidR="00D86C18">
        <w:rPr>
          <w:lang w:val="en-GB"/>
        </w:rPr>
        <w:t xml:space="preserve">several </w:t>
      </w:r>
      <w:r w:rsidR="00A919DC">
        <w:rPr>
          <w:lang w:val="en-GB"/>
        </w:rPr>
        <w:t>statistical and conceptual limitations of this study must be considered</w:t>
      </w:r>
      <w:r w:rsidR="00FB3A25">
        <w:rPr>
          <w:lang w:val="en-GB"/>
        </w:rPr>
        <w:t xml:space="preserve">, it is argued here that the current results should only be used </w:t>
      </w:r>
      <w:r w:rsidR="007E2ACE">
        <w:rPr>
          <w:lang w:val="en-GB"/>
        </w:rPr>
        <w:t xml:space="preserve">for practical applications </w:t>
      </w:r>
      <w:r w:rsidR="00FB3A25">
        <w:rPr>
          <w:lang w:val="en-GB"/>
        </w:rPr>
        <w:t xml:space="preserve">with appropriate </w:t>
      </w:r>
      <w:r w:rsidR="007E2ACE">
        <w:rPr>
          <w:lang w:val="en-GB"/>
        </w:rPr>
        <w:t>caution</w:t>
      </w:r>
      <w:r w:rsidR="00FB3A25">
        <w:rPr>
          <w:lang w:val="en-GB"/>
        </w:rPr>
        <w:t xml:space="preserve"> </w:t>
      </w:r>
      <w:r w:rsidR="007E2ACE">
        <w:rPr>
          <w:lang w:val="en-GB"/>
        </w:rPr>
        <w:t>and transparency towards the study’s shortcomings.</w:t>
      </w:r>
      <w:r w:rsidR="00BB2950">
        <w:rPr>
          <w:lang w:val="en-GB"/>
        </w:rPr>
        <w:t xml:space="preserve"> In the UK, </w:t>
      </w:r>
      <w:r w:rsidR="00BC1923">
        <w:rPr>
          <w:lang w:val="en-GB"/>
        </w:rPr>
        <w:t xml:space="preserve">this transparency </w:t>
      </w:r>
      <w:r w:rsidR="00BB2950">
        <w:rPr>
          <w:lang w:val="en-GB"/>
        </w:rPr>
        <w:t xml:space="preserve">is ensured by experienced BIAs </w:t>
      </w:r>
      <w:r w:rsidR="009E1EFA">
        <w:rPr>
          <w:lang w:val="en-GB"/>
        </w:rPr>
        <w:t>through</w:t>
      </w:r>
      <w:r w:rsidR="00BB2950">
        <w:rPr>
          <w:lang w:val="en-GB"/>
        </w:rPr>
        <w:t xml:space="preserve"> </w:t>
      </w:r>
      <w:r w:rsidR="004F27AE">
        <w:rPr>
          <w:lang w:val="en-GB"/>
        </w:rPr>
        <w:t>providing</w:t>
      </w:r>
      <w:r w:rsidR="00283202">
        <w:rPr>
          <w:lang w:val="en-GB"/>
        </w:rPr>
        <w:t xml:space="preserve"> observational grounds, warrants, research backing, rebuttal(s), and an </w:t>
      </w:r>
      <w:r w:rsidR="00283202">
        <w:rPr>
          <w:lang w:val="en-GB"/>
        </w:rPr>
        <w:lastRenderedPageBreak/>
        <w:t>indication of strength</w:t>
      </w:r>
      <w:r w:rsidR="004F27AE">
        <w:rPr>
          <w:lang w:val="en-GB"/>
        </w:rPr>
        <w:t xml:space="preserve"> for each advisory investigative claim made, following </w:t>
      </w:r>
      <w:r w:rsidR="008C47BC">
        <w:rPr>
          <w:lang w:val="en-GB"/>
        </w:rPr>
        <w:t xml:space="preserve">the principles of </w:t>
      </w:r>
      <w:r w:rsidR="004F27AE">
        <w:rPr>
          <w:lang w:val="en-GB"/>
        </w:rPr>
        <w:t>Toulmin’s philosophy of argument</w:t>
      </w:r>
      <w:r w:rsidR="00283202">
        <w:rPr>
          <w:lang w:val="en-GB"/>
        </w:rPr>
        <w:t xml:space="preserve"> </w:t>
      </w:r>
      <w:r w:rsidR="00D519C3">
        <w:rPr>
          <w:lang w:val="en-GB"/>
        </w:rPr>
        <w:fldChar w:fldCharType="begin" w:fldLock="1"/>
      </w:r>
      <w:r w:rsidR="00BC1D7D">
        <w:rPr>
          <w:lang w:val="en-GB"/>
        </w:rPr>
        <w:instrText>ADDIN CSL_CITATION {"citationItems":[{"id":"ITEM-1","itemData":{"DOI":"10.1080/1068316031000116265","ISBN":"1068-316X","ISSN":"1068316X","abstract":"This study sought to identify the extent to which claims about the probable characteristics of offenders in ‘offender profiles’ were based on substantive arguments. Because Toulmin’s (1958) philosophy of argument has been demonstrated as a useful way of breaking down arguments into their constituent parts (Burleson, 1979) we examined the extent to which profiles contained grounds, warrants, backing and rebuttals to support or refute various claims about offenders. Twenty-one profiles, representing a range of ‘profiling styles’, were obtained from a variety of sources. All of these had been used in major criminal investigations either in the UK or internationally. Of the nearly 4,000 claims made, nearly 80% were unsubstantiated. That is, they contained no grounds, warrant, backing or rebuttal. Moreover, less than 31% of the claims were falsifiable. We argue that (a) this demonstrates the need for a careful, systematic evaluation of profiling advice (b) Toulmin’s structure is one useful method for evaluating such material and for providing a possible framework for such advice.","author":[{"dropping-particle":"","family":"Alison","given":"Laurence J.","non-dropping-particle":"","parse-names":false,"suffix":""},{"dropping-particle":"","family":"Smith","given":"Matthew D.","non-dropping-particle":"","parse-names":false,"suffix":""},{"dropping-particle":"","family":"Eastman","given":"Oliver","non-dropping-particle":"","parse-names":false,"suffix":""},{"dropping-particle":"","family":"Rainbow","given":"Lee","non-dropping-particle":"","parse-names":false,"suffix":""}],"container-title":"Psychology, Crime and Law","id":"ITEM-1","issue":"2","issued":{"date-parts":[["2003"]]},"page":"173-183","title":"Toulmin's philosophy of argument and its relevance to offender profiling","type":"article-journal","volume":"9"},"uris":["http://www.mendeley.com/documents/?uuid=be7b2218-083d-43c9-b970-ef95f207288d"]},{"id":"ITEM-2","itemData":{"DOI":"10.1007/s11896-008-9024-9","ISBN":"9780203809259","ISSN":"08820783","abstract":"Abstract The goal of this paper is to reflect on the pertinent issues surrounding the effective management of behavioral investigative advice, by making explicit the experiences, developments, learning and achievements of such endeavors from a UK perspective. Specifically, the issues of national regulation of professional and ethical standards, working conditions for behavioral investigative advisers, audit and evaluation, strategic development, and learning and development of profiling skills are explored. Some broad observations regarding evaluation of the UK approach are discussed and consideration is given to the future challenges facing the field of behavioral investigative advice provision to major crime investigations.","author":[{"dropping-particle":"","family":"Rainbow","given":"Lee","non-dropping-particle":"","parse-names":false,"suffix":""}],"container-title":"Journal of Police and Criminal Psychology","id":"ITEM-2","issue":"2","issued":{"date-parts":[["2008"]]},"page":"90-97","title":"Taming the Beast: The UK Approach to the Management of Behavioral Investigative Advice","type":"article-journal","volume":"23"},"uris":["http://www.mendeley.com/documents/?uuid=c4dcac46-e8eb-417b-a189-8085a9a82ca5"]}],"mendeley":{"formattedCitation":"(Alison et al., 2003; Rainbow, 2008)","plainTextFormattedCitation":"(Alison et al., 2003; Rainbow, 2008)","previouslyFormattedCitation":"(Alison et al., 2003; Rainbow, 2008)"},"properties":{"noteIndex":0},"schema":"https://github.com/citation-style-language/schema/raw/master/csl-citation.json"}</w:instrText>
      </w:r>
      <w:r w:rsidR="00D519C3">
        <w:rPr>
          <w:lang w:val="en-GB"/>
        </w:rPr>
        <w:fldChar w:fldCharType="separate"/>
      </w:r>
      <w:r w:rsidR="00EA688E" w:rsidRPr="00EA688E">
        <w:rPr>
          <w:noProof/>
          <w:lang w:val="en-GB"/>
        </w:rPr>
        <w:t>(Alison et al., 2003; Rainbow, 2008)</w:t>
      </w:r>
      <w:r w:rsidR="00D519C3">
        <w:rPr>
          <w:lang w:val="en-GB"/>
        </w:rPr>
        <w:fldChar w:fldCharType="end"/>
      </w:r>
      <w:r w:rsidR="008D56A6">
        <w:rPr>
          <w:lang w:val="en-GB"/>
        </w:rPr>
        <w:t xml:space="preserve">. </w:t>
      </w:r>
      <w:r w:rsidR="00524E25">
        <w:rPr>
          <w:lang w:val="en-GB"/>
        </w:rPr>
        <w:t xml:space="preserve">In this way, BIA advice can be </w:t>
      </w:r>
      <w:r w:rsidR="004D6048">
        <w:rPr>
          <w:lang w:val="en-GB"/>
        </w:rPr>
        <w:t>use</w:t>
      </w:r>
      <w:r w:rsidR="00524E25">
        <w:rPr>
          <w:lang w:val="en-GB"/>
        </w:rPr>
        <w:t>ful</w:t>
      </w:r>
      <w:r w:rsidR="004D6048">
        <w:rPr>
          <w:lang w:val="en-GB"/>
        </w:rPr>
        <w:t xml:space="preserve"> to inform and justify subsequent decisions</w:t>
      </w:r>
      <w:r w:rsidR="00283202">
        <w:rPr>
          <w:lang w:val="en-GB"/>
        </w:rPr>
        <w:t xml:space="preserve"> made by investigators</w:t>
      </w:r>
      <w:r w:rsidR="00681778">
        <w:rPr>
          <w:lang w:val="en-GB"/>
        </w:rPr>
        <w:t>. This approach enables</w:t>
      </w:r>
      <w:r w:rsidR="004D6048">
        <w:rPr>
          <w:lang w:val="en-GB"/>
        </w:rPr>
        <w:t xml:space="preserve"> a synergy of </w:t>
      </w:r>
      <w:r w:rsidR="009B320F">
        <w:rPr>
          <w:lang w:val="en-GB"/>
        </w:rPr>
        <w:t>evidence</w:t>
      </w:r>
      <w:r w:rsidR="009B320F">
        <w:rPr>
          <w:lang w:val="en-GB"/>
        </w:rPr>
        <w:noBreakHyphen/>
        <w:t xml:space="preserve">based research, such as the present one, and investigators’ </w:t>
      </w:r>
      <w:r w:rsidR="004D6048">
        <w:rPr>
          <w:lang w:val="en-GB"/>
        </w:rPr>
        <w:t>practical experience</w:t>
      </w:r>
      <w:r w:rsidR="00681778">
        <w:rPr>
          <w:lang w:val="en-GB"/>
        </w:rPr>
        <w:t xml:space="preserve">, which </w:t>
      </w:r>
      <w:r w:rsidR="004D6048">
        <w:rPr>
          <w:lang w:val="en-GB"/>
        </w:rPr>
        <w:t xml:space="preserve">is </w:t>
      </w:r>
      <w:r w:rsidR="00681778">
        <w:rPr>
          <w:lang w:val="en-GB"/>
        </w:rPr>
        <w:t xml:space="preserve">ultimately </w:t>
      </w:r>
      <w:r w:rsidR="0049702C">
        <w:rPr>
          <w:lang w:val="en-GB"/>
        </w:rPr>
        <w:t>directed</w:t>
      </w:r>
      <w:r w:rsidR="004D6048">
        <w:rPr>
          <w:lang w:val="en-GB"/>
        </w:rPr>
        <w:t xml:space="preserve"> at maximising efficiency and success in criminal investigations.</w:t>
      </w:r>
    </w:p>
    <w:p w:rsidR="003D0FCE" w:rsidRPr="003D0FCE" w:rsidRDefault="003D0FCE" w:rsidP="00CB2434">
      <w:pPr>
        <w:jc w:val="both"/>
        <w:rPr>
          <w:lang w:val="en-GB"/>
        </w:rPr>
      </w:pPr>
    </w:p>
    <w:p w:rsidR="00B1495B" w:rsidRDefault="00B1495B" w:rsidP="00CB2434">
      <w:pPr>
        <w:pStyle w:val="TextkrperMA"/>
        <w:rPr>
          <w:lang w:val="en-GB"/>
        </w:rPr>
      </w:pPr>
    </w:p>
    <w:p w:rsidR="00E94BDB" w:rsidRDefault="00E94BDB" w:rsidP="00CB2434">
      <w:pPr>
        <w:pStyle w:val="TextkrperMA"/>
        <w:rPr>
          <w:lang w:val="en-GB"/>
        </w:rPr>
      </w:pPr>
    </w:p>
    <w:p w:rsidR="00F43AA2" w:rsidRDefault="00F43AA2" w:rsidP="00CB2434">
      <w:pPr>
        <w:pStyle w:val="TextkrperMA"/>
        <w:rPr>
          <w:lang w:val="en-GB"/>
        </w:rPr>
      </w:pPr>
    </w:p>
    <w:p w:rsidR="003D64CA" w:rsidRDefault="003D64CA" w:rsidP="00CB2434">
      <w:pPr>
        <w:spacing w:after="160"/>
        <w:jc w:val="both"/>
        <w:rPr>
          <w:rFonts w:ascii="Arial" w:hAnsi="Arial" w:cs="Arial"/>
          <w:lang w:val="en-GB"/>
        </w:rPr>
      </w:pPr>
      <w:bookmarkStart w:id="25" w:name="_Toc523226034"/>
    </w:p>
    <w:p w:rsidR="009B35B2" w:rsidRDefault="009B35B2" w:rsidP="00CB2434">
      <w:pPr>
        <w:spacing w:after="160"/>
        <w:jc w:val="both"/>
        <w:rPr>
          <w:rFonts w:cs="Arial"/>
          <w:b/>
          <w:lang w:val="en-GB"/>
        </w:rPr>
      </w:pPr>
      <w:r>
        <w:rPr>
          <w:rFonts w:cs="Arial"/>
          <w:b/>
          <w:lang w:val="en-GB"/>
        </w:rPr>
        <w:br w:type="page"/>
      </w:r>
    </w:p>
    <w:p w:rsidR="005B7FFD" w:rsidRPr="009B35B2" w:rsidRDefault="004037BC" w:rsidP="00CB2434">
      <w:pPr>
        <w:spacing w:after="160"/>
        <w:jc w:val="both"/>
        <w:rPr>
          <w:rFonts w:ascii="Arial" w:hAnsi="Arial" w:cs="Arial"/>
          <w:b/>
          <w:lang w:val="en-GB"/>
        </w:rPr>
      </w:pPr>
      <w:r w:rsidRPr="009B35B2">
        <w:rPr>
          <w:rFonts w:ascii="Arial" w:hAnsi="Arial" w:cs="Arial"/>
          <w:b/>
          <w:lang w:val="en-GB"/>
        </w:rPr>
        <w:lastRenderedPageBreak/>
        <w:t>References</w:t>
      </w:r>
      <w:bookmarkEnd w:id="25"/>
    </w:p>
    <w:p w:rsidR="00256AA0" w:rsidRPr="00DA59A9" w:rsidRDefault="00256AA0" w:rsidP="00CB2434">
      <w:pPr>
        <w:widowControl w:val="0"/>
        <w:autoSpaceDE w:val="0"/>
        <w:autoSpaceDN w:val="0"/>
        <w:adjustRightInd w:val="0"/>
        <w:spacing w:line="240" w:lineRule="auto"/>
        <w:ind w:left="480" w:hanging="480"/>
        <w:jc w:val="both"/>
        <w:rPr>
          <w:rFonts w:ascii="Arial" w:hAnsi="Arial" w:cs="Arial"/>
          <w:lang w:val="en-GB"/>
        </w:rPr>
      </w:pPr>
    </w:p>
    <w:p w:rsidR="00EA7901" w:rsidRPr="00BE7878" w:rsidRDefault="00D519C3" w:rsidP="00CB2434">
      <w:pPr>
        <w:widowControl w:val="0"/>
        <w:autoSpaceDE w:val="0"/>
        <w:autoSpaceDN w:val="0"/>
        <w:adjustRightInd w:val="0"/>
        <w:spacing w:line="360" w:lineRule="auto"/>
        <w:ind w:left="480" w:hanging="480"/>
        <w:jc w:val="both"/>
        <w:rPr>
          <w:rFonts w:ascii="Arial" w:hAnsi="Arial" w:cs="Arial"/>
          <w:noProof/>
          <w:szCs w:val="24"/>
          <w:lang w:val="en-GB"/>
        </w:rPr>
      </w:pPr>
      <w:r w:rsidRPr="00DA59A9">
        <w:rPr>
          <w:rFonts w:ascii="Arial" w:hAnsi="Arial" w:cs="Arial"/>
          <w:lang w:val="en-GB"/>
        </w:rPr>
        <w:fldChar w:fldCharType="begin" w:fldLock="1"/>
      </w:r>
      <w:r w:rsidR="00256AA0" w:rsidRPr="00DA59A9">
        <w:rPr>
          <w:rFonts w:ascii="Arial" w:hAnsi="Arial" w:cs="Arial"/>
          <w:lang w:val="en-GB"/>
        </w:rPr>
        <w:instrText xml:space="preserve">ADDIN Mendeley Bibliography CSL_BIBLIOGRAPHY </w:instrText>
      </w:r>
      <w:r w:rsidRPr="00DA59A9">
        <w:rPr>
          <w:rFonts w:ascii="Arial" w:hAnsi="Arial" w:cs="Arial"/>
          <w:lang w:val="en-GB"/>
        </w:rPr>
        <w:fldChar w:fldCharType="separate"/>
      </w:r>
      <w:r w:rsidR="00EA7901" w:rsidRPr="00BE7878">
        <w:rPr>
          <w:rFonts w:ascii="Arial" w:hAnsi="Arial" w:cs="Arial"/>
          <w:noProof/>
          <w:szCs w:val="24"/>
          <w:lang w:val="en-GB"/>
        </w:rPr>
        <w:t xml:space="preserve">Alison, L. J., Bennell, C., Mokros, A., &amp; Ormerod, D. (2002). The personality paradox in offender profiling: A theoretical review of the processes involved in deriving background characteristics from crime scene actions. </w:t>
      </w:r>
      <w:r w:rsidR="00EA7901" w:rsidRPr="00BE7878">
        <w:rPr>
          <w:rFonts w:ascii="Arial" w:hAnsi="Arial" w:cs="Arial"/>
          <w:i/>
          <w:iCs/>
          <w:noProof/>
          <w:szCs w:val="24"/>
          <w:lang w:val="en-GB"/>
        </w:rPr>
        <w:t>Psychology, Public Policy, and Law</w:t>
      </w:r>
      <w:r w:rsidR="00EA7901" w:rsidRPr="00BE7878">
        <w:rPr>
          <w:rFonts w:ascii="Arial" w:hAnsi="Arial" w:cs="Arial"/>
          <w:noProof/>
          <w:szCs w:val="24"/>
          <w:lang w:val="en-GB"/>
        </w:rPr>
        <w:t xml:space="preserve">, </w:t>
      </w:r>
      <w:r w:rsidR="00EA7901" w:rsidRPr="00BE7878">
        <w:rPr>
          <w:rFonts w:ascii="Arial" w:hAnsi="Arial" w:cs="Arial"/>
          <w:i/>
          <w:iCs/>
          <w:noProof/>
          <w:szCs w:val="24"/>
          <w:lang w:val="en-GB"/>
        </w:rPr>
        <w:t>8</w:t>
      </w:r>
      <w:r w:rsidR="00EA7901" w:rsidRPr="00BE7878">
        <w:rPr>
          <w:rFonts w:ascii="Arial" w:hAnsi="Arial" w:cs="Arial"/>
          <w:noProof/>
          <w:szCs w:val="24"/>
          <w:lang w:val="en-GB"/>
        </w:rPr>
        <w:t>(1), 115–135. http://doi.org/10.1037/1076-8971.8.1.115</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Alison, L. J., Goodwill, A., Almond, L., Heuvel, C., &amp; Winter, J. (2010). Pragmatic solutions to offender profiling and </w:t>
      </w:r>
      <w:r w:rsidR="006A415D">
        <w:rPr>
          <w:rFonts w:ascii="Arial" w:hAnsi="Arial" w:cs="Arial"/>
          <w:noProof/>
          <w:szCs w:val="24"/>
          <w:lang w:val="en-GB"/>
        </w:rPr>
        <w:t>behavior</w:t>
      </w:r>
      <w:r w:rsidRPr="00BE7878">
        <w:rPr>
          <w:rFonts w:ascii="Arial" w:hAnsi="Arial" w:cs="Arial"/>
          <w:noProof/>
          <w:szCs w:val="24"/>
          <w:lang w:val="en-GB"/>
        </w:rPr>
        <w:t xml:space="preserve">al investigative advice. </w:t>
      </w:r>
      <w:r w:rsidRPr="00BE7878">
        <w:rPr>
          <w:rFonts w:ascii="Arial" w:hAnsi="Arial" w:cs="Arial"/>
          <w:i/>
          <w:iCs/>
          <w:noProof/>
          <w:szCs w:val="24"/>
          <w:lang w:val="en-GB"/>
        </w:rPr>
        <w:t>Legal and Criminological Psychology</w:t>
      </w:r>
      <w:r w:rsidRPr="00BE7878">
        <w:rPr>
          <w:rFonts w:ascii="Arial" w:hAnsi="Arial" w:cs="Arial"/>
          <w:noProof/>
          <w:szCs w:val="24"/>
          <w:lang w:val="en-GB"/>
        </w:rPr>
        <w:t xml:space="preserve">, </w:t>
      </w:r>
      <w:r w:rsidRPr="00BE7878">
        <w:rPr>
          <w:rFonts w:ascii="Arial" w:hAnsi="Arial" w:cs="Arial"/>
          <w:i/>
          <w:iCs/>
          <w:noProof/>
          <w:szCs w:val="24"/>
          <w:lang w:val="en-GB"/>
        </w:rPr>
        <w:t>15</w:t>
      </w:r>
      <w:r w:rsidRPr="00BE7878">
        <w:rPr>
          <w:rFonts w:ascii="Arial" w:hAnsi="Arial" w:cs="Arial"/>
          <w:noProof/>
          <w:szCs w:val="24"/>
          <w:lang w:val="en-GB"/>
        </w:rPr>
        <w:t>(1), 115–132. http://doi.org/10.1348/135532509X463347</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Alison, L. J., Goodwill, A. M., &amp; Alison, E. (2005). Guidelines for profilers. In L. J. Alison (Ed.), </w:t>
      </w:r>
      <w:r w:rsidRPr="00BE7878">
        <w:rPr>
          <w:rFonts w:ascii="Arial" w:hAnsi="Arial" w:cs="Arial"/>
          <w:i/>
          <w:iCs/>
          <w:noProof/>
          <w:szCs w:val="24"/>
          <w:lang w:val="en-GB"/>
        </w:rPr>
        <w:t>The forensic psychologist’s casebook</w:t>
      </w:r>
      <w:r w:rsidRPr="00BE7878">
        <w:rPr>
          <w:rFonts w:ascii="Arial" w:hAnsi="Arial" w:cs="Arial"/>
          <w:noProof/>
          <w:szCs w:val="24"/>
          <w:lang w:val="en-GB"/>
        </w:rPr>
        <w:t xml:space="preserve"> (pp. 235–248). Devon: Willan Publishing.</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Alison, L. J., Smith, M. D., Eastman, O., &amp; Rainbow, L. (2003). Toulmin’s philosophy of argument and its relevance to offender profiling. </w:t>
      </w:r>
      <w:r w:rsidRPr="00BE7878">
        <w:rPr>
          <w:rFonts w:ascii="Arial" w:hAnsi="Arial" w:cs="Arial"/>
          <w:i/>
          <w:iCs/>
          <w:noProof/>
          <w:szCs w:val="24"/>
          <w:lang w:val="en-GB"/>
        </w:rPr>
        <w:t>Psychology, Crime and Law</w:t>
      </w:r>
      <w:r w:rsidRPr="00BE7878">
        <w:rPr>
          <w:rFonts w:ascii="Arial" w:hAnsi="Arial" w:cs="Arial"/>
          <w:noProof/>
          <w:szCs w:val="24"/>
          <w:lang w:val="en-GB"/>
        </w:rPr>
        <w:t xml:space="preserve">, </w:t>
      </w:r>
      <w:r w:rsidRPr="00BE7878">
        <w:rPr>
          <w:rFonts w:ascii="Arial" w:hAnsi="Arial" w:cs="Arial"/>
          <w:i/>
          <w:iCs/>
          <w:noProof/>
          <w:szCs w:val="24"/>
          <w:lang w:val="en-GB"/>
        </w:rPr>
        <w:t>9</w:t>
      </w:r>
      <w:r w:rsidRPr="00BE7878">
        <w:rPr>
          <w:rFonts w:ascii="Arial" w:hAnsi="Arial" w:cs="Arial"/>
          <w:noProof/>
          <w:szCs w:val="24"/>
          <w:lang w:val="en-GB"/>
        </w:rPr>
        <w:t>(2), 173–183. http://doi.org/10.1080/1068316031000116265</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Almond, L., Alison, L., &amp; Porter, L. (2007). An evaluation and comparison of claims made in </w:t>
      </w:r>
      <w:r w:rsidR="006A415D">
        <w:rPr>
          <w:rFonts w:ascii="Arial" w:hAnsi="Arial" w:cs="Arial"/>
          <w:noProof/>
          <w:szCs w:val="24"/>
          <w:lang w:val="en-GB"/>
        </w:rPr>
        <w:t>behavior</w:t>
      </w:r>
      <w:r w:rsidRPr="00BE7878">
        <w:rPr>
          <w:rFonts w:ascii="Arial" w:hAnsi="Arial" w:cs="Arial"/>
          <w:noProof/>
          <w:szCs w:val="24"/>
          <w:lang w:val="en-GB"/>
        </w:rPr>
        <w:t xml:space="preserve">al investigative advice reports compiled by the National Policing Improvements Agency in the United Kingdom. </w:t>
      </w:r>
      <w:r w:rsidRPr="00BE7878">
        <w:rPr>
          <w:rFonts w:ascii="Arial" w:hAnsi="Arial" w:cs="Arial"/>
          <w:i/>
          <w:iCs/>
          <w:noProof/>
          <w:szCs w:val="24"/>
          <w:lang w:val="en-GB"/>
        </w:rPr>
        <w:t>Journal of Investigative Psychology and Offender Profiling</w:t>
      </w:r>
      <w:r w:rsidRPr="00BE7878">
        <w:rPr>
          <w:rFonts w:ascii="Arial" w:hAnsi="Arial" w:cs="Arial"/>
          <w:noProof/>
          <w:szCs w:val="24"/>
          <w:lang w:val="en-GB"/>
        </w:rPr>
        <w:t xml:space="preserve">, </w:t>
      </w:r>
      <w:r w:rsidRPr="00BE7878">
        <w:rPr>
          <w:rFonts w:ascii="Arial" w:hAnsi="Arial" w:cs="Arial"/>
          <w:i/>
          <w:iCs/>
          <w:noProof/>
          <w:szCs w:val="24"/>
          <w:lang w:val="en-GB"/>
        </w:rPr>
        <w:t>4</w:t>
      </w:r>
      <w:r w:rsidRPr="00BE7878">
        <w:rPr>
          <w:rFonts w:ascii="Arial" w:hAnsi="Arial" w:cs="Arial"/>
          <w:noProof/>
          <w:szCs w:val="24"/>
          <w:lang w:val="en-GB"/>
        </w:rPr>
        <w:t>(2), 71–83. http://doi.org/10.1002/jip.59</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Almond, L., McManus, M., Bal, A., O’Brien, F., Rainbow, L., &amp; Webb, M. (2018). Assisting the Investigation of Stranger Rapes: Predicting the Criminal Record of U.K. Stranger Rapists From Their Crime Scene </w:t>
      </w:r>
      <w:r w:rsidR="006A415D">
        <w:rPr>
          <w:rFonts w:ascii="Arial" w:hAnsi="Arial" w:cs="Arial"/>
          <w:noProof/>
          <w:szCs w:val="24"/>
          <w:lang w:val="en-GB"/>
        </w:rPr>
        <w:t>Behavior</w:t>
      </w:r>
      <w:r w:rsidRPr="00BE7878">
        <w:rPr>
          <w:rFonts w:ascii="Arial" w:hAnsi="Arial" w:cs="Arial"/>
          <w:noProof/>
          <w:szCs w:val="24"/>
          <w:lang w:val="en-GB"/>
        </w:rPr>
        <w:t xml:space="preserve">s. </w:t>
      </w:r>
      <w:r w:rsidRPr="00BE7878">
        <w:rPr>
          <w:rFonts w:ascii="Arial" w:hAnsi="Arial" w:cs="Arial"/>
          <w:i/>
          <w:iCs/>
          <w:noProof/>
          <w:szCs w:val="24"/>
          <w:lang w:val="en-GB"/>
        </w:rPr>
        <w:t>Journal of Interpersonal Violence</w:t>
      </w:r>
      <w:r w:rsidRPr="00BE7878">
        <w:rPr>
          <w:rFonts w:ascii="Arial" w:hAnsi="Arial" w:cs="Arial"/>
          <w:noProof/>
          <w:szCs w:val="24"/>
          <w:lang w:val="en-GB"/>
        </w:rPr>
        <w:t>. http://doi.org/10.1177/0886260518756118</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Asendorpf, J. B., Conner, M., De Fruyt, F., De Houwer, J., Denissen, J. J. A., Fiedler, K., … Wicherts, J. M. (2013). Recommendations for Increasing Replicability in Psychology. </w:t>
      </w:r>
      <w:r w:rsidRPr="00BE7878">
        <w:rPr>
          <w:rFonts w:ascii="Arial" w:hAnsi="Arial" w:cs="Arial"/>
          <w:i/>
          <w:iCs/>
          <w:noProof/>
          <w:szCs w:val="24"/>
          <w:lang w:val="en-GB"/>
        </w:rPr>
        <w:t>European Journal of Personality</w:t>
      </w:r>
      <w:r w:rsidRPr="00BE7878">
        <w:rPr>
          <w:rFonts w:ascii="Arial" w:hAnsi="Arial" w:cs="Arial"/>
          <w:noProof/>
          <w:szCs w:val="24"/>
          <w:lang w:val="en-GB"/>
        </w:rPr>
        <w:t xml:space="preserve">, </w:t>
      </w:r>
      <w:r w:rsidRPr="00BE7878">
        <w:rPr>
          <w:rFonts w:ascii="Arial" w:hAnsi="Arial" w:cs="Arial"/>
          <w:i/>
          <w:iCs/>
          <w:noProof/>
          <w:szCs w:val="24"/>
          <w:lang w:val="en-GB"/>
        </w:rPr>
        <w:t>27</w:t>
      </w:r>
      <w:r w:rsidRPr="00BE7878">
        <w:rPr>
          <w:rFonts w:ascii="Arial" w:hAnsi="Arial" w:cs="Arial"/>
          <w:noProof/>
          <w:szCs w:val="24"/>
          <w:lang w:val="en-GB"/>
        </w:rPr>
        <w:t>(2), 108–119. http://doi.org/10.1002/per.1919</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Beauregard, E., &amp; Bouchard, M. (2010). Cleaning up your act: Forensic awareness as a detection avoidance strategy. </w:t>
      </w:r>
      <w:r w:rsidRPr="00BE7878">
        <w:rPr>
          <w:rFonts w:ascii="Arial" w:hAnsi="Arial" w:cs="Arial"/>
          <w:i/>
          <w:iCs/>
          <w:noProof/>
          <w:szCs w:val="24"/>
          <w:lang w:val="en-GB"/>
        </w:rPr>
        <w:t>Journal of Criminal Justice</w:t>
      </w:r>
      <w:r w:rsidRPr="00BE7878">
        <w:rPr>
          <w:rFonts w:ascii="Arial" w:hAnsi="Arial" w:cs="Arial"/>
          <w:noProof/>
          <w:szCs w:val="24"/>
          <w:lang w:val="en-GB"/>
        </w:rPr>
        <w:t xml:space="preserve">, </w:t>
      </w:r>
      <w:r w:rsidRPr="00BE7878">
        <w:rPr>
          <w:rFonts w:ascii="Arial" w:hAnsi="Arial" w:cs="Arial"/>
          <w:i/>
          <w:iCs/>
          <w:noProof/>
          <w:szCs w:val="24"/>
          <w:lang w:val="en-GB"/>
        </w:rPr>
        <w:t>38</w:t>
      </w:r>
      <w:r w:rsidRPr="00BE7878">
        <w:rPr>
          <w:rFonts w:ascii="Arial" w:hAnsi="Arial" w:cs="Arial"/>
          <w:noProof/>
          <w:szCs w:val="24"/>
          <w:lang w:val="en-GB"/>
        </w:rPr>
        <w:t>(6), 1160–1166. http://doi.org/10.1016/j.jcrimjus.2010.09.004</w:t>
      </w:r>
    </w:p>
    <w:p w:rsidR="006115DB" w:rsidRPr="00BE7878" w:rsidRDefault="006115DB" w:rsidP="00CB2434">
      <w:pPr>
        <w:widowControl w:val="0"/>
        <w:autoSpaceDE w:val="0"/>
        <w:autoSpaceDN w:val="0"/>
        <w:adjustRightInd w:val="0"/>
        <w:spacing w:line="360" w:lineRule="auto"/>
        <w:ind w:left="480" w:hanging="480"/>
        <w:jc w:val="both"/>
        <w:rPr>
          <w:rFonts w:ascii="Arial" w:hAnsi="Arial" w:cs="Arial"/>
          <w:noProof/>
          <w:szCs w:val="24"/>
          <w:lang w:val="en-GB"/>
        </w:rPr>
      </w:pPr>
    </w:p>
    <w:p w:rsidR="006115DB" w:rsidRPr="00BE7878" w:rsidRDefault="006115DB" w:rsidP="00CB2434">
      <w:pPr>
        <w:widowControl w:val="0"/>
        <w:autoSpaceDE w:val="0"/>
        <w:autoSpaceDN w:val="0"/>
        <w:adjustRightInd w:val="0"/>
        <w:spacing w:line="360" w:lineRule="auto"/>
        <w:ind w:left="480" w:hanging="480"/>
        <w:jc w:val="both"/>
        <w:rPr>
          <w:rFonts w:ascii="Arial" w:hAnsi="Arial" w:cs="Arial"/>
          <w:noProof/>
          <w:szCs w:val="24"/>
          <w:lang w:val="en-GB"/>
        </w:rPr>
      </w:pPr>
    </w:p>
    <w:p w:rsidR="006115DB" w:rsidRPr="00BE7878" w:rsidRDefault="006115DB" w:rsidP="00CB2434">
      <w:pPr>
        <w:widowControl w:val="0"/>
        <w:autoSpaceDE w:val="0"/>
        <w:autoSpaceDN w:val="0"/>
        <w:adjustRightInd w:val="0"/>
        <w:spacing w:line="360" w:lineRule="auto"/>
        <w:ind w:left="480" w:hanging="480"/>
        <w:jc w:val="both"/>
        <w:rPr>
          <w:rFonts w:ascii="Arial" w:hAnsi="Arial" w:cs="Arial"/>
          <w:noProof/>
          <w:szCs w:val="24"/>
          <w:lang w:val="en-GB"/>
        </w:rPr>
      </w:pP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lastRenderedPageBreak/>
        <w:t xml:space="preserve">Beauregard, E., &amp; Martineau, M. (2013). A descriptive study of sexual homicide in Canada: Implications for police investigation. </w:t>
      </w:r>
      <w:r w:rsidRPr="00BE7878">
        <w:rPr>
          <w:rFonts w:ascii="Arial" w:hAnsi="Arial" w:cs="Arial"/>
          <w:i/>
          <w:iCs/>
          <w:noProof/>
          <w:szCs w:val="24"/>
          <w:lang w:val="en-GB"/>
        </w:rPr>
        <w:t>International Journal of Offender Therapy and Comparative Criminology</w:t>
      </w:r>
      <w:r w:rsidRPr="00BE7878">
        <w:rPr>
          <w:rFonts w:ascii="Arial" w:hAnsi="Arial" w:cs="Arial"/>
          <w:noProof/>
          <w:szCs w:val="24"/>
          <w:lang w:val="en-GB"/>
        </w:rPr>
        <w:t xml:space="preserve">, </w:t>
      </w:r>
      <w:r w:rsidRPr="00BE7878">
        <w:rPr>
          <w:rFonts w:ascii="Arial" w:hAnsi="Arial" w:cs="Arial"/>
          <w:i/>
          <w:iCs/>
          <w:noProof/>
          <w:szCs w:val="24"/>
          <w:lang w:val="en-GB"/>
        </w:rPr>
        <w:t>57</w:t>
      </w:r>
      <w:r w:rsidRPr="00BE7878">
        <w:rPr>
          <w:rFonts w:ascii="Arial" w:hAnsi="Arial" w:cs="Arial"/>
          <w:noProof/>
          <w:szCs w:val="24"/>
          <w:lang w:val="en-GB"/>
        </w:rPr>
        <w:t>(12), 1454–1476. http://doi.org/10.1177/0306624X12456682</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Broidy, L. M., Daday, J. K., Crandall, C. S., Sklar, D. P., &amp; Jost, P. F. (2006). Exploring Demographic, Structural, and </w:t>
      </w:r>
      <w:r w:rsidR="006A415D">
        <w:rPr>
          <w:rFonts w:ascii="Arial" w:hAnsi="Arial" w:cs="Arial"/>
          <w:noProof/>
          <w:szCs w:val="24"/>
          <w:lang w:val="en-GB"/>
        </w:rPr>
        <w:t>Behavior</w:t>
      </w:r>
      <w:r w:rsidRPr="00BE7878">
        <w:rPr>
          <w:rFonts w:ascii="Arial" w:hAnsi="Arial" w:cs="Arial"/>
          <w:noProof/>
          <w:szCs w:val="24"/>
          <w:lang w:val="en-GB"/>
        </w:rPr>
        <w:t xml:space="preserve">al Overlap Among Homicide Offenders and Victims. </w:t>
      </w:r>
      <w:r w:rsidRPr="00BE7878">
        <w:rPr>
          <w:rFonts w:ascii="Arial" w:hAnsi="Arial" w:cs="Arial"/>
          <w:i/>
          <w:iCs/>
          <w:noProof/>
          <w:szCs w:val="24"/>
          <w:lang w:val="en-GB"/>
        </w:rPr>
        <w:t>Homicide Studies</w:t>
      </w:r>
      <w:r w:rsidRPr="00BE7878">
        <w:rPr>
          <w:rFonts w:ascii="Arial" w:hAnsi="Arial" w:cs="Arial"/>
          <w:noProof/>
          <w:szCs w:val="24"/>
          <w:lang w:val="en-GB"/>
        </w:rPr>
        <w:t xml:space="preserve">, </w:t>
      </w:r>
      <w:r w:rsidRPr="00BE7878">
        <w:rPr>
          <w:rFonts w:ascii="Arial" w:hAnsi="Arial" w:cs="Arial"/>
          <w:i/>
          <w:iCs/>
          <w:noProof/>
          <w:szCs w:val="24"/>
          <w:lang w:val="en-GB"/>
        </w:rPr>
        <w:t>10</w:t>
      </w:r>
      <w:r w:rsidRPr="00BE7878">
        <w:rPr>
          <w:rFonts w:ascii="Arial" w:hAnsi="Arial" w:cs="Arial"/>
          <w:noProof/>
          <w:szCs w:val="24"/>
          <w:lang w:val="en-GB"/>
        </w:rPr>
        <w:t>(3), 155–180. http://doi.org/10.1177/1088767906288577</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Canter, D. V. (2011). Resolving the offender ‘profiling equations’ and the emergence of an investigative psychology. </w:t>
      </w:r>
      <w:r w:rsidRPr="00BE7878">
        <w:rPr>
          <w:rFonts w:ascii="Arial" w:hAnsi="Arial" w:cs="Arial"/>
          <w:i/>
          <w:iCs/>
          <w:noProof/>
          <w:szCs w:val="24"/>
          <w:lang w:val="en-GB"/>
        </w:rPr>
        <w:t>Current Directions in Psychological Science</w:t>
      </w:r>
      <w:r w:rsidRPr="00BE7878">
        <w:rPr>
          <w:rFonts w:ascii="Arial" w:hAnsi="Arial" w:cs="Arial"/>
          <w:noProof/>
          <w:szCs w:val="24"/>
          <w:lang w:val="en-GB"/>
        </w:rPr>
        <w:t xml:space="preserve">, </w:t>
      </w:r>
      <w:r w:rsidRPr="00BE7878">
        <w:rPr>
          <w:rFonts w:ascii="Arial" w:hAnsi="Arial" w:cs="Arial"/>
          <w:i/>
          <w:iCs/>
          <w:noProof/>
          <w:szCs w:val="24"/>
          <w:lang w:val="en-GB"/>
        </w:rPr>
        <w:t>20</w:t>
      </w:r>
      <w:r w:rsidRPr="00BE7878">
        <w:rPr>
          <w:rFonts w:ascii="Arial" w:hAnsi="Arial" w:cs="Arial"/>
          <w:noProof/>
          <w:szCs w:val="24"/>
          <w:lang w:val="en-GB"/>
        </w:rPr>
        <w:t>(1), 5–10. http://doi.org/10.1177/0963721410396825</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Chen, H., Cohen, P., &amp; Chen, S. (2010). How Big is a Big Odds Ratio? Interpreting the Magnitudes of Odds Ratios in Epidemiological Studies. </w:t>
      </w:r>
      <w:r w:rsidRPr="00BE7878">
        <w:rPr>
          <w:rFonts w:ascii="Arial" w:hAnsi="Arial" w:cs="Arial"/>
          <w:i/>
          <w:iCs/>
          <w:noProof/>
          <w:szCs w:val="24"/>
          <w:lang w:val="en-GB"/>
        </w:rPr>
        <w:t>Communications in Statistics - Simulation and Computation</w:t>
      </w:r>
      <w:r w:rsidRPr="00BE7878">
        <w:rPr>
          <w:rFonts w:ascii="Arial" w:hAnsi="Arial" w:cs="Arial"/>
          <w:noProof/>
          <w:szCs w:val="24"/>
          <w:lang w:val="en-GB"/>
        </w:rPr>
        <w:t xml:space="preserve">, </w:t>
      </w:r>
      <w:r w:rsidRPr="00BE7878">
        <w:rPr>
          <w:rFonts w:ascii="Arial" w:hAnsi="Arial" w:cs="Arial"/>
          <w:i/>
          <w:iCs/>
          <w:noProof/>
          <w:szCs w:val="24"/>
          <w:lang w:val="en-GB"/>
        </w:rPr>
        <w:t>39</w:t>
      </w:r>
      <w:r w:rsidRPr="00BE7878">
        <w:rPr>
          <w:rFonts w:ascii="Arial" w:hAnsi="Arial" w:cs="Arial"/>
          <w:noProof/>
          <w:szCs w:val="24"/>
          <w:lang w:val="en-GB"/>
        </w:rPr>
        <w:t>(4), 860–864. http://doi.org/10.1080/03610911003650383</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Cole, T., &amp; Brown, J. (2014). </w:t>
      </w:r>
      <w:r w:rsidR="006A415D">
        <w:rPr>
          <w:rFonts w:ascii="Arial" w:hAnsi="Arial" w:cs="Arial"/>
          <w:noProof/>
          <w:szCs w:val="24"/>
          <w:lang w:val="en-GB"/>
        </w:rPr>
        <w:t>Behavior</w:t>
      </w:r>
      <w:r w:rsidRPr="00BE7878">
        <w:rPr>
          <w:rFonts w:ascii="Arial" w:hAnsi="Arial" w:cs="Arial"/>
          <w:noProof/>
          <w:szCs w:val="24"/>
          <w:lang w:val="en-GB"/>
        </w:rPr>
        <w:t xml:space="preserve">al investigative advice: Assistance to investigative decision-making in difficult-to-detect murder. </w:t>
      </w:r>
      <w:r w:rsidRPr="00BE7878">
        <w:rPr>
          <w:rFonts w:ascii="Arial" w:hAnsi="Arial" w:cs="Arial"/>
          <w:i/>
          <w:iCs/>
          <w:noProof/>
          <w:szCs w:val="24"/>
          <w:lang w:val="en-GB"/>
        </w:rPr>
        <w:t>Journal of Investigative Psychology and Offender Profiling</w:t>
      </w:r>
      <w:r w:rsidRPr="00BE7878">
        <w:rPr>
          <w:rFonts w:ascii="Arial" w:hAnsi="Arial" w:cs="Arial"/>
          <w:noProof/>
          <w:szCs w:val="24"/>
          <w:lang w:val="en-GB"/>
        </w:rPr>
        <w:t xml:space="preserve">, </w:t>
      </w:r>
      <w:r w:rsidRPr="00BE7878">
        <w:rPr>
          <w:rFonts w:ascii="Arial" w:hAnsi="Arial" w:cs="Arial"/>
          <w:i/>
          <w:iCs/>
          <w:noProof/>
          <w:szCs w:val="24"/>
          <w:lang w:val="en-GB"/>
        </w:rPr>
        <w:t>11</w:t>
      </w:r>
      <w:r w:rsidRPr="00BE7878">
        <w:rPr>
          <w:rFonts w:ascii="Arial" w:hAnsi="Arial" w:cs="Arial"/>
          <w:noProof/>
          <w:szCs w:val="24"/>
          <w:lang w:val="en-GB"/>
        </w:rPr>
        <w:t>(3), 191–220. http://doi.org/10.1002/jip.1396</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EA7901">
        <w:rPr>
          <w:rFonts w:ascii="Arial" w:hAnsi="Arial" w:cs="Arial"/>
          <w:noProof/>
          <w:szCs w:val="24"/>
        </w:rPr>
        <w:t xml:space="preserve">Crabbé, A., Decoene, S., &amp; Vertommen, H. (2008). </w:t>
      </w:r>
      <w:r w:rsidRPr="00BE7878">
        <w:rPr>
          <w:rFonts w:ascii="Arial" w:hAnsi="Arial" w:cs="Arial"/>
          <w:noProof/>
          <w:szCs w:val="24"/>
          <w:lang w:val="en-GB"/>
        </w:rPr>
        <w:t xml:space="preserve">Profiling homicide offenders: A review of assumptions and theories. </w:t>
      </w:r>
      <w:r w:rsidRPr="00BE7878">
        <w:rPr>
          <w:rFonts w:ascii="Arial" w:hAnsi="Arial" w:cs="Arial"/>
          <w:i/>
          <w:iCs/>
          <w:noProof/>
          <w:szCs w:val="24"/>
          <w:lang w:val="en-GB"/>
        </w:rPr>
        <w:t xml:space="preserve">Aggression and Violent </w:t>
      </w:r>
      <w:r w:rsidR="006A415D">
        <w:rPr>
          <w:rFonts w:ascii="Arial" w:hAnsi="Arial" w:cs="Arial"/>
          <w:i/>
          <w:iCs/>
          <w:noProof/>
          <w:szCs w:val="24"/>
          <w:lang w:val="en-GB"/>
        </w:rPr>
        <w:t>Behavior</w:t>
      </w:r>
      <w:r w:rsidRPr="00BE7878">
        <w:rPr>
          <w:rFonts w:ascii="Arial" w:hAnsi="Arial" w:cs="Arial"/>
          <w:noProof/>
          <w:szCs w:val="24"/>
          <w:lang w:val="en-GB"/>
        </w:rPr>
        <w:t xml:space="preserve">, </w:t>
      </w:r>
      <w:r w:rsidRPr="00BE7878">
        <w:rPr>
          <w:rFonts w:ascii="Arial" w:hAnsi="Arial" w:cs="Arial"/>
          <w:i/>
          <w:iCs/>
          <w:noProof/>
          <w:szCs w:val="24"/>
          <w:lang w:val="en-GB"/>
        </w:rPr>
        <w:t>13</w:t>
      </w:r>
      <w:r w:rsidRPr="00BE7878">
        <w:rPr>
          <w:rFonts w:ascii="Arial" w:hAnsi="Arial" w:cs="Arial"/>
          <w:noProof/>
          <w:szCs w:val="24"/>
          <w:lang w:val="en-GB"/>
        </w:rPr>
        <w:t>(2), 88–106. http://doi.org/10.1016/j.avb.2008.01.001</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Cramer, J. S. (1999). Predictive Performance of the Binary Logit Model in Unbalanced Samples. </w:t>
      </w:r>
      <w:r w:rsidRPr="00BE7878">
        <w:rPr>
          <w:rFonts w:ascii="Arial" w:hAnsi="Arial" w:cs="Arial"/>
          <w:i/>
          <w:iCs/>
          <w:noProof/>
          <w:szCs w:val="24"/>
          <w:lang w:val="en-GB"/>
        </w:rPr>
        <w:t>Journal of the Royal Statistical Society: Series D (The Statistician)</w:t>
      </w:r>
      <w:r w:rsidRPr="00BE7878">
        <w:rPr>
          <w:rFonts w:ascii="Arial" w:hAnsi="Arial" w:cs="Arial"/>
          <w:noProof/>
          <w:szCs w:val="24"/>
          <w:lang w:val="en-GB"/>
        </w:rPr>
        <w:t xml:space="preserve">, </w:t>
      </w:r>
      <w:r w:rsidRPr="00BE7878">
        <w:rPr>
          <w:rFonts w:ascii="Arial" w:hAnsi="Arial" w:cs="Arial"/>
          <w:i/>
          <w:iCs/>
          <w:noProof/>
          <w:szCs w:val="24"/>
          <w:lang w:val="en-GB"/>
        </w:rPr>
        <w:t>48</w:t>
      </w:r>
      <w:r w:rsidRPr="00BE7878">
        <w:rPr>
          <w:rFonts w:ascii="Arial" w:hAnsi="Arial" w:cs="Arial"/>
          <w:noProof/>
          <w:szCs w:val="24"/>
          <w:lang w:val="en-GB"/>
        </w:rPr>
        <w:t>(1), 85–94. http://doi.org/10.1111/1467-9884.00173</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Davies, A., Wittebrood, K., &amp; Jackson, J. L. (1997). Predicting the criminal antecedents of a stranger rapist from his offence </w:t>
      </w:r>
      <w:r w:rsidR="006A415D">
        <w:rPr>
          <w:rFonts w:ascii="Arial" w:hAnsi="Arial" w:cs="Arial"/>
          <w:noProof/>
          <w:szCs w:val="24"/>
          <w:lang w:val="en-GB"/>
        </w:rPr>
        <w:t>behavior</w:t>
      </w:r>
      <w:r w:rsidRPr="00BE7878">
        <w:rPr>
          <w:rFonts w:ascii="Arial" w:hAnsi="Arial" w:cs="Arial"/>
          <w:noProof/>
          <w:szCs w:val="24"/>
          <w:lang w:val="en-GB"/>
        </w:rPr>
        <w:t xml:space="preserve">. </w:t>
      </w:r>
      <w:r w:rsidRPr="00BE7878">
        <w:rPr>
          <w:rFonts w:ascii="Arial" w:hAnsi="Arial" w:cs="Arial"/>
          <w:i/>
          <w:iCs/>
          <w:noProof/>
          <w:szCs w:val="24"/>
          <w:lang w:val="en-GB"/>
        </w:rPr>
        <w:t>Science and Justice - Journal of the Forensic Science Society</w:t>
      </w:r>
      <w:r w:rsidRPr="00BE7878">
        <w:rPr>
          <w:rFonts w:ascii="Arial" w:hAnsi="Arial" w:cs="Arial"/>
          <w:noProof/>
          <w:szCs w:val="24"/>
          <w:lang w:val="en-GB"/>
        </w:rPr>
        <w:t xml:space="preserve">, </w:t>
      </w:r>
      <w:r w:rsidRPr="00BE7878">
        <w:rPr>
          <w:rFonts w:ascii="Arial" w:hAnsi="Arial" w:cs="Arial"/>
          <w:i/>
          <w:iCs/>
          <w:noProof/>
          <w:szCs w:val="24"/>
          <w:lang w:val="en-GB"/>
        </w:rPr>
        <w:t>37</w:t>
      </w:r>
      <w:r w:rsidRPr="00BE7878">
        <w:rPr>
          <w:rFonts w:ascii="Arial" w:hAnsi="Arial" w:cs="Arial"/>
          <w:noProof/>
          <w:szCs w:val="24"/>
          <w:lang w:val="en-GB"/>
        </w:rPr>
        <w:t>(3), 161–170. http://doi.org/10.1016/S1355-0306(97)72169-5</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Fawcett, T. (2006). An introduction to ROC analysis. </w:t>
      </w:r>
      <w:r w:rsidRPr="00BE7878">
        <w:rPr>
          <w:rFonts w:ascii="Arial" w:hAnsi="Arial" w:cs="Arial"/>
          <w:i/>
          <w:iCs/>
          <w:noProof/>
          <w:szCs w:val="24"/>
          <w:lang w:val="en-GB"/>
        </w:rPr>
        <w:t>Pattern Recognition Letters</w:t>
      </w:r>
      <w:r w:rsidRPr="00BE7878">
        <w:rPr>
          <w:rFonts w:ascii="Arial" w:hAnsi="Arial" w:cs="Arial"/>
          <w:noProof/>
          <w:szCs w:val="24"/>
          <w:lang w:val="en-GB"/>
        </w:rPr>
        <w:t xml:space="preserve">, </w:t>
      </w:r>
      <w:r w:rsidRPr="00BE7878">
        <w:rPr>
          <w:rFonts w:ascii="Arial" w:hAnsi="Arial" w:cs="Arial"/>
          <w:i/>
          <w:iCs/>
          <w:noProof/>
          <w:szCs w:val="24"/>
          <w:lang w:val="en-GB"/>
        </w:rPr>
        <w:t>27</w:t>
      </w:r>
      <w:r w:rsidRPr="00BE7878">
        <w:rPr>
          <w:rFonts w:ascii="Arial" w:hAnsi="Arial" w:cs="Arial"/>
          <w:noProof/>
          <w:szCs w:val="24"/>
          <w:lang w:val="en-GB"/>
        </w:rPr>
        <w:t>(8), 861–874. http://doi.org/10.1016/j.patrec.2005.10.010</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Field, A. P. (2013). </w:t>
      </w:r>
      <w:r w:rsidRPr="00BE7878">
        <w:rPr>
          <w:rFonts w:ascii="Arial" w:hAnsi="Arial" w:cs="Arial"/>
          <w:i/>
          <w:iCs/>
          <w:noProof/>
          <w:szCs w:val="24"/>
          <w:lang w:val="en-GB"/>
        </w:rPr>
        <w:t>Discovering Statistics Using IBM SPSS Statistics</w:t>
      </w:r>
      <w:r w:rsidRPr="00BE7878">
        <w:rPr>
          <w:rFonts w:ascii="Arial" w:hAnsi="Arial" w:cs="Arial"/>
          <w:noProof/>
          <w:szCs w:val="24"/>
          <w:lang w:val="en-GB"/>
        </w:rPr>
        <w:t xml:space="preserve"> (4th ed.). London: Sage.</w:t>
      </w:r>
    </w:p>
    <w:p w:rsidR="006115DB" w:rsidRPr="00BE7878" w:rsidRDefault="006115DB" w:rsidP="00CB2434">
      <w:pPr>
        <w:widowControl w:val="0"/>
        <w:autoSpaceDE w:val="0"/>
        <w:autoSpaceDN w:val="0"/>
        <w:adjustRightInd w:val="0"/>
        <w:spacing w:line="360" w:lineRule="auto"/>
        <w:ind w:left="480" w:hanging="480"/>
        <w:jc w:val="both"/>
        <w:rPr>
          <w:rFonts w:ascii="Arial" w:hAnsi="Arial" w:cs="Arial"/>
          <w:noProof/>
          <w:szCs w:val="24"/>
          <w:lang w:val="en-GB"/>
        </w:rPr>
      </w:pP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lastRenderedPageBreak/>
        <w:t>Francis, B., Barry, J., Bowater, R., Miller, N., Soothill, K., &amp; Ackerley, E. (2004). Using homicide data to assist murder investigations. Retrieved 28 December 2017, from http://eprints.lancs.ac.uk/9492/1/francishomicide2004.pdf</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Fujita, G., Watanabe, K., Yokota, K., Suzuki, M., Wachi, T., Otsuka, Y., &amp; Kuraishi, H. (2016). A Multivariate Model for Analyzing Crime Scene Information: Predicting Stranger, Solo Offender, and Money-Oriented Motive of Japanese Homicides. </w:t>
      </w:r>
      <w:r w:rsidRPr="00BE7878">
        <w:rPr>
          <w:rFonts w:ascii="Arial" w:hAnsi="Arial" w:cs="Arial"/>
          <w:i/>
          <w:iCs/>
          <w:noProof/>
          <w:szCs w:val="24"/>
          <w:lang w:val="en-GB"/>
        </w:rPr>
        <w:t>Homicide Studies</w:t>
      </w:r>
      <w:r w:rsidRPr="00BE7878">
        <w:rPr>
          <w:rFonts w:ascii="Arial" w:hAnsi="Arial" w:cs="Arial"/>
          <w:noProof/>
          <w:szCs w:val="24"/>
          <w:lang w:val="en-GB"/>
        </w:rPr>
        <w:t xml:space="preserve">, </w:t>
      </w:r>
      <w:r w:rsidRPr="00BE7878">
        <w:rPr>
          <w:rFonts w:ascii="Arial" w:hAnsi="Arial" w:cs="Arial"/>
          <w:i/>
          <w:iCs/>
          <w:noProof/>
          <w:szCs w:val="24"/>
          <w:lang w:val="en-GB"/>
        </w:rPr>
        <w:t>20</w:t>
      </w:r>
      <w:r w:rsidRPr="00BE7878">
        <w:rPr>
          <w:rFonts w:ascii="Arial" w:hAnsi="Arial" w:cs="Arial"/>
          <w:noProof/>
          <w:szCs w:val="24"/>
          <w:lang w:val="en-GB"/>
        </w:rPr>
        <w:t>(4), 295–320. http://doi.org/10.1177/1088767915613828</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Goetting, A. (1991). Female victims of homicide: A portrait of their killers and the circumstances of their deaths. </w:t>
      </w:r>
      <w:r w:rsidRPr="00BE7878">
        <w:rPr>
          <w:rFonts w:ascii="Arial" w:hAnsi="Arial" w:cs="Arial"/>
          <w:i/>
          <w:iCs/>
          <w:noProof/>
          <w:szCs w:val="24"/>
          <w:lang w:val="en-GB"/>
        </w:rPr>
        <w:t>Violence and Victims</w:t>
      </w:r>
      <w:r w:rsidRPr="00BE7878">
        <w:rPr>
          <w:rFonts w:ascii="Arial" w:hAnsi="Arial" w:cs="Arial"/>
          <w:noProof/>
          <w:szCs w:val="24"/>
          <w:lang w:val="en-GB"/>
        </w:rPr>
        <w:t>. US: Springer Publishing.</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Goodwill, A. M., Alison, L. J., &amp; Beech, A. R. (2009). What works in offender profiling? A comparison of typological, thematic, and multivariate models. </w:t>
      </w:r>
      <w:r w:rsidR="006A415D">
        <w:rPr>
          <w:rFonts w:ascii="Arial" w:hAnsi="Arial" w:cs="Arial"/>
          <w:i/>
          <w:iCs/>
          <w:noProof/>
          <w:szCs w:val="24"/>
          <w:lang w:val="en-GB"/>
        </w:rPr>
        <w:t>Behavior</w:t>
      </w:r>
      <w:r w:rsidRPr="00BE7878">
        <w:rPr>
          <w:rFonts w:ascii="Arial" w:hAnsi="Arial" w:cs="Arial"/>
          <w:i/>
          <w:iCs/>
          <w:noProof/>
          <w:szCs w:val="24"/>
          <w:lang w:val="en-GB"/>
        </w:rPr>
        <w:t>al Sciences &amp; the Law</w:t>
      </w:r>
      <w:r w:rsidRPr="00BE7878">
        <w:rPr>
          <w:rFonts w:ascii="Arial" w:hAnsi="Arial" w:cs="Arial"/>
          <w:noProof/>
          <w:szCs w:val="24"/>
          <w:lang w:val="en-GB"/>
        </w:rPr>
        <w:t xml:space="preserve">, </w:t>
      </w:r>
      <w:r w:rsidRPr="00BE7878">
        <w:rPr>
          <w:rFonts w:ascii="Arial" w:hAnsi="Arial" w:cs="Arial"/>
          <w:i/>
          <w:iCs/>
          <w:noProof/>
          <w:szCs w:val="24"/>
          <w:lang w:val="en-GB"/>
        </w:rPr>
        <w:t>27</w:t>
      </w:r>
      <w:r w:rsidRPr="00BE7878">
        <w:rPr>
          <w:rFonts w:ascii="Arial" w:hAnsi="Arial" w:cs="Arial"/>
          <w:noProof/>
          <w:szCs w:val="24"/>
          <w:lang w:val="en-GB"/>
        </w:rPr>
        <w:t>(4), 507–529. http://doi.org/10.1002/bsl.867</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Greenall, P. V, &amp; Richardson, C. (2015). Adult Male-on-Female Stranger Sexual Homicide: A Descriptive (Baseline) Study From Great Britain. </w:t>
      </w:r>
      <w:r w:rsidRPr="00BE7878">
        <w:rPr>
          <w:rFonts w:ascii="Arial" w:hAnsi="Arial" w:cs="Arial"/>
          <w:i/>
          <w:iCs/>
          <w:noProof/>
          <w:szCs w:val="24"/>
          <w:lang w:val="en-GB"/>
        </w:rPr>
        <w:t>Homicide Studies</w:t>
      </w:r>
      <w:r w:rsidRPr="00BE7878">
        <w:rPr>
          <w:rFonts w:ascii="Arial" w:hAnsi="Arial" w:cs="Arial"/>
          <w:noProof/>
          <w:szCs w:val="24"/>
          <w:lang w:val="en-GB"/>
        </w:rPr>
        <w:t xml:space="preserve">, </w:t>
      </w:r>
      <w:r w:rsidRPr="00BE7878">
        <w:rPr>
          <w:rFonts w:ascii="Arial" w:hAnsi="Arial" w:cs="Arial"/>
          <w:i/>
          <w:iCs/>
          <w:noProof/>
          <w:szCs w:val="24"/>
          <w:lang w:val="en-GB"/>
        </w:rPr>
        <w:t>19</w:t>
      </w:r>
      <w:r w:rsidRPr="00BE7878">
        <w:rPr>
          <w:rFonts w:ascii="Arial" w:hAnsi="Arial" w:cs="Arial"/>
          <w:noProof/>
          <w:szCs w:val="24"/>
          <w:lang w:val="en-GB"/>
        </w:rPr>
        <w:t>(3), 237–256. http://doi.org/10.1177/1088767914530555</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Horning, A. M., Salfati, C. G., &amp; Crawford, K. (2010). Prior crime specialization and its relationship to homicide crime scene </w:t>
      </w:r>
      <w:r w:rsidR="006A415D">
        <w:rPr>
          <w:rFonts w:ascii="Arial" w:hAnsi="Arial" w:cs="Arial"/>
          <w:noProof/>
          <w:szCs w:val="24"/>
          <w:lang w:val="en-GB"/>
        </w:rPr>
        <w:t>behavior</w:t>
      </w:r>
      <w:r w:rsidRPr="00BE7878">
        <w:rPr>
          <w:rFonts w:ascii="Arial" w:hAnsi="Arial" w:cs="Arial"/>
          <w:noProof/>
          <w:szCs w:val="24"/>
          <w:lang w:val="en-GB"/>
        </w:rPr>
        <w:t xml:space="preserve"> type. </w:t>
      </w:r>
      <w:r w:rsidRPr="00BE7878">
        <w:rPr>
          <w:rFonts w:ascii="Arial" w:hAnsi="Arial" w:cs="Arial"/>
          <w:i/>
          <w:iCs/>
          <w:noProof/>
          <w:szCs w:val="24"/>
          <w:lang w:val="en-GB"/>
        </w:rPr>
        <w:t>Homicide Studies</w:t>
      </w:r>
      <w:r w:rsidRPr="00BE7878">
        <w:rPr>
          <w:rFonts w:ascii="Arial" w:hAnsi="Arial" w:cs="Arial"/>
          <w:noProof/>
          <w:szCs w:val="24"/>
          <w:lang w:val="en-GB"/>
        </w:rPr>
        <w:t xml:space="preserve">, </w:t>
      </w:r>
      <w:r w:rsidRPr="00BE7878">
        <w:rPr>
          <w:rFonts w:ascii="Arial" w:hAnsi="Arial" w:cs="Arial"/>
          <w:i/>
          <w:iCs/>
          <w:noProof/>
          <w:szCs w:val="24"/>
          <w:lang w:val="en-GB"/>
        </w:rPr>
        <w:t>14</w:t>
      </w:r>
      <w:r w:rsidRPr="00BE7878">
        <w:rPr>
          <w:rFonts w:ascii="Arial" w:hAnsi="Arial" w:cs="Arial"/>
          <w:noProof/>
          <w:szCs w:val="24"/>
          <w:lang w:val="en-GB"/>
        </w:rPr>
        <w:t>(4), 377–399. http://doi.org/10.1177/1088767910382833</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Innes, M. (2003). </w:t>
      </w:r>
      <w:r w:rsidRPr="00BE7878">
        <w:rPr>
          <w:rFonts w:ascii="Arial" w:hAnsi="Arial" w:cs="Arial"/>
          <w:i/>
          <w:iCs/>
          <w:noProof/>
          <w:szCs w:val="24"/>
          <w:lang w:val="en-GB"/>
        </w:rPr>
        <w:t>Investigating Murder: Detective Work and the Police Response to Criminal Homicide</w:t>
      </w:r>
      <w:r w:rsidRPr="00BE7878">
        <w:rPr>
          <w:rFonts w:ascii="Arial" w:hAnsi="Arial" w:cs="Arial"/>
          <w:noProof/>
          <w:szCs w:val="24"/>
          <w:lang w:val="en-GB"/>
        </w:rPr>
        <w:t>. Oxford University Press.</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Jurik, N. C., &amp; Winn, R. (1990). Gender and homicide: a comparison of men and women who kill. </w:t>
      </w:r>
      <w:r w:rsidRPr="00BE7878">
        <w:rPr>
          <w:rFonts w:ascii="Arial" w:hAnsi="Arial" w:cs="Arial"/>
          <w:i/>
          <w:iCs/>
          <w:noProof/>
          <w:szCs w:val="24"/>
          <w:lang w:val="en-GB"/>
        </w:rPr>
        <w:t>Violence and Victims</w:t>
      </w:r>
      <w:r w:rsidRPr="00BE7878">
        <w:rPr>
          <w:rFonts w:ascii="Arial" w:hAnsi="Arial" w:cs="Arial"/>
          <w:noProof/>
          <w:szCs w:val="24"/>
          <w:lang w:val="en-GB"/>
        </w:rPr>
        <w:t xml:space="preserve">, </w:t>
      </w:r>
      <w:r w:rsidRPr="00BE7878">
        <w:rPr>
          <w:rFonts w:ascii="Arial" w:hAnsi="Arial" w:cs="Arial"/>
          <w:i/>
          <w:iCs/>
          <w:noProof/>
          <w:szCs w:val="24"/>
          <w:lang w:val="en-GB"/>
        </w:rPr>
        <w:t>5</w:t>
      </w:r>
      <w:r w:rsidRPr="00BE7878">
        <w:rPr>
          <w:rFonts w:ascii="Arial" w:hAnsi="Arial" w:cs="Arial"/>
          <w:noProof/>
          <w:szCs w:val="24"/>
          <w:lang w:val="en-GB"/>
        </w:rPr>
        <w:t>(4), 227–242.</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Lea, S. J., Hunt, L., &amp; Shaw, S. (2011). Sexual Assault of Older Women by Strangers. </w:t>
      </w:r>
      <w:r w:rsidRPr="00BE7878">
        <w:rPr>
          <w:rFonts w:ascii="Arial" w:hAnsi="Arial" w:cs="Arial"/>
          <w:i/>
          <w:iCs/>
          <w:noProof/>
          <w:szCs w:val="24"/>
          <w:lang w:val="en-GB"/>
        </w:rPr>
        <w:t>Journal of Interpersonal Violence</w:t>
      </w:r>
      <w:r w:rsidRPr="00BE7878">
        <w:rPr>
          <w:rFonts w:ascii="Arial" w:hAnsi="Arial" w:cs="Arial"/>
          <w:noProof/>
          <w:szCs w:val="24"/>
          <w:lang w:val="en-GB"/>
        </w:rPr>
        <w:t xml:space="preserve">, </w:t>
      </w:r>
      <w:r w:rsidRPr="00BE7878">
        <w:rPr>
          <w:rFonts w:ascii="Arial" w:hAnsi="Arial" w:cs="Arial"/>
          <w:i/>
          <w:iCs/>
          <w:noProof/>
          <w:szCs w:val="24"/>
          <w:lang w:val="en-GB"/>
        </w:rPr>
        <w:t>26</w:t>
      </w:r>
      <w:r w:rsidRPr="00BE7878">
        <w:rPr>
          <w:rFonts w:ascii="Arial" w:hAnsi="Arial" w:cs="Arial"/>
          <w:noProof/>
          <w:szCs w:val="24"/>
          <w:lang w:val="en-GB"/>
        </w:rPr>
        <w:t>(11), 2303–2320. http://doi.org/10.1177/0886260510383036</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Levine, T. R., Blair, J. P., &amp; Carpenter, C. J. (2017). A critical look at meta-analytic evidence for the cognitive approach to lie detection: A re-examination of Vrij, Fisher, and Blank (2017). </w:t>
      </w:r>
      <w:r w:rsidRPr="00BE7878">
        <w:rPr>
          <w:rFonts w:ascii="Arial" w:hAnsi="Arial" w:cs="Arial"/>
          <w:i/>
          <w:iCs/>
          <w:noProof/>
          <w:szCs w:val="24"/>
          <w:lang w:val="en-GB"/>
        </w:rPr>
        <w:t>Legal and Criminological Psychology</w:t>
      </w:r>
      <w:r w:rsidRPr="00BE7878">
        <w:rPr>
          <w:rFonts w:ascii="Arial" w:hAnsi="Arial" w:cs="Arial"/>
          <w:noProof/>
          <w:szCs w:val="24"/>
          <w:lang w:val="en-GB"/>
        </w:rPr>
        <w:t>, 7–19. http://doi.org/10.1111/lcrp.12115</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Liberman, A. M. (2005). How Much More Likely? The Implications of Odds Ratios for Probabilities. </w:t>
      </w:r>
      <w:r w:rsidRPr="00BE7878">
        <w:rPr>
          <w:rFonts w:ascii="Arial" w:hAnsi="Arial" w:cs="Arial"/>
          <w:i/>
          <w:iCs/>
          <w:noProof/>
          <w:szCs w:val="24"/>
          <w:lang w:val="en-GB"/>
        </w:rPr>
        <w:t>American Journal of Evaluation</w:t>
      </w:r>
      <w:r w:rsidRPr="00BE7878">
        <w:rPr>
          <w:rFonts w:ascii="Arial" w:hAnsi="Arial" w:cs="Arial"/>
          <w:noProof/>
          <w:szCs w:val="24"/>
          <w:lang w:val="en-GB"/>
        </w:rPr>
        <w:t xml:space="preserve">, </w:t>
      </w:r>
      <w:r w:rsidRPr="00BE7878">
        <w:rPr>
          <w:rFonts w:ascii="Arial" w:hAnsi="Arial" w:cs="Arial"/>
          <w:i/>
          <w:iCs/>
          <w:noProof/>
          <w:szCs w:val="24"/>
          <w:lang w:val="en-GB"/>
        </w:rPr>
        <w:t>26</w:t>
      </w:r>
      <w:r w:rsidRPr="00BE7878">
        <w:rPr>
          <w:rFonts w:ascii="Arial" w:hAnsi="Arial" w:cs="Arial"/>
          <w:noProof/>
          <w:szCs w:val="24"/>
          <w:lang w:val="en-GB"/>
        </w:rPr>
        <w:t>(2), 253–266. http://doi.org/10.1177/1098214005275825</w:t>
      </w:r>
    </w:p>
    <w:p w:rsidR="006115DB" w:rsidRPr="00BE7878" w:rsidRDefault="006115DB" w:rsidP="00CB2434">
      <w:pPr>
        <w:widowControl w:val="0"/>
        <w:autoSpaceDE w:val="0"/>
        <w:autoSpaceDN w:val="0"/>
        <w:adjustRightInd w:val="0"/>
        <w:spacing w:line="360" w:lineRule="auto"/>
        <w:ind w:left="480" w:hanging="480"/>
        <w:jc w:val="both"/>
        <w:rPr>
          <w:rFonts w:ascii="Arial" w:hAnsi="Arial" w:cs="Arial"/>
          <w:noProof/>
          <w:szCs w:val="24"/>
          <w:lang w:val="en-GB"/>
        </w:rPr>
      </w:pPr>
    </w:p>
    <w:p w:rsidR="006115DB" w:rsidRPr="00BE7878" w:rsidRDefault="006115DB" w:rsidP="00CB2434">
      <w:pPr>
        <w:widowControl w:val="0"/>
        <w:autoSpaceDE w:val="0"/>
        <w:autoSpaceDN w:val="0"/>
        <w:adjustRightInd w:val="0"/>
        <w:spacing w:line="360" w:lineRule="auto"/>
        <w:ind w:left="480" w:hanging="480"/>
        <w:jc w:val="both"/>
        <w:rPr>
          <w:rFonts w:ascii="Arial" w:hAnsi="Arial" w:cs="Arial"/>
          <w:noProof/>
          <w:szCs w:val="24"/>
          <w:lang w:val="en-GB"/>
        </w:rPr>
      </w:pP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lastRenderedPageBreak/>
        <w:t xml:space="preserve">Mokros, A., &amp; Alison, L. J. (2002). Is offender profiling possible? Testing the predicted homology of crime scene actions and background characteristics in a sample of rapists. </w:t>
      </w:r>
      <w:r w:rsidRPr="00BE7878">
        <w:rPr>
          <w:rFonts w:ascii="Arial" w:hAnsi="Arial" w:cs="Arial"/>
          <w:i/>
          <w:iCs/>
          <w:noProof/>
          <w:szCs w:val="24"/>
          <w:lang w:val="en-GB"/>
        </w:rPr>
        <w:t>Legal and Criminological Psychology</w:t>
      </w:r>
      <w:r w:rsidRPr="00BE7878">
        <w:rPr>
          <w:rFonts w:ascii="Arial" w:hAnsi="Arial" w:cs="Arial"/>
          <w:noProof/>
          <w:szCs w:val="24"/>
          <w:lang w:val="en-GB"/>
        </w:rPr>
        <w:t xml:space="preserve">, </w:t>
      </w:r>
      <w:r w:rsidRPr="00BE7878">
        <w:rPr>
          <w:rFonts w:ascii="Arial" w:hAnsi="Arial" w:cs="Arial"/>
          <w:i/>
          <w:iCs/>
          <w:noProof/>
          <w:szCs w:val="24"/>
          <w:lang w:val="en-GB"/>
        </w:rPr>
        <w:t>7</w:t>
      </w:r>
      <w:r w:rsidRPr="00BE7878">
        <w:rPr>
          <w:rFonts w:ascii="Arial" w:hAnsi="Arial" w:cs="Arial"/>
          <w:noProof/>
          <w:szCs w:val="24"/>
          <w:lang w:val="en-GB"/>
        </w:rPr>
        <w:t>(1), 25–43. http://doi.org/10.1348/135532502168360</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Muftić, L. R., &amp; Baumann, M. L. (2012). Female Versus Male Perpetrated Femicide: An Exploratory Analysis of Whether Offender Gender Matters. </w:t>
      </w:r>
      <w:r w:rsidRPr="00BE7878">
        <w:rPr>
          <w:rFonts w:ascii="Arial" w:hAnsi="Arial" w:cs="Arial"/>
          <w:i/>
          <w:iCs/>
          <w:noProof/>
          <w:szCs w:val="24"/>
          <w:lang w:val="en-GB"/>
        </w:rPr>
        <w:t>Journal of Interpersonal Violence</w:t>
      </w:r>
      <w:r w:rsidRPr="00BE7878">
        <w:rPr>
          <w:rFonts w:ascii="Arial" w:hAnsi="Arial" w:cs="Arial"/>
          <w:noProof/>
          <w:szCs w:val="24"/>
          <w:lang w:val="en-GB"/>
        </w:rPr>
        <w:t xml:space="preserve">, </w:t>
      </w:r>
      <w:r w:rsidRPr="00BE7878">
        <w:rPr>
          <w:rFonts w:ascii="Arial" w:hAnsi="Arial" w:cs="Arial"/>
          <w:i/>
          <w:iCs/>
          <w:noProof/>
          <w:szCs w:val="24"/>
          <w:lang w:val="en-GB"/>
        </w:rPr>
        <w:t>27</w:t>
      </w:r>
      <w:r w:rsidRPr="00BE7878">
        <w:rPr>
          <w:rFonts w:ascii="Arial" w:hAnsi="Arial" w:cs="Arial"/>
          <w:noProof/>
          <w:szCs w:val="24"/>
          <w:lang w:val="en-GB"/>
        </w:rPr>
        <w:t>(14), 2824–2844. http://doi.org/10.1177/0886260512438282</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Nemes, S., Jonasson, J. M., Genell, A., &amp; Steineck, G. (2009). Bias in odds ratios by logistic regression modelling and sample size. </w:t>
      </w:r>
      <w:r w:rsidRPr="00BE7878">
        <w:rPr>
          <w:rFonts w:ascii="Arial" w:hAnsi="Arial" w:cs="Arial"/>
          <w:i/>
          <w:iCs/>
          <w:noProof/>
          <w:szCs w:val="24"/>
          <w:lang w:val="en-GB"/>
        </w:rPr>
        <w:t>BMC Medical Research Methodology</w:t>
      </w:r>
      <w:r w:rsidRPr="00BE7878">
        <w:rPr>
          <w:rFonts w:ascii="Arial" w:hAnsi="Arial" w:cs="Arial"/>
          <w:noProof/>
          <w:szCs w:val="24"/>
          <w:lang w:val="en-GB"/>
        </w:rPr>
        <w:t xml:space="preserve">, </w:t>
      </w:r>
      <w:r w:rsidRPr="00BE7878">
        <w:rPr>
          <w:rFonts w:ascii="Arial" w:hAnsi="Arial" w:cs="Arial"/>
          <w:i/>
          <w:iCs/>
          <w:noProof/>
          <w:szCs w:val="24"/>
          <w:lang w:val="en-GB"/>
        </w:rPr>
        <w:t>9</w:t>
      </w:r>
      <w:r w:rsidRPr="00BE7878">
        <w:rPr>
          <w:rFonts w:ascii="Arial" w:hAnsi="Arial" w:cs="Arial"/>
          <w:noProof/>
          <w:szCs w:val="24"/>
          <w:lang w:val="en-GB"/>
        </w:rPr>
        <w:t>(1), 1–5. http://doi.org/10.1186/1471-2288-9-56</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Nicol, C., Innes, M., Gee, D., &amp; Feist, A. (2004). Reviewing murder investigations: An analysis of progress reviews from six police forces. Retrieved 18 January 2018, from http://webarchive.nationalarchives.gov.uk/20110223130954/http://rds.homeoffice.gov.uk/rds/pdfs04/r218.pdf</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Pedneault, A., Harris, D. A., &amp; Knight, R. A. (2015). An examination of escalation in burglaries committed by sexual offenders. </w:t>
      </w:r>
      <w:r w:rsidRPr="00BE7878">
        <w:rPr>
          <w:rFonts w:ascii="Arial" w:hAnsi="Arial" w:cs="Arial"/>
          <w:i/>
          <w:iCs/>
          <w:noProof/>
          <w:szCs w:val="24"/>
          <w:lang w:val="en-GB"/>
        </w:rPr>
        <w:t>International Journal of Offender Therapy and Comparative Criminology</w:t>
      </w:r>
      <w:r w:rsidRPr="00BE7878">
        <w:rPr>
          <w:rFonts w:ascii="Arial" w:hAnsi="Arial" w:cs="Arial"/>
          <w:noProof/>
          <w:szCs w:val="24"/>
          <w:lang w:val="en-GB"/>
        </w:rPr>
        <w:t xml:space="preserve">, </w:t>
      </w:r>
      <w:r w:rsidRPr="00BE7878">
        <w:rPr>
          <w:rFonts w:ascii="Arial" w:hAnsi="Arial" w:cs="Arial"/>
          <w:i/>
          <w:iCs/>
          <w:noProof/>
          <w:szCs w:val="24"/>
          <w:lang w:val="en-GB"/>
        </w:rPr>
        <w:t>59</w:t>
      </w:r>
      <w:r w:rsidRPr="00BE7878">
        <w:rPr>
          <w:rFonts w:ascii="Arial" w:hAnsi="Arial" w:cs="Arial"/>
          <w:noProof/>
          <w:szCs w:val="24"/>
          <w:lang w:val="en-GB"/>
        </w:rPr>
        <w:t>(11), 1203–1221. http://doi.org/10.1177/0306624X14533109</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Pell, C. (2017). </w:t>
      </w:r>
      <w:r w:rsidRPr="00BE7878">
        <w:rPr>
          <w:rFonts w:ascii="Arial" w:hAnsi="Arial" w:cs="Arial"/>
          <w:i/>
          <w:iCs/>
          <w:noProof/>
          <w:szCs w:val="24"/>
          <w:lang w:val="en-GB"/>
        </w:rPr>
        <w:t>Body Part Removal: A Thematic Exploration of UK Homicide Offences</w:t>
      </w:r>
      <w:r w:rsidRPr="00BE7878">
        <w:rPr>
          <w:rFonts w:ascii="Arial" w:hAnsi="Arial" w:cs="Arial"/>
          <w:noProof/>
          <w:szCs w:val="24"/>
          <w:lang w:val="en-GB"/>
        </w:rPr>
        <w:t>.</w:t>
      </w:r>
      <w:r w:rsidR="003000FE" w:rsidRPr="00BE7878">
        <w:rPr>
          <w:rFonts w:ascii="Arial" w:hAnsi="Arial" w:cs="Arial"/>
          <w:noProof/>
          <w:szCs w:val="24"/>
          <w:lang w:val="en-GB"/>
        </w:rPr>
        <w:t xml:space="preserve"> Unpublished MSc thesis,</w:t>
      </w:r>
      <w:r w:rsidRPr="00BE7878">
        <w:rPr>
          <w:rFonts w:ascii="Arial" w:hAnsi="Arial" w:cs="Arial"/>
          <w:noProof/>
          <w:szCs w:val="24"/>
          <w:lang w:val="en-GB"/>
        </w:rPr>
        <w:t xml:space="preserve"> University of Liverpool.</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Putkonen, H., Weizmann-Henelius, G., Lindberg, N., Rovamo, T., &amp; Häkkänen-nyholm, H. (2011). Gender differences in homicide offenders’ criminal career, substance abuse and mental health care. A nationwide register-based study of Finnish homicide offenders 1995-2004. </w:t>
      </w:r>
      <w:r w:rsidRPr="00BE7878">
        <w:rPr>
          <w:rFonts w:ascii="Arial" w:hAnsi="Arial" w:cs="Arial"/>
          <w:i/>
          <w:iCs/>
          <w:noProof/>
          <w:szCs w:val="24"/>
          <w:lang w:val="en-GB"/>
        </w:rPr>
        <w:t xml:space="preserve">Criminal </w:t>
      </w:r>
      <w:r w:rsidR="006A415D">
        <w:rPr>
          <w:rFonts w:ascii="Arial" w:hAnsi="Arial" w:cs="Arial"/>
          <w:i/>
          <w:iCs/>
          <w:noProof/>
          <w:szCs w:val="24"/>
          <w:lang w:val="en-GB"/>
        </w:rPr>
        <w:t>Behavior</w:t>
      </w:r>
      <w:r w:rsidRPr="00BE7878">
        <w:rPr>
          <w:rFonts w:ascii="Arial" w:hAnsi="Arial" w:cs="Arial"/>
          <w:i/>
          <w:iCs/>
          <w:noProof/>
          <w:szCs w:val="24"/>
          <w:lang w:val="en-GB"/>
        </w:rPr>
        <w:t xml:space="preserve"> and Mental Health</w:t>
      </w:r>
      <w:r w:rsidRPr="00BE7878">
        <w:rPr>
          <w:rFonts w:ascii="Arial" w:hAnsi="Arial" w:cs="Arial"/>
          <w:noProof/>
          <w:szCs w:val="24"/>
          <w:lang w:val="en-GB"/>
        </w:rPr>
        <w:t xml:space="preserve">, </w:t>
      </w:r>
      <w:r w:rsidRPr="00BE7878">
        <w:rPr>
          <w:rFonts w:ascii="Arial" w:hAnsi="Arial" w:cs="Arial"/>
          <w:i/>
          <w:iCs/>
          <w:noProof/>
          <w:szCs w:val="24"/>
          <w:lang w:val="en-GB"/>
        </w:rPr>
        <w:t>21</w:t>
      </w:r>
      <w:r w:rsidRPr="00BE7878">
        <w:rPr>
          <w:rFonts w:ascii="Arial" w:hAnsi="Arial" w:cs="Arial"/>
          <w:noProof/>
          <w:szCs w:val="24"/>
          <w:lang w:val="en-GB"/>
        </w:rPr>
        <w:t>(1), 51–62. http://doi.org/10.1002/cbm.782</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Rainbow, L. (2008). Taming the Beast: The UK Approach to the Management of </w:t>
      </w:r>
      <w:r w:rsidR="006A415D">
        <w:rPr>
          <w:rFonts w:ascii="Arial" w:hAnsi="Arial" w:cs="Arial"/>
          <w:noProof/>
          <w:szCs w:val="24"/>
          <w:lang w:val="en-GB"/>
        </w:rPr>
        <w:t>Behavior</w:t>
      </w:r>
      <w:r w:rsidRPr="00BE7878">
        <w:rPr>
          <w:rFonts w:ascii="Arial" w:hAnsi="Arial" w:cs="Arial"/>
          <w:noProof/>
          <w:szCs w:val="24"/>
          <w:lang w:val="en-GB"/>
        </w:rPr>
        <w:t xml:space="preserve">al Investigative Advice. </w:t>
      </w:r>
      <w:r w:rsidRPr="00BE7878">
        <w:rPr>
          <w:rFonts w:ascii="Arial" w:hAnsi="Arial" w:cs="Arial"/>
          <w:i/>
          <w:iCs/>
          <w:noProof/>
          <w:szCs w:val="24"/>
          <w:lang w:val="en-GB"/>
        </w:rPr>
        <w:t>Journal of Police and Criminal Psychology</w:t>
      </w:r>
      <w:r w:rsidRPr="00BE7878">
        <w:rPr>
          <w:rFonts w:ascii="Arial" w:hAnsi="Arial" w:cs="Arial"/>
          <w:noProof/>
          <w:szCs w:val="24"/>
          <w:lang w:val="en-GB"/>
        </w:rPr>
        <w:t xml:space="preserve">, </w:t>
      </w:r>
      <w:r w:rsidRPr="00BE7878">
        <w:rPr>
          <w:rFonts w:ascii="Arial" w:hAnsi="Arial" w:cs="Arial"/>
          <w:i/>
          <w:iCs/>
          <w:noProof/>
          <w:szCs w:val="24"/>
          <w:lang w:val="en-GB"/>
        </w:rPr>
        <w:t>23</w:t>
      </w:r>
      <w:r w:rsidRPr="00BE7878">
        <w:rPr>
          <w:rFonts w:ascii="Arial" w:hAnsi="Arial" w:cs="Arial"/>
          <w:noProof/>
          <w:szCs w:val="24"/>
          <w:lang w:val="en-GB"/>
        </w:rPr>
        <w:t>(2), 90–97. http://doi.org/10.1007/s11896-008-9024-9</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Rainbow, L., &amp; Gregory, A. (2009). </w:t>
      </w:r>
      <w:r w:rsidR="006A415D">
        <w:rPr>
          <w:rFonts w:ascii="Arial" w:hAnsi="Arial" w:cs="Arial"/>
          <w:noProof/>
          <w:szCs w:val="24"/>
          <w:lang w:val="en-GB"/>
        </w:rPr>
        <w:t>Behavior</w:t>
      </w:r>
      <w:r w:rsidRPr="00BE7878">
        <w:rPr>
          <w:rFonts w:ascii="Arial" w:hAnsi="Arial" w:cs="Arial"/>
          <w:noProof/>
          <w:szCs w:val="24"/>
          <w:lang w:val="en-GB"/>
        </w:rPr>
        <w:t xml:space="preserve">al Investigative Advice: A contemporary view. </w:t>
      </w:r>
      <w:r w:rsidRPr="00BE7878">
        <w:rPr>
          <w:rFonts w:ascii="Arial" w:hAnsi="Arial" w:cs="Arial"/>
          <w:i/>
          <w:iCs/>
          <w:noProof/>
          <w:szCs w:val="24"/>
          <w:lang w:val="en-GB"/>
        </w:rPr>
        <w:t>The Journal of Homicide and Major Incident Investigation</w:t>
      </w:r>
      <w:r w:rsidRPr="00BE7878">
        <w:rPr>
          <w:rFonts w:ascii="Arial" w:hAnsi="Arial" w:cs="Arial"/>
          <w:noProof/>
          <w:szCs w:val="24"/>
          <w:lang w:val="en-GB"/>
        </w:rPr>
        <w:t xml:space="preserve">, </w:t>
      </w:r>
      <w:r w:rsidRPr="00BE7878">
        <w:rPr>
          <w:rFonts w:ascii="Arial" w:hAnsi="Arial" w:cs="Arial"/>
          <w:i/>
          <w:iCs/>
          <w:noProof/>
          <w:szCs w:val="24"/>
          <w:lang w:val="en-GB"/>
        </w:rPr>
        <w:t>5</w:t>
      </w:r>
      <w:r w:rsidRPr="00BE7878">
        <w:rPr>
          <w:rFonts w:ascii="Arial" w:hAnsi="Arial" w:cs="Arial"/>
          <w:noProof/>
          <w:szCs w:val="24"/>
          <w:lang w:val="en-GB"/>
        </w:rPr>
        <w:t>(1), 71–82.</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Ressler, R. K., Burgess, A. W., &amp; Douglas, J. E. (1988). </w:t>
      </w:r>
      <w:r w:rsidRPr="00BE7878">
        <w:rPr>
          <w:rFonts w:ascii="Arial" w:hAnsi="Arial" w:cs="Arial"/>
          <w:i/>
          <w:iCs/>
          <w:noProof/>
          <w:szCs w:val="24"/>
          <w:lang w:val="en-GB"/>
        </w:rPr>
        <w:t>Sexual homicide: Patterns and motives</w:t>
      </w:r>
      <w:r w:rsidRPr="00BE7878">
        <w:rPr>
          <w:rFonts w:ascii="Arial" w:hAnsi="Arial" w:cs="Arial"/>
          <w:noProof/>
          <w:szCs w:val="24"/>
          <w:lang w:val="en-GB"/>
        </w:rPr>
        <w:t>. New York: Lexington.</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lastRenderedPageBreak/>
        <w:t xml:space="preserve">Rice, M. E., &amp; Harris, G. T. (2005). Comparing effect sizes in follow-up studies: ROC area, Cohen’s d, and r. </w:t>
      </w:r>
      <w:r w:rsidRPr="00BE7878">
        <w:rPr>
          <w:rFonts w:ascii="Arial" w:hAnsi="Arial" w:cs="Arial"/>
          <w:i/>
          <w:iCs/>
          <w:noProof/>
          <w:szCs w:val="24"/>
          <w:lang w:val="en-GB"/>
        </w:rPr>
        <w:t xml:space="preserve">Law and Human </w:t>
      </w:r>
      <w:r w:rsidR="006A415D">
        <w:rPr>
          <w:rFonts w:ascii="Arial" w:hAnsi="Arial" w:cs="Arial"/>
          <w:i/>
          <w:iCs/>
          <w:noProof/>
          <w:szCs w:val="24"/>
          <w:lang w:val="en-GB"/>
        </w:rPr>
        <w:t>Behavior</w:t>
      </w:r>
      <w:r w:rsidRPr="00BE7878">
        <w:rPr>
          <w:rFonts w:ascii="Arial" w:hAnsi="Arial" w:cs="Arial"/>
          <w:noProof/>
          <w:szCs w:val="24"/>
          <w:lang w:val="en-GB"/>
        </w:rPr>
        <w:t xml:space="preserve">, </w:t>
      </w:r>
      <w:r w:rsidRPr="00BE7878">
        <w:rPr>
          <w:rFonts w:ascii="Arial" w:hAnsi="Arial" w:cs="Arial"/>
          <w:i/>
          <w:iCs/>
          <w:noProof/>
          <w:szCs w:val="24"/>
          <w:lang w:val="en-GB"/>
        </w:rPr>
        <w:t>29</w:t>
      </w:r>
      <w:r w:rsidRPr="00BE7878">
        <w:rPr>
          <w:rFonts w:ascii="Arial" w:hAnsi="Arial" w:cs="Arial"/>
          <w:noProof/>
          <w:szCs w:val="24"/>
          <w:lang w:val="en-GB"/>
        </w:rPr>
        <w:t>(5), 615–620. http://doi.org/10.1007/s10979-005-6832-7</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Salfati, C. G. (2000). The Nature of Expressiveness and Instrumentality in Homicide: Implications for Offender Profiling. </w:t>
      </w:r>
      <w:r w:rsidRPr="00BE7878">
        <w:rPr>
          <w:rFonts w:ascii="Arial" w:hAnsi="Arial" w:cs="Arial"/>
          <w:i/>
          <w:iCs/>
          <w:noProof/>
          <w:szCs w:val="24"/>
          <w:lang w:val="en-GB"/>
        </w:rPr>
        <w:t>Homicide Studies</w:t>
      </w:r>
      <w:r w:rsidRPr="00BE7878">
        <w:rPr>
          <w:rFonts w:ascii="Arial" w:hAnsi="Arial" w:cs="Arial"/>
          <w:noProof/>
          <w:szCs w:val="24"/>
          <w:lang w:val="en-GB"/>
        </w:rPr>
        <w:t xml:space="preserve">, </w:t>
      </w:r>
      <w:r w:rsidRPr="00BE7878">
        <w:rPr>
          <w:rFonts w:ascii="Arial" w:hAnsi="Arial" w:cs="Arial"/>
          <w:i/>
          <w:iCs/>
          <w:noProof/>
          <w:szCs w:val="24"/>
          <w:lang w:val="en-GB"/>
        </w:rPr>
        <w:t>4</w:t>
      </w:r>
      <w:r w:rsidRPr="00BE7878">
        <w:rPr>
          <w:rFonts w:ascii="Arial" w:hAnsi="Arial" w:cs="Arial"/>
          <w:noProof/>
          <w:szCs w:val="24"/>
          <w:lang w:val="en-GB"/>
        </w:rPr>
        <w:t>(3), 265–293. http://doi.org/10.1177/1088767900004003004</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Salfati, C. G., &amp; Canter, D. V. (1999). Differentiating stranger murders: Profiling offender characteristics from </w:t>
      </w:r>
      <w:r w:rsidR="006A415D">
        <w:rPr>
          <w:rFonts w:ascii="Arial" w:hAnsi="Arial" w:cs="Arial"/>
          <w:noProof/>
          <w:szCs w:val="24"/>
          <w:lang w:val="en-GB"/>
        </w:rPr>
        <w:t>behavior</w:t>
      </w:r>
      <w:r w:rsidRPr="00BE7878">
        <w:rPr>
          <w:rFonts w:ascii="Arial" w:hAnsi="Arial" w:cs="Arial"/>
          <w:noProof/>
          <w:szCs w:val="24"/>
          <w:lang w:val="en-GB"/>
        </w:rPr>
        <w:t xml:space="preserve">al styles. </w:t>
      </w:r>
      <w:r w:rsidR="006A415D">
        <w:rPr>
          <w:rFonts w:ascii="Arial" w:hAnsi="Arial" w:cs="Arial"/>
          <w:i/>
          <w:iCs/>
          <w:noProof/>
          <w:szCs w:val="24"/>
          <w:lang w:val="en-GB"/>
        </w:rPr>
        <w:t>Behavior</w:t>
      </w:r>
      <w:r w:rsidRPr="00BE7878">
        <w:rPr>
          <w:rFonts w:ascii="Arial" w:hAnsi="Arial" w:cs="Arial"/>
          <w:i/>
          <w:iCs/>
          <w:noProof/>
          <w:szCs w:val="24"/>
          <w:lang w:val="en-GB"/>
        </w:rPr>
        <w:t>al Sciences and the Law</w:t>
      </w:r>
      <w:r w:rsidRPr="00BE7878">
        <w:rPr>
          <w:rFonts w:ascii="Arial" w:hAnsi="Arial" w:cs="Arial"/>
          <w:noProof/>
          <w:szCs w:val="24"/>
          <w:lang w:val="en-GB"/>
        </w:rPr>
        <w:t xml:space="preserve">, </w:t>
      </w:r>
      <w:r w:rsidRPr="00BE7878">
        <w:rPr>
          <w:rFonts w:ascii="Arial" w:hAnsi="Arial" w:cs="Arial"/>
          <w:i/>
          <w:iCs/>
          <w:noProof/>
          <w:szCs w:val="24"/>
          <w:lang w:val="en-GB"/>
        </w:rPr>
        <w:t>17</w:t>
      </w:r>
      <w:r w:rsidRPr="00BE7878">
        <w:rPr>
          <w:rFonts w:ascii="Arial" w:hAnsi="Arial" w:cs="Arial"/>
          <w:noProof/>
          <w:szCs w:val="24"/>
          <w:lang w:val="en-GB"/>
        </w:rPr>
        <w:t>(3), 391–406. http://doi.org/10.1002/(SICI)1099-0798(199907/09)17:3&lt;391::AID-BSL352&gt;3.0.CO;2-Z</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EA7901">
        <w:rPr>
          <w:rFonts w:ascii="Arial" w:hAnsi="Arial" w:cs="Arial"/>
          <w:noProof/>
          <w:szCs w:val="24"/>
        </w:rPr>
        <w:t xml:space="preserve">Santtila, P., Häkkänen, H., Canter, D., &amp; Elfgren, T. (2003). </w:t>
      </w:r>
      <w:r w:rsidRPr="00BE7878">
        <w:rPr>
          <w:rFonts w:ascii="Arial" w:hAnsi="Arial" w:cs="Arial"/>
          <w:noProof/>
          <w:szCs w:val="24"/>
          <w:lang w:val="en-GB"/>
        </w:rPr>
        <w:t xml:space="preserve">Classifying homicide offenders and predicting their characteristics from crime scene </w:t>
      </w:r>
      <w:r w:rsidR="006A415D">
        <w:rPr>
          <w:rFonts w:ascii="Arial" w:hAnsi="Arial" w:cs="Arial"/>
          <w:noProof/>
          <w:szCs w:val="24"/>
          <w:lang w:val="en-GB"/>
        </w:rPr>
        <w:t>behavior</w:t>
      </w:r>
      <w:r w:rsidRPr="00BE7878">
        <w:rPr>
          <w:rFonts w:ascii="Arial" w:hAnsi="Arial" w:cs="Arial"/>
          <w:noProof/>
          <w:szCs w:val="24"/>
          <w:lang w:val="en-GB"/>
        </w:rPr>
        <w:t xml:space="preserve">. </w:t>
      </w:r>
      <w:r w:rsidRPr="00BE7878">
        <w:rPr>
          <w:rFonts w:ascii="Arial" w:hAnsi="Arial" w:cs="Arial"/>
          <w:i/>
          <w:iCs/>
          <w:noProof/>
          <w:szCs w:val="24"/>
          <w:lang w:val="en-GB"/>
        </w:rPr>
        <w:t>Scandinavian Journal of Psychology</w:t>
      </w:r>
      <w:r w:rsidRPr="00BE7878">
        <w:rPr>
          <w:rFonts w:ascii="Arial" w:hAnsi="Arial" w:cs="Arial"/>
          <w:noProof/>
          <w:szCs w:val="24"/>
          <w:lang w:val="en-GB"/>
        </w:rPr>
        <w:t xml:space="preserve">, </w:t>
      </w:r>
      <w:r w:rsidRPr="00BE7878">
        <w:rPr>
          <w:rFonts w:ascii="Arial" w:hAnsi="Arial" w:cs="Arial"/>
          <w:i/>
          <w:iCs/>
          <w:noProof/>
          <w:szCs w:val="24"/>
          <w:lang w:val="en-GB"/>
        </w:rPr>
        <w:t>44</w:t>
      </w:r>
      <w:r w:rsidRPr="00BE7878">
        <w:rPr>
          <w:rFonts w:ascii="Arial" w:hAnsi="Arial" w:cs="Arial"/>
          <w:noProof/>
          <w:szCs w:val="24"/>
          <w:lang w:val="en-GB"/>
        </w:rPr>
        <w:t>(2), 107–118. http://doi.org/10.1111/1467-9450.00328</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Schlesinger, L. B., &amp; Revitch, E. (1999). Sexual burglaries and sexual homicide: clinical, forensic, and investigative considerations. </w:t>
      </w:r>
      <w:r w:rsidRPr="00BE7878">
        <w:rPr>
          <w:rFonts w:ascii="Arial" w:hAnsi="Arial" w:cs="Arial"/>
          <w:i/>
          <w:iCs/>
          <w:noProof/>
          <w:szCs w:val="24"/>
          <w:lang w:val="en-GB"/>
        </w:rPr>
        <w:t>The Journal of the American Academy of Psychiatry and the Law</w:t>
      </w:r>
      <w:r w:rsidRPr="00BE7878">
        <w:rPr>
          <w:rFonts w:ascii="Arial" w:hAnsi="Arial" w:cs="Arial"/>
          <w:noProof/>
          <w:szCs w:val="24"/>
          <w:lang w:val="en-GB"/>
        </w:rPr>
        <w:t xml:space="preserve">, </w:t>
      </w:r>
      <w:r w:rsidRPr="00BE7878">
        <w:rPr>
          <w:rFonts w:ascii="Arial" w:hAnsi="Arial" w:cs="Arial"/>
          <w:i/>
          <w:iCs/>
          <w:noProof/>
          <w:szCs w:val="24"/>
          <w:lang w:val="en-GB"/>
        </w:rPr>
        <w:t>27</w:t>
      </w:r>
      <w:r w:rsidRPr="00BE7878">
        <w:rPr>
          <w:rFonts w:ascii="Arial" w:hAnsi="Arial" w:cs="Arial"/>
          <w:noProof/>
          <w:szCs w:val="24"/>
          <w:lang w:val="en-GB"/>
        </w:rPr>
        <w:t>(2), 227–238.</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Scott, D., Lambie, I., Henwood, D., &amp; Lamb, R. (2006). Profiling stranger rapists: Linking offence </w:t>
      </w:r>
      <w:r w:rsidR="006A415D">
        <w:rPr>
          <w:rFonts w:ascii="Arial" w:hAnsi="Arial" w:cs="Arial"/>
          <w:noProof/>
          <w:szCs w:val="24"/>
          <w:lang w:val="en-GB"/>
        </w:rPr>
        <w:t>behavior</w:t>
      </w:r>
      <w:r w:rsidRPr="00BE7878">
        <w:rPr>
          <w:rFonts w:ascii="Arial" w:hAnsi="Arial" w:cs="Arial"/>
          <w:noProof/>
          <w:szCs w:val="24"/>
          <w:lang w:val="en-GB"/>
        </w:rPr>
        <w:t xml:space="preserve"> to previous criminal histories using a regression model. </w:t>
      </w:r>
      <w:r w:rsidRPr="00BE7878">
        <w:rPr>
          <w:rFonts w:ascii="Arial" w:hAnsi="Arial" w:cs="Arial"/>
          <w:i/>
          <w:iCs/>
          <w:noProof/>
          <w:szCs w:val="24"/>
          <w:lang w:val="en-GB"/>
        </w:rPr>
        <w:t>Journal of Sexual Aggression</w:t>
      </w:r>
      <w:r w:rsidRPr="00BE7878">
        <w:rPr>
          <w:rFonts w:ascii="Arial" w:hAnsi="Arial" w:cs="Arial"/>
          <w:noProof/>
          <w:szCs w:val="24"/>
          <w:lang w:val="en-GB"/>
        </w:rPr>
        <w:t xml:space="preserve">, </w:t>
      </w:r>
      <w:r w:rsidRPr="00BE7878">
        <w:rPr>
          <w:rFonts w:ascii="Arial" w:hAnsi="Arial" w:cs="Arial"/>
          <w:i/>
          <w:iCs/>
          <w:noProof/>
          <w:szCs w:val="24"/>
          <w:lang w:val="en-GB"/>
        </w:rPr>
        <w:t>12</w:t>
      </w:r>
      <w:r w:rsidRPr="00BE7878">
        <w:rPr>
          <w:rFonts w:ascii="Arial" w:hAnsi="Arial" w:cs="Arial"/>
          <w:noProof/>
          <w:szCs w:val="24"/>
          <w:lang w:val="en-GB"/>
        </w:rPr>
        <w:t>(3), 265–275. http://doi.org/10.1080/13552600601090329</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Soothill, K., Francis, B., Ackerley, E., &amp; Fligelstone, R. (2002). Murder and Serious Sexual Assault: What criminal histories can reveal about future serious offending. Retrieved 8 August 2018, from http://eprints.lancs.ac.uk/3423/1/prs144.pdf</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Taylor, P. J., Snook, B., Bennell, C., &amp; Porter, L. E. (2015). Investigative Psychology. In B. L. Cutler &amp; P. A. Zapf (Eds.), </w:t>
      </w:r>
      <w:r w:rsidRPr="00BE7878">
        <w:rPr>
          <w:rFonts w:ascii="Arial" w:hAnsi="Arial" w:cs="Arial"/>
          <w:i/>
          <w:iCs/>
          <w:noProof/>
          <w:szCs w:val="24"/>
          <w:lang w:val="en-GB"/>
        </w:rPr>
        <w:t>APA handbook of forensic psychology (Vol. 2, Criminal investigation, adjudication, and sentencing outcomes)</w:t>
      </w:r>
      <w:r w:rsidRPr="00BE7878">
        <w:rPr>
          <w:rFonts w:ascii="Arial" w:hAnsi="Arial" w:cs="Arial"/>
          <w:noProof/>
          <w:szCs w:val="24"/>
          <w:lang w:val="en-GB"/>
        </w:rPr>
        <w:t xml:space="preserve"> (pp. 165–186). Washington, DC: American Psychological Association.</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ter Beek, M., van den Eshof, P., &amp; Mali, B. (2010). Statistical modelling in the investigation of stranger rape. </w:t>
      </w:r>
      <w:r w:rsidRPr="00BE7878">
        <w:rPr>
          <w:rFonts w:ascii="Arial" w:hAnsi="Arial" w:cs="Arial"/>
          <w:i/>
          <w:iCs/>
          <w:noProof/>
          <w:szCs w:val="24"/>
          <w:lang w:val="en-GB"/>
        </w:rPr>
        <w:t>Journal of Investigative Psychology and Offender Profiling</w:t>
      </w:r>
      <w:r w:rsidRPr="00BE7878">
        <w:rPr>
          <w:rFonts w:ascii="Arial" w:hAnsi="Arial" w:cs="Arial"/>
          <w:noProof/>
          <w:szCs w:val="24"/>
          <w:lang w:val="en-GB"/>
        </w:rPr>
        <w:t xml:space="preserve">, </w:t>
      </w:r>
      <w:r w:rsidRPr="00BE7878">
        <w:rPr>
          <w:rFonts w:ascii="Arial" w:hAnsi="Arial" w:cs="Arial"/>
          <w:i/>
          <w:iCs/>
          <w:noProof/>
          <w:szCs w:val="24"/>
          <w:lang w:val="en-GB"/>
        </w:rPr>
        <w:t>7</w:t>
      </w:r>
      <w:r w:rsidRPr="00BE7878">
        <w:rPr>
          <w:rFonts w:ascii="Arial" w:hAnsi="Arial" w:cs="Arial"/>
          <w:noProof/>
          <w:szCs w:val="24"/>
          <w:lang w:val="en-GB"/>
        </w:rPr>
        <w:t>(1), 31–47. http://doi.org/10.1002/jip.103</w:t>
      </w:r>
    </w:p>
    <w:p w:rsidR="006115DB" w:rsidRPr="00BE7878" w:rsidRDefault="006115DB" w:rsidP="00CB2434">
      <w:pPr>
        <w:widowControl w:val="0"/>
        <w:autoSpaceDE w:val="0"/>
        <w:autoSpaceDN w:val="0"/>
        <w:adjustRightInd w:val="0"/>
        <w:spacing w:line="360" w:lineRule="auto"/>
        <w:ind w:left="480" w:hanging="480"/>
        <w:jc w:val="both"/>
        <w:rPr>
          <w:rFonts w:ascii="Arial" w:hAnsi="Arial" w:cs="Arial"/>
          <w:noProof/>
          <w:szCs w:val="24"/>
          <w:lang w:val="en-GB"/>
        </w:rPr>
      </w:pPr>
    </w:p>
    <w:p w:rsidR="006115DB" w:rsidRPr="00BE7878" w:rsidRDefault="006115DB" w:rsidP="00CB2434">
      <w:pPr>
        <w:widowControl w:val="0"/>
        <w:autoSpaceDE w:val="0"/>
        <w:autoSpaceDN w:val="0"/>
        <w:adjustRightInd w:val="0"/>
        <w:spacing w:line="360" w:lineRule="auto"/>
        <w:ind w:left="480" w:hanging="480"/>
        <w:jc w:val="both"/>
        <w:rPr>
          <w:rFonts w:ascii="Arial" w:hAnsi="Arial" w:cs="Arial"/>
          <w:noProof/>
          <w:szCs w:val="24"/>
          <w:lang w:val="en-GB"/>
        </w:rPr>
      </w:pP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lastRenderedPageBreak/>
        <w:t xml:space="preserve">Trägårdh, K., Nilsson, T., Granath, S., &amp; Sturup, J. (2016). A time trend study of swedish male and female homicide offenders from 1990 to 2010. </w:t>
      </w:r>
      <w:r w:rsidRPr="00BE7878">
        <w:rPr>
          <w:rFonts w:ascii="Arial" w:hAnsi="Arial" w:cs="Arial"/>
          <w:i/>
          <w:iCs/>
          <w:noProof/>
          <w:szCs w:val="24"/>
          <w:lang w:val="en-GB"/>
        </w:rPr>
        <w:t>International Journal of Forensic Mental Health</w:t>
      </w:r>
      <w:r w:rsidRPr="00BE7878">
        <w:rPr>
          <w:rFonts w:ascii="Arial" w:hAnsi="Arial" w:cs="Arial"/>
          <w:noProof/>
          <w:szCs w:val="24"/>
          <w:lang w:val="en-GB"/>
        </w:rPr>
        <w:t xml:space="preserve">, </w:t>
      </w:r>
      <w:r w:rsidRPr="00BE7878">
        <w:rPr>
          <w:rFonts w:ascii="Arial" w:hAnsi="Arial" w:cs="Arial"/>
          <w:i/>
          <w:iCs/>
          <w:noProof/>
          <w:szCs w:val="24"/>
          <w:lang w:val="en-GB"/>
        </w:rPr>
        <w:t>15</w:t>
      </w:r>
      <w:r w:rsidRPr="00BE7878">
        <w:rPr>
          <w:rFonts w:ascii="Arial" w:hAnsi="Arial" w:cs="Arial"/>
          <w:noProof/>
          <w:szCs w:val="24"/>
          <w:lang w:val="en-GB"/>
        </w:rPr>
        <w:t>(2), 125–135. http://doi.org/10.1080/14999013.2016.1152615</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Trojan, C., &amp; Salfati, C. G. (2011). Linking Criminal History to Crime Scene </w:t>
      </w:r>
      <w:r w:rsidR="006A415D">
        <w:rPr>
          <w:rFonts w:ascii="Arial" w:hAnsi="Arial" w:cs="Arial"/>
          <w:noProof/>
          <w:szCs w:val="24"/>
          <w:lang w:val="en-GB"/>
        </w:rPr>
        <w:t>Behavior</w:t>
      </w:r>
      <w:r w:rsidRPr="00BE7878">
        <w:rPr>
          <w:rFonts w:ascii="Arial" w:hAnsi="Arial" w:cs="Arial"/>
          <w:noProof/>
          <w:szCs w:val="24"/>
          <w:lang w:val="en-GB"/>
        </w:rPr>
        <w:t xml:space="preserve"> in Single-Victim and Serial Homicide: Implications for Offender Profiling Research. </w:t>
      </w:r>
      <w:r w:rsidRPr="00BE7878">
        <w:rPr>
          <w:rFonts w:ascii="Arial" w:hAnsi="Arial" w:cs="Arial"/>
          <w:i/>
          <w:iCs/>
          <w:noProof/>
          <w:szCs w:val="24"/>
          <w:lang w:val="en-GB"/>
        </w:rPr>
        <w:t>Homicide Studies</w:t>
      </w:r>
      <w:r w:rsidRPr="00BE7878">
        <w:rPr>
          <w:rFonts w:ascii="Arial" w:hAnsi="Arial" w:cs="Arial"/>
          <w:noProof/>
          <w:szCs w:val="24"/>
          <w:lang w:val="en-GB"/>
        </w:rPr>
        <w:t xml:space="preserve">, </w:t>
      </w:r>
      <w:r w:rsidRPr="00BE7878">
        <w:rPr>
          <w:rFonts w:ascii="Arial" w:hAnsi="Arial" w:cs="Arial"/>
          <w:i/>
          <w:iCs/>
          <w:noProof/>
          <w:szCs w:val="24"/>
          <w:lang w:val="en-GB"/>
        </w:rPr>
        <w:t>15</w:t>
      </w:r>
      <w:r w:rsidRPr="00BE7878">
        <w:rPr>
          <w:rFonts w:ascii="Arial" w:hAnsi="Arial" w:cs="Arial"/>
          <w:noProof/>
          <w:szCs w:val="24"/>
          <w:lang w:val="en-GB"/>
        </w:rPr>
        <w:t>(1), 3–31. http://doi.org/10.1177/1088767910397281</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szCs w:val="24"/>
          <w:lang w:val="en-GB"/>
        </w:rPr>
      </w:pPr>
      <w:r w:rsidRPr="00BE7878">
        <w:rPr>
          <w:rFonts w:ascii="Arial" w:hAnsi="Arial" w:cs="Arial"/>
          <w:noProof/>
          <w:szCs w:val="24"/>
          <w:lang w:val="en-GB"/>
        </w:rPr>
        <w:t xml:space="preserve">Trojan, C., &amp; Salfati, C. G. (2016). Criminal history of homicide offenders: a multi-dimensional analysis of criminal specialization. </w:t>
      </w:r>
      <w:r w:rsidRPr="00BE7878">
        <w:rPr>
          <w:rFonts w:ascii="Arial" w:hAnsi="Arial" w:cs="Arial"/>
          <w:i/>
          <w:iCs/>
          <w:noProof/>
          <w:szCs w:val="24"/>
          <w:lang w:val="en-GB"/>
        </w:rPr>
        <w:t>Journal of Criminal Psychology</w:t>
      </w:r>
      <w:r w:rsidRPr="00BE7878">
        <w:rPr>
          <w:rFonts w:ascii="Arial" w:hAnsi="Arial" w:cs="Arial"/>
          <w:noProof/>
          <w:szCs w:val="24"/>
          <w:lang w:val="en-GB"/>
        </w:rPr>
        <w:t xml:space="preserve">, </w:t>
      </w:r>
      <w:r w:rsidRPr="00BE7878">
        <w:rPr>
          <w:rFonts w:ascii="Arial" w:hAnsi="Arial" w:cs="Arial"/>
          <w:i/>
          <w:iCs/>
          <w:noProof/>
          <w:szCs w:val="24"/>
          <w:lang w:val="en-GB"/>
        </w:rPr>
        <w:t>6</w:t>
      </w:r>
      <w:r w:rsidRPr="00BE7878">
        <w:rPr>
          <w:rFonts w:ascii="Arial" w:hAnsi="Arial" w:cs="Arial"/>
          <w:noProof/>
          <w:szCs w:val="24"/>
          <w:lang w:val="en-GB"/>
        </w:rPr>
        <w:t>(1), 28–41. http://doi.org/10.1108/JCP-09-2015-0027</w:t>
      </w:r>
    </w:p>
    <w:p w:rsidR="00EA7901" w:rsidRPr="00BE7878" w:rsidRDefault="00EA7901" w:rsidP="00CB2434">
      <w:pPr>
        <w:widowControl w:val="0"/>
        <w:autoSpaceDE w:val="0"/>
        <w:autoSpaceDN w:val="0"/>
        <w:adjustRightInd w:val="0"/>
        <w:spacing w:line="360" w:lineRule="auto"/>
        <w:ind w:left="480" w:hanging="480"/>
        <w:jc w:val="both"/>
        <w:rPr>
          <w:rFonts w:ascii="Arial" w:hAnsi="Arial" w:cs="Arial"/>
          <w:noProof/>
          <w:lang w:val="en-GB"/>
        </w:rPr>
      </w:pPr>
      <w:r w:rsidRPr="00BE7878">
        <w:rPr>
          <w:rFonts w:ascii="Arial" w:hAnsi="Arial" w:cs="Arial"/>
          <w:noProof/>
          <w:szCs w:val="24"/>
          <w:lang w:val="en-GB"/>
        </w:rPr>
        <w:t>Wright, E. (2017). Focus on violent crime and sexual offences, England and Wales: year ending Mar 2016. Retrieved 8 December 2017, from https://www.ons.gov.uk/peoplepopulationandcommunity/crimeandjustice/compendium/focusonviolentcrimeandsexualoffences/yearendingmarch2016/pdf</w:t>
      </w:r>
    </w:p>
    <w:p w:rsidR="007A1F77" w:rsidRDefault="00D519C3" w:rsidP="00CB2434">
      <w:pPr>
        <w:spacing w:line="360" w:lineRule="auto"/>
        <w:jc w:val="both"/>
        <w:rPr>
          <w:rFonts w:ascii="Arial" w:hAnsi="Arial" w:cs="Arial"/>
          <w:lang w:val="en-GB"/>
        </w:rPr>
      </w:pPr>
      <w:r w:rsidRPr="00DA59A9">
        <w:rPr>
          <w:rFonts w:ascii="Arial" w:hAnsi="Arial" w:cs="Arial"/>
          <w:lang w:val="en-GB"/>
        </w:rPr>
        <w:fldChar w:fldCharType="end"/>
      </w:r>
    </w:p>
    <w:p w:rsidR="00283C23" w:rsidRDefault="00283C23" w:rsidP="00CB2434">
      <w:pPr>
        <w:spacing w:after="160"/>
        <w:jc w:val="both"/>
        <w:rPr>
          <w:rFonts w:ascii="Arial" w:hAnsi="Arial" w:cs="Arial"/>
          <w:lang w:val="en-GB"/>
        </w:rPr>
      </w:pPr>
    </w:p>
    <w:p w:rsidR="00044B71" w:rsidRDefault="00044B71" w:rsidP="00CB2434">
      <w:pPr>
        <w:spacing w:after="160"/>
        <w:jc w:val="both"/>
        <w:rPr>
          <w:rFonts w:ascii="Arial" w:hAnsi="Arial" w:cs="Arial"/>
          <w:lang w:val="en-GB"/>
        </w:rPr>
      </w:pPr>
    </w:p>
    <w:p w:rsidR="00044B71" w:rsidRDefault="00044B71" w:rsidP="00CB2434">
      <w:pPr>
        <w:spacing w:after="160"/>
        <w:jc w:val="both"/>
        <w:rPr>
          <w:rFonts w:ascii="Arial" w:hAnsi="Arial" w:cs="Arial"/>
          <w:lang w:val="en-GB"/>
        </w:rPr>
      </w:pPr>
    </w:p>
    <w:p w:rsidR="00044B71" w:rsidRDefault="00044B71" w:rsidP="00CB2434">
      <w:pPr>
        <w:spacing w:after="160"/>
        <w:jc w:val="both"/>
        <w:rPr>
          <w:rFonts w:ascii="Arial" w:hAnsi="Arial" w:cs="Arial"/>
          <w:lang w:val="en-GB"/>
        </w:rPr>
      </w:pPr>
    </w:p>
    <w:p w:rsidR="00044B71" w:rsidRDefault="00044B71" w:rsidP="00CB2434">
      <w:pPr>
        <w:spacing w:after="160"/>
        <w:jc w:val="both"/>
        <w:rPr>
          <w:rFonts w:ascii="Arial" w:hAnsi="Arial" w:cs="Arial"/>
          <w:lang w:val="en-GB"/>
        </w:rPr>
      </w:pPr>
    </w:p>
    <w:p w:rsidR="00044B71" w:rsidRDefault="00044B71" w:rsidP="00CB2434">
      <w:pPr>
        <w:spacing w:after="160"/>
        <w:jc w:val="both"/>
        <w:rPr>
          <w:rFonts w:ascii="Arial" w:hAnsi="Arial" w:cs="Arial"/>
          <w:lang w:val="en-GB"/>
        </w:rPr>
      </w:pPr>
    </w:p>
    <w:p w:rsidR="00044B71" w:rsidRDefault="00044B71" w:rsidP="00CB2434">
      <w:pPr>
        <w:spacing w:after="160"/>
        <w:jc w:val="both"/>
        <w:rPr>
          <w:rFonts w:ascii="Arial" w:hAnsi="Arial" w:cs="Arial"/>
          <w:lang w:val="en-GB"/>
        </w:rPr>
      </w:pPr>
    </w:p>
    <w:p w:rsidR="00044B71" w:rsidRDefault="00044B71" w:rsidP="00CB2434">
      <w:pPr>
        <w:spacing w:after="160"/>
        <w:jc w:val="both"/>
        <w:rPr>
          <w:rFonts w:ascii="Arial" w:hAnsi="Arial" w:cs="Arial"/>
          <w:lang w:val="en-GB"/>
        </w:rPr>
      </w:pPr>
    </w:p>
    <w:p w:rsidR="00044B71" w:rsidRDefault="00044B71" w:rsidP="00CB2434">
      <w:pPr>
        <w:spacing w:after="160"/>
        <w:jc w:val="both"/>
        <w:rPr>
          <w:rFonts w:ascii="Arial" w:hAnsi="Arial" w:cs="Arial"/>
          <w:lang w:val="en-GB"/>
        </w:rPr>
      </w:pPr>
    </w:p>
    <w:p w:rsidR="00044B71" w:rsidRDefault="00044B71" w:rsidP="00CB2434">
      <w:pPr>
        <w:spacing w:after="160"/>
        <w:jc w:val="both"/>
        <w:rPr>
          <w:rFonts w:ascii="Arial" w:hAnsi="Arial" w:cs="Arial"/>
          <w:lang w:val="en-GB"/>
        </w:rPr>
      </w:pPr>
    </w:p>
    <w:p w:rsidR="00044B71" w:rsidRDefault="00044B71" w:rsidP="00CB2434">
      <w:pPr>
        <w:spacing w:after="160"/>
        <w:jc w:val="both"/>
        <w:rPr>
          <w:rFonts w:ascii="Arial" w:hAnsi="Arial" w:cs="Arial"/>
          <w:lang w:val="en-GB"/>
        </w:rPr>
      </w:pPr>
    </w:p>
    <w:p w:rsidR="00044B71" w:rsidRDefault="00044B71" w:rsidP="00CB2434">
      <w:pPr>
        <w:spacing w:after="160"/>
        <w:jc w:val="both"/>
        <w:rPr>
          <w:rFonts w:ascii="Arial" w:hAnsi="Arial" w:cs="Arial"/>
          <w:lang w:val="en-GB"/>
        </w:rPr>
      </w:pPr>
    </w:p>
    <w:p w:rsidR="00044B71" w:rsidRDefault="00044B71" w:rsidP="00CB2434">
      <w:pPr>
        <w:spacing w:after="160"/>
        <w:jc w:val="both"/>
        <w:rPr>
          <w:rFonts w:ascii="Arial" w:hAnsi="Arial" w:cs="Arial"/>
          <w:lang w:val="en-GB"/>
        </w:rPr>
      </w:pPr>
    </w:p>
    <w:p w:rsidR="00F06D73" w:rsidRDefault="00F06D73" w:rsidP="00CB2434">
      <w:pPr>
        <w:spacing w:after="160"/>
        <w:jc w:val="both"/>
        <w:rPr>
          <w:rFonts w:ascii="Arial" w:hAnsi="Arial" w:cs="Arial"/>
          <w:lang w:val="en-GB"/>
        </w:rPr>
      </w:pPr>
    </w:p>
    <w:p w:rsidR="00F06D73" w:rsidRDefault="00F06D73" w:rsidP="00CB2434">
      <w:pPr>
        <w:spacing w:after="160"/>
        <w:jc w:val="both"/>
        <w:rPr>
          <w:rFonts w:ascii="Arial" w:hAnsi="Arial" w:cs="Arial"/>
          <w:lang w:val="en-GB"/>
        </w:rPr>
      </w:pPr>
    </w:p>
    <w:p w:rsidR="00F06D73" w:rsidRDefault="00F06D73" w:rsidP="00CB2434">
      <w:pPr>
        <w:spacing w:after="160"/>
        <w:jc w:val="both"/>
        <w:rPr>
          <w:rFonts w:ascii="Arial" w:hAnsi="Arial" w:cs="Arial"/>
          <w:lang w:val="en-GB"/>
        </w:rPr>
      </w:pPr>
    </w:p>
    <w:p w:rsidR="00F06D73" w:rsidRDefault="00F06D73" w:rsidP="00CB2434">
      <w:pPr>
        <w:spacing w:after="160"/>
        <w:jc w:val="both"/>
        <w:rPr>
          <w:rFonts w:ascii="Arial" w:hAnsi="Arial" w:cs="Arial"/>
          <w:lang w:val="en-GB"/>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line="360" w:lineRule="auto"/>
        <w:ind w:left="2155" w:right="2126"/>
        <w:jc w:val="both"/>
        <w:rPr>
          <w:rFonts w:ascii="Arial" w:eastAsia="Calibri" w:hAnsi="Arial" w:cs="Arial"/>
        </w:rPr>
      </w:pPr>
      <w:r w:rsidRPr="008E3C5B">
        <w:rPr>
          <w:rFonts w:ascii="Arial" w:eastAsia="Calibri" w:hAnsi="Arial" w:cs="Arial"/>
        </w:rPr>
        <w:t>Table 1</w:t>
      </w:r>
    </w:p>
    <w:p w:rsidR="00F06D73" w:rsidRPr="008E3C5B" w:rsidRDefault="00F06D73" w:rsidP="00F06D73">
      <w:pPr>
        <w:spacing w:line="240" w:lineRule="auto"/>
        <w:ind w:left="2155" w:right="2126"/>
        <w:jc w:val="both"/>
        <w:rPr>
          <w:rFonts w:ascii="Arial" w:eastAsia="Calibri" w:hAnsi="Arial" w:cs="Arial"/>
          <w:i/>
        </w:rPr>
      </w:pPr>
      <w:r w:rsidRPr="008E3C5B">
        <w:rPr>
          <w:rFonts w:ascii="Arial" w:eastAsia="Calibri" w:hAnsi="Arial" w:cs="Arial"/>
          <w:i/>
        </w:rPr>
        <w:t>Frequency of relationship categories between offenders and their victims.</w:t>
      </w:r>
    </w:p>
    <w:tbl>
      <w:tblPr>
        <w:tblStyle w:val="APA"/>
        <w:tblW w:w="0" w:type="auto"/>
        <w:jc w:val="center"/>
        <w:tblLook w:val="04A0" w:firstRow="1" w:lastRow="0" w:firstColumn="1" w:lastColumn="0" w:noHBand="0" w:noVBand="1"/>
      </w:tblPr>
      <w:tblGrid>
        <w:gridCol w:w="3261"/>
        <w:gridCol w:w="620"/>
        <w:gridCol w:w="838"/>
      </w:tblGrid>
      <w:tr w:rsidR="00F06D73" w:rsidRPr="008E3C5B" w:rsidTr="00E27725">
        <w:trPr>
          <w:trHeight w:val="502"/>
          <w:jc w:val="center"/>
        </w:trPr>
        <w:tc>
          <w:tcPr>
            <w:tcW w:w="3261" w:type="dxa"/>
          </w:tcPr>
          <w:p w:rsidR="00F06D73" w:rsidRPr="008E3C5B" w:rsidRDefault="00F06D73" w:rsidP="00E27725">
            <w:pPr>
              <w:jc w:val="both"/>
              <w:rPr>
                <w:rFonts w:eastAsia="Calibri" w:cs="Arial"/>
              </w:rPr>
            </w:pPr>
            <w:r w:rsidRPr="008E3C5B">
              <w:rPr>
                <w:rFonts w:eastAsia="Calibri" w:cs="Arial"/>
              </w:rPr>
              <w:t>Offender-victim relationship</w:t>
            </w:r>
          </w:p>
        </w:tc>
        <w:tc>
          <w:tcPr>
            <w:tcW w:w="620" w:type="dxa"/>
          </w:tcPr>
          <w:p w:rsidR="00F06D73" w:rsidRPr="008E3C5B" w:rsidRDefault="00F06D73" w:rsidP="00E27725">
            <w:pPr>
              <w:jc w:val="both"/>
              <w:rPr>
                <w:rFonts w:eastAsia="Calibri" w:cs="Arial"/>
              </w:rPr>
            </w:pPr>
            <w:r w:rsidRPr="008E3C5B">
              <w:rPr>
                <w:rFonts w:eastAsia="Calibri" w:cs="Arial"/>
              </w:rPr>
              <w:t>n</w:t>
            </w:r>
          </w:p>
        </w:tc>
        <w:tc>
          <w:tcPr>
            <w:tcW w:w="838" w:type="dxa"/>
          </w:tcPr>
          <w:p w:rsidR="00F06D73" w:rsidRPr="008E3C5B" w:rsidRDefault="00F06D73" w:rsidP="00E27725">
            <w:pPr>
              <w:jc w:val="both"/>
              <w:rPr>
                <w:rFonts w:eastAsia="Calibri" w:cs="Arial"/>
              </w:rPr>
            </w:pPr>
            <w:r w:rsidRPr="008E3C5B">
              <w:rPr>
                <w:rFonts w:eastAsia="Calibri" w:cs="Arial"/>
              </w:rPr>
              <w:t>(%)</w:t>
            </w:r>
          </w:p>
        </w:tc>
      </w:tr>
      <w:tr w:rsidR="00F06D73" w:rsidRPr="008E3C5B" w:rsidTr="00E27725">
        <w:trPr>
          <w:trHeight w:val="492"/>
          <w:jc w:val="center"/>
        </w:trPr>
        <w:tc>
          <w:tcPr>
            <w:tcW w:w="3261" w:type="dxa"/>
            <w:vAlign w:val="center"/>
          </w:tcPr>
          <w:p w:rsidR="00F06D73" w:rsidRPr="008E3C5B" w:rsidRDefault="00F06D73" w:rsidP="00E27725">
            <w:pPr>
              <w:ind w:left="36" w:hanging="2"/>
              <w:jc w:val="both"/>
              <w:rPr>
                <w:rFonts w:eastAsia="Calibri" w:cs="Arial"/>
              </w:rPr>
            </w:pPr>
            <w:r w:rsidRPr="008E3C5B">
              <w:rPr>
                <w:rFonts w:eastAsia="Calibri" w:cs="Arial"/>
              </w:rPr>
              <w:t>Stranger</w:t>
            </w:r>
          </w:p>
          <w:p w:rsidR="00F06D73" w:rsidRPr="008E3C5B" w:rsidRDefault="00F06D73" w:rsidP="00E27725">
            <w:pPr>
              <w:ind w:left="36" w:hanging="2"/>
              <w:jc w:val="both"/>
              <w:rPr>
                <w:rFonts w:eastAsia="Calibri" w:cs="Arial"/>
              </w:rPr>
            </w:pPr>
            <w:r w:rsidRPr="008E3C5B">
              <w:rPr>
                <w:rFonts w:eastAsia="Calibri" w:cs="Arial"/>
              </w:rPr>
              <w:t>Friend/associate</w:t>
            </w:r>
          </w:p>
          <w:p w:rsidR="00F06D73" w:rsidRPr="008E3C5B" w:rsidRDefault="00F06D73" w:rsidP="00E27725">
            <w:pPr>
              <w:ind w:left="36" w:hanging="2"/>
              <w:jc w:val="both"/>
              <w:rPr>
                <w:rFonts w:eastAsia="Calibri" w:cs="Arial"/>
              </w:rPr>
            </w:pPr>
            <w:r w:rsidRPr="008E3C5B">
              <w:rPr>
                <w:rFonts w:eastAsia="Calibri" w:cs="Arial"/>
              </w:rPr>
              <w:t>Romantic partner</w:t>
            </w:r>
          </w:p>
          <w:p w:rsidR="00F06D73" w:rsidRPr="008E3C5B" w:rsidRDefault="00F06D73" w:rsidP="00E27725">
            <w:pPr>
              <w:ind w:left="36" w:hanging="2"/>
              <w:jc w:val="both"/>
              <w:rPr>
                <w:rFonts w:eastAsia="Calibri" w:cs="Arial"/>
              </w:rPr>
            </w:pPr>
            <w:r w:rsidRPr="008E3C5B">
              <w:rPr>
                <w:rFonts w:eastAsia="Calibri" w:cs="Arial"/>
              </w:rPr>
              <w:t>Prostitute</w:t>
            </w:r>
          </w:p>
          <w:p w:rsidR="00F06D73" w:rsidRPr="008E3C5B" w:rsidRDefault="00F06D73" w:rsidP="00E27725">
            <w:pPr>
              <w:ind w:left="36" w:hanging="2"/>
              <w:jc w:val="both"/>
              <w:rPr>
                <w:rFonts w:eastAsia="Calibri" w:cs="Arial"/>
              </w:rPr>
            </w:pPr>
            <w:r w:rsidRPr="008E3C5B">
              <w:rPr>
                <w:rFonts w:eastAsia="Calibri" w:cs="Arial"/>
              </w:rPr>
              <w:t>Unknown</w:t>
            </w:r>
          </w:p>
          <w:p w:rsidR="00F06D73" w:rsidRPr="008E3C5B" w:rsidRDefault="00F06D73" w:rsidP="00E27725">
            <w:pPr>
              <w:ind w:left="36" w:hanging="2"/>
              <w:jc w:val="both"/>
              <w:rPr>
                <w:rFonts w:eastAsia="Calibri" w:cs="Arial"/>
              </w:rPr>
            </w:pPr>
            <w:r w:rsidRPr="008E3C5B">
              <w:rPr>
                <w:rFonts w:eastAsia="Calibri" w:cs="Arial"/>
              </w:rPr>
              <w:t>Peripheral contact</w:t>
            </w:r>
          </w:p>
          <w:p w:rsidR="00F06D73" w:rsidRPr="008E3C5B" w:rsidRDefault="00F06D73" w:rsidP="00E27725">
            <w:pPr>
              <w:ind w:left="36" w:hanging="2"/>
              <w:jc w:val="both"/>
              <w:rPr>
                <w:rFonts w:eastAsia="Calibri" w:cs="Arial"/>
              </w:rPr>
            </w:pPr>
            <w:r w:rsidRPr="008E3C5B">
              <w:rPr>
                <w:rFonts w:eastAsia="Calibri" w:cs="Arial"/>
              </w:rPr>
              <w:t>Romantic ex-partner</w:t>
            </w:r>
          </w:p>
          <w:p w:rsidR="00F06D73" w:rsidRPr="008E3C5B" w:rsidRDefault="00F06D73" w:rsidP="00E27725">
            <w:pPr>
              <w:ind w:left="36" w:hanging="2"/>
              <w:jc w:val="both"/>
              <w:rPr>
                <w:rFonts w:eastAsia="Calibri" w:cs="Times New Roman"/>
              </w:rPr>
            </w:pPr>
            <w:r w:rsidRPr="008E3C5B">
              <w:rPr>
                <w:rFonts w:eastAsia="Calibri" w:cs="Arial"/>
              </w:rPr>
              <w:t>Family</w:t>
            </w:r>
          </w:p>
        </w:tc>
        <w:tc>
          <w:tcPr>
            <w:tcW w:w="620" w:type="dxa"/>
          </w:tcPr>
          <w:p w:rsidR="00F06D73" w:rsidRPr="008E3C5B" w:rsidRDefault="00F06D73" w:rsidP="00E27725">
            <w:pPr>
              <w:jc w:val="both"/>
              <w:rPr>
                <w:rFonts w:eastAsia="Calibri" w:cs="Arial"/>
              </w:rPr>
            </w:pPr>
            <w:r w:rsidRPr="008E3C5B">
              <w:rPr>
                <w:rFonts w:eastAsia="Calibri" w:cs="Arial"/>
              </w:rPr>
              <w:t>71</w:t>
            </w:r>
          </w:p>
          <w:p w:rsidR="00F06D73" w:rsidRPr="008E3C5B" w:rsidRDefault="00F06D73" w:rsidP="00E27725">
            <w:pPr>
              <w:jc w:val="both"/>
              <w:rPr>
                <w:rFonts w:eastAsia="Calibri" w:cs="Arial"/>
              </w:rPr>
            </w:pPr>
            <w:r w:rsidRPr="008E3C5B">
              <w:rPr>
                <w:rFonts w:eastAsia="Calibri" w:cs="Arial"/>
              </w:rPr>
              <w:t>37</w:t>
            </w:r>
          </w:p>
          <w:p w:rsidR="00F06D73" w:rsidRPr="008E3C5B" w:rsidRDefault="00F06D73" w:rsidP="00E27725">
            <w:pPr>
              <w:jc w:val="both"/>
              <w:rPr>
                <w:rFonts w:eastAsia="Calibri" w:cs="Arial"/>
              </w:rPr>
            </w:pPr>
            <w:r w:rsidRPr="008E3C5B">
              <w:rPr>
                <w:rFonts w:eastAsia="Calibri" w:cs="Arial"/>
              </w:rPr>
              <w:t>35</w:t>
            </w:r>
          </w:p>
          <w:p w:rsidR="00F06D73" w:rsidRPr="008E3C5B" w:rsidRDefault="00F06D73" w:rsidP="00E27725">
            <w:pPr>
              <w:jc w:val="both"/>
              <w:rPr>
                <w:rFonts w:eastAsia="Calibri" w:cs="Arial"/>
              </w:rPr>
            </w:pPr>
            <w:r w:rsidRPr="008E3C5B">
              <w:rPr>
                <w:rFonts w:eastAsia="Calibri" w:cs="Arial"/>
              </w:rPr>
              <w:t>25</w:t>
            </w:r>
          </w:p>
          <w:p w:rsidR="00F06D73" w:rsidRPr="008E3C5B" w:rsidRDefault="00F06D73" w:rsidP="00E27725">
            <w:pPr>
              <w:jc w:val="both"/>
              <w:rPr>
                <w:rFonts w:eastAsia="Calibri" w:cs="Arial"/>
              </w:rPr>
            </w:pPr>
            <w:r w:rsidRPr="008E3C5B">
              <w:rPr>
                <w:rFonts w:eastAsia="Calibri" w:cs="Arial"/>
              </w:rPr>
              <w:t>21</w:t>
            </w:r>
          </w:p>
          <w:p w:rsidR="00F06D73" w:rsidRPr="008E3C5B" w:rsidRDefault="00F06D73" w:rsidP="00E27725">
            <w:pPr>
              <w:jc w:val="both"/>
              <w:rPr>
                <w:rFonts w:eastAsia="Calibri" w:cs="Arial"/>
              </w:rPr>
            </w:pPr>
            <w:r w:rsidRPr="008E3C5B">
              <w:rPr>
                <w:rFonts w:eastAsia="Calibri" w:cs="Arial"/>
              </w:rPr>
              <w:t>11</w:t>
            </w:r>
          </w:p>
          <w:p w:rsidR="00F06D73" w:rsidRPr="008E3C5B" w:rsidRDefault="00F06D73" w:rsidP="00E27725">
            <w:pPr>
              <w:jc w:val="both"/>
              <w:rPr>
                <w:rFonts w:eastAsia="Calibri" w:cs="Arial"/>
              </w:rPr>
            </w:pPr>
            <w:r w:rsidRPr="008E3C5B">
              <w:rPr>
                <w:rFonts w:eastAsia="Calibri" w:cs="Arial"/>
              </w:rPr>
              <w:t>9</w:t>
            </w:r>
          </w:p>
          <w:p w:rsidR="00F06D73" w:rsidRPr="008E3C5B" w:rsidRDefault="00F06D73" w:rsidP="00E27725">
            <w:pPr>
              <w:jc w:val="both"/>
              <w:rPr>
                <w:rFonts w:eastAsia="Calibri" w:cs="Arial"/>
              </w:rPr>
            </w:pPr>
            <w:r w:rsidRPr="008E3C5B">
              <w:rPr>
                <w:rFonts w:eastAsia="Calibri" w:cs="Arial"/>
              </w:rPr>
              <w:t>4</w:t>
            </w:r>
          </w:p>
        </w:tc>
        <w:tc>
          <w:tcPr>
            <w:tcW w:w="838" w:type="dxa"/>
          </w:tcPr>
          <w:p w:rsidR="00F06D73" w:rsidRPr="008E3C5B" w:rsidRDefault="00F06D73" w:rsidP="00E27725">
            <w:pPr>
              <w:jc w:val="both"/>
              <w:rPr>
                <w:rFonts w:eastAsia="Calibri" w:cs="Arial"/>
              </w:rPr>
            </w:pPr>
            <w:r w:rsidRPr="008E3C5B">
              <w:rPr>
                <w:rFonts w:eastAsia="Calibri" w:cs="Arial"/>
              </w:rPr>
              <w:t>(33.3)</w:t>
            </w:r>
          </w:p>
          <w:p w:rsidR="00F06D73" w:rsidRPr="008E3C5B" w:rsidRDefault="00F06D73" w:rsidP="00E27725">
            <w:pPr>
              <w:jc w:val="both"/>
              <w:rPr>
                <w:rFonts w:eastAsia="Calibri" w:cs="Arial"/>
              </w:rPr>
            </w:pPr>
            <w:r w:rsidRPr="008E3C5B">
              <w:rPr>
                <w:rFonts w:eastAsia="Calibri" w:cs="Arial"/>
              </w:rPr>
              <w:t>(17.4)</w:t>
            </w:r>
          </w:p>
          <w:p w:rsidR="00F06D73" w:rsidRPr="008E3C5B" w:rsidRDefault="00F06D73" w:rsidP="00E27725">
            <w:pPr>
              <w:jc w:val="both"/>
              <w:rPr>
                <w:rFonts w:eastAsia="Calibri" w:cs="Arial"/>
              </w:rPr>
            </w:pPr>
            <w:r w:rsidRPr="008E3C5B">
              <w:rPr>
                <w:rFonts w:eastAsia="Calibri" w:cs="Arial"/>
              </w:rPr>
              <w:t>(16.4)</w:t>
            </w:r>
          </w:p>
          <w:p w:rsidR="00F06D73" w:rsidRPr="008E3C5B" w:rsidRDefault="00F06D73" w:rsidP="00E27725">
            <w:pPr>
              <w:jc w:val="both"/>
              <w:rPr>
                <w:rFonts w:eastAsia="Calibri" w:cs="Arial"/>
              </w:rPr>
            </w:pPr>
            <w:r w:rsidRPr="008E3C5B">
              <w:rPr>
                <w:rFonts w:eastAsia="Calibri" w:cs="Arial"/>
              </w:rPr>
              <w:t>(11.7)</w:t>
            </w:r>
          </w:p>
          <w:p w:rsidR="00F06D73" w:rsidRPr="008E3C5B" w:rsidRDefault="00F06D73" w:rsidP="00E27725">
            <w:pPr>
              <w:jc w:val="both"/>
              <w:rPr>
                <w:rFonts w:eastAsia="Calibri" w:cs="Arial"/>
              </w:rPr>
            </w:pPr>
            <w:r w:rsidRPr="008E3C5B">
              <w:rPr>
                <w:rFonts w:eastAsia="Calibri" w:cs="Arial"/>
              </w:rPr>
              <w:t>(9.9)</w:t>
            </w:r>
          </w:p>
          <w:p w:rsidR="00F06D73" w:rsidRPr="008E3C5B" w:rsidRDefault="00F06D73" w:rsidP="00E27725">
            <w:pPr>
              <w:jc w:val="both"/>
              <w:rPr>
                <w:rFonts w:eastAsia="Calibri" w:cs="Arial"/>
              </w:rPr>
            </w:pPr>
            <w:r w:rsidRPr="008E3C5B">
              <w:rPr>
                <w:rFonts w:eastAsia="Calibri" w:cs="Arial"/>
              </w:rPr>
              <w:t>(5.2)</w:t>
            </w:r>
          </w:p>
          <w:p w:rsidR="00F06D73" w:rsidRPr="008E3C5B" w:rsidRDefault="00F06D73" w:rsidP="00E27725">
            <w:pPr>
              <w:jc w:val="both"/>
              <w:rPr>
                <w:rFonts w:eastAsia="Calibri" w:cs="Arial"/>
              </w:rPr>
            </w:pPr>
            <w:r w:rsidRPr="008E3C5B">
              <w:rPr>
                <w:rFonts w:eastAsia="Calibri" w:cs="Arial"/>
              </w:rPr>
              <w:t>(4.2)</w:t>
            </w:r>
          </w:p>
          <w:p w:rsidR="00F06D73" w:rsidRPr="008E3C5B" w:rsidRDefault="00F06D73" w:rsidP="00E27725">
            <w:pPr>
              <w:jc w:val="both"/>
              <w:rPr>
                <w:rFonts w:eastAsia="Calibri" w:cs="Arial"/>
              </w:rPr>
            </w:pPr>
            <w:r w:rsidRPr="008E3C5B">
              <w:rPr>
                <w:rFonts w:eastAsia="Calibri" w:cs="Arial"/>
              </w:rPr>
              <w:t>(1.9)</w:t>
            </w:r>
          </w:p>
        </w:tc>
      </w:tr>
    </w:tbl>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line="360" w:lineRule="auto"/>
        <w:ind w:right="4392"/>
        <w:jc w:val="both"/>
        <w:rPr>
          <w:rFonts w:ascii="Arial" w:eastAsia="Calibri" w:hAnsi="Arial" w:cs="Arial"/>
          <w:i/>
        </w:rPr>
      </w:pPr>
      <w:r w:rsidRPr="008E3C5B">
        <w:rPr>
          <w:rFonts w:ascii="Arial" w:eastAsia="Calibri" w:hAnsi="Arial" w:cs="Arial"/>
        </w:rPr>
        <w:t xml:space="preserve">Table 2. </w:t>
      </w:r>
      <w:r w:rsidRPr="008E3C5B">
        <w:rPr>
          <w:rFonts w:ascii="Arial" w:eastAsia="Calibri" w:hAnsi="Arial" w:cs="Arial"/>
          <w:i/>
        </w:rPr>
        <w:t>Frequencies of offenders’ crime scene behaviors during the index homicide.</w:t>
      </w:r>
    </w:p>
    <w:tbl>
      <w:tblPr>
        <w:tblStyle w:val="APA"/>
        <w:tblW w:w="9214" w:type="dxa"/>
        <w:tblLayout w:type="fixed"/>
        <w:tblLook w:val="04A0" w:firstRow="1" w:lastRow="0" w:firstColumn="1" w:lastColumn="0" w:noHBand="0" w:noVBand="1"/>
      </w:tblPr>
      <w:tblGrid>
        <w:gridCol w:w="4536"/>
        <w:gridCol w:w="3686"/>
        <w:gridCol w:w="992"/>
      </w:tblGrid>
      <w:tr w:rsidR="00F06D73" w:rsidRPr="008E3C5B" w:rsidTr="00E27725">
        <w:trPr>
          <w:trHeight w:val="502"/>
        </w:trPr>
        <w:tc>
          <w:tcPr>
            <w:tcW w:w="4536" w:type="dxa"/>
          </w:tcPr>
          <w:p w:rsidR="00F06D73" w:rsidRPr="008E3C5B" w:rsidRDefault="00F06D73" w:rsidP="00E27725">
            <w:pPr>
              <w:jc w:val="both"/>
              <w:rPr>
                <w:rFonts w:eastAsia="Calibri" w:cs="Arial"/>
                <w:sz w:val="20"/>
                <w:szCs w:val="20"/>
              </w:rPr>
            </w:pPr>
            <w:bookmarkStart w:id="26" w:name="_Hlk523063393"/>
            <w:r w:rsidRPr="008E3C5B">
              <w:rPr>
                <w:rFonts w:eastAsia="Calibri" w:cs="Arial"/>
                <w:sz w:val="20"/>
                <w:szCs w:val="20"/>
              </w:rPr>
              <w:t>Offence Behavior Variables</w:t>
            </w:r>
          </w:p>
        </w:tc>
        <w:tc>
          <w:tcPr>
            <w:tcW w:w="3686" w:type="dxa"/>
          </w:tcPr>
          <w:p w:rsidR="00F06D73" w:rsidRPr="008E3C5B" w:rsidRDefault="00F06D73" w:rsidP="00E27725">
            <w:pPr>
              <w:jc w:val="both"/>
              <w:rPr>
                <w:rFonts w:eastAsia="Calibri" w:cs="Arial"/>
                <w:sz w:val="20"/>
                <w:szCs w:val="20"/>
              </w:rPr>
            </w:pPr>
            <w:r w:rsidRPr="008E3C5B">
              <w:rPr>
                <w:rFonts w:eastAsia="Calibri" w:cs="Arial"/>
                <w:sz w:val="20"/>
                <w:szCs w:val="20"/>
              </w:rPr>
              <w:t>n</w:t>
            </w:r>
          </w:p>
        </w:tc>
        <w:tc>
          <w:tcPr>
            <w:tcW w:w="992" w:type="dxa"/>
          </w:tcPr>
          <w:p w:rsidR="00F06D73" w:rsidRPr="008E3C5B" w:rsidRDefault="00F06D73" w:rsidP="00E27725">
            <w:pPr>
              <w:ind w:left="-106"/>
              <w:jc w:val="both"/>
              <w:rPr>
                <w:rFonts w:eastAsia="Calibri" w:cs="Arial"/>
                <w:sz w:val="20"/>
                <w:szCs w:val="20"/>
              </w:rPr>
            </w:pPr>
            <w:r w:rsidRPr="008E3C5B">
              <w:rPr>
                <w:rFonts w:eastAsia="Calibri" w:cs="Arial"/>
                <w:sz w:val="20"/>
                <w:szCs w:val="20"/>
              </w:rPr>
              <w:t>(%)</w:t>
            </w:r>
          </w:p>
        </w:tc>
      </w:tr>
      <w:bookmarkEnd w:id="26"/>
      <w:tr w:rsidR="00F06D73" w:rsidRPr="008E3C5B" w:rsidTr="00E27725">
        <w:trPr>
          <w:trHeight w:val="492"/>
        </w:trPr>
        <w:tc>
          <w:tcPr>
            <w:tcW w:w="4536" w:type="dxa"/>
            <w:vAlign w:val="center"/>
          </w:tcPr>
          <w:p w:rsidR="00F06D73" w:rsidRPr="008E3C5B" w:rsidRDefault="00F06D73" w:rsidP="00E27725">
            <w:pPr>
              <w:jc w:val="both"/>
              <w:rPr>
                <w:rFonts w:eastAsia="Calibri" w:cs="Arial"/>
                <w:sz w:val="20"/>
                <w:szCs w:val="20"/>
              </w:rPr>
            </w:pPr>
            <w:r w:rsidRPr="008E3C5B">
              <w:rPr>
                <w:rFonts w:eastAsia="Calibri" w:cs="Arial"/>
                <w:sz w:val="20"/>
                <w:szCs w:val="20"/>
              </w:rPr>
              <w:t>Precautionary behaviors</w:t>
            </w:r>
          </w:p>
          <w:p w:rsidR="00F06D73" w:rsidRPr="008E3C5B" w:rsidRDefault="00F06D73" w:rsidP="00E27725">
            <w:pPr>
              <w:ind w:left="318"/>
              <w:jc w:val="both"/>
              <w:rPr>
                <w:rFonts w:eastAsia="Calibri" w:cs="Arial"/>
                <w:i/>
                <w:sz w:val="20"/>
                <w:szCs w:val="20"/>
                <w:vertAlign w:val="superscript"/>
              </w:rPr>
            </w:pPr>
            <w:r w:rsidRPr="008E3C5B">
              <w:rPr>
                <w:rFonts w:eastAsia="Calibri" w:cs="Arial"/>
                <w:i/>
                <w:sz w:val="20"/>
                <w:szCs w:val="20"/>
              </w:rPr>
              <w:t>Any precautions taken</w:t>
            </w:r>
            <w:r w:rsidRPr="008E3C5B">
              <w:rPr>
                <w:rFonts w:eastAsia="Calibri" w:cs="Arial"/>
                <w:i/>
                <w:sz w:val="20"/>
                <w:szCs w:val="20"/>
                <w:vertAlign w:val="superscript"/>
              </w:rPr>
              <w:t xml:space="preserve"> a</w:t>
            </w:r>
          </w:p>
          <w:p w:rsidR="00F06D73" w:rsidRPr="008E3C5B" w:rsidRDefault="00F06D73" w:rsidP="00E27725">
            <w:pPr>
              <w:ind w:left="318"/>
              <w:jc w:val="both"/>
              <w:rPr>
                <w:rFonts w:eastAsia="Calibri" w:cs="Arial"/>
                <w:sz w:val="20"/>
                <w:szCs w:val="20"/>
              </w:rPr>
            </w:pPr>
            <w:r w:rsidRPr="008E3C5B">
              <w:rPr>
                <w:rFonts w:eastAsia="Calibri" w:cs="Arial"/>
                <w:sz w:val="20"/>
                <w:szCs w:val="20"/>
              </w:rPr>
              <w:t>Precautions scene</w:t>
            </w:r>
          </w:p>
          <w:p w:rsidR="00F06D73" w:rsidRPr="008E3C5B" w:rsidRDefault="00F06D73" w:rsidP="00E27725">
            <w:pPr>
              <w:ind w:left="318"/>
              <w:jc w:val="both"/>
              <w:rPr>
                <w:rFonts w:eastAsia="Calibri" w:cs="Arial"/>
                <w:sz w:val="20"/>
                <w:szCs w:val="20"/>
              </w:rPr>
            </w:pPr>
            <w:r w:rsidRPr="008E3C5B">
              <w:rPr>
                <w:rFonts w:eastAsia="Calibri" w:cs="Arial"/>
                <w:sz w:val="20"/>
                <w:szCs w:val="20"/>
              </w:rPr>
              <w:t>Precautions victim</w:t>
            </w:r>
          </w:p>
          <w:p w:rsidR="00F06D73" w:rsidRPr="008E3C5B" w:rsidRDefault="00F06D73" w:rsidP="00E27725">
            <w:pPr>
              <w:ind w:left="318"/>
              <w:jc w:val="both"/>
              <w:rPr>
                <w:rFonts w:eastAsia="Calibri" w:cs="Arial"/>
                <w:sz w:val="20"/>
                <w:szCs w:val="20"/>
              </w:rPr>
            </w:pPr>
            <w:r w:rsidRPr="008E3C5B">
              <w:rPr>
                <w:rFonts w:eastAsia="Calibri" w:cs="Arial"/>
                <w:sz w:val="20"/>
                <w:szCs w:val="20"/>
              </w:rPr>
              <w:t>Precautions offender</w:t>
            </w:r>
          </w:p>
          <w:p w:rsidR="00F06D73" w:rsidRPr="008E3C5B" w:rsidRDefault="00F06D73" w:rsidP="00E27725">
            <w:pPr>
              <w:jc w:val="both"/>
              <w:rPr>
                <w:rFonts w:eastAsia="Calibri" w:cs="Arial"/>
                <w:sz w:val="20"/>
                <w:szCs w:val="20"/>
              </w:rPr>
            </w:pPr>
            <w:r w:rsidRPr="008E3C5B">
              <w:rPr>
                <w:rFonts w:eastAsia="Calibri" w:cs="Arial"/>
                <w:sz w:val="20"/>
                <w:szCs w:val="20"/>
              </w:rPr>
              <w:t>Sexual behaviors</w:t>
            </w:r>
          </w:p>
          <w:p w:rsidR="00F06D73" w:rsidRPr="008E3C5B" w:rsidRDefault="00F06D73" w:rsidP="00E27725">
            <w:pPr>
              <w:ind w:left="318"/>
              <w:jc w:val="both"/>
              <w:rPr>
                <w:rFonts w:eastAsia="Calibri" w:cs="Arial"/>
                <w:i/>
                <w:sz w:val="20"/>
                <w:szCs w:val="20"/>
              </w:rPr>
            </w:pPr>
            <w:r w:rsidRPr="008E3C5B">
              <w:rPr>
                <w:rFonts w:eastAsia="Calibri" w:cs="Arial"/>
                <w:i/>
                <w:sz w:val="20"/>
                <w:szCs w:val="20"/>
              </w:rPr>
              <w:t>Any overt sexual behaviors</w:t>
            </w:r>
            <w:r w:rsidRPr="008E3C5B">
              <w:rPr>
                <w:rFonts w:eastAsia="Calibri" w:cs="Arial"/>
                <w:i/>
                <w:sz w:val="20"/>
                <w:szCs w:val="20"/>
                <w:vertAlign w:val="superscript"/>
              </w:rPr>
              <w:t xml:space="preserve"> a</w:t>
            </w:r>
          </w:p>
          <w:p w:rsidR="00F06D73" w:rsidRPr="008E3C5B" w:rsidRDefault="00F06D73" w:rsidP="00E27725">
            <w:pPr>
              <w:ind w:left="318"/>
              <w:jc w:val="both"/>
              <w:rPr>
                <w:rFonts w:eastAsia="Calibri" w:cs="Arial"/>
                <w:sz w:val="20"/>
                <w:szCs w:val="20"/>
              </w:rPr>
            </w:pPr>
            <w:r w:rsidRPr="008E3C5B">
              <w:rPr>
                <w:rFonts w:eastAsia="Calibri" w:cs="Arial"/>
                <w:sz w:val="20"/>
                <w:szCs w:val="20"/>
              </w:rPr>
              <w:t>Vaginal penetration</w:t>
            </w:r>
          </w:p>
          <w:p w:rsidR="00F06D73" w:rsidRPr="008E3C5B" w:rsidRDefault="00F06D73" w:rsidP="00E27725">
            <w:pPr>
              <w:ind w:left="318"/>
              <w:jc w:val="both"/>
              <w:rPr>
                <w:rFonts w:eastAsia="Calibri" w:cs="Arial"/>
                <w:sz w:val="20"/>
                <w:szCs w:val="20"/>
              </w:rPr>
            </w:pPr>
            <w:r w:rsidRPr="008E3C5B">
              <w:rPr>
                <w:rFonts w:eastAsia="Calibri" w:cs="Arial"/>
                <w:sz w:val="20"/>
                <w:szCs w:val="20"/>
              </w:rPr>
              <w:t>Anal penetration</w:t>
            </w:r>
          </w:p>
          <w:p w:rsidR="00F06D73" w:rsidRPr="008E3C5B" w:rsidRDefault="00F06D73" w:rsidP="00E27725">
            <w:pPr>
              <w:ind w:left="318"/>
              <w:jc w:val="both"/>
              <w:rPr>
                <w:rFonts w:eastAsia="Calibri" w:cs="Arial"/>
                <w:sz w:val="20"/>
                <w:szCs w:val="20"/>
              </w:rPr>
            </w:pPr>
            <w:r w:rsidRPr="008E3C5B">
              <w:rPr>
                <w:rFonts w:eastAsia="Calibri" w:cs="Arial"/>
                <w:sz w:val="20"/>
                <w:szCs w:val="20"/>
              </w:rPr>
              <w:t>Oral penetration</w:t>
            </w:r>
          </w:p>
          <w:p w:rsidR="00F06D73" w:rsidRPr="008E3C5B" w:rsidRDefault="00F06D73" w:rsidP="00E27725">
            <w:pPr>
              <w:ind w:left="318"/>
              <w:jc w:val="both"/>
              <w:rPr>
                <w:rFonts w:eastAsia="Calibri" w:cs="Arial"/>
                <w:sz w:val="20"/>
                <w:szCs w:val="20"/>
              </w:rPr>
            </w:pPr>
            <w:r w:rsidRPr="008E3C5B">
              <w:rPr>
                <w:rFonts w:eastAsia="Calibri" w:cs="Arial"/>
                <w:sz w:val="20"/>
                <w:szCs w:val="20"/>
              </w:rPr>
              <w:t>Other sexual activity</w:t>
            </w:r>
          </w:p>
        </w:tc>
        <w:tc>
          <w:tcPr>
            <w:tcW w:w="3686" w:type="dxa"/>
          </w:tcPr>
          <w:p w:rsidR="00F06D73" w:rsidRPr="008E3C5B" w:rsidRDefault="00F06D73" w:rsidP="00E27725">
            <w:pPr>
              <w:jc w:val="both"/>
              <w:rPr>
                <w:rFonts w:eastAsia="Calibri" w:cs="Arial"/>
                <w:sz w:val="20"/>
                <w:szCs w:val="20"/>
              </w:rPr>
            </w:pPr>
          </w:p>
          <w:p w:rsidR="00F06D73" w:rsidRPr="008E3C5B" w:rsidRDefault="00F06D73" w:rsidP="00E27725">
            <w:pPr>
              <w:jc w:val="both"/>
              <w:rPr>
                <w:rFonts w:eastAsia="Calibri" w:cs="Arial"/>
                <w:i/>
                <w:sz w:val="20"/>
                <w:szCs w:val="20"/>
              </w:rPr>
            </w:pPr>
            <w:r w:rsidRPr="008E3C5B">
              <w:rPr>
                <w:rFonts w:eastAsia="Calibri" w:cs="Arial"/>
                <w:i/>
                <w:sz w:val="20"/>
                <w:szCs w:val="20"/>
              </w:rPr>
              <w:t>87</w:t>
            </w:r>
          </w:p>
          <w:p w:rsidR="00F06D73" w:rsidRPr="008E3C5B" w:rsidRDefault="00F06D73" w:rsidP="00E27725">
            <w:pPr>
              <w:jc w:val="both"/>
              <w:rPr>
                <w:rFonts w:eastAsia="Calibri" w:cs="Arial"/>
                <w:sz w:val="20"/>
                <w:szCs w:val="20"/>
              </w:rPr>
            </w:pPr>
            <w:r w:rsidRPr="008E3C5B">
              <w:rPr>
                <w:rFonts w:eastAsia="Calibri" w:cs="Arial"/>
                <w:sz w:val="20"/>
                <w:szCs w:val="20"/>
              </w:rPr>
              <w:t>55</w:t>
            </w:r>
          </w:p>
          <w:p w:rsidR="00F06D73" w:rsidRPr="008E3C5B" w:rsidRDefault="00F06D73" w:rsidP="00E27725">
            <w:pPr>
              <w:jc w:val="both"/>
              <w:rPr>
                <w:rFonts w:eastAsia="Calibri" w:cs="Arial"/>
                <w:sz w:val="20"/>
                <w:szCs w:val="20"/>
              </w:rPr>
            </w:pPr>
            <w:r w:rsidRPr="008E3C5B">
              <w:rPr>
                <w:rFonts w:eastAsia="Calibri" w:cs="Arial"/>
                <w:sz w:val="20"/>
                <w:szCs w:val="20"/>
              </w:rPr>
              <w:t>28</w:t>
            </w:r>
          </w:p>
          <w:p w:rsidR="00F06D73" w:rsidRPr="008E3C5B" w:rsidRDefault="00F06D73" w:rsidP="00E27725">
            <w:pPr>
              <w:jc w:val="both"/>
              <w:rPr>
                <w:rFonts w:eastAsia="Calibri" w:cs="Arial"/>
                <w:sz w:val="20"/>
                <w:szCs w:val="20"/>
              </w:rPr>
            </w:pPr>
            <w:r w:rsidRPr="008E3C5B">
              <w:rPr>
                <w:rFonts w:eastAsia="Calibri" w:cs="Arial"/>
                <w:sz w:val="20"/>
                <w:szCs w:val="20"/>
              </w:rPr>
              <w:t>16</w:t>
            </w:r>
          </w:p>
          <w:p w:rsidR="00F06D73" w:rsidRPr="008E3C5B" w:rsidRDefault="00F06D73" w:rsidP="00E27725">
            <w:pPr>
              <w:jc w:val="both"/>
              <w:rPr>
                <w:rFonts w:eastAsia="Calibri" w:cs="Arial"/>
                <w:sz w:val="20"/>
                <w:szCs w:val="20"/>
              </w:rPr>
            </w:pPr>
          </w:p>
          <w:p w:rsidR="00F06D73" w:rsidRPr="008E3C5B" w:rsidRDefault="00F06D73" w:rsidP="00E27725">
            <w:pPr>
              <w:jc w:val="both"/>
              <w:rPr>
                <w:rFonts w:eastAsia="Calibri" w:cs="Arial"/>
                <w:i/>
                <w:sz w:val="20"/>
                <w:szCs w:val="20"/>
              </w:rPr>
            </w:pPr>
            <w:r w:rsidRPr="008E3C5B">
              <w:rPr>
                <w:rFonts w:eastAsia="Calibri" w:cs="Arial"/>
                <w:i/>
                <w:sz w:val="20"/>
                <w:szCs w:val="20"/>
              </w:rPr>
              <w:t>89</w:t>
            </w:r>
          </w:p>
          <w:p w:rsidR="00F06D73" w:rsidRPr="008E3C5B" w:rsidRDefault="00F06D73" w:rsidP="00E27725">
            <w:pPr>
              <w:jc w:val="both"/>
              <w:rPr>
                <w:rFonts w:eastAsia="Calibri" w:cs="Arial"/>
                <w:sz w:val="20"/>
                <w:szCs w:val="20"/>
              </w:rPr>
            </w:pPr>
            <w:r w:rsidRPr="008E3C5B">
              <w:rPr>
                <w:rFonts w:eastAsia="Calibri" w:cs="Arial"/>
                <w:sz w:val="20"/>
                <w:szCs w:val="20"/>
              </w:rPr>
              <w:t>67</w:t>
            </w:r>
          </w:p>
          <w:p w:rsidR="00F06D73" w:rsidRPr="008E3C5B" w:rsidRDefault="00F06D73" w:rsidP="00E27725">
            <w:pPr>
              <w:jc w:val="both"/>
              <w:rPr>
                <w:rFonts w:eastAsia="Calibri" w:cs="Arial"/>
                <w:sz w:val="20"/>
                <w:szCs w:val="20"/>
              </w:rPr>
            </w:pPr>
            <w:r w:rsidRPr="008E3C5B">
              <w:rPr>
                <w:rFonts w:eastAsia="Calibri" w:cs="Arial"/>
                <w:sz w:val="20"/>
                <w:szCs w:val="20"/>
              </w:rPr>
              <w:t>30</w:t>
            </w:r>
          </w:p>
          <w:p w:rsidR="00F06D73" w:rsidRPr="008E3C5B" w:rsidRDefault="00F06D73" w:rsidP="00E27725">
            <w:pPr>
              <w:jc w:val="both"/>
              <w:rPr>
                <w:rFonts w:eastAsia="Calibri" w:cs="Arial"/>
                <w:sz w:val="20"/>
                <w:szCs w:val="20"/>
              </w:rPr>
            </w:pPr>
            <w:r w:rsidRPr="008E3C5B">
              <w:rPr>
                <w:rFonts w:eastAsia="Calibri" w:cs="Arial"/>
                <w:sz w:val="20"/>
                <w:szCs w:val="20"/>
              </w:rPr>
              <w:t>8</w:t>
            </w:r>
          </w:p>
          <w:p w:rsidR="00F06D73" w:rsidRPr="008E3C5B" w:rsidRDefault="00F06D73" w:rsidP="00E27725">
            <w:pPr>
              <w:jc w:val="both"/>
              <w:rPr>
                <w:rFonts w:eastAsia="Calibri" w:cs="Arial"/>
                <w:sz w:val="20"/>
                <w:szCs w:val="20"/>
              </w:rPr>
            </w:pPr>
            <w:r w:rsidRPr="008E3C5B">
              <w:rPr>
                <w:rFonts w:eastAsia="Calibri" w:cs="Arial"/>
                <w:sz w:val="20"/>
                <w:szCs w:val="20"/>
              </w:rPr>
              <w:t>24</w:t>
            </w:r>
          </w:p>
        </w:tc>
        <w:tc>
          <w:tcPr>
            <w:tcW w:w="992" w:type="dxa"/>
          </w:tcPr>
          <w:p w:rsidR="00F06D73" w:rsidRPr="008E3C5B" w:rsidRDefault="00F06D73" w:rsidP="00E27725">
            <w:pPr>
              <w:spacing w:line="259" w:lineRule="auto"/>
              <w:ind w:left="-106"/>
              <w:jc w:val="both"/>
              <w:rPr>
                <w:rFonts w:eastAsia="Calibri" w:cs="Arial"/>
                <w:sz w:val="20"/>
                <w:szCs w:val="20"/>
              </w:rPr>
            </w:pPr>
          </w:p>
          <w:p w:rsidR="00F06D73" w:rsidRPr="008E3C5B" w:rsidRDefault="00F06D73" w:rsidP="00E27725">
            <w:pPr>
              <w:spacing w:line="259" w:lineRule="auto"/>
              <w:ind w:left="-106"/>
              <w:jc w:val="both"/>
              <w:rPr>
                <w:rFonts w:eastAsia="Calibri" w:cs="Arial"/>
                <w:i/>
                <w:sz w:val="20"/>
                <w:szCs w:val="20"/>
              </w:rPr>
            </w:pPr>
            <w:r w:rsidRPr="008E3C5B">
              <w:rPr>
                <w:rFonts w:eastAsia="Calibri" w:cs="Arial"/>
                <w:i/>
                <w:sz w:val="20"/>
                <w:szCs w:val="20"/>
              </w:rPr>
              <w:t>(40.8)</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(25.8)</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(13.1)</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(7.5)</w:t>
            </w:r>
          </w:p>
          <w:p w:rsidR="00F06D73" w:rsidRPr="008E3C5B" w:rsidRDefault="00F06D73" w:rsidP="00E27725">
            <w:pPr>
              <w:ind w:left="-106"/>
              <w:jc w:val="both"/>
              <w:rPr>
                <w:rFonts w:eastAsia="Times New Roman" w:cs="Arial"/>
                <w:color w:val="000000"/>
                <w:sz w:val="20"/>
                <w:szCs w:val="20"/>
                <w:lang w:eastAsia="de-DE"/>
              </w:rPr>
            </w:pPr>
          </w:p>
          <w:p w:rsidR="00F06D73" w:rsidRPr="008E3C5B" w:rsidRDefault="00F06D73" w:rsidP="00E27725">
            <w:pPr>
              <w:ind w:left="-106"/>
              <w:jc w:val="both"/>
              <w:rPr>
                <w:rFonts w:eastAsia="Times New Roman" w:cs="Arial"/>
                <w:i/>
                <w:color w:val="000000"/>
                <w:sz w:val="20"/>
                <w:szCs w:val="20"/>
                <w:lang w:eastAsia="de-DE"/>
              </w:rPr>
            </w:pPr>
            <w:r w:rsidRPr="008E3C5B">
              <w:rPr>
                <w:rFonts w:eastAsia="Times New Roman" w:cs="Arial"/>
                <w:i/>
                <w:color w:val="000000"/>
                <w:sz w:val="20"/>
                <w:szCs w:val="20"/>
                <w:lang w:eastAsia="de-DE"/>
              </w:rPr>
              <w:t>(41.8)</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(31.5)</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(14.1)</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(3.8)</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(11.3)</w:t>
            </w:r>
          </w:p>
        </w:tc>
      </w:tr>
      <w:tr w:rsidR="00F06D73" w:rsidRPr="008E3C5B" w:rsidTr="00E27725">
        <w:trPr>
          <w:trHeight w:val="255"/>
        </w:trPr>
        <w:tc>
          <w:tcPr>
            <w:tcW w:w="4536" w:type="dxa"/>
          </w:tcPr>
          <w:p w:rsidR="00F06D73" w:rsidRPr="008E3C5B" w:rsidRDefault="00F06D73" w:rsidP="00E27725">
            <w:pPr>
              <w:jc w:val="both"/>
              <w:rPr>
                <w:rFonts w:eastAsia="Calibri" w:cs="Arial"/>
                <w:sz w:val="20"/>
                <w:szCs w:val="20"/>
              </w:rPr>
            </w:pPr>
            <w:r w:rsidRPr="008E3C5B">
              <w:rPr>
                <w:rFonts w:eastAsia="Calibri" w:cs="Arial"/>
                <w:sz w:val="20"/>
                <w:szCs w:val="20"/>
              </w:rPr>
              <w:t>Offence Behavior Variables</w:t>
            </w:r>
          </w:p>
        </w:tc>
        <w:tc>
          <w:tcPr>
            <w:tcW w:w="3686" w:type="dxa"/>
          </w:tcPr>
          <w:p w:rsidR="00F06D73" w:rsidRPr="008E3C5B" w:rsidRDefault="00F06D73" w:rsidP="00E27725">
            <w:pPr>
              <w:jc w:val="both"/>
              <w:rPr>
                <w:rFonts w:eastAsia="Calibri" w:cs="Arial"/>
                <w:sz w:val="20"/>
                <w:szCs w:val="20"/>
              </w:rPr>
            </w:pPr>
            <w:r w:rsidRPr="008E3C5B">
              <w:rPr>
                <w:rFonts w:eastAsia="Calibri" w:cs="Arial"/>
                <w:sz w:val="20"/>
                <w:szCs w:val="20"/>
              </w:rPr>
              <w:t>n</w:t>
            </w:r>
          </w:p>
        </w:tc>
        <w:tc>
          <w:tcPr>
            <w:tcW w:w="992" w:type="dxa"/>
          </w:tcPr>
          <w:p w:rsidR="00F06D73" w:rsidRPr="008E3C5B" w:rsidRDefault="00F06D73" w:rsidP="00E27725">
            <w:pPr>
              <w:ind w:left="-106"/>
              <w:jc w:val="both"/>
              <w:rPr>
                <w:rFonts w:eastAsia="Calibri" w:cs="Arial"/>
                <w:sz w:val="20"/>
                <w:szCs w:val="20"/>
              </w:rPr>
            </w:pPr>
            <w:r w:rsidRPr="008E3C5B">
              <w:rPr>
                <w:rFonts w:eastAsia="Calibri" w:cs="Arial"/>
                <w:sz w:val="20"/>
                <w:szCs w:val="20"/>
              </w:rPr>
              <w:t>(%)</w:t>
            </w:r>
          </w:p>
        </w:tc>
      </w:tr>
      <w:tr w:rsidR="00F06D73" w:rsidRPr="008E3C5B" w:rsidTr="00E27725">
        <w:trPr>
          <w:trHeight w:val="492"/>
        </w:trPr>
        <w:tc>
          <w:tcPr>
            <w:tcW w:w="4536" w:type="dxa"/>
          </w:tcPr>
          <w:p w:rsidR="00F06D73" w:rsidRPr="008E3C5B" w:rsidRDefault="00F06D73" w:rsidP="00E27725">
            <w:pPr>
              <w:ind w:left="318"/>
              <w:jc w:val="both"/>
              <w:rPr>
                <w:rFonts w:eastAsia="Calibri" w:cs="Arial"/>
                <w:i/>
                <w:sz w:val="20"/>
                <w:szCs w:val="20"/>
              </w:rPr>
            </w:pPr>
            <w:r w:rsidRPr="008E3C5B">
              <w:rPr>
                <w:rFonts w:eastAsia="Calibri" w:cs="Arial"/>
                <w:i/>
                <w:sz w:val="20"/>
                <w:szCs w:val="20"/>
              </w:rPr>
              <w:t>Any disrobement</w:t>
            </w:r>
            <w:r w:rsidRPr="008E3C5B">
              <w:rPr>
                <w:rFonts w:eastAsia="Calibri" w:cs="Arial"/>
                <w:i/>
                <w:sz w:val="20"/>
                <w:szCs w:val="20"/>
                <w:vertAlign w:val="superscript"/>
              </w:rPr>
              <w:t xml:space="preserve"> a</w:t>
            </w:r>
          </w:p>
          <w:p w:rsidR="00F06D73" w:rsidRPr="008E3C5B" w:rsidRDefault="00F06D73" w:rsidP="00E27725">
            <w:pPr>
              <w:ind w:left="318"/>
              <w:jc w:val="both"/>
              <w:rPr>
                <w:rFonts w:eastAsia="Calibri" w:cs="Arial"/>
                <w:sz w:val="20"/>
                <w:szCs w:val="20"/>
              </w:rPr>
            </w:pPr>
            <w:r w:rsidRPr="008E3C5B">
              <w:rPr>
                <w:rFonts w:eastAsia="Calibri" w:cs="Arial"/>
                <w:sz w:val="20"/>
                <w:szCs w:val="20"/>
              </w:rPr>
              <w:t>Victim naked</w:t>
            </w:r>
          </w:p>
          <w:p w:rsidR="00F06D73" w:rsidRPr="008E3C5B" w:rsidRDefault="00F06D73" w:rsidP="00E27725">
            <w:pPr>
              <w:ind w:left="318"/>
              <w:jc w:val="both"/>
              <w:rPr>
                <w:rFonts w:eastAsia="Calibri" w:cs="Arial"/>
                <w:sz w:val="20"/>
                <w:szCs w:val="20"/>
              </w:rPr>
            </w:pPr>
            <w:r w:rsidRPr="008E3C5B">
              <w:rPr>
                <w:rFonts w:eastAsia="Calibri" w:cs="Arial"/>
                <w:sz w:val="20"/>
                <w:szCs w:val="20"/>
              </w:rPr>
              <w:t>Victim partially disrobed</w:t>
            </w:r>
          </w:p>
          <w:p w:rsidR="00F06D73" w:rsidRPr="008E3C5B" w:rsidRDefault="00F06D73" w:rsidP="00E27725">
            <w:pPr>
              <w:ind w:left="318"/>
              <w:jc w:val="both"/>
              <w:rPr>
                <w:rFonts w:eastAsia="Calibri" w:cs="Arial"/>
                <w:sz w:val="20"/>
                <w:szCs w:val="20"/>
              </w:rPr>
            </w:pPr>
            <w:r w:rsidRPr="008E3C5B">
              <w:rPr>
                <w:rFonts w:eastAsia="Calibri" w:cs="Arial"/>
                <w:sz w:val="20"/>
                <w:szCs w:val="20"/>
              </w:rPr>
              <w:t>Clothing moved to expose</w:t>
            </w:r>
          </w:p>
          <w:p w:rsidR="00F06D73" w:rsidRPr="008E3C5B" w:rsidRDefault="00F06D73" w:rsidP="00E27725">
            <w:pPr>
              <w:ind w:left="318"/>
              <w:jc w:val="both"/>
              <w:rPr>
                <w:rFonts w:eastAsia="Calibri" w:cs="Arial"/>
                <w:sz w:val="20"/>
                <w:szCs w:val="20"/>
              </w:rPr>
            </w:pPr>
            <w:r w:rsidRPr="008E3C5B">
              <w:rPr>
                <w:rFonts w:eastAsia="Calibri" w:cs="Arial"/>
                <w:sz w:val="20"/>
                <w:szCs w:val="20"/>
              </w:rPr>
              <w:t>Injury to sexual areas</w:t>
            </w:r>
          </w:p>
          <w:p w:rsidR="00F06D73" w:rsidRPr="008E3C5B" w:rsidRDefault="00F06D73" w:rsidP="00E27725">
            <w:pPr>
              <w:ind w:left="318"/>
              <w:jc w:val="both"/>
              <w:rPr>
                <w:rFonts w:eastAsia="Calibri" w:cs="Arial"/>
                <w:i/>
                <w:sz w:val="20"/>
                <w:szCs w:val="20"/>
              </w:rPr>
            </w:pPr>
            <w:r w:rsidRPr="008E3C5B">
              <w:rPr>
                <w:rFonts w:eastAsia="Calibri" w:cs="Arial"/>
                <w:i/>
                <w:sz w:val="20"/>
                <w:szCs w:val="20"/>
              </w:rPr>
              <w:t>Sexual homicide</w:t>
            </w:r>
            <w:r w:rsidRPr="008E3C5B">
              <w:rPr>
                <w:rFonts w:eastAsia="Calibri" w:cs="Arial"/>
                <w:i/>
                <w:sz w:val="20"/>
                <w:szCs w:val="20"/>
                <w:vertAlign w:val="superscript"/>
              </w:rPr>
              <w:t xml:space="preserve"> a, b</w:t>
            </w:r>
          </w:p>
          <w:p w:rsidR="00F06D73" w:rsidRPr="008E3C5B" w:rsidRDefault="00F06D73" w:rsidP="00E27725">
            <w:pPr>
              <w:jc w:val="both"/>
              <w:rPr>
                <w:rFonts w:eastAsia="Calibri" w:cs="Arial"/>
                <w:sz w:val="20"/>
                <w:szCs w:val="20"/>
              </w:rPr>
            </w:pPr>
            <w:r w:rsidRPr="008E3C5B">
              <w:rPr>
                <w:rFonts w:eastAsia="Calibri" w:cs="Arial"/>
                <w:sz w:val="20"/>
                <w:szCs w:val="20"/>
              </w:rPr>
              <w:t>Body disposal</w:t>
            </w:r>
          </w:p>
          <w:p w:rsidR="00F06D73" w:rsidRPr="008E3C5B" w:rsidRDefault="00F06D73" w:rsidP="00E27725">
            <w:pPr>
              <w:ind w:left="318"/>
              <w:jc w:val="both"/>
              <w:rPr>
                <w:rFonts w:eastAsia="Calibri" w:cs="Arial"/>
                <w:sz w:val="20"/>
                <w:szCs w:val="20"/>
              </w:rPr>
            </w:pPr>
            <w:r w:rsidRPr="008E3C5B">
              <w:rPr>
                <w:rFonts w:eastAsia="Calibri" w:cs="Arial"/>
                <w:sz w:val="20"/>
                <w:szCs w:val="20"/>
              </w:rPr>
              <w:t>Body recovered indoors</w:t>
            </w:r>
          </w:p>
          <w:p w:rsidR="00F06D73" w:rsidRPr="008E3C5B" w:rsidRDefault="00F06D73" w:rsidP="00E27725">
            <w:pPr>
              <w:ind w:left="318"/>
              <w:jc w:val="both"/>
              <w:rPr>
                <w:rFonts w:eastAsia="Calibri" w:cs="Arial"/>
                <w:sz w:val="20"/>
                <w:szCs w:val="20"/>
              </w:rPr>
            </w:pPr>
            <w:r w:rsidRPr="008E3C5B">
              <w:rPr>
                <w:rFonts w:eastAsia="Calibri" w:cs="Arial"/>
                <w:sz w:val="20"/>
                <w:szCs w:val="20"/>
              </w:rPr>
              <w:t>Body concealed</w:t>
            </w:r>
          </w:p>
          <w:p w:rsidR="00F06D73" w:rsidRPr="008E3C5B" w:rsidRDefault="00F06D73" w:rsidP="00E27725">
            <w:pPr>
              <w:ind w:left="318"/>
              <w:jc w:val="both"/>
              <w:rPr>
                <w:rFonts w:eastAsia="Calibri" w:cs="Arial"/>
                <w:sz w:val="20"/>
                <w:szCs w:val="20"/>
              </w:rPr>
            </w:pPr>
            <w:r w:rsidRPr="008E3C5B">
              <w:rPr>
                <w:rFonts w:eastAsia="Calibri" w:cs="Arial"/>
                <w:sz w:val="20"/>
                <w:szCs w:val="20"/>
              </w:rPr>
              <w:t>Body dismembered</w:t>
            </w:r>
          </w:p>
          <w:p w:rsidR="00F06D73" w:rsidRPr="008E3C5B" w:rsidRDefault="00F06D73" w:rsidP="00E27725">
            <w:pPr>
              <w:jc w:val="both"/>
              <w:rPr>
                <w:rFonts w:eastAsia="Calibri" w:cs="Arial"/>
                <w:sz w:val="20"/>
                <w:szCs w:val="20"/>
              </w:rPr>
            </w:pPr>
            <w:r w:rsidRPr="008E3C5B">
              <w:rPr>
                <w:rFonts w:eastAsia="Calibri" w:cs="Arial"/>
                <w:sz w:val="20"/>
                <w:szCs w:val="20"/>
              </w:rPr>
              <w:t>Weapon involvement</w:t>
            </w:r>
          </w:p>
          <w:p w:rsidR="00F06D73" w:rsidRPr="008E3C5B" w:rsidRDefault="00F06D73" w:rsidP="00E27725">
            <w:pPr>
              <w:ind w:left="318"/>
              <w:jc w:val="both"/>
              <w:rPr>
                <w:rFonts w:eastAsia="Calibri" w:cs="Arial"/>
                <w:i/>
                <w:sz w:val="20"/>
                <w:szCs w:val="20"/>
              </w:rPr>
            </w:pPr>
            <w:r w:rsidRPr="008E3C5B">
              <w:rPr>
                <w:rFonts w:eastAsia="Calibri" w:cs="Arial"/>
                <w:i/>
                <w:sz w:val="20"/>
                <w:szCs w:val="20"/>
              </w:rPr>
              <w:t>Any weapon involved</w:t>
            </w:r>
            <w:r w:rsidRPr="008E3C5B">
              <w:rPr>
                <w:rFonts w:eastAsia="Calibri" w:cs="Arial"/>
                <w:i/>
                <w:sz w:val="20"/>
                <w:szCs w:val="20"/>
                <w:vertAlign w:val="superscript"/>
              </w:rPr>
              <w:t xml:space="preserve"> a</w:t>
            </w:r>
          </w:p>
          <w:p w:rsidR="00F06D73" w:rsidRPr="008E3C5B" w:rsidRDefault="00F06D73" w:rsidP="00E27725">
            <w:pPr>
              <w:ind w:left="318"/>
              <w:jc w:val="both"/>
              <w:rPr>
                <w:rFonts w:eastAsia="Calibri" w:cs="Arial"/>
                <w:sz w:val="20"/>
                <w:szCs w:val="20"/>
              </w:rPr>
            </w:pPr>
            <w:r w:rsidRPr="008E3C5B">
              <w:rPr>
                <w:rFonts w:eastAsia="Calibri" w:cs="Arial"/>
                <w:sz w:val="20"/>
                <w:szCs w:val="20"/>
              </w:rPr>
              <w:t>Stabbing weapon</w:t>
            </w:r>
          </w:p>
          <w:p w:rsidR="00F06D73" w:rsidRPr="008E3C5B" w:rsidRDefault="00F06D73" w:rsidP="00E27725">
            <w:pPr>
              <w:ind w:left="318"/>
              <w:jc w:val="both"/>
              <w:rPr>
                <w:rFonts w:eastAsia="Calibri" w:cs="Arial"/>
                <w:sz w:val="20"/>
                <w:szCs w:val="20"/>
              </w:rPr>
            </w:pPr>
            <w:r w:rsidRPr="008E3C5B">
              <w:rPr>
                <w:rFonts w:eastAsia="Calibri" w:cs="Arial"/>
                <w:sz w:val="20"/>
                <w:szCs w:val="20"/>
              </w:rPr>
              <w:t>Bludgeoning weapon</w:t>
            </w:r>
          </w:p>
          <w:p w:rsidR="00F06D73" w:rsidRPr="008E3C5B" w:rsidRDefault="00F06D73" w:rsidP="00E27725">
            <w:pPr>
              <w:ind w:left="318"/>
              <w:jc w:val="both"/>
              <w:rPr>
                <w:rFonts w:eastAsia="Calibri" w:cs="Arial"/>
                <w:sz w:val="20"/>
                <w:szCs w:val="20"/>
              </w:rPr>
            </w:pPr>
            <w:r w:rsidRPr="008E3C5B">
              <w:rPr>
                <w:rFonts w:eastAsia="Calibri" w:cs="Arial"/>
                <w:sz w:val="20"/>
                <w:szCs w:val="20"/>
              </w:rPr>
              <w:t>Ligature weapon</w:t>
            </w:r>
          </w:p>
          <w:p w:rsidR="00F06D73" w:rsidRPr="008E3C5B" w:rsidRDefault="00F06D73" w:rsidP="00E27725">
            <w:pPr>
              <w:ind w:left="318"/>
              <w:jc w:val="both"/>
              <w:rPr>
                <w:rFonts w:eastAsia="Calibri" w:cs="Arial"/>
                <w:sz w:val="20"/>
                <w:szCs w:val="20"/>
              </w:rPr>
            </w:pPr>
            <w:r w:rsidRPr="008E3C5B">
              <w:rPr>
                <w:rFonts w:eastAsia="Calibri" w:cs="Arial"/>
                <w:sz w:val="20"/>
                <w:szCs w:val="20"/>
              </w:rPr>
              <w:t>Weapon taken from scene</w:t>
            </w:r>
          </w:p>
          <w:p w:rsidR="00F06D73" w:rsidRPr="008E3C5B" w:rsidRDefault="00F06D73" w:rsidP="00E27725">
            <w:pPr>
              <w:ind w:left="318"/>
              <w:jc w:val="both"/>
              <w:rPr>
                <w:rFonts w:eastAsia="Calibri" w:cs="Arial"/>
                <w:sz w:val="20"/>
                <w:szCs w:val="20"/>
              </w:rPr>
            </w:pPr>
            <w:r w:rsidRPr="008E3C5B">
              <w:rPr>
                <w:rFonts w:eastAsia="Calibri" w:cs="Arial"/>
                <w:sz w:val="20"/>
                <w:szCs w:val="20"/>
              </w:rPr>
              <w:t>Weapon brought by offender</w:t>
            </w:r>
          </w:p>
          <w:p w:rsidR="00F06D73" w:rsidRPr="008E3C5B" w:rsidRDefault="00F06D73" w:rsidP="00E27725">
            <w:pPr>
              <w:jc w:val="both"/>
              <w:rPr>
                <w:rFonts w:eastAsia="Calibri" w:cs="Arial"/>
                <w:sz w:val="20"/>
                <w:szCs w:val="20"/>
              </w:rPr>
            </w:pPr>
            <w:r w:rsidRPr="008E3C5B">
              <w:rPr>
                <w:rFonts w:eastAsia="Calibri" w:cs="Arial"/>
                <w:sz w:val="20"/>
                <w:szCs w:val="20"/>
              </w:rPr>
              <w:t>Theft</w:t>
            </w:r>
          </w:p>
          <w:p w:rsidR="00F06D73" w:rsidRPr="008E3C5B" w:rsidRDefault="00F06D73" w:rsidP="00E27725">
            <w:pPr>
              <w:ind w:left="318"/>
              <w:jc w:val="both"/>
              <w:rPr>
                <w:rFonts w:eastAsia="Calibri" w:cs="Arial"/>
                <w:i/>
                <w:sz w:val="20"/>
                <w:szCs w:val="20"/>
              </w:rPr>
            </w:pPr>
            <w:r w:rsidRPr="008E3C5B">
              <w:rPr>
                <w:rFonts w:eastAsia="Calibri" w:cs="Arial"/>
                <w:i/>
                <w:sz w:val="20"/>
                <w:szCs w:val="20"/>
              </w:rPr>
              <w:t>Any theft</w:t>
            </w:r>
            <w:r w:rsidRPr="008E3C5B">
              <w:rPr>
                <w:rFonts w:eastAsia="Calibri" w:cs="Arial"/>
                <w:i/>
                <w:sz w:val="20"/>
                <w:szCs w:val="20"/>
                <w:vertAlign w:val="superscript"/>
              </w:rPr>
              <w:t xml:space="preserve"> a</w:t>
            </w:r>
          </w:p>
          <w:p w:rsidR="00F06D73" w:rsidRPr="008E3C5B" w:rsidRDefault="00F06D73" w:rsidP="00E27725">
            <w:pPr>
              <w:ind w:left="318"/>
              <w:jc w:val="both"/>
              <w:rPr>
                <w:rFonts w:eastAsia="Calibri" w:cs="Arial"/>
                <w:sz w:val="20"/>
                <w:szCs w:val="20"/>
              </w:rPr>
            </w:pPr>
            <w:r w:rsidRPr="008E3C5B">
              <w:rPr>
                <w:rFonts w:eastAsia="Calibri" w:cs="Arial"/>
                <w:sz w:val="20"/>
                <w:szCs w:val="20"/>
              </w:rPr>
              <w:t>Theft valuables</w:t>
            </w:r>
          </w:p>
          <w:p w:rsidR="00F06D73" w:rsidRPr="008E3C5B" w:rsidRDefault="00F06D73" w:rsidP="00E27725">
            <w:pPr>
              <w:ind w:left="318"/>
              <w:jc w:val="both"/>
              <w:rPr>
                <w:rFonts w:eastAsia="Calibri" w:cs="Arial"/>
                <w:sz w:val="20"/>
                <w:szCs w:val="20"/>
              </w:rPr>
            </w:pPr>
            <w:r w:rsidRPr="008E3C5B">
              <w:rPr>
                <w:rFonts w:eastAsia="Calibri" w:cs="Arial"/>
                <w:sz w:val="20"/>
                <w:szCs w:val="20"/>
              </w:rPr>
              <w:t>Theft personal</w:t>
            </w:r>
          </w:p>
          <w:p w:rsidR="00F06D73" w:rsidRPr="008E3C5B" w:rsidRDefault="00F06D73" w:rsidP="00E27725">
            <w:pPr>
              <w:ind w:left="318"/>
              <w:jc w:val="both"/>
              <w:rPr>
                <w:rFonts w:eastAsia="Calibri" w:cs="Arial"/>
                <w:sz w:val="20"/>
                <w:szCs w:val="20"/>
              </w:rPr>
            </w:pPr>
            <w:r w:rsidRPr="008E3C5B">
              <w:rPr>
                <w:rFonts w:eastAsia="Calibri" w:cs="Arial"/>
                <w:sz w:val="20"/>
                <w:szCs w:val="20"/>
              </w:rPr>
              <w:t>Theft clothing</w:t>
            </w:r>
          </w:p>
          <w:p w:rsidR="00F06D73" w:rsidRPr="008E3C5B" w:rsidRDefault="00F06D73" w:rsidP="00E27725">
            <w:pPr>
              <w:jc w:val="both"/>
              <w:rPr>
                <w:rFonts w:eastAsia="Calibri" w:cs="Arial"/>
                <w:sz w:val="20"/>
                <w:szCs w:val="20"/>
              </w:rPr>
            </w:pPr>
            <w:r w:rsidRPr="008E3C5B">
              <w:rPr>
                <w:rFonts w:eastAsia="Calibri" w:cs="Arial"/>
                <w:sz w:val="20"/>
                <w:szCs w:val="20"/>
              </w:rPr>
              <w:t>Method of killing</w:t>
            </w:r>
          </w:p>
          <w:p w:rsidR="00F06D73" w:rsidRPr="008E3C5B" w:rsidRDefault="00F06D73" w:rsidP="00E27725">
            <w:pPr>
              <w:ind w:left="318"/>
              <w:jc w:val="both"/>
              <w:rPr>
                <w:rFonts w:eastAsia="Calibri" w:cs="Arial"/>
                <w:sz w:val="20"/>
                <w:szCs w:val="20"/>
              </w:rPr>
            </w:pPr>
            <w:r w:rsidRPr="008E3C5B">
              <w:rPr>
                <w:rFonts w:eastAsia="Calibri" w:cs="Arial"/>
                <w:sz w:val="20"/>
                <w:szCs w:val="20"/>
              </w:rPr>
              <w:t>Death blunt force</w:t>
            </w:r>
          </w:p>
          <w:p w:rsidR="00F06D73" w:rsidRPr="008E3C5B" w:rsidRDefault="00F06D73" w:rsidP="00E27725">
            <w:pPr>
              <w:ind w:left="318"/>
              <w:jc w:val="both"/>
              <w:rPr>
                <w:rFonts w:eastAsia="Calibri" w:cs="Arial"/>
                <w:sz w:val="20"/>
                <w:szCs w:val="20"/>
              </w:rPr>
            </w:pPr>
            <w:r w:rsidRPr="008E3C5B">
              <w:rPr>
                <w:rFonts w:eastAsia="Calibri" w:cs="Arial"/>
                <w:sz w:val="20"/>
                <w:szCs w:val="20"/>
              </w:rPr>
              <w:t>Death asphyxia/strang.</w:t>
            </w:r>
          </w:p>
          <w:p w:rsidR="00F06D73" w:rsidRPr="008E3C5B" w:rsidRDefault="00F06D73" w:rsidP="00E27725">
            <w:pPr>
              <w:ind w:left="318"/>
              <w:jc w:val="both"/>
              <w:rPr>
                <w:rFonts w:eastAsia="Calibri" w:cs="Arial"/>
                <w:sz w:val="20"/>
                <w:szCs w:val="20"/>
              </w:rPr>
            </w:pPr>
            <w:r w:rsidRPr="008E3C5B">
              <w:rPr>
                <w:rFonts w:eastAsia="Calibri" w:cs="Arial"/>
                <w:sz w:val="20"/>
                <w:szCs w:val="20"/>
              </w:rPr>
              <w:t>Death sharp force</w:t>
            </w:r>
          </w:p>
          <w:p w:rsidR="00F06D73" w:rsidRPr="008E3C5B" w:rsidRDefault="00F06D73" w:rsidP="00E27725">
            <w:pPr>
              <w:jc w:val="both"/>
              <w:rPr>
                <w:rFonts w:eastAsia="Calibri" w:cs="Arial"/>
                <w:sz w:val="20"/>
                <w:szCs w:val="20"/>
              </w:rPr>
            </w:pPr>
            <w:r w:rsidRPr="008E3C5B">
              <w:rPr>
                <w:rFonts w:eastAsia="Calibri" w:cs="Arial"/>
                <w:sz w:val="20"/>
                <w:szCs w:val="20"/>
              </w:rPr>
              <w:t>Other behaviors</w:t>
            </w:r>
          </w:p>
          <w:p w:rsidR="00F06D73" w:rsidRPr="008E3C5B" w:rsidRDefault="00F06D73" w:rsidP="00E27725">
            <w:pPr>
              <w:ind w:left="318"/>
              <w:jc w:val="both"/>
              <w:rPr>
                <w:rFonts w:eastAsia="Calibri" w:cs="Arial"/>
                <w:sz w:val="20"/>
                <w:szCs w:val="20"/>
              </w:rPr>
            </w:pPr>
            <w:r w:rsidRPr="008E3C5B">
              <w:rPr>
                <w:rFonts w:eastAsia="Calibri" w:cs="Arial"/>
                <w:sz w:val="20"/>
                <w:szCs w:val="20"/>
              </w:rPr>
              <w:t>Vehicle used</w:t>
            </w:r>
          </w:p>
          <w:p w:rsidR="00F06D73" w:rsidRPr="008E3C5B" w:rsidRDefault="00F06D73" w:rsidP="00E27725">
            <w:pPr>
              <w:ind w:left="318"/>
              <w:jc w:val="both"/>
              <w:rPr>
                <w:rFonts w:eastAsia="Calibri" w:cs="Arial"/>
                <w:sz w:val="20"/>
                <w:szCs w:val="20"/>
              </w:rPr>
            </w:pPr>
            <w:r w:rsidRPr="008E3C5B">
              <w:rPr>
                <w:rFonts w:eastAsia="Calibri" w:cs="Arial"/>
                <w:sz w:val="20"/>
                <w:szCs w:val="20"/>
              </w:rPr>
              <w:t xml:space="preserve">Overkill </w:t>
            </w:r>
          </w:p>
          <w:p w:rsidR="00F06D73" w:rsidRPr="008E3C5B" w:rsidRDefault="00F06D73" w:rsidP="00E27725">
            <w:pPr>
              <w:ind w:left="318"/>
              <w:jc w:val="both"/>
              <w:rPr>
                <w:rFonts w:eastAsia="Calibri" w:cs="Arial"/>
                <w:sz w:val="20"/>
                <w:szCs w:val="20"/>
              </w:rPr>
            </w:pPr>
            <w:r w:rsidRPr="008E3C5B">
              <w:rPr>
                <w:rFonts w:eastAsia="Calibri" w:cs="Arial"/>
                <w:sz w:val="20"/>
                <w:szCs w:val="20"/>
              </w:rPr>
              <w:t>Burglary element</w:t>
            </w:r>
          </w:p>
          <w:p w:rsidR="00F06D73" w:rsidRPr="008E3C5B" w:rsidRDefault="00F06D73" w:rsidP="00E27725">
            <w:pPr>
              <w:ind w:left="318"/>
              <w:jc w:val="both"/>
              <w:rPr>
                <w:rFonts w:eastAsia="Calibri" w:cs="Arial"/>
                <w:sz w:val="20"/>
                <w:szCs w:val="20"/>
              </w:rPr>
            </w:pPr>
            <w:r w:rsidRPr="008E3C5B">
              <w:rPr>
                <w:rFonts w:eastAsia="Calibri" w:cs="Arial"/>
                <w:sz w:val="20"/>
                <w:szCs w:val="20"/>
              </w:rPr>
              <w:t>Arson element</w:t>
            </w:r>
          </w:p>
        </w:tc>
        <w:tc>
          <w:tcPr>
            <w:tcW w:w="3686" w:type="dxa"/>
          </w:tcPr>
          <w:p w:rsidR="00F06D73" w:rsidRPr="008E3C5B" w:rsidRDefault="00F06D73" w:rsidP="00E27725">
            <w:pPr>
              <w:jc w:val="both"/>
              <w:rPr>
                <w:rFonts w:eastAsia="Calibri" w:cs="Arial"/>
                <w:i/>
                <w:sz w:val="20"/>
                <w:szCs w:val="20"/>
              </w:rPr>
            </w:pPr>
            <w:r w:rsidRPr="008E3C5B">
              <w:rPr>
                <w:rFonts w:eastAsia="Calibri" w:cs="Arial"/>
                <w:i/>
                <w:sz w:val="20"/>
                <w:szCs w:val="20"/>
              </w:rPr>
              <w:t>141</w:t>
            </w:r>
          </w:p>
          <w:p w:rsidR="00F06D73" w:rsidRPr="008E3C5B" w:rsidRDefault="00F06D73" w:rsidP="00E27725">
            <w:pPr>
              <w:jc w:val="both"/>
              <w:rPr>
                <w:rFonts w:eastAsia="Calibri" w:cs="Arial"/>
                <w:sz w:val="20"/>
                <w:szCs w:val="20"/>
              </w:rPr>
            </w:pPr>
            <w:r w:rsidRPr="008E3C5B">
              <w:rPr>
                <w:rFonts w:eastAsia="Calibri" w:cs="Arial"/>
                <w:sz w:val="20"/>
                <w:szCs w:val="20"/>
              </w:rPr>
              <w:t>56</w:t>
            </w:r>
          </w:p>
          <w:p w:rsidR="00F06D73" w:rsidRPr="008E3C5B" w:rsidRDefault="00F06D73" w:rsidP="00E27725">
            <w:pPr>
              <w:jc w:val="both"/>
              <w:rPr>
                <w:rFonts w:eastAsia="Calibri" w:cs="Arial"/>
                <w:sz w:val="20"/>
                <w:szCs w:val="20"/>
              </w:rPr>
            </w:pPr>
            <w:r w:rsidRPr="008E3C5B">
              <w:rPr>
                <w:rFonts w:eastAsia="Calibri" w:cs="Arial"/>
                <w:sz w:val="20"/>
                <w:szCs w:val="20"/>
              </w:rPr>
              <w:t>52</w:t>
            </w:r>
          </w:p>
          <w:p w:rsidR="00F06D73" w:rsidRPr="008E3C5B" w:rsidRDefault="00F06D73" w:rsidP="00E27725">
            <w:pPr>
              <w:jc w:val="both"/>
              <w:rPr>
                <w:rFonts w:eastAsia="Calibri" w:cs="Arial"/>
                <w:sz w:val="20"/>
                <w:szCs w:val="20"/>
              </w:rPr>
            </w:pPr>
            <w:r w:rsidRPr="008E3C5B">
              <w:rPr>
                <w:rFonts w:eastAsia="Calibri" w:cs="Arial"/>
                <w:sz w:val="20"/>
                <w:szCs w:val="20"/>
              </w:rPr>
              <w:t>34</w:t>
            </w:r>
          </w:p>
          <w:p w:rsidR="00F06D73" w:rsidRPr="008E3C5B" w:rsidRDefault="00F06D73" w:rsidP="00E27725">
            <w:pPr>
              <w:jc w:val="both"/>
              <w:rPr>
                <w:rFonts w:eastAsia="Calibri" w:cs="Arial"/>
                <w:sz w:val="20"/>
                <w:szCs w:val="20"/>
              </w:rPr>
            </w:pPr>
            <w:r w:rsidRPr="008E3C5B">
              <w:rPr>
                <w:rFonts w:eastAsia="Calibri" w:cs="Arial"/>
                <w:sz w:val="20"/>
                <w:szCs w:val="20"/>
              </w:rPr>
              <w:t>35</w:t>
            </w:r>
          </w:p>
          <w:p w:rsidR="00F06D73" w:rsidRPr="008E3C5B" w:rsidRDefault="00F06D73" w:rsidP="00E27725">
            <w:pPr>
              <w:jc w:val="both"/>
              <w:rPr>
                <w:rFonts w:eastAsia="Calibri" w:cs="Arial"/>
                <w:i/>
                <w:sz w:val="20"/>
                <w:szCs w:val="20"/>
              </w:rPr>
            </w:pPr>
            <w:r w:rsidRPr="008E3C5B">
              <w:rPr>
                <w:rFonts w:eastAsia="Calibri" w:cs="Arial"/>
                <w:i/>
                <w:sz w:val="20"/>
                <w:szCs w:val="20"/>
              </w:rPr>
              <w:t>156</w:t>
            </w:r>
          </w:p>
          <w:p w:rsidR="00F06D73" w:rsidRPr="008E3C5B" w:rsidRDefault="00F06D73" w:rsidP="00E27725">
            <w:pPr>
              <w:jc w:val="both"/>
              <w:rPr>
                <w:rFonts w:eastAsia="Calibri" w:cs="Arial"/>
                <w:sz w:val="20"/>
                <w:szCs w:val="20"/>
              </w:rPr>
            </w:pPr>
          </w:p>
          <w:p w:rsidR="00F06D73" w:rsidRPr="008E3C5B" w:rsidRDefault="00F06D73" w:rsidP="00E27725">
            <w:pPr>
              <w:jc w:val="both"/>
              <w:rPr>
                <w:rFonts w:eastAsia="Calibri" w:cs="Arial"/>
                <w:sz w:val="20"/>
                <w:szCs w:val="20"/>
              </w:rPr>
            </w:pPr>
            <w:r w:rsidRPr="008E3C5B">
              <w:rPr>
                <w:rFonts w:eastAsia="Calibri" w:cs="Arial"/>
                <w:sz w:val="20"/>
                <w:szCs w:val="20"/>
              </w:rPr>
              <w:t>113</w:t>
            </w:r>
          </w:p>
          <w:p w:rsidR="00F06D73" w:rsidRPr="008E3C5B" w:rsidRDefault="00F06D73" w:rsidP="00E27725">
            <w:pPr>
              <w:jc w:val="both"/>
              <w:rPr>
                <w:rFonts w:eastAsia="Calibri" w:cs="Arial"/>
                <w:sz w:val="20"/>
                <w:szCs w:val="20"/>
              </w:rPr>
            </w:pPr>
            <w:r w:rsidRPr="008E3C5B">
              <w:rPr>
                <w:rFonts w:eastAsia="Calibri" w:cs="Arial"/>
                <w:sz w:val="20"/>
                <w:szCs w:val="20"/>
              </w:rPr>
              <w:t>53</w:t>
            </w:r>
          </w:p>
          <w:p w:rsidR="00F06D73" w:rsidRPr="008E3C5B" w:rsidRDefault="00F06D73" w:rsidP="00E27725">
            <w:pPr>
              <w:jc w:val="both"/>
              <w:rPr>
                <w:rFonts w:eastAsia="Calibri" w:cs="Arial"/>
                <w:sz w:val="20"/>
                <w:szCs w:val="20"/>
              </w:rPr>
            </w:pPr>
            <w:r w:rsidRPr="008E3C5B">
              <w:rPr>
                <w:rFonts w:eastAsia="Calibri" w:cs="Arial"/>
                <w:sz w:val="20"/>
                <w:szCs w:val="20"/>
              </w:rPr>
              <w:t>18</w:t>
            </w:r>
          </w:p>
          <w:p w:rsidR="00F06D73" w:rsidRPr="008E3C5B" w:rsidRDefault="00F06D73" w:rsidP="00E27725">
            <w:pPr>
              <w:jc w:val="both"/>
              <w:rPr>
                <w:rFonts w:eastAsia="Calibri" w:cs="Arial"/>
                <w:sz w:val="20"/>
                <w:szCs w:val="20"/>
              </w:rPr>
            </w:pPr>
          </w:p>
          <w:p w:rsidR="00F06D73" w:rsidRPr="008E3C5B" w:rsidRDefault="00F06D73" w:rsidP="00E27725">
            <w:pPr>
              <w:jc w:val="both"/>
              <w:rPr>
                <w:rFonts w:eastAsia="Calibri" w:cs="Arial"/>
                <w:i/>
                <w:sz w:val="20"/>
                <w:szCs w:val="20"/>
              </w:rPr>
            </w:pPr>
            <w:r w:rsidRPr="008E3C5B">
              <w:rPr>
                <w:rFonts w:eastAsia="Calibri" w:cs="Arial"/>
                <w:i/>
                <w:sz w:val="20"/>
                <w:szCs w:val="20"/>
              </w:rPr>
              <w:t>142</w:t>
            </w:r>
          </w:p>
          <w:p w:rsidR="00F06D73" w:rsidRPr="008E3C5B" w:rsidRDefault="00F06D73" w:rsidP="00E27725">
            <w:pPr>
              <w:jc w:val="both"/>
              <w:rPr>
                <w:rFonts w:eastAsia="Calibri" w:cs="Arial"/>
                <w:sz w:val="20"/>
                <w:szCs w:val="20"/>
              </w:rPr>
            </w:pPr>
            <w:r w:rsidRPr="008E3C5B">
              <w:rPr>
                <w:rFonts w:eastAsia="Calibri" w:cs="Arial"/>
                <w:sz w:val="20"/>
                <w:szCs w:val="20"/>
              </w:rPr>
              <w:t>73</w:t>
            </w:r>
          </w:p>
          <w:p w:rsidR="00F06D73" w:rsidRPr="008E3C5B" w:rsidRDefault="00F06D73" w:rsidP="00E27725">
            <w:pPr>
              <w:jc w:val="both"/>
              <w:rPr>
                <w:rFonts w:eastAsia="Calibri" w:cs="Arial"/>
                <w:sz w:val="20"/>
                <w:szCs w:val="20"/>
              </w:rPr>
            </w:pPr>
            <w:r w:rsidRPr="008E3C5B">
              <w:rPr>
                <w:rFonts w:eastAsia="Calibri" w:cs="Arial"/>
                <w:sz w:val="20"/>
                <w:szCs w:val="20"/>
              </w:rPr>
              <w:t>45</w:t>
            </w:r>
          </w:p>
          <w:p w:rsidR="00F06D73" w:rsidRPr="008E3C5B" w:rsidRDefault="00F06D73" w:rsidP="00E27725">
            <w:pPr>
              <w:jc w:val="both"/>
              <w:rPr>
                <w:rFonts w:eastAsia="Calibri" w:cs="Arial"/>
                <w:sz w:val="20"/>
                <w:szCs w:val="20"/>
              </w:rPr>
            </w:pPr>
            <w:r w:rsidRPr="008E3C5B">
              <w:rPr>
                <w:rFonts w:eastAsia="Calibri" w:cs="Arial"/>
                <w:sz w:val="20"/>
                <w:szCs w:val="20"/>
              </w:rPr>
              <w:t>44</w:t>
            </w:r>
          </w:p>
          <w:p w:rsidR="00F06D73" w:rsidRPr="008E3C5B" w:rsidRDefault="00F06D73" w:rsidP="00E27725">
            <w:pPr>
              <w:jc w:val="both"/>
              <w:rPr>
                <w:rFonts w:eastAsia="Calibri" w:cs="Arial"/>
                <w:sz w:val="20"/>
                <w:szCs w:val="20"/>
              </w:rPr>
            </w:pPr>
            <w:r w:rsidRPr="008E3C5B">
              <w:rPr>
                <w:rFonts w:eastAsia="Calibri" w:cs="Arial"/>
                <w:sz w:val="20"/>
                <w:szCs w:val="20"/>
              </w:rPr>
              <w:t>56</w:t>
            </w:r>
          </w:p>
          <w:p w:rsidR="00F06D73" w:rsidRPr="008E3C5B" w:rsidRDefault="00F06D73" w:rsidP="00E27725">
            <w:pPr>
              <w:jc w:val="both"/>
              <w:rPr>
                <w:rFonts w:eastAsia="Calibri" w:cs="Arial"/>
                <w:sz w:val="20"/>
                <w:szCs w:val="20"/>
              </w:rPr>
            </w:pPr>
            <w:r w:rsidRPr="008E3C5B">
              <w:rPr>
                <w:rFonts w:eastAsia="Calibri" w:cs="Arial"/>
                <w:sz w:val="20"/>
                <w:szCs w:val="20"/>
              </w:rPr>
              <w:t>33</w:t>
            </w:r>
          </w:p>
          <w:p w:rsidR="00F06D73" w:rsidRPr="008E3C5B" w:rsidRDefault="00F06D73" w:rsidP="00E27725">
            <w:pPr>
              <w:jc w:val="both"/>
              <w:rPr>
                <w:rFonts w:eastAsia="Calibri" w:cs="Arial"/>
                <w:sz w:val="20"/>
                <w:szCs w:val="20"/>
              </w:rPr>
            </w:pPr>
          </w:p>
          <w:p w:rsidR="00F06D73" w:rsidRPr="008E3C5B" w:rsidRDefault="00F06D73" w:rsidP="00E27725">
            <w:pPr>
              <w:jc w:val="both"/>
              <w:rPr>
                <w:rFonts w:eastAsia="Calibri" w:cs="Arial"/>
                <w:i/>
                <w:sz w:val="20"/>
                <w:szCs w:val="20"/>
              </w:rPr>
            </w:pPr>
            <w:r w:rsidRPr="008E3C5B">
              <w:rPr>
                <w:rFonts w:eastAsia="Calibri" w:cs="Arial"/>
                <w:i/>
                <w:sz w:val="20"/>
                <w:szCs w:val="20"/>
              </w:rPr>
              <w:t>94</w:t>
            </w:r>
          </w:p>
          <w:p w:rsidR="00F06D73" w:rsidRPr="008E3C5B" w:rsidRDefault="00F06D73" w:rsidP="00E27725">
            <w:pPr>
              <w:jc w:val="both"/>
              <w:rPr>
                <w:rFonts w:eastAsia="Calibri" w:cs="Arial"/>
                <w:sz w:val="20"/>
                <w:szCs w:val="20"/>
              </w:rPr>
            </w:pPr>
            <w:r w:rsidRPr="008E3C5B">
              <w:rPr>
                <w:rFonts w:eastAsia="Calibri" w:cs="Arial"/>
                <w:sz w:val="20"/>
                <w:szCs w:val="20"/>
              </w:rPr>
              <w:t>77</w:t>
            </w:r>
          </w:p>
          <w:p w:rsidR="00F06D73" w:rsidRPr="008E3C5B" w:rsidRDefault="00F06D73" w:rsidP="00E27725">
            <w:pPr>
              <w:jc w:val="both"/>
              <w:rPr>
                <w:rFonts w:eastAsia="Calibri" w:cs="Arial"/>
                <w:sz w:val="20"/>
                <w:szCs w:val="20"/>
              </w:rPr>
            </w:pPr>
            <w:r w:rsidRPr="008E3C5B">
              <w:rPr>
                <w:rFonts w:eastAsia="Calibri" w:cs="Arial"/>
                <w:sz w:val="20"/>
                <w:szCs w:val="20"/>
              </w:rPr>
              <w:t>34</w:t>
            </w:r>
          </w:p>
          <w:p w:rsidR="00F06D73" w:rsidRPr="008E3C5B" w:rsidRDefault="00F06D73" w:rsidP="00E27725">
            <w:pPr>
              <w:jc w:val="both"/>
              <w:rPr>
                <w:rFonts w:eastAsia="Calibri" w:cs="Arial"/>
                <w:sz w:val="20"/>
                <w:szCs w:val="20"/>
              </w:rPr>
            </w:pPr>
            <w:r w:rsidRPr="008E3C5B">
              <w:rPr>
                <w:rFonts w:eastAsia="Calibri" w:cs="Arial"/>
                <w:sz w:val="20"/>
                <w:szCs w:val="20"/>
              </w:rPr>
              <w:t>28</w:t>
            </w:r>
          </w:p>
          <w:p w:rsidR="00F06D73" w:rsidRPr="008E3C5B" w:rsidRDefault="00F06D73" w:rsidP="00E27725">
            <w:pPr>
              <w:jc w:val="both"/>
              <w:rPr>
                <w:rFonts w:eastAsia="Calibri" w:cs="Arial"/>
                <w:sz w:val="20"/>
                <w:szCs w:val="20"/>
              </w:rPr>
            </w:pPr>
          </w:p>
          <w:p w:rsidR="00F06D73" w:rsidRPr="008E3C5B" w:rsidRDefault="00F06D73" w:rsidP="00E27725">
            <w:pPr>
              <w:jc w:val="both"/>
              <w:rPr>
                <w:rFonts w:eastAsia="Calibri" w:cs="Arial"/>
                <w:sz w:val="20"/>
                <w:szCs w:val="20"/>
              </w:rPr>
            </w:pPr>
            <w:r w:rsidRPr="008E3C5B">
              <w:rPr>
                <w:rFonts w:eastAsia="Calibri" w:cs="Arial"/>
                <w:sz w:val="20"/>
                <w:szCs w:val="20"/>
              </w:rPr>
              <w:t>81</w:t>
            </w:r>
          </w:p>
          <w:p w:rsidR="00F06D73" w:rsidRPr="008E3C5B" w:rsidRDefault="00F06D73" w:rsidP="00E27725">
            <w:pPr>
              <w:jc w:val="both"/>
              <w:rPr>
                <w:rFonts w:eastAsia="Calibri" w:cs="Arial"/>
                <w:sz w:val="20"/>
                <w:szCs w:val="20"/>
              </w:rPr>
            </w:pPr>
            <w:r w:rsidRPr="008E3C5B">
              <w:rPr>
                <w:rFonts w:eastAsia="Calibri" w:cs="Arial"/>
                <w:sz w:val="20"/>
                <w:szCs w:val="20"/>
              </w:rPr>
              <w:t>73</w:t>
            </w:r>
          </w:p>
          <w:p w:rsidR="00F06D73" w:rsidRPr="008E3C5B" w:rsidRDefault="00F06D73" w:rsidP="00E27725">
            <w:pPr>
              <w:jc w:val="both"/>
              <w:rPr>
                <w:rFonts w:eastAsia="Calibri" w:cs="Arial"/>
                <w:sz w:val="20"/>
                <w:szCs w:val="20"/>
              </w:rPr>
            </w:pPr>
            <w:r w:rsidRPr="008E3C5B">
              <w:rPr>
                <w:rFonts w:eastAsia="Calibri" w:cs="Arial"/>
                <w:sz w:val="20"/>
                <w:szCs w:val="20"/>
              </w:rPr>
              <w:t>49</w:t>
            </w:r>
          </w:p>
          <w:p w:rsidR="00F06D73" w:rsidRPr="008E3C5B" w:rsidRDefault="00F06D73" w:rsidP="00E27725">
            <w:pPr>
              <w:jc w:val="both"/>
              <w:rPr>
                <w:rFonts w:eastAsia="Calibri" w:cs="Arial"/>
                <w:sz w:val="20"/>
                <w:szCs w:val="20"/>
              </w:rPr>
            </w:pPr>
          </w:p>
          <w:p w:rsidR="00F06D73" w:rsidRPr="008E3C5B" w:rsidRDefault="00F06D73" w:rsidP="00E27725">
            <w:pPr>
              <w:jc w:val="both"/>
              <w:rPr>
                <w:rFonts w:eastAsia="Calibri" w:cs="Arial"/>
                <w:sz w:val="20"/>
                <w:szCs w:val="20"/>
              </w:rPr>
            </w:pPr>
            <w:r w:rsidRPr="008E3C5B">
              <w:rPr>
                <w:rFonts w:eastAsia="Calibri" w:cs="Arial"/>
                <w:sz w:val="20"/>
                <w:szCs w:val="20"/>
              </w:rPr>
              <w:t>55</w:t>
            </w:r>
          </w:p>
          <w:p w:rsidR="00F06D73" w:rsidRPr="008E3C5B" w:rsidRDefault="00F06D73" w:rsidP="00E27725">
            <w:pPr>
              <w:jc w:val="both"/>
              <w:rPr>
                <w:rFonts w:eastAsia="Calibri" w:cs="Arial"/>
                <w:sz w:val="20"/>
                <w:szCs w:val="20"/>
              </w:rPr>
            </w:pPr>
            <w:r w:rsidRPr="008E3C5B">
              <w:rPr>
                <w:rFonts w:eastAsia="Calibri" w:cs="Arial"/>
                <w:sz w:val="20"/>
                <w:szCs w:val="20"/>
              </w:rPr>
              <w:t>47</w:t>
            </w:r>
          </w:p>
          <w:p w:rsidR="00F06D73" w:rsidRPr="008E3C5B" w:rsidRDefault="00F06D73" w:rsidP="00E27725">
            <w:pPr>
              <w:jc w:val="both"/>
              <w:rPr>
                <w:rFonts w:eastAsia="Calibri" w:cs="Arial"/>
                <w:sz w:val="20"/>
                <w:szCs w:val="20"/>
              </w:rPr>
            </w:pPr>
            <w:r w:rsidRPr="008E3C5B">
              <w:rPr>
                <w:rFonts w:eastAsia="Calibri" w:cs="Arial"/>
                <w:sz w:val="20"/>
                <w:szCs w:val="20"/>
              </w:rPr>
              <w:t>45</w:t>
            </w:r>
          </w:p>
          <w:p w:rsidR="00F06D73" w:rsidRPr="008E3C5B" w:rsidRDefault="00F06D73" w:rsidP="00E27725">
            <w:pPr>
              <w:jc w:val="both"/>
              <w:rPr>
                <w:rFonts w:eastAsia="Calibri" w:cs="Arial"/>
                <w:sz w:val="20"/>
                <w:szCs w:val="20"/>
              </w:rPr>
            </w:pPr>
            <w:r w:rsidRPr="008E3C5B">
              <w:rPr>
                <w:rFonts w:eastAsia="Calibri" w:cs="Arial"/>
                <w:sz w:val="20"/>
                <w:szCs w:val="20"/>
              </w:rPr>
              <w:t>9</w:t>
            </w:r>
          </w:p>
        </w:tc>
        <w:tc>
          <w:tcPr>
            <w:tcW w:w="992" w:type="dxa"/>
          </w:tcPr>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i/>
                <w:color w:val="000000"/>
                <w:sz w:val="20"/>
                <w:szCs w:val="20"/>
                <w:lang w:eastAsia="de-DE"/>
              </w:rPr>
              <w:t xml:space="preserve"> (66.2)</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(26.3)</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(24.4)</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(16.0)</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(16.4)</w:t>
            </w:r>
          </w:p>
          <w:p w:rsidR="00F06D73" w:rsidRPr="008E3C5B" w:rsidRDefault="00F06D73" w:rsidP="00E27725">
            <w:pPr>
              <w:ind w:left="-106"/>
              <w:jc w:val="both"/>
              <w:rPr>
                <w:rFonts w:eastAsia="Times New Roman" w:cs="Arial"/>
                <w:i/>
                <w:color w:val="000000"/>
                <w:sz w:val="20"/>
                <w:szCs w:val="20"/>
                <w:lang w:eastAsia="de-DE"/>
              </w:rPr>
            </w:pPr>
            <w:r w:rsidRPr="008E3C5B">
              <w:rPr>
                <w:rFonts w:eastAsia="Times New Roman" w:cs="Arial"/>
                <w:i/>
                <w:color w:val="000000"/>
                <w:sz w:val="20"/>
                <w:szCs w:val="20"/>
                <w:lang w:eastAsia="de-DE"/>
              </w:rPr>
              <w:t>(73.2)</w:t>
            </w:r>
          </w:p>
          <w:p w:rsidR="00F06D73" w:rsidRPr="008E3C5B" w:rsidRDefault="00F06D73" w:rsidP="00E27725">
            <w:pPr>
              <w:ind w:left="-106"/>
              <w:jc w:val="both"/>
              <w:rPr>
                <w:rFonts w:eastAsia="Times New Roman" w:cs="Arial"/>
                <w:color w:val="000000"/>
                <w:sz w:val="20"/>
                <w:szCs w:val="20"/>
                <w:lang w:eastAsia="de-DE"/>
              </w:rPr>
            </w:pP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(53.1)</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(24.9)</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(8.5)</w:t>
            </w:r>
          </w:p>
          <w:p w:rsidR="00F06D73" w:rsidRPr="008E3C5B" w:rsidRDefault="00F06D73" w:rsidP="00E27725">
            <w:pPr>
              <w:ind w:left="-106"/>
              <w:jc w:val="both"/>
              <w:rPr>
                <w:rFonts w:eastAsia="Times New Roman" w:cs="Arial"/>
                <w:color w:val="000000"/>
                <w:sz w:val="20"/>
                <w:szCs w:val="20"/>
                <w:lang w:eastAsia="de-DE"/>
              </w:rPr>
            </w:pPr>
          </w:p>
          <w:p w:rsidR="00F06D73" w:rsidRPr="008E3C5B" w:rsidRDefault="00F06D73" w:rsidP="00E27725">
            <w:pPr>
              <w:ind w:left="-106"/>
              <w:jc w:val="both"/>
              <w:rPr>
                <w:rFonts w:eastAsia="Times New Roman" w:cs="Arial"/>
                <w:i/>
                <w:color w:val="000000"/>
                <w:sz w:val="20"/>
                <w:szCs w:val="20"/>
                <w:lang w:eastAsia="de-DE"/>
              </w:rPr>
            </w:pPr>
            <w:r w:rsidRPr="008E3C5B">
              <w:rPr>
                <w:rFonts w:eastAsia="Times New Roman" w:cs="Arial"/>
                <w:i/>
                <w:color w:val="000000"/>
                <w:sz w:val="20"/>
                <w:szCs w:val="20"/>
                <w:lang w:eastAsia="de-DE"/>
              </w:rPr>
              <w:t>(66.7)</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(34.3)</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(21.1)</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(20.7)</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(26.3)</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(15.5)</w:t>
            </w:r>
          </w:p>
          <w:p w:rsidR="00F06D73" w:rsidRPr="008E3C5B" w:rsidRDefault="00F06D73" w:rsidP="00E27725">
            <w:pPr>
              <w:ind w:left="-106"/>
              <w:jc w:val="both"/>
              <w:rPr>
                <w:rFonts w:eastAsia="Times New Roman" w:cs="Arial"/>
                <w:color w:val="000000"/>
                <w:sz w:val="20"/>
                <w:szCs w:val="20"/>
                <w:lang w:eastAsia="de-DE"/>
              </w:rPr>
            </w:pPr>
          </w:p>
          <w:p w:rsidR="00F06D73" w:rsidRPr="008E3C5B" w:rsidRDefault="00F06D73" w:rsidP="00E27725">
            <w:pPr>
              <w:ind w:left="-106"/>
              <w:jc w:val="both"/>
              <w:rPr>
                <w:rFonts w:eastAsia="Times New Roman" w:cs="Arial"/>
                <w:i/>
                <w:color w:val="000000"/>
                <w:sz w:val="20"/>
                <w:szCs w:val="20"/>
                <w:lang w:eastAsia="de-DE"/>
              </w:rPr>
            </w:pPr>
            <w:r w:rsidRPr="008E3C5B">
              <w:rPr>
                <w:rFonts w:eastAsia="Times New Roman" w:cs="Arial"/>
                <w:i/>
                <w:color w:val="000000"/>
                <w:sz w:val="20"/>
                <w:szCs w:val="20"/>
                <w:lang w:eastAsia="de-DE"/>
              </w:rPr>
              <w:t>(44.1)</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(36.2)</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(16.0)</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(13.1)</w:t>
            </w:r>
          </w:p>
          <w:p w:rsidR="00F06D73" w:rsidRPr="008E3C5B" w:rsidRDefault="00F06D73" w:rsidP="00E27725">
            <w:pPr>
              <w:ind w:left="-106"/>
              <w:jc w:val="both"/>
              <w:rPr>
                <w:rFonts w:eastAsia="Times New Roman" w:cs="Arial"/>
                <w:color w:val="000000"/>
                <w:sz w:val="20"/>
                <w:szCs w:val="20"/>
                <w:lang w:eastAsia="de-DE"/>
              </w:rPr>
            </w:pP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(38.0)</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(34.3)</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(23.0)</w:t>
            </w:r>
          </w:p>
          <w:p w:rsidR="00F06D73" w:rsidRPr="008E3C5B" w:rsidRDefault="00F06D73" w:rsidP="00E27725">
            <w:pPr>
              <w:ind w:left="-106"/>
              <w:jc w:val="both"/>
              <w:rPr>
                <w:rFonts w:eastAsia="Times New Roman" w:cs="Arial"/>
                <w:color w:val="000000"/>
                <w:sz w:val="20"/>
                <w:szCs w:val="20"/>
                <w:lang w:eastAsia="de-DE"/>
              </w:rPr>
            </w:pP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(25.8)</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(22.1)</w:t>
            </w:r>
          </w:p>
          <w:p w:rsidR="00F06D73" w:rsidRPr="008E3C5B" w:rsidRDefault="00F06D73" w:rsidP="00E27725">
            <w:pPr>
              <w:ind w:left="-106"/>
              <w:jc w:val="both"/>
              <w:rPr>
                <w:rFonts w:eastAsia="Times New Roman" w:cs="Arial"/>
                <w:color w:val="000000"/>
                <w:sz w:val="20"/>
                <w:szCs w:val="20"/>
                <w:lang w:eastAsia="de-DE"/>
              </w:rPr>
            </w:pPr>
            <w:r w:rsidRPr="008E3C5B">
              <w:rPr>
                <w:rFonts w:eastAsia="Times New Roman" w:cs="Arial"/>
                <w:color w:val="000000"/>
                <w:sz w:val="20"/>
                <w:szCs w:val="20"/>
                <w:lang w:eastAsia="de-DE"/>
              </w:rPr>
              <w:t>(21.1)</w:t>
            </w:r>
          </w:p>
          <w:tbl>
            <w:tblPr>
              <w:tblW w:w="882" w:type="dxa"/>
              <w:tblLayout w:type="fixed"/>
              <w:tblCellMar>
                <w:left w:w="70" w:type="dxa"/>
                <w:right w:w="70" w:type="dxa"/>
              </w:tblCellMar>
              <w:tblLook w:val="04A0" w:firstRow="1" w:lastRow="0" w:firstColumn="1" w:lastColumn="0" w:noHBand="0" w:noVBand="1"/>
            </w:tblPr>
            <w:tblGrid>
              <w:gridCol w:w="882"/>
            </w:tblGrid>
            <w:tr w:rsidR="00F06D73" w:rsidRPr="008E3C5B" w:rsidTr="00E27725">
              <w:trPr>
                <w:trHeight w:val="288"/>
              </w:trPr>
              <w:tc>
                <w:tcPr>
                  <w:tcW w:w="882" w:type="dxa"/>
                  <w:tcBorders>
                    <w:top w:val="nil"/>
                    <w:left w:val="nil"/>
                    <w:bottom w:val="nil"/>
                    <w:right w:val="nil"/>
                  </w:tcBorders>
                  <w:shd w:val="clear" w:color="auto" w:fill="auto"/>
                  <w:noWrap/>
                  <w:vAlign w:val="bottom"/>
                </w:tcPr>
                <w:p w:rsidR="00F06D73" w:rsidRPr="008E3C5B" w:rsidRDefault="00F06D73" w:rsidP="00E27725">
                  <w:pPr>
                    <w:jc w:val="both"/>
                    <w:rPr>
                      <w:rFonts w:ascii="Arial" w:eastAsia="Times New Roman" w:hAnsi="Arial" w:cs="Arial"/>
                      <w:color w:val="000000"/>
                      <w:sz w:val="20"/>
                      <w:szCs w:val="20"/>
                      <w:lang w:eastAsia="de-DE"/>
                    </w:rPr>
                  </w:pPr>
                  <w:r w:rsidRPr="008E3C5B">
                    <w:rPr>
                      <w:rFonts w:ascii="Arial" w:eastAsia="Times New Roman" w:hAnsi="Arial" w:cs="Arial"/>
                      <w:color w:val="000000"/>
                      <w:sz w:val="20"/>
                      <w:szCs w:val="20"/>
                      <w:lang w:eastAsia="de-DE"/>
                    </w:rPr>
                    <w:t>(4.2)</w:t>
                  </w:r>
                </w:p>
              </w:tc>
            </w:tr>
          </w:tbl>
          <w:p w:rsidR="00F06D73" w:rsidRPr="008E3C5B" w:rsidRDefault="00F06D73" w:rsidP="00E27725">
            <w:pPr>
              <w:ind w:left="-106"/>
              <w:jc w:val="both"/>
              <w:rPr>
                <w:rFonts w:eastAsia="Calibri" w:cs="Arial"/>
                <w:sz w:val="20"/>
                <w:szCs w:val="20"/>
              </w:rPr>
            </w:pPr>
          </w:p>
        </w:tc>
      </w:tr>
    </w:tbl>
    <w:p w:rsidR="00F06D73" w:rsidRPr="008E3C5B" w:rsidRDefault="00F06D73" w:rsidP="00F06D73">
      <w:pPr>
        <w:spacing w:after="240" w:line="360" w:lineRule="auto"/>
        <w:jc w:val="both"/>
        <w:rPr>
          <w:rFonts w:ascii="Arial" w:eastAsia="Calibri" w:hAnsi="Arial" w:cs="Arial"/>
          <w:sz w:val="20"/>
          <w:szCs w:val="20"/>
        </w:rPr>
      </w:pPr>
      <w:r w:rsidRPr="008E3C5B">
        <w:rPr>
          <w:rFonts w:ascii="Arial" w:eastAsia="Calibri" w:hAnsi="Arial" w:cs="Arial"/>
          <w:i/>
          <w:sz w:val="20"/>
          <w:szCs w:val="20"/>
        </w:rPr>
        <w:t xml:space="preserve">Notes. </w:t>
      </w:r>
      <w:r w:rsidRPr="008E3C5B">
        <w:rPr>
          <w:rFonts w:ascii="Arial" w:eastAsia="Calibri" w:hAnsi="Arial" w:cs="Arial"/>
          <w:vertAlign w:val="superscript"/>
        </w:rPr>
        <w:t xml:space="preserve">a </w:t>
      </w:r>
      <w:r w:rsidRPr="008E3C5B">
        <w:rPr>
          <w:rFonts w:ascii="Arial" w:eastAsia="Calibri" w:hAnsi="Arial" w:cs="Arial"/>
          <w:sz w:val="20"/>
          <w:szCs w:val="20"/>
        </w:rPr>
        <w:t xml:space="preserve">Variables printed in italics are collapsed behavior categories for descriptive purposes and were not included in the statistical analysis. </w:t>
      </w:r>
      <w:r w:rsidRPr="008E3C5B">
        <w:rPr>
          <w:rFonts w:ascii="Arial" w:eastAsia="Calibri" w:hAnsi="Arial" w:cs="Arial"/>
          <w:sz w:val="20"/>
          <w:szCs w:val="20"/>
          <w:vertAlign w:val="superscript"/>
        </w:rPr>
        <w:t xml:space="preserve">b </w:t>
      </w:r>
      <w:r w:rsidRPr="008E3C5B">
        <w:rPr>
          <w:rFonts w:ascii="Arial" w:eastAsia="Calibri" w:hAnsi="Arial" w:cs="Arial"/>
          <w:sz w:val="20"/>
          <w:szCs w:val="20"/>
        </w:rPr>
        <w:t xml:space="preserve">Cases were classified by the author as sexual homicides according to the criteria proposed by Ressler et al. </w:t>
      </w:r>
      <w:r w:rsidRPr="008E3C5B">
        <w:rPr>
          <w:rFonts w:ascii="Arial" w:eastAsia="Calibri" w:hAnsi="Arial" w:cs="Arial"/>
          <w:sz w:val="20"/>
          <w:szCs w:val="20"/>
        </w:rPr>
        <w:fldChar w:fldCharType="begin" w:fldLock="1"/>
      </w:r>
      <w:r w:rsidRPr="008E3C5B">
        <w:rPr>
          <w:rFonts w:ascii="Arial" w:eastAsia="Calibri" w:hAnsi="Arial" w:cs="Arial"/>
          <w:sz w:val="20"/>
          <w:szCs w:val="20"/>
        </w:rPr>
        <w:instrText>ADDIN CSL_CITATION {"citationItems":[{"id":"ITEM-1","itemData":{"author":[{"dropping-particle":"","family":"Ressler","given":"R. K.","non-dropping-particle":"","parse-names":false,"suffix":""},{"dropping-particle":"","family":"Burgess","given":"A. W.","non-dropping-particle":"","parse-names":false,"suffix":""},{"dropping-particle":"","family":"Douglas","given":"J. E.","non-dropping-particle":"","parse-names":false,"suffix":""}],"id":"ITEM-1","issued":{"date-parts":[["1988"]]},"publisher":"Lexington","publisher-place":"New York","title":"Sexual homicide: Patterns and motives","type":"book"},"suppress-author":1,"uris":["http://www.mendeley.com/documents/?uuid=6502a1b8-e0da-4ab3-bcf1-58a4fda47955"]}],"mendeley":{"formattedCitation":"(1988)","plainTextFormattedCitation":"(1988)","previouslyFormattedCitation":"(1988)"},"properties":{"noteIndex":0},"schema":"https://github.com/citation-style-language/schema/raw/master/csl-citation.json"}</w:instrText>
      </w:r>
      <w:r w:rsidRPr="008E3C5B">
        <w:rPr>
          <w:rFonts w:ascii="Arial" w:eastAsia="Calibri" w:hAnsi="Arial" w:cs="Arial"/>
          <w:sz w:val="20"/>
          <w:szCs w:val="20"/>
        </w:rPr>
        <w:fldChar w:fldCharType="separate"/>
      </w:r>
      <w:r w:rsidRPr="008E3C5B">
        <w:rPr>
          <w:rFonts w:ascii="Arial" w:eastAsia="Calibri" w:hAnsi="Arial" w:cs="Arial"/>
          <w:noProof/>
          <w:sz w:val="20"/>
          <w:szCs w:val="20"/>
        </w:rPr>
        <w:t>(1988)</w:t>
      </w:r>
      <w:r w:rsidRPr="008E3C5B">
        <w:rPr>
          <w:rFonts w:ascii="Arial" w:eastAsia="Calibri" w:hAnsi="Arial" w:cs="Arial"/>
          <w:sz w:val="20"/>
          <w:szCs w:val="20"/>
        </w:rPr>
        <w:fldChar w:fldCharType="end"/>
      </w:r>
      <w:r w:rsidRPr="008E3C5B">
        <w:rPr>
          <w:rFonts w:ascii="Arial" w:eastAsia="Calibri" w:hAnsi="Arial" w:cs="Arial"/>
          <w:sz w:val="20"/>
          <w:szCs w:val="20"/>
        </w:rPr>
        <w:t>.</w:t>
      </w: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line="360" w:lineRule="auto"/>
        <w:ind w:left="2155" w:right="2124"/>
        <w:jc w:val="both"/>
        <w:rPr>
          <w:rFonts w:ascii="Arial" w:eastAsia="Calibri" w:hAnsi="Arial" w:cs="Arial"/>
        </w:rPr>
      </w:pPr>
      <w:r w:rsidRPr="008E3C5B">
        <w:rPr>
          <w:rFonts w:ascii="Arial" w:eastAsia="Calibri" w:hAnsi="Arial" w:cs="Arial"/>
        </w:rPr>
        <w:t xml:space="preserve">Table 3. </w:t>
      </w:r>
      <w:r w:rsidRPr="008E3C5B">
        <w:rPr>
          <w:rFonts w:ascii="Arial" w:eastAsia="Calibri" w:hAnsi="Arial" w:cs="Arial"/>
          <w:i/>
        </w:rPr>
        <w:t>Frequencies of offenders’ previous convictions at the time of the index homicide.</w:t>
      </w:r>
    </w:p>
    <w:tbl>
      <w:tblPr>
        <w:tblStyle w:val="APA"/>
        <w:tblW w:w="0" w:type="auto"/>
        <w:jc w:val="center"/>
        <w:tblLook w:val="04A0" w:firstRow="1" w:lastRow="0" w:firstColumn="1" w:lastColumn="0" w:noHBand="0" w:noVBand="1"/>
      </w:tblPr>
      <w:tblGrid>
        <w:gridCol w:w="3261"/>
        <w:gridCol w:w="620"/>
        <w:gridCol w:w="843"/>
      </w:tblGrid>
      <w:tr w:rsidR="00F06D73" w:rsidRPr="008E3C5B" w:rsidTr="00E27725">
        <w:trPr>
          <w:trHeight w:val="502"/>
          <w:jc w:val="center"/>
        </w:trPr>
        <w:tc>
          <w:tcPr>
            <w:tcW w:w="3261" w:type="dxa"/>
          </w:tcPr>
          <w:p w:rsidR="00F06D73" w:rsidRPr="008E3C5B" w:rsidRDefault="00F06D73" w:rsidP="00E27725">
            <w:pPr>
              <w:jc w:val="both"/>
              <w:rPr>
                <w:rFonts w:eastAsia="Calibri" w:cs="Arial"/>
              </w:rPr>
            </w:pPr>
            <w:r w:rsidRPr="008E3C5B">
              <w:rPr>
                <w:rFonts w:eastAsia="Calibri" w:cs="Arial"/>
              </w:rPr>
              <w:t>Conviction Variables</w:t>
            </w:r>
          </w:p>
        </w:tc>
        <w:tc>
          <w:tcPr>
            <w:tcW w:w="620" w:type="dxa"/>
          </w:tcPr>
          <w:p w:rsidR="00F06D73" w:rsidRPr="008E3C5B" w:rsidRDefault="00F06D73" w:rsidP="00E27725">
            <w:pPr>
              <w:jc w:val="both"/>
              <w:rPr>
                <w:rFonts w:eastAsia="Calibri" w:cs="Arial"/>
              </w:rPr>
            </w:pPr>
            <w:r w:rsidRPr="008E3C5B">
              <w:rPr>
                <w:rFonts w:eastAsia="Calibri" w:cs="Arial"/>
              </w:rPr>
              <w:t>n</w:t>
            </w:r>
          </w:p>
        </w:tc>
        <w:tc>
          <w:tcPr>
            <w:tcW w:w="843" w:type="dxa"/>
          </w:tcPr>
          <w:p w:rsidR="00F06D73" w:rsidRPr="008E3C5B" w:rsidRDefault="00F06D73" w:rsidP="00E27725">
            <w:pPr>
              <w:jc w:val="both"/>
              <w:rPr>
                <w:rFonts w:eastAsia="Calibri" w:cs="Arial"/>
              </w:rPr>
            </w:pPr>
            <w:r w:rsidRPr="008E3C5B">
              <w:rPr>
                <w:rFonts w:eastAsia="Calibri" w:cs="Arial"/>
              </w:rPr>
              <w:t>(%)</w:t>
            </w:r>
          </w:p>
        </w:tc>
      </w:tr>
      <w:tr w:rsidR="00F06D73" w:rsidRPr="008E3C5B" w:rsidTr="00E27725">
        <w:trPr>
          <w:trHeight w:val="492"/>
          <w:jc w:val="center"/>
        </w:trPr>
        <w:tc>
          <w:tcPr>
            <w:tcW w:w="3261" w:type="dxa"/>
            <w:vAlign w:val="center"/>
          </w:tcPr>
          <w:p w:rsidR="00F06D73" w:rsidRPr="008E3C5B" w:rsidRDefault="00F06D73" w:rsidP="00E27725">
            <w:pPr>
              <w:ind w:left="36" w:hanging="2"/>
              <w:jc w:val="both"/>
              <w:rPr>
                <w:rFonts w:eastAsia="Calibri" w:cs="Arial"/>
              </w:rPr>
            </w:pPr>
            <w:r w:rsidRPr="008E3C5B">
              <w:rPr>
                <w:rFonts w:eastAsia="Calibri" w:cs="Arial"/>
              </w:rPr>
              <w:t>Criminal record</w:t>
            </w:r>
          </w:p>
          <w:p w:rsidR="00F06D73" w:rsidRPr="008E3C5B" w:rsidRDefault="00F06D73" w:rsidP="00E27725">
            <w:pPr>
              <w:ind w:left="36" w:hanging="2"/>
              <w:jc w:val="both"/>
              <w:rPr>
                <w:rFonts w:eastAsia="Calibri" w:cs="Arial"/>
                <w:b/>
              </w:rPr>
            </w:pPr>
            <w:r w:rsidRPr="008E3C5B">
              <w:rPr>
                <w:rFonts w:eastAsia="Calibri" w:cs="Arial"/>
              </w:rPr>
              <w:t>Theft</w:t>
            </w:r>
          </w:p>
          <w:p w:rsidR="00F06D73" w:rsidRPr="008E3C5B" w:rsidRDefault="00F06D73" w:rsidP="00E27725">
            <w:pPr>
              <w:ind w:left="36" w:hanging="2"/>
              <w:jc w:val="both"/>
              <w:rPr>
                <w:rFonts w:eastAsia="Calibri" w:cs="Arial"/>
              </w:rPr>
            </w:pPr>
            <w:r w:rsidRPr="008E3C5B">
              <w:rPr>
                <w:rFonts w:eastAsia="Calibri" w:cs="Arial"/>
              </w:rPr>
              <w:t>Violence</w:t>
            </w:r>
          </w:p>
          <w:p w:rsidR="00F06D73" w:rsidRPr="008E3C5B" w:rsidRDefault="00F06D73" w:rsidP="00E27725">
            <w:pPr>
              <w:ind w:left="36" w:hanging="2"/>
              <w:jc w:val="both"/>
              <w:rPr>
                <w:rFonts w:eastAsia="Calibri" w:cs="Arial"/>
                <w:b/>
              </w:rPr>
            </w:pPr>
            <w:r w:rsidRPr="008E3C5B">
              <w:rPr>
                <w:rFonts w:eastAsia="Calibri" w:cs="Arial"/>
              </w:rPr>
              <w:t>Burglary</w:t>
            </w:r>
          </w:p>
          <w:p w:rsidR="00F06D73" w:rsidRPr="008E3C5B" w:rsidRDefault="00F06D73" w:rsidP="00E27725">
            <w:pPr>
              <w:ind w:left="36" w:hanging="2"/>
              <w:jc w:val="both"/>
              <w:rPr>
                <w:rFonts w:eastAsia="Calibri" w:cs="Arial"/>
                <w:b/>
              </w:rPr>
            </w:pPr>
            <w:r w:rsidRPr="008E3C5B">
              <w:rPr>
                <w:rFonts w:eastAsia="Calibri" w:cs="Arial"/>
              </w:rPr>
              <w:t>Criminal damage</w:t>
            </w:r>
          </w:p>
          <w:p w:rsidR="00F06D73" w:rsidRPr="008E3C5B" w:rsidRDefault="00F06D73" w:rsidP="00E27725">
            <w:pPr>
              <w:ind w:left="36" w:hanging="2"/>
              <w:jc w:val="both"/>
              <w:rPr>
                <w:rFonts w:eastAsia="Calibri" w:cs="Arial"/>
                <w:b/>
              </w:rPr>
            </w:pPr>
            <w:r w:rsidRPr="008E3C5B">
              <w:rPr>
                <w:rFonts w:eastAsia="Calibri" w:cs="Arial"/>
              </w:rPr>
              <w:t>Public order</w:t>
            </w:r>
          </w:p>
          <w:p w:rsidR="00F06D73" w:rsidRPr="008E3C5B" w:rsidRDefault="00F06D73" w:rsidP="00E27725">
            <w:pPr>
              <w:ind w:left="36" w:hanging="2"/>
              <w:jc w:val="both"/>
              <w:rPr>
                <w:rFonts w:eastAsia="Calibri" w:cs="Arial"/>
                <w:b/>
              </w:rPr>
            </w:pPr>
            <w:r w:rsidRPr="008E3C5B">
              <w:rPr>
                <w:rFonts w:eastAsia="Calibri" w:cs="Arial"/>
              </w:rPr>
              <w:t>Fraud</w:t>
            </w:r>
          </w:p>
          <w:p w:rsidR="00F06D73" w:rsidRPr="008E3C5B" w:rsidRDefault="00F06D73" w:rsidP="00E27725">
            <w:pPr>
              <w:ind w:left="36" w:hanging="2"/>
              <w:jc w:val="both"/>
              <w:rPr>
                <w:rFonts w:eastAsia="Calibri" w:cs="Arial"/>
              </w:rPr>
            </w:pPr>
            <w:r w:rsidRPr="008E3C5B">
              <w:rPr>
                <w:rFonts w:eastAsia="Calibri" w:cs="Arial"/>
              </w:rPr>
              <w:t xml:space="preserve">Weapons </w:t>
            </w:r>
          </w:p>
          <w:p w:rsidR="00F06D73" w:rsidRPr="008E3C5B" w:rsidRDefault="00F06D73" w:rsidP="00E27725">
            <w:pPr>
              <w:ind w:left="36" w:hanging="2"/>
              <w:jc w:val="both"/>
              <w:rPr>
                <w:rFonts w:eastAsia="Calibri" w:cs="Arial"/>
              </w:rPr>
            </w:pPr>
            <w:r w:rsidRPr="008E3C5B">
              <w:rPr>
                <w:rFonts w:eastAsia="Calibri" w:cs="Arial"/>
              </w:rPr>
              <w:t xml:space="preserve">Sexual </w:t>
            </w:r>
          </w:p>
          <w:p w:rsidR="00F06D73" w:rsidRPr="008E3C5B" w:rsidRDefault="00F06D73" w:rsidP="00E27725">
            <w:pPr>
              <w:ind w:left="36" w:hanging="2"/>
              <w:jc w:val="both"/>
              <w:rPr>
                <w:rFonts w:eastAsia="Calibri" w:cs="Arial"/>
              </w:rPr>
            </w:pPr>
            <w:r w:rsidRPr="008E3C5B">
              <w:rPr>
                <w:rFonts w:eastAsia="Calibri" w:cs="Arial"/>
              </w:rPr>
              <w:t xml:space="preserve">Robbery </w:t>
            </w:r>
          </w:p>
          <w:p w:rsidR="00F06D73" w:rsidRPr="008E3C5B" w:rsidRDefault="00F06D73" w:rsidP="00E27725">
            <w:pPr>
              <w:ind w:left="36" w:hanging="2"/>
              <w:jc w:val="both"/>
              <w:rPr>
                <w:rFonts w:eastAsia="Calibri" w:cs="Arial"/>
                <w:b/>
              </w:rPr>
            </w:pPr>
            <w:r w:rsidRPr="008E3C5B">
              <w:rPr>
                <w:rFonts w:eastAsia="Calibri" w:cs="Arial"/>
              </w:rPr>
              <w:t>Drugs</w:t>
            </w:r>
          </w:p>
          <w:p w:rsidR="00F06D73" w:rsidRPr="008E3C5B" w:rsidRDefault="00F06D73" w:rsidP="00E27725">
            <w:pPr>
              <w:ind w:left="36" w:hanging="2"/>
              <w:jc w:val="both"/>
              <w:rPr>
                <w:rFonts w:eastAsia="Calibri" w:cs="Arial"/>
                <w:b/>
              </w:rPr>
            </w:pPr>
            <w:r w:rsidRPr="008E3C5B">
              <w:rPr>
                <w:rFonts w:eastAsia="Calibri" w:cs="Arial"/>
              </w:rPr>
              <w:t xml:space="preserve">Arson </w:t>
            </w:r>
          </w:p>
          <w:p w:rsidR="00F06D73" w:rsidRPr="008E3C5B" w:rsidRDefault="00F06D73" w:rsidP="00E27725">
            <w:pPr>
              <w:ind w:left="36" w:hanging="2"/>
              <w:jc w:val="both"/>
              <w:rPr>
                <w:rFonts w:eastAsia="Calibri" w:cs="Arial"/>
                <w:b/>
              </w:rPr>
            </w:pPr>
            <w:r w:rsidRPr="008E3C5B">
              <w:rPr>
                <w:rFonts w:eastAsia="Calibri" w:cs="Arial"/>
              </w:rPr>
              <w:t xml:space="preserve">Homicide </w:t>
            </w:r>
          </w:p>
        </w:tc>
        <w:tc>
          <w:tcPr>
            <w:tcW w:w="620" w:type="dxa"/>
          </w:tcPr>
          <w:p w:rsidR="00F06D73" w:rsidRPr="008E3C5B" w:rsidRDefault="00F06D73" w:rsidP="00E27725">
            <w:pPr>
              <w:jc w:val="both"/>
              <w:rPr>
                <w:rFonts w:eastAsia="Calibri" w:cs="Arial"/>
              </w:rPr>
            </w:pPr>
            <w:r w:rsidRPr="008E3C5B">
              <w:rPr>
                <w:rFonts w:eastAsia="Calibri" w:cs="Arial"/>
              </w:rPr>
              <w:t>157</w:t>
            </w:r>
          </w:p>
          <w:p w:rsidR="00F06D73" w:rsidRPr="008E3C5B" w:rsidRDefault="00F06D73" w:rsidP="00E27725">
            <w:pPr>
              <w:jc w:val="both"/>
              <w:rPr>
                <w:rFonts w:eastAsia="Calibri" w:cs="Arial"/>
              </w:rPr>
            </w:pPr>
            <w:r w:rsidRPr="008E3C5B">
              <w:rPr>
                <w:rFonts w:eastAsia="Calibri" w:cs="Arial"/>
              </w:rPr>
              <w:t>96</w:t>
            </w:r>
          </w:p>
          <w:p w:rsidR="00F06D73" w:rsidRPr="008E3C5B" w:rsidRDefault="00F06D73" w:rsidP="00E27725">
            <w:pPr>
              <w:jc w:val="both"/>
              <w:rPr>
                <w:rFonts w:eastAsia="Calibri" w:cs="Arial"/>
              </w:rPr>
            </w:pPr>
            <w:r w:rsidRPr="008E3C5B">
              <w:rPr>
                <w:rFonts w:eastAsia="Calibri" w:cs="Arial"/>
              </w:rPr>
              <w:t>83</w:t>
            </w:r>
          </w:p>
          <w:p w:rsidR="00F06D73" w:rsidRPr="008E3C5B" w:rsidRDefault="00F06D73" w:rsidP="00E27725">
            <w:pPr>
              <w:jc w:val="both"/>
              <w:rPr>
                <w:rFonts w:eastAsia="Calibri" w:cs="Arial"/>
              </w:rPr>
            </w:pPr>
            <w:r w:rsidRPr="008E3C5B">
              <w:rPr>
                <w:rFonts w:eastAsia="Calibri" w:cs="Arial"/>
              </w:rPr>
              <w:t>75</w:t>
            </w:r>
          </w:p>
          <w:p w:rsidR="00F06D73" w:rsidRPr="008E3C5B" w:rsidRDefault="00F06D73" w:rsidP="00E27725">
            <w:pPr>
              <w:jc w:val="both"/>
              <w:rPr>
                <w:rFonts w:eastAsia="Calibri" w:cs="Arial"/>
              </w:rPr>
            </w:pPr>
            <w:r w:rsidRPr="008E3C5B">
              <w:rPr>
                <w:rFonts w:eastAsia="Calibri" w:cs="Arial"/>
              </w:rPr>
              <w:t>71</w:t>
            </w:r>
          </w:p>
          <w:p w:rsidR="00F06D73" w:rsidRPr="008E3C5B" w:rsidRDefault="00F06D73" w:rsidP="00E27725">
            <w:pPr>
              <w:jc w:val="both"/>
              <w:rPr>
                <w:rFonts w:eastAsia="Calibri" w:cs="Arial"/>
              </w:rPr>
            </w:pPr>
            <w:r w:rsidRPr="008E3C5B">
              <w:rPr>
                <w:rFonts w:eastAsia="Calibri" w:cs="Arial"/>
              </w:rPr>
              <w:t>48</w:t>
            </w:r>
          </w:p>
          <w:p w:rsidR="00F06D73" w:rsidRPr="008E3C5B" w:rsidRDefault="00F06D73" w:rsidP="00E27725">
            <w:pPr>
              <w:jc w:val="both"/>
              <w:rPr>
                <w:rFonts w:eastAsia="Calibri" w:cs="Arial"/>
              </w:rPr>
            </w:pPr>
            <w:r w:rsidRPr="008E3C5B">
              <w:rPr>
                <w:rFonts w:eastAsia="Calibri" w:cs="Arial"/>
              </w:rPr>
              <w:t>45</w:t>
            </w:r>
          </w:p>
          <w:p w:rsidR="00F06D73" w:rsidRPr="008E3C5B" w:rsidRDefault="00F06D73" w:rsidP="00E27725">
            <w:pPr>
              <w:jc w:val="both"/>
              <w:rPr>
                <w:rFonts w:eastAsia="Calibri" w:cs="Arial"/>
              </w:rPr>
            </w:pPr>
            <w:r w:rsidRPr="008E3C5B">
              <w:rPr>
                <w:rFonts w:eastAsia="Calibri" w:cs="Arial"/>
              </w:rPr>
              <w:t>39</w:t>
            </w:r>
          </w:p>
          <w:p w:rsidR="00F06D73" w:rsidRPr="008E3C5B" w:rsidRDefault="00F06D73" w:rsidP="00E27725">
            <w:pPr>
              <w:jc w:val="both"/>
              <w:rPr>
                <w:rFonts w:eastAsia="Calibri" w:cs="Arial"/>
              </w:rPr>
            </w:pPr>
            <w:r w:rsidRPr="008E3C5B">
              <w:rPr>
                <w:rFonts w:eastAsia="Calibri" w:cs="Arial"/>
              </w:rPr>
              <w:t>31</w:t>
            </w:r>
          </w:p>
          <w:p w:rsidR="00F06D73" w:rsidRPr="008E3C5B" w:rsidRDefault="00F06D73" w:rsidP="00E27725">
            <w:pPr>
              <w:jc w:val="both"/>
              <w:rPr>
                <w:rFonts w:eastAsia="Calibri" w:cs="Arial"/>
              </w:rPr>
            </w:pPr>
            <w:r w:rsidRPr="008E3C5B">
              <w:rPr>
                <w:rFonts w:eastAsia="Calibri" w:cs="Arial"/>
              </w:rPr>
              <w:t>26</w:t>
            </w:r>
          </w:p>
          <w:p w:rsidR="00F06D73" w:rsidRPr="008E3C5B" w:rsidRDefault="00F06D73" w:rsidP="00E27725">
            <w:pPr>
              <w:jc w:val="both"/>
              <w:rPr>
                <w:rFonts w:eastAsia="Calibri" w:cs="Arial"/>
              </w:rPr>
            </w:pPr>
            <w:r w:rsidRPr="008E3C5B">
              <w:rPr>
                <w:rFonts w:eastAsia="Calibri" w:cs="Arial"/>
              </w:rPr>
              <w:t>25</w:t>
            </w:r>
          </w:p>
          <w:p w:rsidR="00F06D73" w:rsidRPr="008E3C5B" w:rsidRDefault="00F06D73" w:rsidP="00E27725">
            <w:pPr>
              <w:jc w:val="both"/>
              <w:rPr>
                <w:rFonts w:eastAsia="Calibri" w:cs="Arial"/>
              </w:rPr>
            </w:pPr>
            <w:r w:rsidRPr="008E3C5B">
              <w:rPr>
                <w:rFonts w:eastAsia="Calibri" w:cs="Arial"/>
              </w:rPr>
              <w:t>10</w:t>
            </w:r>
          </w:p>
          <w:p w:rsidR="00F06D73" w:rsidRPr="008E3C5B" w:rsidRDefault="00F06D73" w:rsidP="00E27725">
            <w:pPr>
              <w:jc w:val="both"/>
              <w:rPr>
                <w:rFonts w:eastAsia="Calibri" w:cs="Arial"/>
              </w:rPr>
            </w:pPr>
            <w:r w:rsidRPr="008E3C5B">
              <w:rPr>
                <w:rFonts w:eastAsia="Calibri" w:cs="Arial"/>
              </w:rPr>
              <w:t>8</w:t>
            </w:r>
          </w:p>
        </w:tc>
        <w:tc>
          <w:tcPr>
            <w:tcW w:w="843" w:type="dxa"/>
          </w:tcPr>
          <w:p w:rsidR="00F06D73" w:rsidRPr="008E3C5B" w:rsidRDefault="00F06D73" w:rsidP="00E27725">
            <w:pPr>
              <w:jc w:val="both"/>
              <w:rPr>
                <w:rFonts w:eastAsia="Calibri" w:cs="Arial"/>
              </w:rPr>
            </w:pPr>
            <w:r w:rsidRPr="008E3C5B">
              <w:rPr>
                <w:rFonts w:eastAsia="Calibri" w:cs="Arial"/>
              </w:rPr>
              <w:t>(73.7)</w:t>
            </w:r>
          </w:p>
          <w:p w:rsidR="00F06D73" w:rsidRPr="008E3C5B" w:rsidRDefault="00F06D73" w:rsidP="00E27725">
            <w:pPr>
              <w:jc w:val="both"/>
              <w:rPr>
                <w:rFonts w:eastAsia="Calibri" w:cs="Arial"/>
              </w:rPr>
            </w:pPr>
            <w:r w:rsidRPr="008E3C5B">
              <w:rPr>
                <w:rFonts w:eastAsia="Calibri" w:cs="Arial"/>
              </w:rPr>
              <w:t>(45.1)</w:t>
            </w:r>
          </w:p>
          <w:p w:rsidR="00F06D73" w:rsidRPr="008E3C5B" w:rsidRDefault="00F06D73" w:rsidP="00E27725">
            <w:pPr>
              <w:jc w:val="both"/>
              <w:rPr>
                <w:rFonts w:eastAsia="Calibri" w:cs="Arial"/>
              </w:rPr>
            </w:pPr>
            <w:r w:rsidRPr="008E3C5B">
              <w:rPr>
                <w:rFonts w:eastAsia="Calibri" w:cs="Arial"/>
              </w:rPr>
              <w:t>(39.0) (35.2)</w:t>
            </w:r>
          </w:p>
          <w:p w:rsidR="00F06D73" w:rsidRPr="008E3C5B" w:rsidRDefault="00F06D73" w:rsidP="00E27725">
            <w:pPr>
              <w:jc w:val="both"/>
              <w:rPr>
                <w:rFonts w:eastAsia="Calibri" w:cs="Arial"/>
              </w:rPr>
            </w:pPr>
            <w:r w:rsidRPr="008E3C5B">
              <w:rPr>
                <w:rFonts w:eastAsia="Calibri" w:cs="Arial"/>
              </w:rPr>
              <w:t>(33.3)</w:t>
            </w:r>
          </w:p>
          <w:p w:rsidR="00F06D73" w:rsidRPr="008E3C5B" w:rsidRDefault="00F06D73" w:rsidP="00E27725">
            <w:pPr>
              <w:jc w:val="both"/>
              <w:rPr>
                <w:rFonts w:eastAsia="Calibri" w:cs="Arial"/>
              </w:rPr>
            </w:pPr>
            <w:r w:rsidRPr="008E3C5B">
              <w:rPr>
                <w:rFonts w:eastAsia="Calibri" w:cs="Arial"/>
              </w:rPr>
              <w:t>(22.5)</w:t>
            </w:r>
          </w:p>
          <w:p w:rsidR="00F06D73" w:rsidRPr="008E3C5B" w:rsidRDefault="00F06D73" w:rsidP="00E27725">
            <w:pPr>
              <w:jc w:val="both"/>
              <w:rPr>
                <w:rFonts w:eastAsia="Calibri" w:cs="Arial"/>
              </w:rPr>
            </w:pPr>
            <w:r w:rsidRPr="008E3C5B">
              <w:rPr>
                <w:rFonts w:eastAsia="Calibri" w:cs="Arial"/>
              </w:rPr>
              <w:t>(21.1)</w:t>
            </w:r>
          </w:p>
          <w:p w:rsidR="00F06D73" w:rsidRPr="008E3C5B" w:rsidRDefault="00F06D73" w:rsidP="00E27725">
            <w:pPr>
              <w:jc w:val="both"/>
              <w:rPr>
                <w:rFonts w:eastAsia="Calibri" w:cs="Arial"/>
              </w:rPr>
            </w:pPr>
            <w:r w:rsidRPr="008E3C5B">
              <w:rPr>
                <w:rFonts w:eastAsia="Calibri" w:cs="Arial"/>
              </w:rPr>
              <w:t xml:space="preserve">(18.3) (14.6) (12.2) (11.7) (4.7) </w:t>
            </w:r>
          </w:p>
          <w:p w:rsidR="00F06D73" w:rsidRPr="008E3C5B" w:rsidRDefault="00F06D73" w:rsidP="00E27725">
            <w:pPr>
              <w:jc w:val="both"/>
              <w:rPr>
                <w:rFonts w:eastAsia="Calibri" w:cs="Arial"/>
              </w:rPr>
            </w:pPr>
            <w:r w:rsidRPr="008E3C5B">
              <w:rPr>
                <w:rFonts w:eastAsia="Calibri" w:cs="Arial"/>
              </w:rPr>
              <w:t xml:space="preserve"> (3.8)</w:t>
            </w:r>
          </w:p>
        </w:tc>
      </w:tr>
    </w:tbl>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Default="00F06D73" w:rsidP="00F06D73">
      <w:pPr>
        <w:spacing w:after="160"/>
        <w:jc w:val="both"/>
        <w:rPr>
          <w:rFonts w:ascii="Arial" w:eastAsia="Calibri" w:hAnsi="Arial" w:cs="Arial"/>
        </w:rPr>
      </w:pPr>
    </w:p>
    <w:p w:rsidR="00F06D73" w:rsidRDefault="00F06D73" w:rsidP="00F06D73">
      <w:pPr>
        <w:spacing w:after="160"/>
        <w:jc w:val="both"/>
        <w:rPr>
          <w:rFonts w:ascii="Arial" w:eastAsia="Calibri" w:hAnsi="Arial" w:cs="Arial"/>
        </w:rPr>
      </w:pPr>
    </w:p>
    <w:p w:rsidR="00F06D73" w:rsidRDefault="00F06D73" w:rsidP="00F06D73">
      <w:pPr>
        <w:spacing w:after="160"/>
        <w:jc w:val="both"/>
        <w:rPr>
          <w:rFonts w:ascii="Arial" w:eastAsia="Calibri" w:hAnsi="Arial" w:cs="Arial"/>
        </w:rPr>
      </w:pPr>
    </w:p>
    <w:p w:rsidR="00F06D73"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line="360" w:lineRule="auto"/>
        <w:ind w:right="4392"/>
        <w:jc w:val="both"/>
        <w:rPr>
          <w:rFonts w:ascii="Arial" w:eastAsia="Calibri" w:hAnsi="Arial" w:cs="Arial"/>
        </w:rPr>
      </w:pPr>
      <w:r w:rsidRPr="008E3C5B">
        <w:rPr>
          <w:rFonts w:ascii="Arial" w:eastAsia="Calibri" w:hAnsi="Arial" w:cs="Arial"/>
        </w:rPr>
        <w:lastRenderedPageBreak/>
        <w:t>Table 4</w:t>
      </w:r>
    </w:p>
    <w:p w:rsidR="00F06D73" w:rsidRPr="008E3C5B" w:rsidRDefault="00F06D73" w:rsidP="00F06D73">
      <w:pPr>
        <w:spacing w:line="240" w:lineRule="auto"/>
        <w:ind w:right="-2"/>
        <w:jc w:val="both"/>
        <w:rPr>
          <w:rFonts w:ascii="Arial" w:eastAsia="Calibri" w:hAnsi="Arial" w:cs="Arial"/>
          <w:i/>
        </w:rPr>
      </w:pPr>
      <w:r w:rsidRPr="008E3C5B">
        <w:rPr>
          <w:rFonts w:ascii="Arial" w:eastAsia="Calibri" w:hAnsi="Arial" w:cs="Arial"/>
          <w:i/>
        </w:rPr>
        <w:t>Odds Ratios for significant associations between crime scene behavior and conviction variables.</w:t>
      </w:r>
    </w:p>
    <w:tbl>
      <w:tblPr>
        <w:tblStyle w:val="APA"/>
        <w:tblW w:w="5001" w:type="pct"/>
        <w:tblLayout w:type="fixed"/>
        <w:tblLook w:val="0600" w:firstRow="0" w:lastRow="0" w:firstColumn="0" w:lastColumn="0" w:noHBand="1" w:noVBand="1"/>
      </w:tblPr>
      <w:tblGrid>
        <w:gridCol w:w="2613"/>
        <w:gridCol w:w="1159"/>
        <w:gridCol w:w="1163"/>
        <w:gridCol w:w="970"/>
        <w:gridCol w:w="875"/>
        <w:gridCol w:w="1302"/>
        <w:gridCol w:w="1206"/>
      </w:tblGrid>
      <w:tr w:rsidR="00F06D73" w:rsidRPr="008E3C5B" w:rsidTr="00E27725">
        <w:tc>
          <w:tcPr>
            <w:tcW w:w="1407" w:type="pct"/>
            <w:tcBorders>
              <w:bottom w:val="single" w:sz="4" w:space="0" w:color="auto"/>
            </w:tcBorders>
            <w:hideMark/>
          </w:tcPr>
          <w:p w:rsidR="00F06D73" w:rsidRPr="008E3C5B" w:rsidRDefault="00F06D73" w:rsidP="00E27725">
            <w:pPr>
              <w:jc w:val="both"/>
              <w:rPr>
                <w:rFonts w:eastAsia="Calibri" w:cs="Arial"/>
                <w:szCs w:val="24"/>
              </w:rPr>
            </w:pPr>
          </w:p>
        </w:tc>
        <w:tc>
          <w:tcPr>
            <w:tcW w:w="624" w:type="pct"/>
            <w:tcBorders>
              <w:bottom w:val="single" w:sz="4" w:space="0" w:color="auto"/>
            </w:tcBorders>
            <w:hideMark/>
          </w:tcPr>
          <w:p w:rsidR="00F06D73" w:rsidRPr="008E3C5B" w:rsidRDefault="00F06D73" w:rsidP="00E27725">
            <w:pPr>
              <w:jc w:val="both"/>
              <w:rPr>
                <w:rFonts w:eastAsia="Calibri" w:cs="Arial"/>
                <w:szCs w:val="24"/>
              </w:rPr>
            </w:pPr>
            <w:r w:rsidRPr="008E3C5B">
              <w:rPr>
                <w:rFonts w:eastAsia="Calibri" w:cs="Arial"/>
                <w:bCs/>
                <w:szCs w:val="24"/>
              </w:rPr>
              <w:t>Burglary</w:t>
            </w:r>
          </w:p>
        </w:tc>
        <w:tc>
          <w:tcPr>
            <w:tcW w:w="626" w:type="pct"/>
            <w:tcBorders>
              <w:bottom w:val="single" w:sz="4" w:space="0" w:color="auto"/>
            </w:tcBorders>
            <w:hideMark/>
          </w:tcPr>
          <w:p w:rsidR="00F06D73" w:rsidRPr="008E3C5B" w:rsidRDefault="00F06D73" w:rsidP="00E27725">
            <w:pPr>
              <w:jc w:val="both"/>
              <w:rPr>
                <w:rFonts w:eastAsia="Calibri" w:cs="Arial"/>
                <w:szCs w:val="24"/>
              </w:rPr>
            </w:pPr>
            <w:r w:rsidRPr="008E3C5B">
              <w:rPr>
                <w:rFonts w:eastAsia="Calibri" w:cs="Arial"/>
                <w:bCs/>
                <w:szCs w:val="24"/>
              </w:rPr>
              <w:t>Criminal Damage</w:t>
            </w:r>
          </w:p>
        </w:tc>
        <w:tc>
          <w:tcPr>
            <w:tcW w:w="522" w:type="pct"/>
            <w:tcBorders>
              <w:bottom w:val="single" w:sz="4" w:space="0" w:color="auto"/>
            </w:tcBorders>
            <w:hideMark/>
          </w:tcPr>
          <w:p w:rsidR="00F06D73" w:rsidRPr="008E3C5B" w:rsidRDefault="00F06D73" w:rsidP="00E27725">
            <w:pPr>
              <w:jc w:val="both"/>
              <w:rPr>
                <w:rFonts w:eastAsia="Calibri" w:cs="Arial"/>
                <w:szCs w:val="24"/>
              </w:rPr>
            </w:pPr>
            <w:r w:rsidRPr="008E3C5B">
              <w:rPr>
                <w:rFonts w:eastAsia="Calibri" w:cs="Arial"/>
                <w:bCs/>
                <w:szCs w:val="24"/>
              </w:rPr>
              <w:t>Fraud</w:t>
            </w:r>
          </w:p>
        </w:tc>
        <w:tc>
          <w:tcPr>
            <w:tcW w:w="471" w:type="pct"/>
            <w:tcBorders>
              <w:bottom w:val="single" w:sz="4" w:space="0" w:color="auto"/>
            </w:tcBorders>
            <w:hideMark/>
          </w:tcPr>
          <w:p w:rsidR="00F06D73" w:rsidRPr="008E3C5B" w:rsidRDefault="00F06D73" w:rsidP="00E27725">
            <w:pPr>
              <w:jc w:val="both"/>
              <w:rPr>
                <w:rFonts w:eastAsia="Calibri" w:cs="Arial"/>
                <w:szCs w:val="24"/>
              </w:rPr>
            </w:pPr>
            <w:r w:rsidRPr="008E3C5B">
              <w:rPr>
                <w:rFonts w:eastAsia="Calibri" w:cs="Arial"/>
                <w:bCs/>
                <w:szCs w:val="24"/>
              </w:rPr>
              <w:t>Theft</w:t>
            </w:r>
          </w:p>
        </w:tc>
        <w:tc>
          <w:tcPr>
            <w:tcW w:w="701" w:type="pct"/>
            <w:tcBorders>
              <w:bottom w:val="single" w:sz="4" w:space="0" w:color="auto"/>
            </w:tcBorders>
            <w:hideMark/>
          </w:tcPr>
          <w:p w:rsidR="00F06D73" w:rsidRPr="008E3C5B" w:rsidRDefault="00F06D73" w:rsidP="00E27725">
            <w:pPr>
              <w:jc w:val="both"/>
              <w:rPr>
                <w:rFonts w:eastAsia="Calibri" w:cs="Arial"/>
                <w:szCs w:val="24"/>
              </w:rPr>
            </w:pPr>
            <w:r w:rsidRPr="008E3C5B">
              <w:rPr>
                <w:rFonts w:eastAsia="Calibri" w:cs="Arial"/>
                <w:bCs/>
                <w:szCs w:val="24"/>
              </w:rPr>
              <w:t>Weapons</w:t>
            </w:r>
          </w:p>
        </w:tc>
        <w:tc>
          <w:tcPr>
            <w:tcW w:w="649" w:type="pct"/>
            <w:tcBorders>
              <w:bottom w:val="single" w:sz="4" w:space="0" w:color="auto"/>
            </w:tcBorders>
            <w:hideMark/>
          </w:tcPr>
          <w:p w:rsidR="00F06D73" w:rsidRPr="008E3C5B" w:rsidRDefault="00F06D73" w:rsidP="00E27725">
            <w:pPr>
              <w:jc w:val="both"/>
              <w:rPr>
                <w:rFonts w:eastAsia="Calibri" w:cs="Arial"/>
                <w:szCs w:val="24"/>
              </w:rPr>
            </w:pPr>
            <w:r w:rsidRPr="008E3C5B">
              <w:rPr>
                <w:rFonts w:eastAsia="Calibri" w:cs="Arial"/>
                <w:bCs/>
                <w:szCs w:val="24"/>
              </w:rPr>
              <w:t>Violence</w:t>
            </w:r>
          </w:p>
        </w:tc>
      </w:tr>
      <w:tr w:rsidR="00F06D73" w:rsidRPr="008E3C5B" w:rsidTr="00E27725">
        <w:tc>
          <w:tcPr>
            <w:tcW w:w="1407" w:type="pct"/>
            <w:tcBorders>
              <w:top w:val="nil"/>
              <w:bottom w:val="nil"/>
            </w:tcBorders>
            <w:hideMark/>
          </w:tcPr>
          <w:p w:rsidR="00F06D73" w:rsidRPr="008E3C5B" w:rsidRDefault="00F06D73" w:rsidP="00E27725">
            <w:pPr>
              <w:ind w:left="176" w:hanging="176"/>
              <w:jc w:val="both"/>
              <w:rPr>
                <w:rFonts w:eastAsia="Calibri" w:cs="Arial"/>
                <w:szCs w:val="24"/>
              </w:rPr>
            </w:pPr>
            <w:r w:rsidRPr="008E3C5B">
              <w:rPr>
                <w:rFonts w:eastAsia="Calibri" w:cs="Arial"/>
                <w:szCs w:val="24"/>
              </w:rPr>
              <w:t>Precautions scene</w:t>
            </w:r>
          </w:p>
        </w:tc>
        <w:tc>
          <w:tcPr>
            <w:tcW w:w="624" w:type="pct"/>
            <w:tcBorders>
              <w:top w:val="nil"/>
              <w:bottom w:val="nil"/>
            </w:tcBorders>
            <w:hideMark/>
          </w:tcPr>
          <w:p w:rsidR="00F06D73" w:rsidRPr="008E3C5B" w:rsidRDefault="00F06D73" w:rsidP="00E27725">
            <w:pPr>
              <w:jc w:val="both"/>
              <w:rPr>
                <w:rFonts w:eastAsia="Calibri" w:cs="Arial"/>
                <w:szCs w:val="24"/>
              </w:rPr>
            </w:pPr>
          </w:p>
        </w:tc>
        <w:tc>
          <w:tcPr>
            <w:tcW w:w="626" w:type="pct"/>
            <w:tcBorders>
              <w:top w:val="nil"/>
              <w:bottom w:val="nil"/>
            </w:tcBorders>
            <w:hideMark/>
          </w:tcPr>
          <w:p w:rsidR="00F06D73" w:rsidRPr="008E3C5B" w:rsidRDefault="00F06D73" w:rsidP="00E27725">
            <w:pPr>
              <w:jc w:val="both"/>
              <w:rPr>
                <w:rFonts w:eastAsia="Calibri" w:cs="Arial"/>
                <w:szCs w:val="24"/>
              </w:rPr>
            </w:pPr>
          </w:p>
        </w:tc>
        <w:tc>
          <w:tcPr>
            <w:tcW w:w="522" w:type="pct"/>
            <w:tcBorders>
              <w:top w:val="nil"/>
              <w:bottom w:val="nil"/>
            </w:tcBorders>
            <w:hideMark/>
          </w:tcPr>
          <w:p w:rsidR="00F06D73" w:rsidRPr="008E3C5B" w:rsidRDefault="00F06D73" w:rsidP="00E27725">
            <w:pPr>
              <w:jc w:val="both"/>
              <w:rPr>
                <w:rFonts w:eastAsia="Calibri" w:cs="Arial"/>
                <w:szCs w:val="24"/>
              </w:rPr>
            </w:pPr>
          </w:p>
        </w:tc>
        <w:tc>
          <w:tcPr>
            <w:tcW w:w="471" w:type="pct"/>
            <w:tcBorders>
              <w:top w:val="nil"/>
              <w:bottom w:val="nil"/>
            </w:tcBorders>
            <w:hideMark/>
          </w:tcPr>
          <w:p w:rsidR="00F06D73" w:rsidRPr="008E3C5B" w:rsidRDefault="00F06D73" w:rsidP="00E27725">
            <w:pPr>
              <w:jc w:val="both"/>
              <w:rPr>
                <w:rFonts w:eastAsia="Calibri" w:cs="Arial"/>
                <w:szCs w:val="24"/>
              </w:rPr>
            </w:pPr>
          </w:p>
        </w:tc>
        <w:tc>
          <w:tcPr>
            <w:tcW w:w="701" w:type="pct"/>
            <w:tcBorders>
              <w:top w:val="nil"/>
              <w:bottom w:val="nil"/>
            </w:tcBorders>
            <w:hideMark/>
          </w:tcPr>
          <w:p w:rsidR="00F06D73" w:rsidRPr="008E3C5B" w:rsidRDefault="00F06D73" w:rsidP="00E27725">
            <w:pPr>
              <w:jc w:val="both"/>
              <w:rPr>
                <w:rFonts w:eastAsia="Calibri" w:cs="Arial"/>
                <w:szCs w:val="24"/>
              </w:rPr>
            </w:pPr>
            <w:r w:rsidRPr="008E3C5B">
              <w:rPr>
                <w:rFonts w:eastAsia="Calibri" w:cs="Arial"/>
                <w:szCs w:val="24"/>
              </w:rPr>
              <w:t>0.36</w:t>
            </w:r>
          </w:p>
        </w:tc>
        <w:tc>
          <w:tcPr>
            <w:tcW w:w="649" w:type="pct"/>
            <w:tcBorders>
              <w:top w:val="nil"/>
              <w:bottom w:val="nil"/>
            </w:tcBorders>
            <w:hideMark/>
          </w:tcPr>
          <w:p w:rsidR="00F06D73" w:rsidRPr="008E3C5B" w:rsidRDefault="00F06D73" w:rsidP="00E27725">
            <w:pPr>
              <w:jc w:val="both"/>
              <w:rPr>
                <w:rFonts w:eastAsia="Calibri" w:cs="Arial"/>
                <w:szCs w:val="24"/>
              </w:rPr>
            </w:pPr>
          </w:p>
        </w:tc>
      </w:tr>
      <w:tr w:rsidR="00F06D73" w:rsidRPr="008E3C5B" w:rsidTr="00E27725">
        <w:tc>
          <w:tcPr>
            <w:tcW w:w="1407" w:type="pct"/>
            <w:tcBorders>
              <w:top w:val="nil"/>
              <w:bottom w:val="nil"/>
            </w:tcBorders>
            <w:hideMark/>
          </w:tcPr>
          <w:p w:rsidR="00F06D73" w:rsidRPr="008E3C5B" w:rsidRDefault="00F06D73" w:rsidP="00E27725">
            <w:pPr>
              <w:ind w:left="176" w:hanging="176"/>
              <w:jc w:val="both"/>
              <w:rPr>
                <w:rFonts w:eastAsia="Calibri" w:cs="Arial"/>
                <w:szCs w:val="24"/>
              </w:rPr>
            </w:pPr>
            <w:r w:rsidRPr="008E3C5B">
              <w:rPr>
                <w:rFonts w:eastAsia="Calibri" w:cs="Arial"/>
                <w:szCs w:val="24"/>
              </w:rPr>
              <w:t>Vaginal penetration</w:t>
            </w:r>
          </w:p>
        </w:tc>
        <w:tc>
          <w:tcPr>
            <w:tcW w:w="624" w:type="pct"/>
            <w:tcBorders>
              <w:top w:val="nil"/>
              <w:bottom w:val="nil"/>
            </w:tcBorders>
            <w:hideMark/>
          </w:tcPr>
          <w:p w:rsidR="00F06D73" w:rsidRPr="008E3C5B" w:rsidRDefault="00F06D73" w:rsidP="00E27725">
            <w:pPr>
              <w:jc w:val="both"/>
              <w:rPr>
                <w:rFonts w:eastAsia="Calibri" w:cs="Arial"/>
                <w:szCs w:val="24"/>
              </w:rPr>
            </w:pPr>
          </w:p>
        </w:tc>
        <w:tc>
          <w:tcPr>
            <w:tcW w:w="626" w:type="pct"/>
            <w:tcBorders>
              <w:top w:val="nil"/>
              <w:bottom w:val="nil"/>
            </w:tcBorders>
            <w:hideMark/>
          </w:tcPr>
          <w:p w:rsidR="00F06D73" w:rsidRPr="008E3C5B" w:rsidRDefault="00F06D73" w:rsidP="00E27725">
            <w:pPr>
              <w:jc w:val="both"/>
              <w:rPr>
                <w:rFonts w:eastAsia="Calibri" w:cs="Arial"/>
                <w:szCs w:val="24"/>
              </w:rPr>
            </w:pPr>
          </w:p>
        </w:tc>
        <w:tc>
          <w:tcPr>
            <w:tcW w:w="522" w:type="pct"/>
            <w:tcBorders>
              <w:top w:val="nil"/>
              <w:bottom w:val="nil"/>
            </w:tcBorders>
            <w:hideMark/>
          </w:tcPr>
          <w:p w:rsidR="00F06D73" w:rsidRPr="008E3C5B" w:rsidRDefault="00F06D73" w:rsidP="00E27725">
            <w:pPr>
              <w:jc w:val="both"/>
              <w:rPr>
                <w:rFonts w:eastAsia="Calibri" w:cs="Arial"/>
                <w:szCs w:val="24"/>
              </w:rPr>
            </w:pPr>
          </w:p>
        </w:tc>
        <w:tc>
          <w:tcPr>
            <w:tcW w:w="471" w:type="pct"/>
            <w:tcBorders>
              <w:top w:val="nil"/>
              <w:bottom w:val="nil"/>
            </w:tcBorders>
            <w:hideMark/>
          </w:tcPr>
          <w:p w:rsidR="00F06D73" w:rsidRPr="008E3C5B" w:rsidRDefault="00F06D73" w:rsidP="00E27725">
            <w:pPr>
              <w:jc w:val="both"/>
              <w:rPr>
                <w:rFonts w:eastAsia="Calibri" w:cs="Arial"/>
                <w:szCs w:val="24"/>
              </w:rPr>
            </w:pPr>
            <w:r w:rsidRPr="008E3C5B">
              <w:rPr>
                <w:rFonts w:eastAsia="Calibri" w:cs="Arial"/>
                <w:szCs w:val="24"/>
              </w:rPr>
              <w:t>0.48</w:t>
            </w:r>
          </w:p>
        </w:tc>
        <w:tc>
          <w:tcPr>
            <w:tcW w:w="701" w:type="pct"/>
            <w:tcBorders>
              <w:top w:val="nil"/>
              <w:bottom w:val="nil"/>
            </w:tcBorders>
            <w:hideMark/>
          </w:tcPr>
          <w:p w:rsidR="00F06D73" w:rsidRPr="008E3C5B" w:rsidRDefault="00F06D73" w:rsidP="00E27725">
            <w:pPr>
              <w:jc w:val="both"/>
              <w:rPr>
                <w:rFonts w:eastAsia="Calibri" w:cs="Arial"/>
                <w:szCs w:val="24"/>
              </w:rPr>
            </w:pPr>
            <w:r w:rsidRPr="008E3C5B">
              <w:rPr>
                <w:rFonts w:eastAsia="Calibri" w:cs="Arial"/>
                <w:szCs w:val="24"/>
              </w:rPr>
              <w:t>0.42</w:t>
            </w:r>
          </w:p>
        </w:tc>
        <w:tc>
          <w:tcPr>
            <w:tcW w:w="649" w:type="pct"/>
            <w:tcBorders>
              <w:top w:val="nil"/>
              <w:bottom w:val="nil"/>
            </w:tcBorders>
            <w:hideMark/>
          </w:tcPr>
          <w:p w:rsidR="00F06D73" w:rsidRPr="008E3C5B" w:rsidRDefault="00F06D73" w:rsidP="00E27725">
            <w:pPr>
              <w:jc w:val="both"/>
              <w:rPr>
                <w:rFonts w:eastAsia="Calibri" w:cs="Arial"/>
                <w:szCs w:val="24"/>
              </w:rPr>
            </w:pPr>
            <w:r w:rsidRPr="008E3C5B">
              <w:rPr>
                <w:rFonts w:eastAsia="Calibri" w:cs="Arial"/>
                <w:szCs w:val="24"/>
              </w:rPr>
              <w:t>0.51</w:t>
            </w:r>
          </w:p>
        </w:tc>
      </w:tr>
      <w:tr w:rsidR="00F06D73" w:rsidRPr="008E3C5B" w:rsidTr="00E27725">
        <w:tc>
          <w:tcPr>
            <w:tcW w:w="1407" w:type="pct"/>
            <w:tcBorders>
              <w:top w:val="nil"/>
              <w:bottom w:val="nil"/>
            </w:tcBorders>
            <w:hideMark/>
          </w:tcPr>
          <w:p w:rsidR="00F06D73" w:rsidRPr="008E3C5B" w:rsidRDefault="00F06D73" w:rsidP="00E27725">
            <w:pPr>
              <w:ind w:left="176" w:hanging="176"/>
              <w:jc w:val="both"/>
              <w:rPr>
                <w:rFonts w:eastAsia="Calibri" w:cs="Arial"/>
                <w:szCs w:val="24"/>
              </w:rPr>
            </w:pPr>
            <w:r w:rsidRPr="008E3C5B">
              <w:rPr>
                <w:rFonts w:eastAsia="Calibri" w:cs="Arial"/>
                <w:szCs w:val="24"/>
              </w:rPr>
              <w:t>Victim naked</w:t>
            </w:r>
          </w:p>
        </w:tc>
        <w:tc>
          <w:tcPr>
            <w:tcW w:w="624" w:type="pct"/>
            <w:tcBorders>
              <w:top w:val="nil"/>
              <w:bottom w:val="nil"/>
            </w:tcBorders>
            <w:hideMark/>
          </w:tcPr>
          <w:p w:rsidR="00F06D73" w:rsidRPr="008E3C5B" w:rsidRDefault="00F06D73" w:rsidP="00E27725">
            <w:pPr>
              <w:jc w:val="both"/>
              <w:rPr>
                <w:rFonts w:eastAsia="Calibri" w:cs="Arial"/>
                <w:szCs w:val="24"/>
              </w:rPr>
            </w:pPr>
          </w:p>
        </w:tc>
        <w:tc>
          <w:tcPr>
            <w:tcW w:w="626" w:type="pct"/>
            <w:tcBorders>
              <w:top w:val="nil"/>
              <w:bottom w:val="nil"/>
            </w:tcBorders>
            <w:hideMark/>
          </w:tcPr>
          <w:p w:rsidR="00F06D73" w:rsidRPr="008E3C5B" w:rsidRDefault="00F06D73" w:rsidP="00E27725">
            <w:pPr>
              <w:jc w:val="both"/>
              <w:rPr>
                <w:rFonts w:eastAsia="Calibri" w:cs="Arial"/>
                <w:szCs w:val="24"/>
              </w:rPr>
            </w:pPr>
          </w:p>
        </w:tc>
        <w:tc>
          <w:tcPr>
            <w:tcW w:w="522" w:type="pct"/>
            <w:tcBorders>
              <w:top w:val="nil"/>
              <w:bottom w:val="nil"/>
            </w:tcBorders>
            <w:hideMark/>
          </w:tcPr>
          <w:p w:rsidR="00F06D73" w:rsidRPr="008E3C5B" w:rsidRDefault="00F06D73" w:rsidP="00E27725">
            <w:pPr>
              <w:jc w:val="both"/>
              <w:rPr>
                <w:rFonts w:eastAsia="Calibri" w:cs="Arial"/>
                <w:szCs w:val="24"/>
              </w:rPr>
            </w:pPr>
            <w:r w:rsidRPr="008E3C5B">
              <w:rPr>
                <w:rFonts w:eastAsia="Calibri" w:cs="Arial"/>
                <w:szCs w:val="24"/>
              </w:rPr>
              <w:t>2.01</w:t>
            </w:r>
          </w:p>
        </w:tc>
        <w:tc>
          <w:tcPr>
            <w:tcW w:w="471" w:type="pct"/>
            <w:tcBorders>
              <w:top w:val="nil"/>
              <w:bottom w:val="nil"/>
            </w:tcBorders>
            <w:hideMark/>
          </w:tcPr>
          <w:p w:rsidR="00F06D73" w:rsidRPr="008E3C5B" w:rsidRDefault="00F06D73" w:rsidP="00E27725">
            <w:pPr>
              <w:jc w:val="both"/>
              <w:rPr>
                <w:rFonts w:eastAsia="Calibri" w:cs="Arial"/>
                <w:szCs w:val="24"/>
              </w:rPr>
            </w:pPr>
          </w:p>
        </w:tc>
        <w:tc>
          <w:tcPr>
            <w:tcW w:w="701" w:type="pct"/>
            <w:tcBorders>
              <w:top w:val="nil"/>
              <w:bottom w:val="nil"/>
            </w:tcBorders>
            <w:hideMark/>
          </w:tcPr>
          <w:p w:rsidR="00F06D73" w:rsidRPr="008E3C5B" w:rsidRDefault="00F06D73" w:rsidP="00E27725">
            <w:pPr>
              <w:jc w:val="both"/>
              <w:rPr>
                <w:rFonts w:eastAsia="Calibri" w:cs="Arial"/>
                <w:szCs w:val="24"/>
              </w:rPr>
            </w:pPr>
          </w:p>
        </w:tc>
        <w:tc>
          <w:tcPr>
            <w:tcW w:w="649" w:type="pct"/>
            <w:tcBorders>
              <w:top w:val="nil"/>
              <w:bottom w:val="nil"/>
            </w:tcBorders>
            <w:hideMark/>
          </w:tcPr>
          <w:p w:rsidR="00F06D73" w:rsidRPr="008E3C5B" w:rsidRDefault="00F06D73" w:rsidP="00E27725">
            <w:pPr>
              <w:jc w:val="both"/>
              <w:rPr>
                <w:rFonts w:eastAsia="Calibri" w:cs="Arial"/>
                <w:szCs w:val="24"/>
              </w:rPr>
            </w:pPr>
          </w:p>
        </w:tc>
      </w:tr>
      <w:tr w:rsidR="00F06D73" w:rsidRPr="008E3C5B" w:rsidTr="00E27725">
        <w:tc>
          <w:tcPr>
            <w:tcW w:w="1407" w:type="pct"/>
            <w:tcBorders>
              <w:top w:val="nil"/>
              <w:bottom w:val="nil"/>
            </w:tcBorders>
            <w:hideMark/>
          </w:tcPr>
          <w:p w:rsidR="00F06D73" w:rsidRPr="008E3C5B" w:rsidRDefault="00F06D73" w:rsidP="00E27725">
            <w:pPr>
              <w:ind w:left="176" w:hanging="176"/>
              <w:jc w:val="both"/>
              <w:rPr>
                <w:rFonts w:eastAsia="Calibri" w:cs="Arial"/>
                <w:szCs w:val="24"/>
              </w:rPr>
            </w:pPr>
            <w:r w:rsidRPr="008E3C5B">
              <w:rPr>
                <w:rFonts w:eastAsia="Calibri" w:cs="Arial"/>
                <w:szCs w:val="24"/>
              </w:rPr>
              <w:t>Clothing moved to expose</w:t>
            </w:r>
          </w:p>
        </w:tc>
        <w:tc>
          <w:tcPr>
            <w:tcW w:w="624" w:type="pct"/>
            <w:tcBorders>
              <w:top w:val="nil"/>
              <w:bottom w:val="nil"/>
            </w:tcBorders>
            <w:hideMark/>
          </w:tcPr>
          <w:p w:rsidR="00F06D73" w:rsidRPr="008E3C5B" w:rsidRDefault="00F06D73" w:rsidP="00E27725">
            <w:pPr>
              <w:jc w:val="both"/>
              <w:rPr>
                <w:rFonts w:eastAsia="Calibri" w:cs="Arial"/>
                <w:szCs w:val="24"/>
              </w:rPr>
            </w:pPr>
          </w:p>
        </w:tc>
        <w:tc>
          <w:tcPr>
            <w:tcW w:w="626" w:type="pct"/>
            <w:tcBorders>
              <w:top w:val="nil"/>
              <w:bottom w:val="nil"/>
            </w:tcBorders>
            <w:hideMark/>
          </w:tcPr>
          <w:p w:rsidR="00F06D73" w:rsidRPr="008E3C5B" w:rsidRDefault="00F06D73" w:rsidP="00E27725">
            <w:pPr>
              <w:jc w:val="both"/>
              <w:rPr>
                <w:rFonts w:eastAsia="Calibri" w:cs="Arial"/>
                <w:szCs w:val="24"/>
              </w:rPr>
            </w:pPr>
          </w:p>
        </w:tc>
        <w:tc>
          <w:tcPr>
            <w:tcW w:w="522" w:type="pct"/>
            <w:tcBorders>
              <w:top w:val="nil"/>
              <w:bottom w:val="nil"/>
            </w:tcBorders>
            <w:hideMark/>
          </w:tcPr>
          <w:p w:rsidR="00F06D73" w:rsidRPr="008E3C5B" w:rsidRDefault="00F06D73" w:rsidP="00E27725">
            <w:pPr>
              <w:jc w:val="both"/>
              <w:rPr>
                <w:rFonts w:eastAsia="Calibri" w:cs="Arial"/>
                <w:szCs w:val="24"/>
              </w:rPr>
            </w:pPr>
          </w:p>
        </w:tc>
        <w:tc>
          <w:tcPr>
            <w:tcW w:w="471" w:type="pct"/>
            <w:tcBorders>
              <w:top w:val="nil"/>
              <w:bottom w:val="nil"/>
            </w:tcBorders>
            <w:hideMark/>
          </w:tcPr>
          <w:p w:rsidR="00F06D73" w:rsidRPr="008E3C5B" w:rsidRDefault="00F06D73" w:rsidP="00E27725">
            <w:pPr>
              <w:jc w:val="both"/>
              <w:rPr>
                <w:rFonts w:eastAsia="Calibri" w:cs="Arial"/>
                <w:szCs w:val="24"/>
              </w:rPr>
            </w:pPr>
          </w:p>
        </w:tc>
        <w:tc>
          <w:tcPr>
            <w:tcW w:w="701" w:type="pct"/>
            <w:tcBorders>
              <w:top w:val="nil"/>
              <w:bottom w:val="nil"/>
            </w:tcBorders>
            <w:hideMark/>
          </w:tcPr>
          <w:p w:rsidR="00F06D73" w:rsidRPr="008E3C5B" w:rsidRDefault="00F06D73" w:rsidP="00E27725">
            <w:pPr>
              <w:jc w:val="both"/>
              <w:rPr>
                <w:rFonts w:eastAsia="Calibri" w:cs="Arial"/>
                <w:szCs w:val="24"/>
              </w:rPr>
            </w:pPr>
          </w:p>
        </w:tc>
        <w:tc>
          <w:tcPr>
            <w:tcW w:w="649" w:type="pct"/>
            <w:tcBorders>
              <w:top w:val="nil"/>
              <w:bottom w:val="nil"/>
            </w:tcBorders>
            <w:hideMark/>
          </w:tcPr>
          <w:p w:rsidR="00F06D73" w:rsidRPr="008E3C5B" w:rsidRDefault="00F06D73" w:rsidP="00E27725">
            <w:pPr>
              <w:jc w:val="both"/>
              <w:rPr>
                <w:rFonts w:eastAsia="Calibri" w:cs="Arial"/>
                <w:szCs w:val="24"/>
              </w:rPr>
            </w:pPr>
            <w:r w:rsidRPr="008E3C5B">
              <w:rPr>
                <w:rFonts w:eastAsia="Calibri" w:cs="Arial"/>
                <w:szCs w:val="24"/>
              </w:rPr>
              <w:t>0.43</w:t>
            </w:r>
          </w:p>
        </w:tc>
      </w:tr>
      <w:tr w:rsidR="00F06D73" w:rsidRPr="008E3C5B" w:rsidTr="00E27725">
        <w:tc>
          <w:tcPr>
            <w:tcW w:w="1407" w:type="pct"/>
            <w:tcBorders>
              <w:top w:val="nil"/>
              <w:bottom w:val="nil"/>
            </w:tcBorders>
            <w:hideMark/>
          </w:tcPr>
          <w:p w:rsidR="00F06D73" w:rsidRPr="008E3C5B" w:rsidRDefault="00F06D73" w:rsidP="00E27725">
            <w:pPr>
              <w:ind w:left="176" w:hanging="176"/>
              <w:jc w:val="both"/>
              <w:rPr>
                <w:rFonts w:eastAsia="Calibri" w:cs="Arial"/>
                <w:szCs w:val="24"/>
              </w:rPr>
            </w:pPr>
            <w:r w:rsidRPr="008E3C5B">
              <w:rPr>
                <w:rFonts w:eastAsia="Calibri" w:cs="Arial"/>
                <w:szCs w:val="24"/>
              </w:rPr>
              <w:t>Weapon brought by offender</w:t>
            </w:r>
          </w:p>
        </w:tc>
        <w:tc>
          <w:tcPr>
            <w:tcW w:w="624" w:type="pct"/>
            <w:tcBorders>
              <w:top w:val="nil"/>
              <w:bottom w:val="nil"/>
            </w:tcBorders>
            <w:hideMark/>
          </w:tcPr>
          <w:p w:rsidR="00F06D73" w:rsidRPr="008E3C5B" w:rsidRDefault="00F06D73" w:rsidP="00E27725">
            <w:pPr>
              <w:jc w:val="both"/>
              <w:rPr>
                <w:rFonts w:eastAsia="Calibri" w:cs="Arial"/>
                <w:szCs w:val="24"/>
              </w:rPr>
            </w:pPr>
          </w:p>
        </w:tc>
        <w:tc>
          <w:tcPr>
            <w:tcW w:w="626" w:type="pct"/>
            <w:tcBorders>
              <w:top w:val="nil"/>
              <w:bottom w:val="nil"/>
            </w:tcBorders>
            <w:hideMark/>
          </w:tcPr>
          <w:p w:rsidR="00F06D73" w:rsidRPr="008E3C5B" w:rsidRDefault="00F06D73" w:rsidP="00E27725">
            <w:pPr>
              <w:jc w:val="both"/>
              <w:rPr>
                <w:rFonts w:eastAsia="Calibri" w:cs="Arial"/>
                <w:szCs w:val="24"/>
              </w:rPr>
            </w:pPr>
            <w:r w:rsidRPr="008E3C5B">
              <w:rPr>
                <w:rFonts w:eastAsia="Calibri" w:cs="Arial"/>
                <w:szCs w:val="24"/>
              </w:rPr>
              <w:t>0.39</w:t>
            </w:r>
          </w:p>
        </w:tc>
        <w:tc>
          <w:tcPr>
            <w:tcW w:w="522" w:type="pct"/>
            <w:tcBorders>
              <w:top w:val="nil"/>
              <w:bottom w:val="nil"/>
            </w:tcBorders>
            <w:hideMark/>
          </w:tcPr>
          <w:p w:rsidR="00F06D73" w:rsidRPr="008E3C5B" w:rsidRDefault="00F06D73" w:rsidP="00E27725">
            <w:pPr>
              <w:jc w:val="both"/>
              <w:rPr>
                <w:rFonts w:eastAsia="Calibri" w:cs="Arial"/>
                <w:szCs w:val="24"/>
              </w:rPr>
            </w:pPr>
          </w:p>
        </w:tc>
        <w:tc>
          <w:tcPr>
            <w:tcW w:w="471" w:type="pct"/>
            <w:tcBorders>
              <w:top w:val="nil"/>
              <w:bottom w:val="nil"/>
            </w:tcBorders>
            <w:hideMark/>
          </w:tcPr>
          <w:p w:rsidR="00F06D73" w:rsidRPr="008E3C5B" w:rsidRDefault="00F06D73" w:rsidP="00E27725">
            <w:pPr>
              <w:jc w:val="both"/>
              <w:rPr>
                <w:rFonts w:eastAsia="Calibri" w:cs="Arial"/>
                <w:szCs w:val="24"/>
              </w:rPr>
            </w:pPr>
            <w:r w:rsidRPr="008E3C5B">
              <w:rPr>
                <w:rFonts w:eastAsia="Calibri" w:cs="Arial"/>
                <w:szCs w:val="24"/>
              </w:rPr>
              <w:t>0.40</w:t>
            </w:r>
          </w:p>
        </w:tc>
        <w:tc>
          <w:tcPr>
            <w:tcW w:w="701" w:type="pct"/>
            <w:tcBorders>
              <w:top w:val="nil"/>
              <w:bottom w:val="nil"/>
            </w:tcBorders>
            <w:hideMark/>
          </w:tcPr>
          <w:p w:rsidR="00F06D73" w:rsidRPr="008E3C5B" w:rsidRDefault="00F06D73" w:rsidP="00E27725">
            <w:pPr>
              <w:jc w:val="both"/>
              <w:rPr>
                <w:rFonts w:eastAsia="Calibri" w:cs="Arial"/>
                <w:szCs w:val="24"/>
              </w:rPr>
            </w:pPr>
          </w:p>
        </w:tc>
        <w:tc>
          <w:tcPr>
            <w:tcW w:w="649" w:type="pct"/>
            <w:tcBorders>
              <w:top w:val="nil"/>
              <w:bottom w:val="nil"/>
            </w:tcBorders>
            <w:hideMark/>
          </w:tcPr>
          <w:p w:rsidR="00F06D73" w:rsidRPr="008E3C5B" w:rsidRDefault="00F06D73" w:rsidP="00E27725">
            <w:pPr>
              <w:jc w:val="both"/>
              <w:rPr>
                <w:rFonts w:eastAsia="Calibri" w:cs="Arial"/>
                <w:szCs w:val="24"/>
              </w:rPr>
            </w:pPr>
            <w:r w:rsidRPr="008E3C5B">
              <w:rPr>
                <w:rFonts w:eastAsia="Calibri" w:cs="Arial"/>
                <w:szCs w:val="24"/>
              </w:rPr>
              <w:t>0.30</w:t>
            </w:r>
          </w:p>
        </w:tc>
      </w:tr>
      <w:tr w:rsidR="00F06D73" w:rsidRPr="008E3C5B" w:rsidTr="00E27725">
        <w:tc>
          <w:tcPr>
            <w:tcW w:w="1407" w:type="pct"/>
            <w:tcBorders>
              <w:top w:val="nil"/>
              <w:bottom w:val="nil"/>
            </w:tcBorders>
            <w:hideMark/>
          </w:tcPr>
          <w:p w:rsidR="00F06D73" w:rsidRPr="008E3C5B" w:rsidRDefault="00F06D73" w:rsidP="00E27725">
            <w:pPr>
              <w:ind w:left="176" w:hanging="176"/>
              <w:jc w:val="both"/>
              <w:rPr>
                <w:rFonts w:eastAsia="Calibri" w:cs="Arial"/>
                <w:szCs w:val="24"/>
              </w:rPr>
            </w:pPr>
            <w:r w:rsidRPr="008E3C5B">
              <w:rPr>
                <w:rFonts w:eastAsia="Calibri" w:cs="Arial"/>
                <w:szCs w:val="24"/>
              </w:rPr>
              <w:t>Bludgeoning weapon</w:t>
            </w:r>
          </w:p>
        </w:tc>
        <w:tc>
          <w:tcPr>
            <w:tcW w:w="624" w:type="pct"/>
            <w:tcBorders>
              <w:top w:val="nil"/>
              <w:bottom w:val="nil"/>
            </w:tcBorders>
            <w:hideMark/>
          </w:tcPr>
          <w:p w:rsidR="00F06D73" w:rsidRPr="008E3C5B" w:rsidRDefault="00F06D73" w:rsidP="00E27725">
            <w:pPr>
              <w:jc w:val="both"/>
              <w:rPr>
                <w:rFonts w:eastAsia="Calibri" w:cs="Arial"/>
                <w:szCs w:val="24"/>
              </w:rPr>
            </w:pPr>
          </w:p>
        </w:tc>
        <w:tc>
          <w:tcPr>
            <w:tcW w:w="626" w:type="pct"/>
            <w:tcBorders>
              <w:top w:val="nil"/>
              <w:bottom w:val="nil"/>
            </w:tcBorders>
            <w:hideMark/>
          </w:tcPr>
          <w:p w:rsidR="00F06D73" w:rsidRPr="008E3C5B" w:rsidRDefault="00F06D73" w:rsidP="00E27725">
            <w:pPr>
              <w:jc w:val="both"/>
              <w:rPr>
                <w:rFonts w:eastAsia="Calibri" w:cs="Arial"/>
                <w:szCs w:val="24"/>
              </w:rPr>
            </w:pPr>
          </w:p>
        </w:tc>
        <w:tc>
          <w:tcPr>
            <w:tcW w:w="522" w:type="pct"/>
            <w:tcBorders>
              <w:top w:val="nil"/>
              <w:bottom w:val="nil"/>
            </w:tcBorders>
            <w:hideMark/>
          </w:tcPr>
          <w:p w:rsidR="00F06D73" w:rsidRPr="008E3C5B" w:rsidRDefault="00F06D73" w:rsidP="00E27725">
            <w:pPr>
              <w:jc w:val="both"/>
              <w:rPr>
                <w:rFonts w:eastAsia="Calibri" w:cs="Arial"/>
                <w:szCs w:val="24"/>
              </w:rPr>
            </w:pPr>
            <w:r w:rsidRPr="008E3C5B">
              <w:rPr>
                <w:rFonts w:eastAsia="Calibri" w:cs="Arial"/>
                <w:szCs w:val="24"/>
              </w:rPr>
              <w:t>2.30</w:t>
            </w:r>
          </w:p>
        </w:tc>
        <w:tc>
          <w:tcPr>
            <w:tcW w:w="471" w:type="pct"/>
            <w:tcBorders>
              <w:top w:val="nil"/>
              <w:bottom w:val="nil"/>
            </w:tcBorders>
            <w:hideMark/>
          </w:tcPr>
          <w:p w:rsidR="00F06D73" w:rsidRPr="008E3C5B" w:rsidRDefault="00F06D73" w:rsidP="00E27725">
            <w:pPr>
              <w:jc w:val="both"/>
              <w:rPr>
                <w:rFonts w:eastAsia="Calibri" w:cs="Arial"/>
                <w:szCs w:val="24"/>
              </w:rPr>
            </w:pPr>
          </w:p>
        </w:tc>
        <w:tc>
          <w:tcPr>
            <w:tcW w:w="701" w:type="pct"/>
            <w:tcBorders>
              <w:top w:val="nil"/>
              <w:bottom w:val="nil"/>
            </w:tcBorders>
            <w:hideMark/>
          </w:tcPr>
          <w:p w:rsidR="00F06D73" w:rsidRPr="008E3C5B" w:rsidRDefault="00F06D73" w:rsidP="00E27725">
            <w:pPr>
              <w:jc w:val="both"/>
              <w:rPr>
                <w:rFonts w:eastAsia="Calibri" w:cs="Arial"/>
                <w:szCs w:val="24"/>
              </w:rPr>
            </w:pPr>
          </w:p>
        </w:tc>
        <w:tc>
          <w:tcPr>
            <w:tcW w:w="649" w:type="pct"/>
            <w:tcBorders>
              <w:top w:val="nil"/>
              <w:bottom w:val="nil"/>
            </w:tcBorders>
            <w:hideMark/>
          </w:tcPr>
          <w:p w:rsidR="00F06D73" w:rsidRPr="008E3C5B" w:rsidRDefault="00F06D73" w:rsidP="00E27725">
            <w:pPr>
              <w:jc w:val="both"/>
              <w:rPr>
                <w:rFonts w:eastAsia="Calibri" w:cs="Arial"/>
                <w:szCs w:val="24"/>
              </w:rPr>
            </w:pPr>
          </w:p>
        </w:tc>
      </w:tr>
      <w:tr w:rsidR="00F06D73" w:rsidRPr="008E3C5B" w:rsidTr="00E27725">
        <w:tc>
          <w:tcPr>
            <w:tcW w:w="1407" w:type="pct"/>
            <w:tcBorders>
              <w:top w:val="nil"/>
              <w:bottom w:val="nil"/>
            </w:tcBorders>
            <w:hideMark/>
          </w:tcPr>
          <w:p w:rsidR="00F06D73" w:rsidRPr="008E3C5B" w:rsidRDefault="00F06D73" w:rsidP="00E27725">
            <w:pPr>
              <w:ind w:left="176" w:hanging="176"/>
              <w:jc w:val="both"/>
              <w:rPr>
                <w:rFonts w:eastAsia="Calibri" w:cs="Arial"/>
                <w:szCs w:val="24"/>
              </w:rPr>
            </w:pPr>
            <w:r w:rsidRPr="008E3C5B">
              <w:rPr>
                <w:rFonts w:eastAsia="Calibri" w:cs="Arial"/>
                <w:szCs w:val="24"/>
              </w:rPr>
              <w:t>Death blunt force</w:t>
            </w:r>
          </w:p>
        </w:tc>
        <w:tc>
          <w:tcPr>
            <w:tcW w:w="624" w:type="pct"/>
            <w:tcBorders>
              <w:top w:val="nil"/>
              <w:bottom w:val="nil"/>
            </w:tcBorders>
            <w:hideMark/>
          </w:tcPr>
          <w:p w:rsidR="00F06D73" w:rsidRPr="008E3C5B" w:rsidRDefault="00F06D73" w:rsidP="00E27725">
            <w:pPr>
              <w:jc w:val="both"/>
              <w:rPr>
                <w:rFonts w:eastAsia="Calibri" w:cs="Arial"/>
                <w:szCs w:val="24"/>
              </w:rPr>
            </w:pPr>
          </w:p>
        </w:tc>
        <w:tc>
          <w:tcPr>
            <w:tcW w:w="626" w:type="pct"/>
            <w:tcBorders>
              <w:top w:val="nil"/>
              <w:bottom w:val="nil"/>
            </w:tcBorders>
            <w:hideMark/>
          </w:tcPr>
          <w:p w:rsidR="00F06D73" w:rsidRPr="008E3C5B" w:rsidRDefault="00F06D73" w:rsidP="00E27725">
            <w:pPr>
              <w:jc w:val="both"/>
              <w:rPr>
                <w:rFonts w:eastAsia="Calibri" w:cs="Arial"/>
                <w:szCs w:val="24"/>
              </w:rPr>
            </w:pPr>
            <w:r w:rsidRPr="008E3C5B">
              <w:rPr>
                <w:rFonts w:eastAsia="Calibri" w:cs="Arial"/>
                <w:szCs w:val="24"/>
              </w:rPr>
              <w:t>1.86</w:t>
            </w:r>
          </w:p>
        </w:tc>
        <w:tc>
          <w:tcPr>
            <w:tcW w:w="522" w:type="pct"/>
            <w:tcBorders>
              <w:top w:val="nil"/>
              <w:bottom w:val="nil"/>
            </w:tcBorders>
            <w:hideMark/>
          </w:tcPr>
          <w:p w:rsidR="00F06D73" w:rsidRPr="008E3C5B" w:rsidRDefault="00F06D73" w:rsidP="00E27725">
            <w:pPr>
              <w:jc w:val="both"/>
              <w:rPr>
                <w:rFonts w:eastAsia="Calibri" w:cs="Arial"/>
                <w:szCs w:val="24"/>
              </w:rPr>
            </w:pPr>
          </w:p>
        </w:tc>
        <w:tc>
          <w:tcPr>
            <w:tcW w:w="471" w:type="pct"/>
            <w:tcBorders>
              <w:top w:val="nil"/>
              <w:bottom w:val="nil"/>
            </w:tcBorders>
            <w:hideMark/>
          </w:tcPr>
          <w:p w:rsidR="00F06D73" w:rsidRPr="008E3C5B" w:rsidRDefault="00F06D73" w:rsidP="00E27725">
            <w:pPr>
              <w:jc w:val="both"/>
              <w:rPr>
                <w:rFonts w:eastAsia="Calibri" w:cs="Arial"/>
                <w:szCs w:val="24"/>
              </w:rPr>
            </w:pPr>
          </w:p>
        </w:tc>
        <w:tc>
          <w:tcPr>
            <w:tcW w:w="701" w:type="pct"/>
            <w:tcBorders>
              <w:top w:val="nil"/>
              <w:bottom w:val="nil"/>
            </w:tcBorders>
            <w:hideMark/>
          </w:tcPr>
          <w:p w:rsidR="00F06D73" w:rsidRPr="008E3C5B" w:rsidRDefault="00F06D73" w:rsidP="00E27725">
            <w:pPr>
              <w:jc w:val="both"/>
              <w:rPr>
                <w:rFonts w:eastAsia="Calibri" w:cs="Arial"/>
                <w:szCs w:val="24"/>
              </w:rPr>
            </w:pPr>
          </w:p>
        </w:tc>
        <w:tc>
          <w:tcPr>
            <w:tcW w:w="649" w:type="pct"/>
            <w:tcBorders>
              <w:top w:val="nil"/>
              <w:bottom w:val="nil"/>
            </w:tcBorders>
            <w:hideMark/>
          </w:tcPr>
          <w:p w:rsidR="00F06D73" w:rsidRPr="008E3C5B" w:rsidRDefault="00F06D73" w:rsidP="00E27725">
            <w:pPr>
              <w:jc w:val="both"/>
              <w:rPr>
                <w:rFonts w:eastAsia="Calibri" w:cs="Arial"/>
                <w:szCs w:val="24"/>
              </w:rPr>
            </w:pPr>
          </w:p>
        </w:tc>
      </w:tr>
      <w:tr w:rsidR="00F06D73" w:rsidRPr="008E3C5B" w:rsidTr="00E27725">
        <w:tc>
          <w:tcPr>
            <w:tcW w:w="1407" w:type="pct"/>
            <w:tcBorders>
              <w:top w:val="nil"/>
              <w:bottom w:val="nil"/>
            </w:tcBorders>
            <w:hideMark/>
          </w:tcPr>
          <w:p w:rsidR="00F06D73" w:rsidRPr="008E3C5B" w:rsidRDefault="00F06D73" w:rsidP="00E27725">
            <w:pPr>
              <w:ind w:left="176" w:hanging="176"/>
              <w:jc w:val="both"/>
              <w:rPr>
                <w:rFonts w:eastAsia="Calibri" w:cs="Arial"/>
                <w:szCs w:val="24"/>
              </w:rPr>
            </w:pPr>
            <w:r w:rsidRPr="008E3C5B">
              <w:rPr>
                <w:rFonts w:eastAsia="Calibri" w:cs="Arial"/>
                <w:szCs w:val="24"/>
              </w:rPr>
              <w:t>Death asphyxia/strang.</w:t>
            </w:r>
          </w:p>
        </w:tc>
        <w:tc>
          <w:tcPr>
            <w:tcW w:w="624" w:type="pct"/>
            <w:tcBorders>
              <w:top w:val="nil"/>
              <w:bottom w:val="nil"/>
            </w:tcBorders>
            <w:hideMark/>
          </w:tcPr>
          <w:p w:rsidR="00F06D73" w:rsidRPr="008E3C5B" w:rsidRDefault="00F06D73" w:rsidP="00E27725">
            <w:pPr>
              <w:jc w:val="both"/>
              <w:rPr>
                <w:rFonts w:eastAsia="Calibri" w:cs="Arial"/>
                <w:szCs w:val="24"/>
              </w:rPr>
            </w:pPr>
          </w:p>
        </w:tc>
        <w:tc>
          <w:tcPr>
            <w:tcW w:w="626" w:type="pct"/>
            <w:tcBorders>
              <w:top w:val="nil"/>
              <w:bottom w:val="nil"/>
            </w:tcBorders>
            <w:hideMark/>
          </w:tcPr>
          <w:p w:rsidR="00F06D73" w:rsidRPr="008E3C5B" w:rsidRDefault="00F06D73" w:rsidP="00E27725">
            <w:pPr>
              <w:jc w:val="both"/>
              <w:rPr>
                <w:rFonts w:eastAsia="Calibri" w:cs="Arial"/>
                <w:szCs w:val="24"/>
              </w:rPr>
            </w:pPr>
          </w:p>
        </w:tc>
        <w:tc>
          <w:tcPr>
            <w:tcW w:w="522" w:type="pct"/>
            <w:tcBorders>
              <w:top w:val="nil"/>
              <w:bottom w:val="nil"/>
            </w:tcBorders>
            <w:hideMark/>
          </w:tcPr>
          <w:p w:rsidR="00F06D73" w:rsidRPr="008E3C5B" w:rsidRDefault="00F06D73" w:rsidP="00E27725">
            <w:pPr>
              <w:jc w:val="both"/>
              <w:rPr>
                <w:rFonts w:eastAsia="Calibri" w:cs="Arial"/>
                <w:szCs w:val="24"/>
              </w:rPr>
            </w:pPr>
          </w:p>
        </w:tc>
        <w:tc>
          <w:tcPr>
            <w:tcW w:w="471" w:type="pct"/>
            <w:tcBorders>
              <w:top w:val="nil"/>
              <w:bottom w:val="nil"/>
            </w:tcBorders>
            <w:hideMark/>
          </w:tcPr>
          <w:p w:rsidR="00F06D73" w:rsidRPr="008E3C5B" w:rsidRDefault="00F06D73" w:rsidP="00E27725">
            <w:pPr>
              <w:jc w:val="both"/>
              <w:rPr>
                <w:rFonts w:eastAsia="Calibri" w:cs="Arial"/>
                <w:szCs w:val="24"/>
              </w:rPr>
            </w:pPr>
          </w:p>
        </w:tc>
        <w:tc>
          <w:tcPr>
            <w:tcW w:w="701" w:type="pct"/>
            <w:tcBorders>
              <w:top w:val="nil"/>
              <w:bottom w:val="nil"/>
            </w:tcBorders>
            <w:hideMark/>
          </w:tcPr>
          <w:p w:rsidR="00F06D73" w:rsidRPr="008E3C5B" w:rsidRDefault="00F06D73" w:rsidP="00E27725">
            <w:pPr>
              <w:jc w:val="both"/>
              <w:rPr>
                <w:rFonts w:eastAsia="Calibri" w:cs="Arial"/>
                <w:szCs w:val="24"/>
              </w:rPr>
            </w:pPr>
            <w:r w:rsidRPr="008E3C5B">
              <w:rPr>
                <w:rFonts w:eastAsia="Calibri" w:cs="Arial"/>
                <w:szCs w:val="24"/>
              </w:rPr>
              <w:t>0.29</w:t>
            </w:r>
          </w:p>
        </w:tc>
        <w:tc>
          <w:tcPr>
            <w:tcW w:w="649" w:type="pct"/>
            <w:tcBorders>
              <w:top w:val="nil"/>
              <w:bottom w:val="nil"/>
            </w:tcBorders>
            <w:hideMark/>
          </w:tcPr>
          <w:p w:rsidR="00F06D73" w:rsidRPr="008E3C5B" w:rsidRDefault="00F06D73" w:rsidP="00E27725">
            <w:pPr>
              <w:jc w:val="both"/>
              <w:rPr>
                <w:rFonts w:eastAsia="Calibri" w:cs="Arial"/>
                <w:szCs w:val="24"/>
              </w:rPr>
            </w:pPr>
          </w:p>
        </w:tc>
      </w:tr>
      <w:tr w:rsidR="00F06D73" w:rsidRPr="008E3C5B" w:rsidTr="00E27725">
        <w:tc>
          <w:tcPr>
            <w:tcW w:w="1407" w:type="pct"/>
            <w:tcBorders>
              <w:top w:val="nil"/>
              <w:bottom w:val="nil"/>
            </w:tcBorders>
          </w:tcPr>
          <w:p w:rsidR="00F06D73" w:rsidRPr="008E3C5B" w:rsidRDefault="00F06D73" w:rsidP="00E27725">
            <w:pPr>
              <w:ind w:left="176" w:hanging="176"/>
              <w:jc w:val="both"/>
              <w:rPr>
                <w:rFonts w:eastAsia="Calibri" w:cs="Arial"/>
                <w:szCs w:val="24"/>
              </w:rPr>
            </w:pPr>
            <w:r w:rsidRPr="008E3C5B">
              <w:rPr>
                <w:rFonts w:eastAsia="Calibri" w:cs="Arial"/>
                <w:szCs w:val="24"/>
              </w:rPr>
              <w:t>Vehicle used</w:t>
            </w:r>
          </w:p>
        </w:tc>
        <w:tc>
          <w:tcPr>
            <w:tcW w:w="624" w:type="pct"/>
            <w:tcBorders>
              <w:top w:val="nil"/>
              <w:bottom w:val="nil"/>
            </w:tcBorders>
          </w:tcPr>
          <w:p w:rsidR="00F06D73" w:rsidRPr="008E3C5B" w:rsidRDefault="00F06D73" w:rsidP="00E27725">
            <w:pPr>
              <w:jc w:val="both"/>
              <w:rPr>
                <w:rFonts w:eastAsia="Calibri" w:cs="Arial"/>
                <w:szCs w:val="24"/>
              </w:rPr>
            </w:pPr>
          </w:p>
        </w:tc>
        <w:tc>
          <w:tcPr>
            <w:tcW w:w="626" w:type="pct"/>
            <w:tcBorders>
              <w:top w:val="nil"/>
              <w:bottom w:val="nil"/>
            </w:tcBorders>
          </w:tcPr>
          <w:p w:rsidR="00F06D73" w:rsidRPr="008E3C5B" w:rsidRDefault="00F06D73" w:rsidP="00E27725">
            <w:pPr>
              <w:jc w:val="both"/>
              <w:rPr>
                <w:rFonts w:eastAsia="Calibri" w:cs="Arial"/>
                <w:szCs w:val="24"/>
              </w:rPr>
            </w:pPr>
            <w:r w:rsidRPr="008E3C5B">
              <w:rPr>
                <w:rFonts w:eastAsia="Calibri" w:cs="Arial"/>
                <w:szCs w:val="24"/>
              </w:rPr>
              <w:t>0.41</w:t>
            </w:r>
          </w:p>
        </w:tc>
        <w:tc>
          <w:tcPr>
            <w:tcW w:w="522" w:type="pct"/>
            <w:tcBorders>
              <w:top w:val="nil"/>
              <w:bottom w:val="nil"/>
            </w:tcBorders>
          </w:tcPr>
          <w:p w:rsidR="00F06D73" w:rsidRPr="008E3C5B" w:rsidRDefault="00F06D73" w:rsidP="00E27725">
            <w:pPr>
              <w:jc w:val="both"/>
              <w:rPr>
                <w:rFonts w:eastAsia="Calibri" w:cs="Arial"/>
                <w:szCs w:val="24"/>
              </w:rPr>
            </w:pPr>
          </w:p>
        </w:tc>
        <w:tc>
          <w:tcPr>
            <w:tcW w:w="471" w:type="pct"/>
            <w:tcBorders>
              <w:top w:val="nil"/>
              <w:bottom w:val="nil"/>
            </w:tcBorders>
          </w:tcPr>
          <w:p w:rsidR="00F06D73" w:rsidRPr="008E3C5B" w:rsidRDefault="00F06D73" w:rsidP="00E27725">
            <w:pPr>
              <w:jc w:val="both"/>
              <w:rPr>
                <w:rFonts w:eastAsia="Calibri" w:cs="Arial"/>
                <w:szCs w:val="24"/>
              </w:rPr>
            </w:pPr>
          </w:p>
        </w:tc>
        <w:tc>
          <w:tcPr>
            <w:tcW w:w="701" w:type="pct"/>
            <w:tcBorders>
              <w:top w:val="nil"/>
              <w:bottom w:val="nil"/>
            </w:tcBorders>
          </w:tcPr>
          <w:p w:rsidR="00F06D73" w:rsidRPr="008E3C5B" w:rsidRDefault="00F06D73" w:rsidP="00E27725">
            <w:pPr>
              <w:jc w:val="both"/>
              <w:rPr>
                <w:rFonts w:eastAsia="Calibri" w:cs="Arial"/>
                <w:szCs w:val="24"/>
              </w:rPr>
            </w:pPr>
          </w:p>
        </w:tc>
        <w:tc>
          <w:tcPr>
            <w:tcW w:w="649" w:type="pct"/>
            <w:tcBorders>
              <w:top w:val="nil"/>
              <w:bottom w:val="nil"/>
            </w:tcBorders>
          </w:tcPr>
          <w:p w:rsidR="00F06D73" w:rsidRPr="008E3C5B" w:rsidRDefault="00F06D73" w:rsidP="00E27725">
            <w:pPr>
              <w:jc w:val="both"/>
              <w:rPr>
                <w:rFonts w:eastAsia="Calibri" w:cs="Arial"/>
                <w:szCs w:val="24"/>
              </w:rPr>
            </w:pPr>
          </w:p>
        </w:tc>
      </w:tr>
      <w:tr w:rsidR="00F06D73" w:rsidRPr="008E3C5B" w:rsidTr="00E27725">
        <w:tc>
          <w:tcPr>
            <w:tcW w:w="1407" w:type="pct"/>
            <w:tcBorders>
              <w:top w:val="nil"/>
              <w:bottom w:val="nil"/>
            </w:tcBorders>
            <w:hideMark/>
          </w:tcPr>
          <w:p w:rsidR="00F06D73" w:rsidRPr="008E3C5B" w:rsidRDefault="00F06D73" w:rsidP="00E27725">
            <w:pPr>
              <w:ind w:left="176" w:hanging="176"/>
              <w:jc w:val="both"/>
              <w:rPr>
                <w:rFonts w:eastAsia="Calibri" w:cs="Arial"/>
                <w:szCs w:val="24"/>
              </w:rPr>
            </w:pPr>
            <w:r w:rsidRPr="008E3C5B">
              <w:rPr>
                <w:rFonts w:eastAsia="Calibri" w:cs="Arial"/>
                <w:szCs w:val="24"/>
              </w:rPr>
              <w:t>Burglary element</w:t>
            </w:r>
          </w:p>
        </w:tc>
        <w:tc>
          <w:tcPr>
            <w:tcW w:w="624" w:type="pct"/>
            <w:tcBorders>
              <w:top w:val="nil"/>
              <w:bottom w:val="nil"/>
            </w:tcBorders>
            <w:hideMark/>
          </w:tcPr>
          <w:p w:rsidR="00F06D73" w:rsidRPr="008E3C5B" w:rsidRDefault="00F06D73" w:rsidP="00E27725">
            <w:pPr>
              <w:jc w:val="both"/>
              <w:rPr>
                <w:rFonts w:eastAsia="Calibri" w:cs="Arial"/>
                <w:szCs w:val="24"/>
              </w:rPr>
            </w:pPr>
            <w:r w:rsidRPr="008E3C5B">
              <w:rPr>
                <w:rFonts w:eastAsia="Calibri" w:cs="Arial"/>
                <w:szCs w:val="24"/>
              </w:rPr>
              <w:t>2.62</w:t>
            </w:r>
          </w:p>
        </w:tc>
        <w:tc>
          <w:tcPr>
            <w:tcW w:w="626" w:type="pct"/>
            <w:tcBorders>
              <w:top w:val="nil"/>
              <w:bottom w:val="nil"/>
            </w:tcBorders>
            <w:hideMark/>
          </w:tcPr>
          <w:p w:rsidR="00F06D73" w:rsidRPr="008E3C5B" w:rsidRDefault="00F06D73" w:rsidP="00E27725">
            <w:pPr>
              <w:jc w:val="both"/>
              <w:rPr>
                <w:rFonts w:eastAsia="Calibri" w:cs="Arial"/>
                <w:szCs w:val="24"/>
              </w:rPr>
            </w:pPr>
          </w:p>
        </w:tc>
        <w:tc>
          <w:tcPr>
            <w:tcW w:w="522" w:type="pct"/>
            <w:tcBorders>
              <w:top w:val="nil"/>
              <w:bottom w:val="nil"/>
            </w:tcBorders>
            <w:hideMark/>
          </w:tcPr>
          <w:p w:rsidR="00F06D73" w:rsidRPr="008E3C5B" w:rsidRDefault="00F06D73" w:rsidP="00E27725">
            <w:pPr>
              <w:jc w:val="both"/>
              <w:rPr>
                <w:rFonts w:eastAsia="Calibri" w:cs="Arial"/>
                <w:szCs w:val="24"/>
              </w:rPr>
            </w:pPr>
          </w:p>
        </w:tc>
        <w:tc>
          <w:tcPr>
            <w:tcW w:w="471" w:type="pct"/>
            <w:tcBorders>
              <w:top w:val="nil"/>
              <w:bottom w:val="nil"/>
            </w:tcBorders>
            <w:hideMark/>
          </w:tcPr>
          <w:p w:rsidR="00F06D73" w:rsidRPr="008E3C5B" w:rsidRDefault="00F06D73" w:rsidP="00E27725">
            <w:pPr>
              <w:jc w:val="both"/>
              <w:rPr>
                <w:rFonts w:eastAsia="Calibri" w:cs="Arial"/>
                <w:szCs w:val="24"/>
              </w:rPr>
            </w:pPr>
          </w:p>
        </w:tc>
        <w:tc>
          <w:tcPr>
            <w:tcW w:w="701" w:type="pct"/>
            <w:tcBorders>
              <w:top w:val="nil"/>
              <w:bottom w:val="nil"/>
            </w:tcBorders>
            <w:hideMark/>
          </w:tcPr>
          <w:p w:rsidR="00F06D73" w:rsidRPr="008E3C5B" w:rsidRDefault="00F06D73" w:rsidP="00E27725">
            <w:pPr>
              <w:jc w:val="both"/>
              <w:rPr>
                <w:rFonts w:eastAsia="Calibri" w:cs="Arial"/>
                <w:szCs w:val="24"/>
              </w:rPr>
            </w:pPr>
          </w:p>
        </w:tc>
        <w:tc>
          <w:tcPr>
            <w:tcW w:w="649" w:type="pct"/>
            <w:tcBorders>
              <w:top w:val="nil"/>
              <w:bottom w:val="nil"/>
            </w:tcBorders>
            <w:hideMark/>
          </w:tcPr>
          <w:p w:rsidR="00F06D73" w:rsidRPr="008E3C5B" w:rsidRDefault="00F06D73" w:rsidP="00E27725">
            <w:pPr>
              <w:jc w:val="both"/>
              <w:rPr>
                <w:rFonts w:eastAsia="Calibri" w:cs="Arial"/>
                <w:szCs w:val="24"/>
              </w:rPr>
            </w:pPr>
          </w:p>
        </w:tc>
      </w:tr>
      <w:tr w:rsidR="00F06D73" w:rsidRPr="008E3C5B" w:rsidTr="00E27725">
        <w:tc>
          <w:tcPr>
            <w:tcW w:w="1407" w:type="pct"/>
            <w:tcBorders>
              <w:top w:val="nil"/>
              <w:bottom w:val="single" w:sz="4" w:space="0" w:color="auto"/>
            </w:tcBorders>
            <w:hideMark/>
          </w:tcPr>
          <w:p w:rsidR="00F06D73" w:rsidRPr="008E3C5B" w:rsidRDefault="00F06D73" w:rsidP="00E27725">
            <w:pPr>
              <w:ind w:left="176" w:hanging="176"/>
              <w:jc w:val="both"/>
              <w:rPr>
                <w:rFonts w:eastAsia="Calibri" w:cs="Arial"/>
                <w:szCs w:val="24"/>
              </w:rPr>
            </w:pPr>
            <w:r w:rsidRPr="008E3C5B">
              <w:rPr>
                <w:rFonts w:eastAsia="Calibri" w:cs="Arial"/>
                <w:szCs w:val="24"/>
              </w:rPr>
              <w:t>Arson element</w:t>
            </w:r>
          </w:p>
        </w:tc>
        <w:tc>
          <w:tcPr>
            <w:tcW w:w="624" w:type="pct"/>
            <w:tcBorders>
              <w:top w:val="nil"/>
              <w:bottom w:val="single" w:sz="4" w:space="0" w:color="auto"/>
            </w:tcBorders>
            <w:hideMark/>
          </w:tcPr>
          <w:p w:rsidR="00F06D73" w:rsidRPr="008E3C5B" w:rsidRDefault="00F06D73" w:rsidP="00E27725">
            <w:pPr>
              <w:jc w:val="both"/>
              <w:rPr>
                <w:rFonts w:eastAsia="Calibri" w:cs="Arial"/>
                <w:szCs w:val="24"/>
              </w:rPr>
            </w:pPr>
            <w:r w:rsidRPr="008E3C5B">
              <w:rPr>
                <w:rFonts w:eastAsia="Calibri" w:cs="Arial"/>
                <w:szCs w:val="24"/>
              </w:rPr>
              <w:t>7.00</w:t>
            </w:r>
          </w:p>
        </w:tc>
        <w:tc>
          <w:tcPr>
            <w:tcW w:w="626" w:type="pct"/>
            <w:tcBorders>
              <w:top w:val="nil"/>
              <w:bottom w:val="single" w:sz="4" w:space="0" w:color="auto"/>
            </w:tcBorders>
            <w:hideMark/>
          </w:tcPr>
          <w:p w:rsidR="00F06D73" w:rsidRPr="008E3C5B" w:rsidRDefault="00F06D73" w:rsidP="00E27725">
            <w:pPr>
              <w:jc w:val="both"/>
              <w:rPr>
                <w:rFonts w:eastAsia="Calibri" w:cs="Arial"/>
                <w:szCs w:val="24"/>
              </w:rPr>
            </w:pPr>
          </w:p>
        </w:tc>
        <w:tc>
          <w:tcPr>
            <w:tcW w:w="522" w:type="pct"/>
            <w:tcBorders>
              <w:top w:val="nil"/>
              <w:bottom w:val="single" w:sz="4" w:space="0" w:color="auto"/>
            </w:tcBorders>
            <w:hideMark/>
          </w:tcPr>
          <w:p w:rsidR="00F06D73" w:rsidRPr="008E3C5B" w:rsidRDefault="00F06D73" w:rsidP="00E27725">
            <w:pPr>
              <w:jc w:val="both"/>
              <w:rPr>
                <w:rFonts w:eastAsia="Calibri" w:cs="Arial"/>
                <w:szCs w:val="24"/>
              </w:rPr>
            </w:pPr>
          </w:p>
        </w:tc>
        <w:tc>
          <w:tcPr>
            <w:tcW w:w="471" w:type="pct"/>
            <w:tcBorders>
              <w:top w:val="nil"/>
              <w:bottom w:val="single" w:sz="4" w:space="0" w:color="auto"/>
            </w:tcBorders>
            <w:hideMark/>
          </w:tcPr>
          <w:p w:rsidR="00F06D73" w:rsidRPr="008E3C5B" w:rsidRDefault="00F06D73" w:rsidP="00E27725">
            <w:pPr>
              <w:jc w:val="both"/>
              <w:rPr>
                <w:rFonts w:eastAsia="Calibri" w:cs="Arial"/>
                <w:szCs w:val="24"/>
              </w:rPr>
            </w:pPr>
          </w:p>
        </w:tc>
        <w:tc>
          <w:tcPr>
            <w:tcW w:w="701" w:type="pct"/>
            <w:tcBorders>
              <w:top w:val="nil"/>
              <w:bottom w:val="single" w:sz="4" w:space="0" w:color="auto"/>
            </w:tcBorders>
            <w:hideMark/>
          </w:tcPr>
          <w:p w:rsidR="00F06D73" w:rsidRPr="008E3C5B" w:rsidRDefault="00F06D73" w:rsidP="00E27725">
            <w:pPr>
              <w:jc w:val="both"/>
              <w:rPr>
                <w:rFonts w:eastAsia="Calibri" w:cs="Arial"/>
                <w:szCs w:val="24"/>
              </w:rPr>
            </w:pPr>
          </w:p>
        </w:tc>
        <w:tc>
          <w:tcPr>
            <w:tcW w:w="649" w:type="pct"/>
            <w:tcBorders>
              <w:top w:val="nil"/>
              <w:bottom w:val="single" w:sz="4" w:space="0" w:color="auto"/>
            </w:tcBorders>
            <w:hideMark/>
          </w:tcPr>
          <w:p w:rsidR="00F06D73" w:rsidRPr="008E3C5B" w:rsidRDefault="00F06D73" w:rsidP="00E27725">
            <w:pPr>
              <w:jc w:val="both"/>
              <w:rPr>
                <w:rFonts w:eastAsia="Calibri" w:cs="Arial"/>
                <w:szCs w:val="24"/>
              </w:rPr>
            </w:pPr>
            <w:r w:rsidRPr="008E3C5B">
              <w:rPr>
                <w:rFonts w:eastAsia="Calibri" w:cs="Arial"/>
                <w:szCs w:val="24"/>
              </w:rPr>
              <w:t>5.89</w:t>
            </w:r>
          </w:p>
        </w:tc>
      </w:tr>
    </w:tbl>
    <w:p w:rsidR="00F06D73" w:rsidRPr="008E3C5B" w:rsidRDefault="00F06D73" w:rsidP="00F06D73">
      <w:pPr>
        <w:spacing w:after="240" w:line="360" w:lineRule="auto"/>
        <w:jc w:val="both"/>
        <w:rPr>
          <w:rFonts w:ascii="Arial" w:eastAsia="Calibri" w:hAnsi="Arial" w:cs="Arial"/>
        </w:rPr>
      </w:pPr>
      <w:r w:rsidRPr="008E3C5B">
        <w:rPr>
          <w:rFonts w:ascii="Arial" w:eastAsia="Calibri" w:hAnsi="Arial" w:cs="Arial"/>
          <w:i/>
          <w:sz w:val="20"/>
          <w:szCs w:val="20"/>
        </w:rPr>
        <w:t xml:space="preserve">Notes. </w:t>
      </w:r>
      <w:r w:rsidRPr="008E3C5B">
        <w:rPr>
          <w:rFonts w:ascii="Arial" w:eastAsia="Calibri" w:hAnsi="Arial" w:cs="Arial"/>
          <w:sz w:val="20"/>
          <w:szCs w:val="20"/>
        </w:rPr>
        <w:t>Only Odds Ratios for bivariate associations that reached statistical significance (</w:t>
      </w:r>
      <w:r w:rsidRPr="008E3C5B">
        <w:rPr>
          <w:rFonts w:ascii="Arial" w:eastAsia="Calibri" w:hAnsi="Arial" w:cs="Arial"/>
          <w:i/>
          <w:sz w:val="20"/>
          <w:szCs w:val="20"/>
        </w:rPr>
        <w:t>p</w:t>
      </w:r>
      <w:r w:rsidRPr="008E3C5B">
        <w:rPr>
          <w:rFonts w:ascii="Arial" w:eastAsia="Calibri" w:hAnsi="Arial" w:cs="Arial"/>
          <w:sz w:val="20"/>
          <w:szCs w:val="20"/>
        </w:rPr>
        <w:t> &lt; .05) are shown.</w:t>
      </w: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line="360" w:lineRule="auto"/>
        <w:ind w:right="4392"/>
        <w:jc w:val="both"/>
        <w:rPr>
          <w:rFonts w:ascii="Arial" w:eastAsia="Calibri" w:hAnsi="Arial" w:cs="Arial"/>
        </w:rPr>
      </w:pPr>
      <w:r w:rsidRPr="008E3C5B">
        <w:rPr>
          <w:rFonts w:ascii="Arial" w:eastAsia="Calibri" w:hAnsi="Arial" w:cs="Arial"/>
        </w:rPr>
        <w:t>Table 5</w:t>
      </w:r>
    </w:p>
    <w:p w:rsidR="00F06D73" w:rsidRPr="008E3C5B" w:rsidRDefault="00F06D73" w:rsidP="00F06D73">
      <w:pPr>
        <w:spacing w:line="240" w:lineRule="auto"/>
        <w:ind w:right="-2"/>
        <w:jc w:val="both"/>
        <w:rPr>
          <w:rFonts w:ascii="Arial" w:eastAsia="Calibri" w:hAnsi="Arial" w:cs="Arial"/>
          <w:i/>
        </w:rPr>
      </w:pPr>
      <w:r w:rsidRPr="008E3C5B">
        <w:rPr>
          <w:rFonts w:ascii="Arial" w:eastAsia="Calibri" w:hAnsi="Arial" w:cs="Arial"/>
          <w:i/>
        </w:rPr>
        <w:lastRenderedPageBreak/>
        <w:t>Crime scene behaviors differentiating offenders with and without a pre-convictions.</w:t>
      </w:r>
    </w:p>
    <w:tbl>
      <w:tblPr>
        <w:tblStyle w:val="APA"/>
        <w:tblW w:w="9128" w:type="dxa"/>
        <w:tblBorders>
          <w:top w:val="none" w:sz="0" w:space="0" w:color="auto"/>
          <w:bottom w:val="none" w:sz="0" w:space="0" w:color="auto"/>
          <w:insideH w:val="none" w:sz="0" w:space="0" w:color="auto"/>
        </w:tblBorders>
        <w:tblLook w:val="0420" w:firstRow="1" w:lastRow="0" w:firstColumn="0" w:lastColumn="0" w:noHBand="0" w:noVBand="1"/>
      </w:tblPr>
      <w:tblGrid>
        <w:gridCol w:w="3544"/>
        <w:gridCol w:w="2410"/>
        <w:gridCol w:w="1667"/>
        <w:gridCol w:w="743"/>
        <w:gridCol w:w="764"/>
      </w:tblGrid>
      <w:tr w:rsidR="00F06D73" w:rsidRPr="008E3C5B" w:rsidTr="00E27725">
        <w:trPr>
          <w:trHeight w:val="310"/>
        </w:trPr>
        <w:tc>
          <w:tcPr>
            <w:tcW w:w="3544" w:type="dxa"/>
            <w:vMerge w:val="restart"/>
            <w:hideMark/>
          </w:tcPr>
          <w:p w:rsidR="00F06D73" w:rsidRPr="008E3C5B" w:rsidRDefault="00F06D73" w:rsidP="00E27725">
            <w:pPr>
              <w:ind w:firstLine="34"/>
              <w:jc w:val="both"/>
              <w:rPr>
                <w:rFonts w:eastAsia="Calibri" w:cs="Arial"/>
              </w:rPr>
            </w:pPr>
          </w:p>
        </w:tc>
        <w:tc>
          <w:tcPr>
            <w:tcW w:w="4820" w:type="dxa"/>
            <w:gridSpan w:val="3"/>
            <w:tcBorders>
              <w:bottom w:val="single" w:sz="4" w:space="0" w:color="auto"/>
            </w:tcBorders>
            <w:hideMark/>
          </w:tcPr>
          <w:p w:rsidR="00F06D73" w:rsidRPr="008E3C5B" w:rsidRDefault="00F06D73" w:rsidP="00E27725">
            <w:pPr>
              <w:spacing w:before="120"/>
              <w:jc w:val="both"/>
              <w:rPr>
                <w:rFonts w:eastAsia="Calibri" w:cs="Arial"/>
              </w:rPr>
            </w:pPr>
            <w:r w:rsidRPr="008E3C5B">
              <w:rPr>
                <w:rFonts w:eastAsia="Calibri" w:cs="Arial"/>
                <w:b/>
                <w:bCs/>
              </w:rPr>
              <w:t>Burglary Pre-conviction</w:t>
            </w:r>
          </w:p>
        </w:tc>
        <w:tc>
          <w:tcPr>
            <w:tcW w:w="764" w:type="dxa"/>
            <w:vMerge w:val="restart"/>
            <w:tcBorders>
              <w:bottom w:val="single" w:sz="4" w:space="0" w:color="auto"/>
            </w:tcBorders>
            <w:hideMark/>
          </w:tcPr>
          <w:p w:rsidR="00F06D73" w:rsidRPr="008E3C5B" w:rsidRDefault="00F06D73" w:rsidP="00E27725">
            <w:pPr>
              <w:jc w:val="both"/>
              <w:rPr>
                <w:rFonts w:eastAsia="Calibri" w:cs="Arial"/>
              </w:rPr>
            </w:pPr>
            <w:r w:rsidRPr="008E3C5B">
              <w:rPr>
                <w:rFonts w:eastAsia="Calibri" w:cs="Arial"/>
              </w:rPr>
              <w:t>Sig</w:t>
            </w:r>
            <w:r w:rsidRPr="008E3C5B">
              <w:rPr>
                <w:rFonts w:eastAsia="Calibri" w:cs="Arial"/>
                <w:b/>
                <w:bCs/>
              </w:rPr>
              <w:t>.</w:t>
            </w:r>
          </w:p>
        </w:tc>
      </w:tr>
      <w:tr w:rsidR="00F06D73" w:rsidRPr="008E3C5B" w:rsidTr="00E27725">
        <w:trPr>
          <w:trHeight w:val="310"/>
        </w:trPr>
        <w:tc>
          <w:tcPr>
            <w:tcW w:w="3544" w:type="dxa"/>
            <w:vMerge/>
            <w:tcBorders>
              <w:top w:val="single" w:sz="4" w:space="0" w:color="auto"/>
            </w:tcBorders>
            <w:hideMark/>
          </w:tcPr>
          <w:p w:rsidR="00F06D73" w:rsidRPr="008E3C5B" w:rsidRDefault="00F06D73" w:rsidP="00E27725">
            <w:pPr>
              <w:ind w:firstLine="34"/>
              <w:jc w:val="both"/>
              <w:rPr>
                <w:rFonts w:eastAsia="Calibri" w:cs="Arial"/>
              </w:rPr>
            </w:pPr>
          </w:p>
        </w:tc>
        <w:tc>
          <w:tcPr>
            <w:tcW w:w="2410" w:type="dxa"/>
            <w:tcBorders>
              <w:top w:val="single" w:sz="4" w:space="0" w:color="auto"/>
            </w:tcBorders>
            <w:hideMark/>
          </w:tcPr>
          <w:p w:rsidR="00F06D73" w:rsidRPr="008E3C5B" w:rsidRDefault="00F06D73" w:rsidP="00E27725">
            <w:pPr>
              <w:jc w:val="both"/>
              <w:rPr>
                <w:rFonts w:eastAsia="Calibri" w:cs="Arial"/>
              </w:rPr>
            </w:pPr>
            <w:r w:rsidRPr="008E3C5B">
              <w:rPr>
                <w:rFonts w:eastAsia="Calibri" w:cs="Arial"/>
              </w:rPr>
              <w:t>Yes (</w:t>
            </w:r>
            <w:r w:rsidRPr="008E3C5B">
              <w:rPr>
                <w:rFonts w:eastAsia="Calibri" w:cs="Arial"/>
                <w:i/>
                <w:iCs/>
              </w:rPr>
              <w:t>n</w:t>
            </w:r>
            <w:r w:rsidRPr="008E3C5B">
              <w:rPr>
                <w:rFonts w:eastAsia="Calibri" w:cs="Arial"/>
              </w:rPr>
              <w:t xml:space="preserve"> = 75)</w:t>
            </w:r>
          </w:p>
        </w:tc>
        <w:tc>
          <w:tcPr>
            <w:tcW w:w="2410" w:type="dxa"/>
            <w:gridSpan w:val="2"/>
            <w:tcBorders>
              <w:top w:val="single" w:sz="4" w:space="0" w:color="auto"/>
            </w:tcBorders>
            <w:hideMark/>
          </w:tcPr>
          <w:p w:rsidR="00F06D73" w:rsidRPr="008E3C5B" w:rsidRDefault="00F06D73" w:rsidP="00E27725">
            <w:pPr>
              <w:jc w:val="both"/>
              <w:rPr>
                <w:rFonts w:eastAsia="Calibri" w:cs="Arial"/>
              </w:rPr>
            </w:pPr>
            <w:r w:rsidRPr="008E3C5B">
              <w:rPr>
                <w:rFonts w:eastAsia="Calibri" w:cs="Arial"/>
              </w:rPr>
              <w:t>No (</w:t>
            </w:r>
            <w:r w:rsidRPr="008E3C5B">
              <w:rPr>
                <w:rFonts w:eastAsia="Calibri" w:cs="Arial"/>
                <w:i/>
                <w:iCs/>
              </w:rPr>
              <w:t>n</w:t>
            </w:r>
            <w:r w:rsidRPr="008E3C5B">
              <w:rPr>
                <w:rFonts w:eastAsia="Calibri" w:cs="Arial"/>
              </w:rPr>
              <w:t xml:space="preserve"> = 138)</w:t>
            </w:r>
          </w:p>
        </w:tc>
        <w:tc>
          <w:tcPr>
            <w:tcW w:w="764" w:type="dxa"/>
            <w:vMerge/>
            <w:tcBorders>
              <w:top w:val="single" w:sz="4" w:space="0" w:color="auto"/>
            </w:tcBorders>
            <w:hideMark/>
          </w:tcPr>
          <w:p w:rsidR="00F06D73" w:rsidRPr="008E3C5B" w:rsidRDefault="00F06D73" w:rsidP="00E27725">
            <w:pPr>
              <w:jc w:val="both"/>
              <w:rPr>
                <w:rFonts w:eastAsia="Calibri" w:cs="Arial"/>
              </w:rPr>
            </w:pPr>
          </w:p>
        </w:tc>
      </w:tr>
      <w:tr w:rsidR="00F06D73" w:rsidRPr="008E3C5B" w:rsidTr="00E27725">
        <w:trPr>
          <w:trHeight w:val="446"/>
        </w:trPr>
        <w:tc>
          <w:tcPr>
            <w:tcW w:w="3544" w:type="dxa"/>
            <w:hideMark/>
          </w:tcPr>
          <w:p w:rsidR="00F06D73" w:rsidRPr="008E3C5B" w:rsidRDefault="00F06D73" w:rsidP="00E27725">
            <w:pPr>
              <w:ind w:firstLine="34"/>
              <w:jc w:val="both"/>
              <w:rPr>
                <w:rFonts w:eastAsia="Calibri" w:cs="Arial"/>
              </w:rPr>
            </w:pPr>
            <w:r w:rsidRPr="008E3C5B">
              <w:rPr>
                <w:rFonts w:eastAsia="Calibri" w:cs="Arial"/>
              </w:rPr>
              <w:t>Burglary element</w:t>
            </w:r>
          </w:p>
        </w:tc>
        <w:tc>
          <w:tcPr>
            <w:tcW w:w="2410" w:type="dxa"/>
            <w:hideMark/>
          </w:tcPr>
          <w:p w:rsidR="00F06D73" w:rsidRPr="008E3C5B" w:rsidRDefault="00F06D73" w:rsidP="00E27725">
            <w:pPr>
              <w:jc w:val="both"/>
              <w:rPr>
                <w:rFonts w:eastAsia="Calibri" w:cs="Arial"/>
              </w:rPr>
            </w:pPr>
            <w:r w:rsidRPr="008E3C5B">
              <w:rPr>
                <w:rFonts w:eastAsia="Calibri" w:cs="Arial"/>
              </w:rPr>
              <w:t>32.0%</w:t>
            </w:r>
          </w:p>
        </w:tc>
        <w:tc>
          <w:tcPr>
            <w:tcW w:w="2410" w:type="dxa"/>
            <w:gridSpan w:val="2"/>
            <w:hideMark/>
          </w:tcPr>
          <w:p w:rsidR="00F06D73" w:rsidRPr="008E3C5B" w:rsidRDefault="00F06D73" w:rsidP="00E27725">
            <w:pPr>
              <w:jc w:val="both"/>
              <w:rPr>
                <w:rFonts w:eastAsia="Calibri" w:cs="Arial"/>
              </w:rPr>
            </w:pPr>
            <w:r w:rsidRPr="008E3C5B">
              <w:rPr>
                <w:rFonts w:eastAsia="Calibri" w:cs="Arial"/>
              </w:rPr>
              <w:t>15.2%</w:t>
            </w:r>
          </w:p>
        </w:tc>
        <w:tc>
          <w:tcPr>
            <w:tcW w:w="764" w:type="dxa"/>
            <w:hideMark/>
          </w:tcPr>
          <w:p w:rsidR="00F06D73" w:rsidRPr="008E3C5B" w:rsidRDefault="00F06D73" w:rsidP="00E27725">
            <w:pPr>
              <w:jc w:val="both"/>
              <w:rPr>
                <w:rFonts w:eastAsia="Calibri" w:cs="Arial"/>
              </w:rPr>
            </w:pPr>
            <w:r w:rsidRPr="008E3C5B">
              <w:rPr>
                <w:rFonts w:eastAsia="Calibri" w:cs="Arial"/>
                <w:i/>
                <w:iCs/>
              </w:rPr>
              <w:t>.005</w:t>
            </w:r>
          </w:p>
        </w:tc>
      </w:tr>
      <w:tr w:rsidR="00F06D73" w:rsidRPr="008E3C5B" w:rsidTr="00E27725">
        <w:trPr>
          <w:trHeight w:val="446"/>
        </w:trPr>
        <w:tc>
          <w:tcPr>
            <w:tcW w:w="3544" w:type="dxa"/>
          </w:tcPr>
          <w:p w:rsidR="00F06D73" w:rsidRPr="008E3C5B" w:rsidRDefault="00F06D73" w:rsidP="00E27725">
            <w:pPr>
              <w:ind w:firstLine="34"/>
              <w:jc w:val="both"/>
              <w:rPr>
                <w:rFonts w:eastAsia="Calibri" w:cs="Arial"/>
              </w:rPr>
            </w:pPr>
          </w:p>
        </w:tc>
        <w:tc>
          <w:tcPr>
            <w:tcW w:w="4077" w:type="dxa"/>
            <w:gridSpan w:val="2"/>
            <w:tcBorders>
              <w:bottom w:val="single" w:sz="4" w:space="0" w:color="auto"/>
            </w:tcBorders>
          </w:tcPr>
          <w:p w:rsidR="00F06D73" w:rsidRPr="008E3C5B" w:rsidRDefault="00F06D73" w:rsidP="00E27725">
            <w:pPr>
              <w:jc w:val="both"/>
              <w:rPr>
                <w:rFonts w:eastAsia="Calibri" w:cs="Arial"/>
              </w:rPr>
            </w:pPr>
            <w:r w:rsidRPr="008E3C5B">
              <w:rPr>
                <w:rFonts w:eastAsia="Calibri" w:cs="Arial"/>
                <w:b/>
                <w:bCs/>
              </w:rPr>
              <w:t>Criminal Damage Pre-conviction</w:t>
            </w:r>
          </w:p>
        </w:tc>
        <w:tc>
          <w:tcPr>
            <w:tcW w:w="743" w:type="dxa"/>
          </w:tcPr>
          <w:p w:rsidR="00F06D73" w:rsidRPr="008E3C5B" w:rsidRDefault="00F06D73" w:rsidP="00E27725">
            <w:pPr>
              <w:jc w:val="both"/>
              <w:rPr>
                <w:rFonts w:eastAsia="Calibri" w:cs="Arial"/>
              </w:rPr>
            </w:pPr>
          </w:p>
        </w:tc>
        <w:tc>
          <w:tcPr>
            <w:tcW w:w="764" w:type="dxa"/>
          </w:tcPr>
          <w:p w:rsidR="00F06D73" w:rsidRPr="008E3C5B" w:rsidRDefault="00F06D73" w:rsidP="00E27725">
            <w:pPr>
              <w:jc w:val="both"/>
              <w:rPr>
                <w:rFonts w:eastAsia="Calibri" w:cs="Arial"/>
                <w:i/>
                <w:iCs/>
              </w:rPr>
            </w:pPr>
          </w:p>
        </w:tc>
      </w:tr>
      <w:tr w:rsidR="00F06D73" w:rsidRPr="008E3C5B" w:rsidTr="00E27725">
        <w:trPr>
          <w:trHeight w:val="446"/>
        </w:trPr>
        <w:tc>
          <w:tcPr>
            <w:tcW w:w="3544" w:type="dxa"/>
          </w:tcPr>
          <w:p w:rsidR="00F06D73" w:rsidRPr="008E3C5B" w:rsidRDefault="00F06D73" w:rsidP="00E27725">
            <w:pPr>
              <w:ind w:firstLine="34"/>
              <w:jc w:val="both"/>
              <w:rPr>
                <w:rFonts w:eastAsia="Calibri" w:cs="Arial"/>
              </w:rPr>
            </w:pPr>
          </w:p>
        </w:tc>
        <w:tc>
          <w:tcPr>
            <w:tcW w:w="2410" w:type="dxa"/>
          </w:tcPr>
          <w:p w:rsidR="00F06D73" w:rsidRPr="008E3C5B" w:rsidRDefault="00F06D73" w:rsidP="00E27725">
            <w:pPr>
              <w:jc w:val="both"/>
              <w:rPr>
                <w:rFonts w:eastAsia="Calibri" w:cs="Arial"/>
                <w:bCs/>
              </w:rPr>
            </w:pPr>
            <w:r w:rsidRPr="008E3C5B">
              <w:rPr>
                <w:rFonts w:eastAsia="Calibri" w:cs="Arial"/>
                <w:bCs/>
              </w:rPr>
              <w:t>Yes (n=71)</w:t>
            </w:r>
          </w:p>
        </w:tc>
        <w:tc>
          <w:tcPr>
            <w:tcW w:w="2410" w:type="dxa"/>
            <w:gridSpan w:val="2"/>
          </w:tcPr>
          <w:p w:rsidR="00F06D73" w:rsidRPr="008E3C5B" w:rsidRDefault="00F06D73" w:rsidP="00E27725">
            <w:pPr>
              <w:jc w:val="both"/>
              <w:rPr>
                <w:rFonts w:eastAsia="Calibri" w:cs="Arial"/>
              </w:rPr>
            </w:pPr>
            <w:r w:rsidRPr="008E3C5B">
              <w:rPr>
                <w:rFonts w:eastAsia="Calibri" w:cs="Arial"/>
              </w:rPr>
              <w:t>No (n=142</w:t>
            </w:r>
          </w:p>
        </w:tc>
        <w:tc>
          <w:tcPr>
            <w:tcW w:w="764" w:type="dxa"/>
          </w:tcPr>
          <w:p w:rsidR="00F06D73" w:rsidRPr="008E3C5B" w:rsidRDefault="00F06D73" w:rsidP="00E27725">
            <w:pPr>
              <w:jc w:val="both"/>
              <w:rPr>
                <w:rFonts w:eastAsia="Calibri" w:cs="Arial"/>
                <w:i/>
                <w:iCs/>
              </w:rPr>
            </w:pPr>
          </w:p>
        </w:tc>
      </w:tr>
      <w:tr w:rsidR="00F06D73" w:rsidRPr="008E3C5B" w:rsidTr="00E27725">
        <w:trPr>
          <w:trHeight w:val="446"/>
        </w:trPr>
        <w:tc>
          <w:tcPr>
            <w:tcW w:w="3544" w:type="dxa"/>
            <w:vAlign w:val="top"/>
          </w:tcPr>
          <w:p w:rsidR="00F06D73" w:rsidRPr="008E3C5B" w:rsidRDefault="00F06D73" w:rsidP="00E27725">
            <w:pPr>
              <w:spacing w:after="160" w:line="259" w:lineRule="auto"/>
              <w:jc w:val="both"/>
              <w:rPr>
                <w:rFonts w:eastAsia="Calibri" w:cs="Arial"/>
              </w:rPr>
            </w:pPr>
            <w:r w:rsidRPr="008E3C5B">
              <w:rPr>
                <w:rFonts w:eastAsia="Calibri" w:cs="Arial"/>
              </w:rPr>
              <w:t>Vehicle used</w:t>
            </w:r>
          </w:p>
          <w:p w:rsidR="00F06D73" w:rsidRPr="008E3C5B" w:rsidRDefault="00F06D73" w:rsidP="00E27725">
            <w:pPr>
              <w:spacing w:after="160" w:line="259" w:lineRule="auto"/>
              <w:jc w:val="both"/>
              <w:rPr>
                <w:rFonts w:eastAsia="Calibri" w:cs="Arial"/>
              </w:rPr>
            </w:pPr>
            <w:r w:rsidRPr="008E3C5B">
              <w:rPr>
                <w:rFonts w:eastAsia="Calibri" w:cs="Arial"/>
              </w:rPr>
              <w:t>Death blunt force</w:t>
            </w:r>
          </w:p>
        </w:tc>
        <w:tc>
          <w:tcPr>
            <w:tcW w:w="2410" w:type="dxa"/>
            <w:vAlign w:val="top"/>
          </w:tcPr>
          <w:p w:rsidR="00F06D73" w:rsidRPr="008E3C5B" w:rsidRDefault="00F06D73" w:rsidP="00E27725">
            <w:pPr>
              <w:spacing w:after="160" w:line="259" w:lineRule="auto"/>
              <w:jc w:val="both"/>
              <w:rPr>
                <w:rFonts w:eastAsia="Calibri" w:cs="Arial"/>
              </w:rPr>
            </w:pPr>
            <w:r w:rsidRPr="008E3C5B">
              <w:rPr>
                <w:rFonts w:eastAsia="Calibri" w:cs="Arial"/>
              </w:rPr>
              <w:t>15.5%</w:t>
            </w:r>
          </w:p>
          <w:p w:rsidR="00F06D73" w:rsidRPr="008E3C5B" w:rsidRDefault="00F06D73" w:rsidP="00E27725">
            <w:pPr>
              <w:spacing w:after="160" w:line="259" w:lineRule="auto"/>
              <w:jc w:val="both"/>
              <w:rPr>
                <w:rFonts w:eastAsia="Calibri" w:cs="Arial"/>
              </w:rPr>
            </w:pPr>
            <w:r w:rsidRPr="008E3C5B">
              <w:rPr>
                <w:rFonts w:eastAsia="Calibri" w:cs="Arial"/>
              </w:rPr>
              <w:t>47.9%</w:t>
            </w:r>
          </w:p>
        </w:tc>
        <w:tc>
          <w:tcPr>
            <w:tcW w:w="2410" w:type="dxa"/>
            <w:gridSpan w:val="2"/>
            <w:vAlign w:val="top"/>
          </w:tcPr>
          <w:p w:rsidR="00F06D73" w:rsidRPr="008E3C5B" w:rsidRDefault="00F06D73" w:rsidP="00E27725">
            <w:pPr>
              <w:spacing w:after="160" w:line="259" w:lineRule="auto"/>
              <w:jc w:val="both"/>
              <w:rPr>
                <w:rFonts w:eastAsia="Calibri" w:cs="Arial"/>
              </w:rPr>
            </w:pPr>
            <w:r w:rsidRPr="008E3C5B">
              <w:rPr>
                <w:rFonts w:eastAsia="Calibri" w:cs="Arial"/>
              </w:rPr>
              <w:t>31.0%</w:t>
            </w:r>
          </w:p>
          <w:p w:rsidR="00F06D73" w:rsidRPr="008E3C5B" w:rsidRDefault="00F06D73" w:rsidP="00E27725">
            <w:pPr>
              <w:spacing w:after="160" w:line="259" w:lineRule="auto"/>
              <w:jc w:val="both"/>
              <w:rPr>
                <w:rFonts w:eastAsia="Calibri" w:cs="Arial"/>
              </w:rPr>
            </w:pPr>
            <w:r w:rsidRPr="008E3C5B">
              <w:rPr>
                <w:rFonts w:eastAsia="Calibri" w:cs="Arial"/>
              </w:rPr>
              <w:t>33.1%</w:t>
            </w:r>
          </w:p>
        </w:tc>
        <w:tc>
          <w:tcPr>
            <w:tcW w:w="764" w:type="dxa"/>
            <w:vAlign w:val="top"/>
          </w:tcPr>
          <w:p w:rsidR="00F06D73" w:rsidRPr="008E3C5B" w:rsidRDefault="00F06D73" w:rsidP="00E27725">
            <w:pPr>
              <w:spacing w:after="160" w:line="259" w:lineRule="auto"/>
              <w:jc w:val="both"/>
              <w:rPr>
                <w:rFonts w:eastAsia="Calibri" w:cs="Arial"/>
              </w:rPr>
            </w:pPr>
            <w:r w:rsidRPr="008E3C5B">
              <w:rPr>
                <w:rFonts w:eastAsia="Calibri" w:cs="Arial"/>
                <w:i/>
                <w:iCs/>
              </w:rPr>
              <w:t>.016</w:t>
            </w:r>
          </w:p>
          <w:p w:rsidR="00F06D73" w:rsidRPr="008E3C5B" w:rsidRDefault="00F06D73" w:rsidP="00E27725">
            <w:pPr>
              <w:spacing w:after="160" w:line="259" w:lineRule="auto"/>
              <w:jc w:val="both"/>
              <w:rPr>
                <w:rFonts w:eastAsia="Calibri" w:cs="Arial"/>
                <w:i/>
              </w:rPr>
            </w:pPr>
            <w:r w:rsidRPr="008E3C5B">
              <w:rPr>
                <w:rFonts w:eastAsia="Calibri" w:cs="Arial"/>
                <w:i/>
              </w:rPr>
              <w:t>.034</w:t>
            </w:r>
          </w:p>
        </w:tc>
      </w:tr>
      <w:tr w:rsidR="00F06D73" w:rsidRPr="008E3C5B" w:rsidTr="00E27725">
        <w:trPr>
          <w:trHeight w:val="446"/>
        </w:trPr>
        <w:tc>
          <w:tcPr>
            <w:tcW w:w="3544" w:type="dxa"/>
            <w:vAlign w:val="top"/>
          </w:tcPr>
          <w:p w:rsidR="00F06D73" w:rsidRPr="008E3C5B" w:rsidRDefault="00F06D73" w:rsidP="00E27725">
            <w:pPr>
              <w:spacing w:after="160" w:line="259" w:lineRule="auto"/>
              <w:jc w:val="both"/>
              <w:rPr>
                <w:rFonts w:eastAsia="Calibri" w:cs="Arial"/>
              </w:rPr>
            </w:pPr>
          </w:p>
        </w:tc>
        <w:tc>
          <w:tcPr>
            <w:tcW w:w="4077" w:type="dxa"/>
            <w:gridSpan w:val="2"/>
            <w:tcBorders>
              <w:bottom w:val="single" w:sz="4" w:space="0" w:color="auto"/>
            </w:tcBorders>
            <w:vAlign w:val="top"/>
          </w:tcPr>
          <w:p w:rsidR="00F06D73" w:rsidRPr="008E3C5B" w:rsidRDefault="00F06D73" w:rsidP="00E27725">
            <w:pPr>
              <w:spacing w:after="160" w:line="259" w:lineRule="auto"/>
              <w:jc w:val="both"/>
              <w:rPr>
                <w:rFonts w:eastAsia="Calibri" w:cs="Arial"/>
              </w:rPr>
            </w:pPr>
            <w:r w:rsidRPr="008E3C5B">
              <w:rPr>
                <w:rFonts w:eastAsia="Calibri" w:cs="Arial"/>
                <w:b/>
                <w:bCs/>
              </w:rPr>
              <w:t>Fraud Pre-conviction</w:t>
            </w:r>
          </w:p>
        </w:tc>
        <w:tc>
          <w:tcPr>
            <w:tcW w:w="743" w:type="dxa"/>
            <w:vAlign w:val="top"/>
          </w:tcPr>
          <w:p w:rsidR="00F06D73" w:rsidRPr="008E3C5B" w:rsidRDefault="00F06D73" w:rsidP="00E27725">
            <w:pPr>
              <w:spacing w:after="160" w:line="259" w:lineRule="auto"/>
              <w:jc w:val="both"/>
              <w:rPr>
                <w:rFonts w:eastAsia="Calibri" w:cs="Arial"/>
              </w:rPr>
            </w:pPr>
          </w:p>
        </w:tc>
        <w:tc>
          <w:tcPr>
            <w:tcW w:w="764" w:type="dxa"/>
            <w:vAlign w:val="top"/>
          </w:tcPr>
          <w:p w:rsidR="00F06D73" w:rsidRPr="008E3C5B" w:rsidRDefault="00F06D73" w:rsidP="00E27725">
            <w:pPr>
              <w:spacing w:after="160" w:line="259" w:lineRule="auto"/>
              <w:jc w:val="both"/>
              <w:rPr>
                <w:rFonts w:eastAsia="Calibri" w:cs="Arial"/>
                <w:i/>
                <w:iCs/>
              </w:rPr>
            </w:pPr>
          </w:p>
        </w:tc>
      </w:tr>
      <w:tr w:rsidR="00F06D73" w:rsidRPr="008E3C5B" w:rsidTr="00E27725">
        <w:trPr>
          <w:trHeight w:val="446"/>
        </w:trPr>
        <w:tc>
          <w:tcPr>
            <w:tcW w:w="3544" w:type="dxa"/>
            <w:vAlign w:val="top"/>
          </w:tcPr>
          <w:p w:rsidR="00F06D73" w:rsidRPr="008E3C5B" w:rsidRDefault="00F06D73" w:rsidP="00E27725">
            <w:pPr>
              <w:spacing w:after="160" w:line="259" w:lineRule="auto"/>
              <w:jc w:val="both"/>
              <w:rPr>
                <w:rFonts w:eastAsia="Calibri" w:cs="Arial"/>
              </w:rPr>
            </w:pPr>
          </w:p>
        </w:tc>
        <w:tc>
          <w:tcPr>
            <w:tcW w:w="2410" w:type="dxa"/>
            <w:vAlign w:val="top"/>
          </w:tcPr>
          <w:p w:rsidR="00F06D73" w:rsidRPr="008E3C5B" w:rsidRDefault="00F06D73" w:rsidP="00E27725">
            <w:pPr>
              <w:spacing w:after="160" w:line="259" w:lineRule="auto"/>
              <w:jc w:val="both"/>
              <w:rPr>
                <w:rFonts w:eastAsia="Calibri" w:cs="Arial"/>
                <w:bCs/>
              </w:rPr>
            </w:pPr>
            <w:r w:rsidRPr="008E3C5B">
              <w:rPr>
                <w:rFonts w:eastAsia="Calibri" w:cs="Arial"/>
                <w:bCs/>
              </w:rPr>
              <w:t>Yes (n=45)</w:t>
            </w:r>
          </w:p>
        </w:tc>
        <w:tc>
          <w:tcPr>
            <w:tcW w:w="2410" w:type="dxa"/>
            <w:gridSpan w:val="2"/>
            <w:vAlign w:val="top"/>
          </w:tcPr>
          <w:p w:rsidR="00F06D73" w:rsidRPr="008E3C5B" w:rsidRDefault="00F06D73" w:rsidP="00E27725">
            <w:pPr>
              <w:spacing w:after="160" w:line="259" w:lineRule="auto"/>
              <w:jc w:val="both"/>
              <w:rPr>
                <w:rFonts w:eastAsia="Calibri" w:cs="Arial"/>
              </w:rPr>
            </w:pPr>
            <w:r w:rsidRPr="008E3C5B">
              <w:rPr>
                <w:rFonts w:eastAsia="Calibri" w:cs="Arial"/>
              </w:rPr>
              <w:t>No (n=168)</w:t>
            </w:r>
          </w:p>
        </w:tc>
        <w:tc>
          <w:tcPr>
            <w:tcW w:w="764" w:type="dxa"/>
            <w:vAlign w:val="top"/>
          </w:tcPr>
          <w:p w:rsidR="00F06D73" w:rsidRPr="008E3C5B" w:rsidRDefault="00F06D73" w:rsidP="00E27725">
            <w:pPr>
              <w:spacing w:after="160" w:line="259" w:lineRule="auto"/>
              <w:jc w:val="both"/>
              <w:rPr>
                <w:rFonts w:eastAsia="Calibri" w:cs="Arial"/>
                <w:i/>
                <w:iCs/>
              </w:rPr>
            </w:pPr>
          </w:p>
        </w:tc>
      </w:tr>
      <w:tr w:rsidR="00F06D73" w:rsidRPr="008E3C5B" w:rsidTr="00E27725">
        <w:trPr>
          <w:trHeight w:val="632"/>
        </w:trPr>
        <w:tc>
          <w:tcPr>
            <w:tcW w:w="3544" w:type="dxa"/>
            <w:hideMark/>
          </w:tcPr>
          <w:p w:rsidR="00F06D73" w:rsidRPr="008E3C5B" w:rsidRDefault="00F06D73" w:rsidP="00E27725">
            <w:pPr>
              <w:ind w:firstLine="34"/>
              <w:jc w:val="both"/>
              <w:rPr>
                <w:rFonts w:eastAsia="Calibri" w:cs="Arial"/>
              </w:rPr>
            </w:pPr>
            <w:r w:rsidRPr="008E3C5B">
              <w:rPr>
                <w:rFonts w:eastAsia="Calibri" w:cs="Arial"/>
              </w:rPr>
              <w:t>Victim naked</w:t>
            </w:r>
          </w:p>
          <w:p w:rsidR="00F06D73" w:rsidRPr="008E3C5B" w:rsidRDefault="00F06D73" w:rsidP="00E27725">
            <w:pPr>
              <w:ind w:firstLine="34"/>
              <w:jc w:val="both"/>
              <w:rPr>
                <w:rFonts w:eastAsia="Calibri" w:cs="Arial"/>
              </w:rPr>
            </w:pPr>
            <w:r w:rsidRPr="008E3C5B">
              <w:rPr>
                <w:rFonts w:eastAsia="Calibri" w:cs="Arial"/>
              </w:rPr>
              <w:t>Bludgeoning weapon</w:t>
            </w:r>
          </w:p>
        </w:tc>
        <w:tc>
          <w:tcPr>
            <w:tcW w:w="2410" w:type="dxa"/>
            <w:hideMark/>
          </w:tcPr>
          <w:p w:rsidR="00F06D73" w:rsidRPr="008E3C5B" w:rsidRDefault="00F06D73" w:rsidP="00E27725">
            <w:pPr>
              <w:jc w:val="both"/>
              <w:rPr>
                <w:rFonts w:eastAsia="Calibri" w:cs="Arial"/>
              </w:rPr>
            </w:pPr>
            <w:r w:rsidRPr="008E3C5B">
              <w:rPr>
                <w:rFonts w:eastAsia="Calibri" w:cs="Arial"/>
              </w:rPr>
              <w:t>37.8%</w:t>
            </w:r>
          </w:p>
          <w:p w:rsidR="00F06D73" w:rsidRPr="008E3C5B" w:rsidRDefault="00F06D73" w:rsidP="00E27725">
            <w:pPr>
              <w:jc w:val="both"/>
              <w:rPr>
                <w:rFonts w:eastAsia="Calibri" w:cs="Arial"/>
              </w:rPr>
            </w:pPr>
            <w:r w:rsidRPr="008E3C5B">
              <w:rPr>
                <w:rFonts w:eastAsia="Calibri" w:cs="Arial"/>
              </w:rPr>
              <w:t>33.3%</w:t>
            </w:r>
          </w:p>
        </w:tc>
        <w:tc>
          <w:tcPr>
            <w:tcW w:w="2410" w:type="dxa"/>
            <w:gridSpan w:val="2"/>
            <w:hideMark/>
          </w:tcPr>
          <w:p w:rsidR="00F06D73" w:rsidRPr="008E3C5B" w:rsidRDefault="00F06D73" w:rsidP="00E27725">
            <w:pPr>
              <w:jc w:val="both"/>
              <w:rPr>
                <w:rFonts w:eastAsia="Calibri" w:cs="Arial"/>
              </w:rPr>
            </w:pPr>
            <w:r w:rsidRPr="008E3C5B">
              <w:rPr>
                <w:rFonts w:eastAsia="Calibri" w:cs="Arial"/>
              </w:rPr>
              <w:t>23.2%</w:t>
            </w:r>
          </w:p>
          <w:p w:rsidR="00F06D73" w:rsidRPr="008E3C5B" w:rsidRDefault="00F06D73" w:rsidP="00E27725">
            <w:pPr>
              <w:jc w:val="both"/>
              <w:rPr>
                <w:rFonts w:eastAsia="Calibri" w:cs="Arial"/>
              </w:rPr>
            </w:pPr>
            <w:r w:rsidRPr="008E3C5B">
              <w:rPr>
                <w:rFonts w:eastAsia="Calibri" w:cs="Arial"/>
              </w:rPr>
              <w:t>17.9%</w:t>
            </w:r>
          </w:p>
        </w:tc>
        <w:tc>
          <w:tcPr>
            <w:tcW w:w="764" w:type="dxa"/>
            <w:hideMark/>
          </w:tcPr>
          <w:p w:rsidR="00F06D73" w:rsidRPr="008E3C5B" w:rsidRDefault="00F06D73" w:rsidP="00E27725">
            <w:pPr>
              <w:jc w:val="both"/>
              <w:rPr>
                <w:rFonts w:eastAsia="Calibri" w:cs="Arial"/>
              </w:rPr>
            </w:pPr>
            <w:r w:rsidRPr="008E3C5B">
              <w:rPr>
                <w:rFonts w:eastAsia="Calibri" w:cs="Arial"/>
                <w:i/>
                <w:iCs/>
              </w:rPr>
              <w:t>.050</w:t>
            </w:r>
          </w:p>
          <w:p w:rsidR="00F06D73" w:rsidRPr="008E3C5B" w:rsidRDefault="00F06D73" w:rsidP="00E27725">
            <w:pPr>
              <w:jc w:val="both"/>
              <w:rPr>
                <w:rFonts w:eastAsia="Calibri" w:cs="Arial"/>
                <w:i/>
              </w:rPr>
            </w:pPr>
            <w:r w:rsidRPr="008E3C5B">
              <w:rPr>
                <w:rFonts w:eastAsia="Calibri" w:cs="Arial"/>
                <w:i/>
              </w:rPr>
              <w:t>.026</w:t>
            </w:r>
          </w:p>
        </w:tc>
      </w:tr>
      <w:tr w:rsidR="00F06D73" w:rsidRPr="008E3C5B" w:rsidTr="00E27725">
        <w:trPr>
          <w:trHeight w:val="446"/>
        </w:trPr>
        <w:tc>
          <w:tcPr>
            <w:tcW w:w="3544" w:type="dxa"/>
            <w:vAlign w:val="top"/>
          </w:tcPr>
          <w:p w:rsidR="00F06D73" w:rsidRPr="008E3C5B" w:rsidRDefault="00F06D73" w:rsidP="00E27725">
            <w:pPr>
              <w:spacing w:after="160" w:line="259" w:lineRule="auto"/>
              <w:jc w:val="both"/>
              <w:rPr>
                <w:rFonts w:eastAsia="Calibri" w:cs="Arial"/>
              </w:rPr>
            </w:pPr>
          </w:p>
        </w:tc>
        <w:tc>
          <w:tcPr>
            <w:tcW w:w="4077" w:type="dxa"/>
            <w:gridSpan w:val="2"/>
            <w:tcBorders>
              <w:bottom w:val="single" w:sz="4" w:space="0" w:color="auto"/>
            </w:tcBorders>
            <w:vAlign w:val="top"/>
          </w:tcPr>
          <w:p w:rsidR="00F06D73" w:rsidRPr="008E3C5B" w:rsidRDefault="00F06D73" w:rsidP="00E27725">
            <w:pPr>
              <w:spacing w:after="160" w:line="259" w:lineRule="auto"/>
              <w:jc w:val="both"/>
              <w:rPr>
                <w:rFonts w:eastAsia="Calibri" w:cs="Arial"/>
                <w:bCs/>
              </w:rPr>
            </w:pPr>
            <w:r w:rsidRPr="008E3C5B">
              <w:rPr>
                <w:rFonts w:eastAsia="Calibri" w:cs="Arial"/>
                <w:b/>
                <w:bCs/>
              </w:rPr>
              <w:t>Theft Pre-conviction</w:t>
            </w:r>
          </w:p>
        </w:tc>
        <w:tc>
          <w:tcPr>
            <w:tcW w:w="743" w:type="dxa"/>
            <w:vAlign w:val="top"/>
          </w:tcPr>
          <w:p w:rsidR="00F06D73" w:rsidRPr="008E3C5B" w:rsidRDefault="00F06D73" w:rsidP="00E27725">
            <w:pPr>
              <w:spacing w:after="160" w:line="259" w:lineRule="auto"/>
              <w:jc w:val="both"/>
              <w:rPr>
                <w:rFonts w:eastAsia="Calibri" w:cs="Arial"/>
              </w:rPr>
            </w:pPr>
          </w:p>
        </w:tc>
        <w:tc>
          <w:tcPr>
            <w:tcW w:w="764" w:type="dxa"/>
            <w:vAlign w:val="top"/>
          </w:tcPr>
          <w:p w:rsidR="00F06D73" w:rsidRPr="008E3C5B" w:rsidRDefault="00F06D73" w:rsidP="00E27725">
            <w:pPr>
              <w:spacing w:after="160" w:line="259" w:lineRule="auto"/>
              <w:jc w:val="both"/>
              <w:rPr>
                <w:rFonts w:eastAsia="Calibri" w:cs="Arial"/>
                <w:i/>
                <w:iCs/>
              </w:rPr>
            </w:pPr>
          </w:p>
        </w:tc>
      </w:tr>
      <w:tr w:rsidR="00F06D73" w:rsidRPr="008E3C5B" w:rsidTr="00E27725">
        <w:trPr>
          <w:trHeight w:val="446"/>
        </w:trPr>
        <w:tc>
          <w:tcPr>
            <w:tcW w:w="3544" w:type="dxa"/>
            <w:vAlign w:val="top"/>
          </w:tcPr>
          <w:p w:rsidR="00F06D73" w:rsidRPr="008E3C5B" w:rsidRDefault="00F06D73" w:rsidP="00E27725">
            <w:pPr>
              <w:spacing w:after="160" w:line="259" w:lineRule="auto"/>
              <w:jc w:val="both"/>
              <w:rPr>
                <w:rFonts w:eastAsia="Calibri" w:cs="Arial"/>
              </w:rPr>
            </w:pPr>
          </w:p>
        </w:tc>
        <w:tc>
          <w:tcPr>
            <w:tcW w:w="2410" w:type="dxa"/>
            <w:vAlign w:val="top"/>
          </w:tcPr>
          <w:p w:rsidR="00F06D73" w:rsidRPr="008E3C5B" w:rsidRDefault="00F06D73" w:rsidP="00E27725">
            <w:pPr>
              <w:spacing w:after="160" w:line="259" w:lineRule="auto"/>
              <w:jc w:val="both"/>
              <w:rPr>
                <w:rFonts w:eastAsia="Calibri" w:cs="Arial"/>
                <w:bCs/>
              </w:rPr>
            </w:pPr>
            <w:r w:rsidRPr="008E3C5B">
              <w:rPr>
                <w:rFonts w:eastAsia="Calibri" w:cs="Arial"/>
                <w:bCs/>
              </w:rPr>
              <w:t>Yes (n=96)</w:t>
            </w:r>
          </w:p>
        </w:tc>
        <w:tc>
          <w:tcPr>
            <w:tcW w:w="2410" w:type="dxa"/>
            <w:gridSpan w:val="2"/>
            <w:vAlign w:val="top"/>
          </w:tcPr>
          <w:p w:rsidR="00F06D73" w:rsidRPr="008E3C5B" w:rsidRDefault="00F06D73" w:rsidP="00E27725">
            <w:pPr>
              <w:spacing w:after="160" w:line="259" w:lineRule="auto"/>
              <w:jc w:val="both"/>
              <w:rPr>
                <w:rFonts w:eastAsia="Calibri" w:cs="Arial"/>
              </w:rPr>
            </w:pPr>
            <w:r w:rsidRPr="008E3C5B">
              <w:rPr>
                <w:rFonts w:eastAsia="Calibri" w:cs="Arial"/>
              </w:rPr>
              <w:t>No (n=117)</w:t>
            </w:r>
          </w:p>
        </w:tc>
        <w:tc>
          <w:tcPr>
            <w:tcW w:w="764" w:type="dxa"/>
            <w:vAlign w:val="top"/>
          </w:tcPr>
          <w:p w:rsidR="00F06D73" w:rsidRPr="008E3C5B" w:rsidRDefault="00F06D73" w:rsidP="00E27725">
            <w:pPr>
              <w:spacing w:after="160" w:line="259" w:lineRule="auto"/>
              <w:jc w:val="both"/>
              <w:rPr>
                <w:rFonts w:eastAsia="Calibri" w:cs="Arial"/>
                <w:i/>
                <w:iCs/>
              </w:rPr>
            </w:pPr>
          </w:p>
        </w:tc>
      </w:tr>
      <w:tr w:rsidR="00F06D73" w:rsidRPr="008E3C5B" w:rsidTr="00E27725">
        <w:trPr>
          <w:trHeight w:val="632"/>
        </w:trPr>
        <w:tc>
          <w:tcPr>
            <w:tcW w:w="3544" w:type="dxa"/>
            <w:hideMark/>
          </w:tcPr>
          <w:p w:rsidR="00F06D73" w:rsidRPr="008E3C5B" w:rsidRDefault="00F06D73" w:rsidP="00E27725">
            <w:pPr>
              <w:ind w:firstLine="34"/>
              <w:jc w:val="both"/>
              <w:rPr>
                <w:rFonts w:eastAsia="Calibri" w:cs="Arial"/>
              </w:rPr>
            </w:pPr>
            <w:r w:rsidRPr="008E3C5B">
              <w:rPr>
                <w:rFonts w:eastAsia="Calibri" w:cs="Arial"/>
              </w:rPr>
              <w:t>Vaginal penetration</w:t>
            </w:r>
          </w:p>
          <w:p w:rsidR="00F06D73" w:rsidRPr="008E3C5B" w:rsidRDefault="00F06D73" w:rsidP="00E27725">
            <w:pPr>
              <w:ind w:firstLine="34"/>
              <w:jc w:val="both"/>
              <w:rPr>
                <w:rFonts w:eastAsia="Calibri" w:cs="Arial"/>
              </w:rPr>
            </w:pPr>
            <w:r w:rsidRPr="008E3C5B">
              <w:rPr>
                <w:rFonts w:eastAsia="Calibri" w:cs="Arial"/>
              </w:rPr>
              <w:t>Weapon brought by offender</w:t>
            </w:r>
          </w:p>
        </w:tc>
        <w:tc>
          <w:tcPr>
            <w:tcW w:w="2410" w:type="dxa"/>
            <w:hideMark/>
          </w:tcPr>
          <w:p w:rsidR="00F06D73" w:rsidRPr="008E3C5B" w:rsidRDefault="00F06D73" w:rsidP="00E27725">
            <w:pPr>
              <w:jc w:val="both"/>
              <w:rPr>
                <w:rFonts w:eastAsia="Calibri" w:cs="Arial"/>
              </w:rPr>
            </w:pPr>
            <w:r w:rsidRPr="008E3C5B">
              <w:rPr>
                <w:rFonts w:eastAsia="Calibri" w:cs="Arial"/>
              </w:rPr>
              <w:t>22.9%</w:t>
            </w:r>
          </w:p>
          <w:p w:rsidR="00F06D73" w:rsidRPr="008E3C5B" w:rsidRDefault="00F06D73" w:rsidP="00E27725">
            <w:pPr>
              <w:jc w:val="both"/>
              <w:rPr>
                <w:rFonts w:eastAsia="Calibri" w:cs="Arial"/>
              </w:rPr>
            </w:pPr>
            <w:r w:rsidRPr="008E3C5B">
              <w:rPr>
                <w:rFonts w:eastAsia="Calibri" w:cs="Arial"/>
              </w:rPr>
              <w:t>9.4%</w:t>
            </w:r>
          </w:p>
        </w:tc>
        <w:tc>
          <w:tcPr>
            <w:tcW w:w="2410" w:type="dxa"/>
            <w:gridSpan w:val="2"/>
            <w:hideMark/>
          </w:tcPr>
          <w:p w:rsidR="00F06D73" w:rsidRPr="008E3C5B" w:rsidRDefault="00F06D73" w:rsidP="00E27725">
            <w:pPr>
              <w:jc w:val="both"/>
              <w:rPr>
                <w:rFonts w:eastAsia="Calibri" w:cs="Arial"/>
              </w:rPr>
            </w:pPr>
            <w:r w:rsidRPr="008E3C5B">
              <w:rPr>
                <w:rFonts w:eastAsia="Calibri" w:cs="Arial"/>
              </w:rPr>
              <w:t>38.5%</w:t>
            </w:r>
          </w:p>
          <w:p w:rsidR="00F06D73" w:rsidRPr="008E3C5B" w:rsidRDefault="00F06D73" w:rsidP="00E27725">
            <w:pPr>
              <w:jc w:val="both"/>
              <w:rPr>
                <w:rFonts w:eastAsia="Calibri" w:cs="Arial"/>
              </w:rPr>
            </w:pPr>
            <w:r w:rsidRPr="008E3C5B">
              <w:rPr>
                <w:rFonts w:eastAsia="Calibri" w:cs="Arial"/>
              </w:rPr>
              <w:t>20.5%</w:t>
            </w:r>
          </w:p>
        </w:tc>
        <w:tc>
          <w:tcPr>
            <w:tcW w:w="764" w:type="dxa"/>
            <w:hideMark/>
          </w:tcPr>
          <w:p w:rsidR="00F06D73" w:rsidRPr="008E3C5B" w:rsidRDefault="00F06D73" w:rsidP="00E27725">
            <w:pPr>
              <w:jc w:val="both"/>
              <w:rPr>
                <w:rFonts w:eastAsia="Calibri" w:cs="Arial"/>
              </w:rPr>
            </w:pPr>
            <w:r w:rsidRPr="008E3C5B">
              <w:rPr>
                <w:rFonts w:eastAsia="Calibri" w:cs="Arial"/>
                <w:i/>
                <w:iCs/>
              </w:rPr>
              <w:t>.014</w:t>
            </w:r>
          </w:p>
          <w:p w:rsidR="00F06D73" w:rsidRPr="008E3C5B" w:rsidRDefault="00F06D73" w:rsidP="00E27725">
            <w:pPr>
              <w:jc w:val="both"/>
              <w:rPr>
                <w:rFonts w:eastAsia="Calibri" w:cs="Arial"/>
                <w:i/>
              </w:rPr>
            </w:pPr>
            <w:r w:rsidRPr="008E3C5B">
              <w:rPr>
                <w:rFonts w:eastAsia="Calibri" w:cs="Arial"/>
                <w:i/>
              </w:rPr>
              <w:t>.025</w:t>
            </w:r>
          </w:p>
        </w:tc>
      </w:tr>
      <w:tr w:rsidR="00F06D73" w:rsidRPr="008E3C5B" w:rsidTr="00E27725">
        <w:trPr>
          <w:trHeight w:val="446"/>
        </w:trPr>
        <w:tc>
          <w:tcPr>
            <w:tcW w:w="3544" w:type="dxa"/>
            <w:vAlign w:val="top"/>
          </w:tcPr>
          <w:p w:rsidR="00F06D73" w:rsidRPr="008E3C5B" w:rsidRDefault="00F06D73" w:rsidP="00E27725">
            <w:pPr>
              <w:spacing w:after="160" w:line="259" w:lineRule="auto"/>
              <w:jc w:val="both"/>
              <w:rPr>
                <w:rFonts w:eastAsia="Calibri" w:cs="Arial"/>
              </w:rPr>
            </w:pPr>
          </w:p>
        </w:tc>
        <w:tc>
          <w:tcPr>
            <w:tcW w:w="4077" w:type="dxa"/>
            <w:gridSpan w:val="2"/>
            <w:tcBorders>
              <w:bottom w:val="single" w:sz="4" w:space="0" w:color="auto"/>
            </w:tcBorders>
            <w:vAlign w:val="top"/>
          </w:tcPr>
          <w:p w:rsidR="00F06D73" w:rsidRPr="008E3C5B" w:rsidRDefault="00F06D73" w:rsidP="00E27725">
            <w:pPr>
              <w:spacing w:after="160" w:line="259" w:lineRule="auto"/>
              <w:jc w:val="both"/>
              <w:rPr>
                <w:rFonts w:eastAsia="Calibri" w:cs="Arial"/>
                <w:b/>
                <w:bCs/>
              </w:rPr>
            </w:pPr>
            <w:r w:rsidRPr="008E3C5B">
              <w:rPr>
                <w:rFonts w:eastAsia="Calibri" w:cs="Arial"/>
                <w:b/>
                <w:bCs/>
              </w:rPr>
              <w:t>Weapons Pre-conviction</w:t>
            </w:r>
          </w:p>
        </w:tc>
        <w:tc>
          <w:tcPr>
            <w:tcW w:w="743" w:type="dxa"/>
            <w:vAlign w:val="top"/>
          </w:tcPr>
          <w:p w:rsidR="00F06D73" w:rsidRPr="008E3C5B" w:rsidRDefault="00F06D73" w:rsidP="00E27725">
            <w:pPr>
              <w:spacing w:after="160" w:line="259" w:lineRule="auto"/>
              <w:jc w:val="both"/>
              <w:rPr>
                <w:rFonts w:eastAsia="Calibri" w:cs="Arial"/>
              </w:rPr>
            </w:pPr>
          </w:p>
        </w:tc>
        <w:tc>
          <w:tcPr>
            <w:tcW w:w="764" w:type="dxa"/>
            <w:vAlign w:val="top"/>
          </w:tcPr>
          <w:p w:rsidR="00F06D73" w:rsidRPr="008E3C5B" w:rsidRDefault="00F06D73" w:rsidP="00E27725">
            <w:pPr>
              <w:spacing w:after="160" w:line="259" w:lineRule="auto"/>
              <w:jc w:val="both"/>
              <w:rPr>
                <w:rFonts w:eastAsia="Calibri" w:cs="Arial"/>
                <w:i/>
                <w:iCs/>
              </w:rPr>
            </w:pPr>
          </w:p>
        </w:tc>
      </w:tr>
      <w:tr w:rsidR="00F06D73" w:rsidRPr="008E3C5B" w:rsidTr="00E27725">
        <w:trPr>
          <w:trHeight w:val="446"/>
        </w:trPr>
        <w:tc>
          <w:tcPr>
            <w:tcW w:w="3544" w:type="dxa"/>
            <w:vAlign w:val="top"/>
          </w:tcPr>
          <w:p w:rsidR="00F06D73" w:rsidRPr="008E3C5B" w:rsidRDefault="00F06D73" w:rsidP="00E27725">
            <w:pPr>
              <w:spacing w:after="160" w:line="259" w:lineRule="auto"/>
              <w:jc w:val="both"/>
              <w:rPr>
                <w:rFonts w:eastAsia="Calibri" w:cs="Arial"/>
              </w:rPr>
            </w:pPr>
          </w:p>
        </w:tc>
        <w:tc>
          <w:tcPr>
            <w:tcW w:w="2410" w:type="dxa"/>
            <w:vAlign w:val="top"/>
          </w:tcPr>
          <w:p w:rsidR="00F06D73" w:rsidRPr="008E3C5B" w:rsidRDefault="00F06D73" w:rsidP="00E27725">
            <w:pPr>
              <w:spacing w:after="160" w:line="259" w:lineRule="auto"/>
              <w:jc w:val="both"/>
              <w:rPr>
                <w:rFonts w:eastAsia="Calibri" w:cs="Arial"/>
                <w:bCs/>
              </w:rPr>
            </w:pPr>
            <w:r w:rsidRPr="008E3C5B">
              <w:rPr>
                <w:rFonts w:eastAsia="Calibri" w:cs="Arial"/>
                <w:bCs/>
              </w:rPr>
              <w:t>Yes (n=39)</w:t>
            </w:r>
          </w:p>
        </w:tc>
        <w:tc>
          <w:tcPr>
            <w:tcW w:w="2410" w:type="dxa"/>
            <w:gridSpan w:val="2"/>
            <w:vAlign w:val="top"/>
          </w:tcPr>
          <w:p w:rsidR="00F06D73" w:rsidRPr="008E3C5B" w:rsidRDefault="00F06D73" w:rsidP="00E27725">
            <w:pPr>
              <w:spacing w:after="160" w:line="259" w:lineRule="auto"/>
              <w:jc w:val="both"/>
              <w:rPr>
                <w:rFonts w:eastAsia="Calibri" w:cs="Arial"/>
              </w:rPr>
            </w:pPr>
            <w:r w:rsidRPr="008E3C5B">
              <w:rPr>
                <w:rFonts w:eastAsia="Calibri" w:cs="Arial"/>
              </w:rPr>
              <w:t>No (n=174)</w:t>
            </w:r>
          </w:p>
        </w:tc>
        <w:tc>
          <w:tcPr>
            <w:tcW w:w="764" w:type="dxa"/>
            <w:vAlign w:val="top"/>
          </w:tcPr>
          <w:p w:rsidR="00F06D73" w:rsidRPr="008E3C5B" w:rsidRDefault="00F06D73" w:rsidP="00E27725">
            <w:pPr>
              <w:spacing w:after="160" w:line="259" w:lineRule="auto"/>
              <w:jc w:val="both"/>
              <w:rPr>
                <w:rFonts w:eastAsia="Calibri" w:cs="Arial"/>
                <w:i/>
                <w:iCs/>
              </w:rPr>
            </w:pPr>
          </w:p>
        </w:tc>
      </w:tr>
      <w:tr w:rsidR="00F06D73" w:rsidRPr="008E3C5B" w:rsidTr="00E27725">
        <w:trPr>
          <w:trHeight w:val="632"/>
        </w:trPr>
        <w:tc>
          <w:tcPr>
            <w:tcW w:w="3544" w:type="dxa"/>
            <w:hideMark/>
          </w:tcPr>
          <w:p w:rsidR="00F06D73" w:rsidRPr="008E3C5B" w:rsidRDefault="00F06D73" w:rsidP="00E27725">
            <w:pPr>
              <w:ind w:firstLine="34"/>
              <w:jc w:val="both"/>
              <w:rPr>
                <w:rFonts w:eastAsia="Calibri" w:cs="Arial"/>
              </w:rPr>
            </w:pPr>
            <w:r w:rsidRPr="008E3C5B">
              <w:rPr>
                <w:rFonts w:eastAsia="Calibri" w:cs="Arial"/>
              </w:rPr>
              <w:t>Precautions scene</w:t>
            </w:r>
          </w:p>
          <w:p w:rsidR="00F06D73" w:rsidRPr="008E3C5B" w:rsidRDefault="00F06D73" w:rsidP="00E27725">
            <w:pPr>
              <w:ind w:firstLine="34"/>
              <w:jc w:val="both"/>
              <w:rPr>
                <w:rFonts w:eastAsia="Calibri" w:cs="Arial"/>
              </w:rPr>
            </w:pPr>
            <w:r w:rsidRPr="008E3C5B">
              <w:rPr>
                <w:rFonts w:eastAsia="Calibri" w:cs="Arial"/>
              </w:rPr>
              <w:t>Death asphyxia/strang.</w:t>
            </w:r>
          </w:p>
        </w:tc>
        <w:tc>
          <w:tcPr>
            <w:tcW w:w="2410" w:type="dxa"/>
            <w:hideMark/>
          </w:tcPr>
          <w:p w:rsidR="00F06D73" w:rsidRPr="008E3C5B" w:rsidRDefault="00F06D73" w:rsidP="00E27725">
            <w:pPr>
              <w:jc w:val="both"/>
              <w:rPr>
                <w:rFonts w:eastAsia="Calibri" w:cs="Arial"/>
              </w:rPr>
            </w:pPr>
            <w:r w:rsidRPr="008E3C5B">
              <w:rPr>
                <w:rFonts w:eastAsia="Calibri" w:cs="Arial"/>
              </w:rPr>
              <w:t>12.8%</w:t>
            </w:r>
          </w:p>
          <w:p w:rsidR="00F06D73" w:rsidRPr="008E3C5B" w:rsidRDefault="00F06D73" w:rsidP="00E27725">
            <w:pPr>
              <w:jc w:val="both"/>
              <w:rPr>
                <w:rFonts w:eastAsia="Calibri" w:cs="Arial"/>
              </w:rPr>
            </w:pPr>
            <w:r w:rsidRPr="008E3C5B">
              <w:rPr>
                <w:rFonts w:eastAsia="Calibri" w:cs="Arial"/>
              </w:rPr>
              <w:t>15.4%</w:t>
            </w:r>
          </w:p>
        </w:tc>
        <w:tc>
          <w:tcPr>
            <w:tcW w:w="2410" w:type="dxa"/>
            <w:gridSpan w:val="2"/>
            <w:hideMark/>
          </w:tcPr>
          <w:p w:rsidR="00F06D73" w:rsidRPr="008E3C5B" w:rsidRDefault="00F06D73" w:rsidP="00E27725">
            <w:pPr>
              <w:jc w:val="both"/>
              <w:rPr>
                <w:rFonts w:eastAsia="Calibri" w:cs="Arial"/>
              </w:rPr>
            </w:pPr>
            <w:r w:rsidRPr="008E3C5B">
              <w:rPr>
                <w:rFonts w:eastAsia="Calibri" w:cs="Arial"/>
              </w:rPr>
              <w:t>28.7%</w:t>
            </w:r>
          </w:p>
          <w:p w:rsidR="00F06D73" w:rsidRPr="008E3C5B" w:rsidRDefault="00F06D73" w:rsidP="00E27725">
            <w:pPr>
              <w:jc w:val="both"/>
              <w:rPr>
                <w:rFonts w:eastAsia="Calibri" w:cs="Arial"/>
              </w:rPr>
            </w:pPr>
            <w:r w:rsidRPr="008E3C5B">
              <w:rPr>
                <w:rFonts w:eastAsia="Calibri" w:cs="Arial"/>
              </w:rPr>
              <w:t>38.5%</w:t>
            </w:r>
          </w:p>
        </w:tc>
        <w:tc>
          <w:tcPr>
            <w:tcW w:w="764" w:type="dxa"/>
            <w:hideMark/>
          </w:tcPr>
          <w:p w:rsidR="00F06D73" w:rsidRPr="008E3C5B" w:rsidRDefault="00F06D73" w:rsidP="00E27725">
            <w:pPr>
              <w:jc w:val="both"/>
              <w:rPr>
                <w:rFonts w:eastAsia="Calibri" w:cs="Arial"/>
                <w:i/>
                <w:iCs/>
              </w:rPr>
            </w:pPr>
            <w:r w:rsidRPr="008E3C5B">
              <w:rPr>
                <w:rFonts w:eastAsia="Calibri" w:cs="Arial"/>
                <w:i/>
                <w:iCs/>
              </w:rPr>
              <w:t>.039</w:t>
            </w:r>
          </w:p>
          <w:p w:rsidR="00F06D73" w:rsidRPr="008E3C5B" w:rsidRDefault="00F06D73" w:rsidP="00E27725">
            <w:pPr>
              <w:jc w:val="both"/>
              <w:rPr>
                <w:rFonts w:eastAsia="Calibri" w:cs="Arial"/>
                <w:i/>
              </w:rPr>
            </w:pPr>
            <w:r w:rsidRPr="008E3C5B">
              <w:rPr>
                <w:rFonts w:eastAsia="Calibri" w:cs="Arial"/>
                <w:i/>
              </w:rPr>
              <w:t>.007</w:t>
            </w:r>
          </w:p>
        </w:tc>
      </w:tr>
      <w:tr w:rsidR="00F06D73" w:rsidRPr="008E3C5B" w:rsidTr="00E27725">
        <w:trPr>
          <w:trHeight w:val="446"/>
        </w:trPr>
        <w:tc>
          <w:tcPr>
            <w:tcW w:w="3544" w:type="dxa"/>
            <w:vAlign w:val="top"/>
          </w:tcPr>
          <w:p w:rsidR="00F06D73" w:rsidRPr="008E3C5B" w:rsidRDefault="00F06D73" w:rsidP="00E27725">
            <w:pPr>
              <w:spacing w:after="160" w:line="259" w:lineRule="auto"/>
              <w:jc w:val="both"/>
              <w:rPr>
                <w:rFonts w:eastAsia="Calibri" w:cs="Arial"/>
              </w:rPr>
            </w:pPr>
          </w:p>
        </w:tc>
        <w:tc>
          <w:tcPr>
            <w:tcW w:w="4077" w:type="dxa"/>
            <w:gridSpan w:val="2"/>
            <w:tcBorders>
              <w:bottom w:val="single" w:sz="4" w:space="0" w:color="auto"/>
            </w:tcBorders>
            <w:vAlign w:val="top"/>
          </w:tcPr>
          <w:p w:rsidR="00F06D73" w:rsidRPr="008E3C5B" w:rsidRDefault="00F06D73" w:rsidP="00E27725">
            <w:pPr>
              <w:spacing w:after="160" w:line="259" w:lineRule="auto"/>
              <w:jc w:val="both"/>
              <w:rPr>
                <w:rFonts w:eastAsia="Calibri" w:cs="Arial"/>
                <w:b/>
                <w:bCs/>
              </w:rPr>
            </w:pPr>
            <w:r w:rsidRPr="008E3C5B">
              <w:rPr>
                <w:rFonts w:eastAsia="Calibri" w:cs="Arial"/>
                <w:b/>
                <w:bCs/>
              </w:rPr>
              <w:t>Violence Pre-conviction</w:t>
            </w:r>
          </w:p>
        </w:tc>
        <w:tc>
          <w:tcPr>
            <w:tcW w:w="743" w:type="dxa"/>
            <w:vAlign w:val="top"/>
          </w:tcPr>
          <w:p w:rsidR="00F06D73" w:rsidRPr="008E3C5B" w:rsidRDefault="00F06D73" w:rsidP="00E27725">
            <w:pPr>
              <w:spacing w:after="160" w:line="259" w:lineRule="auto"/>
              <w:jc w:val="both"/>
              <w:rPr>
                <w:rFonts w:eastAsia="Calibri" w:cs="Arial"/>
              </w:rPr>
            </w:pPr>
          </w:p>
        </w:tc>
        <w:tc>
          <w:tcPr>
            <w:tcW w:w="764" w:type="dxa"/>
            <w:vAlign w:val="top"/>
          </w:tcPr>
          <w:p w:rsidR="00F06D73" w:rsidRPr="008E3C5B" w:rsidRDefault="00F06D73" w:rsidP="00E27725">
            <w:pPr>
              <w:spacing w:after="160" w:line="259" w:lineRule="auto"/>
              <w:jc w:val="both"/>
              <w:rPr>
                <w:rFonts w:eastAsia="Calibri" w:cs="Arial"/>
                <w:i/>
                <w:iCs/>
              </w:rPr>
            </w:pPr>
          </w:p>
        </w:tc>
      </w:tr>
      <w:tr w:rsidR="00F06D73" w:rsidRPr="008E3C5B" w:rsidTr="00E27725">
        <w:trPr>
          <w:trHeight w:val="446"/>
        </w:trPr>
        <w:tc>
          <w:tcPr>
            <w:tcW w:w="3544" w:type="dxa"/>
            <w:vAlign w:val="top"/>
          </w:tcPr>
          <w:p w:rsidR="00F06D73" w:rsidRPr="008E3C5B" w:rsidRDefault="00F06D73" w:rsidP="00E27725">
            <w:pPr>
              <w:spacing w:after="160" w:line="259" w:lineRule="auto"/>
              <w:jc w:val="both"/>
              <w:rPr>
                <w:rFonts w:eastAsia="Calibri" w:cs="Arial"/>
              </w:rPr>
            </w:pPr>
          </w:p>
        </w:tc>
        <w:tc>
          <w:tcPr>
            <w:tcW w:w="2410" w:type="dxa"/>
            <w:vAlign w:val="top"/>
          </w:tcPr>
          <w:p w:rsidR="00F06D73" w:rsidRPr="008E3C5B" w:rsidRDefault="00F06D73" w:rsidP="00E27725">
            <w:pPr>
              <w:spacing w:after="160" w:line="259" w:lineRule="auto"/>
              <w:jc w:val="both"/>
              <w:rPr>
                <w:rFonts w:eastAsia="Calibri" w:cs="Arial"/>
                <w:bCs/>
              </w:rPr>
            </w:pPr>
            <w:r w:rsidRPr="008E3C5B">
              <w:rPr>
                <w:rFonts w:eastAsia="Calibri" w:cs="Arial"/>
                <w:bCs/>
              </w:rPr>
              <w:t>Yes (n=83)</w:t>
            </w:r>
          </w:p>
        </w:tc>
        <w:tc>
          <w:tcPr>
            <w:tcW w:w="2410" w:type="dxa"/>
            <w:gridSpan w:val="2"/>
            <w:vAlign w:val="top"/>
          </w:tcPr>
          <w:p w:rsidR="00F06D73" w:rsidRPr="008E3C5B" w:rsidRDefault="00F06D73" w:rsidP="00E27725">
            <w:pPr>
              <w:spacing w:after="160" w:line="259" w:lineRule="auto"/>
              <w:jc w:val="both"/>
              <w:rPr>
                <w:rFonts w:eastAsia="Calibri" w:cs="Arial"/>
              </w:rPr>
            </w:pPr>
            <w:r w:rsidRPr="008E3C5B">
              <w:rPr>
                <w:rFonts w:eastAsia="Calibri" w:cs="Arial"/>
              </w:rPr>
              <w:t>No (n=130)</w:t>
            </w:r>
          </w:p>
        </w:tc>
        <w:tc>
          <w:tcPr>
            <w:tcW w:w="764" w:type="dxa"/>
            <w:vAlign w:val="top"/>
          </w:tcPr>
          <w:p w:rsidR="00F06D73" w:rsidRPr="008E3C5B" w:rsidRDefault="00F06D73" w:rsidP="00E27725">
            <w:pPr>
              <w:spacing w:after="160" w:line="259" w:lineRule="auto"/>
              <w:jc w:val="both"/>
              <w:rPr>
                <w:rFonts w:eastAsia="Calibri" w:cs="Arial"/>
                <w:i/>
                <w:iCs/>
              </w:rPr>
            </w:pPr>
          </w:p>
        </w:tc>
      </w:tr>
      <w:tr w:rsidR="00F06D73" w:rsidRPr="008E3C5B" w:rsidTr="00E27725">
        <w:trPr>
          <w:trHeight w:val="446"/>
        </w:trPr>
        <w:tc>
          <w:tcPr>
            <w:tcW w:w="3544" w:type="dxa"/>
            <w:tcBorders>
              <w:bottom w:val="single" w:sz="4" w:space="0" w:color="auto"/>
            </w:tcBorders>
          </w:tcPr>
          <w:p w:rsidR="00F06D73" w:rsidRPr="008E3C5B" w:rsidRDefault="00F06D73" w:rsidP="00E27725">
            <w:pPr>
              <w:ind w:firstLine="34"/>
              <w:jc w:val="both"/>
              <w:rPr>
                <w:rFonts w:eastAsia="Calibri" w:cs="Arial"/>
              </w:rPr>
            </w:pPr>
            <w:r w:rsidRPr="008E3C5B">
              <w:rPr>
                <w:rFonts w:eastAsia="Calibri" w:cs="Arial"/>
              </w:rPr>
              <w:t>Vaginal penetration</w:t>
            </w:r>
          </w:p>
          <w:p w:rsidR="00F06D73" w:rsidRPr="008E3C5B" w:rsidRDefault="00F06D73" w:rsidP="00E27725">
            <w:pPr>
              <w:ind w:firstLine="34"/>
              <w:jc w:val="both"/>
              <w:rPr>
                <w:rFonts w:eastAsia="Calibri" w:cs="Arial"/>
              </w:rPr>
            </w:pPr>
            <w:r w:rsidRPr="008E3C5B">
              <w:rPr>
                <w:rFonts w:eastAsia="Calibri" w:cs="Arial"/>
              </w:rPr>
              <w:t>Weapon brought by offender</w:t>
            </w:r>
          </w:p>
        </w:tc>
        <w:tc>
          <w:tcPr>
            <w:tcW w:w="2410" w:type="dxa"/>
            <w:tcBorders>
              <w:bottom w:val="single" w:sz="4" w:space="0" w:color="auto"/>
            </w:tcBorders>
          </w:tcPr>
          <w:p w:rsidR="00F06D73" w:rsidRPr="008E3C5B" w:rsidRDefault="00F06D73" w:rsidP="00E27725">
            <w:pPr>
              <w:jc w:val="both"/>
              <w:rPr>
                <w:rFonts w:eastAsia="Calibri" w:cs="Arial"/>
              </w:rPr>
            </w:pPr>
            <w:r w:rsidRPr="008E3C5B">
              <w:rPr>
                <w:rFonts w:eastAsia="Calibri" w:cs="Arial"/>
              </w:rPr>
              <w:t>22.9%</w:t>
            </w:r>
          </w:p>
          <w:p w:rsidR="00F06D73" w:rsidRPr="008E3C5B" w:rsidRDefault="00F06D73" w:rsidP="00E27725">
            <w:pPr>
              <w:jc w:val="both"/>
              <w:rPr>
                <w:rFonts w:eastAsia="Calibri" w:cs="Arial"/>
              </w:rPr>
            </w:pPr>
            <w:r w:rsidRPr="008E3C5B">
              <w:rPr>
                <w:rFonts w:eastAsia="Calibri" w:cs="Arial"/>
              </w:rPr>
              <w:t>7.2%</w:t>
            </w:r>
          </w:p>
        </w:tc>
        <w:tc>
          <w:tcPr>
            <w:tcW w:w="2410" w:type="dxa"/>
            <w:gridSpan w:val="2"/>
            <w:tcBorders>
              <w:bottom w:val="single" w:sz="4" w:space="0" w:color="auto"/>
            </w:tcBorders>
          </w:tcPr>
          <w:p w:rsidR="00F06D73" w:rsidRPr="008E3C5B" w:rsidRDefault="00F06D73" w:rsidP="00E27725">
            <w:pPr>
              <w:jc w:val="both"/>
              <w:rPr>
                <w:rFonts w:eastAsia="Calibri" w:cs="Arial"/>
              </w:rPr>
            </w:pPr>
            <w:r w:rsidRPr="008E3C5B">
              <w:rPr>
                <w:rFonts w:eastAsia="Calibri" w:cs="Arial"/>
              </w:rPr>
              <w:t>36.9%</w:t>
            </w:r>
          </w:p>
          <w:p w:rsidR="00F06D73" w:rsidRPr="008E3C5B" w:rsidRDefault="00F06D73" w:rsidP="00E27725">
            <w:pPr>
              <w:jc w:val="both"/>
              <w:rPr>
                <w:rFonts w:eastAsia="Calibri" w:cs="Arial"/>
              </w:rPr>
            </w:pPr>
            <w:r w:rsidRPr="008E3C5B">
              <w:rPr>
                <w:rFonts w:eastAsia="Calibri" w:cs="Arial"/>
              </w:rPr>
              <w:t>20.8%</w:t>
            </w:r>
          </w:p>
        </w:tc>
        <w:tc>
          <w:tcPr>
            <w:tcW w:w="764" w:type="dxa"/>
            <w:tcBorders>
              <w:bottom w:val="single" w:sz="4" w:space="0" w:color="auto"/>
            </w:tcBorders>
          </w:tcPr>
          <w:p w:rsidR="00F06D73" w:rsidRPr="008E3C5B" w:rsidRDefault="00F06D73" w:rsidP="00E27725">
            <w:pPr>
              <w:jc w:val="both"/>
              <w:rPr>
                <w:rFonts w:eastAsia="Calibri" w:cs="Arial"/>
                <w:i/>
              </w:rPr>
            </w:pPr>
            <w:r w:rsidRPr="008E3C5B">
              <w:rPr>
                <w:rFonts w:eastAsia="Calibri" w:cs="Arial"/>
                <w:i/>
              </w:rPr>
              <w:t>.028</w:t>
            </w:r>
          </w:p>
          <w:p w:rsidR="00F06D73" w:rsidRPr="008E3C5B" w:rsidRDefault="00F06D73" w:rsidP="00E27725">
            <w:pPr>
              <w:jc w:val="both"/>
              <w:rPr>
                <w:rFonts w:eastAsia="Calibri" w:cs="Arial"/>
                <w:i/>
              </w:rPr>
            </w:pPr>
            <w:r w:rsidRPr="008E3C5B">
              <w:rPr>
                <w:rFonts w:eastAsia="Calibri" w:cs="Arial"/>
                <w:i/>
              </w:rPr>
              <w:t>.009</w:t>
            </w:r>
          </w:p>
        </w:tc>
      </w:tr>
    </w:tbl>
    <w:p w:rsidR="00F06D73" w:rsidRPr="008E3C5B" w:rsidRDefault="00F06D73" w:rsidP="00F06D73">
      <w:pPr>
        <w:spacing w:line="240" w:lineRule="auto"/>
        <w:ind w:right="-2"/>
        <w:jc w:val="both"/>
        <w:rPr>
          <w:rFonts w:ascii="Arial" w:eastAsia="Calibri" w:hAnsi="Arial" w:cs="Arial"/>
          <w:i/>
        </w:rPr>
      </w:pPr>
    </w:p>
    <w:p w:rsidR="00F06D73" w:rsidRPr="008E3C5B" w:rsidRDefault="00F06D73" w:rsidP="00F06D73">
      <w:pPr>
        <w:spacing w:line="240" w:lineRule="auto"/>
        <w:ind w:right="-2"/>
        <w:jc w:val="both"/>
        <w:rPr>
          <w:rFonts w:ascii="Arial" w:eastAsia="Calibri" w:hAnsi="Arial" w:cs="Arial"/>
          <w:i/>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Default="00F06D73" w:rsidP="00F06D73">
      <w:pPr>
        <w:spacing w:after="160"/>
        <w:jc w:val="both"/>
        <w:rPr>
          <w:rFonts w:ascii="Arial" w:eastAsia="Calibri" w:hAnsi="Arial" w:cs="Arial"/>
        </w:rPr>
      </w:pPr>
    </w:p>
    <w:p w:rsidR="00F06D73" w:rsidRDefault="00F06D73" w:rsidP="00F06D73">
      <w:pPr>
        <w:spacing w:after="160"/>
        <w:jc w:val="both"/>
        <w:rPr>
          <w:rFonts w:ascii="Arial" w:eastAsia="Calibri" w:hAnsi="Arial" w:cs="Arial"/>
        </w:rPr>
      </w:pPr>
    </w:p>
    <w:p w:rsidR="00F06D73"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p>
    <w:p w:rsidR="00F06D73" w:rsidRPr="008E3C5B" w:rsidRDefault="00F06D73" w:rsidP="00F06D73">
      <w:pPr>
        <w:spacing w:after="160"/>
        <w:jc w:val="both"/>
        <w:rPr>
          <w:rFonts w:ascii="Arial" w:eastAsia="Calibri" w:hAnsi="Arial" w:cs="Arial"/>
        </w:rPr>
      </w:pPr>
      <w:r w:rsidRPr="008E3C5B">
        <w:rPr>
          <w:rFonts w:ascii="Arial" w:eastAsia="Calibri" w:hAnsi="Arial" w:cs="Arial"/>
        </w:rPr>
        <w:t>Table 6</w:t>
      </w:r>
    </w:p>
    <w:p w:rsidR="00F06D73" w:rsidRPr="008E3C5B" w:rsidRDefault="00F06D73" w:rsidP="00F06D73">
      <w:pPr>
        <w:spacing w:after="160"/>
        <w:jc w:val="both"/>
        <w:rPr>
          <w:rFonts w:ascii="Arial" w:eastAsia="Calibri" w:hAnsi="Arial" w:cs="Arial"/>
          <w:i/>
        </w:rPr>
      </w:pPr>
      <w:r w:rsidRPr="008E3C5B">
        <w:rPr>
          <w:rFonts w:ascii="Arial" w:eastAsia="Calibri" w:hAnsi="Arial" w:cs="Arial"/>
          <w:i/>
        </w:rPr>
        <w:t>Logit values, AUCs, and percentage improvements in correctly predicted cases compared to a base rate “best guess” for logistic regression models.</w:t>
      </w:r>
    </w:p>
    <w:tbl>
      <w:tblPr>
        <w:tblW w:w="5001" w:type="pct"/>
        <w:tblLayout w:type="fixed"/>
        <w:tblLook w:val="0600" w:firstRow="0" w:lastRow="0" w:firstColumn="0" w:lastColumn="0" w:noHBand="1" w:noVBand="1"/>
      </w:tblPr>
      <w:tblGrid>
        <w:gridCol w:w="2613"/>
        <w:gridCol w:w="1159"/>
        <w:gridCol w:w="1163"/>
        <w:gridCol w:w="970"/>
        <w:gridCol w:w="875"/>
        <w:gridCol w:w="1302"/>
        <w:gridCol w:w="1206"/>
      </w:tblGrid>
      <w:tr w:rsidR="00F06D73" w:rsidRPr="008E3C5B" w:rsidTr="00E27725">
        <w:tc>
          <w:tcPr>
            <w:tcW w:w="1407" w:type="pct"/>
            <w:tcBorders>
              <w:bottom w:val="single" w:sz="4" w:space="0" w:color="auto"/>
            </w:tcBorders>
            <w:hideMark/>
          </w:tcPr>
          <w:p w:rsidR="00F06D73" w:rsidRPr="008E3C5B" w:rsidRDefault="00F06D73" w:rsidP="00E27725">
            <w:pPr>
              <w:spacing w:after="160"/>
              <w:jc w:val="both"/>
              <w:rPr>
                <w:rFonts w:ascii="Arial" w:eastAsia="Calibri" w:hAnsi="Arial" w:cs="Arial"/>
              </w:rPr>
            </w:pPr>
          </w:p>
        </w:tc>
        <w:tc>
          <w:tcPr>
            <w:tcW w:w="624" w:type="pct"/>
            <w:tcBorders>
              <w:bottom w:val="single" w:sz="4" w:space="0" w:color="auto"/>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bCs/>
              </w:rPr>
              <w:t>Burglary</w:t>
            </w:r>
          </w:p>
        </w:tc>
        <w:tc>
          <w:tcPr>
            <w:tcW w:w="626" w:type="pct"/>
            <w:tcBorders>
              <w:bottom w:val="single" w:sz="4" w:space="0" w:color="auto"/>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bCs/>
              </w:rPr>
              <w:t>Criminal Damage</w:t>
            </w:r>
          </w:p>
        </w:tc>
        <w:tc>
          <w:tcPr>
            <w:tcW w:w="522" w:type="pct"/>
            <w:tcBorders>
              <w:bottom w:val="single" w:sz="4" w:space="0" w:color="auto"/>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bCs/>
              </w:rPr>
              <w:t>Fraud</w:t>
            </w:r>
          </w:p>
        </w:tc>
        <w:tc>
          <w:tcPr>
            <w:tcW w:w="471" w:type="pct"/>
            <w:tcBorders>
              <w:bottom w:val="single" w:sz="4" w:space="0" w:color="auto"/>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bCs/>
              </w:rPr>
              <w:t>Theft</w:t>
            </w:r>
          </w:p>
        </w:tc>
        <w:tc>
          <w:tcPr>
            <w:tcW w:w="701" w:type="pct"/>
            <w:tcBorders>
              <w:bottom w:val="single" w:sz="4" w:space="0" w:color="auto"/>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bCs/>
              </w:rPr>
              <w:t>Weapons</w:t>
            </w:r>
          </w:p>
        </w:tc>
        <w:tc>
          <w:tcPr>
            <w:tcW w:w="649" w:type="pct"/>
            <w:tcBorders>
              <w:bottom w:val="single" w:sz="4" w:space="0" w:color="auto"/>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bCs/>
              </w:rPr>
              <w:t>Violence</w:t>
            </w:r>
          </w:p>
        </w:tc>
      </w:tr>
      <w:tr w:rsidR="00F06D73" w:rsidRPr="008E3C5B" w:rsidTr="00E27725">
        <w:tc>
          <w:tcPr>
            <w:tcW w:w="1407" w:type="pct"/>
            <w:tcBorders>
              <w:top w:val="nil"/>
              <w:bottom w:val="nil"/>
            </w:tcBorders>
          </w:tcPr>
          <w:p w:rsidR="00F06D73" w:rsidRPr="008E3C5B" w:rsidRDefault="00F06D73" w:rsidP="00E27725">
            <w:pPr>
              <w:spacing w:after="160"/>
              <w:jc w:val="both"/>
              <w:rPr>
                <w:rFonts w:ascii="Arial" w:eastAsia="Calibri" w:hAnsi="Arial" w:cs="Arial"/>
                <w:i/>
              </w:rPr>
            </w:pPr>
            <w:r w:rsidRPr="008E3C5B">
              <w:rPr>
                <w:rFonts w:ascii="Arial" w:eastAsia="Calibri" w:hAnsi="Arial" w:cs="Arial"/>
                <w:i/>
              </w:rPr>
              <w:t>Model constant</w:t>
            </w:r>
          </w:p>
        </w:tc>
        <w:tc>
          <w:tcPr>
            <w:tcW w:w="624" w:type="pct"/>
            <w:tcBorders>
              <w:top w:val="nil"/>
              <w:bottom w:val="nil"/>
            </w:tcBorders>
          </w:tcPr>
          <w:p w:rsidR="00F06D73" w:rsidRPr="008E3C5B" w:rsidRDefault="00F06D73" w:rsidP="00E27725">
            <w:pPr>
              <w:spacing w:after="160"/>
              <w:jc w:val="both"/>
              <w:rPr>
                <w:rFonts w:ascii="Arial" w:eastAsia="Calibri" w:hAnsi="Arial" w:cs="Arial"/>
                <w:i/>
              </w:rPr>
            </w:pPr>
            <w:r w:rsidRPr="008E3C5B">
              <w:rPr>
                <w:rFonts w:ascii="Arial" w:eastAsia="Calibri" w:hAnsi="Arial" w:cs="Arial"/>
                <w:i/>
              </w:rPr>
              <w:t>-.830</w:t>
            </w:r>
          </w:p>
        </w:tc>
        <w:tc>
          <w:tcPr>
            <w:tcW w:w="626" w:type="pct"/>
            <w:tcBorders>
              <w:top w:val="nil"/>
              <w:bottom w:val="nil"/>
            </w:tcBorders>
          </w:tcPr>
          <w:p w:rsidR="00F06D73" w:rsidRPr="008E3C5B" w:rsidRDefault="00F06D73" w:rsidP="00E27725">
            <w:pPr>
              <w:spacing w:after="160"/>
              <w:jc w:val="both"/>
              <w:rPr>
                <w:rFonts w:ascii="Arial" w:eastAsia="Calibri" w:hAnsi="Arial" w:cs="Arial"/>
                <w:i/>
              </w:rPr>
            </w:pPr>
            <w:r w:rsidRPr="008E3C5B">
              <w:rPr>
                <w:rFonts w:ascii="Arial" w:eastAsia="Calibri" w:hAnsi="Arial" w:cs="Arial"/>
                <w:i/>
              </w:rPr>
              <w:t>-.744</w:t>
            </w:r>
          </w:p>
        </w:tc>
        <w:tc>
          <w:tcPr>
            <w:tcW w:w="522" w:type="pct"/>
            <w:tcBorders>
              <w:top w:val="nil"/>
              <w:bottom w:val="nil"/>
            </w:tcBorders>
          </w:tcPr>
          <w:p w:rsidR="00F06D73" w:rsidRPr="008E3C5B" w:rsidRDefault="00F06D73" w:rsidP="00E27725">
            <w:pPr>
              <w:spacing w:after="160"/>
              <w:jc w:val="both"/>
              <w:rPr>
                <w:rFonts w:ascii="Arial" w:eastAsia="Calibri" w:hAnsi="Arial" w:cs="Arial"/>
                <w:i/>
              </w:rPr>
            </w:pPr>
            <w:r w:rsidRPr="008E3C5B">
              <w:rPr>
                <w:rFonts w:ascii="Arial" w:eastAsia="Calibri" w:hAnsi="Arial" w:cs="Arial"/>
                <w:i/>
              </w:rPr>
              <w:t>-1.744</w:t>
            </w:r>
          </w:p>
        </w:tc>
        <w:tc>
          <w:tcPr>
            <w:tcW w:w="471" w:type="pct"/>
            <w:tcBorders>
              <w:top w:val="nil"/>
              <w:bottom w:val="nil"/>
            </w:tcBorders>
          </w:tcPr>
          <w:p w:rsidR="00F06D73" w:rsidRPr="008E3C5B" w:rsidRDefault="00F06D73" w:rsidP="00E27725">
            <w:pPr>
              <w:spacing w:after="160"/>
              <w:jc w:val="both"/>
              <w:rPr>
                <w:rFonts w:ascii="Arial" w:eastAsia="Calibri" w:hAnsi="Arial" w:cs="Arial"/>
                <w:i/>
              </w:rPr>
            </w:pPr>
            <w:r w:rsidRPr="008E3C5B">
              <w:rPr>
                <w:rFonts w:ascii="Arial" w:eastAsia="Calibri" w:hAnsi="Arial" w:cs="Arial"/>
                <w:i/>
              </w:rPr>
              <w:t>.171</w:t>
            </w:r>
          </w:p>
        </w:tc>
        <w:tc>
          <w:tcPr>
            <w:tcW w:w="701" w:type="pct"/>
            <w:tcBorders>
              <w:top w:val="nil"/>
              <w:bottom w:val="nil"/>
            </w:tcBorders>
          </w:tcPr>
          <w:p w:rsidR="00F06D73" w:rsidRPr="008E3C5B" w:rsidRDefault="00F06D73" w:rsidP="00E27725">
            <w:pPr>
              <w:spacing w:after="160"/>
              <w:jc w:val="both"/>
              <w:rPr>
                <w:rFonts w:ascii="Arial" w:eastAsia="Calibri" w:hAnsi="Arial" w:cs="Arial"/>
                <w:i/>
              </w:rPr>
            </w:pPr>
            <w:r w:rsidRPr="008E3C5B">
              <w:rPr>
                <w:rFonts w:ascii="Arial" w:eastAsia="Calibri" w:hAnsi="Arial" w:cs="Arial"/>
                <w:i/>
              </w:rPr>
              <w:t>-.954</w:t>
            </w:r>
          </w:p>
        </w:tc>
        <w:tc>
          <w:tcPr>
            <w:tcW w:w="649" w:type="pct"/>
            <w:tcBorders>
              <w:top w:val="nil"/>
              <w:bottom w:val="nil"/>
            </w:tcBorders>
          </w:tcPr>
          <w:p w:rsidR="00F06D73" w:rsidRPr="008E3C5B" w:rsidRDefault="00F06D73" w:rsidP="00E27725">
            <w:pPr>
              <w:spacing w:after="160"/>
              <w:jc w:val="both"/>
              <w:rPr>
                <w:rFonts w:ascii="Arial" w:eastAsia="Calibri" w:hAnsi="Arial" w:cs="Arial"/>
                <w:i/>
              </w:rPr>
            </w:pPr>
            <w:r w:rsidRPr="008E3C5B">
              <w:rPr>
                <w:rFonts w:ascii="Arial" w:eastAsia="Calibri" w:hAnsi="Arial" w:cs="Arial"/>
                <w:i/>
              </w:rPr>
              <w:t>-.076</w:t>
            </w:r>
          </w:p>
        </w:tc>
      </w:tr>
      <w:tr w:rsidR="00F06D73" w:rsidRPr="008E3C5B" w:rsidTr="00E27725">
        <w:tc>
          <w:tcPr>
            <w:tcW w:w="1407" w:type="pct"/>
            <w:tcBorders>
              <w:top w:val="nil"/>
              <w:bottom w:val="nil"/>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Precautions scene</w:t>
            </w:r>
          </w:p>
        </w:tc>
        <w:tc>
          <w:tcPr>
            <w:tcW w:w="624"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626"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522"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471"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701" w:type="pct"/>
            <w:tcBorders>
              <w:top w:val="nil"/>
              <w:bottom w:val="nil"/>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-1.061</w:t>
            </w:r>
          </w:p>
        </w:tc>
        <w:tc>
          <w:tcPr>
            <w:tcW w:w="649" w:type="pct"/>
            <w:tcBorders>
              <w:top w:val="nil"/>
              <w:bottom w:val="nil"/>
            </w:tcBorders>
            <w:hideMark/>
          </w:tcPr>
          <w:p w:rsidR="00F06D73" w:rsidRPr="008E3C5B" w:rsidRDefault="00F06D73" w:rsidP="00E27725">
            <w:pPr>
              <w:spacing w:after="160"/>
              <w:jc w:val="both"/>
              <w:rPr>
                <w:rFonts w:ascii="Arial" w:eastAsia="Calibri" w:hAnsi="Arial" w:cs="Arial"/>
              </w:rPr>
            </w:pPr>
          </w:p>
        </w:tc>
      </w:tr>
      <w:tr w:rsidR="00F06D73" w:rsidRPr="008E3C5B" w:rsidTr="00E27725">
        <w:tc>
          <w:tcPr>
            <w:tcW w:w="1407" w:type="pct"/>
            <w:tcBorders>
              <w:top w:val="nil"/>
              <w:bottom w:val="nil"/>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Vaginal penetration</w:t>
            </w:r>
          </w:p>
        </w:tc>
        <w:tc>
          <w:tcPr>
            <w:tcW w:w="624"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626"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522"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471" w:type="pct"/>
            <w:tcBorders>
              <w:top w:val="nil"/>
              <w:bottom w:val="nil"/>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-.768</w:t>
            </w:r>
          </w:p>
        </w:tc>
        <w:tc>
          <w:tcPr>
            <w:tcW w:w="701"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649" w:type="pct"/>
            <w:tcBorders>
              <w:top w:val="nil"/>
              <w:bottom w:val="nil"/>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-.710</w:t>
            </w:r>
          </w:p>
        </w:tc>
      </w:tr>
      <w:tr w:rsidR="00F06D73" w:rsidRPr="008E3C5B" w:rsidTr="00E27725">
        <w:tc>
          <w:tcPr>
            <w:tcW w:w="1407" w:type="pct"/>
            <w:tcBorders>
              <w:top w:val="nil"/>
              <w:bottom w:val="nil"/>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Victim naked</w:t>
            </w:r>
          </w:p>
        </w:tc>
        <w:tc>
          <w:tcPr>
            <w:tcW w:w="624"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626"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522" w:type="pct"/>
            <w:tcBorders>
              <w:top w:val="nil"/>
              <w:bottom w:val="nil"/>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.712</w:t>
            </w:r>
          </w:p>
        </w:tc>
        <w:tc>
          <w:tcPr>
            <w:tcW w:w="471"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701"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649" w:type="pct"/>
            <w:tcBorders>
              <w:top w:val="nil"/>
              <w:bottom w:val="nil"/>
            </w:tcBorders>
            <w:hideMark/>
          </w:tcPr>
          <w:p w:rsidR="00F06D73" w:rsidRPr="008E3C5B" w:rsidRDefault="00F06D73" w:rsidP="00E27725">
            <w:pPr>
              <w:spacing w:after="160"/>
              <w:jc w:val="both"/>
              <w:rPr>
                <w:rFonts w:ascii="Arial" w:eastAsia="Calibri" w:hAnsi="Arial" w:cs="Arial"/>
              </w:rPr>
            </w:pPr>
          </w:p>
        </w:tc>
      </w:tr>
      <w:tr w:rsidR="00F06D73" w:rsidRPr="008E3C5B" w:rsidTr="00E27725">
        <w:tc>
          <w:tcPr>
            <w:tcW w:w="1407" w:type="pct"/>
            <w:tcBorders>
              <w:top w:val="nil"/>
              <w:bottom w:val="nil"/>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Weapon brought by offender</w:t>
            </w:r>
          </w:p>
        </w:tc>
        <w:tc>
          <w:tcPr>
            <w:tcW w:w="624"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626"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522"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471" w:type="pct"/>
            <w:tcBorders>
              <w:top w:val="nil"/>
              <w:bottom w:val="nil"/>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-.949</w:t>
            </w:r>
          </w:p>
        </w:tc>
        <w:tc>
          <w:tcPr>
            <w:tcW w:w="701"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649" w:type="pct"/>
            <w:tcBorders>
              <w:top w:val="nil"/>
              <w:bottom w:val="nil"/>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-1.246</w:t>
            </w:r>
          </w:p>
        </w:tc>
      </w:tr>
      <w:tr w:rsidR="00F06D73" w:rsidRPr="008E3C5B" w:rsidTr="00E27725">
        <w:tc>
          <w:tcPr>
            <w:tcW w:w="1407" w:type="pct"/>
            <w:tcBorders>
              <w:top w:val="nil"/>
              <w:bottom w:val="nil"/>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Bludgeoning weapon</w:t>
            </w:r>
          </w:p>
        </w:tc>
        <w:tc>
          <w:tcPr>
            <w:tcW w:w="624"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626"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522" w:type="pct"/>
            <w:tcBorders>
              <w:top w:val="nil"/>
              <w:bottom w:val="nil"/>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.847</w:t>
            </w:r>
          </w:p>
        </w:tc>
        <w:tc>
          <w:tcPr>
            <w:tcW w:w="471"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701"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649" w:type="pct"/>
            <w:tcBorders>
              <w:top w:val="nil"/>
              <w:bottom w:val="nil"/>
            </w:tcBorders>
            <w:hideMark/>
          </w:tcPr>
          <w:p w:rsidR="00F06D73" w:rsidRPr="008E3C5B" w:rsidRDefault="00F06D73" w:rsidP="00E27725">
            <w:pPr>
              <w:spacing w:after="160"/>
              <w:jc w:val="both"/>
              <w:rPr>
                <w:rFonts w:ascii="Arial" w:eastAsia="Calibri" w:hAnsi="Arial" w:cs="Arial"/>
              </w:rPr>
            </w:pPr>
          </w:p>
        </w:tc>
      </w:tr>
      <w:tr w:rsidR="00F06D73" w:rsidRPr="008E3C5B" w:rsidTr="00E27725">
        <w:tc>
          <w:tcPr>
            <w:tcW w:w="1407" w:type="pct"/>
            <w:tcBorders>
              <w:top w:val="nil"/>
              <w:bottom w:val="nil"/>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Death blunt force</w:t>
            </w:r>
          </w:p>
        </w:tc>
        <w:tc>
          <w:tcPr>
            <w:tcW w:w="624"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626" w:type="pct"/>
            <w:tcBorders>
              <w:top w:val="nil"/>
              <w:bottom w:val="nil"/>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.640</w:t>
            </w:r>
          </w:p>
        </w:tc>
        <w:tc>
          <w:tcPr>
            <w:tcW w:w="522"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471"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701"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649" w:type="pct"/>
            <w:tcBorders>
              <w:top w:val="nil"/>
              <w:bottom w:val="nil"/>
            </w:tcBorders>
            <w:hideMark/>
          </w:tcPr>
          <w:p w:rsidR="00F06D73" w:rsidRPr="008E3C5B" w:rsidRDefault="00F06D73" w:rsidP="00E27725">
            <w:pPr>
              <w:spacing w:after="160"/>
              <w:jc w:val="both"/>
              <w:rPr>
                <w:rFonts w:ascii="Arial" w:eastAsia="Calibri" w:hAnsi="Arial" w:cs="Arial"/>
              </w:rPr>
            </w:pPr>
          </w:p>
        </w:tc>
      </w:tr>
      <w:tr w:rsidR="00F06D73" w:rsidRPr="008E3C5B" w:rsidTr="00E27725">
        <w:tc>
          <w:tcPr>
            <w:tcW w:w="1407" w:type="pct"/>
            <w:tcBorders>
              <w:top w:val="nil"/>
              <w:bottom w:val="nil"/>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Death asphyxia/strang.</w:t>
            </w:r>
          </w:p>
        </w:tc>
        <w:tc>
          <w:tcPr>
            <w:tcW w:w="624"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626"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522"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471" w:type="pct"/>
            <w:tcBorders>
              <w:top w:val="nil"/>
              <w:bottom w:val="nil"/>
            </w:tcBorders>
            <w:hideMark/>
          </w:tcPr>
          <w:p w:rsidR="00F06D73" w:rsidRPr="008E3C5B" w:rsidRDefault="00F06D73" w:rsidP="00E27725">
            <w:pPr>
              <w:spacing w:after="160"/>
              <w:jc w:val="both"/>
              <w:rPr>
                <w:rFonts w:ascii="Arial" w:eastAsia="Calibri" w:hAnsi="Arial" w:cs="Arial"/>
              </w:rPr>
            </w:pPr>
          </w:p>
        </w:tc>
        <w:tc>
          <w:tcPr>
            <w:tcW w:w="701" w:type="pct"/>
            <w:tcBorders>
              <w:top w:val="nil"/>
              <w:bottom w:val="nil"/>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-1.274</w:t>
            </w:r>
          </w:p>
        </w:tc>
        <w:tc>
          <w:tcPr>
            <w:tcW w:w="649" w:type="pct"/>
            <w:tcBorders>
              <w:top w:val="nil"/>
              <w:bottom w:val="nil"/>
            </w:tcBorders>
            <w:hideMark/>
          </w:tcPr>
          <w:p w:rsidR="00F06D73" w:rsidRPr="008E3C5B" w:rsidRDefault="00F06D73" w:rsidP="00E27725">
            <w:pPr>
              <w:spacing w:after="160"/>
              <w:jc w:val="both"/>
              <w:rPr>
                <w:rFonts w:ascii="Arial" w:eastAsia="Calibri" w:hAnsi="Arial" w:cs="Arial"/>
              </w:rPr>
            </w:pPr>
          </w:p>
        </w:tc>
      </w:tr>
      <w:tr w:rsidR="00F06D73" w:rsidRPr="008E3C5B" w:rsidTr="00E27725">
        <w:tc>
          <w:tcPr>
            <w:tcW w:w="1407" w:type="pct"/>
            <w:tcBorders>
              <w:top w:val="nil"/>
              <w:bottom w:val="nil"/>
            </w:tcBorders>
          </w:tcPr>
          <w:p w:rsidR="00F06D73" w:rsidRPr="008E3C5B" w:rsidRDefault="00F06D73" w:rsidP="00E27725">
            <w:pPr>
              <w:spacing w:after="160"/>
              <w:jc w:val="both"/>
              <w:rPr>
                <w:rFonts w:ascii="Arial" w:eastAsia="Calibri" w:hAnsi="Arial" w:cs="Arial"/>
              </w:rPr>
            </w:pPr>
            <w:r w:rsidRPr="008E3C5B">
              <w:rPr>
                <w:rFonts w:ascii="Arial" w:eastAsia="Calibri" w:hAnsi="Arial" w:cs="Arial"/>
              </w:rPr>
              <w:t>Vehicle used</w:t>
            </w:r>
          </w:p>
        </w:tc>
        <w:tc>
          <w:tcPr>
            <w:tcW w:w="624" w:type="pct"/>
            <w:tcBorders>
              <w:top w:val="nil"/>
              <w:bottom w:val="nil"/>
            </w:tcBorders>
          </w:tcPr>
          <w:p w:rsidR="00F06D73" w:rsidRPr="008E3C5B" w:rsidRDefault="00F06D73" w:rsidP="00E27725">
            <w:pPr>
              <w:spacing w:after="160"/>
              <w:jc w:val="both"/>
              <w:rPr>
                <w:rFonts w:ascii="Arial" w:eastAsia="Calibri" w:hAnsi="Arial" w:cs="Arial"/>
              </w:rPr>
            </w:pPr>
          </w:p>
        </w:tc>
        <w:tc>
          <w:tcPr>
            <w:tcW w:w="626" w:type="pct"/>
            <w:tcBorders>
              <w:top w:val="nil"/>
              <w:bottom w:val="nil"/>
            </w:tcBorders>
          </w:tcPr>
          <w:p w:rsidR="00F06D73" w:rsidRPr="008E3C5B" w:rsidRDefault="00F06D73" w:rsidP="00E27725">
            <w:pPr>
              <w:spacing w:after="160"/>
              <w:jc w:val="both"/>
              <w:rPr>
                <w:rFonts w:ascii="Arial" w:eastAsia="Calibri" w:hAnsi="Arial" w:cs="Arial"/>
              </w:rPr>
            </w:pPr>
            <w:r w:rsidRPr="008E3C5B">
              <w:rPr>
                <w:rFonts w:ascii="Arial" w:eastAsia="Calibri" w:hAnsi="Arial" w:cs="Arial"/>
              </w:rPr>
              <w:t>-.915</w:t>
            </w:r>
          </w:p>
        </w:tc>
        <w:tc>
          <w:tcPr>
            <w:tcW w:w="522" w:type="pct"/>
            <w:tcBorders>
              <w:top w:val="nil"/>
              <w:bottom w:val="nil"/>
            </w:tcBorders>
          </w:tcPr>
          <w:p w:rsidR="00F06D73" w:rsidRPr="008E3C5B" w:rsidRDefault="00F06D73" w:rsidP="00E27725">
            <w:pPr>
              <w:spacing w:after="160"/>
              <w:jc w:val="both"/>
              <w:rPr>
                <w:rFonts w:ascii="Arial" w:eastAsia="Calibri" w:hAnsi="Arial" w:cs="Arial"/>
              </w:rPr>
            </w:pPr>
          </w:p>
        </w:tc>
        <w:tc>
          <w:tcPr>
            <w:tcW w:w="471" w:type="pct"/>
            <w:tcBorders>
              <w:top w:val="nil"/>
              <w:bottom w:val="nil"/>
            </w:tcBorders>
          </w:tcPr>
          <w:p w:rsidR="00F06D73" w:rsidRPr="008E3C5B" w:rsidRDefault="00F06D73" w:rsidP="00E27725">
            <w:pPr>
              <w:spacing w:after="160"/>
              <w:jc w:val="both"/>
              <w:rPr>
                <w:rFonts w:ascii="Arial" w:eastAsia="Calibri" w:hAnsi="Arial" w:cs="Arial"/>
              </w:rPr>
            </w:pPr>
          </w:p>
        </w:tc>
        <w:tc>
          <w:tcPr>
            <w:tcW w:w="701" w:type="pct"/>
            <w:tcBorders>
              <w:top w:val="nil"/>
              <w:bottom w:val="nil"/>
            </w:tcBorders>
          </w:tcPr>
          <w:p w:rsidR="00F06D73" w:rsidRPr="008E3C5B" w:rsidRDefault="00F06D73" w:rsidP="00E27725">
            <w:pPr>
              <w:spacing w:after="160"/>
              <w:jc w:val="both"/>
              <w:rPr>
                <w:rFonts w:ascii="Arial" w:eastAsia="Calibri" w:hAnsi="Arial" w:cs="Arial"/>
              </w:rPr>
            </w:pPr>
          </w:p>
        </w:tc>
        <w:tc>
          <w:tcPr>
            <w:tcW w:w="649" w:type="pct"/>
            <w:tcBorders>
              <w:top w:val="nil"/>
              <w:bottom w:val="nil"/>
            </w:tcBorders>
          </w:tcPr>
          <w:p w:rsidR="00F06D73" w:rsidRPr="008E3C5B" w:rsidRDefault="00F06D73" w:rsidP="00E27725">
            <w:pPr>
              <w:spacing w:after="160"/>
              <w:jc w:val="both"/>
              <w:rPr>
                <w:rFonts w:ascii="Arial" w:eastAsia="Calibri" w:hAnsi="Arial" w:cs="Arial"/>
              </w:rPr>
            </w:pPr>
          </w:p>
        </w:tc>
      </w:tr>
      <w:tr w:rsidR="00F06D73" w:rsidRPr="008E3C5B" w:rsidTr="00E27725">
        <w:tc>
          <w:tcPr>
            <w:tcW w:w="1407" w:type="pct"/>
            <w:tcBorders>
              <w:top w:val="nil"/>
              <w:bottom w:val="single" w:sz="4" w:space="0" w:color="auto"/>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Burglary element</w:t>
            </w:r>
          </w:p>
        </w:tc>
        <w:tc>
          <w:tcPr>
            <w:tcW w:w="624" w:type="pct"/>
            <w:tcBorders>
              <w:top w:val="nil"/>
              <w:bottom w:val="single" w:sz="4" w:space="0" w:color="auto"/>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.964</w:t>
            </w:r>
          </w:p>
        </w:tc>
        <w:tc>
          <w:tcPr>
            <w:tcW w:w="626" w:type="pct"/>
            <w:tcBorders>
              <w:top w:val="nil"/>
              <w:bottom w:val="single" w:sz="4" w:space="0" w:color="auto"/>
            </w:tcBorders>
            <w:hideMark/>
          </w:tcPr>
          <w:p w:rsidR="00F06D73" w:rsidRPr="008E3C5B" w:rsidRDefault="00F06D73" w:rsidP="00E27725">
            <w:pPr>
              <w:spacing w:after="160"/>
              <w:jc w:val="both"/>
              <w:rPr>
                <w:rFonts w:ascii="Arial" w:eastAsia="Calibri" w:hAnsi="Arial" w:cs="Arial"/>
              </w:rPr>
            </w:pPr>
          </w:p>
        </w:tc>
        <w:tc>
          <w:tcPr>
            <w:tcW w:w="522" w:type="pct"/>
            <w:tcBorders>
              <w:top w:val="nil"/>
              <w:bottom w:val="single" w:sz="4" w:space="0" w:color="auto"/>
            </w:tcBorders>
            <w:hideMark/>
          </w:tcPr>
          <w:p w:rsidR="00F06D73" w:rsidRPr="008E3C5B" w:rsidRDefault="00F06D73" w:rsidP="00E27725">
            <w:pPr>
              <w:spacing w:after="160"/>
              <w:jc w:val="both"/>
              <w:rPr>
                <w:rFonts w:ascii="Arial" w:eastAsia="Calibri" w:hAnsi="Arial" w:cs="Arial"/>
              </w:rPr>
            </w:pPr>
          </w:p>
        </w:tc>
        <w:tc>
          <w:tcPr>
            <w:tcW w:w="471" w:type="pct"/>
            <w:tcBorders>
              <w:top w:val="nil"/>
              <w:bottom w:val="single" w:sz="4" w:space="0" w:color="auto"/>
            </w:tcBorders>
            <w:hideMark/>
          </w:tcPr>
          <w:p w:rsidR="00F06D73" w:rsidRPr="008E3C5B" w:rsidRDefault="00F06D73" w:rsidP="00E27725">
            <w:pPr>
              <w:spacing w:after="160"/>
              <w:jc w:val="both"/>
              <w:rPr>
                <w:rFonts w:ascii="Arial" w:eastAsia="Calibri" w:hAnsi="Arial" w:cs="Arial"/>
              </w:rPr>
            </w:pPr>
          </w:p>
        </w:tc>
        <w:tc>
          <w:tcPr>
            <w:tcW w:w="701" w:type="pct"/>
            <w:tcBorders>
              <w:top w:val="nil"/>
              <w:bottom w:val="single" w:sz="4" w:space="0" w:color="auto"/>
            </w:tcBorders>
            <w:hideMark/>
          </w:tcPr>
          <w:p w:rsidR="00F06D73" w:rsidRPr="008E3C5B" w:rsidRDefault="00F06D73" w:rsidP="00E27725">
            <w:pPr>
              <w:spacing w:after="160"/>
              <w:jc w:val="both"/>
              <w:rPr>
                <w:rFonts w:ascii="Arial" w:eastAsia="Calibri" w:hAnsi="Arial" w:cs="Arial"/>
              </w:rPr>
            </w:pPr>
          </w:p>
        </w:tc>
        <w:tc>
          <w:tcPr>
            <w:tcW w:w="649" w:type="pct"/>
            <w:tcBorders>
              <w:top w:val="nil"/>
              <w:bottom w:val="single" w:sz="4" w:space="0" w:color="auto"/>
            </w:tcBorders>
            <w:hideMark/>
          </w:tcPr>
          <w:p w:rsidR="00F06D73" w:rsidRPr="008E3C5B" w:rsidRDefault="00F06D73" w:rsidP="00E27725">
            <w:pPr>
              <w:spacing w:after="160"/>
              <w:jc w:val="both"/>
              <w:rPr>
                <w:rFonts w:ascii="Arial" w:eastAsia="Calibri" w:hAnsi="Arial" w:cs="Arial"/>
              </w:rPr>
            </w:pPr>
          </w:p>
        </w:tc>
      </w:tr>
      <w:tr w:rsidR="00F06D73" w:rsidRPr="008E3C5B" w:rsidTr="00E27725">
        <w:tc>
          <w:tcPr>
            <w:tcW w:w="1407" w:type="pct"/>
            <w:tcBorders>
              <w:top w:val="single" w:sz="4" w:space="0" w:color="auto"/>
              <w:bottom w:val="single" w:sz="4" w:space="0" w:color="auto"/>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AUC</w:t>
            </w:r>
          </w:p>
          <w:p w:rsidR="00F06D73" w:rsidRPr="008E3C5B" w:rsidRDefault="00F06D73" w:rsidP="00E27725">
            <w:pPr>
              <w:spacing w:after="160"/>
              <w:jc w:val="both"/>
              <w:rPr>
                <w:rFonts w:ascii="Arial" w:eastAsia="Calibri" w:hAnsi="Arial" w:cs="Arial"/>
                <w:i/>
              </w:rPr>
            </w:pPr>
            <w:r w:rsidRPr="008E3C5B">
              <w:rPr>
                <w:rFonts w:ascii="Arial" w:eastAsia="Calibri" w:hAnsi="Arial" w:cs="Arial"/>
              </w:rPr>
              <w:tab/>
            </w:r>
            <w:r w:rsidRPr="008E3C5B">
              <w:rPr>
                <w:rFonts w:ascii="Arial" w:eastAsia="Calibri" w:hAnsi="Arial" w:cs="Arial"/>
                <w:i/>
              </w:rPr>
              <w:t>[95% CI]</w:t>
            </w:r>
          </w:p>
        </w:tc>
        <w:tc>
          <w:tcPr>
            <w:tcW w:w="624" w:type="pct"/>
            <w:tcBorders>
              <w:top w:val="single" w:sz="4" w:space="0" w:color="auto"/>
              <w:bottom w:val="single" w:sz="4" w:space="0" w:color="auto"/>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.584</w:t>
            </w:r>
          </w:p>
          <w:p w:rsidR="00F06D73" w:rsidRPr="008E3C5B" w:rsidRDefault="00F06D73" w:rsidP="00E27725">
            <w:pPr>
              <w:spacing w:after="160"/>
              <w:jc w:val="both"/>
              <w:rPr>
                <w:rFonts w:ascii="Arial" w:eastAsia="Calibri" w:hAnsi="Arial" w:cs="Arial"/>
                <w:i/>
              </w:rPr>
            </w:pPr>
            <w:r w:rsidRPr="008E3C5B">
              <w:rPr>
                <w:rFonts w:ascii="Arial" w:eastAsia="Calibri" w:hAnsi="Arial" w:cs="Arial"/>
                <w:i/>
              </w:rPr>
              <w:t>[.502,     .666]</w:t>
            </w:r>
          </w:p>
        </w:tc>
        <w:tc>
          <w:tcPr>
            <w:tcW w:w="626" w:type="pct"/>
            <w:tcBorders>
              <w:top w:val="single" w:sz="4" w:space="0" w:color="auto"/>
              <w:bottom w:val="single" w:sz="4" w:space="0" w:color="auto"/>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.623</w:t>
            </w:r>
          </w:p>
          <w:p w:rsidR="00F06D73" w:rsidRPr="008E3C5B" w:rsidRDefault="00F06D73" w:rsidP="00E27725">
            <w:pPr>
              <w:spacing w:after="160"/>
              <w:jc w:val="both"/>
              <w:rPr>
                <w:rFonts w:ascii="Arial" w:eastAsia="Calibri" w:hAnsi="Arial" w:cs="Arial"/>
                <w:i/>
              </w:rPr>
            </w:pPr>
            <w:r w:rsidRPr="008E3C5B">
              <w:rPr>
                <w:rFonts w:ascii="Arial" w:eastAsia="Calibri" w:hAnsi="Arial" w:cs="Arial"/>
                <w:i/>
              </w:rPr>
              <w:t>[.545,  .701]</w:t>
            </w:r>
          </w:p>
        </w:tc>
        <w:tc>
          <w:tcPr>
            <w:tcW w:w="522" w:type="pct"/>
            <w:tcBorders>
              <w:top w:val="single" w:sz="4" w:space="0" w:color="auto"/>
              <w:bottom w:val="single" w:sz="4" w:space="0" w:color="auto"/>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.626</w:t>
            </w:r>
          </w:p>
          <w:p w:rsidR="00F06D73" w:rsidRPr="008E3C5B" w:rsidRDefault="00F06D73" w:rsidP="00E27725">
            <w:pPr>
              <w:spacing w:after="160"/>
              <w:jc w:val="both"/>
              <w:rPr>
                <w:rFonts w:ascii="Arial" w:eastAsia="Calibri" w:hAnsi="Arial" w:cs="Arial"/>
                <w:i/>
              </w:rPr>
            </w:pPr>
            <w:r w:rsidRPr="008E3C5B">
              <w:rPr>
                <w:rFonts w:ascii="Arial" w:eastAsia="Calibri" w:hAnsi="Arial" w:cs="Arial"/>
                <w:i/>
              </w:rPr>
              <w:t>[.532,  .721]</w:t>
            </w:r>
          </w:p>
        </w:tc>
        <w:tc>
          <w:tcPr>
            <w:tcW w:w="471" w:type="pct"/>
            <w:tcBorders>
              <w:top w:val="single" w:sz="4" w:space="0" w:color="auto"/>
              <w:bottom w:val="single" w:sz="4" w:space="0" w:color="auto"/>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.624</w:t>
            </w:r>
          </w:p>
          <w:p w:rsidR="00F06D73" w:rsidRPr="008E3C5B" w:rsidRDefault="00F06D73" w:rsidP="00E27725">
            <w:pPr>
              <w:spacing w:after="160"/>
              <w:jc w:val="both"/>
              <w:rPr>
                <w:rFonts w:ascii="Arial" w:eastAsia="Calibri" w:hAnsi="Arial" w:cs="Arial"/>
                <w:i/>
              </w:rPr>
            </w:pPr>
            <w:r w:rsidRPr="008E3C5B">
              <w:rPr>
                <w:rFonts w:ascii="Arial" w:eastAsia="Calibri" w:hAnsi="Arial" w:cs="Arial"/>
                <w:i/>
              </w:rPr>
              <w:t>[.549, .699]</w:t>
            </w:r>
          </w:p>
        </w:tc>
        <w:tc>
          <w:tcPr>
            <w:tcW w:w="701" w:type="pct"/>
            <w:tcBorders>
              <w:top w:val="single" w:sz="4" w:space="0" w:color="auto"/>
              <w:bottom w:val="single" w:sz="4" w:space="0" w:color="auto"/>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.662</w:t>
            </w:r>
          </w:p>
          <w:p w:rsidR="00F06D73" w:rsidRPr="008E3C5B" w:rsidRDefault="00F06D73" w:rsidP="00E27725">
            <w:pPr>
              <w:spacing w:after="160"/>
              <w:jc w:val="both"/>
              <w:rPr>
                <w:rFonts w:ascii="Arial" w:eastAsia="Calibri" w:hAnsi="Arial" w:cs="Arial"/>
                <w:i/>
              </w:rPr>
            </w:pPr>
            <w:r w:rsidRPr="008E3C5B">
              <w:rPr>
                <w:rFonts w:ascii="Arial" w:eastAsia="Calibri" w:hAnsi="Arial" w:cs="Arial"/>
                <w:i/>
              </w:rPr>
              <w:t>[.576, .748]</w:t>
            </w:r>
          </w:p>
        </w:tc>
        <w:tc>
          <w:tcPr>
            <w:tcW w:w="649" w:type="pct"/>
            <w:tcBorders>
              <w:top w:val="single" w:sz="4" w:space="0" w:color="auto"/>
              <w:bottom w:val="single" w:sz="4" w:space="0" w:color="auto"/>
            </w:tcBorders>
            <w:hideMark/>
          </w:tcPr>
          <w:p w:rsidR="00F06D73" w:rsidRPr="008E3C5B" w:rsidRDefault="00F06D73" w:rsidP="00E27725">
            <w:pPr>
              <w:spacing w:after="160"/>
              <w:jc w:val="both"/>
              <w:rPr>
                <w:rFonts w:ascii="Arial" w:eastAsia="Calibri" w:hAnsi="Arial" w:cs="Arial"/>
              </w:rPr>
            </w:pPr>
            <w:r w:rsidRPr="008E3C5B">
              <w:rPr>
                <w:rFonts w:ascii="Arial" w:eastAsia="Calibri" w:hAnsi="Arial" w:cs="Arial"/>
              </w:rPr>
              <w:t>.622</w:t>
            </w:r>
          </w:p>
          <w:p w:rsidR="00F06D73" w:rsidRPr="008E3C5B" w:rsidRDefault="00F06D73" w:rsidP="00E27725">
            <w:pPr>
              <w:spacing w:after="160"/>
              <w:jc w:val="both"/>
              <w:rPr>
                <w:rFonts w:ascii="Arial" w:eastAsia="Calibri" w:hAnsi="Arial" w:cs="Arial"/>
                <w:i/>
              </w:rPr>
            </w:pPr>
            <w:r w:rsidRPr="008E3C5B">
              <w:rPr>
                <w:rFonts w:ascii="Arial" w:eastAsia="Calibri" w:hAnsi="Arial" w:cs="Arial"/>
                <w:i/>
              </w:rPr>
              <w:t>[.547,  .697]</w:t>
            </w:r>
          </w:p>
        </w:tc>
      </w:tr>
      <w:tr w:rsidR="00F06D73" w:rsidRPr="008E3C5B" w:rsidTr="00E27725">
        <w:tc>
          <w:tcPr>
            <w:tcW w:w="1407" w:type="pct"/>
            <w:tcBorders>
              <w:top w:val="single" w:sz="4" w:space="0" w:color="auto"/>
              <w:bottom w:val="single" w:sz="4" w:space="0" w:color="auto"/>
            </w:tcBorders>
          </w:tcPr>
          <w:p w:rsidR="00F06D73" w:rsidRPr="008E3C5B" w:rsidRDefault="00F06D73" w:rsidP="00E27725">
            <w:pPr>
              <w:spacing w:after="160"/>
              <w:jc w:val="both"/>
              <w:rPr>
                <w:rFonts w:ascii="Arial" w:eastAsia="Calibri" w:hAnsi="Arial" w:cs="Arial"/>
              </w:rPr>
            </w:pPr>
            <w:r w:rsidRPr="008E3C5B">
              <w:rPr>
                <w:rFonts w:ascii="Arial" w:eastAsia="Calibri" w:hAnsi="Arial" w:cs="Arial"/>
              </w:rPr>
              <w:t>Difference to “best guess” in % correct</w:t>
            </w:r>
          </w:p>
        </w:tc>
        <w:tc>
          <w:tcPr>
            <w:tcW w:w="624" w:type="pct"/>
            <w:tcBorders>
              <w:top w:val="single" w:sz="4" w:space="0" w:color="auto"/>
              <w:bottom w:val="single" w:sz="4" w:space="0" w:color="auto"/>
            </w:tcBorders>
          </w:tcPr>
          <w:p w:rsidR="00F06D73" w:rsidRPr="008E3C5B" w:rsidRDefault="00F06D73" w:rsidP="00E27725">
            <w:pPr>
              <w:spacing w:after="160"/>
              <w:jc w:val="both"/>
              <w:rPr>
                <w:rFonts w:ascii="Arial" w:eastAsia="Calibri" w:hAnsi="Arial" w:cs="Arial"/>
              </w:rPr>
            </w:pPr>
            <w:r w:rsidRPr="008E3C5B">
              <w:rPr>
                <w:rFonts w:ascii="Arial" w:eastAsia="Calibri" w:hAnsi="Arial" w:cs="Arial"/>
              </w:rPr>
              <w:t>+1.4%</w:t>
            </w:r>
          </w:p>
        </w:tc>
        <w:tc>
          <w:tcPr>
            <w:tcW w:w="626" w:type="pct"/>
            <w:tcBorders>
              <w:top w:val="single" w:sz="4" w:space="0" w:color="auto"/>
              <w:bottom w:val="single" w:sz="4" w:space="0" w:color="auto"/>
            </w:tcBorders>
          </w:tcPr>
          <w:p w:rsidR="00F06D73" w:rsidRPr="008E3C5B" w:rsidRDefault="00F06D73" w:rsidP="00E27725">
            <w:pPr>
              <w:spacing w:after="160"/>
              <w:jc w:val="both"/>
              <w:rPr>
                <w:rFonts w:ascii="Arial" w:eastAsia="Calibri" w:hAnsi="Arial" w:cs="Arial"/>
                <w:vertAlign w:val="superscript"/>
              </w:rPr>
            </w:pPr>
            <w:r w:rsidRPr="008E3C5B">
              <w:rPr>
                <w:rFonts w:ascii="Arial" w:eastAsia="Calibri" w:hAnsi="Arial" w:cs="Arial"/>
              </w:rPr>
              <w:t>–*</w:t>
            </w:r>
          </w:p>
        </w:tc>
        <w:tc>
          <w:tcPr>
            <w:tcW w:w="522" w:type="pct"/>
            <w:tcBorders>
              <w:top w:val="single" w:sz="4" w:space="0" w:color="auto"/>
              <w:bottom w:val="single" w:sz="4" w:space="0" w:color="auto"/>
            </w:tcBorders>
          </w:tcPr>
          <w:p w:rsidR="00F06D73" w:rsidRPr="008E3C5B" w:rsidRDefault="00F06D73" w:rsidP="00E27725">
            <w:pPr>
              <w:spacing w:after="160"/>
              <w:jc w:val="both"/>
              <w:rPr>
                <w:rFonts w:ascii="Arial" w:eastAsia="Calibri" w:hAnsi="Arial" w:cs="Arial"/>
                <w:vertAlign w:val="superscript"/>
              </w:rPr>
            </w:pPr>
            <w:r w:rsidRPr="008E3C5B">
              <w:rPr>
                <w:rFonts w:ascii="Arial" w:eastAsia="Calibri" w:hAnsi="Arial" w:cs="Arial"/>
              </w:rPr>
              <w:t>–*</w:t>
            </w:r>
          </w:p>
        </w:tc>
        <w:tc>
          <w:tcPr>
            <w:tcW w:w="471" w:type="pct"/>
            <w:tcBorders>
              <w:top w:val="single" w:sz="4" w:space="0" w:color="auto"/>
              <w:bottom w:val="single" w:sz="4" w:space="0" w:color="auto"/>
            </w:tcBorders>
          </w:tcPr>
          <w:p w:rsidR="00F06D73" w:rsidRPr="008E3C5B" w:rsidRDefault="00F06D73" w:rsidP="00E27725">
            <w:pPr>
              <w:spacing w:after="160"/>
              <w:jc w:val="both"/>
              <w:rPr>
                <w:rFonts w:ascii="Arial" w:eastAsia="Calibri" w:hAnsi="Arial" w:cs="Arial"/>
              </w:rPr>
            </w:pPr>
            <w:r w:rsidRPr="008E3C5B">
              <w:rPr>
                <w:rFonts w:ascii="Arial" w:eastAsia="Calibri" w:hAnsi="Arial" w:cs="Arial"/>
              </w:rPr>
              <w:t>+6.1%</w:t>
            </w:r>
          </w:p>
        </w:tc>
        <w:tc>
          <w:tcPr>
            <w:tcW w:w="701" w:type="pct"/>
            <w:tcBorders>
              <w:top w:val="single" w:sz="4" w:space="0" w:color="auto"/>
              <w:bottom w:val="single" w:sz="4" w:space="0" w:color="auto"/>
            </w:tcBorders>
          </w:tcPr>
          <w:p w:rsidR="00F06D73" w:rsidRPr="008E3C5B" w:rsidRDefault="00F06D73" w:rsidP="00E27725">
            <w:pPr>
              <w:spacing w:after="160"/>
              <w:jc w:val="both"/>
              <w:rPr>
                <w:rFonts w:ascii="Arial" w:eastAsia="Calibri" w:hAnsi="Arial" w:cs="Arial"/>
                <w:vertAlign w:val="superscript"/>
              </w:rPr>
            </w:pPr>
            <w:r w:rsidRPr="008E3C5B">
              <w:rPr>
                <w:rFonts w:ascii="Arial" w:eastAsia="Calibri" w:hAnsi="Arial" w:cs="Arial"/>
              </w:rPr>
              <w:t>–*</w:t>
            </w:r>
          </w:p>
        </w:tc>
        <w:tc>
          <w:tcPr>
            <w:tcW w:w="649" w:type="pct"/>
            <w:tcBorders>
              <w:top w:val="single" w:sz="4" w:space="0" w:color="auto"/>
              <w:bottom w:val="single" w:sz="4" w:space="0" w:color="auto"/>
            </w:tcBorders>
          </w:tcPr>
          <w:p w:rsidR="00F06D73" w:rsidRPr="008E3C5B" w:rsidRDefault="00F06D73" w:rsidP="00E27725">
            <w:pPr>
              <w:spacing w:after="160"/>
              <w:jc w:val="both"/>
              <w:rPr>
                <w:rFonts w:ascii="Arial" w:eastAsia="Calibri" w:hAnsi="Arial" w:cs="Arial"/>
                <w:vertAlign w:val="superscript"/>
              </w:rPr>
            </w:pPr>
            <w:r w:rsidRPr="008E3C5B">
              <w:rPr>
                <w:rFonts w:ascii="Arial" w:eastAsia="Calibri" w:hAnsi="Arial" w:cs="Arial"/>
              </w:rPr>
              <w:t>–*</w:t>
            </w:r>
          </w:p>
        </w:tc>
      </w:tr>
    </w:tbl>
    <w:p w:rsidR="00F06D73" w:rsidRPr="008E3C5B" w:rsidRDefault="00F06D73" w:rsidP="00F06D73">
      <w:pPr>
        <w:spacing w:after="160"/>
        <w:jc w:val="both"/>
        <w:rPr>
          <w:rFonts w:ascii="Arial" w:eastAsia="Calibri" w:hAnsi="Arial" w:cs="Arial"/>
        </w:rPr>
      </w:pPr>
      <w:r w:rsidRPr="008E3C5B">
        <w:rPr>
          <w:rFonts w:ascii="Arial" w:eastAsia="Calibri" w:hAnsi="Arial" w:cs="Arial"/>
          <w:i/>
        </w:rPr>
        <w:t xml:space="preserve">Note. </w:t>
      </w:r>
      <w:r w:rsidRPr="008E3C5B">
        <w:rPr>
          <w:rFonts w:ascii="Arial" w:eastAsia="Calibri" w:hAnsi="Arial" w:cs="Arial"/>
        </w:rPr>
        <w:t>* No difference between % pre</w:t>
      </w:r>
      <w:r w:rsidRPr="008E3C5B">
        <w:rPr>
          <w:rFonts w:ascii="Arial" w:eastAsia="Calibri" w:hAnsi="Arial" w:cs="Arial"/>
        </w:rPr>
        <w:noBreakHyphen/>
        <w:t>convictions predicted correctly using logistic regression model and % correct using only base</w:t>
      </w:r>
      <w:r w:rsidRPr="008E3C5B">
        <w:rPr>
          <w:rFonts w:ascii="Arial" w:eastAsia="Calibri" w:hAnsi="Arial" w:cs="Arial"/>
        </w:rPr>
        <w:noBreakHyphen/>
        <w:t>rate information from the sample.</w:t>
      </w:r>
    </w:p>
    <w:p w:rsidR="00F06D73" w:rsidRDefault="00F06D73" w:rsidP="00F06D73"/>
    <w:p w:rsidR="00F06D73" w:rsidRDefault="00F06D73" w:rsidP="00CB2434">
      <w:pPr>
        <w:spacing w:after="160"/>
        <w:jc w:val="both"/>
        <w:rPr>
          <w:rFonts w:ascii="Arial" w:hAnsi="Arial" w:cs="Arial"/>
          <w:lang w:val="en-GB"/>
        </w:rPr>
      </w:pPr>
      <w:bookmarkStart w:id="27" w:name="_GoBack"/>
      <w:bookmarkEnd w:id="27"/>
    </w:p>
    <w:p w:rsidR="00044B71" w:rsidRDefault="00044B71" w:rsidP="00CB2434">
      <w:pPr>
        <w:spacing w:after="160"/>
        <w:jc w:val="both"/>
        <w:rPr>
          <w:rFonts w:ascii="Arial" w:hAnsi="Arial" w:cs="Arial"/>
          <w:lang w:val="en-GB"/>
        </w:rPr>
      </w:pPr>
    </w:p>
    <w:p w:rsidR="00044B71" w:rsidRDefault="00044B71" w:rsidP="00CB2434">
      <w:pPr>
        <w:spacing w:after="160"/>
        <w:jc w:val="both"/>
        <w:rPr>
          <w:rFonts w:ascii="Arial" w:hAnsi="Arial" w:cs="Arial"/>
          <w:lang w:val="en-GB"/>
        </w:rPr>
      </w:pPr>
    </w:p>
    <w:p w:rsidR="00044B71" w:rsidRDefault="00044B71" w:rsidP="00CB2434">
      <w:pPr>
        <w:spacing w:after="160"/>
        <w:jc w:val="both"/>
        <w:rPr>
          <w:rFonts w:ascii="Arial" w:hAnsi="Arial" w:cs="Arial"/>
          <w:lang w:val="en-GB"/>
        </w:rPr>
      </w:pPr>
    </w:p>
    <w:sectPr w:rsidR="00044B71" w:rsidSect="004037BC">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B71" w:rsidRDefault="00044B71" w:rsidP="00553F47">
      <w:pPr>
        <w:spacing w:line="240" w:lineRule="auto"/>
      </w:pPr>
      <w:r>
        <w:separator/>
      </w:r>
    </w:p>
  </w:endnote>
  <w:endnote w:type="continuationSeparator" w:id="0">
    <w:p w:rsidR="00044B71" w:rsidRDefault="00044B71" w:rsidP="00553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B71" w:rsidRDefault="00044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B71" w:rsidRDefault="00044B71" w:rsidP="00553F47">
      <w:pPr>
        <w:spacing w:line="240" w:lineRule="auto"/>
      </w:pPr>
      <w:r>
        <w:separator/>
      </w:r>
    </w:p>
  </w:footnote>
  <w:footnote w:type="continuationSeparator" w:id="0">
    <w:p w:rsidR="00044B71" w:rsidRDefault="00044B71" w:rsidP="00553F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E3CC4"/>
    <w:multiLevelType w:val="hybridMultilevel"/>
    <w:tmpl w:val="5A9EDEAC"/>
    <w:lvl w:ilvl="0" w:tplc="F3A0CF26">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39884A17"/>
    <w:multiLevelType w:val="hybridMultilevel"/>
    <w:tmpl w:val="5DBE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82695"/>
    <w:multiLevelType w:val="hybridMultilevel"/>
    <w:tmpl w:val="6EE82696"/>
    <w:lvl w:ilvl="0" w:tplc="E50ECD52">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59346957"/>
    <w:multiLevelType w:val="multilevel"/>
    <w:tmpl w:val="A00C9EBC"/>
    <w:lvl w:ilvl="0">
      <w:start w:val="1"/>
      <w:numFmt w:val="decimal"/>
      <w:lvlText w:val="%1"/>
      <w:lvlJc w:val="left"/>
      <w:pPr>
        <w:ind w:left="432" w:hanging="432"/>
      </w:pPr>
    </w:lvl>
    <w:lvl w:ilvl="1">
      <w:start w:val="1"/>
      <w:numFmt w:val="decimal"/>
      <w:lvlText w:val="%1.%2"/>
      <w:lvlJc w:val="left"/>
      <w:pPr>
        <w:ind w:left="576"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C5"/>
    <w:rsid w:val="00000153"/>
    <w:rsid w:val="000013AA"/>
    <w:rsid w:val="00001665"/>
    <w:rsid w:val="000017D4"/>
    <w:rsid w:val="00001892"/>
    <w:rsid w:val="00002A6B"/>
    <w:rsid w:val="00002DEF"/>
    <w:rsid w:val="0000325B"/>
    <w:rsid w:val="000038CB"/>
    <w:rsid w:val="0000406C"/>
    <w:rsid w:val="00004389"/>
    <w:rsid w:val="00005F3C"/>
    <w:rsid w:val="00005FC9"/>
    <w:rsid w:val="0000621D"/>
    <w:rsid w:val="000103FF"/>
    <w:rsid w:val="000112C4"/>
    <w:rsid w:val="0001131A"/>
    <w:rsid w:val="00011868"/>
    <w:rsid w:val="00012044"/>
    <w:rsid w:val="0001245A"/>
    <w:rsid w:val="00014E3B"/>
    <w:rsid w:val="00015346"/>
    <w:rsid w:val="000163D5"/>
    <w:rsid w:val="000173C1"/>
    <w:rsid w:val="000200FF"/>
    <w:rsid w:val="000201E6"/>
    <w:rsid w:val="0002278F"/>
    <w:rsid w:val="00023DCA"/>
    <w:rsid w:val="00025114"/>
    <w:rsid w:val="00025CAE"/>
    <w:rsid w:val="000265F6"/>
    <w:rsid w:val="00026B88"/>
    <w:rsid w:val="000278E2"/>
    <w:rsid w:val="00030D59"/>
    <w:rsid w:val="00032BED"/>
    <w:rsid w:val="00033087"/>
    <w:rsid w:val="000341AF"/>
    <w:rsid w:val="00034764"/>
    <w:rsid w:val="00036507"/>
    <w:rsid w:val="0003732A"/>
    <w:rsid w:val="000376B4"/>
    <w:rsid w:val="00040168"/>
    <w:rsid w:val="00040E4F"/>
    <w:rsid w:val="000415E2"/>
    <w:rsid w:val="00041806"/>
    <w:rsid w:val="00043BE5"/>
    <w:rsid w:val="0004433C"/>
    <w:rsid w:val="00044B71"/>
    <w:rsid w:val="00045845"/>
    <w:rsid w:val="000459D5"/>
    <w:rsid w:val="00045E7C"/>
    <w:rsid w:val="00046889"/>
    <w:rsid w:val="00050E3B"/>
    <w:rsid w:val="000520C9"/>
    <w:rsid w:val="00053329"/>
    <w:rsid w:val="00053D66"/>
    <w:rsid w:val="000550EB"/>
    <w:rsid w:val="000568ED"/>
    <w:rsid w:val="00057311"/>
    <w:rsid w:val="000602D6"/>
    <w:rsid w:val="0006073A"/>
    <w:rsid w:val="00060E94"/>
    <w:rsid w:val="00060EBB"/>
    <w:rsid w:val="0006178E"/>
    <w:rsid w:val="00061C36"/>
    <w:rsid w:val="00061C4C"/>
    <w:rsid w:val="00061C6C"/>
    <w:rsid w:val="000627CD"/>
    <w:rsid w:val="00062D93"/>
    <w:rsid w:val="00063E72"/>
    <w:rsid w:val="00063ED0"/>
    <w:rsid w:val="00065093"/>
    <w:rsid w:val="00065103"/>
    <w:rsid w:val="000657A5"/>
    <w:rsid w:val="00065B34"/>
    <w:rsid w:val="0006608A"/>
    <w:rsid w:val="00066109"/>
    <w:rsid w:val="00066433"/>
    <w:rsid w:val="00066956"/>
    <w:rsid w:val="00066C4F"/>
    <w:rsid w:val="000671B8"/>
    <w:rsid w:val="00067426"/>
    <w:rsid w:val="000703E1"/>
    <w:rsid w:val="00072090"/>
    <w:rsid w:val="00072EB1"/>
    <w:rsid w:val="00073D78"/>
    <w:rsid w:val="000748BA"/>
    <w:rsid w:val="00074F07"/>
    <w:rsid w:val="00075076"/>
    <w:rsid w:val="000750E3"/>
    <w:rsid w:val="000756A4"/>
    <w:rsid w:val="00075711"/>
    <w:rsid w:val="000758A8"/>
    <w:rsid w:val="00075CCC"/>
    <w:rsid w:val="00075FFE"/>
    <w:rsid w:val="000763C8"/>
    <w:rsid w:val="00076D0B"/>
    <w:rsid w:val="000770C3"/>
    <w:rsid w:val="0007798B"/>
    <w:rsid w:val="00077A05"/>
    <w:rsid w:val="00080107"/>
    <w:rsid w:val="0008029C"/>
    <w:rsid w:val="00080567"/>
    <w:rsid w:val="000808C1"/>
    <w:rsid w:val="0008155D"/>
    <w:rsid w:val="0008250B"/>
    <w:rsid w:val="00084FD0"/>
    <w:rsid w:val="000861D8"/>
    <w:rsid w:val="00086272"/>
    <w:rsid w:val="00086D79"/>
    <w:rsid w:val="0008782D"/>
    <w:rsid w:val="00090664"/>
    <w:rsid w:val="00090EF9"/>
    <w:rsid w:val="00090F79"/>
    <w:rsid w:val="00091B81"/>
    <w:rsid w:val="00091EB9"/>
    <w:rsid w:val="000935CF"/>
    <w:rsid w:val="000936E6"/>
    <w:rsid w:val="000947D7"/>
    <w:rsid w:val="0009493C"/>
    <w:rsid w:val="00094AE6"/>
    <w:rsid w:val="00094F75"/>
    <w:rsid w:val="000954BE"/>
    <w:rsid w:val="0009667D"/>
    <w:rsid w:val="000972A5"/>
    <w:rsid w:val="00097799"/>
    <w:rsid w:val="000A11CC"/>
    <w:rsid w:val="000A1B41"/>
    <w:rsid w:val="000A22E9"/>
    <w:rsid w:val="000A2B23"/>
    <w:rsid w:val="000A3835"/>
    <w:rsid w:val="000A42C3"/>
    <w:rsid w:val="000A4396"/>
    <w:rsid w:val="000A4D8E"/>
    <w:rsid w:val="000A584E"/>
    <w:rsid w:val="000A6B84"/>
    <w:rsid w:val="000A7774"/>
    <w:rsid w:val="000A77F5"/>
    <w:rsid w:val="000B0E2C"/>
    <w:rsid w:val="000B3468"/>
    <w:rsid w:val="000B4283"/>
    <w:rsid w:val="000B5014"/>
    <w:rsid w:val="000B6938"/>
    <w:rsid w:val="000C09BC"/>
    <w:rsid w:val="000C142C"/>
    <w:rsid w:val="000C1CB4"/>
    <w:rsid w:val="000C3DEA"/>
    <w:rsid w:val="000C498A"/>
    <w:rsid w:val="000C4AA5"/>
    <w:rsid w:val="000C4D62"/>
    <w:rsid w:val="000C52C3"/>
    <w:rsid w:val="000C53F7"/>
    <w:rsid w:val="000C591D"/>
    <w:rsid w:val="000C5A2F"/>
    <w:rsid w:val="000C5FB0"/>
    <w:rsid w:val="000C5FF5"/>
    <w:rsid w:val="000C6569"/>
    <w:rsid w:val="000D02C3"/>
    <w:rsid w:val="000D07C7"/>
    <w:rsid w:val="000D07E6"/>
    <w:rsid w:val="000D0C5E"/>
    <w:rsid w:val="000D10D5"/>
    <w:rsid w:val="000D1561"/>
    <w:rsid w:val="000D1703"/>
    <w:rsid w:val="000D25F1"/>
    <w:rsid w:val="000D2F87"/>
    <w:rsid w:val="000D3560"/>
    <w:rsid w:val="000D57F3"/>
    <w:rsid w:val="000D5D80"/>
    <w:rsid w:val="000D5E87"/>
    <w:rsid w:val="000D614F"/>
    <w:rsid w:val="000E0711"/>
    <w:rsid w:val="000E09D6"/>
    <w:rsid w:val="000E1AD3"/>
    <w:rsid w:val="000E1D65"/>
    <w:rsid w:val="000E24F6"/>
    <w:rsid w:val="000E2BD8"/>
    <w:rsid w:val="000E30A6"/>
    <w:rsid w:val="000E39A8"/>
    <w:rsid w:val="000E497A"/>
    <w:rsid w:val="000E5E68"/>
    <w:rsid w:val="000E6D9A"/>
    <w:rsid w:val="000F0777"/>
    <w:rsid w:val="000F128C"/>
    <w:rsid w:val="000F184E"/>
    <w:rsid w:val="000F1912"/>
    <w:rsid w:val="000F2124"/>
    <w:rsid w:val="000F22C8"/>
    <w:rsid w:val="000F22D0"/>
    <w:rsid w:val="000F2995"/>
    <w:rsid w:val="000F33F3"/>
    <w:rsid w:val="000F33FC"/>
    <w:rsid w:val="000F4942"/>
    <w:rsid w:val="000F4B2A"/>
    <w:rsid w:val="000F5A49"/>
    <w:rsid w:val="000F7007"/>
    <w:rsid w:val="000F724A"/>
    <w:rsid w:val="001001DB"/>
    <w:rsid w:val="00101A43"/>
    <w:rsid w:val="00103BEE"/>
    <w:rsid w:val="00105297"/>
    <w:rsid w:val="00107E72"/>
    <w:rsid w:val="00107FA8"/>
    <w:rsid w:val="00110D44"/>
    <w:rsid w:val="00111E45"/>
    <w:rsid w:val="0011493B"/>
    <w:rsid w:val="00114D9C"/>
    <w:rsid w:val="00117256"/>
    <w:rsid w:val="001173C4"/>
    <w:rsid w:val="001176A8"/>
    <w:rsid w:val="00121391"/>
    <w:rsid w:val="00122B49"/>
    <w:rsid w:val="00123862"/>
    <w:rsid w:val="00124157"/>
    <w:rsid w:val="00124561"/>
    <w:rsid w:val="0012474F"/>
    <w:rsid w:val="00124C3C"/>
    <w:rsid w:val="00125AE2"/>
    <w:rsid w:val="00126F01"/>
    <w:rsid w:val="001272A2"/>
    <w:rsid w:val="00127893"/>
    <w:rsid w:val="00130A76"/>
    <w:rsid w:val="00131403"/>
    <w:rsid w:val="001318C8"/>
    <w:rsid w:val="00131CBD"/>
    <w:rsid w:val="00132227"/>
    <w:rsid w:val="00132242"/>
    <w:rsid w:val="0013270C"/>
    <w:rsid w:val="00132A62"/>
    <w:rsid w:val="00133690"/>
    <w:rsid w:val="00134004"/>
    <w:rsid w:val="00136298"/>
    <w:rsid w:val="001363BC"/>
    <w:rsid w:val="00136599"/>
    <w:rsid w:val="001372C1"/>
    <w:rsid w:val="00137C09"/>
    <w:rsid w:val="001413E5"/>
    <w:rsid w:val="001420AD"/>
    <w:rsid w:val="00142DB7"/>
    <w:rsid w:val="00143A07"/>
    <w:rsid w:val="00143D59"/>
    <w:rsid w:val="00144B4B"/>
    <w:rsid w:val="00145E36"/>
    <w:rsid w:val="001461F9"/>
    <w:rsid w:val="001464A9"/>
    <w:rsid w:val="00146BA7"/>
    <w:rsid w:val="00146F3C"/>
    <w:rsid w:val="00146FFD"/>
    <w:rsid w:val="0014712E"/>
    <w:rsid w:val="0014725F"/>
    <w:rsid w:val="0014757A"/>
    <w:rsid w:val="0015046D"/>
    <w:rsid w:val="00151422"/>
    <w:rsid w:val="001549F4"/>
    <w:rsid w:val="00154F34"/>
    <w:rsid w:val="001558FA"/>
    <w:rsid w:val="001574B9"/>
    <w:rsid w:val="00157718"/>
    <w:rsid w:val="00157B8A"/>
    <w:rsid w:val="00157CE5"/>
    <w:rsid w:val="0016081B"/>
    <w:rsid w:val="00161C1F"/>
    <w:rsid w:val="001624D1"/>
    <w:rsid w:val="00163D59"/>
    <w:rsid w:val="00170485"/>
    <w:rsid w:val="00170A79"/>
    <w:rsid w:val="0017184B"/>
    <w:rsid w:val="00172410"/>
    <w:rsid w:val="0017252A"/>
    <w:rsid w:val="001741CA"/>
    <w:rsid w:val="00174431"/>
    <w:rsid w:val="001751E9"/>
    <w:rsid w:val="001764BF"/>
    <w:rsid w:val="001772E6"/>
    <w:rsid w:val="00180212"/>
    <w:rsid w:val="00180243"/>
    <w:rsid w:val="00180C5D"/>
    <w:rsid w:val="001818A6"/>
    <w:rsid w:val="001818C4"/>
    <w:rsid w:val="00181AFF"/>
    <w:rsid w:val="001820EB"/>
    <w:rsid w:val="00182B11"/>
    <w:rsid w:val="00184433"/>
    <w:rsid w:val="0018478B"/>
    <w:rsid w:val="00185BA3"/>
    <w:rsid w:val="00185BE3"/>
    <w:rsid w:val="0018693C"/>
    <w:rsid w:val="00186F25"/>
    <w:rsid w:val="00187670"/>
    <w:rsid w:val="001915A1"/>
    <w:rsid w:val="00192E5D"/>
    <w:rsid w:val="001937D0"/>
    <w:rsid w:val="00193B4B"/>
    <w:rsid w:val="001941B4"/>
    <w:rsid w:val="001946CC"/>
    <w:rsid w:val="00194D5E"/>
    <w:rsid w:val="001962A5"/>
    <w:rsid w:val="00196369"/>
    <w:rsid w:val="001964E6"/>
    <w:rsid w:val="00196B8B"/>
    <w:rsid w:val="001974F3"/>
    <w:rsid w:val="00197849"/>
    <w:rsid w:val="001A00C4"/>
    <w:rsid w:val="001A12E0"/>
    <w:rsid w:val="001A13E1"/>
    <w:rsid w:val="001A1419"/>
    <w:rsid w:val="001A18B7"/>
    <w:rsid w:val="001A1E5F"/>
    <w:rsid w:val="001A25FF"/>
    <w:rsid w:val="001A685F"/>
    <w:rsid w:val="001A7544"/>
    <w:rsid w:val="001B0116"/>
    <w:rsid w:val="001B09D4"/>
    <w:rsid w:val="001B3664"/>
    <w:rsid w:val="001B3D2D"/>
    <w:rsid w:val="001B475A"/>
    <w:rsid w:val="001B4824"/>
    <w:rsid w:val="001B5106"/>
    <w:rsid w:val="001B5F3E"/>
    <w:rsid w:val="001B6610"/>
    <w:rsid w:val="001B6B5B"/>
    <w:rsid w:val="001B7E81"/>
    <w:rsid w:val="001C02A7"/>
    <w:rsid w:val="001C0F20"/>
    <w:rsid w:val="001C1272"/>
    <w:rsid w:val="001C15DF"/>
    <w:rsid w:val="001C1C94"/>
    <w:rsid w:val="001C1ECB"/>
    <w:rsid w:val="001C2830"/>
    <w:rsid w:val="001C2CC6"/>
    <w:rsid w:val="001C33EA"/>
    <w:rsid w:val="001C5142"/>
    <w:rsid w:val="001C519E"/>
    <w:rsid w:val="001C5AA1"/>
    <w:rsid w:val="001C5B13"/>
    <w:rsid w:val="001C61FC"/>
    <w:rsid w:val="001C6513"/>
    <w:rsid w:val="001C6AD2"/>
    <w:rsid w:val="001D06D2"/>
    <w:rsid w:val="001D0AC4"/>
    <w:rsid w:val="001D28EB"/>
    <w:rsid w:val="001D2E69"/>
    <w:rsid w:val="001D2EF7"/>
    <w:rsid w:val="001D42CC"/>
    <w:rsid w:val="001D4383"/>
    <w:rsid w:val="001D547C"/>
    <w:rsid w:val="001D5544"/>
    <w:rsid w:val="001D5AB8"/>
    <w:rsid w:val="001D6439"/>
    <w:rsid w:val="001D7F8E"/>
    <w:rsid w:val="001E2F39"/>
    <w:rsid w:val="001E3582"/>
    <w:rsid w:val="001E51B7"/>
    <w:rsid w:val="001E5C11"/>
    <w:rsid w:val="001E6774"/>
    <w:rsid w:val="001E7C13"/>
    <w:rsid w:val="001F017F"/>
    <w:rsid w:val="001F15A3"/>
    <w:rsid w:val="001F18CD"/>
    <w:rsid w:val="001F2AFE"/>
    <w:rsid w:val="001F3AA6"/>
    <w:rsid w:val="001F3B5A"/>
    <w:rsid w:val="001F3CBC"/>
    <w:rsid w:val="001F4807"/>
    <w:rsid w:val="001F488F"/>
    <w:rsid w:val="001F4ADA"/>
    <w:rsid w:val="001F652A"/>
    <w:rsid w:val="001F65BE"/>
    <w:rsid w:val="001F755C"/>
    <w:rsid w:val="001F780F"/>
    <w:rsid w:val="001F7B7C"/>
    <w:rsid w:val="00200DB5"/>
    <w:rsid w:val="00200E3C"/>
    <w:rsid w:val="002015E3"/>
    <w:rsid w:val="002019EB"/>
    <w:rsid w:val="0020336A"/>
    <w:rsid w:val="002039FE"/>
    <w:rsid w:val="00204392"/>
    <w:rsid w:val="002048C6"/>
    <w:rsid w:val="00205DE4"/>
    <w:rsid w:val="00205EEA"/>
    <w:rsid w:val="002062C6"/>
    <w:rsid w:val="002063B3"/>
    <w:rsid w:val="002070C8"/>
    <w:rsid w:val="00207C89"/>
    <w:rsid w:val="002112F7"/>
    <w:rsid w:val="00211571"/>
    <w:rsid w:val="002119E4"/>
    <w:rsid w:val="00211BD8"/>
    <w:rsid w:val="00212782"/>
    <w:rsid w:val="00213C3D"/>
    <w:rsid w:val="00216361"/>
    <w:rsid w:val="00216765"/>
    <w:rsid w:val="0021690B"/>
    <w:rsid w:val="00216A41"/>
    <w:rsid w:val="00216D3C"/>
    <w:rsid w:val="00216F16"/>
    <w:rsid w:val="002175AB"/>
    <w:rsid w:val="00217E22"/>
    <w:rsid w:val="002217ED"/>
    <w:rsid w:val="0022326C"/>
    <w:rsid w:val="00223556"/>
    <w:rsid w:val="00223A56"/>
    <w:rsid w:val="00223E98"/>
    <w:rsid w:val="00225C67"/>
    <w:rsid w:val="00226296"/>
    <w:rsid w:val="0022696A"/>
    <w:rsid w:val="002306F8"/>
    <w:rsid w:val="002308C9"/>
    <w:rsid w:val="00230BB0"/>
    <w:rsid w:val="0023260D"/>
    <w:rsid w:val="00232A4C"/>
    <w:rsid w:val="0023357B"/>
    <w:rsid w:val="00233C41"/>
    <w:rsid w:val="00234BB4"/>
    <w:rsid w:val="00234CD2"/>
    <w:rsid w:val="0023597B"/>
    <w:rsid w:val="00235AEB"/>
    <w:rsid w:val="002361E4"/>
    <w:rsid w:val="00236800"/>
    <w:rsid w:val="00236A27"/>
    <w:rsid w:val="00236AC4"/>
    <w:rsid w:val="0023712B"/>
    <w:rsid w:val="00242D24"/>
    <w:rsid w:val="00243896"/>
    <w:rsid w:val="002440EE"/>
    <w:rsid w:val="00244D76"/>
    <w:rsid w:val="0024536D"/>
    <w:rsid w:val="0024582B"/>
    <w:rsid w:val="00245BDD"/>
    <w:rsid w:val="00245C81"/>
    <w:rsid w:val="00245F4B"/>
    <w:rsid w:val="002479BE"/>
    <w:rsid w:val="00251B68"/>
    <w:rsid w:val="00251DCC"/>
    <w:rsid w:val="00253DF2"/>
    <w:rsid w:val="00253F87"/>
    <w:rsid w:val="00256AA0"/>
    <w:rsid w:val="0025727C"/>
    <w:rsid w:val="002578CA"/>
    <w:rsid w:val="00257B2A"/>
    <w:rsid w:val="002604B3"/>
    <w:rsid w:val="00260589"/>
    <w:rsid w:val="00260717"/>
    <w:rsid w:val="002609A3"/>
    <w:rsid w:val="00261094"/>
    <w:rsid w:val="0026140E"/>
    <w:rsid w:val="002627DD"/>
    <w:rsid w:val="00264259"/>
    <w:rsid w:val="00265208"/>
    <w:rsid w:val="00265461"/>
    <w:rsid w:val="00265631"/>
    <w:rsid w:val="00266334"/>
    <w:rsid w:val="002669C8"/>
    <w:rsid w:val="00271F27"/>
    <w:rsid w:val="0027352E"/>
    <w:rsid w:val="00273F3B"/>
    <w:rsid w:val="00274038"/>
    <w:rsid w:val="00274233"/>
    <w:rsid w:val="00274A0D"/>
    <w:rsid w:val="002752F9"/>
    <w:rsid w:val="0027542C"/>
    <w:rsid w:val="00275B7B"/>
    <w:rsid w:val="00276625"/>
    <w:rsid w:val="00276B36"/>
    <w:rsid w:val="002770E9"/>
    <w:rsid w:val="0027744D"/>
    <w:rsid w:val="00277EED"/>
    <w:rsid w:val="00281037"/>
    <w:rsid w:val="00281067"/>
    <w:rsid w:val="002816AC"/>
    <w:rsid w:val="002819A0"/>
    <w:rsid w:val="00283202"/>
    <w:rsid w:val="00283C23"/>
    <w:rsid w:val="00283CF4"/>
    <w:rsid w:val="00283E57"/>
    <w:rsid w:val="00284A8F"/>
    <w:rsid w:val="002858B5"/>
    <w:rsid w:val="0028686E"/>
    <w:rsid w:val="00287E47"/>
    <w:rsid w:val="00290334"/>
    <w:rsid w:val="00290429"/>
    <w:rsid w:val="00290BDF"/>
    <w:rsid w:val="00291972"/>
    <w:rsid w:val="00291CA9"/>
    <w:rsid w:val="00292C3A"/>
    <w:rsid w:val="0029315B"/>
    <w:rsid w:val="00294591"/>
    <w:rsid w:val="0029534F"/>
    <w:rsid w:val="00295960"/>
    <w:rsid w:val="00295A64"/>
    <w:rsid w:val="00295AA8"/>
    <w:rsid w:val="00295CBB"/>
    <w:rsid w:val="00296329"/>
    <w:rsid w:val="002965C9"/>
    <w:rsid w:val="00296DBA"/>
    <w:rsid w:val="00297633"/>
    <w:rsid w:val="002977A6"/>
    <w:rsid w:val="002978C9"/>
    <w:rsid w:val="002A0B3A"/>
    <w:rsid w:val="002A0FC1"/>
    <w:rsid w:val="002A1451"/>
    <w:rsid w:val="002A29B6"/>
    <w:rsid w:val="002A2B1D"/>
    <w:rsid w:val="002A2CC4"/>
    <w:rsid w:val="002A2D86"/>
    <w:rsid w:val="002A35D6"/>
    <w:rsid w:val="002A4C36"/>
    <w:rsid w:val="002A527B"/>
    <w:rsid w:val="002A6E5A"/>
    <w:rsid w:val="002A70F0"/>
    <w:rsid w:val="002A7C29"/>
    <w:rsid w:val="002B088D"/>
    <w:rsid w:val="002B1BEC"/>
    <w:rsid w:val="002B1D8D"/>
    <w:rsid w:val="002B4611"/>
    <w:rsid w:val="002B4776"/>
    <w:rsid w:val="002B64EF"/>
    <w:rsid w:val="002B7975"/>
    <w:rsid w:val="002B7B5C"/>
    <w:rsid w:val="002C0FE6"/>
    <w:rsid w:val="002C1396"/>
    <w:rsid w:val="002C1E8F"/>
    <w:rsid w:val="002C26C5"/>
    <w:rsid w:val="002C29F8"/>
    <w:rsid w:val="002C58CB"/>
    <w:rsid w:val="002C7E3A"/>
    <w:rsid w:val="002D126E"/>
    <w:rsid w:val="002D1F28"/>
    <w:rsid w:val="002D20EE"/>
    <w:rsid w:val="002D2B21"/>
    <w:rsid w:val="002D344C"/>
    <w:rsid w:val="002D3A80"/>
    <w:rsid w:val="002D3E6B"/>
    <w:rsid w:val="002D4D9E"/>
    <w:rsid w:val="002D4F5A"/>
    <w:rsid w:val="002D555A"/>
    <w:rsid w:val="002D5760"/>
    <w:rsid w:val="002D5DBE"/>
    <w:rsid w:val="002D603B"/>
    <w:rsid w:val="002D71B2"/>
    <w:rsid w:val="002D78E0"/>
    <w:rsid w:val="002E0101"/>
    <w:rsid w:val="002E15BC"/>
    <w:rsid w:val="002E199A"/>
    <w:rsid w:val="002E37FE"/>
    <w:rsid w:val="002E4318"/>
    <w:rsid w:val="002E5005"/>
    <w:rsid w:val="002E50E8"/>
    <w:rsid w:val="002E57BA"/>
    <w:rsid w:val="002E6CE2"/>
    <w:rsid w:val="002E7697"/>
    <w:rsid w:val="002F0C3C"/>
    <w:rsid w:val="002F1A98"/>
    <w:rsid w:val="002F2499"/>
    <w:rsid w:val="002F2758"/>
    <w:rsid w:val="002F396D"/>
    <w:rsid w:val="002F40FC"/>
    <w:rsid w:val="002F4684"/>
    <w:rsid w:val="002F4B56"/>
    <w:rsid w:val="002F57E6"/>
    <w:rsid w:val="002F5A62"/>
    <w:rsid w:val="002F5CDC"/>
    <w:rsid w:val="002F671D"/>
    <w:rsid w:val="002F6CB3"/>
    <w:rsid w:val="002F7150"/>
    <w:rsid w:val="003000FE"/>
    <w:rsid w:val="00300C46"/>
    <w:rsid w:val="0030331C"/>
    <w:rsid w:val="00303C30"/>
    <w:rsid w:val="0030463C"/>
    <w:rsid w:val="0030472C"/>
    <w:rsid w:val="00305B4B"/>
    <w:rsid w:val="0030702D"/>
    <w:rsid w:val="00307DEA"/>
    <w:rsid w:val="00310EEB"/>
    <w:rsid w:val="00311338"/>
    <w:rsid w:val="0031178A"/>
    <w:rsid w:val="00312196"/>
    <w:rsid w:val="00313128"/>
    <w:rsid w:val="00313710"/>
    <w:rsid w:val="00314EB2"/>
    <w:rsid w:val="0031529C"/>
    <w:rsid w:val="003153C0"/>
    <w:rsid w:val="00315CDD"/>
    <w:rsid w:val="00316033"/>
    <w:rsid w:val="003164AB"/>
    <w:rsid w:val="00317544"/>
    <w:rsid w:val="003200A5"/>
    <w:rsid w:val="00320D2C"/>
    <w:rsid w:val="0032317D"/>
    <w:rsid w:val="003231E8"/>
    <w:rsid w:val="00323E65"/>
    <w:rsid w:val="00324527"/>
    <w:rsid w:val="00324A4D"/>
    <w:rsid w:val="0032570A"/>
    <w:rsid w:val="00326ADF"/>
    <w:rsid w:val="00326B13"/>
    <w:rsid w:val="0032726C"/>
    <w:rsid w:val="00327687"/>
    <w:rsid w:val="003309B2"/>
    <w:rsid w:val="00331F8F"/>
    <w:rsid w:val="00332258"/>
    <w:rsid w:val="003322AD"/>
    <w:rsid w:val="00332DB9"/>
    <w:rsid w:val="0033485B"/>
    <w:rsid w:val="00334B56"/>
    <w:rsid w:val="003354E3"/>
    <w:rsid w:val="00335AB1"/>
    <w:rsid w:val="003363C8"/>
    <w:rsid w:val="0033699D"/>
    <w:rsid w:val="00336E2C"/>
    <w:rsid w:val="00337173"/>
    <w:rsid w:val="003407C7"/>
    <w:rsid w:val="003419EB"/>
    <w:rsid w:val="00341E09"/>
    <w:rsid w:val="00342B3C"/>
    <w:rsid w:val="00343E89"/>
    <w:rsid w:val="00344AFD"/>
    <w:rsid w:val="003456E5"/>
    <w:rsid w:val="00345D5D"/>
    <w:rsid w:val="00346AD5"/>
    <w:rsid w:val="003470CF"/>
    <w:rsid w:val="0035144A"/>
    <w:rsid w:val="00351AEB"/>
    <w:rsid w:val="00351C3E"/>
    <w:rsid w:val="00352624"/>
    <w:rsid w:val="00353236"/>
    <w:rsid w:val="0035352F"/>
    <w:rsid w:val="003535B3"/>
    <w:rsid w:val="00354061"/>
    <w:rsid w:val="00354555"/>
    <w:rsid w:val="00354CFD"/>
    <w:rsid w:val="00355CC4"/>
    <w:rsid w:val="00355CCD"/>
    <w:rsid w:val="00356374"/>
    <w:rsid w:val="00357C3D"/>
    <w:rsid w:val="00360868"/>
    <w:rsid w:val="003608EA"/>
    <w:rsid w:val="00360BE5"/>
    <w:rsid w:val="00361642"/>
    <w:rsid w:val="003636D3"/>
    <w:rsid w:val="0036538C"/>
    <w:rsid w:val="003655AE"/>
    <w:rsid w:val="003658C3"/>
    <w:rsid w:val="00365A8C"/>
    <w:rsid w:val="00366430"/>
    <w:rsid w:val="0036695E"/>
    <w:rsid w:val="00366F50"/>
    <w:rsid w:val="00367322"/>
    <w:rsid w:val="003674F9"/>
    <w:rsid w:val="00367E01"/>
    <w:rsid w:val="00370A02"/>
    <w:rsid w:val="0037127F"/>
    <w:rsid w:val="003714BF"/>
    <w:rsid w:val="003720D4"/>
    <w:rsid w:val="0037242D"/>
    <w:rsid w:val="00372E0F"/>
    <w:rsid w:val="0037477A"/>
    <w:rsid w:val="003749BD"/>
    <w:rsid w:val="00375143"/>
    <w:rsid w:val="0037693D"/>
    <w:rsid w:val="003769AF"/>
    <w:rsid w:val="00376B5E"/>
    <w:rsid w:val="0037755D"/>
    <w:rsid w:val="0038017E"/>
    <w:rsid w:val="003801AA"/>
    <w:rsid w:val="00380AB6"/>
    <w:rsid w:val="00380F3A"/>
    <w:rsid w:val="00381EAA"/>
    <w:rsid w:val="00382A81"/>
    <w:rsid w:val="00383944"/>
    <w:rsid w:val="00384475"/>
    <w:rsid w:val="003845CD"/>
    <w:rsid w:val="00384B61"/>
    <w:rsid w:val="003857FD"/>
    <w:rsid w:val="00385DCE"/>
    <w:rsid w:val="00386A6C"/>
    <w:rsid w:val="00386FC7"/>
    <w:rsid w:val="00387C3F"/>
    <w:rsid w:val="00387DA2"/>
    <w:rsid w:val="00390B02"/>
    <w:rsid w:val="0039188D"/>
    <w:rsid w:val="00392886"/>
    <w:rsid w:val="00392B6D"/>
    <w:rsid w:val="00392B71"/>
    <w:rsid w:val="00393882"/>
    <w:rsid w:val="00394D49"/>
    <w:rsid w:val="003955ED"/>
    <w:rsid w:val="003957DA"/>
    <w:rsid w:val="00395870"/>
    <w:rsid w:val="00396553"/>
    <w:rsid w:val="00397026"/>
    <w:rsid w:val="003979C3"/>
    <w:rsid w:val="003979F0"/>
    <w:rsid w:val="003A0CDC"/>
    <w:rsid w:val="003A124E"/>
    <w:rsid w:val="003A14AA"/>
    <w:rsid w:val="003A2DFC"/>
    <w:rsid w:val="003A3855"/>
    <w:rsid w:val="003A656B"/>
    <w:rsid w:val="003A7065"/>
    <w:rsid w:val="003A7F41"/>
    <w:rsid w:val="003B1349"/>
    <w:rsid w:val="003B1C69"/>
    <w:rsid w:val="003B1D1C"/>
    <w:rsid w:val="003B2F5D"/>
    <w:rsid w:val="003B3CB1"/>
    <w:rsid w:val="003B7A7A"/>
    <w:rsid w:val="003C076F"/>
    <w:rsid w:val="003C0EEC"/>
    <w:rsid w:val="003C1768"/>
    <w:rsid w:val="003C2CCB"/>
    <w:rsid w:val="003C3EC8"/>
    <w:rsid w:val="003C43A2"/>
    <w:rsid w:val="003C51A3"/>
    <w:rsid w:val="003C524C"/>
    <w:rsid w:val="003C64EA"/>
    <w:rsid w:val="003C6A13"/>
    <w:rsid w:val="003C6A4E"/>
    <w:rsid w:val="003C7463"/>
    <w:rsid w:val="003D00C5"/>
    <w:rsid w:val="003D0768"/>
    <w:rsid w:val="003D0FCE"/>
    <w:rsid w:val="003D1174"/>
    <w:rsid w:val="003D1BAB"/>
    <w:rsid w:val="003D1D39"/>
    <w:rsid w:val="003D23C9"/>
    <w:rsid w:val="003D2C59"/>
    <w:rsid w:val="003D36D3"/>
    <w:rsid w:val="003D3C79"/>
    <w:rsid w:val="003D3DE1"/>
    <w:rsid w:val="003D3F3C"/>
    <w:rsid w:val="003D5ACA"/>
    <w:rsid w:val="003D64CA"/>
    <w:rsid w:val="003D6CEC"/>
    <w:rsid w:val="003D7F56"/>
    <w:rsid w:val="003E0765"/>
    <w:rsid w:val="003E0AE5"/>
    <w:rsid w:val="003E100D"/>
    <w:rsid w:val="003E1BC8"/>
    <w:rsid w:val="003E1C8C"/>
    <w:rsid w:val="003E3970"/>
    <w:rsid w:val="003E443C"/>
    <w:rsid w:val="003E4CA4"/>
    <w:rsid w:val="003E5A46"/>
    <w:rsid w:val="003E5E9D"/>
    <w:rsid w:val="003E6590"/>
    <w:rsid w:val="003F0330"/>
    <w:rsid w:val="003F0DAD"/>
    <w:rsid w:val="003F204E"/>
    <w:rsid w:val="003F2803"/>
    <w:rsid w:val="003F289E"/>
    <w:rsid w:val="003F28D3"/>
    <w:rsid w:val="003F4415"/>
    <w:rsid w:val="003F5A7D"/>
    <w:rsid w:val="003F6DF5"/>
    <w:rsid w:val="00400055"/>
    <w:rsid w:val="00400871"/>
    <w:rsid w:val="00400D81"/>
    <w:rsid w:val="00400DBF"/>
    <w:rsid w:val="00400E66"/>
    <w:rsid w:val="004014A9"/>
    <w:rsid w:val="00401907"/>
    <w:rsid w:val="00401922"/>
    <w:rsid w:val="004026A1"/>
    <w:rsid w:val="004027B5"/>
    <w:rsid w:val="004029A2"/>
    <w:rsid w:val="00403418"/>
    <w:rsid w:val="00403586"/>
    <w:rsid w:val="004037BC"/>
    <w:rsid w:val="004038FA"/>
    <w:rsid w:val="00404420"/>
    <w:rsid w:val="004056D8"/>
    <w:rsid w:val="00406D1C"/>
    <w:rsid w:val="00407157"/>
    <w:rsid w:val="004071F8"/>
    <w:rsid w:val="004075C5"/>
    <w:rsid w:val="00407BF4"/>
    <w:rsid w:val="00410149"/>
    <w:rsid w:val="004102EA"/>
    <w:rsid w:val="00410FC0"/>
    <w:rsid w:val="00411204"/>
    <w:rsid w:val="004114FC"/>
    <w:rsid w:val="00411FB3"/>
    <w:rsid w:val="00412C69"/>
    <w:rsid w:val="00412CB3"/>
    <w:rsid w:val="00413E27"/>
    <w:rsid w:val="00416321"/>
    <w:rsid w:val="004166DB"/>
    <w:rsid w:val="00417F5E"/>
    <w:rsid w:val="0042122D"/>
    <w:rsid w:val="004216DE"/>
    <w:rsid w:val="00423796"/>
    <w:rsid w:val="00423D08"/>
    <w:rsid w:val="00424858"/>
    <w:rsid w:val="00424871"/>
    <w:rsid w:val="00424929"/>
    <w:rsid w:val="00424FBD"/>
    <w:rsid w:val="0042581A"/>
    <w:rsid w:val="00425B70"/>
    <w:rsid w:val="00426858"/>
    <w:rsid w:val="00427F95"/>
    <w:rsid w:val="00430360"/>
    <w:rsid w:val="0043073B"/>
    <w:rsid w:val="004307A4"/>
    <w:rsid w:val="004307FC"/>
    <w:rsid w:val="00430B23"/>
    <w:rsid w:val="00430E41"/>
    <w:rsid w:val="00431995"/>
    <w:rsid w:val="00432588"/>
    <w:rsid w:val="004327A0"/>
    <w:rsid w:val="00432E5B"/>
    <w:rsid w:val="00433381"/>
    <w:rsid w:val="00433B0D"/>
    <w:rsid w:val="00434994"/>
    <w:rsid w:val="00434C1C"/>
    <w:rsid w:val="00434C55"/>
    <w:rsid w:val="004356FE"/>
    <w:rsid w:val="004357BE"/>
    <w:rsid w:val="00435849"/>
    <w:rsid w:val="00436579"/>
    <w:rsid w:val="00437145"/>
    <w:rsid w:val="00437BBF"/>
    <w:rsid w:val="004416D2"/>
    <w:rsid w:val="0044187B"/>
    <w:rsid w:val="00441C49"/>
    <w:rsid w:val="004429E2"/>
    <w:rsid w:val="00442BCC"/>
    <w:rsid w:val="004433EE"/>
    <w:rsid w:val="00443534"/>
    <w:rsid w:val="0044561E"/>
    <w:rsid w:val="00445F0C"/>
    <w:rsid w:val="00446308"/>
    <w:rsid w:val="004477FD"/>
    <w:rsid w:val="00447A76"/>
    <w:rsid w:val="0045058B"/>
    <w:rsid w:val="004505AB"/>
    <w:rsid w:val="00452C13"/>
    <w:rsid w:val="00453E19"/>
    <w:rsid w:val="0045667D"/>
    <w:rsid w:val="00457262"/>
    <w:rsid w:val="004573AE"/>
    <w:rsid w:val="0045749F"/>
    <w:rsid w:val="00457826"/>
    <w:rsid w:val="004600B2"/>
    <w:rsid w:val="00460B3C"/>
    <w:rsid w:val="0046171E"/>
    <w:rsid w:val="004649E8"/>
    <w:rsid w:val="00464C61"/>
    <w:rsid w:val="0046600A"/>
    <w:rsid w:val="00466E05"/>
    <w:rsid w:val="00470AAB"/>
    <w:rsid w:val="004711A0"/>
    <w:rsid w:val="004717C1"/>
    <w:rsid w:val="00471C25"/>
    <w:rsid w:val="00472D50"/>
    <w:rsid w:val="00473B40"/>
    <w:rsid w:val="00475E34"/>
    <w:rsid w:val="0047602A"/>
    <w:rsid w:val="004763EE"/>
    <w:rsid w:val="00476FE9"/>
    <w:rsid w:val="00477FCD"/>
    <w:rsid w:val="00481925"/>
    <w:rsid w:val="00482364"/>
    <w:rsid w:val="004834AA"/>
    <w:rsid w:val="0048357C"/>
    <w:rsid w:val="004837C8"/>
    <w:rsid w:val="0048486B"/>
    <w:rsid w:val="004853D2"/>
    <w:rsid w:val="00485414"/>
    <w:rsid w:val="004859D7"/>
    <w:rsid w:val="00485C0D"/>
    <w:rsid w:val="00486123"/>
    <w:rsid w:val="0048634B"/>
    <w:rsid w:val="0048725C"/>
    <w:rsid w:val="0048797B"/>
    <w:rsid w:val="00487CF9"/>
    <w:rsid w:val="00487FF7"/>
    <w:rsid w:val="00490A1C"/>
    <w:rsid w:val="00491D9D"/>
    <w:rsid w:val="004923E7"/>
    <w:rsid w:val="00492FA5"/>
    <w:rsid w:val="004946E3"/>
    <w:rsid w:val="00494F06"/>
    <w:rsid w:val="0049522B"/>
    <w:rsid w:val="004953E9"/>
    <w:rsid w:val="00496C56"/>
    <w:rsid w:val="0049702C"/>
    <w:rsid w:val="0049745D"/>
    <w:rsid w:val="00497492"/>
    <w:rsid w:val="004A02B9"/>
    <w:rsid w:val="004A0810"/>
    <w:rsid w:val="004A0A43"/>
    <w:rsid w:val="004A2C74"/>
    <w:rsid w:val="004A33C2"/>
    <w:rsid w:val="004A4BFB"/>
    <w:rsid w:val="004A4C70"/>
    <w:rsid w:val="004A5D21"/>
    <w:rsid w:val="004A5EE1"/>
    <w:rsid w:val="004A5F3F"/>
    <w:rsid w:val="004A6265"/>
    <w:rsid w:val="004A6684"/>
    <w:rsid w:val="004A6811"/>
    <w:rsid w:val="004A764F"/>
    <w:rsid w:val="004A79F9"/>
    <w:rsid w:val="004B12DE"/>
    <w:rsid w:val="004B2E5B"/>
    <w:rsid w:val="004B523B"/>
    <w:rsid w:val="004B564C"/>
    <w:rsid w:val="004B56D2"/>
    <w:rsid w:val="004B56D7"/>
    <w:rsid w:val="004B5DA4"/>
    <w:rsid w:val="004B7870"/>
    <w:rsid w:val="004B79EA"/>
    <w:rsid w:val="004B7A26"/>
    <w:rsid w:val="004B7FBF"/>
    <w:rsid w:val="004C0A39"/>
    <w:rsid w:val="004C0C18"/>
    <w:rsid w:val="004C0E74"/>
    <w:rsid w:val="004C1D72"/>
    <w:rsid w:val="004C24D5"/>
    <w:rsid w:val="004C4423"/>
    <w:rsid w:val="004C460D"/>
    <w:rsid w:val="004C4D13"/>
    <w:rsid w:val="004C5265"/>
    <w:rsid w:val="004C5E72"/>
    <w:rsid w:val="004C631F"/>
    <w:rsid w:val="004C764D"/>
    <w:rsid w:val="004C783D"/>
    <w:rsid w:val="004C7EA4"/>
    <w:rsid w:val="004D1B35"/>
    <w:rsid w:val="004D2151"/>
    <w:rsid w:val="004D2263"/>
    <w:rsid w:val="004D2FF8"/>
    <w:rsid w:val="004D3EEC"/>
    <w:rsid w:val="004D4460"/>
    <w:rsid w:val="004D4616"/>
    <w:rsid w:val="004D4EDF"/>
    <w:rsid w:val="004D5008"/>
    <w:rsid w:val="004D52F1"/>
    <w:rsid w:val="004D5DAF"/>
    <w:rsid w:val="004D6048"/>
    <w:rsid w:val="004D664A"/>
    <w:rsid w:val="004D6C2F"/>
    <w:rsid w:val="004D7941"/>
    <w:rsid w:val="004E0B11"/>
    <w:rsid w:val="004E1F01"/>
    <w:rsid w:val="004E2398"/>
    <w:rsid w:val="004E27E3"/>
    <w:rsid w:val="004E2AD5"/>
    <w:rsid w:val="004E3B6D"/>
    <w:rsid w:val="004E464A"/>
    <w:rsid w:val="004E465E"/>
    <w:rsid w:val="004E48F7"/>
    <w:rsid w:val="004E4910"/>
    <w:rsid w:val="004E594E"/>
    <w:rsid w:val="004F0F35"/>
    <w:rsid w:val="004F10EA"/>
    <w:rsid w:val="004F1605"/>
    <w:rsid w:val="004F199D"/>
    <w:rsid w:val="004F1ECE"/>
    <w:rsid w:val="004F27AE"/>
    <w:rsid w:val="004F2C61"/>
    <w:rsid w:val="004F5169"/>
    <w:rsid w:val="004F6023"/>
    <w:rsid w:val="004F7839"/>
    <w:rsid w:val="004F7D66"/>
    <w:rsid w:val="00500307"/>
    <w:rsid w:val="00500C8D"/>
    <w:rsid w:val="00500E1E"/>
    <w:rsid w:val="00500F2A"/>
    <w:rsid w:val="005018E5"/>
    <w:rsid w:val="005021EC"/>
    <w:rsid w:val="005030C8"/>
    <w:rsid w:val="00503C6E"/>
    <w:rsid w:val="00503F26"/>
    <w:rsid w:val="0050434D"/>
    <w:rsid w:val="00504786"/>
    <w:rsid w:val="00507322"/>
    <w:rsid w:val="0050748B"/>
    <w:rsid w:val="00507FB8"/>
    <w:rsid w:val="00510509"/>
    <w:rsid w:val="005105BE"/>
    <w:rsid w:val="005109E4"/>
    <w:rsid w:val="00510C06"/>
    <w:rsid w:val="005123E4"/>
    <w:rsid w:val="00512622"/>
    <w:rsid w:val="00513135"/>
    <w:rsid w:val="00513401"/>
    <w:rsid w:val="0051413A"/>
    <w:rsid w:val="00514567"/>
    <w:rsid w:val="00515263"/>
    <w:rsid w:val="0051575F"/>
    <w:rsid w:val="00515976"/>
    <w:rsid w:val="00516BD3"/>
    <w:rsid w:val="00516D42"/>
    <w:rsid w:val="00516EED"/>
    <w:rsid w:val="00517676"/>
    <w:rsid w:val="00517C47"/>
    <w:rsid w:val="00520C2A"/>
    <w:rsid w:val="00521455"/>
    <w:rsid w:val="00521747"/>
    <w:rsid w:val="00521D14"/>
    <w:rsid w:val="0052201D"/>
    <w:rsid w:val="00523CAF"/>
    <w:rsid w:val="00524293"/>
    <w:rsid w:val="0052436A"/>
    <w:rsid w:val="00524E25"/>
    <w:rsid w:val="00525DFB"/>
    <w:rsid w:val="0052656E"/>
    <w:rsid w:val="005270D9"/>
    <w:rsid w:val="005277B1"/>
    <w:rsid w:val="00530D43"/>
    <w:rsid w:val="00530E62"/>
    <w:rsid w:val="00531135"/>
    <w:rsid w:val="0053198E"/>
    <w:rsid w:val="00532165"/>
    <w:rsid w:val="00533AC3"/>
    <w:rsid w:val="00534E49"/>
    <w:rsid w:val="00536149"/>
    <w:rsid w:val="00537039"/>
    <w:rsid w:val="005372D8"/>
    <w:rsid w:val="005416D1"/>
    <w:rsid w:val="00542833"/>
    <w:rsid w:val="00543E9D"/>
    <w:rsid w:val="00545D95"/>
    <w:rsid w:val="005466F1"/>
    <w:rsid w:val="00546B9E"/>
    <w:rsid w:val="00547420"/>
    <w:rsid w:val="00547EC1"/>
    <w:rsid w:val="005506DA"/>
    <w:rsid w:val="00550C56"/>
    <w:rsid w:val="00551031"/>
    <w:rsid w:val="0055111E"/>
    <w:rsid w:val="00551470"/>
    <w:rsid w:val="00551593"/>
    <w:rsid w:val="00551828"/>
    <w:rsid w:val="00551EE6"/>
    <w:rsid w:val="0055242E"/>
    <w:rsid w:val="00553939"/>
    <w:rsid w:val="00553D1B"/>
    <w:rsid w:val="00553F47"/>
    <w:rsid w:val="00553FA6"/>
    <w:rsid w:val="00555241"/>
    <w:rsid w:val="005553C6"/>
    <w:rsid w:val="005559E9"/>
    <w:rsid w:val="0055782C"/>
    <w:rsid w:val="00557EF3"/>
    <w:rsid w:val="005603BF"/>
    <w:rsid w:val="00560F8D"/>
    <w:rsid w:val="00561C6E"/>
    <w:rsid w:val="00561C74"/>
    <w:rsid w:val="00561DB8"/>
    <w:rsid w:val="00562266"/>
    <w:rsid w:val="005629FC"/>
    <w:rsid w:val="00562A43"/>
    <w:rsid w:val="00563912"/>
    <w:rsid w:val="00564FF3"/>
    <w:rsid w:val="00565117"/>
    <w:rsid w:val="0056655A"/>
    <w:rsid w:val="00567363"/>
    <w:rsid w:val="00567498"/>
    <w:rsid w:val="00567D3C"/>
    <w:rsid w:val="00570268"/>
    <w:rsid w:val="0057034D"/>
    <w:rsid w:val="005704CA"/>
    <w:rsid w:val="005708B9"/>
    <w:rsid w:val="00570C71"/>
    <w:rsid w:val="00571EC3"/>
    <w:rsid w:val="005726FE"/>
    <w:rsid w:val="005730F7"/>
    <w:rsid w:val="0057361D"/>
    <w:rsid w:val="00575B2E"/>
    <w:rsid w:val="0057671C"/>
    <w:rsid w:val="00577180"/>
    <w:rsid w:val="00577364"/>
    <w:rsid w:val="005775E3"/>
    <w:rsid w:val="00577872"/>
    <w:rsid w:val="00577A5F"/>
    <w:rsid w:val="005804BE"/>
    <w:rsid w:val="005809A6"/>
    <w:rsid w:val="00580F91"/>
    <w:rsid w:val="00581323"/>
    <w:rsid w:val="0058245B"/>
    <w:rsid w:val="00582B8F"/>
    <w:rsid w:val="005831BB"/>
    <w:rsid w:val="0058338B"/>
    <w:rsid w:val="005836AE"/>
    <w:rsid w:val="005869C5"/>
    <w:rsid w:val="005871B9"/>
    <w:rsid w:val="00587485"/>
    <w:rsid w:val="0059065D"/>
    <w:rsid w:val="00591E9F"/>
    <w:rsid w:val="00592BE8"/>
    <w:rsid w:val="00592F77"/>
    <w:rsid w:val="00594523"/>
    <w:rsid w:val="00595398"/>
    <w:rsid w:val="00595876"/>
    <w:rsid w:val="0059665F"/>
    <w:rsid w:val="00596F01"/>
    <w:rsid w:val="005978F0"/>
    <w:rsid w:val="005A07CC"/>
    <w:rsid w:val="005A229A"/>
    <w:rsid w:val="005A335F"/>
    <w:rsid w:val="005A45D8"/>
    <w:rsid w:val="005A47E5"/>
    <w:rsid w:val="005A4BEF"/>
    <w:rsid w:val="005A5471"/>
    <w:rsid w:val="005A595A"/>
    <w:rsid w:val="005A65D3"/>
    <w:rsid w:val="005A6769"/>
    <w:rsid w:val="005A76C4"/>
    <w:rsid w:val="005A7810"/>
    <w:rsid w:val="005A79BD"/>
    <w:rsid w:val="005A7F11"/>
    <w:rsid w:val="005B100B"/>
    <w:rsid w:val="005B1C81"/>
    <w:rsid w:val="005B33A0"/>
    <w:rsid w:val="005B36B1"/>
    <w:rsid w:val="005B46E0"/>
    <w:rsid w:val="005B5B5A"/>
    <w:rsid w:val="005B5D1F"/>
    <w:rsid w:val="005B5F2F"/>
    <w:rsid w:val="005B7D83"/>
    <w:rsid w:val="005B7FFD"/>
    <w:rsid w:val="005C01B3"/>
    <w:rsid w:val="005C03F6"/>
    <w:rsid w:val="005C0875"/>
    <w:rsid w:val="005C0B5E"/>
    <w:rsid w:val="005C0C13"/>
    <w:rsid w:val="005C149C"/>
    <w:rsid w:val="005C24CF"/>
    <w:rsid w:val="005C3323"/>
    <w:rsid w:val="005C4F78"/>
    <w:rsid w:val="005C5714"/>
    <w:rsid w:val="005C572A"/>
    <w:rsid w:val="005C61BB"/>
    <w:rsid w:val="005C6A5A"/>
    <w:rsid w:val="005C6CD0"/>
    <w:rsid w:val="005C770A"/>
    <w:rsid w:val="005C7A3A"/>
    <w:rsid w:val="005C7C34"/>
    <w:rsid w:val="005D20A5"/>
    <w:rsid w:val="005D4DF9"/>
    <w:rsid w:val="005D54F0"/>
    <w:rsid w:val="005D5DEA"/>
    <w:rsid w:val="005D65FC"/>
    <w:rsid w:val="005D7061"/>
    <w:rsid w:val="005D7182"/>
    <w:rsid w:val="005D7300"/>
    <w:rsid w:val="005E03E7"/>
    <w:rsid w:val="005E0DED"/>
    <w:rsid w:val="005E120D"/>
    <w:rsid w:val="005E1C1E"/>
    <w:rsid w:val="005E1DE1"/>
    <w:rsid w:val="005E2C78"/>
    <w:rsid w:val="005E3709"/>
    <w:rsid w:val="005E61F0"/>
    <w:rsid w:val="005E67E1"/>
    <w:rsid w:val="005E71C1"/>
    <w:rsid w:val="005F0D55"/>
    <w:rsid w:val="005F0F5D"/>
    <w:rsid w:val="005F1C11"/>
    <w:rsid w:val="005F32B8"/>
    <w:rsid w:val="005F3646"/>
    <w:rsid w:val="005F3C10"/>
    <w:rsid w:val="005F652E"/>
    <w:rsid w:val="005F699D"/>
    <w:rsid w:val="005F734D"/>
    <w:rsid w:val="005F7ACC"/>
    <w:rsid w:val="005F7E35"/>
    <w:rsid w:val="00600245"/>
    <w:rsid w:val="006020E0"/>
    <w:rsid w:val="00602893"/>
    <w:rsid w:val="0060298C"/>
    <w:rsid w:val="006029CF"/>
    <w:rsid w:val="00603D12"/>
    <w:rsid w:val="00603EC4"/>
    <w:rsid w:val="0060497E"/>
    <w:rsid w:val="00604BD2"/>
    <w:rsid w:val="00604D93"/>
    <w:rsid w:val="00605374"/>
    <w:rsid w:val="00606F78"/>
    <w:rsid w:val="0060769F"/>
    <w:rsid w:val="006103D1"/>
    <w:rsid w:val="00610CA5"/>
    <w:rsid w:val="00610F43"/>
    <w:rsid w:val="006115DB"/>
    <w:rsid w:val="00612380"/>
    <w:rsid w:val="006127AE"/>
    <w:rsid w:val="006134C6"/>
    <w:rsid w:val="00613575"/>
    <w:rsid w:val="00615B88"/>
    <w:rsid w:val="00615C34"/>
    <w:rsid w:val="0061635B"/>
    <w:rsid w:val="006171FD"/>
    <w:rsid w:val="006173F4"/>
    <w:rsid w:val="0061772B"/>
    <w:rsid w:val="00620024"/>
    <w:rsid w:val="00620AAB"/>
    <w:rsid w:val="00621009"/>
    <w:rsid w:val="00621274"/>
    <w:rsid w:val="00621386"/>
    <w:rsid w:val="006224EE"/>
    <w:rsid w:val="0062320F"/>
    <w:rsid w:val="00623670"/>
    <w:rsid w:val="00623DC1"/>
    <w:rsid w:val="006249CD"/>
    <w:rsid w:val="00624E5D"/>
    <w:rsid w:val="006253D2"/>
    <w:rsid w:val="00626541"/>
    <w:rsid w:val="00627BD9"/>
    <w:rsid w:val="00630759"/>
    <w:rsid w:val="00630CA3"/>
    <w:rsid w:val="00631C89"/>
    <w:rsid w:val="0063249C"/>
    <w:rsid w:val="00633D75"/>
    <w:rsid w:val="006350DF"/>
    <w:rsid w:val="0063527F"/>
    <w:rsid w:val="00635CBE"/>
    <w:rsid w:val="00636165"/>
    <w:rsid w:val="0064092B"/>
    <w:rsid w:val="006411AC"/>
    <w:rsid w:val="006417F0"/>
    <w:rsid w:val="00641ECD"/>
    <w:rsid w:val="006423B2"/>
    <w:rsid w:val="006424F6"/>
    <w:rsid w:val="0064329D"/>
    <w:rsid w:val="006456A2"/>
    <w:rsid w:val="00645B8C"/>
    <w:rsid w:val="0064610B"/>
    <w:rsid w:val="0064637F"/>
    <w:rsid w:val="00647A6D"/>
    <w:rsid w:val="00647B7E"/>
    <w:rsid w:val="0065000B"/>
    <w:rsid w:val="0065044F"/>
    <w:rsid w:val="00650DAD"/>
    <w:rsid w:val="00651498"/>
    <w:rsid w:val="00651875"/>
    <w:rsid w:val="00652207"/>
    <w:rsid w:val="00653714"/>
    <w:rsid w:val="00653970"/>
    <w:rsid w:val="00655881"/>
    <w:rsid w:val="00656B71"/>
    <w:rsid w:val="00657387"/>
    <w:rsid w:val="0065785B"/>
    <w:rsid w:val="00657C51"/>
    <w:rsid w:val="00660209"/>
    <w:rsid w:val="006608BF"/>
    <w:rsid w:val="00661697"/>
    <w:rsid w:val="00662BCA"/>
    <w:rsid w:val="0066359C"/>
    <w:rsid w:val="00663A63"/>
    <w:rsid w:val="00664759"/>
    <w:rsid w:val="006647FB"/>
    <w:rsid w:val="0066535C"/>
    <w:rsid w:val="006659BD"/>
    <w:rsid w:val="00666716"/>
    <w:rsid w:val="00666870"/>
    <w:rsid w:val="00667196"/>
    <w:rsid w:val="00667244"/>
    <w:rsid w:val="006672B2"/>
    <w:rsid w:val="00667C51"/>
    <w:rsid w:val="00670116"/>
    <w:rsid w:val="00670353"/>
    <w:rsid w:val="00670BA1"/>
    <w:rsid w:val="006722C1"/>
    <w:rsid w:val="00672B03"/>
    <w:rsid w:val="00673361"/>
    <w:rsid w:val="00676094"/>
    <w:rsid w:val="00676D3F"/>
    <w:rsid w:val="0067777D"/>
    <w:rsid w:val="00677D3D"/>
    <w:rsid w:val="00680ED5"/>
    <w:rsid w:val="00681778"/>
    <w:rsid w:val="00681DAA"/>
    <w:rsid w:val="00682EC4"/>
    <w:rsid w:val="006832C0"/>
    <w:rsid w:val="0068389E"/>
    <w:rsid w:val="00684633"/>
    <w:rsid w:val="00684B78"/>
    <w:rsid w:val="00684D31"/>
    <w:rsid w:val="0068529B"/>
    <w:rsid w:val="00685A98"/>
    <w:rsid w:val="00686868"/>
    <w:rsid w:val="00687516"/>
    <w:rsid w:val="006878A8"/>
    <w:rsid w:val="00691571"/>
    <w:rsid w:val="006921AA"/>
    <w:rsid w:val="0069243A"/>
    <w:rsid w:val="00692CF1"/>
    <w:rsid w:val="00692DB4"/>
    <w:rsid w:val="00693E72"/>
    <w:rsid w:val="00694131"/>
    <w:rsid w:val="006942A4"/>
    <w:rsid w:val="0069515B"/>
    <w:rsid w:val="00696588"/>
    <w:rsid w:val="00696B1A"/>
    <w:rsid w:val="006A09C1"/>
    <w:rsid w:val="006A0E77"/>
    <w:rsid w:val="006A0EA2"/>
    <w:rsid w:val="006A15E2"/>
    <w:rsid w:val="006A2881"/>
    <w:rsid w:val="006A2F23"/>
    <w:rsid w:val="006A399A"/>
    <w:rsid w:val="006A415D"/>
    <w:rsid w:val="006A4E95"/>
    <w:rsid w:val="006A5A30"/>
    <w:rsid w:val="006A5F28"/>
    <w:rsid w:val="006A5FE4"/>
    <w:rsid w:val="006A6EC5"/>
    <w:rsid w:val="006A6F38"/>
    <w:rsid w:val="006A7E77"/>
    <w:rsid w:val="006B070B"/>
    <w:rsid w:val="006B07F2"/>
    <w:rsid w:val="006B17CC"/>
    <w:rsid w:val="006B20A6"/>
    <w:rsid w:val="006B2B24"/>
    <w:rsid w:val="006B3806"/>
    <w:rsid w:val="006B3D14"/>
    <w:rsid w:val="006B42D9"/>
    <w:rsid w:val="006B4766"/>
    <w:rsid w:val="006B5506"/>
    <w:rsid w:val="006B71C0"/>
    <w:rsid w:val="006B781E"/>
    <w:rsid w:val="006C035A"/>
    <w:rsid w:val="006C038A"/>
    <w:rsid w:val="006C1BFB"/>
    <w:rsid w:val="006C1F3B"/>
    <w:rsid w:val="006C2E6B"/>
    <w:rsid w:val="006C31DB"/>
    <w:rsid w:val="006C35CB"/>
    <w:rsid w:val="006C3F58"/>
    <w:rsid w:val="006C40AB"/>
    <w:rsid w:val="006C477D"/>
    <w:rsid w:val="006C523B"/>
    <w:rsid w:val="006C5C5B"/>
    <w:rsid w:val="006C7003"/>
    <w:rsid w:val="006C76DB"/>
    <w:rsid w:val="006C7A7E"/>
    <w:rsid w:val="006D045D"/>
    <w:rsid w:val="006D0B3A"/>
    <w:rsid w:val="006D145D"/>
    <w:rsid w:val="006D220A"/>
    <w:rsid w:val="006D2DEF"/>
    <w:rsid w:val="006D3C0F"/>
    <w:rsid w:val="006D4676"/>
    <w:rsid w:val="006D58B1"/>
    <w:rsid w:val="006D68D2"/>
    <w:rsid w:val="006D6E65"/>
    <w:rsid w:val="006D7369"/>
    <w:rsid w:val="006D7777"/>
    <w:rsid w:val="006D7895"/>
    <w:rsid w:val="006E02D1"/>
    <w:rsid w:val="006E30A8"/>
    <w:rsid w:val="006E30CC"/>
    <w:rsid w:val="006E418C"/>
    <w:rsid w:val="006E548F"/>
    <w:rsid w:val="006E5D77"/>
    <w:rsid w:val="006E6DD6"/>
    <w:rsid w:val="006E745D"/>
    <w:rsid w:val="006E7A87"/>
    <w:rsid w:val="006E7E3A"/>
    <w:rsid w:val="006F0355"/>
    <w:rsid w:val="006F05AD"/>
    <w:rsid w:val="006F2B42"/>
    <w:rsid w:val="006F3540"/>
    <w:rsid w:val="006F35D3"/>
    <w:rsid w:val="006F425E"/>
    <w:rsid w:val="006F4471"/>
    <w:rsid w:val="006F4B30"/>
    <w:rsid w:val="006F4B86"/>
    <w:rsid w:val="006F52CA"/>
    <w:rsid w:val="006F5661"/>
    <w:rsid w:val="006F5902"/>
    <w:rsid w:val="006F63BD"/>
    <w:rsid w:val="006F6533"/>
    <w:rsid w:val="006F65C1"/>
    <w:rsid w:val="006F67F4"/>
    <w:rsid w:val="006F6F59"/>
    <w:rsid w:val="00700E5D"/>
    <w:rsid w:val="00701AE8"/>
    <w:rsid w:val="00701E54"/>
    <w:rsid w:val="0070204F"/>
    <w:rsid w:val="007024AA"/>
    <w:rsid w:val="007026A0"/>
    <w:rsid w:val="0070274B"/>
    <w:rsid w:val="00702C86"/>
    <w:rsid w:val="00704359"/>
    <w:rsid w:val="0070532D"/>
    <w:rsid w:val="00705BD7"/>
    <w:rsid w:val="00706313"/>
    <w:rsid w:val="007074CB"/>
    <w:rsid w:val="00707C73"/>
    <w:rsid w:val="007108B2"/>
    <w:rsid w:val="007109FE"/>
    <w:rsid w:val="00712720"/>
    <w:rsid w:val="00712BC9"/>
    <w:rsid w:val="007131A1"/>
    <w:rsid w:val="007142C2"/>
    <w:rsid w:val="00714731"/>
    <w:rsid w:val="00714DC8"/>
    <w:rsid w:val="00716788"/>
    <w:rsid w:val="00717198"/>
    <w:rsid w:val="0072056E"/>
    <w:rsid w:val="007206BB"/>
    <w:rsid w:val="00720A55"/>
    <w:rsid w:val="00721343"/>
    <w:rsid w:val="00721467"/>
    <w:rsid w:val="0072166F"/>
    <w:rsid w:val="00722AC2"/>
    <w:rsid w:val="007237DC"/>
    <w:rsid w:val="00723F97"/>
    <w:rsid w:val="00725F92"/>
    <w:rsid w:val="00726F75"/>
    <w:rsid w:val="00727B4B"/>
    <w:rsid w:val="00727DD1"/>
    <w:rsid w:val="00727FE3"/>
    <w:rsid w:val="0073099E"/>
    <w:rsid w:val="00730EEC"/>
    <w:rsid w:val="00730F94"/>
    <w:rsid w:val="007311CB"/>
    <w:rsid w:val="00731220"/>
    <w:rsid w:val="00731290"/>
    <w:rsid w:val="00732B02"/>
    <w:rsid w:val="0073339B"/>
    <w:rsid w:val="00734051"/>
    <w:rsid w:val="0073485D"/>
    <w:rsid w:val="007348C2"/>
    <w:rsid w:val="00735167"/>
    <w:rsid w:val="00735E98"/>
    <w:rsid w:val="0073610D"/>
    <w:rsid w:val="00737FAE"/>
    <w:rsid w:val="007400BD"/>
    <w:rsid w:val="007400DB"/>
    <w:rsid w:val="00740C15"/>
    <w:rsid w:val="00740FE4"/>
    <w:rsid w:val="00742708"/>
    <w:rsid w:val="00742BF6"/>
    <w:rsid w:val="00743041"/>
    <w:rsid w:val="00744114"/>
    <w:rsid w:val="00745530"/>
    <w:rsid w:val="00747636"/>
    <w:rsid w:val="00747B6C"/>
    <w:rsid w:val="007502A0"/>
    <w:rsid w:val="00750B1A"/>
    <w:rsid w:val="00750E20"/>
    <w:rsid w:val="007512DA"/>
    <w:rsid w:val="00752F5B"/>
    <w:rsid w:val="00753A2D"/>
    <w:rsid w:val="00754667"/>
    <w:rsid w:val="007557F8"/>
    <w:rsid w:val="00755850"/>
    <w:rsid w:val="00756DD6"/>
    <w:rsid w:val="00756EBF"/>
    <w:rsid w:val="00757A32"/>
    <w:rsid w:val="00757D0F"/>
    <w:rsid w:val="007600FA"/>
    <w:rsid w:val="00760328"/>
    <w:rsid w:val="00760FEA"/>
    <w:rsid w:val="00761C22"/>
    <w:rsid w:val="00761E9D"/>
    <w:rsid w:val="00763829"/>
    <w:rsid w:val="00763F2D"/>
    <w:rsid w:val="00765435"/>
    <w:rsid w:val="00766E4C"/>
    <w:rsid w:val="007670F3"/>
    <w:rsid w:val="007673BC"/>
    <w:rsid w:val="007674A4"/>
    <w:rsid w:val="00767D4A"/>
    <w:rsid w:val="00770B4F"/>
    <w:rsid w:val="00772C5A"/>
    <w:rsid w:val="00774772"/>
    <w:rsid w:val="00774AB1"/>
    <w:rsid w:val="00776CD0"/>
    <w:rsid w:val="00777559"/>
    <w:rsid w:val="00777572"/>
    <w:rsid w:val="007818B9"/>
    <w:rsid w:val="007818EB"/>
    <w:rsid w:val="00784A60"/>
    <w:rsid w:val="00786138"/>
    <w:rsid w:val="0078654B"/>
    <w:rsid w:val="00787146"/>
    <w:rsid w:val="007876B3"/>
    <w:rsid w:val="00787B08"/>
    <w:rsid w:val="00790EBB"/>
    <w:rsid w:val="00791BE1"/>
    <w:rsid w:val="007922E3"/>
    <w:rsid w:val="007930A7"/>
    <w:rsid w:val="00793533"/>
    <w:rsid w:val="0079517A"/>
    <w:rsid w:val="00795508"/>
    <w:rsid w:val="00795C16"/>
    <w:rsid w:val="00795DC4"/>
    <w:rsid w:val="00795F46"/>
    <w:rsid w:val="00795F49"/>
    <w:rsid w:val="00795FE8"/>
    <w:rsid w:val="007968DB"/>
    <w:rsid w:val="00796C73"/>
    <w:rsid w:val="00797D94"/>
    <w:rsid w:val="007A0A8E"/>
    <w:rsid w:val="007A0DFF"/>
    <w:rsid w:val="007A1F77"/>
    <w:rsid w:val="007A263C"/>
    <w:rsid w:val="007A2B50"/>
    <w:rsid w:val="007A3707"/>
    <w:rsid w:val="007A3768"/>
    <w:rsid w:val="007A3972"/>
    <w:rsid w:val="007A495E"/>
    <w:rsid w:val="007A4DD1"/>
    <w:rsid w:val="007A4DE0"/>
    <w:rsid w:val="007A4F25"/>
    <w:rsid w:val="007A5540"/>
    <w:rsid w:val="007A639C"/>
    <w:rsid w:val="007A6A17"/>
    <w:rsid w:val="007A6F01"/>
    <w:rsid w:val="007A742D"/>
    <w:rsid w:val="007B35C4"/>
    <w:rsid w:val="007B3BEB"/>
    <w:rsid w:val="007B3ED0"/>
    <w:rsid w:val="007B4435"/>
    <w:rsid w:val="007B476F"/>
    <w:rsid w:val="007B525C"/>
    <w:rsid w:val="007B5C30"/>
    <w:rsid w:val="007B7453"/>
    <w:rsid w:val="007B7910"/>
    <w:rsid w:val="007B7D59"/>
    <w:rsid w:val="007C00B6"/>
    <w:rsid w:val="007C0150"/>
    <w:rsid w:val="007C098B"/>
    <w:rsid w:val="007C0D7C"/>
    <w:rsid w:val="007C146D"/>
    <w:rsid w:val="007C149F"/>
    <w:rsid w:val="007C1D0E"/>
    <w:rsid w:val="007C20AD"/>
    <w:rsid w:val="007C2583"/>
    <w:rsid w:val="007C2A54"/>
    <w:rsid w:val="007C2D0E"/>
    <w:rsid w:val="007C4053"/>
    <w:rsid w:val="007C4602"/>
    <w:rsid w:val="007C4A41"/>
    <w:rsid w:val="007C4E1F"/>
    <w:rsid w:val="007C57BF"/>
    <w:rsid w:val="007C5864"/>
    <w:rsid w:val="007C5B55"/>
    <w:rsid w:val="007C66AF"/>
    <w:rsid w:val="007C69C5"/>
    <w:rsid w:val="007D04A9"/>
    <w:rsid w:val="007D0C57"/>
    <w:rsid w:val="007D0E00"/>
    <w:rsid w:val="007D2A8B"/>
    <w:rsid w:val="007D35F0"/>
    <w:rsid w:val="007D38A2"/>
    <w:rsid w:val="007D5717"/>
    <w:rsid w:val="007D6361"/>
    <w:rsid w:val="007D77C0"/>
    <w:rsid w:val="007D78E3"/>
    <w:rsid w:val="007D7DE5"/>
    <w:rsid w:val="007D7FF2"/>
    <w:rsid w:val="007E01BF"/>
    <w:rsid w:val="007E06A3"/>
    <w:rsid w:val="007E0AD2"/>
    <w:rsid w:val="007E14AF"/>
    <w:rsid w:val="007E1821"/>
    <w:rsid w:val="007E2170"/>
    <w:rsid w:val="007E2ACE"/>
    <w:rsid w:val="007E2DE9"/>
    <w:rsid w:val="007E3E87"/>
    <w:rsid w:val="007E440D"/>
    <w:rsid w:val="007E448F"/>
    <w:rsid w:val="007E4994"/>
    <w:rsid w:val="007E4AE1"/>
    <w:rsid w:val="007E4F48"/>
    <w:rsid w:val="007E5894"/>
    <w:rsid w:val="007E5EAD"/>
    <w:rsid w:val="007E61ED"/>
    <w:rsid w:val="007E650A"/>
    <w:rsid w:val="007F18F2"/>
    <w:rsid w:val="007F1C94"/>
    <w:rsid w:val="007F2DE3"/>
    <w:rsid w:val="007F313F"/>
    <w:rsid w:val="007F334E"/>
    <w:rsid w:val="007F54E1"/>
    <w:rsid w:val="007F6B23"/>
    <w:rsid w:val="007F6B53"/>
    <w:rsid w:val="007F6EA6"/>
    <w:rsid w:val="007F71D4"/>
    <w:rsid w:val="007F7599"/>
    <w:rsid w:val="0080137E"/>
    <w:rsid w:val="008017E8"/>
    <w:rsid w:val="00801B5C"/>
    <w:rsid w:val="00801EC2"/>
    <w:rsid w:val="00801EDB"/>
    <w:rsid w:val="008022ED"/>
    <w:rsid w:val="00802EBE"/>
    <w:rsid w:val="00803638"/>
    <w:rsid w:val="00804E45"/>
    <w:rsid w:val="0080517D"/>
    <w:rsid w:val="00805511"/>
    <w:rsid w:val="00805838"/>
    <w:rsid w:val="00805BF2"/>
    <w:rsid w:val="008070E4"/>
    <w:rsid w:val="00807240"/>
    <w:rsid w:val="00807848"/>
    <w:rsid w:val="008108AA"/>
    <w:rsid w:val="00810CCA"/>
    <w:rsid w:val="00810DF7"/>
    <w:rsid w:val="00810F22"/>
    <w:rsid w:val="00812D6E"/>
    <w:rsid w:val="00812E13"/>
    <w:rsid w:val="00813040"/>
    <w:rsid w:val="0081375A"/>
    <w:rsid w:val="00814E78"/>
    <w:rsid w:val="00815A3E"/>
    <w:rsid w:val="00817D25"/>
    <w:rsid w:val="008205E9"/>
    <w:rsid w:val="008219E8"/>
    <w:rsid w:val="0082206F"/>
    <w:rsid w:val="00822B5E"/>
    <w:rsid w:val="00822C50"/>
    <w:rsid w:val="00822E7C"/>
    <w:rsid w:val="00822F92"/>
    <w:rsid w:val="008237F5"/>
    <w:rsid w:val="00824214"/>
    <w:rsid w:val="00825C3B"/>
    <w:rsid w:val="00826796"/>
    <w:rsid w:val="008270F1"/>
    <w:rsid w:val="008272BE"/>
    <w:rsid w:val="00827625"/>
    <w:rsid w:val="008303F4"/>
    <w:rsid w:val="00830CC1"/>
    <w:rsid w:val="0083107B"/>
    <w:rsid w:val="0083114E"/>
    <w:rsid w:val="008311A4"/>
    <w:rsid w:val="00832112"/>
    <w:rsid w:val="00832EB9"/>
    <w:rsid w:val="00833197"/>
    <w:rsid w:val="00833322"/>
    <w:rsid w:val="00833388"/>
    <w:rsid w:val="00833E4B"/>
    <w:rsid w:val="00834329"/>
    <w:rsid w:val="00834C46"/>
    <w:rsid w:val="00834CA5"/>
    <w:rsid w:val="0083531F"/>
    <w:rsid w:val="00836096"/>
    <w:rsid w:val="00836A3F"/>
    <w:rsid w:val="00836F86"/>
    <w:rsid w:val="0083798A"/>
    <w:rsid w:val="00837DC7"/>
    <w:rsid w:val="0084083C"/>
    <w:rsid w:val="00840BFA"/>
    <w:rsid w:val="00841397"/>
    <w:rsid w:val="0084277E"/>
    <w:rsid w:val="00842A22"/>
    <w:rsid w:val="00842B48"/>
    <w:rsid w:val="00842D4C"/>
    <w:rsid w:val="0084317B"/>
    <w:rsid w:val="008433EF"/>
    <w:rsid w:val="00843ADB"/>
    <w:rsid w:val="00843FFF"/>
    <w:rsid w:val="008442EA"/>
    <w:rsid w:val="0084466E"/>
    <w:rsid w:val="00844C5C"/>
    <w:rsid w:val="008450F0"/>
    <w:rsid w:val="00845FA9"/>
    <w:rsid w:val="008467B1"/>
    <w:rsid w:val="00846FE0"/>
    <w:rsid w:val="0084756E"/>
    <w:rsid w:val="00850DD5"/>
    <w:rsid w:val="0085185F"/>
    <w:rsid w:val="00851B25"/>
    <w:rsid w:val="00852DAD"/>
    <w:rsid w:val="00852DE5"/>
    <w:rsid w:val="0085352C"/>
    <w:rsid w:val="00853F06"/>
    <w:rsid w:val="00853F4B"/>
    <w:rsid w:val="00854792"/>
    <w:rsid w:val="00854C94"/>
    <w:rsid w:val="00854D2B"/>
    <w:rsid w:val="00854DA0"/>
    <w:rsid w:val="0085659B"/>
    <w:rsid w:val="00857029"/>
    <w:rsid w:val="00860453"/>
    <w:rsid w:val="00860896"/>
    <w:rsid w:val="0086089A"/>
    <w:rsid w:val="008609CA"/>
    <w:rsid w:val="00861441"/>
    <w:rsid w:val="00861B05"/>
    <w:rsid w:val="00861BCC"/>
    <w:rsid w:val="00862123"/>
    <w:rsid w:val="00863068"/>
    <w:rsid w:val="00863101"/>
    <w:rsid w:val="00863669"/>
    <w:rsid w:val="00864AF8"/>
    <w:rsid w:val="00864C7C"/>
    <w:rsid w:val="00865462"/>
    <w:rsid w:val="00865C6E"/>
    <w:rsid w:val="00865D1A"/>
    <w:rsid w:val="0086617A"/>
    <w:rsid w:val="00866E8E"/>
    <w:rsid w:val="008674E6"/>
    <w:rsid w:val="0087001E"/>
    <w:rsid w:val="0087062D"/>
    <w:rsid w:val="00870C19"/>
    <w:rsid w:val="00872034"/>
    <w:rsid w:val="0087655E"/>
    <w:rsid w:val="00876AD7"/>
    <w:rsid w:val="00877485"/>
    <w:rsid w:val="008801C1"/>
    <w:rsid w:val="00880D1E"/>
    <w:rsid w:val="00883364"/>
    <w:rsid w:val="0088502C"/>
    <w:rsid w:val="0088513A"/>
    <w:rsid w:val="00886B99"/>
    <w:rsid w:val="00886FEC"/>
    <w:rsid w:val="00887203"/>
    <w:rsid w:val="0088731A"/>
    <w:rsid w:val="0088783F"/>
    <w:rsid w:val="0089021D"/>
    <w:rsid w:val="00890831"/>
    <w:rsid w:val="008909BD"/>
    <w:rsid w:val="008920E1"/>
    <w:rsid w:val="00892725"/>
    <w:rsid w:val="0089318E"/>
    <w:rsid w:val="00894D22"/>
    <w:rsid w:val="0089571C"/>
    <w:rsid w:val="0089649F"/>
    <w:rsid w:val="0089698F"/>
    <w:rsid w:val="00896BDF"/>
    <w:rsid w:val="00897B34"/>
    <w:rsid w:val="00897BAE"/>
    <w:rsid w:val="008A0218"/>
    <w:rsid w:val="008A0335"/>
    <w:rsid w:val="008A0435"/>
    <w:rsid w:val="008A08B8"/>
    <w:rsid w:val="008A0ADE"/>
    <w:rsid w:val="008A0DF1"/>
    <w:rsid w:val="008A1AE9"/>
    <w:rsid w:val="008A51E0"/>
    <w:rsid w:val="008A57EC"/>
    <w:rsid w:val="008A695D"/>
    <w:rsid w:val="008A6BFF"/>
    <w:rsid w:val="008A6DDE"/>
    <w:rsid w:val="008A7433"/>
    <w:rsid w:val="008A7772"/>
    <w:rsid w:val="008A7C1B"/>
    <w:rsid w:val="008B0C1E"/>
    <w:rsid w:val="008B148F"/>
    <w:rsid w:val="008B1683"/>
    <w:rsid w:val="008B2676"/>
    <w:rsid w:val="008B5221"/>
    <w:rsid w:val="008B585A"/>
    <w:rsid w:val="008B60CA"/>
    <w:rsid w:val="008B63CE"/>
    <w:rsid w:val="008B6F6A"/>
    <w:rsid w:val="008B7C7E"/>
    <w:rsid w:val="008B7CED"/>
    <w:rsid w:val="008C03C1"/>
    <w:rsid w:val="008C0778"/>
    <w:rsid w:val="008C0D6D"/>
    <w:rsid w:val="008C1710"/>
    <w:rsid w:val="008C3768"/>
    <w:rsid w:val="008C4592"/>
    <w:rsid w:val="008C471B"/>
    <w:rsid w:val="008C47BC"/>
    <w:rsid w:val="008C4E14"/>
    <w:rsid w:val="008C5137"/>
    <w:rsid w:val="008C5346"/>
    <w:rsid w:val="008C5872"/>
    <w:rsid w:val="008C5AF9"/>
    <w:rsid w:val="008C6207"/>
    <w:rsid w:val="008C6A23"/>
    <w:rsid w:val="008C7207"/>
    <w:rsid w:val="008C7EF7"/>
    <w:rsid w:val="008D07AF"/>
    <w:rsid w:val="008D0DC4"/>
    <w:rsid w:val="008D18C4"/>
    <w:rsid w:val="008D1E48"/>
    <w:rsid w:val="008D2ECA"/>
    <w:rsid w:val="008D3615"/>
    <w:rsid w:val="008D3B08"/>
    <w:rsid w:val="008D4CDD"/>
    <w:rsid w:val="008D4D91"/>
    <w:rsid w:val="008D54BD"/>
    <w:rsid w:val="008D56A6"/>
    <w:rsid w:val="008D5732"/>
    <w:rsid w:val="008D61B8"/>
    <w:rsid w:val="008E0864"/>
    <w:rsid w:val="008E2448"/>
    <w:rsid w:val="008E25A0"/>
    <w:rsid w:val="008E25B0"/>
    <w:rsid w:val="008E411C"/>
    <w:rsid w:val="008E4310"/>
    <w:rsid w:val="008E4A5C"/>
    <w:rsid w:val="008E590B"/>
    <w:rsid w:val="008E5951"/>
    <w:rsid w:val="008E5FC4"/>
    <w:rsid w:val="008E637F"/>
    <w:rsid w:val="008E65C9"/>
    <w:rsid w:val="008E6D0C"/>
    <w:rsid w:val="008E6D10"/>
    <w:rsid w:val="008E77CA"/>
    <w:rsid w:val="008E788D"/>
    <w:rsid w:val="008F024D"/>
    <w:rsid w:val="008F06EB"/>
    <w:rsid w:val="008F0DE4"/>
    <w:rsid w:val="008F2461"/>
    <w:rsid w:val="008F2DCD"/>
    <w:rsid w:val="008F2DDC"/>
    <w:rsid w:val="008F31C5"/>
    <w:rsid w:val="008F356C"/>
    <w:rsid w:val="008F36AB"/>
    <w:rsid w:val="008F4ED6"/>
    <w:rsid w:val="008F554C"/>
    <w:rsid w:val="008F5697"/>
    <w:rsid w:val="008F7C5E"/>
    <w:rsid w:val="00900D56"/>
    <w:rsid w:val="00900F00"/>
    <w:rsid w:val="009015D0"/>
    <w:rsid w:val="00901919"/>
    <w:rsid w:val="00904898"/>
    <w:rsid w:val="009056AC"/>
    <w:rsid w:val="0090673B"/>
    <w:rsid w:val="00906A4A"/>
    <w:rsid w:val="00906A4B"/>
    <w:rsid w:val="009072BA"/>
    <w:rsid w:val="00907C0E"/>
    <w:rsid w:val="00910F7C"/>
    <w:rsid w:val="00911623"/>
    <w:rsid w:val="00911692"/>
    <w:rsid w:val="009121D5"/>
    <w:rsid w:val="0091395F"/>
    <w:rsid w:val="00913C2A"/>
    <w:rsid w:val="009146F6"/>
    <w:rsid w:val="00914C54"/>
    <w:rsid w:val="0091543D"/>
    <w:rsid w:val="0091671C"/>
    <w:rsid w:val="00916977"/>
    <w:rsid w:val="00917E16"/>
    <w:rsid w:val="00920624"/>
    <w:rsid w:val="00921741"/>
    <w:rsid w:val="00921DFE"/>
    <w:rsid w:val="009221CE"/>
    <w:rsid w:val="009226A6"/>
    <w:rsid w:val="00922A3F"/>
    <w:rsid w:val="00922CB2"/>
    <w:rsid w:val="009247A3"/>
    <w:rsid w:val="0092497C"/>
    <w:rsid w:val="00924BF5"/>
    <w:rsid w:val="00925A93"/>
    <w:rsid w:val="00925B48"/>
    <w:rsid w:val="009263DB"/>
    <w:rsid w:val="009265CA"/>
    <w:rsid w:val="00926D5B"/>
    <w:rsid w:val="00927322"/>
    <w:rsid w:val="009302B9"/>
    <w:rsid w:val="00930757"/>
    <w:rsid w:val="0093117B"/>
    <w:rsid w:val="00931DB6"/>
    <w:rsid w:val="00932296"/>
    <w:rsid w:val="00933477"/>
    <w:rsid w:val="009335A0"/>
    <w:rsid w:val="009339D8"/>
    <w:rsid w:val="0093433A"/>
    <w:rsid w:val="009345B1"/>
    <w:rsid w:val="0093714C"/>
    <w:rsid w:val="00937A85"/>
    <w:rsid w:val="009400E5"/>
    <w:rsid w:val="0094127F"/>
    <w:rsid w:val="00941448"/>
    <w:rsid w:val="009416D9"/>
    <w:rsid w:val="00942749"/>
    <w:rsid w:val="00942767"/>
    <w:rsid w:val="009438A7"/>
    <w:rsid w:val="00945092"/>
    <w:rsid w:val="00945EE4"/>
    <w:rsid w:val="009467D4"/>
    <w:rsid w:val="0094714B"/>
    <w:rsid w:val="00947EAD"/>
    <w:rsid w:val="00950ACC"/>
    <w:rsid w:val="009512A6"/>
    <w:rsid w:val="0095173A"/>
    <w:rsid w:val="00951CEA"/>
    <w:rsid w:val="00952300"/>
    <w:rsid w:val="00953401"/>
    <w:rsid w:val="00954658"/>
    <w:rsid w:val="00954C84"/>
    <w:rsid w:val="00955561"/>
    <w:rsid w:val="00956076"/>
    <w:rsid w:val="009564E0"/>
    <w:rsid w:val="0095704F"/>
    <w:rsid w:val="00957154"/>
    <w:rsid w:val="0096010A"/>
    <w:rsid w:val="0096081F"/>
    <w:rsid w:val="00960A0C"/>
    <w:rsid w:val="00960EAA"/>
    <w:rsid w:val="00961BCA"/>
    <w:rsid w:val="00961C1C"/>
    <w:rsid w:val="00961F30"/>
    <w:rsid w:val="00961F83"/>
    <w:rsid w:val="00961FA2"/>
    <w:rsid w:val="009622EB"/>
    <w:rsid w:val="00962EEE"/>
    <w:rsid w:val="00962F06"/>
    <w:rsid w:val="00964E5B"/>
    <w:rsid w:val="00966329"/>
    <w:rsid w:val="00966DBC"/>
    <w:rsid w:val="009670CB"/>
    <w:rsid w:val="00967108"/>
    <w:rsid w:val="009717D1"/>
    <w:rsid w:val="00971E4A"/>
    <w:rsid w:val="00972008"/>
    <w:rsid w:val="009727B7"/>
    <w:rsid w:val="00973884"/>
    <w:rsid w:val="009738E7"/>
    <w:rsid w:val="00973EBF"/>
    <w:rsid w:val="00974043"/>
    <w:rsid w:val="0097508B"/>
    <w:rsid w:val="00975EB7"/>
    <w:rsid w:val="009772EC"/>
    <w:rsid w:val="0097737A"/>
    <w:rsid w:val="00977F2F"/>
    <w:rsid w:val="009800C7"/>
    <w:rsid w:val="00980191"/>
    <w:rsid w:val="00980886"/>
    <w:rsid w:val="00980969"/>
    <w:rsid w:val="00983C97"/>
    <w:rsid w:val="00984AA6"/>
    <w:rsid w:val="00984D51"/>
    <w:rsid w:val="00985B52"/>
    <w:rsid w:val="009866AE"/>
    <w:rsid w:val="00990DD7"/>
    <w:rsid w:val="00991767"/>
    <w:rsid w:val="00991A87"/>
    <w:rsid w:val="00993727"/>
    <w:rsid w:val="00993FBD"/>
    <w:rsid w:val="0099402F"/>
    <w:rsid w:val="009940C6"/>
    <w:rsid w:val="00994974"/>
    <w:rsid w:val="0099529B"/>
    <w:rsid w:val="00995CE4"/>
    <w:rsid w:val="00995E7A"/>
    <w:rsid w:val="00996062"/>
    <w:rsid w:val="00997164"/>
    <w:rsid w:val="009A19EC"/>
    <w:rsid w:val="009A1FFF"/>
    <w:rsid w:val="009A2567"/>
    <w:rsid w:val="009A28FC"/>
    <w:rsid w:val="009A3BEB"/>
    <w:rsid w:val="009A3D3B"/>
    <w:rsid w:val="009A49C4"/>
    <w:rsid w:val="009A4E38"/>
    <w:rsid w:val="009A7881"/>
    <w:rsid w:val="009B0A51"/>
    <w:rsid w:val="009B1445"/>
    <w:rsid w:val="009B2761"/>
    <w:rsid w:val="009B320F"/>
    <w:rsid w:val="009B35B2"/>
    <w:rsid w:val="009B367C"/>
    <w:rsid w:val="009B3DE9"/>
    <w:rsid w:val="009B462D"/>
    <w:rsid w:val="009B4633"/>
    <w:rsid w:val="009B5EC6"/>
    <w:rsid w:val="009B727E"/>
    <w:rsid w:val="009B74A4"/>
    <w:rsid w:val="009B7C17"/>
    <w:rsid w:val="009C21D5"/>
    <w:rsid w:val="009C2555"/>
    <w:rsid w:val="009C287C"/>
    <w:rsid w:val="009C2A57"/>
    <w:rsid w:val="009C2D35"/>
    <w:rsid w:val="009C2E39"/>
    <w:rsid w:val="009C3EE5"/>
    <w:rsid w:val="009C44F7"/>
    <w:rsid w:val="009C4FC6"/>
    <w:rsid w:val="009C5B81"/>
    <w:rsid w:val="009C5C6A"/>
    <w:rsid w:val="009C699F"/>
    <w:rsid w:val="009C71D0"/>
    <w:rsid w:val="009C7B1F"/>
    <w:rsid w:val="009C7EC1"/>
    <w:rsid w:val="009D1362"/>
    <w:rsid w:val="009D1CEC"/>
    <w:rsid w:val="009D1FE6"/>
    <w:rsid w:val="009D2A00"/>
    <w:rsid w:val="009D2CD9"/>
    <w:rsid w:val="009D2CDE"/>
    <w:rsid w:val="009D380E"/>
    <w:rsid w:val="009D3920"/>
    <w:rsid w:val="009D3A44"/>
    <w:rsid w:val="009D470A"/>
    <w:rsid w:val="009D6810"/>
    <w:rsid w:val="009D6EA4"/>
    <w:rsid w:val="009E0076"/>
    <w:rsid w:val="009E00EA"/>
    <w:rsid w:val="009E0EF2"/>
    <w:rsid w:val="009E1B4D"/>
    <w:rsid w:val="009E1EFA"/>
    <w:rsid w:val="009E29A3"/>
    <w:rsid w:val="009E3823"/>
    <w:rsid w:val="009E3C52"/>
    <w:rsid w:val="009E54B3"/>
    <w:rsid w:val="009E5A19"/>
    <w:rsid w:val="009E64A0"/>
    <w:rsid w:val="009E6897"/>
    <w:rsid w:val="009E7128"/>
    <w:rsid w:val="009E7C35"/>
    <w:rsid w:val="009F0919"/>
    <w:rsid w:val="009F1C45"/>
    <w:rsid w:val="009F3152"/>
    <w:rsid w:val="009F32B9"/>
    <w:rsid w:val="009F3D16"/>
    <w:rsid w:val="009F415E"/>
    <w:rsid w:val="009F50E2"/>
    <w:rsid w:val="009F5603"/>
    <w:rsid w:val="009F6439"/>
    <w:rsid w:val="009F7368"/>
    <w:rsid w:val="00A00AD2"/>
    <w:rsid w:val="00A01665"/>
    <w:rsid w:val="00A0198B"/>
    <w:rsid w:val="00A01DA1"/>
    <w:rsid w:val="00A021F9"/>
    <w:rsid w:val="00A03E3D"/>
    <w:rsid w:val="00A04672"/>
    <w:rsid w:val="00A0469F"/>
    <w:rsid w:val="00A04836"/>
    <w:rsid w:val="00A04D83"/>
    <w:rsid w:val="00A053C0"/>
    <w:rsid w:val="00A06C28"/>
    <w:rsid w:val="00A07C7B"/>
    <w:rsid w:val="00A102E9"/>
    <w:rsid w:val="00A1036F"/>
    <w:rsid w:val="00A10796"/>
    <w:rsid w:val="00A1084F"/>
    <w:rsid w:val="00A108D3"/>
    <w:rsid w:val="00A11178"/>
    <w:rsid w:val="00A11856"/>
    <w:rsid w:val="00A124D3"/>
    <w:rsid w:val="00A133B9"/>
    <w:rsid w:val="00A14558"/>
    <w:rsid w:val="00A14A4B"/>
    <w:rsid w:val="00A15712"/>
    <w:rsid w:val="00A159D3"/>
    <w:rsid w:val="00A16012"/>
    <w:rsid w:val="00A1659F"/>
    <w:rsid w:val="00A165CA"/>
    <w:rsid w:val="00A16CF7"/>
    <w:rsid w:val="00A17342"/>
    <w:rsid w:val="00A177BE"/>
    <w:rsid w:val="00A205C1"/>
    <w:rsid w:val="00A213F6"/>
    <w:rsid w:val="00A2181A"/>
    <w:rsid w:val="00A21E4F"/>
    <w:rsid w:val="00A25275"/>
    <w:rsid w:val="00A26D99"/>
    <w:rsid w:val="00A26F89"/>
    <w:rsid w:val="00A27D54"/>
    <w:rsid w:val="00A27EBA"/>
    <w:rsid w:val="00A30178"/>
    <w:rsid w:val="00A303D6"/>
    <w:rsid w:val="00A3073D"/>
    <w:rsid w:val="00A30DFF"/>
    <w:rsid w:val="00A325D0"/>
    <w:rsid w:val="00A32A8C"/>
    <w:rsid w:val="00A32AC3"/>
    <w:rsid w:val="00A32C8A"/>
    <w:rsid w:val="00A338C1"/>
    <w:rsid w:val="00A339C5"/>
    <w:rsid w:val="00A34002"/>
    <w:rsid w:val="00A34020"/>
    <w:rsid w:val="00A341D5"/>
    <w:rsid w:val="00A34468"/>
    <w:rsid w:val="00A3484B"/>
    <w:rsid w:val="00A3537D"/>
    <w:rsid w:val="00A357B2"/>
    <w:rsid w:val="00A358EA"/>
    <w:rsid w:val="00A35B8E"/>
    <w:rsid w:val="00A35BA3"/>
    <w:rsid w:val="00A362CF"/>
    <w:rsid w:val="00A36AA4"/>
    <w:rsid w:val="00A36E9C"/>
    <w:rsid w:val="00A41C9F"/>
    <w:rsid w:val="00A42362"/>
    <w:rsid w:val="00A425C4"/>
    <w:rsid w:val="00A42E5C"/>
    <w:rsid w:val="00A442F1"/>
    <w:rsid w:val="00A449EB"/>
    <w:rsid w:val="00A44E8F"/>
    <w:rsid w:val="00A464DB"/>
    <w:rsid w:val="00A470D3"/>
    <w:rsid w:val="00A50DE9"/>
    <w:rsid w:val="00A51E9E"/>
    <w:rsid w:val="00A53A64"/>
    <w:rsid w:val="00A53CF8"/>
    <w:rsid w:val="00A543EA"/>
    <w:rsid w:val="00A54445"/>
    <w:rsid w:val="00A54F62"/>
    <w:rsid w:val="00A55084"/>
    <w:rsid w:val="00A55B24"/>
    <w:rsid w:val="00A56250"/>
    <w:rsid w:val="00A57046"/>
    <w:rsid w:val="00A601DC"/>
    <w:rsid w:val="00A6025C"/>
    <w:rsid w:val="00A609AC"/>
    <w:rsid w:val="00A60AFF"/>
    <w:rsid w:val="00A618FF"/>
    <w:rsid w:val="00A6237C"/>
    <w:rsid w:val="00A62565"/>
    <w:rsid w:val="00A62D05"/>
    <w:rsid w:val="00A63EE8"/>
    <w:rsid w:val="00A640BE"/>
    <w:rsid w:val="00A64B84"/>
    <w:rsid w:val="00A6502A"/>
    <w:rsid w:val="00A669C4"/>
    <w:rsid w:val="00A7088A"/>
    <w:rsid w:val="00A7090A"/>
    <w:rsid w:val="00A713F6"/>
    <w:rsid w:val="00A71995"/>
    <w:rsid w:val="00A720A3"/>
    <w:rsid w:val="00A73238"/>
    <w:rsid w:val="00A73DC5"/>
    <w:rsid w:val="00A74C84"/>
    <w:rsid w:val="00A755E4"/>
    <w:rsid w:val="00A75BC8"/>
    <w:rsid w:val="00A770D2"/>
    <w:rsid w:val="00A773C0"/>
    <w:rsid w:val="00A804E2"/>
    <w:rsid w:val="00A81B75"/>
    <w:rsid w:val="00A81C1B"/>
    <w:rsid w:val="00A81E0F"/>
    <w:rsid w:val="00A81FDD"/>
    <w:rsid w:val="00A82906"/>
    <w:rsid w:val="00A82958"/>
    <w:rsid w:val="00A82E80"/>
    <w:rsid w:val="00A837E1"/>
    <w:rsid w:val="00A85B0A"/>
    <w:rsid w:val="00A86329"/>
    <w:rsid w:val="00A86595"/>
    <w:rsid w:val="00A86D98"/>
    <w:rsid w:val="00A87AA3"/>
    <w:rsid w:val="00A919DC"/>
    <w:rsid w:val="00A91B18"/>
    <w:rsid w:val="00A91F56"/>
    <w:rsid w:val="00A9444E"/>
    <w:rsid w:val="00A94AC4"/>
    <w:rsid w:val="00A956BF"/>
    <w:rsid w:val="00A956EC"/>
    <w:rsid w:val="00A9580A"/>
    <w:rsid w:val="00A95CE0"/>
    <w:rsid w:val="00A9609E"/>
    <w:rsid w:val="00A966B5"/>
    <w:rsid w:val="00A9670C"/>
    <w:rsid w:val="00A96AA8"/>
    <w:rsid w:val="00A9703A"/>
    <w:rsid w:val="00A97596"/>
    <w:rsid w:val="00A97CE8"/>
    <w:rsid w:val="00AA08EF"/>
    <w:rsid w:val="00AA0D6D"/>
    <w:rsid w:val="00AA0EEB"/>
    <w:rsid w:val="00AA119B"/>
    <w:rsid w:val="00AA1BED"/>
    <w:rsid w:val="00AA2521"/>
    <w:rsid w:val="00AA2A8C"/>
    <w:rsid w:val="00AA37C4"/>
    <w:rsid w:val="00AA683F"/>
    <w:rsid w:val="00AA71DB"/>
    <w:rsid w:val="00AB071D"/>
    <w:rsid w:val="00AB1B8F"/>
    <w:rsid w:val="00AB3FFD"/>
    <w:rsid w:val="00AB4BB3"/>
    <w:rsid w:val="00AB5DEF"/>
    <w:rsid w:val="00AB6800"/>
    <w:rsid w:val="00AB6CDF"/>
    <w:rsid w:val="00AB6E7B"/>
    <w:rsid w:val="00AB715C"/>
    <w:rsid w:val="00AC0976"/>
    <w:rsid w:val="00AC26EC"/>
    <w:rsid w:val="00AC2718"/>
    <w:rsid w:val="00AC3195"/>
    <w:rsid w:val="00AC4CE7"/>
    <w:rsid w:val="00AC5202"/>
    <w:rsid w:val="00AC5C34"/>
    <w:rsid w:val="00AC7568"/>
    <w:rsid w:val="00AC7CE1"/>
    <w:rsid w:val="00AD17BF"/>
    <w:rsid w:val="00AD2175"/>
    <w:rsid w:val="00AD2907"/>
    <w:rsid w:val="00AD2D9B"/>
    <w:rsid w:val="00AD5DB7"/>
    <w:rsid w:val="00AD642B"/>
    <w:rsid w:val="00AD6D9F"/>
    <w:rsid w:val="00AD71E8"/>
    <w:rsid w:val="00AE1860"/>
    <w:rsid w:val="00AE21C8"/>
    <w:rsid w:val="00AE2A3A"/>
    <w:rsid w:val="00AE4514"/>
    <w:rsid w:val="00AE4B7D"/>
    <w:rsid w:val="00AE4BAA"/>
    <w:rsid w:val="00AE51CA"/>
    <w:rsid w:val="00AE5ACA"/>
    <w:rsid w:val="00AE7834"/>
    <w:rsid w:val="00AF0695"/>
    <w:rsid w:val="00AF1602"/>
    <w:rsid w:val="00AF1799"/>
    <w:rsid w:val="00AF1B89"/>
    <w:rsid w:val="00AF220B"/>
    <w:rsid w:val="00AF26BE"/>
    <w:rsid w:val="00AF2795"/>
    <w:rsid w:val="00AF28E4"/>
    <w:rsid w:val="00AF2B53"/>
    <w:rsid w:val="00AF2BAD"/>
    <w:rsid w:val="00AF327F"/>
    <w:rsid w:val="00AF4D5C"/>
    <w:rsid w:val="00AF4E21"/>
    <w:rsid w:val="00AF6A0D"/>
    <w:rsid w:val="00AF6BCF"/>
    <w:rsid w:val="00AF6D06"/>
    <w:rsid w:val="00B000E1"/>
    <w:rsid w:val="00B004DD"/>
    <w:rsid w:val="00B027FE"/>
    <w:rsid w:val="00B03518"/>
    <w:rsid w:val="00B036E4"/>
    <w:rsid w:val="00B03A78"/>
    <w:rsid w:val="00B03A98"/>
    <w:rsid w:val="00B042E4"/>
    <w:rsid w:val="00B044A6"/>
    <w:rsid w:val="00B05A66"/>
    <w:rsid w:val="00B05B69"/>
    <w:rsid w:val="00B05F7E"/>
    <w:rsid w:val="00B06838"/>
    <w:rsid w:val="00B071C2"/>
    <w:rsid w:val="00B07278"/>
    <w:rsid w:val="00B07440"/>
    <w:rsid w:val="00B076EC"/>
    <w:rsid w:val="00B07A93"/>
    <w:rsid w:val="00B11906"/>
    <w:rsid w:val="00B11909"/>
    <w:rsid w:val="00B11D5D"/>
    <w:rsid w:val="00B11E88"/>
    <w:rsid w:val="00B12139"/>
    <w:rsid w:val="00B13719"/>
    <w:rsid w:val="00B141F8"/>
    <w:rsid w:val="00B1495B"/>
    <w:rsid w:val="00B14F47"/>
    <w:rsid w:val="00B16619"/>
    <w:rsid w:val="00B17830"/>
    <w:rsid w:val="00B2091C"/>
    <w:rsid w:val="00B20AE4"/>
    <w:rsid w:val="00B20BB6"/>
    <w:rsid w:val="00B21284"/>
    <w:rsid w:val="00B21ACF"/>
    <w:rsid w:val="00B228FE"/>
    <w:rsid w:val="00B23745"/>
    <w:rsid w:val="00B23931"/>
    <w:rsid w:val="00B243C0"/>
    <w:rsid w:val="00B24586"/>
    <w:rsid w:val="00B25218"/>
    <w:rsid w:val="00B25825"/>
    <w:rsid w:val="00B25EDB"/>
    <w:rsid w:val="00B26420"/>
    <w:rsid w:val="00B26BEE"/>
    <w:rsid w:val="00B26DED"/>
    <w:rsid w:val="00B276F3"/>
    <w:rsid w:val="00B27AC1"/>
    <w:rsid w:val="00B27C64"/>
    <w:rsid w:val="00B3114A"/>
    <w:rsid w:val="00B31322"/>
    <w:rsid w:val="00B31A67"/>
    <w:rsid w:val="00B32755"/>
    <w:rsid w:val="00B32A72"/>
    <w:rsid w:val="00B331C9"/>
    <w:rsid w:val="00B33954"/>
    <w:rsid w:val="00B33CA1"/>
    <w:rsid w:val="00B34CDB"/>
    <w:rsid w:val="00B35E89"/>
    <w:rsid w:val="00B35F91"/>
    <w:rsid w:val="00B36506"/>
    <w:rsid w:val="00B4041B"/>
    <w:rsid w:val="00B4108C"/>
    <w:rsid w:val="00B411F8"/>
    <w:rsid w:val="00B41640"/>
    <w:rsid w:val="00B41BA8"/>
    <w:rsid w:val="00B41E33"/>
    <w:rsid w:val="00B41FB0"/>
    <w:rsid w:val="00B4257E"/>
    <w:rsid w:val="00B42892"/>
    <w:rsid w:val="00B436C6"/>
    <w:rsid w:val="00B439A5"/>
    <w:rsid w:val="00B450D1"/>
    <w:rsid w:val="00B4569C"/>
    <w:rsid w:val="00B4673B"/>
    <w:rsid w:val="00B467F2"/>
    <w:rsid w:val="00B5345A"/>
    <w:rsid w:val="00B53A0E"/>
    <w:rsid w:val="00B53A77"/>
    <w:rsid w:val="00B54C6B"/>
    <w:rsid w:val="00B55CEC"/>
    <w:rsid w:val="00B560DE"/>
    <w:rsid w:val="00B56509"/>
    <w:rsid w:val="00B5790E"/>
    <w:rsid w:val="00B6003E"/>
    <w:rsid w:val="00B604D4"/>
    <w:rsid w:val="00B60F42"/>
    <w:rsid w:val="00B62BAB"/>
    <w:rsid w:val="00B63110"/>
    <w:rsid w:val="00B63BD3"/>
    <w:rsid w:val="00B63D25"/>
    <w:rsid w:val="00B64AE7"/>
    <w:rsid w:val="00B73041"/>
    <w:rsid w:val="00B732EE"/>
    <w:rsid w:val="00B73803"/>
    <w:rsid w:val="00B7380C"/>
    <w:rsid w:val="00B74A67"/>
    <w:rsid w:val="00B75025"/>
    <w:rsid w:val="00B75DC5"/>
    <w:rsid w:val="00B760DF"/>
    <w:rsid w:val="00B76920"/>
    <w:rsid w:val="00B77418"/>
    <w:rsid w:val="00B777AA"/>
    <w:rsid w:val="00B77E96"/>
    <w:rsid w:val="00B77EBF"/>
    <w:rsid w:val="00B801BA"/>
    <w:rsid w:val="00B82BD0"/>
    <w:rsid w:val="00B83203"/>
    <w:rsid w:val="00B83E8C"/>
    <w:rsid w:val="00B84C14"/>
    <w:rsid w:val="00B84D08"/>
    <w:rsid w:val="00B84D7D"/>
    <w:rsid w:val="00B8570C"/>
    <w:rsid w:val="00B85D0D"/>
    <w:rsid w:val="00B90AA4"/>
    <w:rsid w:val="00B90C6D"/>
    <w:rsid w:val="00B91836"/>
    <w:rsid w:val="00B928C9"/>
    <w:rsid w:val="00B935EB"/>
    <w:rsid w:val="00B935F3"/>
    <w:rsid w:val="00B9453E"/>
    <w:rsid w:val="00B948B0"/>
    <w:rsid w:val="00B96B2A"/>
    <w:rsid w:val="00B97089"/>
    <w:rsid w:val="00B97164"/>
    <w:rsid w:val="00BA0812"/>
    <w:rsid w:val="00BA0A7D"/>
    <w:rsid w:val="00BA1883"/>
    <w:rsid w:val="00BA20AF"/>
    <w:rsid w:val="00BA28E7"/>
    <w:rsid w:val="00BA2E1D"/>
    <w:rsid w:val="00BA449D"/>
    <w:rsid w:val="00BA5247"/>
    <w:rsid w:val="00BA544D"/>
    <w:rsid w:val="00BA577A"/>
    <w:rsid w:val="00BA5824"/>
    <w:rsid w:val="00BA5D23"/>
    <w:rsid w:val="00BA65F1"/>
    <w:rsid w:val="00BA6BE7"/>
    <w:rsid w:val="00BA74F5"/>
    <w:rsid w:val="00BA7B3B"/>
    <w:rsid w:val="00BA7DA8"/>
    <w:rsid w:val="00BB022B"/>
    <w:rsid w:val="00BB0ED4"/>
    <w:rsid w:val="00BB257A"/>
    <w:rsid w:val="00BB2817"/>
    <w:rsid w:val="00BB2950"/>
    <w:rsid w:val="00BB3032"/>
    <w:rsid w:val="00BB3A93"/>
    <w:rsid w:val="00BB478D"/>
    <w:rsid w:val="00BB5491"/>
    <w:rsid w:val="00BB62F0"/>
    <w:rsid w:val="00BB77D7"/>
    <w:rsid w:val="00BB7E08"/>
    <w:rsid w:val="00BC0327"/>
    <w:rsid w:val="00BC04A7"/>
    <w:rsid w:val="00BC1923"/>
    <w:rsid w:val="00BC1D7D"/>
    <w:rsid w:val="00BC1D87"/>
    <w:rsid w:val="00BC2875"/>
    <w:rsid w:val="00BC2A4A"/>
    <w:rsid w:val="00BC3602"/>
    <w:rsid w:val="00BC382E"/>
    <w:rsid w:val="00BC3C48"/>
    <w:rsid w:val="00BC408A"/>
    <w:rsid w:val="00BC4155"/>
    <w:rsid w:val="00BC4918"/>
    <w:rsid w:val="00BC5C57"/>
    <w:rsid w:val="00BC63A7"/>
    <w:rsid w:val="00BC6717"/>
    <w:rsid w:val="00BD09A3"/>
    <w:rsid w:val="00BD2364"/>
    <w:rsid w:val="00BD30EA"/>
    <w:rsid w:val="00BD3164"/>
    <w:rsid w:val="00BD3338"/>
    <w:rsid w:val="00BD3798"/>
    <w:rsid w:val="00BD4AE5"/>
    <w:rsid w:val="00BD525F"/>
    <w:rsid w:val="00BD59AD"/>
    <w:rsid w:val="00BD6EAF"/>
    <w:rsid w:val="00BD7D05"/>
    <w:rsid w:val="00BE0037"/>
    <w:rsid w:val="00BE1FCB"/>
    <w:rsid w:val="00BE21C9"/>
    <w:rsid w:val="00BE2A93"/>
    <w:rsid w:val="00BE3292"/>
    <w:rsid w:val="00BE390A"/>
    <w:rsid w:val="00BE3ACA"/>
    <w:rsid w:val="00BE3D3D"/>
    <w:rsid w:val="00BE4578"/>
    <w:rsid w:val="00BE4A12"/>
    <w:rsid w:val="00BE4A9F"/>
    <w:rsid w:val="00BE6043"/>
    <w:rsid w:val="00BE6EDC"/>
    <w:rsid w:val="00BE7878"/>
    <w:rsid w:val="00BE7D81"/>
    <w:rsid w:val="00BE7F6F"/>
    <w:rsid w:val="00BF0D72"/>
    <w:rsid w:val="00BF1024"/>
    <w:rsid w:val="00BF1224"/>
    <w:rsid w:val="00BF165D"/>
    <w:rsid w:val="00BF180A"/>
    <w:rsid w:val="00BF1824"/>
    <w:rsid w:val="00BF2B24"/>
    <w:rsid w:val="00BF4A26"/>
    <w:rsid w:val="00BF4B47"/>
    <w:rsid w:val="00BF577F"/>
    <w:rsid w:val="00BF5D6A"/>
    <w:rsid w:val="00BF6910"/>
    <w:rsid w:val="00BF77CC"/>
    <w:rsid w:val="00BF790B"/>
    <w:rsid w:val="00C011BF"/>
    <w:rsid w:val="00C02873"/>
    <w:rsid w:val="00C031E7"/>
    <w:rsid w:val="00C03BA7"/>
    <w:rsid w:val="00C0405F"/>
    <w:rsid w:val="00C05331"/>
    <w:rsid w:val="00C0580A"/>
    <w:rsid w:val="00C0595C"/>
    <w:rsid w:val="00C065F3"/>
    <w:rsid w:val="00C0687B"/>
    <w:rsid w:val="00C068E0"/>
    <w:rsid w:val="00C07E07"/>
    <w:rsid w:val="00C10820"/>
    <w:rsid w:val="00C10890"/>
    <w:rsid w:val="00C110A0"/>
    <w:rsid w:val="00C112BF"/>
    <w:rsid w:val="00C12427"/>
    <w:rsid w:val="00C12780"/>
    <w:rsid w:val="00C130D5"/>
    <w:rsid w:val="00C13AED"/>
    <w:rsid w:val="00C140E0"/>
    <w:rsid w:val="00C1535A"/>
    <w:rsid w:val="00C15560"/>
    <w:rsid w:val="00C157DD"/>
    <w:rsid w:val="00C17584"/>
    <w:rsid w:val="00C177D7"/>
    <w:rsid w:val="00C17A22"/>
    <w:rsid w:val="00C17DD1"/>
    <w:rsid w:val="00C20956"/>
    <w:rsid w:val="00C20AA8"/>
    <w:rsid w:val="00C21F64"/>
    <w:rsid w:val="00C21FEB"/>
    <w:rsid w:val="00C22255"/>
    <w:rsid w:val="00C2267C"/>
    <w:rsid w:val="00C23833"/>
    <w:rsid w:val="00C23A0B"/>
    <w:rsid w:val="00C23C47"/>
    <w:rsid w:val="00C241F5"/>
    <w:rsid w:val="00C24B6D"/>
    <w:rsid w:val="00C25417"/>
    <w:rsid w:val="00C256A9"/>
    <w:rsid w:val="00C25BB1"/>
    <w:rsid w:val="00C2621B"/>
    <w:rsid w:val="00C26E52"/>
    <w:rsid w:val="00C27516"/>
    <w:rsid w:val="00C27D37"/>
    <w:rsid w:val="00C300E1"/>
    <w:rsid w:val="00C31097"/>
    <w:rsid w:val="00C3141F"/>
    <w:rsid w:val="00C317DC"/>
    <w:rsid w:val="00C327E4"/>
    <w:rsid w:val="00C32ADD"/>
    <w:rsid w:val="00C32D89"/>
    <w:rsid w:val="00C33DFE"/>
    <w:rsid w:val="00C345E2"/>
    <w:rsid w:val="00C34A78"/>
    <w:rsid w:val="00C34F9F"/>
    <w:rsid w:val="00C35913"/>
    <w:rsid w:val="00C363A9"/>
    <w:rsid w:val="00C36962"/>
    <w:rsid w:val="00C40058"/>
    <w:rsid w:val="00C4016F"/>
    <w:rsid w:val="00C40668"/>
    <w:rsid w:val="00C4067B"/>
    <w:rsid w:val="00C406BB"/>
    <w:rsid w:val="00C41960"/>
    <w:rsid w:val="00C41CBD"/>
    <w:rsid w:val="00C42F37"/>
    <w:rsid w:val="00C43035"/>
    <w:rsid w:val="00C4308E"/>
    <w:rsid w:val="00C4384A"/>
    <w:rsid w:val="00C44969"/>
    <w:rsid w:val="00C45791"/>
    <w:rsid w:val="00C46292"/>
    <w:rsid w:val="00C462BD"/>
    <w:rsid w:val="00C46F76"/>
    <w:rsid w:val="00C472A7"/>
    <w:rsid w:val="00C47B17"/>
    <w:rsid w:val="00C500C6"/>
    <w:rsid w:val="00C50873"/>
    <w:rsid w:val="00C51DF9"/>
    <w:rsid w:val="00C5294B"/>
    <w:rsid w:val="00C53114"/>
    <w:rsid w:val="00C53178"/>
    <w:rsid w:val="00C53C44"/>
    <w:rsid w:val="00C54130"/>
    <w:rsid w:val="00C54D58"/>
    <w:rsid w:val="00C57CC9"/>
    <w:rsid w:val="00C57ED0"/>
    <w:rsid w:val="00C60553"/>
    <w:rsid w:val="00C61365"/>
    <w:rsid w:val="00C61E8F"/>
    <w:rsid w:val="00C62327"/>
    <w:rsid w:val="00C633C7"/>
    <w:rsid w:val="00C6464C"/>
    <w:rsid w:val="00C65EDC"/>
    <w:rsid w:val="00C663FC"/>
    <w:rsid w:val="00C6670E"/>
    <w:rsid w:val="00C66B8F"/>
    <w:rsid w:val="00C66BC5"/>
    <w:rsid w:val="00C702B1"/>
    <w:rsid w:val="00C70A2D"/>
    <w:rsid w:val="00C70C1E"/>
    <w:rsid w:val="00C70CB0"/>
    <w:rsid w:val="00C7111F"/>
    <w:rsid w:val="00C7172E"/>
    <w:rsid w:val="00C725FC"/>
    <w:rsid w:val="00C7324D"/>
    <w:rsid w:val="00C73390"/>
    <w:rsid w:val="00C743FE"/>
    <w:rsid w:val="00C74802"/>
    <w:rsid w:val="00C75498"/>
    <w:rsid w:val="00C7584A"/>
    <w:rsid w:val="00C761C8"/>
    <w:rsid w:val="00C7633A"/>
    <w:rsid w:val="00C800D4"/>
    <w:rsid w:val="00C80389"/>
    <w:rsid w:val="00C8109B"/>
    <w:rsid w:val="00C812B4"/>
    <w:rsid w:val="00C81A7F"/>
    <w:rsid w:val="00C82496"/>
    <w:rsid w:val="00C82AA1"/>
    <w:rsid w:val="00C82E0D"/>
    <w:rsid w:val="00C839AD"/>
    <w:rsid w:val="00C84260"/>
    <w:rsid w:val="00C842EC"/>
    <w:rsid w:val="00C845E0"/>
    <w:rsid w:val="00C84E9F"/>
    <w:rsid w:val="00C85C61"/>
    <w:rsid w:val="00C86236"/>
    <w:rsid w:val="00C9000B"/>
    <w:rsid w:val="00C90047"/>
    <w:rsid w:val="00C90C7F"/>
    <w:rsid w:val="00C92B21"/>
    <w:rsid w:val="00C92C4E"/>
    <w:rsid w:val="00C95D65"/>
    <w:rsid w:val="00C96B95"/>
    <w:rsid w:val="00C96B97"/>
    <w:rsid w:val="00C97172"/>
    <w:rsid w:val="00CA01A2"/>
    <w:rsid w:val="00CA07E8"/>
    <w:rsid w:val="00CA0B32"/>
    <w:rsid w:val="00CA2628"/>
    <w:rsid w:val="00CA2833"/>
    <w:rsid w:val="00CA284E"/>
    <w:rsid w:val="00CA3BA0"/>
    <w:rsid w:val="00CA4C85"/>
    <w:rsid w:val="00CA59AF"/>
    <w:rsid w:val="00CA5D40"/>
    <w:rsid w:val="00CA5EE8"/>
    <w:rsid w:val="00CA6C89"/>
    <w:rsid w:val="00CA7E1A"/>
    <w:rsid w:val="00CB01A4"/>
    <w:rsid w:val="00CB08C2"/>
    <w:rsid w:val="00CB0BBC"/>
    <w:rsid w:val="00CB0D80"/>
    <w:rsid w:val="00CB128F"/>
    <w:rsid w:val="00CB2434"/>
    <w:rsid w:val="00CB2439"/>
    <w:rsid w:val="00CB2A44"/>
    <w:rsid w:val="00CB32D5"/>
    <w:rsid w:val="00CB631D"/>
    <w:rsid w:val="00CB6668"/>
    <w:rsid w:val="00CB6A41"/>
    <w:rsid w:val="00CB7AA5"/>
    <w:rsid w:val="00CC1776"/>
    <w:rsid w:val="00CC2044"/>
    <w:rsid w:val="00CC2182"/>
    <w:rsid w:val="00CC3AE0"/>
    <w:rsid w:val="00CC4446"/>
    <w:rsid w:val="00CC44AF"/>
    <w:rsid w:val="00CC6B4F"/>
    <w:rsid w:val="00CD194E"/>
    <w:rsid w:val="00CD1997"/>
    <w:rsid w:val="00CD1FD6"/>
    <w:rsid w:val="00CD4C24"/>
    <w:rsid w:val="00CD5FE9"/>
    <w:rsid w:val="00CD6779"/>
    <w:rsid w:val="00CD67F9"/>
    <w:rsid w:val="00CD6BE3"/>
    <w:rsid w:val="00CD7F59"/>
    <w:rsid w:val="00CE03A5"/>
    <w:rsid w:val="00CE0A81"/>
    <w:rsid w:val="00CE1384"/>
    <w:rsid w:val="00CE360F"/>
    <w:rsid w:val="00CE424B"/>
    <w:rsid w:val="00CE4788"/>
    <w:rsid w:val="00CE49AA"/>
    <w:rsid w:val="00CE500A"/>
    <w:rsid w:val="00CE53B6"/>
    <w:rsid w:val="00CE54BC"/>
    <w:rsid w:val="00CE57E0"/>
    <w:rsid w:val="00CE5BA9"/>
    <w:rsid w:val="00CE5D95"/>
    <w:rsid w:val="00CE5F52"/>
    <w:rsid w:val="00CE61F9"/>
    <w:rsid w:val="00CE6CC6"/>
    <w:rsid w:val="00CE6E73"/>
    <w:rsid w:val="00CE7692"/>
    <w:rsid w:val="00CE7C9B"/>
    <w:rsid w:val="00CF0BB3"/>
    <w:rsid w:val="00CF24B0"/>
    <w:rsid w:val="00CF31C5"/>
    <w:rsid w:val="00CF4169"/>
    <w:rsid w:val="00CF4480"/>
    <w:rsid w:val="00CF55E2"/>
    <w:rsid w:val="00CF6C7F"/>
    <w:rsid w:val="00D00C93"/>
    <w:rsid w:val="00D00DD4"/>
    <w:rsid w:val="00D02924"/>
    <w:rsid w:val="00D02F9C"/>
    <w:rsid w:val="00D03106"/>
    <w:rsid w:val="00D037F8"/>
    <w:rsid w:val="00D03826"/>
    <w:rsid w:val="00D044A5"/>
    <w:rsid w:val="00D04614"/>
    <w:rsid w:val="00D05456"/>
    <w:rsid w:val="00D05722"/>
    <w:rsid w:val="00D0590D"/>
    <w:rsid w:val="00D0594E"/>
    <w:rsid w:val="00D0715B"/>
    <w:rsid w:val="00D073D9"/>
    <w:rsid w:val="00D07DB7"/>
    <w:rsid w:val="00D07E55"/>
    <w:rsid w:val="00D10855"/>
    <w:rsid w:val="00D10E3D"/>
    <w:rsid w:val="00D11458"/>
    <w:rsid w:val="00D11646"/>
    <w:rsid w:val="00D131BD"/>
    <w:rsid w:val="00D1322E"/>
    <w:rsid w:val="00D1383E"/>
    <w:rsid w:val="00D156B0"/>
    <w:rsid w:val="00D16039"/>
    <w:rsid w:val="00D1610A"/>
    <w:rsid w:val="00D1673A"/>
    <w:rsid w:val="00D16C58"/>
    <w:rsid w:val="00D16CB9"/>
    <w:rsid w:val="00D16F70"/>
    <w:rsid w:val="00D21DA8"/>
    <w:rsid w:val="00D22929"/>
    <w:rsid w:val="00D236A0"/>
    <w:rsid w:val="00D238E1"/>
    <w:rsid w:val="00D24C03"/>
    <w:rsid w:val="00D25F32"/>
    <w:rsid w:val="00D26D32"/>
    <w:rsid w:val="00D27A14"/>
    <w:rsid w:val="00D302B6"/>
    <w:rsid w:val="00D30369"/>
    <w:rsid w:val="00D304EB"/>
    <w:rsid w:val="00D30615"/>
    <w:rsid w:val="00D30BB8"/>
    <w:rsid w:val="00D30CD6"/>
    <w:rsid w:val="00D3118C"/>
    <w:rsid w:val="00D32777"/>
    <w:rsid w:val="00D32815"/>
    <w:rsid w:val="00D329CA"/>
    <w:rsid w:val="00D3343C"/>
    <w:rsid w:val="00D356A1"/>
    <w:rsid w:val="00D3581C"/>
    <w:rsid w:val="00D35861"/>
    <w:rsid w:val="00D3785A"/>
    <w:rsid w:val="00D418C9"/>
    <w:rsid w:val="00D419B4"/>
    <w:rsid w:val="00D422FC"/>
    <w:rsid w:val="00D4254C"/>
    <w:rsid w:val="00D436ED"/>
    <w:rsid w:val="00D437AA"/>
    <w:rsid w:val="00D44098"/>
    <w:rsid w:val="00D46044"/>
    <w:rsid w:val="00D46F52"/>
    <w:rsid w:val="00D473B3"/>
    <w:rsid w:val="00D47717"/>
    <w:rsid w:val="00D47CBB"/>
    <w:rsid w:val="00D50470"/>
    <w:rsid w:val="00D5086D"/>
    <w:rsid w:val="00D50B27"/>
    <w:rsid w:val="00D519C3"/>
    <w:rsid w:val="00D52FAB"/>
    <w:rsid w:val="00D536C7"/>
    <w:rsid w:val="00D539A9"/>
    <w:rsid w:val="00D541A3"/>
    <w:rsid w:val="00D542A0"/>
    <w:rsid w:val="00D553C4"/>
    <w:rsid w:val="00D569F2"/>
    <w:rsid w:val="00D57369"/>
    <w:rsid w:val="00D60478"/>
    <w:rsid w:val="00D6138B"/>
    <w:rsid w:val="00D6172D"/>
    <w:rsid w:val="00D61E31"/>
    <w:rsid w:val="00D62DA6"/>
    <w:rsid w:val="00D63744"/>
    <w:rsid w:val="00D64628"/>
    <w:rsid w:val="00D6489C"/>
    <w:rsid w:val="00D64C6A"/>
    <w:rsid w:val="00D64E14"/>
    <w:rsid w:val="00D66283"/>
    <w:rsid w:val="00D7000B"/>
    <w:rsid w:val="00D70886"/>
    <w:rsid w:val="00D70E0F"/>
    <w:rsid w:val="00D714F4"/>
    <w:rsid w:val="00D72ADA"/>
    <w:rsid w:val="00D7370D"/>
    <w:rsid w:val="00D75EA4"/>
    <w:rsid w:val="00D7709A"/>
    <w:rsid w:val="00D7710C"/>
    <w:rsid w:val="00D77A27"/>
    <w:rsid w:val="00D77F0A"/>
    <w:rsid w:val="00D77F32"/>
    <w:rsid w:val="00D80C66"/>
    <w:rsid w:val="00D81AD0"/>
    <w:rsid w:val="00D853B7"/>
    <w:rsid w:val="00D85D6A"/>
    <w:rsid w:val="00D862FC"/>
    <w:rsid w:val="00D86C18"/>
    <w:rsid w:val="00D874B4"/>
    <w:rsid w:val="00D87644"/>
    <w:rsid w:val="00D87F17"/>
    <w:rsid w:val="00D91316"/>
    <w:rsid w:val="00D9182E"/>
    <w:rsid w:val="00D91D2D"/>
    <w:rsid w:val="00D91FCA"/>
    <w:rsid w:val="00D92525"/>
    <w:rsid w:val="00D92B14"/>
    <w:rsid w:val="00D9455A"/>
    <w:rsid w:val="00D94E5A"/>
    <w:rsid w:val="00D94F2C"/>
    <w:rsid w:val="00D95F1D"/>
    <w:rsid w:val="00D96A3A"/>
    <w:rsid w:val="00D9732C"/>
    <w:rsid w:val="00D9781A"/>
    <w:rsid w:val="00D978CB"/>
    <w:rsid w:val="00D97BA1"/>
    <w:rsid w:val="00D97DF8"/>
    <w:rsid w:val="00DA288A"/>
    <w:rsid w:val="00DA33E0"/>
    <w:rsid w:val="00DA4158"/>
    <w:rsid w:val="00DA42ED"/>
    <w:rsid w:val="00DA4E65"/>
    <w:rsid w:val="00DA59A9"/>
    <w:rsid w:val="00DA5F3C"/>
    <w:rsid w:val="00DA6924"/>
    <w:rsid w:val="00DA6A9D"/>
    <w:rsid w:val="00DA6D10"/>
    <w:rsid w:val="00DA6D27"/>
    <w:rsid w:val="00DA6F8F"/>
    <w:rsid w:val="00DB0089"/>
    <w:rsid w:val="00DB0293"/>
    <w:rsid w:val="00DB053C"/>
    <w:rsid w:val="00DB0C4F"/>
    <w:rsid w:val="00DB0C5E"/>
    <w:rsid w:val="00DB0D04"/>
    <w:rsid w:val="00DB0FF0"/>
    <w:rsid w:val="00DB16D0"/>
    <w:rsid w:val="00DB1813"/>
    <w:rsid w:val="00DB1C22"/>
    <w:rsid w:val="00DB2BDD"/>
    <w:rsid w:val="00DB2C85"/>
    <w:rsid w:val="00DB2F0B"/>
    <w:rsid w:val="00DB3228"/>
    <w:rsid w:val="00DB3794"/>
    <w:rsid w:val="00DB44CC"/>
    <w:rsid w:val="00DB4589"/>
    <w:rsid w:val="00DB4C8C"/>
    <w:rsid w:val="00DB5597"/>
    <w:rsid w:val="00DB6064"/>
    <w:rsid w:val="00DC0215"/>
    <w:rsid w:val="00DC223F"/>
    <w:rsid w:val="00DC24A0"/>
    <w:rsid w:val="00DC3DB1"/>
    <w:rsid w:val="00DC5BE0"/>
    <w:rsid w:val="00DC66B3"/>
    <w:rsid w:val="00DC6DFC"/>
    <w:rsid w:val="00DD13CA"/>
    <w:rsid w:val="00DD1FFB"/>
    <w:rsid w:val="00DD2436"/>
    <w:rsid w:val="00DD25CA"/>
    <w:rsid w:val="00DD2BD4"/>
    <w:rsid w:val="00DD333C"/>
    <w:rsid w:val="00DD3891"/>
    <w:rsid w:val="00DD3C8C"/>
    <w:rsid w:val="00DD4FA0"/>
    <w:rsid w:val="00DD5A4C"/>
    <w:rsid w:val="00DD67CA"/>
    <w:rsid w:val="00DD6DB4"/>
    <w:rsid w:val="00DD7151"/>
    <w:rsid w:val="00DE0A4E"/>
    <w:rsid w:val="00DE0BC3"/>
    <w:rsid w:val="00DE0C03"/>
    <w:rsid w:val="00DE1A3A"/>
    <w:rsid w:val="00DE22C7"/>
    <w:rsid w:val="00DE2B72"/>
    <w:rsid w:val="00DE3C9A"/>
    <w:rsid w:val="00DE49F4"/>
    <w:rsid w:val="00DE5E67"/>
    <w:rsid w:val="00DE6648"/>
    <w:rsid w:val="00DE66A5"/>
    <w:rsid w:val="00DE734B"/>
    <w:rsid w:val="00DE7EF7"/>
    <w:rsid w:val="00DF003E"/>
    <w:rsid w:val="00DF036B"/>
    <w:rsid w:val="00DF04B8"/>
    <w:rsid w:val="00DF1566"/>
    <w:rsid w:val="00DF1AF9"/>
    <w:rsid w:val="00DF1E25"/>
    <w:rsid w:val="00DF1E77"/>
    <w:rsid w:val="00DF2B99"/>
    <w:rsid w:val="00DF3466"/>
    <w:rsid w:val="00DF43B4"/>
    <w:rsid w:val="00DF56F9"/>
    <w:rsid w:val="00DF61E6"/>
    <w:rsid w:val="00DF6489"/>
    <w:rsid w:val="00DF64EF"/>
    <w:rsid w:val="00DF77F2"/>
    <w:rsid w:val="00E00862"/>
    <w:rsid w:val="00E0196D"/>
    <w:rsid w:val="00E0221A"/>
    <w:rsid w:val="00E02EEA"/>
    <w:rsid w:val="00E0427A"/>
    <w:rsid w:val="00E052BF"/>
    <w:rsid w:val="00E07CED"/>
    <w:rsid w:val="00E10A11"/>
    <w:rsid w:val="00E10C85"/>
    <w:rsid w:val="00E113B4"/>
    <w:rsid w:val="00E118CC"/>
    <w:rsid w:val="00E119AF"/>
    <w:rsid w:val="00E11F24"/>
    <w:rsid w:val="00E11F4D"/>
    <w:rsid w:val="00E136DC"/>
    <w:rsid w:val="00E13ACD"/>
    <w:rsid w:val="00E13D86"/>
    <w:rsid w:val="00E13D9E"/>
    <w:rsid w:val="00E140EC"/>
    <w:rsid w:val="00E14310"/>
    <w:rsid w:val="00E14F41"/>
    <w:rsid w:val="00E155F5"/>
    <w:rsid w:val="00E15CC1"/>
    <w:rsid w:val="00E15CE6"/>
    <w:rsid w:val="00E16B80"/>
    <w:rsid w:val="00E207BA"/>
    <w:rsid w:val="00E21397"/>
    <w:rsid w:val="00E2172D"/>
    <w:rsid w:val="00E2193D"/>
    <w:rsid w:val="00E219A3"/>
    <w:rsid w:val="00E219CE"/>
    <w:rsid w:val="00E21E9D"/>
    <w:rsid w:val="00E227C4"/>
    <w:rsid w:val="00E22D44"/>
    <w:rsid w:val="00E23FA6"/>
    <w:rsid w:val="00E243CE"/>
    <w:rsid w:val="00E24C61"/>
    <w:rsid w:val="00E24E1B"/>
    <w:rsid w:val="00E25911"/>
    <w:rsid w:val="00E270A2"/>
    <w:rsid w:val="00E27307"/>
    <w:rsid w:val="00E30382"/>
    <w:rsid w:val="00E304DA"/>
    <w:rsid w:val="00E3093D"/>
    <w:rsid w:val="00E31660"/>
    <w:rsid w:val="00E31847"/>
    <w:rsid w:val="00E327F3"/>
    <w:rsid w:val="00E32811"/>
    <w:rsid w:val="00E32A93"/>
    <w:rsid w:val="00E32ADA"/>
    <w:rsid w:val="00E3384E"/>
    <w:rsid w:val="00E33A4E"/>
    <w:rsid w:val="00E34FA4"/>
    <w:rsid w:val="00E35394"/>
    <w:rsid w:val="00E35894"/>
    <w:rsid w:val="00E35A9A"/>
    <w:rsid w:val="00E36DAD"/>
    <w:rsid w:val="00E3718A"/>
    <w:rsid w:val="00E37710"/>
    <w:rsid w:val="00E37F10"/>
    <w:rsid w:val="00E402D3"/>
    <w:rsid w:val="00E40682"/>
    <w:rsid w:val="00E4136A"/>
    <w:rsid w:val="00E41439"/>
    <w:rsid w:val="00E416EB"/>
    <w:rsid w:val="00E422D0"/>
    <w:rsid w:val="00E4307E"/>
    <w:rsid w:val="00E43A52"/>
    <w:rsid w:val="00E4470E"/>
    <w:rsid w:val="00E45039"/>
    <w:rsid w:val="00E45844"/>
    <w:rsid w:val="00E45AB3"/>
    <w:rsid w:val="00E4640A"/>
    <w:rsid w:val="00E46497"/>
    <w:rsid w:val="00E470BE"/>
    <w:rsid w:val="00E47ED0"/>
    <w:rsid w:val="00E52076"/>
    <w:rsid w:val="00E522BB"/>
    <w:rsid w:val="00E52323"/>
    <w:rsid w:val="00E52C64"/>
    <w:rsid w:val="00E53857"/>
    <w:rsid w:val="00E53A27"/>
    <w:rsid w:val="00E53EBA"/>
    <w:rsid w:val="00E54037"/>
    <w:rsid w:val="00E54AD0"/>
    <w:rsid w:val="00E54F6E"/>
    <w:rsid w:val="00E55037"/>
    <w:rsid w:val="00E56246"/>
    <w:rsid w:val="00E56C15"/>
    <w:rsid w:val="00E56CD0"/>
    <w:rsid w:val="00E57D2A"/>
    <w:rsid w:val="00E609DA"/>
    <w:rsid w:val="00E60FEF"/>
    <w:rsid w:val="00E61566"/>
    <w:rsid w:val="00E636DB"/>
    <w:rsid w:val="00E662E6"/>
    <w:rsid w:val="00E6690F"/>
    <w:rsid w:val="00E67760"/>
    <w:rsid w:val="00E67DCE"/>
    <w:rsid w:val="00E701D1"/>
    <w:rsid w:val="00E70A2A"/>
    <w:rsid w:val="00E70D25"/>
    <w:rsid w:val="00E70EB1"/>
    <w:rsid w:val="00E723A7"/>
    <w:rsid w:val="00E73A0D"/>
    <w:rsid w:val="00E749B2"/>
    <w:rsid w:val="00E7510A"/>
    <w:rsid w:val="00E754D8"/>
    <w:rsid w:val="00E75737"/>
    <w:rsid w:val="00E75D0C"/>
    <w:rsid w:val="00E76ED1"/>
    <w:rsid w:val="00E77D94"/>
    <w:rsid w:val="00E800A4"/>
    <w:rsid w:val="00E80386"/>
    <w:rsid w:val="00E81FF0"/>
    <w:rsid w:val="00E820B2"/>
    <w:rsid w:val="00E8230E"/>
    <w:rsid w:val="00E82F3B"/>
    <w:rsid w:val="00E83B62"/>
    <w:rsid w:val="00E8440F"/>
    <w:rsid w:val="00E84AAF"/>
    <w:rsid w:val="00E84F4E"/>
    <w:rsid w:val="00E850B1"/>
    <w:rsid w:val="00E86738"/>
    <w:rsid w:val="00E86E41"/>
    <w:rsid w:val="00E87824"/>
    <w:rsid w:val="00E87B8E"/>
    <w:rsid w:val="00E9049F"/>
    <w:rsid w:val="00E90B9E"/>
    <w:rsid w:val="00E90E6F"/>
    <w:rsid w:val="00E915A6"/>
    <w:rsid w:val="00E91666"/>
    <w:rsid w:val="00E9170C"/>
    <w:rsid w:val="00E922E6"/>
    <w:rsid w:val="00E9296F"/>
    <w:rsid w:val="00E92DDB"/>
    <w:rsid w:val="00E9334F"/>
    <w:rsid w:val="00E9355D"/>
    <w:rsid w:val="00E94664"/>
    <w:rsid w:val="00E94BDB"/>
    <w:rsid w:val="00E950B5"/>
    <w:rsid w:val="00E95B7C"/>
    <w:rsid w:val="00E96AA3"/>
    <w:rsid w:val="00E97990"/>
    <w:rsid w:val="00E97D9B"/>
    <w:rsid w:val="00EA30FC"/>
    <w:rsid w:val="00EA3692"/>
    <w:rsid w:val="00EA38DC"/>
    <w:rsid w:val="00EA3927"/>
    <w:rsid w:val="00EA4F97"/>
    <w:rsid w:val="00EA5455"/>
    <w:rsid w:val="00EA6255"/>
    <w:rsid w:val="00EA688E"/>
    <w:rsid w:val="00EA7901"/>
    <w:rsid w:val="00EB173D"/>
    <w:rsid w:val="00EB178A"/>
    <w:rsid w:val="00EB283B"/>
    <w:rsid w:val="00EB33EB"/>
    <w:rsid w:val="00EB4559"/>
    <w:rsid w:val="00EB5DC1"/>
    <w:rsid w:val="00EB64B7"/>
    <w:rsid w:val="00EB6707"/>
    <w:rsid w:val="00EB6708"/>
    <w:rsid w:val="00EC08EA"/>
    <w:rsid w:val="00EC1004"/>
    <w:rsid w:val="00EC2135"/>
    <w:rsid w:val="00EC2156"/>
    <w:rsid w:val="00EC2AF3"/>
    <w:rsid w:val="00EC2C25"/>
    <w:rsid w:val="00EC32BF"/>
    <w:rsid w:val="00EC35BE"/>
    <w:rsid w:val="00EC3687"/>
    <w:rsid w:val="00EC3E33"/>
    <w:rsid w:val="00EC44FC"/>
    <w:rsid w:val="00EC4E77"/>
    <w:rsid w:val="00EC5035"/>
    <w:rsid w:val="00EC5C1A"/>
    <w:rsid w:val="00EC707D"/>
    <w:rsid w:val="00EC7DF6"/>
    <w:rsid w:val="00ED0157"/>
    <w:rsid w:val="00ED02D2"/>
    <w:rsid w:val="00ED0314"/>
    <w:rsid w:val="00ED0BBE"/>
    <w:rsid w:val="00ED0E8C"/>
    <w:rsid w:val="00ED0F61"/>
    <w:rsid w:val="00ED1FD8"/>
    <w:rsid w:val="00ED3041"/>
    <w:rsid w:val="00ED364F"/>
    <w:rsid w:val="00ED4378"/>
    <w:rsid w:val="00ED488E"/>
    <w:rsid w:val="00ED5F95"/>
    <w:rsid w:val="00ED65B1"/>
    <w:rsid w:val="00EE0CA7"/>
    <w:rsid w:val="00EE2AE8"/>
    <w:rsid w:val="00EE2DD9"/>
    <w:rsid w:val="00EE433A"/>
    <w:rsid w:val="00EE45AD"/>
    <w:rsid w:val="00EE470D"/>
    <w:rsid w:val="00EE5773"/>
    <w:rsid w:val="00EE578E"/>
    <w:rsid w:val="00EE67AA"/>
    <w:rsid w:val="00EE68FC"/>
    <w:rsid w:val="00EE6BE3"/>
    <w:rsid w:val="00EE7F98"/>
    <w:rsid w:val="00EF040F"/>
    <w:rsid w:val="00EF27E2"/>
    <w:rsid w:val="00EF29F4"/>
    <w:rsid w:val="00EF350B"/>
    <w:rsid w:val="00EF4166"/>
    <w:rsid w:val="00EF5251"/>
    <w:rsid w:val="00EF5750"/>
    <w:rsid w:val="00EF5A32"/>
    <w:rsid w:val="00EF6215"/>
    <w:rsid w:val="00EF73B0"/>
    <w:rsid w:val="00F001A8"/>
    <w:rsid w:val="00F0024E"/>
    <w:rsid w:val="00F006F0"/>
    <w:rsid w:val="00F00FBB"/>
    <w:rsid w:val="00F02512"/>
    <w:rsid w:val="00F025B6"/>
    <w:rsid w:val="00F0301B"/>
    <w:rsid w:val="00F037CC"/>
    <w:rsid w:val="00F04017"/>
    <w:rsid w:val="00F0457E"/>
    <w:rsid w:val="00F04912"/>
    <w:rsid w:val="00F05479"/>
    <w:rsid w:val="00F0566A"/>
    <w:rsid w:val="00F05D68"/>
    <w:rsid w:val="00F05E05"/>
    <w:rsid w:val="00F06915"/>
    <w:rsid w:val="00F06D73"/>
    <w:rsid w:val="00F07AB5"/>
    <w:rsid w:val="00F1021D"/>
    <w:rsid w:val="00F11073"/>
    <w:rsid w:val="00F11174"/>
    <w:rsid w:val="00F11269"/>
    <w:rsid w:val="00F1204F"/>
    <w:rsid w:val="00F12AF8"/>
    <w:rsid w:val="00F13C98"/>
    <w:rsid w:val="00F1498C"/>
    <w:rsid w:val="00F14C93"/>
    <w:rsid w:val="00F156F2"/>
    <w:rsid w:val="00F16406"/>
    <w:rsid w:val="00F16E9C"/>
    <w:rsid w:val="00F17F60"/>
    <w:rsid w:val="00F17F9F"/>
    <w:rsid w:val="00F203FB"/>
    <w:rsid w:val="00F207D4"/>
    <w:rsid w:val="00F20C75"/>
    <w:rsid w:val="00F210FD"/>
    <w:rsid w:val="00F220A7"/>
    <w:rsid w:val="00F23882"/>
    <w:rsid w:val="00F23A7C"/>
    <w:rsid w:val="00F23CCE"/>
    <w:rsid w:val="00F24103"/>
    <w:rsid w:val="00F24827"/>
    <w:rsid w:val="00F24B26"/>
    <w:rsid w:val="00F251B7"/>
    <w:rsid w:val="00F251E6"/>
    <w:rsid w:val="00F25A35"/>
    <w:rsid w:val="00F261E9"/>
    <w:rsid w:val="00F26B5F"/>
    <w:rsid w:val="00F26F91"/>
    <w:rsid w:val="00F27094"/>
    <w:rsid w:val="00F2765E"/>
    <w:rsid w:val="00F27776"/>
    <w:rsid w:val="00F27A6F"/>
    <w:rsid w:val="00F27D20"/>
    <w:rsid w:val="00F3125A"/>
    <w:rsid w:val="00F31D83"/>
    <w:rsid w:val="00F346FF"/>
    <w:rsid w:val="00F34795"/>
    <w:rsid w:val="00F356A0"/>
    <w:rsid w:val="00F370C4"/>
    <w:rsid w:val="00F4049B"/>
    <w:rsid w:val="00F40A84"/>
    <w:rsid w:val="00F418D9"/>
    <w:rsid w:val="00F41FFB"/>
    <w:rsid w:val="00F432EF"/>
    <w:rsid w:val="00F43A0C"/>
    <w:rsid w:val="00F43AA2"/>
    <w:rsid w:val="00F43DAC"/>
    <w:rsid w:val="00F43DFE"/>
    <w:rsid w:val="00F43EC3"/>
    <w:rsid w:val="00F44DED"/>
    <w:rsid w:val="00F4594F"/>
    <w:rsid w:val="00F459CC"/>
    <w:rsid w:val="00F46372"/>
    <w:rsid w:val="00F4690A"/>
    <w:rsid w:val="00F46C44"/>
    <w:rsid w:val="00F47428"/>
    <w:rsid w:val="00F500BC"/>
    <w:rsid w:val="00F5063F"/>
    <w:rsid w:val="00F506D4"/>
    <w:rsid w:val="00F5194D"/>
    <w:rsid w:val="00F51BB9"/>
    <w:rsid w:val="00F51BF2"/>
    <w:rsid w:val="00F53BCD"/>
    <w:rsid w:val="00F54651"/>
    <w:rsid w:val="00F563E1"/>
    <w:rsid w:val="00F56BC8"/>
    <w:rsid w:val="00F57AF7"/>
    <w:rsid w:val="00F57F34"/>
    <w:rsid w:val="00F60BC1"/>
    <w:rsid w:val="00F612F1"/>
    <w:rsid w:val="00F61DC0"/>
    <w:rsid w:val="00F6438F"/>
    <w:rsid w:val="00F651CF"/>
    <w:rsid w:val="00F65AA7"/>
    <w:rsid w:val="00F65B8A"/>
    <w:rsid w:val="00F66BEC"/>
    <w:rsid w:val="00F6762C"/>
    <w:rsid w:val="00F6782C"/>
    <w:rsid w:val="00F67945"/>
    <w:rsid w:val="00F67B2C"/>
    <w:rsid w:val="00F70D59"/>
    <w:rsid w:val="00F71117"/>
    <w:rsid w:val="00F713EA"/>
    <w:rsid w:val="00F7156D"/>
    <w:rsid w:val="00F71747"/>
    <w:rsid w:val="00F71A7C"/>
    <w:rsid w:val="00F71D1C"/>
    <w:rsid w:val="00F725C0"/>
    <w:rsid w:val="00F72F09"/>
    <w:rsid w:val="00F730AB"/>
    <w:rsid w:val="00F7371E"/>
    <w:rsid w:val="00F74DB3"/>
    <w:rsid w:val="00F75F1A"/>
    <w:rsid w:val="00F76F0C"/>
    <w:rsid w:val="00F779B4"/>
    <w:rsid w:val="00F77E7A"/>
    <w:rsid w:val="00F808F7"/>
    <w:rsid w:val="00F8135E"/>
    <w:rsid w:val="00F81C42"/>
    <w:rsid w:val="00F822D0"/>
    <w:rsid w:val="00F824FD"/>
    <w:rsid w:val="00F82603"/>
    <w:rsid w:val="00F831B4"/>
    <w:rsid w:val="00F83B1F"/>
    <w:rsid w:val="00F853E1"/>
    <w:rsid w:val="00F857B0"/>
    <w:rsid w:val="00F85D5B"/>
    <w:rsid w:val="00F870B8"/>
    <w:rsid w:val="00F901BE"/>
    <w:rsid w:val="00F90D2C"/>
    <w:rsid w:val="00F91F03"/>
    <w:rsid w:val="00F92A7F"/>
    <w:rsid w:val="00F92F0D"/>
    <w:rsid w:val="00F935CC"/>
    <w:rsid w:val="00F93DDE"/>
    <w:rsid w:val="00F943E7"/>
    <w:rsid w:val="00F950CE"/>
    <w:rsid w:val="00F95ED6"/>
    <w:rsid w:val="00F95F01"/>
    <w:rsid w:val="00F9641B"/>
    <w:rsid w:val="00F96577"/>
    <w:rsid w:val="00F97DA4"/>
    <w:rsid w:val="00FA0B56"/>
    <w:rsid w:val="00FA1104"/>
    <w:rsid w:val="00FA3737"/>
    <w:rsid w:val="00FA3BCE"/>
    <w:rsid w:val="00FA3D29"/>
    <w:rsid w:val="00FA4879"/>
    <w:rsid w:val="00FA4B3B"/>
    <w:rsid w:val="00FA5A19"/>
    <w:rsid w:val="00FA7158"/>
    <w:rsid w:val="00FA7718"/>
    <w:rsid w:val="00FA77C2"/>
    <w:rsid w:val="00FA78D5"/>
    <w:rsid w:val="00FB14A7"/>
    <w:rsid w:val="00FB1738"/>
    <w:rsid w:val="00FB1DA7"/>
    <w:rsid w:val="00FB25EF"/>
    <w:rsid w:val="00FB2F63"/>
    <w:rsid w:val="00FB39AB"/>
    <w:rsid w:val="00FB3A25"/>
    <w:rsid w:val="00FB3EC5"/>
    <w:rsid w:val="00FB4363"/>
    <w:rsid w:val="00FB485B"/>
    <w:rsid w:val="00FB48A8"/>
    <w:rsid w:val="00FB4A9A"/>
    <w:rsid w:val="00FB4C7C"/>
    <w:rsid w:val="00FB5AF0"/>
    <w:rsid w:val="00FB6361"/>
    <w:rsid w:val="00FB6870"/>
    <w:rsid w:val="00FB6A12"/>
    <w:rsid w:val="00FB6B99"/>
    <w:rsid w:val="00FB724D"/>
    <w:rsid w:val="00FB79F4"/>
    <w:rsid w:val="00FB7B55"/>
    <w:rsid w:val="00FC075A"/>
    <w:rsid w:val="00FC1D10"/>
    <w:rsid w:val="00FC31AF"/>
    <w:rsid w:val="00FC42A6"/>
    <w:rsid w:val="00FC5292"/>
    <w:rsid w:val="00FC6AA5"/>
    <w:rsid w:val="00FC72EC"/>
    <w:rsid w:val="00FC7349"/>
    <w:rsid w:val="00FD0FE5"/>
    <w:rsid w:val="00FD1DD7"/>
    <w:rsid w:val="00FD239A"/>
    <w:rsid w:val="00FD35C9"/>
    <w:rsid w:val="00FD4549"/>
    <w:rsid w:val="00FD4E0C"/>
    <w:rsid w:val="00FE093C"/>
    <w:rsid w:val="00FE0C85"/>
    <w:rsid w:val="00FE10B5"/>
    <w:rsid w:val="00FE1341"/>
    <w:rsid w:val="00FE271C"/>
    <w:rsid w:val="00FE2886"/>
    <w:rsid w:val="00FE2C37"/>
    <w:rsid w:val="00FE37F8"/>
    <w:rsid w:val="00FE393B"/>
    <w:rsid w:val="00FE5728"/>
    <w:rsid w:val="00FE58C4"/>
    <w:rsid w:val="00FE5C92"/>
    <w:rsid w:val="00FE6486"/>
    <w:rsid w:val="00FF00F7"/>
    <w:rsid w:val="00FF048D"/>
    <w:rsid w:val="00FF2EE1"/>
    <w:rsid w:val="00FF49A2"/>
    <w:rsid w:val="00FF5BD1"/>
    <w:rsid w:val="00FF5F04"/>
    <w:rsid w:val="00FF6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823967"/>
  <w15:docId w15:val="{9E7E41A1-78FA-4340-92C4-9F59C3AA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41B"/>
    <w:pPr>
      <w:spacing w:after="0"/>
    </w:pPr>
    <w:rPr>
      <w:rFonts w:ascii="Times New Roman" w:hAnsi="Times New Roman"/>
      <w:sz w:val="24"/>
    </w:rPr>
  </w:style>
  <w:style w:type="paragraph" w:styleId="Heading1">
    <w:name w:val="heading 1"/>
    <w:basedOn w:val="Normal"/>
    <w:next w:val="Normal"/>
    <w:link w:val="Heading1Char"/>
    <w:uiPriority w:val="9"/>
    <w:qFormat/>
    <w:rsid w:val="001764BF"/>
    <w:pPr>
      <w:keepNext/>
      <w:keepLines/>
      <w:spacing w:before="120" w:line="480" w:lineRule="auto"/>
      <w:jc w:val="center"/>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1764BF"/>
    <w:pPr>
      <w:keepNext/>
      <w:keepLines/>
      <w:spacing w:before="120" w:line="480" w:lineRule="auto"/>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1764BF"/>
    <w:pPr>
      <w:keepNext/>
      <w:keepLines/>
      <w:spacing w:before="120" w:line="480" w:lineRule="auto"/>
      <w:ind w:left="709"/>
      <w:outlineLvl w:val="2"/>
    </w:pPr>
    <w:rPr>
      <w:rFonts w:ascii="Arial" w:eastAsiaTheme="majorEastAsia" w:hAnsi="Arial" w:cstheme="majorBidi"/>
      <w:b/>
      <w:szCs w:val="24"/>
    </w:rPr>
  </w:style>
  <w:style w:type="paragraph" w:styleId="Heading4">
    <w:name w:val="heading 4"/>
    <w:basedOn w:val="Normal"/>
    <w:next w:val="Normal"/>
    <w:link w:val="Heading4Char"/>
    <w:uiPriority w:val="9"/>
    <w:semiHidden/>
    <w:unhideWhenUsed/>
    <w:qFormat/>
    <w:rsid w:val="001764BF"/>
    <w:pPr>
      <w:keepNext/>
      <w:keepLines/>
      <w:spacing w:before="40"/>
      <w:ind w:left="708"/>
      <w:outlineLvl w:val="3"/>
    </w:pPr>
    <w:rPr>
      <w:rFonts w:ascii="Arial" w:eastAsiaTheme="majorEastAsia" w:hAnsi="Arial" w:cstheme="majorBidi"/>
      <w:b/>
      <w:i/>
      <w:iCs/>
    </w:rPr>
  </w:style>
  <w:style w:type="paragraph" w:styleId="Heading5">
    <w:name w:val="heading 5"/>
    <w:basedOn w:val="Normal"/>
    <w:next w:val="Normal"/>
    <w:link w:val="Heading5Char"/>
    <w:uiPriority w:val="9"/>
    <w:semiHidden/>
    <w:unhideWhenUsed/>
    <w:qFormat/>
    <w:rsid w:val="001F7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F7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F7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F7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7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14F41"/>
    <w:pPr>
      <w:tabs>
        <w:tab w:val="left" w:pos="480"/>
        <w:tab w:val="right" w:leader="dot" w:pos="9062"/>
      </w:tabs>
      <w:spacing w:before="120" w:after="120" w:line="360" w:lineRule="auto"/>
    </w:pPr>
    <w:rPr>
      <w:rFonts w:ascii="Arial" w:hAnsi="Arial" w:cstheme="minorHAnsi"/>
      <w:b/>
      <w:bCs/>
      <w:szCs w:val="20"/>
    </w:rPr>
  </w:style>
  <w:style w:type="paragraph" w:styleId="TOC2">
    <w:name w:val="toc 2"/>
    <w:basedOn w:val="Normal"/>
    <w:next w:val="Normal"/>
    <w:autoRedefine/>
    <w:uiPriority w:val="39"/>
    <w:unhideWhenUsed/>
    <w:rsid w:val="00E14F41"/>
    <w:pPr>
      <w:spacing w:line="360" w:lineRule="auto"/>
      <w:ind w:left="482"/>
    </w:pPr>
    <w:rPr>
      <w:rFonts w:ascii="Arial" w:hAnsi="Arial" w:cstheme="minorHAnsi"/>
      <w:szCs w:val="20"/>
    </w:rPr>
  </w:style>
  <w:style w:type="paragraph" w:styleId="TOC3">
    <w:name w:val="toc 3"/>
    <w:basedOn w:val="Normal"/>
    <w:next w:val="Normal"/>
    <w:autoRedefine/>
    <w:uiPriority w:val="39"/>
    <w:unhideWhenUsed/>
    <w:rsid w:val="00E14F41"/>
    <w:pPr>
      <w:spacing w:line="360" w:lineRule="auto"/>
      <w:ind w:left="1162"/>
    </w:pPr>
    <w:rPr>
      <w:rFonts w:ascii="Arial" w:hAnsi="Arial" w:cstheme="minorHAnsi"/>
      <w:i/>
      <w:iCs/>
      <w:szCs w:val="20"/>
    </w:rPr>
  </w:style>
  <w:style w:type="paragraph" w:styleId="TOC4">
    <w:name w:val="toc 4"/>
    <w:basedOn w:val="Normal"/>
    <w:next w:val="Normal"/>
    <w:autoRedefine/>
    <w:uiPriority w:val="39"/>
    <w:unhideWhenUsed/>
    <w:rsid w:val="003A14AA"/>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3A14AA"/>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3A14AA"/>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3A14AA"/>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3A14AA"/>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3A14AA"/>
    <w:pPr>
      <w:ind w:left="1920"/>
    </w:pPr>
    <w:rPr>
      <w:rFonts w:asciiTheme="minorHAnsi" w:hAnsiTheme="minorHAnsi" w:cstheme="minorHAnsi"/>
      <w:sz w:val="18"/>
      <w:szCs w:val="18"/>
    </w:rPr>
  </w:style>
  <w:style w:type="character" w:customStyle="1" w:styleId="Heading1Char">
    <w:name w:val="Heading 1 Char"/>
    <w:basedOn w:val="DefaultParagraphFont"/>
    <w:link w:val="Heading1"/>
    <w:uiPriority w:val="9"/>
    <w:rsid w:val="001764BF"/>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1764BF"/>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1764BF"/>
    <w:rPr>
      <w:rFonts w:ascii="Arial" w:eastAsiaTheme="majorEastAsia" w:hAnsi="Arial" w:cstheme="majorBidi"/>
      <w:b/>
      <w:sz w:val="24"/>
      <w:szCs w:val="24"/>
    </w:rPr>
  </w:style>
  <w:style w:type="character" w:customStyle="1" w:styleId="Heading4Char">
    <w:name w:val="Heading 4 Char"/>
    <w:basedOn w:val="DefaultParagraphFont"/>
    <w:link w:val="Heading4"/>
    <w:uiPriority w:val="9"/>
    <w:semiHidden/>
    <w:rsid w:val="001764BF"/>
    <w:rPr>
      <w:rFonts w:ascii="Arial" w:eastAsiaTheme="majorEastAsia" w:hAnsi="Arial" w:cstheme="majorBidi"/>
      <w:b/>
      <w:i/>
      <w:iCs/>
      <w:sz w:val="24"/>
    </w:rPr>
  </w:style>
  <w:style w:type="character" w:customStyle="1" w:styleId="Heading5Char">
    <w:name w:val="Heading 5 Char"/>
    <w:basedOn w:val="DefaultParagraphFont"/>
    <w:link w:val="Heading5"/>
    <w:uiPriority w:val="9"/>
    <w:semiHidden/>
    <w:rsid w:val="001F7B7C"/>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1F7B7C"/>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1F7B7C"/>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1F7B7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7B7C"/>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C61365"/>
    <w:pPr>
      <w:outlineLvl w:val="9"/>
    </w:pPr>
    <w:rPr>
      <w:rFonts w:asciiTheme="majorHAnsi" w:hAnsiTheme="majorHAnsi"/>
      <w:b w:val="0"/>
      <w:color w:val="2E74B5" w:themeColor="accent1" w:themeShade="BF"/>
      <w:lang w:eastAsia="de-DE"/>
    </w:rPr>
  </w:style>
  <w:style w:type="character" w:styleId="Hyperlink">
    <w:name w:val="Hyperlink"/>
    <w:basedOn w:val="DefaultParagraphFont"/>
    <w:uiPriority w:val="99"/>
    <w:unhideWhenUsed/>
    <w:rsid w:val="00C61365"/>
    <w:rPr>
      <w:color w:val="0563C1" w:themeColor="hyperlink"/>
      <w:u w:val="single"/>
    </w:rPr>
  </w:style>
  <w:style w:type="paragraph" w:styleId="Header">
    <w:name w:val="header"/>
    <w:basedOn w:val="Normal"/>
    <w:link w:val="HeaderChar"/>
    <w:uiPriority w:val="99"/>
    <w:unhideWhenUsed/>
    <w:rsid w:val="00553F47"/>
    <w:pPr>
      <w:tabs>
        <w:tab w:val="center" w:pos="4536"/>
        <w:tab w:val="right" w:pos="9072"/>
      </w:tabs>
      <w:spacing w:line="240" w:lineRule="auto"/>
    </w:pPr>
  </w:style>
  <w:style w:type="character" w:customStyle="1" w:styleId="HeaderChar">
    <w:name w:val="Header Char"/>
    <w:basedOn w:val="DefaultParagraphFont"/>
    <w:link w:val="Header"/>
    <w:uiPriority w:val="99"/>
    <w:rsid w:val="00553F47"/>
    <w:rPr>
      <w:rFonts w:ascii="Times New Roman" w:hAnsi="Times New Roman"/>
      <w:sz w:val="24"/>
    </w:rPr>
  </w:style>
  <w:style w:type="paragraph" w:styleId="Footer">
    <w:name w:val="footer"/>
    <w:basedOn w:val="Normal"/>
    <w:link w:val="FooterChar"/>
    <w:uiPriority w:val="99"/>
    <w:unhideWhenUsed/>
    <w:rsid w:val="00553F47"/>
    <w:pPr>
      <w:tabs>
        <w:tab w:val="center" w:pos="4536"/>
        <w:tab w:val="right" w:pos="9072"/>
      </w:tabs>
      <w:spacing w:line="240" w:lineRule="auto"/>
    </w:pPr>
  </w:style>
  <w:style w:type="character" w:customStyle="1" w:styleId="FooterChar">
    <w:name w:val="Footer Char"/>
    <w:basedOn w:val="DefaultParagraphFont"/>
    <w:link w:val="Footer"/>
    <w:uiPriority w:val="99"/>
    <w:rsid w:val="00553F47"/>
    <w:rPr>
      <w:rFonts w:ascii="Times New Roman" w:hAnsi="Times New Roman"/>
      <w:sz w:val="24"/>
    </w:rPr>
  </w:style>
  <w:style w:type="paragraph" w:customStyle="1" w:styleId="TextkrperMA">
    <w:name w:val="Textkörper MA"/>
    <w:basedOn w:val="Normal"/>
    <w:qFormat/>
    <w:rsid w:val="005831BB"/>
    <w:pPr>
      <w:spacing w:line="480" w:lineRule="auto"/>
      <w:ind w:firstLine="709"/>
      <w:jc w:val="both"/>
    </w:pPr>
    <w:rPr>
      <w:rFonts w:ascii="Arial" w:hAnsi="Arial" w:cs="Arial"/>
    </w:rPr>
  </w:style>
  <w:style w:type="character" w:styleId="CommentReference">
    <w:name w:val="annotation reference"/>
    <w:basedOn w:val="DefaultParagraphFont"/>
    <w:uiPriority w:val="99"/>
    <w:semiHidden/>
    <w:unhideWhenUsed/>
    <w:rsid w:val="00295A64"/>
    <w:rPr>
      <w:sz w:val="16"/>
      <w:szCs w:val="16"/>
    </w:rPr>
  </w:style>
  <w:style w:type="paragraph" w:styleId="CommentText">
    <w:name w:val="annotation text"/>
    <w:basedOn w:val="Normal"/>
    <w:link w:val="CommentTextChar"/>
    <w:uiPriority w:val="99"/>
    <w:semiHidden/>
    <w:unhideWhenUsed/>
    <w:rsid w:val="00295A64"/>
    <w:pPr>
      <w:spacing w:line="240" w:lineRule="auto"/>
    </w:pPr>
    <w:rPr>
      <w:sz w:val="20"/>
      <w:szCs w:val="20"/>
    </w:rPr>
  </w:style>
  <w:style w:type="character" w:customStyle="1" w:styleId="CommentTextChar">
    <w:name w:val="Comment Text Char"/>
    <w:basedOn w:val="DefaultParagraphFont"/>
    <w:link w:val="CommentText"/>
    <w:uiPriority w:val="99"/>
    <w:semiHidden/>
    <w:rsid w:val="00295A6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95A64"/>
    <w:rPr>
      <w:b/>
      <w:bCs/>
    </w:rPr>
  </w:style>
  <w:style w:type="character" w:customStyle="1" w:styleId="CommentSubjectChar">
    <w:name w:val="Comment Subject Char"/>
    <w:basedOn w:val="CommentTextChar"/>
    <w:link w:val="CommentSubject"/>
    <w:uiPriority w:val="99"/>
    <w:semiHidden/>
    <w:rsid w:val="00295A64"/>
    <w:rPr>
      <w:rFonts w:ascii="Times New Roman" w:hAnsi="Times New Roman"/>
      <w:b/>
      <w:bCs/>
      <w:sz w:val="20"/>
      <w:szCs w:val="20"/>
    </w:rPr>
  </w:style>
  <w:style w:type="paragraph" w:styleId="BalloonText">
    <w:name w:val="Balloon Text"/>
    <w:basedOn w:val="Normal"/>
    <w:link w:val="BalloonTextChar"/>
    <w:uiPriority w:val="99"/>
    <w:semiHidden/>
    <w:unhideWhenUsed/>
    <w:rsid w:val="00295A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A64"/>
    <w:rPr>
      <w:rFonts w:ascii="Segoe UI" w:hAnsi="Segoe UI" w:cs="Segoe UI"/>
      <w:sz w:val="18"/>
      <w:szCs w:val="18"/>
    </w:rPr>
  </w:style>
  <w:style w:type="paragraph" w:styleId="Caption">
    <w:name w:val="caption"/>
    <w:basedOn w:val="Normal"/>
    <w:next w:val="Normal"/>
    <w:uiPriority w:val="35"/>
    <w:unhideWhenUsed/>
    <w:qFormat/>
    <w:rsid w:val="00FE5C92"/>
    <w:pPr>
      <w:spacing w:after="200" w:line="240" w:lineRule="auto"/>
    </w:pPr>
    <w:rPr>
      <w:i/>
      <w:iCs/>
      <w:color w:val="44546A" w:themeColor="text2"/>
      <w:sz w:val="18"/>
      <w:szCs w:val="18"/>
    </w:rPr>
  </w:style>
  <w:style w:type="paragraph" w:styleId="ListParagraph">
    <w:name w:val="List Paragraph"/>
    <w:basedOn w:val="Normal"/>
    <w:uiPriority w:val="34"/>
    <w:qFormat/>
    <w:rsid w:val="00BE3292"/>
    <w:pPr>
      <w:ind w:left="720"/>
      <w:contextualSpacing/>
    </w:pPr>
  </w:style>
  <w:style w:type="character" w:styleId="PlaceholderText">
    <w:name w:val="Placeholder Text"/>
    <w:basedOn w:val="DefaultParagraphFont"/>
    <w:uiPriority w:val="99"/>
    <w:semiHidden/>
    <w:rsid w:val="00E86E41"/>
    <w:rPr>
      <w:color w:val="808080"/>
    </w:rPr>
  </w:style>
  <w:style w:type="table" w:styleId="TableGrid">
    <w:name w:val="Table Grid"/>
    <w:basedOn w:val="TableNormal"/>
    <w:uiPriority w:val="39"/>
    <w:rsid w:val="00402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51">
    <w:name w:val="Grid Table 3 - Accent 51"/>
    <w:basedOn w:val="TableNormal"/>
    <w:uiPriority w:val="48"/>
    <w:rsid w:val="004027B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FootnoteText">
    <w:name w:val="footnote text"/>
    <w:basedOn w:val="Normal"/>
    <w:link w:val="FootnoteTextChar"/>
    <w:uiPriority w:val="99"/>
    <w:semiHidden/>
    <w:unhideWhenUsed/>
    <w:rsid w:val="00E73A0D"/>
    <w:pPr>
      <w:spacing w:line="240" w:lineRule="auto"/>
    </w:pPr>
    <w:rPr>
      <w:sz w:val="20"/>
      <w:szCs w:val="20"/>
    </w:rPr>
  </w:style>
  <w:style w:type="character" w:customStyle="1" w:styleId="FootnoteTextChar">
    <w:name w:val="Footnote Text Char"/>
    <w:basedOn w:val="DefaultParagraphFont"/>
    <w:link w:val="FootnoteText"/>
    <w:uiPriority w:val="99"/>
    <w:semiHidden/>
    <w:rsid w:val="00E73A0D"/>
    <w:rPr>
      <w:rFonts w:ascii="Times New Roman" w:hAnsi="Times New Roman"/>
      <w:sz w:val="20"/>
      <w:szCs w:val="20"/>
    </w:rPr>
  </w:style>
  <w:style w:type="character" w:styleId="FootnoteReference">
    <w:name w:val="footnote reference"/>
    <w:basedOn w:val="DefaultParagraphFont"/>
    <w:uiPriority w:val="99"/>
    <w:semiHidden/>
    <w:unhideWhenUsed/>
    <w:rsid w:val="00E73A0D"/>
    <w:rPr>
      <w:vertAlign w:val="superscript"/>
    </w:rPr>
  </w:style>
  <w:style w:type="paragraph" w:styleId="NormalWeb">
    <w:name w:val="Normal (Web)"/>
    <w:basedOn w:val="Normal"/>
    <w:uiPriority w:val="99"/>
    <w:semiHidden/>
    <w:unhideWhenUsed/>
    <w:rsid w:val="00DC24A0"/>
    <w:pPr>
      <w:spacing w:before="100" w:beforeAutospacing="1" w:after="100" w:afterAutospacing="1" w:line="240" w:lineRule="auto"/>
    </w:pPr>
    <w:rPr>
      <w:rFonts w:eastAsiaTheme="minorEastAsia" w:cs="Times New Roman"/>
      <w:szCs w:val="24"/>
      <w:lang w:eastAsia="de-DE"/>
    </w:rPr>
  </w:style>
  <w:style w:type="table" w:customStyle="1" w:styleId="ListTable7Colorful-Accent61">
    <w:name w:val="List Table 7 Colorful - Accent 61"/>
    <w:basedOn w:val="TableNormal"/>
    <w:uiPriority w:val="52"/>
    <w:rsid w:val="008C171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PA">
    <w:name w:val="APA"/>
    <w:basedOn w:val="TableNormal"/>
    <w:uiPriority w:val="99"/>
    <w:rsid w:val="008C1710"/>
    <w:pPr>
      <w:spacing w:after="0" w:line="240" w:lineRule="auto"/>
      <w:jc w:val="center"/>
    </w:pPr>
    <w:rPr>
      <w:rFonts w:ascii="Arial" w:hAnsi="Arial"/>
      <w:sz w:val="24"/>
    </w:rPr>
    <w:tblPr>
      <w:tblBorders>
        <w:top w:val="single" w:sz="4" w:space="0" w:color="auto"/>
        <w:bottom w:val="single" w:sz="4" w:space="0" w:color="auto"/>
        <w:insideH w:val="single" w:sz="4" w:space="0" w:color="auto"/>
      </w:tblBorders>
    </w:tblPr>
    <w:tcPr>
      <w:vAlign w:val="bottom"/>
    </w:tcPr>
  </w:style>
  <w:style w:type="paragraph" w:styleId="NoSpacing">
    <w:name w:val="No Spacing"/>
    <w:uiPriority w:val="1"/>
    <w:qFormat/>
    <w:rsid w:val="00CA59A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264">
      <w:bodyDiv w:val="1"/>
      <w:marLeft w:val="0"/>
      <w:marRight w:val="0"/>
      <w:marTop w:val="0"/>
      <w:marBottom w:val="0"/>
      <w:divBdr>
        <w:top w:val="none" w:sz="0" w:space="0" w:color="auto"/>
        <w:left w:val="none" w:sz="0" w:space="0" w:color="auto"/>
        <w:bottom w:val="none" w:sz="0" w:space="0" w:color="auto"/>
        <w:right w:val="none" w:sz="0" w:space="0" w:color="auto"/>
      </w:divBdr>
    </w:div>
    <w:div w:id="197356894">
      <w:bodyDiv w:val="1"/>
      <w:marLeft w:val="0"/>
      <w:marRight w:val="0"/>
      <w:marTop w:val="0"/>
      <w:marBottom w:val="0"/>
      <w:divBdr>
        <w:top w:val="none" w:sz="0" w:space="0" w:color="auto"/>
        <w:left w:val="none" w:sz="0" w:space="0" w:color="auto"/>
        <w:bottom w:val="none" w:sz="0" w:space="0" w:color="auto"/>
        <w:right w:val="none" w:sz="0" w:space="0" w:color="auto"/>
      </w:divBdr>
    </w:div>
    <w:div w:id="300578267">
      <w:bodyDiv w:val="1"/>
      <w:marLeft w:val="0"/>
      <w:marRight w:val="0"/>
      <w:marTop w:val="0"/>
      <w:marBottom w:val="0"/>
      <w:divBdr>
        <w:top w:val="none" w:sz="0" w:space="0" w:color="auto"/>
        <w:left w:val="none" w:sz="0" w:space="0" w:color="auto"/>
        <w:bottom w:val="none" w:sz="0" w:space="0" w:color="auto"/>
        <w:right w:val="none" w:sz="0" w:space="0" w:color="auto"/>
      </w:divBdr>
    </w:div>
    <w:div w:id="451940514">
      <w:bodyDiv w:val="1"/>
      <w:marLeft w:val="0"/>
      <w:marRight w:val="0"/>
      <w:marTop w:val="0"/>
      <w:marBottom w:val="0"/>
      <w:divBdr>
        <w:top w:val="none" w:sz="0" w:space="0" w:color="auto"/>
        <w:left w:val="none" w:sz="0" w:space="0" w:color="auto"/>
        <w:bottom w:val="none" w:sz="0" w:space="0" w:color="auto"/>
        <w:right w:val="none" w:sz="0" w:space="0" w:color="auto"/>
      </w:divBdr>
    </w:div>
    <w:div w:id="516776042">
      <w:bodyDiv w:val="1"/>
      <w:marLeft w:val="0"/>
      <w:marRight w:val="0"/>
      <w:marTop w:val="0"/>
      <w:marBottom w:val="0"/>
      <w:divBdr>
        <w:top w:val="none" w:sz="0" w:space="0" w:color="auto"/>
        <w:left w:val="none" w:sz="0" w:space="0" w:color="auto"/>
        <w:bottom w:val="none" w:sz="0" w:space="0" w:color="auto"/>
        <w:right w:val="none" w:sz="0" w:space="0" w:color="auto"/>
      </w:divBdr>
    </w:div>
    <w:div w:id="543953663">
      <w:bodyDiv w:val="1"/>
      <w:marLeft w:val="0"/>
      <w:marRight w:val="0"/>
      <w:marTop w:val="0"/>
      <w:marBottom w:val="0"/>
      <w:divBdr>
        <w:top w:val="none" w:sz="0" w:space="0" w:color="auto"/>
        <w:left w:val="none" w:sz="0" w:space="0" w:color="auto"/>
        <w:bottom w:val="none" w:sz="0" w:space="0" w:color="auto"/>
        <w:right w:val="none" w:sz="0" w:space="0" w:color="auto"/>
      </w:divBdr>
    </w:div>
    <w:div w:id="613288289">
      <w:bodyDiv w:val="1"/>
      <w:marLeft w:val="0"/>
      <w:marRight w:val="0"/>
      <w:marTop w:val="0"/>
      <w:marBottom w:val="0"/>
      <w:divBdr>
        <w:top w:val="none" w:sz="0" w:space="0" w:color="auto"/>
        <w:left w:val="none" w:sz="0" w:space="0" w:color="auto"/>
        <w:bottom w:val="none" w:sz="0" w:space="0" w:color="auto"/>
        <w:right w:val="none" w:sz="0" w:space="0" w:color="auto"/>
      </w:divBdr>
    </w:div>
    <w:div w:id="832647536">
      <w:bodyDiv w:val="1"/>
      <w:marLeft w:val="0"/>
      <w:marRight w:val="0"/>
      <w:marTop w:val="0"/>
      <w:marBottom w:val="0"/>
      <w:divBdr>
        <w:top w:val="none" w:sz="0" w:space="0" w:color="auto"/>
        <w:left w:val="none" w:sz="0" w:space="0" w:color="auto"/>
        <w:bottom w:val="none" w:sz="0" w:space="0" w:color="auto"/>
        <w:right w:val="none" w:sz="0" w:space="0" w:color="auto"/>
      </w:divBdr>
    </w:div>
    <w:div w:id="837116155">
      <w:bodyDiv w:val="1"/>
      <w:marLeft w:val="0"/>
      <w:marRight w:val="0"/>
      <w:marTop w:val="0"/>
      <w:marBottom w:val="0"/>
      <w:divBdr>
        <w:top w:val="none" w:sz="0" w:space="0" w:color="auto"/>
        <w:left w:val="none" w:sz="0" w:space="0" w:color="auto"/>
        <w:bottom w:val="none" w:sz="0" w:space="0" w:color="auto"/>
        <w:right w:val="none" w:sz="0" w:space="0" w:color="auto"/>
      </w:divBdr>
    </w:div>
    <w:div w:id="940994853">
      <w:bodyDiv w:val="1"/>
      <w:marLeft w:val="0"/>
      <w:marRight w:val="0"/>
      <w:marTop w:val="0"/>
      <w:marBottom w:val="0"/>
      <w:divBdr>
        <w:top w:val="none" w:sz="0" w:space="0" w:color="auto"/>
        <w:left w:val="none" w:sz="0" w:space="0" w:color="auto"/>
        <w:bottom w:val="none" w:sz="0" w:space="0" w:color="auto"/>
        <w:right w:val="none" w:sz="0" w:space="0" w:color="auto"/>
      </w:divBdr>
    </w:div>
    <w:div w:id="960840296">
      <w:bodyDiv w:val="1"/>
      <w:marLeft w:val="0"/>
      <w:marRight w:val="0"/>
      <w:marTop w:val="0"/>
      <w:marBottom w:val="0"/>
      <w:divBdr>
        <w:top w:val="none" w:sz="0" w:space="0" w:color="auto"/>
        <w:left w:val="none" w:sz="0" w:space="0" w:color="auto"/>
        <w:bottom w:val="none" w:sz="0" w:space="0" w:color="auto"/>
        <w:right w:val="none" w:sz="0" w:space="0" w:color="auto"/>
      </w:divBdr>
    </w:div>
    <w:div w:id="1186213918">
      <w:bodyDiv w:val="1"/>
      <w:marLeft w:val="0"/>
      <w:marRight w:val="0"/>
      <w:marTop w:val="0"/>
      <w:marBottom w:val="0"/>
      <w:divBdr>
        <w:top w:val="none" w:sz="0" w:space="0" w:color="auto"/>
        <w:left w:val="none" w:sz="0" w:space="0" w:color="auto"/>
        <w:bottom w:val="none" w:sz="0" w:space="0" w:color="auto"/>
        <w:right w:val="none" w:sz="0" w:space="0" w:color="auto"/>
      </w:divBdr>
    </w:div>
    <w:div w:id="1254701489">
      <w:bodyDiv w:val="1"/>
      <w:marLeft w:val="0"/>
      <w:marRight w:val="0"/>
      <w:marTop w:val="0"/>
      <w:marBottom w:val="0"/>
      <w:divBdr>
        <w:top w:val="none" w:sz="0" w:space="0" w:color="auto"/>
        <w:left w:val="none" w:sz="0" w:space="0" w:color="auto"/>
        <w:bottom w:val="none" w:sz="0" w:space="0" w:color="auto"/>
        <w:right w:val="none" w:sz="0" w:space="0" w:color="auto"/>
      </w:divBdr>
    </w:div>
    <w:div w:id="1370452012">
      <w:bodyDiv w:val="1"/>
      <w:marLeft w:val="0"/>
      <w:marRight w:val="0"/>
      <w:marTop w:val="0"/>
      <w:marBottom w:val="0"/>
      <w:divBdr>
        <w:top w:val="none" w:sz="0" w:space="0" w:color="auto"/>
        <w:left w:val="none" w:sz="0" w:space="0" w:color="auto"/>
        <w:bottom w:val="none" w:sz="0" w:space="0" w:color="auto"/>
        <w:right w:val="none" w:sz="0" w:space="0" w:color="auto"/>
      </w:divBdr>
    </w:div>
    <w:div w:id="1426345766">
      <w:bodyDiv w:val="1"/>
      <w:marLeft w:val="0"/>
      <w:marRight w:val="0"/>
      <w:marTop w:val="0"/>
      <w:marBottom w:val="0"/>
      <w:divBdr>
        <w:top w:val="none" w:sz="0" w:space="0" w:color="auto"/>
        <w:left w:val="none" w:sz="0" w:space="0" w:color="auto"/>
        <w:bottom w:val="none" w:sz="0" w:space="0" w:color="auto"/>
        <w:right w:val="none" w:sz="0" w:space="0" w:color="auto"/>
      </w:divBdr>
    </w:div>
    <w:div w:id="1468012044">
      <w:bodyDiv w:val="1"/>
      <w:marLeft w:val="0"/>
      <w:marRight w:val="0"/>
      <w:marTop w:val="0"/>
      <w:marBottom w:val="0"/>
      <w:divBdr>
        <w:top w:val="none" w:sz="0" w:space="0" w:color="auto"/>
        <w:left w:val="none" w:sz="0" w:space="0" w:color="auto"/>
        <w:bottom w:val="none" w:sz="0" w:space="0" w:color="auto"/>
        <w:right w:val="none" w:sz="0" w:space="0" w:color="auto"/>
      </w:divBdr>
    </w:div>
    <w:div w:id="1650284705">
      <w:bodyDiv w:val="1"/>
      <w:marLeft w:val="0"/>
      <w:marRight w:val="0"/>
      <w:marTop w:val="0"/>
      <w:marBottom w:val="0"/>
      <w:divBdr>
        <w:top w:val="none" w:sz="0" w:space="0" w:color="auto"/>
        <w:left w:val="none" w:sz="0" w:space="0" w:color="auto"/>
        <w:bottom w:val="none" w:sz="0" w:space="0" w:color="auto"/>
        <w:right w:val="none" w:sz="0" w:space="0" w:color="auto"/>
      </w:divBdr>
    </w:div>
    <w:div w:id="1773428553">
      <w:bodyDiv w:val="1"/>
      <w:marLeft w:val="0"/>
      <w:marRight w:val="0"/>
      <w:marTop w:val="0"/>
      <w:marBottom w:val="0"/>
      <w:divBdr>
        <w:top w:val="none" w:sz="0" w:space="0" w:color="auto"/>
        <w:left w:val="none" w:sz="0" w:space="0" w:color="auto"/>
        <w:bottom w:val="none" w:sz="0" w:space="0" w:color="auto"/>
        <w:right w:val="none" w:sz="0" w:space="0" w:color="auto"/>
      </w:divBdr>
    </w:div>
    <w:div w:id="1853907719">
      <w:bodyDiv w:val="1"/>
      <w:marLeft w:val="0"/>
      <w:marRight w:val="0"/>
      <w:marTop w:val="0"/>
      <w:marBottom w:val="0"/>
      <w:divBdr>
        <w:top w:val="none" w:sz="0" w:space="0" w:color="auto"/>
        <w:left w:val="none" w:sz="0" w:space="0" w:color="auto"/>
        <w:bottom w:val="none" w:sz="0" w:space="0" w:color="auto"/>
        <w:right w:val="none" w:sz="0" w:space="0" w:color="auto"/>
      </w:divBdr>
    </w:div>
    <w:div w:id="1861428744">
      <w:bodyDiv w:val="1"/>
      <w:marLeft w:val="0"/>
      <w:marRight w:val="0"/>
      <w:marTop w:val="0"/>
      <w:marBottom w:val="0"/>
      <w:divBdr>
        <w:top w:val="none" w:sz="0" w:space="0" w:color="auto"/>
        <w:left w:val="none" w:sz="0" w:space="0" w:color="auto"/>
        <w:bottom w:val="none" w:sz="0" w:space="0" w:color="auto"/>
        <w:right w:val="none" w:sz="0" w:space="0" w:color="auto"/>
      </w:divBdr>
    </w:div>
    <w:div w:id="1865709954">
      <w:bodyDiv w:val="1"/>
      <w:marLeft w:val="0"/>
      <w:marRight w:val="0"/>
      <w:marTop w:val="0"/>
      <w:marBottom w:val="0"/>
      <w:divBdr>
        <w:top w:val="none" w:sz="0" w:space="0" w:color="auto"/>
        <w:left w:val="none" w:sz="0" w:space="0" w:color="auto"/>
        <w:bottom w:val="none" w:sz="0" w:space="0" w:color="auto"/>
        <w:right w:val="none" w:sz="0" w:space="0" w:color="auto"/>
      </w:divBdr>
    </w:div>
    <w:div w:id="1914926663">
      <w:bodyDiv w:val="1"/>
      <w:marLeft w:val="0"/>
      <w:marRight w:val="0"/>
      <w:marTop w:val="0"/>
      <w:marBottom w:val="0"/>
      <w:divBdr>
        <w:top w:val="none" w:sz="0" w:space="0" w:color="auto"/>
        <w:left w:val="none" w:sz="0" w:space="0" w:color="auto"/>
        <w:bottom w:val="none" w:sz="0" w:space="0" w:color="auto"/>
        <w:right w:val="none" w:sz="0" w:space="0" w:color="auto"/>
      </w:divBdr>
    </w:div>
    <w:div w:id="1920942783">
      <w:bodyDiv w:val="1"/>
      <w:marLeft w:val="0"/>
      <w:marRight w:val="0"/>
      <w:marTop w:val="0"/>
      <w:marBottom w:val="0"/>
      <w:divBdr>
        <w:top w:val="none" w:sz="0" w:space="0" w:color="auto"/>
        <w:left w:val="none" w:sz="0" w:space="0" w:color="auto"/>
        <w:bottom w:val="none" w:sz="0" w:space="0" w:color="auto"/>
        <w:right w:val="none" w:sz="0" w:space="0" w:color="auto"/>
      </w:divBdr>
    </w:div>
    <w:div w:id="203098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lmond@liverpoo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442CA-7CC2-4960-B584-656BDDD5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39306</Words>
  <Characters>224045</Characters>
  <Application>Microsoft Office Word</Application>
  <DocSecurity>0</DocSecurity>
  <Lines>1867</Lines>
  <Paragraphs>525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Liverpool</Company>
  <LinksUpToDate>false</LinksUpToDate>
  <CharactersWithSpaces>262826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Matin</dc:creator>
  <cp:lastModifiedBy>Almond, Louise</cp:lastModifiedBy>
  <cp:revision>6</cp:revision>
  <cp:lastPrinted>2016-08-01T13:57:00Z</cp:lastPrinted>
  <dcterms:created xsi:type="dcterms:W3CDTF">2019-07-02T11:44:00Z</dcterms:created>
  <dcterms:modified xsi:type="dcterms:W3CDTF">2019-11-21T11:21:00Z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cc8b3600-95b8-3377-8386-95ba45c0a78f</vt:lpwstr>
  </property>
</Properties>
</file>