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E116" w14:textId="77777777" w:rsidR="004126D9" w:rsidRPr="006A7000" w:rsidRDefault="00501F04" w:rsidP="00741078">
      <w:pPr>
        <w:pStyle w:val="ColorfulList-Accent21"/>
        <w:rPr>
          <w:b/>
          <w:bCs/>
          <w:sz w:val="24"/>
          <w:szCs w:val="24"/>
        </w:rPr>
      </w:pPr>
      <w:bookmarkStart w:id="0" w:name="_Hlk6406773"/>
      <w:bookmarkStart w:id="1" w:name="_GoBack"/>
      <w:bookmarkEnd w:id="1"/>
      <w:r w:rsidRPr="006A7000">
        <w:rPr>
          <w:b/>
          <w:bCs/>
          <w:sz w:val="24"/>
          <w:szCs w:val="24"/>
        </w:rPr>
        <w:t>Nationwi</w:t>
      </w:r>
      <w:r w:rsidR="004126D9" w:rsidRPr="006A7000">
        <w:rPr>
          <w:b/>
          <w:bCs/>
          <w:sz w:val="24"/>
          <w:szCs w:val="24"/>
        </w:rPr>
        <w:t>de</w:t>
      </w:r>
      <w:r w:rsidRPr="006A7000">
        <w:rPr>
          <w:b/>
          <w:bCs/>
          <w:sz w:val="24"/>
          <w:szCs w:val="24"/>
        </w:rPr>
        <w:t xml:space="preserve"> randomised trial </w:t>
      </w:r>
      <w:r w:rsidR="005A566F" w:rsidRPr="006A7000">
        <w:rPr>
          <w:b/>
          <w:bCs/>
          <w:sz w:val="24"/>
          <w:szCs w:val="24"/>
        </w:rPr>
        <w:t>evaluating</w:t>
      </w:r>
      <w:r w:rsidRPr="006A7000">
        <w:rPr>
          <w:b/>
          <w:bCs/>
          <w:sz w:val="24"/>
          <w:szCs w:val="24"/>
        </w:rPr>
        <w:t xml:space="preserve"> elective neck dissection for early stage oral cancer (SEND</w:t>
      </w:r>
      <w:r w:rsidR="005A566F" w:rsidRPr="006A7000">
        <w:rPr>
          <w:b/>
          <w:bCs/>
          <w:sz w:val="24"/>
          <w:szCs w:val="24"/>
        </w:rPr>
        <w:t xml:space="preserve"> study</w:t>
      </w:r>
      <w:r w:rsidRPr="006A7000">
        <w:rPr>
          <w:b/>
          <w:bCs/>
          <w:sz w:val="24"/>
          <w:szCs w:val="24"/>
        </w:rPr>
        <w:t>) with meta-analysis and concurrent real world cohort</w:t>
      </w:r>
    </w:p>
    <w:bookmarkEnd w:id="0"/>
    <w:p w14:paraId="1360E175" w14:textId="77777777" w:rsidR="004126D9" w:rsidRPr="006A7000" w:rsidRDefault="004126D9" w:rsidP="00741078">
      <w:pPr>
        <w:pStyle w:val="ColorfulList-Accent21"/>
        <w:rPr>
          <w:sz w:val="24"/>
          <w:szCs w:val="24"/>
        </w:rPr>
      </w:pPr>
    </w:p>
    <w:p w14:paraId="607A5339" w14:textId="0E84D34C" w:rsidR="00741078" w:rsidRPr="006A7000" w:rsidRDefault="004126D9" w:rsidP="00741078">
      <w:pPr>
        <w:pStyle w:val="ColorfulList-Accent21"/>
        <w:rPr>
          <w:sz w:val="24"/>
          <w:szCs w:val="24"/>
        </w:rPr>
      </w:pPr>
      <w:r w:rsidRPr="006A7000">
        <w:rPr>
          <w:sz w:val="24"/>
          <w:szCs w:val="24"/>
        </w:rPr>
        <w:t>Elective neck dissection in early mouth cancer</w:t>
      </w:r>
    </w:p>
    <w:p w14:paraId="18AAC79B" w14:textId="531398B1" w:rsidR="008A67CC" w:rsidRPr="006A7000" w:rsidRDefault="008A67CC" w:rsidP="00741078">
      <w:pPr>
        <w:pStyle w:val="ColorfulList-Accent21"/>
        <w:rPr>
          <w:sz w:val="16"/>
          <w:szCs w:val="16"/>
        </w:rPr>
      </w:pPr>
    </w:p>
    <w:p w14:paraId="31D5A0C2" w14:textId="5B3753FC" w:rsidR="008A67CC" w:rsidRPr="006A7000" w:rsidRDefault="008A67CC" w:rsidP="00741078">
      <w:pPr>
        <w:pStyle w:val="ColorfulList-Accent21"/>
        <w:rPr>
          <w:sz w:val="20"/>
          <w:szCs w:val="20"/>
        </w:rPr>
      </w:pPr>
      <w:r w:rsidRPr="006A7000">
        <w:rPr>
          <w:sz w:val="20"/>
          <w:szCs w:val="20"/>
        </w:rPr>
        <w:t xml:space="preserve">Keywords: oral squamous cell carcinoma, mouth cancer, </w:t>
      </w:r>
      <w:r w:rsidR="00264A79" w:rsidRPr="006A7000">
        <w:rPr>
          <w:sz w:val="20"/>
          <w:szCs w:val="20"/>
        </w:rPr>
        <w:t xml:space="preserve">oral cancer, </w:t>
      </w:r>
      <w:r w:rsidRPr="006A7000">
        <w:rPr>
          <w:sz w:val="20"/>
          <w:szCs w:val="20"/>
        </w:rPr>
        <w:t>surgery, elective neck dissection, quality of life, resource use, health economics, real world cohort, prospective randomised study, prospective cohort study, sentinel lymph node biopsy</w:t>
      </w:r>
    </w:p>
    <w:p w14:paraId="15FE4A1C" w14:textId="77777777" w:rsidR="008A67CC" w:rsidRPr="006A7000" w:rsidRDefault="008A67CC" w:rsidP="008A67CC">
      <w:pPr>
        <w:spacing w:after="0"/>
        <w:rPr>
          <w:sz w:val="24"/>
          <w:szCs w:val="24"/>
        </w:rPr>
      </w:pPr>
    </w:p>
    <w:p w14:paraId="036A7DEE" w14:textId="19C420F8" w:rsidR="008B79B4" w:rsidRPr="006A7000" w:rsidRDefault="008B79B4" w:rsidP="00B95772">
      <w:pPr>
        <w:rPr>
          <w:sz w:val="24"/>
          <w:szCs w:val="24"/>
        </w:rPr>
      </w:pPr>
      <w:r w:rsidRPr="006A7000">
        <w:rPr>
          <w:sz w:val="24"/>
          <w:szCs w:val="24"/>
        </w:rPr>
        <w:t>Iain L Hutchison</w:t>
      </w:r>
      <w:r w:rsidRPr="006A7000">
        <w:rPr>
          <w:sz w:val="24"/>
          <w:szCs w:val="24"/>
          <w:vertAlign w:val="superscript"/>
        </w:rPr>
        <w:t>1</w:t>
      </w:r>
      <w:r w:rsidR="00057047">
        <w:rPr>
          <w:sz w:val="24"/>
          <w:szCs w:val="24"/>
          <w:vertAlign w:val="superscript"/>
        </w:rPr>
        <w:t>,2</w:t>
      </w:r>
      <w:r w:rsidRPr="006A7000">
        <w:rPr>
          <w:sz w:val="24"/>
          <w:szCs w:val="24"/>
          <w:vertAlign w:val="superscript"/>
        </w:rPr>
        <w:t>*</w:t>
      </w:r>
      <w:r w:rsidRPr="006A7000">
        <w:rPr>
          <w:sz w:val="24"/>
          <w:szCs w:val="24"/>
        </w:rPr>
        <w:t>, Fran Ridout</w:t>
      </w:r>
      <w:r w:rsidRPr="006A7000">
        <w:rPr>
          <w:sz w:val="24"/>
          <w:szCs w:val="24"/>
          <w:vertAlign w:val="superscript"/>
        </w:rPr>
        <w:t>2*</w:t>
      </w:r>
      <w:r w:rsidRPr="006A7000">
        <w:rPr>
          <w:sz w:val="24"/>
          <w:szCs w:val="24"/>
        </w:rPr>
        <w:t>, Sharon MY Cheung</w:t>
      </w:r>
      <w:r w:rsidRPr="006A7000">
        <w:rPr>
          <w:sz w:val="24"/>
          <w:szCs w:val="24"/>
          <w:vertAlign w:val="superscript"/>
        </w:rPr>
        <w:t>2*</w:t>
      </w:r>
      <w:r w:rsidRPr="006A7000">
        <w:rPr>
          <w:sz w:val="24"/>
          <w:szCs w:val="24"/>
        </w:rPr>
        <w:t>, Neil Shah</w:t>
      </w:r>
      <w:r w:rsidRPr="006A7000">
        <w:rPr>
          <w:sz w:val="24"/>
          <w:szCs w:val="24"/>
          <w:vertAlign w:val="superscript"/>
        </w:rPr>
        <w:t>3</w:t>
      </w:r>
      <w:r w:rsidRPr="006A7000">
        <w:rPr>
          <w:sz w:val="24"/>
          <w:szCs w:val="24"/>
        </w:rPr>
        <w:t>, Peter Hardee</w:t>
      </w:r>
      <w:r w:rsidRPr="006A7000">
        <w:rPr>
          <w:sz w:val="24"/>
          <w:szCs w:val="24"/>
          <w:vertAlign w:val="superscript"/>
        </w:rPr>
        <w:t>1</w:t>
      </w:r>
      <w:r w:rsidRPr="006A7000">
        <w:rPr>
          <w:sz w:val="24"/>
          <w:szCs w:val="24"/>
        </w:rPr>
        <w:t>, Christian Surwald</w:t>
      </w:r>
      <w:r w:rsidRPr="006A7000">
        <w:rPr>
          <w:sz w:val="24"/>
          <w:szCs w:val="24"/>
          <w:vertAlign w:val="superscript"/>
        </w:rPr>
        <w:t>4</w:t>
      </w:r>
      <w:r w:rsidRPr="006A7000">
        <w:rPr>
          <w:sz w:val="24"/>
          <w:szCs w:val="24"/>
        </w:rPr>
        <w:t>, Janavikulam Thiruchelvam</w:t>
      </w:r>
      <w:r w:rsidRPr="006A7000">
        <w:rPr>
          <w:sz w:val="24"/>
          <w:szCs w:val="24"/>
          <w:vertAlign w:val="superscript"/>
        </w:rPr>
        <w:t>5</w:t>
      </w:r>
      <w:r w:rsidRPr="006A7000">
        <w:rPr>
          <w:sz w:val="24"/>
          <w:szCs w:val="24"/>
        </w:rPr>
        <w:t>, Leo Cheng</w:t>
      </w:r>
      <w:r w:rsidRPr="006A7000">
        <w:rPr>
          <w:sz w:val="24"/>
          <w:szCs w:val="24"/>
          <w:vertAlign w:val="superscript"/>
        </w:rPr>
        <w:t>1</w:t>
      </w:r>
      <w:r w:rsidRPr="006A7000">
        <w:rPr>
          <w:sz w:val="24"/>
          <w:szCs w:val="24"/>
        </w:rPr>
        <w:t>, Tim K Mellor</w:t>
      </w:r>
      <w:r w:rsidRPr="006A7000">
        <w:rPr>
          <w:sz w:val="24"/>
          <w:szCs w:val="24"/>
          <w:vertAlign w:val="superscript"/>
        </w:rPr>
        <w:t>6</w:t>
      </w:r>
      <w:r w:rsidRPr="006A7000">
        <w:rPr>
          <w:sz w:val="24"/>
          <w:szCs w:val="24"/>
        </w:rPr>
        <w:t>, Peter A Brennan</w:t>
      </w:r>
      <w:r w:rsidRPr="006A7000">
        <w:rPr>
          <w:sz w:val="24"/>
          <w:szCs w:val="24"/>
          <w:vertAlign w:val="superscript"/>
        </w:rPr>
        <w:t>6</w:t>
      </w:r>
      <w:r w:rsidRPr="006A7000">
        <w:rPr>
          <w:sz w:val="24"/>
          <w:szCs w:val="24"/>
        </w:rPr>
        <w:t>, Andrew J Baldwin</w:t>
      </w:r>
      <w:r w:rsidRPr="006A7000">
        <w:rPr>
          <w:sz w:val="24"/>
          <w:szCs w:val="24"/>
          <w:vertAlign w:val="superscript"/>
        </w:rPr>
        <w:t>7</w:t>
      </w:r>
      <w:r w:rsidRPr="006A7000">
        <w:rPr>
          <w:sz w:val="24"/>
          <w:szCs w:val="24"/>
        </w:rPr>
        <w:t>, Richard J Shaw</w:t>
      </w:r>
      <w:r w:rsidRPr="006A7000">
        <w:rPr>
          <w:sz w:val="24"/>
          <w:szCs w:val="24"/>
          <w:vertAlign w:val="superscript"/>
        </w:rPr>
        <w:t>8</w:t>
      </w:r>
      <w:r w:rsidRPr="006A7000">
        <w:rPr>
          <w:sz w:val="24"/>
          <w:szCs w:val="24"/>
        </w:rPr>
        <w:t>, Wayne Halfpenny</w:t>
      </w:r>
      <w:r w:rsidRPr="006A7000">
        <w:rPr>
          <w:sz w:val="24"/>
          <w:szCs w:val="24"/>
          <w:vertAlign w:val="superscript"/>
        </w:rPr>
        <w:t>5</w:t>
      </w:r>
      <w:r w:rsidRPr="006A7000">
        <w:rPr>
          <w:sz w:val="24"/>
          <w:szCs w:val="24"/>
        </w:rPr>
        <w:t>, Martin Danford</w:t>
      </w:r>
      <w:r w:rsidRPr="006A7000">
        <w:rPr>
          <w:sz w:val="24"/>
          <w:szCs w:val="24"/>
          <w:vertAlign w:val="superscript"/>
        </w:rPr>
        <w:t>9</w:t>
      </w:r>
      <w:r w:rsidRPr="006A7000">
        <w:rPr>
          <w:sz w:val="24"/>
          <w:szCs w:val="24"/>
        </w:rPr>
        <w:t>, Simon Whitley</w:t>
      </w:r>
      <w:r w:rsidRPr="006A7000">
        <w:rPr>
          <w:sz w:val="24"/>
          <w:szCs w:val="24"/>
          <w:vertAlign w:val="superscript"/>
        </w:rPr>
        <w:t>1</w:t>
      </w:r>
      <w:r w:rsidRPr="006A7000">
        <w:rPr>
          <w:sz w:val="24"/>
          <w:szCs w:val="24"/>
        </w:rPr>
        <w:t>, Graham Smith</w:t>
      </w:r>
      <w:r w:rsidRPr="006A7000">
        <w:rPr>
          <w:sz w:val="24"/>
          <w:szCs w:val="24"/>
          <w:vertAlign w:val="superscript"/>
        </w:rPr>
        <w:t>10</w:t>
      </w:r>
      <w:r w:rsidRPr="006A7000">
        <w:rPr>
          <w:sz w:val="24"/>
          <w:szCs w:val="24"/>
        </w:rPr>
        <w:t>, Malcolm W Bailey</w:t>
      </w:r>
      <w:r w:rsidRPr="006A7000">
        <w:rPr>
          <w:sz w:val="24"/>
          <w:szCs w:val="24"/>
          <w:vertAlign w:val="superscript"/>
        </w:rPr>
        <w:t>9</w:t>
      </w:r>
      <w:r w:rsidRPr="006A7000">
        <w:rPr>
          <w:sz w:val="24"/>
          <w:szCs w:val="24"/>
        </w:rPr>
        <w:t>, Bob Woodwards</w:t>
      </w:r>
      <w:r w:rsidRPr="006A7000">
        <w:rPr>
          <w:sz w:val="24"/>
          <w:szCs w:val="24"/>
          <w:vertAlign w:val="superscript"/>
        </w:rPr>
        <w:t>7</w:t>
      </w:r>
      <w:r w:rsidRPr="006A7000">
        <w:rPr>
          <w:sz w:val="24"/>
          <w:szCs w:val="24"/>
        </w:rPr>
        <w:t>, Manu Patel</w:t>
      </w:r>
      <w:r w:rsidRPr="006A7000">
        <w:rPr>
          <w:sz w:val="24"/>
          <w:szCs w:val="24"/>
          <w:vertAlign w:val="superscript"/>
        </w:rPr>
        <w:t>11</w:t>
      </w:r>
      <w:r w:rsidRPr="006A7000">
        <w:rPr>
          <w:sz w:val="24"/>
          <w:szCs w:val="24"/>
        </w:rPr>
        <w:t>, Joseph McManners</w:t>
      </w:r>
      <w:r w:rsidRPr="006A7000">
        <w:rPr>
          <w:sz w:val="24"/>
          <w:szCs w:val="24"/>
          <w:vertAlign w:val="superscript"/>
        </w:rPr>
        <w:t>12</w:t>
      </w:r>
      <w:r w:rsidRPr="006A7000">
        <w:rPr>
          <w:sz w:val="24"/>
          <w:szCs w:val="24"/>
        </w:rPr>
        <w:t>, Chi-Hwa Chan</w:t>
      </w:r>
      <w:r w:rsidRPr="006A7000">
        <w:rPr>
          <w:sz w:val="24"/>
          <w:szCs w:val="24"/>
          <w:vertAlign w:val="superscript"/>
        </w:rPr>
        <w:t>13</w:t>
      </w:r>
      <w:r w:rsidRPr="006A7000">
        <w:rPr>
          <w:sz w:val="24"/>
          <w:szCs w:val="24"/>
        </w:rPr>
        <w:t>, Andrew Burns</w:t>
      </w:r>
      <w:r w:rsidRPr="006A7000">
        <w:rPr>
          <w:sz w:val="24"/>
          <w:szCs w:val="24"/>
          <w:vertAlign w:val="superscript"/>
        </w:rPr>
        <w:t>14</w:t>
      </w:r>
      <w:r w:rsidRPr="006A7000">
        <w:rPr>
          <w:sz w:val="24"/>
          <w:szCs w:val="24"/>
        </w:rPr>
        <w:t>, Prav Praveen</w:t>
      </w:r>
      <w:r w:rsidRPr="006A7000">
        <w:rPr>
          <w:sz w:val="24"/>
          <w:szCs w:val="24"/>
          <w:vertAlign w:val="superscript"/>
        </w:rPr>
        <w:t>15</w:t>
      </w:r>
      <w:r w:rsidRPr="006A7000">
        <w:rPr>
          <w:sz w:val="24"/>
          <w:szCs w:val="24"/>
        </w:rPr>
        <w:t>, Andrew C Camilleri</w:t>
      </w:r>
      <w:r w:rsidRPr="006A7000">
        <w:rPr>
          <w:sz w:val="24"/>
          <w:szCs w:val="24"/>
          <w:vertAlign w:val="superscript"/>
        </w:rPr>
        <w:t>16</w:t>
      </w:r>
      <w:r w:rsidRPr="006A7000">
        <w:rPr>
          <w:sz w:val="24"/>
          <w:szCs w:val="24"/>
        </w:rPr>
        <w:t>, Chris Avery</w:t>
      </w:r>
      <w:r w:rsidRPr="006A7000">
        <w:rPr>
          <w:sz w:val="24"/>
          <w:szCs w:val="24"/>
          <w:vertAlign w:val="superscript"/>
        </w:rPr>
        <w:t>17</w:t>
      </w:r>
      <w:r w:rsidRPr="006A7000">
        <w:rPr>
          <w:sz w:val="24"/>
          <w:szCs w:val="24"/>
        </w:rPr>
        <w:t>, Graham Putnam</w:t>
      </w:r>
      <w:r w:rsidRPr="006A7000">
        <w:rPr>
          <w:sz w:val="24"/>
          <w:szCs w:val="24"/>
          <w:vertAlign w:val="superscript"/>
        </w:rPr>
        <w:t>18</w:t>
      </w:r>
      <w:r w:rsidRPr="006A7000">
        <w:rPr>
          <w:sz w:val="24"/>
          <w:szCs w:val="24"/>
        </w:rPr>
        <w:t>, Keith Jones</w:t>
      </w:r>
      <w:r w:rsidRPr="006A7000">
        <w:rPr>
          <w:sz w:val="24"/>
          <w:szCs w:val="24"/>
          <w:vertAlign w:val="superscript"/>
        </w:rPr>
        <w:t>19</w:t>
      </w:r>
      <w:r w:rsidRPr="006A7000">
        <w:rPr>
          <w:sz w:val="24"/>
          <w:szCs w:val="24"/>
        </w:rPr>
        <w:t>, Keith Webster</w:t>
      </w:r>
      <w:r w:rsidRPr="006A7000">
        <w:rPr>
          <w:sz w:val="24"/>
          <w:szCs w:val="24"/>
          <w:vertAlign w:val="superscript"/>
        </w:rPr>
        <w:t>15</w:t>
      </w:r>
      <w:r w:rsidRPr="006A7000">
        <w:rPr>
          <w:sz w:val="24"/>
          <w:szCs w:val="24"/>
        </w:rPr>
        <w:t>, William P Smith</w:t>
      </w:r>
      <w:r w:rsidRPr="006A7000">
        <w:rPr>
          <w:sz w:val="24"/>
          <w:szCs w:val="24"/>
          <w:vertAlign w:val="superscript"/>
        </w:rPr>
        <w:t>20</w:t>
      </w:r>
      <w:r w:rsidRPr="006A7000">
        <w:rPr>
          <w:sz w:val="24"/>
          <w:szCs w:val="24"/>
        </w:rPr>
        <w:t>, Colin Edge</w:t>
      </w:r>
      <w:r w:rsidRPr="006A7000">
        <w:rPr>
          <w:sz w:val="24"/>
          <w:szCs w:val="24"/>
          <w:vertAlign w:val="superscript"/>
        </w:rPr>
        <w:t>21</w:t>
      </w:r>
      <w:r w:rsidRPr="006A7000">
        <w:rPr>
          <w:sz w:val="24"/>
          <w:szCs w:val="24"/>
        </w:rPr>
        <w:t>, Iain McVicar</w:t>
      </w:r>
      <w:r w:rsidRPr="006A7000">
        <w:rPr>
          <w:sz w:val="24"/>
          <w:szCs w:val="24"/>
          <w:vertAlign w:val="superscript"/>
        </w:rPr>
        <w:t>22</w:t>
      </w:r>
      <w:r w:rsidRPr="006A7000">
        <w:rPr>
          <w:sz w:val="24"/>
          <w:szCs w:val="24"/>
        </w:rPr>
        <w:t>, Nick Grew</w:t>
      </w:r>
      <w:r w:rsidRPr="006A7000">
        <w:rPr>
          <w:sz w:val="24"/>
          <w:szCs w:val="24"/>
          <w:vertAlign w:val="superscript"/>
        </w:rPr>
        <w:t>23</w:t>
      </w:r>
      <w:r w:rsidRPr="006A7000">
        <w:rPr>
          <w:sz w:val="24"/>
          <w:szCs w:val="24"/>
        </w:rPr>
        <w:t>, Stuart Hislop</w:t>
      </w:r>
      <w:r w:rsidRPr="006A7000">
        <w:rPr>
          <w:sz w:val="24"/>
          <w:szCs w:val="24"/>
          <w:vertAlign w:val="superscript"/>
        </w:rPr>
        <w:t>24</w:t>
      </w:r>
      <w:r w:rsidRPr="006A7000">
        <w:rPr>
          <w:sz w:val="24"/>
          <w:szCs w:val="24"/>
        </w:rPr>
        <w:t>, Nicholas Kalavrezos</w:t>
      </w:r>
      <w:r w:rsidRPr="006A7000">
        <w:rPr>
          <w:sz w:val="24"/>
          <w:szCs w:val="24"/>
          <w:vertAlign w:val="superscript"/>
        </w:rPr>
        <w:t>25</w:t>
      </w:r>
      <w:r w:rsidRPr="006A7000">
        <w:rPr>
          <w:sz w:val="24"/>
          <w:szCs w:val="24"/>
        </w:rPr>
        <w:t>, Ian C Martin</w:t>
      </w:r>
      <w:r w:rsidRPr="006A7000">
        <w:rPr>
          <w:sz w:val="24"/>
          <w:szCs w:val="24"/>
          <w:vertAlign w:val="superscript"/>
        </w:rPr>
        <w:t>14</w:t>
      </w:r>
      <w:r w:rsidRPr="006A7000">
        <w:rPr>
          <w:sz w:val="24"/>
          <w:szCs w:val="24"/>
        </w:rPr>
        <w:t>, Allan Hackshaw</w:t>
      </w:r>
      <w:r w:rsidRPr="006A7000">
        <w:rPr>
          <w:sz w:val="24"/>
          <w:szCs w:val="24"/>
          <w:vertAlign w:val="superscript"/>
        </w:rPr>
        <w:t>26*</w:t>
      </w:r>
      <w:r w:rsidRPr="006A7000">
        <w:rPr>
          <w:sz w:val="24"/>
          <w:szCs w:val="24"/>
        </w:rPr>
        <w:t>.</w:t>
      </w:r>
    </w:p>
    <w:p w14:paraId="1F2B6EDA" w14:textId="77777777" w:rsidR="008B79B4" w:rsidRPr="006A7000" w:rsidRDefault="008B79B4" w:rsidP="008B79B4">
      <w:pPr>
        <w:pStyle w:val="ColorfulList-Accent21"/>
        <w:rPr>
          <w:sz w:val="18"/>
          <w:szCs w:val="18"/>
        </w:rPr>
      </w:pPr>
      <w:r w:rsidRPr="006A7000">
        <w:rPr>
          <w:sz w:val="18"/>
          <w:szCs w:val="18"/>
          <w:vertAlign w:val="superscript"/>
        </w:rPr>
        <w:t>1</w:t>
      </w:r>
      <w:r w:rsidRPr="006A7000">
        <w:rPr>
          <w:sz w:val="18"/>
          <w:szCs w:val="18"/>
        </w:rPr>
        <w:t xml:space="preserve"> Barts Health NHS Trust</w:t>
      </w:r>
    </w:p>
    <w:p w14:paraId="604850EC" w14:textId="77777777" w:rsidR="008B79B4" w:rsidRPr="006A7000" w:rsidRDefault="008B79B4" w:rsidP="008B79B4">
      <w:pPr>
        <w:pStyle w:val="ColorfulList-Accent21"/>
        <w:rPr>
          <w:sz w:val="18"/>
          <w:szCs w:val="18"/>
        </w:rPr>
      </w:pPr>
      <w:r w:rsidRPr="006A7000">
        <w:rPr>
          <w:sz w:val="18"/>
          <w:szCs w:val="18"/>
          <w:vertAlign w:val="superscript"/>
        </w:rPr>
        <w:t>2</w:t>
      </w:r>
      <w:r w:rsidRPr="006A7000">
        <w:rPr>
          <w:sz w:val="18"/>
          <w:szCs w:val="18"/>
        </w:rPr>
        <w:t xml:space="preserve"> Saving Faces – The Facial Surgery Research Foundation</w:t>
      </w:r>
    </w:p>
    <w:p w14:paraId="5155629F"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3</w:t>
      </w:r>
      <w:r w:rsidRPr="006A7000">
        <w:rPr>
          <w:sz w:val="18"/>
          <w:szCs w:val="18"/>
        </w:rPr>
        <w:t xml:space="preserve"> </w:t>
      </w:r>
      <w:r w:rsidRPr="006A7000">
        <w:rPr>
          <w:rFonts w:eastAsia="Times New Roman" w:cs="Arial"/>
          <w:sz w:val="18"/>
          <w:szCs w:val="18"/>
          <w:lang w:eastAsia="en-GB"/>
        </w:rPr>
        <w:t>Barking, Havering and Redbridge University Hospitals NHS Trust</w:t>
      </w:r>
    </w:p>
    <w:p w14:paraId="53B55563"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4</w:t>
      </w:r>
      <w:r w:rsidRPr="006A7000">
        <w:rPr>
          <w:sz w:val="18"/>
          <w:szCs w:val="18"/>
        </w:rPr>
        <w:t xml:space="preserve"> </w:t>
      </w:r>
      <w:r w:rsidRPr="006A7000">
        <w:rPr>
          <w:rFonts w:eastAsia="Times New Roman" w:cs="Arial"/>
          <w:sz w:val="18"/>
          <w:szCs w:val="18"/>
          <w:lang w:eastAsia="en-GB"/>
        </w:rPr>
        <w:t>Brighton and Sussex University Hospitals NHS Trust</w:t>
      </w:r>
    </w:p>
    <w:p w14:paraId="6E9998D2" w14:textId="77777777" w:rsidR="008B79B4" w:rsidRPr="006A7000" w:rsidRDefault="008B79B4" w:rsidP="008B79B4">
      <w:pPr>
        <w:pStyle w:val="ColorfulList-Accent21"/>
        <w:rPr>
          <w:sz w:val="18"/>
          <w:szCs w:val="18"/>
        </w:rPr>
      </w:pPr>
      <w:r w:rsidRPr="006A7000">
        <w:rPr>
          <w:rFonts w:eastAsia="Times New Roman" w:cs="Arial"/>
          <w:sz w:val="18"/>
          <w:szCs w:val="18"/>
          <w:vertAlign w:val="superscript"/>
          <w:lang w:eastAsia="en-GB"/>
        </w:rPr>
        <w:t>5</w:t>
      </w:r>
      <w:r w:rsidRPr="006A7000">
        <w:rPr>
          <w:rFonts w:eastAsia="Times New Roman" w:cs="Arial"/>
          <w:sz w:val="18"/>
          <w:szCs w:val="18"/>
          <w:lang w:eastAsia="en-GB"/>
        </w:rPr>
        <w:t xml:space="preserve"> </w:t>
      </w:r>
      <w:r w:rsidRPr="006A7000">
        <w:rPr>
          <w:sz w:val="18"/>
          <w:szCs w:val="18"/>
        </w:rPr>
        <w:t>Royal Free London NHS Foundation Trust</w:t>
      </w:r>
    </w:p>
    <w:p w14:paraId="158892AC"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6</w:t>
      </w:r>
      <w:r w:rsidRPr="006A7000">
        <w:rPr>
          <w:sz w:val="18"/>
          <w:szCs w:val="18"/>
        </w:rPr>
        <w:t xml:space="preserve"> </w:t>
      </w:r>
      <w:r w:rsidRPr="006A7000">
        <w:rPr>
          <w:rFonts w:eastAsia="Times New Roman" w:cs="Arial"/>
          <w:sz w:val="18"/>
          <w:szCs w:val="18"/>
          <w:lang w:eastAsia="en-GB"/>
        </w:rPr>
        <w:t>Portsmouth Hospitals NHS Trust</w:t>
      </w:r>
    </w:p>
    <w:p w14:paraId="336F96FE"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7</w:t>
      </w:r>
      <w:r w:rsidRPr="006A7000">
        <w:rPr>
          <w:sz w:val="18"/>
          <w:szCs w:val="18"/>
        </w:rPr>
        <w:t xml:space="preserve"> </w:t>
      </w:r>
      <w:r w:rsidRPr="006A7000">
        <w:rPr>
          <w:rFonts w:eastAsia="Times New Roman" w:cs="Arial"/>
          <w:sz w:val="18"/>
          <w:szCs w:val="18"/>
          <w:lang w:eastAsia="en-GB"/>
        </w:rPr>
        <w:t>The Pennine Acute Hospitals NHS Trust</w:t>
      </w:r>
    </w:p>
    <w:p w14:paraId="5B006530" w14:textId="77777777" w:rsidR="008B79B4" w:rsidRPr="006A7000" w:rsidRDefault="008B79B4" w:rsidP="008B79B4">
      <w:pPr>
        <w:pStyle w:val="ColorfulList-Accent21"/>
        <w:rPr>
          <w:sz w:val="18"/>
          <w:szCs w:val="18"/>
        </w:rPr>
      </w:pPr>
      <w:r w:rsidRPr="006A7000">
        <w:rPr>
          <w:rFonts w:eastAsia="Times New Roman" w:cs="Arial"/>
          <w:sz w:val="18"/>
          <w:szCs w:val="18"/>
          <w:vertAlign w:val="superscript"/>
          <w:lang w:eastAsia="en-GB"/>
        </w:rPr>
        <w:t>8</w:t>
      </w:r>
      <w:r w:rsidRPr="006A7000">
        <w:rPr>
          <w:rFonts w:eastAsia="Times New Roman" w:cs="Arial"/>
          <w:sz w:val="18"/>
          <w:szCs w:val="18"/>
          <w:lang w:eastAsia="en-GB"/>
        </w:rPr>
        <w:t xml:space="preserve"> </w:t>
      </w:r>
      <w:r w:rsidRPr="006A7000">
        <w:rPr>
          <w:sz w:val="18"/>
          <w:szCs w:val="18"/>
        </w:rPr>
        <w:t>Aintree University Hospital NHS Foundation Trust</w:t>
      </w:r>
    </w:p>
    <w:p w14:paraId="3936D740"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9</w:t>
      </w:r>
      <w:r w:rsidRPr="006A7000">
        <w:rPr>
          <w:sz w:val="18"/>
          <w:szCs w:val="18"/>
        </w:rPr>
        <w:t xml:space="preserve"> </w:t>
      </w:r>
      <w:r w:rsidRPr="006A7000">
        <w:rPr>
          <w:rFonts w:eastAsia="Times New Roman" w:cs="Arial"/>
          <w:sz w:val="18"/>
          <w:szCs w:val="18"/>
          <w:lang w:eastAsia="en-GB"/>
        </w:rPr>
        <w:t>Royal Surrey County Hospital NHS Foundation Trust</w:t>
      </w:r>
    </w:p>
    <w:p w14:paraId="07EC92E9"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10</w:t>
      </w:r>
      <w:r w:rsidRPr="006A7000">
        <w:rPr>
          <w:rFonts w:eastAsia="Times New Roman" w:cs="Arial"/>
          <w:sz w:val="18"/>
          <w:szCs w:val="18"/>
          <w:lang w:eastAsia="en-GB"/>
        </w:rPr>
        <w:t xml:space="preserve"> St George's University Hospitals NHS Foundation Trust</w:t>
      </w:r>
    </w:p>
    <w:p w14:paraId="19CCB443"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11</w:t>
      </w:r>
      <w:r w:rsidRPr="006A7000">
        <w:rPr>
          <w:rFonts w:eastAsia="Times New Roman" w:cs="Arial"/>
          <w:sz w:val="18"/>
          <w:szCs w:val="18"/>
          <w:lang w:eastAsia="en-GB"/>
        </w:rPr>
        <w:t xml:space="preserve"> University Hospital of South Manchester NHS Foundation Trust</w:t>
      </w:r>
    </w:p>
    <w:p w14:paraId="5D2C29FB" w14:textId="77777777" w:rsidR="008B79B4" w:rsidRPr="006A7000" w:rsidRDefault="008B79B4" w:rsidP="008B79B4">
      <w:pPr>
        <w:pStyle w:val="ColorfulList-Accent21"/>
        <w:rPr>
          <w:sz w:val="18"/>
          <w:szCs w:val="18"/>
        </w:rPr>
      </w:pPr>
      <w:r w:rsidRPr="006A7000">
        <w:rPr>
          <w:rFonts w:eastAsia="Times New Roman" w:cs="Arial"/>
          <w:sz w:val="18"/>
          <w:szCs w:val="18"/>
          <w:vertAlign w:val="superscript"/>
          <w:lang w:eastAsia="en-GB"/>
        </w:rPr>
        <w:t>12</w:t>
      </w:r>
      <w:r w:rsidRPr="006A7000">
        <w:rPr>
          <w:rFonts w:eastAsia="Times New Roman" w:cs="Arial"/>
          <w:sz w:val="18"/>
          <w:szCs w:val="18"/>
          <w:lang w:eastAsia="en-GB"/>
        </w:rPr>
        <w:t xml:space="preserve"> </w:t>
      </w:r>
      <w:r w:rsidRPr="006A7000">
        <w:rPr>
          <w:sz w:val="18"/>
          <w:szCs w:val="18"/>
        </w:rPr>
        <w:t>NHS Forth Valley</w:t>
      </w:r>
    </w:p>
    <w:p w14:paraId="02537281"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13</w:t>
      </w:r>
      <w:r w:rsidRPr="006A7000">
        <w:rPr>
          <w:sz w:val="18"/>
          <w:szCs w:val="18"/>
        </w:rPr>
        <w:t xml:space="preserve"> </w:t>
      </w:r>
      <w:r w:rsidRPr="006A7000">
        <w:rPr>
          <w:rFonts w:eastAsia="Times New Roman" w:cs="Arial"/>
          <w:sz w:val="18"/>
          <w:szCs w:val="18"/>
          <w:lang w:eastAsia="en-GB"/>
        </w:rPr>
        <w:t>Luton and Dunstable Hospital NHS Foundation Trust</w:t>
      </w:r>
    </w:p>
    <w:p w14:paraId="565C7D0D"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14</w:t>
      </w:r>
      <w:r w:rsidRPr="006A7000">
        <w:rPr>
          <w:rFonts w:eastAsia="Times New Roman" w:cs="Arial"/>
          <w:sz w:val="18"/>
          <w:szCs w:val="18"/>
          <w:lang w:eastAsia="en-GB"/>
        </w:rPr>
        <w:t xml:space="preserve"> City Hospitals Sunderland NHS Foundation Trust</w:t>
      </w:r>
    </w:p>
    <w:p w14:paraId="353652C9"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15</w:t>
      </w:r>
      <w:r w:rsidRPr="006A7000">
        <w:rPr>
          <w:rFonts w:eastAsia="Times New Roman" w:cs="Arial"/>
          <w:sz w:val="18"/>
          <w:szCs w:val="18"/>
          <w:lang w:eastAsia="en-GB"/>
        </w:rPr>
        <w:t xml:space="preserve"> University Hospitals Birmingham NHS Foundation Trust</w:t>
      </w:r>
    </w:p>
    <w:p w14:paraId="0012CB8E"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16</w:t>
      </w:r>
      <w:r w:rsidRPr="006A7000">
        <w:rPr>
          <w:rFonts w:eastAsia="Times New Roman" w:cs="Arial"/>
          <w:sz w:val="18"/>
          <w:szCs w:val="18"/>
          <w:lang w:eastAsia="en-GB"/>
        </w:rPr>
        <w:t xml:space="preserve"> East and North Hertfordshire NHS Trust</w:t>
      </w:r>
    </w:p>
    <w:p w14:paraId="6C17B497"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17</w:t>
      </w:r>
      <w:r w:rsidRPr="006A7000">
        <w:rPr>
          <w:rFonts w:eastAsia="Times New Roman" w:cs="Arial"/>
          <w:sz w:val="18"/>
          <w:szCs w:val="18"/>
          <w:lang w:eastAsia="en-GB"/>
        </w:rPr>
        <w:t xml:space="preserve"> University Hospitals of Leicester NHS Trust</w:t>
      </w:r>
    </w:p>
    <w:p w14:paraId="6477F2ED"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18</w:t>
      </w:r>
      <w:r w:rsidRPr="006A7000">
        <w:rPr>
          <w:rFonts w:eastAsia="Times New Roman" w:cs="Arial"/>
          <w:sz w:val="18"/>
          <w:szCs w:val="18"/>
          <w:lang w:eastAsia="en-GB"/>
        </w:rPr>
        <w:t xml:space="preserve"> North Cumbria University Hospitals NHS Trust</w:t>
      </w:r>
    </w:p>
    <w:p w14:paraId="68AF4F21"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19</w:t>
      </w:r>
      <w:r w:rsidRPr="006A7000">
        <w:rPr>
          <w:rFonts w:eastAsia="Times New Roman" w:cs="Arial"/>
          <w:sz w:val="18"/>
          <w:szCs w:val="18"/>
          <w:lang w:eastAsia="en-GB"/>
        </w:rPr>
        <w:t xml:space="preserve"> Derby Teaching Hospitals NHS Foundation Trust</w:t>
      </w:r>
    </w:p>
    <w:p w14:paraId="287B8772"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20</w:t>
      </w:r>
      <w:r w:rsidRPr="006A7000">
        <w:rPr>
          <w:rFonts w:eastAsia="Times New Roman" w:cs="Arial"/>
          <w:sz w:val="18"/>
          <w:szCs w:val="18"/>
          <w:lang w:eastAsia="en-GB"/>
        </w:rPr>
        <w:t xml:space="preserve"> Northampton General Hospital NHS Trust</w:t>
      </w:r>
    </w:p>
    <w:p w14:paraId="2607EDD1"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21</w:t>
      </w:r>
      <w:r w:rsidRPr="006A7000">
        <w:rPr>
          <w:rFonts w:eastAsia="Times New Roman" w:cs="Arial"/>
          <w:sz w:val="18"/>
          <w:szCs w:val="18"/>
          <w:lang w:eastAsia="en-GB"/>
        </w:rPr>
        <w:t xml:space="preserve"> South Tees Hospitals NHS Foundation Trust</w:t>
      </w:r>
    </w:p>
    <w:p w14:paraId="193B36C2"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22</w:t>
      </w:r>
      <w:r w:rsidRPr="006A7000">
        <w:rPr>
          <w:rFonts w:eastAsia="Times New Roman" w:cs="Arial"/>
          <w:sz w:val="18"/>
          <w:szCs w:val="18"/>
          <w:lang w:eastAsia="en-GB"/>
        </w:rPr>
        <w:t xml:space="preserve"> Nottingham University Hospitals NHS Trust</w:t>
      </w:r>
    </w:p>
    <w:p w14:paraId="0FB05D10"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23</w:t>
      </w:r>
      <w:r w:rsidRPr="006A7000">
        <w:rPr>
          <w:rFonts w:eastAsia="Times New Roman" w:cs="Arial"/>
          <w:sz w:val="18"/>
          <w:szCs w:val="18"/>
          <w:lang w:eastAsia="en-GB"/>
        </w:rPr>
        <w:t xml:space="preserve"> The Royal Wolverhampton NHS Trust</w:t>
      </w:r>
    </w:p>
    <w:p w14:paraId="7BEEE535" w14:textId="77777777" w:rsidR="008B79B4" w:rsidRPr="006A7000" w:rsidRDefault="008B79B4" w:rsidP="008B79B4">
      <w:pPr>
        <w:pStyle w:val="ColorfulList-Accent21"/>
        <w:tabs>
          <w:tab w:val="left" w:pos="2370"/>
        </w:tabs>
        <w:rPr>
          <w:sz w:val="18"/>
          <w:szCs w:val="18"/>
        </w:rPr>
      </w:pPr>
      <w:r w:rsidRPr="006A7000">
        <w:rPr>
          <w:rFonts w:eastAsia="Times New Roman" w:cs="Arial"/>
          <w:sz w:val="18"/>
          <w:szCs w:val="18"/>
          <w:vertAlign w:val="superscript"/>
          <w:lang w:eastAsia="en-GB"/>
        </w:rPr>
        <w:t>24</w:t>
      </w:r>
      <w:r w:rsidRPr="006A7000">
        <w:rPr>
          <w:rFonts w:eastAsia="Times New Roman" w:cs="Arial"/>
          <w:sz w:val="18"/>
          <w:szCs w:val="18"/>
          <w:lang w:eastAsia="en-GB"/>
        </w:rPr>
        <w:t xml:space="preserve"> </w:t>
      </w:r>
      <w:r w:rsidRPr="006A7000">
        <w:rPr>
          <w:sz w:val="18"/>
          <w:szCs w:val="18"/>
        </w:rPr>
        <w:t>NHS Ayrshire &amp; Arran</w:t>
      </w:r>
    </w:p>
    <w:p w14:paraId="16DC1D84" w14:textId="77777777" w:rsidR="008B79B4" w:rsidRPr="006A7000" w:rsidRDefault="008B79B4" w:rsidP="008B79B4">
      <w:pPr>
        <w:pStyle w:val="ColorfulList-Accent21"/>
        <w:rPr>
          <w:rFonts w:eastAsia="Times New Roman" w:cs="Arial"/>
          <w:sz w:val="18"/>
          <w:szCs w:val="18"/>
          <w:lang w:eastAsia="en-GB"/>
        </w:rPr>
      </w:pPr>
      <w:r w:rsidRPr="006A7000">
        <w:rPr>
          <w:sz w:val="18"/>
          <w:szCs w:val="18"/>
          <w:vertAlign w:val="superscript"/>
        </w:rPr>
        <w:t>25</w:t>
      </w:r>
      <w:r w:rsidRPr="006A7000">
        <w:rPr>
          <w:sz w:val="18"/>
          <w:szCs w:val="18"/>
        </w:rPr>
        <w:t xml:space="preserve"> </w:t>
      </w:r>
      <w:r w:rsidRPr="006A7000">
        <w:rPr>
          <w:rFonts w:eastAsia="Times New Roman" w:cs="Arial"/>
          <w:sz w:val="18"/>
          <w:szCs w:val="18"/>
          <w:lang w:eastAsia="en-GB"/>
        </w:rPr>
        <w:t>University College London Hospitals NHS Foundation Trust</w:t>
      </w:r>
    </w:p>
    <w:p w14:paraId="1564FCCA" w14:textId="77777777" w:rsidR="008B79B4" w:rsidRPr="006A7000" w:rsidRDefault="008B79B4" w:rsidP="008B79B4">
      <w:pPr>
        <w:pStyle w:val="ColorfulList-Accent21"/>
        <w:rPr>
          <w:rFonts w:eastAsia="Times New Roman" w:cs="Arial"/>
          <w:sz w:val="18"/>
          <w:szCs w:val="18"/>
          <w:lang w:eastAsia="en-GB"/>
        </w:rPr>
      </w:pPr>
      <w:r w:rsidRPr="006A7000">
        <w:rPr>
          <w:rFonts w:eastAsia="Times New Roman" w:cs="Arial"/>
          <w:sz w:val="18"/>
          <w:szCs w:val="18"/>
          <w:vertAlign w:val="superscript"/>
          <w:lang w:eastAsia="en-GB"/>
        </w:rPr>
        <w:t>26</w:t>
      </w:r>
      <w:r w:rsidRPr="006A7000">
        <w:rPr>
          <w:rFonts w:eastAsia="Times New Roman" w:cs="Arial"/>
          <w:sz w:val="18"/>
          <w:szCs w:val="18"/>
          <w:lang w:eastAsia="en-GB"/>
        </w:rPr>
        <w:t xml:space="preserve"> University College London, Cancer Research UK &amp; UCL Cancer Trials Centre</w:t>
      </w:r>
    </w:p>
    <w:p w14:paraId="51F0E8CD" w14:textId="221FD42B" w:rsidR="008B79B4" w:rsidRPr="006A7000" w:rsidRDefault="008B79B4" w:rsidP="00741078">
      <w:pPr>
        <w:pStyle w:val="ColorfulList-Accent21"/>
        <w:rPr>
          <w:sz w:val="24"/>
          <w:szCs w:val="24"/>
        </w:rPr>
      </w:pPr>
    </w:p>
    <w:p w14:paraId="3A1B4B57" w14:textId="7165F329" w:rsidR="008B79B4" w:rsidRPr="006A7000" w:rsidRDefault="008B79B4" w:rsidP="00741078">
      <w:pPr>
        <w:pStyle w:val="ColorfulList-Accent21"/>
        <w:rPr>
          <w:sz w:val="24"/>
          <w:szCs w:val="24"/>
        </w:rPr>
      </w:pPr>
      <w:r w:rsidRPr="006A7000">
        <w:rPr>
          <w:sz w:val="24"/>
          <w:szCs w:val="24"/>
        </w:rPr>
        <w:t>*These authors contributed equally to this work.</w:t>
      </w:r>
    </w:p>
    <w:p w14:paraId="7DE84C37" w14:textId="77777777" w:rsidR="008B79B4" w:rsidRPr="006A7000" w:rsidRDefault="008B79B4" w:rsidP="00741078">
      <w:pPr>
        <w:pStyle w:val="ColorfulList-Accent21"/>
        <w:rPr>
          <w:sz w:val="24"/>
          <w:szCs w:val="24"/>
        </w:rPr>
      </w:pPr>
    </w:p>
    <w:p w14:paraId="5E24DE38" w14:textId="1AC5F493" w:rsidR="00095F79" w:rsidRPr="006A7000" w:rsidRDefault="002B1D12" w:rsidP="00095F79">
      <w:pPr>
        <w:pStyle w:val="ColorfulList-Accent21"/>
        <w:rPr>
          <w:b/>
          <w:sz w:val="24"/>
          <w:szCs w:val="24"/>
        </w:rPr>
      </w:pPr>
      <w:r w:rsidRPr="006A7000">
        <w:rPr>
          <w:b/>
          <w:sz w:val="24"/>
          <w:szCs w:val="24"/>
        </w:rPr>
        <w:t>Clinical Trial Registration</w:t>
      </w:r>
    </w:p>
    <w:p w14:paraId="7849E972" w14:textId="3B97A258" w:rsidR="00921C0A" w:rsidRPr="006A7000" w:rsidRDefault="00921C0A" w:rsidP="00921C0A">
      <w:pPr>
        <w:pStyle w:val="ColorfulList-Accent21"/>
        <w:rPr>
          <w:sz w:val="24"/>
          <w:szCs w:val="24"/>
        </w:rPr>
      </w:pPr>
      <w:r w:rsidRPr="006A7000">
        <w:rPr>
          <w:sz w:val="24"/>
          <w:szCs w:val="24"/>
        </w:rPr>
        <w:t>NIHR UK Clinical Research Network database ID number: UKCRN 2069 (registered on 17</w:t>
      </w:r>
      <w:r w:rsidR="008A67CC" w:rsidRPr="006A7000">
        <w:rPr>
          <w:sz w:val="24"/>
          <w:szCs w:val="24"/>
        </w:rPr>
        <w:t>/02/</w:t>
      </w:r>
      <w:r w:rsidRPr="006A7000">
        <w:rPr>
          <w:sz w:val="24"/>
          <w:szCs w:val="24"/>
        </w:rPr>
        <w:t>2006)</w:t>
      </w:r>
    </w:p>
    <w:p w14:paraId="78FB852B" w14:textId="7AB6ED5D" w:rsidR="00CC5848" w:rsidRPr="006A7000" w:rsidRDefault="00CC5848" w:rsidP="00CC5848">
      <w:pPr>
        <w:pStyle w:val="ColorfulList-Accent21"/>
        <w:rPr>
          <w:sz w:val="24"/>
          <w:szCs w:val="24"/>
        </w:rPr>
      </w:pPr>
      <w:r w:rsidRPr="006A7000">
        <w:rPr>
          <w:sz w:val="24"/>
          <w:szCs w:val="24"/>
        </w:rPr>
        <w:t>ISCRTN number: 65018995</w:t>
      </w:r>
      <w:r w:rsidR="00C52712" w:rsidRPr="006A7000">
        <w:rPr>
          <w:sz w:val="24"/>
          <w:szCs w:val="24"/>
        </w:rPr>
        <w:t xml:space="preserve"> </w:t>
      </w:r>
    </w:p>
    <w:p w14:paraId="6430BF13" w14:textId="77777777" w:rsidR="00CC5848" w:rsidRPr="006A7000" w:rsidRDefault="00CC5848" w:rsidP="00CC5848">
      <w:pPr>
        <w:pStyle w:val="ColorfulList-Accent21"/>
        <w:rPr>
          <w:sz w:val="24"/>
          <w:szCs w:val="24"/>
        </w:rPr>
      </w:pPr>
      <w:r w:rsidRPr="006A7000">
        <w:rPr>
          <w:sz w:val="24"/>
          <w:szCs w:val="24"/>
        </w:rPr>
        <w:t>ClinicalTrials.gov Identifier: NCT00571883</w:t>
      </w:r>
    </w:p>
    <w:p w14:paraId="265364F5" w14:textId="77777777" w:rsidR="00CC5848" w:rsidRPr="006A7000" w:rsidRDefault="00CC5848" w:rsidP="00095F79">
      <w:pPr>
        <w:pStyle w:val="ColorfulList-Accent21"/>
        <w:rPr>
          <w:sz w:val="24"/>
          <w:szCs w:val="24"/>
        </w:rPr>
      </w:pPr>
    </w:p>
    <w:p w14:paraId="476DFA70" w14:textId="77777777" w:rsidR="00741078" w:rsidRPr="006A7000" w:rsidRDefault="00741078" w:rsidP="00095F79">
      <w:pPr>
        <w:pStyle w:val="ColorfulList-Accent21"/>
        <w:rPr>
          <w:sz w:val="24"/>
          <w:szCs w:val="24"/>
        </w:rPr>
      </w:pPr>
      <w:r w:rsidRPr="006A7000">
        <w:rPr>
          <w:sz w:val="24"/>
          <w:szCs w:val="24"/>
        </w:rPr>
        <w:t xml:space="preserve">Sponsor: </w:t>
      </w:r>
      <w:r w:rsidR="00CD4D65" w:rsidRPr="006A7000">
        <w:rPr>
          <w:sz w:val="24"/>
          <w:szCs w:val="24"/>
        </w:rPr>
        <w:t>Queen Mary, University of London</w:t>
      </w:r>
    </w:p>
    <w:p w14:paraId="612D8156" w14:textId="77777777" w:rsidR="00A75DED" w:rsidRPr="006A7000" w:rsidRDefault="00741078" w:rsidP="00741078">
      <w:pPr>
        <w:pStyle w:val="ColorfulList-Accent21"/>
        <w:rPr>
          <w:sz w:val="24"/>
          <w:szCs w:val="24"/>
        </w:rPr>
      </w:pPr>
      <w:r w:rsidRPr="006A7000">
        <w:rPr>
          <w:sz w:val="24"/>
          <w:szCs w:val="24"/>
        </w:rPr>
        <w:t>Clinical trials unit: Saving Faces</w:t>
      </w:r>
      <w:r w:rsidR="00001BF6" w:rsidRPr="006A7000">
        <w:rPr>
          <w:sz w:val="24"/>
          <w:szCs w:val="24"/>
        </w:rPr>
        <w:t xml:space="preserve"> – </w:t>
      </w:r>
      <w:r w:rsidR="00CD4D65" w:rsidRPr="006A7000">
        <w:rPr>
          <w:sz w:val="24"/>
          <w:szCs w:val="24"/>
        </w:rPr>
        <w:t xml:space="preserve">The Facial Surgery </w:t>
      </w:r>
      <w:r w:rsidR="001B24EF" w:rsidRPr="006A7000">
        <w:rPr>
          <w:sz w:val="24"/>
          <w:szCs w:val="24"/>
        </w:rPr>
        <w:t xml:space="preserve">Research </w:t>
      </w:r>
      <w:r w:rsidR="00CD4D65" w:rsidRPr="006A7000">
        <w:rPr>
          <w:sz w:val="24"/>
          <w:szCs w:val="24"/>
        </w:rPr>
        <w:t>Foundation</w:t>
      </w:r>
    </w:p>
    <w:p w14:paraId="52588CE9" w14:textId="77777777" w:rsidR="0014047E" w:rsidRPr="006A7000" w:rsidRDefault="0014047E" w:rsidP="00741078">
      <w:pPr>
        <w:pStyle w:val="ColorfulList-Accent21"/>
        <w:rPr>
          <w:sz w:val="16"/>
          <w:szCs w:val="16"/>
        </w:rPr>
      </w:pPr>
    </w:p>
    <w:p w14:paraId="2A229E16" w14:textId="029CC4A4" w:rsidR="00A75DED" w:rsidRPr="006A7000" w:rsidRDefault="00A75DED" w:rsidP="00741078">
      <w:pPr>
        <w:pStyle w:val="ColorfulList-Accent21"/>
        <w:rPr>
          <w:b/>
          <w:sz w:val="24"/>
          <w:szCs w:val="24"/>
        </w:rPr>
      </w:pPr>
      <w:r w:rsidRPr="006A7000">
        <w:rPr>
          <w:b/>
          <w:sz w:val="24"/>
          <w:szCs w:val="24"/>
        </w:rPr>
        <w:t xml:space="preserve">Contact details for </w:t>
      </w:r>
      <w:r w:rsidR="00FC040A" w:rsidRPr="006A7000">
        <w:rPr>
          <w:b/>
          <w:sz w:val="24"/>
          <w:szCs w:val="24"/>
        </w:rPr>
        <w:t>corresponding author</w:t>
      </w:r>
      <w:r w:rsidRPr="006A7000">
        <w:rPr>
          <w:b/>
          <w:sz w:val="24"/>
          <w:szCs w:val="24"/>
        </w:rPr>
        <w:t>:</w:t>
      </w:r>
    </w:p>
    <w:p w14:paraId="0D178ADC" w14:textId="77777777" w:rsidR="00A75DED" w:rsidRPr="006A7000" w:rsidRDefault="00A75DED" w:rsidP="00741078">
      <w:pPr>
        <w:pStyle w:val="ColorfulList-Accent21"/>
        <w:rPr>
          <w:sz w:val="24"/>
          <w:szCs w:val="24"/>
        </w:rPr>
      </w:pPr>
      <w:r w:rsidRPr="006A7000">
        <w:rPr>
          <w:sz w:val="24"/>
          <w:szCs w:val="24"/>
        </w:rPr>
        <w:t xml:space="preserve">Professor Iain Hutchison - </w:t>
      </w:r>
      <w:hyperlink r:id="rId8" w:history="1">
        <w:r w:rsidRPr="006A7000">
          <w:rPr>
            <w:rStyle w:val="Hyperlink"/>
            <w:color w:val="auto"/>
            <w:sz w:val="24"/>
            <w:szCs w:val="24"/>
          </w:rPr>
          <w:t>hutch.london@googlemail.com</w:t>
        </w:r>
      </w:hyperlink>
    </w:p>
    <w:p w14:paraId="0E904C21" w14:textId="72C0B8A5" w:rsidR="007C4D0B" w:rsidRPr="006A7000" w:rsidRDefault="00A75DED" w:rsidP="00B63A44">
      <w:pPr>
        <w:pStyle w:val="ColorfulList-Accent21"/>
        <w:rPr>
          <w:sz w:val="24"/>
          <w:szCs w:val="24"/>
        </w:rPr>
      </w:pPr>
      <w:r w:rsidRPr="006A7000">
        <w:rPr>
          <w:sz w:val="24"/>
          <w:szCs w:val="24"/>
        </w:rPr>
        <w:t xml:space="preserve">Saving Faces – The Facial Surgery Research Foundation, </w:t>
      </w:r>
      <w:r w:rsidR="007F5EA0" w:rsidRPr="006A7000">
        <w:rPr>
          <w:sz w:val="24"/>
          <w:szCs w:val="24"/>
        </w:rPr>
        <w:t>1st Floor Grove Building</w:t>
      </w:r>
      <w:r w:rsidRPr="006A7000">
        <w:rPr>
          <w:sz w:val="24"/>
          <w:szCs w:val="24"/>
        </w:rPr>
        <w:t>, Mile End Hospital, London, E1 4DG.</w:t>
      </w:r>
      <w:r w:rsidR="00F172DE" w:rsidRPr="006A7000">
        <w:rPr>
          <w:sz w:val="24"/>
          <w:szCs w:val="24"/>
        </w:rPr>
        <w:t xml:space="preserve"> </w:t>
      </w:r>
      <w:r w:rsidR="00ED6371" w:rsidRPr="006A7000">
        <w:rPr>
          <w:sz w:val="24"/>
          <w:szCs w:val="24"/>
        </w:rPr>
        <w:t>Tel: 020 8223 8049</w:t>
      </w:r>
      <w:r w:rsidR="00F172DE" w:rsidRPr="006A7000">
        <w:rPr>
          <w:sz w:val="24"/>
          <w:szCs w:val="24"/>
        </w:rPr>
        <w:t xml:space="preserve">. </w:t>
      </w:r>
      <w:r w:rsidR="00ED6371" w:rsidRPr="006A7000">
        <w:rPr>
          <w:sz w:val="24"/>
          <w:szCs w:val="24"/>
        </w:rPr>
        <w:t>Fax: 020 8223 8907</w:t>
      </w:r>
      <w:r w:rsidR="00741078" w:rsidRPr="006A7000">
        <w:rPr>
          <w:sz w:val="24"/>
          <w:szCs w:val="24"/>
        </w:rPr>
        <w:br w:type="page"/>
      </w:r>
    </w:p>
    <w:p w14:paraId="50C53ACB" w14:textId="269433B5" w:rsidR="00E55D23" w:rsidRPr="006A7000" w:rsidRDefault="00ED6371" w:rsidP="00B95772">
      <w:pPr>
        <w:spacing w:line="480" w:lineRule="auto"/>
        <w:rPr>
          <w:b/>
          <w:sz w:val="24"/>
          <w:szCs w:val="24"/>
        </w:rPr>
      </w:pPr>
      <w:r w:rsidRPr="006A7000">
        <w:rPr>
          <w:b/>
          <w:sz w:val="24"/>
          <w:szCs w:val="24"/>
        </w:rPr>
        <w:lastRenderedPageBreak/>
        <w:t>Abstract</w:t>
      </w:r>
    </w:p>
    <w:p w14:paraId="72248356" w14:textId="58718CF2" w:rsidR="00F1440A" w:rsidRPr="006A7000" w:rsidRDefault="00F1440A" w:rsidP="00B95772">
      <w:pPr>
        <w:spacing w:line="480" w:lineRule="auto"/>
        <w:rPr>
          <w:sz w:val="24"/>
          <w:szCs w:val="24"/>
        </w:rPr>
      </w:pPr>
      <w:r w:rsidRPr="006A7000">
        <w:rPr>
          <w:b/>
          <w:sz w:val="24"/>
          <w:szCs w:val="24"/>
        </w:rPr>
        <w:t>Background</w:t>
      </w:r>
      <w:r w:rsidRPr="006A7000">
        <w:rPr>
          <w:sz w:val="24"/>
          <w:szCs w:val="24"/>
        </w:rPr>
        <w:t xml:space="preserve">: Guidelines remain unclear over whether patients with early stage oral </w:t>
      </w:r>
      <w:r w:rsidR="00B133B7" w:rsidRPr="006A7000">
        <w:rPr>
          <w:sz w:val="24"/>
          <w:szCs w:val="24"/>
        </w:rPr>
        <w:t>cancer</w:t>
      </w:r>
      <w:r w:rsidRPr="006A7000">
        <w:rPr>
          <w:sz w:val="24"/>
          <w:szCs w:val="24"/>
        </w:rPr>
        <w:t xml:space="preserve"> without overt neck disease benefit from upfront </w:t>
      </w:r>
      <w:r w:rsidRPr="006A7000">
        <w:rPr>
          <w:rFonts w:cs="Arial"/>
          <w:sz w:val="24"/>
          <w:szCs w:val="24"/>
        </w:rPr>
        <w:t xml:space="preserve">elective neck dissection (END), particularly those with </w:t>
      </w:r>
      <w:r w:rsidR="0009232F" w:rsidRPr="006A7000">
        <w:rPr>
          <w:rFonts w:cs="Arial"/>
          <w:sz w:val="24"/>
          <w:szCs w:val="24"/>
        </w:rPr>
        <w:t xml:space="preserve">the </w:t>
      </w:r>
      <w:r w:rsidRPr="006A7000">
        <w:rPr>
          <w:rFonts w:cs="Arial"/>
          <w:sz w:val="24"/>
          <w:szCs w:val="24"/>
        </w:rPr>
        <w:t>small</w:t>
      </w:r>
      <w:r w:rsidR="0009232F" w:rsidRPr="006A7000">
        <w:rPr>
          <w:rFonts w:cs="Arial"/>
          <w:sz w:val="24"/>
          <w:szCs w:val="24"/>
        </w:rPr>
        <w:t>est</w:t>
      </w:r>
      <w:r w:rsidRPr="006A7000">
        <w:rPr>
          <w:rFonts w:cs="Arial"/>
          <w:sz w:val="24"/>
          <w:szCs w:val="24"/>
        </w:rPr>
        <w:t xml:space="preserve"> tumours.</w:t>
      </w:r>
    </w:p>
    <w:p w14:paraId="7DCF695B" w14:textId="26E262A1" w:rsidR="00F1440A" w:rsidRPr="006A7000" w:rsidRDefault="00F1440A" w:rsidP="00B95772">
      <w:pPr>
        <w:spacing w:line="480" w:lineRule="auto"/>
        <w:rPr>
          <w:sz w:val="24"/>
          <w:szCs w:val="24"/>
        </w:rPr>
      </w:pPr>
      <w:r w:rsidRPr="006A7000">
        <w:rPr>
          <w:b/>
          <w:sz w:val="24"/>
          <w:szCs w:val="24"/>
        </w:rPr>
        <w:t>Methods</w:t>
      </w:r>
      <w:r w:rsidRPr="006A7000">
        <w:rPr>
          <w:sz w:val="24"/>
          <w:szCs w:val="24"/>
        </w:rPr>
        <w:t>: We conducted a randomised trial of patients with stage T1/T2 N0 disease, who had their mouth tumour resected either with or without END. Data were also collected from a concurrent cohort of patients who had their preferred surgery. Endpoints</w:t>
      </w:r>
      <w:r w:rsidR="00F07CC0" w:rsidRPr="006A7000">
        <w:rPr>
          <w:sz w:val="24"/>
          <w:szCs w:val="24"/>
        </w:rPr>
        <w:t xml:space="preserve"> included</w:t>
      </w:r>
      <w:r w:rsidRPr="006A7000">
        <w:rPr>
          <w:sz w:val="24"/>
          <w:szCs w:val="24"/>
        </w:rPr>
        <w:t xml:space="preserve"> overall survival (O</w:t>
      </w:r>
      <w:r w:rsidR="00F07CC0" w:rsidRPr="006A7000">
        <w:rPr>
          <w:sz w:val="24"/>
          <w:szCs w:val="24"/>
        </w:rPr>
        <w:t>S) and disease-free survival (DFS)</w:t>
      </w:r>
      <w:r w:rsidRPr="006A7000">
        <w:rPr>
          <w:sz w:val="24"/>
          <w:szCs w:val="24"/>
        </w:rPr>
        <w:t xml:space="preserve">. We conducted a </w:t>
      </w:r>
      <w:r w:rsidR="00234555" w:rsidRPr="006A7000">
        <w:rPr>
          <w:sz w:val="24"/>
          <w:szCs w:val="24"/>
        </w:rPr>
        <w:t>meta-analysis</w:t>
      </w:r>
      <w:r w:rsidRPr="006A7000">
        <w:rPr>
          <w:sz w:val="24"/>
          <w:szCs w:val="24"/>
        </w:rPr>
        <w:t xml:space="preserve"> of all six randomised </w:t>
      </w:r>
      <w:r w:rsidR="00234555" w:rsidRPr="006A7000">
        <w:rPr>
          <w:sz w:val="24"/>
          <w:szCs w:val="24"/>
        </w:rPr>
        <w:t>trials</w:t>
      </w:r>
      <w:r w:rsidRPr="006A7000">
        <w:rPr>
          <w:sz w:val="24"/>
          <w:szCs w:val="24"/>
        </w:rPr>
        <w:t>.</w:t>
      </w:r>
    </w:p>
    <w:p w14:paraId="1909D6A6" w14:textId="2F1119B9" w:rsidR="00F1440A" w:rsidRPr="006A7000" w:rsidRDefault="00F1440A" w:rsidP="00B95772">
      <w:pPr>
        <w:spacing w:line="480" w:lineRule="auto"/>
        <w:rPr>
          <w:sz w:val="24"/>
          <w:szCs w:val="24"/>
        </w:rPr>
      </w:pPr>
      <w:r w:rsidRPr="006A7000">
        <w:rPr>
          <w:b/>
          <w:sz w:val="24"/>
          <w:szCs w:val="24"/>
        </w:rPr>
        <w:t>Results</w:t>
      </w:r>
      <w:r w:rsidRPr="006A7000">
        <w:rPr>
          <w:sz w:val="24"/>
          <w:szCs w:val="24"/>
        </w:rPr>
        <w:t xml:space="preserve">: 250 </w:t>
      </w:r>
      <w:r w:rsidR="00C52712" w:rsidRPr="006A7000">
        <w:rPr>
          <w:sz w:val="24"/>
          <w:szCs w:val="24"/>
        </w:rPr>
        <w:t xml:space="preserve">randomised </w:t>
      </w:r>
      <w:r w:rsidRPr="006A7000">
        <w:rPr>
          <w:sz w:val="24"/>
          <w:szCs w:val="24"/>
        </w:rPr>
        <w:t xml:space="preserve">and 346 observational cohort </w:t>
      </w:r>
      <w:r w:rsidR="00C52712" w:rsidRPr="006A7000">
        <w:rPr>
          <w:sz w:val="24"/>
          <w:szCs w:val="24"/>
        </w:rPr>
        <w:t xml:space="preserve">patients </w:t>
      </w:r>
      <w:r w:rsidR="00A919D9" w:rsidRPr="006A7000">
        <w:rPr>
          <w:sz w:val="24"/>
          <w:szCs w:val="24"/>
        </w:rPr>
        <w:t xml:space="preserve">were studied </w:t>
      </w:r>
      <w:r w:rsidRPr="006A7000">
        <w:rPr>
          <w:sz w:val="24"/>
          <w:szCs w:val="24"/>
        </w:rPr>
        <w:t xml:space="preserve">(27 hospitals). </w:t>
      </w:r>
      <w:r w:rsidR="00A919D9" w:rsidRPr="006A7000">
        <w:rPr>
          <w:sz w:val="24"/>
          <w:szCs w:val="24"/>
        </w:rPr>
        <w:t>Occult n</w:t>
      </w:r>
      <w:r w:rsidRPr="006A7000">
        <w:rPr>
          <w:sz w:val="24"/>
          <w:szCs w:val="24"/>
        </w:rPr>
        <w:t xml:space="preserve">eck disease was found in 19.1% </w:t>
      </w:r>
      <w:r w:rsidR="00A919D9" w:rsidRPr="006A7000">
        <w:rPr>
          <w:sz w:val="24"/>
          <w:szCs w:val="24"/>
        </w:rPr>
        <w:t xml:space="preserve">(T1) </w:t>
      </w:r>
      <w:r w:rsidRPr="006A7000">
        <w:rPr>
          <w:sz w:val="24"/>
          <w:szCs w:val="24"/>
        </w:rPr>
        <w:t xml:space="preserve">and 34.7% </w:t>
      </w:r>
      <w:r w:rsidR="00A919D9" w:rsidRPr="006A7000">
        <w:rPr>
          <w:sz w:val="24"/>
          <w:szCs w:val="24"/>
        </w:rPr>
        <w:t>(T2)</w:t>
      </w:r>
      <w:r w:rsidRPr="006A7000">
        <w:rPr>
          <w:sz w:val="24"/>
          <w:szCs w:val="24"/>
        </w:rPr>
        <w:t xml:space="preserve"> patients </w:t>
      </w:r>
      <w:r w:rsidR="00A919D9" w:rsidRPr="006A7000">
        <w:rPr>
          <w:sz w:val="24"/>
          <w:szCs w:val="24"/>
        </w:rPr>
        <w:t>respectively</w:t>
      </w:r>
      <w:r w:rsidRPr="006A7000">
        <w:rPr>
          <w:sz w:val="24"/>
          <w:szCs w:val="24"/>
        </w:rPr>
        <w:t>. Five-year intention-to-treat hazard ratios (HR) were: OS HR=0.71 (p=0.18), and DFS HR=0.66 (p=0.04). Corresponding per-protocol results were: OS HR=0.59 (p=0.054), and DFS HR=0.56 (p=0.007). END was effective for small tumours. END patients experienced more facial/neck nerve damage</w:t>
      </w:r>
      <w:r w:rsidR="00234555" w:rsidRPr="006A7000">
        <w:rPr>
          <w:sz w:val="24"/>
          <w:szCs w:val="24"/>
        </w:rPr>
        <w:t xml:space="preserve">; </w:t>
      </w:r>
      <w:r w:rsidRPr="006A7000">
        <w:rPr>
          <w:sz w:val="24"/>
          <w:szCs w:val="24"/>
        </w:rPr>
        <w:t xml:space="preserve">QoL </w:t>
      </w:r>
      <w:r w:rsidR="00234555" w:rsidRPr="006A7000">
        <w:rPr>
          <w:sz w:val="24"/>
          <w:szCs w:val="24"/>
        </w:rPr>
        <w:t>was</w:t>
      </w:r>
      <w:r w:rsidRPr="006A7000">
        <w:rPr>
          <w:sz w:val="24"/>
          <w:szCs w:val="24"/>
        </w:rPr>
        <w:t xml:space="preserve"> largely </w:t>
      </w:r>
      <w:r w:rsidR="00234555" w:rsidRPr="006A7000">
        <w:rPr>
          <w:sz w:val="24"/>
          <w:szCs w:val="24"/>
        </w:rPr>
        <w:t>unaffected</w:t>
      </w:r>
      <w:r w:rsidRPr="006A7000">
        <w:rPr>
          <w:sz w:val="24"/>
          <w:szCs w:val="24"/>
        </w:rPr>
        <w:t xml:space="preserve">. The observational cohort supported the </w:t>
      </w:r>
      <w:r w:rsidR="00A919D9" w:rsidRPr="006A7000">
        <w:rPr>
          <w:sz w:val="24"/>
          <w:szCs w:val="24"/>
        </w:rPr>
        <w:t xml:space="preserve">randomised </w:t>
      </w:r>
      <w:r w:rsidRPr="006A7000">
        <w:rPr>
          <w:sz w:val="24"/>
          <w:szCs w:val="24"/>
        </w:rPr>
        <w:t xml:space="preserve">findings. The meta-analysis </w:t>
      </w:r>
      <w:r w:rsidR="00234555" w:rsidRPr="006A7000">
        <w:rPr>
          <w:sz w:val="24"/>
          <w:szCs w:val="24"/>
        </w:rPr>
        <w:t>produced</w:t>
      </w:r>
      <w:r w:rsidRPr="006A7000">
        <w:rPr>
          <w:sz w:val="24"/>
          <w:szCs w:val="24"/>
        </w:rPr>
        <w:t xml:space="preserve"> HR OS 0.64 and DFS 0.54 (p&lt;0.001).</w:t>
      </w:r>
    </w:p>
    <w:p w14:paraId="5C687442" w14:textId="064342C2" w:rsidR="002D7126" w:rsidRPr="006A7000" w:rsidRDefault="00F1440A" w:rsidP="00B95772">
      <w:pPr>
        <w:spacing w:line="480" w:lineRule="auto"/>
        <w:rPr>
          <w:b/>
        </w:rPr>
      </w:pPr>
      <w:r w:rsidRPr="006A7000">
        <w:rPr>
          <w:b/>
          <w:sz w:val="24"/>
          <w:szCs w:val="24"/>
        </w:rPr>
        <w:t>Conclusion</w:t>
      </w:r>
      <w:r w:rsidRPr="006A7000">
        <w:rPr>
          <w:sz w:val="24"/>
          <w:szCs w:val="24"/>
        </w:rPr>
        <w:t xml:space="preserve">: SEND </w:t>
      </w:r>
      <w:r w:rsidR="00234555" w:rsidRPr="006A7000">
        <w:rPr>
          <w:sz w:val="24"/>
          <w:szCs w:val="24"/>
        </w:rPr>
        <w:t xml:space="preserve">and the cumulative evidence </w:t>
      </w:r>
      <w:r w:rsidR="00F07CC0" w:rsidRPr="006A7000">
        <w:rPr>
          <w:sz w:val="24"/>
          <w:szCs w:val="24"/>
        </w:rPr>
        <w:t>show that</w:t>
      </w:r>
      <w:r w:rsidRPr="006A7000">
        <w:rPr>
          <w:sz w:val="24"/>
          <w:szCs w:val="24"/>
        </w:rPr>
        <w:t xml:space="preserve"> within a generalisable setting </w:t>
      </w:r>
      <w:r w:rsidR="00B133B7" w:rsidRPr="006A7000">
        <w:rPr>
          <w:sz w:val="24"/>
          <w:szCs w:val="24"/>
        </w:rPr>
        <w:t>oral cancer</w:t>
      </w:r>
      <w:r w:rsidRPr="006A7000">
        <w:rPr>
          <w:sz w:val="24"/>
          <w:szCs w:val="24"/>
        </w:rPr>
        <w:t xml:space="preserve"> patients </w:t>
      </w:r>
      <w:r w:rsidR="00F07CC0" w:rsidRPr="006A7000">
        <w:rPr>
          <w:sz w:val="24"/>
          <w:szCs w:val="24"/>
        </w:rPr>
        <w:t>who have</w:t>
      </w:r>
      <w:r w:rsidRPr="006A7000">
        <w:rPr>
          <w:sz w:val="24"/>
          <w:szCs w:val="24"/>
        </w:rPr>
        <w:t xml:space="preserve"> an upfront END have a lower risk of death/recurrence, </w:t>
      </w:r>
      <w:r w:rsidR="00C52712" w:rsidRPr="006A7000">
        <w:rPr>
          <w:sz w:val="24"/>
          <w:szCs w:val="24"/>
        </w:rPr>
        <w:t xml:space="preserve">even with </w:t>
      </w:r>
      <w:r w:rsidRPr="006A7000">
        <w:rPr>
          <w:sz w:val="24"/>
          <w:szCs w:val="24"/>
        </w:rPr>
        <w:t>small tumours.</w:t>
      </w:r>
      <w:r w:rsidR="00167872" w:rsidRPr="006A7000">
        <w:rPr>
          <w:b/>
        </w:rPr>
        <w:br w:type="page"/>
      </w:r>
    </w:p>
    <w:p w14:paraId="21782951" w14:textId="3345A650" w:rsidR="00DF19B8" w:rsidRPr="006A7000" w:rsidRDefault="006B4E48" w:rsidP="00B95772">
      <w:pPr>
        <w:spacing w:line="480" w:lineRule="auto"/>
        <w:rPr>
          <w:b/>
          <w:sz w:val="24"/>
          <w:szCs w:val="24"/>
        </w:rPr>
      </w:pPr>
      <w:r w:rsidRPr="006A7000">
        <w:rPr>
          <w:b/>
          <w:sz w:val="24"/>
          <w:szCs w:val="24"/>
        </w:rPr>
        <w:lastRenderedPageBreak/>
        <w:t>Introduction</w:t>
      </w:r>
    </w:p>
    <w:p w14:paraId="1E54E81A" w14:textId="3432C47A" w:rsidR="00AF7439" w:rsidRPr="006A7000" w:rsidRDefault="00AF7439" w:rsidP="00B95772">
      <w:pPr>
        <w:autoSpaceDE w:val="0"/>
        <w:autoSpaceDN w:val="0"/>
        <w:adjustRightInd w:val="0"/>
        <w:spacing w:after="0" w:line="480" w:lineRule="auto"/>
        <w:rPr>
          <w:rFonts w:cs="Arial"/>
          <w:sz w:val="24"/>
          <w:szCs w:val="24"/>
        </w:rPr>
      </w:pPr>
      <w:r w:rsidRPr="006A7000">
        <w:rPr>
          <w:rFonts w:cs="Arial"/>
          <w:sz w:val="24"/>
          <w:szCs w:val="24"/>
        </w:rPr>
        <w:t xml:space="preserve">Oral squamous cell carcinoma (OSCC) is the </w:t>
      </w:r>
      <w:r w:rsidR="000C2D01" w:rsidRPr="006A7000">
        <w:rPr>
          <w:rFonts w:cs="Arial"/>
          <w:sz w:val="24"/>
          <w:szCs w:val="24"/>
        </w:rPr>
        <w:t xml:space="preserve">eleventh </w:t>
      </w:r>
      <w:r w:rsidRPr="006A7000">
        <w:rPr>
          <w:rFonts w:cs="Arial"/>
          <w:sz w:val="24"/>
          <w:szCs w:val="24"/>
        </w:rPr>
        <w:t>most common cancer worldwide,</w:t>
      </w:r>
      <w:r w:rsidRPr="006A7000">
        <w:rPr>
          <w:rFonts w:cs="Arial"/>
          <w:sz w:val="24"/>
          <w:szCs w:val="24"/>
          <w:vertAlign w:val="superscript"/>
        </w:rPr>
        <w:t>1</w:t>
      </w:r>
      <w:r w:rsidR="0009232F" w:rsidRPr="006A7000">
        <w:rPr>
          <w:rFonts w:cs="Arial"/>
          <w:sz w:val="24"/>
          <w:szCs w:val="24"/>
        </w:rPr>
        <w:t xml:space="preserve"> </w:t>
      </w:r>
      <w:r w:rsidRPr="006A7000">
        <w:rPr>
          <w:rFonts w:cs="Arial"/>
          <w:sz w:val="24"/>
          <w:szCs w:val="24"/>
        </w:rPr>
        <w:t>with 3</w:t>
      </w:r>
      <w:r w:rsidR="0009232F" w:rsidRPr="006A7000">
        <w:rPr>
          <w:rFonts w:cs="Arial"/>
          <w:sz w:val="24"/>
          <w:szCs w:val="24"/>
        </w:rPr>
        <w:t>69</w:t>
      </w:r>
      <w:r w:rsidR="00B33DA3" w:rsidRPr="006A7000">
        <w:rPr>
          <w:rFonts w:cs="Arial"/>
          <w:sz w:val="24"/>
          <w:szCs w:val="24"/>
        </w:rPr>
        <w:t xml:space="preserve"> </w:t>
      </w:r>
      <w:r w:rsidRPr="006A7000">
        <w:rPr>
          <w:rFonts w:cs="Arial"/>
          <w:sz w:val="24"/>
          <w:szCs w:val="24"/>
        </w:rPr>
        <w:t>000 new cases annually</w:t>
      </w:r>
      <w:r w:rsidR="00832110" w:rsidRPr="006A7000">
        <w:rPr>
          <w:rFonts w:cs="Arial"/>
          <w:sz w:val="24"/>
          <w:szCs w:val="24"/>
        </w:rPr>
        <w:t xml:space="preserve"> and rising</w:t>
      </w:r>
      <w:r w:rsidRPr="006A7000">
        <w:rPr>
          <w:rFonts w:cs="Arial"/>
          <w:sz w:val="24"/>
          <w:szCs w:val="24"/>
        </w:rPr>
        <w:t>.</w:t>
      </w:r>
      <w:r w:rsidR="009F0607" w:rsidRPr="006A7000">
        <w:rPr>
          <w:rFonts w:cs="Arial"/>
          <w:sz w:val="24"/>
          <w:szCs w:val="24"/>
          <w:vertAlign w:val="superscript"/>
        </w:rPr>
        <w:t>1</w:t>
      </w:r>
      <w:r w:rsidR="0052133B" w:rsidRPr="006A7000">
        <w:rPr>
          <w:rFonts w:cs="Arial"/>
          <w:sz w:val="24"/>
          <w:szCs w:val="24"/>
          <w:vertAlign w:val="superscript"/>
        </w:rPr>
        <w:t>,2</w:t>
      </w:r>
      <w:r w:rsidRPr="006A7000">
        <w:rPr>
          <w:rFonts w:cs="Arial"/>
          <w:sz w:val="24"/>
          <w:szCs w:val="24"/>
        </w:rPr>
        <w:t xml:space="preserve"> Patients with early stage disease (T1/T2) </w:t>
      </w:r>
      <w:r w:rsidR="00710A3E" w:rsidRPr="006A7000">
        <w:rPr>
          <w:rFonts w:cs="Arial"/>
          <w:sz w:val="24"/>
          <w:szCs w:val="24"/>
        </w:rPr>
        <w:t xml:space="preserve">and no overt </w:t>
      </w:r>
      <w:r w:rsidRPr="006A7000">
        <w:rPr>
          <w:rFonts w:cs="Arial"/>
          <w:sz w:val="24"/>
          <w:szCs w:val="24"/>
        </w:rPr>
        <w:t xml:space="preserve">neck </w:t>
      </w:r>
      <w:r w:rsidR="00F07429" w:rsidRPr="006A7000">
        <w:rPr>
          <w:rFonts w:cs="Arial"/>
          <w:sz w:val="24"/>
          <w:szCs w:val="24"/>
        </w:rPr>
        <w:t xml:space="preserve">disease </w:t>
      </w:r>
      <w:r w:rsidRPr="006A7000">
        <w:rPr>
          <w:rFonts w:cs="Arial"/>
          <w:sz w:val="24"/>
          <w:szCs w:val="24"/>
        </w:rPr>
        <w:t>(N0) are usually treated surgically</w:t>
      </w:r>
      <w:r w:rsidR="00710A3E" w:rsidRPr="006A7000">
        <w:rPr>
          <w:rFonts w:cs="Arial"/>
          <w:sz w:val="24"/>
          <w:szCs w:val="24"/>
        </w:rPr>
        <w:t>,</w:t>
      </w:r>
      <w:r w:rsidRPr="006A7000">
        <w:rPr>
          <w:rFonts w:cs="Arial"/>
          <w:sz w:val="24"/>
          <w:szCs w:val="24"/>
        </w:rPr>
        <w:t xml:space="preserve"> but there has been uncertainty over the best management of the neck</w:t>
      </w:r>
      <w:r w:rsidR="00710A3E" w:rsidRPr="006A7000">
        <w:rPr>
          <w:rFonts w:cs="Arial"/>
          <w:sz w:val="24"/>
          <w:szCs w:val="24"/>
        </w:rPr>
        <w:t xml:space="preserve"> because of the presence of occult neck metastasis </w:t>
      </w:r>
      <w:r w:rsidR="004C2689" w:rsidRPr="006A7000">
        <w:rPr>
          <w:rFonts w:cs="Arial"/>
          <w:sz w:val="24"/>
          <w:szCs w:val="24"/>
        </w:rPr>
        <w:t xml:space="preserve">that are </w:t>
      </w:r>
      <w:r w:rsidR="00710A3E" w:rsidRPr="006A7000">
        <w:rPr>
          <w:rFonts w:cs="Arial"/>
          <w:sz w:val="24"/>
          <w:szCs w:val="24"/>
        </w:rPr>
        <w:t>clinically</w:t>
      </w:r>
      <w:r w:rsidR="004C2689" w:rsidRPr="006A7000">
        <w:rPr>
          <w:rFonts w:cs="Arial"/>
          <w:sz w:val="24"/>
          <w:szCs w:val="24"/>
        </w:rPr>
        <w:t xml:space="preserve"> and </w:t>
      </w:r>
      <w:r w:rsidR="00710A3E" w:rsidRPr="006A7000">
        <w:rPr>
          <w:rFonts w:cs="Arial"/>
          <w:sz w:val="24"/>
          <w:szCs w:val="24"/>
        </w:rPr>
        <w:t>radiologically</w:t>
      </w:r>
      <w:r w:rsidR="004C2689" w:rsidRPr="006A7000">
        <w:rPr>
          <w:rFonts w:cs="Arial"/>
          <w:sz w:val="24"/>
          <w:szCs w:val="24"/>
        </w:rPr>
        <w:t xml:space="preserve"> undetectable</w:t>
      </w:r>
      <w:r w:rsidR="00710A3E" w:rsidRPr="006A7000">
        <w:rPr>
          <w:rFonts w:cs="Arial"/>
          <w:sz w:val="24"/>
          <w:szCs w:val="24"/>
        </w:rPr>
        <w:t>.</w:t>
      </w:r>
      <w:r w:rsidRPr="006A7000">
        <w:rPr>
          <w:rFonts w:cs="Arial"/>
          <w:sz w:val="24"/>
          <w:szCs w:val="24"/>
          <w:vertAlign w:val="superscript"/>
        </w:rPr>
        <w:t>3,4</w:t>
      </w:r>
      <w:r w:rsidRPr="006A7000">
        <w:rPr>
          <w:rFonts w:cs="Arial"/>
          <w:sz w:val="24"/>
          <w:szCs w:val="24"/>
        </w:rPr>
        <w:t xml:space="preserve"> Some surgeons only resect the primary tumo</w:t>
      </w:r>
      <w:r w:rsidR="00226DAF" w:rsidRPr="006A7000">
        <w:rPr>
          <w:rFonts w:cs="Arial"/>
          <w:sz w:val="24"/>
          <w:szCs w:val="24"/>
        </w:rPr>
        <w:t>u</w:t>
      </w:r>
      <w:r w:rsidRPr="006A7000">
        <w:rPr>
          <w:rFonts w:cs="Arial"/>
          <w:sz w:val="24"/>
          <w:szCs w:val="24"/>
        </w:rPr>
        <w:t>r, reserving neck dissection as salvage treatment for subsequent neck metastasis. Others perform elective neck dissection (END) simultaneous with the mouth tumo</w:t>
      </w:r>
      <w:r w:rsidR="00226DAF" w:rsidRPr="006A7000">
        <w:rPr>
          <w:rFonts w:cs="Arial"/>
          <w:sz w:val="24"/>
          <w:szCs w:val="24"/>
        </w:rPr>
        <w:t>u</w:t>
      </w:r>
      <w:r w:rsidRPr="006A7000">
        <w:rPr>
          <w:rFonts w:cs="Arial"/>
          <w:sz w:val="24"/>
          <w:szCs w:val="24"/>
        </w:rPr>
        <w:t xml:space="preserve">r resection. </w:t>
      </w:r>
      <w:r w:rsidR="007D0BE9" w:rsidRPr="006A7000">
        <w:rPr>
          <w:rFonts w:cs="Arial"/>
          <w:sz w:val="24"/>
          <w:szCs w:val="24"/>
        </w:rPr>
        <w:t>The</w:t>
      </w:r>
      <w:r w:rsidRPr="006A7000">
        <w:rPr>
          <w:rFonts w:cs="Arial"/>
          <w:sz w:val="24"/>
          <w:szCs w:val="24"/>
        </w:rPr>
        <w:t xml:space="preserve"> long-standing question </w:t>
      </w:r>
      <w:r w:rsidR="007D0BE9" w:rsidRPr="006A7000">
        <w:rPr>
          <w:rFonts w:cs="Arial"/>
          <w:sz w:val="24"/>
          <w:szCs w:val="24"/>
        </w:rPr>
        <w:t>remains</w:t>
      </w:r>
      <w:r w:rsidRPr="006A7000">
        <w:rPr>
          <w:rFonts w:cs="Arial"/>
          <w:sz w:val="24"/>
          <w:szCs w:val="24"/>
        </w:rPr>
        <w:t xml:space="preserve"> </w:t>
      </w:r>
      <w:r w:rsidR="004C2689" w:rsidRPr="006A7000">
        <w:rPr>
          <w:rFonts w:cs="Arial"/>
          <w:sz w:val="24"/>
          <w:szCs w:val="24"/>
        </w:rPr>
        <w:t xml:space="preserve">whether </w:t>
      </w:r>
      <w:r w:rsidRPr="006A7000">
        <w:rPr>
          <w:rFonts w:cs="Arial"/>
          <w:sz w:val="24"/>
          <w:szCs w:val="24"/>
        </w:rPr>
        <w:t>delaying neck dissection until neck metastasis is clinically detectable</w:t>
      </w:r>
      <w:r w:rsidRPr="006A7000" w:rsidDel="008004EC">
        <w:rPr>
          <w:rFonts w:cs="Arial"/>
          <w:sz w:val="24"/>
          <w:szCs w:val="24"/>
        </w:rPr>
        <w:t xml:space="preserve"> </w:t>
      </w:r>
      <w:r w:rsidRPr="006A7000">
        <w:rPr>
          <w:rFonts w:cs="Arial"/>
          <w:sz w:val="24"/>
          <w:szCs w:val="24"/>
        </w:rPr>
        <w:t>under-treat</w:t>
      </w:r>
      <w:r w:rsidR="004C2689" w:rsidRPr="006A7000">
        <w:rPr>
          <w:rFonts w:cs="Arial"/>
          <w:sz w:val="24"/>
          <w:szCs w:val="24"/>
        </w:rPr>
        <w:t>s</w:t>
      </w:r>
      <w:r w:rsidRPr="006A7000">
        <w:rPr>
          <w:rFonts w:cs="Arial"/>
          <w:sz w:val="24"/>
          <w:szCs w:val="24"/>
        </w:rPr>
        <w:t xml:space="preserve"> the third</w:t>
      </w:r>
      <w:r w:rsidRPr="006A7000">
        <w:rPr>
          <w:rFonts w:cs="Arial"/>
          <w:sz w:val="24"/>
          <w:szCs w:val="24"/>
          <w:vertAlign w:val="superscript"/>
        </w:rPr>
        <w:t>5,6</w:t>
      </w:r>
      <w:r w:rsidRPr="006A7000">
        <w:rPr>
          <w:rFonts w:cs="Arial"/>
          <w:sz w:val="24"/>
          <w:szCs w:val="24"/>
        </w:rPr>
        <w:t xml:space="preserve"> of patients with occult neck disease</w:t>
      </w:r>
      <w:r w:rsidR="00832110" w:rsidRPr="006A7000">
        <w:rPr>
          <w:rFonts w:cs="Arial"/>
          <w:sz w:val="24"/>
          <w:szCs w:val="24"/>
        </w:rPr>
        <w:t xml:space="preserve"> and prejudices their survival</w:t>
      </w:r>
      <w:r w:rsidRPr="006A7000">
        <w:rPr>
          <w:rFonts w:cs="Arial"/>
          <w:sz w:val="24"/>
          <w:szCs w:val="24"/>
        </w:rPr>
        <w:t xml:space="preserve">, or </w:t>
      </w:r>
      <w:r w:rsidR="004C2689" w:rsidRPr="006A7000">
        <w:rPr>
          <w:rFonts w:cs="Arial"/>
          <w:sz w:val="24"/>
          <w:szCs w:val="24"/>
        </w:rPr>
        <w:t>whether</w:t>
      </w:r>
      <w:r w:rsidR="007D0BE9" w:rsidRPr="006A7000">
        <w:rPr>
          <w:rFonts w:cs="Arial"/>
          <w:sz w:val="24"/>
          <w:szCs w:val="24"/>
        </w:rPr>
        <w:t xml:space="preserve"> </w:t>
      </w:r>
      <w:r w:rsidRPr="006A7000">
        <w:rPr>
          <w:rFonts w:cs="Arial"/>
          <w:sz w:val="24"/>
          <w:szCs w:val="24"/>
        </w:rPr>
        <w:t>offering END upfront over-treat</w:t>
      </w:r>
      <w:r w:rsidR="004C2689" w:rsidRPr="006A7000">
        <w:rPr>
          <w:rFonts w:cs="Arial"/>
          <w:sz w:val="24"/>
          <w:szCs w:val="24"/>
        </w:rPr>
        <w:t>s</w:t>
      </w:r>
      <w:r w:rsidRPr="006A7000">
        <w:rPr>
          <w:rFonts w:cs="Arial"/>
          <w:sz w:val="24"/>
          <w:szCs w:val="24"/>
        </w:rPr>
        <w:t xml:space="preserve"> the two-thirds without occult neck disease</w:t>
      </w:r>
      <w:r w:rsidR="00832110" w:rsidRPr="006A7000">
        <w:rPr>
          <w:rFonts w:cs="Arial"/>
          <w:sz w:val="24"/>
          <w:szCs w:val="24"/>
        </w:rPr>
        <w:t xml:space="preserve"> unnecessarily increasing morbidity and cost</w:t>
      </w:r>
      <w:r w:rsidRPr="006A7000">
        <w:rPr>
          <w:rFonts w:cs="Arial"/>
          <w:sz w:val="24"/>
          <w:szCs w:val="24"/>
        </w:rPr>
        <w:t>.</w:t>
      </w:r>
    </w:p>
    <w:p w14:paraId="3856F5ED" w14:textId="77777777" w:rsidR="0081623D" w:rsidRPr="006A7000" w:rsidRDefault="0081623D" w:rsidP="00B95772">
      <w:pPr>
        <w:autoSpaceDE w:val="0"/>
        <w:autoSpaceDN w:val="0"/>
        <w:adjustRightInd w:val="0"/>
        <w:spacing w:after="0" w:line="480" w:lineRule="auto"/>
        <w:rPr>
          <w:rFonts w:cs="Arial"/>
          <w:sz w:val="24"/>
          <w:szCs w:val="24"/>
        </w:rPr>
      </w:pPr>
    </w:p>
    <w:p w14:paraId="7B2556EB" w14:textId="6E7CE23B" w:rsidR="001757A3" w:rsidRPr="006A7000" w:rsidRDefault="00343E8B" w:rsidP="00B95772">
      <w:pPr>
        <w:widowControl w:val="0"/>
        <w:autoSpaceDE w:val="0"/>
        <w:autoSpaceDN w:val="0"/>
        <w:adjustRightInd w:val="0"/>
        <w:spacing w:line="480" w:lineRule="auto"/>
        <w:rPr>
          <w:rFonts w:cs="Arial"/>
          <w:sz w:val="24"/>
          <w:szCs w:val="24"/>
        </w:rPr>
      </w:pPr>
      <w:r w:rsidRPr="006A7000">
        <w:rPr>
          <w:rFonts w:cs="Arial"/>
          <w:sz w:val="24"/>
          <w:szCs w:val="24"/>
        </w:rPr>
        <w:t>END requires a longer</w:t>
      </w:r>
      <w:r w:rsidR="00A21A80" w:rsidRPr="006A7000">
        <w:rPr>
          <w:rFonts w:cs="Arial"/>
          <w:sz w:val="24"/>
          <w:szCs w:val="24"/>
        </w:rPr>
        <w:t>, more complex</w:t>
      </w:r>
      <w:r w:rsidRPr="006A7000">
        <w:rPr>
          <w:rFonts w:cs="Arial"/>
          <w:sz w:val="24"/>
          <w:szCs w:val="24"/>
        </w:rPr>
        <w:t xml:space="preserve"> </w:t>
      </w:r>
      <w:r w:rsidR="00EF56A3" w:rsidRPr="006A7000">
        <w:rPr>
          <w:rFonts w:cs="Arial"/>
          <w:sz w:val="24"/>
          <w:szCs w:val="24"/>
        </w:rPr>
        <w:t xml:space="preserve">and </w:t>
      </w:r>
      <w:r w:rsidRPr="006A7000">
        <w:rPr>
          <w:rFonts w:cs="Arial"/>
          <w:sz w:val="24"/>
          <w:szCs w:val="24"/>
        </w:rPr>
        <w:t>expensive operation</w:t>
      </w:r>
      <w:r w:rsidR="0017087B" w:rsidRPr="006A7000">
        <w:rPr>
          <w:rFonts w:cs="Arial"/>
          <w:sz w:val="24"/>
          <w:szCs w:val="24"/>
        </w:rPr>
        <w:t>.</w:t>
      </w:r>
      <w:r w:rsidRPr="006A7000">
        <w:rPr>
          <w:rFonts w:cs="Arial"/>
          <w:sz w:val="24"/>
          <w:szCs w:val="24"/>
        </w:rPr>
        <w:t xml:space="preserve"> However,</w:t>
      </w:r>
      <w:r w:rsidR="00856404" w:rsidRPr="006A7000">
        <w:rPr>
          <w:rFonts w:cs="Arial"/>
          <w:sz w:val="24"/>
          <w:szCs w:val="24"/>
        </w:rPr>
        <w:t xml:space="preserve"> </w:t>
      </w:r>
      <w:r w:rsidR="00285168" w:rsidRPr="006A7000">
        <w:rPr>
          <w:rFonts w:cs="Arial"/>
          <w:sz w:val="24"/>
          <w:szCs w:val="24"/>
        </w:rPr>
        <w:t xml:space="preserve">those patients having primary cancer resection </w:t>
      </w:r>
      <w:r w:rsidR="0084643E" w:rsidRPr="006A7000">
        <w:rPr>
          <w:rFonts w:cs="Arial"/>
          <w:sz w:val="24"/>
          <w:szCs w:val="24"/>
        </w:rPr>
        <w:t xml:space="preserve">only </w:t>
      </w:r>
      <w:r w:rsidR="00285168" w:rsidRPr="006A7000">
        <w:rPr>
          <w:rFonts w:cs="Arial"/>
          <w:sz w:val="24"/>
          <w:szCs w:val="24"/>
        </w:rPr>
        <w:t>who later develop neck metastases have an</w:t>
      </w:r>
      <w:r w:rsidR="00856404" w:rsidRPr="006A7000">
        <w:rPr>
          <w:rFonts w:cs="Arial"/>
          <w:sz w:val="24"/>
          <w:szCs w:val="24"/>
        </w:rPr>
        <w:t xml:space="preserve"> increased </w:t>
      </w:r>
      <w:r w:rsidR="0084643E" w:rsidRPr="006A7000">
        <w:rPr>
          <w:rFonts w:cs="Arial"/>
          <w:sz w:val="24"/>
          <w:szCs w:val="24"/>
        </w:rPr>
        <w:t xml:space="preserve">number </w:t>
      </w:r>
      <w:r w:rsidR="00856404" w:rsidRPr="006A7000">
        <w:rPr>
          <w:rFonts w:cs="Arial"/>
          <w:sz w:val="24"/>
          <w:szCs w:val="24"/>
        </w:rPr>
        <w:t>of positive neck nodes an</w:t>
      </w:r>
      <w:r w:rsidR="00285168" w:rsidRPr="006A7000">
        <w:rPr>
          <w:rFonts w:cs="Arial"/>
          <w:sz w:val="24"/>
          <w:szCs w:val="24"/>
        </w:rPr>
        <w:t xml:space="preserve">d </w:t>
      </w:r>
      <w:r w:rsidR="00856404" w:rsidRPr="006A7000">
        <w:rPr>
          <w:rFonts w:cs="Arial"/>
          <w:sz w:val="24"/>
          <w:szCs w:val="24"/>
        </w:rPr>
        <w:t>extra-capsular spread</w:t>
      </w:r>
      <w:r w:rsidR="007A4F6E" w:rsidRPr="006A7000">
        <w:rPr>
          <w:rFonts w:cs="Arial"/>
          <w:sz w:val="24"/>
          <w:szCs w:val="24"/>
        </w:rPr>
        <w:t xml:space="preserve"> than are found at END</w:t>
      </w:r>
      <w:r w:rsidR="00285168" w:rsidRPr="006A7000">
        <w:rPr>
          <w:rFonts w:cs="Arial"/>
          <w:sz w:val="24"/>
          <w:szCs w:val="24"/>
        </w:rPr>
        <w:t>.</w:t>
      </w:r>
      <w:r w:rsidR="006D74C6" w:rsidRPr="006A7000">
        <w:rPr>
          <w:rFonts w:cs="Arial"/>
          <w:sz w:val="24"/>
          <w:szCs w:val="24"/>
          <w:vertAlign w:val="superscript"/>
        </w:rPr>
        <w:t>7</w:t>
      </w:r>
      <w:r w:rsidR="00285168" w:rsidRPr="006A7000">
        <w:rPr>
          <w:rFonts w:cs="Arial"/>
          <w:sz w:val="24"/>
          <w:szCs w:val="24"/>
        </w:rPr>
        <w:t xml:space="preserve"> </w:t>
      </w:r>
      <w:r w:rsidR="007A4F6E" w:rsidRPr="006A7000">
        <w:rPr>
          <w:rFonts w:cs="Arial"/>
          <w:sz w:val="24"/>
          <w:szCs w:val="24"/>
        </w:rPr>
        <w:t>Therefore salvage</w:t>
      </w:r>
      <w:r w:rsidR="00F07429" w:rsidRPr="006A7000">
        <w:rPr>
          <w:rFonts w:cs="Arial"/>
          <w:sz w:val="24"/>
          <w:szCs w:val="24"/>
        </w:rPr>
        <w:t xml:space="preserve"> usually necessitates </w:t>
      </w:r>
      <w:r w:rsidR="007A4F6E" w:rsidRPr="006A7000">
        <w:rPr>
          <w:rFonts w:cs="Arial"/>
          <w:sz w:val="24"/>
          <w:szCs w:val="24"/>
        </w:rPr>
        <w:t xml:space="preserve">more radical </w:t>
      </w:r>
      <w:r w:rsidR="00F07429" w:rsidRPr="006A7000">
        <w:rPr>
          <w:rFonts w:cs="Arial"/>
          <w:sz w:val="24"/>
          <w:szCs w:val="24"/>
        </w:rPr>
        <w:t xml:space="preserve">neck </w:t>
      </w:r>
      <w:r w:rsidR="007A4F6E" w:rsidRPr="006A7000">
        <w:rPr>
          <w:rFonts w:cs="Arial"/>
          <w:sz w:val="24"/>
          <w:szCs w:val="24"/>
        </w:rPr>
        <w:t xml:space="preserve">surgery </w:t>
      </w:r>
      <w:r w:rsidR="00F07429" w:rsidRPr="006A7000">
        <w:rPr>
          <w:rFonts w:cs="Arial"/>
          <w:sz w:val="24"/>
          <w:szCs w:val="24"/>
        </w:rPr>
        <w:t xml:space="preserve">and </w:t>
      </w:r>
      <w:r w:rsidR="007A4F6E" w:rsidRPr="006A7000">
        <w:rPr>
          <w:rFonts w:cs="Arial"/>
          <w:sz w:val="24"/>
          <w:szCs w:val="24"/>
        </w:rPr>
        <w:t>additional chemotherapy and radiotherapy</w:t>
      </w:r>
      <w:r w:rsidR="00F07429" w:rsidRPr="006A7000">
        <w:rPr>
          <w:rFonts w:cs="Arial"/>
          <w:sz w:val="24"/>
          <w:szCs w:val="24"/>
        </w:rPr>
        <w:t xml:space="preserve"> resulting in increased morbidity and adverse psychological impact</w:t>
      </w:r>
      <w:r w:rsidR="00092628" w:rsidRPr="006A7000">
        <w:rPr>
          <w:rFonts w:cs="Arial"/>
          <w:sz w:val="24"/>
          <w:szCs w:val="24"/>
        </w:rPr>
        <w:t>.</w:t>
      </w:r>
      <w:r w:rsidR="007A4F6E" w:rsidRPr="006A7000">
        <w:rPr>
          <w:rFonts w:cs="Arial"/>
          <w:sz w:val="24"/>
          <w:szCs w:val="24"/>
        </w:rPr>
        <w:t xml:space="preserve"> </w:t>
      </w:r>
      <w:r w:rsidR="0084643E" w:rsidRPr="006A7000">
        <w:rPr>
          <w:rFonts w:cs="Arial"/>
          <w:sz w:val="24"/>
          <w:szCs w:val="24"/>
        </w:rPr>
        <w:t xml:space="preserve">The extra treatment </w:t>
      </w:r>
      <w:r w:rsidR="004C2689" w:rsidRPr="006A7000">
        <w:rPr>
          <w:rFonts w:cs="Arial"/>
          <w:sz w:val="24"/>
          <w:szCs w:val="24"/>
        </w:rPr>
        <w:t>increases treatment</w:t>
      </w:r>
      <w:r w:rsidR="0084643E" w:rsidRPr="006A7000">
        <w:rPr>
          <w:rFonts w:cs="Arial"/>
          <w:sz w:val="24"/>
          <w:szCs w:val="24"/>
        </w:rPr>
        <w:t xml:space="preserve"> costs and may cause delay or inability for patients to return to work.</w:t>
      </w:r>
    </w:p>
    <w:p w14:paraId="62845CB2" w14:textId="77777777" w:rsidR="00E93C64" w:rsidRPr="006A7000" w:rsidRDefault="00E93C64" w:rsidP="00B95772">
      <w:pPr>
        <w:autoSpaceDE w:val="0"/>
        <w:autoSpaceDN w:val="0"/>
        <w:adjustRightInd w:val="0"/>
        <w:spacing w:after="0" w:line="480" w:lineRule="auto"/>
        <w:rPr>
          <w:rFonts w:cs="Arial"/>
          <w:sz w:val="24"/>
          <w:szCs w:val="24"/>
        </w:rPr>
      </w:pPr>
    </w:p>
    <w:p w14:paraId="1034F4FA" w14:textId="3D906763" w:rsidR="00AF7439" w:rsidRPr="006A7000" w:rsidRDefault="00AF7439" w:rsidP="00B95772">
      <w:pPr>
        <w:spacing w:line="480" w:lineRule="auto"/>
        <w:rPr>
          <w:rFonts w:cs="Arial"/>
          <w:sz w:val="24"/>
          <w:szCs w:val="24"/>
        </w:rPr>
      </w:pPr>
      <w:r w:rsidRPr="006A7000">
        <w:rPr>
          <w:rFonts w:cs="Arial"/>
          <w:sz w:val="24"/>
          <w:szCs w:val="24"/>
        </w:rPr>
        <w:t>Since the 1990s, improved survival rates were largely attributed to using upfront END.</w:t>
      </w:r>
      <w:r w:rsidRPr="006A7000">
        <w:rPr>
          <w:rFonts w:cs="Arial"/>
          <w:sz w:val="24"/>
          <w:szCs w:val="24"/>
          <w:vertAlign w:val="superscript"/>
        </w:rPr>
        <w:t>8</w:t>
      </w:r>
      <w:r w:rsidRPr="006A7000">
        <w:rPr>
          <w:rFonts w:cs="Arial"/>
          <w:sz w:val="24"/>
          <w:szCs w:val="24"/>
        </w:rPr>
        <w:t xml:space="preserve"> Until 2015 there had been only four </w:t>
      </w:r>
      <w:r w:rsidR="00226DAF" w:rsidRPr="006A7000">
        <w:rPr>
          <w:rFonts w:cs="Arial"/>
          <w:sz w:val="24"/>
          <w:szCs w:val="24"/>
        </w:rPr>
        <w:t>randomis</w:t>
      </w:r>
      <w:r w:rsidRPr="006A7000">
        <w:rPr>
          <w:rFonts w:cs="Arial"/>
          <w:sz w:val="24"/>
          <w:szCs w:val="24"/>
        </w:rPr>
        <w:t>ed trials but they were old (conducted between 1980 and 2009) and small (each 67-75 patients).</w:t>
      </w:r>
      <w:r w:rsidRPr="006A7000">
        <w:rPr>
          <w:rFonts w:cs="Arial"/>
          <w:sz w:val="24"/>
          <w:szCs w:val="24"/>
          <w:vertAlign w:val="superscript"/>
        </w:rPr>
        <w:t>9-1</w:t>
      </w:r>
      <w:r w:rsidR="00E23C98" w:rsidRPr="006A7000">
        <w:rPr>
          <w:rFonts w:cs="Arial"/>
          <w:sz w:val="24"/>
          <w:szCs w:val="24"/>
          <w:vertAlign w:val="superscript"/>
        </w:rPr>
        <w:t>2</w:t>
      </w:r>
      <w:r w:rsidRPr="006A7000">
        <w:rPr>
          <w:rFonts w:cs="Arial"/>
          <w:sz w:val="24"/>
          <w:szCs w:val="24"/>
        </w:rPr>
        <w:t xml:space="preserve"> </w:t>
      </w:r>
      <w:r w:rsidR="001B3F93" w:rsidRPr="006A7000">
        <w:rPr>
          <w:rFonts w:cs="Arial"/>
          <w:sz w:val="24"/>
          <w:szCs w:val="24"/>
        </w:rPr>
        <w:t>Only one strongly supported END</w:t>
      </w:r>
      <w:r w:rsidR="003A60E4" w:rsidRPr="006A7000">
        <w:rPr>
          <w:rFonts w:cs="Arial"/>
          <w:sz w:val="24"/>
          <w:szCs w:val="24"/>
        </w:rPr>
        <w:t>.</w:t>
      </w:r>
      <w:r w:rsidR="001B3F93" w:rsidRPr="006A7000">
        <w:rPr>
          <w:rFonts w:cs="Arial"/>
          <w:sz w:val="24"/>
          <w:szCs w:val="24"/>
          <w:vertAlign w:val="superscript"/>
        </w:rPr>
        <w:t>1</w:t>
      </w:r>
      <w:r w:rsidR="00E23C98" w:rsidRPr="006A7000">
        <w:rPr>
          <w:rFonts w:cs="Arial"/>
          <w:sz w:val="24"/>
          <w:szCs w:val="24"/>
          <w:vertAlign w:val="superscript"/>
        </w:rPr>
        <w:t>1</w:t>
      </w:r>
      <w:r w:rsidR="001B3F93" w:rsidRPr="006A7000">
        <w:rPr>
          <w:rFonts w:cs="Arial"/>
          <w:sz w:val="24"/>
          <w:szCs w:val="24"/>
        </w:rPr>
        <w:t xml:space="preserve"> </w:t>
      </w:r>
      <w:r w:rsidRPr="006A7000">
        <w:rPr>
          <w:rFonts w:cs="Arial"/>
          <w:sz w:val="24"/>
          <w:szCs w:val="24"/>
        </w:rPr>
        <w:t xml:space="preserve">In May 2015 a large trial at the Tata Memorial Hospital, Mumbai (496 patients) </w:t>
      </w:r>
      <w:r w:rsidR="001B3F93" w:rsidRPr="006A7000">
        <w:rPr>
          <w:rFonts w:cs="Arial"/>
          <w:sz w:val="24"/>
          <w:szCs w:val="24"/>
        </w:rPr>
        <w:t xml:space="preserve">with 3 year follow-up </w:t>
      </w:r>
      <w:r w:rsidRPr="006A7000">
        <w:rPr>
          <w:rFonts w:cs="Arial"/>
          <w:sz w:val="24"/>
          <w:szCs w:val="24"/>
        </w:rPr>
        <w:t>reported a clear benefit for END on overall and disease-free survival.</w:t>
      </w:r>
      <w:r w:rsidRPr="006A7000">
        <w:rPr>
          <w:rFonts w:cs="Arial"/>
          <w:sz w:val="24"/>
          <w:szCs w:val="24"/>
          <w:vertAlign w:val="superscript"/>
        </w:rPr>
        <w:t>1</w:t>
      </w:r>
      <w:r w:rsidR="00381100" w:rsidRPr="006A7000">
        <w:rPr>
          <w:rFonts w:cs="Arial"/>
          <w:sz w:val="24"/>
          <w:szCs w:val="24"/>
          <w:vertAlign w:val="superscript"/>
        </w:rPr>
        <w:t>3</w:t>
      </w:r>
      <w:r w:rsidR="00E23C98" w:rsidRPr="006A7000">
        <w:rPr>
          <w:rFonts w:cs="Arial"/>
          <w:sz w:val="24"/>
          <w:szCs w:val="24"/>
        </w:rPr>
        <w:t xml:space="preserve"> </w:t>
      </w:r>
      <w:r w:rsidR="00381100" w:rsidRPr="006A7000">
        <w:rPr>
          <w:rFonts w:cs="Arial"/>
          <w:sz w:val="24"/>
          <w:szCs w:val="24"/>
        </w:rPr>
        <w:t xml:space="preserve"> </w:t>
      </w:r>
      <w:r w:rsidRPr="006A7000">
        <w:rPr>
          <w:rFonts w:cs="Arial"/>
          <w:sz w:val="24"/>
          <w:szCs w:val="24"/>
        </w:rPr>
        <w:t xml:space="preserve">The Mumbai </w:t>
      </w:r>
      <w:r w:rsidR="0043238D" w:rsidRPr="006A7000">
        <w:rPr>
          <w:rFonts w:cs="Arial"/>
          <w:sz w:val="24"/>
          <w:szCs w:val="24"/>
        </w:rPr>
        <w:t>trial</w:t>
      </w:r>
      <w:r w:rsidRPr="006A7000">
        <w:rPr>
          <w:rFonts w:cs="Arial"/>
          <w:sz w:val="24"/>
          <w:szCs w:val="24"/>
          <w:vertAlign w:val="superscript"/>
        </w:rPr>
        <w:t>1</w:t>
      </w:r>
      <w:r w:rsidR="00E23C98" w:rsidRPr="006A7000">
        <w:rPr>
          <w:rFonts w:cs="Arial"/>
          <w:sz w:val="24"/>
          <w:szCs w:val="24"/>
          <w:vertAlign w:val="superscript"/>
        </w:rPr>
        <w:t>3</w:t>
      </w:r>
      <w:r w:rsidRPr="006A7000">
        <w:rPr>
          <w:rFonts w:cs="Arial"/>
          <w:sz w:val="24"/>
          <w:szCs w:val="24"/>
        </w:rPr>
        <w:t xml:space="preserve"> was conducted at a renowned largely tertiary cancer cent</w:t>
      </w:r>
      <w:r w:rsidR="001B3F93" w:rsidRPr="006A7000">
        <w:rPr>
          <w:rFonts w:cs="Arial"/>
          <w:sz w:val="24"/>
          <w:szCs w:val="24"/>
        </w:rPr>
        <w:t>re</w:t>
      </w:r>
      <w:r w:rsidR="009F3D08" w:rsidRPr="006A7000">
        <w:rPr>
          <w:rFonts w:cs="Arial"/>
          <w:sz w:val="24"/>
          <w:szCs w:val="24"/>
        </w:rPr>
        <w:t xml:space="preserve"> treating around 9</w:t>
      </w:r>
      <w:r w:rsidR="00B33DA3" w:rsidRPr="006A7000">
        <w:rPr>
          <w:rFonts w:cs="Arial"/>
          <w:sz w:val="24"/>
          <w:szCs w:val="24"/>
        </w:rPr>
        <w:t xml:space="preserve"> </w:t>
      </w:r>
      <w:r w:rsidR="009F3D08" w:rsidRPr="006A7000">
        <w:rPr>
          <w:rFonts w:cs="Arial"/>
          <w:sz w:val="24"/>
          <w:szCs w:val="24"/>
        </w:rPr>
        <w:t>000 oral cancers annually</w:t>
      </w:r>
      <w:r w:rsidRPr="006A7000">
        <w:rPr>
          <w:rFonts w:cs="Arial"/>
          <w:sz w:val="24"/>
          <w:szCs w:val="24"/>
        </w:rPr>
        <w:t xml:space="preserve">, where disease characteristics and </w:t>
      </w:r>
      <w:r w:rsidRPr="006A7000">
        <w:rPr>
          <w:rFonts w:cs="Arial"/>
          <w:sz w:val="24"/>
          <w:szCs w:val="24"/>
        </w:rPr>
        <w:lastRenderedPageBreak/>
        <w:t xml:space="preserve">patient management </w:t>
      </w:r>
      <w:r w:rsidR="008B3B11" w:rsidRPr="006A7000">
        <w:rPr>
          <w:rFonts w:cs="Arial"/>
          <w:sz w:val="24"/>
          <w:szCs w:val="24"/>
        </w:rPr>
        <w:t xml:space="preserve">may </w:t>
      </w:r>
      <w:r w:rsidRPr="006A7000">
        <w:rPr>
          <w:rFonts w:cs="Arial"/>
          <w:sz w:val="24"/>
          <w:szCs w:val="24"/>
        </w:rPr>
        <w:t>differ from smaller cent</w:t>
      </w:r>
      <w:r w:rsidR="001B3F93" w:rsidRPr="006A7000">
        <w:rPr>
          <w:rFonts w:cs="Arial"/>
          <w:sz w:val="24"/>
          <w:szCs w:val="24"/>
        </w:rPr>
        <w:t>re</w:t>
      </w:r>
      <w:r w:rsidRPr="006A7000">
        <w:rPr>
          <w:rFonts w:cs="Arial"/>
          <w:sz w:val="24"/>
          <w:szCs w:val="24"/>
        </w:rPr>
        <w:t>s and Western populations, so its results may not be readily generalisable across multiple hospitals in a routine surgical cancer</w:t>
      </w:r>
      <w:r w:rsidR="00A02524" w:rsidRPr="006A7000">
        <w:rPr>
          <w:rFonts w:cs="Arial"/>
          <w:sz w:val="24"/>
          <w:szCs w:val="24"/>
        </w:rPr>
        <w:t xml:space="preserve"> setting, particularly those</w:t>
      </w:r>
      <w:r w:rsidRPr="006A7000">
        <w:rPr>
          <w:rFonts w:cs="Arial"/>
          <w:sz w:val="24"/>
          <w:szCs w:val="24"/>
        </w:rPr>
        <w:t xml:space="preserve"> who treat smaller patient numbers.</w:t>
      </w:r>
    </w:p>
    <w:p w14:paraId="3215C60B" w14:textId="36C8082C" w:rsidR="00EA2082" w:rsidRPr="006A7000" w:rsidRDefault="00D864B9" w:rsidP="00B95772">
      <w:pPr>
        <w:spacing w:line="480" w:lineRule="auto"/>
        <w:rPr>
          <w:rFonts w:cs="Arial"/>
          <w:sz w:val="24"/>
          <w:szCs w:val="24"/>
        </w:rPr>
      </w:pPr>
      <w:r w:rsidRPr="006A7000">
        <w:rPr>
          <w:rFonts w:cs="Arial"/>
          <w:sz w:val="24"/>
          <w:szCs w:val="24"/>
        </w:rPr>
        <w:t>Despite the Mumbai trial</w:t>
      </w:r>
      <w:r w:rsidR="009F3D08" w:rsidRPr="006A7000">
        <w:rPr>
          <w:rFonts w:cs="Arial"/>
          <w:sz w:val="24"/>
          <w:szCs w:val="24"/>
        </w:rPr>
        <w:t>, t</w:t>
      </w:r>
      <w:r w:rsidR="002F590C" w:rsidRPr="006A7000">
        <w:rPr>
          <w:rFonts w:cs="Arial"/>
          <w:sz w:val="24"/>
          <w:szCs w:val="24"/>
        </w:rPr>
        <w:t xml:space="preserve">he US National Comprehensive Cancer Network (NCCN) 2018 guidance </w:t>
      </w:r>
      <w:r w:rsidR="009F3D08" w:rsidRPr="006A7000">
        <w:rPr>
          <w:rFonts w:cs="Arial"/>
          <w:sz w:val="24"/>
          <w:szCs w:val="24"/>
        </w:rPr>
        <w:t xml:space="preserve">continues to </w:t>
      </w:r>
      <w:r w:rsidR="002F590C" w:rsidRPr="006A7000">
        <w:rPr>
          <w:rFonts w:cs="Arial"/>
          <w:sz w:val="24"/>
          <w:szCs w:val="24"/>
        </w:rPr>
        <w:t>state: “</w:t>
      </w:r>
      <w:r w:rsidR="002F590C" w:rsidRPr="006A7000">
        <w:rPr>
          <w:rFonts w:cs="Arial"/>
          <w:i/>
          <w:sz w:val="24"/>
          <w:szCs w:val="24"/>
        </w:rPr>
        <w:t>It is debatable whether or not patients with early stage node-negative oral cavity cancers should receive elective neck dissection</w:t>
      </w:r>
      <w:r w:rsidR="002F590C" w:rsidRPr="006A7000">
        <w:rPr>
          <w:rFonts w:cs="Arial"/>
          <w:sz w:val="24"/>
          <w:szCs w:val="24"/>
        </w:rPr>
        <w:t>”.</w:t>
      </w:r>
      <w:r w:rsidR="002F590C" w:rsidRPr="006A7000">
        <w:rPr>
          <w:rFonts w:cs="Arial"/>
          <w:sz w:val="24"/>
          <w:szCs w:val="24"/>
          <w:vertAlign w:val="superscript"/>
        </w:rPr>
        <w:t>1</w:t>
      </w:r>
      <w:r w:rsidR="00E30F75" w:rsidRPr="006A7000">
        <w:rPr>
          <w:rFonts w:cs="Arial"/>
          <w:sz w:val="24"/>
          <w:szCs w:val="24"/>
          <w:vertAlign w:val="superscript"/>
        </w:rPr>
        <w:t>4</w:t>
      </w:r>
      <w:r w:rsidR="0070396D" w:rsidRPr="006A7000">
        <w:rPr>
          <w:rFonts w:cs="Arial"/>
          <w:sz w:val="24"/>
          <w:szCs w:val="24"/>
        </w:rPr>
        <w:t xml:space="preserve"> Also</w:t>
      </w:r>
      <w:r w:rsidR="00206153" w:rsidRPr="006A7000">
        <w:rPr>
          <w:rFonts w:cs="Arial"/>
          <w:sz w:val="24"/>
          <w:szCs w:val="24"/>
        </w:rPr>
        <w:t>,</w:t>
      </w:r>
      <w:r w:rsidR="0070396D" w:rsidRPr="006A7000">
        <w:rPr>
          <w:rFonts w:cs="Arial"/>
          <w:sz w:val="24"/>
          <w:szCs w:val="24"/>
        </w:rPr>
        <w:t xml:space="preserve"> although </w:t>
      </w:r>
      <w:r w:rsidR="00E23372" w:rsidRPr="006A7000">
        <w:rPr>
          <w:rFonts w:cs="Arial"/>
          <w:sz w:val="24"/>
          <w:szCs w:val="24"/>
        </w:rPr>
        <w:t>o</w:t>
      </w:r>
      <w:r w:rsidR="002F590C" w:rsidRPr="006A7000">
        <w:rPr>
          <w:rFonts w:cs="Arial"/>
          <w:sz w:val="24"/>
          <w:szCs w:val="24"/>
        </w:rPr>
        <w:t>ne UK guideline recently included END as a treatment option,</w:t>
      </w:r>
      <w:r w:rsidR="002F590C" w:rsidRPr="006A7000">
        <w:rPr>
          <w:rFonts w:cs="Arial"/>
          <w:sz w:val="24"/>
          <w:szCs w:val="24"/>
          <w:vertAlign w:val="superscript"/>
        </w:rPr>
        <w:t>15</w:t>
      </w:r>
      <w:r w:rsidR="002F590C" w:rsidRPr="006A7000">
        <w:rPr>
          <w:rFonts w:cs="Arial"/>
          <w:sz w:val="24"/>
          <w:szCs w:val="24"/>
        </w:rPr>
        <w:t xml:space="preserve"> </w:t>
      </w:r>
      <w:r w:rsidR="00E23372" w:rsidRPr="006A7000">
        <w:rPr>
          <w:rFonts w:cs="Arial"/>
          <w:sz w:val="24"/>
          <w:szCs w:val="24"/>
        </w:rPr>
        <w:t xml:space="preserve">in 2018 </w:t>
      </w:r>
      <w:r w:rsidR="002F590C" w:rsidRPr="006A7000">
        <w:rPr>
          <w:rFonts w:cs="Arial"/>
          <w:sz w:val="24"/>
          <w:szCs w:val="24"/>
        </w:rPr>
        <w:t>the UK National Institute for Healthcare and Clinical Excellence (NICE</w:t>
      </w:r>
      <w:r w:rsidR="001B3F93" w:rsidRPr="006A7000">
        <w:rPr>
          <w:rFonts w:cs="Arial"/>
          <w:sz w:val="24"/>
          <w:szCs w:val="24"/>
        </w:rPr>
        <w:t>)</w:t>
      </w:r>
      <w:r w:rsidR="00C73A14" w:rsidRPr="006A7000">
        <w:rPr>
          <w:rFonts w:cs="Arial"/>
          <w:sz w:val="24"/>
          <w:szCs w:val="24"/>
        </w:rPr>
        <w:t xml:space="preserve"> </w:t>
      </w:r>
      <w:r w:rsidR="001B3F93" w:rsidRPr="006A7000">
        <w:rPr>
          <w:rFonts w:cs="Arial"/>
          <w:sz w:val="24"/>
          <w:szCs w:val="24"/>
        </w:rPr>
        <w:t>consider</w:t>
      </w:r>
      <w:r w:rsidR="00C73A14" w:rsidRPr="006A7000">
        <w:rPr>
          <w:rFonts w:cs="Arial"/>
          <w:sz w:val="24"/>
          <w:szCs w:val="24"/>
        </w:rPr>
        <w:t>ed</w:t>
      </w:r>
      <w:r w:rsidR="001B3F93" w:rsidRPr="006A7000">
        <w:rPr>
          <w:rFonts w:cs="Arial"/>
          <w:sz w:val="24"/>
          <w:szCs w:val="24"/>
        </w:rPr>
        <w:t xml:space="preserve"> that the previous five trials </w:t>
      </w:r>
      <w:r w:rsidR="002927BC" w:rsidRPr="006A7000">
        <w:rPr>
          <w:rFonts w:cs="Arial"/>
          <w:sz w:val="24"/>
          <w:szCs w:val="24"/>
        </w:rPr>
        <w:t>(including the Mumbai trial</w:t>
      </w:r>
      <w:r w:rsidR="00B4693C" w:rsidRPr="006A7000">
        <w:rPr>
          <w:rFonts w:cs="Arial"/>
          <w:sz w:val="24"/>
          <w:szCs w:val="24"/>
          <w:vertAlign w:val="superscript"/>
        </w:rPr>
        <w:t>1</w:t>
      </w:r>
      <w:r w:rsidR="00E30F75" w:rsidRPr="006A7000">
        <w:rPr>
          <w:rFonts w:cs="Arial"/>
          <w:sz w:val="24"/>
          <w:szCs w:val="24"/>
          <w:vertAlign w:val="superscript"/>
        </w:rPr>
        <w:t>3</w:t>
      </w:r>
      <w:r w:rsidR="002927BC" w:rsidRPr="006A7000">
        <w:rPr>
          <w:rFonts w:cs="Arial"/>
          <w:sz w:val="24"/>
          <w:szCs w:val="24"/>
        </w:rPr>
        <w:t xml:space="preserve">) </w:t>
      </w:r>
      <w:r w:rsidR="001B3F93" w:rsidRPr="006A7000">
        <w:rPr>
          <w:rFonts w:cs="Arial"/>
          <w:sz w:val="24"/>
          <w:szCs w:val="24"/>
        </w:rPr>
        <w:t>together provide evidence that is graded as low quality for overall survival and moderate quality for recurrence-free survival</w:t>
      </w:r>
      <w:r w:rsidR="00C73A14" w:rsidRPr="006A7000">
        <w:rPr>
          <w:rFonts w:cs="Arial"/>
          <w:sz w:val="24"/>
          <w:szCs w:val="24"/>
        </w:rPr>
        <w:t>,</w:t>
      </w:r>
      <w:r w:rsidR="001B3F93" w:rsidRPr="006A7000">
        <w:rPr>
          <w:rFonts w:cs="Arial"/>
          <w:sz w:val="24"/>
          <w:szCs w:val="24"/>
        </w:rPr>
        <w:t xml:space="preserve"> primarily due to three tri</w:t>
      </w:r>
      <w:r w:rsidR="00C73A14" w:rsidRPr="006A7000">
        <w:rPr>
          <w:rFonts w:cs="Arial"/>
          <w:sz w:val="24"/>
          <w:szCs w:val="24"/>
        </w:rPr>
        <w:t>als being conducted before 2000;</w:t>
      </w:r>
      <w:r w:rsidR="001B3F93" w:rsidRPr="006A7000">
        <w:rPr>
          <w:rFonts w:cs="Arial"/>
          <w:sz w:val="24"/>
          <w:szCs w:val="24"/>
        </w:rPr>
        <w:t xml:space="preserve"> concerns over randomisation and allocat</w:t>
      </w:r>
      <w:r w:rsidR="00C73A14" w:rsidRPr="006A7000">
        <w:rPr>
          <w:rFonts w:cs="Arial"/>
          <w:sz w:val="24"/>
          <w:szCs w:val="24"/>
        </w:rPr>
        <w:t>ion concealment in some studies;</w:t>
      </w:r>
      <w:r w:rsidR="001B3F93" w:rsidRPr="006A7000">
        <w:rPr>
          <w:rFonts w:cs="Arial"/>
          <w:sz w:val="24"/>
          <w:szCs w:val="24"/>
        </w:rPr>
        <w:t xml:space="preserve"> and only one contemporary trial</w:t>
      </w:r>
      <w:r w:rsidR="00C73A14" w:rsidRPr="006A7000">
        <w:rPr>
          <w:rFonts w:cs="Arial"/>
          <w:sz w:val="24"/>
          <w:szCs w:val="24"/>
        </w:rPr>
        <w:t>.</w:t>
      </w:r>
      <w:r w:rsidR="002F590C" w:rsidRPr="006A7000">
        <w:rPr>
          <w:rFonts w:cs="Arial"/>
          <w:sz w:val="24"/>
          <w:szCs w:val="24"/>
        </w:rPr>
        <w:t xml:space="preserve"> </w:t>
      </w:r>
      <w:r w:rsidR="00DB68F8" w:rsidRPr="006A7000">
        <w:rPr>
          <w:rFonts w:cs="Arial"/>
          <w:sz w:val="24"/>
          <w:szCs w:val="24"/>
        </w:rPr>
        <w:t>Therefore</w:t>
      </w:r>
      <w:r w:rsidR="00206153" w:rsidRPr="006A7000">
        <w:rPr>
          <w:rFonts w:cs="Arial"/>
          <w:sz w:val="24"/>
          <w:szCs w:val="24"/>
        </w:rPr>
        <w:t>,</w:t>
      </w:r>
      <w:r w:rsidR="004C2689" w:rsidRPr="006A7000">
        <w:rPr>
          <w:rFonts w:cs="Arial"/>
          <w:sz w:val="24"/>
          <w:szCs w:val="24"/>
        </w:rPr>
        <w:t xml:space="preserve"> NICE </w:t>
      </w:r>
      <w:r w:rsidR="002F590C" w:rsidRPr="006A7000">
        <w:rPr>
          <w:rFonts w:cs="Arial"/>
          <w:sz w:val="24"/>
          <w:szCs w:val="24"/>
        </w:rPr>
        <w:t>d</w:t>
      </w:r>
      <w:r w:rsidR="00E23372" w:rsidRPr="006A7000">
        <w:rPr>
          <w:rFonts w:cs="Arial"/>
          <w:sz w:val="24"/>
          <w:szCs w:val="24"/>
        </w:rPr>
        <w:t>id</w:t>
      </w:r>
      <w:r w:rsidR="002F590C" w:rsidRPr="006A7000">
        <w:rPr>
          <w:rFonts w:cs="Arial"/>
          <w:sz w:val="24"/>
          <w:szCs w:val="24"/>
        </w:rPr>
        <w:t xml:space="preserve"> not consider that the five trials to date provide sufficient evidence to make stronger reco</w:t>
      </w:r>
      <w:r w:rsidR="00AF7439" w:rsidRPr="006A7000">
        <w:rPr>
          <w:rFonts w:cs="Arial"/>
          <w:sz w:val="24"/>
          <w:szCs w:val="24"/>
        </w:rPr>
        <w:t>mmendations.</w:t>
      </w:r>
      <w:r w:rsidRPr="006A7000">
        <w:rPr>
          <w:rFonts w:cs="Arial"/>
          <w:sz w:val="24"/>
          <w:szCs w:val="24"/>
          <w:vertAlign w:val="superscript"/>
        </w:rPr>
        <w:t>16</w:t>
      </w:r>
      <w:r w:rsidRPr="006A7000">
        <w:rPr>
          <w:rFonts w:cs="Arial"/>
          <w:sz w:val="24"/>
          <w:szCs w:val="24"/>
        </w:rPr>
        <w:t xml:space="preserve"> Furthermore</w:t>
      </w:r>
      <w:r w:rsidR="003402DF" w:rsidRPr="006A7000">
        <w:rPr>
          <w:sz w:val="24"/>
          <w:szCs w:val="24"/>
        </w:rPr>
        <w:t xml:space="preserve">, out of all five trials </w:t>
      </w:r>
      <w:r w:rsidRPr="006A7000">
        <w:rPr>
          <w:sz w:val="24"/>
          <w:szCs w:val="24"/>
        </w:rPr>
        <w:t>before SEND</w:t>
      </w:r>
      <w:r w:rsidR="003402DF" w:rsidRPr="006A7000">
        <w:rPr>
          <w:sz w:val="24"/>
          <w:szCs w:val="24"/>
        </w:rPr>
        <w:t xml:space="preserve">, four were single centre only and the other involved </w:t>
      </w:r>
      <w:r w:rsidR="00C73A14" w:rsidRPr="006A7000">
        <w:rPr>
          <w:sz w:val="24"/>
          <w:szCs w:val="24"/>
        </w:rPr>
        <w:t xml:space="preserve">only </w:t>
      </w:r>
      <w:r w:rsidR="003402DF" w:rsidRPr="006A7000">
        <w:rPr>
          <w:sz w:val="24"/>
          <w:szCs w:val="24"/>
        </w:rPr>
        <w:t xml:space="preserve">three hospitals </w:t>
      </w:r>
      <w:r w:rsidR="00C73A14" w:rsidRPr="006A7000">
        <w:rPr>
          <w:sz w:val="24"/>
          <w:szCs w:val="24"/>
        </w:rPr>
        <w:t xml:space="preserve">all </w:t>
      </w:r>
      <w:r w:rsidR="003402DF" w:rsidRPr="006A7000">
        <w:rPr>
          <w:sz w:val="24"/>
          <w:szCs w:val="24"/>
        </w:rPr>
        <w:t>within Hong Kong</w:t>
      </w:r>
      <w:r w:rsidR="000535FF" w:rsidRPr="006A7000">
        <w:rPr>
          <w:sz w:val="24"/>
          <w:szCs w:val="24"/>
        </w:rPr>
        <w:t>.</w:t>
      </w:r>
      <w:r w:rsidR="003402DF" w:rsidRPr="006A7000">
        <w:rPr>
          <w:sz w:val="24"/>
          <w:szCs w:val="24"/>
          <w:vertAlign w:val="superscript"/>
        </w:rPr>
        <w:t>1</w:t>
      </w:r>
      <w:r w:rsidR="00E30F75" w:rsidRPr="006A7000">
        <w:rPr>
          <w:sz w:val="24"/>
          <w:szCs w:val="24"/>
          <w:vertAlign w:val="superscript"/>
        </w:rPr>
        <w:t>2</w:t>
      </w:r>
    </w:p>
    <w:p w14:paraId="085B7269" w14:textId="38FE4BDA" w:rsidR="00E60423" w:rsidRPr="006A7000" w:rsidRDefault="00920259" w:rsidP="00B95772">
      <w:pPr>
        <w:autoSpaceDE w:val="0"/>
        <w:autoSpaceDN w:val="0"/>
        <w:adjustRightInd w:val="0"/>
        <w:spacing w:after="0" w:line="480" w:lineRule="auto"/>
        <w:rPr>
          <w:rFonts w:cs="Arial"/>
          <w:sz w:val="24"/>
          <w:szCs w:val="24"/>
        </w:rPr>
      </w:pPr>
      <w:r w:rsidRPr="006A7000">
        <w:rPr>
          <w:rFonts w:cs="Arial"/>
          <w:sz w:val="24"/>
          <w:szCs w:val="24"/>
        </w:rPr>
        <w:t xml:space="preserve">We report the results of </w:t>
      </w:r>
      <w:r w:rsidR="00583743" w:rsidRPr="006A7000">
        <w:rPr>
          <w:rFonts w:cs="Arial"/>
          <w:sz w:val="24"/>
          <w:szCs w:val="24"/>
        </w:rPr>
        <w:t xml:space="preserve">a trial of END </w:t>
      </w:r>
      <w:r w:rsidR="004C0B08" w:rsidRPr="006A7000">
        <w:rPr>
          <w:rFonts w:cs="Arial"/>
          <w:sz w:val="24"/>
          <w:szCs w:val="24"/>
        </w:rPr>
        <w:t xml:space="preserve">(the </w:t>
      </w:r>
      <w:r w:rsidR="004C0B08" w:rsidRPr="006A7000">
        <w:rPr>
          <w:rFonts w:cs="Arial"/>
          <w:sz w:val="24"/>
          <w:szCs w:val="24"/>
          <w:u w:val="single"/>
        </w:rPr>
        <w:t>Se</w:t>
      </w:r>
      <w:r w:rsidR="004C0B08" w:rsidRPr="006A7000">
        <w:rPr>
          <w:rFonts w:cs="Arial"/>
          <w:sz w:val="24"/>
          <w:szCs w:val="24"/>
        </w:rPr>
        <w:t xml:space="preserve">lective </w:t>
      </w:r>
      <w:r w:rsidR="004C0B08" w:rsidRPr="006A7000">
        <w:rPr>
          <w:rFonts w:cs="Arial"/>
          <w:sz w:val="24"/>
          <w:szCs w:val="24"/>
          <w:u w:val="single"/>
        </w:rPr>
        <w:t>N</w:t>
      </w:r>
      <w:r w:rsidR="004C0B08" w:rsidRPr="006A7000">
        <w:rPr>
          <w:rFonts w:cs="Arial"/>
          <w:sz w:val="24"/>
          <w:szCs w:val="24"/>
        </w:rPr>
        <w:t xml:space="preserve">eck </w:t>
      </w:r>
      <w:r w:rsidR="004C0B08" w:rsidRPr="006A7000">
        <w:rPr>
          <w:rFonts w:cs="Arial"/>
          <w:sz w:val="24"/>
          <w:szCs w:val="24"/>
          <w:u w:val="single"/>
        </w:rPr>
        <w:t>D</w:t>
      </w:r>
      <w:r w:rsidR="00765931" w:rsidRPr="006A7000">
        <w:rPr>
          <w:rFonts w:cs="Arial"/>
          <w:sz w:val="24"/>
          <w:szCs w:val="24"/>
        </w:rPr>
        <w:t>issection study, SEND)</w:t>
      </w:r>
      <w:r w:rsidRPr="006A7000">
        <w:rPr>
          <w:rFonts w:cs="Arial"/>
          <w:sz w:val="24"/>
          <w:szCs w:val="24"/>
        </w:rPr>
        <w:t>.</w:t>
      </w:r>
      <w:r w:rsidR="008D134F" w:rsidRPr="006A7000">
        <w:rPr>
          <w:rFonts w:cs="Arial"/>
          <w:sz w:val="24"/>
          <w:szCs w:val="24"/>
        </w:rPr>
        <w:t xml:space="preserve"> </w:t>
      </w:r>
      <w:r w:rsidR="00F30F9C" w:rsidRPr="006A7000">
        <w:rPr>
          <w:rFonts w:cs="Arial"/>
          <w:sz w:val="24"/>
          <w:szCs w:val="24"/>
        </w:rPr>
        <w:t>This</w:t>
      </w:r>
      <w:r w:rsidR="008D134F" w:rsidRPr="006A7000">
        <w:rPr>
          <w:rFonts w:cs="Arial"/>
          <w:sz w:val="24"/>
          <w:szCs w:val="24"/>
        </w:rPr>
        <w:t xml:space="preserve"> is the only multicentre national randomised study </w:t>
      </w:r>
      <w:r w:rsidR="00E81BFA" w:rsidRPr="006A7000">
        <w:rPr>
          <w:rFonts w:cs="Arial"/>
          <w:sz w:val="24"/>
          <w:szCs w:val="24"/>
        </w:rPr>
        <w:t xml:space="preserve">comparing local resection with or without </w:t>
      </w:r>
      <w:r w:rsidR="008D134F" w:rsidRPr="006A7000">
        <w:rPr>
          <w:rFonts w:cs="Arial"/>
          <w:sz w:val="24"/>
          <w:szCs w:val="24"/>
        </w:rPr>
        <w:t>END</w:t>
      </w:r>
      <w:r w:rsidR="00E81BFA" w:rsidRPr="006A7000">
        <w:rPr>
          <w:rFonts w:cs="Arial"/>
          <w:sz w:val="24"/>
          <w:szCs w:val="24"/>
        </w:rPr>
        <w:t xml:space="preserve"> in early mouth cancer</w:t>
      </w:r>
      <w:r w:rsidR="00005662" w:rsidRPr="006A7000">
        <w:rPr>
          <w:rFonts w:cs="Arial"/>
          <w:sz w:val="24"/>
          <w:szCs w:val="24"/>
        </w:rPr>
        <w:t>, and in a Western population</w:t>
      </w:r>
      <w:r w:rsidR="00E81BFA" w:rsidRPr="006A7000">
        <w:rPr>
          <w:rFonts w:cs="Arial"/>
          <w:sz w:val="24"/>
          <w:szCs w:val="24"/>
        </w:rPr>
        <w:t>. The results</w:t>
      </w:r>
      <w:r w:rsidR="008D134F" w:rsidRPr="006A7000">
        <w:rPr>
          <w:rFonts w:cs="Arial"/>
          <w:sz w:val="24"/>
          <w:szCs w:val="24"/>
        </w:rPr>
        <w:t xml:space="preserve"> provid</w:t>
      </w:r>
      <w:r w:rsidR="00E81BFA" w:rsidRPr="006A7000">
        <w:rPr>
          <w:rFonts w:cs="Arial"/>
          <w:sz w:val="24"/>
          <w:szCs w:val="24"/>
        </w:rPr>
        <w:t xml:space="preserve">e </w:t>
      </w:r>
      <w:r w:rsidR="008D134F" w:rsidRPr="006A7000">
        <w:rPr>
          <w:rFonts w:cs="Arial"/>
          <w:sz w:val="24"/>
          <w:szCs w:val="24"/>
        </w:rPr>
        <w:t xml:space="preserve">high quality evidence </w:t>
      </w:r>
      <w:r w:rsidR="00F93515" w:rsidRPr="006A7000">
        <w:rPr>
          <w:sz w:val="24"/>
          <w:szCs w:val="24"/>
        </w:rPr>
        <w:t>applicable to any specialist surgeon and hospital</w:t>
      </w:r>
      <w:r w:rsidR="00F93515" w:rsidRPr="006A7000">
        <w:rPr>
          <w:rFonts w:cs="Arial"/>
          <w:sz w:val="24"/>
          <w:szCs w:val="24"/>
        </w:rPr>
        <w:t xml:space="preserve">, </w:t>
      </w:r>
      <w:r w:rsidR="008D134F" w:rsidRPr="006A7000">
        <w:rPr>
          <w:rFonts w:cs="Arial"/>
          <w:sz w:val="24"/>
          <w:szCs w:val="24"/>
        </w:rPr>
        <w:t>such that national recommendations can be strengthened.</w:t>
      </w:r>
    </w:p>
    <w:p w14:paraId="4D26033A" w14:textId="4D212141" w:rsidR="00F86BA1" w:rsidRPr="006A7000" w:rsidRDefault="00F86BA1" w:rsidP="00B95772">
      <w:pPr>
        <w:spacing w:line="480" w:lineRule="auto"/>
        <w:rPr>
          <w:b/>
          <w:sz w:val="24"/>
          <w:szCs w:val="24"/>
        </w:rPr>
      </w:pPr>
    </w:p>
    <w:p w14:paraId="0B05A564" w14:textId="77777777" w:rsidR="00FE151A" w:rsidRPr="006A7000" w:rsidRDefault="00FE151A" w:rsidP="00B95772">
      <w:pPr>
        <w:spacing w:line="480" w:lineRule="auto"/>
        <w:rPr>
          <w:b/>
          <w:sz w:val="24"/>
          <w:szCs w:val="24"/>
        </w:rPr>
      </w:pPr>
    </w:p>
    <w:p w14:paraId="4656AD26" w14:textId="77777777" w:rsidR="00DF19B8" w:rsidRPr="006A7000" w:rsidRDefault="00DF19B8" w:rsidP="00B95772">
      <w:pPr>
        <w:spacing w:line="480" w:lineRule="auto"/>
        <w:rPr>
          <w:b/>
          <w:sz w:val="24"/>
          <w:szCs w:val="24"/>
        </w:rPr>
      </w:pPr>
      <w:r w:rsidRPr="006A7000">
        <w:rPr>
          <w:b/>
          <w:sz w:val="24"/>
          <w:szCs w:val="24"/>
        </w:rPr>
        <w:t>Methods</w:t>
      </w:r>
    </w:p>
    <w:p w14:paraId="063D65EC" w14:textId="77777777" w:rsidR="006B4E48" w:rsidRPr="006A7000" w:rsidRDefault="006B4E48" w:rsidP="00B95772">
      <w:pPr>
        <w:pStyle w:val="ColorfulList-Accent21"/>
        <w:spacing w:line="480" w:lineRule="auto"/>
        <w:jc w:val="both"/>
        <w:rPr>
          <w:rFonts w:cs="Arial"/>
          <w:bCs/>
          <w:i/>
          <w:sz w:val="24"/>
          <w:szCs w:val="24"/>
          <w:lang w:val="en-US"/>
        </w:rPr>
      </w:pPr>
      <w:r w:rsidRPr="006A7000">
        <w:rPr>
          <w:rFonts w:cs="Arial"/>
          <w:bCs/>
          <w:i/>
          <w:sz w:val="24"/>
          <w:szCs w:val="24"/>
          <w:lang w:val="en-US"/>
        </w:rPr>
        <w:t>Study design</w:t>
      </w:r>
    </w:p>
    <w:p w14:paraId="17D48460" w14:textId="06C1B11D" w:rsidR="00766828" w:rsidRPr="006A7000" w:rsidRDefault="006B4E48" w:rsidP="00B95772">
      <w:pPr>
        <w:pStyle w:val="ColorfulList-Accent21"/>
        <w:spacing w:line="480" w:lineRule="auto"/>
        <w:rPr>
          <w:rFonts w:cs="Arial"/>
          <w:sz w:val="24"/>
          <w:szCs w:val="24"/>
          <w:lang w:val="en-US"/>
        </w:rPr>
      </w:pPr>
      <w:r w:rsidRPr="006A7000">
        <w:rPr>
          <w:rFonts w:cs="Arial"/>
          <w:bCs/>
          <w:sz w:val="24"/>
          <w:szCs w:val="24"/>
          <w:lang w:val="en-US"/>
        </w:rPr>
        <w:t xml:space="preserve">We conducted </w:t>
      </w:r>
      <w:r w:rsidR="00B33DA3" w:rsidRPr="006A7000">
        <w:rPr>
          <w:rFonts w:cs="Arial"/>
          <w:bCs/>
          <w:sz w:val="24"/>
          <w:szCs w:val="24"/>
          <w:lang w:val="en-US"/>
        </w:rPr>
        <w:t xml:space="preserve">a </w:t>
      </w:r>
      <w:r w:rsidR="00B33DA3" w:rsidRPr="006A7000">
        <w:rPr>
          <w:rFonts w:cs="Arial"/>
          <w:sz w:val="24"/>
          <w:szCs w:val="24"/>
        </w:rPr>
        <w:t>randomised</w:t>
      </w:r>
      <w:r w:rsidRPr="006A7000">
        <w:rPr>
          <w:rFonts w:cs="Arial"/>
          <w:bCs/>
          <w:sz w:val="24"/>
          <w:szCs w:val="24"/>
          <w:lang w:val="en-US"/>
        </w:rPr>
        <w:t xml:space="preserve"> controlled study </w:t>
      </w:r>
      <w:r w:rsidR="008E7D23" w:rsidRPr="006A7000">
        <w:rPr>
          <w:rFonts w:cs="Arial"/>
          <w:bCs/>
          <w:sz w:val="24"/>
          <w:szCs w:val="24"/>
          <w:lang w:val="en-US"/>
        </w:rPr>
        <w:t xml:space="preserve">to </w:t>
      </w:r>
      <w:r w:rsidR="007D63C1" w:rsidRPr="006A7000">
        <w:rPr>
          <w:rFonts w:cs="Arial"/>
          <w:bCs/>
          <w:sz w:val="24"/>
          <w:szCs w:val="24"/>
          <w:lang w:val="en-US"/>
        </w:rPr>
        <w:t>determine whether</w:t>
      </w:r>
      <w:r w:rsidR="008E7D23" w:rsidRPr="006A7000">
        <w:rPr>
          <w:rFonts w:cs="Arial"/>
          <w:bCs/>
          <w:sz w:val="24"/>
          <w:szCs w:val="24"/>
          <w:lang w:val="en-US"/>
        </w:rPr>
        <w:t xml:space="preserve"> </w:t>
      </w:r>
      <w:r w:rsidR="0055791A" w:rsidRPr="006A7000">
        <w:rPr>
          <w:rFonts w:cs="Arial"/>
          <w:bCs/>
          <w:sz w:val="24"/>
          <w:szCs w:val="24"/>
          <w:lang w:val="en-US"/>
        </w:rPr>
        <w:t>END</w:t>
      </w:r>
      <w:r w:rsidR="005A6B38" w:rsidRPr="006A7000">
        <w:rPr>
          <w:rFonts w:cs="Arial"/>
          <w:bCs/>
          <w:sz w:val="24"/>
          <w:szCs w:val="24"/>
          <w:lang w:val="en-US"/>
        </w:rPr>
        <w:t xml:space="preserve"> </w:t>
      </w:r>
      <w:r w:rsidR="00C73A14" w:rsidRPr="006A7000">
        <w:rPr>
          <w:rFonts w:cs="Arial"/>
          <w:bCs/>
          <w:sz w:val="24"/>
          <w:szCs w:val="24"/>
          <w:lang w:val="en-US"/>
        </w:rPr>
        <w:t xml:space="preserve">with </w:t>
      </w:r>
      <w:r w:rsidR="008E7D23" w:rsidRPr="006A7000">
        <w:rPr>
          <w:rFonts w:cs="Arial"/>
          <w:bCs/>
          <w:sz w:val="24"/>
          <w:szCs w:val="24"/>
          <w:lang w:val="en-US"/>
        </w:rPr>
        <w:t>local resection</w:t>
      </w:r>
      <w:r w:rsidR="008E7D23" w:rsidRPr="006A7000">
        <w:rPr>
          <w:rFonts w:cs="Arial"/>
          <w:sz w:val="24"/>
          <w:szCs w:val="24"/>
          <w:lang w:val="en-US"/>
        </w:rPr>
        <w:t xml:space="preserve"> improves </w:t>
      </w:r>
      <w:r w:rsidR="00B238AD" w:rsidRPr="006A7000">
        <w:rPr>
          <w:rFonts w:cs="Arial"/>
          <w:sz w:val="24"/>
          <w:szCs w:val="24"/>
          <w:lang w:val="en-US"/>
        </w:rPr>
        <w:t>outcomes</w:t>
      </w:r>
      <w:r w:rsidR="008E7D23" w:rsidRPr="006A7000">
        <w:rPr>
          <w:rFonts w:cs="Arial"/>
          <w:sz w:val="24"/>
          <w:szCs w:val="24"/>
          <w:lang w:val="en-US"/>
        </w:rPr>
        <w:t xml:space="preserve"> in patients with early </w:t>
      </w:r>
      <w:r w:rsidR="00331875" w:rsidRPr="006A7000">
        <w:rPr>
          <w:rFonts w:cs="Arial"/>
          <w:sz w:val="24"/>
          <w:szCs w:val="24"/>
          <w:lang w:val="en-US"/>
        </w:rPr>
        <w:t xml:space="preserve">stage </w:t>
      </w:r>
      <w:r w:rsidR="00B238AD" w:rsidRPr="006A7000">
        <w:rPr>
          <w:rFonts w:cs="Arial"/>
          <w:sz w:val="24"/>
          <w:szCs w:val="24"/>
          <w:lang w:val="en-US"/>
        </w:rPr>
        <w:t>OSCC</w:t>
      </w:r>
      <w:r w:rsidR="00331875" w:rsidRPr="006A7000">
        <w:rPr>
          <w:rFonts w:cs="Arial"/>
          <w:sz w:val="24"/>
          <w:szCs w:val="24"/>
          <w:lang w:val="en-US"/>
        </w:rPr>
        <w:t>, compared to those who have resection only.</w:t>
      </w:r>
      <w:r w:rsidR="008E7D23" w:rsidRPr="006A7000">
        <w:rPr>
          <w:rFonts w:cs="Arial"/>
          <w:sz w:val="24"/>
          <w:szCs w:val="24"/>
          <w:lang w:val="en-US"/>
        </w:rPr>
        <w:t xml:space="preserve"> </w:t>
      </w:r>
      <w:r w:rsidR="00D864B9" w:rsidRPr="006A7000">
        <w:rPr>
          <w:rFonts w:cs="Arial"/>
          <w:sz w:val="24"/>
          <w:szCs w:val="24"/>
        </w:rPr>
        <w:lastRenderedPageBreak/>
        <w:t xml:space="preserve">The trial had national ethics approval and all patients gave written informed consent. </w:t>
      </w:r>
      <w:r w:rsidR="00EA4E4C" w:rsidRPr="006A7000">
        <w:rPr>
          <w:rFonts w:cs="Arial"/>
          <w:sz w:val="24"/>
          <w:szCs w:val="24"/>
        </w:rPr>
        <w:t>P</w:t>
      </w:r>
      <w:r w:rsidR="00D7284E" w:rsidRPr="006A7000">
        <w:rPr>
          <w:rFonts w:cs="Arial"/>
          <w:sz w:val="24"/>
          <w:szCs w:val="24"/>
        </w:rPr>
        <w:t>otential patients were discussed by a</w:t>
      </w:r>
      <w:r w:rsidR="00CA6A2F" w:rsidRPr="006A7000">
        <w:rPr>
          <w:rFonts w:cs="Arial"/>
          <w:sz w:val="24"/>
          <w:szCs w:val="24"/>
        </w:rPr>
        <w:t xml:space="preserve"> multi-disciplinary team (MDT)</w:t>
      </w:r>
      <w:r w:rsidR="004C0B08" w:rsidRPr="006A7000">
        <w:rPr>
          <w:rFonts w:cs="Arial"/>
          <w:sz w:val="24"/>
          <w:szCs w:val="24"/>
        </w:rPr>
        <w:t>, and</w:t>
      </w:r>
      <w:r w:rsidR="00D7284E" w:rsidRPr="006A7000">
        <w:rPr>
          <w:rFonts w:cs="Arial"/>
          <w:sz w:val="24"/>
          <w:szCs w:val="24"/>
        </w:rPr>
        <w:t xml:space="preserve"> eligible if: aged ≥16 years; </w:t>
      </w:r>
      <w:r w:rsidR="0055791A" w:rsidRPr="006A7000">
        <w:rPr>
          <w:rFonts w:cs="Arial"/>
          <w:sz w:val="24"/>
          <w:szCs w:val="24"/>
        </w:rPr>
        <w:t xml:space="preserve">had </w:t>
      </w:r>
      <w:r w:rsidR="00C951B6" w:rsidRPr="006A7000">
        <w:rPr>
          <w:rFonts w:cs="Arial"/>
          <w:sz w:val="24"/>
          <w:szCs w:val="24"/>
        </w:rPr>
        <w:t xml:space="preserve">histopathologically confirmed </w:t>
      </w:r>
      <w:r w:rsidR="0055791A" w:rsidRPr="006A7000">
        <w:rPr>
          <w:rFonts w:cs="Arial"/>
          <w:sz w:val="24"/>
          <w:szCs w:val="24"/>
        </w:rPr>
        <w:t>T1/</w:t>
      </w:r>
      <w:r w:rsidR="006A5D6F" w:rsidRPr="006A7000">
        <w:rPr>
          <w:rFonts w:cs="Arial"/>
          <w:sz w:val="24"/>
          <w:szCs w:val="24"/>
        </w:rPr>
        <w:t xml:space="preserve">T2 </w:t>
      </w:r>
      <w:r w:rsidR="00DE5281" w:rsidRPr="006A7000">
        <w:rPr>
          <w:rFonts w:cs="Arial"/>
          <w:sz w:val="24"/>
          <w:szCs w:val="24"/>
        </w:rPr>
        <w:t>O</w:t>
      </w:r>
      <w:r w:rsidR="00FE6E33" w:rsidRPr="006A7000">
        <w:rPr>
          <w:rFonts w:cs="Arial"/>
          <w:sz w:val="24"/>
          <w:szCs w:val="24"/>
        </w:rPr>
        <w:t>SCC</w:t>
      </w:r>
      <w:r w:rsidR="006A5D6F" w:rsidRPr="006A7000">
        <w:rPr>
          <w:rFonts w:cs="Arial"/>
          <w:sz w:val="24"/>
          <w:szCs w:val="24"/>
        </w:rPr>
        <w:t xml:space="preserve">; </w:t>
      </w:r>
      <w:r w:rsidR="00EA4E4C" w:rsidRPr="006A7000">
        <w:rPr>
          <w:rFonts w:cs="Arial"/>
          <w:sz w:val="24"/>
          <w:szCs w:val="24"/>
        </w:rPr>
        <w:t>no</w:t>
      </w:r>
      <w:r w:rsidR="006A5D6F" w:rsidRPr="006A7000">
        <w:rPr>
          <w:rFonts w:cs="Arial"/>
          <w:sz w:val="24"/>
          <w:szCs w:val="24"/>
        </w:rPr>
        <w:t xml:space="preserve"> evidence </w:t>
      </w:r>
      <w:r w:rsidR="00766828" w:rsidRPr="006A7000">
        <w:rPr>
          <w:rFonts w:cs="Arial"/>
          <w:sz w:val="24"/>
          <w:szCs w:val="24"/>
        </w:rPr>
        <w:t>(clinical</w:t>
      </w:r>
      <w:r w:rsidR="00505540" w:rsidRPr="006A7000">
        <w:rPr>
          <w:rFonts w:cs="Arial"/>
          <w:sz w:val="24"/>
          <w:szCs w:val="24"/>
        </w:rPr>
        <w:t>,</w:t>
      </w:r>
      <w:r w:rsidR="00766828" w:rsidRPr="006A7000">
        <w:rPr>
          <w:rFonts w:cs="Arial"/>
          <w:sz w:val="24"/>
          <w:szCs w:val="24"/>
        </w:rPr>
        <w:t xml:space="preserve"> </w:t>
      </w:r>
      <w:r w:rsidR="007169CF" w:rsidRPr="006A7000">
        <w:rPr>
          <w:rFonts w:cs="Arial"/>
          <w:sz w:val="24"/>
          <w:szCs w:val="24"/>
        </w:rPr>
        <w:t>including</w:t>
      </w:r>
      <w:r w:rsidR="00766828" w:rsidRPr="006A7000">
        <w:rPr>
          <w:rFonts w:cs="Arial"/>
          <w:sz w:val="24"/>
          <w:szCs w:val="24"/>
        </w:rPr>
        <w:t xml:space="preserve"> preoperative imaging) </w:t>
      </w:r>
      <w:r w:rsidR="006A5D6F" w:rsidRPr="006A7000">
        <w:rPr>
          <w:rFonts w:cs="Arial"/>
          <w:sz w:val="24"/>
          <w:szCs w:val="24"/>
        </w:rPr>
        <w:t>of nodal involvement in the neck (N0)</w:t>
      </w:r>
      <w:r w:rsidR="00976C4D" w:rsidRPr="006A7000">
        <w:rPr>
          <w:rFonts w:cs="Arial"/>
          <w:sz w:val="24"/>
          <w:szCs w:val="24"/>
        </w:rPr>
        <w:t xml:space="preserve">; and </w:t>
      </w:r>
      <w:r w:rsidR="00EA4E4C" w:rsidRPr="006A7000">
        <w:rPr>
          <w:rFonts w:cs="Arial"/>
          <w:sz w:val="24"/>
          <w:szCs w:val="24"/>
        </w:rPr>
        <w:t xml:space="preserve">they </w:t>
      </w:r>
      <w:r w:rsidR="00976C4D" w:rsidRPr="006A7000">
        <w:rPr>
          <w:rFonts w:cs="Arial"/>
          <w:sz w:val="24"/>
          <w:szCs w:val="24"/>
        </w:rPr>
        <w:t>did not have cancer of the lip, p</w:t>
      </w:r>
      <w:r w:rsidR="00DE5281" w:rsidRPr="006A7000">
        <w:rPr>
          <w:rFonts w:cs="Arial"/>
          <w:sz w:val="24"/>
          <w:szCs w:val="24"/>
        </w:rPr>
        <w:t>revious oral/</w:t>
      </w:r>
      <w:r w:rsidR="00976C4D" w:rsidRPr="006A7000">
        <w:rPr>
          <w:rFonts w:cs="Arial"/>
          <w:sz w:val="24"/>
          <w:szCs w:val="24"/>
        </w:rPr>
        <w:t>pharyngeal SCC, or o</w:t>
      </w:r>
      <w:r w:rsidR="006A5D6F" w:rsidRPr="006A7000">
        <w:rPr>
          <w:rFonts w:cs="Arial"/>
          <w:sz w:val="24"/>
          <w:szCs w:val="24"/>
        </w:rPr>
        <w:t>ther synchronous tumour</w:t>
      </w:r>
      <w:r w:rsidR="0055791A" w:rsidRPr="006A7000">
        <w:rPr>
          <w:rFonts w:cs="Arial"/>
          <w:sz w:val="24"/>
          <w:szCs w:val="24"/>
        </w:rPr>
        <w:t>.</w:t>
      </w:r>
      <w:r w:rsidR="00766828" w:rsidRPr="006A7000">
        <w:rPr>
          <w:rFonts w:cs="Arial"/>
          <w:sz w:val="24"/>
          <w:szCs w:val="24"/>
        </w:rPr>
        <w:t xml:space="preserve"> </w:t>
      </w:r>
      <w:r w:rsidR="00391E5A" w:rsidRPr="006A7000">
        <w:rPr>
          <w:rFonts w:cs="Arial"/>
          <w:sz w:val="24"/>
          <w:szCs w:val="24"/>
        </w:rPr>
        <w:t xml:space="preserve">Allocation concealment was achieved </w:t>
      </w:r>
      <w:r w:rsidR="00A11320" w:rsidRPr="006A7000">
        <w:rPr>
          <w:rFonts w:cs="Arial"/>
          <w:sz w:val="24"/>
          <w:szCs w:val="24"/>
        </w:rPr>
        <w:t>using</w:t>
      </w:r>
      <w:r w:rsidR="00391E5A" w:rsidRPr="006A7000">
        <w:rPr>
          <w:rFonts w:cs="Arial"/>
          <w:sz w:val="24"/>
          <w:szCs w:val="24"/>
        </w:rPr>
        <w:t xml:space="preserve"> a</w:t>
      </w:r>
      <w:r w:rsidR="00D92AE2" w:rsidRPr="006A7000">
        <w:rPr>
          <w:rFonts w:cs="Arial"/>
          <w:sz w:val="24"/>
          <w:szCs w:val="24"/>
        </w:rPr>
        <w:t xml:space="preserve"> central </w:t>
      </w:r>
      <w:r w:rsidR="00296E36" w:rsidRPr="006A7000">
        <w:rPr>
          <w:rFonts w:cs="Arial"/>
          <w:sz w:val="24"/>
          <w:szCs w:val="24"/>
        </w:rPr>
        <w:t>randomis</w:t>
      </w:r>
      <w:r w:rsidR="005E1430" w:rsidRPr="006A7000">
        <w:rPr>
          <w:rFonts w:cs="Arial"/>
          <w:sz w:val="24"/>
          <w:szCs w:val="24"/>
        </w:rPr>
        <w:t>ation</w:t>
      </w:r>
      <w:r w:rsidR="00D92AE2" w:rsidRPr="006A7000">
        <w:rPr>
          <w:rFonts w:cs="Arial"/>
          <w:sz w:val="24"/>
          <w:szCs w:val="24"/>
        </w:rPr>
        <w:t xml:space="preserve"> system. P</w:t>
      </w:r>
      <w:r w:rsidR="00D92AE2" w:rsidRPr="006A7000">
        <w:rPr>
          <w:rFonts w:cs="Arial"/>
          <w:sz w:val="24"/>
          <w:szCs w:val="24"/>
          <w:lang w:val="en-US"/>
        </w:rPr>
        <w:t xml:space="preserve">atients </w:t>
      </w:r>
      <w:r w:rsidR="00766828" w:rsidRPr="006A7000">
        <w:rPr>
          <w:rFonts w:cs="Arial"/>
          <w:sz w:val="24"/>
          <w:szCs w:val="24"/>
          <w:lang w:val="en-US"/>
        </w:rPr>
        <w:t xml:space="preserve">were </w:t>
      </w:r>
      <w:r w:rsidR="00ED0948" w:rsidRPr="006A7000">
        <w:rPr>
          <w:rFonts w:cs="Arial"/>
          <w:sz w:val="24"/>
          <w:szCs w:val="24"/>
          <w:lang w:val="en-US"/>
        </w:rPr>
        <w:t>randomised</w:t>
      </w:r>
      <w:r w:rsidR="00766828" w:rsidRPr="006A7000">
        <w:rPr>
          <w:rFonts w:cs="Arial"/>
          <w:sz w:val="24"/>
          <w:szCs w:val="24"/>
          <w:lang w:val="en-US"/>
        </w:rPr>
        <w:t xml:space="preserve"> </w:t>
      </w:r>
      <w:r w:rsidR="008D2B3E" w:rsidRPr="006A7000">
        <w:rPr>
          <w:rFonts w:cs="Arial"/>
          <w:bCs/>
          <w:sz w:val="24"/>
          <w:szCs w:val="24"/>
          <w:lang w:val="en-US"/>
        </w:rPr>
        <w:t xml:space="preserve">(1:1 allocation) </w:t>
      </w:r>
      <w:r w:rsidR="00391E5A" w:rsidRPr="006A7000">
        <w:rPr>
          <w:rFonts w:cs="Arial"/>
          <w:sz w:val="24"/>
          <w:szCs w:val="24"/>
          <w:lang w:val="en-US"/>
        </w:rPr>
        <w:t xml:space="preserve">after research nurses telephoned </w:t>
      </w:r>
      <w:r w:rsidR="006C0CAB" w:rsidRPr="006A7000">
        <w:rPr>
          <w:rFonts w:cs="Arial"/>
          <w:sz w:val="24"/>
          <w:szCs w:val="24"/>
          <w:lang w:val="en-US"/>
        </w:rPr>
        <w:t>Sa</w:t>
      </w:r>
      <w:r w:rsidR="0081572E" w:rsidRPr="006A7000">
        <w:rPr>
          <w:rFonts w:cs="Arial"/>
          <w:sz w:val="24"/>
          <w:szCs w:val="24"/>
          <w:lang w:val="en-US"/>
        </w:rPr>
        <w:t>ving Faces</w:t>
      </w:r>
      <w:r w:rsidR="004C3A2B" w:rsidRPr="006A7000">
        <w:rPr>
          <w:rFonts w:cs="Arial"/>
          <w:sz w:val="24"/>
          <w:szCs w:val="24"/>
          <w:lang w:val="en-US"/>
        </w:rPr>
        <w:t>, the trial co-ordinating centre</w:t>
      </w:r>
      <w:r w:rsidR="0081572E" w:rsidRPr="006A7000">
        <w:rPr>
          <w:rFonts w:cs="Arial"/>
          <w:sz w:val="24"/>
          <w:szCs w:val="24"/>
          <w:lang w:val="en-US"/>
        </w:rPr>
        <w:t>. A m</w:t>
      </w:r>
      <w:r w:rsidR="00296E36" w:rsidRPr="006A7000">
        <w:rPr>
          <w:rFonts w:cs="Arial"/>
          <w:sz w:val="24"/>
          <w:szCs w:val="24"/>
          <w:lang w:val="en-US"/>
        </w:rPr>
        <w:t>inimis</w:t>
      </w:r>
      <w:r w:rsidR="00766828" w:rsidRPr="006A7000">
        <w:rPr>
          <w:rFonts w:cs="Arial"/>
          <w:sz w:val="24"/>
          <w:szCs w:val="24"/>
          <w:lang w:val="en-US"/>
        </w:rPr>
        <w:t>ation</w:t>
      </w:r>
      <w:r w:rsidR="00FE6E33" w:rsidRPr="006A7000">
        <w:rPr>
          <w:rFonts w:cs="Arial"/>
          <w:sz w:val="24"/>
          <w:szCs w:val="24"/>
          <w:lang w:val="en-US"/>
        </w:rPr>
        <w:t xml:space="preserve"> </w:t>
      </w:r>
      <w:r w:rsidR="005B5665" w:rsidRPr="006A7000">
        <w:rPr>
          <w:rFonts w:cs="Arial"/>
          <w:sz w:val="24"/>
          <w:szCs w:val="24"/>
          <w:lang w:val="en-US"/>
        </w:rPr>
        <w:t xml:space="preserve">computer program </w:t>
      </w:r>
      <w:r w:rsidR="00766828" w:rsidRPr="006A7000">
        <w:rPr>
          <w:rFonts w:cs="Arial"/>
          <w:sz w:val="24"/>
          <w:szCs w:val="24"/>
        </w:rPr>
        <w:t>stratif</w:t>
      </w:r>
      <w:r w:rsidR="005B5665" w:rsidRPr="006A7000">
        <w:rPr>
          <w:rFonts w:cs="Arial"/>
          <w:sz w:val="24"/>
          <w:szCs w:val="24"/>
        </w:rPr>
        <w:t>ied</w:t>
      </w:r>
      <w:r w:rsidR="002D0C83" w:rsidRPr="006A7000">
        <w:rPr>
          <w:rFonts w:cs="Arial"/>
          <w:sz w:val="24"/>
          <w:szCs w:val="24"/>
        </w:rPr>
        <w:t xml:space="preserve"> patients by</w:t>
      </w:r>
      <w:r w:rsidR="00766828" w:rsidRPr="006A7000">
        <w:rPr>
          <w:rFonts w:cs="Arial"/>
          <w:sz w:val="24"/>
          <w:szCs w:val="24"/>
        </w:rPr>
        <w:t xml:space="preserve"> age (&lt;40, 40-64, 65+ years), tumour stage (T1 and T2) and surgeon.</w:t>
      </w:r>
      <w:r w:rsidR="009158BF" w:rsidRPr="006A7000">
        <w:rPr>
          <w:rFonts w:cs="Arial"/>
          <w:sz w:val="24"/>
          <w:szCs w:val="24"/>
        </w:rPr>
        <w:t xml:space="preserve"> Patients were staged using the </w:t>
      </w:r>
      <w:r w:rsidR="009158BF" w:rsidRPr="006A7000">
        <w:rPr>
          <w:sz w:val="24"/>
          <w:szCs w:val="24"/>
        </w:rPr>
        <w:t>American Joint Committee Cancer (AJCC) 6th edition, then 7</w:t>
      </w:r>
      <w:r w:rsidR="009158BF" w:rsidRPr="006A7000">
        <w:rPr>
          <w:sz w:val="24"/>
          <w:szCs w:val="24"/>
          <w:vertAlign w:val="superscript"/>
        </w:rPr>
        <w:t>th</w:t>
      </w:r>
      <w:r w:rsidR="009158BF" w:rsidRPr="006A7000">
        <w:rPr>
          <w:sz w:val="24"/>
          <w:szCs w:val="24"/>
        </w:rPr>
        <w:t xml:space="preserve"> edition after 2010.</w:t>
      </w:r>
    </w:p>
    <w:p w14:paraId="4EE71092" w14:textId="38F007C0" w:rsidR="00766828" w:rsidRPr="006A7000" w:rsidRDefault="00766828" w:rsidP="00B95772">
      <w:pPr>
        <w:autoSpaceDE w:val="0"/>
        <w:autoSpaceDN w:val="0"/>
        <w:adjustRightInd w:val="0"/>
        <w:spacing w:after="0" w:line="480" w:lineRule="auto"/>
        <w:rPr>
          <w:rFonts w:cs="Arial"/>
          <w:sz w:val="24"/>
          <w:szCs w:val="24"/>
        </w:rPr>
      </w:pPr>
    </w:p>
    <w:p w14:paraId="117385A3" w14:textId="31F9A6EC" w:rsidR="007D63C1" w:rsidRPr="006A7000" w:rsidRDefault="004A68A6" w:rsidP="00B95772">
      <w:pPr>
        <w:autoSpaceDE w:val="0"/>
        <w:autoSpaceDN w:val="0"/>
        <w:adjustRightInd w:val="0"/>
        <w:spacing w:after="0" w:line="480" w:lineRule="auto"/>
        <w:rPr>
          <w:rFonts w:cs="Arial"/>
          <w:i/>
          <w:sz w:val="24"/>
          <w:szCs w:val="24"/>
        </w:rPr>
      </w:pPr>
      <w:r w:rsidRPr="006A7000">
        <w:rPr>
          <w:rFonts w:cs="Arial"/>
          <w:i/>
          <w:sz w:val="24"/>
          <w:szCs w:val="24"/>
        </w:rPr>
        <w:t xml:space="preserve">Observational </w:t>
      </w:r>
      <w:r w:rsidR="00296E36" w:rsidRPr="006A7000">
        <w:rPr>
          <w:rFonts w:cs="Arial"/>
          <w:i/>
          <w:sz w:val="24"/>
          <w:szCs w:val="24"/>
        </w:rPr>
        <w:t xml:space="preserve">(real world) </w:t>
      </w:r>
      <w:r w:rsidRPr="006A7000">
        <w:rPr>
          <w:rFonts w:cs="Arial"/>
          <w:i/>
          <w:sz w:val="24"/>
          <w:szCs w:val="24"/>
        </w:rPr>
        <w:t>cohort</w:t>
      </w:r>
    </w:p>
    <w:p w14:paraId="17DA7477" w14:textId="7A3B64E0" w:rsidR="00976C4D" w:rsidRPr="006A7000" w:rsidRDefault="007D63C1" w:rsidP="00B95772">
      <w:pPr>
        <w:tabs>
          <w:tab w:val="left" w:pos="6804"/>
        </w:tabs>
        <w:autoSpaceDE w:val="0"/>
        <w:autoSpaceDN w:val="0"/>
        <w:adjustRightInd w:val="0"/>
        <w:spacing w:after="0" w:line="480" w:lineRule="auto"/>
        <w:rPr>
          <w:rFonts w:cs="Arial"/>
          <w:sz w:val="24"/>
          <w:szCs w:val="24"/>
        </w:rPr>
      </w:pPr>
      <w:r w:rsidRPr="006A7000">
        <w:rPr>
          <w:rFonts w:cs="Arial"/>
          <w:sz w:val="24"/>
          <w:szCs w:val="24"/>
        </w:rPr>
        <w:t xml:space="preserve">As with many surgical </w:t>
      </w:r>
      <w:r w:rsidR="00ED0948" w:rsidRPr="006A7000">
        <w:rPr>
          <w:rFonts w:cs="Arial"/>
          <w:sz w:val="24"/>
          <w:szCs w:val="24"/>
        </w:rPr>
        <w:t>randomised</w:t>
      </w:r>
      <w:r w:rsidRPr="006A7000">
        <w:rPr>
          <w:rFonts w:cs="Arial"/>
          <w:sz w:val="24"/>
          <w:szCs w:val="24"/>
        </w:rPr>
        <w:t xml:space="preserve"> trials, eligible patients often </w:t>
      </w:r>
      <w:r w:rsidR="0037646B" w:rsidRPr="006A7000">
        <w:rPr>
          <w:rFonts w:cs="Arial"/>
          <w:sz w:val="24"/>
          <w:szCs w:val="24"/>
        </w:rPr>
        <w:t>decline</w:t>
      </w:r>
      <w:r w:rsidR="00641D7F" w:rsidRPr="006A7000">
        <w:rPr>
          <w:rFonts w:cs="Arial"/>
          <w:sz w:val="24"/>
          <w:szCs w:val="24"/>
        </w:rPr>
        <w:t xml:space="preserve"> to </w:t>
      </w:r>
      <w:r w:rsidR="00144C6C" w:rsidRPr="006A7000">
        <w:rPr>
          <w:rFonts w:cs="Arial"/>
          <w:sz w:val="24"/>
          <w:szCs w:val="24"/>
        </w:rPr>
        <w:t>participate</w:t>
      </w:r>
      <w:r w:rsidR="00F30F9C" w:rsidRPr="006A7000">
        <w:rPr>
          <w:rFonts w:cs="Arial"/>
          <w:sz w:val="24"/>
          <w:szCs w:val="24"/>
        </w:rPr>
        <w:t>,</w:t>
      </w:r>
      <w:r w:rsidR="00D20990" w:rsidRPr="006A7000">
        <w:rPr>
          <w:rFonts w:cs="Arial"/>
          <w:sz w:val="24"/>
          <w:szCs w:val="24"/>
        </w:rPr>
        <w:t xml:space="preserve"> </w:t>
      </w:r>
      <w:r w:rsidR="0030052B" w:rsidRPr="006A7000">
        <w:rPr>
          <w:rFonts w:cs="Arial"/>
          <w:sz w:val="24"/>
          <w:szCs w:val="24"/>
        </w:rPr>
        <w:t xml:space="preserve">or their </w:t>
      </w:r>
      <w:r w:rsidR="00C50459" w:rsidRPr="006A7000">
        <w:rPr>
          <w:rFonts w:cs="Arial"/>
          <w:sz w:val="24"/>
          <w:szCs w:val="24"/>
        </w:rPr>
        <w:t>surgeon</w:t>
      </w:r>
      <w:r w:rsidR="0030052B" w:rsidRPr="006A7000">
        <w:rPr>
          <w:rFonts w:cs="Arial"/>
          <w:sz w:val="24"/>
          <w:szCs w:val="24"/>
        </w:rPr>
        <w:t xml:space="preserve"> </w:t>
      </w:r>
      <w:r w:rsidR="00144C6C" w:rsidRPr="006A7000">
        <w:rPr>
          <w:rFonts w:cs="Arial"/>
          <w:sz w:val="24"/>
          <w:szCs w:val="24"/>
        </w:rPr>
        <w:t>may have</w:t>
      </w:r>
      <w:r w:rsidR="0030052B" w:rsidRPr="006A7000">
        <w:rPr>
          <w:rFonts w:cs="Arial"/>
          <w:sz w:val="24"/>
          <w:szCs w:val="24"/>
        </w:rPr>
        <w:t xml:space="preserve"> a preference for one </w:t>
      </w:r>
      <w:r w:rsidR="0037646B" w:rsidRPr="006A7000">
        <w:rPr>
          <w:rFonts w:cs="Arial"/>
          <w:sz w:val="24"/>
          <w:szCs w:val="24"/>
        </w:rPr>
        <w:t xml:space="preserve">surgical </w:t>
      </w:r>
      <w:r w:rsidR="0030052B" w:rsidRPr="006A7000">
        <w:rPr>
          <w:rFonts w:cs="Arial"/>
          <w:sz w:val="24"/>
          <w:szCs w:val="24"/>
        </w:rPr>
        <w:t xml:space="preserve">method </w:t>
      </w:r>
      <w:r w:rsidR="00144C6C" w:rsidRPr="006A7000">
        <w:rPr>
          <w:rFonts w:cs="Arial"/>
          <w:sz w:val="24"/>
          <w:szCs w:val="24"/>
        </w:rPr>
        <w:t>for a particular individual</w:t>
      </w:r>
      <w:r w:rsidR="0030052B" w:rsidRPr="006A7000">
        <w:rPr>
          <w:rFonts w:cs="Arial"/>
          <w:sz w:val="24"/>
          <w:szCs w:val="24"/>
        </w:rPr>
        <w:t>.</w:t>
      </w:r>
      <w:r w:rsidRPr="006A7000">
        <w:rPr>
          <w:rFonts w:cs="Arial"/>
          <w:sz w:val="24"/>
          <w:szCs w:val="24"/>
        </w:rPr>
        <w:t xml:space="preserve"> </w:t>
      </w:r>
      <w:r w:rsidR="005038F9" w:rsidRPr="006A7000">
        <w:rPr>
          <w:rFonts w:cs="Arial"/>
          <w:sz w:val="24"/>
          <w:szCs w:val="24"/>
        </w:rPr>
        <w:t xml:space="preserve">A survey of three </w:t>
      </w:r>
      <w:r w:rsidR="005220E1" w:rsidRPr="006A7000">
        <w:rPr>
          <w:rFonts w:cs="Arial"/>
          <w:sz w:val="24"/>
          <w:szCs w:val="24"/>
        </w:rPr>
        <w:t xml:space="preserve">UK </w:t>
      </w:r>
      <w:r w:rsidR="00C50459" w:rsidRPr="006A7000">
        <w:rPr>
          <w:rFonts w:cs="Arial"/>
          <w:sz w:val="24"/>
          <w:szCs w:val="24"/>
        </w:rPr>
        <w:t xml:space="preserve">surgical </w:t>
      </w:r>
      <w:r w:rsidR="005038F9" w:rsidRPr="006A7000">
        <w:rPr>
          <w:rFonts w:cs="Arial"/>
          <w:sz w:val="24"/>
          <w:szCs w:val="24"/>
        </w:rPr>
        <w:t xml:space="preserve">trials in </w:t>
      </w:r>
      <w:r w:rsidR="00C50459" w:rsidRPr="006A7000">
        <w:rPr>
          <w:rFonts w:cs="Arial"/>
          <w:sz w:val="24"/>
          <w:szCs w:val="24"/>
        </w:rPr>
        <w:t xml:space="preserve">head and neck </w:t>
      </w:r>
      <w:r w:rsidR="005038F9" w:rsidRPr="006A7000">
        <w:rPr>
          <w:rFonts w:cs="Arial"/>
          <w:sz w:val="24"/>
          <w:szCs w:val="24"/>
        </w:rPr>
        <w:t xml:space="preserve">cancer </w:t>
      </w:r>
      <w:r w:rsidR="00144C6C" w:rsidRPr="006A7000">
        <w:rPr>
          <w:rFonts w:cs="Arial"/>
          <w:sz w:val="24"/>
          <w:szCs w:val="24"/>
        </w:rPr>
        <w:t>(including SEND)</w:t>
      </w:r>
      <w:r w:rsidR="00C50459" w:rsidRPr="006A7000">
        <w:rPr>
          <w:rFonts w:cs="Arial"/>
          <w:sz w:val="24"/>
          <w:szCs w:val="24"/>
        </w:rPr>
        <w:t xml:space="preserve"> showed that problems with recruitment were due to patient</w:t>
      </w:r>
      <w:r w:rsidR="005B5665" w:rsidRPr="006A7000">
        <w:rPr>
          <w:rFonts w:cs="Arial"/>
          <w:sz w:val="24"/>
          <w:szCs w:val="24"/>
        </w:rPr>
        <w:t>/surgeon</w:t>
      </w:r>
      <w:r w:rsidR="00C50459" w:rsidRPr="006A7000">
        <w:rPr>
          <w:rFonts w:cs="Arial"/>
          <w:sz w:val="24"/>
          <w:szCs w:val="24"/>
        </w:rPr>
        <w:t xml:space="preserve"> preference, patient aversion to </w:t>
      </w:r>
      <w:r w:rsidR="00221268" w:rsidRPr="006A7000">
        <w:rPr>
          <w:rFonts w:cs="Arial"/>
          <w:sz w:val="24"/>
          <w:szCs w:val="24"/>
        </w:rPr>
        <w:t>randomisation</w:t>
      </w:r>
      <w:r w:rsidR="00F65B7B" w:rsidRPr="006A7000">
        <w:rPr>
          <w:rFonts w:cs="Arial"/>
          <w:sz w:val="24"/>
          <w:szCs w:val="24"/>
        </w:rPr>
        <w:t xml:space="preserve"> and i</w:t>
      </w:r>
      <w:r w:rsidR="00C50459" w:rsidRPr="006A7000">
        <w:rPr>
          <w:rFonts w:cs="Arial"/>
          <w:sz w:val="24"/>
          <w:szCs w:val="24"/>
        </w:rPr>
        <w:t xml:space="preserve">nsufficient time in clinics </w:t>
      </w:r>
      <w:r w:rsidR="005220E1" w:rsidRPr="006A7000">
        <w:rPr>
          <w:rFonts w:cs="Arial"/>
          <w:sz w:val="24"/>
          <w:szCs w:val="24"/>
        </w:rPr>
        <w:t>for</w:t>
      </w:r>
      <w:r w:rsidR="00C50459" w:rsidRPr="006A7000">
        <w:rPr>
          <w:rFonts w:cs="Arial"/>
          <w:sz w:val="24"/>
          <w:szCs w:val="24"/>
        </w:rPr>
        <w:t xml:space="preserve"> research</w:t>
      </w:r>
      <w:r w:rsidR="005038F9" w:rsidRPr="006A7000">
        <w:rPr>
          <w:rFonts w:cs="Arial"/>
          <w:sz w:val="24"/>
          <w:szCs w:val="24"/>
        </w:rPr>
        <w:t>.</w:t>
      </w:r>
      <w:r w:rsidR="00F65B7B" w:rsidRPr="006A7000">
        <w:rPr>
          <w:rFonts w:cs="Arial"/>
          <w:sz w:val="24"/>
          <w:szCs w:val="24"/>
          <w:vertAlign w:val="superscript"/>
        </w:rPr>
        <w:t>1</w:t>
      </w:r>
      <w:r w:rsidR="00F96948" w:rsidRPr="006A7000">
        <w:rPr>
          <w:rFonts w:cs="Arial"/>
          <w:sz w:val="24"/>
          <w:szCs w:val="24"/>
          <w:vertAlign w:val="superscript"/>
        </w:rPr>
        <w:t>7</w:t>
      </w:r>
      <w:r w:rsidR="005038F9" w:rsidRPr="006A7000">
        <w:rPr>
          <w:rFonts w:cs="Arial"/>
          <w:sz w:val="24"/>
          <w:szCs w:val="24"/>
        </w:rPr>
        <w:t xml:space="preserve"> </w:t>
      </w:r>
      <w:r w:rsidR="00641D7F" w:rsidRPr="006A7000">
        <w:rPr>
          <w:rFonts w:cs="Arial"/>
          <w:sz w:val="24"/>
          <w:szCs w:val="24"/>
        </w:rPr>
        <w:t>Rather than ignor</w:t>
      </w:r>
      <w:r w:rsidR="00DB643B" w:rsidRPr="006A7000">
        <w:rPr>
          <w:rFonts w:cs="Arial"/>
          <w:sz w:val="24"/>
          <w:szCs w:val="24"/>
        </w:rPr>
        <w:t>ing</w:t>
      </w:r>
      <w:r w:rsidR="00641D7F" w:rsidRPr="006A7000">
        <w:rPr>
          <w:rFonts w:cs="Arial"/>
          <w:sz w:val="24"/>
          <w:szCs w:val="24"/>
        </w:rPr>
        <w:t xml:space="preserve"> </w:t>
      </w:r>
      <w:r w:rsidR="0030052B" w:rsidRPr="006A7000">
        <w:rPr>
          <w:rFonts w:cs="Arial"/>
          <w:sz w:val="24"/>
          <w:szCs w:val="24"/>
        </w:rPr>
        <w:t>these patients</w:t>
      </w:r>
      <w:r w:rsidR="00DB643B" w:rsidRPr="006A7000">
        <w:rPr>
          <w:rFonts w:cs="Arial"/>
          <w:sz w:val="24"/>
          <w:szCs w:val="24"/>
        </w:rPr>
        <w:t xml:space="preserve"> </w:t>
      </w:r>
      <w:r w:rsidR="00641D7F" w:rsidRPr="006A7000">
        <w:rPr>
          <w:rFonts w:cs="Arial"/>
          <w:sz w:val="24"/>
          <w:szCs w:val="24"/>
        </w:rPr>
        <w:t>we</w:t>
      </w:r>
      <w:r w:rsidRPr="006A7000">
        <w:rPr>
          <w:rFonts w:cs="Arial"/>
          <w:sz w:val="24"/>
          <w:szCs w:val="24"/>
        </w:rPr>
        <w:t xml:space="preserve"> </w:t>
      </w:r>
      <w:r w:rsidR="0030052B" w:rsidRPr="006A7000">
        <w:rPr>
          <w:rFonts w:cs="Arial"/>
          <w:sz w:val="24"/>
          <w:szCs w:val="24"/>
        </w:rPr>
        <w:t>specifically included</w:t>
      </w:r>
      <w:r w:rsidR="00641D7F" w:rsidRPr="006A7000">
        <w:rPr>
          <w:rFonts w:cs="Arial"/>
          <w:sz w:val="24"/>
          <w:szCs w:val="24"/>
        </w:rPr>
        <w:t xml:space="preserve"> them in</w:t>
      </w:r>
      <w:r w:rsidRPr="006A7000">
        <w:rPr>
          <w:rFonts w:cs="Arial"/>
          <w:sz w:val="24"/>
          <w:szCs w:val="24"/>
        </w:rPr>
        <w:t xml:space="preserve"> the SEND protocol</w:t>
      </w:r>
      <w:r w:rsidR="00641D7F" w:rsidRPr="006A7000">
        <w:rPr>
          <w:rFonts w:cs="Arial"/>
          <w:sz w:val="24"/>
          <w:szCs w:val="24"/>
        </w:rPr>
        <w:t xml:space="preserve">, </w:t>
      </w:r>
      <w:r w:rsidR="005220E1" w:rsidRPr="006A7000">
        <w:rPr>
          <w:rFonts w:cs="Arial"/>
          <w:sz w:val="24"/>
          <w:szCs w:val="24"/>
        </w:rPr>
        <w:t>t</w:t>
      </w:r>
      <w:r w:rsidR="00641D7F" w:rsidRPr="006A7000">
        <w:rPr>
          <w:rFonts w:cs="Arial"/>
          <w:sz w:val="24"/>
          <w:szCs w:val="24"/>
        </w:rPr>
        <w:t>o be analysed separately</w:t>
      </w:r>
      <w:r w:rsidR="005220E1" w:rsidRPr="006A7000">
        <w:rPr>
          <w:rFonts w:cs="Arial"/>
          <w:sz w:val="24"/>
          <w:szCs w:val="24"/>
        </w:rPr>
        <w:t xml:space="preserve"> to the </w:t>
      </w:r>
      <w:r w:rsidR="00ED0948" w:rsidRPr="006A7000">
        <w:rPr>
          <w:rFonts w:cs="Arial"/>
          <w:sz w:val="24"/>
          <w:szCs w:val="24"/>
        </w:rPr>
        <w:t>randomised</w:t>
      </w:r>
      <w:r w:rsidR="005220E1" w:rsidRPr="006A7000">
        <w:rPr>
          <w:rFonts w:cs="Arial"/>
          <w:sz w:val="24"/>
          <w:szCs w:val="24"/>
        </w:rPr>
        <w:t xml:space="preserve"> </w:t>
      </w:r>
      <w:r w:rsidR="00D20990" w:rsidRPr="006A7000">
        <w:rPr>
          <w:rFonts w:cs="Arial"/>
          <w:sz w:val="24"/>
          <w:szCs w:val="24"/>
        </w:rPr>
        <w:t>group</w:t>
      </w:r>
      <w:r w:rsidR="00282EB4" w:rsidRPr="006A7000">
        <w:rPr>
          <w:rFonts w:cs="Arial"/>
          <w:sz w:val="24"/>
          <w:szCs w:val="24"/>
        </w:rPr>
        <w:t xml:space="preserve"> as a form of real world cohort</w:t>
      </w:r>
      <w:r w:rsidR="00DE07E3" w:rsidRPr="006A7000">
        <w:rPr>
          <w:rFonts w:cs="Arial"/>
          <w:sz w:val="24"/>
          <w:szCs w:val="24"/>
        </w:rPr>
        <w:t xml:space="preserve">, to help address </w:t>
      </w:r>
      <w:r w:rsidR="00E23372" w:rsidRPr="006A7000">
        <w:rPr>
          <w:rFonts w:cs="Arial"/>
          <w:sz w:val="24"/>
          <w:szCs w:val="24"/>
        </w:rPr>
        <w:t xml:space="preserve">potential </w:t>
      </w:r>
      <w:r w:rsidR="00DE07E3" w:rsidRPr="006A7000">
        <w:rPr>
          <w:rFonts w:cs="Arial"/>
          <w:sz w:val="24"/>
          <w:szCs w:val="24"/>
        </w:rPr>
        <w:t>selection bias amongst the randomised patients</w:t>
      </w:r>
      <w:r w:rsidR="009842D4" w:rsidRPr="006A7000">
        <w:rPr>
          <w:rFonts w:cs="Arial"/>
          <w:sz w:val="24"/>
          <w:szCs w:val="24"/>
        </w:rPr>
        <w:t xml:space="preserve">. </w:t>
      </w:r>
      <w:r w:rsidR="00641D7F" w:rsidRPr="006A7000">
        <w:rPr>
          <w:rFonts w:cs="Arial"/>
          <w:sz w:val="24"/>
          <w:szCs w:val="24"/>
        </w:rPr>
        <w:t xml:space="preserve">We obtained </w:t>
      </w:r>
      <w:r w:rsidR="00570C60" w:rsidRPr="006A7000">
        <w:rPr>
          <w:rFonts w:cs="Arial"/>
          <w:sz w:val="24"/>
          <w:szCs w:val="24"/>
        </w:rPr>
        <w:t xml:space="preserve">ethical approval and </w:t>
      </w:r>
      <w:r w:rsidR="00641D7F" w:rsidRPr="006A7000">
        <w:rPr>
          <w:rFonts w:cs="Arial"/>
          <w:sz w:val="24"/>
          <w:szCs w:val="24"/>
        </w:rPr>
        <w:t xml:space="preserve">patient consent to collect </w:t>
      </w:r>
      <w:r w:rsidR="00F07652" w:rsidRPr="006A7000">
        <w:rPr>
          <w:rFonts w:cs="Arial"/>
          <w:sz w:val="24"/>
          <w:szCs w:val="24"/>
        </w:rPr>
        <w:t xml:space="preserve">data </w:t>
      </w:r>
      <w:r w:rsidR="0055791A" w:rsidRPr="006A7000">
        <w:rPr>
          <w:rFonts w:cs="Arial"/>
          <w:sz w:val="24"/>
          <w:szCs w:val="24"/>
        </w:rPr>
        <w:t xml:space="preserve">prospectively </w:t>
      </w:r>
      <w:r w:rsidR="00F665DA" w:rsidRPr="006A7000">
        <w:rPr>
          <w:rFonts w:cs="Arial"/>
          <w:sz w:val="24"/>
          <w:szCs w:val="24"/>
        </w:rPr>
        <w:t>from</w:t>
      </w:r>
      <w:r w:rsidR="00221268" w:rsidRPr="006A7000">
        <w:rPr>
          <w:rFonts w:cs="Arial"/>
          <w:sz w:val="24"/>
          <w:szCs w:val="24"/>
        </w:rPr>
        <w:t xml:space="preserve"> the medical records of</w:t>
      </w:r>
      <w:r w:rsidR="00976C4D" w:rsidRPr="006A7000">
        <w:rPr>
          <w:rFonts w:cs="Arial"/>
          <w:sz w:val="24"/>
          <w:szCs w:val="24"/>
        </w:rPr>
        <w:t xml:space="preserve"> </w:t>
      </w:r>
      <w:r w:rsidR="00641D7F" w:rsidRPr="006A7000">
        <w:rPr>
          <w:rFonts w:cs="Arial"/>
          <w:sz w:val="24"/>
          <w:szCs w:val="24"/>
        </w:rPr>
        <w:t xml:space="preserve">eligible </w:t>
      </w:r>
      <w:r w:rsidR="00976C4D" w:rsidRPr="006A7000">
        <w:rPr>
          <w:rFonts w:cs="Arial"/>
          <w:sz w:val="24"/>
          <w:szCs w:val="24"/>
        </w:rPr>
        <w:t xml:space="preserve">patients </w:t>
      </w:r>
      <w:r w:rsidR="00391E5A" w:rsidRPr="006A7000">
        <w:rPr>
          <w:rFonts w:cs="Arial"/>
          <w:sz w:val="24"/>
          <w:szCs w:val="24"/>
        </w:rPr>
        <w:t xml:space="preserve">who </w:t>
      </w:r>
      <w:r w:rsidR="00F86BA1" w:rsidRPr="006A7000">
        <w:rPr>
          <w:rFonts w:cs="Arial"/>
          <w:sz w:val="24"/>
          <w:szCs w:val="24"/>
        </w:rPr>
        <w:t xml:space="preserve">either </w:t>
      </w:r>
      <w:r w:rsidR="00976C4D" w:rsidRPr="006A7000">
        <w:rPr>
          <w:rFonts w:cs="Arial"/>
          <w:sz w:val="24"/>
          <w:szCs w:val="24"/>
        </w:rPr>
        <w:t>declined</w:t>
      </w:r>
      <w:r w:rsidR="00F86BA1" w:rsidRPr="006A7000">
        <w:rPr>
          <w:rFonts w:cs="Arial"/>
          <w:sz w:val="24"/>
          <w:szCs w:val="24"/>
        </w:rPr>
        <w:t xml:space="preserve"> </w:t>
      </w:r>
      <w:r w:rsidR="00221268" w:rsidRPr="006A7000">
        <w:rPr>
          <w:rFonts w:cs="Arial"/>
          <w:sz w:val="24"/>
          <w:szCs w:val="24"/>
        </w:rPr>
        <w:t>randomis</w:t>
      </w:r>
      <w:r w:rsidR="005E1430" w:rsidRPr="006A7000">
        <w:rPr>
          <w:rFonts w:cs="Arial"/>
          <w:sz w:val="24"/>
          <w:szCs w:val="24"/>
        </w:rPr>
        <w:t>ation</w:t>
      </w:r>
      <w:r w:rsidR="00976C4D" w:rsidRPr="006A7000">
        <w:rPr>
          <w:rFonts w:cs="Arial"/>
          <w:sz w:val="24"/>
          <w:szCs w:val="24"/>
        </w:rPr>
        <w:t xml:space="preserve"> </w:t>
      </w:r>
      <w:r w:rsidR="00F86BA1" w:rsidRPr="006A7000">
        <w:rPr>
          <w:rFonts w:cs="Arial"/>
          <w:sz w:val="24"/>
          <w:szCs w:val="24"/>
        </w:rPr>
        <w:t>or</w:t>
      </w:r>
      <w:r w:rsidR="004406B5" w:rsidRPr="006A7000">
        <w:rPr>
          <w:rFonts w:cs="Arial"/>
          <w:sz w:val="24"/>
          <w:szCs w:val="24"/>
        </w:rPr>
        <w:t xml:space="preserve"> </w:t>
      </w:r>
      <w:r w:rsidR="00976C4D" w:rsidRPr="006A7000">
        <w:rPr>
          <w:rFonts w:cs="Arial"/>
          <w:sz w:val="24"/>
          <w:szCs w:val="24"/>
        </w:rPr>
        <w:t>were not approached</w:t>
      </w:r>
      <w:r w:rsidR="004C2689" w:rsidRPr="006A7000">
        <w:rPr>
          <w:rFonts w:cs="Arial"/>
          <w:sz w:val="24"/>
          <w:szCs w:val="24"/>
        </w:rPr>
        <w:t>.</w:t>
      </w:r>
      <w:r w:rsidRPr="006A7000">
        <w:rPr>
          <w:rFonts w:cs="Arial"/>
          <w:sz w:val="24"/>
          <w:szCs w:val="24"/>
        </w:rPr>
        <w:t xml:space="preserve"> </w:t>
      </w:r>
      <w:r w:rsidR="00296E36" w:rsidRPr="006A7000">
        <w:rPr>
          <w:rFonts w:cs="Arial"/>
          <w:sz w:val="24"/>
          <w:szCs w:val="24"/>
        </w:rPr>
        <w:t>T</w:t>
      </w:r>
      <w:r w:rsidR="00EA38BE" w:rsidRPr="006A7000">
        <w:rPr>
          <w:rFonts w:cs="Arial"/>
          <w:sz w:val="24"/>
          <w:szCs w:val="24"/>
        </w:rPr>
        <w:t xml:space="preserve">hese data </w:t>
      </w:r>
      <w:r w:rsidR="00296E36" w:rsidRPr="006A7000">
        <w:rPr>
          <w:rFonts w:cs="Arial"/>
          <w:sz w:val="24"/>
          <w:szCs w:val="24"/>
        </w:rPr>
        <w:t xml:space="preserve">would be used </w:t>
      </w:r>
      <w:r w:rsidR="00EA38BE" w:rsidRPr="006A7000">
        <w:rPr>
          <w:rFonts w:cs="Arial"/>
          <w:sz w:val="24"/>
          <w:szCs w:val="24"/>
        </w:rPr>
        <w:t xml:space="preserve">as supporting evidence for </w:t>
      </w:r>
      <w:r w:rsidR="0030052B" w:rsidRPr="006A7000">
        <w:rPr>
          <w:rFonts w:cs="Arial"/>
          <w:sz w:val="24"/>
          <w:szCs w:val="24"/>
        </w:rPr>
        <w:t>the main trial</w:t>
      </w:r>
      <w:r w:rsidR="00EA38BE" w:rsidRPr="006A7000">
        <w:rPr>
          <w:rFonts w:cs="Arial"/>
          <w:sz w:val="24"/>
          <w:szCs w:val="24"/>
        </w:rPr>
        <w:t xml:space="preserve">, acknowledging </w:t>
      </w:r>
      <w:r w:rsidR="004406B5" w:rsidRPr="006A7000">
        <w:rPr>
          <w:rFonts w:cs="Arial"/>
          <w:sz w:val="24"/>
          <w:szCs w:val="24"/>
        </w:rPr>
        <w:t>potential differences in patient characteristics</w:t>
      </w:r>
      <w:r w:rsidR="00EA38BE" w:rsidRPr="006A7000">
        <w:rPr>
          <w:rFonts w:cs="Arial"/>
          <w:sz w:val="24"/>
          <w:szCs w:val="24"/>
        </w:rPr>
        <w:t>.</w:t>
      </w:r>
      <w:r w:rsidR="005038F9" w:rsidRPr="006A7000">
        <w:rPr>
          <w:rFonts w:cs="Arial"/>
          <w:sz w:val="24"/>
          <w:szCs w:val="24"/>
        </w:rPr>
        <w:t xml:space="preserve"> </w:t>
      </w:r>
      <w:r w:rsidR="00282EB4" w:rsidRPr="006A7000">
        <w:rPr>
          <w:rFonts w:cs="Arial"/>
          <w:sz w:val="24"/>
          <w:szCs w:val="24"/>
        </w:rPr>
        <w:t xml:space="preserve">This approach </w:t>
      </w:r>
      <w:r w:rsidR="00296E36" w:rsidRPr="006A7000">
        <w:rPr>
          <w:rFonts w:cs="Arial"/>
          <w:sz w:val="24"/>
          <w:szCs w:val="24"/>
        </w:rPr>
        <w:t xml:space="preserve">of examining evidence from </w:t>
      </w:r>
      <w:r w:rsidR="006D74C6" w:rsidRPr="006A7000">
        <w:rPr>
          <w:rFonts w:cs="Arial"/>
          <w:sz w:val="24"/>
          <w:szCs w:val="24"/>
        </w:rPr>
        <w:t xml:space="preserve">both </w:t>
      </w:r>
      <w:r w:rsidR="00296E36" w:rsidRPr="006A7000">
        <w:rPr>
          <w:rFonts w:cs="Arial"/>
          <w:sz w:val="24"/>
          <w:szCs w:val="24"/>
        </w:rPr>
        <w:t xml:space="preserve">randomised trials and real world data from routine practice </w:t>
      </w:r>
      <w:r w:rsidR="00883454" w:rsidRPr="006A7000">
        <w:rPr>
          <w:rFonts w:cs="Arial"/>
          <w:sz w:val="24"/>
          <w:szCs w:val="24"/>
        </w:rPr>
        <w:t>can give</w:t>
      </w:r>
      <w:r w:rsidR="003402DF" w:rsidRPr="006A7000">
        <w:rPr>
          <w:rFonts w:cs="Arial"/>
          <w:sz w:val="24"/>
          <w:szCs w:val="24"/>
        </w:rPr>
        <w:t xml:space="preserve"> </w:t>
      </w:r>
      <w:r w:rsidR="00296E36" w:rsidRPr="006A7000">
        <w:rPr>
          <w:rFonts w:cs="Arial"/>
          <w:sz w:val="24"/>
          <w:szCs w:val="24"/>
        </w:rPr>
        <w:t xml:space="preserve">a </w:t>
      </w:r>
      <w:r w:rsidR="003837B9" w:rsidRPr="006A7000">
        <w:rPr>
          <w:rFonts w:cs="Arial"/>
          <w:sz w:val="24"/>
          <w:szCs w:val="24"/>
        </w:rPr>
        <w:t xml:space="preserve">more </w:t>
      </w:r>
      <w:r w:rsidR="00221268" w:rsidRPr="006A7000">
        <w:rPr>
          <w:rFonts w:cs="Arial"/>
          <w:sz w:val="24"/>
          <w:szCs w:val="24"/>
        </w:rPr>
        <w:t>comprehensive account of the efficacy</w:t>
      </w:r>
      <w:r w:rsidR="003837B9" w:rsidRPr="006A7000">
        <w:rPr>
          <w:rFonts w:cs="Arial"/>
          <w:sz w:val="24"/>
          <w:szCs w:val="24"/>
        </w:rPr>
        <w:t xml:space="preserve"> </w:t>
      </w:r>
      <w:r w:rsidR="005B5665" w:rsidRPr="006A7000">
        <w:rPr>
          <w:rFonts w:cs="Arial"/>
          <w:sz w:val="24"/>
          <w:szCs w:val="24"/>
        </w:rPr>
        <w:t xml:space="preserve">and safety </w:t>
      </w:r>
      <w:r w:rsidR="003837B9" w:rsidRPr="006A7000">
        <w:rPr>
          <w:rFonts w:cs="Arial"/>
          <w:sz w:val="24"/>
          <w:szCs w:val="24"/>
        </w:rPr>
        <w:t>of a therapy</w:t>
      </w:r>
      <w:r w:rsidR="00221268" w:rsidRPr="006A7000">
        <w:rPr>
          <w:rFonts w:cs="Arial"/>
          <w:sz w:val="24"/>
          <w:szCs w:val="24"/>
        </w:rPr>
        <w:t>.</w:t>
      </w:r>
      <w:r w:rsidR="006D74C6" w:rsidRPr="006A7000">
        <w:rPr>
          <w:rFonts w:cs="Arial"/>
          <w:sz w:val="24"/>
          <w:szCs w:val="24"/>
          <w:vertAlign w:val="superscript"/>
        </w:rPr>
        <w:t>1</w:t>
      </w:r>
      <w:r w:rsidR="00F96948" w:rsidRPr="006A7000">
        <w:rPr>
          <w:rFonts w:cs="Arial"/>
          <w:sz w:val="24"/>
          <w:szCs w:val="24"/>
          <w:vertAlign w:val="superscript"/>
        </w:rPr>
        <w:t>8</w:t>
      </w:r>
    </w:p>
    <w:p w14:paraId="32B2C030" w14:textId="77777777" w:rsidR="006C0CAB" w:rsidRPr="006A7000" w:rsidRDefault="006C0CAB" w:rsidP="00B95772">
      <w:pPr>
        <w:spacing w:line="480" w:lineRule="auto"/>
        <w:rPr>
          <w:sz w:val="24"/>
          <w:szCs w:val="24"/>
        </w:rPr>
      </w:pPr>
    </w:p>
    <w:p w14:paraId="0E83CBCE" w14:textId="77777777" w:rsidR="00DF19B8" w:rsidRPr="006A7000" w:rsidRDefault="00DF19B8" w:rsidP="00B95772">
      <w:pPr>
        <w:spacing w:line="480" w:lineRule="auto"/>
        <w:rPr>
          <w:i/>
          <w:sz w:val="24"/>
          <w:szCs w:val="24"/>
        </w:rPr>
      </w:pPr>
      <w:r w:rsidRPr="006A7000">
        <w:rPr>
          <w:i/>
          <w:sz w:val="24"/>
          <w:szCs w:val="24"/>
        </w:rPr>
        <w:t>Interventions</w:t>
      </w:r>
      <w:r w:rsidR="006B4E48" w:rsidRPr="006A7000">
        <w:rPr>
          <w:i/>
          <w:sz w:val="24"/>
          <w:szCs w:val="24"/>
        </w:rPr>
        <w:t xml:space="preserve"> and procedures</w:t>
      </w:r>
    </w:p>
    <w:p w14:paraId="712E538F" w14:textId="77777777" w:rsidR="004E078B" w:rsidRPr="006A7000" w:rsidRDefault="00327C77" w:rsidP="00B95772">
      <w:pPr>
        <w:autoSpaceDE w:val="0"/>
        <w:autoSpaceDN w:val="0"/>
        <w:adjustRightInd w:val="0"/>
        <w:spacing w:after="0" w:line="480" w:lineRule="auto"/>
        <w:rPr>
          <w:rFonts w:cs="Arial"/>
          <w:sz w:val="24"/>
          <w:szCs w:val="24"/>
        </w:rPr>
      </w:pPr>
      <w:r w:rsidRPr="006A7000">
        <w:rPr>
          <w:rFonts w:cs="Arial"/>
          <w:sz w:val="24"/>
          <w:szCs w:val="24"/>
        </w:rPr>
        <w:lastRenderedPageBreak/>
        <w:t>For</w:t>
      </w:r>
      <w:r w:rsidR="008B6B1B" w:rsidRPr="006A7000">
        <w:rPr>
          <w:rFonts w:cs="Arial"/>
          <w:sz w:val="24"/>
          <w:szCs w:val="24"/>
        </w:rPr>
        <w:t xml:space="preserve"> control patients, r</w:t>
      </w:r>
      <w:r w:rsidR="00D21A59" w:rsidRPr="006A7000">
        <w:rPr>
          <w:rFonts w:cs="Arial"/>
          <w:sz w:val="24"/>
          <w:szCs w:val="24"/>
        </w:rPr>
        <w:t xml:space="preserve">esection </w:t>
      </w:r>
      <w:r w:rsidR="008B6B1B" w:rsidRPr="006A7000">
        <w:rPr>
          <w:rFonts w:cs="Arial"/>
          <w:sz w:val="24"/>
          <w:szCs w:val="24"/>
        </w:rPr>
        <w:t>of the primary tumour</w:t>
      </w:r>
      <w:r w:rsidR="00670D06" w:rsidRPr="006A7000">
        <w:rPr>
          <w:rFonts w:cs="Arial"/>
          <w:sz w:val="24"/>
          <w:szCs w:val="24"/>
        </w:rPr>
        <w:t xml:space="preserve"> was </w:t>
      </w:r>
      <w:r w:rsidR="005A6B38" w:rsidRPr="006A7000">
        <w:rPr>
          <w:rFonts w:cs="Arial"/>
          <w:sz w:val="24"/>
          <w:szCs w:val="24"/>
        </w:rPr>
        <w:t>done through the open mouth</w:t>
      </w:r>
      <w:r w:rsidR="00670D06" w:rsidRPr="006A7000">
        <w:rPr>
          <w:rFonts w:cs="Arial"/>
          <w:sz w:val="24"/>
          <w:szCs w:val="24"/>
        </w:rPr>
        <w:t>, without</w:t>
      </w:r>
      <w:r w:rsidR="005A6B38" w:rsidRPr="006A7000">
        <w:rPr>
          <w:rFonts w:cs="Arial"/>
          <w:sz w:val="24"/>
          <w:szCs w:val="24"/>
        </w:rPr>
        <w:t xml:space="preserve"> neck incisions </w:t>
      </w:r>
      <w:r w:rsidR="008E7D23" w:rsidRPr="006A7000">
        <w:rPr>
          <w:rFonts w:cs="Arial"/>
          <w:sz w:val="24"/>
          <w:szCs w:val="24"/>
        </w:rPr>
        <w:t>or neck s</w:t>
      </w:r>
      <w:r w:rsidR="005A6B38" w:rsidRPr="006A7000">
        <w:rPr>
          <w:rFonts w:cs="Arial"/>
          <w:sz w:val="24"/>
          <w:szCs w:val="24"/>
        </w:rPr>
        <w:t>urgery. S</w:t>
      </w:r>
      <w:r w:rsidR="008E7D23" w:rsidRPr="006A7000">
        <w:rPr>
          <w:rFonts w:cs="Arial"/>
          <w:sz w:val="24"/>
          <w:szCs w:val="24"/>
        </w:rPr>
        <w:t>urgeon</w:t>
      </w:r>
      <w:r w:rsidR="005A6B38" w:rsidRPr="006A7000">
        <w:rPr>
          <w:rFonts w:cs="Arial"/>
          <w:sz w:val="24"/>
          <w:szCs w:val="24"/>
        </w:rPr>
        <w:t>s</w:t>
      </w:r>
      <w:r w:rsidR="008E7D23" w:rsidRPr="006A7000">
        <w:rPr>
          <w:rFonts w:cs="Arial"/>
          <w:sz w:val="24"/>
          <w:szCs w:val="24"/>
        </w:rPr>
        <w:t xml:space="preserve"> aim</w:t>
      </w:r>
      <w:r w:rsidR="005A6B38" w:rsidRPr="006A7000">
        <w:rPr>
          <w:rFonts w:cs="Arial"/>
          <w:sz w:val="24"/>
          <w:szCs w:val="24"/>
        </w:rPr>
        <w:t xml:space="preserve">ed for </w:t>
      </w:r>
      <w:r w:rsidR="00BE080B" w:rsidRPr="006A7000">
        <w:rPr>
          <w:rFonts w:cs="Arial"/>
          <w:sz w:val="24"/>
          <w:szCs w:val="24"/>
        </w:rPr>
        <w:t xml:space="preserve">a </w:t>
      </w:r>
      <w:r w:rsidR="00FD1B43" w:rsidRPr="006A7000">
        <w:rPr>
          <w:rFonts w:cs="Arial"/>
          <w:sz w:val="24"/>
          <w:szCs w:val="24"/>
        </w:rPr>
        <w:t>&gt;5</w:t>
      </w:r>
      <w:r w:rsidR="008E7D23" w:rsidRPr="006A7000">
        <w:rPr>
          <w:rFonts w:cs="Arial"/>
          <w:sz w:val="24"/>
          <w:szCs w:val="24"/>
        </w:rPr>
        <w:t>mm cle</w:t>
      </w:r>
      <w:r w:rsidR="005A6B38" w:rsidRPr="006A7000">
        <w:rPr>
          <w:rFonts w:cs="Arial"/>
          <w:sz w:val="24"/>
          <w:szCs w:val="24"/>
        </w:rPr>
        <w:t xml:space="preserve">arance of </w:t>
      </w:r>
      <w:r w:rsidR="00BE080B" w:rsidRPr="006A7000">
        <w:rPr>
          <w:rFonts w:cs="Arial"/>
          <w:sz w:val="24"/>
          <w:szCs w:val="24"/>
        </w:rPr>
        <w:t xml:space="preserve">the </w:t>
      </w:r>
      <w:r w:rsidR="005A6B38" w:rsidRPr="006A7000">
        <w:rPr>
          <w:rFonts w:cs="Arial"/>
          <w:sz w:val="24"/>
          <w:szCs w:val="24"/>
        </w:rPr>
        <w:t xml:space="preserve">tumour </w:t>
      </w:r>
      <w:r w:rsidR="008E7D23" w:rsidRPr="006A7000">
        <w:rPr>
          <w:rFonts w:cs="Arial"/>
          <w:sz w:val="24"/>
          <w:szCs w:val="24"/>
        </w:rPr>
        <w:t>at all margins and in all planes</w:t>
      </w:r>
      <w:r w:rsidR="005A6B38" w:rsidRPr="006A7000">
        <w:rPr>
          <w:rFonts w:cs="Arial"/>
          <w:sz w:val="24"/>
          <w:szCs w:val="24"/>
        </w:rPr>
        <w:t xml:space="preserve">. </w:t>
      </w:r>
      <w:r w:rsidR="008E7D23" w:rsidRPr="006A7000">
        <w:rPr>
          <w:rFonts w:cs="Arial"/>
          <w:sz w:val="24"/>
          <w:szCs w:val="24"/>
        </w:rPr>
        <w:t xml:space="preserve">Reconstruction </w:t>
      </w:r>
      <w:r w:rsidR="005A6B38" w:rsidRPr="006A7000">
        <w:rPr>
          <w:rFonts w:cs="Arial"/>
          <w:sz w:val="24"/>
          <w:szCs w:val="24"/>
        </w:rPr>
        <w:t>was allowed</w:t>
      </w:r>
      <w:r w:rsidR="008E7D23" w:rsidRPr="006A7000">
        <w:rPr>
          <w:rFonts w:cs="Arial"/>
          <w:sz w:val="24"/>
          <w:szCs w:val="24"/>
        </w:rPr>
        <w:t xml:space="preserve"> but </w:t>
      </w:r>
      <w:r w:rsidR="005A6B38" w:rsidRPr="006A7000">
        <w:rPr>
          <w:rFonts w:cs="Arial"/>
          <w:sz w:val="24"/>
          <w:szCs w:val="24"/>
        </w:rPr>
        <w:t xml:space="preserve">not if it involved </w:t>
      </w:r>
      <w:r w:rsidR="008E7D23" w:rsidRPr="006A7000">
        <w:rPr>
          <w:rFonts w:cs="Arial"/>
          <w:sz w:val="24"/>
          <w:szCs w:val="24"/>
        </w:rPr>
        <w:t>any neck surg</w:t>
      </w:r>
      <w:r w:rsidR="00174952" w:rsidRPr="006A7000">
        <w:rPr>
          <w:rFonts w:cs="Arial"/>
          <w:sz w:val="24"/>
          <w:szCs w:val="24"/>
        </w:rPr>
        <w:t>ery</w:t>
      </w:r>
      <w:r w:rsidR="004E078B" w:rsidRPr="006A7000">
        <w:rPr>
          <w:rFonts w:cs="Arial"/>
          <w:sz w:val="24"/>
          <w:szCs w:val="24"/>
        </w:rPr>
        <w:t>.</w:t>
      </w:r>
    </w:p>
    <w:p w14:paraId="194877DB" w14:textId="77777777" w:rsidR="004E078B" w:rsidRPr="006A7000" w:rsidRDefault="004E078B" w:rsidP="00B95772">
      <w:pPr>
        <w:autoSpaceDE w:val="0"/>
        <w:autoSpaceDN w:val="0"/>
        <w:adjustRightInd w:val="0"/>
        <w:spacing w:after="0" w:line="480" w:lineRule="auto"/>
        <w:rPr>
          <w:rFonts w:cs="Arial"/>
          <w:sz w:val="24"/>
          <w:szCs w:val="24"/>
        </w:rPr>
      </w:pPr>
    </w:p>
    <w:p w14:paraId="0C2ADD69" w14:textId="4F2443C1" w:rsidR="00544A3B" w:rsidRPr="006A7000" w:rsidRDefault="00670D06" w:rsidP="00B95772">
      <w:pPr>
        <w:spacing w:line="480" w:lineRule="auto"/>
        <w:jc w:val="both"/>
        <w:rPr>
          <w:rFonts w:cs="Arial"/>
          <w:sz w:val="24"/>
          <w:szCs w:val="24"/>
        </w:rPr>
      </w:pPr>
      <w:r w:rsidRPr="006A7000">
        <w:rPr>
          <w:rFonts w:cs="Arial"/>
          <w:sz w:val="24"/>
          <w:szCs w:val="24"/>
        </w:rPr>
        <w:t>Th</w:t>
      </w:r>
      <w:r w:rsidR="00F05FCC" w:rsidRPr="006A7000">
        <w:rPr>
          <w:rFonts w:cs="Arial"/>
          <w:sz w:val="24"/>
          <w:szCs w:val="24"/>
        </w:rPr>
        <w:t>e standard END</w:t>
      </w:r>
      <w:r w:rsidR="00D21A59" w:rsidRPr="006A7000">
        <w:rPr>
          <w:rFonts w:cs="Arial"/>
          <w:sz w:val="24"/>
          <w:szCs w:val="24"/>
        </w:rPr>
        <w:t xml:space="preserve"> involved</w:t>
      </w:r>
      <w:r w:rsidR="008E7D23" w:rsidRPr="006A7000">
        <w:rPr>
          <w:rFonts w:cs="Arial"/>
          <w:sz w:val="24"/>
          <w:szCs w:val="24"/>
        </w:rPr>
        <w:t xml:space="preserve"> harvest</w:t>
      </w:r>
      <w:r w:rsidRPr="006A7000">
        <w:rPr>
          <w:rFonts w:cs="Arial"/>
          <w:sz w:val="24"/>
          <w:szCs w:val="24"/>
        </w:rPr>
        <w:t>ing</w:t>
      </w:r>
      <w:r w:rsidR="008E7D23" w:rsidRPr="006A7000">
        <w:rPr>
          <w:rFonts w:cs="Arial"/>
          <w:sz w:val="24"/>
          <w:szCs w:val="24"/>
        </w:rPr>
        <w:t xml:space="preserve"> lymph nodes from leve</w:t>
      </w:r>
      <w:r w:rsidRPr="006A7000">
        <w:rPr>
          <w:rFonts w:cs="Arial"/>
          <w:sz w:val="24"/>
          <w:szCs w:val="24"/>
        </w:rPr>
        <w:t>ls I-IV including levels Ia/</w:t>
      </w:r>
      <w:r w:rsidR="008E7D23" w:rsidRPr="006A7000">
        <w:rPr>
          <w:rFonts w:cs="Arial"/>
          <w:sz w:val="24"/>
          <w:szCs w:val="24"/>
        </w:rPr>
        <w:t>b</w:t>
      </w:r>
      <w:r w:rsidRPr="006A7000">
        <w:rPr>
          <w:rFonts w:cs="Arial"/>
          <w:sz w:val="24"/>
          <w:szCs w:val="24"/>
        </w:rPr>
        <w:t xml:space="preserve"> </w:t>
      </w:r>
      <w:r w:rsidR="008E7D23" w:rsidRPr="006A7000">
        <w:rPr>
          <w:rFonts w:cs="Arial"/>
          <w:sz w:val="24"/>
          <w:szCs w:val="24"/>
        </w:rPr>
        <w:t>and IIa</w:t>
      </w:r>
      <w:r w:rsidRPr="006A7000">
        <w:rPr>
          <w:rFonts w:cs="Arial"/>
          <w:sz w:val="24"/>
          <w:szCs w:val="24"/>
        </w:rPr>
        <w:t>/b</w:t>
      </w:r>
      <w:r w:rsidR="008A7FD9" w:rsidRPr="006A7000">
        <w:rPr>
          <w:rFonts w:cs="Arial"/>
          <w:sz w:val="24"/>
          <w:szCs w:val="24"/>
        </w:rPr>
        <w:t xml:space="preserve"> on the same side as the tumour (ipsilateral)</w:t>
      </w:r>
      <w:r w:rsidRPr="006A7000">
        <w:rPr>
          <w:rFonts w:cs="Arial"/>
          <w:sz w:val="24"/>
          <w:szCs w:val="24"/>
        </w:rPr>
        <w:t xml:space="preserve">. </w:t>
      </w:r>
      <w:r w:rsidR="008E7D23" w:rsidRPr="006A7000">
        <w:rPr>
          <w:rFonts w:cs="Arial"/>
          <w:sz w:val="24"/>
          <w:szCs w:val="24"/>
        </w:rPr>
        <w:t>Ho</w:t>
      </w:r>
      <w:r w:rsidR="00D21A59" w:rsidRPr="006A7000">
        <w:rPr>
          <w:rFonts w:cs="Arial"/>
          <w:sz w:val="24"/>
          <w:szCs w:val="24"/>
        </w:rPr>
        <w:t xml:space="preserve">wever, a level l-lll dissection </w:t>
      </w:r>
      <w:r w:rsidR="008E7D23" w:rsidRPr="006A7000">
        <w:rPr>
          <w:rFonts w:cs="Arial"/>
          <w:sz w:val="24"/>
          <w:szCs w:val="24"/>
        </w:rPr>
        <w:t xml:space="preserve">and exclusion of level IIb </w:t>
      </w:r>
      <w:r w:rsidR="0071476B" w:rsidRPr="006A7000">
        <w:rPr>
          <w:rFonts w:cs="Arial"/>
          <w:sz w:val="24"/>
          <w:szCs w:val="24"/>
        </w:rPr>
        <w:t>could</w:t>
      </w:r>
      <w:r w:rsidR="008E7D23" w:rsidRPr="006A7000">
        <w:rPr>
          <w:rFonts w:cs="Arial"/>
          <w:sz w:val="24"/>
          <w:szCs w:val="24"/>
        </w:rPr>
        <w:t xml:space="preserve"> be </w:t>
      </w:r>
      <w:r w:rsidRPr="006A7000">
        <w:rPr>
          <w:rFonts w:cs="Arial"/>
          <w:sz w:val="24"/>
          <w:szCs w:val="24"/>
        </w:rPr>
        <w:t>performed</w:t>
      </w:r>
      <w:r w:rsidR="008E7D23" w:rsidRPr="006A7000">
        <w:rPr>
          <w:rFonts w:cs="Arial"/>
          <w:sz w:val="24"/>
          <w:szCs w:val="24"/>
        </w:rPr>
        <w:t xml:space="preserve"> if </w:t>
      </w:r>
      <w:r w:rsidR="00676DEE" w:rsidRPr="006A7000">
        <w:rPr>
          <w:rFonts w:cs="Arial"/>
          <w:sz w:val="24"/>
          <w:szCs w:val="24"/>
        </w:rPr>
        <w:t xml:space="preserve">considered </w:t>
      </w:r>
      <w:r w:rsidRPr="006A7000">
        <w:rPr>
          <w:rFonts w:cs="Arial"/>
          <w:sz w:val="24"/>
          <w:szCs w:val="24"/>
        </w:rPr>
        <w:t>appropriate</w:t>
      </w:r>
      <w:r w:rsidR="008E7D23" w:rsidRPr="006A7000">
        <w:rPr>
          <w:rFonts w:cs="Arial"/>
          <w:sz w:val="24"/>
          <w:szCs w:val="24"/>
        </w:rPr>
        <w:t>.</w:t>
      </w:r>
      <w:r w:rsidR="00904367" w:rsidRPr="006A7000">
        <w:rPr>
          <w:sz w:val="24"/>
          <w:szCs w:val="24"/>
        </w:rPr>
        <w:t xml:space="preserve"> </w:t>
      </w:r>
      <w:r w:rsidR="001E6ADA" w:rsidRPr="006A7000">
        <w:rPr>
          <w:rFonts w:cs="Arial"/>
          <w:sz w:val="24"/>
          <w:szCs w:val="24"/>
        </w:rPr>
        <w:t xml:space="preserve">The </w:t>
      </w:r>
      <w:r w:rsidR="008E7D23" w:rsidRPr="006A7000">
        <w:rPr>
          <w:rFonts w:cs="Arial"/>
          <w:sz w:val="24"/>
          <w:szCs w:val="24"/>
        </w:rPr>
        <w:t>omohyoid muscle and posterior belly of the digastri</w:t>
      </w:r>
      <w:r w:rsidR="00904367" w:rsidRPr="006A7000">
        <w:rPr>
          <w:rFonts w:cs="Arial"/>
          <w:sz w:val="24"/>
          <w:szCs w:val="24"/>
        </w:rPr>
        <w:t xml:space="preserve">c muscle </w:t>
      </w:r>
      <w:r w:rsidR="000C775D" w:rsidRPr="006A7000">
        <w:rPr>
          <w:rFonts w:cs="Arial"/>
          <w:sz w:val="24"/>
          <w:szCs w:val="24"/>
        </w:rPr>
        <w:t>could</w:t>
      </w:r>
      <w:r w:rsidR="00904367" w:rsidRPr="006A7000">
        <w:rPr>
          <w:rFonts w:cs="Arial"/>
          <w:sz w:val="24"/>
          <w:szCs w:val="24"/>
        </w:rPr>
        <w:t xml:space="preserve"> be removed</w:t>
      </w:r>
      <w:r w:rsidR="00811A7D" w:rsidRPr="006A7000">
        <w:rPr>
          <w:rFonts w:cs="Arial"/>
          <w:sz w:val="24"/>
          <w:szCs w:val="24"/>
        </w:rPr>
        <w:t xml:space="preserve">, </w:t>
      </w:r>
      <w:r w:rsidR="00F05FCC" w:rsidRPr="006A7000">
        <w:rPr>
          <w:rFonts w:cs="Arial"/>
          <w:sz w:val="24"/>
          <w:szCs w:val="24"/>
        </w:rPr>
        <w:t xml:space="preserve">but </w:t>
      </w:r>
      <w:r w:rsidR="000C775D" w:rsidRPr="006A7000">
        <w:rPr>
          <w:rFonts w:cs="Arial"/>
          <w:sz w:val="24"/>
          <w:szCs w:val="24"/>
        </w:rPr>
        <w:t>t</w:t>
      </w:r>
      <w:r w:rsidR="008E7D23" w:rsidRPr="006A7000">
        <w:rPr>
          <w:rFonts w:cs="Arial"/>
          <w:sz w:val="24"/>
          <w:szCs w:val="24"/>
        </w:rPr>
        <w:t>he internal jugular vein, sternomastoid muscle and</w:t>
      </w:r>
      <w:r w:rsidR="00904367" w:rsidRPr="006A7000">
        <w:rPr>
          <w:sz w:val="24"/>
          <w:szCs w:val="24"/>
        </w:rPr>
        <w:t xml:space="preserve"> </w:t>
      </w:r>
      <w:r w:rsidR="008E7D23" w:rsidRPr="006A7000">
        <w:rPr>
          <w:rFonts w:cs="Arial"/>
          <w:sz w:val="24"/>
          <w:szCs w:val="24"/>
        </w:rPr>
        <w:t xml:space="preserve">accessory nerves </w:t>
      </w:r>
      <w:r w:rsidR="0015411A" w:rsidRPr="006A7000">
        <w:rPr>
          <w:rFonts w:cs="Arial"/>
          <w:sz w:val="24"/>
          <w:szCs w:val="24"/>
        </w:rPr>
        <w:t xml:space="preserve">were </w:t>
      </w:r>
      <w:r w:rsidR="008E7D23" w:rsidRPr="006A7000">
        <w:rPr>
          <w:rFonts w:cs="Arial"/>
          <w:sz w:val="24"/>
          <w:szCs w:val="24"/>
        </w:rPr>
        <w:t xml:space="preserve">preserved and left </w:t>
      </w:r>
      <w:r w:rsidR="008E7D23" w:rsidRPr="006A7000">
        <w:rPr>
          <w:rFonts w:cs="Arial"/>
          <w:i/>
          <w:sz w:val="24"/>
          <w:szCs w:val="24"/>
        </w:rPr>
        <w:t>in situ</w:t>
      </w:r>
      <w:r w:rsidR="008E7D23" w:rsidRPr="006A7000">
        <w:rPr>
          <w:rFonts w:cs="Arial"/>
          <w:sz w:val="24"/>
          <w:szCs w:val="24"/>
        </w:rPr>
        <w:t>.</w:t>
      </w:r>
      <w:r w:rsidR="00D21A59" w:rsidRPr="006A7000">
        <w:rPr>
          <w:rFonts w:cs="Arial"/>
          <w:sz w:val="24"/>
          <w:szCs w:val="24"/>
        </w:rPr>
        <w:t xml:space="preserve"> </w:t>
      </w:r>
      <w:r w:rsidR="008E7D23" w:rsidRPr="006A7000">
        <w:rPr>
          <w:rFonts w:cs="Arial"/>
          <w:sz w:val="24"/>
          <w:szCs w:val="24"/>
        </w:rPr>
        <w:t>If the tumour extend</w:t>
      </w:r>
      <w:r w:rsidR="0071476B" w:rsidRPr="006A7000">
        <w:rPr>
          <w:rFonts w:cs="Arial"/>
          <w:sz w:val="24"/>
          <w:szCs w:val="24"/>
        </w:rPr>
        <w:t>ed</w:t>
      </w:r>
      <w:r w:rsidR="008E7D23" w:rsidRPr="006A7000">
        <w:rPr>
          <w:rFonts w:cs="Arial"/>
          <w:sz w:val="24"/>
          <w:szCs w:val="24"/>
        </w:rPr>
        <w:t xml:space="preserve"> to the midline</w:t>
      </w:r>
      <w:r w:rsidR="001E6ADA" w:rsidRPr="006A7000">
        <w:rPr>
          <w:rFonts w:cs="Arial"/>
          <w:sz w:val="24"/>
          <w:szCs w:val="24"/>
        </w:rPr>
        <w:t>,</w:t>
      </w:r>
      <w:r w:rsidR="008A7FD9" w:rsidRPr="006A7000">
        <w:rPr>
          <w:rFonts w:cs="Arial"/>
          <w:sz w:val="24"/>
          <w:szCs w:val="24"/>
        </w:rPr>
        <w:t xml:space="preserve"> a nec</w:t>
      </w:r>
      <w:r w:rsidR="00E4382D" w:rsidRPr="006A7000">
        <w:rPr>
          <w:rFonts w:cs="Arial"/>
          <w:sz w:val="24"/>
          <w:szCs w:val="24"/>
        </w:rPr>
        <w:t xml:space="preserve">k dissection on the </w:t>
      </w:r>
      <w:r w:rsidR="001E6ADA" w:rsidRPr="006A7000">
        <w:rPr>
          <w:rFonts w:cs="Arial"/>
          <w:sz w:val="24"/>
          <w:szCs w:val="24"/>
        </w:rPr>
        <w:t>contralateral</w:t>
      </w:r>
      <w:r w:rsidR="00E4382D" w:rsidRPr="006A7000">
        <w:rPr>
          <w:rFonts w:cs="Arial"/>
          <w:sz w:val="24"/>
          <w:szCs w:val="24"/>
        </w:rPr>
        <w:t xml:space="preserve"> side</w:t>
      </w:r>
      <w:r w:rsidR="008A7FD9" w:rsidRPr="006A7000">
        <w:rPr>
          <w:rFonts w:cs="Arial"/>
          <w:sz w:val="24"/>
          <w:szCs w:val="24"/>
        </w:rPr>
        <w:t xml:space="preserve"> was performed with ipsilateral </w:t>
      </w:r>
      <w:r w:rsidR="0071476B" w:rsidRPr="006A7000">
        <w:rPr>
          <w:rFonts w:cs="Arial"/>
          <w:sz w:val="24"/>
          <w:szCs w:val="24"/>
        </w:rPr>
        <w:t>END</w:t>
      </w:r>
      <w:r w:rsidR="008E7D23" w:rsidRPr="006A7000">
        <w:rPr>
          <w:rFonts w:cs="Arial"/>
          <w:sz w:val="24"/>
          <w:szCs w:val="24"/>
        </w:rPr>
        <w:t xml:space="preserve">. </w:t>
      </w:r>
    </w:p>
    <w:p w14:paraId="637CB83E" w14:textId="36B75D25" w:rsidR="00470C44" w:rsidRPr="006A7000" w:rsidRDefault="006A5D6F" w:rsidP="00B95772">
      <w:pPr>
        <w:spacing w:line="480" w:lineRule="auto"/>
        <w:jc w:val="both"/>
        <w:rPr>
          <w:rFonts w:cs="Arial"/>
          <w:i/>
          <w:sz w:val="24"/>
          <w:szCs w:val="24"/>
        </w:rPr>
      </w:pPr>
      <w:r w:rsidRPr="006A7000">
        <w:rPr>
          <w:sz w:val="24"/>
          <w:szCs w:val="24"/>
        </w:rPr>
        <w:t xml:space="preserve">If the cancer recurred in the mouth or neck, surgery </w:t>
      </w:r>
      <w:r w:rsidR="00DA7A93" w:rsidRPr="006A7000">
        <w:rPr>
          <w:sz w:val="24"/>
          <w:szCs w:val="24"/>
        </w:rPr>
        <w:t>(</w:t>
      </w:r>
      <w:r w:rsidR="00022C19" w:rsidRPr="006A7000">
        <w:rPr>
          <w:sz w:val="24"/>
          <w:szCs w:val="24"/>
        </w:rPr>
        <w:t xml:space="preserve">further </w:t>
      </w:r>
      <w:r w:rsidR="00DA7A93" w:rsidRPr="006A7000">
        <w:rPr>
          <w:sz w:val="24"/>
          <w:szCs w:val="24"/>
        </w:rPr>
        <w:t xml:space="preserve">resection </w:t>
      </w:r>
      <w:r w:rsidR="005B5665" w:rsidRPr="006A7000">
        <w:rPr>
          <w:sz w:val="24"/>
          <w:szCs w:val="24"/>
        </w:rPr>
        <w:t>and/</w:t>
      </w:r>
      <w:r w:rsidR="00A92AEA" w:rsidRPr="006A7000">
        <w:rPr>
          <w:sz w:val="24"/>
          <w:szCs w:val="24"/>
        </w:rPr>
        <w:t>or</w:t>
      </w:r>
      <w:r w:rsidR="00DA7A93" w:rsidRPr="006A7000">
        <w:rPr>
          <w:sz w:val="24"/>
          <w:szCs w:val="24"/>
        </w:rPr>
        <w:t xml:space="preserve"> neck dissection) </w:t>
      </w:r>
      <w:r w:rsidR="00FF7604" w:rsidRPr="006A7000">
        <w:rPr>
          <w:sz w:val="24"/>
          <w:szCs w:val="24"/>
        </w:rPr>
        <w:t>could be</w:t>
      </w:r>
      <w:r w:rsidRPr="006A7000">
        <w:rPr>
          <w:sz w:val="24"/>
          <w:szCs w:val="24"/>
        </w:rPr>
        <w:t xml:space="preserve"> </w:t>
      </w:r>
      <w:r w:rsidR="00DA7A93" w:rsidRPr="006A7000">
        <w:rPr>
          <w:sz w:val="24"/>
          <w:szCs w:val="24"/>
        </w:rPr>
        <w:t>done</w:t>
      </w:r>
      <w:r w:rsidRPr="006A7000">
        <w:rPr>
          <w:sz w:val="24"/>
          <w:szCs w:val="24"/>
        </w:rPr>
        <w:t xml:space="preserve"> according to local practice, </w:t>
      </w:r>
      <w:r w:rsidR="00DA7A93" w:rsidRPr="006A7000">
        <w:rPr>
          <w:sz w:val="24"/>
          <w:szCs w:val="24"/>
        </w:rPr>
        <w:t xml:space="preserve">with </w:t>
      </w:r>
      <w:r w:rsidR="00A40B9A" w:rsidRPr="006A7000">
        <w:rPr>
          <w:sz w:val="24"/>
          <w:szCs w:val="24"/>
        </w:rPr>
        <w:t xml:space="preserve">radiotherapy </w:t>
      </w:r>
      <w:r w:rsidR="00327C77" w:rsidRPr="006A7000">
        <w:rPr>
          <w:sz w:val="24"/>
          <w:szCs w:val="24"/>
        </w:rPr>
        <w:t>and/or</w:t>
      </w:r>
      <w:r w:rsidR="00A40B9A" w:rsidRPr="006A7000">
        <w:rPr>
          <w:sz w:val="24"/>
          <w:szCs w:val="24"/>
        </w:rPr>
        <w:t xml:space="preserve"> </w:t>
      </w:r>
      <w:r w:rsidR="00022C19" w:rsidRPr="006A7000">
        <w:rPr>
          <w:sz w:val="24"/>
          <w:szCs w:val="24"/>
        </w:rPr>
        <w:t xml:space="preserve">platinum </w:t>
      </w:r>
      <w:r w:rsidR="0015411A" w:rsidRPr="006A7000">
        <w:rPr>
          <w:sz w:val="24"/>
          <w:szCs w:val="24"/>
        </w:rPr>
        <w:t>chemotherapy</w:t>
      </w:r>
      <w:r w:rsidR="00327C77" w:rsidRPr="006A7000">
        <w:rPr>
          <w:sz w:val="24"/>
          <w:szCs w:val="24"/>
        </w:rPr>
        <w:t xml:space="preserve"> as </w:t>
      </w:r>
      <w:r w:rsidR="009A37CC" w:rsidRPr="006A7000">
        <w:rPr>
          <w:sz w:val="24"/>
          <w:szCs w:val="24"/>
        </w:rPr>
        <w:t>recommended locally</w:t>
      </w:r>
      <w:r w:rsidR="00221268" w:rsidRPr="006A7000">
        <w:rPr>
          <w:sz w:val="24"/>
          <w:szCs w:val="24"/>
        </w:rPr>
        <w:t xml:space="preserve"> based on national guidelines</w:t>
      </w:r>
      <w:r w:rsidRPr="006A7000">
        <w:rPr>
          <w:sz w:val="24"/>
          <w:szCs w:val="24"/>
        </w:rPr>
        <w:t>.</w:t>
      </w:r>
      <w:r w:rsidR="00470C44" w:rsidRPr="006A7000">
        <w:rPr>
          <w:sz w:val="24"/>
          <w:szCs w:val="24"/>
        </w:rPr>
        <w:t xml:space="preserve"> </w:t>
      </w:r>
    </w:p>
    <w:p w14:paraId="42B51E15" w14:textId="60BAF4C4" w:rsidR="0055542B" w:rsidRPr="006A7000" w:rsidRDefault="00A92AEA" w:rsidP="00B95772">
      <w:pPr>
        <w:autoSpaceDE w:val="0"/>
        <w:autoSpaceDN w:val="0"/>
        <w:adjustRightInd w:val="0"/>
        <w:spacing w:after="0" w:line="480" w:lineRule="auto"/>
        <w:rPr>
          <w:rFonts w:cs="Arial"/>
          <w:sz w:val="24"/>
          <w:szCs w:val="24"/>
        </w:rPr>
      </w:pPr>
      <w:r w:rsidRPr="006A7000">
        <w:rPr>
          <w:rFonts w:cs="Arial"/>
          <w:sz w:val="24"/>
          <w:szCs w:val="24"/>
        </w:rPr>
        <w:t>P</w:t>
      </w:r>
      <w:r w:rsidR="000C775D" w:rsidRPr="006A7000">
        <w:rPr>
          <w:rFonts w:cs="Arial"/>
          <w:sz w:val="24"/>
          <w:szCs w:val="24"/>
        </w:rPr>
        <w:t>atients were examined at baseline</w:t>
      </w:r>
      <w:r w:rsidR="00D7284E" w:rsidRPr="006A7000">
        <w:rPr>
          <w:rFonts w:cs="Arial"/>
          <w:sz w:val="24"/>
          <w:szCs w:val="24"/>
        </w:rPr>
        <w:t xml:space="preserve"> (</w:t>
      </w:r>
      <w:r w:rsidR="000C775D" w:rsidRPr="006A7000">
        <w:rPr>
          <w:rFonts w:cs="Arial"/>
          <w:sz w:val="24"/>
          <w:szCs w:val="24"/>
        </w:rPr>
        <w:t>demographics</w:t>
      </w:r>
      <w:r w:rsidR="00E4382D" w:rsidRPr="006A7000">
        <w:rPr>
          <w:rFonts w:cs="Arial"/>
          <w:sz w:val="24"/>
          <w:szCs w:val="24"/>
        </w:rPr>
        <w:t>, quality of l</w:t>
      </w:r>
      <w:r w:rsidR="00F77609" w:rsidRPr="006A7000">
        <w:rPr>
          <w:rFonts w:cs="Arial"/>
          <w:sz w:val="24"/>
          <w:szCs w:val="24"/>
        </w:rPr>
        <w:t>ife</w:t>
      </w:r>
      <w:r w:rsidR="000C775D" w:rsidRPr="006A7000">
        <w:rPr>
          <w:rFonts w:cs="Arial"/>
          <w:sz w:val="24"/>
          <w:szCs w:val="24"/>
        </w:rPr>
        <w:t xml:space="preserve"> and initial tumour </w:t>
      </w:r>
      <w:r w:rsidR="00340D39" w:rsidRPr="006A7000">
        <w:rPr>
          <w:rFonts w:cs="Arial"/>
          <w:sz w:val="24"/>
          <w:szCs w:val="24"/>
        </w:rPr>
        <w:t>measurement</w:t>
      </w:r>
      <w:r w:rsidR="00D7284E" w:rsidRPr="006A7000">
        <w:rPr>
          <w:rFonts w:cs="Arial"/>
          <w:sz w:val="24"/>
          <w:szCs w:val="24"/>
        </w:rPr>
        <w:t>)</w:t>
      </w:r>
      <w:r w:rsidR="004E0697" w:rsidRPr="006A7000">
        <w:rPr>
          <w:rFonts w:cs="Arial"/>
          <w:sz w:val="24"/>
          <w:szCs w:val="24"/>
        </w:rPr>
        <w:t>, then</w:t>
      </w:r>
      <w:r w:rsidR="000C775D" w:rsidRPr="006A7000">
        <w:rPr>
          <w:rFonts w:cs="Arial"/>
          <w:sz w:val="24"/>
          <w:szCs w:val="24"/>
        </w:rPr>
        <w:t xml:space="preserve"> two-monthly (year</w:t>
      </w:r>
      <w:r w:rsidR="001E6ADA" w:rsidRPr="006A7000">
        <w:rPr>
          <w:rFonts w:cs="Arial"/>
          <w:sz w:val="24"/>
          <w:szCs w:val="24"/>
        </w:rPr>
        <w:t>s</w:t>
      </w:r>
      <w:r w:rsidR="000C775D" w:rsidRPr="006A7000">
        <w:rPr>
          <w:rFonts w:cs="Arial"/>
          <w:sz w:val="24"/>
          <w:szCs w:val="24"/>
        </w:rPr>
        <w:t xml:space="preserve"> </w:t>
      </w:r>
      <w:r w:rsidR="009D0AE3" w:rsidRPr="006A7000">
        <w:rPr>
          <w:rFonts w:cs="Arial"/>
          <w:sz w:val="24"/>
          <w:szCs w:val="24"/>
        </w:rPr>
        <w:t xml:space="preserve">1 and </w:t>
      </w:r>
      <w:r w:rsidR="000C775D" w:rsidRPr="006A7000">
        <w:rPr>
          <w:rFonts w:cs="Arial"/>
          <w:sz w:val="24"/>
          <w:szCs w:val="24"/>
        </w:rPr>
        <w:t xml:space="preserve">2), three-monthly (year </w:t>
      </w:r>
      <w:r w:rsidR="00713075" w:rsidRPr="006A7000">
        <w:rPr>
          <w:rFonts w:cs="Arial"/>
          <w:sz w:val="24"/>
          <w:szCs w:val="24"/>
        </w:rPr>
        <w:t>3</w:t>
      </w:r>
      <w:r w:rsidR="000C775D" w:rsidRPr="006A7000">
        <w:rPr>
          <w:rFonts w:cs="Arial"/>
          <w:sz w:val="24"/>
          <w:szCs w:val="24"/>
        </w:rPr>
        <w:t xml:space="preserve">), </w:t>
      </w:r>
      <w:r w:rsidR="00F77609" w:rsidRPr="006A7000">
        <w:rPr>
          <w:rFonts w:cs="Arial"/>
          <w:sz w:val="24"/>
          <w:szCs w:val="24"/>
        </w:rPr>
        <w:t xml:space="preserve">and </w:t>
      </w:r>
      <w:r w:rsidR="00A40B9A" w:rsidRPr="006A7000">
        <w:rPr>
          <w:rFonts w:cs="Arial"/>
          <w:sz w:val="24"/>
          <w:szCs w:val="24"/>
        </w:rPr>
        <w:t>6-monthly until 5 years</w:t>
      </w:r>
      <w:r w:rsidR="000C775D" w:rsidRPr="006A7000">
        <w:rPr>
          <w:rFonts w:cs="Arial"/>
          <w:sz w:val="24"/>
          <w:szCs w:val="24"/>
        </w:rPr>
        <w:t xml:space="preserve">. </w:t>
      </w:r>
      <w:r w:rsidR="009158BF" w:rsidRPr="006A7000">
        <w:rPr>
          <w:rFonts w:cs="Arial"/>
          <w:sz w:val="24"/>
          <w:szCs w:val="24"/>
        </w:rPr>
        <w:t>Patients in the observational cohort had the same clinical follow-up schedule as those in the randomised trial.</w:t>
      </w:r>
    </w:p>
    <w:p w14:paraId="394FD343" w14:textId="468016EE" w:rsidR="0055542B" w:rsidRPr="006A7000" w:rsidRDefault="0055542B" w:rsidP="00B95772">
      <w:pPr>
        <w:autoSpaceDE w:val="0"/>
        <w:autoSpaceDN w:val="0"/>
        <w:adjustRightInd w:val="0"/>
        <w:spacing w:after="0" w:line="480" w:lineRule="auto"/>
        <w:rPr>
          <w:rFonts w:cs="Arial"/>
          <w:sz w:val="24"/>
          <w:szCs w:val="24"/>
        </w:rPr>
      </w:pPr>
    </w:p>
    <w:p w14:paraId="46687DB1" w14:textId="77777777" w:rsidR="00F77609" w:rsidRPr="006A7000" w:rsidRDefault="00F77609" w:rsidP="00B95772">
      <w:pPr>
        <w:autoSpaceDE w:val="0"/>
        <w:autoSpaceDN w:val="0"/>
        <w:adjustRightInd w:val="0"/>
        <w:spacing w:after="0" w:line="480" w:lineRule="auto"/>
        <w:rPr>
          <w:rFonts w:cs="Arial"/>
          <w:i/>
          <w:sz w:val="24"/>
          <w:szCs w:val="24"/>
        </w:rPr>
      </w:pPr>
      <w:r w:rsidRPr="006A7000">
        <w:rPr>
          <w:rFonts w:cs="Arial"/>
          <w:i/>
          <w:sz w:val="24"/>
          <w:szCs w:val="24"/>
        </w:rPr>
        <w:t>Imaging</w:t>
      </w:r>
    </w:p>
    <w:p w14:paraId="31AACCAA" w14:textId="1861E0C6" w:rsidR="007B6648" w:rsidRPr="006A7000" w:rsidRDefault="000C775D" w:rsidP="00B95772">
      <w:pPr>
        <w:autoSpaceDE w:val="0"/>
        <w:autoSpaceDN w:val="0"/>
        <w:adjustRightInd w:val="0"/>
        <w:spacing w:after="0" w:line="480" w:lineRule="auto"/>
        <w:rPr>
          <w:rFonts w:cs="Arial"/>
          <w:sz w:val="24"/>
          <w:szCs w:val="24"/>
          <w:lang w:eastAsia="en-GB"/>
        </w:rPr>
      </w:pPr>
      <w:r w:rsidRPr="006A7000">
        <w:rPr>
          <w:rFonts w:cs="Arial"/>
          <w:sz w:val="24"/>
          <w:szCs w:val="24"/>
        </w:rPr>
        <w:t>Baseline imaging scans</w:t>
      </w:r>
      <w:r w:rsidR="00A40B9A" w:rsidRPr="006A7000">
        <w:rPr>
          <w:rFonts w:cs="Arial"/>
          <w:sz w:val="24"/>
          <w:szCs w:val="24"/>
        </w:rPr>
        <w:t xml:space="preserve"> </w:t>
      </w:r>
      <w:r w:rsidR="00A92AEA" w:rsidRPr="006A7000">
        <w:rPr>
          <w:rFonts w:cs="Arial"/>
          <w:sz w:val="24"/>
          <w:szCs w:val="24"/>
        </w:rPr>
        <w:t>were mandatory</w:t>
      </w:r>
      <w:r w:rsidRPr="006A7000">
        <w:rPr>
          <w:rFonts w:cs="Arial"/>
          <w:sz w:val="24"/>
          <w:szCs w:val="24"/>
        </w:rPr>
        <w:t xml:space="preserve"> to </w:t>
      </w:r>
      <w:r w:rsidR="00F77609" w:rsidRPr="006A7000">
        <w:rPr>
          <w:rFonts w:cs="Arial"/>
          <w:sz w:val="24"/>
          <w:szCs w:val="24"/>
        </w:rPr>
        <w:t>detect features suggestive of clinically occult neck metastasis</w:t>
      </w:r>
      <w:r w:rsidR="000F4774" w:rsidRPr="006A7000">
        <w:rPr>
          <w:rFonts w:cs="Arial"/>
          <w:sz w:val="24"/>
          <w:szCs w:val="24"/>
        </w:rPr>
        <w:t xml:space="preserve"> and any patients with these features were excluded</w:t>
      </w:r>
      <w:r w:rsidR="00F77609" w:rsidRPr="006A7000">
        <w:rPr>
          <w:rFonts w:cs="Arial"/>
          <w:sz w:val="24"/>
          <w:szCs w:val="24"/>
        </w:rPr>
        <w:t xml:space="preserve">. </w:t>
      </w:r>
      <w:r w:rsidR="002D0C83" w:rsidRPr="006A7000">
        <w:rPr>
          <w:rFonts w:cs="Arial"/>
          <w:sz w:val="24"/>
          <w:szCs w:val="24"/>
        </w:rPr>
        <w:t xml:space="preserve"> </w:t>
      </w:r>
      <w:r w:rsidR="00F77609" w:rsidRPr="006A7000">
        <w:rPr>
          <w:rFonts w:cs="Arial"/>
          <w:sz w:val="24"/>
          <w:szCs w:val="24"/>
        </w:rPr>
        <w:t xml:space="preserve">Almost all </w:t>
      </w:r>
      <w:r w:rsidR="00174952" w:rsidRPr="006A7000">
        <w:rPr>
          <w:rFonts w:cs="Arial"/>
          <w:sz w:val="24"/>
          <w:szCs w:val="24"/>
        </w:rPr>
        <w:t>centres</w:t>
      </w:r>
      <w:r w:rsidR="00F77609" w:rsidRPr="006A7000">
        <w:rPr>
          <w:rFonts w:cs="Arial"/>
          <w:sz w:val="24"/>
          <w:szCs w:val="24"/>
        </w:rPr>
        <w:t xml:space="preserve"> </w:t>
      </w:r>
      <w:r w:rsidR="00C404C6" w:rsidRPr="006A7000">
        <w:rPr>
          <w:rFonts w:cs="Arial"/>
          <w:sz w:val="24"/>
          <w:szCs w:val="24"/>
        </w:rPr>
        <w:t>used</w:t>
      </w:r>
      <w:r w:rsidR="00F77609" w:rsidRPr="006A7000">
        <w:rPr>
          <w:rFonts w:cs="Arial"/>
          <w:sz w:val="24"/>
          <w:szCs w:val="24"/>
        </w:rPr>
        <w:t xml:space="preserve"> ultrasound with fine needle aspiration cytology (US</w:t>
      </w:r>
      <w:r w:rsidR="005B5665" w:rsidRPr="006A7000">
        <w:rPr>
          <w:rFonts w:cs="Arial"/>
          <w:sz w:val="24"/>
          <w:szCs w:val="24"/>
        </w:rPr>
        <w:t>-</w:t>
      </w:r>
      <w:r w:rsidR="00F77609" w:rsidRPr="006A7000">
        <w:rPr>
          <w:rFonts w:cs="Arial"/>
          <w:sz w:val="24"/>
          <w:szCs w:val="24"/>
        </w:rPr>
        <w:t xml:space="preserve">FNAC) to detect neck metastasis at </w:t>
      </w:r>
      <w:r w:rsidR="00F05FCC" w:rsidRPr="006A7000">
        <w:rPr>
          <w:rFonts w:cs="Arial"/>
          <w:sz w:val="24"/>
          <w:szCs w:val="24"/>
        </w:rPr>
        <w:t>the trial outset</w:t>
      </w:r>
      <w:r w:rsidR="00DB643B" w:rsidRPr="006A7000">
        <w:rPr>
          <w:rFonts w:cs="Arial"/>
          <w:sz w:val="24"/>
          <w:szCs w:val="24"/>
        </w:rPr>
        <w:t xml:space="preserve"> </w:t>
      </w:r>
      <w:r w:rsidR="00F77609" w:rsidRPr="006A7000">
        <w:rPr>
          <w:rFonts w:cs="Arial"/>
          <w:sz w:val="24"/>
          <w:szCs w:val="24"/>
        </w:rPr>
        <w:t>but some were still using CT or MRI</w:t>
      </w:r>
      <w:r w:rsidR="00DE07E3" w:rsidRPr="006A7000">
        <w:rPr>
          <w:rFonts w:cs="Arial"/>
          <w:sz w:val="24"/>
          <w:szCs w:val="24"/>
        </w:rPr>
        <w:t xml:space="preserve">. </w:t>
      </w:r>
      <w:r w:rsidR="00F77609" w:rsidRPr="006A7000">
        <w:rPr>
          <w:rFonts w:cs="Arial"/>
          <w:sz w:val="24"/>
          <w:szCs w:val="24"/>
        </w:rPr>
        <w:t xml:space="preserve"> </w:t>
      </w:r>
      <w:r w:rsidR="00DE07E3" w:rsidRPr="006A7000">
        <w:rPr>
          <w:rFonts w:cs="Arial"/>
          <w:sz w:val="24"/>
          <w:szCs w:val="24"/>
        </w:rPr>
        <w:t>B</w:t>
      </w:r>
      <w:r w:rsidR="00F77609" w:rsidRPr="006A7000">
        <w:rPr>
          <w:rFonts w:cs="Arial"/>
          <w:sz w:val="24"/>
          <w:szCs w:val="24"/>
        </w:rPr>
        <w:t>y the end of the trial US</w:t>
      </w:r>
      <w:r w:rsidR="005B5665" w:rsidRPr="006A7000">
        <w:rPr>
          <w:rFonts w:cs="Arial"/>
          <w:sz w:val="24"/>
          <w:szCs w:val="24"/>
        </w:rPr>
        <w:t>-</w:t>
      </w:r>
      <w:r w:rsidR="00F77609" w:rsidRPr="006A7000">
        <w:rPr>
          <w:rFonts w:cs="Arial"/>
          <w:sz w:val="24"/>
          <w:szCs w:val="24"/>
        </w:rPr>
        <w:t xml:space="preserve">FNAC was universally used. The standard features of abnormal size and shape, </w:t>
      </w:r>
      <w:r w:rsidR="00AA1920" w:rsidRPr="006A7000">
        <w:rPr>
          <w:rFonts w:cs="Arial"/>
          <w:sz w:val="24"/>
          <w:szCs w:val="24"/>
        </w:rPr>
        <w:t>central necrosis</w:t>
      </w:r>
      <w:r w:rsidR="0055542B" w:rsidRPr="006A7000">
        <w:rPr>
          <w:rFonts w:cs="Arial"/>
          <w:sz w:val="24"/>
          <w:szCs w:val="24"/>
        </w:rPr>
        <w:t xml:space="preserve"> (regardless of nodal size)</w:t>
      </w:r>
      <w:r w:rsidR="00AA1920" w:rsidRPr="006A7000">
        <w:rPr>
          <w:rFonts w:cs="Arial"/>
          <w:sz w:val="24"/>
          <w:szCs w:val="24"/>
        </w:rPr>
        <w:t xml:space="preserve">, and </w:t>
      </w:r>
      <w:r w:rsidR="002D0C83" w:rsidRPr="006A7000">
        <w:rPr>
          <w:rFonts w:cs="Arial"/>
          <w:sz w:val="24"/>
          <w:szCs w:val="24"/>
        </w:rPr>
        <w:t>alteration in vascularity</w:t>
      </w:r>
      <w:r w:rsidR="00BD4962" w:rsidRPr="006A7000">
        <w:rPr>
          <w:rFonts w:cs="Arial"/>
          <w:sz w:val="24"/>
          <w:szCs w:val="24"/>
        </w:rPr>
        <w:t xml:space="preserve"> of the lymph nodes</w:t>
      </w:r>
      <w:r w:rsidR="00F77609" w:rsidRPr="006A7000">
        <w:rPr>
          <w:rFonts w:cs="Arial"/>
          <w:sz w:val="24"/>
          <w:szCs w:val="24"/>
        </w:rPr>
        <w:t xml:space="preserve"> were used as radiological markers for metastasis</w:t>
      </w:r>
      <w:r w:rsidR="00E4382D" w:rsidRPr="006A7000">
        <w:rPr>
          <w:rFonts w:cs="Arial"/>
          <w:sz w:val="24"/>
          <w:szCs w:val="24"/>
        </w:rPr>
        <w:t xml:space="preserve"> (to exclude patients)</w:t>
      </w:r>
      <w:r w:rsidR="00F77609" w:rsidRPr="006A7000">
        <w:rPr>
          <w:rFonts w:cs="Arial"/>
          <w:sz w:val="24"/>
          <w:szCs w:val="24"/>
        </w:rPr>
        <w:t>.</w:t>
      </w:r>
    </w:p>
    <w:p w14:paraId="007A55AD" w14:textId="77777777" w:rsidR="0055542B" w:rsidRPr="006A7000" w:rsidRDefault="0055542B" w:rsidP="00B95772">
      <w:pPr>
        <w:autoSpaceDE w:val="0"/>
        <w:autoSpaceDN w:val="0"/>
        <w:adjustRightInd w:val="0"/>
        <w:spacing w:after="0" w:line="480" w:lineRule="auto"/>
        <w:rPr>
          <w:rFonts w:cs="Arial"/>
          <w:sz w:val="24"/>
          <w:szCs w:val="24"/>
        </w:rPr>
      </w:pPr>
    </w:p>
    <w:p w14:paraId="70357EFF" w14:textId="16A7226F" w:rsidR="00F77609" w:rsidRPr="006A7000" w:rsidRDefault="00F77609" w:rsidP="00B95772">
      <w:pPr>
        <w:autoSpaceDE w:val="0"/>
        <w:autoSpaceDN w:val="0"/>
        <w:adjustRightInd w:val="0"/>
        <w:spacing w:after="0" w:line="480" w:lineRule="auto"/>
        <w:rPr>
          <w:rFonts w:cs="Arial"/>
          <w:sz w:val="24"/>
          <w:szCs w:val="24"/>
        </w:rPr>
      </w:pPr>
      <w:r w:rsidRPr="006A7000">
        <w:rPr>
          <w:rFonts w:cs="Arial"/>
          <w:sz w:val="24"/>
          <w:szCs w:val="24"/>
        </w:rPr>
        <w:lastRenderedPageBreak/>
        <w:t xml:space="preserve">Imaging </w:t>
      </w:r>
      <w:r w:rsidR="00A40B9A" w:rsidRPr="006A7000">
        <w:rPr>
          <w:rFonts w:cs="Arial"/>
          <w:sz w:val="24"/>
          <w:szCs w:val="24"/>
        </w:rPr>
        <w:t>for</w:t>
      </w:r>
      <w:r w:rsidR="00BE080B" w:rsidRPr="006A7000">
        <w:rPr>
          <w:rFonts w:cs="Arial"/>
          <w:sz w:val="24"/>
          <w:szCs w:val="24"/>
        </w:rPr>
        <w:t xml:space="preserve"> suspected </w:t>
      </w:r>
      <w:r w:rsidRPr="006A7000">
        <w:rPr>
          <w:rFonts w:cs="Arial"/>
          <w:sz w:val="24"/>
          <w:szCs w:val="24"/>
        </w:rPr>
        <w:t xml:space="preserve">locally </w:t>
      </w:r>
      <w:r w:rsidR="00BE080B" w:rsidRPr="006A7000">
        <w:rPr>
          <w:rFonts w:cs="Arial"/>
          <w:sz w:val="24"/>
          <w:szCs w:val="24"/>
        </w:rPr>
        <w:t>recurrent, metastatic or new disease</w:t>
      </w:r>
      <w:r w:rsidRPr="006A7000">
        <w:rPr>
          <w:rFonts w:cs="Arial"/>
          <w:sz w:val="24"/>
          <w:szCs w:val="24"/>
        </w:rPr>
        <w:t xml:space="preserve"> </w:t>
      </w:r>
      <w:r w:rsidR="00A40B9A" w:rsidRPr="006A7000">
        <w:rPr>
          <w:rFonts w:cs="Arial"/>
          <w:sz w:val="24"/>
          <w:szCs w:val="24"/>
        </w:rPr>
        <w:t>w</w:t>
      </w:r>
      <w:r w:rsidRPr="006A7000">
        <w:rPr>
          <w:rFonts w:cs="Arial"/>
          <w:sz w:val="24"/>
          <w:szCs w:val="24"/>
        </w:rPr>
        <w:t>as</w:t>
      </w:r>
      <w:r w:rsidR="00F060FF" w:rsidRPr="006A7000">
        <w:rPr>
          <w:rFonts w:cs="Arial"/>
          <w:sz w:val="24"/>
          <w:szCs w:val="24"/>
        </w:rPr>
        <w:t xml:space="preserve"> </w:t>
      </w:r>
      <w:r w:rsidR="00A40B9A" w:rsidRPr="006A7000">
        <w:rPr>
          <w:rFonts w:cs="Arial"/>
          <w:sz w:val="24"/>
          <w:szCs w:val="24"/>
        </w:rPr>
        <w:t>arranged</w:t>
      </w:r>
      <w:r w:rsidRPr="006A7000">
        <w:rPr>
          <w:rFonts w:cs="Arial"/>
          <w:sz w:val="24"/>
          <w:szCs w:val="24"/>
        </w:rPr>
        <w:t xml:space="preserve"> in the event of clinical suspicion or if the patient reported </w:t>
      </w:r>
      <w:r w:rsidR="000F4774" w:rsidRPr="006A7000">
        <w:rPr>
          <w:rFonts w:cs="Arial"/>
          <w:sz w:val="24"/>
          <w:szCs w:val="24"/>
        </w:rPr>
        <w:t xml:space="preserve">worrying </w:t>
      </w:r>
      <w:r w:rsidRPr="006A7000">
        <w:rPr>
          <w:rFonts w:cs="Arial"/>
          <w:sz w:val="24"/>
          <w:szCs w:val="24"/>
        </w:rPr>
        <w:t>symptoms</w:t>
      </w:r>
      <w:r w:rsidR="004C2689" w:rsidRPr="006A7000">
        <w:rPr>
          <w:rFonts w:cs="Arial"/>
          <w:sz w:val="24"/>
          <w:szCs w:val="24"/>
        </w:rPr>
        <w:t>.</w:t>
      </w:r>
      <w:r w:rsidRPr="006A7000">
        <w:rPr>
          <w:rFonts w:cs="Arial"/>
          <w:sz w:val="24"/>
          <w:szCs w:val="24"/>
        </w:rPr>
        <w:t xml:space="preserve"> </w:t>
      </w:r>
      <w:r w:rsidR="009158BF" w:rsidRPr="006A7000">
        <w:rPr>
          <w:rFonts w:cs="Arial"/>
          <w:sz w:val="24"/>
          <w:szCs w:val="24"/>
        </w:rPr>
        <w:t xml:space="preserve">This was performed according to local practice. </w:t>
      </w:r>
      <w:r w:rsidRPr="006A7000">
        <w:rPr>
          <w:rFonts w:cs="Arial"/>
          <w:sz w:val="24"/>
          <w:szCs w:val="24"/>
        </w:rPr>
        <w:t>MRI and CT were usually used to detect local disease; US</w:t>
      </w:r>
      <w:r w:rsidR="005B5665" w:rsidRPr="006A7000">
        <w:rPr>
          <w:rFonts w:cs="Arial"/>
          <w:sz w:val="24"/>
          <w:szCs w:val="24"/>
        </w:rPr>
        <w:t>-</w:t>
      </w:r>
      <w:r w:rsidRPr="006A7000">
        <w:rPr>
          <w:rFonts w:cs="Arial"/>
          <w:sz w:val="24"/>
          <w:szCs w:val="24"/>
        </w:rPr>
        <w:t>FNAC and MRI were us</w:t>
      </w:r>
      <w:r w:rsidR="00C404C6" w:rsidRPr="006A7000">
        <w:rPr>
          <w:rFonts w:cs="Arial"/>
          <w:sz w:val="24"/>
          <w:szCs w:val="24"/>
        </w:rPr>
        <w:t>ed to detect neck disease; and positron e</w:t>
      </w:r>
      <w:r w:rsidRPr="006A7000">
        <w:rPr>
          <w:rFonts w:cs="Arial"/>
          <w:sz w:val="24"/>
          <w:szCs w:val="24"/>
        </w:rPr>
        <w:t xml:space="preserve">mission </w:t>
      </w:r>
      <w:r w:rsidR="00C404C6" w:rsidRPr="006A7000">
        <w:rPr>
          <w:rFonts w:cs="Arial"/>
          <w:sz w:val="24"/>
          <w:szCs w:val="24"/>
        </w:rPr>
        <w:t>t</w:t>
      </w:r>
      <w:r w:rsidRPr="006A7000">
        <w:rPr>
          <w:rFonts w:cs="Arial"/>
          <w:sz w:val="24"/>
          <w:szCs w:val="24"/>
        </w:rPr>
        <w:t xml:space="preserve">omography with CT </w:t>
      </w:r>
      <w:r w:rsidR="00F060FF" w:rsidRPr="006A7000">
        <w:rPr>
          <w:rFonts w:cs="Arial"/>
          <w:sz w:val="24"/>
          <w:szCs w:val="24"/>
        </w:rPr>
        <w:t>(PET</w:t>
      </w:r>
      <w:r w:rsidR="00C404C6" w:rsidRPr="006A7000">
        <w:rPr>
          <w:rFonts w:cs="Arial"/>
          <w:sz w:val="24"/>
          <w:szCs w:val="24"/>
        </w:rPr>
        <w:t>-</w:t>
      </w:r>
      <w:r w:rsidR="00F060FF" w:rsidRPr="006A7000">
        <w:rPr>
          <w:rFonts w:cs="Arial"/>
          <w:sz w:val="24"/>
          <w:szCs w:val="24"/>
        </w:rPr>
        <w:t xml:space="preserve">CT) </w:t>
      </w:r>
      <w:r w:rsidRPr="006A7000">
        <w:rPr>
          <w:rFonts w:cs="Arial"/>
          <w:sz w:val="24"/>
          <w:szCs w:val="24"/>
        </w:rPr>
        <w:t xml:space="preserve">to detect distant metastases. </w:t>
      </w:r>
    </w:p>
    <w:p w14:paraId="4F5602D5" w14:textId="77777777" w:rsidR="00F77609" w:rsidRPr="006A7000" w:rsidRDefault="00F77609" w:rsidP="00B95772">
      <w:pPr>
        <w:autoSpaceDE w:val="0"/>
        <w:autoSpaceDN w:val="0"/>
        <w:adjustRightInd w:val="0"/>
        <w:spacing w:after="0" w:line="480" w:lineRule="auto"/>
        <w:rPr>
          <w:rFonts w:cs="Arial"/>
          <w:sz w:val="24"/>
          <w:szCs w:val="24"/>
        </w:rPr>
      </w:pPr>
    </w:p>
    <w:p w14:paraId="31B7970C" w14:textId="77777777" w:rsidR="00F77609" w:rsidRPr="006A7000" w:rsidRDefault="00F77609" w:rsidP="00B95772">
      <w:pPr>
        <w:autoSpaceDE w:val="0"/>
        <w:autoSpaceDN w:val="0"/>
        <w:adjustRightInd w:val="0"/>
        <w:spacing w:after="0" w:line="480" w:lineRule="auto"/>
        <w:rPr>
          <w:rFonts w:cs="Arial"/>
          <w:i/>
          <w:sz w:val="24"/>
          <w:szCs w:val="24"/>
        </w:rPr>
      </w:pPr>
      <w:r w:rsidRPr="006A7000">
        <w:rPr>
          <w:rFonts w:cs="Arial"/>
          <w:i/>
          <w:sz w:val="24"/>
          <w:szCs w:val="24"/>
        </w:rPr>
        <w:t>Pathology</w:t>
      </w:r>
    </w:p>
    <w:p w14:paraId="43C1C9A4" w14:textId="0EB0BD38" w:rsidR="00C417BD" w:rsidRPr="006A7000" w:rsidRDefault="00CA6A2F" w:rsidP="00B95772">
      <w:pPr>
        <w:spacing w:after="0" w:line="480" w:lineRule="auto"/>
        <w:jc w:val="both"/>
        <w:rPr>
          <w:rFonts w:cs="Arial"/>
          <w:sz w:val="24"/>
          <w:szCs w:val="24"/>
        </w:rPr>
      </w:pPr>
      <w:r w:rsidRPr="006A7000">
        <w:rPr>
          <w:rFonts w:cs="Arial"/>
          <w:sz w:val="24"/>
          <w:szCs w:val="24"/>
        </w:rPr>
        <w:t>T</w:t>
      </w:r>
      <w:r w:rsidR="000C775D" w:rsidRPr="006A7000">
        <w:rPr>
          <w:rFonts w:cs="Arial"/>
          <w:sz w:val="24"/>
          <w:szCs w:val="24"/>
        </w:rPr>
        <w:t>umour sample</w:t>
      </w:r>
      <w:r w:rsidR="001C6AD4" w:rsidRPr="006A7000">
        <w:rPr>
          <w:rFonts w:cs="Arial"/>
          <w:sz w:val="24"/>
          <w:szCs w:val="24"/>
        </w:rPr>
        <w:t>s from the mouth (all patients) and neck (</w:t>
      </w:r>
      <w:r w:rsidR="00B807E9" w:rsidRPr="006A7000">
        <w:rPr>
          <w:rFonts w:cs="Arial"/>
          <w:sz w:val="24"/>
          <w:szCs w:val="24"/>
        </w:rPr>
        <w:t>END</w:t>
      </w:r>
      <w:r w:rsidR="001C6AD4" w:rsidRPr="006A7000">
        <w:rPr>
          <w:rFonts w:cs="Arial"/>
          <w:sz w:val="24"/>
          <w:szCs w:val="24"/>
        </w:rPr>
        <w:t xml:space="preserve"> patients</w:t>
      </w:r>
      <w:r w:rsidR="001B24EF" w:rsidRPr="006A7000">
        <w:rPr>
          <w:rFonts w:cs="Arial"/>
          <w:sz w:val="24"/>
          <w:szCs w:val="24"/>
        </w:rPr>
        <w:t xml:space="preserve"> only</w:t>
      </w:r>
      <w:r w:rsidR="005E67CF" w:rsidRPr="006A7000">
        <w:rPr>
          <w:rFonts w:cs="Arial"/>
          <w:sz w:val="24"/>
          <w:szCs w:val="24"/>
        </w:rPr>
        <w:t xml:space="preserve">), at baseline and recurrence, </w:t>
      </w:r>
      <w:r w:rsidR="001C6AD4" w:rsidRPr="006A7000">
        <w:rPr>
          <w:rFonts w:cs="Arial"/>
          <w:sz w:val="24"/>
          <w:szCs w:val="24"/>
        </w:rPr>
        <w:t>were sent for local pathologi</w:t>
      </w:r>
      <w:r w:rsidR="005E67CF" w:rsidRPr="006A7000">
        <w:rPr>
          <w:rFonts w:cs="Arial"/>
          <w:sz w:val="24"/>
          <w:szCs w:val="24"/>
        </w:rPr>
        <w:t>cal assessment.</w:t>
      </w:r>
      <w:r w:rsidR="00ED51C6" w:rsidRPr="006A7000">
        <w:rPr>
          <w:rFonts w:cs="Arial"/>
          <w:sz w:val="24"/>
          <w:szCs w:val="24"/>
        </w:rPr>
        <w:t xml:space="preserve"> </w:t>
      </w:r>
      <w:r w:rsidR="00075A46" w:rsidRPr="006A7000">
        <w:rPr>
          <w:rFonts w:cs="Arial"/>
          <w:sz w:val="24"/>
          <w:szCs w:val="24"/>
          <w:lang w:eastAsia="en-GB"/>
        </w:rPr>
        <w:t>All</w:t>
      </w:r>
      <w:r w:rsidR="000F4774" w:rsidRPr="006A7000">
        <w:rPr>
          <w:rFonts w:cs="Arial"/>
          <w:sz w:val="24"/>
          <w:szCs w:val="24"/>
          <w:lang w:eastAsia="en-GB"/>
        </w:rPr>
        <w:t xml:space="preserve"> specimens </w:t>
      </w:r>
      <w:r w:rsidR="00075A46" w:rsidRPr="006A7000">
        <w:rPr>
          <w:rFonts w:cs="Arial"/>
          <w:sz w:val="24"/>
          <w:szCs w:val="24"/>
          <w:lang w:eastAsia="en-GB"/>
        </w:rPr>
        <w:t>were</w:t>
      </w:r>
      <w:r w:rsidR="000F4774" w:rsidRPr="006A7000">
        <w:rPr>
          <w:rFonts w:cs="Arial"/>
          <w:sz w:val="24"/>
          <w:szCs w:val="24"/>
          <w:lang w:eastAsia="en-GB"/>
        </w:rPr>
        <w:t xml:space="preserve"> processed and examined using </w:t>
      </w:r>
      <w:r w:rsidR="00075A46" w:rsidRPr="006A7000">
        <w:rPr>
          <w:rFonts w:cs="Arial"/>
          <w:sz w:val="24"/>
          <w:szCs w:val="24"/>
          <w:lang w:eastAsia="en-GB"/>
        </w:rPr>
        <w:t>the Royal College of Pathologists minimum dataset for oral cancer</w:t>
      </w:r>
      <w:r w:rsidR="000F4774" w:rsidRPr="006A7000">
        <w:rPr>
          <w:rFonts w:cs="Arial"/>
          <w:sz w:val="24"/>
          <w:szCs w:val="24"/>
          <w:lang w:eastAsia="en-GB"/>
        </w:rPr>
        <w:t xml:space="preserve">. </w:t>
      </w:r>
      <w:r w:rsidR="00470C44" w:rsidRPr="006A7000">
        <w:rPr>
          <w:rFonts w:cs="Arial"/>
          <w:sz w:val="24"/>
          <w:szCs w:val="24"/>
        </w:rPr>
        <w:t xml:space="preserve">For patients with suspected local or neck recurrence, lesions were usually accessible for pathological sampling and diagnosis, but </w:t>
      </w:r>
      <w:r w:rsidR="00E775EF" w:rsidRPr="006A7000">
        <w:rPr>
          <w:rFonts w:cs="Arial"/>
          <w:sz w:val="24"/>
          <w:szCs w:val="24"/>
        </w:rPr>
        <w:t xml:space="preserve">diagnosis of inaccessible </w:t>
      </w:r>
      <w:r w:rsidR="00470C44" w:rsidRPr="006A7000">
        <w:rPr>
          <w:rFonts w:cs="Arial"/>
          <w:sz w:val="24"/>
          <w:szCs w:val="24"/>
        </w:rPr>
        <w:t>distant metastases was b</w:t>
      </w:r>
      <w:r w:rsidR="003C18F7" w:rsidRPr="006A7000">
        <w:rPr>
          <w:rFonts w:cs="Arial"/>
          <w:sz w:val="24"/>
          <w:szCs w:val="24"/>
        </w:rPr>
        <w:t>ased on radiological findings.</w:t>
      </w:r>
    </w:p>
    <w:p w14:paraId="6AF0EECA" w14:textId="77777777" w:rsidR="003C18F7" w:rsidRPr="006A7000" w:rsidRDefault="003C18F7" w:rsidP="00B95772">
      <w:pPr>
        <w:spacing w:after="0" w:line="480" w:lineRule="auto"/>
        <w:jc w:val="both"/>
        <w:rPr>
          <w:rFonts w:cs="Arial"/>
          <w:sz w:val="24"/>
          <w:szCs w:val="24"/>
        </w:rPr>
      </w:pPr>
    </w:p>
    <w:p w14:paraId="3E1A1840" w14:textId="77777777" w:rsidR="00E55D23" w:rsidRPr="006A7000" w:rsidRDefault="00E55D23" w:rsidP="00B95772">
      <w:pPr>
        <w:spacing w:line="480" w:lineRule="auto"/>
        <w:jc w:val="both"/>
        <w:rPr>
          <w:rFonts w:cs="Arial"/>
          <w:i/>
          <w:sz w:val="24"/>
          <w:szCs w:val="24"/>
        </w:rPr>
      </w:pPr>
      <w:r w:rsidRPr="006A7000">
        <w:rPr>
          <w:rFonts w:cs="Arial"/>
          <w:i/>
          <w:sz w:val="24"/>
          <w:szCs w:val="24"/>
        </w:rPr>
        <w:t>Outcomes</w:t>
      </w:r>
    </w:p>
    <w:p w14:paraId="0A211AA2" w14:textId="5399ED38" w:rsidR="00906FB8" w:rsidRPr="006A7000" w:rsidRDefault="00492D30" w:rsidP="00B95772">
      <w:pPr>
        <w:spacing w:line="480" w:lineRule="auto"/>
        <w:rPr>
          <w:rFonts w:cs="Arial"/>
          <w:sz w:val="24"/>
          <w:szCs w:val="24"/>
        </w:rPr>
      </w:pPr>
      <w:r w:rsidRPr="006A7000">
        <w:rPr>
          <w:rFonts w:cs="Arial"/>
          <w:sz w:val="24"/>
          <w:szCs w:val="24"/>
        </w:rPr>
        <w:t>The primary outcome was overall survival</w:t>
      </w:r>
      <w:r w:rsidR="00F057AB" w:rsidRPr="006A7000">
        <w:rPr>
          <w:rFonts w:cs="Arial"/>
          <w:sz w:val="24"/>
          <w:szCs w:val="24"/>
        </w:rPr>
        <w:t xml:space="preserve"> (OS; death from any cause</w:t>
      </w:r>
      <w:r w:rsidR="00816D22" w:rsidRPr="006A7000">
        <w:rPr>
          <w:rFonts w:cs="Arial"/>
          <w:sz w:val="24"/>
          <w:szCs w:val="24"/>
        </w:rPr>
        <w:t>, and those who did not die were censored when last known to be alive</w:t>
      </w:r>
      <w:r w:rsidR="00F057AB" w:rsidRPr="006A7000">
        <w:rPr>
          <w:rFonts w:cs="Arial"/>
          <w:sz w:val="24"/>
          <w:szCs w:val="24"/>
        </w:rPr>
        <w:t>)</w:t>
      </w:r>
      <w:r w:rsidRPr="006A7000">
        <w:rPr>
          <w:rFonts w:cs="Arial"/>
          <w:sz w:val="24"/>
          <w:szCs w:val="24"/>
        </w:rPr>
        <w:t xml:space="preserve">. Secondary outcomes </w:t>
      </w:r>
      <w:r w:rsidR="005B5665" w:rsidRPr="006A7000">
        <w:rPr>
          <w:rFonts w:cs="Arial"/>
          <w:sz w:val="24"/>
          <w:szCs w:val="24"/>
        </w:rPr>
        <w:t>included</w:t>
      </w:r>
      <w:r w:rsidR="00A418FC" w:rsidRPr="006A7000">
        <w:rPr>
          <w:rFonts w:cs="Arial"/>
          <w:sz w:val="24"/>
          <w:szCs w:val="24"/>
        </w:rPr>
        <w:t>: disease-free survival</w:t>
      </w:r>
      <w:r w:rsidR="00FB2CFD" w:rsidRPr="006A7000">
        <w:rPr>
          <w:rFonts w:cs="Arial"/>
          <w:sz w:val="24"/>
          <w:szCs w:val="24"/>
        </w:rPr>
        <w:t xml:space="preserve"> (DFS</w:t>
      </w:r>
      <w:r w:rsidR="000A30A1" w:rsidRPr="006A7000">
        <w:rPr>
          <w:rFonts w:cs="Arial"/>
          <w:sz w:val="24"/>
          <w:szCs w:val="24"/>
        </w:rPr>
        <w:t>:</w:t>
      </w:r>
      <w:r w:rsidR="00832711" w:rsidRPr="006A7000">
        <w:rPr>
          <w:rFonts w:cs="Arial"/>
          <w:sz w:val="24"/>
          <w:szCs w:val="24"/>
        </w:rPr>
        <w:t xml:space="preserve"> </w:t>
      </w:r>
      <w:r w:rsidR="00F057AB" w:rsidRPr="006A7000">
        <w:rPr>
          <w:rFonts w:cs="Arial"/>
          <w:sz w:val="24"/>
          <w:szCs w:val="24"/>
        </w:rPr>
        <w:t>local</w:t>
      </w:r>
      <w:r w:rsidR="000A30A1" w:rsidRPr="006A7000">
        <w:rPr>
          <w:rFonts w:cs="Arial"/>
          <w:sz w:val="24"/>
          <w:szCs w:val="24"/>
        </w:rPr>
        <w:t>, regional</w:t>
      </w:r>
      <w:r w:rsidR="00713075" w:rsidRPr="006A7000">
        <w:rPr>
          <w:rFonts w:cs="Arial"/>
          <w:sz w:val="24"/>
          <w:szCs w:val="24"/>
        </w:rPr>
        <w:t xml:space="preserve"> </w:t>
      </w:r>
      <w:r w:rsidR="00F057AB" w:rsidRPr="006A7000">
        <w:rPr>
          <w:rFonts w:cs="Arial"/>
          <w:sz w:val="24"/>
          <w:szCs w:val="24"/>
        </w:rPr>
        <w:t>or distant recurrence, a new primary tumour</w:t>
      </w:r>
      <w:r w:rsidR="006B64FC" w:rsidRPr="006A7000">
        <w:rPr>
          <w:rFonts w:cs="Arial"/>
          <w:sz w:val="24"/>
          <w:szCs w:val="24"/>
        </w:rPr>
        <w:t>,</w:t>
      </w:r>
      <w:r w:rsidR="00F057AB" w:rsidRPr="006A7000">
        <w:rPr>
          <w:rFonts w:cs="Arial"/>
          <w:sz w:val="24"/>
          <w:szCs w:val="24"/>
        </w:rPr>
        <w:t xml:space="preserve"> or death from any cause, whichever occurred first</w:t>
      </w:r>
      <w:r w:rsidR="00816D22" w:rsidRPr="006A7000">
        <w:rPr>
          <w:rFonts w:cs="Arial"/>
          <w:sz w:val="24"/>
          <w:szCs w:val="24"/>
        </w:rPr>
        <w:t xml:space="preserve">, and patients without </w:t>
      </w:r>
      <w:r w:rsidR="00544A3B" w:rsidRPr="006A7000">
        <w:rPr>
          <w:rFonts w:cs="Arial"/>
          <w:sz w:val="24"/>
          <w:szCs w:val="24"/>
        </w:rPr>
        <w:t xml:space="preserve">an </w:t>
      </w:r>
      <w:r w:rsidR="00816D22" w:rsidRPr="006A7000">
        <w:rPr>
          <w:rFonts w:cs="Arial"/>
          <w:sz w:val="24"/>
          <w:szCs w:val="24"/>
        </w:rPr>
        <w:t>event were censored when last known to be alive</w:t>
      </w:r>
      <w:r w:rsidR="000A30A1" w:rsidRPr="006A7000">
        <w:rPr>
          <w:rFonts w:cs="Arial"/>
          <w:sz w:val="24"/>
          <w:szCs w:val="24"/>
        </w:rPr>
        <w:t>);</w:t>
      </w:r>
      <w:r w:rsidR="00A418FC" w:rsidRPr="006A7000">
        <w:rPr>
          <w:rFonts w:cs="Arial"/>
          <w:sz w:val="24"/>
          <w:szCs w:val="24"/>
        </w:rPr>
        <w:t xml:space="preserve"> loco-</w:t>
      </w:r>
      <w:r w:rsidRPr="006A7000">
        <w:rPr>
          <w:rFonts w:cs="Arial"/>
          <w:sz w:val="24"/>
          <w:szCs w:val="24"/>
        </w:rPr>
        <w:t>regional recurrence</w:t>
      </w:r>
      <w:r w:rsidR="00F057AB" w:rsidRPr="006A7000">
        <w:rPr>
          <w:rFonts w:cs="Arial"/>
          <w:sz w:val="24"/>
          <w:szCs w:val="24"/>
        </w:rPr>
        <w:t xml:space="preserve"> (any recurrence in the mouth </w:t>
      </w:r>
      <w:r w:rsidR="00813EE7" w:rsidRPr="006A7000">
        <w:rPr>
          <w:rFonts w:cs="Arial"/>
          <w:sz w:val="24"/>
          <w:szCs w:val="24"/>
        </w:rPr>
        <w:t xml:space="preserve">from the original tumour, </w:t>
      </w:r>
      <w:r w:rsidR="00F057AB" w:rsidRPr="006A7000">
        <w:rPr>
          <w:rFonts w:cs="Arial"/>
          <w:sz w:val="24"/>
          <w:szCs w:val="24"/>
        </w:rPr>
        <w:t xml:space="preserve">or </w:t>
      </w:r>
      <w:r w:rsidR="00813EE7" w:rsidRPr="006A7000">
        <w:rPr>
          <w:rFonts w:cs="Arial"/>
          <w:sz w:val="24"/>
          <w:szCs w:val="24"/>
        </w:rPr>
        <w:t xml:space="preserve">occurrence/recurrence in the </w:t>
      </w:r>
      <w:r w:rsidR="00F057AB" w:rsidRPr="006A7000">
        <w:rPr>
          <w:rFonts w:cs="Arial"/>
          <w:sz w:val="24"/>
          <w:szCs w:val="24"/>
        </w:rPr>
        <w:t>neck</w:t>
      </w:r>
      <w:r w:rsidR="0083468E" w:rsidRPr="006A7000">
        <w:rPr>
          <w:rFonts w:cs="Arial"/>
          <w:sz w:val="24"/>
          <w:szCs w:val="24"/>
        </w:rPr>
        <w:t>, but excluding a new primary mouth tumour and death from oral cancer without a prior diagnosis of recurrence</w:t>
      </w:r>
      <w:r w:rsidR="00F057AB" w:rsidRPr="006A7000">
        <w:rPr>
          <w:rFonts w:cs="Arial"/>
          <w:sz w:val="24"/>
          <w:szCs w:val="24"/>
        </w:rPr>
        <w:t>)</w:t>
      </w:r>
      <w:r w:rsidR="00832711" w:rsidRPr="006A7000">
        <w:rPr>
          <w:rFonts w:cs="Arial"/>
          <w:sz w:val="24"/>
          <w:szCs w:val="24"/>
        </w:rPr>
        <w:t>;</w:t>
      </w:r>
      <w:r w:rsidR="006B64FC" w:rsidRPr="006A7000">
        <w:rPr>
          <w:rFonts w:cs="Arial"/>
          <w:sz w:val="24"/>
          <w:szCs w:val="24"/>
        </w:rPr>
        <w:t xml:space="preserve"> </w:t>
      </w:r>
      <w:r w:rsidRPr="006A7000">
        <w:rPr>
          <w:rFonts w:cs="Arial"/>
          <w:sz w:val="24"/>
          <w:szCs w:val="24"/>
        </w:rPr>
        <w:t xml:space="preserve">adverse </w:t>
      </w:r>
      <w:r w:rsidR="00A418FC" w:rsidRPr="006A7000">
        <w:rPr>
          <w:rFonts w:cs="Arial"/>
          <w:sz w:val="24"/>
          <w:szCs w:val="24"/>
        </w:rPr>
        <w:t>events</w:t>
      </w:r>
      <w:r w:rsidR="0081572E" w:rsidRPr="006A7000">
        <w:rPr>
          <w:rFonts w:cs="Arial"/>
          <w:sz w:val="24"/>
          <w:szCs w:val="24"/>
        </w:rPr>
        <w:t xml:space="preserve"> </w:t>
      </w:r>
      <w:r w:rsidR="00906FB8" w:rsidRPr="006A7000">
        <w:rPr>
          <w:rFonts w:cs="Arial"/>
          <w:sz w:val="24"/>
          <w:szCs w:val="24"/>
        </w:rPr>
        <w:t xml:space="preserve">(graded as mild, moderate, severe, or life threatening/disabling) </w:t>
      </w:r>
      <w:r w:rsidR="0081572E" w:rsidRPr="006A7000">
        <w:rPr>
          <w:rFonts w:cs="Arial"/>
          <w:sz w:val="24"/>
          <w:szCs w:val="24"/>
        </w:rPr>
        <w:t>occurring up to 6 months post-surgery which is when surgic</w:t>
      </w:r>
      <w:r w:rsidR="000C5FE5" w:rsidRPr="006A7000">
        <w:rPr>
          <w:rFonts w:cs="Arial"/>
          <w:sz w:val="24"/>
          <w:szCs w:val="24"/>
        </w:rPr>
        <w:t xml:space="preserve">ally-related events would </w:t>
      </w:r>
      <w:r w:rsidR="00ED37C0" w:rsidRPr="006A7000">
        <w:rPr>
          <w:rFonts w:cs="Arial"/>
          <w:sz w:val="24"/>
          <w:szCs w:val="24"/>
        </w:rPr>
        <w:t xml:space="preserve">usually </w:t>
      </w:r>
      <w:r w:rsidR="000C5FE5" w:rsidRPr="006A7000">
        <w:rPr>
          <w:rFonts w:cs="Arial"/>
          <w:sz w:val="24"/>
          <w:szCs w:val="24"/>
        </w:rPr>
        <w:t>occur</w:t>
      </w:r>
      <w:r w:rsidR="004E0697" w:rsidRPr="006A7000">
        <w:rPr>
          <w:rFonts w:cs="Arial"/>
          <w:sz w:val="24"/>
          <w:szCs w:val="24"/>
        </w:rPr>
        <w:t>. H</w:t>
      </w:r>
      <w:r w:rsidR="001F612B" w:rsidRPr="006A7000">
        <w:rPr>
          <w:rFonts w:cs="Arial"/>
          <w:sz w:val="24"/>
          <w:szCs w:val="24"/>
        </w:rPr>
        <w:t>ealth-related quality of life</w:t>
      </w:r>
      <w:r w:rsidR="004E0697" w:rsidRPr="006A7000">
        <w:rPr>
          <w:rFonts w:cs="Arial"/>
          <w:sz w:val="24"/>
          <w:szCs w:val="24"/>
        </w:rPr>
        <w:t xml:space="preserve"> was assessed using the EORTC-QLQ-C30 and head and neck cancer specific module</w:t>
      </w:r>
      <w:r w:rsidR="00750882" w:rsidRPr="006A7000">
        <w:rPr>
          <w:rFonts w:cs="Arial"/>
          <w:sz w:val="24"/>
          <w:szCs w:val="24"/>
        </w:rPr>
        <w:t xml:space="preserve"> at baseline and 6 months later</w:t>
      </w:r>
      <w:r w:rsidRPr="006A7000">
        <w:rPr>
          <w:rFonts w:cs="Arial"/>
          <w:sz w:val="24"/>
          <w:szCs w:val="24"/>
        </w:rPr>
        <w:t>.</w:t>
      </w:r>
      <w:r w:rsidR="00F96948" w:rsidRPr="006A7000">
        <w:rPr>
          <w:rFonts w:cs="Arial"/>
          <w:sz w:val="24"/>
          <w:szCs w:val="24"/>
          <w:vertAlign w:val="superscript"/>
        </w:rPr>
        <w:t>19</w:t>
      </w:r>
      <w:r w:rsidR="004E0697" w:rsidRPr="006A7000">
        <w:rPr>
          <w:rFonts w:cs="Arial"/>
          <w:sz w:val="24"/>
          <w:szCs w:val="24"/>
        </w:rPr>
        <w:t xml:space="preserve"> </w:t>
      </w:r>
      <w:r w:rsidR="007B0F21" w:rsidRPr="006A7000">
        <w:rPr>
          <w:rFonts w:cs="Arial"/>
          <w:sz w:val="24"/>
          <w:szCs w:val="24"/>
        </w:rPr>
        <w:t>NHS resource use (number of hospital inpatient days, outpatient days, and GP visits) was collected up to 24 months after surgery</w:t>
      </w:r>
      <w:r w:rsidR="00AF4CC4" w:rsidRPr="006A7000">
        <w:rPr>
          <w:rFonts w:cs="Arial"/>
          <w:sz w:val="24"/>
          <w:szCs w:val="24"/>
        </w:rPr>
        <w:t xml:space="preserve">, </w:t>
      </w:r>
      <w:r w:rsidR="00AF4CC4" w:rsidRPr="006A7000">
        <w:rPr>
          <w:rFonts w:cs="Arial"/>
          <w:sz w:val="24"/>
          <w:szCs w:val="24"/>
        </w:rPr>
        <w:lastRenderedPageBreak/>
        <w:t>using a questionnaire completed by patients when they attended the clinic for follow-up</w:t>
      </w:r>
      <w:r w:rsidR="00BF203E" w:rsidRPr="006A7000">
        <w:rPr>
          <w:rFonts w:cs="Arial"/>
          <w:sz w:val="24"/>
          <w:szCs w:val="24"/>
        </w:rPr>
        <w:t xml:space="preserve"> (every 2 months)</w:t>
      </w:r>
      <w:r w:rsidR="007B0F21" w:rsidRPr="006A7000">
        <w:rPr>
          <w:rFonts w:cs="Arial"/>
          <w:sz w:val="24"/>
          <w:szCs w:val="24"/>
        </w:rPr>
        <w:t>.</w:t>
      </w:r>
    </w:p>
    <w:p w14:paraId="47DBBB6A" w14:textId="77777777" w:rsidR="00221268" w:rsidRPr="006A7000" w:rsidRDefault="00221268" w:rsidP="00B95772">
      <w:pPr>
        <w:spacing w:after="0" w:line="480" w:lineRule="auto"/>
        <w:rPr>
          <w:rFonts w:cs="Arial"/>
          <w:i/>
          <w:sz w:val="24"/>
          <w:szCs w:val="24"/>
        </w:rPr>
      </w:pPr>
    </w:p>
    <w:p w14:paraId="665989EA" w14:textId="44067C4F" w:rsidR="00E55D23" w:rsidRPr="006A7000" w:rsidRDefault="00E55D23" w:rsidP="00B95772">
      <w:pPr>
        <w:spacing w:after="0" w:line="480" w:lineRule="auto"/>
        <w:rPr>
          <w:rFonts w:cs="Arial"/>
          <w:i/>
          <w:sz w:val="24"/>
          <w:szCs w:val="24"/>
        </w:rPr>
      </w:pPr>
      <w:r w:rsidRPr="006A7000">
        <w:rPr>
          <w:rFonts w:cs="Arial"/>
          <w:i/>
          <w:sz w:val="24"/>
          <w:szCs w:val="24"/>
        </w:rPr>
        <w:t xml:space="preserve">Statistical </w:t>
      </w:r>
      <w:r w:rsidR="00B52307" w:rsidRPr="006A7000">
        <w:rPr>
          <w:rFonts w:cs="Arial"/>
          <w:i/>
          <w:sz w:val="24"/>
          <w:szCs w:val="24"/>
        </w:rPr>
        <w:t>considerations</w:t>
      </w:r>
    </w:p>
    <w:p w14:paraId="140CBD43" w14:textId="7EA79C9B" w:rsidR="00350BF8" w:rsidRPr="006A7000" w:rsidRDefault="00BF203E" w:rsidP="00B95772">
      <w:pPr>
        <w:autoSpaceDE w:val="0"/>
        <w:autoSpaceDN w:val="0"/>
        <w:adjustRightInd w:val="0"/>
        <w:spacing w:after="0" w:line="480" w:lineRule="auto"/>
        <w:rPr>
          <w:rFonts w:cs="Arial"/>
          <w:sz w:val="24"/>
          <w:szCs w:val="24"/>
        </w:rPr>
      </w:pPr>
      <w:r w:rsidRPr="006A7000">
        <w:rPr>
          <w:rFonts w:cs="Arial"/>
          <w:sz w:val="24"/>
          <w:szCs w:val="24"/>
        </w:rPr>
        <w:t>W</w:t>
      </w:r>
      <w:r w:rsidR="00D848E4" w:rsidRPr="006A7000">
        <w:rPr>
          <w:rFonts w:cs="Arial"/>
          <w:sz w:val="24"/>
          <w:szCs w:val="24"/>
        </w:rPr>
        <w:t>e</w:t>
      </w:r>
      <w:r w:rsidR="00E55D23" w:rsidRPr="006A7000">
        <w:rPr>
          <w:rFonts w:cs="Arial"/>
          <w:sz w:val="24"/>
          <w:szCs w:val="24"/>
        </w:rPr>
        <w:t xml:space="preserve"> aimed for a 10 percentage point improvement</w:t>
      </w:r>
      <w:r w:rsidR="00A92AEA" w:rsidRPr="006A7000">
        <w:rPr>
          <w:rFonts w:cs="Arial"/>
          <w:sz w:val="24"/>
          <w:szCs w:val="24"/>
        </w:rPr>
        <w:t xml:space="preserve"> with END</w:t>
      </w:r>
      <w:r w:rsidRPr="006A7000">
        <w:rPr>
          <w:rFonts w:cs="Arial"/>
          <w:sz w:val="24"/>
          <w:szCs w:val="24"/>
        </w:rPr>
        <w:t>, from a 5-year OS rate of 65% using</w:t>
      </w:r>
      <w:r w:rsidR="0078596D" w:rsidRPr="006A7000">
        <w:rPr>
          <w:rFonts w:cs="Arial"/>
          <w:sz w:val="24"/>
          <w:szCs w:val="24"/>
        </w:rPr>
        <w:t xml:space="preserve"> resection alone</w:t>
      </w:r>
      <w:r w:rsidR="00E55D23" w:rsidRPr="006A7000">
        <w:rPr>
          <w:rFonts w:cs="Arial"/>
          <w:sz w:val="24"/>
          <w:szCs w:val="24"/>
        </w:rPr>
        <w:t xml:space="preserve">. </w:t>
      </w:r>
      <w:r w:rsidR="00A11320" w:rsidRPr="006A7000">
        <w:rPr>
          <w:rFonts w:cs="Arial"/>
          <w:sz w:val="24"/>
          <w:szCs w:val="24"/>
        </w:rPr>
        <w:t>T</w:t>
      </w:r>
      <w:r w:rsidR="00E55D23" w:rsidRPr="006A7000">
        <w:rPr>
          <w:rFonts w:cs="Arial"/>
          <w:sz w:val="24"/>
          <w:szCs w:val="24"/>
        </w:rPr>
        <w:t>his required 620 patients, with 80% power and two-sided 5% statistical significance</w:t>
      </w:r>
      <w:r w:rsidR="00350BF8" w:rsidRPr="006A7000">
        <w:rPr>
          <w:rFonts w:cs="Arial"/>
          <w:sz w:val="24"/>
          <w:szCs w:val="24"/>
        </w:rPr>
        <w:t>.</w:t>
      </w:r>
    </w:p>
    <w:p w14:paraId="47C5725B" w14:textId="77777777" w:rsidR="00350BF8" w:rsidRPr="006A7000" w:rsidRDefault="00350BF8" w:rsidP="00B95772">
      <w:pPr>
        <w:autoSpaceDE w:val="0"/>
        <w:autoSpaceDN w:val="0"/>
        <w:adjustRightInd w:val="0"/>
        <w:spacing w:after="0" w:line="480" w:lineRule="auto"/>
        <w:rPr>
          <w:rFonts w:cs="Arial"/>
          <w:sz w:val="24"/>
          <w:szCs w:val="24"/>
        </w:rPr>
      </w:pPr>
    </w:p>
    <w:p w14:paraId="7CC0DDAE" w14:textId="1AF43610" w:rsidR="00FB2CFD" w:rsidRPr="006A7000" w:rsidRDefault="00E775EF" w:rsidP="00B95772">
      <w:pPr>
        <w:autoSpaceDE w:val="0"/>
        <w:autoSpaceDN w:val="0"/>
        <w:adjustRightInd w:val="0"/>
        <w:spacing w:after="0" w:line="480" w:lineRule="auto"/>
        <w:rPr>
          <w:rFonts w:cs="Arial"/>
          <w:sz w:val="24"/>
          <w:szCs w:val="24"/>
        </w:rPr>
      </w:pPr>
      <w:r w:rsidRPr="006A7000">
        <w:rPr>
          <w:rFonts w:cs="Arial"/>
          <w:sz w:val="24"/>
          <w:szCs w:val="24"/>
        </w:rPr>
        <w:t>Time-to-event outcomes were measured from the date of surgery or excision biopsy (if it had removed the tumour) because it was the onl</w:t>
      </w:r>
      <w:r w:rsidR="00D34225" w:rsidRPr="006A7000">
        <w:rPr>
          <w:rFonts w:cs="Arial"/>
          <w:sz w:val="24"/>
          <w:szCs w:val="24"/>
        </w:rPr>
        <w:t>y standard and comparable date</w:t>
      </w:r>
      <w:r w:rsidRPr="006A7000">
        <w:rPr>
          <w:rFonts w:cs="Arial"/>
          <w:sz w:val="24"/>
          <w:szCs w:val="24"/>
        </w:rPr>
        <w:t xml:space="preserve">. </w:t>
      </w:r>
      <w:r w:rsidR="005E1430" w:rsidRPr="006A7000">
        <w:rPr>
          <w:rFonts w:cs="Arial"/>
          <w:sz w:val="24"/>
          <w:szCs w:val="24"/>
        </w:rPr>
        <w:t>Although t</w:t>
      </w:r>
      <w:r w:rsidR="00FB2CFD" w:rsidRPr="006A7000">
        <w:rPr>
          <w:rFonts w:cs="Arial"/>
          <w:sz w:val="24"/>
          <w:szCs w:val="24"/>
        </w:rPr>
        <w:t xml:space="preserve">ime-to-event endpoints </w:t>
      </w:r>
      <w:r w:rsidR="001D5D99" w:rsidRPr="006A7000">
        <w:rPr>
          <w:rFonts w:cs="Arial"/>
          <w:sz w:val="24"/>
          <w:szCs w:val="24"/>
        </w:rPr>
        <w:t xml:space="preserve">are usually measured </w:t>
      </w:r>
      <w:r w:rsidR="00FB2CFD" w:rsidRPr="006A7000">
        <w:rPr>
          <w:rFonts w:cs="Arial"/>
          <w:sz w:val="24"/>
          <w:szCs w:val="24"/>
        </w:rPr>
        <w:t xml:space="preserve">from </w:t>
      </w:r>
      <w:r w:rsidR="001D5D99" w:rsidRPr="006A7000">
        <w:rPr>
          <w:rFonts w:cs="Arial"/>
          <w:sz w:val="24"/>
          <w:szCs w:val="24"/>
        </w:rPr>
        <w:t xml:space="preserve">the </w:t>
      </w:r>
      <w:r w:rsidR="00221268" w:rsidRPr="006A7000">
        <w:rPr>
          <w:rFonts w:cs="Arial"/>
          <w:sz w:val="24"/>
          <w:szCs w:val="24"/>
        </w:rPr>
        <w:t>randomisation</w:t>
      </w:r>
      <w:r w:rsidR="005E1430" w:rsidRPr="006A7000">
        <w:rPr>
          <w:rFonts w:cs="Arial"/>
          <w:sz w:val="24"/>
          <w:szCs w:val="24"/>
        </w:rPr>
        <w:t xml:space="preserve"> date</w:t>
      </w:r>
      <w:r w:rsidR="00B65F9B" w:rsidRPr="006A7000">
        <w:rPr>
          <w:rFonts w:cs="Arial"/>
          <w:sz w:val="24"/>
          <w:szCs w:val="24"/>
        </w:rPr>
        <w:t xml:space="preserve">, </w:t>
      </w:r>
      <w:r w:rsidR="00F36965" w:rsidRPr="006A7000">
        <w:rPr>
          <w:rFonts w:cs="Arial"/>
          <w:sz w:val="24"/>
          <w:szCs w:val="24"/>
        </w:rPr>
        <w:t xml:space="preserve">in our trial </w:t>
      </w:r>
      <w:r w:rsidR="00B65F9B" w:rsidRPr="006A7000">
        <w:rPr>
          <w:rFonts w:cs="Arial"/>
          <w:sz w:val="24"/>
          <w:szCs w:val="24"/>
        </w:rPr>
        <w:t>the</w:t>
      </w:r>
      <w:r w:rsidR="00FB2CFD" w:rsidRPr="006A7000">
        <w:rPr>
          <w:rFonts w:cs="Arial"/>
          <w:sz w:val="24"/>
          <w:szCs w:val="24"/>
        </w:rPr>
        <w:t xml:space="preserve"> </w:t>
      </w:r>
      <w:r w:rsidR="00CA7D29" w:rsidRPr="006A7000">
        <w:rPr>
          <w:rFonts w:cs="Arial"/>
          <w:sz w:val="24"/>
          <w:szCs w:val="24"/>
        </w:rPr>
        <w:t xml:space="preserve">surgery </w:t>
      </w:r>
      <w:r w:rsidR="001D5D99" w:rsidRPr="006A7000">
        <w:rPr>
          <w:rFonts w:cs="Arial"/>
          <w:sz w:val="24"/>
          <w:szCs w:val="24"/>
        </w:rPr>
        <w:t xml:space="preserve">date </w:t>
      </w:r>
      <w:r w:rsidR="00811A7D" w:rsidRPr="006A7000">
        <w:rPr>
          <w:rFonts w:cs="Arial"/>
          <w:sz w:val="24"/>
          <w:szCs w:val="24"/>
        </w:rPr>
        <w:t>sometimes</w:t>
      </w:r>
      <w:r w:rsidR="00EB2D80" w:rsidRPr="006A7000">
        <w:rPr>
          <w:rFonts w:cs="Arial"/>
          <w:sz w:val="24"/>
          <w:szCs w:val="24"/>
        </w:rPr>
        <w:t xml:space="preserve"> occurred</w:t>
      </w:r>
      <w:r w:rsidR="003F0ECA" w:rsidRPr="006A7000">
        <w:rPr>
          <w:rFonts w:cs="Arial"/>
          <w:sz w:val="24"/>
          <w:szCs w:val="24"/>
        </w:rPr>
        <w:t xml:space="preserve"> </w:t>
      </w:r>
      <w:r w:rsidR="00A87F43" w:rsidRPr="006A7000">
        <w:rPr>
          <w:rFonts w:cs="Arial"/>
          <w:sz w:val="24"/>
          <w:szCs w:val="24"/>
        </w:rPr>
        <w:t xml:space="preserve">a few </w:t>
      </w:r>
      <w:r w:rsidR="003F0ECA" w:rsidRPr="006A7000">
        <w:rPr>
          <w:rFonts w:cs="Arial"/>
          <w:sz w:val="24"/>
          <w:szCs w:val="24"/>
        </w:rPr>
        <w:t xml:space="preserve">weeks after </w:t>
      </w:r>
      <w:r w:rsidR="00221268" w:rsidRPr="006A7000">
        <w:rPr>
          <w:rFonts w:cs="Arial"/>
          <w:sz w:val="24"/>
          <w:szCs w:val="24"/>
        </w:rPr>
        <w:t>randomisation</w:t>
      </w:r>
      <w:r w:rsidR="00910E11" w:rsidRPr="006A7000">
        <w:rPr>
          <w:rFonts w:cs="Arial"/>
          <w:sz w:val="24"/>
          <w:szCs w:val="24"/>
        </w:rPr>
        <w:t xml:space="preserve"> and </w:t>
      </w:r>
      <w:r w:rsidR="00754F08" w:rsidRPr="006A7000">
        <w:rPr>
          <w:rFonts w:cs="Arial"/>
          <w:sz w:val="24"/>
          <w:szCs w:val="24"/>
        </w:rPr>
        <w:t xml:space="preserve">in 22 patients the diagnostic biopsy </w:t>
      </w:r>
      <w:r w:rsidR="009158BF" w:rsidRPr="006A7000">
        <w:rPr>
          <w:rFonts w:asciiTheme="minorHAnsi" w:hAnsiTheme="minorHAnsi" w:cs="Arial"/>
          <w:sz w:val="24"/>
          <w:szCs w:val="24"/>
        </w:rPr>
        <w:t>(</w:t>
      </w:r>
      <w:r w:rsidR="009158BF" w:rsidRPr="006A7000">
        <w:rPr>
          <w:rFonts w:asciiTheme="minorHAnsi" w:eastAsia="Times New Roman" w:hAnsiTheme="minorHAnsi" w:cs="Arial"/>
          <w:sz w:val="24"/>
          <w:szCs w:val="24"/>
        </w:rPr>
        <w:t>wide-local excision with clear margin</w:t>
      </w:r>
      <w:r w:rsidR="009158BF" w:rsidRPr="006A7000">
        <w:rPr>
          <w:rFonts w:asciiTheme="minorHAnsi" w:hAnsiTheme="minorHAnsi" w:cs="Arial"/>
          <w:sz w:val="24"/>
          <w:szCs w:val="24"/>
        </w:rPr>
        <w:t xml:space="preserve">) </w:t>
      </w:r>
      <w:r w:rsidR="00754F08" w:rsidRPr="006A7000">
        <w:rPr>
          <w:rFonts w:cs="Arial"/>
          <w:sz w:val="24"/>
          <w:szCs w:val="24"/>
        </w:rPr>
        <w:t>had completely excised the mouth tumour,</w:t>
      </w:r>
      <w:r w:rsidR="00752365" w:rsidRPr="006A7000">
        <w:rPr>
          <w:rFonts w:cs="Arial"/>
          <w:sz w:val="24"/>
          <w:szCs w:val="24"/>
        </w:rPr>
        <w:t xml:space="preserve"> </w:t>
      </w:r>
      <w:r w:rsidR="00F45A12" w:rsidRPr="006A7000">
        <w:rPr>
          <w:rFonts w:cs="Arial"/>
          <w:sz w:val="24"/>
          <w:szCs w:val="24"/>
        </w:rPr>
        <w:t>so</w:t>
      </w:r>
      <w:r w:rsidR="00752365" w:rsidRPr="006A7000">
        <w:rPr>
          <w:rFonts w:cs="Arial"/>
          <w:sz w:val="24"/>
          <w:szCs w:val="24"/>
        </w:rPr>
        <w:t xml:space="preserve"> the surgery date was effectively the biopsy procedure date in these cases</w:t>
      </w:r>
      <w:r w:rsidR="00754F08" w:rsidRPr="006A7000">
        <w:rPr>
          <w:rFonts w:cs="Arial"/>
          <w:sz w:val="24"/>
          <w:szCs w:val="24"/>
        </w:rPr>
        <w:t>.</w:t>
      </w:r>
      <w:r w:rsidR="00942030" w:rsidRPr="006A7000">
        <w:rPr>
          <w:rFonts w:cs="Arial"/>
          <w:sz w:val="24"/>
          <w:szCs w:val="24"/>
        </w:rPr>
        <w:t xml:space="preserve"> </w:t>
      </w:r>
      <w:r w:rsidR="00FB2CFD" w:rsidRPr="006A7000">
        <w:rPr>
          <w:rFonts w:cs="Arial"/>
          <w:sz w:val="24"/>
          <w:szCs w:val="24"/>
        </w:rPr>
        <w:t xml:space="preserve">Time-to-event outcomes were analysed using Cox </w:t>
      </w:r>
      <w:r w:rsidR="00F010C9" w:rsidRPr="006A7000">
        <w:rPr>
          <w:rFonts w:cs="Arial"/>
          <w:sz w:val="24"/>
          <w:szCs w:val="24"/>
        </w:rPr>
        <w:t>regression</w:t>
      </w:r>
      <w:r w:rsidR="00BE5CA3" w:rsidRPr="006A7000">
        <w:rPr>
          <w:rFonts w:cs="Arial"/>
          <w:sz w:val="24"/>
          <w:szCs w:val="24"/>
        </w:rPr>
        <w:t xml:space="preserve"> (hazard ratio, HR)</w:t>
      </w:r>
      <w:r w:rsidR="00FB2CFD" w:rsidRPr="006A7000">
        <w:rPr>
          <w:rFonts w:cs="Arial"/>
          <w:sz w:val="24"/>
          <w:szCs w:val="24"/>
        </w:rPr>
        <w:t xml:space="preserve">, </w:t>
      </w:r>
      <w:r w:rsidR="008F31EC" w:rsidRPr="006A7000">
        <w:rPr>
          <w:rFonts w:cs="Arial"/>
          <w:sz w:val="24"/>
          <w:szCs w:val="24"/>
        </w:rPr>
        <w:t xml:space="preserve">after confirming the assumption of </w:t>
      </w:r>
      <w:r w:rsidR="005E1430" w:rsidRPr="006A7000">
        <w:rPr>
          <w:rFonts w:cs="Arial"/>
          <w:sz w:val="24"/>
          <w:szCs w:val="24"/>
        </w:rPr>
        <w:t>proportional hazards</w:t>
      </w:r>
      <w:r w:rsidR="001F0F37" w:rsidRPr="006A7000">
        <w:rPr>
          <w:rFonts w:cs="Arial"/>
          <w:sz w:val="24"/>
          <w:szCs w:val="24"/>
        </w:rPr>
        <w:t>.</w:t>
      </w:r>
      <w:r w:rsidR="00FB2CFD" w:rsidRPr="006A7000">
        <w:rPr>
          <w:rFonts w:cs="Arial"/>
          <w:sz w:val="24"/>
          <w:szCs w:val="24"/>
        </w:rPr>
        <w:t xml:space="preserve"> </w:t>
      </w:r>
      <w:r w:rsidR="00570C60" w:rsidRPr="006A7000">
        <w:rPr>
          <w:rFonts w:cs="Arial"/>
          <w:sz w:val="24"/>
          <w:szCs w:val="24"/>
        </w:rPr>
        <w:t>The OS HR was also obtained</w:t>
      </w:r>
      <w:r w:rsidR="005E1430" w:rsidRPr="006A7000">
        <w:rPr>
          <w:rFonts w:cs="Arial"/>
          <w:sz w:val="24"/>
          <w:szCs w:val="24"/>
        </w:rPr>
        <w:t xml:space="preserve"> after allowing for the </w:t>
      </w:r>
      <w:r w:rsidR="00221268" w:rsidRPr="006A7000">
        <w:rPr>
          <w:rFonts w:cs="Arial"/>
          <w:sz w:val="24"/>
          <w:szCs w:val="24"/>
        </w:rPr>
        <w:t>randomisation</w:t>
      </w:r>
      <w:r w:rsidR="00570C60" w:rsidRPr="006A7000">
        <w:rPr>
          <w:rFonts w:cs="Arial"/>
          <w:sz w:val="24"/>
          <w:szCs w:val="24"/>
        </w:rPr>
        <w:t xml:space="preserve"> stratification factors (used as strata in the Cox regression). </w:t>
      </w:r>
      <w:r w:rsidR="00FB2CFD" w:rsidRPr="006A7000">
        <w:rPr>
          <w:rFonts w:cs="Arial"/>
          <w:sz w:val="24"/>
          <w:szCs w:val="24"/>
        </w:rPr>
        <w:t xml:space="preserve">The worst grade of adverse event for each patient and each type was </w:t>
      </w:r>
      <w:r w:rsidR="00CA6A2F" w:rsidRPr="006A7000">
        <w:rPr>
          <w:rFonts w:cs="Arial"/>
          <w:sz w:val="24"/>
          <w:szCs w:val="24"/>
        </w:rPr>
        <w:t xml:space="preserve">compared using </w:t>
      </w:r>
      <w:r w:rsidR="005B5665" w:rsidRPr="006A7000">
        <w:rPr>
          <w:rFonts w:cs="Arial"/>
          <w:sz w:val="24"/>
          <w:szCs w:val="24"/>
        </w:rPr>
        <w:t>F</w:t>
      </w:r>
      <w:r w:rsidR="00DF21DF" w:rsidRPr="006A7000">
        <w:rPr>
          <w:rFonts w:cs="Arial"/>
          <w:sz w:val="24"/>
          <w:szCs w:val="24"/>
        </w:rPr>
        <w:t>isher</w:t>
      </w:r>
      <w:r w:rsidR="00EC73E0" w:rsidRPr="006A7000">
        <w:rPr>
          <w:rFonts w:cs="Arial"/>
          <w:sz w:val="24"/>
          <w:szCs w:val="24"/>
        </w:rPr>
        <w:t>’</w:t>
      </w:r>
      <w:r w:rsidR="00DF21DF" w:rsidRPr="006A7000">
        <w:rPr>
          <w:rFonts w:cs="Arial"/>
          <w:sz w:val="24"/>
          <w:szCs w:val="24"/>
        </w:rPr>
        <w:t>s test</w:t>
      </w:r>
      <w:r w:rsidR="00FB2CFD" w:rsidRPr="006A7000">
        <w:rPr>
          <w:rFonts w:cs="Arial"/>
          <w:sz w:val="24"/>
          <w:szCs w:val="24"/>
        </w:rPr>
        <w:t>. Primary analyses were by intention-to-treat</w:t>
      </w:r>
      <w:r w:rsidR="00B041ED" w:rsidRPr="006A7000">
        <w:rPr>
          <w:rFonts w:cs="Arial"/>
          <w:sz w:val="24"/>
          <w:szCs w:val="24"/>
        </w:rPr>
        <w:t xml:space="preserve"> (ITT)</w:t>
      </w:r>
      <w:r w:rsidR="00FB2CFD" w:rsidRPr="006A7000">
        <w:rPr>
          <w:rFonts w:cs="Arial"/>
          <w:sz w:val="24"/>
          <w:szCs w:val="24"/>
        </w:rPr>
        <w:t xml:space="preserve">. </w:t>
      </w:r>
      <w:r w:rsidR="0081572E" w:rsidRPr="006A7000">
        <w:rPr>
          <w:rFonts w:cs="Arial"/>
          <w:sz w:val="24"/>
          <w:szCs w:val="24"/>
        </w:rPr>
        <w:t>Pre-specified p</w:t>
      </w:r>
      <w:r w:rsidR="00FB2CFD" w:rsidRPr="006A7000">
        <w:rPr>
          <w:rFonts w:cs="Arial"/>
          <w:sz w:val="24"/>
          <w:szCs w:val="24"/>
        </w:rPr>
        <w:t xml:space="preserve">er-protocol analyses were performed for patients who had </w:t>
      </w:r>
      <w:r w:rsidR="00CA6A2F" w:rsidRPr="006A7000">
        <w:rPr>
          <w:rFonts w:cs="Arial"/>
          <w:sz w:val="24"/>
          <w:szCs w:val="24"/>
        </w:rPr>
        <w:t xml:space="preserve">the </w:t>
      </w:r>
      <w:r w:rsidR="00ED0948" w:rsidRPr="006A7000">
        <w:rPr>
          <w:rFonts w:cs="Arial"/>
          <w:sz w:val="24"/>
          <w:szCs w:val="24"/>
        </w:rPr>
        <w:t>randomised</w:t>
      </w:r>
      <w:r w:rsidR="00F65030" w:rsidRPr="006A7000">
        <w:rPr>
          <w:rFonts w:cs="Arial"/>
          <w:sz w:val="24"/>
          <w:szCs w:val="24"/>
        </w:rPr>
        <w:t xml:space="preserve"> </w:t>
      </w:r>
      <w:r w:rsidR="00CA6A2F" w:rsidRPr="006A7000">
        <w:rPr>
          <w:rFonts w:cs="Arial"/>
          <w:sz w:val="24"/>
          <w:szCs w:val="24"/>
        </w:rPr>
        <w:t>surgical procedure</w:t>
      </w:r>
      <w:r w:rsidR="00FB2CFD" w:rsidRPr="006A7000">
        <w:rPr>
          <w:rFonts w:cs="Arial"/>
          <w:sz w:val="24"/>
          <w:szCs w:val="24"/>
        </w:rPr>
        <w:t>.</w:t>
      </w:r>
    </w:p>
    <w:p w14:paraId="0E054723" w14:textId="77777777" w:rsidR="00A11320" w:rsidRPr="006A7000" w:rsidRDefault="00A11320" w:rsidP="00B95772">
      <w:pPr>
        <w:autoSpaceDE w:val="0"/>
        <w:autoSpaceDN w:val="0"/>
        <w:adjustRightInd w:val="0"/>
        <w:spacing w:after="0" w:line="480" w:lineRule="auto"/>
        <w:rPr>
          <w:rFonts w:cs="Arial"/>
          <w:sz w:val="24"/>
          <w:szCs w:val="24"/>
        </w:rPr>
      </w:pPr>
    </w:p>
    <w:p w14:paraId="7B86C4FB" w14:textId="77FBB024" w:rsidR="00C42612" w:rsidRPr="006A7000" w:rsidRDefault="0017068A" w:rsidP="00B95772">
      <w:pPr>
        <w:autoSpaceDE w:val="0"/>
        <w:autoSpaceDN w:val="0"/>
        <w:adjustRightInd w:val="0"/>
        <w:spacing w:after="0" w:line="480" w:lineRule="auto"/>
        <w:rPr>
          <w:rFonts w:cs="Arial"/>
          <w:sz w:val="24"/>
          <w:szCs w:val="24"/>
        </w:rPr>
      </w:pPr>
      <w:r w:rsidRPr="006A7000">
        <w:rPr>
          <w:rFonts w:cs="Arial"/>
          <w:sz w:val="24"/>
          <w:szCs w:val="24"/>
        </w:rPr>
        <w:t>In July 2015, the Independent Data Monitoring C</w:t>
      </w:r>
      <w:r w:rsidR="00C42612" w:rsidRPr="006A7000">
        <w:rPr>
          <w:rFonts w:cs="Arial"/>
          <w:sz w:val="24"/>
          <w:szCs w:val="24"/>
        </w:rPr>
        <w:t xml:space="preserve">ommittee </w:t>
      </w:r>
      <w:r w:rsidRPr="006A7000">
        <w:rPr>
          <w:rFonts w:cs="Arial"/>
          <w:sz w:val="24"/>
          <w:szCs w:val="24"/>
        </w:rPr>
        <w:t xml:space="preserve">(IDMC) </w:t>
      </w:r>
      <w:r w:rsidR="00CB5230" w:rsidRPr="006A7000">
        <w:rPr>
          <w:rFonts w:cs="Arial"/>
          <w:sz w:val="24"/>
          <w:szCs w:val="24"/>
        </w:rPr>
        <w:t xml:space="preserve">recommended </w:t>
      </w:r>
      <w:r w:rsidR="00883421" w:rsidRPr="006A7000">
        <w:rPr>
          <w:rFonts w:cs="Arial"/>
          <w:sz w:val="24"/>
          <w:szCs w:val="24"/>
        </w:rPr>
        <w:t xml:space="preserve">early termination of </w:t>
      </w:r>
      <w:r w:rsidR="00500063" w:rsidRPr="006A7000">
        <w:rPr>
          <w:rFonts w:cs="Arial"/>
          <w:sz w:val="24"/>
          <w:szCs w:val="24"/>
        </w:rPr>
        <w:t xml:space="preserve">accrual </w:t>
      </w:r>
      <w:r w:rsidR="00C42612" w:rsidRPr="006A7000">
        <w:rPr>
          <w:rFonts w:cs="Arial"/>
          <w:sz w:val="24"/>
          <w:szCs w:val="24"/>
        </w:rPr>
        <w:t xml:space="preserve">because </w:t>
      </w:r>
      <w:r w:rsidRPr="006A7000">
        <w:rPr>
          <w:rFonts w:cs="Arial"/>
          <w:sz w:val="24"/>
          <w:szCs w:val="24"/>
        </w:rPr>
        <w:t>the</w:t>
      </w:r>
      <w:r w:rsidR="00C42612" w:rsidRPr="006A7000">
        <w:rPr>
          <w:rFonts w:cs="Arial"/>
          <w:sz w:val="24"/>
          <w:szCs w:val="24"/>
        </w:rPr>
        <w:t xml:space="preserve"> </w:t>
      </w:r>
      <w:r w:rsidRPr="006A7000">
        <w:rPr>
          <w:rFonts w:cs="Arial"/>
          <w:sz w:val="24"/>
          <w:szCs w:val="24"/>
        </w:rPr>
        <w:t xml:space="preserve">preliminary </w:t>
      </w:r>
      <w:r w:rsidR="00924BD3" w:rsidRPr="006A7000">
        <w:rPr>
          <w:rFonts w:cs="Arial"/>
          <w:sz w:val="24"/>
          <w:szCs w:val="24"/>
        </w:rPr>
        <w:t>data were</w:t>
      </w:r>
      <w:r w:rsidR="00C42612" w:rsidRPr="006A7000">
        <w:rPr>
          <w:rFonts w:cs="Arial"/>
          <w:sz w:val="24"/>
          <w:szCs w:val="24"/>
        </w:rPr>
        <w:t xml:space="preserve"> consistent with </w:t>
      </w:r>
      <w:r w:rsidR="00124D2A" w:rsidRPr="006A7000">
        <w:rPr>
          <w:rFonts w:cs="Arial"/>
          <w:sz w:val="24"/>
          <w:szCs w:val="24"/>
        </w:rPr>
        <w:t xml:space="preserve">the </w:t>
      </w:r>
      <w:r w:rsidR="001B24EF" w:rsidRPr="006A7000">
        <w:rPr>
          <w:rFonts w:cs="Arial"/>
          <w:sz w:val="24"/>
          <w:szCs w:val="24"/>
        </w:rPr>
        <w:t>published</w:t>
      </w:r>
      <w:r w:rsidR="00D85A9B" w:rsidRPr="006A7000">
        <w:rPr>
          <w:rFonts w:cs="Arial"/>
          <w:sz w:val="24"/>
          <w:szCs w:val="24"/>
        </w:rPr>
        <w:t xml:space="preserve"> </w:t>
      </w:r>
      <w:r w:rsidR="007748BF" w:rsidRPr="006A7000">
        <w:rPr>
          <w:rFonts w:cs="Arial"/>
          <w:sz w:val="24"/>
          <w:szCs w:val="24"/>
        </w:rPr>
        <w:t xml:space="preserve">Mumbai </w:t>
      </w:r>
      <w:r w:rsidRPr="006A7000">
        <w:rPr>
          <w:rFonts w:cs="Arial"/>
          <w:sz w:val="24"/>
          <w:szCs w:val="24"/>
        </w:rPr>
        <w:t>trial</w:t>
      </w:r>
      <w:r w:rsidR="004B0952" w:rsidRPr="006A7000">
        <w:rPr>
          <w:rFonts w:cs="Arial"/>
          <w:sz w:val="24"/>
          <w:szCs w:val="24"/>
        </w:rPr>
        <w:t>, which showed a benefit for END</w:t>
      </w:r>
      <w:r w:rsidR="005B3798" w:rsidRPr="006A7000">
        <w:rPr>
          <w:rFonts w:cs="Arial"/>
          <w:sz w:val="24"/>
          <w:szCs w:val="24"/>
        </w:rPr>
        <w:t>.</w:t>
      </w:r>
      <w:r w:rsidR="005B3798" w:rsidRPr="006A7000">
        <w:rPr>
          <w:rFonts w:cs="Arial"/>
          <w:sz w:val="24"/>
          <w:szCs w:val="24"/>
          <w:vertAlign w:val="superscript"/>
        </w:rPr>
        <w:t>1</w:t>
      </w:r>
      <w:r w:rsidR="00251944" w:rsidRPr="006A7000">
        <w:rPr>
          <w:rFonts w:cs="Arial"/>
          <w:sz w:val="24"/>
          <w:szCs w:val="24"/>
          <w:vertAlign w:val="superscript"/>
        </w:rPr>
        <w:t>4</w:t>
      </w:r>
      <w:r w:rsidR="005B3798" w:rsidRPr="006A7000">
        <w:rPr>
          <w:rFonts w:cs="Arial"/>
          <w:sz w:val="24"/>
          <w:szCs w:val="24"/>
        </w:rPr>
        <w:t xml:space="preserve"> They considered that continued </w:t>
      </w:r>
      <w:r w:rsidR="00221268" w:rsidRPr="006A7000">
        <w:rPr>
          <w:rFonts w:cs="Arial"/>
          <w:sz w:val="24"/>
          <w:szCs w:val="24"/>
        </w:rPr>
        <w:t>randomisation</w:t>
      </w:r>
      <w:r w:rsidR="005B3798" w:rsidRPr="006A7000">
        <w:rPr>
          <w:rFonts w:cs="Arial"/>
          <w:sz w:val="24"/>
          <w:szCs w:val="24"/>
        </w:rPr>
        <w:t xml:space="preserve"> would be difficult</w:t>
      </w:r>
      <w:r w:rsidRPr="006A7000">
        <w:rPr>
          <w:rFonts w:cs="Arial"/>
          <w:sz w:val="24"/>
          <w:szCs w:val="24"/>
        </w:rPr>
        <w:t>.</w:t>
      </w:r>
      <w:r w:rsidR="00500063" w:rsidRPr="006A7000">
        <w:rPr>
          <w:rFonts w:cs="Arial"/>
          <w:sz w:val="24"/>
          <w:szCs w:val="24"/>
        </w:rPr>
        <w:t xml:space="preserve"> We</w:t>
      </w:r>
      <w:r w:rsidR="001F0F37" w:rsidRPr="006A7000">
        <w:rPr>
          <w:rFonts w:cs="Arial"/>
          <w:sz w:val="24"/>
          <w:szCs w:val="24"/>
        </w:rPr>
        <w:t xml:space="preserve"> </w:t>
      </w:r>
      <w:r w:rsidR="003E3E4C" w:rsidRPr="006A7000">
        <w:rPr>
          <w:rFonts w:cs="Arial"/>
          <w:sz w:val="24"/>
          <w:szCs w:val="24"/>
        </w:rPr>
        <w:t>collected outcome</w:t>
      </w:r>
      <w:r w:rsidR="00500063" w:rsidRPr="006A7000">
        <w:rPr>
          <w:rFonts w:cs="Arial"/>
          <w:sz w:val="24"/>
          <w:szCs w:val="24"/>
        </w:rPr>
        <w:t xml:space="preserve"> </w:t>
      </w:r>
      <w:r w:rsidR="003E3E4C" w:rsidRPr="006A7000">
        <w:rPr>
          <w:rFonts w:cs="Arial"/>
          <w:sz w:val="24"/>
          <w:szCs w:val="24"/>
        </w:rPr>
        <w:t xml:space="preserve">data </w:t>
      </w:r>
      <w:r w:rsidR="001F0F37" w:rsidRPr="006A7000">
        <w:rPr>
          <w:rFonts w:cs="Arial"/>
          <w:sz w:val="24"/>
          <w:szCs w:val="24"/>
        </w:rPr>
        <w:t xml:space="preserve">for another </w:t>
      </w:r>
      <w:r w:rsidR="003E3E4C" w:rsidRPr="006A7000">
        <w:rPr>
          <w:rFonts w:cs="Arial"/>
          <w:sz w:val="24"/>
          <w:szCs w:val="24"/>
        </w:rPr>
        <w:t>three</w:t>
      </w:r>
      <w:r w:rsidR="006F4EC4" w:rsidRPr="006A7000">
        <w:rPr>
          <w:rFonts w:cs="Arial"/>
          <w:sz w:val="24"/>
          <w:szCs w:val="24"/>
        </w:rPr>
        <w:t xml:space="preserve"> </w:t>
      </w:r>
      <w:r w:rsidR="001F0F37" w:rsidRPr="006A7000">
        <w:rPr>
          <w:rFonts w:cs="Arial"/>
          <w:sz w:val="24"/>
          <w:szCs w:val="24"/>
        </w:rPr>
        <w:t>year</w:t>
      </w:r>
      <w:r w:rsidR="006F4EC4" w:rsidRPr="006A7000">
        <w:rPr>
          <w:rFonts w:cs="Arial"/>
          <w:sz w:val="24"/>
          <w:szCs w:val="24"/>
        </w:rPr>
        <w:t>s</w:t>
      </w:r>
      <w:r w:rsidR="001F0F37" w:rsidRPr="006A7000">
        <w:rPr>
          <w:rFonts w:cs="Arial"/>
          <w:sz w:val="24"/>
          <w:szCs w:val="24"/>
        </w:rPr>
        <w:t xml:space="preserve"> (</w:t>
      </w:r>
      <w:r w:rsidR="006F4EC4" w:rsidRPr="006A7000">
        <w:rPr>
          <w:rFonts w:cs="Arial"/>
          <w:sz w:val="24"/>
          <w:szCs w:val="24"/>
        </w:rPr>
        <w:t>up to</w:t>
      </w:r>
      <w:r w:rsidR="001F0F37" w:rsidRPr="006A7000">
        <w:rPr>
          <w:rFonts w:cs="Arial"/>
          <w:sz w:val="24"/>
          <w:szCs w:val="24"/>
        </w:rPr>
        <w:t xml:space="preserve"> </w:t>
      </w:r>
      <w:r w:rsidR="006F4EC4" w:rsidRPr="006A7000">
        <w:rPr>
          <w:rFonts w:cs="Arial"/>
          <w:sz w:val="24"/>
          <w:szCs w:val="24"/>
        </w:rPr>
        <w:t xml:space="preserve">August </w:t>
      </w:r>
      <w:r w:rsidR="001F0F37" w:rsidRPr="006A7000">
        <w:rPr>
          <w:rFonts w:cs="Arial"/>
          <w:sz w:val="24"/>
          <w:szCs w:val="24"/>
        </w:rPr>
        <w:t>201</w:t>
      </w:r>
      <w:r w:rsidR="003E3E4C" w:rsidRPr="006A7000">
        <w:rPr>
          <w:rFonts w:cs="Arial"/>
          <w:sz w:val="24"/>
          <w:szCs w:val="24"/>
        </w:rPr>
        <w:t>8</w:t>
      </w:r>
      <w:r w:rsidR="001F0F37" w:rsidRPr="006A7000">
        <w:rPr>
          <w:rFonts w:cs="Arial"/>
          <w:sz w:val="24"/>
          <w:szCs w:val="24"/>
        </w:rPr>
        <w:t>)</w:t>
      </w:r>
      <w:r w:rsidR="00BF203E" w:rsidRPr="006A7000">
        <w:rPr>
          <w:rFonts w:cs="Arial"/>
          <w:sz w:val="24"/>
          <w:szCs w:val="24"/>
        </w:rPr>
        <w:t xml:space="preserve"> </w:t>
      </w:r>
      <w:r w:rsidR="002A02AC" w:rsidRPr="006A7000">
        <w:rPr>
          <w:rFonts w:cs="Arial"/>
          <w:sz w:val="24"/>
          <w:szCs w:val="24"/>
        </w:rPr>
        <w:t>to</w:t>
      </w:r>
      <w:r w:rsidR="00BF203E" w:rsidRPr="006A7000">
        <w:rPr>
          <w:rFonts w:cs="Arial"/>
          <w:sz w:val="24"/>
          <w:szCs w:val="24"/>
        </w:rPr>
        <w:t xml:space="preserve"> </w:t>
      </w:r>
      <w:r w:rsidR="00910E11" w:rsidRPr="006A7000">
        <w:rPr>
          <w:rFonts w:cs="Arial"/>
          <w:sz w:val="24"/>
          <w:szCs w:val="24"/>
        </w:rPr>
        <w:t>complete</w:t>
      </w:r>
      <w:r w:rsidR="00BF203E" w:rsidRPr="006A7000">
        <w:rPr>
          <w:rFonts w:cs="Arial"/>
          <w:sz w:val="24"/>
          <w:szCs w:val="24"/>
        </w:rPr>
        <w:t xml:space="preserve"> </w:t>
      </w:r>
      <w:r w:rsidR="00DE07E3" w:rsidRPr="006A7000">
        <w:rPr>
          <w:rFonts w:cs="Arial"/>
          <w:sz w:val="24"/>
          <w:szCs w:val="24"/>
        </w:rPr>
        <w:t xml:space="preserve">about </w:t>
      </w:r>
      <w:r w:rsidR="00BF203E" w:rsidRPr="006A7000">
        <w:rPr>
          <w:rFonts w:cs="Arial"/>
          <w:sz w:val="24"/>
          <w:szCs w:val="24"/>
        </w:rPr>
        <w:t>5 years follow-up,</w:t>
      </w:r>
      <w:r w:rsidR="00D03754" w:rsidRPr="006A7000">
        <w:rPr>
          <w:rFonts w:cs="Arial"/>
          <w:sz w:val="24"/>
          <w:szCs w:val="24"/>
        </w:rPr>
        <w:t xml:space="preserve"> </w:t>
      </w:r>
      <w:r w:rsidR="00910E11" w:rsidRPr="006A7000">
        <w:rPr>
          <w:rFonts w:cs="Arial"/>
          <w:sz w:val="24"/>
          <w:szCs w:val="24"/>
        </w:rPr>
        <w:t>fully capture</w:t>
      </w:r>
      <w:r w:rsidR="00D03754" w:rsidRPr="006A7000">
        <w:rPr>
          <w:rFonts w:cs="Arial"/>
          <w:sz w:val="24"/>
          <w:szCs w:val="24"/>
        </w:rPr>
        <w:t xml:space="preserve"> events and </w:t>
      </w:r>
      <w:r w:rsidR="00910E11" w:rsidRPr="006A7000">
        <w:rPr>
          <w:rFonts w:cs="Arial"/>
          <w:sz w:val="24"/>
          <w:szCs w:val="24"/>
        </w:rPr>
        <w:t>determine</w:t>
      </w:r>
      <w:r w:rsidR="00D03754" w:rsidRPr="006A7000">
        <w:rPr>
          <w:rFonts w:cs="Arial"/>
          <w:sz w:val="24"/>
          <w:szCs w:val="24"/>
        </w:rPr>
        <w:t xml:space="preserve"> long</w:t>
      </w:r>
      <w:r w:rsidR="00910E11" w:rsidRPr="006A7000">
        <w:rPr>
          <w:rFonts w:cs="Arial"/>
          <w:sz w:val="24"/>
          <w:szCs w:val="24"/>
        </w:rPr>
        <w:t>-term</w:t>
      </w:r>
      <w:r w:rsidR="00BF203E" w:rsidRPr="006A7000">
        <w:rPr>
          <w:rFonts w:cs="Arial"/>
          <w:sz w:val="24"/>
          <w:szCs w:val="24"/>
        </w:rPr>
        <w:t xml:space="preserve"> outcome</w:t>
      </w:r>
      <w:r w:rsidR="00910E11" w:rsidRPr="006A7000">
        <w:rPr>
          <w:rFonts w:cs="Arial"/>
          <w:sz w:val="24"/>
          <w:szCs w:val="24"/>
        </w:rPr>
        <w:t>s</w:t>
      </w:r>
      <w:r w:rsidR="00D03754" w:rsidRPr="006A7000">
        <w:rPr>
          <w:rFonts w:cs="Arial"/>
          <w:sz w:val="24"/>
          <w:szCs w:val="24"/>
        </w:rPr>
        <w:t xml:space="preserve"> </w:t>
      </w:r>
      <w:r w:rsidR="00910E11" w:rsidRPr="006A7000">
        <w:rPr>
          <w:rFonts w:cs="Arial"/>
          <w:sz w:val="24"/>
          <w:szCs w:val="24"/>
        </w:rPr>
        <w:t>not captured in any</w:t>
      </w:r>
      <w:r w:rsidR="00221268" w:rsidRPr="006A7000">
        <w:rPr>
          <w:rFonts w:cs="Arial"/>
          <w:sz w:val="24"/>
          <w:szCs w:val="24"/>
        </w:rPr>
        <w:t xml:space="preserve"> </w:t>
      </w:r>
      <w:r w:rsidR="00D03754" w:rsidRPr="006A7000">
        <w:rPr>
          <w:rFonts w:cs="Arial"/>
          <w:sz w:val="24"/>
          <w:szCs w:val="24"/>
        </w:rPr>
        <w:t>previous trial</w:t>
      </w:r>
      <w:r w:rsidR="00500063" w:rsidRPr="006A7000">
        <w:rPr>
          <w:rFonts w:cs="Arial"/>
          <w:sz w:val="24"/>
          <w:szCs w:val="24"/>
        </w:rPr>
        <w:t>.</w:t>
      </w:r>
    </w:p>
    <w:p w14:paraId="7C3FC505" w14:textId="50AEDF2D" w:rsidR="002A02AC" w:rsidRPr="006A7000" w:rsidRDefault="002A02AC" w:rsidP="00B95772">
      <w:pPr>
        <w:spacing w:after="0" w:line="480" w:lineRule="auto"/>
        <w:rPr>
          <w:rFonts w:cs="Arial"/>
          <w:sz w:val="24"/>
          <w:szCs w:val="24"/>
        </w:rPr>
      </w:pPr>
    </w:p>
    <w:p w14:paraId="11855C1F" w14:textId="77777777" w:rsidR="00C42612" w:rsidRPr="006A7000" w:rsidRDefault="00C42612" w:rsidP="00B95772">
      <w:pPr>
        <w:autoSpaceDE w:val="0"/>
        <w:autoSpaceDN w:val="0"/>
        <w:adjustRightInd w:val="0"/>
        <w:spacing w:after="0" w:line="480" w:lineRule="auto"/>
        <w:rPr>
          <w:rFonts w:cs="Arial"/>
          <w:sz w:val="24"/>
          <w:szCs w:val="24"/>
        </w:rPr>
      </w:pPr>
    </w:p>
    <w:p w14:paraId="3ABEB473" w14:textId="3D214D95" w:rsidR="003F2D0F" w:rsidRPr="006A7000" w:rsidRDefault="003F2D0F" w:rsidP="00B95772">
      <w:pPr>
        <w:autoSpaceDE w:val="0"/>
        <w:autoSpaceDN w:val="0"/>
        <w:adjustRightInd w:val="0"/>
        <w:spacing w:after="0" w:line="480" w:lineRule="auto"/>
        <w:rPr>
          <w:rFonts w:cs="Arial"/>
          <w:i/>
          <w:sz w:val="24"/>
          <w:szCs w:val="24"/>
        </w:rPr>
      </w:pPr>
      <w:r w:rsidRPr="006A7000">
        <w:rPr>
          <w:rFonts w:cs="Arial"/>
          <w:i/>
          <w:sz w:val="24"/>
          <w:szCs w:val="24"/>
        </w:rPr>
        <w:t>Meta-analysis</w:t>
      </w:r>
    </w:p>
    <w:p w14:paraId="41B590B8" w14:textId="35A522CC" w:rsidR="003F2D0F" w:rsidRPr="006A7000" w:rsidRDefault="008730F3" w:rsidP="00B95772">
      <w:pPr>
        <w:autoSpaceDE w:val="0"/>
        <w:autoSpaceDN w:val="0"/>
        <w:adjustRightInd w:val="0"/>
        <w:spacing w:after="0" w:line="480" w:lineRule="auto"/>
        <w:rPr>
          <w:rFonts w:cs="Arial"/>
          <w:sz w:val="24"/>
          <w:szCs w:val="24"/>
        </w:rPr>
      </w:pPr>
      <w:r w:rsidRPr="006A7000">
        <w:rPr>
          <w:rFonts w:cs="Arial"/>
          <w:sz w:val="24"/>
          <w:szCs w:val="24"/>
        </w:rPr>
        <w:t xml:space="preserve">All prior </w:t>
      </w:r>
      <w:r w:rsidR="00E71B77" w:rsidRPr="006A7000">
        <w:rPr>
          <w:rFonts w:cs="Arial"/>
          <w:sz w:val="24"/>
          <w:szCs w:val="24"/>
        </w:rPr>
        <w:t xml:space="preserve">randomised </w:t>
      </w:r>
      <w:r w:rsidRPr="006A7000">
        <w:rPr>
          <w:rFonts w:cs="Arial"/>
          <w:sz w:val="24"/>
          <w:szCs w:val="24"/>
        </w:rPr>
        <w:t xml:space="preserve">trials of END for early stage oral cancer </w:t>
      </w:r>
      <w:r w:rsidR="00E71B77" w:rsidRPr="006A7000">
        <w:rPr>
          <w:rFonts w:cs="Arial"/>
          <w:sz w:val="24"/>
          <w:szCs w:val="24"/>
        </w:rPr>
        <w:t xml:space="preserve">with N0 disease </w:t>
      </w:r>
      <w:r w:rsidRPr="006A7000">
        <w:rPr>
          <w:rFonts w:cs="Arial"/>
          <w:sz w:val="24"/>
          <w:szCs w:val="24"/>
        </w:rPr>
        <w:t xml:space="preserve">are already known, </w:t>
      </w:r>
      <w:r w:rsidR="002A1431" w:rsidRPr="006A7000">
        <w:rPr>
          <w:rFonts w:cs="Arial"/>
          <w:sz w:val="24"/>
          <w:szCs w:val="24"/>
        </w:rPr>
        <w:t>because they were</w:t>
      </w:r>
      <w:r w:rsidRPr="006A7000">
        <w:rPr>
          <w:rFonts w:cs="Arial"/>
          <w:sz w:val="24"/>
          <w:szCs w:val="24"/>
        </w:rPr>
        <w:t xml:space="preserve"> included in </w:t>
      </w:r>
      <w:r w:rsidR="00037201" w:rsidRPr="006A7000">
        <w:rPr>
          <w:rFonts w:cs="Arial"/>
          <w:sz w:val="24"/>
          <w:szCs w:val="24"/>
        </w:rPr>
        <w:t>a</w:t>
      </w:r>
      <w:r w:rsidRPr="006A7000">
        <w:rPr>
          <w:rFonts w:cs="Arial"/>
          <w:sz w:val="24"/>
          <w:szCs w:val="24"/>
        </w:rPr>
        <w:t xml:space="preserve"> </w:t>
      </w:r>
      <w:r w:rsidR="00221268" w:rsidRPr="006A7000">
        <w:rPr>
          <w:rFonts w:cs="Arial"/>
          <w:sz w:val="24"/>
          <w:szCs w:val="24"/>
        </w:rPr>
        <w:t xml:space="preserve">systematic </w:t>
      </w:r>
      <w:r w:rsidRPr="006A7000">
        <w:rPr>
          <w:rFonts w:cs="Arial"/>
          <w:sz w:val="24"/>
          <w:szCs w:val="24"/>
        </w:rPr>
        <w:t>review</w:t>
      </w:r>
      <w:r w:rsidR="00037201" w:rsidRPr="006A7000">
        <w:rPr>
          <w:rFonts w:cs="Arial"/>
          <w:sz w:val="24"/>
          <w:szCs w:val="24"/>
        </w:rPr>
        <w:t xml:space="preserve"> in 2015</w:t>
      </w:r>
      <w:r w:rsidR="004C1077" w:rsidRPr="006A7000">
        <w:rPr>
          <w:rFonts w:cs="Arial"/>
          <w:sz w:val="24"/>
          <w:szCs w:val="24"/>
        </w:rPr>
        <w:t>.</w:t>
      </w:r>
      <w:r w:rsidR="00251944" w:rsidRPr="006A7000">
        <w:rPr>
          <w:rFonts w:cs="Arial"/>
          <w:sz w:val="24"/>
          <w:szCs w:val="24"/>
          <w:vertAlign w:val="superscript"/>
        </w:rPr>
        <w:t>2</w:t>
      </w:r>
      <w:r w:rsidR="00F96948" w:rsidRPr="006A7000">
        <w:rPr>
          <w:rFonts w:cs="Arial"/>
          <w:sz w:val="24"/>
          <w:szCs w:val="24"/>
          <w:vertAlign w:val="superscript"/>
        </w:rPr>
        <w:t>0</w:t>
      </w:r>
      <w:r w:rsidR="00071999" w:rsidRPr="006A7000">
        <w:rPr>
          <w:rFonts w:cs="Arial"/>
          <w:sz w:val="24"/>
          <w:szCs w:val="24"/>
        </w:rPr>
        <w:t xml:space="preserve"> </w:t>
      </w:r>
      <w:r w:rsidR="002A1431" w:rsidRPr="006A7000">
        <w:rPr>
          <w:rFonts w:cs="Arial"/>
          <w:sz w:val="24"/>
          <w:szCs w:val="24"/>
        </w:rPr>
        <w:t xml:space="preserve">We used the same selection criteria (within PUBMED) to confirm that there are no other trials since then, except ours. </w:t>
      </w:r>
      <w:r w:rsidR="005B5665" w:rsidRPr="006A7000">
        <w:rPr>
          <w:rFonts w:cs="Arial"/>
          <w:sz w:val="24"/>
          <w:szCs w:val="24"/>
        </w:rPr>
        <w:t>We</w:t>
      </w:r>
      <w:r w:rsidR="003F2D0F" w:rsidRPr="006A7000">
        <w:rPr>
          <w:rFonts w:cs="Arial"/>
          <w:sz w:val="24"/>
          <w:szCs w:val="24"/>
        </w:rPr>
        <w:t xml:space="preserve"> performed a meta-analysis of all 6 </w:t>
      </w:r>
      <w:r w:rsidR="00E71B77" w:rsidRPr="006A7000">
        <w:rPr>
          <w:rFonts w:cs="Arial"/>
          <w:sz w:val="24"/>
          <w:szCs w:val="24"/>
        </w:rPr>
        <w:t>trials</w:t>
      </w:r>
      <w:r w:rsidR="005B5665" w:rsidRPr="006A7000">
        <w:rPr>
          <w:rFonts w:cs="Arial"/>
          <w:sz w:val="24"/>
          <w:szCs w:val="24"/>
        </w:rPr>
        <w:t xml:space="preserve"> to produce the complete evidence base</w:t>
      </w:r>
      <w:r w:rsidR="003F2D0F" w:rsidRPr="006A7000">
        <w:rPr>
          <w:rFonts w:cs="Arial"/>
          <w:sz w:val="24"/>
          <w:szCs w:val="24"/>
        </w:rPr>
        <w:t>, which has not been done before</w:t>
      </w:r>
      <w:r w:rsidR="00221268" w:rsidRPr="006A7000">
        <w:rPr>
          <w:rFonts w:cs="Arial"/>
          <w:sz w:val="24"/>
          <w:szCs w:val="24"/>
        </w:rPr>
        <w:t xml:space="preserve">. </w:t>
      </w:r>
      <w:r w:rsidR="003F2D0F" w:rsidRPr="006A7000">
        <w:rPr>
          <w:rFonts w:cs="Arial"/>
          <w:sz w:val="24"/>
          <w:szCs w:val="24"/>
        </w:rPr>
        <w:t xml:space="preserve">Inclusion of the two high quality trials </w:t>
      </w:r>
      <w:r w:rsidR="00221268" w:rsidRPr="006A7000">
        <w:rPr>
          <w:rFonts w:cs="Arial"/>
          <w:sz w:val="24"/>
          <w:szCs w:val="24"/>
        </w:rPr>
        <w:t xml:space="preserve">(Mumbai and SEND) </w:t>
      </w:r>
      <w:r w:rsidR="003F2D0F" w:rsidRPr="006A7000">
        <w:rPr>
          <w:rFonts w:cs="Arial"/>
          <w:sz w:val="24"/>
          <w:szCs w:val="24"/>
        </w:rPr>
        <w:t xml:space="preserve">should allow the accumulated evidence to be given a higher grading </w:t>
      </w:r>
      <w:r w:rsidR="00165715" w:rsidRPr="006A7000">
        <w:rPr>
          <w:rFonts w:cs="Arial"/>
          <w:sz w:val="24"/>
          <w:szCs w:val="24"/>
        </w:rPr>
        <w:t>in</w:t>
      </w:r>
      <w:r w:rsidR="00E71B77" w:rsidRPr="006A7000">
        <w:rPr>
          <w:rFonts w:cs="Arial"/>
          <w:sz w:val="24"/>
          <w:szCs w:val="24"/>
        </w:rPr>
        <w:t xml:space="preserve"> national </w:t>
      </w:r>
      <w:r w:rsidR="003F2D0F" w:rsidRPr="006A7000">
        <w:rPr>
          <w:rFonts w:cs="Arial"/>
          <w:sz w:val="24"/>
          <w:szCs w:val="24"/>
        </w:rPr>
        <w:t>guidelines. Key summary patient characteristics were extracted from the 5 trial publications (including age, stage and differentiation), in addition to the HR for OS and DFS.</w:t>
      </w:r>
      <w:r w:rsidR="00A921C9" w:rsidRPr="006A7000">
        <w:rPr>
          <w:rFonts w:cs="Arial"/>
          <w:sz w:val="24"/>
          <w:szCs w:val="24"/>
        </w:rPr>
        <w:t xml:space="preserve"> RevMan</w:t>
      </w:r>
      <w:r w:rsidR="00E71B77" w:rsidRPr="006A7000">
        <w:rPr>
          <w:rFonts w:cs="Arial"/>
          <w:sz w:val="24"/>
          <w:szCs w:val="24"/>
        </w:rPr>
        <w:t xml:space="preserve"> software was used to pool the results using the method by Dersimonian and Laird</w:t>
      </w:r>
      <w:r w:rsidR="00A921C9" w:rsidRPr="006A7000">
        <w:rPr>
          <w:rFonts w:cs="Arial"/>
          <w:sz w:val="24"/>
          <w:szCs w:val="24"/>
        </w:rPr>
        <w:t xml:space="preserve"> that allows for heterogeneity</w:t>
      </w:r>
      <w:r w:rsidR="00FE5A81" w:rsidRPr="006A7000">
        <w:rPr>
          <w:rFonts w:cs="Arial"/>
          <w:sz w:val="24"/>
          <w:szCs w:val="24"/>
        </w:rPr>
        <w:t>.</w:t>
      </w:r>
      <w:r w:rsidR="00251944" w:rsidRPr="006A7000">
        <w:rPr>
          <w:rFonts w:cs="Arial"/>
          <w:sz w:val="24"/>
          <w:szCs w:val="24"/>
          <w:vertAlign w:val="superscript"/>
        </w:rPr>
        <w:t>2</w:t>
      </w:r>
      <w:r w:rsidR="003B7A63" w:rsidRPr="006A7000">
        <w:rPr>
          <w:rFonts w:cs="Arial"/>
          <w:sz w:val="24"/>
          <w:szCs w:val="24"/>
          <w:vertAlign w:val="superscript"/>
        </w:rPr>
        <w:t>1</w:t>
      </w:r>
    </w:p>
    <w:p w14:paraId="037A707D" w14:textId="77777777" w:rsidR="003F2D0F" w:rsidRPr="006A7000" w:rsidRDefault="003F2D0F" w:rsidP="00B95772">
      <w:pPr>
        <w:autoSpaceDE w:val="0"/>
        <w:autoSpaceDN w:val="0"/>
        <w:adjustRightInd w:val="0"/>
        <w:spacing w:after="0" w:line="480" w:lineRule="auto"/>
        <w:rPr>
          <w:rFonts w:cs="Arial"/>
          <w:sz w:val="24"/>
          <w:szCs w:val="24"/>
        </w:rPr>
      </w:pPr>
    </w:p>
    <w:p w14:paraId="35764A20" w14:textId="77777777" w:rsidR="00492D30" w:rsidRPr="006A7000" w:rsidRDefault="00492D30" w:rsidP="00B95772">
      <w:pPr>
        <w:autoSpaceDE w:val="0"/>
        <w:autoSpaceDN w:val="0"/>
        <w:adjustRightInd w:val="0"/>
        <w:spacing w:after="0" w:line="480" w:lineRule="auto"/>
        <w:rPr>
          <w:rFonts w:ascii="Arial" w:hAnsi="Arial" w:cs="Arial"/>
          <w:sz w:val="24"/>
          <w:szCs w:val="24"/>
        </w:rPr>
      </w:pPr>
    </w:p>
    <w:p w14:paraId="16068A77" w14:textId="77777777" w:rsidR="00F10D2D" w:rsidRPr="006A7000" w:rsidRDefault="00FC0FE6" w:rsidP="00B95772">
      <w:pPr>
        <w:spacing w:line="480" w:lineRule="auto"/>
        <w:rPr>
          <w:b/>
          <w:sz w:val="24"/>
          <w:szCs w:val="24"/>
        </w:rPr>
      </w:pPr>
      <w:r w:rsidRPr="006A7000">
        <w:rPr>
          <w:b/>
          <w:sz w:val="24"/>
          <w:szCs w:val="24"/>
        </w:rPr>
        <w:t>Results</w:t>
      </w:r>
    </w:p>
    <w:p w14:paraId="13FAACBB" w14:textId="11C4875F" w:rsidR="008E7D23" w:rsidRPr="006A7000" w:rsidRDefault="00EE1C51" w:rsidP="00B95772">
      <w:pPr>
        <w:spacing w:line="480" w:lineRule="auto"/>
        <w:rPr>
          <w:rFonts w:cs="Arial"/>
          <w:sz w:val="24"/>
          <w:szCs w:val="24"/>
          <w:lang w:val="en-US"/>
        </w:rPr>
      </w:pPr>
      <w:r w:rsidRPr="006A7000">
        <w:rPr>
          <w:sz w:val="24"/>
          <w:szCs w:val="24"/>
        </w:rPr>
        <w:t>77</w:t>
      </w:r>
      <w:r w:rsidR="003654A6" w:rsidRPr="006A7000">
        <w:rPr>
          <w:sz w:val="24"/>
          <w:szCs w:val="24"/>
        </w:rPr>
        <w:t xml:space="preserve">6 patients </w:t>
      </w:r>
      <w:r w:rsidR="00011DA0" w:rsidRPr="006A7000">
        <w:rPr>
          <w:sz w:val="24"/>
          <w:szCs w:val="24"/>
        </w:rPr>
        <w:t xml:space="preserve">with T1/T2 tumours and N0 disease </w:t>
      </w:r>
      <w:r w:rsidR="003654A6" w:rsidRPr="006A7000">
        <w:rPr>
          <w:sz w:val="24"/>
          <w:szCs w:val="24"/>
        </w:rPr>
        <w:t>were screened</w:t>
      </w:r>
      <w:r w:rsidR="00A32944" w:rsidRPr="006A7000">
        <w:rPr>
          <w:sz w:val="24"/>
          <w:szCs w:val="24"/>
        </w:rPr>
        <w:t xml:space="preserve"> for eligibility</w:t>
      </w:r>
      <w:r w:rsidR="0097750D" w:rsidRPr="006A7000">
        <w:rPr>
          <w:sz w:val="24"/>
          <w:szCs w:val="24"/>
        </w:rPr>
        <w:t xml:space="preserve">. </w:t>
      </w:r>
      <w:r w:rsidR="00011DA0" w:rsidRPr="006A7000">
        <w:rPr>
          <w:sz w:val="24"/>
          <w:szCs w:val="24"/>
        </w:rPr>
        <w:t>614 consented to participate in either the randomised study or observational cohort</w:t>
      </w:r>
      <w:r w:rsidR="00013926" w:rsidRPr="006A7000">
        <w:rPr>
          <w:sz w:val="24"/>
          <w:szCs w:val="24"/>
        </w:rPr>
        <w:t xml:space="preserve"> (</w:t>
      </w:r>
      <w:r w:rsidR="00013926" w:rsidRPr="006A7000">
        <w:rPr>
          <w:rFonts w:cs="Arial"/>
          <w:sz w:val="24"/>
          <w:szCs w:val="24"/>
          <w:lang w:val="en-US"/>
        </w:rPr>
        <w:t>CONSORT diagram in</w:t>
      </w:r>
      <w:r w:rsidR="000F5CF8" w:rsidRPr="006A7000">
        <w:rPr>
          <w:rFonts w:cs="Arial"/>
          <w:sz w:val="24"/>
          <w:szCs w:val="24"/>
          <w:lang w:val="en-US"/>
        </w:rPr>
        <w:t xml:space="preserve"> Supplementary</w:t>
      </w:r>
      <w:r w:rsidR="00013926" w:rsidRPr="006A7000">
        <w:rPr>
          <w:rFonts w:cs="Arial"/>
          <w:sz w:val="24"/>
          <w:szCs w:val="24"/>
          <w:lang w:val="en-US"/>
        </w:rPr>
        <w:t xml:space="preserve"> Figure 1)</w:t>
      </w:r>
      <w:r w:rsidR="00011DA0" w:rsidRPr="006A7000">
        <w:rPr>
          <w:sz w:val="24"/>
          <w:szCs w:val="24"/>
        </w:rPr>
        <w:t>. These 614 patients were operated on by 68</w:t>
      </w:r>
      <w:r w:rsidR="00AB15DF" w:rsidRPr="006A7000">
        <w:rPr>
          <w:sz w:val="24"/>
          <w:szCs w:val="24"/>
        </w:rPr>
        <w:t xml:space="preserve"> surgeons </w:t>
      </w:r>
      <w:r w:rsidR="00011DA0" w:rsidRPr="006A7000">
        <w:rPr>
          <w:sz w:val="24"/>
          <w:szCs w:val="24"/>
        </w:rPr>
        <w:t xml:space="preserve">from 27 hospitals across the UK </w:t>
      </w:r>
      <w:r w:rsidR="00011DA0" w:rsidRPr="006A7000">
        <w:rPr>
          <w:rFonts w:cs="Arial"/>
          <w:sz w:val="24"/>
          <w:szCs w:val="24"/>
          <w:lang w:val="en-US"/>
        </w:rPr>
        <w:t>National Cancer Research Network</w:t>
      </w:r>
      <w:r w:rsidR="00011DA0" w:rsidRPr="006A7000">
        <w:rPr>
          <w:sz w:val="24"/>
          <w:szCs w:val="24"/>
        </w:rPr>
        <w:t>.</w:t>
      </w:r>
      <w:r w:rsidR="008941EE" w:rsidRPr="006A7000">
        <w:rPr>
          <w:sz w:val="24"/>
          <w:szCs w:val="24"/>
        </w:rPr>
        <w:t xml:space="preserve"> 255 patients agreed to be randomised </w:t>
      </w:r>
      <w:r w:rsidR="008941EE" w:rsidRPr="006A7000">
        <w:rPr>
          <w:rFonts w:cs="Arial"/>
          <w:sz w:val="24"/>
          <w:szCs w:val="24"/>
          <w:lang w:val="en-US"/>
        </w:rPr>
        <w:t xml:space="preserve">and </w:t>
      </w:r>
      <w:r w:rsidR="0009260B" w:rsidRPr="006A7000">
        <w:rPr>
          <w:rFonts w:cs="Arial"/>
          <w:sz w:val="24"/>
          <w:szCs w:val="24"/>
          <w:lang w:val="en-US"/>
        </w:rPr>
        <w:t xml:space="preserve">they </w:t>
      </w:r>
      <w:r w:rsidR="008941EE" w:rsidRPr="006A7000">
        <w:rPr>
          <w:rFonts w:cs="Arial"/>
          <w:sz w:val="24"/>
          <w:szCs w:val="24"/>
          <w:lang w:val="en-US"/>
        </w:rPr>
        <w:t xml:space="preserve">came </w:t>
      </w:r>
      <w:r w:rsidR="008941EE" w:rsidRPr="006A7000">
        <w:rPr>
          <w:sz w:val="24"/>
          <w:szCs w:val="24"/>
        </w:rPr>
        <w:t xml:space="preserve">from 25 hospitals </w:t>
      </w:r>
      <w:r w:rsidR="008941EE" w:rsidRPr="006A7000">
        <w:rPr>
          <w:rFonts w:cs="Arial"/>
          <w:sz w:val="24"/>
          <w:szCs w:val="24"/>
          <w:lang w:val="en-US"/>
        </w:rPr>
        <w:t xml:space="preserve">(18 June 2007 to 10 July 2015), </w:t>
      </w:r>
      <w:r w:rsidR="00011DA0" w:rsidRPr="006A7000">
        <w:rPr>
          <w:rFonts w:cs="Arial"/>
          <w:sz w:val="24"/>
          <w:szCs w:val="24"/>
          <w:lang w:val="en-US"/>
        </w:rPr>
        <w:t>and</w:t>
      </w:r>
      <w:r w:rsidR="008941EE" w:rsidRPr="006A7000">
        <w:rPr>
          <w:rFonts w:cs="Arial"/>
          <w:sz w:val="24"/>
          <w:szCs w:val="24"/>
          <w:lang w:val="en-US"/>
        </w:rPr>
        <w:t xml:space="preserve"> were operated on by 52 surgeons</w:t>
      </w:r>
      <w:r w:rsidR="00011DA0" w:rsidRPr="006A7000">
        <w:rPr>
          <w:rFonts w:cs="Arial"/>
          <w:sz w:val="24"/>
          <w:szCs w:val="24"/>
          <w:lang w:val="en-US"/>
        </w:rPr>
        <w:t xml:space="preserve">; </w:t>
      </w:r>
      <w:r w:rsidR="00011DA0" w:rsidRPr="006A7000">
        <w:rPr>
          <w:sz w:val="24"/>
          <w:szCs w:val="24"/>
        </w:rPr>
        <w:t>5 patients were found to be ineligible and so excluded from all analyses</w:t>
      </w:r>
      <w:r w:rsidR="008941EE" w:rsidRPr="006A7000">
        <w:rPr>
          <w:rFonts w:cs="Arial"/>
          <w:sz w:val="24"/>
          <w:szCs w:val="24"/>
          <w:lang w:val="en-US"/>
        </w:rPr>
        <w:t xml:space="preserve">. </w:t>
      </w:r>
      <w:r w:rsidR="00A40A9A" w:rsidRPr="006A7000">
        <w:rPr>
          <w:rFonts w:cs="Arial"/>
          <w:sz w:val="24"/>
          <w:szCs w:val="24"/>
          <w:lang w:val="en-US"/>
        </w:rPr>
        <w:t>M</w:t>
      </w:r>
      <w:r w:rsidR="0017068A" w:rsidRPr="006A7000">
        <w:rPr>
          <w:rFonts w:cs="Arial"/>
          <w:sz w:val="24"/>
          <w:szCs w:val="24"/>
          <w:lang w:val="en-US"/>
        </w:rPr>
        <w:t xml:space="preserve">edian follow </w:t>
      </w:r>
      <w:r w:rsidR="00165715" w:rsidRPr="006A7000">
        <w:rPr>
          <w:rFonts w:cs="Arial"/>
          <w:sz w:val="24"/>
          <w:szCs w:val="24"/>
          <w:lang w:val="en-US"/>
        </w:rPr>
        <w:t>up was 57 months (</w:t>
      </w:r>
      <w:r w:rsidR="00871F43" w:rsidRPr="006A7000">
        <w:rPr>
          <w:rFonts w:cs="Arial"/>
          <w:sz w:val="24"/>
          <w:szCs w:val="24"/>
          <w:lang w:val="en-US"/>
        </w:rPr>
        <w:t>25-75</w:t>
      </w:r>
      <w:r w:rsidR="00871F43" w:rsidRPr="006A7000">
        <w:rPr>
          <w:rFonts w:cs="Arial"/>
          <w:sz w:val="24"/>
          <w:szCs w:val="24"/>
          <w:vertAlign w:val="superscript"/>
          <w:lang w:val="en-US"/>
        </w:rPr>
        <w:t>th</w:t>
      </w:r>
      <w:r w:rsidR="00871F43" w:rsidRPr="006A7000">
        <w:rPr>
          <w:rFonts w:cs="Arial"/>
          <w:sz w:val="24"/>
          <w:szCs w:val="24"/>
          <w:lang w:val="en-US"/>
        </w:rPr>
        <w:t xml:space="preserve"> centile 43-61</w:t>
      </w:r>
      <w:r w:rsidR="00C20F93" w:rsidRPr="006A7000">
        <w:rPr>
          <w:rFonts w:cs="Arial"/>
          <w:sz w:val="24"/>
          <w:szCs w:val="24"/>
          <w:lang w:val="en-US"/>
        </w:rPr>
        <w:t xml:space="preserve"> months</w:t>
      </w:r>
      <w:r w:rsidR="00165715" w:rsidRPr="006A7000">
        <w:rPr>
          <w:rFonts w:cs="Arial"/>
          <w:sz w:val="24"/>
          <w:szCs w:val="24"/>
          <w:lang w:val="en-US"/>
        </w:rPr>
        <w:t>)</w:t>
      </w:r>
      <w:r w:rsidR="00C20F93" w:rsidRPr="006A7000">
        <w:rPr>
          <w:rFonts w:cs="Arial"/>
          <w:sz w:val="24"/>
          <w:szCs w:val="24"/>
          <w:lang w:val="en-US"/>
        </w:rPr>
        <w:t>.</w:t>
      </w:r>
      <w:r w:rsidR="00221268" w:rsidRPr="006A7000">
        <w:rPr>
          <w:rFonts w:cs="Arial"/>
          <w:sz w:val="24"/>
          <w:szCs w:val="24"/>
          <w:lang w:val="en-US"/>
        </w:rPr>
        <w:t xml:space="preserve"> </w:t>
      </w:r>
      <w:r w:rsidR="00C20F93" w:rsidRPr="006A7000">
        <w:rPr>
          <w:rFonts w:cs="Arial"/>
          <w:sz w:val="24"/>
          <w:szCs w:val="24"/>
          <w:lang w:val="en-US"/>
        </w:rPr>
        <w:t>S</w:t>
      </w:r>
      <w:r w:rsidR="00DF7F57" w:rsidRPr="006A7000">
        <w:rPr>
          <w:rFonts w:cs="Arial"/>
          <w:sz w:val="24"/>
          <w:szCs w:val="24"/>
          <w:lang w:val="en-US"/>
        </w:rPr>
        <w:t>imilar</w:t>
      </w:r>
      <w:r w:rsidR="007D20B7" w:rsidRPr="006A7000">
        <w:rPr>
          <w:rFonts w:cs="Arial"/>
          <w:sz w:val="24"/>
          <w:szCs w:val="24"/>
          <w:lang w:val="en-US"/>
        </w:rPr>
        <w:t xml:space="preserve"> numbers </w:t>
      </w:r>
      <w:r w:rsidR="00C20F93" w:rsidRPr="006A7000">
        <w:rPr>
          <w:rFonts w:cs="Arial"/>
          <w:sz w:val="24"/>
          <w:szCs w:val="24"/>
          <w:lang w:val="en-US"/>
        </w:rPr>
        <w:t xml:space="preserve">of patients </w:t>
      </w:r>
      <w:r w:rsidR="00F56DBF" w:rsidRPr="006A7000">
        <w:rPr>
          <w:rFonts w:cs="Arial"/>
          <w:sz w:val="24"/>
          <w:szCs w:val="24"/>
          <w:lang w:val="en-US"/>
        </w:rPr>
        <w:t xml:space="preserve">in both trial groups </w:t>
      </w:r>
      <w:r w:rsidR="007D20B7" w:rsidRPr="006A7000">
        <w:rPr>
          <w:rFonts w:cs="Arial"/>
          <w:sz w:val="24"/>
          <w:szCs w:val="24"/>
          <w:lang w:val="en-US"/>
        </w:rPr>
        <w:t>attended each assessment visit</w:t>
      </w:r>
      <w:r w:rsidR="00F56DBF" w:rsidRPr="006A7000">
        <w:rPr>
          <w:rFonts w:cs="Arial"/>
          <w:sz w:val="24"/>
          <w:szCs w:val="24"/>
          <w:lang w:val="en-US"/>
        </w:rPr>
        <w:t>.</w:t>
      </w:r>
    </w:p>
    <w:p w14:paraId="48FFF42A" w14:textId="77777777" w:rsidR="009158BF" w:rsidRPr="006A7000" w:rsidRDefault="009158BF" w:rsidP="00B95772">
      <w:pPr>
        <w:spacing w:line="480" w:lineRule="auto"/>
        <w:rPr>
          <w:rFonts w:asciiTheme="minorHAnsi" w:hAnsiTheme="minorHAnsi" w:cs="Courier New"/>
          <w:sz w:val="24"/>
          <w:szCs w:val="24"/>
          <w:shd w:val="clear" w:color="auto" w:fill="FFFFFF"/>
          <w:lang w:eastAsia="en-GB"/>
        </w:rPr>
      </w:pPr>
      <w:r w:rsidRPr="006A7000">
        <w:rPr>
          <w:rFonts w:asciiTheme="minorHAnsi" w:hAnsiTheme="minorHAnsi" w:cs="Courier New"/>
          <w:sz w:val="24"/>
          <w:szCs w:val="24"/>
          <w:shd w:val="clear" w:color="auto" w:fill="FFFFFF"/>
          <w:lang w:eastAsia="en-GB"/>
        </w:rPr>
        <w:t xml:space="preserve">Among the 22 patients whose tumour had been removed by the diagnostic biopsy, 15 had been randomised to have resection only, of which 8 did have the planned resection procedure afterwards but this sample showed no evidence of malignancy, while 7 patients had no further procedures after </w:t>
      </w:r>
      <w:r w:rsidRPr="006A7000">
        <w:rPr>
          <w:rFonts w:asciiTheme="minorHAnsi" w:hAnsiTheme="minorHAnsi" w:cs="Courier New"/>
          <w:sz w:val="24"/>
          <w:szCs w:val="24"/>
          <w:shd w:val="clear" w:color="auto" w:fill="FFFFFF"/>
          <w:lang w:eastAsia="en-GB"/>
        </w:rPr>
        <w:lastRenderedPageBreak/>
        <w:t xml:space="preserve">the diagnostic biopsy. Seven of the 22 patients had been randomised to END, and 5 of these had a neck dissection and two did not (so these two effectively had a resection only). </w:t>
      </w:r>
    </w:p>
    <w:p w14:paraId="12C14FF0" w14:textId="1E46C6DA" w:rsidR="00B72313" w:rsidRPr="006A7000" w:rsidRDefault="00B72313" w:rsidP="00B95772">
      <w:pPr>
        <w:spacing w:line="480" w:lineRule="auto"/>
        <w:rPr>
          <w:sz w:val="24"/>
          <w:szCs w:val="24"/>
        </w:rPr>
      </w:pPr>
      <w:r w:rsidRPr="006A7000">
        <w:rPr>
          <w:sz w:val="24"/>
          <w:szCs w:val="24"/>
        </w:rPr>
        <w:t xml:space="preserve">In those </w:t>
      </w:r>
      <w:r w:rsidR="00165715" w:rsidRPr="006A7000">
        <w:rPr>
          <w:sz w:val="24"/>
          <w:szCs w:val="24"/>
        </w:rPr>
        <w:t>randomised</w:t>
      </w:r>
      <w:r w:rsidRPr="006A7000">
        <w:rPr>
          <w:sz w:val="24"/>
          <w:szCs w:val="24"/>
        </w:rPr>
        <w:t xml:space="preserve"> to have resection only, 7 patients actually had a neck dissection</w:t>
      </w:r>
      <w:r w:rsidR="0059568D" w:rsidRPr="006A7000">
        <w:rPr>
          <w:sz w:val="24"/>
          <w:szCs w:val="24"/>
        </w:rPr>
        <w:t xml:space="preserve"> as well and for another patient what they had</w:t>
      </w:r>
      <w:r w:rsidR="00A92AEA" w:rsidRPr="006A7000">
        <w:rPr>
          <w:sz w:val="24"/>
          <w:szCs w:val="24"/>
        </w:rPr>
        <w:t xml:space="preserve"> was unreported. I</w:t>
      </w:r>
      <w:r w:rsidRPr="006A7000">
        <w:rPr>
          <w:sz w:val="24"/>
          <w:szCs w:val="24"/>
        </w:rPr>
        <w:t xml:space="preserve">n those allocated to </w:t>
      </w:r>
      <w:r w:rsidR="00315F73" w:rsidRPr="006A7000">
        <w:rPr>
          <w:sz w:val="24"/>
          <w:szCs w:val="24"/>
        </w:rPr>
        <w:t>END, 12</w:t>
      </w:r>
      <w:r w:rsidRPr="006A7000">
        <w:rPr>
          <w:sz w:val="24"/>
          <w:szCs w:val="24"/>
        </w:rPr>
        <w:t xml:space="preserve"> had resection only</w:t>
      </w:r>
      <w:r w:rsidR="00A92AEA" w:rsidRPr="006A7000">
        <w:rPr>
          <w:sz w:val="24"/>
          <w:szCs w:val="24"/>
        </w:rPr>
        <w:t xml:space="preserve">. </w:t>
      </w:r>
      <w:r w:rsidR="009B53A5" w:rsidRPr="006A7000">
        <w:rPr>
          <w:sz w:val="24"/>
          <w:szCs w:val="24"/>
        </w:rPr>
        <w:t xml:space="preserve"> </w:t>
      </w:r>
      <w:r w:rsidR="00A92AEA" w:rsidRPr="006A7000">
        <w:rPr>
          <w:sz w:val="24"/>
          <w:szCs w:val="24"/>
        </w:rPr>
        <w:t>E</w:t>
      </w:r>
      <w:r w:rsidR="00724D22" w:rsidRPr="006A7000">
        <w:rPr>
          <w:sz w:val="24"/>
          <w:szCs w:val="24"/>
        </w:rPr>
        <w:t xml:space="preserve">xcluding these </w:t>
      </w:r>
      <w:r w:rsidR="009813C0" w:rsidRPr="006A7000">
        <w:rPr>
          <w:sz w:val="24"/>
          <w:szCs w:val="24"/>
        </w:rPr>
        <w:t>20</w:t>
      </w:r>
      <w:r w:rsidR="000977AE" w:rsidRPr="006A7000">
        <w:rPr>
          <w:sz w:val="24"/>
          <w:szCs w:val="24"/>
        </w:rPr>
        <w:t xml:space="preserve"> </w:t>
      </w:r>
      <w:r w:rsidR="00724D22" w:rsidRPr="006A7000">
        <w:rPr>
          <w:sz w:val="24"/>
          <w:szCs w:val="24"/>
        </w:rPr>
        <w:t xml:space="preserve">patients formed the per-protocol </w:t>
      </w:r>
      <w:r w:rsidR="00692CBF" w:rsidRPr="006A7000">
        <w:rPr>
          <w:sz w:val="24"/>
          <w:szCs w:val="24"/>
        </w:rPr>
        <w:t>group</w:t>
      </w:r>
      <w:r w:rsidRPr="006A7000">
        <w:rPr>
          <w:sz w:val="24"/>
          <w:szCs w:val="24"/>
        </w:rPr>
        <w:t xml:space="preserve">. </w:t>
      </w:r>
      <w:r w:rsidR="000B6400" w:rsidRPr="006A7000">
        <w:rPr>
          <w:sz w:val="24"/>
          <w:szCs w:val="24"/>
        </w:rPr>
        <w:t>A</w:t>
      </w:r>
      <w:r w:rsidR="00C50459" w:rsidRPr="006A7000">
        <w:rPr>
          <w:sz w:val="24"/>
          <w:szCs w:val="24"/>
        </w:rPr>
        <w:t>lmost all</w:t>
      </w:r>
      <w:r w:rsidRPr="006A7000">
        <w:rPr>
          <w:sz w:val="24"/>
          <w:szCs w:val="24"/>
        </w:rPr>
        <w:t xml:space="preserve"> neck dissections were performed as one-stage procedures</w:t>
      </w:r>
      <w:r w:rsidR="004762FB" w:rsidRPr="006A7000">
        <w:rPr>
          <w:sz w:val="24"/>
          <w:szCs w:val="24"/>
        </w:rPr>
        <w:t xml:space="preserve"> (simultaneous with local resection)</w:t>
      </w:r>
      <w:r w:rsidR="000B6400" w:rsidRPr="006A7000">
        <w:rPr>
          <w:sz w:val="24"/>
          <w:szCs w:val="24"/>
        </w:rPr>
        <w:t xml:space="preserve">, </w:t>
      </w:r>
      <w:r w:rsidR="00F65030" w:rsidRPr="006A7000">
        <w:rPr>
          <w:sz w:val="24"/>
          <w:szCs w:val="24"/>
        </w:rPr>
        <w:t>3 cases had two-stage</w:t>
      </w:r>
      <w:r w:rsidRPr="006A7000">
        <w:rPr>
          <w:sz w:val="24"/>
          <w:szCs w:val="24"/>
        </w:rPr>
        <w:t>.</w:t>
      </w:r>
      <w:r w:rsidR="00737E52" w:rsidRPr="006A7000">
        <w:rPr>
          <w:sz w:val="24"/>
          <w:szCs w:val="24"/>
        </w:rPr>
        <w:t xml:space="preserve"> </w:t>
      </w:r>
    </w:p>
    <w:p w14:paraId="1D24610A" w14:textId="3FBB61C1" w:rsidR="00F54953" w:rsidRPr="006A7000" w:rsidRDefault="00A92AEA" w:rsidP="00B95772">
      <w:pPr>
        <w:spacing w:after="0" w:line="480" w:lineRule="auto"/>
        <w:rPr>
          <w:sz w:val="24"/>
          <w:szCs w:val="24"/>
        </w:rPr>
      </w:pPr>
      <w:r w:rsidRPr="006A7000">
        <w:rPr>
          <w:sz w:val="24"/>
          <w:szCs w:val="24"/>
        </w:rPr>
        <w:t>P</w:t>
      </w:r>
      <w:r w:rsidR="00B72313" w:rsidRPr="006A7000">
        <w:rPr>
          <w:sz w:val="24"/>
          <w:szCs w:val="24"/>
        </w:rPr>
        <w:t xml:space="preserve">atient </w:t>
      </w:r>
      <w:r w:rsidR="007C389C" w:rsidRPr="006A7000">
        <w:rPr>
          <w:sz w:val="24"/>
          <w:szCs w:val="24"/>
        </w:rPr>
        <w:t xml:space="preserve">characteristics (Table 1) </w:t>
      </w:r>
      <w:r w:rsidR="00B72313" w:rsidRPr="006A7000">
        <w:rPr>
          <w:sz w:val="24"/>
          <w:szCs w:val="24"/>
        </w:rPr>
        <w:t xml:space="preserve">and </w:t>
      </w:r>
      <w:r w:rsidR="001F612B" w:rsidRPr="006A7000">
        <w:rPr>
          <w:sz w:val="24"/>
          <w:szCs w:val="24"/>
        </w:rPr>
        <w:t xml:space="preserve">tumour </w:t>
      </w:r>
      <w:r w:rsidR="00B72313" w:rsidRPr="006A7000">
        <w:rPr>
          <w:sz w:val="24"/>
          <w:szCs w:val="24"/>
        </w:rPr>
        <w:t>characteristics</w:t>
      </w:r>
      <w:r w:rsidR="001F612B" w:rsidRPr="006A7000">
        <w:rPr>
          <w:sz w:val="24"/>
          <w:szCs w:val="24"/>
        </w:rPr>
        <w:t xml:space="preserve"> </w:t>
      </w:r>
      <w:r w:rsidR="00897897" w:rsidRPr="006A7000">
        <w:rPr>
          <w:sz w:val="24"/>
          <w:szCs w:val="24"/>
        </w:rPr>
        <w:t>(</w:t>
      </w:r>
      <w:r w:rsidR="007C389C" w:rsidRPr="006A7000">
        <w:rPr>
          <w:sz w:val="24"/>
          <w:szCs w:val="24"/>
        </w:rPr>
        <w:t xml:space="preserve">Supplementary Table </w:t>
      </w:r>
      <w:r w:rsidR="00ED21C4" w:rsidRPr="006A7000">
        <w:rPr>
          <w:sz w:val="24"/>
          <w:szCs w:val="24"/>
        </w:rPr>
        <w:t>1</w:t>
      </w:r>
      <w:r w:rsidR="007C389C" w:rsidRPr="006A7000">
        <w:rPr>
          <w:sz w:val="24"/>
          <w:szCs w:val="24"/>
        </w:rPr>
        <w:t xml:space="preserve">) </w:t>
      </w:r>
      <w:r w:rsidR="001F612B" w:rsidRPr="006A7000">
        <w:rPr>
          <w:sz w:val="24"/>
          <w:szCs w:val="24"/>
        </w:rPr>
        <w:t xml:space="preserve">were balanced </w:t>
      </w:r>
      <w:r w:rsidR="00165715" w:rsidRPr="006A7000">
        <w:rPr>
          <w:sz w:val="24"/>
          <w:szCs w:val="24"/>
        </w:rPr>
        <w:t>within</w:t>
      </w:r>
      <w:r w:rsidR="001F612B" w:rsidRPr="006A7000">
        <w:rPr>
          <w:sz w:val="24"/>
          <w:szCs w:val="24"/>
        </w:rPr>
        <w:t xml:space="preserve"> the </w:t>
      </w:r>
      <w:r w:rsidR="00ED0948" w:rsidRPr="006A7000">
        <w:rPr>
          <w:sz w:val="24"/>
          <w:szCs w:val="24"/>
        </w:rPr>
        <w:t>randomised</w:t>
      </w:r>
      <w:r w:rsidR="001F612B" w:rsidRPr="006A7000">
        <w:rPr>
          <w:sz w:val="24"/>
          <w:szCs w:val="24"/>
        </w:rPr>
        <w:t xml:space="preserve"> </w:t>
      </w:r>
      <w:r w:rsidR="003118E9" w:rsidRPr="006A7000">
        <w:rPr>
          <w:sz w:val="24"/>
          <w:szCs w:val="24"/>
        </w:rPr>
        <w:t>patients</w:t>
      </w:r>
      <w:r w:rsidR="001F612B" w:rsidRPr="006A7000">
        <w:rPr>
          <w:sz w:val="24"/>
          <w:szCs w:val="24"/>
        </w:rPr>
        <w:t xml:space="preserve">.  </w:t>
      </w:r>
      <w:r w:rsidR="006E00A4" w:rsidRPr="006A7000">
        <w:rPr>
          <w:sz w:val="24"/>
          <w:szCs w:val="24"/>
        </w:rPr>
        <w:t>80% (199/250)</w:t>
      </w:r>
      <w:r w:rsidR="001F612B" w:rsidRPr="006A7000">
        <w:rPr>
          <w:sz w:val="24"/>
          <w:szCs w:val="24"/>
        </w:rPr>
        <w:t xml:space="preserve"> occurred on the tongue or </w:t>
      </w:r>
      <w:r w:rsidR="00B041ED" w:rsidRPr="006A7000">
        <w:rPr>
          <w:sz w:val="24"/>
          <w:szCs w:val="24"/>
        </w:rPr>
        <w:t xml:space="preserve">mouth </w:t>
      </w:r>
      <w:r w:rsidR="006E00A4" w:rsidRPr="006A7000">
        <w:rPr>
          <w:sz w:val="24"/>
          <w:szCs w:val="24"/>
        </w:rPr>
        <w:t xml:space="preserve">floor, </w:t>
      </w:r>
      <w:r w:rsidR="001F612B" w:rsidRPr="006A7000">
        <w:rPr>
          <w:sz w:val="24"/>
          <w:szCs w:val="24"/>
        </w:rPr>
        <w:t xml:space="preserve">and </w:t>
      </w:r>
      <w:r w:rsidR="00394688" w:rsidRPr="006A7000">
        <w:rPr>
          <w:sz w:val="24"/>
          <w:szCs w:val="24"/>
        </w:rPr>
        <w:t xml:space="preserve">68% </w:t>
      </w:r>
      <w:r w:rsidR="00D02523" w:rsidRPr="006A7000">
        <w:rPr>
          <w:sz w:val="24"/>
          <w:szCs w:val="24"/>
        </w:rPr>
        <w:t xml:space="preserve">(170/250) </w:t>
      </w:r>
      <w:r w:rsidR="00394688" w:rsidRPr="006A7000">
        <w:rPr>
          <w:sz w:val="24"/>
          <w:szCs w:val="24"/>
        </w:rPr>
        <w:t xml:space="preserve">and 21% </w:t>
      </w:r>
      <w:r w:rsidR="00D02523" w:rsidRPr="006A7000">
        <w:rPr>
          <w:sz w:val="24"/>
          <w:szCs w:val="24"/>
        </w:rPr>
        <w:t xml:space="preserve">(53/250) </w:t>
      </w:r>
      <w:r w:rsidR="00394688" w:rsidRPr="006A7000">
        <w:rPr>
          <w:sz w:val="24"/>
          <w:szCs w:val="24"/>
        </w:rPr>
        <w:t>were stage</w:t>
      </w:r>
      <w:r w:rsidR="00B041ED" w:rsidRPr="006A7000">
        <w:rPr>
          <w:sz w:val="24"/>
          <w:szCs w:val="24"/>
        </w:rPr>
        <w:t>d</w:t>
      </w:r>
      <w:r w:rsidR="00394688" w:rsidRPr="006A7000">
        <w:rPr>
          <w:sz w:val="24"/>
          <w:szCs w:val="24"/>
        </w:rPr>
        <w:t xml:space="preserve"> </w:t>
      </w:r>
      <w:r w:rsidR="00B041ED" w:rsidRPr="006A7000">
        <w:rPr>
          <w:sz w:val="24"/>
          <w:szCs w:val="24"/>
        </w:rPr>
        <w:t xml:space="preserve">as </w:t>
      </w:r>
      <w:r w:rsidR="00394688" w:rsidRPr="006A7000">
        <w:rPr>
          <w:sz w:val="24"/>
          <w:szCs w:val="24"/>
        </w:rPr>
        <w:t xml:space="preserve">pT1 and pT2 respectively. </w:t>
      </w:r>
      <w:r w:rsidR="00CD24D4" w:rsidRPr="006A7000">
        <w:rPr>
          <w:sz w:val="24"/>
          <w:szCs w:val="24"/>
        </w:rPr>
        <w:t>A</w:t>
      </w:r>
      <w:r w:rsidR="00F54953" w:rsidRPr="006A7000">
        <w:rPr>
          <w:sz w:val="24"/>
          <w:szCs w:val="24"/>
        </w:rPr>
        <w:t xml:space="preserve">mong </w:t>
      </w:r>
      <w:r w:rsidR="0097642D" w:rsidRPr="006A7000">
        <w:rPr>
          <w:sz w:val="24"/>
          <w:szCs w:val="24"/>
        </w:rPr>
        <w:t>patients</w:t>
      </w:r>
      <w:r w:rsidR="00F54953" w:rsidRPr="006A7000">
        <w:rPr>
          <w:sz w:val="24"/>
          <w:szCs w:val="24"/>
        </w:rPr>
        <w:t xml:space="preserve"> who </w:t>
      </w:r>
      <w:r w:rsidR="0097642D" w:rsidRPr="006A7000">
        <w:rPr>
          <w:sz w:val="24"/>
          <w:szCs w:val="24"/>
        </w:rPr>
        <w:t xml:space="preserve">were </w:t>
      </w:r>
      <w:r w:rsidR="00ED0948" w:rsidRPr="006A7000">
        <w:rPr>
          <w:sz w:val="24"/>
          <w:szCs w:val="24"/>
        </w:rPr>
        <w:t>randomised</w:t>
      </w:r>
      <w:r w:rsidR="0097642D" w:rsidRPr="006A7000">
        <w:rPr>
          <w:sz w:val="24"/>
          <w:szCs w:val="24"/>
        </w:rPr>
        <w:t xml:space="preserve"> to and received</w:t>
      </w:r>
      <w:r w:rsidR="00F54953" w:rsidRPr="006A7000">
        <w:rPr>
          <w:sz w:val="24"/>
          <w:szCs w:val="24"/>
        </w:rPr>
        <w:t xml:space="preserve"> END</w:t>
      </w:r>
      <w:r w:rsidR="0097642D" w:rsidRPr="006A7000">
        <w:rPr>
          <w:sz w:val="24"/>
          <w:szCs w:val="24"/>
        </w:rPr>
        <w:t xml:space="preserve">, 25.4% </w:t>
      </w:r>
      <w:r w:rsidR="00EA6928" w:rsidRPr="006A7000">
        <w:rPr>
          <w:sz w:val="24"/>
          <w:szCs w:val="24"/>
        </w:rPr>
        <w:t xml:space="preserve">(29/114) </w:t>
      </w:r>
      <w:r w:rsidR="0097642D" w:rsidRPr="006A7000">
        <w:rPr>
          <w:sz w:val="24"/>
          <w:szCs w:val="24"/>
        </w:rPr>
        <w:t>had positive</w:t>
      </w:r>
      <w:r w:rsidR="00CD24D4" w:rsidRPr="006A7000">
        <w:rPr>
          <w:sz w:val="24"/>
          <w:szCs w:val="24"/>
        </w:rPr>
        <w:t xml:space="preserve"> neck nodes</w:t>
      </w:r>
      <w:r w:rsidR="00A26966" w:rsidRPr="006A7000">
        <w:rPr>
          <w:sz w:val="24"/>
          <w:szCs w:val="24"/>
        </w:rPr>
        <w:t xml:space="preserve"> </w:t>
      </w:r>
      <w:r w:rsidR="009158BF" w:rsidRPr="006A7000">
        <w:rPr>
          <w:sz w:val="24"/>
          <w:szCs w:val="24"/>
        </w:rPr>
        <w:t xml:space="preserve">(occult neck metastases):  </w:t>
      </w:r>
      <w:r w:rsidR="00A26966" w:rsidRPr="006A7000">
        <w:rPr>
          <w:sz w:val="24"/>
          <w:szCs w:val="24"/>
        </w:rPr>
        <w:t>19.1%</w:t>
      </w:r>
      <w:r w:rsidR="00E3534B" w:rsidRPr="006A7000">
        <w:rPr>
          <w:sz w:val="24"/>
          <w:szCs w:val="24"/>
        </w:rPr>
        <w:t xml:space="preserve"> and</w:t>
      </w:r>
      <w:r w:rsidR="00A26966" w:rsidRPr="006A7000">
        <w:rPr>
          <w:sz w:val="24"/>
          <w:szCs w:val="24"/>
        </w:rPr>
        <w:t xml:space="preserve"> 34.</w:t>
      </w:r>
      <w:r w:rsidR="009158BF" w:rsidRPr="006A7000">
        <w:rPr>
          <w:sz w:val="24"/>
          <w:szCs w:val="24"/>
        </w:rPr>
        <w:t>8</w:t>
      </w:r>
      <w:r w:rsidR="00051CE2" w:rsidRPr="006A7000">
        <w:rPr>
          <w:sz w:val="24"/>
          <w:szCs w:val="24"/>
        </w:rPr>
        <w:t>%</w:t>
      </w:r>
      <w:r w:rsidR="00A26966" w:rsidRPr="006A7000">
        <w:rPr>
          <w:sz w:val="24"/>
          <w:szCs w:val="24"/>
        </w:rPr>
        <w:t xml:space="preserve"> among those with </w:t>
      </w:r>
      <w:r w:rsidR="00250B43" w:rsidRPr="006A7000">
        <w:rPr>
          <w:sz w:val="24"/>
          <w:szCs w:val="24"/>
        </w:rPr>
        <w:t xml:space="preserve">clinical </w:t>
      </w:r>
      <w:r w:rsidR="00A26966" w:rsidRPr="006A7000">
        <w:rPr>
          <w:sz w:val="24"/>
          <w:szCs w:val="24"/>
        </w:rPr>
        <w:t>stage T1 or T2 respectively)</w:t>
      </w:r>
      <w:r w:rsidR="009158BF" w:rsidRPr="006A7000">
        <w:rPr>
          <w:sz w:val="24"/>
          <w:szCs w:val="24"/>
        </w:rPr>
        <w:t xml:space="preserve"> ; or 20.8% and 36.0% among those with pT1 or pT2.</w:t>
      </w:r>
    </w:p>
    <w:p w14:paraId="1A2EA11F" w14:textId="77777777" w:rsidR="00C50459" w:rsidRPr="006A7000" w:rsidRDefault="00C50459" w:rsidP="00B95772">
      <w:pPr>
        <w:spacing w:after="0" w:line="480" w:lineRule="auto"/>
        <w:rPr>
          <w:i/>
          <w:sz w:val="24"/>
          <w:szCs w:val="24"/>
        </w:rPr>
      </w:pPr>
    </w:p>
    <w:p w14:paraId="26BF366F" w14:textId="7FE299F0" w:rsidR="00DF19B8" w:rsidRPr="006A7000" w:rsidRDefault="00DF19B8" w:rsidP="00B95772">
      <w:pPr>
        <w:spacing w:line="480" w:lineRule="auto"/>
        <w:rPr>
          <w:i/>
          <w:sz w:val="24"/>
          <w:szCs w:val="24"/>
        </w:rPr>
      </w:pPr>
      <w:r w:rsidRPr="006A7000">
        <w:rPr>
          <w:i/>
          <w:sz w:val="24"/>
          <w:szCs w:val="24"/>
        </w:rPr>
        <w:t>Efficacy</w:t>
      </w:r>
      <w:r w:rsidR="00CC1013" w:rsidRPr="006A7000">
        <w:rPr>
          <w:i/>
          <w:sz w:val="24"/>
          <w:szCs w:val="24"/>
        </w:rPr>
        <w:t xml:space="preserve"> (randomised </w:t>
      </w:r>
      <w:r w:rsidR="00FE5A81" w:rsidRPr="006A7000">
        <w:rPr>
          <w:i/>
          <w:sz w:val="24"/>
          <w:szCs w:val="24"/>
        </w:rPr>
        <w:t>patients</w:t>
      </w:r>
      <w:r w:rsidR="00CC1013" w:rsidRPr="006A7000">
        <w:rPr>
          <w:i/>
          <w:sz w:val="24"/>
          <w:szCs w:val="24"/>
        </w:rPr>
        <w:t>)</w:t>
      </w:r>
    </w:p>
    <w:p w14:paraId="583EA031" w14:textId="0BF32C20" w:rsidR="0097750D" w:rsidRPr="006A7000" w:rsidRDefault="003402DF" w:rsidP="00B95772">
      <w:pPr>
        <w:spacing w:line="480" w:lineRule="auto"/>
        <w:rPr>
          <w:sz w:val="24"/>
          <w:szCs w:val="24"/>
        </w:rPr>
      </w:pPr>
      <w:r w:rsidRPr="006A7000">
        <w:rPr>
          <w:sz w:val="24"/>
          <w:szCs w:val="24"/>
        </w:rPr>
        <w:t xml:space="preserve">Summary efficacy results are shown in Table 2 and Figure </w:t>
      </w:r>
      <w:r w:rsidR="00ED21C4" w:rsidRPr="006A7000">
        <w:rPr>
          <w:sz w:val="24"/>
          <w:szCs w:val="24"/>
        </w:rPr>
        <w:t>1</w:t>
      </w:r>
      <w:r w:rsidRPr="006A7000">
        <w:rPr>
          <w:sz w:val="24"/>
          <w:szCs w:val="24"/>
        </w:rPr>
        <w:t xml:space="preserve">. Among the 250 patients, there were 83 deaths (49 due to oral cancer). From the ITT analysis, the 5-year OS rates were 75.8% END versus 67.6% resection only: difference of 8.2 percentage points (p=0.28). The 5-year hazard ratio (HR) was 0.71 (p=0.18); Figure </w:t>
      </w:r>
      <w:r w:rsidR="00ED21C4" w:rsidRPr="006A7000">
        <w:rPr>
          <w:sz w:val="24"/>
          <w:szCs w:val="24"/>
        </w:rPr>
        <w:t>1</w:t>
      </w:r>
      <w:r w:rsidRPr="006A7000">
        <w:rPr>
          <w:sz w:val="24"/>
          <w:szCs w:val="24"/>
        </w:rPr>
        <w:t xml:space="preserve">. </w:t>
      </w:r>
    </w:p>
    <w:p w14:paraId="6AF581F4" w14:textId="2D57CAB6" w:rsidR="003402DF" w:rsidRPr="006A7000" w:rsidRDefault="003402DF" w:rsidP="00B95772">
      <w:pPr>
        <w:spacing w:line="480" w:lineRule="auto"/>
        <w:rPr>
          <w:sz w:val="24"/>
          <w:szCs w:val="24"/>
        </w:rPr>
      </w:pPr>
      <w:r w:rsidRPr="006A7000">
        <w:rPr>
          <w:sz w:val="24"/>
          <w:szCs w:val="24"/>
        </w:rPr>
        <w:t>The influence of non-adherence was noticeable in this study size. 7 patients allocated to resection only but who actually had an END</w:t>
      </w:r>
      <w:r w:rsidR="0097750D" w:rsidRPr="006A7000">
        <w:rPr>
          <w:sz w:val="24"/>
          <w:szCs w:val="24"/>
        </w:rPr>
        <w:t xml:space="preserve"> </w:t>
      </w:r>
      <w:r w:rsidRPr="006A7000">
        <w:rPr>
          <w:sz w:val="24"/>
          <w:szCs w:val="24"/>
        </w:rPr>
        <w:t xml:space="preserve">were </w:t>
      </w:r>
      <w:r w:rsidR="0097750D" w:rsidRPr="006A7000">
        <w:rPr>
          <w:sz w:val="24"/>
          <w:szCs w:val="24"/>
        </w:rPr>
        <w:t xml:space="preserve">all </w:t>
      </w:r>
      <w:r w:rsidRPr="006A7000">
        <w:rPr>
          <w:sz w:val="24"/>
          <w:szCs w:val="24"/>
        </w:rPr>
        <w:t>alive and disease-free at last follow-up</w:t>
      </w:r>
      <w:r w:rsidR="0097750D" w:rsidRPr="006A7000">
        <w:rPr>
          <w:sz w:val="24"/>
          <w:szCs w:val="24"/>
        </w:rPr>
        <w:t xml:space="preserve"> </w:t>
      </w:r>
      <w:r w:rsidR="006A5278" w:rsidRPr="006A7000">
        <w:rPr>
          <w:sz w:val="24"/>
          <w:szCs w:val="24"/>
        </w:rPr>
        <w:t>b</w:t>
      </w:r>
      <w:r w:rsidRPr="006A7000">
        <w:rPr>
          <w:sz w:val="24"/>
          <w:szCs w:val="24"/>
        </w:rPr>
        <w:t xml:space="preserve">ut </w:t>
      </w:r>
      <w:r w:rsidR="006A5278" w:rsidRPr="006A7000">
        <w:rPr>
          <w:sz w:val="24"/>
          <w:szCs w:val="24"/>
        </w:rPr>
        <w:t xml:space="preserve">of </w:t>
      </w:r>
      <w:r w:rsidRPr="006A7000">
        <w:rPr>
          <w:sz w:val="24"/>
          <w:szCs w:val="24"/>
        </w:rPr>
        <w:t>12 patients allocated to END who instead had resection only, 5 had a cancer occurrence in the neck (all within 13 months from surgery), and one had a new primary mouth tumo</w:t>
      </w:r>
      <w:r w:rsidR="00226DAF" w:rsidRPr="006A7000">
        <w:rPr>
          <w:sz w:val="24"/>
          <w:szCs w:val="24"/>
        </w:rPr>
        <w:t>u</w:t>
      </w:r>
      <w:r w:rsidRPr="006A7000">
        <w:rPr>
          <w:sz w:val="24"/>
          <w:szCs w:val="24"/>
        </w:rPr>
        <w:t xml:space="preserve">r; all 6 died. These observations </w:t>
      </w:r>
      <w:r w:rsidR="006A5278" w:rsidRPr="006A7000">
        <w:rPr>
          <w:sz w:val="24"/>
          <w:szCs w:val="24"/>
        </w:rPr>
        <w:t xml:space="preserve">are better captured in the per-protocol analyses and </w:t>
      </w:r>
      <w:r w:rsidRPr="006A7000">
        <w:rPr>
          <w:sz w:val="24"/>
          <w:szCs w:val="24"/>
        </w:rPr>
        <w:t xml:space="preserve">provide additional favourable evidence for END. The 5-year OS rates based on the per-protocol groups were 77.5% END versus 65.6 resection only (230 </w:t>
      </w:r>
      <w:r w:rsidRPr="006A7000">
        <w:rPr>
          <w:sz w:val="24"/>
          <w:szCs w:val="24"/>
        </w:rPr>
        <w:lastRenderedPageBreak/>
        <w:t xml:space="preserve">patients and 77 deaths): risk difference 11.9 percentage points (p=0.14). The corresponding HR up to 5 years was 0.59 (p=0.054); Figure </w:t>
      </w:r>
      <w:r w:rsidR="00D557EC" w:rsidRPr="006A7000">
        <w:rPr>
          <w:sz w:val="24"/>
          <w:szCs w:val="24"/>
        </w:rPr>
        <w:t>1</w:t>
      </w:r>
      <w:r w:rsidRPr="006A7000">
        <w:rPr>
          <w:sz w:val="24"/>
          <w:szCs w:val="24"/>
        </w:rPr>
        <w:t>.</w:t>
      </w:r>
    </w:p>
    <w:p w14:paraId="67874B60" w14:textId="77777777" w:rsidR="003402DF" w:rsidRPr="006A7000" w:rsidRDefault="003402DF" w:rsidP="00B95772">
      <w:pPr>
        <w:spacing w:line="480" w:lineRule="auto"/>
        <w:rPr>
          <w:sz w:val="24"/>
          <w:szCs w:val="24"/>
        </w:rPr>
      </w:pPr>
      <w:r w:rsidRPr="006A7000">
        <w:rPr>
          <w:sz w:val="24"/>
          <w:szCs w:val="24"/>
        </w:rPr>
        <w:t>There were 109 DFS events (Supplementary Table 2). The ITT 5-year DFS rate was 64.4% END versus 50.9% resection only (risk difference 13.5 percentage points, p=0.087), and 65.7% versus 47.8% using the per-protocol analysis (risk difference 17.9 percentage points, p=0.03). The 5-year DFS HRs were statistically significant. Similar benefits were seen for loco-regional occurrence/recurrence in the mouth or neck.</w:t>
      </w:r>
    </w:p>
    <w:p w14:paraId="4C6384B4" w14:textId="45C0D0DA" w:rsidR="003402DF" w:rsidRPr="006A7000" w:rsidRDefault="003402DF" w:rsidP="00B95772">
      <w:pPr>
        <w:spacing w:line="480" w:lineRule="auto"/>
        <w:rPr>
          <w:sz w:val="24"/>
          <w:szCs w:val="24"/>
        </w:rPr>
      </w:pPr>
      <w:r w:rsidRPr="006A7000">
        <w:rPr>
          <w:sz w:val="24"/>
          <w:szCs w:val="24"/>
        </w:rPr>
        <w:t xml:space="preserve">Almost all 60 loco-regional disease occurrence/recurrence DFS events were seen within two years of surgery, and only 3 (1 END, 2 resection only) occurred after this time (Figure </w:t>
      </w:r>
      <w:r w:rsidR="00D557EC" w:rsidRPr="006A7000">
        <w:rPr>
          <w:sz w:val="24"/>
          <w:szCs w:val="24"/>
        </w:rPr>
        <w:t>1</w:t>
      </w:r>
      <w:r w:rsidRPr="006A7000">
        <w:rPr>
          <w:sz w:val="24"/>
          <w:szCs w:val="24"/>
        </w:rPr>
        <w:t xml:space="preserve">). </w:t>
      </w:r>
      <w:r w:rsidR="00ED47FD" w:rsidRPr="006A7000">
        <w:rPr>
          <w:sz w:val="24"/>
          <w:szCs w:val="24"/>
        </w:rPr>
        <w:t xml:space="preserve">Six </w:t>
      </w:r>
      <w:r w:rsidRPr="006A7000">
        <w:rPr>
          <w:sz w:val="24"/>
          <w:szCs w:val="24"/>
        </w:rPr>
        <w:t xml:space="preserve">patients </w:t>
      </w:r>
      <w:r w:rsidR="00ED47FD" w:rsidRPr="006A7000">
        <w:rPr>
          <w:sz w:val="24"/>
          <w:szCs w:val="24"/>
        </w:rPr>
        <w:t xml:space="preserve">(3 in each group) developed </w:t>
      </w:r>
      <w:r w:rsidRPr="006A7000">
        <w:rPr>
          <w:sz w:val="24"/>
          <w:szCs w:val="24"/>
        </w:rPr>
        <w:t>new primary mouth tumo</w:t>
      </w:r>
      <w:r w:rsidR="00226DAF" w:rsidRPr="006A7000">
        <w:rPr>
          <w:sz w:val="24"/>
          <w:szCs w:val="24"/>
        </w:rPr>
        <w:t>u</w:t>
      </w:r>
      <w:r w:rsidRPr="006A7000">
        <w:rPr>
          <w:sz w:val="24"/>
          <w:szCs w:val="24"/>
        </w:rPr>
        <w:t>r</w:t>
      </w:r>
      <w:r w:rsidR="00ED47FD" w:rsidRPr="006A7000">
        <w:rPr>
          <w:sz w:val="24"/>
          <w:szCs w:val="24"/>
        </w:rPr>
        <w:t>s</w:t>
      </w:r>
      <w:r w:rsidRPr="006A7000">
        <w:rPr>
          <w:sz w:val="24"/>
          <w:szCs w:val="24"/>
        </w:rPr>
        <w:t xml:space="preserve"> </w:t>
      </w:r>
      <w:r w:rsidR="00ED47FD" w:rsidRPr="006A7000">
        <w:rPr>
          <w:sz w:val="24"/>
          <w:szCs w:val="24"/>
        </w:rPr>
        <w:t xml:space="preserve">more than </w:t>
      </w:r>
      <w:r w:rsidRPr="006A7000">
        <w:rPr>
          <w:sz w:val="24"/>
          <w:szCs w:val="24"/>
        </w:rPr>
        <w:t>two years after surgery.</w:t>
      </w:r>
    </w:p>
    <w:p w14:paraId="20E6DDA3" w14:textId="1C0878E4" w:rsidR="003402DF" w:rsidRPr="006A7000" w:rsidRDefault="003402DF" w:rsidP="00B95772">
      <w:pPr>
        <w:spacing w:line="480" w:lineRule="auto"/>
        <w:rPr>
          <w:sz w:val="24"/>
          <w:szCs w:val="24"/>
        </w:rPr>
      </w:pPr>
      <w:r w:rsidRPr="006A7000">
        <w:rPr>
          <w:sz w:val="24"/>
          <w:szCs w:val="24"/>
        </w:rPr>
        <w:t>Pre-specified subgroup analyses (per-protocol) were used to show that the effect of END was not substantially different between subgroups (Supplementary Figures 2</w:t>
      </w:r>
      <w:r w:rsidR="00842827" w:rsidRPr="006A7000">
        <w:rPr>
          <w:sz w:val="24"/>
          <w:szCs w:val="24"/>
        </w:rPr>
        <w:t>-3</w:t>
      </w:r>
      <w:r w:rsidRPr="006A7000">
        <w:rPr>
          <w:sz w:val="24"/>
          <w:szCs w:val="24"/>
        </w:rPr>
        <w:t>). Importantly, END improved clinical outcomes among small tumo</w:t>
      </w:r>
      <w:r w:rsidR="00226DAF" w:rsidRPr="006A7000">
        <w:rPr>
          <w:sz w:val="24"/>
          <w:szCs w:val="24"/>
        </w:rPr>
        <w:t>u</w:t>
      </w:r>
      <w:r w:rsidRPr="006A7000">
        <w:rPr>
          <w:sz w:val="24"/>
          <w:szCs w:val="24"/>
        </w:rPr>
        <w:t>rs. The DFS HRs were 0.38 (95%CI 0.21-0.70) for T1 clinical stage, 0.49 (95%CI 0.28-0.86) for pathology T1 stage, 0.63 (95%CI 0.27-1.49) for pathology-assessed tumo</w:t>
      </w:r>
      <w:r w:rsidR="00226DAF" w:rsidRPr="006A7000">
        <w:rPr>
          <w:sz w:val="24"/>
          <w:szCs w:val="24"/>
        </w:rPr>
        <w:t>u</w:t>
      </w:r>
      <w:r w:rsidRPr="006A7000">
        <w:rPr>
          <w:sz w:val="24"/>
          <w:szCs w:val="24"/>
        </w:rPr>
        <w:t>r diameter ≤10mm, and 0.64 (95%CI 0.24-1.73) for patients with both clinical stage T1 and diameter ≤10mm</w:t>
      </w:r>
      <w:r w:rsidR="00610CD2" w:rsidRPr="006A7000">
        <w:rPr>
          <w:sz w:val="24"/>
          <w:szCs w:val="24"/>
        </w:rPr>
        <w:t xml:space="preserve"> (Supplementary Figure 3)</w:t>
      </w:r>
      <w:r w:rsidRPr="006A7000">
        <w:rPr>
          <w:sz w:val="24"/>
          <w:szCs w:val="24"/>
        </w:rPr>
        <w:t>.</w:t>
      </w:r>
    </w:p>
    <w:p w14:paraId="53D16D70" w14:textId="12A1F937" w:rsidR="003402DF" w:rsidRPr="006A7000" w:rsidRDefault="003402DF" w:rsidP="00B95772">
      <w:pPr>
        <w:spacing w:line="480" w:lineRule="auto"/>
        <w:rPr>
          <w:sz w:val="24"/>
          <w:szCs w:val="24"/>
        </w:rPr>
      </w:pPr>
      <w:r w:rsidRPr="006A7000">
        <w:rPr>
          <w:sz w:val="24"/>
          <w:szCs w:val="24"/>
        </w:rPr>
        <w:t>A recent study suggested that END may be unnecessary for well-differentiated T1-stage tumo</w:t>
      </w:r>
      <w:r w:rsidR="00226DAF" w:rsidRPr="006A7000">
        <w:rPr>
          <w:sz w:val="24"/>
          <w:szCs w:val="24"/>
        </w:rPr>
        <w:t>u</w:t>
      </w:r>
      <w:r w:rsidRPr="006A7000">
        <w:rPr>
          <w:sz w:val="24"/>
          <w:szCs w:val="24"/>
        </w:rPr>
        <w:t>rs,</w:t>
      </w:r>
      <w:r w:rsidRPr="006A7000">
        <w:rPr>
          <w:sz w:val="24"/>
          <w:szCs w:val="24"/>
          <w:vertAlign w:val="superscript"/>
        </w:rPr>
        <w:t>2</w:t>
      </w:r>
      <w:r w:rsidR="00517E4F" w:rsidRPr="006A7000">
        <w:rPr>
          <w:sz w:val="24"/>
          <w:szCs w:val="24"/>
          <w:vertAlign w:val="superscript"/>
        </w:rPr>
        <w:t>2</w:t>
      </w:r>
      <w:r w:rsidRPr="006A7000">
        <w:rPr>
          <w:sz w:val="24"/>
          <w:szCs w:val="24"/>
        </w:rPr>
        <w:t xml:space="preserve"> but in SEND the DFS HR for this subgroup was 0.54 (95%CI 0.13-2.16). We also conducted analyses (not pre-specified) according to the </w:t>
      </w:r>
      <w:r w:rsidR="003B252F" w:rsidRPr="006A7000">
        <w:rPr>
          <w:sz w:val="24"/>
          <w:szCs w:val="24"/>
        </w:rPr>
        <w:t>AJCC 8</w:t>
      </w:r>
      <w:r w:rsidR="003B252F" w:rsidRPr="006A7000">
        <w:rPr>
          <w:sz w:val="24"/>
          <w:szCs w:val="24"/>
          <w:vertAlign w:val="superscript"/>
        </w:rPr>
        <w:t>th</w:t>
      </w:r>
      <w:r w:rsidR="003B252F" w:rsidRPr="006A7000">
        <w:rPr>
          <w:sz w:val="24"/>
          <w:szCs w:val="24"/>
        </w:rPr>
        <w:t xml:space="preserve"> edition</w:t>
      </w:r>
      <w:r w:rsidRPr="006A7000">
        <w:rPr>
          <w:sz w:val="24"/>
          <w:szCs w:val="24"/>
        </w:rPr>
        <w:t>,</w:t>
      </w:r>
      <w:r w:rsidRPr="006A7000">
        <w:rPr>
          <w:sz w:val="24"/>
          <w:szCs w:val="24"/>
          <w:vertAlign w:val="superscript"/>
        </w:rPr>
        <w:t>2</w:t>
      </w:r>
      <w:r w:rsidR="00517E4F" w:rsidRPr="006A7000">
        <w:rPr>
          <w:sz w:val="24"/>
          <w:szCs w:val="24"/>
          <w:vertAlign w:val="superscript"/>
        </w:rPr>
        <w:t>3</w:t>
      </w:r>
      <w:r w:rsidRPr="006A7000">
        <w:rPr>
          <w:sz w:val="24"/>
          <w:szCs w:val="24"/>
        </w:rPr>
        <w:t xml:space="preserve"> because it uses depth of invasion and tumo</w:t>
      </w:r>
      <w:r w:rsidR="00226DAF" w:rsidRPr="006A7000">
        <w:rPr>
          <w:sz w:val="24"/>
          <w:szCs w:val="24"/>
        </w:rPr>
        <w:t>u</w:t>
      </w:r>
      <w:r w:rsidRPr="006A7000">
        <w:rPr>
          <w:sz w:val="24"/>
          <w:szCs w:val="24"/>
        </w:rPr>
        <w:t>r size. The per-protocol OS HRs were 0.76 (95% CI 0.34-1.71), 0.64 (95% CI 0.25-1.67) and 0.73 (95%CI 0.26-2.06) for stage T1, T2 and T3 respectively, with corresponding DFS HRs 0.51 (95%CI 0.28-0.93), 0.75 (95%CI 0.35-1.60) and 0.75 (95%CI 0.30-1.85); confirming that even patients with favourable staging still benefit from END.</w:t>
      </w:r>
    </w:p>
    <w:p w14:paraId="2444AD17" w14:textId="77777777" w:rsidR="00007B07" w:rsidRPr="006A7000" w:rsidRDefault="00007B07" w:rsidP="00B95772">
      <w:pPr>
        <w:spacing w:after="0" w:line="480" w:lineRule="auto"/>
        <w:rPr>
          <w:sz w:val="24"/>
          <w:szCs w:val="24"/>
        </w:rPr>
      </w:pPr>
    </w:p>
    <w:p w14:paraId="6DEDF213" w14:textId="77777777" w:rsidR="00102E93" w:rsidRPr="006A7000" w:rsidRDefault="00102E93" w:rsidP="00B95772">
      <w:pPr>
        <w:spacing w:line="480" w:lineRule="auto"/>
        <w:rPr>
          <w:i/>
          <w:sz w:val="24"/>
          <w:szCs w:val="24"/>
        </w:rPr>
      </w:pPr>
      <w:r w:rsidRPr="006A7000">
        <w:rPr>
          <w:i/>
          <w:sz w:val="24"/>
          <w:szCs w:val="24"/>
        </w:rPr>
        <w:lastRenderedPageBreak/>
        <w:t>Adverse events</w:t>
      </w:r>
    </w:p>
    <w:p w14:paraId="5C6CB8D7" w14:textId="56923BEC" w:rsidR="007933C5" w:rsidRPr="006A7000" w:rsidRDefault="00723B18" w:rsidP="00B95772">
      <w:pPr>
        <w:spacing w:line="480" w:lineRule="auto"/>
        <w:rPr>
          <w:sz w:val="24"/>
          <w:szCs w:val="24"/>
        </w:rPr>
      </w:pPr>
      <w:r w:rsidRPr="006A7000">
        <w:rPr>
          <w:sz w:val="24"/>
          <w:szCs w:val="24"/>
        </w:rPr>
        <w:t xml:space="preserve">Table </w:t>
      </w:r>
      <w:r w:rsidR="00594C53" w:rsidRPr="006A7000">
        <w:rPr>
          <w:sz w:val="24"/>
          <w:szCs w:val="24"/>
        </w:rPr>
        <w:t>3</w:t>
      </w:r>
      <w:r w:rsidR="00106DA6" w:rsidRPr="006A7000">
        <w:rPr>
          <w:sz w:val="24"/>
          <w:szCs w:val="24"/>
        </w:rPr>
        <w:t xml:space="preserve"> </w:t>
      </w:r>
      <w:r w:rsidR="00A163E5" w:rsidRPr="006A7000">
        <w:rPr>
          <w:sz w:val="24"/>
          <w:szCs w:val="24"/>
        </w:rPr>
        <w:t>summarises</w:t>
      </w:r>
      <w:r w:rsidR="00353BF7" w:rsidRPr="006A7000">
        <w:rPr>
          <w:sz w:val="24"/>
          <w:szCs w:val="24"/>
        </w:rPr>
        <w:t xml:space="preserve"> the adverse events (</w:t>
      </w:r>
      <w:r w:rsidR="00102E93" w:rsidRPr="006A7000">
        <w:rPr>
          <w:sz w:val="24"/>
          <w:szCs w:val="24"/>
        </w:rPr>
        <w:t xml:space="preserve">details </w:t>
      </w:r>
      <w:r w:rsidRPr="006A7000">
        <w:rPr>
          <w:sz w:val="24"/>
          <w:szCs w:val="24"/>
        </w:rPr>
        <w:t xml:space="preserve">in </w:t>
      </w:r>
      <w:r w:rsidR="00865AB4" w:rsidRPr="006A7000">
        <w:rPr>
          <w:sz w:val="24"/>
          <w:szCs w:val="24"/>
        </w:rPr>
        <w:t xml:space="preserve">Supplementary </w:t>
      </w:r>
      <w:r w:rsidRPr="006A7000">
        <w:rPr>
          <w:sz w:val="24"/>
          <w:szCs w:val="24"/>
        </w:rPr>
        <w:t>Table</w:t>
      </w:r>
      <w:r w:rsidR="001B24EF" w:rsidRPr="006A7000">
        <w:rPr>
          <w:sz w:val="24"/>
          <w:szCs w:val="24"/>
        </w:rPr>
        <w:t>s</w:t>
      </w:r>
      <w:r w:rsidR="00865AB4" w:rsidRPr="006A7000">
        <w:rPr>
          <w:sz w:val="24"/>
          <w:szCs w:val="24"/>
        </w:rPr>
        <w:t xml:space="preserve"> </w:t>
      </w:r>
      <w:r w:rsidR="00842827" w:rsidRPr="006A7000">
        <w:rPr>
          <w:sz w:val="24"/>
          <w:szCs w:val="24"/>
        </w:rPr>
        <w:t>3-4</w:t>
      </w:r>
      <w:r w:rsidR="00353BF7" w:rsidRPr="006A7000">
        <w:rPr>
          <w:sz w:val="24"/>
          <w:szCs w:val="24"/>
        </w:rPr>
        <w:t>)</w:t>
      </w:r>
      <w:r w:rsidR="00102E93" w:rsidRPr="006A7000">
        <w:rPr>
          <w:sz w:val="24"/>
          <w:szCs w:val="24"/>
        </w:rPr>
        <w:t>. Al</w:t>
      </w:r>
      <w:r w:rsidR="001B24EF" w:rsidRPr="006A7000">
        <w:rPr>
          <w:sz w:val="24"/>
          <w:szCs w:val="24"/>
        </w:rPr>
        <w:t xml:space="preserve">though more patients </w:t>
      </w:r>
      <w:r w:rsidR="00102E93" w:rsidRPr="006A7000">
        <w:rPr>
          <w:sz w:val="24"/>
          <w:szCs w:val="24"/>
        </w:rPr>
        <w:t xml:space="preserve">had </w:t>
      </w:r>
      <w:r w:rsidR="005D4CAE" w:rsidRPr="006A7000">
        <w:rPr>
          <w:sz w:val="24"/>
          <w:szCs w:val="24"/>
        </w:rPr>
        <w:t>an</w:t>
      </w:r>
      <w:r w:rsidR="00102E93" w:rsidRPr="006A7000">
        <w:rPr>
          <w:sz w:val="24"/>
          <w:szCs w:val="24"/>
        </w:rPr>
        <w:t xml:space="preserve"> adverse event of any grade in the </w:t>
      </w:r>
      <w:r w:rsidR="001B24EF" w:rsidRPr="006A7000">
        <w:rPr>
          <w:sz w:val="24"/>
          <w:szCs w:val="24"/>
        </w:rPr>
        <w:t>END</w:t>
      </w:r>
      <w:r w:rsidR="00102E93" w:rsidRPr="006A7000">
        <w:rPr>
          <w:sz w:val="24"/>
          <w:szCs w:val="24"/>
        </w:rPr>
        <w:t xml:space="preserve"> group</w:t>
      </w:r>
      <w:r w:rsidR="001B24EF" w:rsidRPr="006A7000">
        <w:rPr>
          <w:sz w:val="24"/>
          <w:szCs w:val="24"/>
        </w:rPr>
        <w:t xml:space="preserve"> 77.8% </w:t>
      </w:r>
      <w:r w:rsidR="00F62B75" w:rsidRPr="006A7000">
        <w:rPr>
          <w:sz w:val="24"/>
          <w:szCs w:val="24"/>
        </w:rPr>
        <w:t xml:space="preserve">END </w:t>
      </w:r>
      <w:r w:rsidR="001B24EF" w:rsidRPr="006A7000">
        <w:rPr>
          <w:sz w:val="24"/>
          <w:szCs w:val="24"/>
        </w:rPr>
        <w:t xml:space="preserve">(98/126) versus 60.5% </w:t>
      </w:r>
      <w:r w:rsidR="00741E73" w:rsidRPr="006A7000">
        <w:rPr>
          <w:sz w:val="24"/>
          <w:szCs w:val="24"/>
        </w:rPr>
        <w:t>resection only</w:t>
      </w:r>
      <w:r w:rsidR="00F62B75" w:rsidRPr="006A7000">
        <w:rPr>
          <w:sz w:val="24"/>
          <w:szCs w:val="24"/>
        </w:rPr>
        <w:t xml:space="preserve"> </w:t>
      </w:r>
      <w:r w:rsidR="001B24EF" w:rsidRPr="006A7000">
        <w:rPr>
          <w:sz w:val="24"/>
          <w:szCs w:val="24"/>
        </w:rPr>
        <w:t>(75/124) p=0.003</w:t>
      </w:r>
      <w:r w:rsidR="00102E93" w:rsidRPr="006A7000">
        <w:rPr>
          <w:sz w:val="24"/>
          <w:szCs w:val="24"/>
        </w:rPr>
        <w:t xml:space="preserve">, </w:t>
      </w:r>
      <w:r w:rsidR="00BC41DD" w:rsidRPr="006A7000">
        <w:rPr>
          <w:sz w:val="24"/>
          <w:szCs w:val="24"/>
        </w:rPr>
        <w:t>the majority were low</w:t>
      </w:r>
      <w:r w:rsidR="00EB5CA5" w:rsidRPr="006A7000">
        <w:rPr>
          <w:sz w:val="24"/>
          <w:szCs w:val="24"/>
        </w:rPr>
        <w:t>-</w:t>
      </w:r>
      <w:r w:rsidR="00BC41DD" w:rsidRPr="006A7000">
        <w:rPr>
          <w:sz w:val="24"/>
          <w:szCs w:val="24"/>
        </w:rPr>
        <w:t>grade events. T</w:t>
      </w:r>
      <w:r w:rsidR="00F62B75" w:rsidRPr="006A7000">
        <w:rPr>
          <w:sz w:val="24"/>
          <w:szCs w:val="24"/>
        </w:rPr>
        <w:t xml:space="preserve">here was </w:t>
      </w:r>
      <w:r w:rsidR="00A039A6" w:rsidRPr="006A7000">
        <w:rPr>
          <w:sz w:val="24"/>
          <w:szCs w:val="24"/>
        </w:rPr>
        <w:t>no major</w:t>
      </w:r>
      <w:r w:rsidR="00F62B75" w:rsidRPr="006A7000">
        <w:rPr>
          <w:sz w:val="24"/>
          <w:szCs w:val="24"/>
        </w:rPr>
        <w:t xml:space="preserve"> difference for </w:t>
      </w:r>
      <w:r w:rsidR="001B24EF" w:rsidRPr="006A7000">
        <w:rPr>
          <w:sz w:val="24"/>
          <w:szCs w:val="24"/>
        </w:rPr>
        <w:t>grade 3-4 events: 19.8%</w:t>
      </w:r>
      <w:r w:rsidR="00F62B75" w:rsidRPr="006A7000">
        <w:rPr>
          <w:sz w:val="24"/>
          <w:szCs w:val="24"/>
        </w:rPr>
        <w:t xml:space="preserve"> END</w:t>
      </w:r>
      <w:r w:rsidR="001B24EF" w:rsidRPr="006A7000">
        <w:rPr>
          <w:sz w:val="24"/>
          <w:szCs w:val="24"/>
        </w:rPr>
        <w:t xml:space="preserve"> (25/126) versus 14.5% </w:t>
      </w:r>
      <w:r w:rsidR="00741E73" w:rsidRPr="006A7000">
        <w:rPr>
          <w:sz w:val="24"/>
          <w:szCs w:val="24"/>
        </w:rPr>
        <w:t xml:space="preserve">resection only </w:t>
      </w:r>
      <w:r w:rsidR="001B24EF" w:rsidRPr="006A7000">
        <w:rPr>
          <w:sz w:val="24"/>
          <w:szCs w:val="24"/>
        </w:rPr>
        <w:t>(18/124), p=0.26</w:t>
      </w:r>
      <w:r w:rsidR="00102E93" w:rsidRPr="006A7000">
        <w:rPr>
          <w:sz w:val="24"/>
          <w:szCs w:val="24"/>
        </w:rPr>
        <w:t>.</w:t>
      </w:r>
      <w:r w:rsidR="002D6626" w:rsidRPr="006A7000">
        <w:rPr>
          <w:sz w:val="24"/>
          <w:szCs w:val="24"/>
        </w:rPr>
        <w:t xml:space="preserve"> </w:t>
      </w:r>
      <w:r w:rsidR="0047215B" w:rsidRPr="006A7000">
        <w:rPr>
          <w:sz w:val="24"/>
          <w:szCs w:val="24"/>
        </w:rPr>
        <w:t>N</w:t>
      </w:r>
      <w:r w:rsidR="00EC4EB3" w:rsidRPr="006A7000">
        <w:rPr>
          <w:sz w:val="24"/>
          <w:szCs w:val="24"/>
        </w:rPr>
        <w:t xml:space="preserve">eck </w:t>
      </w:r>
      <w:r w:rsidR="00E96F80" w:rsidRPr="006A7000">
        <w:rPr>
          <w:sz w:val="24"/>
          <w:szCs w:val="24"/>
        </w:rPr>
        <w:t xml:space="preserve">sensory and motor </w:t>
      </w:r>
      <w:r w:rsidR="00EC4EB3" w:rsidRPr="006A7000">
        <w:rPr>
          <w:sz w:val="24"/>
          <w:szCs w:val="24"/>
        </w:rPr>
        <w:t>n</w:t>
      </w:r>
      <w:r w:rsidR="002D6626" w:rsidRPr="006A7000">
        <w:rPr>
          <w:sz w:val="24"/>
          <w:szCs w:val="24"/>
        </w:rPr>
        <w:t xml:space="preserve">erve </w:t>
      </w:r>
      <w:r w:rsidR="00130105" w:rsidRPr="006A7000">
        <w:rPr>
          <w:sz w:val="24"/>
          <w:szCs w:val="24"/>
        </w:rPr>
        <w:t>abnormalities,</w:t>
      </w:r>
      <w:r w:rsidR="007B0F21" w:rsidRPr="006A7000">
        <w:rPr>
          <w:sz w:val="24"/>
          <w:szCs w:val="24"/>
        </w:rPr>
        <w:t xml:space="preserve"> </w:t>
      </w:r>
      <w:r w:rsidR="002D6626" w:rsidRPr="006A7000">
        <w:rPr>
          <w:sz w:val="24"/>
          <w:szCs w:val="24"/>
        </w:rPr>
        <w:t>and problems with swallowing</w:t>
      </w:r>
      <w:r w:rsidR="00A163E5" w:rsidRPr="006A7000">
        <w:rPr>
          <w:sz w:val="24"/>
          <w:szCs w:val="24"/>
        </w:rPr>
        <w:t xml:space="preserve"> were more common with END</w:t>
      </w:r>
      <w:r w:rsidR="00EC4EB3" w:rsidRPr="006A7000">
        <w:rPr>
          <w:sz w:val="24"/>
          <w:szCs w:val="24"/>
        </w:rPr>
        <w:t>.</w:t>
      </w:r>
      <w:r w:rsidR="007B0F21" w:rsidRPr="006A7000">
        <w:rPr>
          <w:sz w:val="24"/>
          <w:szCs w:val="24"/>
        </w:rPr>
        <w:t xml:space="preserve"> </w:t>
      </w:r>
      <w:r w:rsidR="001F21B2" w:rsidRPr="006A7000">
        <w:rPr>
          <w:sz w:val="24"/>
          <w:szCs w:val="24"/>
        </w:rPr>
        <w:t>Among patients with T1 tumours</w:t>
      </w:r>
      <w:r w:rsidR="00FB22B3" w:rsidRPr="006A7000">
        <w:rPr>
          <w:sz w:val="24"/>
          <w:szCs w:val="24"/>
        </w:rPr>
        <w:t xml:space="preserve"> (</w:t>
      </w:r>
      <w:r w:rsidR="00865AB4" w:rsidRPr="006A7000">
        <w:rPr>
          <w:sz w:val="24"/>
          <w:szCs w:val="24"/>
        </w:rPr>
        <w:t xml:space="preserve">Supplementary Table </w:t>
      </w:r>
      <w:r w:rsidR="00842827" w:rsidRPr="006A7000">
        <w:rPr>
          <w:sz w:val="24"/>
          <w:szCs w:val="24"/>
        </w:rPr>
        <w:t>5</w:t>
      </w:r>
      <w:r w:rsidR="00FB22B3" w:rsidRPr="006A7000">
        <w:rPr>
          <w:sz w:val="24"/>
          <w:szCs w:val="24"/>
        </w:rPr>
        <w:t>)</w:t>
      </w:r>
      <w:r w:rsidR="001F21B2" w:rsidRPr="006A7000">
        <w:rPr>
          <w:sz w:val="24"/>
          <w:szCs w:val="24"/>
        </w:rPr>
        <w:t>, t</w:t>
      </w:r>
      <w:r w:rsidR="00DB34A5" w:rsidRPr="006A7000">
        <w:rPr>
          <w:sz w:val="24"/>
          <w:szCs w:val="24"/>
        </w:rPr>
        <w:t xml:space="preserve">he percentage </w:t>
      </w:r>
      <w:r w:rsidR="00086C48" w:rsidRPr="006A7000">
        <w:rPr>
          <w:sz w:val="24"/>
          <w:szCs w:val="24"/>
        </w:rPr>
        <w:t>with</w:t>
      </w:r>
      <w:r w:rsidR="00DB34A5" w:rsidRPr="006A7000">
        <w:rPr>
          <w:sz w:val="24"/>
          <w:szCs w:val="24"/>
        </w:rPr>
        <w:t xml:space="preserve"> any grade of event was 77.2% (61/79) END versus 62.5% (50/80) </w:t>
      </w:r>
      <w:r w:rsidR="00741E73" w:rsidRPr="006A7000">
        <w:rPr>
          <w:sz w:val="24"/>
          <w:szCs w:val="24"/>
        </w:rPr>
        <w:t>resection only</w:t>
      </w:r>
      <w:r w:rsidR="00DB34A5" w:rsidRPr="006A7000">
        <w:rPr>
          <w:sz w:val="24"/>
          <w:szCs w:val="24"/>
        </w:rPr>
        <w:t xml:space="preserve">, p=0.04; </w:t>
      </w:r>
      <w:r w:rsidR="00086C48" w:rsidRPr="006A7000">
        <w:rPr>
          <w:sz w:val="24"/>
          <w:szCs w:val="24"/>
        </w:rPr>
        <w:t>and</w:t>
      </w:r>
      <w:r w:rsidR="00DB34A5" w:rsidRPr="006A7000">
        <w:rPr>
          <w:sz w:val="24"/>
          <w:szCs w:val="24"/>
        </w:rPr>
        <w:t xml:space="preserve"> corresponding values 17.7% (14/79) versus 12.5% (10/80), p=0.36</w:t>
      </w:r>
      <w:r w:rsidR="006977A4" w:rsidRPr="006A7000">
        <w:rPr>
          <w:sz w:val="24"/>
          <w:szCs w:val="24"/>
        </w:rPr>
        <w:t>, for grade 3-4 events</w:t>
      </w:r>
      <w:r w:rsidR="003679D2" w:rsidRPr="006A7000">
        <w:rPr>
          <w:sz w:val="24"/>
          <w:szCs w:val="24"/>
        </w:rPr>
        <w:t>,</w:t>
      </w:r>
      <w:r w:rsidR="001F21B2" w:rsidRPr="006A7000">
        <w:rPr>
          <w:sz w:val="24"/>
          <w:szCs w:val="24"/>
        </w:rPr>
        <w:t xml:space="preserve"> similar </w:t>
      </w:r>
      <w:r w:rsidR="00EB5CA5" w:rsidRPr="006A7000">
        <w:rPr>
          <w:sz w:val="24"/>
          <w:szCs w:val="24"/>
        </w:rPr>
        <w:t>for</w:t>
      </w:r>
      <w:r w:rsidR="001F21B2" w:rsidRPr="006A7000">
        <w:rPr>
          <w:sz w:val="24"/>
          <w:szCs w:val="24"/>
        </w:rPr>
        <w:t xml:space="preserve"> all patients</w:t>
      </w:r>
      <w:r w:rsidR="00DB34A5" w:rsidRPr="006A7000">
        <w:rPr>
          <w:sz w:val="24"/>
          <w:szCs w:val="24"/>
        </w:rPr>
        <w:t>.</w:t>
      </w:r>
    </w:p>
    <w:p w14:paraId="51FBE659" w14:textId="77777777" w:rsidR="0046219F" w:rsidRPr="006A7000" w:rsidRDefault="0046219F" w:rsidP="00B95772">
      <w:pPr>
        <w:spacing w:line="480" w:lineRule="auto"/>
        <w:rPr>
          <w:i/>
          <w:sz w:val="24"/>
          <w:szCs w:val="24"/>
        </w:rPr>
      </w:pPr>
    </w:p>
    <w:p w14:paraId="47C0C0CB" w14:textId="77777777" w:rsidR="00723B18" w:rsidRPr="006A7000" w:rsidRDefault="00723B18" w:rsidP="00B95772">
      <w:pPr>
        <w:spacing w:line="480" w:lineRule="auto"/>
        <w:rPr>
          <w:i/>
          <w:sz w:val="24"/>
          <w:szCs w:val="24"/>
        </w:rPr>
      </w:pPr>
      <w:r w:rsidRPr="006A7000">
        <w:rPr>
          <w:i/>
          <w:sz w:val="24"/>
          <w:szCs w:val="24"/>
        </w:rPr>
        <w:t>Further interventions</w:t>
      </w:r>
    </w:p>
    <w:p w14:paraId="7A9E67AB" w14:textId="544C7CF4" w:rsidR="003402DF" w:rsidRPr="006A7000" w:rsidRDefault="003402DF" w:rsidP="00B95772">
      <w:pPr>
        <w:spacing w:line="480" w:lineRule="auto"/>
        <w:rPr>
          <w:sz w:val="24"/>
          <w:szCs w:val="24"/>
        </w:rPr>
      </w:pPr>
      <w:r w:rsidRPr="006A7000">
        <w:rPr>
          <w:sz w:val="24"/>
          <w:szCs w:val="24"/>
        </w:rPr>
        <w:t>Supplementary Table 6 shows additional surgery and use of chemotherapy/radiotherapy</w:t>
      </w:r>
      <w:r w:rsidR="00640438" w:rsidRPr="006A7000">
        <w:rPr>
          <w:sz w:val="24"/>
          <w:szCs w:val="24"/>
        </w:rPr>
        <w:t>, including when they were given following disease recurrence (salvage)</w:t>
      </w:r>
      <w:r w:rsidRPr="006A7000">
        <w:rPr>
          <w:sz w:val="24"/>
          <w:szCs w:val="24"/>
        </w:rPr>
        <w:t>. Among the 29 patients who had an END in which N1/N2 disease was found</w:t>
      </w:r>
      <w:r w:rsidR="00640438" w:rsidRPr="006A7000">
        <w:rPr>
          <w:sz w:val="24"/>
          <w:szCs w:val="24"/>
        </w:rPr>
        <w:t xml:space="preserve"> (Table 1)</w:t>
      </w:r>
      <w:r w:rsidRPr="006A7000">
        <w:rPr>
          <w:sz w:val="24"/>
          <w:szCs w:val="24"/>
        </w:rPr>
        <w:t>, 13 were known to have received adjuvant radiotherapy or platinum chemo-radiotherapy. Further neck dissections during follow-up were known to have been performed in 12.7% (16/126) patients who initially had an END, compared to 19.4% (24/124) who initially had resection only (p=0.15).  As anticipated (see Introduction), nearly twice as many patients who had resection only had chemo-radiotherapy after a recurrence: 19.4% (24/124) vs. 10.3% (13/126) using END, p=0.04.</w:t>
      </w:r>
    </w:p>
    <w:p w14:paraId="4B04D398" w14:textId="77777777" w:rsidR="00424624" w:rsidRPr="006A7000" w:rsidRDefault="00424624" w:rsidP="00B95772">
      <w:pPr>
        <w:spacing w:line="480" w:lineRule="auto"/>
        <w:rPr>
          <w:i/>
          <w:sz w:val="24"/>
          <w:szCs w:val="24"/>
        </w:rPr>
      </w:pPr>
    </w:p>
    <w:p w14:paraId="78DB9FF2" w14:textId="426B91D5" w:rsidR="002F69B3" w:rsidRPr="006A7000" w:rsidRDefault="0047215B" w:rsidP="00B95772">
      <w:pPr>
        <w:spacing w:line="480" w:lineRule="auto"/>
        <w:rPr>
          <w:i/>
          <w:sz w:val="24"/>
          <w:szCs w:val="24"/>
        </w:rPr>
      </w:pPr>
      <w:r w:rsidRPr="006A7000">
        <w:rPr>
          <w:i/>
          <w:sz w:val="24"/>
          <w:szCs w:val="24"/>
        </w:rPr>
        <w:t>O</w:t>
      </w:r>
      <w:r w:rsidR="00B9723A" w:rsidRPr="006A7000">
        <w:rPr>
          <w:i/>
          <w:sz w:val="24"/>
          <w:szCs w:val="24"/>
        </w:rPr>
        <w:t>utcomes</w:t>
      </w:r>
      <w:r w:rsidR="00541B3C" w:rsidRPr="006A7000">
        <w:rPr>
          <w:i/>
          <w:sz w:val="24"/>
          <w:szCs w:val="24"/>
        </w:rPr>
        <w:t xml:space="preserve"> in the </w:t>
      </w:r>
      <w:r w:rsidR="004A68A6" w:rsidRPr="006A7000">
        <w:rPr>
          <w:i/>
          <w:sz w:val="24"/>
          <w:szCs w:val="24"/>
        </w:rPr>
        <w:t xml:space="preserve">observational </w:t>
      </w:r>
      <w:r w:rsidR="00541B3C" w:rsidRPr="006A7000">
        <w:rPr>
          <w:i/>
          <w:sz w:val="24"/>
          <w:szCs w:val="24"/>
        </w:rPr>
        <w:t>c</w:t>
      </w:r>
      <w:r w:rsidR="002F69B3" w:rsidRPr="006A7000">
        <w:rPr>
          <w:i/>
          <w:sz w:val="24"/>
          <w:szCs w:val="24"/>
        </w:rPr>
        <w:t xml:space="preserve">ohort </w:t>
      </w:r>
    </w:p>
    <w:p w14:paraId="0E6E3BAA" w14:textId="1561BEA2" w:rsidR="00A07872" w:rsidRPr="006A7000" w:rsidRDefault="00A07872" w:rsidP="00B95772">
      <w:pPr>
        <w:spacing w:line="480" w:lineRule="auto"/>
        <w:rPr>
          <w:sz w:val="24"/>
          <w:szCs w:val="24"/>
        </w:rPr>
      </w:pPr>
      <w:r w:rsidRPr="006A7000">
        <w:rPr>
          <w:sz w:val="24"/>
          <w:szCs w:val="24"/>
        </w:rPr>
        <w:t xml:space="preserve">Many characteristics were similar between the </w:t>
      </w:r>
      <w:r w:rsidR="00226DAF" w:rsidRPr="006A7000">
        <w:rPr>
          <w:sz w:val="24"/>
          <w:szCs w:val="24"/>
        </w:rPr>
        <w:t>randomis</w:t>
      </w:r>
      <w:r w:rsidRPr="006A7000">
        <w:rPr>
          <w:sz w:val="24"/>
          <w:szCs w:val="24"/>
        </w:rPr>
        <w:t>ed and observational cohorts; Table 1 and Supplementary Table 1. The differen</w:t>
      </w:r>
      <w:r w:rsidR="00C31005" w:rsidRPr="006A7000">
        <w:rPr>
          <w:sz w:val="24"/>
          <w:szCs w:val="24"/>
        </w:rPr>
        <w:t>t proportions</w:t>
      </w:r>
      <w:r w:rsidRPr="006A7000">
        <w:rPr>
          <w:sz w:val="24"/>
          <w:szCs w:val="24"/>
        </w:rPr>
        <w:t xml:space="preserve"> for T-stage and tumo</w:t>
      </w:r>
      <w:r w:rsidR="00226DAF" w:rsidRPr="006A7000">
        <w:rPr>
          <w:sz w:val="24"/>
          <w:szCs w:val="24"/>
        </w:rPr>
        <w:t>u</w:t>
      </w:r>
      <w:r w:rsidRPr="006A7000">
        <w:rPr>
          <w:sz w:val="24"/>
          <w:szCs w:val="24"/>
        </w:rPr>
        <w:t xml:space="preserve">r diameter were expected </w:t>
      </w:r>
      <w:r w:rsidRPr="006A7000">
        <w:rPr>
          <w:sz w:val="24"/>
          <w:szCs w:val="24"/>
        </w:rPr>
        <w:lastRenderedPageBreak/>
        <w:t>because surgeons are more likely to recommend an END for large tumo</w:t>
      </w:r>
      <w:r w:rsidR="00226DAF" w:rsidRPr="006A7000">
        <w:rPr>
          <w:sz w:val="24"/>
          <w:szCs w:val="24"/>
        </w:rPr>
        <w:t>u</w:t>
      </w:r>
      <w:r w:rsidRPr="006A7000">
        <w:rPr>
          <w:sz w:val="24"/>
          <w:szCs w:val="24"/>
        </w:rPr>
        <w:t>rs, and resection only for smaller tumo</w:t>
      </w:r>
      <w:r w:rsidR="00226DAF" w:rsidRPr="006A7000">
        <w:rPr>
          <w:sz w:val="24"/>
          <w:szCs w:val="24"/>
        </w:rPr>
        <w:t>u</w:t>
      </w:r>
      <w:r w:rsidRPr="006A7000">
        <w:rPr>
          <w:sz w:val="24"/>
          <w:szCs w:val="24"/>
        </w:rPr>
        <w:t xml:space="preserve">rs (outwith a </w:t>
      </w:r>
      <w:r w:rsidR="00226DAF" w:rsidRPr="006A7000">
        <w:rPr>
          <w:sz w:val="24"/>
          <w:szCs w:val="24"/>
        </w:rPr>
        <w:t>randomis</w:t>
      </w:r>
      <w:r w:rsidRPr="006A7000">
        <w:rPr>
          <w:sz w:val="24"/>
          <w:szCs w:val="24"/>
        </w:rPr>
        <w:t>ed trial). Among those who had an END, 33.9% had positive neck nodes (17.2% and 40.8% in clinical stage T1 or T2 patients respectively).</w:t>
      </w:r>
    </w:p>
    <w:p w14:paraId="35F3A0BB" w14:textId="68829495" w:rsidR="00A07872" w:rsidRPr="006A7000" w:rsidRDefault="00A07872" w:rsidP="00B95772">
      <w:pPr>
        <w:spacing w:line="480" w:lineRule="auto"/>
        <w:rPr>
          <w:sz w:val="24"/>
          <w:szCs w:val="24"/>
        </w:rPr>
      </w:pPr>
      <w:r w:rsidRPr="006A7000">
        <w:rPr>
          <w:sz w:val="24"/>
          <w:szCs w:val="24"/>
        </w:rPr>
        <w:t xml:space="preserve">234 patients had resection only and 112 had an END, of which 113 and 41 respectively had a first event (recurrence/died; Supplementary Table 2). Figure </w:t>
      </w:r>
      <w:r w:rsidR="00CB0811" w:rsidRPr="006A7000">
        <w:rPr>
          <w:sz w:val="24"/>
          <w:szCs w:val="24"/>
        </w:rPr>
        <w:t xml:space="preserve">2 </w:t>
      </w:r>
      <w:r w:rsidRPr="006A7000">
        <w:rPr>
          <w:sz w:val="24"/>
          <w:szCs w:val="24"/>
        </w:rPr>
        <w:t>shows that END was associated with better outcomes than resection only, with HRs adjusted for patient characteristics: HR=0.81 (p=0.37), 0.64 (p=0.04) and 0.36 (p=0.002) for OS, DFS and loco-regional recurrence respectively. The</w:t>
      </w:r>
      <w:r w:rsidR="00A97640" w:rsidRPr="006A7000">
        <w:rPr>
          <w:sz w:val="24"/>
          <w:szCs w:val="24"/>
        </w:rPr>
        <w:t>se</w:t>
      </w:r>
      <w:r w:rsidRPr="006A7000">
        <w:rPr>
          <w:sz w:val="24"/>
          <w:szCs w:val="24"/>
        </w:rPr>
        <w:t xml:space="preserve"> effects were larger when pathological features of the mouth tumo</w:t>
      </w:r>
      <w:r w:rsidR="00226DAF" w:rsidRPr="006A7000">
        <w:rPr>
          <w:sz w:val="24"/>
          <w:szCs w:val="24"/>
        </w:rPr>
        <w:t>u</w:t>
      </w:r>
      <w:r w:rsidRPr="006A7000">
        <w:rPr>
          <w:sz w:val="24"/>
          <w:szCs w:val="24"/>
        </w:rPr>
        <w:t>r were also accounted for: HR=0.43 (p=0.003), 0.35 (</w:t>
      </w:r>
      <w:r w:rsidR="00226DAF" w:rsidRPr="006A7000">
        <w:rPr>
          <w:sz w:val="24"/>
          <w:szCs w:val="24"/>
        </w:rPr>
        <w:t>p&lt;0.001) and 0.19 (p&lt;0.001), and t</w:t>
      </w:r>
      <w:r w:rsidRPr="006A7000">
        <w:rPr>
          <w:sz w:val="24"/>
          <w:szCs w:val="24"/>
        </w:rPr>
        <w:t xml:space="preserve">he adjusted Kaplan-Meier curves for </w:t>
      </w:r>
      <w:r w:rsidR="0044304A" w:rsidRPr="006A7000">
        <w:rPr>
          <w:sz w:val="24"/>
          <w:szCs w:val="24"/>
        </w:rPr>
        <w:t xml:space="preserve">this </w:t>
      </w:r>
      <w:r w:rsidRPr="006A7000">
        <w:rPr>
          <w:sz w:val="24"/>
          <w:szCs w:val="24"/>
        </w:rPr>
        <w:t xml:space="preserve">are shown in Supplementary Figure </w:t>
      </w:r>
      <w:r w:rsidR="00646848" w:rsidRPr="006A7000">
        <w:rPr>
          <w:sz w:val="24"/>
          <w:szCs w:val="24"/>
        </w:rPr>
        <w:t>4</w:t>
      </w:r>
      <w:r w:rsidRPr="006A7000">
        <w:rPr>
          <w:sz w:val="24"/>
          <w:szCs w:val="24"/>
        </w:rPr>
        <w:t xml:space="preserve">. </w:t>
      </w:r>
    </w:p>
    <w:p w14:paraId="5E69F3B5" w14:textId="21D1AE5D" w:rsidR="00A07872" w:rsidRPr="006A7000" w:rsidRDefault="00A07872" w:rsidP="00B95772">
      <w:pPr>
        <w:spacing w:line="480" w:lineRule="auto"/>
        <w:rPr>
          <w:sz w:val="24"/>
          <w:szCs w:val="24"/>
        </w:rPr>
      </w:pPr>
      <w:r w:rsidRPr="006A7000">
        <w:rPr>
          <w:sz w:val="24"/>
          <w:szCs w:val="24"/>
        </w:rPr>
        <w:t>The benefits for END were also seen among patients with small tumo</w:t>
      </w:r>
      <w:r w:rsidR="00226DAF" w:rsidRPr="006A7000">
        <w:rPr>
          <w:sz w:val="24"/>
          <w:szCs w:val="24"/>
        </w:rPr>
        <w:t>u</w:t>
      </w:r>
      <w:r w:rsidRPr="006A7000">
        <w:rPr>
          <w:sz w:val="24"/>
          <w:szCs w:val="24"/>
        </w:rPr>
        <w:t>rs. Adjusted HRs for pT1-stage tumo</w:t>
      </w:r>
      <w:r w:rsidR="00226DAF" w:rsidRPr="006A7000">
        <w:rPr>
          <w:sz w:val="24"/>
          <w:szCs w:val="24"/>
        </w:rPr>
        <w:t>u</w:t>
      </w:r>
      <w:r w:rsidRPr="006A7000">
        <w:rPr>
          <w:sz w:val="24"/>
          <w:szCs w:val="24"/>
        </w:rPr>
        <w:t xml:space="preserve">rs were 0.58 (p=0.17) for OS, HR=0.48 (p=0.03) for DFS, and HR=0.33 (p=0.02) for loco-regional recurrence. </w:t>
      </w:r>
    </w:p>
    <w:p w14:paraId="21B7556D" w14:textId="15E99AFE" w:rsidR="00A07872" w:rsidRPr="006A7000" w:rsidRDefault="00A07872" w:rsidP="00B95772">
      <w:pPr>
        <w:spacing w:line="480" w:lineRule="auto"/>
        <w:rPr>
          <w:sz w:val="24"/>
          <w:szCs w:val="24"/>
        </w:rPr>
      </w:pPr>
      <w:r w:rsidRPr="006A7000">
        <w:rPr>
          <w:sz w:val="24"/>
          <w:szCs w:val="24"/>
        </w:rPr>
        <w:t xml:space="preserve">Although this patient cohort cannot be used on its own to reliably estimate the magnitude of the benefit for END, it supports the </w:t>
      </w:r>
      <w:r w:rsidR="00226DAF" w:rsidRPr="006A7000">
        <w:rPr>
          <w:sz w:val="24"/>
          <w:szCs w:val="24"/>
        </w:rPr>
        <w:t>randomis</w:t>
      </w:r>
      <w:r w:rsidRPr="006A7000">
        <w:rPr>
          <w:sz w:val="24"/>
          <w:szCs w:val="24"/>
        </w:rPr>
        <w:t xml:space="preserve">ed trial findings. Figure </w:t>
      </w:r>
      <w:r w:rsidR="00CB0811" w:rsidRPr="006A7000">
        <w:rPr>
          <w:sz w:val="24"/>
          <w:szCs w:val="24"/>
        </w:rPr>
        <w:t xml:space="preserve">2 </w:t>
      </w:r>
      <w:r w:rsidRPr="006A7000">
        <w:rPr>
          <w:sz w:val="24"/>
          <w:szCs w:val="24"/>
        </w:rPr>
        <w:t xml:space="preserve">(like Figure </w:t>
      </w:r>
      <w:r w:rsidR="00CB0811" w:rsidRPr="006A7000">
        <w:rPr>
          <w:sz w:val="24"/>
          <w:szCs w:val="24"/>
        </w:rPr>
        <w:t>1</w:t>
      </w:r>
      <w:r w:rsidRPr="006A7000">
        <w:rPr>
          <w:sz w:val="24"/>
          <w:szCs w:val="24"/>
        </w:rPr>
        <w:t>) shows that loco-regional recurrences are uncommon after 2 years post-surgery.</w:t>
      </w:r>
    </w:p>
    <w:p w14:paraId="0CBA6845" w14:textId="1D451D0F" w:rsidR="00F67EF3" w:rsidRPr="006A7000" w:rsidRDefault="00A91666" w:rsidP="00B95772">
      <w:pPr>
        <w:spacing w:line="480" w:lineRule="auto"/>
        <w:rPr>
          <w:sz w:val="24"/>
          <w:szCs w:val="24"/>
        </w:rPr>
      </w:pPr>
      <w:r w:rsidRPr="006A7000">
        <w:rPr>
          <w:sz w:val="24"/>
          <w:szCs w:val="24"/>
        </w:rPr>
        <w:t xml:space="preserve">Among the 38 patients who had an END in which N1/N2 disease was found (Table 1), 20 were known to have received adjuvant radiotherapy or platinum chemo-radiotherapy. Details of further treatments given are shown in Supplementary Table 6, including salvage therapies following recurrence. </w:t>
      </w:r>
      <w:r w:rsidR="00F67EF3" w:rsidRPr="006A7000">
        <w:rPr>
          <w:sz w:val="24"/>
          <w:szCs w:val="24"/>
        </w:rPr>
        <w:t xml:space="preserve">Further neck dissections, with or without a mouth tumour resection, were seen in 8.0% (9/112) patients who initially had an END, but 25.6% (60/234) who initially had resection only (p&lt;0.001). A further mouth tumour resection (no neck dissection at all) was seen in 3.6% (4/112) and 14.1% (33/234) among patients who initially had END or resection only respectively. More patients </w:t>
      </w:r>
      <w:r w:rsidR="00F67EF3" w:rsidRPr="006A7000">
        <w:rPr>
          <w:sz w:val="24"/>
          <w:szCs w:val="24"/>
        </w:rPr>
        <w:lastRenderedPageBreak/>
        <w:t xml:space="preserve">had surgery for complications </w:t>
      </w:r>
      <w:r w:rsidR="0047215B" w:rsidRPr="006A7000">
        <w:rPr>
          <w:sz w:val="24"/>
          <w:szCs w:val="24"/>
        </w:rPr>
        <w:t>among</w:t>
      </w:r>
      <w:r w:rsidR="00F67EF3" w:rsidRPr="006A7000">
        <w:rPr>
          <w:sz w:val="24"/>
          <w:szCs w:val="24"/>
        </w:rPr>
        <w:t xml:space="preserve"> those who received END 12.5% (14/112), compared to resection only 3.0% (7/234). </w:t>
      </w:r>
    </w:p>
    <w:p w14:paraId="6FF31244" w14:textId="3E1218B1" w:rsidR="0047215B" w:rsidRPr="006A7000" w:rsidRDefault="00A07872" w:rsidP="00B95772">
      <w:pPr>
        <w:spacing w:line="480" w:lineRule="auto"/>
        <w:rPr>
          <w:sz w:val="24"/>
          <w:szCs w:val="24"/>
        </w:rPr>
      </w:pPr>
      <w:r w:rsidRPr="006A7000">
        <w:rPr>
          <w:sz w:val="24"/>
          <w:szCs w:val="24"/>
        </w:rPr>
        <w:t xml:space="preserve">Supplementary Table 7 </w:t>
      </w:r>
      <w:r w:rsidR="00F67EF3" w:rsidRPr="006A7000">
        <w:rPr>
          <w:sz w:val="24"/>
          <w:szCs w:val="24"/>
        </w:rPr>
        <w:t>summarises the</w:t>
      </w:r>
      <w:r w:rsidRPr="006A7000">
        <w:rPr>
          <w:sz w:val="24"/>
          <w:szCs w:val="24"/>
        </w:rPr>
        <w:t xml:space="preserve"> adverse events, </w:t>
      </w:r>
      <w:r w:rsidR="00F67EF3" w:rsidRPr="006A7000">
        <w:rPr>
          <w:sz w:val="24"/>
          <w:szCs w:val="24"/>
        </w:rPr>
        <w:t xml:space="preserve">which were </w:t>
      </w:r>
      <w:r w:rsidRPr="006A7000">
        <w:rPr>
          <w:sz w:val="24"/>
          <w:szCs w:val="24"/>
        </w:rPr>
        <w:t xml:space="preserve">similar to the </w:t>
      </w:r>
      <w:r w:rsidR="00226DAF" w:rsidRPr="006A7000">
        <w:rPr>
          <w:sz w:val="24"/>
          <w:szCs w:val="24"/>
        </w:rPr>
        <w:t>randomis</w:t>
      </w:r>
      <w:r w:rsidRPr="006A7000">
        <w:rPr>
          <w:sz w:val="24"/>
          <w:szCs w:val="24"/>
        </w:rPr>
        <w:t>ed trial (Table 3).</w:t>
      </w:r>
      <w:r w:rsidR="0047215B" w:rsidRPr="006A7000">
        <w:rPr>
          <w:sz w:val="24"/>
          <w:szCs w:val="24"/>
        </w:rPr>
        <w:t xml:space="preserve"> The proportion with grade 3 events following an END was low (12.5% patients).</w:t>
      </w:r>
    </w:p>
    <w:p w14:paraId="281924AC" w14:textId="77777777" w:rsidR="0072739B" w:rsidRPr="006A7000" w:rsidRDefault="0072739B" w:rsidP="00B95772">
      <w:pPr>
        <w:spacing w:line="480" w:lineRule="auto"/>
        <w:rPr>
          <w:sz w:val="24"/>
          <w:szCs w:val="24"/>
        </w:rPr>
      </w:pPr>
    </w:p>
    <w:p w14:paraId="67A0A423" w14:textId="77777777" w:rsidR="0072739B" w:rsidRPr="006A7000" w:rsidRDefault="0072739B" w:rsidP="00B95772">
      <w:pPr>
        <w:spacing w:line="480" w:lineRule="auto"/>
        <w:rPr>
          <w:i/>
          <w:sz w:val="24"/>
          <w:szCs w:val="24"/>
        </w:rPr>
      </w:pPr>
      <w:r w:rsidRPr="006A7000">
        <w:rPr>
          <w:i/>
          <w:sz w:val="24"/>
          <w:szCs w:val="24"/>
        </w:rPr>
        <w:t>Meta-analysis of all randomised trials</w:t>
      </w:r>
    </w:p>
    <w:p w14:paraId="3189964E" w14:textId="4565AED9" w:rsidR="00A07872" w:rsidRPr="006A7000" w:rsidRDefault="00A07872" w:rsidP="00B95772">
      <w:pPr>
        <w:spacing w:line="480" w:lineRule="auto"/>
        <w:rPr>
          <w:rFonts w:cs="Arial"/>
          <w:sz w:val="24"/>
          <w:szCs w:val="24"/>
        </w:rPr>
      </w:pPr>
      <w:r w:rsidRPr="006A7000">
        <w:rPr>
          <w:rFonts w:cs="Arial"/>
          <w:sz w:val="24"/>
          <w:szCs w:val="24"/>
        </w:rPr>
        <w:t xml:space="preserve">There are now 6 </w:t>
      </w:r>
      <w:r w:rsidR="00226DAF" w:rsidRPr="006A7000">
        <w:rPr>
          <w:rFonts w:cs="Arial"/>
          <w:sz w:val="24"/>
          <w:szCs w:val="24"/>
        </w:rPr>
        <w:t>randomis</w:t>
      </w:r>
      <w:r w:rsidRPr="006A7000">
        <w:rPr>
          <w:rFonts w:cs="Arial"/>
          <w:sz w:val="24"/>
          <w:szCs w:val="24"/>
        </w:rPr>
        <w:t xml:space="preserve">ed studies of END in early stage cancer that have ever been conducted. All trials except one compared END with resection only, whilst in </w:t>
      </w:r>
      <w:r w:rsidR="008B6C40" w:rsidRPr="006A7000">
        <w:rPr>
          <w:rFonts w:cs="Arial"/>
          <w:sz w:val="24"/>
          <w:szCs w:val="24"/>
        </w:rPr>
        <w:t xml:space="preserve">this </w:t>
      </w:r>
      <w:r w:rsidRPr="006A7000">
        <w:rPr>
          <w:rFonts w:cs="Arial"/>
          <w:sz w:val="24"/>
          <w:szCs w:val="24"/>
        </w:rPr>
        <w:t>one trial</w:t>
      </w:r>
      <w:r w:rsidR="00E56F1A" w:rsidRPr="006A7000">
        <w:rPr>
          <w:rFonts w:cs="Arial"/>
          <w:sz w:val="24"/>
          <w:szCs w:val="24"/>
        </w:rPr>
        <w:t xml:space="preserve"> </w:t>
      </w:r>
      <w:r w:rsidR="00517E4F" w:rsidRPr="006A7000">
        <w:rPr>
          <w:rFonts w:cs="Arial"/>
          <w:sz w:val="24"/>
          <w:szCs w:val="24"/>
          <w:vertAlign w:val="superscript"/>
        </w:rPr>
        <w:t>9</w:t>
      </w:r>
      <w:r w:rsidRPr="006A7000">
        <w:rPr>
          <w:rFonts w:cs="Arial"/>
          <w:sz w:val="24"/>
          <w:szCs w:val="24"/>
        </w:rPr>
        <w:t xml:space="preserve"> all patients had radiotherapy for the primary mouth tumo</w:t>
      </w:r>
      <w:r w:rsidR="00226DAF" w:rsidRPr="006A7000">
        <w:rPr>
          <w:rFonts w:cs="Arial"/>
          <w:sz w:val="24"/>
          <w:szCs w:val="24"/>
        </w:rPr>
        <w:t>u</w:t>
      </w:r>
      <w:r w:rsidRPr="006A7000">
        <w:rPr>
          <w:rFonts w:cs="Arial"/>
          <w:sz w:val="24"/>
          <w:szCs w:val="24"/>
        </w:rPr>
        <w:t>r instead of surgery (</w:t>
      </w:r>
      <w:r w:rsidRPr="006A7000">
        <w:rPr>
          <w:sz w:val="24"/>
          <w:szCs w:val="24"/>
        </w:rPr>
        <w:t xml:space="preserve">Supplementary </w:t>
      </w:r>
      <w:r w:rsidRPr="006A7000">
        <w:rPr>
          <w:rFonts w:cs="Arial"/>
          <w:sz w:val="24"/>
          <w:szCs w:val="24"/>
        </w:rPr>
        <w:t xml:space="preserve">Table 8). Figure </w:t>
      </w:r>
      <w:r w:rsidR="00CB0811" w:rsidRPr="006A7000">
        <w:rPr>
          <w:rFonts w:cs="Arial"/>
          <w:sz w:val="24"/>
          <w:szCs w:val="24"/>
        </w:rPr>
        <w:t xml:space="preserve">3 </w:t>
      </w:r>
      <w:r w:rsidRPr="006A7000">
        <w:rPr>
          <w:rFonts w:cs="Arial"/>
          <w:sz w:val="24"/>
          <w:szCs w:val="24"/>
        </w:rPr>
        <w:t>shows forest plots for OS and DFS. The pooled HR for OS indicates a 31% reduction in the risk of death with END (HR=0.69, p=0.002) and 33% reduction in the risk of recurrence/death (DFS HR=0.67, p=0.04).</w:t>
      </w:r>
    </w:p>
    <w:p w14:paraId="0657EDE1" w14:textId="68F1865C" w:rsidR="00A07872" w:rsidRPr="006A7000" w:rsidRDefault="00A07872" w:rsidP="00B95772">
      <w:pPr>
        <w:pStyle w:val="MediumGrid2-Accent11"/>
        <w:spacing w:line="480" w:lineRule="auto"/>
        <w:rPr>
          <w:sz w:val="24"/>
          <w:szCs w:val="24"/>
          <w:shd w:val="clear" w:color="auto" w:fill="FFFFFF"/>
        </w:rPr>
      </w:pPr>
      <w:r w:rsidRPr="006A7000">
        <w:rPr>
          <w:sz w:val="24"/>
          <w:szCs w:val="24"/>
          <w:shd w:val="clear" w:color="auto" w:fill="FFFFFF"/>
        </w:rPr>
        <w:t xml:space="preserve">The apparent heterogeneity for disease-free survival was due to </w:t>
      </w:r>
      <w:r w:rsidR="007B2294" w:rsidRPr="006A7000">
        <w:rPr>
          <w:sz w:val="24"/>
          <w:szCs w:val="24"/>
          <w:shd w:val="clear" w:color="auto" w:fill="FFFFFF"/>
        </w:rPr>
        <w:t xml:space="preserve">the </w:t>
      </w:r>
      <w:r w:rsidRPr="006A7000">
        <w:rPr>
          <w:sz w:val="24"/>
          <w:szCs w:val="24"/>
          <w:shd w:val="clear" w:color="auto" w:fill="FFFFFF"/>
        </w:rPr>
        <w:t>trial</w:t>
      </w:r>
      <w:r w:rsidR="007B2294" w:rsidRPr="006A7000">
        <w:rPr>
          <w:sz w:val="24"/>
          <w:szCs w:val="24"/>
          <w:shd w:val="clear" w:color="auto" w:fill="FFFFFF"/>
        </w:rPr>
        <w:t xml:space="preserve"> using radiotherapy to treat the primary </w:t>
      </w:r>
      <w:r w:rsidR="00517E4F" w:rsidRPr="006A7000">
        <w:rPr>
          <w:sz w:val="24"/>
          <w:szCs w:val="24"/>
          <w:shd w:val="clear" w:color="auto" w:fill="FFFFFF"/>
          <w:vertAlign w:val="superscript"/>
        </w:rPr>
        <w:t>9</w:t>
      </w:r>
      <w:r w:rsidRPr="006A7000">
        <w:rPr>
          <w:sz w:val="24"/>
          <w:szCs w:val="24"/>
          <w:shd w:val="clear" w:color="auto" w:fill="FFFFFF"/>
        </w:rPr>
        <w:t xml:space="preserve"> which if excluded produced p=0.35 for the heterogeneity test and I</w:t>
      </w:r>
      <w:r w:rsidRPr="006A7000">
        <w:rPr>
          <w:sz w:val="24"/>
          <w:szCs w:val="24"/>
          <w:shd w:val="clear" w:color="auto" w:fill="FFFFFF"/>
          <w:vertAlign w:val="superscript"/>
        </w:rPr>
        <w:t>2</w:t>
      </w:r>
      <w:r w:rsidRPr="006A7000">
        <w:rPr>
          <w:sz w:val="24"/>
          <w:szCs w:val="24"/>
          <w:shd w:val="clear" w:color="auto" w:fill="FFFFFF"/>
        </w:rPr>
        <w:t>=11%, and pooled HR 0.54 (p&lt;0.001) for DFS, and OS HR 0.64 (p&lt;0.001). These pooled HRs are more appropriate because th</w:t>
      </w:r>
      <w:r w:rsidR="00855B96" w:rsidRPr="006A7000">
        <w:rPr>
          <w:sz w:val="24"/>
          <w:szCs w:val="24"/>
          <w:shd w:val="clear" w:color="auto" w:fill="FFFFFF"/>
        </w:rPr>
        <w:t>is</w:t>
      </w:r>
      <w:r w:rsidRPr="006A7000">
        <w:rPr>
          <w:sz w:val="24"/>
          <w:szCs w:val="24"/>
          <w:shd w:val="clear" w:color="auto" w:fill="FFFFFF"/>
        </w:rPr>
        <w:t xml:space="preserve"> trial</w:t>
      </w:r>
      <w:r w:rsidRPr="006A7000">
        <w:rPr>
          <w:sz w:val="24"/>
          <w:szCs w:val="24"/>
          <w:shd w:val="clear" w:color="auto" w:fill="FFFFFF"/>
          <w:vertAlign w:val="superscript"/>
        </w:rPr>
        <w:t>10</w:t>
      </w:r>
      <w:r w:rsidRPr="006A7000">
        <w:rPr>
          <w:sz w:val="24"/>
          <w:szCs w:val="24"/>
          <w:shd w:val="clear" w:color="auto" w:fill="FFFFFF"/>
        </w:rPr>
        <w:t xml:space="preserve"> had a different background therapy to the others and 13% of patients had T3 tumo</w:t>
      </w:r>
      <w:r w:rsidR="00226DAF" w:rsidRPr="006A7000">
        <w:rPr>
          <w:sz w:val="24"/>
          <w:szCs w:val="24"/>
          <w:shd w:val="clear" w:color="auto" w:fill="FFFFFF"/>
        </w:rPr>
        <w:t>u</w:t>
      </w:r>
      <w:r w:rsidRPr="006A7000">
        <w:rPr>
          <w:sz w:val="24"/>
          <w:szCs w:val="24"/>
          <w:shd w:val="clear" w:color="auto" w:fill="FFFFFF"/>
        </w:rPr>
        <w:t>rs.</w:t>
      </w:r>
    </w:p>
    <w:p w14:paraId="764D8569" w14:textId="77777777" w:rsidR="00A07872" w:rsidRPr="006A7000" w:rsidRDefault="00A07872" w:rsidP="00B95772">
      <w:pPr>
        <w:pStyle w:val="MediumGrid2-Accent11"/>
        <w:spacing w:line="480" w:lineRule="auto"/>
        <w:rPr>
          <w:sz w:val="24"/>
          <w:szCs w:val="24"/>
          <w:shd w:val="clear" w:color="auto" w:fill="FFFFFF"/>
        </w:rPr>
      </w:pPr>
    </w:p>
    <w:p w14:paraId="17040196" w14:textId="14BC54DC" w:rsidR="00A07872" w:rsidRPr="006A7000" w:rsidRDefault="00A07872" w:rsidP="00B95772">
      <w:pPr>
        <w:pStyle w:val="MediumGrid2-Accent11"/>
        <w:spacing w:line="480" w:lineRule="auto"/>
        <w:rPr>
          <w:rFonts w:cs="Courier New"/>
          <w:sz w:val="24"/>
          <w:szCs w:val="24"/>
          <w:shd w:val="clear" w:color="auto" w:fill="FFFFFF"/>
        </w:rPr>
      </w:pPr>
      <w:r w:rsidRPr="006A7000">
        <w:rPr>
          <w:rFonts w:cs="Arial"/>
          <w:sz w:val="24"/>
          <w:szCs w:val="24"/>
        </w:rPr>
        <w:t xml:space="preserve">When combining </w:t>
      </w:r>
      <w:r w:rsidR="0047215B" w:rsidRPr="006A7000">
        <w:rPr>
          <w:rFonts w:cs="Arial"/>
          <w:sz w:val="24"/>
          <w:szCs w:val="24"/>
        </w:rPr>
        <w:t xml:space="preserve">only </w:t>
      </w:r>
      <w:r w:rsidRPr="006A7000">
        <w:rPr>
          <w:rFonts w:cs="Arial"/>
          <w:sz w:val="24"/>
          <w:szCs w:val="24"/>
        </w:rPr>
        <w:t>the two modern high quality trials (SEND and the Mumbai study),</w:t>
      </w:r>
      <w:r w:rsidRPr="006A7000">
        <w:rPr>
          <w:rFonts w:cs="Arial"/>
          <w:sz w:val="24"/>
          <w:szCs w:val="24"/>
          <w:vertAlign w:val="superscript"/>
        </w:rPr>
        <w:t>1</w:t>
      </w:r>
      <w:r w:rsidR="00517E4F" w:rsidRPr="006A7000">
        <w:rPr>
          <w:rFonts w:cs="Arial"/>
          <w:sz w:val="24"/>
          <w:szCs w:val="24"/>
          <w:vertAlign w:val="superscript"/>
        </w:rPr>
        <w:t>3</w:t>
      </w:r>
      <w:r w:rsidRPr="006A7000">
        <w:rPr>
          <w:rFonts w:cs="Arial"/>
          <w:sz w:val="24"/>
          <w:szCs w:val="24"/>
        </w:rPr>
        <w:t xml:space="preserve"> the pooled HR for OS was 0.66 (95%CI 0.49-0.89, p=0.006), and for DFS 0.53 (95%CI 0.37-0.77, p&lt;0.001), both </w:t>
      </w:r>
      <w:r w:rsidR="00444816" w:rsidRPr="006A7000">
        <w:rPr>
          <w:rFonts w:cs="Arial"/>
          <w:sz w:val="24"/>
          <w:szCs w:val="24"/>
        </w:rPr>
        <w:t xml:space="preserve">clearly in </w:t>
      </w:r>
      <w:r w:rsidRPr="006A7000">
        <w:rPr>
          <w:rFonts w:cs="Arial"/>
          <w:sz w:val="24"/>
          <w:szCs w:val="24"/>
        </w:rPr>
        <w:t>favour of END.</w:t>
      </w:r>
    </w:p>
    <w:p w14:paraId="75A710A8" w14:textId="5E72AAFA" w:rsidR="0072739B" w:rsidRPr="006A7000" w:rsidRDefault="0072739B" w:rsidP="00B95772">
      <w:pPr>
        <w:spacing w:line="480" w:lineRule="auto"/>
        <w:rPr>
          <w:b/>
          <w:sz w:val="24"/>
          <w:szCs w:val="24"/>
        </w:rPr>
      </w:pPr>
    </w:p>
    <w:p w14:paraId="70162936" w14:textId="12E4716C" w:rsidR="00541D00" w:rsidRPr="006A7000" w:rsidRDefault="00541D00" w:rsidP="00B95772">
      <w:pPr>
        <w:spacing w:line="480" w:lineRule="auto"/>
        <w:rPr>
          <w:i/>
          <w:sz w:val="24"/>
          <w:szCs w:val="24"/>
        </w:rPr>
      </w:pPr>
      <w:r w:rsidRPr="006A7000">
        <w:rPr>
          <w:i/>
          <w:sz w:val="24"/>
          <w:szCs w:val="24"/>
        </w:rPr>
        <w:t>Health-related quality of life</w:t>
      </w:r>
      <w:r w:rsidR="00A034E0" w:rsidRPr="006A7000">
        <w:rPr>
          <w:i/>
          <w:sz w:val="24"/>
          <w:szCs w:val="24"/>
        </w:rPr>
        <w:t xml:space="preserve"> (randomised patients)</w:t>
      </w:r>
    </w:p>
    <w:p w14:paraId="05FDCC2A" w14:textId="07F78282" w:rsidR="00F07CC0" w:rsidRPr="006A7000" w:rsidRDefault="00F07CC0" w:rsidP="00B95772">
      <w:pPr>
        <w:spacing w:line="480" w:lineRule="auto"/>
        <w:rPr>
          <w:sz w:val="24"/>
          <w:szCs w:val="24"/>
        </w:rPr>
      </w:pPr>
      <w:r w:rsidRPr="006A7000">
        <w:rPr>
          <w:sz w:val="24"/>
          <w:szCs w:val="24"/>
        </w:rPr>
        <w:lastRenderedPageBreak/>
        <w:t xml:space="preserve">Supplementary Figures </w:t>
      </w:r>
      <w:r w:rsidR="00CB0811" w:rsidRPr="006A7000">
        <w:rPr>
          <w:sz w:val="24"/>
          <w:szCs w:val="24"/>
        </w:rPr>
        <w:t xml:space="preserve">5 </w:t>
      </w:r>
      <w:r w:rsidRPr="006A7000">
        <w:rPr>
          <w:sz w:val="24"/>
          <w:szCs w:val="24"/>
        </w:rPr>
        <w:t xml:space="preserve">and </w:t>
      </w:r>
      <w:r w:rsidR="00CB0811" w:rsidRPr="006A7000">
        <w:rPr>
          <w:sz w:val="24"/>
          <w:szCs w:val="24"/>
        </w:rPr>
        <w:t xml:space="preserve">6 </w:t>
      </w:r>
      <w:r w:rsidRPr="006A7000">
        <w:rPr>
          <w:sz w:val="24"/>
          <w:szCs w:val="24"/>
        </w:rPr>
        <w:t xml:space="preserve">show the change in scores from baseline to 6 months post-surgery. Patients who had an END had very similar QoL scores to those who had resection only for many QoL measures, including emotional functioning and problems swallowing. Statistically significant differences were only seen for dry mouth (END patients had worsening QoL, p=0.03) and nausea (END patients had better QoL, p=0.02). There </w:t>
      </w:r>
      <w:r w:rsidR="00CB0811" w:rsidRPr="006A7000">
        <w:rPr>
          <w:sz w:val="24"/>
          <w:szCs w:val="24"/>
        </w:rPr>
        <w:t>were suggestions</w:t>
      </w:r>
      <w:r w:rsidRPr="006A7000">
        <w:rPr>
          <w:sz w:val="24"/>
          <w:szCs w:val="24"/>
        </w:rPr>
        <w:t xml:space="preserve"> that END patients had worsening social contact issues (p=0.07) and problems with work/daily activities (p=0.07).</w:t>
      </w:r>
    </w:p>
    <w:p w14:paraId="27509D67" w14:textId="5AB33928" w:rsidR="00855B96" w:rsidRPr="006A7000" w:rsidRDefault="00855B96" w:rsidP="00B95772">
      <w:pPr>
        <w:spacing w:line="480" w:lineRule="auto"/>
        <w:rPr>
          <w:i/>
          <w:sz w:val="24"/>
          <w:szCs w:val="24"/>
        </w:rPr>
      </w:pPr>
      <w:r w:rsidRPr="006A7000">
        <w:rPr>
          <w:i/>
          <w:sz w:val="24"/>
          <w:szCs w:val="24"/>
        </w:rPr>
        <w:t>Resource use</w:t>
      </w:r>
    </w:p>
    <w:p w14:paraId="3A5585A8" w14:textId="62AF86C3" w:rsidR="00B9723A" w:rsidRPr="006A7000" w:rsidRDefault="00F07CC0" w:rsidP="00B95772">
      <w:pPr>
        <w:spacing w:line="480" w:lineRule="auto"/>
        <w:rPr>
          <w:sz w:val="24"/>
          <w:szCs w:val="24"/>
        </w:rPr>
      </w:pPr>
      <w:r w:rsidRPr="006A7000">
        <w:rPr>
          <w:sz w:val="24"/>
          <w:szCs w:val="24"/>
        </w:rPr>
        <w:t>Patients who received an END spent a median of 6 days in hospital (10-90</w:t>
      </w:r>
      <w:r w:rsidRPr="006A7000">
        <w:rPr>
          <w:sz w:val="24"/>
          <w:szCs w:val="24"/>
          <w:vertAlign w:val="superscript"/>
        </w:rPr>
        <w:t>th</w:t>
      </w:r>
      <w:r w:rsidRPr="006A7000">
        <w:rPr>
          <w:sz w:val="24"/>
          <w:szCs w:val="24"/>
        </w:rPr>
        <w:t xml:space="preserve"> centile 4-14 days) for the procedure, compared to 2 days for those who had a resection only (10-90</w:t>
      </w:r>
      <w:r w:rsidRPr="006A7000">
        <w:rPr>
          <w:sz w:val="24"/>
          <w:szCs w:val="24"/>
          <w:vertAlign w:val="superscript"/>
        </w:rPr>
        <w:t>th</w:t>
      </w:r>
      <w:r w:rsidRPr="006A7000">
        <w:rPr>
          <w:sz w:val="24"/>
          <w:szCs w:val="24"/>
        </w:rPr>
        <w:t xml:space="preserve"> centile 1-7 days); Wilcoxon p&lt;0.001. </w:t>
      </w:r>
      <w:r w:rsidR="00B9723A" w:rsidRPr="006A7000">
        <w:rPr>
          <w:sz w:val="24"/>
          <w:szCs w:val="24"/>
        </w:rPr>
        <w:t>Up to 2 years after the initial operation, the median numb</w:t>
      </w:r>
      <w:r w:rsidR="00A034E0" w:rsidRPr="006A7000">
        <w:rPr>
          <w:sz w:val="24"/>
          <w:szCs w:val="24"/>
        </w:rPr>
        <w:t xml:space="preserve">er of inpatient days was </w:t>
      </w:r>
      <w:r w:rsidR="009E7ECF" w:rsidRPr="006A7000">
        <w:rPr>
          <w:sz w:val="24"/>
          <w:szCs w:val="24"/>
        </w:rPr>
        <w:t>4.</w:t>
      </w:r>
      <w:r w:rsidR="00A034E0" w:rsidRPr="006A7000">
        <w:rPr>
          <w:sz w:val="24"/>
          <w:szCs w:val="24"/>
        </w:rPr>
        <w:t>5</w:t>
      </w:r>
      <w:r w:rsidR="00B9723A" w:rsidRPr="006A7000">
        <w:rPr>
          <w:sz w:val="24"/>
          <w:szCs w:val="24"/>
        </w:rPr>
        <w:t xml:space="preserve"> </w:t>
      </w:r>
      <w:r w:rsidR="00914D4D" w:rsidRPr="006A7000">
        <w:rPr>
          <w:sz w:val="24"/>
          <w:szCs w:val="24"/>
        </w:rPr>
        <w:t xml:space="preserve">with END </w:t>
      </w:r>
      <w:r w:rsidR="00B9723A" w:rsidRPr="006A7000">
        <w:rPr>
          <w:sz w:val="24"/>
          <w:szCs w:val="24"/>
        </w:rPr>
        <w:t>(</w:t>
      </w:r>
      <w:r w:rsidR="00914D4D" w:rsidRPr="006A7000">
        <w:rPr>
          <w:sz w:val="24"/>
          <w:szCs w:val="24"/>
        </w:rPr>
        <w:t>10-90</w:t>
      </w:r>
      <w:r w:rsidR="00914D4D" w:rsidRPr="006A7000">
        <w:rPr>
          <w:sz w:val="24"/>
          <w:szCs w:val="24"/>
          <w:vertAlign w:val="superscript"/>
        </w:rPr>
        <w:t>th</w:t>
      </w:r>
      <w:r w:rsidR="00914D4D" w:rsidRPr="006A7000">
        <w:rPr>
          <w:sz w:val="24"/>
          <w:szCs w:val="24"/>
        </w:rPr>
        <w:t xml:space="preserve"> centile 1-35</w:t>
      </w:r>
      <w:r w:rsidR="00B9723A" w:rsidRPr="006A7000">
        <w:rPr>
          <w:sz w:val="24"/>
          <w:szCs w:val="24"/>
        </w:rPr>
        <w:t>) ve</w:t>
      </w:r>
      <w:r w:rsidR="00A034E0" w:rsidRPr="006A7000">
        <w:rPr>
          <w:sz w:val="24"/>
          <w:szCs w:val="24"/>
        </w:rPr>
        <w:t>rsus 3</w:t>
      </w:r>
      <w:r w:rsidR="00914D4D" w:rsidRPr="006A7000">
        <w:rPr>
          <w:sz w:val="24"/>
          <w:szCs w:val="24"/>
        </w:rPr>
        <w:t xml:space="preserve"> with </w:t>
      </w:r>
      <w:r w:rsidR="00B9723A" w:rsidRPr="006A7000">
        <w:rPr>
          <w:sz w:val="24"/>
          <w:szCs w:val="24"/>
        </w:rPr>
        <w:t>resection only</w:t>
      </w:r>
      <w:r w:rsidR="00914D4D" w:rsidRPr="006A7000">
        <w:rPr>
          <w:sz w:val="24"/>
          <w:szCs w:val="24"/>
        </w:rPr>
        <w:t xml:space="preserve"> (10-90</w:t>
      </w:r>
      <w:r w:rsidR="00914D4D" w:rsidRPr="006A7000">
        <w:rPr>
          <w:sz w:val="24"/>
          <w:szCs w:val="24"/>
          <w:vertAlign w:val="superscript"/>
        </w:rPr>
        <w:t>th</w:t>
      </w:r>
      <w:r w:rsidR="00914D4D" w:rsidRPr="006A7000">
        <w:rPr>
          <w:sz w:val="24"/>
          <w:szCs w:val="24"/>
        </w:rPr>
        <w:t xml:space="preserve"> centile 0-1</w:t>
      </w:r>
      <w:r w:rsidR="009E7ECF" w:rsidRPr="006A7000">
        <w:rPr>
          <w:sz w:val="24"/>
          <w:szCs w:val="24"/>
        </w:rPr>
        <w:t>2</w:t>
      </w:r>
      <w:r w:rsidR="00B9723A" w:rsidRPr="006A7000">
        <w:rPr>
          <w:sz w:val="24"/>
          <w:szCs w:val="24"/>
        </w:rPr>
        <w:t>), p=0.</w:t>
      </w:r>
      <w:r w:rsidR="009E7ECF" w:rsidRPr="006A7000">
        <w:rPr>
          <w:sz w:val="24"/>
          <w:szCs w:val="24"/>
        </w:rPr>
        <w:t>1</w:t>
      </w:r>
      <w:r w:rsidR="00B9723A" w:rsidRPr="006A7000">
        <w:rPr>
          <w:sz w:val="24"/>
          <w:szCs w:val="24"/>
        </w:rPr>
        <w:t>3</w:t>
      </w:r>
      <w:r w:rsidR="00AB2251" w:rsidRPr="006A7000">
        <w:rPr>
          <w:sz w:val="24"/>
          <w:szCs w:val="24"/>
        </w:rPr>
        <w:t>.</w:t>
      </w:r>
      <w:r w:rsidR="00AB15DF" w:rsidRPr="006A7000">
        <w:rPr>
          <w:sz w:val="24"/>
          <w:szCs w:val="24"/>
        </w:rPr>
        <w:t xml:space="preserve"> </w:t>
      </w:r>
      <w:r w:rsidR="00AB2251" w:rsidRPr="006A7000">
        <w:rPr>
          <w:sz w:val="24"/>
          <w:szCs w:val="24"/>
        </w:rPr>
        <w:t>T</w:t>
      </w:r>
      <w:r w:rsidR="00B9723A" w:rsidRPr="006A7000">
        <w:rPr>
          <w:sz w:val="24"/>
          <w:szCs w:val="24"/>
        </w:rPr>
        <w:t xml:space="preserve">here was </w:t>
      </w:r>
      <w:r w:rsidR="00AB2251" w:rsidRPr="006A7000">
        <w:rPr>
          <w:sz w:val="24"/>
          <w:szCs w:val="24"/>
        </w:rPr>
        <w:t xml:space="preserve">also </w:t>
      </w:r>
      <w:r w:rsidR="00B9723A" w:rsidRPr="006A7000">
        <w:rPr>
          <w:sz w:val="24"/>
          <w:szCs w:val="24"/>
        </w:rPr>
        <w:t xml:space="preserve">no material difference in </w:t>
      </w:r>
      <w:r w:rsidR="00A034E0" w:rsidRPr="006A7000">
        <w:rPr>
          <w:sz w:val="24"/>
          <w:szCs w:val="24"/>
        </w:rPr>
        <w:t xml:space="preserve">either </w:t>
      </w:r>
      <w:r w:rsidR="00B9723A" w:rsidRPr="006A7000">
        <w:rPr>
          <w:sz w:val="24"/>
          <w:szCs w:val="24"/>
        </w:rPr>
        <w:t>the number of outpatient visits</w:t>
      </w:r>
      <w:r w:rsidR="00914D4D" w:rsidRPr="006A7000">
        <w:rPr>
          <w:sz w:val="24"/>
          <w:szCs w:val="24"/>
        </w:rPr>
        <w:t xml:space="preserve">: </w:t>
      </w:r>
      <w:r w:rsidR="00B9723A" w:rsidRPr="006A7000">
        <w:rPr>
          <w:sz w:val="24"/>
          <w:szCs w:val="24"/>
        </w:rPr>
        <w:t>median</w:t>
      </w:r>
      <w:r w:rsidR="00A034E0" w:rsidRPr="006A7000">
        <w:rPr>
          <w:sz w:val="24"/>
          <w:szCs w:val="24"/>
        </w:rPr>
        <w:t xml:space="preserve"> 6</w:t>
      </w:r>
      <w:r w:rsidR="00B9723A" w:rsidRPr="006A7000">
        <w:rPr>
          <w:sz w:val="24"/>
          <w:szCs w:val="24"/>
        </w:rPr>
        <w:t xml:space="preserve"> visits </w:t>
      </w:r>
      <w:r w:rsidR="00A034E0" w:rsidRPr="006A7000">
        <w:rPr>
          <w:sz w:val="24"/>
          <w:szCs w:val="24"/>
        </w:rPr>
        <w:t xml:space="preserve">in the END patients </w:t>
      </w:r>
      <w:r w:rsidR="00914D4D" w:rsidRPr="006A7000">
        <w:rPr>
          <w:sz w:val="24"/>
          <w:szCs w:val="24"/>
        </w:rPr>
        <w:t>(10-90</w:t>
      </w:r>
      <w:r w:rsidR="00914D4D" w:rsidRPr="006A7000">
        <w:rPr>
          <w:sz w:val="24"/>
          <w:szCs w:val="24"/>
          <w:vertAlign w:val="superscript"/>
        </w:rPr>
        <w:t>th</w:t>
      </w:r>
      <w:r w:rsidR="00914D4D" w:rsidRPr="006A7000">
        <w:rPr>
          <w:sz w:val="24"/>
          <w:szCs w:val="24"/>
        </w:rPr>
        <w:t xml:space="preserve"> centile 1-2</w:t>
      </w:r>
      <w:r w:rsidR="009E7ECF" w:rsidRPr="006A7000">
        <w:rPr>
          <w:sz w:val="24"/>
          <w:szCs w:val="24"/>
        </w:rPr>
        <w:t>8</w:t>
      </w:r>
      <w:r w:rsidR="00914D4D" w:rsidRPr="006A7000">
        <w:rPr>
          <w:sz w:val="24"/>
          <w:szCs w:val="24"/>
        </w:rPr>
        <w:t xml:space="preserve">) </w:t>
      </w:r>
      <w:r w:rsidR="00A034E0" w:rsidRPr="006A7000">
        <w:rPr>
          <w:sz w:val="24"/>
          <w:szCs w:val="24"/>
        </w:rPr>
        <w:t>versus 7 in the resection only group</w:t>
      </w:r>
      <w:r w:rsidR="00914D4D" w:rsidRPr="006A7000">
        <w:rPr>
          <w:sz w:val="24"/>
          <w:szCs w:val="24"/>
        </w:rPr>
        <w:t xml:space="preserve"> (10-90</w:t>
      </w:r>
      <w:r w:rsidR="00914D4D" w:rsidRPr="006A7000">
        <w:rPr>
          <w:sz w:val="24"/>
          <w:szCs w:val="24"/>
          <w:vertAlign w:val="superscript"/>
        </w:rPr>
        <w:t>th</w:t>
      </w:r>
      <w:r w:rsidR="00914D4D" w:rsidRPr="006A7000">
        <w:rPr>
          <w:sz w:val="24"/>
          <w:szCs w:val="24"/>
        </w:rPr>
        <w:t xml:space="preserve"> centile 2-</w:t>
      </w:r>
      <w:r w:rsidR="009E7ECF" w:rsidRPr="006A7000">
        <w:rPr>
          <w:sz w:val="24"/>
          <w:szCs w:val="24"/>
        </w:rPr>
        <w:t>28</w:t>
      </w:r>
      <w:r w:rsidR="00914D4D" w:rsidRPr="006A7000">
        <w:rPr>
          <w:sz w:val="24"/>
          <w:szCs w:val="24"/>
        </w:rPr>
        <w:t>)</w:t>
      </w:r>
      <w:r w:rsidR="00B9723A" w:rsidRPr="006A7000">
        <w:rPr>
          <w:sz w:val="24"/>
          <w:szCs w:val="24"/>
        </w:rPr>
        <w:t>, p=</w:t>
      </w:r>
      <w:r w:rsidR="00A034E0" w:rsidRPr="006A7000">
        <w:rPr>
          <w:sz w:val="24"/>
          <w:szCs w:val="24"/>
        </w:rPr>
        <w:t>0.46</w:t>
      </w:r>
      <w:r w:rsidR="00AB2251" w:rsidRPr="006A7000">
        <w:rPr>
          <w:sz w:val="24"/>
          <w:szCs w:val="24"/>
        </w:rPr>
        <w:t>;</w:t>
      </w:r>
      <w:r w:rsidR="00914D4D" w:rsidRPr="006A7000">
        <w:rPr>
          <w:sz w:val="24"/>
          <w:szCs w:val="24"/>
        </w:rPr>
        <w:t xml:space="preserve"> or number of GP visits, with </w:t>
      </w:r>
      <w:r w:rsidR="00A034E0" w:rsidRPr="006A7000">
        <w:rPr>
          <w:sz w:val="24"/>
          <w:szCs w:val="24"/>
        </w:rPr>
        <w:t>median 4 in each group</w:t>
      </w:r>
      <w:r w:rsidR="00914D4D" w:rsidRPr="006A7000">
        <w:rPr>
          <w:sz w:val="24"/>
          <w:szCs w:val="24"/>
        </w:rPr>
        <w:t xml:space="preserve"> (10-90</w:t>
      </w:r>
      <w:r w:rsidR="00914D4D" w:rsidRPr="006A7000">
        <w:rPr>
          <w:sz w:val="24"/>
          <w:szCs w:val="24"/>
          <w:vertAlign w:val="superscript"/>
        </w:rPr>
        <w:t>th</w:t>
      </w:r>
      <w:r w:rsidR="00914D4D" w:rsidRPr="006A7000">
        <w:rPr>
          <w:sz w:val="24"/>
          <w:szCs w:val="24"/>
        </w:rPr>
        <w:t xml:space="preserve"> centile 1-1</w:t>
      </w:r>
      <w:r w:rsidR="00AB2251" w:rsidRPr="006A7000">
        <w:rPr>
          <w:sz w:val="24"/>
          <w:szCs w:val="24"/>
        </w:rPr>
        <w:t>1 fo</w:t>
      </w:r>
      <w:r w:rsidR="009E7ECF" w:rsidRPr="006A7000">
        <w:rPr>
          <w:sz w:val="24"/>
          <w:szCs w:val="24"/>
        </w:rPr>
        <w:t>r END and 1-13 for resection only</w:t>
      </w:r>
      <w:r w:rsidR="00914D4D" w:rsidRPr="006A7000">
        <w:rPr>
          <w:sz w:val="24"/>
          <w:szCs w:val="24"/>
        </w:rPr>
        <w:t>), p=0.</w:t>
      </w:r>
      <w:r w:rsidR="009E7ECF" w:rsidRPr="006A7000">
        <w:rPr>
          <w:sz w:val="24"/>
          <w:szCs w:val="24"/>
        </w:rPr>
        <w:t>85</w:t>
      </w:r>
      <w:r w:rsidR="00914D4D" w:rsidRPr="006A7000">
        <w:rPr>
          <w:sz w:val="24"/>
          <w:szCs w:val="24"/>
        </w:rPr>
        <w:t>.</w:t>
      </w:r>
    </w:p>
    <w:p w14:paraId="2E8F24FF" w14:textId="4D21BA61" w:rsidR="00E82D9B" w:rsidRPr="006A7000" w:rsidRDefault="00E82D9B" w:rsidP="00B95772">
      <w:pPr>
        <w:spacing w:line="480" w:lineRule="auto"/>
        <w:rPr>
          <w:b/>
          <w:sz w:val="24"/>
          <w:szCs w:val="24"/>
        </w:rPr>
      </w:pPr>
    </w:p>
    <w:p w14:paraId="6B09034B" w14:textId="7999EAB9" w:rsidR="002F590C" w:rsidRPr="006A7000" w:rsidRDefault="002F590C" w:rsidP="00B95772">
      <w:pPr>
        <w:spacing w:line="480" w:lineRule="auto"/>
        <w:rPr>
          <w:i/>
          <w:sz w:val="24"/>
          <w:szCs w:val="24"/>
        </w:rPr>
      </w:pPr>
      <w:r w:rsidRPr="006A7000">
        <w:rPr>
          <w:i/>
          <w:sz w:val="24"/>
          <w:szCs w:val="24"/>
        </w:rPr>
        <w:t>Features of neck disease (randomised patients only)</w:t>
      </w:r>
    </w:p>
    <w:p w14:paraId="53D03833" w14:textId="663D7757" w:rsidR="002F590C" w:rsidRPr="006A7000" w:rsidRDefault="002F590C" w:rsidP="00B95772">
      <w:pPr>
        <w:spacing w:line="480" w:lineRule="auto"/>
        <w:rPr>
          <w:sz w:val="24"/>
          <w:szCs w:val="24"/>
        </w:rPr>
      </w:pPr>
      <w:r w:rsidRPr="006A7000">
        <w:rPr>
          <w:sz w:val="24"/>
          <w:szCs w:val="24"/>
        </w:rPr>
        <w:t xml:space="preserve">Disease that later occurs in the neck is of interest when considering the role of END. Supplementary Table </w:t>
      </w:r>
      <w:r w:rsidR="00CB0811" w:rsidRPr="006A7000">
        <w:rPr>
          <w:sz w:val="24"/>
          <w:szCs w:val="24"/>
        </w:rPr>
        <w:t xml:space="preserve">9 </w:t>
      </w:r>
      <w:r w:rsidRPr="006A7000">
        <w:rPr>
          <w:sz w:val="24"/>
          <w:szCs w:val="24"/>
        </w:rPr>
        <w:t xml:space="preserve">compares features of patients who had a neck recurrence after END (n=14) or neck metastasis after resection only (n=37), with those who remained disease-free and alive during the trial. At baseline, the resection only patients who subsequently developed neck metastasis were more likely to have poorly differentiated tumours, stage pT2, discohesive invasive front, tumour margins &lt;5mm, perineural/vascular/lymphatic invasion, and larger tumour diameter and depth of invasion compared to patients who were alive and disease-free but also had resection only. Similar </w:t>
      </w:r>
      <w:r w:rsidRPr="006A7000">
        <w:rPr>
          <w:sz w:val="24"/>
          <w:szCs w:val="24"/>
        </w:rPr>
        <w:lastRenderedPageBreak/>
        <w:t>observations were seen for those who had an END and developed a subsequent neck recurrence. Neck node necrosis and extra-capsular spread were more common among patients who had larger primary tumour diameters and were also more commonly found in resection only patients who subsequently had a neck dissection for neck metastasis or in END patients who developed a neck recurrence after END.</w:t>
      </w:r>
    </w:p>
    <w:p w14:paraId="21F7F7B4" w14:textId="474D10C8" w:rsidR="002F590C" w:rsidRPr="006A7000" w:rsidRDefault="002F590C" w:rsidP="00B95772">
      <w:pPr>
        <w:spacing w:line="480" w:lineRule="auto"/>
        <w:rPr>
          <w:b/>
          <w:sz w:val="24"/>
          <w:szCs w:val="24"/>
        </w:rPr>
      </w:pPr>
    </w:p>
    <w:p w14:paraId="2536ED6D" w14:textId="77777777" w:rsidR="00DF19B8" w:rsidRPr="006A7000" w:rsidRDefault="00E55D23" w:rsidP="00B95772">
      <w:pPr>
        <w:spacing w:line="480" w:lineRule="auto"/>
        <w:rPr>
          <w:b/>
          <w:sz w:val="24"/>
          <w:szCs w:val="24"/>
        </w:rPr>
      </w:pPr>
      <w:r w:rsidRPr="006A7000">
        <w:rPr>
          <w:b/>
          <w:sz w:val="24"/>
          <w:szCs w:val="24"/>
        </w:rPr>
        <w:t>Discussion</w:t>
      </w:r>
    </w:p>
    <w:p w14:paraId="473F33C2" w14:textId="60AF6A80" w:rsidR="00CC1013" w:rsidRPr="006A7000" w:rsidRDefault="00CC1013" w:rsidP="00B95772">
      <w:pPr>
        <w:spacing w:line="480" w:lineRule="auto"/>
        <w:rPr>
          <w:sz w:val="24"/>
          <w:szCs w:val="24"/>
        </w:rPr>
      </w:pPr>
      <w:r w:rsidRPr="006A7000">
        <w:rPr>
          <w:sz w:val="24"/>
          <w:szCs w:val="24"/>
        </w:rPr>
        <w:t>Although recruitment</w:t>
      </w:r>
      <w:r w:rsidR="00C50F37" w:rsidRPr="006A7000">
        <w:rPr>
          <w:sz w:val="24"/>
          <w:szCs w:val="24"/>
        </w:rPr>
        <w:t xml:space="preserve"> stopped early, </w:t>
      </w:r>
      <w:r w:rsidR="005252CA" w:rsidRPr="006A7000">
        <w:rPr>
          <w:sz w:val="24"/>
          <w:szCs w:val="24"/>
        </w:rPr>
        <w:t>the</w:t>
      </w:r>
      <w:r w:rsidR="00A44B73" w:rsidRPr="006A7000">
        <w:rPr>
          <w:sz w:val="24"/>
          <w:szCs w:val="24"/>
        </w:rPr>
        <w:t xml:space="preserve"> results </w:t>
      </w:r>
      <w:r w:rsidR="005252CA" w:rsidRPr="006A7000">
        <w:rPr>
          <w:sz w:val="24"/>
          <w:szCs w:val="24"/>
        </w:rPr>
        <w:t>from SEND demonstrate</w:t>
      </w:r>
      <w:r w:rsidR="00A44B73" w:rsidRPr="006A7000">
        <w:rPr>
          <w:sz w:val="24"/>
          <w:szCs w:val="24"/>
        </w:rPr>
        <w:t xml:space="preserve"> that </w:t>
      </w:r>
      <w:r w:rsidR="00C50F37" w:rsidRPr="006A7000">
        <w:rPr>
          <w:sz w:val="24"/>
          <w:szCs w:val="24"/>
        </w:rPr>
        <w:t>END improved OS and</w:t>
      </w:r>
      <w:r w:rsidRPr="006A7000">
        <w:rPr>
          <w:sz w:val="24"/>
          <w:szCs w:val="24"/>
        </w:rPr>
        <w:t xml:space="preserve"> DFS, and reduced loco-regional </w:t>
      </w:r>
      <w:r w:rsidR="006B0E41" w:rsidRPr="006A7000">
        <w:rPr>
          <w:sz w:val="24"/>
          <w:szCs w:val="24"/>
        </w:rPr>
        <w:t>recurrence</w:t>
      </w:r>
      <w:r w:rsidR="00F96F30" w:rsidRPr="006A7000">
        <w:rPr>
          <w:sz w:val="24"/>
          <w:szCs w:val="24"/>
        </w:rPr>
        <w:t xml:space="preserve">, though only </w:t>
      </w:r>
      <w:r w:rsidR="0050356F" w:rsidRPr="006A7000">
        <w:rPr>
          <w:sz w:val="24"/>
          <w:szCs w:val="24"/>
        </w:rPr>
        <w:t>the last two endpoints</w:t>
      </w:r>
      <w:r w:rsidR="00F96F30" w:rsidRPr="006A7000">
        <w:rPr>
          <w:sz w:val="24"/>
          <w:szCs w:val="24"/>
        </w:rPr>
        <w:t xml:space="preserve"> were statistically significant</w:t>
      </w:r>
      <w:r w:rsidRPr="006A7000">
        <w:rPr>
          <w:sz w:val="24"/>
          <w:szCs w:val="24"/>
        </w:rPr>
        <w:t>.</w:t>
      </w:r>
      <w:r w:rsidRPr="006A7000">
        <w:rPr>
          <w:sz w:val="24"/>
          <w:szCs w:val="24"/>
          <w:vertAlign w:val="superscript"/>
        </w:rPr>
        <w:t xml:space="preserve"> </w:t>
      </w:r>
      <w:r w:rsidR="00207F18" w:rsidRPr="006A7000">
        <w:rPr>
          <w:sz w:val="24"/>
          <w:szCs w:val="24"/>
          <w:vertAlign w:val="superscript"/>
        </w:rPr>
        <w:t xml:space="preserve"> </w:t>
      </w:r>
      <w:r w:rsidRPr="006A7000">
        <w:rPr>
          <w:sz w:val="24"/>
          <w:szCs w:val="24"/>
        </w:rPr>
        <w:t xml:space="preserve">The observed </w:t>
      </w:r>
      <w:r w:rsidR="008F0358" w:rsidRPr="006A7000">
        <w:rPr>
          <w:sz w:val="24"/>
          <w:szCs w:val="24"/>
        </w:rPr>
        <w:t xml:space="preserve">improvement with END </w:t>
      </w:r>
      <w:r w:rsidR="00A91E3B" w:rsidRPr="006A7000">
        <w:rPr>
          <w:sz w:val="24"/>
          <w:szCs w:val="24"/>
        </w:rPr>
        <w:t>(8.2</w:t>
      </w:r>
      <w:r w:rsidRPr="006A7000">
        <w:rPr>
          <w:sz w:val="24"/>
          <w:szCs w:val="24"/>
        </w:rPr>
        <w:t xml:space="preserve"> percentage points</w:t>
      </w:r>
      <w:r w:rsidR="00A91E3B" w:rsidRPr="006A7000">
        <w:rPr>
          <w:sz w:val="24"/>
          <w:szCs w:val="24"/>
        </w:rPr>
        <w:t xml:space="preserve"> with ITT and 11.9 with per-protocol analyses</w:t>
      </w:r>
      <w:r w:rsidRPr="006A7000">
        <w:rPr>
          <w:sz w:val="24"/>
          <w:szCs w:val="24"/>
        </w:rPr>
        <w:t xml:space="preserve">) </w:t>
      </w:r>
      <w:r w:rsidR="00A91E3B" w:rsidRPr="006A7000">
        <w:rPr>
          <w:sz w:val="24"/>
          <w:szCs w:val="24"/>
        </w:rPr>
        <w:t xml:space="preserve">are close to </w:t>
      </w:r>
      <w:r w:rsidRPr="006A7000">
        <w:rPr>
          <w:sz w:val="24"/>
          <w:szCs w:val="24"/>
        </w:rPr>
        <w:t>our target</w:t>
      </w:r>
      <w:r w:rsidR="00CB4067" w:rsidRPr="006A7000">
        <w:rPr>
          <w:sz w:val="24"/>
          <w:szCs w:val="24"/>
        </w:rPr>
        <w:t xml:space="preserve"> (10 percentage points)</w:t>
      </w:r>
      <w:r w:rsidRPr="006A7000">
        <w:rPr>
          <w:sz w:val="24"/>
          <w:szCs w:val="24"/>
        </w:rPr>
        <w:t xml:space="preserve">. The results from the </w:t>
      </w:r>
      <w:r w:rsidR="00ED0948" w:rsidRPr="006A7000">
        <w:rPr>
          <w:sz w:val="24"/>
          <w:szCs w:val="24"/>
        </w:rPr>
        <w:t>randomised</w:t>
      </w:r>
      <w:r w:rsidR="00CB4067" w:rsidRPr="006A7000">
        <w:rPr>
          <w:sz w:val="24"/>
          <w:szCs w:val="24"/>
        </w:rPr>
        <w:t xml:space="preserve"> patients were </w:t>
      </w:r>
      <w:r w:rsidRPr="006A7000">
        <w:rPr>
          <w:sz w:val="24"/>
          <w:szCs w:val="24"/>
        </w:rPr>
        <w:t xml:space="preserve">supported by those from the prospective cohort </w:t>
      </w:r>
      <w:r w:rsidR="00CB4067" w:rsidRPr="006A7000">
        <w:rPr>
          <w:sz w:val="24"/>
          <w:szCs w:val="24"/>
        </w:rPr>
        <w:t>from the same centres</w:t>
      </w:r>
      <w:r w:rsidRPr="006A7000">
        <w:rPr>
          <w:sz w:val="24"/>
          <w:szCs w:val="24"/>
        </w:rPr>
        <w:t>.</w:t>
      </w:r>
      <w:r w:rsidR="00C50F37" w:rsidRPr="006A7000">
        <w:rPr>
          <w:sz w:val="24"/>
          <w:szCs w:val="24"/>
        </w:rPr>
        <w:t xml:space="preserve"> </w:t>
      </w:r>
      <w:r w:rsidR="003371ED" w:rsidRPr="006A7000">
        <w:rPr>
          <w:sz w:val="24"/>
          <w:szCs w:val="24"/>
        </w:rPr>
        <w:t xml:space="preserve">All the </w:t>
      </w:r>
      <w:r w:rsidR="00C50F37" w:rsidRPr="006A7000">
        <w:rPr>
          <w:sz w:val="24"/>
          <w:szCs w:val="24"/>
        </w:rPr>
        <w:t>evidence taken together (our multicentre national randomised trial</w:t>
      </w:r>
      <w:r w:rsidR="008F0358" w:rsidRPr="006A7000">
        <w:rPr>
          <w:sz w:val="24"/>
          <w:szCs w:val="24"/>
        </w:rPr>
        <w:t xml:space="preserve"> </w:t>
      </w:r>
      <w:r w:rsidR="003371ED" w:rsidRPr="006A7000">
        <w:rPr>
          <w:sz w:val="24"/>
          <w:szCs w:val="24"/>
        </w:rPr>
        <w:t>plus</w:t>
      </w:r>
      <w:r w:rsidR="008F0358" w:rsidRPr="006A7000">
        <w:rPr>
          <w:sz w:val="24"/>
          <w:szCs w:val="24"/>
        </w:rPr>
        <w:t xml:space="preserve"> </w:t>
      </w:r>
      <w:r w:rsidR="00C50F37" w:rsidRPr="006A7000">
        <w:rPr>
          <w:sz w:val="24"/>
          <w:szCs w:val="24"/>
        </w:rPr>
        <w:t>a real world cohort from the same centres</w:t>
      </w:r>
      <w:r w:rsidR="008F0358" w:rsidRPr="006A7000">
        <w:rPr>
          <w:sz w:val="24"/>
          <w:szCs w:val="24"/>
        </w:rPr>
        <w:t xml:space="preserve">, </w:t>
      </w:r>
      <w:r w:rsidR="0047215B" w:rsidRPr="006A7000">
        <w:rPr>
          <w:sz w:val="24"/>
          <w:szCs w:val="24"/>
        </w:rPr>
        <w:t>and</w:t>
      </w:r>
      <w:r w:rsidR="000053FF" w:rsidRPr="006A7000">
        <w:rPr>
          <w:sz w:val="24"/>
          <w:szCs w:val="24"/>
        </w:rPr>
        <w:t xml:space="preserve"> </w:t>
      </w:r>
      <w:r w:rsidR="00C50F37" w:rsidRPr="006A7000">
        <w:rPr>
          <w:sz w:val="24"/>
          <w:szCs w:val="24"/>
        </w:rPr>
        <w:t>meta-analysis of all randomised studies</w:t>
      </w:r>
      <w:r w:rsidR="00207F18" w:rsidRPr="006A7000">
        <w:rPr>
          <w:sz w:val="24"/>
          <w:szCs w:val="24"/>
        </w:rPr>
        <w:t>)</w:t>
      </w:r>
      <w:r w:rsidR="00890921" w:rsidRPr="006A7000">
        <w:rPr>
          <w:sz w:val="24"/>
          <w:szCs w:val="24"/>
        </w:rPr>
        <w:t xml:space="preserve"> </w:t>
      </w:r>
      <w:r w:rsidR="00C50F37" w:rsidRPr="006A7000">
        <w:rPr>
          <w:sz w:val="24"/>
          <w:szCs w:val="24"/>
        </w:rPr>
        <w:t>provide</w:t>
      </w:r>
      <w:r w:rsidR="008F0358" w:rsidRPr="006A7000">
        <w:rPr>
          <w:sz w:val="24"/>
          <w:szCs w:val="24"/>
        </w:rPr>
        <w:t>s</w:t>
      </w:r>
      <w:r w:rsidR="00C50F37" w:rsidRPr="006A7000">
        <w:rPr>
          <w:sz w:val="24"/>
          <w:szCs w:val="24"/>
        </w:rPr>
        <w:t xml:space="preserve"> high-level </w:t>
      </w:r>
      <w:r w:rsidR="00B110DC" w:rsidRPr="006A7000">
        <w:rPr>
          <w:sz w:val="24"/>
          <w:szCs w:val="24"/>
        </w:rPr>
        <w:t xml:space="preserve">quantifiable </w:t>
      </w:r>
      <w:r w:rsidR="00C50F37" w:rsidRPr="006A7000">
        <w:rPr>
          <w:sz w:val="24"/>
          <w:szCs w:val="24"/>
        </w:rPr>
        <w:t xml:space="preserve">evidence for the </w:t>
      </w:r>
      <w:r w:rsidR="00CA00F7" w:rsidRPr="006A7000">
        <w:rPr>
          <w:sz w:val="24"/>
          <w:szCs w:val="24"/>
        </w:rPr>
        <w:t xml:space="preserve">survival </w:t>
      </w:r>
      <w:r w:rsidR="00C50F37" w:rsidRPr="006A7000">
        <w:rPr>
          <w:sz w:val="24"/>
          <w:szCs w:val="24"/>
        </w:rPr>
        <w:t>benefit of END.</w:t>
      </w:r>
      <w:r w:rsidR="00A83B8D" w:rsidRPr="006A7000">
        <w:rPr>
          <w:sz w:val="24"/>
          <w:szCs w:val="24"/>
        </w:rPr>
        <w:t xml:space="preserve"> END </w:t>
      </w:r>
      <w:r w:rsidR="00CA00F7" w:rsidRPr="006A7000">
        <w:rPr>
          <w:sz w:val="24"/>
          <w:szCs w:val="24"/>
        </w:rPr>
        <w:t>is associated with an increased</w:t>
      </w:r>
      <w:r w:rsidR="00B110DC" w:rsidRPr="006A7000">
        <w:rPr>
          <w:sz w:val="24"/>
          <w:szCs w:val="24"/>
        </w:rPr>
        <w:t xml:space="preserve"> risk of low-grade adverse events including effects on neck motor and sensory nerves and increased</w:t>
      </w:r>
      <w:r w:rsidR="00CA00F7" w:rsidRPr="006A7000">
        <w:rPr>
          <w:sz w:val="24"/>
          <w:szCs w:val="24"/>
        </w:rPr>
        <w:t xml:space="preserve"> length of hospital stay</w:t>
      </w:r>
      <w:r w:rsidR="00261F1D" w:rsidRPr="006A7000">
        <w:rPr>
          <w:sz w:val="24"/>
          <w:szCs w:val="24"/>
        </w:rPr>
        <w:t>. END</w:t>
      </w:r>
      <w:r w:rsidR="00A83B8D" w:rsidRPr="006A7000">
        <w:rPr>
          <w:sz w:val="24"/>
          <w:szCs w:val="24"/>
        </w:rPr>
        <w:t xml:space="preserve"> </w:t>
      </w:r>
      <w:r w:rsidR="00261F1D" w:rsidRPr="006A7000">
        <w:rPr>
          <w:sz w:val="24"/>
          <w:szCs w:val="24"/>
        </w:rPr>
        <w:t>had minimal</w:t>
      </w:r>
      <w:r w:rsidR="00444816" w:rsidRPr="006A7000">
        <w:rPr>
          <w:sz w:val="24"/>
          <w:szCs w:val="24"/>
        </w:rPr>
        <w:t xml:space="preserve"> impact on </w:t>
      </w:r>
      <w:r w:rsidR="0084796F" w:rsidRPr="006A7000">
        <w:rPr>
          <w:sz w:val="24"/>
          <w:szCs w:val="24"/>
        </w:rPr>
        <w:t xml:space="preserve">most </w:t>
      </w:r>
      <w:r w:rsidR="00A83B8D" w:rsidRPr="006A7000">
        <w:rPr>
          <w:sz w:val="24"/>
          <w:szCs w:val="24"/>
        </w:rPr>
        <w:t>QoL</w:t>
      </w:r>
      <w:r w:rsidR="0084796F" w:rsidRPr="006A7000">
        <w:rPr>
          <w:sz w:val="24"/>
          <w:szCs w:val="24"/>
        </w:rPr>
        <w:t xml:space="preserve"> components</w:t>
      </w:r>
      <w:r w:rsidR="00B37986" w:rsidRPr="006A7000">
        <w:rPr>
          <w:sz w:val="24"/>
          <w:szCs w:val="24"/>
        </w:rPr>
        <w:t xml:space="preserve">. </w:t>
      </w:r>
    </w:p>
    <w:p w14:paraId="0E52E918" w14:textId="5F183FDC" w:rsidR="00CD51E7" w:rsidRPr="006A7000" w:rsidRDefault="00364744" w:rsidP="00B95772">
      <w:pPr>
        <w:spacing w:line="480" w:lineRule="auto"/>
        <w:rPr>
          <w:sz w:val="24"/>
          <w:szCs w:val="24"/>
        </w:rPr>
      </w:pPr>
      <w:r w:rsidRPr="006A7000">
        <w:rPr>
          <w:sz w:val="24"/>
          <w:szCs w:val="24"/>
        </w:rPr>
        <w:t xml:space="preserve">The SEND </w:t>
      </w:r>
      <w:r w:rsidR="00162447" w:rsidRPr="006A7000">
        <w:rPr>
          <w:sz w:val="24"/>
          <w:szCs w:val="24"/>
        </w:rPr>
        <w:t xml:space="preserve">trial complements the </w:t>
      </w:r>
      <w:r w:rsidR="00604824" w:rsidRPr="006A7000">
        <w:rPr>
          <w:sz w:val="24"/>
          <w:szCs w:val="24"/>
        </w:rPr>
        <w:t xml:space="preserve">2015 </w:t>
      </w:r>
      <w:r w:rsidRPr="006A7000">
        <w:rPr>
          <w:sz w:val="24"/>
          <w:szCs w:val="24"/>
        </w:rPr>
        <w:t>Mumbai</w:t>
      </w:r>
      <w:r w:rsidR="00162447" w:rsidRPr="006A7000">
        <w:rPr>
          <w:sz w:val="24"/>
          <w:szCs w:val="24"/>
        </w:rPr>
        <w:t xml:space="preserve"> trial</w:t>
      </w:r>
      <w:r w:rsidR="00251944" w:rsidRPr="006A7000">
        <w:rPr>
          <w:sz w:val="24"/>
          <w:szCs w:val="24"/>
          <w:vertAlign w:val="superscript"/>
        </w:rPr>
        <w:t>1</w:t>
      </w:r>
      <w:r w:rsidR="00517E4F" w:rsidRPr="006A7000">
        <w:rPr>
          <w:sz w:val="24"/>
          <w:szCs w:val="24"/>
          <w:vertAlign w:val="superscript"/>
        </w:rPr>
        <w:t>3</w:t>
      </w:r>
      <w:r w:rsidR="000438D5" w:rsidRPr="006A7000">
        <w:rPr>
          <w:sz w:val="24"/>
          <w:szCs w:val="24"/>
        </w:rPr>
        <w:t xml:space="preserve"> </w:t>
      </w:r>
      <w:r w:rsidR="00363E67" w:rsidRPr="006A7000">
        <w:rPr>
          <w:sz w:val="24"/>
          <w:szCs w:val="24"/>
        </w:rPr>
        <w:t>because</w:t>
      </w:r>
      <w:r w:rsidRPr="006A7000">
        <w:rPr>
          <w:sz w:val="24"/>
          <w:szCs w:val="24"/>
        </w:rPr>
        <w:t xml:space="preserve"> of</w:t>
      </w:r>
      <w:r w:rsidR="00A23379" w:rsidRPr="006A7000">
        <w:rPr>
          <w:sz w:val="24"/>
          <w:szCs w:val="24"/>
        </w:rPr>
        <w:t xml:space="preserve"> </w:t>
      </w:r>
      <w:r w:rsidR="00F96F30" w:rsidRPr="006A7000">
        <w:rPr>
          <w:sz w:val="24"/>
          <w:szCs w:val="24"/>
        </w:rPr>
        <w:t>the</w:t>
      </w:r>
      <w:r w:rsidR="00D85A9B" w:rsidRPr="006A7000">
        <w:rPr>
          <w:sz w:val="24"/>
          <w:szCs w:val="24"/>
        </w:rPr>
        <w:t xml:space="preserve"> </w:t>
      </w:r>
      <w:r w:rsidR="00A23379" w:rsidRPr="006A7000">
        <w:rPr>
          <w:sz w:val="24"/>
          <w:szCs w:val="24"/>
        </w:rPr>
        <w:t>differences in patient characteristics</w:t>
      </w:r>
      <w:r w:rsidR="004A59AB" w:rsidRPr="006A7000">
        <w:rPr>
          <w:sz w:val="24"/>
          <w:szCs w:val="24"/>
        </w:rPr>
        <w:t xml:space="preserve">, </w:t>
      </w:r>
      <w:r w:rsidR="00CD51E7" w:rsidRPr="006A7000">
        <w:rPr>
          <w:sz w:val="24"/>
          <w:szCs w:val="24"/>
        </w:rPr>
        <w:t xml:space="preserve">clinical </w:t>
      </w:r>
      <w:r w:rsidR="00AB254F" w:rsidRPr="006A7000">
        <w:rPr>
          <w:sz w:val="24"/>
          <w:szCs w:val="24"/>
        </w:rPr>
        <w:t>outcomes</w:t>
      </w:r>
      <w:r w:rsidR="001E2E6D" w:rsidRPr="006A7000">
        <w:rPr>
          <w:sz w:val="24"/>
          <w:szCs w:val="24"/>
        </w:rPr>
        <w:t xml:space="preserve"> and </w:t>
      </w:r>
      <w:r w:rsidR="004A59AB" w:rsidRPr="006A7000">
        <w:rPr>
          <w:sz w:val="24"/>
          <w:szCs w:val="24"/>
        </w:rPr>
        <w:t xml:space="preserve">lengthier </w:t>
      </w:r>
      <w:r w:rsidR="001E2E6D" w:rsidRPr="006A7000">
        <w:rPr>
          <w:sz w:val="24"/>
          <w:szCs w:val="24"/>
        </w:rPr>
        <w:t>follow-up</w:t>
      </w:r>
      <w:r w:rsidR="00A23379" w:rsidRPr="006A7000">
        <w:rPr>
          <w:sz w:val="24"/>
          <w:szCs w:val="24"/>
        </w:rPr>
        <w:t xml:space="preserve">. </w:t>
      </w:r>
      <w:r w:rsidR="0020129D" w:rsidRPr="006A7000">
        <w:rPr>
          <w:sz w:val="24"/>
          <w:szCs w:val="24"/>
        </w:rPr>
        <w:t>The</w:t>
      </w:r>
      <w:r w:rsidR="007D2064" w:rsidRPr="006A7000">
        <w:rPr>
          <w:sz w:val="24"/>
          <w:szCs w:val="24"/>
        </w:rPr>
        <w:t xml:space="preserve"> </w:t>
      </w:r>
      <w:r w:rsidR="00CD51E7" w:rsidRPr="006A7000">
        <w:rPr>
          <w:sz w:val="24"/>
          <w:szCs w:val="24"/>
        </w:rPr>
        <w:t>observed large treatment effect for END (</w:t>
      </w:r>
      <w:r w:rsidR="00F96F30" w:rsidRPr="006A7000">
        <w:rPr>
          <w:sz w:val="24"/>
          <w:szCs w:val="24"/>
        </w:rPr>
        <w:t>DFS</w:t>
      </w:r>
      <w:r w:rsidR="00FE5A81" w:rsidRPr="006A7000">
        <w:rPr>
          <w:sz w:val="24"/>
          <w:szCs w:val="24"/>
        </w:rPr>
        <w:t xml:space="preserve"> </w:t>
      </w:r>
      <w:r w:rsidR="00CD51E7" w:rsidRPr="006A7000">
        <w:rPr>
          <w:sz w:val="24"/>
          <w:szCs w:val="24"/>
        </w:rPr>
        <w:t xml:space="preserve">HR 0.45) from </w:t>
      </w:r>
      <w:r w:rsidR="005252CA" w:rsidRPr="006A7000">
        <w:rPr>
          <w:sz w:val="24"/>
          <w:szCs w:val="24"/>
        </w:rPr>
        <w:t xml:space="preserve">the </w:t>
      </w:r>
      <w:r w:rsidR="00CD51E7" w:rsidRPr="006A7000">
        <w:rPr>
          <w:sz w:val="24"/>
          <w:szCs w:val="24"/>
        </w:rPr>
        <w:t xml:space="preserve">Mumbai </w:t>
      </w:r>
      <w:r w:rsidR="00177752" w:rsidRPr="006A7000">
        <w:rPr>
          <w:sz w:val="24"/>
          <w:szCs w:val="24"/>
        </w:rPr>
        <w:t>trial</w:t>
      </w:r>
      <w:r w:rsidR="005252CA" w:rsidRPr="006A7000">
        <w:rPr>
          <w:sz w:val="24"/>
          <w:szCs w:val="24"/>
        </w:rPr>
        <w:t xml:space="preserve"> </w:t>
      </w:r>
      <w:r w:rsidR="007B432C" w:rsidRPr="006A7000">
        <w:rPr>
          <w:sz w:val="24"/>
          <w:szCs w:val="24"/>
        </w:rPr>
        <w:t xml:space="preserve">might </w:t>
      </w:r>
      <w:r w:rsidR="001E2E6D" w:rsidRPr="006A7000">
        <w:rPr>
          <w:sz w:val="24"/>
          <w:szCs w:val="24"/>
        </w:rPr>
        <w:t xml:space="preserve">be </w:t>
      </w:r>
      <w:r w:rsidR="00B62912" w:rsidRPr="006A7000">
        <w:rPr>
          <w:sz w:val="24"/>
          <w:szCs w:val="24"/>
        </w:rPr>
        <w:t>partly due to it coming from</w:t>
      </w:r>
      <w:r w:rsidR="001E2E6D" w:rsidRPr="006A7000">
        <w:rPr>
          <w:sz w:val="24"/>
          <w:szCs w:val="24"/>
        </w:rPr>
        <w:t xml:space="preserve"> an</w:t>
      </w:r>
      <w:r w:rsidR="00CD51E7" w:rsidRPr="006A7000">
        <w:rPr>
          <w:sz w:val="24"/>
          <w:szCs w:val="24"/>
        </w:rPr>
        <w:t xml:space="preserve"> </w:t>
      </w:r>
      <w:r w:rsidR="00CB10F8" w:rsidRPr="006A7000">
        <w:rPr>
          <w:sz w:val="24"/>
          <w:szCs w:val="24"/>
        </w:rPr>
        <w:t>internationally renowned</w:t>
      </w:r>
      <w:r w:rsidR="00CD51E7" w:rsidRPr="006A7000">
        <w:rPr>
          <w:sz w:val="24"/>
          <w:szCs w:val="24"/>
        </w:rPr>
        <w:t xml:space="preserve"> institution</w:t>
      </w:r>
      <w:r w:rsidR="00B62912" w:rsidRPr="006A7000">
        <w:rPr>
          <w:sz w:val="24"/>
          <w:szCs w:val="24"/>
        </w:rPr>
        <w:t xml:space="preserve">, </w:t>
      </w:r>
      <w:r w:rsidR="00EE3716" w:rsidRPr="006A7000">
        <w:rPr>
          <w:sz w:val="24"/>
          <w:szCs w:val="24"/>
        </w:rPr>
        <w:t>and with</w:t>
      </w:r>
      <w:r w:rsidR="00B62912" w:rsidRPr="006A7000">
        <w:rPr>
          <w:sz w:val="24"/>
          <w:szCs w:val="24"/>
        </w:rPr>
        <w:t xml:space="preserve"> relatively few surgeons involved in the trial, </w:t>
      </w:r>
      <w:r w:rsidR="000808DC" w:rsidRPr="006A7000">
        <w:rPr>
          <w:sz w:val="24"/>
          <w:szCs w:val="24"/>
        </w:rPr>
        <w:t>most</w:t>
      </w:r>
      <w:r w:rsidR="001E2E6D" w:rsidRPr="006A7000">
        <w:rPr>
          <w:sz w:val="24"/>
          <w:szCs w:val="24"/>
        </w:rPr>
        <w:t xml:space="preserve"> of </w:t>
      </w:r>
      <w:r w:rsidR="00B62912" w:rsidRPr="006A7000">
        <w:rPr>
          <w:sz w:val="24"/>
          <w:szCs w:val="24"/>
        </w:rPr>
        <w:t>whom</w:t>
      </w:r>
      <w:r w:rsidR="00CB10F8" w:rsidRPr="006A7000">
        <w:rPr>
          <w:sz w:val="24"/>
          <w:szCs w:val="24"/>
        </w:rPr>
        <w:t xml:space="preserve"> </w:t>
      </w:r>
      <w:r w:rsidR="00B62912" w:rsidRPr="006A7000">
        <w:rPr>
          <w:sz w:val="24"/>
          <w:szCs w:val="24"/>
        </w:rPr>
        <w:t xml:space="preserve">were </w:t>
      </w:r>
      <w:r w:rsidR="00CB10F8" w:rsidRPr="006A7000">
        <w:rPr>
          <w:sz w:val="24"/>
          <w:szCs w:val="24"/>
        </w:rPr>
        <w:t>train</w:t>
      </w:r>
      <w:r w:rsidR="00B62912" w:rsidRPr="006A7000">
        <w:rPr>
          <w:sz w:val="24"/>
          <w:szCs w:val="24"/>
        </w:rPr>
        <w:t xml:space="preserve">ed </w:t>
      </w:r>
      <w:r w:rsidR="000808DC" w:rsidRPr="006A7000">
        <w:rPr>
          <w:sz w:val="24"/>
          <w:szCs w:val="24"/>
        </w:rPr>
        <w:t>“in house”</w:t>
      </w:r>
      <w:r w:rsidR="0020129D" w:rsidRPr="006A7000">
        <w:rPr>
          <w:sz w:val="24"/>
          <w:szCs w:val="24"/>
        </w:rPr>
        <w:t>.</w:t>
      </w:r>
      <w:r w:rsidR="007D2064" w:rsidRPr="006A7000">
        <w:rPr>
          <w:sz w:val="24"/>
          <w:szCs w:val="24"/>
        </w:rPr>
        <w:t xml:space="preserve"> </w:t>
      </w:r>
      <w:r w:rsidR="00E464FF" w:rsidRPr="006A7000">
        <w:rPr>
          <w:sz w:val="24"/>
          <w:szCs w:val="24"/>
        </w:rPr>
        <w:t>Therefore</w:t>
      </w:r>
      <w:r w:rsidR="004F08B4" w:rsidRPr="006A7000">
        <w:rPr>
          <w:sz w:val="24"/>
          <w:szCs w:val="24"/>
        </w:rPr>
        <w:t>,</w:t>
      </w:r>
      <w:r w:rsidR="00E464FF" w:rsidRPr="006A7000">
        <w:rPr>
          <w:sz w:val="24"/>
          <w:szCs w:val="24"/>
        </w:rPr>
        <w:t xml:space="preserve"> </w:t>
      </w:r>
      <w:r w:rsidR="007D2064" w:rsidRPr="006A7000">
        <w:rPr>
          <w:sz w:val="24"/>
          <w:szCs w:val="24"/>
        </w:rPr>
        <w:t xml:space="preserve">its results may not </w:t>
      </w:r>
      <w:r w:rsidR="00CD51E7" w:rsidRPr="006A7000">
        <w:rPr>
          <w:sz w:val="24"/>
          <w:szCs w:val="24"/>
        </w:rPr>
        <w:t xml:space="preserve">be generalisable to </w:t>
      </w:r>
      <w:r w:rsidR="007D2064" w:rsidRPr="006A7000">
        <w:rPr>
          <w:sz w:val="24"/>
          <w:szCs w:val="24"/>
        </w:rPr>
        <w:t xml:space="preserve">every </w:t>
      </w:r>
      <w:r w:rsidR="004A59AB" w:rsidRPr="006A7000">
        <w:rPr>
          <w:sz w:val="24"/>
          <w:szCs w:val="24"/>
        </w:rPr>
        <w:t xml:space="preserve">head and neck </w:t>
      </w:r>
      <w:r w:rsidR="007D2064" w:rsidRPr="006A7000">
        <w:rPr>
          <w:sz w:val="24"/>
          <w:szCs w:val="24"/>
        </w:rPr>
        <w:t>cancer surgeon</w:t>
      </w:r>
      <w:r w:rsidR="00CD51E7" w:rsidRPr="006A7000">
        <w:rPr>
          <w:sz w:val="24"/>
          <w:szCs w:val="24"/>
        </w:rPr>
        <w:t xml:space="preserve">. </w:t>
      </w:r>
      <w:r w:rsidR="00E464FF" w:rsidRPr="006A7000">
        <w:rPr>
          <w:sz w:val="24"/>
          <w:szCs w:val="24"/>
        </w:rPr>
        <w:t>Conversely, t</w:t>
      </w:r>
      <w:r w:rsidR="00CD51E7" w:rsidRPr="006A7000">
        <w:rPr>
          <w:sz w:val="24"/>
          <w:szCs w:val="24"/>
        </w:rPr>
        <w:t xml:space="preserve">he SEND trial </w:t>
      </w:r>
      <w:r w:rsidR="007D2064" w:rsidRPr="006A7000">
        <w:rPr>
          <w:sz w:val="24"/>
          <w:szCs w:val="24"/>
        </w:rPr>
        <w:t>generated results</w:t>
      </w:r>
      <w:r w:rsidR="00CD51E7" w:rsidRPr="006A7000">
        <w:rPr>
          <w:sz w:val="24"/>
          <w:szCs w:val="24"/>
        </w:rPr>
        <w:t xml:space="preserve"> </w:t>
      </w:r>
      <w:r w:rsidR="007D2064" w:rsidRPr="006A7000">
        <w:rPr>
          <w:sz w:val="24"/>
          <w:szCs w:val="24"/>
        </w:rPr>
        <w:t xml:space="preserve">with surgeons who trained and operate in </w:t>
      </w:r>
      <w:r w:rsidR="007D2064" w:rsidRPr="006A7000">
        <w:rPr>
          <w:sz w:val="24"/>
          <w:szCs w:val="24"/>
        </w:rPr>
        <w:lastRenderedPageBreak/>
        <w:t>many different institutions</w:t>
      </w:r>
      <w:r w:rsidR="007D2064" w:rsidRPr="006A7000" w:rsidDel="007D2064">
        <w:rPr>
          <w:sz w:val="24"/>
          <w:szCs w:val="24"/>
        </w:rPr>
        <w:t xml:space="preserve"> </w:t>
      </w:r>
      <w:r w:rsidR="007D2064" w:rsidRPr="006A7000">
        <w:rPr>
          <w:sz w:val="24"/>
          <w:szCs w:val="24"/>
        </w:rPr>
        <w:t xml:space="preserve">so </w:t>
      </w:r>
      <w:r w:rsidR="00CD51E7" w:rsidRPr="006A7000">
        <w:rPr>
          <w:sz w:val="24"/>
          <w:szCs w:val="24"/>
        </w:rPr>
        <w:t xml:space="preserve">are more representative of </w:t>
      </w:r>
      <w:r w:rsidR="004A59AB" w:rsidRPr="006A7000">
        <w:rPr>
          <w:sz w:val="24"/>
          <w:szCs w:val="24"/>
        </w:rPr>
        <w:t xml:space="preserve">head and neck </w:t>
      </w:r>
      <w:r w:rsidR="00CD51E7" w:rsidRPr="006A7000">
        <w:rPr>
          <w:sz w:val="24"/>
          <w:szCs w:val="24"/>
        </w:rPr>
        <w:t>cancer centre</w:t>
      </w:r>
      <w:r w:rsidR="00EE3716" w:rsidRPr="006A7000">
        <w:rPr>
          <w:sz w:val="24"/>
          <w:szCs w:val="24"/>
        </w:rPr>
        <w:t>s</w:t>
      </w:r>
      <w:r w:rsidR="004A59AB" w:rsidRPr="006A7000">
        <w:rPr>
          <w:sz w:val="24"/>
          <w:szCs w:val="24"/>
        </w:rPr>
        <w:t xml:space="preserve"> and surgeon</w:t>
      </w:r>
      <w:r w:rsidR="00EE3716" w:rsidRPr="006A7000">
        <w:rPr>
          <w:sz w:val="24"/>
          <w:szCs w:val="24"/>
        </w:rPr>
        <w:t>s</w:t>
      </w:r>
      <w:r w:rsidR="00F96F30" w:rsidRPr="006A7000">
        <w:rPr>
          <w:sz w:val="24"/>
          <w:szCs w:val="24"/>
        </w:rPr>
        <w:t xml:space="preserve"> (DFS HR 0.66)</w:t>
      </w:r>
      <w:r w:rsidR="007E130D" w:rsidRPr="006A7000">
        <w:rPr>
          <w:sz w:val="24"/>
          <w:szCs w:val="24"/>
        </w:rPr>
        <w:t>.</w:t>
      </w:r>
    </w:p>
    <w:p w14:paraId="3E3303BD" w14:textId="22CCFD1C" w:rsidR="00F96F30" w:rsidRPr="006A7000" w:rsidRDefault="00F96F30" w:rsidP="00B95772">
      <w:pPr>
        <w:spacing w:line="480" w:lineRule="auto"/>
        <w:rPr>
          <w:sz w:val="24"/>
          <w:szCs w:val="24"/>
        </w:rPr>
      </w:pPr>
      <w:r w:rsidRPr="006A7000">
        <w:rPr>
          <w:sz w:val="24"/>
          <w:szCs w:val="24"/>
        </w:rPr>
        <w:t>Several patient factors differed between the Mumbai</w:t>
      </w:r>
      <w:r w:rsidRPr="006A7000">
        <w:rPr>
          <w:sz w:val="24"/>
          <w:szCs w:val="24"/>
          <w:vertAlign w:val="superscript"/>
        </w:rPr>
        <w:t>1</w:t>
      </w:r>
      <w:r w:rsidR="00517E4F" w:rsidRPr="006A7000">
        <w:rPr>
          <w:sz w:val="24"/>
          <w:szCs w:val="24"/>
          <w:vertAlign w:val="superscript"/>
        </w:rPr>
        <w:t>3</w:t>
      </w:r>
      <w:r w:rsidRPr="006A7000">
        <w:rPr>
          <w:sz w:val="24"/>
          <w:szCs w:val="24"/>
        </w:rPr>
        <w:t xml:space="preserve"> and SEND trials</w:t>
      </w:r>
      <w:r w:rsidR="007D2064" w:rsidRPr="006A7000">
        <w:rPr>
          <w:sz w:val="24"/>
          <w:szCs w:val="24"/>
        </w:rPr>
        <w:t>:</w:t>
      </w:r>
      <w:r w:rsidRPr="006A7000">
        <w:rPr>
          <w:sz w:val="24"/>
          <w:szCs w:val="24"/>
        </w:rPr>
        <w:t xml:space="preserve"> </w:t>
      </w:r>
      <w:r w:rsidR="007D2064" w:rsidRPr="006A7000">
        <w:rPr>
          <w:sz w:val="24"/>
          <w:szCs w:val="24"/>
        </w:rPr>
        <w:t>t</w:t>
      </w:r>
      <w:r w:rsidRPr="006A7000">
        <w:rPr>
          <w:sz w:val="24"/>
          <w:szCs w:val="24"/>
        </w:rPr>
        <w:t>he</w:t>
      </w:r>
      <w:r w:rsidR="00A23379" w:rsidRPr="006A7000">
        <w:rPr>
          <w:sz w:val="24"/>
          <w:szCs w:val="24"/>
        </w:rPr>
        <w:t xml:space="preserve"> mean age</w:t>
      </w:r>
      <w:r w:rsidR="007D2064" w:rsidRPr="006A7000">
        <w:rPr>
          <w:sz w:val="24"/>
          <w:szCs w:val="24"/>
        </w:rPr>
        <w:t>s</w:t>
      </w:r>
      <w:r w:rsidR="00A23379" w:rsidRPr="006A7000">
        <w:rPr>
          <w:sz w:val="24"/>
          <w:szCs w:val="24"/>
        </w:rPr>
        <w:t xml:space="preserve"> 48 </w:t>
      </w:r>
      <w:r w:rsidRPr="006A7000">
        <w:rPr>
          <w:sz w:val="24"/>
          <w:szCs w:val="24"/>
        </w:rPr>
        <w:t xml:space="preserve">(Mumbai) </w:t>
      </w:r>
      <w:r w:rsidR="00A23379" w:rsidRPr="006A7000">
        <w:rPr>
          <w:sz w:val="24"/>
          <w:szCs w:val="24"/>
        </w:rPr>
        <w:t xml:space="preserve">versus 63 years </w:t>
      </w:r>
      <w:r w:rsidR="00890921" w:rsidRPr="006A7000">
        <w:rPr>
          <w:sz w:val="24"/>
          <w:szCs w:val="24"/>
        </w:rPr>
        <w:t>(</w:t>
      </w:r>
      <w:r w:rsidR="00A23379" w:rsidRPr="006A7000">
        <w:rPr>
          <w:sz w:val="24"/>
          <w:szCs w:val="24"/>
        </w:rPr>
        <w:t>SEND)</w:t>
      </w:r>
      <w:r w:rsidRPr="006A7000">
        <w:rPr>
          <w:sz w:val="24"/>
          <w:szCs w:val="24"/>
        </w:rPr>
        <w:t>;</w:t>
      </w:r>
      <w:r w:rsidR="00A23379" w:rsidRPr="006A7000">
        <w:rPr>
          <w:sz w:val="24"/>
          <w:szCs w:val="24"/>
        </w:rPr>
        <w:t xml:space="preserve"> </w:t>
      </w:r>
      <w:r w:rsidR="005C32FC" w:rsidRPr="006A7000">
        <w:rPr>
          <w:sz w:val="24"/>
          <w:szCs w:val="24"/>
        </w:rPr>
        <w:t xml:space="preserve">male 75% </w:t>
      </w:r>
      <w:r w:rsidR="00A034E0" w:rsidRPr="006A7000">
        <w:rPr>
          <w:sz w:val="24"/>
          <w:szCs w:val="24"/>
        </w:rPr>
        <w:t>versus</w:t>
      </w:r>
      <w:r w:rsidR="005C32FC" w:rsidRPr="006A7000">
        <w:rPr>
          <w:sz w:val="24"/>
          <w:szCs w:val="24"/>
        </w:rPr>
        <w:t xml:space="preserve"> 64%</w:t>
      </w:r>
      <w:r w:rsidR="00AB254F" w:rsidRPr="006A7000">
        <w:rPr>
          <w:sz w:val="24"/>
          <w:szCs w:val="24"/>
        </w:rPr>
        <w:t>;</w:t>
      </w:r>
      <w:r w:rsidR="005C32FC" w:rsidRPr="006A7000">
        <w:rPr>
          <w:sz w:val="24"/>
          <w:szCs w:val="24"/>
        </w:rPr>
        <w:t xml:space="preserve"> </w:t>
      </w:r>
      <w:r w:rsidR="00A23379" w:rsidRPr="006A7000">
        <w:rPr>
          <w:sz w:val="24"/>
          <w:szCs w:val="24"/>
        </w:rPr>
        <w:t>tongue tumours 85</w:t>
      </w:r>
      <w:r w:rsidR="004779AE" w:rsidRPr="006A7000">
        <w:rPr>
          <w:sz w:val="24"/>
          <w:szCs w:val="24"/>
        </w:rPr>
        <w:t>%</w:t>
      </w:r>
      <w:r w:rsidR="00A23379" w:rsidRPr="006A7000">
        <w:rPr>
          <w:sz w:val="24"/>
          <w:szCs w:val="24"/>
        </w:rPr>
        <w:t xml:space="preserve"> </w:t>
      </w:r>
      <w:r w:rsidR="00A034E0" w:rsidRPr="006A7000">
        <w:rPr>
          <w:sz w:val="24"/>
          <w:szCs w:val="24"/>
        </w:rPr>
        <w:t>versus</w:t>
      </w:r>
      <w:r w:rsidR="00A23379" w:rsidRPr="006A7000">
        <w:rPr>
          <w:sz w:val="24"/>
          <w:szCs w:val="24"/>
        </w:rPr>
        <w:t xml:space="preserve"> 61%</w:t>
      </w:r>
      <w:r w:rsidR="00AB254F" w:rsidRPr="006A7000">
        <w:rPr>
          <w:sz w:val="24"/>
          <w:szCs w:val="24"/>
        </w:rPr>
        <w:t xml:space="preserve">; </w:t>
      </w:r>
      <w:r w:rsidR="00A23379" w:rsidRPr="006A7000">
        <w:rPr>
          <w:sz w:val="24"/>
          <w:szCs w:val="24"/>
        </w:rPr>
        <w:t>floor of mouth 1</w:t>
      </w:r>
      <w:r w:rsidR="004779AE" w:rsidRPr="006A7000">
        <w:rPr>
          <w:sz w:val="24"/>
          <w:szCs w:val="24"/>
        </w:rPr>
        <w:t>%</w:t>
      </w:r>
      <w:r w:rsidR="00A23379" w:rsidRPr="006A7000">
        <w:rPr>
          <w:sz w:val="24"/>
          <w:szCs w:val="24"/>
        </w:rPr>
        <w:t xml:space="preserve"> </w:t>
      </w:r>
      <w:r w:rsidR="00A034E0" w:rsidRPr="006A7000">
        <w:rPr>
          <w:sz w:val="24"/>
          <w:szCs w:val="24"/>
        </w:rPr>
        <w:t>versus</w:t>
      </w:r>
      <w:r w:rsidR="00A23379" w:rsidRPr="006A7000">
        <w:rPr>
          <w:sz w:val="24"/>
          <w:szCs w:val="24"/>
        </w:rPr>
        <w:t xml:space="preserve"> 19%</w:t>
      </w:r>
      <w:r w:rsidR="00DA5A38" w:rsidRPr="006A7000">
        <w:rPr>
          <w:sz w:val="24"/>
          <w:szCs w:val="24"/>
        </w:rPr>
        <w:t>;</w:t>
      </w:r>
      <w:r w:rsidR="00A23379" w:rsidRPr="006A7000">
        <w:rPr>
          <w:sz w:val="24"/>
          <w:szCs w:val="24"/>
        </w:rPr>
        <w:t xml:space="preserve"> </w:t>
      </w:r>
      <w:r w:rsidR="005C32FC" w:rsidRPr="006A7000">
        <w:rPr>
          <w:sz w:val="24"/>
          <w:szCs w:val="24"/>
        </w:rPr>
        <w:t xml:space="preserve">and </w:t>
      </w:r>
      <w:r w:rsidR="00A23379" w:rsidRPr="006A7000">
        <w:rPr>
          <w:sz w:val="24"/>
          <w:szCs w:val="24"/>
        </w:rPr>
        <w:t>T1-stage 44</w:t>
      </w:r>
      <w:r w:rsidR="004779AE" w:rsidRPr="006A7000">
        <w:rPr>
          <w:sz w:val="24"/>
          <w:szCs w:val="24"/>
        </w:rPr>
        <w:t>%</w:t>
      </w:r>
      <w:r w:rsidR="00A23379" w:rsidRPr="006A7000">
        <w:rPr>
          <w:sz w:val="24"/>
          <w:szCs w:val="24"/>
        </w:rPr>
        <w:t xml:space="preserve"> </w:t>
      </w:r>
      <w:r w:rsidR="00A034E0" w:rsidRPr="006A7000">
        <w:rPr>
          <w:sz w:val="24"/>
          <w:szCs w:val="24"/>
        </w:rPr>
        <w:t>versus</w:t>
      </w:r>
      <w:r w:rsidR="00A23379" w:rsidRPr="006A7000">
        <w:rPr>
          <w:sz w:val="24"/>
          <w:szCs w:val="24"/>
        </w:rPr>
        <w:t xml:space="preserve"> 64%</w:t>
      </w:r>
      <w:r w:rsidR="005C32FC" w:rsidRPr="006A7000">
        <w:rPr>
          <w:sz w:val="24"/>
          <w:szCs w:val="24"/>
        </w:rPr>
        <w:t xml:space="preserve">. </w:t>
      </w:r>
      <w:r w:rsidR="00DA5A38" w:rsidRPr="006A7000">
        <w:rPr>
          <w:sz w:val="24"/>
          <w:szCs w:val="24"/>
        </w:rPr>
        <w:t>O</w:t>
      </w:r>
      <w:r w:rsidR="006B64FC" w:rsidRPr="006A7000">
        <w:rPr>
          <w:sz w:val="24"/>
          <w:szCs w:val="24"/>
        </w:rPr>
        <w:t xml:space="preserve">utcomes </w:t>
      </w:r>
      <w:r w:rsidRPr="006A7000">
        <w:rPr>
          <w:sz w:val="24"/>
          <w:szCs w:val="24"/>
        </w:rPr>
        <w:t xml:space="preserve">also </w:t>
      </w:r>
      <w:r w:rsidR="005C32FC" w:rsidRPr="006A7000">
        <w:rPr>
          <w:sz w:val="24"/>
          <w:szCs w:val="24"/>
        </w:rPr>
        <w:t>differed</w:t>
      </w:r>
      <w:r w:rsidR="006B64FC" w:rsidRPr="006A7000">
        <w:rPr>
          <w:sz w:val="24"/>
          <w:szCs w:val="24"/>
        </w:rPr>
        <w:t xml:space="preserve"> between these two trials</w:t>
      </w:r>
      <w:r w:rsidRPr="006A7000">
        <w:rPr>
          <w:sz w:val="24"/>
          <w:szCs w:val="24"/>
        </w:rPr>
        <w:t>,</w:t>
      </w:r>
      <w:r w:rsidR="00F27A40" w:rsidRPr="006A7000">
        <w:rPr>
          <w:sz w:val="24"/>
          <w:szCs w:val="24"/>
        </w:rPr>
        <w:t xml:space="preserve"> with higher survival for resection only patients in SEND</w:t>
      </w:r>
      <w:r w:rsidR="006B64FC" w:rsidRPr="006A7000">
        <w:rPr>
          <w:sz w:val="24"/>
          <w:szCs w:val="24"/>
        </w:rPr>
        <w:t>.</w:t>
      </w:r>
      <w:r w:rsidR="005C32FC" w:rsidRPr="006A7000">
        <w:rPr>
          <w:sz w:val="24"/>
          <w:szCs w:val="24"/>
        </w:rPr>
        <w:t xml:space="preserve"> </w:t>
      </w:r>
      <w:r w:rsidR="009903F8" w:rsidRPr="006A7000">
        <w:rPr>
          <w:sz w:val="24"/>
          <w:szCs w:val="24"/>
        </w:rPr>
        <w:t>For the Mumbai trial t</w:t>
      </w:r>
      <w:r w:rsidR="005C32FC" w:rsidRPr="006A7000">
        <w:rPr>
          <w:sz w:val="24"/>
          <w:szCs w:val="24"/>
        </w:rPr>
        <w:t xml:space="preserve">he 3-year DFS rates for END </w:t>
      </w:r>
      <w:r w:rsidR="00A034E0" w:rsidRPr="006A7000">
        <w:rPr>
          <w:sz w:val="24"/>
          <w:szCs w:val="24"/>
        </w:rPr>
        <w:t>versus</w:t>
      </w:r>
      <w:r w:rsidR="005C32FC" w:rsidRPr="006A7000">
        <w:rPr>
          <w:sz w:val="24"/>
          <w:szCs w:val="24"/>
        </w:rPr>
        <w:t xml:space="preserve"> </w:t>
      </w:r>
      <w:r w:rsidR="00741E73" w:rsidRPr="006A7000">
        <w:rPr>
          <w:sz w:val="24"/>
          <w:szCs w:val="24"/>
        </w:rPr>
        <w:t xml:space="preserve">resection only </w:t>
      </w:r>
      <w:r w:rsidR="005C32FC" w:rsidRPr="006A7000">
        <w:rPr>
          <w:sz w:val="24"/>
          <w:szCs w:val="24"/>
        </w:rPr>
        <w:t>were 70</w:t>
      </w:r>
      <w:r w:rsidR="009903F8" w:rsidRPr="006A7000">
        <w:rPr>
          <w:sz w:val="24"/>
          <w:szCs w:val="24"/>
        </w:rPr>
        <w:t>%</w:t>
      </w:r>
      <w:r w:rsidR="005C32FC" w:rsidRPr="006A7000">
        <w:rPr>
          <w:sz w:val="24"/>
          <w:szCs w:val="24"/>
        </w:rPr>
        <w:t xml:space="preserve"> </w:t>
      </w:r>
      <w:r w:rsidR="00A034E0" w:rsidRPr="006A7000">
        <w:rPr>
          <w:sz w:val="24"/>
          <w:szCs w:val="24"/>
        </w:rPr>
        <w:t>versus</w:t>
      </w:r>
      <w:r w:rsidR="005C32FC" w:rsidRPr="006A7000">
        <w:rPr>
          <w:sz w:val="24"/>
          <w:szCs w:val="24"/>
        </w:rPr>
        <w:t xml:space="preserve"> 46%, and OS rates 80</w:t>
      </w:r>
      <w:r w:rsidR="009903F8" w:rsidRPr="006A7000">
        <w:rPr>
          <w:sz w:val="24"/>
          <w:szCs w:val="24"/>
        </w:rPr>
        <w:t>%</w:t>
      </w:r>
      <w:r w:rsidR="005C32FC" w:rsidRPr="006A7000">
        <w:rPr>
          <w:sz w:val="24"/>
          <w:szCs w:val="24"/>
        </w:rPr>
        <w:t xml:space="preserve"> </w:t>
      </w:r>
      <w:r w:rsidR="00A034E0" w:rsidRPr="006A7000">
        <w:rPr>
          <w:sz w:val="24"/>
          <w:szCs w:val="24"/>
        </w:rPr>
        <w:t>versus</w:t>
      </w:r>
      <w:r w:rsidR="005C32FC" w:rsidRPr="006A7000">
        <w:rPr>
          <w:sz w:val="24"/>
          <w:szCs w:val="24"/>
        </w:rPr>
        <w:t xml:space="preserve"> 67%; whilst in SEND they were 7</w:t>
      </w:r>
      <w:r w:rsidR="00CD51E7" w:rsidRPr="006A7000">
        <w:rPr>
          <w:sz w:val="24"/>
          <w:szCs w:val="24"/>
        </w:rPr>
        <w:t>0</w:t>
      </w:r>
      <w:r w:rsidR="009903F8" w:rsidRPr="006A7000">
        <w:rPr>
          <w:sz w:val="24"/>
          <w:szCs w:val="24"/>
        </w:rPr>
        <w:t>%</w:t>
      </w:r>
      <w:r w:rsidR="00CD51E7" w:rsidRPr="006A7000">
        <w:rPr>
          <w:sz w:val="24"/>
          <w:szCs w:val="24"/>
        </w:rPr>
        <w:t xml:space="preserve"> </w:t>
      </w:r>
      <w:r w:rsidR="00A034E0" w:rsidRPr="006A7000">
        <w:rPr>
          <w:sz w:val="24"/>
          <w:szCs w:val="24"/>
        </w:rPr>
        <w:t>versus</w:t>
      </w:r>
      <w:r w:rsidR="00CD51E7" w:rsidRPr="006A7000">
        <w:rPr>
          <w:sz w:val="24"/>
          <w:szCs w:val="24"/>
        </w:rPr>
        <w:t xml:space="preserve"> 57% (DFS) and 82</w:t>
      </w:r>
      <w:r w:rsidR="009903F8" w:rsidRPr="006A7000">
        <w:rPr>
          <w:sz w:val="24"/>
          <w:szCs w:val="24"/>
        </w:rPr>
        <w:t>%</w:t>
      </w:r>
      <w:r w:rsidR="00CD51E7" w:rsidRPr="006A7000">
        <w:rPr>
          <w:sz w:val="24"/>
          <w:szCs w:val="24"/>
        </w:rPr>
        <w:t xml:space="preserve"> </w:t>
      </w:r>
      <w:r w:rsidR="00A034E0" w:rsidRPr="006A7000">
        <w:rPr>
          <w:sz w:val="24"/>
          <w:szCs w:val="24"/>
        </w:rPr>
        <w:t>versus</w:t>
      </w:r>
      <w:r w:rsidR="00CD51E7" w:rsidRPr="006A7000">
        <w:rPr>
          <w:sz w:val="24"/>
          <w:szCs w:val="24"/>
        </w:rPr>
        <w:t xml:space="preserve"> 77</w:t>
      </w:r>
      <w:r w:rsidR="005C32FC" w:rsidRPr="006A7000">
        <w:rPr>
          <w:sz w:val="24"/>
          <w:szCs w:val="24"/>
        </w:rPr>
        <w:t>% (OS)</w:t>
      </w:r>
      <w:r w:rsidR="00262997" w:rsidRPr="006A7000">
        <w:rPr>
          <w:sz w:val="24"/>
          <w:szCs w:val="24"/>
        </w:rPr>
        <w:t xml:space="preserve">; consistent with </w:t>
      </w:r>
      <w:r w:rsidR="00886FDC" w:rsidRPr="006A7000">
        <w:rPr>
          <w:sz w:val="24"/>
          <w:szCs w:val="24"/>
        </w:rPr>
        <w:t xml:space="preserve">outcomes from </w:t>
      </w:r>
      <w:r w:rsidR="00094EE1" w:rsidRPr="006A7000">
        <w:rPr>
          <w:sz w:val="24"/>
          <w:szCs w:val="24"/>
        </w:rPr>
        <w:t>recently reported large</w:t>
      </w:r>
      <w:r w:rsidR="008E2FF4" w:rsidRPr="006A7000">
        <w:rPr>
          <w:sz w:val="24"/>
          <w:szCs w:val="24"/>
        </w:rPr>
        <w:t xml:space="preserve"> scale retrospective</w:t>
      </w:r>
      <w:r w:rsidR="00094EE1" w:rsidRPr="006A7000">
        <w:rPr>
          <w:sz w:val="24"/>
          <w:szCs w:val="24"/>
        </w:rPr>
        <w:t xml:space="preserve"> studies.</w:t>
      </w:r>
      <w:r w:rsidR="00251944" w:rsidRPr="006A7000">
        <w:rPr>
          <w:sz w:val="24"/>
          <w:szCs w:val="24"/>
          <w:vertAlign w:val="superscript"/>
        </w:rPr>
        <w:t>2</w:t>
      </w:r>
      <w:r w:rsidR="006E01E3" w:rsidRPr="006A7000">
        <w:rPr>
          <w:sz w:val="24"/>
          <w:szCs w:val="24"/>
          <w:vertAlign w:val="superscript"/>
        </w:rPr>
        <w:t>4</w:t>
      </w:r>
      <w:r w:rsidR="00251944" w:rsidRPr="006A7000">
        <w:rPr>
          <w:sz w:val="24"/>
          <w:szCs w:val="24"/>
          <w:vertAlign w:val="superscript"/>
        </w:rPr>
        <w:t>,2</w:t>
      </w:r>
      <w:r w:rsidR="006E01E3" w:rsidRPr="006A7000">
        <w:rPr>
          <w:sz w:val="24"/>
          <w:szCs w:val="24"/>
          <w:vertAlign w:val="superscript"/>
        </w:rPr>
        <w:t>5</w:t>
      </w:r>
      <w:r w:rsidR="00094EE1" w:rsidRPr="006A7000">
        <w:rPr>
          <w:sz w:val="24"/>
          <w:szCs w:val="24"/>
        </w:rPr>
        <w:t xml:space="preserve"> </w:t>
      </w:r>
      <w:r w:rsidR="002C30E1" w:rsidRPr="006A7000">
        <w:rPr>
          <w:sz w:val="24"/>
          <w:szCs w:val="24"/>
        </w:rPr>
        <w:t>The higher OS and DFS rates in SEND patients who had resection only could be due to having more favourable disease (lower stage disease) than in the Mumbai patients.</w:t>
      </w:r>
      <w:r w:rsidR="002C0151" w:rsidRPr="006A7000">
        <w:rPr>
          <w:sz w:val="24"/>
          <w:szCs w:val="24"/>
        </w:rPr>
        <w:t xml:space="preserve"> Despite these differences, both trials show an impr</w:t>
      </w:r>
      <w:r w:rsidR="00CD51E7" w:rsidRPr="006A7000">
        <w:rPr>
          <w:sz w:val="24"/>
          <w:szCs w:val="24"/>
        </w:rPr>
        <w:t>ovement in OS (HRs 0.64 and 0.71) and DFS (HRs 0.45 and 0.6</w:t>
      </w:r>
      <w:r w:rsidR="00E82F4D" w:rsidRPr="006A7000">
        <w:rPr>
          <w:sz w:val="24"/>
          <w:szCs w:val="24"/>
        </w:rPr>
        <w:t>6</w:t>
      </w:r>
      <w:r w:rsidR="002C0151" w:rsidRPr="006A7000">
        <w:rPr>
          <w:sz w:val="24"/>
          <w:szCs w:val="24"/>
        </w:rPr>
        <w:t>)</w:t>
      </w:r>
      <w:r w:rsidR="00CD51E7" w:rsidRPr="006A7000">
        <w:rPr>
          <w:sz w:val="24"/>
          <w:szCs w:val="24"/>
        </w:rPr>
        <w:t>, though the effects were more conservative in the UK trial</w:t>
      </w:r>
      <w:r w:rsidR="006B64FC" w:rsidRPr="006A7000">
        <w:rPr>
          <w:sz w:val="24"/>
          <w:szCs w:val="24"/>
        </w:rPr>
        <w:t>.</w:t>
      </w:r>
      <w:r w:rsidR="00F45E28" w:rsidRPr="006A7000">
        <w:rPr>
          <w:sz w:val="24"/>
          <w:szCs w:val="24"/>
        </w:rPr>
        <w:t xml:space="preserve"> </w:t>
      </w:r>
    </w:p>
    <w:p w14:paraId="56A4F2FD" w14:textId="2D16EF8B" w:rsidR="00D051AF" w:rsidRPr="006A7000" w:rsidRDefault="00626B84" w:rsidP="00B95772">
      <w:pPr>
        <w:spacing w:line="480" w:lineRule="auto"/>
        <w:rPr>
          <w:sz w:val="24"/>
          <w:szCs w:val="24"/>
        </w:rPr>
      </w:pPr>
      <w:r w:rsidRPr="006A7000">
        <w:rPr>
          <w:sz w:val="24"/>
          <w:szCs w:val="24"/>
        </w:rPr>
        <w:t xml:space="preserve">Our findings for occult disease </w:t>
      </w:r>
      <w:r w:rsidR="0052438E" w:rsidRPr="006A7000">
        <w:rPr>
          <w:sz w:val="24"/>
          <w:szCs w:val="24"/>
        </w:rPr>
        <w:t xml:space="preserve">of 25.4% </w:t>
      </w:r>
      <w:r w:rsidRPr="006A7000">
        <w:rPr>
          <w:sz w:val="24"/>
          <w:szCs w:val="24"/>
        </w:rPr>
        <w:t xml:space="preserve">in </w:t>
      </w:r>
      <w:r w:rsidR="0052438E" w:rsidRPr="006A7000">
        <w:rPr>
          <w:sz w:val="24"/>
          <w:szCs w:val="24"/>
        </w:rPr>
        <w:t>patients who received END</w:t>
      </w:r>
      <w:r w:rsidRPr="006A7000">
        <w:rPr>
          <w:sz w:val="24"/>
          <w:szCs w:val="24"/>
        </w:rPr>
        <w:t xml:space="preserve"> </w:t>
      </w:r>
      <w:r w:rsidR="0052438E" w:rsidRPr="006A7000">
        <w:rPr>
          <w:sz w:val="24"/>
          <w:szCs w:val="24"/>
        </w:rPr>
        <w:t>as randomised</w:t>
      </w:r>
      <w:r w:rsidR="002C4E07" w:rsidRPr="006A7000">
        <w:rPr>
          <w:sz w:val="24"/>
          <w:szCs w:val="24"/>
        </w:rPr>
        <w:t xml:space="preserve"> </w:t>
      </w:r>
      <w:r w:rsidRPr="006A7000">
        <w:rPr>
          <w:sz w:val="24"/>
          <w:szCs w:val="24"/>
        </w:rPr>
        <w:t xml:space="preserve">and </w:t>
      </w:r>
      <w:r w:rsidR="00E53F46" w:rsidRPr="006A7000">
        <w:rPr>
          <w:sz w:val="24"/>
          <w:szCs w:val="24"/>
        </w:rPr>
        <w:t xml:space="preserve">later neck metastases </w:t>
      </w:r>
      <w:r w:rsidR="002642A1" w:rsidRPr="006A7000">
        <w:rPr>
          <w:sz w:val="24"/>
          <w:szCs w:val="24"/>
        </w:rPr>
        <w:t xml:space="preserve">developing </w:t>
      </w:r>
      <w:r w:rsidRPr="006A7000">
        <w:rPr>
          <w:sz w:val="24"/>
          <w:szCs w:val="24"/>
        </w:rPr>
        <w:t xml:space="preserve">in </w:t>
      </w:r>
      <w:r w:rsidR="00925231" w:rsidRPr="006A7000">
        <w:rPr>
          <w:sz w:val="24"/>
          <w:szCs w:val="24"/>
        </w:rPr>
        <w:t>27.6</w:t>
      </w:r>
      <w:r w:rsidR="00124D2A" w:rsidRPr="006A7000">
        <w:rPr>
          <w:sz w:val="24"/>
          <w:szCs w:val="24"/>
        </w:rPr>
        <w:t>% of</w:t>
      </w:r>
      <w:r w:rsidRPr="006A7000">
        <w:rPr>
          <w:sz w:val="24"/>
          <w:szCs w:val="24"/>
        </w:rPr>
        <w:t xml:space="preserve"> patients </w:t>
      </w:r>
      <w:r w:rsidR="00925231" w:rsidRPr="006A7000">
        <w:rPr>
          <w:sz w:val="24"/>
          <w:szCs w:val="24"/>
        </w:rPr>
        <w:t>who had</w:t>
      </w:r>
      <w:r w:rsidRPr="006A7000">
        <w:rPr>
          <w:sz w:val="24"/>
          <w:szCs w:val="24"/>
        </w:rPr>
        <w:t xml:space="preserve"> resection</w:t>
      </w:r>
      <w:r w:rsidR="00556E7E" w:rsidRPr="006A7000">
        <w:rPr>
          <w:sz w:val="24"/>
          <w:szCs w:val="24"/>
        </w:rPr>
        <w:t xml:space="preserve"> only</w:t>
      </w:r>
      <w:r w:rsidRPr="006A7000">
        <w:rPr>
          <w:sz w:val="24"/>
          <w:szCs w:val="24"/>
        </w:rPr>
        <w:t xml:space="preserve"> </w:t>
      </w:r>
      <w:r w:rsidR="00925231" w:rsidRPr="006A7000">
        <w:rPr>
          <w:sz w:val="24"/>
          <w:szCs w:val="24"/>
        </w:rPr>
        <w:t xml:space="preserve">as randomised </w:t>
      </w:r>
      <w:r w:rsidR="006C2536" w:rsidRPr="006A7000">
        <w:rPr>
          <w:sz w:val="24"/>
          <w:szCs w:val="24"/>
        </w:rPr>
        <w:t>(</w:t>
      </w:r>
      <w:r w:rsidR="003164E1" w:rsidRPr="006A7000">
        <w:rPr>
          <w:sz w:val="24"/>
          <w:szCs w:val="24"/>
        </w:rPr>
        <w:t xml:space="preserve">the corresponding findings for the Mumbai study were 29.6% </w:t>
      </w:r>
      <w:r w:rsidR="00124D2A" w:rsidRPr="006A7000">
        <w:rPr>
          <w:sz w:val="24"/>
          <w:szCs w:val="24"/>
        </w:rPr>
        <w:t>and 45%</w:t>
      </w:r>
      <w:r w:rsidR="003164E1" w:rsidRPr="006A7000">
        <w:rPr>
          <w:sz w:val="24"/>
          <w:szCs w:val="24"/>
        </w:rPr>
        <w:t>)</w:t>
      </w:r>
      <w:r w:rsidR="00124D2A" w:rsidRPr="006A7000">
        <w:rPr>
          <w:sz w:val="24"/>
          <w:szCs w:val="24"/>
        </w:rPr>
        <w:t xml:space="preserve"> </w:t>
      </w:r>
      <w:r w:rsidRPr="006A7000">
        <w:rPr>
          <w:sz w:val="24"/>
          <w:szCs w:val="24"/>
        </w:rPr>
        <w:t>more closely match</w:t>
      </w:r>
      <w:r w:rsidR="004C2AAB" w:rsidRPr="006A7000">
        <w:rPr>
          <w:sz w:val="24"/>
          <w:szCs w:val="24"/>
        </w:rPr>
        <w:t>es</w:t>
      </w:r>
      <w:r w:rsidRPr="006A7000">
        <w:rPr>
          <w:sz w:val="24"/>
          <w:szCs w:val="24"/>
        </w:rPr>
        <w:t xml:space="preserve"> </w:t>
      </w:r>
      <w:r w:rsidR="005A78C1" w:rsidRPr="006A7000">
        <w:rPr>
          <w:sz w:val="24"/>
          <w:szCs w:val="24"/>
        </w:rPr>
        <w:t>findings</w:t>
      </w:r>
      <w:r w:rsidR="006C2536" w:rsidRPr="006A7000">
        <w:rPr>
          <w:sz w:val="24"/>
          <w:szCs w:val="24"/>
        </w:rPr>
        <w:t xml:space="preserve"> </w:t>
      </w:r>
      <w:r w:rsidRPr="006A7000">
        <w:rPr>
          <w:sz w:val="24"/>
          <w:szCs w:val="24"/>
        </w:rPr>
        <w:t>of 21% where ultrasound with fine needle aspiration cy</w:t>
      </w:r>
      <w:r w:rsidR="002642A1" w:rsidRPr="006A7000">
        <w:rPr>
          <w:sz w:val="24"/>
          <w:szCs w:val="24"/>
        </w:rPr>
        <w:t xml:space="preserve">tology </w:t>
      </w:r>
      <w:r w:rsidR="000511A6" w:rsidRPr="006A7000">
        <w:rPr>
          <w:sz w:val="24"/>
          <w:szCs w:val="24"/>
        </w:rPr>
        <w:t xml:space="preserve">is </w:t>
      </w:r>
      <w:r w:rsidRPr="006A7000">
        <w:rPr>
          <w:sz w:val="24"/>
          <w:szCs w:val="24"/>
        </w:rPr>
        <w:t xml:space="preserve">used </w:t>
      </w:r>
      <w:r w:rsidR="002642A1" w:rsidRPr="006A7000">
        <w:rPr>
          <w:sz w:val="24"/>
          <w:szCs w:val="24"/>
        </w:rPr>
        <w:t>to determine N0 status for T1/2 tumours</w:t>
      </w:r>
      <w:r w:rsidR="00100A88" w:rsidRPr="006A7000">
        <w:rPr>
          <w:sz w:val="24"/>
          <w:szCs w:val="24"/>
        </w:rPr>
        <w:t>.</w:t>
      </w:r>
      <w:r w:rsidR="00251944" w:rsidRPr="006A7000">
        <w:rPr>
          <w:sz w:val="24"/>
          <w:szCs w:val="24"/>
          <w:vertAlign w:val="superscript"/>
        </w:rPr>
        <w:t>2</w:t>
      </w:r>
      <w:r w:rsidR="00381100" w:rsidRPr="006A7000">
        <w:rPr>
          <w:sz w:val="24"/>
          <w:szCs w:val="24"/>
          <w:vertAlign w:val="superscript"/>
        </w:rPr>
        <w:t>6</w:t>
      </w:r>
    </w:p>
    <w:p w14:paraId="110AADD4" w14:textId="32A92136" w:rsidR="00CC1013" w:rsidRPr="006A7000" w:rsidRDefault="00262997" w:rsidP="00B95772">
      <w:pPr>
        <w:spacing w:line="480" w:lineRule="auto"/>
        <w:rPr>
          <w:rFonts w:cs="Arial"/>
          <w:sz w:val="24"/>
          <w:szCs w:val="24"/>
          <w:vertAlign w:val="superscript"/>
        </w:rPr>
      </w:pPr>
      <w:r w:rsidRPr="006A7000">
        <w:rPr>
          <w:rFonts w:cs="Arial"/>
          <w:sz w:val="24"/>
          <w:szCs w:val="24"/>
        </w:rPr>
        <w:t xml:space="preserve">Many surgeons </w:t>
      </w:r>
      <w:r w:rsidR="002C4E07" w:rsidRPr="006A7000">
        <w:rPr>
          <w:rFonts w:cs="Arial"/>
          <w:sz w:val="24"/>
          <w:szCs w:val="24"/>
        </w:rPr>
        <w:t>consider</w:t>
      </w:r>
      <w:r w:rsidRPr="006A7000">
        <w:rPr>
          <w:rFonts w:cs="Arial"/>
          <w:sz w:val="24"/>
          <w:szCs w:val="24"/>
        </w:rPr>
        <w:t xml:space="preserve"> that END is not needed for small mouth tumours. </w:t>
      </w:r>
      <w:r w:rsidR="008D13BE" w:rsidRPr="006A7000">
        <w:rPr>
          <w:rFonts w:cs="Arial"/>
          <w:sz w:val="24"/>
          <w:szCs w:val="24"/>
        </w:rPr>
        <w:t>R</w:t>
      </w:r>
      <w:r w:rsidR="00B918FF" w:rsidRPr="006A7000">
        <w:rPr>
          <w:rFonts w:cs="Arial"/>
          <w:sz w:val="24"/>
          <w:szCs w:val="24"/>
        </w:rPr>
        <w:t>ec</w:t>
      </w:r>
      <w:r w:rsidR="000438D5" w:rsidRPr="006A7000">
        <w:rPr>
          <w:rFonts w:cs="Arial"/>
          <w:sz w:val="24"/>
          <w:szCs w:val="24"/>
        </w:rPr>
        <w:t xml:space="preserve">ent observational studies </w:t>
      </w:r>
      <w:r w:rsidR="00A30679" w:rsidRPr="006A7000">
        <w:rPr>
          <w:rFonts w:cs="Arial"/>
          <w:sz w:val="24"/>
          <w:szCs w:val="24"/>
        </w:rPr>
        <w:t>recommend</w:t>
      </w:r>
      <w:r w:rsidR="000438D5" w:rsidRPr="006A7000">
        <w:rPr>
          <w:rFonts w:cs="Arial"/>
          <w:sz w:val="24"/>
          <w:szCs w:val="24"/>
        </w:rPr>
        <w:t xml:space="preserve"> END but not for patien</w:t>
      </w:r>
      <w:r w:rsidR="00217DCC" w:rsidRPr="006A7000">
        <w:rPr>
          <w:rFonts w:cs="Arial"/>
          <w:sz w:val="24"/>
          <w:szCs w:val="24"/>
        </w:rPr>
        <w:t xml:space="preserve">ts who have T1-stage </w:t>
      </w:r>
      <w:r w:rsidR="00820566" w:rsidRPr="006A7000">
        <w:rPr>
          <w:rFonts w:cs="Arial"/>
          <w:sz w:val="24"/>
          <w:szCs w:val="24"/>
        </w:rPr>
        <w:t>with</w:t>
      </w:r>
      <w:r w:rsidR="00217DCC" w:rsidRPr="006A7000">
        <w:rPr>
          <w:rFonts w:cs="Arial"/>
          <w:sz w:val="24"/>
          <w:szCs w:val="24"/>
        </w:rPr>
        <w:t xml:space="preserve"> tumour thickness</w:t>
      </w:r>
      <w:r w:rsidR="004C3A2B" w:rsidRPr="006A7000">
        <w:rPr>
          <w:rFonts w:cs="Arial"/>
          <w:sz w:val="24"/>
          <w:szCs w:val="24"/>
        </w:rPr>
        <w:t xml:space="preserve"> </w:t>
      </w:r>
      <w:r w:rsidR="000438D5" w:rsidRPr="006A7000">
        <w:rPr>
          <w:rFonts w:cs="Arial"/>
          <w:sz w:val="24"/>
          <w:szCs w:val="24"/>
        </w:rPr>
        <w:t>&lt;4mm,</w:t>
      </w:r>
      <w:r w:rsidR="00450771" w:rsidRPr="006A7000">
        <w:rPr>
          <w:rFonts w:cs="Arial"/>
          <w:sz w:val="24"/>
          <w:szCs w:val="24"/>
          <w:vertAlign w:val="superscript"/>
        </w:rPr>
        <w:t>2</w:t>
      </w:r>
      <w:r w:rsidR="00381100" w:rsidRPr="006A7000">
        <w:rPr>
          <w:rFonts w:cs="Arial"/>
          <w:sz w:val="24"/>
          <w:szCs w:val="24"/>
          <w:vertAlign w:val="superscript"/>
        </w:rPr>
        <w:t>7</w:t>
      </w:r>
      <w:r w:rsidR="000438D5" w:rsidRPr="006A7000">
        <w:rPr>
          <w:rFonts w:cs="Arial"/>
          <w:sz w:val="24"/>
          <w:szCs w:val="24"/>
        </w:rPr>
        <w:t xml:space="preserve"> or </w:t>
      </w:r>
      <w:r w:rsidR="00217DCC" w:rsidRPr="006A7000">
        <w:rPr>
          <w:rFonts w:cs="Arial"/>
          <w:sz w:val="24"/>
          <w:szCs w:val="24"/>
        </w:rPr>
        <w:t xml:space="preserve">those with tumour </w:t>
      </w:r>
      <w:r w:rsidR="00CD0914" w:rsidRPr="006A7000">
        <w:rPr>
          <w:rFonts w:cs="Arial"/>
          <w:sz w:val="24"/>
          <w:szCs w:val="24"/>
        </w:rPr>
        <w:t>diameter</w:t>
      </w:r>
      <w:r w:rsidR="000438D5" w:rsidRPr="006A7000">
        <w:rPr>
          <w:rFonts w:cs="Arial"/>
          <w:sz w:val="24"/>
          <w:szCs w:val="24"/>
        </w:rPr>
        <w:t>&lt;10mm.</w:t>
      </w:r>
      <w:r w:rsidR="00381100" w:rsidRPr="006A7000">
        <w:rPr>
          <w:rFonts w:cs="Arial"/>
          <w:sz w:val="24"/>
          <w:szCs w:val="24"/>
          <w:vertAlign w:val="superscript"/>
        </w:rPr>
        <w:t>28</w:t>
      </w:r>
      <w:r w:rsidR="000438D5" w:rsidRPr="006A7000">
        <w:rPr>
          <w:rFonts w:cs="Arial"/>
          <w:sz w:val="24"/>
          <w:szCs w:val="24"/>
        </w:rPr>
        <w:t xml:space="preserve"> However, </w:t>
      </w:r>
      <w:r w:rsidR="00765931" w:rsidRPr="006A7000">
        <w:rPr>
          <w:rFonts w:cs="Arial"/>
          <w:sz w:val="24"/>
          <w:szCs w:val="24"/>
        </w:rPr>
        <w:t>we</w:t>
      </w:r>
      <w:r w:rsidR="000438D5" w:rsidRPr="006A7000">
        <w:rPr>
          <w:rFonts w:cs="Arial"/>
          <w:sz w:val="24"/>
          <w:szCs w:val="24"/>
        </w:rPr>
        <w:t xml:space="preserve"> </w:t>
      </w:r>
      <w:r w:rsidR="00A80C4A" w:rsidRPr="006A7000">
        <w:rPr>
          <w:rFonts w:cs="Arial"/>
          <w:sz w:val="24"/>
          <w:szCs w:val="24"/>
        </w:rPr>
        <w:t xml:space="preserve">showed </w:t>
      </w:r>
      <w:r w:rsidR="000438D5" w:rsidRPr="006A7000">
        <w:rPr>
          <w:rFonts w:cs="Arial"/>
          <w:sz w:val="24"/>
          <w:szCs w:val="24"/>
        </w:rPr>
        <w:t>that END was beneficial for small tumours</w:t>
      </w:r>
      <w:r w:rsidR="00A80C4A" w:rsidRPr="006A7000">
        <w:rPr>
          <w:rFonts w:cs="Arial"/>
          <w:sz w:val="24"/>
          <w:szCs w:val="24"/>
        </w:rPr>
        <w:t xml:space="preserve"> </w:t>
      </w:r>
      <w:r w:rsidR="00765931" w:rsidRPr="006A7000">
        <w:rPr>
          <w:rFonts w:cs="Arial"/>
          <w:sz w:val="24"/>
          <w:szCs w:val="24"/>
        </w:rPr>
        <w:t>(</w:t>
      </w:r>
      <w:r w:rsidRPr="006A7000">
        <w:rPr>
          <w:rFonts w:cs="Arial"/>
          <w:sz w:val="24"/>
          <w:szCs w:val="24"/>
        </w:rPr>
        <w:t>p</w:t>
      </w:r>
      <w:r w:rsidR="00A80C4A" w:rsidRPr="006A7000">
        <w:rPr>
          <w:rFonts w:cs="Arial"/>
          <w:sz w:val="24"/>
          <w:szCs w:val="24"/>
        </w:rPr>
        <w:t>T1 stage</w:t>
      </w:r>
      <w:r w:rsidR="00CF629E" w:rsidRPr="006A7000">
        <w:rPr>
          <w:rFonts w:cs="Arial"/>
          <w:sz w:val="24"/>
          <w:szCs w:val="24"/>
        </w:rPr>
        <w:t xml:space="preserve">) </w:t>
      </w:r>
      <w:r w:rsidRPr="006A7000">
        <w:rPr>
          <w:rFonts w:cs="Arial"/>
          <w:sz w:val="24"/>
          <w:szCs w:val="24"/>
        </w:rPr>
        <w:t xml:space="preserve">or </w:t>
      </w:r>
      <w:r w:rsidR="00167872" w:rsidRPr="006A7000">
        <w:rPr>
          <w:rFonts w:cs="Arial"/>
          <w:sz w:val="24"/>
          <w:szCs w:val="24"/>
        </w:rPr>
        <w:t>tumour diameter ≤</w:t>
      </w:r>
      <w:r w:rsidR="00765931" w:rsidRPr="006A7000">
        <w:rPr>
          <w:rFonts w:cs="Arial"/>
          <w:sz w:val="24"/>
          <w:szCs w:val="24"/>
        </w:rPr>
        <w:t>10mm</w:t>
      </w:r>
      <w:r w:rsidR="00CF629E" w:rsidRPr="006A7000">
        <w:rPr>
          <w:rFonts w:cs="Arial"/>
          <w:sz w:val="24"/>
          <w:szCs w:val="24"/>
        </w:rPr>
        <w:t xml:space="preserve">, with corresponding </w:t>
      </w:r>
      <w:r w:rsidRPr="006A7000">
        <w:rPr>
          <w:rFonts w:cs="Arial"/>
          <w:sz w:val="24"/>
          <w:szCs w:val="24"/>
        </w:rPr>
        <w:t xml:space="preserve">DFS </w:t>
      </w:r>
      <w:r w:rsidR="00CF629E" w:rsidRPr="006A7000">
        <w:rPr>
          <w:rFonts w:cs="Arial"/>
          <w:sz w:val="24"/>
          <w:szCs w:val="24"/>
        </w:rPr>
        <w:t>HRs of 0.49 and 0.63 respective</w:t>
      </w:r>
      <w:r w:rsidRPr="006A7000">
        <w:rPr>
          <w:rFonts w:cs="Arial"/>
          <w:sz w:val="24"/>
          <w:szCs w:val="24"/>
        </w:rPr>
        <w:t>ly</w:t>
      </w:r>
      <w:r w:rsidR="003A2916" w:rsidRPr="006A7000">
        <w:rPr>
          <w:rFonts w:cs="Arial"/>
          <w:sz w:val="24"/>
          <w:szCs w:val="24"/>
        </w:rPr>
        <w:t xml:space="preserve"> (the same conclusions </w:t>
      </w:r>
      <w:r w:rsidR="00A04AC8" w:rsidRPr="006A7000">
        <w:rPr>
          <w:rFonts w:cs="Arial"/>
          <w:sz w:val="24"/>
          <w:szCs w:val="24"/>
        </w:rPr>
        <w:t xml:space="preserve">came </w:t>
      </w:r>
      <w:r w:rsidR="003A2916" w:rsidRPr="006A7000">
        <w:rPr>
          <w:rFonts w:cs="Arial"/>
          <w:sz w:val="24"/>
          <w:szCs w:val="24"/>
        </w:rPr>
        <w:t>from our observational cohort)</w:t>
      </w:r>
      <w:r w:rsidR="00765931" w:rsidRPr="006A7000">
        <w:rPr>
          <w:rFonts w:cs="Arial"/>
          <w:sz w:val="24"/>
          <w:szCs w:val="24"/>
        </w:rPr>
        <w:t>.</w:t>
      </w:r>
      <w:r w:rsidR="00DC6533" w:rsidRPr="006A7000">
        <w:rPr>
          <w:rFonts w:cs="Arial"/>
          <w:sz w:val="24"/>
          <w:szCs w:val="24"/>
        </w:rPr>
        <w:t xml:space="preserve"> </w:t>
      </w:r>
      <w:r w:rsidR="00D60BD2" w:rsidRPr="006A7000">
        <w:rPr>
          <w:rFonts w:cs="Arial"/>
          <w:sz w:val="24"/>
          <w:szCs w:val="24"/>
        </w:rPr>
        <w:t>This is an</w:t>
      </w:r>
      <w:r w:rsidR="00CF629E" w:rsidRPr="006A7000">
        <w:rPr>
          <w:rFonts w:cs="Arial"/>
          <w:sz w:val="24"/>
          <w:szCs w:val="24"/>
        </w:rPr>
        <w:t xml:space="preserve"> important finding for surgeons</w:t>
      </w:r>
      <w:r w:rsidR="00D60BD2" w:rsidRPr="006A7000">
        <w:rPr>
          <w:rFonts w:cs="Arial"/>
          <w:sz w:val="24"/>
          <w:szCs w:val="24"/>
        </w:rPr>
        <w:t xml:space="preserve"> </w:t>
      </w:r>
      <w:r w:rsidR="00CB4067" w:rsidRPr="006A7000">
        <w:rPr>
          <w:rFonts w:cs="Arial"/>
          <w:sz w:val="24"/>
          <w:szCs w:val="24"/>
        </w:rPr>
        <w:t xml:space="preserve">because of </w:t>
      </w:r>
      <w:r w:rsidR="00D60BD2" w:rsidRPr="006A7000">
        <w:rPr>
          <w:rFonts w:cs="Arial"/>
          <w:sz w:val="24"/>
          <w:szCs w:val="24"/>
        </w:rPr>
        <w:t xml:space="preserve">the uncertainty </w:t>
      </w:r>
      <w:r w:rsidR="00CF629E" w:rsidRPr="006A7000">
        <w:rPr>
          <w:rFonts w:cs="Arial"/>
          <w:sz w:val="24"/>
          <w:szCs w:val="24"/>
        </w:rPr>
        <w:t>over</w:t>
      </w:r>
      <w:r w:rsidR="00CB4067" w:rsidRPr="006A7000">
        <w:rPr>
          <w:rFonts w:cs="Arial"/>
          <w:sz w:val="24"/>
          <w:szCs w:val="24"/>
        </w:rPr>
        <w:t xml:space="preserve"> the value of END in smaller tumours</w:t>
      </w:r>
      <w:r w:rsidR="00AC1E07" w:rsidRPr="006A7000">
        <w:rPr>
          <w:rFonts w:cs="Arial"/>
          <w:sz w:val="24"/>
          <w:szCs w:val="24"/>
        </w:rPr>
        <w:t>, which was also implied in the NCCN guidelines</w:t>
      </w:r>
      <w:r w:rsidR="0030563C" w:rsidRPr="006A7000">
        <w:rPr>
          <w:rFonts w:cs="Arial"/>
          <w:sz w:val="24"/>
          <w:szCs w:val="24"/>
        </w:rPr>
        <w:t>.</w:t>
      </w:r>
      <w:r w:rsidR="00251944" w:rsidRPr="006A7000">
        <w:rPr>
          <w:rFonts w:cs="Arial"/>
          <w:sz w:val="24"/>
          <w:szCs w:val="24"/>
          <w:vertAlign w:val="superscript"/>
        </w:rPr>
        <w:t>1</w:t>
      </w:r>
      <w:r w:rsidR="00502FEE" w:rsidRPr="006A7000">
        <w:rPr>
          <w:rFonts w:cs="Arial"/>
          <w:sz w:val="24"/>
          <w:szCs w:val="24"/>
          <w:vertAlign w:val="superscript"/>
        </w:rPr>
        <w:t>4</w:t>
      </w:r>
      <w:r w:rsidR="0030563C" w:rsidRPr="006A7000">
        <w:rPr>
          <w:rFonts w:cs="Arial"/>
          <w:sz w:val="24"/>
          <w:szCs w:val="24"/>
        </w:rPr>
        <w:t xml:space="preserve"> </w:t>
      </w:r>
      <w:r w:rsidR="00DA66B7" w:rsidRPr="006A7000">
        <w:rPr>
          <w:rFonts w:cs="Arial"/>
          <w:sz w:val="24"/>
          <w:szCs w:val="24"/>
        </w:rPr>
        <w:t>In fact many surgeons have been under the impression that occult neck metastases in patients with clinical stage T1</w:t>
      </w:r>
      <w:r w:rsidR="0030563C" w:rsidRPr="006A7000">
        <w:rPr>
          <w:rFonts w:cs="Arial"/>
          <w:sz w:val="24"/>
          <w:szCs w:val="24"/>
        </w:rPr>
        <w:t xml:space="preserve"> </w:t>
      </w:r>
      <w:r w:rsidR="00DA66B7" w:rsidRPr="006A7000">
        <w:rPr>
          <w:rFonts w:cs="Arial"/>
          <w:sz w:val="24"/>
          <w:szCs w:val="24"/>
        </w:rPr>
        <w:t xml:space="preserve">tumours is uncommon, but our national study </w:t>
      </w:r>
      <w:r w:rsidR="00DA66B7" w:rsidRPr="006A7000">
        <w:rPr>
          <w:rFonts w:cs="Arial"/>
          <w:sz w:val="24"/>
          <w:szCs w:val="24"/>
        </w:rPr>
        <w:lastRenderedPageBreak/>
        <w:t>show</w:t>
      </w:r>
      <w:r w:rsidR="00BB4BB5" w:rsidRPr="006A7000">
        <w:rPr>
          <w:rFonts w:cs="Arial"/>
          <w:sz w:val="24"/>
          <w:szCs w:val="24"/>
        </w:rPr>
        <w:t>s</w:t>
      </w:r>
      <w:r w:rsidR="00DA66B7" w:rsidRPr="006A7000">
        <w:rPr>
          <w:rFonts w:cs="Arial"/>
          <w:sz w:val="24"/>
          <w:szCs w:val="24"/>
        </w:rPr>
        <w:t xml:space="preserve"> that the figure is higher than expected:</w:t>
      </w:r>
      <w:r w:rsidR="002C4E07" w:rsidRPr="006A7000">
        <w:rPr>
          <w:rFonts w:cs="Arial"/>
          <w:sz w:val="24"/>
          <w:szCs w:val="24"/>
        </w:rPr>
        <w:t xml:space="preserve"> 19.1% </w:t>
      </w:r>
      <w:r w:rsidR="00DA66B7" w:rsidRPr="006A7000">
        <w:rPr>
          <w:rFonts w:cs="Arial"/>
          <w:sz w:val="24"/>
          <w:szCs w:val="24"/>
        </w:rPr>
        <w:t>in the</w:t>
      </w:r>
      <w:r w:rsidR="002C4E07" w:rsidRPr="006A7000">
        <w:rPr>
          <w:rFonts w:cs="Arial"/>
          <w:sz w:val="24"/>
          <w:szCs w:val="24"/>
        </w:rPr>
        <w:t xml:space="preserve"> randomised </w:t>
      </w:r>
      <w:r w:rsidR="00DA66B7" w:rsidRPr="006A7000">
        <w:rPr>
          <w:rFonts w:cs="Arial"/>
          <w:sz w:val="24"/>
          <w:szCs w:val="24"/>
        </w:rPr>
        <w:t>trial</w:t>
      </w:r>
      <w:r w:rsidR="002C4E07" w:rsidRPr="006A7000">
        <w:rPr>
          <w:rFonts w:cs="Arial"/>
          <w:sz w:val="24"/>
          <w:szCs w:val="24"/>
        </w:rPr>
        <w:t xml:space="preserve"> and 17.2% </w:t>
      </w:r>
      <w:r w:rsidR="00DA66B7" w:rsidRPr="006A7000">
        <w:rPr>
          <w:rFonts w:cs="Arial"/>
          <w:sz w:val="24"/>
          <w:szCs w:val="24"/>
        </w:rPr>
        <w:t>in</w:t>
      </w:r>
      <w:r w:rsidR="002C4E07" w:rsidRPr="006A7000">
        <w:rPr>
          <w:rFonts w:cs="Arial"/>
          <w:sz w:val="24"/>
          <w:szCs w:val="24"/>
        </w:rPr>
        <w:t xml:space="preserve"> the </w:t>
      </w:r>
      <w:r w:rsidR="007B285F" w:rsidRPr="006A7000">
        <w:rPr>
          <w:rFonts w:cs="Arial"/>
          <w:sz w:val="24"/>
          <w:szCs w:val="24"/>
        </w:rPr>
        <w:t>‘</w:t>
      </w:r>
      <w:r w:rsidR="002C4E07" w:rsidRPr="006A7000">
        <w:rPr>
          <w:rFonts w:cs="Arial"/>
          <w:sz w:val="24"/>
          <w:szCs w:val="24"/>
        </w:rPr>
        <w:t>real world</w:t>
      </w:r>
      <w:r w:rsidR="00A04AC8" w:rsidRPr="006A7000">
        <w:rPr>
          <w:rFonts w:cs="Arial"/>
          <w:sz w:val="24"/>
          <w:szCs w:val="24"/>
        </w:rPr>
        <w:t>’</w:t>
      </w:r>
      <w:r w:rsidR="002C4E07" w:rsidRPr="006A7000">
        <w:rPr>
          <w:rFonts w:cs="Arial"/>
          <w:sz w:val="24"/>
          <w:szCs w:val="24"/>
        </w:rPr>
        <w:t xml:space="preserve"> cohort</w:t>
      </w:r>
      <w:r w:rsidR="00CB4067" w:rsidRPr="006A7000">
        <w:rPr>
          <w:rFonts w:cs="Arial"/>
          <w:sz w:val="24"/>
          <w:szCs w:val="24"/>
        </w:rPr>
        <w:t xml:space="preserve">. In </w:t>
      </w:r>
      <w:r w:rsidR="00CF629E" w:rsidRPr="006A7000">
        <w:rPr>
          <w:rFonts w:cs="Arial"/>
          <w:sz w:val="24"/>
          <w:szCs w:val="24"/>
        </w:rPr>
        <w:t xml:space="preserve">the Mumbai trial, </w:t>
      </w:r>
      <w:r w:rsidR="00DF342C" w:rsidRPr="006A7000">
        <w:rPr>
          <w:rFonts w:cs="Arial"/>
          <w:sz w:val="24"/>
          <w:szCs w:val="24"/>
        </w:rPr>
        <w:t xml:space="preserve">the OS HRs were approximately </w:t>
      </w:r>
      <w:r w:rsidR="004D5D34" w:rsidRPr="006A7000">
        <w:rPr>
          <w:rFonts w:cs="Arial"/>
          <w:sz w:val="24"/>
          <w:szCs w:val="24"/>
        </w:rPr>
        <w:t xml:space="preserve">0.75 </w:t>
      </w:r>
      <w:r w:rsidR="00DF342C" w:rsidRPr="006A7000">
        <w:rPr>
          <w:rFonts w:cs="Arial"/>
          <w:sz w:val="24"/>
          <w:szCs w:val="24"/>
        </w:rPr>
        <w:t xml:space="preserve">and </w:t>
      </w:r>
      <w:r w:rsidR="00CF629E" w:rsidRPr="006A7000">
        <w:rPr>
          <w:rFonts w:cs="Arial"/>
          <w:sz w:val="24"/>
          <w:szCs w:val="24"/>
        </w:rPr>
        <w:t xml:space="preserve">0.42 for T1 and T2 tumours </w:t>
      </w:r>
      <w:r w:rsidRPr="006A7000">
        <w:rPr>
          <w:rFonts w:cs="Arial"/>
          <w:sz w:val="24"/>
          <w:szCs w:val="24"/>
        </w:rPr>
        <w:t xml:space="preserve">respectively </w:t>
      </w:r>
      <w:r w:rsidR="00CF629E" w:rsidRPr="006A7000">
        <w:rPr>
          <w:rFonts w:cs="Arial"/>
          <w:sz w:val="24"/>
          <w:szCs w:val="24"/>
        </w:rPr>
        <w:t>(suggesting END might be more favourable in the larger tumours), but the difference was not statistically significant</w:t>
      </w:r>
      <w:r w:rsidR="00D60BD2" w:rsidRPr="006A7000">
        <w:rPr>
          <w:rFonts w:cs="Arial"/>
          <w:sz w:val="24"/>
          <w:szCs w:val="24"/>
        </w:rPr>
        <w:t xml:space="preserve">. </w:t>
      </w:r>
      <w:r w:rsidR="00CF629E" w:rsidRPr="006A7000">
        <w:rPr>
          <w:rFonts w:cs="Arial"/>
          <w:sz w:val="24"/>
          <w:szCs w:val="24"/>
        </w:rPr>
        <w:t xml:space="preserve">Therefore, </w:t>
      </w:r>
      <w:r w:rsidR="00C50F37" w:rsidRPr="006A7000">
        <w:rPr>
          <w:rFonts w:cs="Arial"/>
          <w:sz w:val="24"/>
          <w:szCs w:val="24"/>
        </w:rPr>
        <w:t xml:space="preserve">both trials together provide </w:t>
      </w:r>
      <w:r w:rsidR="00CF629E" w:rsidRPr="006A7000">
        <w:rPr>
          <w:rFonts w:cs="Arial"/>
          <w:sz w:val="24"/>
          <w:szCs w:val="24"/>
        </w:rPr>
        <w:t>evidence for the benefit for END regardless of tumour size.</w:t>
      </w:r>
      <w:r w:rsidR="007519B7" w:rsidRPr="006A7000">
        <w:rPr>
          <w:rFonts w:cs="Arial"/>
          <w:sz w:val="24"/>
          <w:szCs w:val="24"/>
        </w:rPr>
        <w:t xml:space="preserve"> Furthermore, </w:t>
      </w:r>
      <w:r w:rsidR="003A2916" w:rsidRPr="006A7000">
        <w:rPr>
          <w:rFonts w:cs="Arial"/>
          <w:sz w:val="24"/>
          <w:szCs w:val="24"/>
        </w:rPr>
        <w:t>evidence from our</w:t>
      </w:r>
      <w:r w:rsidR="007519B7" w:rsidRPr="006A7000">
        <w:rPr>
          <w:rFonts w:cs="Arial"/>
          <w:sz w:val="24"/>
          <w:szCs w:val="24"/>
        </w:rPr>
        <w:t xml:space="preserve"> randomised study that END also benefits pT1 stage tumours that are well-differentiated, contrasts with the conclusion o</w:t>
      </w:r>
      <w:r w:rsidR="00094EE1" w:rsidRPr="006A7000">
        <w:rPr>
          <w:rFonts w:cs="Arial"/>
          <w:sz w:val="24"/>
          <w:szCs w:val="24"/>
        </w:rPr>
        <w:t>f a recent retrospective study.</w:t>
      </w:r>
      <w:r w:rsidR="00251944" w:rsidRPr="006A7000">
        <w:rPr>
          <w:rFonts w:cs="Arial"/>
          <w:sz w:val="24"/>
          <w:szCs w:val="24"/>
          <w:vertAlign w:val="superscript"/>
        </w:rPr>
        <w:t>2</w:t>
      </w:r>
      <w:r w:rsidR="00EF5C14" w:rsidRPr="006A7000">
        <w:rPr>
          <w:rFonts w:cs="Arial"/>
          <w:sz w:val="24"/>
          <w:szCs w:val="24"/>
          <w:vertAlign w:val="superscript"/>
        </w:rPr>
        <w:t>2</w:t>
      </w:r>
    </w:p>
    <w:p w14:paraId="4FD812F3" w14:textId="03308B14" w:rsidR="00A34A19" w:rsidRPr="006A7000" w:rsidRDefault="00A34A19" w:rsidP="00B95772">
      <w:pPr>
        <w:spacing w:line="480" w:lineRule="auto"/>
        <w:rPr>
          <w:rFonts w:cs="Arial"/>
          <w:sz w:val="24"/>
          <w:szCs w:val="24"/>
        </w:rPr>
      </w:pPr>
      <w:r w:rsidRPr="006A7000">
        <w:rPr>
          <w:rFonts w:asciiTheme="minorHAnsi" w:eastAsia="Times New Roman" w:hAnsiTheme="minorHAnsi" w:cs="Arial"/>
          <w:sz w:val="24"/>
          <w:szCs w:val="24"/>
        </w:rPr>
        <w:t>The authors of the Mumbai study indicated that END might not be effective in patients whose tumour has a depth of invasion ≤3mm (based only on 10 deaths). In our SEND trial, the hazard ratio for overall survival was 1.02 (based on 24 deaths). However, none of the tests for interaction were statistically significant, and it is important to note that the 95% confidence interval for this subgroup included the overall hazard ratio (in each trial), which does not provide evidence for a subgroup effect. Furthermore, in SEND, the hazard ratio for DFS among patients with a depth of invasion ≤3mm was 0.81 (Supplementary Figure 3), which is suggestive of a benefit for END.</w:t>
      </w:r>
    </w:p>
    <w:p w14:paraId="61BB504A" w14:textId="40C2DC12" w:rsidR="00B918FF" w:rsidRPr="006A7000" w:rsidRDefault="00DC6533" w:rsidP="00B95772">
      <w:pPr>
        <w:spacing w:line="480" w:lineRule="auto"/>
        <w:rPr>
          <w:rFonts w:cs="Arial"/>
          <w:sz w:val="24"/>
          <w:szCs w:val="24"/>
        </w:rPr>
      </w:pPr>
      <w:r w:rsidRPr="006A7000">
        <w:rPr>
          <w:rFonts w:cs="Arial"/>
          <w:sz w:val="24"/>
          <w:szCs w:val="24"/>
        </w:rPr>
        <w:t xml:space="preserve">Adverse events were </w:t>
      </w:r>
      <w:r w:rsidR="00EC391C" w:rsidRPr="006A7000">
        <w:rPr>
          <w:rFonts w:cs="Arial"/>
          <w:sz w:val="24"/>
          <w:szCs w:val="24"/>
        </w:rPr>
        <w:t xml:space="preserve">as </w:t>
      </w:r>
      <w:r w:rsidRPr="006A7000">
        <w:rPr>
          <w:rFonts w:cs="Arial"/>
          <w:sz w:val="24"/>
          <w:szCs w:val="24"/>
        </w:rPr>
        <w:t>expected, consistent with other studies,</w:t>
      </w:r>
      <w:r w:rsidR="00FB03A6" w:rsidRPr="006A7000">
        <w:rPr>
          <w:rFonts w:cs="Arial"/>
          <w:sz w:val="24"/>
          <w:szCs w:val="24"/>
          <w:vertAlign w:val="superscript"/>
        </w:rPr>
        <w:t>1</w:t>
      </w:r>
      <w:r w:rsidR="00EF5C14" w:rsidRPr="006A7000">
        <w:rPr>
          <w:rFonts w:cs="Arial"/>
          <w:sz w:val="24"/>
          <w:szCs w:val="24"/>
          <w:vertAlign w:val="superscript"/>
        </w:rPr>
        <w:t>3</w:t>
      </w:r>
      <w:r w:rsidRPr="006A7000">
        <w:rPr>
          <w:rFonts w:cs="Arial"/>
          <w:sz w:val="24"/>
          <w:szCs w:val="24"/>
        </w:rPr>
        <w:t xml:space="preserve"> including a</w:t>
      </w:r>
      <w:r w:rsidR="00217DCC" w:rsidRPr="006A7000">
        <w:rPr>
          <w:rFonts w:cs="Arial"/>
          <w:sz w:val="24"/>
          <w:szCs w:val="24"/>
        </w:rPr>
        <w:t xml:space="preserve"> retrospective analysis (~</w:t>
      </w:r>
      <w:r w:rsidRPr="006A7000">
        <w:rPr>
          <w:rFonts w:cs="Arial"/>
          <w:sz w:val="24"/>
          <w:szCs w:val="24"/>
        </w:rPr>
        <w:t>21,000 patients) showing very low 30-day mortality and re-admission rates for patients with stage T1/T2 tumours.</w:t>
      </w:r>
      <w:r w:rsidR="00516B03" w:rsidRPr="006A7000">
        <w:rPr>
          <w:rFonts w:cs="Arial"/>
          <w:sz w:val="24"/>
          <w:szCs w:val="24"/>
          <w:vertAlign w:val="superscript"/>
        </w:rPr>
        <w:t>29</w:t>
      </w:r>
      <w:r w:rsidRPr="006A7000">
        <w:rPr>
          <w:rFonts w:cs="Arial"/>
          <w:sz w:val="24"/>
          <w:szCs w:val="24"/>
        </w:rPr>
        <w:t xml:space="preserve"> </w:t>
      </w:r>
      <w:r w:rsidR="00E10EC8" w:rsidRPr="006A7000">
        <w:rPr>
          <w:rFonts w:cs="Arial"/>
          <w:sz w:val="24"/>
          <w:szCs w:val="24"/>
        </w:rPr>
        <w:t>H</w:t>
      </w:r>
      <w:r w:rsidR="00043798" w:rsidRPr="006A7000">
        <w:rPr>
          <w:rFonts w:cs="Arial"/>
          <w:sz w:val="24"/>
          <w:szCs w:val="24"/>
        </w:rPr>
        <w:t>ealth economic</w:t>
      </w:r>
      <w:r w:rsidR="00E10EC8" w:rsidRPr="006A7000">
        <w:rPr>
          <w:rFonts w:cs="Arial"/>
          <w:sz w:val="24"/>
          <w:szCs w:val="24"/>
        </w:rPr>
        <w:t xml:space="preserve"> analyse</w:t>
      </w:r>
      <w:r w:rsidR="00043798" w:rsidRPr="006A7000">
        <w:rPr>
          <w:rFonts w:cs="Arial"/>
          <w:sz w:val="24"/>
          <w:szCs w:val="24"/>
        </w:rPr>
        <w:t xml:space="preserve">s </w:t>
      </w:r>
      <w:r w:rsidR="00E10EC8" w:rsidRPr="006A7000">
        <w:rPr>
          <w:rFonts w:cs="Arial"/>
          <w:sz w:val="24"/>
          <w:szCs w:val="24"/>
        </w:rPr>
        <w:t>show</w:t>
      </w:r>
      <w:r w:rsidR="00043798" w:rsidRPr="006A7000">
        <w:rPr>
          <w:rFonts w:cs="Arial"/>
          <w:sz w:val="24"/>
          <w:szCs w:val="24"/>
        </w:rPr>
        <w:t xml:space="preserve"> that END is more </w:t>
      </w:r>
      <w:r w:rsidR="00572201" w:rsidRPr="006A7000">
        <w:rPr>
          <w:rFonts w:cs="Arial"/>
          <w:sz w:val="24"/>
          <w:szCs w:val="24"/>
        </w:rPr>
        <w:t xml:space="preserve">cost-effective </w:t>
      </w:r>
      <w:r w:rsidR="002172A9" w:rsidRPr="006A7000">
        <w:rPr>
          <w:rFonts w:cs="Arial"/>
          <w:sz w:val="24"/>
          <w:szCs w:val="24"/>
        </w:rPr>
        <w:t xml:space="preserve">than resection alone </w:t>
      </w:r>
      <w:r w:rsidR="00572201" w:rsidRPr="006A7000">
        <w:rPr>
          <w:rFonts w:cs="Arial"/>
          <w:sz w:val="24"/>
          <w:szCs w:val="24"/>
        </w:rPr>
        <w:t xml:space="preserve">with a </w:t>
      </w:r>
      <w:r w:rsidR="00043798" w:rsidRPr="006A7000">
        <w:rPr>
          <w:rFonts w:cs="Arial"/>
          <w:sz w:val="24"/>
          <w:szCs w:val="24"/>
        </w:rPr>
        <w:t xml:space="preserve">lifetime cost </w:t>
      </w:r>
      <w:r w:rsidR="00572201" w:rsidRPr="006A7000">
        <w:rPr>
          <w:rFonts w:cs="Arial"/>
          <w:sz w:val="24"/>
          <w:szCs w:val="24"/>
        </w:rPr>
        <w:t>saving of</w:t>
      </w:r>
      <w:r w:rsidR="00043798" w:rsidRPr="006A7000">
        <w:rPr>
          <w:rFonts w:cs="Arial"/>
          <w:sz w:val="24"/>
          <w:szCs w:val="24"/>
        </w:rPr>
        <w:t xml:space="preserve"> $6</w:t>
      </w:r>
      <w:r w:rsidR="003D568A" w:rsidRPr="006A7000">
        <w:rPr>
          <w:rFonts w:cs="Arial"/>
          <w:sz w:val="24"/>
          <w:szCs w:val="24"/>
        </w:rPr>
        <w:t xml:space="preserve"> </w:t>
      </w:r>
      <w:r w:rsidR="00043798" w:rsidRPr="006A7000">
        <w:rPr>
          <w:rFonts w:cs="Arial"/>
          <w:sz w:val="24"/>
          <w:szCs w:val="24"/>
        </w:rPr>
        <w:t xml:space="preserve">000 </w:t>
      </w:r>
      <w:r w:rsidR="00572201" w:rsidRPr="006A7000">
        <w:rPr>
          <w:rFonts w:cs="Arial"/>
          <w:sz w:val="24"/>
          <w:szCs w:val="24"/>
        </w:rPr>
        <w:t>compared to</w:t>
      </w:r>
      <w:r w:rsidR="00043798" w:rsidRPr="006A7000">
        <w:rPr>
          <w:rFonts w:cs="Arial"/>
          <w:sz w:val="24"/>
          <w:szCs w:val="24"/>
        </w:rPr>
        <w:t xml:space="preserve"> using resection only</w:t>
      </w:r>
      <w:r w:rsidR="002172A9" w:rsidRPr="006A7000">
        <w:rPr>
          <w:rFonts w:cs="Arial"/>
          <w:sz w:val="24"/>
          <w:szCs w:val="24"/>
        </w:rPr>
        <w:t>.</w:t>
      </w:r>
      <w:r w:rsidR="00251944" w:rsidRPr="006A7000">
        <w:rPr>
          <w:rFonts w:cs="Arial"/>
          <w:sz w:val="24"/>
          <w:szCs w:val="24"/>
          <w:vertAlign w:val="superscript"/>
        </w:rPr>
        <w:t>3</w:t>
      </w:r>
      <w:r w:rsidR="00516B03" w:rsidRPr="006A7000">
        <w:rPr>
          <w:rFonts w:cs="Arial"/>
          <w:sz w:val="24"/>
          <w:szCs w:val="24"/>
          <w:vertAlign w:val="superscript"/>
        </w:rPr>
        <w:t>0</w:t>
      </w:r>
    </w:p>
    <w:p w14:paraId="315BA2BC" w14:textId="1D40DE7F" w:rsidR="00541D00" w:rsidRPr="006A7000" w:rsidRDefault="00E9722B" w:rsidP="00B95772">
      <w:pPr>
        <w:spacing w:line="480" w:lineRule="auto"/>
        <w:rPr>
          <w:sz w:val="24"/>
          <w:szCs w:val="24"/>
        </w:rPr>
      </w:pPr>
      <w:r w:rsidRPr="006A7000">
        <w:rPr>
          <w:sz w:val="24"/>
          <w:szCs w:val="24"/>
        </w:rPr>
        <w:t xml:space="preserve">Our </w:t>
      </w:r>
      <w:r w:rsidR="00011DA0" w:rsidRPr="006A7000">
        <w:rPr>
          <w:sz w:val="24"/>
          <w:szCs w:val="24"/>
        </w:rPr>
        <w:t xml:space="preserve">randomised </w:t>
      </w:r>
      <w:r w:rsidRPr="006A7000">
        <w:rPr>
          <w:sz w:val="24"/>
          <w:szCs w:val="24"/>
        </w:rPr>
        <w:t xml:space="preserve">study is the only national multicentre </w:t>
      </w:r>
      <w:r w:rsidR="00ED0948" w:rsidRPr="006A7000">
        <w:rPr>
          <w:sz w:val="24"/>
          <w:szCs w:val="24"/>
        </w:rPr>
        <w:t>randomised</w:t>
      </w:r>
      <w:r w:rsidRPr="006A7000">
        <w:rPr>
          <w:sz w:val="24"/>
          <w:szCs w:val="24"/>
        </w:rPr>
        <w:t xml:space="preserve"> trial of END</w:t>
      </w:r>
      <w:r w:rsidR="001F4BA0" w:rsidRPr="006A7000">
        <w:rPr>
          <w:sz w:val="24"/>
          <w:szCs w:val="24"/>
        </w:rPr>
        <w:t>,</w:t>
      </w:r>
      <w:r w:rsidR="00BC5DF3" w:rsidRPr="006A7000">
        <w:rPr>
          <w:sz w:val="24"/>
          <w:szCs w:val="24"/>
        </w:rPr>
        <w:t xml:space="preserve"> </w:t>
      </w:r>
      <w:r w:rsidRPr="006A7000">
        <w:rPr>
          <w:sz w:val="24"/>
          <w:szCs w:val="24"/>
        </w:rPr>
        <w:t xml:space="preserve">conducted across </w:t>
      </w:r>
      <w:r w:rsidR="00C57529" w:rsidRPr="006A7000">
        <w:rPr>
          <w:sz w:val="24"/>
          <w:szCs w:val="24"/>
        </w:rPr>
        <w:t xml:space="preserve">25 </w:t>
      </w:r>
      <w:r w:rsidRPr="006A7000">
        <w:rPr>
          <w:sz w:val="24"/>
          <w:szCs w:val="24"/>
        </w:rPr>
        <w:t>centres with multiple radiolog</w:t>
      </w:r>
      <w:r w:rsidR="0093778F" w:rsidRPr="006A7000">
        <w:rPr>
          <w:sz w:val="24"/>
          <w:szCs w:val="24"/>
        </w:rPr>
        <w:t>ists</w:t>
      </w:r>
      <w:r w:rsidR="001F4BA0" w:rsidRPr="006A7000">
        <w:rPr>
          <w:sz w:val="24"/>
          <w:szCs w:val="24"/>
        </w:rPr>
        <w:t>, pathologists</w:t>
      </w:r>
      <w:r w:rsidR="0093778F" w:rsidRPr="006A7000">
        <w:rPr>
          <w:sz w:val="24"/>
          <w:szCs w:val="24"/>
        </w:rPr>
        <w:t xml:space="preserve"> and (</w:t>
      </w:r>
      <w:r w:rsidR="00C57529" w:rsidRPr="006A7000">
        <w:rPr>
          <w:sz w:val="24"/>
          <w:szCs w:val="24"/>
        </w:rPr>
        <w:t>52</w:t>
      </w:r>
      <w:r w:rsidR="0093778F" w:rsidRPr="006A7000">
        <w:rPr>
          <w:sz w:val="24"/>
          <w:szCs w:val="24"/>
        </w:rPr>
        <w:t>) surgeons</w:t>
      </w:r>
      <w:r w:rsidRPr="006A7000">
        <w:rPr>
          <w:sz w:val="24"/>
          <w:szCs w:val="24"/>
        </w:rPr>
        <w:t xml:space="preserve">. The findings are therefore applicable to any head and neck cancer unit. Key strengths of our study include: high quality data collection from an established national cancer research network; all patients assessed by an MDT; and supporting prospective evidence from concurrent patients </w:t>
      </w:r>
      <w:r w:rsidR="00C50F37" w:rsidRPr="006A7000">
        <w:rPr>
          <w:sz w:val="24"/>
          <w:szCs w:val="24"/>
        </w:rPr>
        <w:t xml:space="preserve">in a real world cohort </w:t>
      </w:r>
      <w:r w:rsidRPr="006A7000">
        <w:rPr>
          <w:sz w:val="24"/>
          <w:szCs w:val="24"/>
        </w:rPr>
        <w:t>who had their preferred surgical procedure.</w:t>
      </w:r>
      <w:r w:rsidR="00FA37D2" w:rsidRPr="006A7000">
        <w:rPr>
          <w:sz w:val="24"/>
          <w:szCs w:val="24"/>
        </w:rPr>
        <w:t xml:space="preserve"> </w:t>
      </w:r>
      <w:r w:rsidR="007E1B23" w:rsidRPr="006A7000">
        <w:rPr>
          <w:sz w:val="24"/>
          <w:szCs w:val="24"/>
        </w:rPr>
        <w:t xml:space="preserve">We also have the longest </w:t>
      </w:r>
      <w:r w:rsidR="0093778F" w:rsidRPr="006A7000">
        <w:rPr>
          <w:sz w:val="24"/>
          <w:szCs w:val="24"/>
        </w:rPr>
        <w:t>follow-up (57 months, compared to 39</w:t>
      </w:r>
      <w:r w:rsidR="007E1B23" w:rsidRPr="006A7000">
        <w:rPr>
          <w:sz w:val="24"/>
          <w:szCs w:val="24"/>
        </w:rPr>
        <w:t xml:space="preserve"> </w:t>
      </w:r>
      <w:r w:rsidR="007E1B23" w:rsidRPr="006A7000">
        <w:rPr>
          <w:sz w:val="24"/>
          <w:szCs w:val="24"/>
        </w:rPr>
        <w:lastRenderedPageBreak/>
        <w:t xml:space="preserve">months for </w:t>
      </w:r>
      <w:r w:rsidR="0093778F" w:rsidRPr="006A7000">
        <w:rPr>
          <w:sz w:val="24"/>
          <w:szCs w:val="24"/>
        </w:rPr>
        <w:t>the Mumbai trial</w:t>
      </w:r>
      <w:r w:rsidR="007E1B23" w:rsidRPr="006A7000">
        <w:rPr>
          <w:sz w:val="24"/>
          <w:szCs w:val="24"/>
        </w:rPr>
        <w:t>).</w:t>
      </w:r>
      <w:r w:rsidR="00F17B95" w:rsidRPr="006A7000">
        <w:rPr>
          <w:sz w:val="24"/>
          <w:szCs w:val="24"/>
        </w:rPr>
        <w:t xml:space="preserve"> </w:t>
      </w:r>
      <w:r w:rsidR="00181C05" w:rsidRPr="006A7000">
        <w:rPr>
          <w:sz w:val="24"/>
          <w:szCs w:val="24"/>
        </w:rPr>
        <w:t xml:space="preserve"> </w:t>
      </w:r>
      <w:r w:rsidR="00541D00" w:rsidRPr="006A7000">
        <w:rPr>
          <w:sz w:val="24"/>
          <w:szCs w:val="24"/>
        </w:rPr>
        <w:t>Furthermore, the SEND study</w:t>
      </w:r>
      <w:r w:rsidR="003371ED" w:rsidRPr="006A7000">
        <w:rPr>
          <w:sz w:val="24"/>
          <w:szCs w:val="24"/>
        </w:rPr>
        <w:t xml:space="preserve"> is the only</w:t>
      </w:r>
      <w:r w:rsidR="00541D00" w:rsidRPr="006A7000">
        <w:rPr>
          <w:sz w:val="24"/>
          <w:szCs w:val="24"/>
        </w:rPr>
        <w:t xml:space="preserve"> randomised trial </w:t>
      </w:r>
      <w:r w:rsidR="00BC5DF3" w:rsidRPr="006A7000">
        <w:rPr>
          <w:sz w:val="24"/>
          <w:szCs w:val="24"/>
        </w:rPr>
        <w:t>of</w:t>
      </w:r>
      <w:r w:rsidR="00541D00" w:rsidRPr="006A7000">
        <w:rPr>
          <w:sz w:val="24"/>
          <w:szCs w:val="24"/>
        </w:rPr>
        <w:t xml:space="preserve"> END </w:t>
      </w:r>
      <w:r w:rsidR="003371ED" w:rsidRPr="006A7000">
        <w:rPr>
          <w:sz w:val="24"/>
          <w:szCs w:val="24"/>
        </w:rPr>
        <w:t>that collect</w:t>
      </w:r>
      <w:r w:rsidR="00FF1678" w:rsidRPr="006A7000">
        <w:rPr>
          <w:sz w:val="24"/>
          <w:szCs w:val="24"/>
        </w:rPr>
        <w:t>ed</w:t>
      </w:r>
      <w:r w:rsidR="00541D00" w:rsidRPr="006A7000">
        <w:rPr>
          <w:sz w:val="24"/>
          <w:szCs w:val="24"/>
        </w:rPr>
        <w:t xml:space="preserve"> patient reported outcomes</w:t>
      </w:r>
      <w:r w:rsidR="00BC5DF3" w:rsidRPr="006A7000">
        <w:rPr>
          <w:sz w:val="24"/>
          <w:szCs w:val="24"/>
        </w:rPr>
        <w:t xml:space="preserve"> and resource use</w:t>
      </w:r>
      <w:r w:rsidR="00541D00" w:rsidRPr="006A7000">
        <w:rPr>
          <w:sz w:val="24"/>
          <w:szCs w:val="24"/>
        </w:rPr>
        <w:t xml:space="preserve">. </w:t>
      </w:r>
    </w:p>
    <w:p w14:paraId="0B518A8F" w14:textId="39CFF279" w:rsidR="003B67F3" w:rsidRPr="006A7000" w:rsidRDefault="00E9722B" w:rsidP="00B95772">
      <w:pPr>
        <w:spacing w:line="480" w:lineRule="auto"/>
        <w:rPr>
          <w:rFonts w:cs="Arial"/>
          <w:sz w:val="24"/>
          <w:szCs w:val="24"/>
        </w:rPr>
      </w:pPr>
      <w:r w:rsidRPr="006A7000">
        <w:rPr>
          <w:sz w:val="24"/>
          <w:szCs w:val="24"/>
        </w:rPr>
        <w:t>The main limitation is that</w:t>
      </w:r>
      <w:r w:rsidR="0093778F" w:rsidRPr="006A7000">
        <w:rPr>
          <w:sz w:val="24"/>
          <w:szCs w:val="24"/>
        </w:rPr>
        <w:t xml:space="preserve"> SEND stopped recruiting early</w:t>
      </w:r>
      <w:r w:rsidR="00CC3DD4" w:rsidRPr="006A7000">
        <w:rPr>
          <w:sz w:val="24"/>
          <w:szCs w:val="24"/>
        </w:rPr>
        <w:t>.</w:t>
      </w:r>
      <w:r w:rsidR="0093778F" w:rsidRPr="006A7000">
        <w:rPr>
          <w:sz w:val="24"/>
          <w:szCs w:val="24"/>
        </w:rPr>
        <w:t xml:space="preserve"> </w:t>
      </w:r>
      <w:r w:rsidR="00CC3DD4" w:rsidRPr="006A7000">
        <w:rPr>
          <w:sz w:val="24"/>
          <w:szCs w:val="24"/>
        </w:rPr>
        <w:t>However, the trial did have sufficient power to show statistically significant improvements for two efficacy endpoints, DFS and loco-regional recurrence, and DFS is now commonly used as the primary outcome measure for early stage cancer treatment trials. A</w:t>
      </w:r>
      <w:r w:rsidR="0093778F" w:rsidRPr="006A7000">
        <w:rPr>
          <w:sz w:val="24"/>
          <w:szCs w:val="24"/>
        </w:rPr>
        <w:t xml:space="preserve">lthough </w:t>
      </w:r>
      <w:r w:rsidRPr="006A7000">
        <w:rPr>
          <w:sz w:val="24"/>
          <w:szCs w:val="24"/>
        </w:rPr>
        <w:t>the OS results were not statistically significant</w:t>
      </w:r>
      <w:r w:rsidR="00641D0C" w:rsidRPr="006A7000">
        <w:rPr>
          <w:sz w:val="24"/>
          <w:szCs w:val="24"/>
        </w:rPr>
        <w:t xml:space="preserve">, </w:t>
      </w:r>
      <w:r w:rsidR="0093778F" w:rsidRPr="006A7000">
        <w:rPr>
          <w:sz w:val="24"/>
          <w:szCs w:val="24"/>
        </w:rPr>
        <w:t>the HR point estimates w</w:t>
      </w:r>
      <w:r w:rsidR="003A2916" w:rsidRPr="006A7000">
        <w:rPr>
          <w:sz w:val="24"/>
          <w:szCs w:val="24"/>
        </w:rPr>
        <w:t>ere in the direction of benefit</w:t>
      </w:r>
      <w:r w:rsidRPr="006A7000">
        <w:rPr>
          <w:sz w:val="24"/>
          <w:szCs w:val="24"/>
        </w:rPr>
        <w:t>.</w:t>
      </w:r>
      <w:r w:rsidR="00505732" w:rsidRPr="006A7000">
        <w:rPr>
          <w:sz w:val="24"/>
          <w:szCs w:val="24"/>
        </w:rPr>
        <w:t xml:space="preserve"> </w:t>
      </w:r>
    </w:p>
    <w:p w14:paraId="58E2F9A3" w14:textId="0E817070" w:rsidR="00F43DB1" w:rsidRPr="006A7000" w:rsidRDefault="00F43DB1" w:rsidP="00B95772">
      <w:pPr>
        <w:spacing w:line="480" w:lineRule="auto"/>
        <w:rPr>
          <w:rFonts w:cs="Arial"/>
          <w:sz w:val="24"/>
          <w:szCs w:val="24"/>
        </w:rPr>
      </w:pPr>
      <w:r w:rsidRPr="006A7000">
        <w:rPr>
          <w:rFonts w:cs="Arial"/>
          <w:sz w:val="24"/>
          <w:szCs w:val="24"/>
        </w:rPr>
        <w:t xml:space="preserve">An important observation from SEND is that </w:t>
      </w:r>
      <w:r w:rsidR="00FF1678" w:rsidRPr="006A7000">
        <w:rPr>
          <w:rFonts w:cs="Arial"/>
          <w:sz w:val="24"/>
          <w:szCs w:val="24"/>
        </w:rPr>
        <w:t xml:space="preserve">in this geographically diverse study, </w:t>
      </w:r>
      <w:r w:rsidRPr="006A7000">
        <w:rPr>
          <w:rFonts w:cs="Arial"/>
          <w:sz w:val="24"/>
          <w:szCs w:val="24"/>
        </w:rPr>
        <w:t xml:space="preserve">the </w:t>
      </w:r>
      <w:r w:rsidR="00BC5DF3" w:rsidRPr="006A7000">
        <w:rPr>
          <w:rFonts w:cs="Arial"/>
          <w:sz w:val="24"/>
          <w:szCs w:val="24"/>
        </w:rPr>
        <w:t xml:space="preserve">vast </w:t>
      </w:r>
      <w:r w:rsidRPr="006A7000">
        <w:rPr>
          <w:rFonts w:cs="Arial"/>
          <w:sz w:val="24"/>
          <w:szCs w:val="24"/>
        </w:rPr>
        <w:t>majority (95%) of recurrences or occurrences of cancer in the mouth or neck were seen within 2 years from surgery</w:t>
      </w:r>
      <w:r w:rsidR="00F17B95" w:rsidRPr="006A7000">
        <w:rPr>
          <w:rFonts w:cs="Arial"/>
          <w:sz w:val="24"/>
          <w:szCs w:val="24"/>
        </w:rPr>
        <w:t xml:space="preserve">, </w:t>
      </w:r>
      <w:r w:rsidR="00ED63EE" w:rsidRPr="006A7000">
        <w:rPr>
          <w:rFonts w:cs="Arial"/>
          <w:sz w:val="24"/>
          <w:szCs w:val="24"/>
        </w:rPr>
        <w:t>as seen by other investigators</w:t>
      </w:r>
      <w:r w:rsidRPr="006A7000">
        <w:rPr>
          <w:rFonts w:cs="Arial"/>
          <w:sz w:val="24"/>
          <w:szCs w:val="24"/>
        </w:rPr>
        <w:t>.</w:t>
      </w:r>
      <w:r w:rsidR="00251944" w:rsidRPr="006A7000">
        <w:rPr>
          <w:rFonts w:cs="Arial"/>
          <w:sz w:val="24"/>
          <w:szCs w:val="24"/>
          <w:vertAlign w:val="superscript"/>
        </w:rPr>
        <w:t>3</w:t>
      </w:r>
      <w:r w:rsidR="00516B03" w:rsidRPr="006A7000">
        <w:rPr>
          <w:rFonts w:cs="Arial"/>
          <w:sz w:val="24"/>
          <w:szCs w:val="24"/>
          <w:vertAlign w:val="superscript"/>
        </w:rPr>
        <w:t>1</w:t>
      </w:r>
      <w:r w:rsidRPr="006A7000">
        <w:rPr>
          <w:rFonts w:cs="Arial"/>
          <w:sz w:val="24"/>
          <w:szCs w:val="24"/>
        </w:rPr>
        <w:t xml:space="preserve"> This could have implications for long-term clinical follow up, in that most patients may not need annual assessments, and could instead be discharged</w:t>
      </w:r>
      <w:r w:rsidR="00B07002" w:rsidRPr="006A7000">
        <w:rPr>
          <w:rFonts w:cs="Arial"/>
          <w:sz w:val="24"/>
          <w:szCs w:val="24"/>
        </w:rPr>
        <w:t xml:space="preserve"> </w:t>
      </w:r>
      <w:r w:rsidR="00BC5DF3" w:rsidRPr="006A7000">
        <w:rPr>
          <w:rFonts w:cs="Arial"/>
          <w:sz w:val="24"/>
          <w:szCs w:val="24"/>
        </w:rPr>
        <w:t xml:space="preserve">to their GP </w:t>
      </w:r>
      <w:r w:rsidR="00B07002" w:rsidRPr="006A7000">
        <w:rPr>
          <w:rFonts w:cs="Arial"/>
          <w:sz w:val="24"/>
          <w:szCs w:val="24"/>
        </w:rPr>
        <w:t>earlier</w:t>
      </w:r>
      <w:r w:rsidR="0093778F" w:rsidRPr="006A7000">
        <w:rPr>
          <w:rFonts w:cs="Arial"/>
          <w:sz w:val="24"/>
          <w:szCs w:val="24"/>
        </w:rPr>
        <w:t>, particularly if they have no clear adverse prognostic factors</w:t>
      </w:r>
      <w:r w:rsidRPr="006A7000">
        <w:rPr>
          <w:rFonts w:cs="Arial"/>
          <w:sz w:val="24"/>
          <w:szCs w:val="24"/>
        </w:rPr>
        <w:t>.</w:t>
      </w:r>
    </w:p>
    <w:p w14:paraId="6E9B770D" w14:textId="36BC032B" w:rsidR="00E80727" w:rsidRPr="006A7000" w:rsidRDefault="002F590C" w:rsidP="00B95772">
      <w:pPr>
        <w:spacing w:line="480" w:lineRule="auto"/>
        <w:rPr>
          <w:rFonts w:cs="Arial"/>
          <w:sz w:val="24"/>
          <w:szCs w:val="24"/>
          <w:vertAlign w:val="superscript"/>
        </w:rPr>
      </w:pPr>
      <w:r w:rsidRPr="006A7000">
        <w:rPr>
          <w:rFonts w:cs="Arial"/>
          <w:sz w:val="24"/>
          <w:szCs w:val="24"/>
        </w:rPr>
        <w:t>S</w:t>
      </w:r>
      <w:r w:rsidR="00E80727" w:rsidRPr="006A7000">
        <w:rPr>
          <w:rFonts w:cs="Arial"/>
          <w:sz w:val="24"/>
          <w:szCs w:val="24"/>
        </w:rPr>
        <w:t xml:space="preserve">entinel lymph node biopsy (SLNB) is </w:t>
      </w:r>
      <w:r w:rsidR="00BE411E" w:rsidRPr="006A7000">
        <w:rPr>
          <w:rFonts w:cs="Arial"/>
          <w:sz w:val="24"/>
          <w:szCs w:val="24"/>
        </w:rPr>
        <w:t>suggested</w:t>
      </w:r>
      <w:r w:rsidR="00BA31F7" w:rsidRPr="006A7000">
        <w:rPr>
          <w:rFonts w:cs="Arial"/>
          <w:sz w:val="24"/>
          <w:szCs w:val="24"/>
        </w:rPr>
        <w:t xml:space="preserve"> as a surgical</w:t>
      </w:r>
      <w:r w:rsidR="00BE411E" w:rsidRPr="006A7000">
        <w:rPr>
          <w:rFonts w:cs="Arial"/>
          <w:sz w:val="24"/>
          <w:szCs w:val="24"/>
        </w:rPr>
        <w:t xml:space="preserve"> alternative to END</w:t>
      </w:r>
      <w:r w:rsidR="00E80727" w:rsidRPr="006A7000">
        <w:rPr>
          <w:rFonts w:cs="Arial"/>
          <w:sz w:val="24"/>
          <w:szCs w:val="24"/>
        </w:rPr>
        <w:t>. It is a reliable technique for staging T1/2 N0 disease</w:t>
      </w:r>
      <w:r w:rsidR="0047215B" w:rsidRPr="006A7000">
        <w:rPr>
          <w:rFonts w:cs="Arial"/>
          <w:sz w:val="24"/>
          <w:szCs w:val="24"/>
        </w:rPr>
        <w:t>,</w:t>
      </w:r>
      <w:r w:rsidR="00E80727" w:rsidRPr="006A7000">
        <w:rPr>
          <w:rFonts w:cs="Arial"/>
          <w:sz w:val="24"/>
          <w:szCs w:val="24"/>
          <w:vertAlign w:val="superscript"/>
        </w:rPr>
        <w:t>3</w:t>
      </w:r>
      <w:r w:rsidR="00516B03" w:rsidRPr="006A7000">
        <w:rPr>
          <w:rFonts w:cs="Arial"/>
          <w:sz w:val="24"/>
          <w:szCs w:val="24"/>
          <w:vertAlign w:val="superscript"/>
        </w:rPr>
        <w:t>2</w:t>
      </w:r>
      <w:r w:rsidR="0047215B" w:rsidRPr="006A7000">
        <w:rPr>
          <w:rFonts w:cs="Arial"/>
          <w:sz w:val="24"/>
          <w:szCs w:val="24"/>
        </w:rPr>
        <w:t xml:space="preserve"> and</w:t>
      </w:r>
      <w:r w:rsidR="00E80727" w:rsidRPr="006A7000">
        <w:rPr>
          <w:rFonts w:cs="Arial"/>
          <w:sz w:val="24"/>
          <w:szCs w:val="24"/>
        </w:rPr>
        <w:t xml:space="preserve"> </w:t>
      </w:r>
      <w:r w:rsidR="00151CB5" w:rsidRPr="006A7000">
        <w:rPr>
          <w:rFonts w:cs="Arial"/>
          <w:sz w:val="24"/>
          <w:szCs w:val="24"/>
        </w:rPr>
        <w:t>considered more</w:t>
      </w:r>
      <w:r w:rsidR="00E80727" w:rsidRPr="006A7000">
        <w:rPr>
          <w:rFonts w:cs="Arial"/>
          <w:sz w:val="24"/>
          <w:szCs w:val="24"/>
        </w:rPr>
        <w:t xml:space="preserve"> accurate than US-FNAC at detecting neck metastases</w:t>
      </w:r>
      <w:r w:rsidR="00BB29A1" w:rsidRPr="006A7000">
        <w:rPr>
          <w:rFonts w:cs="Arial"/>
          <w:sz w:val="24"/>
          <w:szCs w:val="24"/>
          <w:vertAlign w:val="superscript"/>
        </w:rPr>
        <w:t>3</w:t>
      </w:r>
      <w:r w:rsidR="00151CB5" w:rsidRPr="006A7000">
        <w:rPr>
          <w:rFonts w:cs="Arial"/>
          <w:sz w:val="24"/>
          <w:szCs w:val="24"/>
          <w:vertAlign w:val="superscript"/>
        </w:rPr>
        <w:t>3</w:t>
      </w:r>
      <w:r w:rsidR="00E80727" w:rsidRPr="006A7000">
        <w:rPr>
          <w:rFonts w:cs="Arial"/>
          <w:sz w:val="24"/>
          <w:szCs w:val="24"/>
        </w:rPr>
        <w:t xml:space="preserve"> </w:t>
      </w:r>
      <w:r w:rsidR="00BA31F7" w:rsidRPr="006A7000">
        <w:rPr>
          <w:rFonts w:cs="Arial"/>
          <w:sz w:val="24"/>
          <w:szCs w:val="24"/>
        </w:rPr>
        <w:t xml:space="preserve">though more invasive, morbid and costly. </w:t>
      </w:r>
      <w:r w:rsidR="003404AF" w:rsidRPr="006A7000">
        <w:rPr>
          <w:rFonts w:cs="Arial"/>
          <w:sz w:val="24"/>
          <w:szCs w:val="24"/>
        </w:rPr>
        <w:t>SLNB is</w:t>
      </w:r>
      <w:r w:rsidR="00E80727" w:rsidRPr="006A7000">
        <w:rPr>
          <w:rFonts w:cs="Arial"/>
          <w:sz w:val="24"/>
          <w:szCs w:val="24"/>
        </w:rPr>
        <w:t xml:space="preserve"> less invasive than END</w:t>
      </w:r>
      <w:r w:rsidR="003404AF" w:rsidRPr="006A7000">
        <w:rPr>
          <w:rFonts w:cs="Arial"/>
          <w:sz w:val="24"/>
          <w:szCs w:val="24"/>
        </w:rPr>
        <w:t xml:space="preserve"> with reduced morbidity</w:t>
      </w:r>
      <w:r w:rsidR="00151CB5" w:rsidRPr="006A7000">
        <w:rPr>
          <w:rFonts w:cs="Arial"/>
          <w:sz w:val="24"/>
          <w:szCs w:val="24"/>
        </w:rPr>
        <w:t>,</w:t>
      </w:r>
      <w:r w:rsidR="00A202A8" w:rsidRPr="006A7000">
        <w:rPr>
          <w:rFonts w:cs="Arial"/>
          <w:sz w:val="24"/>
          <w:szCs w:val="24"/>
          <w:vertAlign w:val="superscript"/>
        </w:rPr>
        <w:t>34,35</w:t>
      </w:r>
      <w:r w:rsidR="003404AF" w:rsidRPr="006A7000">
        <w:rPr>
          <w:rFonts w:cs="Arial"/>
          <w:sz w:val="24"/>
          <w:szCs w:val="24"/>
        </w:rPr>
        <w:t xml:space="preserve"> </w:t>
      </w:r>
      <w:r w:rsidR="008E3ECB" w:rsidRPr="006A7000">
        <w:rPr>
          <w:rFonts w:cs="Arial"/>
          <w:sz w:val="24"/>
          <w:szCs w:val="24"/>
        </w:rPr>
        <w:t xml:space="preserve">but </w:t>
      </w:r>
      <w:r w:rsidR="00A30D1B" w:rsidRPr="006A7000">
        <w:rPr>
          <w:rFonts w:cs="Arial"/>
          <w:sz w:val="24"/>
          <w:szCs w:val="24"/>
        </w:rPr>
        <w:t xml:space="preserve">SLNB </w:t>
      </w:r>
      <w:r w:rsidR="008E3ECB" w:rsidRPr="006A7000">
        <w:rPr>
          <w:rFonts w:cs="Arial"/>
          <w:sz w:val="24"/>
          <w:szCs w:val="24"/>
        </w:rPr>
        <w:t>is only diagnostic</w:t>
      </w:r>
      <w:r w:rsidR="00A30D1B" w:rsidRPr="006A7000">
        <w:rPr>
          <w:rFonts w:cs="Arial"/>
          <w:sz w:val="24"/>
          <w:szCs w:val="24"/>
        </w:rPr>
        <w:t xml:space="preserve"> </w:t>
      </w:r>
      <w:r w:rsidR="00BE411E" w:rsidRPr="006A7000">
        <w:rPr>
          <w:rFonts w:cs="Arial"/>
          <w:sz w:val="24"/>
          <w:szCs w:val="24"/>
        </w:rPr>
        <w:t xml:space="preserve">whilst </w:t>
      </w:r>
      <w:r w:rsidR="00E80727" w:rsidRPr="006A7000">
        <w:rPr>
          <w:rFonts w:cs="Arial"/>
          <w:sz w:val="24"/>
          <w:szCs w:val="24"/>
        </w:rPr>
        <w:t xml:space="preserve">END is therapeutic </w:t>
      </w:r>
      <w:r w:rsidR="008E3ECB" w:rsidRPr="006A7000">
        <w:rPr>
          <w:rFonts w:cs="Arial"/>
          <w:sz w:val="24"/>
          <w:szCs w:val="24"/>
        </w:rPr>
        <w:t>and</w:t>
      </w:r>
      <w:r w:rsidR="00A30D1B" w:rsidRPr="006A7000">
        <w:rPr>
          <w:rFonts w:cs="Arial"/>
          <w:sz w:val="24"/>
          <w:szCs w:val="24"/>
        </w:rPr>
        <w:t xml:space="preserve"> subsequently needed</w:t>
      </w:r>
      <w:r w:rsidR="008E3ECB" w:rsidRPr="006A7000">
        <w:rPr>
          <w:rFonts w:cs="Arial"/>
          <w:sz w:val="24"/>
          <w:szCs w:val="24"/>
        </w:rPr>
        <w:t xml:space="preserve"> anyway</w:t>
      </w:r>
      <w:r w:rsidR="00A30D1B" w:rsidRPr="006A7000">
        <w:rPr>
          <w:rFonts w:cs="Arial"/>
          <w:sz w:val="24"/>
          <w:szCs w:val="24"/>
        </w:rPr>
        <w:t xml:space="preserve"> after a positive</w:t>
      </w:r>
      <w:r w:rsidR="008E3ECB" w:rsidRPr="006A7000">
        <w:rPr>
          <w:rFonts w:cs="Arial"/>
          <w:sz w:val="24"/>
          <w:szCs w:val="24"/>
        </w:rPr>
        <w:t xml:space="preserve"> SLNB.</w:t>
      </w:r>
      <w:r w:rsidR="00E80727" w:rsidRPr="006A7000">
        <w:rPr>
          <w:rFonts w:cs="Arial"/>
          <w:sz w:val="24"/>
          <w:szCs w:val="24"/>
        </w:rPr>
        <w:t xml:space="preserve"> A small observational study suggested that SLNB was less costly than END,</w:t>
      </w:r>
      <w:r w:rsidR="00E80727" w:rsidRPr="006A7000">
        <w:rPr>
          <w:rFonts w:cs="Arial"/>
          <w:sz w:val="24"/>
          <w:szCs w:val="24"/>
          <w:vertAlign w:val="superscript"/>
        </w:rPr>
        <w:t>3</w:t>
      </w:r>
      <w:r w:rsidR="00BB29A1" w:rsidRPr="006A7000">
        <w:rPr>
          <w:rFonts w:cs="Arial"/>
          <w:sz w:val="24"/>
          <w:szCs w:val="24"/>
          <w:vertAlign w:val="superscript"/>
        </w:rPr>
        <w:t>6</w:t>
      </w:r>
      <w:r w:rsidR="00E80727" w:rsidRPr="006A7000">
        <w:rPr>
          <w:rFonts w:cs="Arial"/>
          <w:sz w:val="24"/>
          <w:szCs w:val="24"/>
        </w:rPr>
        <w:t xml:space="preserve"> but no prospective </w:t>
      </w:r>
      <w:r w:rsidR="00226DAF" w:rsidRPr="006A7000">
        <w:rPr>
          <w:rFonts w:cs="Arial"/>
          <w:sz w:val="24"/>
          <w:szCs w:val="24"/>
        </w:rPr>
        <w:t>randomis</w:t>
      </w:r>
      <w:r w:rsidR="00E80727" w:rsidRPr="006A7000">
        <w:rPr>
          <w:rFonts w:cs="Arial"/>
          <w:sz w:val="24"/>
          <w:szCs w:val="24"/>
        </w:rPr>
        <w:t xml:space="preserve">ed trial has directly compared them. SLNB is resource intensive for histopathology and operating time. </w:t>
      </w:r>
      <w:r w:rsidR="003404AF" w:rsidRPr="006A7000">
        <w:rPr>
          <w:rFonts w:cs="Arial"/>
          <w:sz w:val="24"/>
          <w:szCs w:val="24"/>
        </w:rPr>
        <w:t xml:space="preserve">Also, patients with false negative results undergo salvage neck dissection </w:t>
      </w:r>
      <w:r w:rsidR="008E3ECB" w:rsidRPr="006A7000">
        <w:rPr>
          <w:rFonts w:cs="Arial"/>
          <w:sz w:val="24"/>
          <w:szCs w:val="24"/>
        </w:rPr>
        <w:t>later</w:t>
      </w:r>
      <w:r w:rsidR="003404AF" w:rsidRPr="006A7000">
        <w:rPr>
          <w:rFonts w:cs="Arial"/>
          <w:sz w:val="24"/>
          <w:szCs w:val="24"/>
        </w:rPr>
        <w:t xml:space="preserve"> with </w:t>
      </w:r>
      <w:r w:rsidR="00151CB5" w:rsidRPr="006A7000">
        <w:rPr>
          <w:rFonts w:cs="Arial"/>
          <w:sz w:val="24"/>
          <w:szCs w:val="24"/>
        </w:rPr>
        <w:t>negative survival</w:t>
      </w:r>
      <w:r w:rsidR="003404AF" w:rsidRPr="006A7000">
        <w:rPr>
          <w:rFonts w:cs="Arial"/>
          <w:sz w:val="24"/>
          <w:szCs w:val="24"/>
        </w:rPr>
        <w:t xml:space="preserve"> </w:t>
      </w:r>
      <w:r w:rsidR="008E3ECB" w:rsidRPr="006A7000">
        <w:rPr>
          <w:rFonts w:cs="Arial"/>
          <w:sz w:val="24"/>
          <w:szCs w:val="24"/>
        </w:rPr>
        <w:t xml:space="preserve">results </w:t>
      </w:r>
      <w:r w:rsidR="003404AF" w:rsidRPr="006A7000">
        <w:rPr>
          <w:rFonts w:cs="Arial"/>
          <w:sz w:val="24"/>
          <w:szCs w:val="24"/>
        </w:rPr>
        <w:t xml:space="preserve">(as with resection only). </w:t>
      </w:r>
      <w:r w:rsidR="00E80727" w:rsidRPr="006A7000">
        <w:rPr>
          <w:rFonts w:cs="Arial"/>
          <w:sz w:val="24"/>
          <w:szCs w:val="24"/>
        </w:rPr>
        <w:t xml:space="preserve">Few US </w:t>
      </w:r>
      <w:r w:rsidR="003404AF" w:rsidRPr="006A7000">
        <w:rPr>
          <w:rFonts w:cs="Arial"/>
          <w:sz w:val="24"/>
          <w:szCs w:val="24"/>
        </w:rPr>
        <w:t>centre</w:t>
      </w:r>
      <w:r w:rsidR="00E80727" w:rsidRPr="006A7000">
        <w:rPr>
          <w:rFonts w:cs="Arial"/>
          <w:sz w:val="24"/>
          <w:szCs w:val="24"/>
        </w:rPr>
        <w:t>s have sufficient expertise to use SLNB</w:t>
      </w:r>
      <w:r w:rsidR="00E80727" w:rsidRPr="006A7000">
        <w:rPr>
          <w:rFonts w:cs="Arial"/>
          <w:sz w:val="24"/>
          <w:szCs w:val="24"/>
          <w:vertAlign w:val="superscript"/>
        </w:rPr>
        <w:t>1</w:t>
      </w:r>
      <w:r w:rsidR="00B945E8" w:rsidRPr="006A7000">
        <w:rPr>
          <w:rFonts w:cs="Arial"/>
          <w:sz w:val="24"/>
          <w:szCs w:val="24"/>
          <w:vertAlign w:val="superscript"/>
        </w:rPr>
        <w:t>4</w:t>
      </w:r>
      <w:r w:rsidR="00E80727" w:rsidRPr="006A7000">
        <w:rPr>
          <w:rFonts w:cs="Arial"/>
          <w:sz w:val="24"/>
          <w:szCs w:val="24"/>
        </w:rPr>
        <w:t>, therefore it is not commonly used</w:t>
      </w:r>
      <w:r w:rsidR="003404AF" w:rsidRPr="006A7000">
        <w:rPr>
          <w:rFonts w:cs="Arial"/>
          <w:sz w:val="24"/>
          <w:szCs w:val="24"/>
        </w:rPr>
        <w:t xml:space="preserve"> there,</w:t>
      </w:r>
      <w:r w:rsidR="00E80727" w:rsidRPr="006A7000">
        <w:rPr>
          <w:rFonts w:cs="Arial"/>
          <w:sz w:val="24"/>
          <w:szCs w:val="24"/>
          <w:vertAlign w:val="superscript"/>
        </w:rPr>
        <w:t>3</w:t>
      </w:r>
      <w:r w:rsidR="00A202A8" w:rsidRPr="006A7000">
        <w:rPr>
          <w:rFonts w:cs="Arial"/>
          <w:sz w:val="24"/>
          <w:szCs w:val="24"/>
          <w:vertAlign w:val="superscript"/>
        </w:rPr>
        <w:t>5</w:t>
      </w:r>
      <w:r w:rsidR="00E80727" w:rsidRPr="006A7000">
        <w:rPr>
          <w:rFonts w:cs="Arial"/>
          <w:sz w:val="24"/>
          <w:szCs w:val="24"/>
        </w:rPr>
        <w:t xml:space="preserve"> and the increased resources needed preclude its use in low/middle income countries. In the few UK </w:t>
      </w:r>
      <w:r w:rsidR="003404AF" w:rsidRPr="006A7000">
        <w:rPr>
          <w:rFonts w:cs="Arial"/>
          <w:sz w:val="24"/>
          <w:szCs w:val="24"/>
        </w:rPr>
        <w:t>centre</w:t>
      </w:r>
      <w:r w:rsidR="00E80727" w:rsidRPr="006A7000">
        <w:rPr>
          <w:rFonts w:cs="Arial"/>
          <w:sz w:val="24"/>
          <w:szCs w:val="24"/>
        </w:rPr>
        <w:t>s that use SLNB, some limit its use to thin oral cancers and diameters &lt;5mms because of the low risk of positive sentinel nodes</w:t>
      </w:r>
      <w:r w:rsidR="008E3ECB" w:rsidRPr="006A7000">
        <w:rPr>
          <w:rFonts w:cs="Arial"/>
          <w:sz w:val="24"/>
          <w:szCs w:val="24"/>
        </w:rPr>
        <w:t>.</w:t>
      </w:r>
    </w:p>
    <w:p w14:paraId="498EB404" w14:textId="77777777" w:rsidR="002C2531" w:rsidRPr="006A7000" w:rsidRDefault="00E80727" w:rsidP="00151CB5">
      <w:pPr>
        <w:spacing w:line="480" w:lineRule="auto"/>
        <w:rPr>
          <w:rFonts w:cs="Arial"/>
          <w:sz w:val="24"/>
          <w:szCs w:val="24"/>
        </w:rPr>
      </w:pPr>
      <w:r w:rsidRPr="006A7000">
        <w:rPr>
          <w:rFonts w:cs="Arial"/>
          <w:sz w:val="24"/>
          <w:szCs w:val="24"/>
        </w:rPr>
        <w:lastRenderedPageBreak/>
        <w:t>Following the Mumbai trial,</w:t>
      </w:r>
      <w:r w:rsidRPr="006A7000">
        <w:rPr>
          <w:rFonts w:cs="Arial"/>
          <w:sz w:val="24"/>
          <w:szCs w:val="24"/>
          <w:vertAlign w:val="superscript"/>
        </w:rPr>
        <w:t>1</w:t>
      </w:r>
      <w:r w:rsidR="00C0677F" w:rsidRPr="006A7000">
        <w:rPr>
          <w:rFonts w:cs="Arial"/>
          <w:sz w:val="24"/>
          <w:szCs w:val="24"/>
          <w:vertAlign w:val="superscript"/>
        </w:rPr>
        <w:t>3</w:t>
      </w:r>
      <w:r w:rsidRPr="006A7000">
        <w:rPr>
          <w:rFonts w:cs="Arial"/>
          <w:sz w:val="24"/>
          <w:szCs w:val="24"/>
        </w:rPr>
        <w:t xml:space="preserve"> several surgeons consider END on a case-by-case basis, but </w:t>
      </w:r>
      <w:r w:rsidR="000052BF" w:rsidRPr="006A7000">
        <w:rPr>
          <w:rFonts w:cs="Arial"/>
          <w:sz w:val="24"/>
          <w:szCs w:val="24"/>
        </w:rPr>
        <w:t xml:space="preserve">do </w:t>
      </w:r>
      <w:r w:rsidRPr="006A7000">
        <w:rPr>
          <w:rFonts w:cs="Arial"/>
          <w:sz w:val="24"/>
          <w:szCs w:val="24"/>
        </w:rPr>
        <w:t xml:space="preserve">not usually </w:t>
      </w:r>
      <w:r w:rsidR="000052BF" w:rsidRPr="006A7000">
        <w:rPr>
          <w:rFonts w:cs="Arial"/>
          <w:sz w:val="24"/>
          <w:szCs w:val="24"/>
        </w:rPr>
        <w:t xml:space="preserve">use END </w:t>
      </w:r>
      <w:r w:rsidRPr="006A7000">
        <w:rPr>
          <w:rFonts w:cs="Arial"/>
          <w:sz w:val="24"/>
          <w:szCs w:val="24"/>
        </w:rPr>
        <w:t>for T1 tumo</w:t>
      </w:r>
      <w:r w:rsidR="00226DAF" w:rsidRPr="006A7000">
        <w:rPr>
          <w:rFonts w:cs="Arial"/>
          <w:sz w:val="24"/>
          <w:szCs w:val="24"/>
        </w:rPr>
        <w:t>u</w:t>
      </w:r>
      <w:r w:rsidRPr="006A7000">
        <w:rPr>
          <w:rFonts w:cs="Arial"/>
          <w:sz w:val="24"/>
          <w:szCs w:val="24"/>
        </w:rPr>
        <w:t>rs</w:t>
      </w:r>
      <w:r w:rsidR="000052BF" w:rsidRPr="006A7000">
        <w:rPr>
          <w:rFonts w:cs="Arial"/>
          <w:sz w:val="24"/>
          <w:szCs w:val="24"/>
        </w:rPr>
        <w:t>. There</w:t>
      </w:r>
      <w:r w:rsidRPr="006A7000">
        <w:rPr>
          <w:rFonts w:cs="Arial"/>
          <w:sz w:val="24"/>
          <w:szCs w:val="24"/>
        </w:rPr>
        <w:t xml:space="preserve"> is </w:t>
      </w:r>
      <w:r w:rsidR="001811AE" w:rsidRPr="006A7000">
        <w:rPr>
          <w:rFonts w:cs="Arial"/>
          <w:sz w:val="24"/>
          <w:szCs w:val="24"/>
        </w:rPr>
        <w:t xml:space="preserve">also </w:t>
      </w:r>
      <w:r w:rsidR="000052BF" w:rsidRPr="006A7000">
        <w:rPr>
          <w:rFonts w:cs="Arial"/>
          <w:sz w:val="24"/>
          <w:szCs w:val="24"/>
        </w:rPr>
        <w:t xml:space="preserve">still </w:t>
      </w:r>
      <w:r w:rsidRPr="006A7000">
        <w:rPr>
          <w:rFonts w:cs="Arial"/>
          <w:sz w:val="24"/>
          <w:szCs w:val="24"/>
        </w:rPr>
        <w:t xml:space="preserve">variability </w:t>
      </w:r>
      <w:r w:rsidR="000052BF" w:rsidRPr="006A7000">
        <w:rPr>
          <w:rFonts w:cs="Arial"/>
          <w:sz w:val="24"/>
          <w:szCs w:val="24"/>
        </w:rPr>
        <w:t xml:space="preserve">of uptake </w:t>
      </w:r>
      <w:r w:rsidRPr="006A7000">
        <w:rPr>
          <w:rFonts w:cs="Arial"/>
          <w:sz w:val="24"/>
          <w:szCs w:val="24"/>
        </w:rPr>
        <w:t>internationally</w:t>
      </w:r>
      <w:r w:rsidR="001811AE" w:rsidRPr="006A7000">
        <w:rPr>
          <w:rFonts w:cs="Arial"/>
          <w:sz w:val="24"/>
          <w:szCs w:val="24"/>
        </w:rPr>
        <w:t>, probably because</w:t>
      </w:r>
      <w:r w:rsidR="000052BF" w:rsidRPr="006A7000">
        <w:rPr>
          <w:rFonts w:cs="Arial"/>
          <w:sz w:val="24"/>
          <w:szCs w:val="24"/>
        </w:rPr>
        <w:t xml:space="preserve"> NCCN and NICE do not </w:t>
      </w:r>
      <w:r w:rsidR="001811AE" w:rsidRPr="006A7000">
        <w:rPr>
          <w:rFonts w:cs="Arial"/>
          <w:sz w:val="24"/>
          <w:szCs w:val="24"/>
        </w:rPr>
        <w:t xml:space="preserve">yet </w:t>
      </w:r>
      <w:r w:rsidR="000052BF" w:rsidRPr="006A7000">
        <w:rPr>
          <w:rFonts w:cs="Arial"/>
          <w:sz w:val="24"/>
          <w:szCs w:val="24"/>
        </w:rPr>
        <w:t>recommend END for early stage node negative oral cancer</w:t>
      </w:r>
      <w:r w:rsidR="001811AE" w:rsidRPr="006A7000">
        <w:rPr>
          <w:rFonts w:cs="Arial"/>
          <w:sz w:val="24"/>
          <w:szCs w:val="24"/>
          <w:vertAlign w:val="superscript"/>
        </w:rPr>
        <w:t>16,17</w:t>
      </w:r>
      <w:r w:rsidRPr="006A7000">
        <w:rPr>
          <w:rFonts w:cs="Arial"/>
          <w:sz w:val="24"/>
          <w:szCs w:val="24"/>
        </w:rPr>
        <w:t>.</w:t>
      </w:r>
      <w:r w:rsidR="00464C69" w:rsidRPr="006A7000">
        <w:rPr>
          <w:rFonts w:cs="Arial"/>
          <w:sz w:val="24"/>
          <w:szCs w:val="24"/>
        </w:rPr>
        <w:t xml:space="preserve"> </w:t>
      </w:r>
    </w:p>
    <w:p w14:paraId="0449ED62" w14:textId="77777777" w:rsidR="002C2531" w:rsidRPr="006A7000" w:rsidRDefault="00FD3274" w:rsidP="00151CB5">
      <w:pPr>
        <w:spacing w:line="480" w:lineRule="auto"/>
        <w:rPr>
          <w:rFonts w:cs="Arial"/>
          <w:sz w:val="24"/>
          <w:szCs w:val="24"/>
        </w:rPr>
      </w:pPr>
      <w:r w:rsidRPr="006A7000">
        <w:rPr>
          <w:rFonts w:cs="Arial"/>
          <w:sz w:val="24"/>
          <w:szCs w:val="24"/>
        </w:rPr>
        <w:t>The combined evidence presented in this paper</w:t>
      </w:r>
      <w:r w:rsidRPr="006A7000">
        <w:rPr>
          <w:rFonts w:cs="Arial"/>
        </w:rPr>
        <w:t xml:space="preserve"> </w:t>
      </w:r>
      <w:r w:rsidRPr="006A7000">
        <w:rPr>
          <w:rFonts w:cs="Arial"/>
          <w:sz w:val="24"/>
          <w:szCs w:val="24"/>
        </w:rPr>
        <w:t>including the two largest and contemporary randomised trials (one national multicentre study [SEND] and one from a single tertiary centre), together with real world data and our meta-analysis</w:t>
      </w:r>
      <w:r w:rsidRPr="006A7000">
        <w:rPr>
          <w:rFonts w:cs="Arial"/>
        </w:rPr>
        <w:t xml:space="preserve"> </w:t>
      </w:r>
      <w:r w:rsidRPr="006A7000">
        <w:rPr>
          <w:rFonts w:cs="Arial"/>
          <w:sz w:val="24"/>
          <w:szCs w:val="24"/>
        </w:rPr>
        <w:t>now unequivocally demonstrates the survival benefit of END in early stage mouth cancer, including in small tumours</w:t>
      </w:r>
      <w:r w:rsidR="00110507" w:rsidRPr="006A7000">
        <w:rPr>
          <w:rFonts w:cs="Arial"/>
          <w:sz w:val="24"/>
          <w:szCs w:val="24"/>
        </w:rPr>
        <w:t xml:space="preserve">. </w:t>
      </w:r>
    </w:p>
    <w:p w14:paraId="1E0FD496" w14:textId="0B813CAB" w:rsidR="007F010B" w:rsidRPr="006A7000" w:rsidRDefault="002C2531" w:rsidP="00151CB5">
      <w:pPr>
        <w:spacing w:line="480" w:lineRule="auto"/>
        <w:rPr>
          <w:rFonts w:cs="Arial"/>
        </w:rPr>
      </w:pPr>
      <w:r w:rsidRPr="006A7000">
        <w:rPr>
          <w:rFonts w:cs="Arial"/>
          <w:sz w:val="24"/>
          <w:szCs w:val="24"/>
        </w:rPr>
        <w:t>Our</w:t>
      </w:r>
      <w:r w:rsidR="0053682E" w:rsidRPr="006A7000">
        <w:rPr>
          <w:rFonts w:cs="Arial"/>
          <w:sz w:val="24"/>
          <w:szCs w:val="24"/>
        </w:rPr>
        <w:t xml:space="preserve"> paper should eliminate the uncertainty over END indicated in national guidelines </w:t>
      </w:r>
      <w:r w:rsidR="00BB29A1" w:rsidRPr="006A7000">
        <w:rPr>
          <w:rFonts w:cs="Arial"/>
          <w:sz w:val="24"/>
          <w:szCs w:val="24"/>
        </w:rPr>
        <w:t>and these</w:t>
      </w:r>
      <w:r w:rsidR="0053682E" w:rsidRPr="006A7000">
        <w:rPr>
          <w:rFonts w:cs="Arial"/>
          <w:sz w:val="24"/>
          <w:szCs w:val="24"/>
        </w:rPr>
        <w:t xml:space="preserve"> should be updated to reflect </w:t>
      </w:r>
      <w:r w:rsidRPr="006A7000">
        <w:rPr>
          <w:rFonts w:cs="Arial"/>
          <w:sz w:val="24"/>
          <w:szCs w:val="24"/>
        </w:rPr>
        <w:t xml:space="preserve">the </w:t>
      </w:r>
      <w:r w:rsidR="0053682E" w:rsidRPr="006A7000">
        <w:rPr>
          <w:rFonts w:cs="Arial"/>
          <w:sz w:val="24"/>
          <w:szCs w:val="24"/>
        </w:rPr>
        <w:t>benefit</w:t>
      </w:r>
      <w:r w:rsidRPr="006A7000">
        <w:rPr>
          <w:rFonts w:cs="Arial"/>
          <w:sz w:val="24"/>
          <w:szCs w:val="24"/>
        </w:rPr>
        <w:t xml:space="preserve"> from END</w:t>
      </w:r>
      <w:r w:rsidR="0053682E" w:rsidRPr="006A7000">
        <w:rPr>
          <w:rFonts w:cs="Arial"/>
          <w:sz w:val="24"/>
          <w:szCs w:val="24"/>
        </w:rPr>
        <w:t>. The</w:t>
      </w:r>
      <w:r w:rsidR="00110507" w:rsidRPr="006A7000">
        <w:rPr>
          <w:rFonts w:cs="Arial"/>
          <w:sz w:val="24"/>
          <w:szCs w:val="24"/>
        </w:rPr>
        <w:t xml:space="preserve"> paper also presents quantifiable </w:t>
      </w:r>
      <w:r w:rsidR="00B62912" w:rsidRPr="006A7000">
        <w:rPr>
          <w:rFonts w:cs="Arial"/>
          <w:sz w:val="24"/>
          <w:szCs w:val="24"/>
        </w:rPr>
        <w:t>evidence</w:t>
      </w:r>
      <w:r w:rsidR="00110507" w:rsidRPr="006A7000">
        <w:rPr>
          <w:rFonts w:cs="Arial"/>
          <w:sz w:val="24"/>
          <w:szCs w:val="24"/>
        </w:rPr>
        <w:t xml:space="preserve"> comparing </w:t>
      </w:r>
      <w:r w:rsidR="00FD3274" w:rsidRPr="006A7000">
        <w:rPr>
          <w:rFonts w:cs="Arial"/>
          <w:sz w:val="24"/>
          <w:szCs w:val="24"/>
        </w:rPr>
        <w:t>QoL, resource use and treatment complication rates</w:t>
      </w:r>
      <w:r w:rsidR="00110507" w:rsidRPr="006A7000">
        <w:rPr>
          <w:rFonts w:cs="Arial"/>
          <w:sz w:val="24"/>
          <w:szCs w:val="24"/>
        </w:rPr>
        <w:t xml:space="preserve"> between the patients treated with and without END</w:t>
      </w:r>
      <w:r w:rsidR="00B62912" w:rsidRPr="006A7000">
        <w:rPr>
          <w:rFonts w:cs="Arial"/>
          <w:sz w:val="24"/>
          <w:szCs w:val="24"/>
        </w:rPr>
        <w:t>.</w:t>
      </w:r>
      <w:r w:rsidR="005C4490" w:rsidRPr="006A7000">
        <w:rPr>
          <w:rFonts w:cs="Arial"/>
          <w:sz w:val="24"/>
          <w:szCs w:val="24"/>
        </w:rPr>
        <w:t xml:space="preserve"> </w:t>
      </w:r>
      <w:r w:rsidR="0053682E" w:rsidRPr="006A7000">
        <w:rPr>
          <w:rFonts w:cs="Arial"/>
          <w:sz w:val="24"/>
          <w:szCs w:val="24"/>
        </w:rPr>
        <w:t>All t</w:t>
      </w:r>
      <w:r w:rsidR="002C11EA" w:rsidRPr="006A7000">
        <w:rPr>
          <w:rFonts w:cs="Arial"/>
          <w:sz w:val="24"/>
          <w:szCs w:val="24"/>
        </w:rPr>
        <w:t xml:space="preserve">his information </w:t>
      </w:r>
      <w:r w:rsidR="005C4490" w:rsidRPr="006A7000">
        <w:rPr>
          <w:rFonts w:cs="Arial"/>
          <w:sz w:val="24"/>
          <w:szCs w:val="24"/>
        </w:rPr>
        <w:t xml:space="preserve">will enable </w:t>
      </w:r>
      <w:r w:rsidR="00464C69" w:rsidRPr="006A7000">
        <w:rPr>
          <w:rFonts w:cs="Arial"/>
          <w:sz w:val="24"/>
          <w:szCs w:val="24"/>
        </w:rPr>
        <w:t xml:space="preserve">surgeons </w:t>
      </w:r>
      <w:r w:rsidR="0053682E" w:rsidRPr="006A7000">
        <w:rPr>
          <w:rFonts w:cs="Arial"/>
          <w:sz w:val="24"/>
          <w:szCs w:val="24"/>
        </w:rPr>
        <w:t xml:space="preserve">for the first time </w:t>
      </w:r>
      <w:r w:rsidR="00464C69" w:rsidRPr="006A7000">
        <w:rPr>
          <w:rFonts w:cs="Arial"/>
          <w:sz w:val="24"/>
          <w:szCs w:val="24"/>
        </w:rPr>
        <w:t>to</w:t>
      </w:r>
      <w:r w:rsidR="0053682E" w:rsidRPr="006A7000">
        <w:rPr>
          <w:rFonts w:cs="Arial"/>
          <w:sz w:val="24"/>
          <w:szCs w:val="24"/>
        </w:rPr>
        <w:t xml:space="preserve"> provide </w:t>
      </w:r>
      <w:r w:rsidR="006E7247" w:rsidRPr="006A7000">
        <w:rPr>
          <w:rFonts w:cs="Arial"/>
          <w:sz w:val="24"/>
          <w:szCs w:val="24"/>
        </w:rPr>
        <w:t>clear</w:t>
      </w:r>
      <w:r w:rsidR="0053682E" w:rsidRPr="006A7000">
        <w:rPr>
          <w:rFonts w:cs="Arial"/>
          <w:sz w:val="24"/>
          <w:szCs w:val="24"/>
        </w:rPr>
        <w:t xml:space="preserve"> evidence regarding the benefits and impact of END for</w:t>
      </w:r>
      <w:r w:rsidR="00464C69" w:rsidRPr="006A7000">
        <w:rPr>
          <w:rFonts w:cs="Arial"/>
          <w:sz w:val="24"/>
          <w:szCs w:val="24"/>
        </w:rPr>
        <w:t xml:space="preserve"> </w:t>
      </w:r>
      <w:r w:rsidR="0053682E" w:rsidRPr="006A7000">
        <w:rPr>
          <w:rFonts w:cs="Arial"/>
          <w:sz w:val="24"/>
          <w:szCs w:val="24"/>
        </w:rPr>
        <w:t xml:space="preserve">their patients thereby enabling patients to </w:t>
      </w:r>
      <w:r w:rsidR="00464C69" w:rsidRPr="006A7000">
        <w:rPr>
          <w:rFonts w:cs="Arial"/>
          <w:sz w:val="24"/>
          <w:szCs w:val="24"/>
        </w:rPr>
        <w:t>participate more effectively with decision-making regarding</w:t>
      </w:r>
      <w:r w:rsidR="005C4490" w:rsidRPr="006A7000">
        <w:rPr>
          <w:rFonts w:cs="Arial"/>
          <w:sz w:val="24"/>
          <w:szCs w:val="24"/>
        </w:rPr>
        <w:t xml:space="preserve"> </w:t>
      </w:r>
      <w:r w:rsidR="0053682E" w:rsidRPr="006A7000">
        <w:rPr>
          <w:rFonts w:cs="Arial"/>
          <w:sz w:val="24"/>
          <w:szCs w:val="24"/>
        </w:rPr>
        <w:t xml:space="preserve">their </w:t>
      </w:r>
      <w:r w:rsidR="005C4490" w:rsidRPr="006A7000">
        <w:rPr>
          <w:rFonts w:cs="Arial"/>
          <w:sz w:val="24"/>
          <w:szCs w:val="24"/>
        </w:rPr>
        <w:t>treatment</w:t>
      </w:r>
      <w:r w:rsidR="00464C69" w:rsidRPr="006A7000">
        <w:rPr>
          <w:rFonts w:cs="Arial"/>
          <w:sz w:val="24"/>
          <w:szCs w:val="24"/>
        </w:rPr>
        <w:t>.</w:t>
      </w:r>
      <w:r w:rsidR="007F010B" w:rsidRPr="006A7000">
        <w:rPr>
          <w:rFonts w:cs="Arial"/>
        </w:rPr>
        <w:br w:type="page"/>
      </w:r>
    </w:p>
    <w:p w14:paraId="7AF73D07" w14:textId="2869A435" w:rsidR="003404AF" w:rsidRPr="006A7000" w:rsidRDefault="00922E9A" w:rsidP="00B95772">
      <w:pPr>
        <w:spacing w:line="480" w:lineRule="auto"/>
        <w:rPr>
          <w:b/>
          <w:sz w:val="24"/>
          <w:szCs w:val="24"/>
        </w:rPr>
      </w:pPr>
      <w:r w:rsidRPr="006A7000">
        <w:rPr>
          <w:b/>
          <w:sz w:val="24"/>
          <w:szCs w:val="24"/>
        </w:rPr>
        <w:lastRenderedPageBreak/>
        <w:t>Additional Information</w:t>
      </w:r>
    </w:p>
    <w:p w14:paraId="77CD5C18" w14:textId="3DD89BA1" w:rsidR="00922E9A" w:rsidRPr="006A7000" w:rsidRDefault="00922E9A" w:rsidP="00B95772">
      <w:pPr>
        <w:spacing w:line="480" w:lineRule="auto"/>
        <w:rPr>
          <w:i/>
          <w:sz w:val="24"/>
          <w:szCs w:val="24"/>
        </w:rPr>
      </w:pPr>
      <w:r w:rsidRPr="006A7000">
        <w:rPr>
          <w:i/>
          <w:sz w:val="24"/>
          <w:szCs w:val="24"/>
        </w:rPr>
        <w:t>Ethics approval and consent to participate</w:t>
      </w:r>
    </w:p>
    <w:p w14:paraId="7BF74461" w14:textId="7995E2A5" w:rsidR="00922E9A" w:rsidRPr="006A7000" w:rsidRDefault="00922E9A" w:rsidP="00B95772">
      <w:pPr>
        <w:spacing w:line="480" w:lineRule="auto"/>
        <w:rPr>
          <w:rFonts w:cs="Arial"/>
          <w:sz w:val="24"/>
          <w:szCs w:val="24"/>
        </w:rPr>
      </w:pPr>
      <w:r w:rsidRPr="006A7000">
        <w:rPr>
          <w:rFonts w:cs="Arial"/>
          <w:sz w:val="24"/>
          <w:szCs w:val="24"/>
        </w:rPr>
        <w:t>The trial had national ethics approval and all patients gave written informed consent. It was approved by NRES Committee North East – Northern and Yorkshire (REC ref: 06/MRE03/69). The trial was conducted according to the Declaration of Helsinki.</w:t>
      </w:r>
    </w:p>
    <w:p w14:paraId="293D04D5" w14:textId="11497AA0" w:rsidR="00922E9A" w:rsidRPr="006A7000" w:rsidRDefault="00193BD6" w:rsidP="00B95772">
      <w:pPr>
        <w:spacing w:line="480" w:lineRule="auto"/>
        <w:rPr>
          <w:i/>
          <w:sz w:val="24"/>
          <w:szCs w:val="24"/>
        </w:rPr>
      </w:pPr>
      <w:r w:rsidRPr="006A7000">
        <w:rPr>
          <w:i/>
          <w:sz w:val="24"/>
          <w:szCs w:val="24"/>
        </w:rPr>
        <w:t>Availability of data and materials</w:t>
      </w:r>
    </w:p>
    <w:p w14:paraId="4AF20119" w14:textId="21C15B5D" w:rsidR="00DC5B71" w:rsidRPr="006A7000" w:rsidRDefault="00F54CA6" w:rsidP="00B95772">
      <w:pPr>
        <w:spacing w:line="480" w:lineRule="auto"/>
        <w:rPr>
          <w:sz w:val="24"/>
          <w:szCs w:val="24"/>
        </w:rPr>
      </w:pPr>
      <w:r w:rsidRPr="006A7000">
        <w:rPr>
          <w:sz w:val="24"/>
          <w:szCs w:val="24"/>
        </w:rPr>
        <w:t>Data and materials will be made available to those requesting it through a formal collaboration.</w:t>
      </w:r>
    </w:p>
    <w:p w14:paraId="278F2835" w14:textId="42055D82" w:rsidR="00193BD6" w:rsidRPr="006A7000" w:rsidRDefault="00193BD6" w:rsidP="00B95772">
      <w:pPr>
        <w:spacing w:line="480" w:lineRule="auto"/>
        <w:rPr>
          <w:i/>
          <w:sz w:val="24"/>
          <w:szCs w:val="24"/>
        </w:rPr>
      </w:pPr>
      <w:r w:rsidRPr="006A7000">
        <w:rPr>
          <w:i/>
          <w:sz w:val="24"/>
          <w:szCs w:val="24"/>
        </w:rPr>
        <w:t>Conflict of Interest</w:t>
      </w:r>
    </w:p>
    <w:p w14:paraId="086B240C" w14:textId="110971B9" w:rsidR="00193BD6" w:rsidRPr="006A7000" w:rsidRDefault="00193BD6" w:rsidP="00B95772">
      <w:pPr>
        <w:spacing w:line="480" w:lineRule="auto"/>
        <w:rPr>
          <w:sz w:val="24"/>
          <w:szCs w:val="24"/>
        </w:rPr>
      </w:pPr>
      <w:r w:rsidRPr="006A7000">
        <w:rPr>
          <w:sz w:val="24"/>
          <w:szCs w:val="24"/>
        </w:rPr>
        <w:t>The authors declare no conflict of interest.</w:t>
      </w:r>
    </w:p>
    <w:p w14:paraId="2574A7A5" w14:textId="52257A9D" w:rsidR="00193BD6" w:rsidRPr="006A7000" w:rsidRDefault="00193BD6" w:rsidP="00B95772">
      <w:pPr>
        <w:spacing w:line="480" w:lineRule="auto"/>
        <w:rPr>
          <w:i/>
          <w:sz w:val="24"/>
          <w:szCs w:val="24"/>
        </w:rPr>
      </w:pPr>
      <w:r w:rsidRPr="006A7000">
        <w:rPr>
          <w:i/>
          <w:sz w:val="24"/>
          <w:szCs w:val="24"/>
        </w:rPr>
        <w:t>Funding</w:t>
      </w:r>
    </w:p>
    <w:p w14:paraId="37641E0F" w14:textId="53AF05BE" w:rsidR="00193BD6" w:rsidRPr="006A7000" w:rsidRDefault="00193BD6" w:rsidP="00B95772">
      <w:pPr>
        <w:shd w:val="clear" w:color="auto" w:fill="FFFFFF"/>
        <w:spacing w:line="480" w:lineRule="auto"/>
        <w:rPr>
          <w:sz w:val="24"/>
          <w:szCs w:val="24"/>
        </w:rPr>
      </w:pPr>
      <w:r w:rsidRPr="006A7000">
        <w:rPr>
          <w:sz w:val="24"/>
          <w:szCs w:val="24"/>
        </w:rPr>
        <w:t>This work was supported by Cancer Research UK (grant number C17797/A7260); Saving Faces – The Facial Surgery Research Foundation and Elliott Bernerd.</w:t>
      </w:r>
    </w:p>
    <w:p w14:paraId="0B4192B5" w14:textId="491F952A" w:rsidR="00B62912" w:rsidRPr="006A7000" w:rsidRDefault="00193BD6" w:rsidP="00FE151A">
      <w:pPr>
        <w:shd w:val="clear" w:color="auto" w:fill="FFFFFF"/>
        <w:spacing w:after="288" w:line="480" w:lineRule="auto"/>
        <w:rPr>
          <w:sz w:val="24"/>
          <w:szCs w:val="24"/>
        </w:rPr>
      </w:pPr>
      <w:r w:rsidRPr="006A7000">
        <w:rPr>
          <w:sz w:val="24"/>
          <w:szCs w:val="24"/>
        </w:rPr>
        <w:t>The funders of the study had no role in study design, data collection, data analysis, data interpretation, or writing of the report. The Chief Investigator (I</w:t>
      </w:r>
      <w:r w:rsidR="00D478C7" w:rsidRPr="006A7000">
        <w:rPr>
          <w:sz w:val="24"/>
          <w:szCs w:val="24"/>
        </w:rPr>
        <w:t>L</w:t>
      </w:r>
      <w:r w:rsidRPr="006A7000">
        <w:rPr>
          <w:sz w:val="24"/>
          <w:szCs w:val="24"/>
        </w:rPr>
        <w:t>H) had full access to all the data in the study and had final responsibility for the decision to submit for publication.</w:t>
      </w:r>
    </w:p>
    <w:p w14:paraId="7BE06B77" w14:textId="2A2C944A" w:rsidR="00193BD6" w:rsidRPr="006A7000" w:rsidRDefault="00193BD6" w:rsidP="00B95772">
      <w:pPr>
        <w:spacing w:line="480" w:lineRule="auto"/>
        <w:rPr>
          <w:i/>
          <w:sz w:val="24"/>
          <w:szCs w:val="24"/>
        </w:rPr>
      </w:pPr>
      <w:r w:rsidRPr="006A7000">
        <w:rPr>
          <w:i/>
          <w:sz w:val="24"/>
          <w:szCs w:val="24"/>
        </w:rPr>
        <w:t>Authorship</w:t>
      </w:r>
    </w:p>
    <w:p w14:paraId="715ABAD7" w14:textId="7A98DFD8" w:rsidR="00CF032C" w:rsidRPr="006A7000" w:rsidRDefault="00CF032C" w:rsidP="00B95772">
      <w:pPr>
        <w:spacing w:line="480" w:lineRule="auto"/>
        <w:rPr>
          <w:rFonts w:cs="Calibri"/>
          <w:sz w:val="24"/>
          <w:szCs w:val="24"/>
        </w:rPr>
      </w:pPr>
      <w:r w:rsidRPr="006A7000">
        <w:rPr>
          <w:rFonts w:cs="Calibri"/>
          <w:sz w:val="24"/>
          <w:szCs w:val="24"/>
        </w:rPr>
        <w:t>I</w:t>
      </w:r>
      <w:r w:rsidR="00D478C7" w:rsidRPr="006A7000">
        <w:rPr>
          <w:rFonts w:cs="Calibri"/>
          <w:sz w:val="24"/>
          <w:szCs w:val="24"/>
        </w:rPr>
        <w:t>L</w:t>
      </w:r>
      <w:r w:rsidRPr="006A7000">
        <w:rPr>
          <w:rFonts w:cs="Calibri"/>
          <w:sz w:val="24"/>
          <w:szCs w:val="24"/>
        </w:rPr>
        <w:t xml:space="preserve">H had the initial trial concept, then </w:t>
      </w:r>
      <w:r w:rsidR="002361E4" w:rsidRPr="006A7000">
        <w:rPr>
          <w:rFonts w:cs="Calibri"/>
          <w:sz w:val="24"/>
          <w:szCs w:val="24"/>
        </w:rPr>
        <w:t>I</w:t>
      </w:r>
      <w:r w:rsidR="00D478C7" w:rsidRPr="006A7000">
        <w:rPr>
          <w:rFonts w:cs="Calibri"/>
          <w:sz w:val="24"/>
          <w:szCs w:val="24"/>
        </w:rPr>
        <w:t>L</w:t>
      </w:r>
      <w:r w:rsidR="002361E4" w:rsidRPr="006A7000">
        <w:rPr>
          <w:rFonts w:cs="Calibri"/>
          <w:sz w:val="24"/>
          <w:szCs w:val="24"/>
        </w:rPr>
        <w:t>H</w:t>
      </w:r>
      <w:r w:rsidRPr="006A7000">
        <w:rPr>
          <w:rFonts w:cs="Calibri"/>
          <w:sz w:val="24"/>
          <w:szCs w:val="24"/>
        </w:rPr>
        <w:t>, AH and FR further developed the study design. S</w:t>
      </w:r>
      <w:r w:rsidR="00D478C7" w:rsidRPr="006A7000">
        <w:rPr>
          <w:rFonts w:cs="Calibri"/>
          <w:sz w:val="24"/>
          <w:szCs w:val="24"/>
        </w:rPr>
        <w:t>MY</w:t>
      </w:r>
      <w:r w:rsidRPr="006A7000">
        <w:rPr>
          <w:rFonts w:cs="Calibri"/>
          <w:sz w:val="24"/>
          <w:szCs w:val="24"/>
        </w:rPr>
        <w:t xml:space="preserve">C was the central trial co-ordinator; and </w:t>
      </w:r>
      <w:r w:rsidR="00AC46A8" w:rsidRPr="006A7000">
        <w:rPr>
          <w:rFonts w:cs="Calibri"/>
          <w:sz w:val="24"/>
          <w:szCs w:val="24"/>
        </w:rPr>
        <w:t xml:space="preserve">the trial was managed by </w:t>
      </w:r>
      <w:r w:rsidR="00D478C7" w:rsidRPr="006A7000">
        <w:rPr>
          <w:rFonts w:cs="Calibri"/>
          <w:sz w:val="24"/>
          <w:szCs w:val="24"/>
        </w:rPr>
        <w:t>FR and SMYC</w:t>
      </w:r>
      <w:r w:rsidR="00AC46A8" w:rsidRPr="006A7000">
        <w:rPr>
          <w:rFonts w:cs="Calibri"/>
          <w:sz w:val="24"/>
          <w:szCs w:val="24"/>
        </w:rPr>
        <w:t>.</w:t>
      </w:r>
      <w:r w:rsidR="00D478C7" w:rsidRPr="006A7000">
        <w:rPr>
          <w:rFonts w:cs="Calibri"/>
          <w:sz w:val="24"/>
          <w:szCs w:val="24"/>
        </w:rPr>
        <w:t xml:space="preserve"> </w:t>
      </w:r>
      <w:r w:rsidRPr="006A7000">
        <w:rPr>
          <w:rFonts w:cs="Calibri"/>
          <w:sz w:val="24"/>
          <w:szCs w:val="24"/>
        </w:rPr>
        <w:t>I</w:t>
      </w:r>
      <w:r w:rsidR="00470F3C" w:rsidRPr="006A7000">
        <w:rPr>
          <w:rFonts w:cs="Calibri"/>
          <w:sz w:val="24"/>
          <w:szCs w:val="24"/>
        </w:rPr>
        <w:t>L</w:t>
      </w:r>
      <w:r w:rsidRPr="006A7000">
        <w:rPr>
          <w:rFonts w:cs="Calibri"/>
          <w:sz w:val="24"/>
          <w:szCs w:val="24"/>
        </w:rPr>
        <w:t>H, NS, PH, CS, JT, LC, T</w:t>
      </w:r>
      <w:r w:rsidR="0048439D" w:rsidRPr="006A7000">
        <w:rPr>
          <w:rFonts w:cs="Calibri"/>
          <w:sz w:val="24"/>
          <w:szCs w:val="24"/>
        </w:rPr>
        <w:t>K</w:t>
      </w:r>
      <w:r w:rsidRPr="006A7000">
        <w:rPr>
          <w:rFonts w:cs="Calibri"/>
          <w:sz w:val="24"/>
          <w:szCs w:val="24"/>
        </w:rPr>
        <w:t>M, P</w:t>
      </w:r>
      <w:r w:rsidR="0048439D" w:rsidRPr="006A7000">
        <w:rPr>
          <w:rFonts w:cs="Calibri"/>
          <w:sz w:val="24"/>
          <w:szCs w:val="24"/>
        </w:rPr>
        <w:t>A</w:t>
      </w:r>
      <w:r w:rsidRPr="006A7000">
        <w:rPr>
          <w:rFonts w:cs="Calibri"/>
          <w:sz w:val="24"/>
          <w:szCs w:val="24"/>
        </w:rPr>
        <w:t>B, A</w:t>
      </w:r>
      <w:r w:rsidR="0048439D" w:rsidRPr="006A7000">
        <w:rPr>
          <w:rFonts w:cs="Calibri"/>
          <w:sz w:val="24"/>
          <w:szCs w:val="24"/>
        </w:rPr>
        <w:t>J</w:t>
      </w:r>
      <w:r w:rsidRPr="006A7000">
        <w:rPr>
          <w:rFonts w:cs="Calibri"/>
          <w:sz w:val="24"/>
          <w:szCs w:val="24"/>
        </w:rPr>
        <w:t>B, R</w:t>
      </w:r>
      <w:r w:rsidR="0048439D" w:rsidRPr="006A7000">
        <w:rPr>
          <w:rFonts w:cs="Calibri"/>
          <w:sz w:val="24"/>
          <w:szCs w:val="24"/>
        </w:rPr>
        <w:t>J</w:t>
      </w:r>
      <w:r w:rsidRPr="006A7000">
        <w:rPr>
          <w:rFonts w:cs="Calibri"/>
          <w:sz w:val="24"/>
          <w:szCs w:val="24"/>
        </w:rPr>
        <w:t>S, WH, MD, SW, GS, M</w:t>
      </w:r>
      <w:r w:rsidR="0048439D" w:rsidRPr="006A7000">
        <w:rPr>
          <w:rFonts w:cs="Calibri"/>
          <w:sz w:val="24"/>
          <w:szCs w:val="24"/>
        </w:rPr>
        <w:t>W</w:t>
      </w:r>
      <w:r w:rsidRPr="006A7000">
        <w:rPr>
          <w:rFonts w:cs="Calibri"/>
          <w:sz w:val="24"/>
          <w:szCs w:val="24"/>
        </w:rPr>
        <w:t>B, BW, MP, JM, CC, AB, PP, A</w:t>
      </w:r>
      <w:r w:rsidR="0048439D" w:rsidRPr="006A7000">
        <w:rPr>
          <w:rFonts w:cs="Calibri"/>
          <w:sz w:val="24"/>
          <w:szCs w:val="24"/>
        </w:rPr>
        <w:t>C</w:t>
      </w:r>
      <w:r w:rsidRPr="006A7000">
        <w:rPr>
          <w:rFonts w:cs="Calibri"/>
          <w:sz w:val="24"/>
          <w:szCs w:val="24"/>
        </w:rPr>
        <w:t>C, CA, GP, KJ, KW, W</w:t>
      </w:r>
      <w:r w:rsidR="0048439D" w:rsidRPr="006A7000">
        <w:rPr>
          <w:rFonts w:cs="Calibri"/>
          <w:sz w:val="24"/>
          <w:szCs w:val="24"/>
        </w:rPr>
        <w:t>P</w:t>
      </w:r>
      <w:r w:rsidRPr="006A7000">
        <w:rPr>
          <w:rFonts w:cs="Calibri"/>
          <w:sz w:val="24"/>
          <w:szCs w:val="24"/>
        </w:rPr>
        <w:t>S, CE, IM, NG, SH, NK, and I</w:t>
      </w:r>
      <w:r w:rsidR="0048439D" w:rsidRPr="006A7000">
        <w:rPr>
          <w:rFonts w:cs="Calibri"/>
          <w:sz w:val="24"/>
          <w:szCs w:val="24"/>
        </w:rPr>
        <w:t>C</w:t>
      </w:r>
      <w:r w:rsidRPr="006A7000">
        <w:rPr>
          <w:rFonts w:cs="Calibri"/>
          <w:sz w:val="24"/>
          <w:szCs w:val="24"/>
        </w:rPr>
        <w:t xml:space="preserve">M were lead centre investigators involved in patient recruitment and data collection. AH conducted the data analyses. </w:t>
      </w:r>
      <w:r w:rsidR="00B33DA3" w:rsidRPr="006A7000">
        <w:rPr>
          <w:rFonts w:cs="Calibri"/>
          <w:sz w:val="24"/>
          <w:szCs w:val="24"/>
        </w:rPr>
        <w:t>All</w:t>
      </w:r>
      <w:r w:rsidRPr="006A7000">
        <w:rPr>
          <w:rFonts w:cs="Calibri"/>
          <w:sz w:val="24"/>
          <w:szCs w:val="24"/>
        </w:rPr>
        <w:t xml:space="preserve"> the authors were involved with drafting or revising </w:t>
      </w:r>
      <w:r w:rsidRPr="006A7000">
        <w:rPr>
          <w:rFonts w:cs="Calibri"/>
          <w:sz w:val="24"/>
          <w:szCs w:val="24"/>
        </w:rPr>
        <w:lastRenderedPageBreak/>
        <w:t>the manuscript for important intellectual content. All authors have given approval of the final manuscript.</w:t>
      </w:r>
    </w:p>
    <w:p w14:paraId="3DF35C14" w14:textId="3E74FE0E" w:rsidR="00921C0A" w:rsidRPr="006A7000" w:rsidRDefault="00921C0A" w:rsidP="00B95772">
      <w:pPr>
        <w:spacing w:line="480" w:lineRule="auto"/>
        <w:rPr>
          <w:sz w:val="24"/>
          <w:szCs w:val="24"/>
          <w:lang w:eastAsia="en-GB"/>
        </w:rPr>
      </w:pPr>
      <w:r w:rsidRPr="006A7000">
        <w:rPr>
          <w:sz w:val="24"/>
          <w:szCs w:val="24"/>
        </w:rPr>
        <w:t>The corresponding author attests that all listed authors meet authorship criteria and that no others meeting the criteria have been omitted.</w:t>
      </w:r>
    </w:p>
    <w:p w14:paraId="56BF59DD" w14:textId="77777777" w:rsidR="006360B5" w:rsidRPr="006A7000" w:rsidRDefault="006360B5" w:rsidP="00B95772">
      <w:pPr>
        <w:spacing w:line="480" w:lineRule="auto"/>
        <w:rPr>
          <w:i/>
          <w:sz w:val="24"/>
          <w:szCs w:val="24"/>
        </w:rPr>
      </w:pPr>
      <w:r w:rsidRPr="006A7000">
        <w:rPr>
          <w:i/>
          <w:sz w:val="24"/>
          <w:szCs w:val="24"/>
        </w:rPr>
        <w:t>Acknowledgements</w:t>
      </w:r>
    </w:p>
    <w:p w14:paraId="14C8DED6" w14:textId="61D01D53" w:rsidR="00CA7D29" w:rsidRPr="006A7000" w:rsidRDefault="00A75DED" w:rsidP="00B95772">
      <w:pPr>
        <w:spacing w:line="480" w:lineRule="auto"/>
        <w:rPr>
          <w:rFonts w:cs="Arial"/>
        </w:rPr>
      </w:pPr>
      <w:r w:rsidRPr="006A7000">
        <w:rPr>
          <w:rFonts w:cs="Arial"/>
          <w:sz w:val="24"/>
          <w:szCs w:val="24"/>
        </w:rPr>
        <w:t xml:space="preserve">We are very grateful </w:t>
      </w:r>
      <w:r w:rsidR="00AD7292" w:rsidRPr="006A7000">
        <w:rPr>
          <w:rFonts w:cs="Arial"/>
          <w:sz w:val="24"/>
          <w:szCs w:val="24"/>
        </w:rPr>
        <w:t>to</w:t>
      </w:r>
      <w:r w:rsidRPr="006A7000">
        <w:rPr>
          <w:rFonts w:cs="Arial"/>
          <w:sz w:val="24"/>
          <w:szCs w:val="24"/>
        </w:rPr>
        <w:t xml:space="preserve"> all the patients and their clinicians who kindly agreed to participate in this study. We also thank the members of the Independent Data Monitoring Committee, </w:t>
      </w:r>
      <w:r w:rsidR="00EC4728" w:rsidRPr="006A7000">
        <w:rPr>
          <w:rFonts w:cs="Arial"/>
          <w:sz w:val="24"/>
          <w:szCs w:val="24"/>
        </w:rPr>
        <w:t xml:space="preserve">Jeffrey Tobias, </w:t>
      </w:r>
      <w:r w:rsidR="003E2E5B" w:rsidRPr="006A7000">
        <w:rPr>
          <w:rFonts w:cs="Arial"/>
          <w:sz w:val="24"/>
          <w:szCs w:val="24"/>
        </w:rPr>
        <w:t>Khee Chee Soo</w:t>
      </w:r>
      <w:r w:rsidR="00EC4728" w:rsidRPr="006A7000">
        <w:rPr>
          <w:rFonts w:cs="Arial"/>
          <w:sz w:val="24"/>
          <w:szCs w:val="24"/>
        </w:rPr>
        <w:t xml:space="preserve"> and Caroline </w:t>
      </w:r>
      <w:r w:rsidR="00614E77" w:rsidRPr="006A7000">
        <w:rPr>
          <w:rFonts w:cs="Arial"/>
          <w:sz w:val="24"/>
          <w:szCs w:val="24"/>
        </w:rPr>
        <w:t>Kelly</w:t>
      </w:r>
      <w:r w:rsidR="003E2E5B" w:rsidRPr="006A7000">
        <w:rPr>
          <w:rFonts w:cs="Arial"/>
          <w:sz w:val="24"/>
          <w:szCs w:val="24"/>
        </w:rPr>
        <w:t>; and the members of the Trial Steering Committee, Andrew Brown, Amen Sibtain, Philip Sloan and Diana Tait.</w:t>
      </w:r>
      <w:r w:rsidR="00AD7292" w:rsidRPr="006A7000">
        <w:rPr>
          <w:rFonts w:cs="Arial"/>
          <w:sz w:val="24"/>
          <w:szCs w:val="24"/>
        </w:rPr>
        <w:t xml:space="preserve"> We also would like to thank </w:t>
      </w:r>
      <w:r w:rsidR="00D125EA" w:rsidRPr="006A7000">
        <w:rPr>
          <w:rFonts w:cs="Arial"/>
          <w:sz w:val="24"/>
          <w:szCs w:val="24"/>
        </w:rPr>
        <w:t xml:space="preserve">Cancer Research UK </w:t>
      </w:r>
      <w:r w:rsidR="00113115" w:rsidRPr="006A7000">
        <w:rPr>
          <w:rFonts w:cs="Arial"/>
          <w:sz w:val="24"/>
          <w:szCs w:val="24"/>
        </w:rPr>
        <w:t xml:space="preserve">for funding this study </w:t>
      </w:r>
      <w:r w:rsidR="00D125EA" w:rsidRPr="006A7000">
        <w:rPr>
          <w:rFonts w:cs="Arial"/>
          <w:sz w:val="24"/>
          <w:szCs w:val="24"/>
        </w:rPr>
        <w:t>and</w:t>
      </w:r>
      <w:r w:rsidR="00AA3FF9" w:rsidRPr="006A7000">
        <w:rPr>
          <w:rFonts w:cs="Arial"/>
          <w:sz w:val="24"/>
          <w:szCs w:val="24"/>
        </w:rPr>
        <w:t xml:space="preserve"> acknowledge the generosity of Elliott Bernerd who matched Cancer Research UK’s funding in annual donations to Saving Faces – The Facial Surgery Research Foundation to ensure </w:t>
      </w:r>
      <w:r w:rsidR="00D200BD" w:rsidRPr="006A7000">
        <w:rPr>
          <w:rFonts w:cs="Arial"/>
          <w:sz w:val="24"/>
          <w:szCs w:val="24"/>
        </w:rPr>
        <w:t>that Saving Faces</w:t>
      </w:r>
      <w:r w:rsidR="00AA3FF9" w:rsidRPr="006A7000">
        <w:rPr>
          <w:rFonts w:cs="Arial"/>
          <w:sz w:val="24"/>
          <w:szCs w:val="24"/>
        </w:rPr>
        <w:t xml:space="preserve"> could </w:t>
      </w:r>
      <w:r w:rsidR="0013129C" w:rsidRPr="006A7000">
        <w:rPr>
          <w:rFonts w:cs="Arial"/>
          <w:sz w:val="24"/>
          <w:szCs w:val="24"/>
        </w:rPr>
        <w:t>conduct</w:t>
      </w:r>
      <w:r w:rsidR="00AA3FF9" w:rsidRPr="006A7000">
        <w:rPr>
          <w:rFonts w:cs="Arial"/>
          <w:sz w:val="24"/>
          <w:szCs w:val="24"/>
        </w:rPr>
        <w:t xml:space="preserve"> </w:t>
      </w:r>
      <w:r w:rsidR="00D200BD" w:rsidRPr="006A7000">
        <w:rPr>
          <w:rFonts w:cs="Arial"/>
          <w:sz w:val="24"/>
          <w:szCs w:val="24"/>
        </w:rPr>
        <w:t xml:space="preserve">and complete </w:t>
      </w:r>
      <w:r w:rsidR="00AA3FF9" w:rsidRPr="006A7000">
        <w:rPr>
          <w:rFonts w:cs="Arial"/>
          <w:sz w:val="24"/>
          <w:szCs w:val="24"/>
        </w:rPr>
        <w:t>this study.</w:t>
      </w:r>
      <w:r w:rsidR="00113115" w:rsidRPr="006A7000">
        <w:rPr>
          <w:rFonts w:cs="Arial"/>
          <w:sz w:val="24"/>
          <w:szCs w:val="24"/>
        </w:rPr>
        <w:t xml:space="preserve"> </w:t>
      </w:r>
      <w:r w:rsidR="00D125EA" w:rsidRPr="006A7000">
        <w:rPr>
          <w:rFonts w:cs="Arial"/>
          <w:sz w:val="24"/>
          <w:szCs w:val="24"/>
        </w:rPr>
        <w:t>Finally</w:t>
      </w:r>
      <w:r w:rsidR="00C35766" w:rsidRPr="006A7000">
        <w:rPr>
          <w:rFonts w:cs="Arial"/>
          <w:sz w:val="24"/>
          <w:szCs w:val="24"/>
        </w:rPr>
        <w:t xml:space="preserve">, we </w:t>
      </w:r>
      <w:r w:rsidR="00D125EA" w:rsidRPr="006A7000">
        <w:rPr>
          <w:rFonts w:cs="Arial"/>
          <w:sz w:val="24"/>
          <w:szCs w:val="24"/>
        </w:rPr>
        <w:t xml:space="preserve">thank all the research staff at the participating sites and </w:t>
      </w:r>
      <w:r w:rsidR="00FF2E47" w:rsidRPr="006A7000">
        <w:rPr>
          <w:rFonts w:cs="Arial"/>
          <w:sz w:val="24"/>
          <w:szCs w:val="24"/>
        </w:rPr>
        <w:t xml:space="preserve">those within </w:t>
      </w:r>
      <w:r w:rsidR="00D200BD" w:rsidRPr="006A7000">
        <w:rPr>
          <w:rFonts w:cs="Arial"/>
          <w:sz w:val="24"/>
          <w:szCs w:val="24"/>
        </w:rPr>
        <w:t>Saving Faces</w:t>
      </w:r>
      <w:r w:rsidR="0091072D" w:rsidRPr="006A7000">
        <w:rPr>
          <w:rFonts w:cs="Arial"/>
          <w:sz w:val="24"/>
          <w:szCs w:val="24"/>
        </w:rPr>
        <w:t xml:space="preserve"> especially Amrita Bose who contributed to this study.</w:t>
      </w:r>
    </w:p>
    <w:p w14:paraId="4C5FAB7F" w14:textId="3468FA74" w:rsidR="007558EC" w:rsidRPr="006A7000" w:rsidRDefault="007558EC" w:rsidP="00B95772">
      <w:pPr>
        <w:pStyle w:val="NoSpacing"/>
        <w:spacing w:line="480" w:lineRule="auto"/>
        <w:rPr>
          <w:b/>
        </w:rPr>
      </w:pPr>
    </w:p>
    <w:p w14:paraId="5F403EC1" w14:textId="6C4F8531" w:rsidR="008F3C34" w:rsidRPr="006A7000" w:rsidRDefault="00B33DA3" w:rsidP="00151CB5">
      <w:pPr>
        <w:pStyle w:val="NoSpacing"/>
        <w:spacing w:line="480" w:lineRule="auto"/>
        <w:rPr>
          <w:b/>
        </w:rPr>
      </w:pPr>
      <w:r w:rsidRPr="006A7000">
        <w:rPr>
          <w:sz w:val="24"/>
          <w:szCs w:val="24"/>
        </w:rPr>
        <w:t>Supplementary information is available at the British Journal of Cancer’s website.</w:t>
      </w:r>
      <w:r w:rsidR="008F3C34" w:rsidRPr="006A7000">
        <w:rPr>
          <w:b/>
        </w:rPr>
        <w:br w:type="page"/>
      </w:r>
    </w:p>
    <w:p w14:paraId="00BA9FA0" w14:textId="21216608" w:rsidR="00EB35B4" w:rsidRPr="006A7000" w:rsidRDefault="00EB35B4" w:rsidP="000978B4">
      <w:pPr>
        <w:spacing w:line="360" w:lineRule="auto"/>
        <w:rPr>
          <w:rFonts w:cs="Arial"/>
        </w:rPr>
      </w:pPr>
      <w:r w:rsidRPr="006A7000">
        <w:rPr>
          <w:b/>
        </w:rPr>
        <w:lastRenderedPageBreak/>
        <w:t>References</w:t>
      </w:r>
    </w:p>
    <w:p w14:paraId="128A5B8D" w14:textId="58C01120" w:rsidR="00F6639F" w:rsidRPr="006A7000" w:rsidRDefault="00F059C2" w:rsidP="00F6639F">
      <w:pPr>
        <w:autoSpaceDE w:val="0"/>
        <w:autoSpaceDN w:val="0"/>
        <w:adjustRightInd w:val="0"/>
        <w:spacing w:after="0" w:line="240" w:lineRule="auto"/>
        <w:rPr>
          <w:rFonts w:asciiTheme="minorHAnsi" w:hAnsiTheme="minorHAnsi" w:cs="Arial"/>
        </w:rPr>
      </w:pPr>
      <w:r w:rsidRPr="006A7000">
        <w:rPr>
          <w:rFonts w:asciiTheme="minorHAnsi" w:hAnsiTheme="minorHAnsi" w:cs="Arial"/>
          <w:shd w:val="clear" w:color="auto" w:fill="FFFFFF"/>
        </w:rPr>
        <w:t xml:space="preserve">1. </w:t>
      </w:r>
      <w:r w:rsidR="00E95BE6" w:rsidRPr="006A7000">
        <w:rPr>
          <w:rStyle w:val="Hyperlink"/>
          <w:color w:val="auto"/>
          <w:u w:val="none"/>
        </w:rPr>
        <w:t>Ghantous Y, Abu Elnaaj I</w:t>
      </w:r>
      <w:r w:rsidR="00E267A1" w:rsidRPr="006A7000">
        <w:rPr>
          <w:rStyle w:val="Hyperlink"/>
          <w:color w:val="auto"/>
          <w:u w:val="none"/>
        </w:rPr>
        <w:t>.</w:t>
      </w:r>
      <w:r w:rsidR="00E95BE6" w:rsidRPr="006A7000">
        <w:rPr>
          <w:rStyle w:val="Hyperlink"/>
          <w:color w:val="auto"/>
          <w:u w:val="none"/>
        </w:rPr>
        <w:t xml:space="preserve"> Global Incidence and Risk Factors of Oral Cancer. </w:t>
      </w:r>
      <w:r w:rsidR="00E95BE6" w:rsidRPr="006A7000">
        <w:rPr>
          <w:rStyle w:val="Hyperlink"/>
          <w:i/>
          <w:color w:val="auto"/>
          <w:u w:val="none"/>
        </w:rPr>
        <w:t>Harefuah</w:t>
      </w:r>
      <w:r w:rsidR="00E95BE6" w:rsidRPr="006A7000">
        <w:rPr>
          <w:rStyle w:val="Hyperlink"/>
          <w:color w:val="auto"/>
          <w:u w:val="none"/>
        </w:rPr>
        <w:t>.</w:t>
      </w:r>
      <w:r w:rsidR="00E267A1" w:rsidRPr="006A7000">
        <w:rPr>
          <w:rStyle w:val="Hyperlink"/>
          <w:color w:val="auto"/>
          <w:u w:val="none"/>
        </w:rPr>
        <w:t xml:space="preserve"> </w:t>
      </w:r>
      <w:r w:rsidR="00E95BE6" w:rsidRPr="006A7000">
        <w:rPr>
          <w:rStyle w:val="Hyperlink"/>
          <w:b/>
          <w:color w:val="auto"/>
          <w:u w:val="none"/>
        </w:rPr>
        <w:t>156</w:t>
      </w:r>
      <w:r w:rsidR="00E95BE6" w:rsidRPr="006A7000">
        <w:rPr>
          <w:rStyle w:val="Hyperlink"/>
          <w:color w:val="auto"/>
          <w:u w:val="none"/>
        </w:rPr>
        <w:t>(10)</w:t>
      </w:r>
      <w:r w:rsidR="00E267A1" w:rsidRPr="006A7000">
        <w:rPr>
          <w:rStyle w:val="Hyperlink"/>
          <w:color w:val="auto"/>
          <w:u w:val="none"/>
        </w:rPr>
        <w:t xml:space="preserve">, </w:t>
      </w:r>
      <w:r w:rsidR="00E95BE6" w:rsidRPr="006A7000">
        <w:rPr>
          <w:rStyle w:val="Hyperlink"/>
          <w:color w:val="auto"/>
          <w:u w:val="none"/>
        </w:rPr>
        <w:t>645-649</w:t>
      </w:r>
      <w:r w:rsidR="00E267A1" w:rsidRPr="006A7000">
        <w:rPr>
          <w:rStyle w:val="Hyperlink"/>
          <w:color w:val="auto"/>
          <w:u w:val="none"/>
        </w:rPr>
        <w:t xml:space="preserve"> (2017)</w:t>
      </w:r>
      <w:r w:rsidR="00105692" w:rsidRPr="006A7000">
        <w:rPr>
          <w:rStyle w:val="Hyperlink"/>
          <w:color w:val="auto"/>
          <w:u w:val="none"/>
        </w:rPr>
        <w:t>.</w:t>
      </w:r>
      <w:r w:rsidR="00F6639F" w:rsidRPr="006A7000">
        <w:rPr>
          <w:rFonts w:asciiTheme="minorHAnsi" w:hAnsiTheme="minorHAnsi" w:cs="Arial"/>
        </w:rPr>
        <w:br/>
      </w:r>
    </w:p>
    <w:p w14:paraId="64919D6C" w14:textId="00CCF487" w:rsidR="00FC1A4B" w:rsidRPr="006A7000" w:rsidRDefault="00F059C2" w:rsidP="00E95BE6">
      <w:r w:rsidRPr="006A7000">
        <w:rPr>
          <w:rFonts w:asciiTheme="minorHAnsi" w:hAnsiTheme="minorHAnsi" w:cs="Arial"/>
        </w:rPr>
        <w:t xml:space="preserve">2. </w:t>
      </w:r>
      <w:r w:rsidR="00E267A1" w:rsidRPr="006A7000">
        <w:rPr>
          <w:rFonts w:asciiTheme="minorHAnsi" w:hAnsiTheme="minorHAnsi" w:cs="Arial"/>
        </w:rPr>
        <w:t xml:space="preserve">Cancer Research UK, </w:t>
      </w:r>
      <w:r w:rsidR="00E267A1" w:rsidRPr="006A7000">
        <w:t>https://www.cancerresearchuk.org/health-professional/cancer-statistics/statistics-by-cancer-type/head-and-neck-cancers, accessed April 2019</w:t>
      </w:r>
      <w:r w:rsidR="00105692" w:rsidRPr="006A7000">
        <w:t>.</w:t>
      </w:r>
    </w:p>
    <w:p w14:paraId="44BCF1BE" w14:textId="3CC129FA" w:rsidR="00F059C2" w:rsidRPr="006A7000" w:rsidRDefault="00F059C2" w:rsidP="00F059C2">
      <w:pPr>
        <w:pStyle w:val="desc"/>
        <w:shd w:val="clear" w:color="auto" w:fill="FFFFFF"/>
        <w:spacing w:before="0" w:beforeAutospacing="0" w:after="0" w:afterAutospacing="0" w:line="270" w:lineRule="atLeast"/>
        <w:rPr>
          <w:rFonts w:asciiTheme="minorHAnsi" w:hAnsiTheme="minorHAnsi" w:cs="Arial"/>
          <w:sz w:val="22"/>
          <w:szCs w:val="22"/>
        </w:rPr>
      </w:pPr>
      <w:r w:rsidRPr="006A7000">
        <w:rPr>
          <w:rFonts w:asciiTheme="minorHAnsi" w:hAnsiTheme="minorHAnsi" w:cs="Arial"/>
          <w:bCs/>
          <w:sz w:val="22"/>
          <w:szCs w:val="22"/>
        </w:rPr>
        <w:t>3. D'Cruz</w:t>
      </w:r>
      <w:r w:rsidRPr="006A7000">
        <w:rPr>
          <w:rStyle w:val="apple-converted-space"/>
          <w:rFonts w:asciiTheme="minorHAnsi" w:hAnsiTheme="minorHAnsi" w:cs="Arial"/>
          <w:sz w:val="22"/>
          <w:szCs w:val="22"/>
        </w:rPr>
        <w:t> </w:t>
      </w:r>
      <w:r w:rsidRPr="006A7000">
        <w:rPr>
          <w:rFonts w:asciiTheme="minorHAnsi" w:hAnsiTheme="minorHAnsi" w:cs="Arial"/>
          <w:sz w:val="22"/>
          <w:szCs w:val="22"/>
        </w:rPr>
        <w:t>AK, Siddachari RC,</w:t>
      </w:r>
      <w:r w:rsidRPr="006A7000">
        <w:rPr>
          <w:rStyle w:val="apple-converted-space"/>
          <w:rFonts w:asciiTheme="minorHAnsi" w:hAnsiTheme="minorHAnsi" w:cs="Arial"/>
          <w:sz w:val="22"/>
          <w:szCs w:val="22"/>
        </w:rPr>
        <w:t> </w:t>
      </w:r>
      <w:r w:rsidRPr="006A7000">
        <w:rPr>
          <w:rFonts w:asciiTheme="minorHAnsi" w:hAnsiTheme="minorHAnsi" w:cs="Arial"/>
          <w:bCs/>
          <w:sz w:val="22"/>
          <w:szCs w:val="22"/>
        </w:rPr>
        <w:t>Walvekar</w:t>
      </w:r>
      <w:r w:rsidRPr="006A7000">
        <w:rPr>
          <w:rStyle w:val="apple-converted-space"/>
          <w:rFonts w:asciiTheme="minorHAnsi" w:hAnsiTheme="minorHAnsi" w:cs="Arial"/>
          <w:sz w:val="22"/>
          <w:szCs w:val="22"/>
        </w:rPr>
        <w:t> </w:t>
      </w:r>
      <w:r w:rsidRPr="006A7000">
        <w:rPr>
          <w:rFonts w:asciiTheme="minorHAnsi" w:hAnsiTheme="minorHAnsi" w:cs="Arial"/>
          <w:sz w:val="22"/>
          <w:szCs w:val="22"/>
        </w:rPr>
        <w:t xml:space="preserve">RR, </w:t>
      </w:r>
      <w:r w:rsidR="00DD7531" w:rsidRPr="006A7000">
        <w:rPr>
          <w:rFonts w:asciiTheme="minorHAnsi" w:hAnsiTheme="minorHAnsi" w:cs="Arial"/>
          <w:sz w:val="22"/>
          <w:szCs w:val="22"/>
        </w:rPr>
        <w:t xml:space="preserve">Pantvaidya GH, </w:t>
      </w:r>
      <w:r w:rsidR="00CF1C4B" w:rsidRPr="006A7000">
        <w:rPr>
          <w:rFonts w:asciiTheme="minorHAnsi" w:hAnsiTheme="minorHAnsi" w:cs="Arial"/>
          <w:sz w:val="22"/>
          <w:szCs w:val="22"/>
        </w:rPr>
        <w:t xml:space="preserve">Chaukar DA, Deshpande MS </w:t>
      </w:r>
      <w:r w:rsidR="00ED6371" w:rsidRPr="006A7000">
        <w:rPr>
          <w:rFonts w:asciiTheme="minorHAnsi" w:hAnsiTheme="minorHAnsi" w:cs="Arial"/>
          <w:sz w:val="22"/>
          <w:szCs w:val="22"/>
        </w:rPr>
        <w:t>et al</w:t>
      </w:r>
      <w:r w:rsidR="00926EDB" w:rsidRPr="006A7000">
        <w:rPr>
          <w:rFonts w:asciiTheme="minorHAnsi" w:hAnsiTheme="minorHAnsi" w:cs="Arial"/>
          <w:sz w:val="22"/>
          <w:szCs w:val="22"/>
        </w:rPr>
        <w:t>.</w:t>
      </w:r>
      <w:r w:rsidRPr="006A7000">
        <w:rPr>
          <w:rFonts w:asciiTheme="minorHAnsi" w:hAnsiTheme="minorHAnsi" w:cs="Arial"/>
          <w:sz w:val="22"/>
          <w:szCs w:val="22"/>
        </w:rPr>
        <w:t xml:space="preserve"> </w:t>
      </w:r>
      <w:hyperlink r:id="rId9" w:history="1">
        <w:r w:rsidRPr="006A7000">
          <w:rPr>
            <w:rStyle w:val="Hyperlink"/>
            <w:rFonts w:asciiTheme="minorHAnsi" w:hAnsiTheme="minorHAnsi" w:cs="Arial"/>
            <w:color w:val="auto"/>
            <w:sz w:val="22"/>
            <w:szCs w:val="22"/>
            <w:u w:val="none"/>
          </w:rPr>
          <w:t>Elective neck dissection for the management of the N0 neck in early cancer of the oral tongue: need for a randomized controlled trial.</w:t>
        </w:r>
      </w:hyperlink>
      <w:r w:rsidRPr="006A7000">
        <w:rPr>
          <w:rFonts w:asciiTheme="minorHAnsi" w:hAnsiTheme="minorHAnsi" w:cs="Arial"/>
          <w:sz w:val="22"/>
          <w:szCs w:val="22"/>
        </w:rPr>
        <w:t xml:space="preserve"> </w:t>
      </w:r>
      <w:r w:rsidRPr="006A7000">
        <w:rPr>
          <w:rStyle w:val="jrnl"/>
          <w:rFonts w:asciiTheme="minorHAnsi" w:hAnsiTheme="minorHAnsi" w:cs="Arial"/>
          <w:i/>
          <w:sz w:val="22"/>
          <w:szCs w:val="22"/>
        </w:rPr>
        <w:t>Head Neck</w:t>
      </w:r>
      <w:r w:rsidRPr="006A7000">
        <w:rPr>
          <w:rFonts w:asciiTheme="minorHAnsi" w:hAnsiTheme="minorHAnsi" w:cs="Arial"/>
          <w:sz w:val="22"/>
          <w:szCs w:val="22"/>
        </w:rPr>
        <w:t>.</w:t>
      </w:r>
      <w:r w:rsidR="005F4837" w:rsidRPr="006A7000">
        <w:rPr>
          <w:rFonts w:asciiTheme="minorHAnsi" w:hAnsiTheme="minorHAnsi" w:cs="Arial"/>
          <w:sz w:val="22"/>
          <w:szCs w:val="22"/>
        </w:rPr>
        <w:t xml:space="preserve"> </w:t>
      </w:r>
      <w:r w:rsidRPr="006A7000">
        <w:rPr>
          <w:rFonts w:asciiTheme="minorHAnsi" w:hAnsiTheme="minorHAnsi" w:cs="Arial"/>
          <w:b/>
          <w:sz w:val="22"/>
          <w:szCs w:val="22"/>
        </w:rPr>
        <w:t>31</w:t>
      </w:r>
      <w:r w:rsidRPr="006A7000">
        <w:rPr>
          <w:rFonts w:asciiTheme="minorHAnsi" w:hAnsiTheme="minorHAnsi" w:cs="Arial"/>
          <w:sz w:val="22"/>
          <w:szCs w:val="22"/>
        </w:rPr>
        <w:t>(5)</w:t>
      </w:r>
      <w:r w:rsidR="005F4837" w:rsidRPr="006A7000">
        <w:rPr>
          <w:rFonts w:asciiTheme="minorHAnsi" w:hAnsiTheme="minorHAnsi" w:cs="Arial"/>
          <w:sz w:val="22"/>
          <w:szCs w:val="22"/>
        </w:rPr>
        <w:t xml:space="preserve">, </w:t>
      </w:r>
      <w:r w:rsidRPr="006A7000">
        <w:rPr>
          <w:rFonts w:asciiTheme="minorHAnsi" w:hAnsiTheme="minorHAnsi" w:cs="Arial"/>
          <w:sz w:val="22"/>
          <w:szCs w:val="22"/>
        </w:rPr>
        <w:t>618-24</w:t>
      </w:r>
      <w:r w:rsidR="005F4837" w:rsidRPr="006A7000">
        <w:rPr>
          <w:rFonts w:asciiTheme="minorHAnsi" w:hAnsiTheme="minorHAnsi" w:cs="Arial"/>
          <w:sz w:val="22"/>
          <w:szCs w:val="22"/>
        </w:rPr>
        <w:t xml:space="preserve"> (2009)</w:t>
      </w:r>
      <w:r w:rsidR="00105692" w:rsidRPr="006A7000">
        <w:rPr>
          <w:rFonts w:asciiTheme="minorHAnsi" w:hAnsiTheme="minorHAnsi" w:cs="Arial"/>
          <w:sz w:val="22"/>
          <w:szCs w:val="22"/>
        </w:rPr>
        <w:t>.</w:t>
      </w:r>
    </w:p>
    <w:p w14:paraId="1F92DA05" w14:textId="77777777" w:rsidR="00F059C2" w:rsidRPr="006A7000" w:rsidRDefault="00F059C2" w:rsidP="00EB35B4">
      <w:pPr>
        <w:pStyle w:val="Title1"/>
        <w:shd w:val="clear" w:color="auto" w:fill="FFFFFF"/>
        <w:spacing w:before="0" w:beforeAutospacing="0" w:after="0" w:afterAutospacing="0"/>
        <w:rPr>
          <w:rFonts w:asciiTheme="minorHAnsi" w:hAnsiTheme="minorHAnsi" w:cs="Arial"/>
          <w:sz w:val="22"/>
          <w:szCs w:val="22"/>
        </w:rPr>
      </w:pPr>
    </w:p>
    <w:p w14:paraId="1910CB4E" w14:textId="59742865" w:rsidR="000027F1" w:rsidRPr="006A7000" w:rsidRDefault="000027F1" w:rsidP="00A63738">
      <w:pPr>
        <w:pStyle w:val="Title7"/>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 xml:space="preserve">4. </w:t>
      </w:r>
      <w:r w:rsidRPr="006A7000">
        <w:rPr>
          <w:rFonts w:asciiTheme="minorHAnsi" w:hAnsiTheme="minorHAnsi" w:cs="Arial"/>
          <w:bCs/>
          <w:sz w:val="22"/>
          <w:szCs w:val="22"/>
        </w:rPr>
        <w:t>Govers</w:t>
      </w:r>
      <w:r w:rsidRPr="006A7000">
        <w:rPr>
          <w:rFonts w:asciiTheme="minorHAnsi" w:hAnsiTheme="minorHAnsi" w:cs="Arial"/>
          <w:sz w:val="22"/>
          <w:szCs w:val="22"/>
        </w:rPr>
        <w:t> TM, de Kort TB, Merkx MA, Steens SC, Rovers MM, de Bree R</w:t>
      </w:r>
      <w:r w:rsidR="005F4837" w:rsidRPr="006A7000">
        <w:rPr>
          <w:rFonts w:asciiTheme="minorHAnsi" w:hAnsiTheme="minorHAnsi" w:cs="Arial"/>
          <w:sz w:val="22"/>
          <w:szCs w:val="22"/>
        </w:rPr>
        <w:t xml:space="preserve"> et al</w:t>
      </w:r>
      <w:r w:rsidRPr="006A7000">
        <w:rPr>
          <w:rFonts w:asciiTheme="minorHAnsi" w:hAnsiTheme="minorHAnsi" w:cs="Arial"/>
          <w:sz w:val="22"/>
          <w:szCs w:val="22"/>
        </w:rPr>
        <w:t>.</w:t>
      </w:r>
      <w:r w:rsidR="00A63738" w:rsidRPr="006A7000">
        <w:rPr>
          <w:rFonts w:asciiTheme="minorHAnsi" w:hAnsiTheme="minorHAnsi" w:cs="Arial"/>
          <w:sz w:val="22"/>
          <w:szCs w:val="22"/>
        </w:rPr>
        <w:t xml:space="preserve"> </w:t>
      </w:r>
      <w:hyperlink r:id="rId10" w:history="1">
        <w:r w:rsidR="00A63738" w:rsidRPr="006A7000">
          <w:rPr>
            <w:rStyle w:val="Hyperlink"/>
            <w:rFonts w:asciiTheme="minorHAnsi" w:hAnsiTheme="minorHAnsi" w:cs="Arial"/>
            <w:color w:val="auto"/>
            <w:sz w:val="22"/>
            <w:szCs w:val="22"/>
            <w:u w:val="none"/>
          </w:rPr>
          <w:t>An international comparison of the management of the neck in early oral squamous cell carcinoma in the Netherlands, UK, and USA.</w:t>
        </w:r>
      </w:hyperlink>
      <w:r w:rsidR="00A63738" w:rsidRPr="006A7000">
        <w:rPr>
          <w:rFonts w:asciiTheme="minorHAnsi" w:hAnsiTheme="minorHAnsi" w:cs="Arial"/>
          <w:sz w:val="22"/>
          <w:szCs w:val="22"/>
        </w:rPr>
        <w:t xml:space="preserve"> </w:t>
      </w:r>
      <w:r w:rsidRPr="006A7000">
        <w:rPr>
          <w:rStyle w:val="jrnl"/>
          <w:rFonts w:asciiTheme="minorHAnsi" w:hAnsiTheme="minorHAnsi" w:cs="Arial"/>
          <w:i/>
          <w:sz w:val="22"/>
          <w:szCs w:val="22"/>
        </w:rPr>
        <w:t>J Craniomaxillofac Surg</w:t>
      </w:r>
      <w:r w:rsidR="00A63738" w:rsidRPr="006A7000">
        <w:rPr>
          <w:rFonts w:asciiTheme="minorHAnsi" w:hAnsiTheme="minorHAnsi" w:cs="Arial"/>
          <w:sz w:val="22"/>
          <w:szCs w:val="22"/>
        </w:rPr>
        <w:t>.</w:t>
      </w:r>
      <w:r w:rsidR="00926EDB" w:rsidRPr="006A7000">
        <w:rPr>
          <w:rFonts w:asciiTheme="minorHAnsi" w:hAnsiTheme="minorHAnsi" w:cs="Arial"/>
          <w:sz w:val="22"/>
          <w:szCs w:val="22"/>
        </w:rPr>
        <w:t xml:space="preserve"> </w:t>
      </w:r>
      <w:r w:rsidRPr="006A7000">
        <w:rPr>
          <w:rFonts w:asciiTheme="minorHAnsi" w:hAnsiTheme="minorHAnsi" w:cs="Arial"/>
          <w:b/>
          <w:sz w:val="22"/>
          <w:szCs w:val="22"/>
        </w:rPr>
        <w:t>44</w:t>
      </w:r>
      <w:r w:rsidRPr="006A7000">
        <w:rPr>
          <w:rFonts w:asciiTheme="minorHAnsi" w:hAnsiTheme="minorHAnsi" w:cs="Arial"/>
          <w:sz w:val="22"/>
          <w:szCs w:val="22"/>
        </w:rPr>
        <w:t>(1)</w:t>
      </w:r>
      <w:r w:rsidR="00926EDB" w:rsidRPr="006A7000">
        <w:rPr>
          <w:rFonts w:asciiTheme="minorHAnsi" w:hAnsiTheme="minorHAnsi" w:cs="Arial"/>
          <w:sz w:val="22"/>
          <w:szCs w:val="22"/>
        </w:rPr>
        <w:t xml:space="preserve">, </w:t>
      </w:r>
      <w:r w:rsidRPr="006A7000">
        <w:rPr>
          <w:rFonts w:asciiTheme="minorHAnsi" w:hAnsiTheme="minorHAnsi" w:cs="Arial"/>
          <w:sz w:val="22"/>
          <w:szCs w:val="22"/>
        </w:rPr>
        <w:t>62-9</w:t>
      </w:r>
      <w:r w:rsidR="00926EDB" w:rsidRPr="006A7000">
        <w:rPr>
          <w:rFonts w:asciiTheme="minorHAnsi" w:hAnsiTheme="minorHAnsi" w:cs="Arial"/>
          <w:sz w:val="22"/>
          <w:szCs w:val="22"/>
        </w:rPr>
        <w:t xml:space="preserve"> (2016)</w:t>
      </w:r>
      <w:r w:rsidR="00105692" w:rsidRPr="006A7000">
        <w:rPr>
          <w:rFonts w:asciiTheme="minorHAnsi" w:hAnsiTheme="minorHAnsi" w:cs="Arial"/>
          <w:sz w:val="22"/>
          <w:szCs w:val="22"/>
        </w:rPr>
        <w:t>.</w:t>
      </w:r>
    </w:p>
    <w:p w14:paraId="140785DE" w14:textId="77777777" w:rsidR="000027F1" w:rsidRPr="006A7000" w:rsidRDefault="000027F1" w:rsidP="00A93857">
      <w:pPr>
        <w:autoSpaceDE w:val="0"/>
        <w:autoSpaceDN w:val="0"/>
        <w:adjustRightInd w:val="0"/>
        <w:spacing w:after="0" w:line="240" w:lineRule="auto"/>
        <w:rPr>
          <w:rFonts w:asciiTheme="minorHAnsi" w:hAnsiTheme="minorHAnsi" w:cs="Arial"/>
        </w:rPr>
      </w:pPr>
    </w:p>
    <w:p w14:paraId="5FC2BD0B" w14:textId="4752EC8C" w:rsidR="00A93857" w:rsidRPr="006A7000" w:rsidRDefault="00A63738" w:rsidP="00A93857">
      <w:pPr>
        <w:autoSpaceDE w:val="0"/>
        <w:autoSpaceDN w:val="0"/>
        <w:adjustRightInd w:val="0"/>
        <w:spacing w:after="0" w:line="240" w:lineRule="auto"/>
        <w:rPr>
          <w:rFonts w:asciiTheme="minorHAnsi" w:hAnsiTheme="minorHAnsi" w:cs="Arial"/>
        </w:rPr>
      </w:pPr>
      <w:r w:rsidRPr="006A7000">
        <w:rPr>
          <w:rFonts w:asciiTheme="minorHAnsi" w:hAnsiTheme="minorHAnsi" w:cs="Arial"/>
        </w:rPr>
        <w:t>5</w:t>
      </w:r>
      <w:r w:rsidR="00FC4148" w:rsidRPr="006A7000">
        <w:rPr>
          <w:rFonts w:asciiTheme="minorHAnsi" w:hAnsiTheme="minorHAnsi" w:cs="Arial"/>
        </w:rPr>
        <w:t xml:space="preserve">. </w:t>
      </w:r>
      <w:r w:rsidR="00A93857" w:rsidRPr="006A7000">
        <w:rPr>
          <w:rFonts w:asciiTheme="minorHAnsi" w:hAnsiTheme="minorHAnsi" w:cs="Arial"/>
        </w:rPr>
        <w:t>Shah JP</w:t>
      </w:r>
      <w:r w:rsidR="00926EDB" w:rsidRPr="006A7000">
        <w:rPr>
          <w:rFonts w:asciiTheme="minorHAnsi" w:hAnsiTheme="minorHAnsi" w:cs="Arial"/>
        </w:rPr>
        <w:t>.</w:t>
      </w:r>
      <w:r w:rsidR="00A93857" w:rsidRPr="006A7000">
        <w:rPr>
          <w:rFonts w:asciiTheme="minorHAnsi" w:hAnsiTheme="minorHAnsi" w:cs="Arial"/>
        </w:rPr>
        <w:t xml:space="preserve"> Patterns of cervical lymph node metastasis from squamous carcinomas of the</w:t>
      </w:r>
    </w:p>
    <w:p w14:paraId="4CDB36EC" w14:textId="583E9CF5" w:rsidR="00A93857" w:rsidRPr="006A7000" w:rsidRDefault="00A93857" w:rsidP="00A93857">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 xml:space="preserve">upper aerodigestive tract. </w:t>
      </w:r>
      <w:r w:rsidRPr="006A7000">
        <w:rPr>
          <w:rFonts w:asciiTheme="minorHAnsi" w:hAnsiTheme="minorHAnsi" w:cs="Arial,Italic"/>
          <w:i/>
          <w:iCs/>
          <w:sz w:val="22"/>
          <w:szCs w:val="22"/>
        </w:rPr>
        <w:t>Am J Surg</w:t>
      </w:r>
      <w:r w:rsidR="00926EDB" w:rsidRPr="006A7000">
        <w:rPr>
          <w:rFonts w:asciiTheme="minorHAnsi" w:hAnsiTheme="minorHAnsi" w:cs="Arial,Italic"/>
          <w:iCs/>
          <w:sz w:val="22"/>
          <w:szCs w:val="22"/>
        </w:rPr>
        <w:t>.</w:t>
      </w:r>
      <w:r w:rsidR="007D07BA" w:rsidRPr="006A7000">
        <w:rPr>
          <w:rFonts w:asciiTheme="minorHAnsi" w:hAnsiTheme="minorHAnsi" w:cs="Arial,Italic"/>
          <w:iCs/>
          <w:sz w:val="22"/>
          <w:szCs w:val="22"/>
        </w:rPr>
        <w:t xml:space="preserve"> </w:t>
      </w:r>
      <w:r w:rsidRPr="006A7000">
        <w:rPr>
          <w:rFonts w:asciiTheme="minorHAnsi" w:hAnsiTheme="minorHAnsi" w:cs="Arial,Bold"/>
          <w:b/>
          <w:bCs/>
          <w:sz w:val="22"/>
          <w:szCs w:val="22"/>
        </w:rPr>
        <w:t>160</w:t>
      </w:r>
      <w:r w:rsidR="00926EDB" w:rsidRPr="006A7000">
        <w:rPr>
          <w:rFonts w:asciiTheme="minorHAnsi" w:hAnsiTheme="minorHAnsi" w:cs="Arial"/>
          <w:sz w:val="22"/>
          <w:szCs w:val="22"/>
        </w:rPr>
        <w:t>,</w:t>
      </w:r>
      <w:r w:rsidRPr="006A7000">
        <w:rPr>
          <w:rFonts w:asciiTheme="minorHAnsi" w:hAnsiTheme="minorHAnsi" w:cs="Arial"/>
          <w:sz w:val="22"/>
          <w:szCs w:val="22"/>
        </w:rPr>
        <w:t xml:space="preserve"> 405-409</w:t>
      </w:r>
      <w:r w:rsidR="00926EDB" w:rsidRPr="006A7000">
        <w:rPr>
          <w:rFonts w:asciiTheme="minorHAnsi" w:hAnsiTheme="minorHAnsi" w:cs="Arial"/>
          <w:sz w:val="22"/>
          <w:szCs w:val="22"/>
        </w:rPr>
        <w:t xml:space="preserve"> (</w:t>
      </w:r>
      <w:r w:rsidR="00926EDB" w:rsidRPr="006A7000">
        <w:rPr>
          <w:rFonts w:asciiTheme="minorHAnsi" w:hAnsiTheme="minorHAnsi" w:cs="Arial,Italic"/>
          <w:iCs/>
          <w:sz w:val="22"/>
          <w:szCs w:val="22"/>
        </w:rPr>
        <w:t>1990)</w:t>
      </w:r>
      <w:r w:rsidR="00105692" w:rsidRPr="006A7000">
        <w:rPr>
          <w:rFonts w:asciiTheme="minorHAnsi" w:hAnsiTheme="minorHAnsi" w:cs="Arial,Italic"/>
          <w:iCs/>
          <w:sz w:val="22"/>
          <w:szCs w:val="22"/>
        </w:rPr>
        <w:t>.</w:t>
      </w:r>
    </w:p>
    <w:p w14:paraId="10D6D31B" w14:textId="77777777" w:rsidR="00A93857" w:rsidRPr="006A7000" w:rsidRDefault="00A93857" w:rsidP="00A93857">
      <w:pPr>
        <w:pStyle w:val="Title1"/>
        <w:shd w:val="clear" w:color="auto" w:fill="FFFFFF"/>
        <w:spacing w:before="0" w:beforeAutospacing="0" w:after="0" w:afterAutospacing="0"/>
        <w:rPr>
          <w:rFonts w:asciiTheme="minorHAnsi" w:hAnsiTheme="minorHAnsi" w:cs="Arial"/>
          <w:sz w:val="22"/>
          <w:szCs w:val="22"/>
        </w:rPr>
      </w:pPr>
    </w:p>
    <w:p w14:paraId="1C6D5E58" w14:textId="7E9F6E75" w:rsidR="00A93857" w:rsidRPr="006A7000" w:rsidRDefault="00A63738" w:rsidP="00A93857">
      <w:pPr>
        <w:autoSpaceDE w:val="0"/>
        <w:autoSpaceDN w:val="0"/>
        <w:adjustRightInd w:val="0"/>
        <w:spacing w:after="0" w:line="240" w:lineRule="auto"/>
        <w:rPr>
          <w:rFonts w:asciiTheme="minorHAnsi" w:hAnsiTheme="minorHAnsi" w:cs="Arial"/>
        </w:rPr>
      </w:pPr>
      <w:r w:rsidRPr="006A7000">
        <w:rPr>
          <w:rFonts w:asciiTheme="minorHAnsi" w:hAnsiTheme="minorHAnsi" w:cs="Arial"/>
        </w:rPr>
        <w:t>6</w:t>
      </w:r>
      <w:r w:rsidR="00FC4148" w:rsidRPr="006A7000">
        <w:rPr>
          <w:rFonts w:asciiTheme="minorHAnsi" w:hAnsiTheme="minorHAnsi" w:cs="Arial"/>
        </w:rPr>
        <w:t xml:space="preserve">. </w:t>
      </w:r>
      <w:r w:rsidR="00A93857" w:rsidRPr="006A7000">
        <w:rPr>
          <w:rFonts w:asciiTheme="minorHAnsi" w:hAnsiTheme="minorHAnsi" w:cs="Arial"/>
        </w:rPr>
        <w:t>Woolgar JA</w:t>
      </w:r>
      <w:r w:rsidR="00926EDB" w:rsidRPr="006A7000">
        <w:rPr>
          <w:rFonts w:asciiTheme="minorHAnsi" w:hAnsiTheme="minorHAnsi" w:cs="Arial"/>
        </w:rPr>
        <w:t>.</w:t>
      </w:r>
      <w:r w:rsidR="00A93857" w:rsidRPr="006A7000">
        <w:rPr>
          <w:rFonts w:asciiTheme="minorHAnsi" w:hAnsiTheme="minorHAnsi" w:cs="Arial"/>
        </w:rPr>
        <w:t xml:space="preserve"> Carcinoma of the tongue: pathological considerations in management of the</w:t>
      </w:r>
    </w:p>
    <w:p w14:paraId="2AC91DE7" w14:textId="75183CEA" w:rsidR="00A93857" w:rsidRPr="006A7000" w:rsidRDefault="00A93857" w:rsidP="00A93857">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 xml:space="preserve">neck. </w:t>
      </w:r>
      <w:r w:rsidRPr="006A7000">
        <w:rPr>
          <w:rFonts w:asciiTheme="minorHAnsi" w:hAnsiTheme="minorHAnsi" w:cs="Arial,Italic"/>
          <w:i/>
          <w:iCs/>
          <w:sz w:val="22"/>
          <w:szCs w:val="22"/>
        </w:rPr>
        <w:t>J R Soc Med</w:t>
      </w:r>
      <w:r w:rsidR="00AC4CDA" w:rsidRPr="006A7000">
        <w:rPr>
          <w:rFonts w:asciiTheme="minorHAnsi" w:hAnsiTheme="minorHAnsi" w:cs="Arial,Italic"/>
          <w:iCs/>
          <w:sz w:val="22"/>
          <w:szCs w:val="22"/>
        </w:rPr>
        <w:t>.</w:t>
      </w:r>
      <w:r w:rsidR="007D07BA" w:rsidRPr="006A7000">
        <w:rPr>
          <w:rFonts w:asciiTheme="minorHAnsi" w:hAnsiTheme="minorHAnsi" w:cs="Arial,Italic"/>
          <w:iCs/>
          <w:sz w:val="22"/>
          <w:szCs w:val="22"/>
        </w:rPr>
        <w:t xml:space="preserve"> </w:t>
      </w:r>
      <w:r w:rsidRPr="006A7000">
        <w:rPr>
          <w:rFonts w:asciiTheme="minorHAnsi" w:hAnsiTheme="minorHAnsi" w:cs="Arial,Bold"/>
          <w:b/>
          <w:bCs/>
          <w:sz w:val="22"/>
          <w:szCs w:val="22"/>
        </w:rPr>
        <w:t>89</w:t>
      </w:r>
      <w:r w:rsidR="00AC4CDA" w:rsidRPr="006A7000">
        <w:rPr>
          <w:rFonts w:asciiTheme="minorHAnsi" w:hAnsiTheme="minorHAnsi" w:cs="Arial"/>
          <w:sz w:val="22"/>
          <w:szCs w:val="22"/>
        </w:rPr>
        <w:t>,</w:t>
      </w:r>
      <w:r w:rsidRPr="006A7000">
        <w:rPr>
          <w:rFonts w:asciiTheme="minorHAnsi" w:hAnsiTheme="minorHAnsi" w:cs="Arial"/>
          <w:sz w:val="22"/>
          <w:szCs w:val="22"/>
        </w:rPr>
        <w:t xml:space="preserve"> 611-615</w:t>
      </w:r>
      <w:r w:rsidR="00AC4CDA" w:rsidRPr="006A7000">
        <w:rPr>
          <w:rFonts w:asciiTheme="minorHAnsi" w:hAnsiTheme="minorHAnsi" w:cs="Arial"/>
          <w:sz w:val="22"/>
          <w:szCs w:val="22"/>
        </w:rPr>
        <w:t xml:space="preserve"> (</w:t>
      </w:r>
      <w:r w:rsidR="00AC4CDA" w:rsidRPr="006A7000">
        <w:rPr>
          <w:rFonts w:asciiTheme="minorHAnsi" w:hAnsiTheme="minorHAnsi" w:cs="Arial,Italic"/>
          <w:iCs/>
          <w:sz w:val="22"/>
          <w:szCs w:val="22"/>
        </w:rPr>
        <w:t>1996)</w:t>
      </w:r>
      <w:r w:rsidR="00105692" w:rsidRPr="006A7000">
        <w:rPr>
          <w:rFonts w:asciiTheme="minorHAnsi" w:hAnsiTheme="minorHAnsi" w:cs="Arial,Italic"/>
          <w:iCs/>
          <w:sz w:val="22"/>
          <w:szCs w:val="22"/>
        </w:rPr>
        <w:t>.</w:t>
      </w:r>
    </w:p>
    <w:p w14:paraId="0144BBB0" w14:textId="77777777" w:rsidR="005576D5" w:rsidRPr="006A7000" w:rsidRDefault="005576D5" w:rsidP="00A93857">
      <w:pPr>
        <w:pStyle w:val="Title1"/>
        <w:shd w:val="clear" w:color="auto" w:fill="FFFFFF"/>
        <w:spacing w:before="0" w:beforeAutospacing="0" w:after="0" w:afterAutospacing="0"/>
        <w:rPr>
          <w:rFonts w:asciiTheme="minorHAnsi" w:hAnsiTheme="minorHAnsi" w:cs="Arial"/>
          <w:sz w:val="22"/>
          <w:szCs w:val="22"/>
        </w:rPr>
      </w:pPr>
    </w:p>
    <w:p w14:paraId="7B853C6B" w14:textId="3DE5DC03" w:rsidR="005576D5" w:rsidRPr="006A7000" w:rsidRDefault="005576D5" w:rsidP="00947DC7">
      <w:pPr>
        <w:widowControl w:val="0"/>
        <w:autoSpaceDE w:val="0"/>
        <w:autoSpaceDN w:val="0"/>
        <w:adjustRightInd w:val="0"/>
        <w:spacing w:after="0" w:line="240" w:lineRule="auto"/>
        <w:rPr>
          <w:rStyle w:val="Hyperlink"/>
          <w:rFonts w:asciiTheme="minorHAnsi" w:hAnsiTheme="minorHAnsi" w:cs="Arial"/>
          <w:color w:val="auto"/>
          <w:u w:val="none"/>
        </w:rPr>
      </w:pPr>
      <w:r w:rsidRPr="006A7000">
        <w:rPr>
          <w:rStyle w:val="Hyperlink"/>
          <w:color w:val="auto"/>
          <w:u w:val="none"/>
        </w:rPr>
        <w:t xml:space="preserve">7. </w:t>
      </w:r>
      <w:r w:rsidRPr="006A7000">
        <w:rPr>
          <w:rStyle w:val="Hyperlink"/>
          <w:rFonts w:asciiTheme="minorHAnsi" w:hAnsiTheme="minorHAnsi" w:cs="Arial"/>
          <w:color w:val="auto"/>
          <w:u w:val="none"/>
        </w:rPr>
        <w:t>Haddadin KJ</w:t>
      </w:r>
      <w:r w:rsidR="003612BC" w:rsidRPr="006A7000">
        <w:rPr>
          <w:rStyle w:val="Hyperlink"/>
          <w:rFonts w:asciiTheme="minorHAnsi" w:hAnsiTheme="minorHAnsi" w:cs="Arial"/>
          <w:color w:val="auto"/>
          <w:u w:val="none"/>
        </w:rPr>
        <w:t xml:space="preserve">, </w:t>
      </w:r>
      <w:r w:rsidRPr="006A7000">
        <w:rPr>
          <w:rStyle w:val="Hyperlink"/>
          <w:rFonts w:asciiTheme="minorHAnsi" w:hAnsiTheme="minorHAnsi" w:cs="Arial"/>
          <w:color w:val="auto"/>
          <w:u w:val="none"/>
        </w:rPr>
        <w:t>Soutar DS</w:t>
      </w:r>
      <w:r w:rsidR="003612BC" w:rsidRPr="006A7000">
        <w:rPr>
          <w:rStyle w:val="Hyperlink"/>
          <w:rFonts w:asciiTheme="minorHAnsi" w:hAnsiTheme="minorHAnsi" w:cs="Arial"/>
          <w:color w:val="auto"/>
          <w:u w:val="none"/>
        </w:rPr>
        <w:t xml:space="preserve">, </w:t>
      </w:r>
      <w:r w:rsidRPr="006A7000">
        <w:rPr>
          <w:rStyle w:val="Hyperlink"/>
          <w:rFonts w:asciiTheme="minorHAnsi" w:hAnsiTheme="minorHAnsi" w:cs="Arial"/>
          <w:color w:val="auto"/>
          <w:u w:val="none"/>
        </w:rPr>
        <w:t>Oliver RJ,</w:t>
      </w:r>
      <w:r w:rsidR="003612BC" w:rsidRPr="006A7000">
        <w:rPr>
          <w:rStyle w:val="Hyperlink"/>
          <w:rFonts w:asciiTheme="minorHAnsi" w:hAnsiTheme="minorHAnsi" w:cs="Arial"/>
          <w:color w:val="auto"/>
          <w:u w:val="none"/>
        </w:rPr>
        <w:t xml:space="preserve"> </w:t>
      </w:r>
      <w:r w:rsidRPr="006A7000">
        <w:rPr>
          <w:rStyle w:val="Hyperlink"/>
          <w:rFonts w:asciiTheme="minorHAnsi" w:hAnsiTheme="minorHAnsi" w:cs="Arial"/>
          <w:color w:val="auto"/>
          <w:u w:val="none"/>
        </w:rPr>
        <w:t>Webster MH</w:t>
      </w:r>
      <w:r w:rsidR="003612BC" w:rsidRPr="006A7000">
        <w:rPr>
          <w:rStyle w:val="Hyperlink"/>
          <w:rFonts w:asciiTheme="minorHAnsi" w:hAnsiTheme="minorHAnsi" w:cs="Arial"/>
          <w:color w:val="auto"/>
          <w:u w:val="none"/>
        </w:rPr>
        <w:t xml:space="preserve">, </w:t>
      </w:r>
      <w:r w:rsidRPr="006A7000">
        <w:rPr>
          <w:rStyle w:val="Hyperlink"/>
          <w:rFonts w:asciiTheme="minorHAnsi" w:hAnsiTheme="minorHAnsi" w:cs="Arial"/>
          <w:color w:val="auto"/>
          <w:u w:val="none"/>
        </w:rPr>
        <w:t>Robertson</w:t>
      </w:r>
      <w:r w:rsidR="003612BC" w:rsidRPr="006A7000">
        <w:rPr>
          <w:rStyle w:val="Hyperlink"/>
          <w:rFonts w:asciiTheme="minorHAnsi" w:hAnsiTheme="minorHAnsi" w:cs="Arial"/>
          <w:color w:val="auto"/>
          <w:u w:val="none"/>
        </w:rPr>
        <w:t xml:space="preserve"> AG, </w:t>
      </w:r>
      <w:r w:rsidRPr="006A7000">
        <w:rPr>
          <w:rStyle w:val="Hyperlink"/>
          <w:rFonts w:asciiTheme="minorHAnsi" w:hAnsiTheme="minorHAnsi" w:cs="Arial"/>
          <w:color w:val="auto"/>
          <w:u w:val="none"/>
        </w:rPr>
        <w:t>MacDonald</w:t>
      </w:r>
      <w:r w:rsidR="003612BC" w:rsidRPr="006A7000">
        <w:rPr>
          <w:rStyle w:val="Hyperlink"/>
          <w:rFonts w:asciiTheme="minorHAnsi" w:hAnsiTheme="minorHAnsi" w:cs="Arial"/>
          <w:color w:val="auto"/>
          <w:u w:val="none"/>
        </w:rPr>
        <w:t xml:space="preserve"> DG</w:t>
      </w:r>
      <w:r w:rsidR="00B504D6" w:rsidRPr="006A7000">
        <w:rPr>
          <w:rStyle w:val="Hyperlink"/>
          <w:rFonts w:asciiTheme="minorHAnsi" w:hAnsiTheme="minorHAnsi" w:cs="Arial"/>
          <w:color w:val="auto"/>
          <w:u w:val="none"/>
        </w:rPr>
        <w:t>.</w:t>
      </w:r>
      <w:r w:rsidR="003612BC" w:rsidRPr="006A7000">
        <w:rPr>
          <w:rStyle w:val="Hyperlink"/>
          <w:rFonts w:asciiTheme="minorHAnsi" w:hAnsiTheme="minorHAnsi" w:cs="Arial"/>
          <w:color w:val="auto"/>
          <w:u w:val="none"/>
        </w:rPr>
        <w:t xml:space="preserve"> </w:t>
      </w:r>
      <w:r w:rsidRPr="006A7000">
        <w:rPr>
          <w:rStyle w:val="Hyperlink"/>
          <w:rFonts w:asciiTheme="minorHAnsi" w:hAnsiTheme="minorHAnsi" w:cs="Arial"/>
          <w:color w:val="auto"/>
          <w:u w:val="none"/>
        </w:rPr>
        <w:t>Improved survival for patients with clinically T1/T2, N0 tongue tumors undergoing a prophylactic neck dissection</w:t>
      </w:r>
      <w:r w:rsidR="003612BC" w:rsidRPr="006A7000">
        <w:rPr>
          <w:rStyle w:val="Hyperlink"/>
          <w:rFonts w:asciiTheme="minorHAnsi" w:hAnsiTheme="minorHAnsi" w:cs="Arial"/>
          <w:color w:val="auto"/>
          <w:u w:val="none"/>
        </w:rPr>
        <w:t>.</w:t>
      </w:r>
      <w:r w:rsidR="00947DC7" w:rsidRPr="006A7000">
        <w:rPr>
          <w:rStyle w:val="Hyperlink"/>
          <w:rFonts w:asciiTheme="minorHAnsi" w:hAnsiTheme="minorHAnsi" w:cs="Arial"/>
          <w:color w:val="auto"/>
          <w:u w:val="none"/>
        </w:rPr>
        <w:t xml:space="preserve"> </w:t>
      </w:r>
      <w:r w:rsidR="003612BC" w:rsidRPr="006A7000">
        <w:rPr>
          <w:rStyle w:val="Hyperlink"/>
          <w:rFonts w:asciiTheme="minorHAnsi" w:hAnsiTheme="minorHAnsi" w:cs="Arial"/>
          <w:i/>
          <w:color w:val="auto"/>
          <w:u w:val="none"/>
        </w:rPr>
        <w:t>Head Neck</w:t>
      </w:r>
      <w:r w:rsidR="00B504D6" w:rsidRPr="006A7000">
        <w:rPr>
          <w:rStyle w:val="Hyperlink"/>
          <w:rFonts w:asciiTheme="minorHAnsi" w:hAnsiTheme="minorHAnsi" w:cs="Arial"/>
          <w:color w:val="auto"/>
          <w:u w:val="none"/>
        </w:rPr>
        <w:t>.</w:t>
      </w:r>
      <w:r w:rsidR="00FB03A6" w:rsidRPr="006A7000">
        <w:rPr>
          <w:rStyle w:val="Hyperlink"/>
          <w:rFonts w:asciiTheme="minorHAnsi" w:hAnsiTheme="minorHAnsi" w:cs="Arial"/>
          <w:color w:val="auto"/>
          <w:u w:val="none"/>
        </w:rPr>
        <w:t xml:space="preserve"> </w:t>
      </w:r>
      <w:r w:rsidR="00F81EEF" w:rsidRPr="006A7000">
        <w:rPr>
          <w:rStyle w:val="Hyperlink"/>
          <w:rFonts w:asciiTheme="minorHAnsi" w:hAnsiTheme="minorHAnsi" w:cs="Arial"/>
          <w:b/>
          <w:color w:val="auto"/>
          <w:u w:val="none"/>
        </w:rPr>
        <w:t>21</w:t>
      </w:r>
      <w:r w:rsidR="00F81EEF" w:rsidRPr="006A7000">
        <w:rPr>
          <w:rStyle w:val="Hyperlink"/>
          <w:rFonts w:asciiTheme="minorHAnsi" w:hAnsiTheme="minorHAnsi" w:cs="Arial"/>
          <w:color w:val="auto"/>
          <w:u w:val="none"/>
        </w:rPr>
        <w:t>(6)</w:t>
      </w:r>
      <w:r w:rsidR="00B504D6" w:rsidRPr="006A7000">
        <w:rPr>
          <w:rStyle w:val="Hyperlink"/>
          <w:rFonts w:asciiTheme="minorHAnsi" w:hAnsiTheme="minorHAnsi" w:cs="Arial"/>
          <w:color w:val="auto"/>
          <w:u w:val="none"/>
        </w:rPr>
        <w:t>,</w:t>
      </w:r>
      <w:r w:rsidRPr="006A7000">
        <w:rPr>
          <w:rStyle w:val="Hyperlink"/>
          <w:rFonts w:asciiTheme="minorHAnsi" w:hAnsiTheme="minorHAnsi" w:cs="Arial"/>
          <w:color w:val="auto"/>
          <w:u w:val="none"/>
        </w:rPr>
        <w:t xml:space="preserve"> 517-525</w:t>
      </w:r>
      <w:r w:rsidR="00B504D6" w:rsidRPr="006A7000">
        <w:rPr>
          <w:rStyle w:val="Hyperlink"/>
          <w:rFonts w:asciiTheme="minorHAnsi" w:hAnsiTheme="minorHAnsi" w:cs="Arial"/>
          <w:color w:val="auto"/>
          <w:u w:val="none"/>
        </w:rPr>
        <w:t xml:space="preserve"> (1999)</w:t>
      </w:r>
      <w:r w:rsidR="00105692" w:rsidRPr="006A7000">
        <w:rPr>
          <w:rStyle w:val="Hyperlink"/>
          <w:rFonts w:asciiTheme="minorHAnsi" w:hAnsiTheme="minorHAnsi" w:cs="Arial"/>
          <w:color w:val="auto"/>
          <w:u w:val="none"/>
        </w:rPr>
        <w:t>.</w:t>
      </w:r>
    </w:p>
    <w:p w14:paraId="462E4346" w14:textId="77777777" w:rsidR="00947DC7" w:rsidRPr="006A7000" w:rsidRDefault="00947DC7" w:rsidP="00947DC7">
      <w:pPr>
        <w:widowControl w:val="0"/>
        <w:autoSpaceDE w:val="0"/>
        <w:autoSpaceDN w:val="0"/>
        <w:adjustRightInd w:val="0"/>
        <w:spacing w:after="0" w:line="240" w:lineRule="auto"/>
        <w:rPr>
          <w:rStyle w:val="Hyperlink"/>
          <w:rFonts w:asciiTheme="minorHAnsi" w:hAnsiTheme="minorHAnsi" w:cs="Arial"/>
          <w:color w:val="auto"/>
          <w:u w:val="none"/>
        </w:rPr>
      </w:pPr>
    </w:p>
    <w:p w14:paraId="38CB0D89" w14:textId="3636346F" w:rsidR="006B1496" w:rsidRPr="006A7000" w:rsidRDefault="00A63738" w:rsidP="00A93857">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8</w:t>
      </w:r>
      <w:r w:rsidR="006B1496" w:rsidRPr="006A7000">
        <w:rPr>
          <w:rFonts w:asciiTheme="minorHAnsi" w:hAnsiTheme="minorHAnsi" w:cs="Arial"/>
          <w:sz w:val="22"/>
          <w:szCs w:val="22"/>
        </w:rPr>
        <w:t xml:space="preserve">. Franceschi D, Gupta R, Spiro RH, </w:t>
      </w:r>
      <w:r w:rsidR="00853C95" w:rsidRPr="006A7000">
        <w:rPr>
          <w:rFonts w:asciiTheme="minorHAnsi" w:hAnsiTheme="minorHAnsi" w:cs="Arial"/>
          <w:sz w:val="22"/>
          <w:szCs w:val="22"/>
        </w:rPr>
        <w:t xml:space="preserve">Shah JP. </w:t>
      </w:r>
      <w:r w:rsidR="00965F1E" w:rsidRPr="006A7000">
        <w:rPr>
          <w:rFonts w:asciiTheme="minorHAnsi" w:hAnsiTheme="minorHAnsi" w:cs="Arial"/>
          <w:sz w:val="22"/>
          <w:szCs w:val="22"/>
        </w:rPr>
        <w:t xml:space="preserve">Improved Survival in the Treatment of Squamous Carcinoma of the Oral Tongue. </w:t>
      </w:r>
      <w:r w:rsidR="00965F1E" w:rsidRPr="006A7000">
        <w:rPr>
          <w:rFonts w:asciiTheme="minorHAnsi" w:hAnsiTheme="minorHAnsi" w:cs="Arial"/>
          <w:i/>
          <w:sz w:val="22"/>
          <w:szCs w:val="22"/>
        </w:rPr>
        <w:t>Am J Surg</w:t>
      </w:r>
      <w:r w:rsidR="002165DC" w:rsidRPr="006A7000">
        <w:rPr>
          <w:rFonts w:asciiTheme="minorHAnsi" w:hAnsiTheme="minorHAnsi" w:cs="Arial"/>
          <w:sz w:val="22"/>
          <w:szCs w:val="22"/>
        </w:rPr>
        <w:t>.</w:t>
      </w:r>
      <w:r w:rsidR="00965F1E" w:rsidRPr="006A7000">
        <w:rPr>
          <w:rFonts w:asciiTheme="minorHAnsi" w:hAnsiTheme="minorHAnsi" w:cs="Arial"/>
          <w:sz w:val="22"/>
          <w:szCs w:val="22"/>
        </w:rPr>
        <w:t xml:space="preserve"> </w:t>
      </w:r>
      <w:r w:rsidR="00965F1E" w:rsidRPr="006A7000">
        <w:rPr>
          <w:rFonts w:asciiTheme="minorHAnsi" w:hAnsiTheme="minorHAnsi" w:cs="Arial"/>
          <w:b/>
          <w:sz w:val="22"/>
          <w:szCs w:val="22"/>
        </w:rPr>
        <w:t>166</w:t>
      </w:r>
      <w:r w:rsidR="002165DC" w:rsidRPr="006A7000">
        <w:rPr>
          <w:rFonts w:asciiTheme="minorHAnsi" w:hAnsiTheme="minorHAnsi" w:cs="Arial"/>
          <w:sz w:val="22"/>
          <w:szCs w:val="22"/>
        </w:rPr>
        <w:t>,</w:t>
      </w:r>
      <w:r w:rsidR="00965F1E" w:rsidRPr="006A7000">
        <w:rPr>
          <w:rFonts w:asciiTheme="minorHAnsi" w:hAnsiTheme="minorHAnsi" w:cs="Arial"/>
          <w:sz w:val="22"/>
          <w:szCs w:val="22"/>
        </w:rPr>
        <w:t xml:space="preserve"> 360-365</w:t>
      </w:r>
      <w:r w:rsidR="002165DC" w:rsidRPr="006A7000">
        <w:rPr>
          <w:rFonts w:asciiTheme="minorHAnsi" w:hAnsiTheme="minorHAnsi" w:cs="Arial"/>
          <w:sz w:val="22"/>
          <w:szCs w:val="22"/>
        </w:rPr>
        <w:t xml:space="preserve"> (1993)</w:t>
      </w:r>
      <w:r w:rsidR="00105692" w:rsidRPr="006A7000">
        <w:rPr>
          <w:rFonts w:asciiTheme="minorHAnsi" w:hAnsiTheme="minorHAnsi" w:cs="Arial"/>
          <w:sz w:val="22"/>
          <w:szCs w:val="22"/>
        </w:rPr>
        <w:t>.</w:t>
      </w:r>
    </w:p>
    <w:p w14:paraId="30AA9137" w14:textId="77777777" w:rsidR="00F059C2" w:rsidRPr="006A7000" w:rsidRDefault="00F059C2" w:rsidP="00EB35B4">
      <w:pPr>
        <w:pStyle w:val="Title1"/>
        <w:shd w:val="clear" w:color="auto" w:fill="FFFFFF"/>
        <w:spacing w:before="0" w:beforeAutospacing="0" w:after="0" w:afterAutospacing="0"/>
        <w:rPr>
          <w:rFonts w:asciiTheme="minorHAnsi" w:hAnsiTheme="minorHAnsi" w:cs="Arial"/>
          <w:sz w:val="22"/>
          <w:szCs w:val="22"/>
        </w:rPr>
      </w:pPr>
    </w:p>
    <w:p w14:paraId="1A91C7D2" w14:textId="70906C40" w:rsidR="00A93857" w:rsidRPr="006A7000" w:rsidRDefault="006E01E3" w:rsidP="00A93857">
      <w:pPr>
        <w:autoSpaceDE w:val="0"/>
        <w:autoSpaceDN w:val="0"/>
        <w:adjustRightInd w:val="0"/>
        <w:spacing w:after="0" w:line="240" w:lineRule="auto"/>
        <w:rPr>
          <w:rFonts w:asciiTheme="minorHAnsi" w:eastAsia="OTNEJMQuadraat" w:hAnsiTheme="minorHAnsi" w:cs="OTNEJMQuadraat"/>
        </w:rPr>
      </w:pPr>
      <w:r w:rsidRPr="006A7000">
        <w:rPr>
          <w:rFonts w:asciiTheme="minorHAnsi" w:eastAsia="OTNEJMQuadraat" w:hAnsiTheme="minorHAnsi" w:cs="OTNEJMQuadraat"/>
        </w:rPr>
        <w:t>9.</w:t>
      </w:r>
      <w:r w:rsidR="00A93857" w:rsidRPr="006A7000">
        <w:rPr>
          <w:rFonts w:asciiTheme="minorHAnsi" w:eastAsia="OTNEJMQuadraat" w:hAnsiTheme="minorHAnsi" w:cs="OTNEJMQuadraat"/>
        </w:rPr>
        <w:t xml:space="preserve"> Vandenbrouck C, Sancho-Garnier H, Chassagne D, </w:t>
      </w:r>
      <w:r w:rsidR="001D6425" w:rsidRPr="006A7000">
        <w:rPr>
          <w:rFonts w:asciiTheme="minorHAnsi" w:eastAsia="OTNEJMQuadraat" w:hAnsiTheme="minorHAnsi" w:cs="OTNEJMQuadraat"/>
        </w:rPr>
        <w:t xml:space="preserve">Saravane D, Cachin Y, Micheau C. </w:t>
      </w:r>
      <w:r w:rsidR="00A93857" w:rsidRPr="006A7000">
        <w:rPr>
          <w:rFonts w:asciiTheme="minorHAnsi" w:eastAsia="OTNEJMQuadraat" w:hAnsiTheme="minorHAnsi" w:cs="OTNEJMQuadraat"/>
        </w:rPr>
        <w:t xml:space="preserve">Elective versus therapeutic radical neck dissection in epidermoid carcinoma of </w:t>
      </w:r>
      <w:r w:rsidR="00BE11C5" w:rsidRPr="006A7000">
        <w:rPr>
          <w:rFonts w:asciiTheme="minorHAnsi" w:eastAsia="OTNEJMQuadraat" w:hAnsiTheme="minorHAnsi" w:cs="OTNEJMQuadraat"/>
        </w:rPr>
        <w:t>t</w:t>
      </w:r>
      <w:r w:rsidR="00A93857" w:rsidRPr="006A7000">
        <w:rPr>
          <w:rFonts w:asciiTheme="minorHAnsi" w:eastAsia="OTNEJMQuadraat" w:hAnsiTheme="minorHAnsi" w:cs="OTNEJMQuadraat"/>
        </w:rPr>
        <w:t>he oral cavity: results of a randomized clinical</w:t>
      </w:r>
      <w:r w:rsidR="00BE11C5" w:rsidRPr="006A7000">
        <w:rPr>
          <w:rFonts w:asciiTheme="minorHAnsi" w:eastAsia="OTNEJMQuadraat" w:hAnsiTheme="minorHAnsi" w:cs="OTNEJMQuadraat"/>
        </w:rPr>
        <w:t xml:space="preserve"> trial. </w:t>
      </w:r>
      <w:r w:rsidR="00BE11C5" w:rsidRPr="006A7000">
        <w:rPr>
          <w:rFonts w:asciiTheme="minorHAnsi" w:eastAsia="OTNEJMQuadraat" w:hAnsiTheme="minorHAnsi" w:cs="OTNEJMQuadraat"/>
          <w:i/>
        </w:rPr>
        <w:t>Cancer</w:t>
      </w:r>
      <w:r w:rsidR="001D6425" w:rsidRPr="006A7000">
        <w:rPr>
          <w:rFonts w:asciiTheme="minorHAnsi" w:eastAsia="OTNEJMQuadraat" w:hAnsiTheme="minorHAnsi" w:cs="OTNEJMQuadraat"/>
        </w:rPr>
        <w:t>.</w:t>
      </w:r>
      <w:r w:rsidR="00BE11C5" w:rsidRPr="006A7000">
        <w:rPr>
          <w:rFonts w:asciiTheme="minorHAnsi" w:eastAsia="OTNEJMQuadraat" w:hAnsiTheme="minorHAnsi" w:cs="OTNEJMQuadraat"/>
        </w:rPr>
        <w:t xml:space="preserve"> </w:t>
      </w:r>
      <w:r w:rsidR="00BE11C5" w:rsidRPr="006A7000">
        <w:rPr>
          <w:rFonts w:asciiTheme="minorHAnsi" w:eastAsia="OTNEJMQuadraat" w:hAnsiTheme="minorHAnsi" w:cs="OTNEJMQuadraat"/>
          <w:b/>
        </w:rPr>
        <w:t>46</w:t>
      </w:r>
      <w:r w:rsidR="001D6425" w:rsidRPr="006A7000">
        <w:rPr>
          <w:rFonts w:asciiTheme="minorHAnsi" w:eastAsia="OTNEJMQuadraat" w:hAnsiTheme="minorHAnsi" w:cs="OTNEJMQuadraat"/>
        </w:rPr>
        <w:t>(2),</w:t>
      </w:r>
      <w:r w:rsidR="00BE11C5" w:rsidRPr="006A7000">
        <w:rPr>
          <w:rFonts w:asciiTheme="minorHAnsi" w:eastAsia="OTNEJMQuadraat" w:hAnsiTheme="minorHAnsi" w:cs="OTNEJMQuadraat"/>
        </w:rPr>
        <w:t xml:space="preserve"> 386-90</w:t>
      </w:r>
      <w:r w:rsidR="001D6425" w:rsidRPr="006A7000">
        <w:rPr>
          <w:rFonts w:asciiTheme="minorHAnsi" w:eastAsia="OTNEJMQuadraat" w:hAnsiTheme="minorHAnsi" w:cs="OTNEJMQuadraat"/>
        </w:rPr>
        <w:t xml:space="preserve"> (1980).</w:t>
      </w:r>
      <w:r w:rsidR="00E23C98" w:rsidRPr="006A7000">
        <w:rPr>
          <w:rFonts w:asciiTheme="minorHAnsi" w:eastAsia="OTNEJMQuadraat" w:hAnsiTheme="minorHAnsi" w:cs="OTNEJMQuadraat"/>
        </w:rPr>
        <w:t xml:space="preserve"> </w:t>
      </w:r>
    </w:p>
    <w:p w14:paraId="65AB78C9" w14:textId="77777777" w:rsidR="00A93857" w:rsidRPr="006A7000" w:rsidRDefault="00A93857" w:rsidP="00A93857">
      <w:pPr>
        <w:autoSpaceDE w:val="0"/>
        <w:autoSpaceDN w:val="0"/>
        <w:adjustRightInd w:val="0"/>
        <w:spacing w:after="0" w:line="240" w:lineRule="auto"/>
        <w:rPr>
          <w:rFonts w:asciiTheme="minorHAnsi" w:eastAsia="OTNEJMQuadraat" w:hAnsiTheme="minorHAnsi" w:cs="OTNEJMQuadraat"/>
        </w:rPr>
      </w:pPr>
    </w:p>
    <w:p w14:paraId="7E45AB61" w14:textId="6F95D253" w:rsidR="00A93857" w:rsidRPr="006A7000" w:rsidRDefault="002A539A" w:rsidP="00A93857">
      <w:pPr>
        <w:autoSpaceDE w:val="0"/>
        <w:autoSpaceDN w:val="0"/>
        <w:adjustRightInd w:val="0"/>
        <w:spacing w:after="0" w:line="240" w:lineRule="auto"/>
        <w:rPr>
          <w:rFonts w:asciiTheme="minorHAnsi" w:eastAsia="OTNEJMQuadraat" w:hAnsiTheme="minorHAnsi" w:cs="OTNEJMQuadraat"/>
        </w:rPr>
      </w:pPr>
      <w:r w:rsidRPr="006A7000">
        <w:rPr>
          <w:rFonts w:asciiTheme="minorHAnsi" w:eastAsia="OTNEJMQuadraat" w:hAnsiTheme="minorHAnsi" w:cs="OTNEJMQuadraat"/>
        </w:rPr>
        <w:t>10</w:t>
      </w:r>
      <w:r w:rsidR="00A93857" w:rsidRPr="006A7000">
        <w:rPr>
          <w:rFonts w:asciiTheme="minorHAnsi" w:eastAsia="OTNEJMQuadraat" w:hAnsiTheme="minorHAnsi" w:cs="OTNEJMQuadraat"/>
        </w:rPr>
        <w:t xml:space="preserve">. Fakih AR, Rao RS, Borges AM, </w:t>
      </w:r>
      <w:r w:rsidR="00F229BB" w:rsidRPr="006A7000">
        <w:rPr>
          <w:rFonts w:asciiTheme="minorHAnsi" w:eastAsia="OTNEJMQuadraat" w:hAnsiTheme="minorHAnsi" w:cs="OTNEJMQuadraat"/>
        </w:rPr>
        <w:t>Patel AR.</w:t>
      </w:r>
      <w:r w:rsidR="00A93857" w:rsidRPr="006A7000">
        <w:rPr>
          <w:rFonts w:asciiTheme="minorHAnsi" w:eastAsia="OTNEJMQuadraat" w:hAnsiTheme="minorHAnsi" w:cs="OTNEJMQuadraat"/>
        </w:rPr>
        <w:t xml:space="preserve"> Elective versus therapeutic neck dissection in early carcinoma of the oral tong</w:t>
      </w:r>
      <w:r w:rsidR="00BE11C5" w:rsidRPr="006A7000">
        <w:rPr>
          <w:rFonts w:asciiTheme="minorHAnsi" w:eastAsia="OTNEJMQuadraat" w:hAnsiTheme="minorHAnsi" w:cs="OTNEJMQuadraat"/>
        </w:rPr>
        <w:t xml:space="preserve">ue. </w:t>
      </w:r>
      <w:r w:rsidR="00BE11C5" w:rsidRPr="006A7000">
        <w:rPr>
          <w:rFonts w:asciiTheme="minorHAnsi" w:eastAsia="OTNEJMQuadraat" w:hAnsiTheme="minorHAnsi" w:cs="OTNEJMQuadraat"/>
          <w:i/>
        </w:rPr>
        <w:t>Am J Surg</w:t>
      </w:r>
      <w:r w:rsidR="00F229BB" w:rsidRPr="006A7000">
        <w:rPr>
          <w:rFonts w:asciiTheme="minorHAnsi" w:eastAsia="OTNEJMQuadraat" w:hAnsiTheme="minorHAnsi" w:cs="OTNEJMQuadraat"/>
        </w:rPr>
        <w:t>.</w:t>
      </w:r>
      <w:r w:rsidR="00BE11C5" w:rsidRPr="006A7000">
        <w:rPr>
          <w:rFonts w:asciiTheme="minorHAnsi" w:eastAsia="OTNEJMQuadraat" w:hAnsiTheme="minorHAnsi" w:cs="OTNEJMQuadraat"/>
        </w:rPr>
        <w:t xml:space="preserve"> </w:t>
      </w:r>
      <w:r w:rsidR="00BE11C5" w:rsidRPr="006A7000">
        <w:rPr>
          <w:rFonts w:asciiTheme="minorHAnsi" w:eastAsia="OTNEJMQuadraat" w:hAnsiTheme="minorHAnsi" w:cs="OTNEJMQuadraat"/>
          <w:b/>
        </w:rPr>
        <w:t>158</w:t>
      </w:r>
      <w:r w:rsidR="00F229BB" w:rsidRPr="006A7000">
        <w:rPr>
          <w:rFonts w:asciiTheme="minorHAnsi" w:eastAsia="OTNEJMQuadraat" w:hAnsiTheme="minorHAnsi" w:cs="OTNEJMQuadraat"/>
        </w:rPr>
        <w:t>(4),</w:t>
      </w:r>
      <w:r w:rsidR="00BE11C5" w:rsidRPr="006A7000">
        <w:rPr>
          <w:rFonts w:asciiTheme="minorHAnsi" w:eastAsia="OTNEJMQuadraat" w:hAnsiTheme="minorHAnsi" w:cs="OTNEJMQuadraat"/>
        </w:rPr>
        <w:t xml:space="preserve"> 309-13</w:t>
      </w:r>
      <w:r w:rsidR="00F229BB" w:rsidRPr="006A7000">
        <w:rPr>
          <w:rFonts w:asciiTheme="minorHAnsi" w:eastAsia="OTNEJMQuadraat" w:hAnsiTheme="minorHAnsi" w:cs="OTNEJMQuadraat"/>
        </w:rPr>
        <w:t xml:space="preserve"> (1989).</w:t>
      </w:r>
    </w:p>
    <w:p w14:paraId="51CCABD0" w14:textId="77777777" w:rsidR="00F059C2" w:rsidRPr="006A7000" w:rsidRDefault="00F059C2" w:rsidP="00F059C2">
      <w:pPr>
        <w:pStyle w:val="Title2"/>
        <w:shd w:val="clear" w:color="auto" w:fill="FFFFFF"/>
        <w:spacing w:before="0" w:beforeAutospacing="0" w:after="0" w:afterAutospacing="0"/>
        <w:rPr>
          <w:rFonts w:asciiTheme="minorHAnsi" w:hAnsiTheme="minorHAnsi" w:cs="Arial"/>
          <w:bCs/>
          <w:sz w:val="22"/>
          <w:szCs w:val="22"/>
        </w:rPr>
      </w:pPr>
    </w:p>
    <w:p w14:paraId="33E822E7" w14:textId="4A7EC7D0" w:rsidR="00A93857" w:rsidRPr="006A7000" w:rsidRDefault="00E23C98" w:rsidP="00A93857">
      <w:pPr>
        <w:autoSpaceDE w:val="0"/>
        <w:autoSpaceDN w:val="0"/>
        <w:adjustRightInd w:val="0"/>
        <w:spacing w:after="0" w:line="240" w:lineRule="auto"/>
        <w:rPr>
          <w:rFonts w:asciiTheme="minorHAnsi" w:eastAsia="OTNEJMQuadraat" w:hAnsiTheme="minorHAnsi" w:cs="OTNEJMQuadraat"/>
        </w:rPr>
      </w:pPr>
      <w:r w:rsidRPr="006A7000">
        <w:rPr>
          <w:rFonts w:asciiTheme="minorHAnsi" w:eastAsia="OTNEJMQuadraat" w:hAnsiTheme="minorHAnsi" w:cs="OTNEJMQuadraat"/>
        </w:rPr>
        <w:t>11</w:t>
      </w:r>
      <w:r w:rsidR="00A93857" w:rsidRPr="006A7000">
        <w:rPr>
          <w:rFonts w:asciiTheme="minorHAnsi" w:eastAsia="OTNEJMQuadraat" w:hAnsiTheme="minorHAnsi" w:cs="OTNEJMQuadraat"/>
        </w:rPr>
        <w:t xml:space="preserve">. Kligerman J, Lima RA, Soares JR, </w:t>
      </w:r>
      <w:r w:rsidR="003B1E58" w:rsidRPr="006A7000">
        <w:rPr>
          <w:rFonts w:asciiTheme="minorHAnsi" w:eastAsia="OTNEJMQuadraat" w:hAnsiTheme="minorHAnsi" w:cs="OTNEJMQuadraat"/>
        </w:rPr>
        <w:t xml:space="preserve">Prado L, </w:t>
      </w:r>
      <w:r w:rsidR="00934264" w:rsidRPr="006A7000">
        <w:rPr>
          <w:rFonts w:asciiTheme="minorHAnsi" w:eastAsia="OTNEJMQuadraat" w:hAnsiTheme="minorHAnsi" w:cs="OTNEJMQuadraat"/>
        </w:rPr>
        <w:t>Dias FL</w:t>
      </w:r>
      <w:r w:rsidR="006D0787" w:rsidRPr="006A7000">
        <w:rPr>
          <w:rFonts w:asciiTheme="minorHAnsi" w:eastAsia="OTNEJMQuadraat" w:hAnsiTheme="minorHAnsi" w:cs="OTNEJMQuadraat"/>
        </w:rPr>
        <w:t>, Freitas EQ et al</w:t>
      </w:r>
      <w:r w:rsidR="003B1E58" w:rsidRPr="006A7000">
        <w:rPr>
          <w:rFonts w:asciiTheme="minorHAnsi" w:eastAsia="OTNEJMQuadraat" w:hAnsiTheme="minorHAnsi" w:cs="OTNEJMQuadraat"/>
        </w:rPr>
        <w:t>.</w:t>
      </w:r>
      <w:r w:rsidR="00A93857" w:rsidRPr="006A7000">
        <w:rPr>
          <w:rFonts w:asciiTheme="minorHAnsi" w:eastAsia="OTNEJMQuadraat" w:hAnsiTheme="minorHAnsi" w:cs="OTNEJMQuadraat"/>
        </w:rPr>
        <w:t xml:space="preserve"> Supraomohyoid neck dissection in the treatment of T1/T2 squamous cell carcinoma of oral cavity. </w:t>
      </w:r>
      <w:r w:rsidR="00A93857" w:rsidRPr="006A7000">
        <w:rPr>
          <w:rFonts w:asciiTheme="minorHAnsi" w:eastAsia="OTNEJMQuadraat" w:hAnsiTheme="minorHAnsi" w:cs="OTNEJMQuadraat"/>
          <w:i/>
        </w:rPr>
        <w:t>Am J Surg</w:t>
      </w:r>
      <w:r w:rsidR="002628D1" w:rsidRPr="006A7000">
        <w:rPr>
          <w:rFonts w:asciiTheme="minorHAnsi" w:eastAsia="OTNEJMQuadraat" w:hAnsiTheme="minorHAnsi" w:cs="OTNEJMQuadraat"/>
        </w:rPr>
        <w:t>.</w:t>
      </w:r>
      <w:r w:rsidR="00BE11C5" w:rsidRPr="006A7000">
        <w:rPr>
          <w:rFonts w:asciiTheme="minorHAnsi" w:eastAsia="OTNEJMQuadraat" w:hAnsiTheme="minorHAnsi" w:cs="OTNEJMQuadraat"/>
        </w:rPr>
        <w:t xml:space="preserve"> </w:t>
      </w:r>
      <w:r w:rsidR="00BE11C5" w:rsidRPr="006A7000">
        <w:rPr>
          <w:rFonts w:asciiTheme="minorHAnsi" w:eastAsia="OTNEJMQuadraat" w:hAnsiTheme="minorHAnsi" w:cs="OTNEJMQuadraat"/>
          <w:b/>
        </w:rPr>
        <w:t>168</w:t>
      </w:r>
      <w:r w:rsidR="002628D1" w:rsidRPr="006A7000">
        <w:rPr>
          <w:rFonts w:asciiTheme="minorHAnsi" w:eastAsia="OTNEJMQuadraat" w:hAnsiTheme="minorHAnsi" w:cs="OTNEJMQuadraat"/>
        </w:rPr>
        <w:t>(5),</w:t>
      </w:r>
      <w:r w:rsidR="00BE11C5" w:rsidRPr="006A7000">
        <w:rPr>
          <w:rFonts w:asciiTheme="minorHAnsi" w:eastAsia="OTNEJMQuadraat" w:hAnsiTheme="minorHAnsi" w:cs="OTNEJMQuadraat"/>
        </w:rPr>
        <w:t xml:space="preserve"> 391-4</w:t>
      </w:r>
      <w:r w:rsidR="00745F3F" w:rsidRPr="006A7000">
        <w:rPr>
          <w:rFonts w:asciiTheme="minorHAnsi" w:eastAsia="OTNEJMQuadraat" w:hAnsiTheme="minorHAnsi" w:cs="OTNEJMQuadraat"/>
        </w:rPr>
        <w:t xml:space="preserve"> (1994).</w:t>
      </w:r>
    </w:p>
    <w:p w14:paraId="6B8FD7AD" w14:textId="77777777" w:rsidR="00A93857" w:rsidRPr="006A7000" w:rsidRDefault="00A93857" w:rsidP="00F059C2">
      <w:pPr>
        <w:pStyle w:val="Title2"/>
        <w:shd w:val="clear" w:color="auto" w:fill="FFFFFF"/>
        <w:spacing w:before="0" w:beforeAutospacing="0" w:after="0" w:afterAutospacing="0"/>
        <w:rPr>
          <w:rFonts w:asciiTheme="minorHAnsi" w:hAnsiTheme="minorHAnsi" w:cs="Arial"/>
          <w:bCs/>
          <w:sz w:val="22"/>
          <w:szCs w:val="22"/>
        </w:rPr>
      </w:pPr>
    </w:p>
    <w:p w14:paraId="0851E6EF" w14:textId="7CC441B6" w:rsidR="00A93857" w:rsidRPr="006A7000" w:rsidRDefault="00E23C98" w:rsidP="00A93857">
      <w:pPr>
        <w:autoSpaceDE w:val="0"/>
        <w:autoSpaceDN w:val="0"/>
        <w:adjustRightInd w:val="0"/>
        <w:spacing w:after="0" w:line="240" w:lineRule="auto"/>
        <w:rPr>
          <w:rFonts w:asciiTheme="minorHAnsi" w:eastAsia="OTNEJMQuadraat" w:hAnsiTheme="minorHAnsi" w:cs="OTNEJMQuadraat"/>
        </w:rPr>
      </w:pPr>
      <w:r w:rsidRPr="006A7000">
        <w:rPr>
          <w:rFonts w:asciiTheme="minorHAnsi" w:eastAsia="OTNEJMQuadraat" w:hAnsiTheme="minorHAnsi" w:cs="OTNEJMQuadraat"/>
        </w:rPr>
        <w:t>12</w:t>
      </w:r>
      <w:r w:rsidR="00FF2E47" w:rsidRPr="006A7000">
        <w:rPr>
          <w:rFonts w:asciiTheme="minorHAnsi" w:eastAsia="OTNEJMQuadraat" w:hAnsiTheme="minorHAnsi" w:cs="OTNEJMQuadraat"/>
        </w:rPr>
        <w:t>.</w:t>
      </w:r>
      <w:r w:rsidR="00A93857" w:rsidRPr="006A7000">
        <w:rPr>
          <w:rFonts w:asciiTheme="minorHAnsi" w:eastAsia="OTNEJMQuadraat" w:hAnsiTheme="minorHAnsi" w:cs="OTNEJMQuadraat"/>
        </w:rPr>
        <w:t xml:space="preserve"> Yuen AP, Ho CM, Chow TL, </w:t>
      </w:r>
      <w:r w:rsidR="00414F73" w:rsidRPr="006A7000">
        <w:rPr>
          <w:rFonts w:asciiTheme="minorHAnsi" w:eastAsia="OTNEJMQuadraat" w:hAnsiTheme="minorHAnsi" w:cs="OTNEJMQuadraat"/>
        </w:rPr>
        <w:t xml:space="preserve">Tang LC, Cheung WY, Ng RW </w:t>
      </w:r>
      <w:r w:rsidR="00A93857" w:rsidRPr="006A7000">
        <w:rPr>
          <w:rFonts w:asciiTheme="minorHAnsi" w:eastAsia="OTNEJMQuadraat" w:hAnsiTheme="minorHAnsi" w:cs="OTNEJMQuadraat"/>
        </w:rPr>
        <w:t>et al</w:t>
      </w:r>
      <w:r w:rsidR="00414F73" w:rsidRPr="006A7000">
        <w:rPr>
          <w:rFonts w:asciiTheme="minorHAnsi" w:eastAsia="OTNEJMQuadraat" w:hAnsiTheme="minorHAnsi" w:cs="OTNEJMQuadraat"/>
        </w:rPr>
        <w:t>.</w:t>
      </w:r>
      <w:r w:rsidR="00A93857" w:rsidRPr="006A7000">
        <w:rPr>
          <w:rFonts w:asciiTheme="minorHAnsi" w:eastAsia="OTNEJMQuadraat" w:hAnsiTheme="minorHAnsi" w:cs="OTNEJMQuadraat"/>
        </w:rPr>
        <w:t xml:space="preserve"> Prospective randomized study of selective neck dissection versus observation for N0 neck of early tongue carcin</w:t>
      </w:r>
      <w:r w:rsidR="00BE11C5" w:rsidRPr="006A7000">
        <w:rPr>
          <w:rFonts w:asciiTheme="minorHAnsi" w:eastAsia="OTNEJMQuadraat" w:hAnsiTheme="minorHAnsi" w:cs="OTNEJMQuadraat"/>
        </w:rPr>
        <w:t xml:space="preserve">oma. </w:t>
      </w:r>
      <w:r w:rsidR="00BE11C5" w:rsidRPr="006A7000">
        <w:rPr>
          <w:rFonts w:asciiTheme="minorHAnsi" w:eastAsia="OTNEJMQuadraat" w:hAnsiTheme="minorHAnsi" w:cs="OTNEJMQuadraat"/>
          <w:i/>
        </w:rPr>
        <w:t>Head Neck</w:t>
      </w:r>
      <w:r w:rsidR="00414F73" w:rsidRPr="006A7000">
        <w:rPr>
          <w:rFonts w:asciiTheme="minorHAnsi" w:eastAsia="OTNEJMQuadraat" w:hAnsiTheme="minorHAnsi" w:cs="OTNEJMQuadraat"/>
        </w:rPr>
        <w:t>.</w:t>
      </w:r>
      <w:r w:rsidR="00BE11C5" w:rsidRPr="006A7000">
        <w:rPr>
          <w:rFonts w:asciiTheme="minorHAnsi" w:eastAsia="OTNEJMQuadraat" w:hAnsiTheme="minorHAnsi" w:cs="OTNEJMQuadraat"/>
        </w:rPr>
        <w:t xml:space="preserve"> </w:t>
      </w:r>
      <w:r w:rsidR="00BE11C5" w:rsidRPr="006A7000">
        <w:rPr>
          <w:rFonts w:asciiTheme="minorHAnsi" w:eastAsia="OTNEJMQuadraat" w:hAnsiTheme="minorHAnsi" w:cs="OTNEJMQuadraat"/>
          <w:b/>
        </w:rPr>
        <w:t>31</w:t>
      </w:r>
      <w:r w:rsidR="00414F73" w:rsidRPr="006A7000">
        <w:rPr>
          <w:rFonts w:asciiTheme="minorHAnsi" w:eastAsia="OTNEJMQuadraat" w:hAnsiTheme="minorHAnsi" w:cs="OTNEJMQuadraat"/>
        </w:rPr>
        <w:t>(6),</w:t>
      </w:r>
      <w:r w:rsidR="00BE11C5" w:rsidRPr="006A7000">
        <w:rPr>
          <w:rFonts w:asciiTheme="minorHAnsi" w:eastAsia="OTNEJMQuadraat" w:hAnsiTheme="minorHAnsi" w:cs="OTNEJMQuadraat"/>
        </w:rPr>
        <w:t xml:space="preserve"> 765-72</w:t>
      </w:r>
      <w:r w:rsidR="00414F73" w:rsidRPr="006A7000">
        <w:rPr>
          <w:rFonts w:asciiTheme="minorHAnsi" w:eastAsia="OTNEJMQuadraat" w:hAnsiTheme="minorHAnsi" w:cs="OTNEJMQuadraat"/>
        </w:rPr>
        <w:t xml:space="preserve"> (2009).</w:t>
      </w:r>
    </w:p>
    <w:p w14:paraId="491525A2" w14:textId="77777777" w:rsidR="00A93857" w:rsidRPr="006A7000" w:rsidRDefault="00A93857" w:rsidP="00F059C2">
      <w:pPr>
        <w:pStyle w:val="Title2"/>
        <w:shd w:val="clear" w:color="auto" w:fill="FFFFFF"/>
        <w:spacing w:before="0" w:beforeAutospacing="0" w:after="0" w:afterAutospacing="0"/>
        <w:rPr>
          <w:rFonts w:asciiTheme="minorHAnsi" w:hAnsiTheme="minorHAnsi" w:cs="Arial"/>
          <w:bCs/>
          <w:sz w:val="22"/>
          <w:szCs w:val="22"/>
        </w:rPr>
      </w:pPr>
    </w:p>
    <w:p w14:paraId="4B518447" w14:textId="1019EA71" w:rsidR="00F059C2" w:rsidRPr="006A7000" w:rsidRDefault="00E23C98" w:rsidP="00F059C2">
      <w:pPr>
        <w:pStyle w:val="Title2"/>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bCs/>
          <w:sz w:val="22"/>
          <w:szCs w:val="22"/>
        </w:rPr>
        <w:t>13</w:t>
      </w:r>
      <w:r w:rsidR="00F059C2" w:rsidRPr="006A7000">
        <w:rPr>
          <w:rFonts w:asciiTheme="minorHAnsi" w:hAnsiTheme="minorHAnsi" w:cs="Arial"/>
          <w:bCs/>
          <w:sz w:val="22"/>
          <w:szCs w:val="22"/>
        </w:rPr>
        <w:t>. D'Cruz</w:t>
      </w:r>
      <w:r w:rsidR="00F059C2" w:rsidRPr="006A7000">
        <w:rPr>
          <w:rStyle w:val="apple-converted-space"/>
          <w:rFonts w:asciiTheme="minorHAnsi" w:hAnsiTheme="minorHAnsi" w:cs="Arial"/>
          <w:sz w:val="22"/>
          <w:szCs w:val="22"/>
        </w:rPr>
        <w:t> </w:t>
      </w:r>
      <w:r w:rsidR="00F059C2" w:rsidRPr="006A7000">
        <w:rPr>
          <w:rFonts w:asciiTheme="minorHAnsi" w:hAnsiTheme="minorHAnsi" w:cs="Arial"/>
          <w:sz w:val="22"/>
          <w:szCs w:val="22"/>
        </w:rPr>
        <w:t>AK, Vaish R, Kapre N,</w:t>
      </w:r>
      <w:r w:rsidR="00BE11C5" w:rsidRPr="006A7000">
        <w:rPr>
          <w:rFonts w:asciiTheme="minorHAnsi" w:hAnsiTheme="minorHAnsi" w:cs="Arial"/>
          <w:sz w:val="22"/>
          <w:szCs w:val="22"/>
        </w:rPr>
        <w:t xml:space="preserve"> </w:t>
      </w:r>
      <w:r w:rsidR="001A1A7F" w:rsidRPr="006A7000">
        <w:rPr>
          <w:rFonts w:asciiTheme="minorHAnsi" w:hAnsiTheme="minorHAnsi" w:cs="Arial"/>
          <w:sz w:val="22"/>
          <w:szCs w:val="22"/>
        </w:rPr>
        <w:t xml:space="preserve">Dandekar M, Gupta S, Hawaldar R </w:t>
      </w:r>
      <w:r w:rsidR="00BE11C5" w:rsidRPr="006A7000">
        <w:rPr>
          <w:rFonts w:asciiTheme="minorHAnsi" w:hAnsiTheme="minorHAnsi" w:cs="Arial"/>
          <w:sz w:val="22"/>
          <w:szCs w:val="22"/>
        </w:rPr>
        <w:t>et al</w:t>
      </w:r>
      <w:r w:rsidR="001A1A7F" w:rsidRPr="006A7000">
        <w:rPr>
          <w:rFonts w:asciiTheme="minorHAnsi" w:hAnsiTheme="minorHAnsi" w:cs="Arial"/>
          <w:sz w:val="22"/>
          <w:szCs w:val="22"/>
        </w:rPr>
        <w:t>.</w:t>
      </w:r>
      <w:r w:rsidR="00F059C2" w:rsidRPr="006A7000">
        <w:rPr>
          <w:rFonts w:asciiTheme="minorHAnsi" w:hAnsiTheme="minorHAnsi" w:cs="Arial"/>
          <w:sz w:val="22"/>
          <w:szCs w:val="22"/>
        </w:rPr>
        <w:t xml:space="preserve"> </w:t>
      </w:r>
      <w:hyperlink r:id="rId11" w:history="1">
        <w:r w:rsidR="00F059C2" w:rsidRPr="006A7000">
          <w:rPr>
            <w:rStyle w:val="Hyperlink"/>
            <w:rFonts w:asciiTheme="minorHAnsi" w:hAnsiTheme="minorHAnsi" w:cs="Arial"/>
            <w:color w:val="auto"/>
            <w:sz w:val="22"/>
            <w:szCs w:val="22"/>
            <w:u w:val="none"/>
          </w:rPr>
          <w:t>Elective versus Therapeutic Neck Dissection in Node-Negative</w:t>
        </w:r>
        <w:r w:rsidR="00F059C2" w:rsidRPr="006A7000">
          <w:rPr>
            <w:rStyle w:val="apple-converted-space"/>
            <w:rFonts w:asciiTheme="minorHAnsi" w:hAnsiTheme="minorHAnsi" w:cs="Arial"/>
            <w:sz w:val="22"/>
            <w:szCs w:val="22"/>
          </w:rPr>
          <w:t> </w:t>
        </w:r>
        <w:r w:rsidR="00F059C2" w:rsidRPr="006A7000">
          <w:rPr>
            <w:rStyle w:val="Hyperlink"/>
            <w:rFonts w:asciiTheme="minorHAnsi" w:hAnsiTheme="minorHAnsi" w:cs="Arial"/>
            <w:bCs/>
            <w:color w:val="auto"/>
            <w:sz w:val="22"/>
            <w:szCs w:val="22"/>
            <w:u w:val="none"/>
          </w:rPr>
          <w:t>Oral</w:t>
        </w:r>
        <w:r w:rsidR="00F059C2" w:rsidRPr="006A7000">
          <w:rPr>
            <w:rStyle w:val="apple-converted-space"/>
            <w:rFonts w:asciiTheme="minorHAnsi" w:hAnsiTheme="minorHAnsi" w:cs="Arial"/>
            <w:sz w:val="22"/>
            <w:szCs w:val="22"/>
          </w:rPr>
          <w:t> </w:t>
        </w:r>
        <w:r w:rsidR="00F059C2" w:rsidRPr="006A7000">
          <w:rPr>
            <w:rStyle w:val="Hyperlink"/>
            <w:rFonts w:asciiTheme="minorHAnsi" w:hAnsiTheme="minorHAnsi" w:cs="Arial"/>
            <w:color w:val="auto"/>
            <w:sz w:val="22"/>
            <w:szCs w:val="22"/>
            <w:u w:val="none"/>
          </w:rPr>
          <w:t>Cancer.</w:t>
        </w:r>
      </w:hyperlink>
      <w:r w:rsidR="00F059C2" w:rsidRPr="006A7000">
        <w:rPr>
          <w:rFonts w:asciiTheme="minorHAnsi" w:hAnsiTheme="minorHAnsi" w:cs="Arial"/>
          <w:sz w:val="22"/>
          <w:szCs w:val="22"/>
        </w:rPr>
        <w:t xml:space="preserve"> </w:t>
      </w:r>
      <w:r w:rsidR="00F059C2" w:rsidRPr="006A7000">
        <w:rPr>
          <w:rStyle w:val="jrnl"/>
          <w:rFonts w:asciiTheme="minorHAnsi" w:hAnsiTheme="minorHAnsi" w:cs="Arial"/>
          <w:i/>
          <w:sz w:val="22"/>
          <w:szCs w:val="22"/>
        </w:rPr>
        <w:t>N Engl J Med</w:t>
      </w:r>
      <w:r w:rsidR="00F059C2" w:rsidRPr="006A7000">
        <w:rPr>
          <w:rFonts w:asciiTheme="minorHAnsi" w:hAnsiTheme="minorHAnsi" w:cs="Arial"/>
          <w:sz w:val="22"/>
          <w:szCs w:val="22"/>
        </w:rPr>
        <w:t>.</w:t>
      </w:r>
      <w:r w:rsidR="00BB1A05" w:rsidRPr="006A7000">
        <w:rPr>
          <w:rFonts w:asciiTheme="minorHAnsi" w:hAnsiTheme="minorHAnsi" w:cs="Arial"/>
          <w:sz w:val="22"/>
          <w:szCs w:val="22"/>
        </w:rPr>
        <w:t xml:space="preserve"> </w:t>
      </w:r>
      <w:r w:rsidR="00F059C2" w:rsidRPr="006A7000">
        <w:rPr>
          <w:rFonts w:asciiTheme="minorHAnsi" w:hAnsiTheme="minorHAnsi" w:cs="Arial"/>
          <w:b/>
          <w:sz w:val="22"/>
          <w:szCs w:val="22"/>
        </w:rPr>
        <w:t>373</w:t>
      </w:r>
      <w:r w:rsidR="00F059C2" w:rsidRPr="006A7000">
        <w:rPr>
          <w:rFonts w:asciiTheme="minorHAnsi" w:hAnsiTheme="minorHAnsi" w:cs="Arial"/>
          <w:sz w:val="22"/>
          <w:szCs w:val="22"/>
        </w:rPr>
        <w:t>(6)</w:t>
      </w:r>
      <w:r w:rsidR="00BB1A05" w:rsidRPr="006A7000">
        <w:rPr>
          <w:rFonts w:asciiTheme="minorHAnsi" w:hAnsiTheme="minorHAnsi" w:cs="Arial"/>
          <w:sz w:val="22"/>
          <w:szCs w:val="22"/>
        </w:rPr>
        <w:t xml:space="preserve">, </w:t>
      </w:r>
      <w:r w:rsidR="00F059C2" w:rsidRPr="006A7000">
        <w:rPr>
          <w:rFonts w:asciiTheme="minorHAnsi" w:hAnsiTheme="minorHAnsi" w:cs="Arial"/>
          <w:sz w:val="22"/>
          <w:szCs w:val="22"/>
        </w:rPr>
        <w:t>521-9</w:t>
      </w:r>
      <w:r w:rsidR="00BB1A05" w:rsidRPr="006A7000">
        <w:rPr>
          <w:rFonts w:asciiTheme="minorHAnsi" w:hAnsiTheme="minorHAnsi" w:cs="Arial"/>
          <w:sz w:val="22"/>
          <w:szCs w:val="22"/>
        </w:rPr>
        <w:t xml:space="preserve"> (2015).</w:t>
      </w:r>
    </w:p>
    <w:p w14:paraId="35FC92F7" w14:textId="77777777" w:rsidR="00EA749A" w:rsidRPr="006A7000" w:rsidRDefault="00EA749A" w:rsidP="00380318">
      <w:pPr>
        <w:pStyle w:val="Title1"/>
        <w:shd w:val="clear" w:color="auto" w:fill="FFFFFF"/>
        <w:spacing w:before="0" w:beforeAutospacing="0" w:after="0" w:afterAutospacing="0"/>
        <w:rPr>
          <w:rFonts w:asciiTheme="minorHAnsi" w:hAnsiTheme="minorHAnsi" w:cs="AdvTT16f3b945.B"/>
          <w:sz w:val="22"/>
          <w:szCs w:val="22"/>
        </w:rPr>
      </w:pPr>
    </w:p>
    <w:p w14:paraId="425B8508" w14:textId="77777777" w:rsidR="00EA749A" w:rsidRPr="006A7000" w:rsidRDefault="00EA749A" w:rsidP="00EA749A">
      <w:pPr>
        <w:pStyle w:val="Title1"/>
        <w:shd w:val="clear" w:color="auto" w:fill="FFFFFF"/>
        <w:spacing w:before="0" w:beforeAutospacing="0" w:after="0" w:afterAutospacing="0"/>
        <w:rPr>
          <w:rFonts w:asciiTheme="minorHAnsi" w:hAnsiTheme="minorHAnsi"/>
          <w:sz w:val="22"/>
          <w:szCs w:val="22"/>
        </w:rPr>
      </w:pPr>
      <w:r w:rsidRPr="006A7000">
        <w:rPr>
          <w:rFonts w:asciiTheme="minorHAnsi" w:hAnsiTheme="minorHAnsi"/>
          <w:iCs/>
          <w:sz w:val="22"/>
          <w:szCs w:val="22"/>
        </w:rPr>
        <w:t xml:space="preserve">14. </w:t>
      </w:r>
      <w:r w:rsidRPr="006A7000">
        <w:rPr>
          <w:rFonts w:asciiTheme="minorHAnsi" w:hAnsiTheme="minorHAnsi"/>
          <w:sz w:val="22"/>
          <w:szCs w:val="22"/>
        </w:rPr>
        <w:t>National Comprehensive Cancer Network (NCCN). NCCN Clinical Practice Guidelines in Oncology. Head and neck cancers. Version 2. (2018).</w:t>
      </w:r>
    </w:p>
    <w:p w14:paraId="3D5D0FE8" w14:textId="77777777" w:rsidR="00EA749A" w:rsidRPr="006A7000" w:rsidRDefault="00EA749A" w:rsidP="00380318">
      <w:pPr>
        <w:pStyle w:val="Title1"/>
        <w:shd w:val="clear" w:color="auto" w:fill="FFFFFF"/>
        <w:spacing w:before="0" w:beforeAutospacing="0" w:after="0" w:afterAutospacing="0"/>
        <w:rPr>
          <w:rFonts w:asciiTheme="minorHAnsi" w:hAnsiTheme="minorHAnsi" w:cs="AdvTT16f3b945.B"/>
          <w:sz w:val="22"/>
          <w:szCs w:val="22"/>
        </w:rPr>
      </w:pPr>
    </w:p>
    <w:p w14:paraId="04078CB1" w14:textId="105FB673" w:rsidR="00380318" w:rsidRPr="006A7000" w:rsidRDefault="00A63738" w:rsidP="00380318">
      <w:pPr>
        <w:pStyle w:val="Title1"/>
        <w:shd w:val="clear" w:color="auto" w:fill="FFFFFF"/>
        <w:spacing w:before="0" w:beforeAutospacing="0" w:after="0" w:afterAutospacing="0"/>
        <w:rPr>
          <w:rFonts w:asciiTheme="minorHAnsi" w:hAnsiTheme="minorHAnsi" w:cs="AdvOT833fb896"/>
          <w:sz w:val="22"/>
          <w:szCs w:val="22"/>
        </w:rPr>
      </w:pPr>
      <w:r w:rsidRPr="006A7000">
        <w:rPr>
          <w:rFonts w:asciiTheme="minorHAnsi" w:hAnsiTheme="minorHAnsi" w:cs="AdvTT16f3b945.B"/>
          <w:sz w:val="22"/>
          <w:szCs w:val="22"/>
        </w:rPr>
        <w:t>15</w:t>
      </w:r>
      <w:r w:rsidR="00380318" w:rsidRPr="006A7000">
        <w:rPr>
          <w:rFonts w:asciiTheme="minorHAnsi" w:hAnsiTheme="minorHAnsi" w:cs="AdvTT16f3b945.B"/>
          <w:sz w:val="22"/>
          <w:szCs w:val="22"/>
        </w:rPr>
        <w:t xml:space="preserve">. </w:t>
      </w:r>
      <w:r w:rsidR="00BB1A05" w:rsidRPr="006A7000">
        <w:rPr>
          <w:rFonts w:asciiTheme="minorHAnsi" w:hAnsiTheme="minorHAnsi" w:cs="AdvTT16f3b945.B"/>
          <w:sz w:val="22"/>
          <w:szCs w:val="22"/>
        </w:rPr>
        <w:t xml:space="preserve">Paleri V, Roland N (Eds). </w:t>
      </w:r>
      <w:r w:rsidR="00380318" w:rsidRPr="006A7000">
        <w:rPr>
          <w:rFonts w:asciiTheme="minorHAnsi" w:hAnsiTheme="minorHAnsi" w:cs="AdvTT16f3b945.B"/>
          <w:sz w:val="22"/>
          <w:szCs w:val="22"/>
        </w:rPr>
        <w:t xml:space="preserve">Head and Neck Cancer: United Kingdom National Multidisciplinary Guidelines. </w:t>
      </w:r>
      <w:r w:rsidR="00380318" w:rsidRPr="006A7000">
        <w:rPr>
          <w:rFonts w:asciiTheme="minorHAnsi" w:hAnsiTheme="minorHAnsi" w:cs="AdvOT2ea83e65.I"/>
          <w:i/>
          <w:sz w:val="22"/>
          <w:szCs w:val="22"/>
        </w:rPr>
        <w:t>J Laryngology Otology</w:t>
      </w:r>
      <w:r w:rsidR="002811F6" w:rsidRPr="006A7000">
        <w:rPr>
          <w:rFonts w:asciiTheme="minorHAnsi" w:hAnsiTheme="minorHAnsi" w:cs="AdvOT2ea83e65.I"/>
          <w:sz w:val="22"/>
          <w:szCs w:val="22"/>
        </w:rPr>
        <w:t>.</w:t>
      </w:r>
      <w:r w:rsidR="00380318" w:rsidRPr="006A7000">
        <w:rPr>
          <w:rFonts w:asciiTheme="minorHAnsi" w:hAnsiTheme="minorHAnsi" w:cs="AdvOT833fb896"/>
          <w:sz w:val="22"/>
          <w:szCs w:val="22"/>
        </w:rPr>
        <w:t xml:space="preserve"> </w:t>
      </w:r>
      <w:r w:rsidR="00380318" w:rsidRPr="006A7000">
        <w:rPr>
          <w:rFonts w:asciiTheme="minorHAnsi" w:hAnsiTheme="minorHAnsi" w:cs="AdvOT38164c97.BI"/>
          <w:b/>
          <w:sz w:val="22"/>
          <w:szCs w:val="22"/>
        </w:rPr>
        <w:t>130</w:t>
      </w:r>
      <w:r w:rsidR="00380318" w:rsidRPr="006A7000">
        <w:rPr>
          <w:rFonts w:asciiTheme="minorHAnsi" w:hAnsiTheme="minorHAnsi" w:cs="AdvOT833fb896"/>
          <w:sz w:val="22"/>
          <w:szCs w:val="22"/>
        </w:rPr>
        <w:t>(Suppl. S2)</w:t>
      </w:r>
      <w:r w:rsidR="002811F6" w:rsidRPr="006A7000">
        <w:rPr>
          <w:rFonts w:asciiTheme="minorHAnsi" w:hAnsiTheme="minorHAnsi" w:cs="AdvOT833fb896"/>
          <w:sz w:val="22"/>
          <w:szCs w:val="22"/>
        </w:rPr>
        <w:t xml:space="preserve"> (</w:t>
      </w:r>
      <w:r w:rsidR="002811F6" w:rsidRPr="006A7000">
        <w:rPr>
          <w:rFonts w:asciiTheme="minorHAnsi" w:hAnsiTheme="minorHAnsi" w:cs="AdvOT2ea83e65.I"/>
          <w:sz w:val="22"/>
          <w:szCs w:val="22"/>
        </w:rPr>
        <w:t>2016).</w:t>
      </w:r>
    </w:p>
    <w:p w14:paraId="30AD09DD" w14:textId="77777777" w:rsidR="00380318" w:rsidRPr="006A7000" w:rsidRDefault="00380318" w:rsidP="00380318">
      <w:pPr>
        <w:pStyle w:val="Title1"/>
        <w:shd w:val="clear" w:color="auto" w:fill="FFFFFF"/>
        <w:spacing w:before="0" w:beforeAutospacing="0" w:after="0" w:afterAutospacing="0"/>
        <w:rPr>
          <w:rFonts w:asciiTheme="minorHAnsi" w:hAnsiTheme="minorHAnsi" w:cs="AdvOT833fb896"/>
          <w:sz w:val="22"/>
          <w:szCs w:val="22"/>
        </w:rPr>
      </w:pPr>
    </w:p>
    <w:p w14:paraId="79603986" w14:textId="35F9A6ED" w:rsidR="00380318" w:rsidRPr="006A7000" w:rsidRDefault="00A63738" w:rsidP="00380318">
      <w:pPr>
        <w:pStyle w:val="Title1"/>
        <w:shd w:val="clear" w:color="auto" w:fill="FFFFFF"/>
        <w:spacing w:before="0" w:beforeAutospacing="0" w:after="0" w:afterAutospacing="0"/>
        <w:rPr>
          <w:rFonts w:asciiTheme="minorHAnsi" w:hAnsiTheme="minorHAnsi"/>
          <w:iCs/>
          <w:sz w:val="22"/>
          <w:szCs w:val="22"/>
        </w:rPr>
      </w:pPr>
      <w:r w:rsidRPr="006A7000">
        <w:rPr>
          <w:rFonts w:asciiTheme="minorHAnsi" w:hAnsiTheme="minorHAnsi"/>
          <w:bCs/>
          <w:sz w:val="22"/>
          <w:szCs w:val="22"/>
        </w:rPr>
        <w:t>16</w:t>
      </w:r>
      <w:r w:rsidR="00380318" w:rsidRPr="006A7000">
        <w:rPr>
          <w:rFonts w:asciiTheme="minorHAnsi" w:hAnsiTheme="minorHAnsi"/>
          <w:bCs/>
          <w:sz w:val="22"/>
          <w:szCs w:val="22"/>
        </w:rPr>
        <w:t>. Cancer of the upper aerodigestive tract: assessment and management in people aged 16 and over</w:t>
      </w:r>
      <w:r w:rsidR="00790F4F" w:rsidRPr="006A7000">
        <w:rPr>
          <w:rFonts w:asciiTheme="minorHAnsi" w:hAnsiTheme="minorHAnsi"/>
          <w:bCs/>
          <w:sz w:val="22"/>
          <w:szCs w:val="22"/>
        </w:rPr>
        <w:t>.</w:t>
      </w:r>
      <w:r w:rsidR="00380318" w:rsidRPr="006A7000">
        <w:rPr>
          <w:rFonts w:asciiTheme="minorHAnsi" w:hAnsiTheme="minorHAnsi"/>
          <w:iCs/>
          <w:sz w:val="22"/>
          <w:szCs w:val="22"/>
        </w:rPr>
        <w:t xml:space="preserve"> National Institute for Health and Care Excellence. NICE Guideline 36</w:t>
      </w:r>
      <w:r w:rsidR="00790F4F" w:rsidRPr="006A7000">
        <w:rPr>
          <w:rFonts w:asciiTheme="minorHAnsi" w:hAnsiTheme="minorHAnsi"/>
          <w:iCs/>
          <w:sz w:val="22"/>
          <w:szCs w:val="22"/>
        </w:rPr>
        <w:t>.</w:t>
      </w:r>
      <w:r w:rsidR="00380318" w:rsidRPr="006A7000">
        <w:rPr>
          <w:rFonts w:asciiTheme="minorHAnsi" w:hAnsiTheme="minorHAnsi"/>
          <w:iCs/>
          <w:sz w:val="22"/>
          <w:szCs w:val="22"/>
        </w:rPr>
        <w:t xml:space="preserve"> </w:t>
      </w:r>
      <w:r w:rsidR="00790F4F" w:rsidRPr="006A7000">
        <w:rPr>
          <w:rFonts w:asciiTheme="minorHAnsi" w:hAnsiTheme="minorHAnsi"/>
          <w:iCs/>
          <w:sz w:val="22"/>
          <w:szCs w:val="22"/>
        </w:rPr>
        <w:t>(</w:t>
      </w:r>
      <w:r w:rsidR="00380318" w:rsidRPr="006A7000">
        <w:rPr>
          <w:rFonts w:asciiTheme="minorHAnsi" w:hAnsiTheme="minorHAnsi"/>
          <w:iCs/>
          <w:sz w:val="22"/>
          <w:szCs w:val="22"/>
        </w:rPr>
        <w:t>2016</w:t>
      </w:r>
      <w:r w:rsidR="00790F4F" w:rsidRPr="006A7000">
        <w:rPr>
          <w:rFonts w:asciiTheme="minorHAnsi" w:hAnsiTheme="minorHAnsi"/>
          <w:iCs/>
          <w:sz w:val="22"/>
          <w:szCs w:val="22"/>
        </w:rPr>
        <w:t>)</w:t>
      </w:r>
      <w:r w:rsidR="00380318" w:rsidRPr="006A7000">
        <w:rPr>
          <w:rFonts w:asciiTheme="minorHAnsi" w:hAnsiTheme="minorHAnsi"/>
          <w:iCs/>
          <w:sz w:val="22"/>
          <w:szCs w:val="22"/>
        </w:rPr>
        <w:t>.</w:t>
      </w:r>
    </w:p>
    <w:p w14:paraId="100410A7" w14:textId="77777777" w:rsidR="00380318" w:rsidRPr="006A7000" w:rsidRDefault="00380318" w:rsidP="00EB35B4">
      <w:pPr>
        <w:pStyle w:val="Title1"/>
        <w:shd w:val="clear" w:color="auto" w:fill="FFFFFF"/>
        <w:spacing w:before="0" w:beforeAutospacing="0" w:after="0" w:afterAutospacing="0"/>
        <w:rPr>
          <w:rFonts w:asciiTheme="minorHAnsi" w:hAnsiTheme="minorHAnsi" w:cs="Arial"/>
          <w:sz w:val="22"/>
          <w:szCs w:val="22"/>
        </w:rPr>
      </w:pPr>
    </w:p>
    <w:p w14:paraId="3E42936B" w14:textId="6DF672FB" w:rsidR="00F65B7B" w:rsidRPr="006A7000" w:rsidRDefault="00A63738" w:rsidP="00F65B7B">
      <w:pPr>
        <w:pStyle w:val="desc"/>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Helvetica"/>
          <w:sz w:val="22"/>
          <w:szCs w:val="22"/>
        </w:rPr>
        <w:lastRenderedPageBreak/>
        <w:t>1</w:t>
      </w:r>
      <w:r w:rsidR="00E30F75" w:rsidRPr="006A7000">
        <w:rPr>
          <w:rFonts w:asciiTheme="minorHAnsi" w:hAnsiTheme="minorHAnsi" w:cs="Helvetica"/>
          <w:sz w:val="22"/>
          <w:szCs w:val="22"/>
        </w:rPr>
        <w:t>7</w:t>
      </w:r>
      <w:r w:rsidR="00F65B7B" w:rsidRPr="006A7000">
        <w:rPr>
          <w:rFonts w:asciiTheme="minorHAnsi" w:hAnsiTheme="minorHAnsi" w:cs="Helvetica"/>
          <w:sz w:val="22"/>
          <w:szCs w:val="22"/>
        </w:rPr>
        <w:t xml:space="preserve">. </w:t>
      </w:r>
      <w:r w:rsidR="00F65B7B" w:rsidRPr="006A7000">
        <w:rPr>
          <w:rFonts w:asciiTheme="minorHAnsi" w:hAnsiTheme="minorHAnsi" w:cs="Arial"/>
          <w:bCs/>
          <w:sz w:val="22"/>
          <w:szCs w:val="22"/>
        </w:rPr>
        <w:t>Kaur</w:t>
      </w:r>
      <w:r w:rsidR="00F65B7B" w:rsidRPr="006A7000">
        <w:rPr>
          <w:rStyle w:val="apple-converted-space"/>
          <w:rFonts w:asciiTheme="minorHAnsi" w:hAnsiTheme="minorHAnsi" w:cs="Arial"/>
          <w:sz w:val="22"/>
          <w:szCs w:val="22"/>
        </w:rPr>
        <w:t> </w:t>
      </w:r>
      <w:r w:rsidR="00F65B7B" w:rsidRPr="006A7000">
        <w:rPr>
          <w:rFonts w:asciiTheme="minorHAnsi" w:hAnsiTheme="minorHAnsi" w:cs="Arial"/>
          <w:sz w:val="22"/>
          <w:szCs w:val="22"/>
        </w:rPr>
        <w:t xml:space="preserve">G, Hutchison I, Mehanna H, </w:t>
      </w:r>
      <w:r w:rsidR="00E45400" w:rsidRPr="006A7000">
        <w:rPr>
          <w:rFonts w:asciiTheme="minorHAnsi" w:hAnsiTheme="minorHAnsi" w:cs="Arial"/>
          <w:sz w:val="22"/>
          <w:szCs w:val="22"/>
        </w:rPr>
        <w:t>Williamson P, Shaw R, Tudur Smith C.</w:t>
      </w:r>
      <w:r w:rsidR="00F65B7B" w:rsidRPr="006A7000">
        <w:rPr>
          <w:rFonts w:asciiTheme="minorHAnsi" w:hAnsiTheme="minorHAnsi" w:cs="Arial"/>
          <w:sz w:val="22"/>
          <w:szCs w:val="22"/>
        </w:rPr>
        <w:t xml:space="preserve"> </w:t>
      </w:r>
      <w:hyperlink r:id="rId12" w:history="1">
        <w:r w:rsidR="00F65B7B" w:rsidRPr="006A7000">
          <w:rPr>
            <w:rStyle w:val="Hyperlink"/>
            <w:rFonts w:asciiTheme="minorHAnsi" w:hAnsiTheme="minorHAnsi" w:cs="Arial"/>
            <w:color w:val="auto"/>
            <w:sz w:val="22"/>
            <w:szCs w:val="22"/>
            <w:u w:val="none"/>
          </w:rPr>
          <w:t>Barriers to recruitment for surgical trials in head and neck oncology: a survey of trial investigators.</w:t>
        </w:r>
      </w:hyperlink>
      <w:r w:rsidR="00F65B7B" w:rsidRPr="006A7000">
        <w:rPr>
          <w:rFonts w:asciiTheme="minorHAnsi" w:hAnsiTheme="minorHAnsi" w:cs="Arial"/>
          <w:sz w:val="22"/>
          <w:szCs w:val="22"/>
        </w:rPr>
        <w:t xml:space="preserve"> </w:t>
      </w:r>
      <w:r w:rsidR="00F65B7B" w:rsidRPr="006A7000">
        <w:rPr>
          <w:rStyle w:val="jrnl"/>
          <w:rFonts w:asciiTheme="minorHAnsi" w:hAnsiTheme="minorHAnsi" w:cs="Arial"/>
          <w:i/>
          <w:sz w:val="22"/>
          <w:szCs w:val="22"/>
        </w:rPr>
        <w:t>BMJ Open</w:t>
      </w:r>
      <w:r w:rsidR="00F65B7B" w:rsidRPr="006A7000">
        <w:rPr>
          <w:rFonts w:asciiTheme="minorHAnsi" w:hAnsiTheme="minorHAnsi" w:cs="Arial"/>
          <w:sz w:val="22"/>
          <w:szCs w:val="22"/>
        </w:rPr>
        <w:t>.</w:t>
      </w:r>
      <w:r w:rsidR="00E45400" w:rsidRPr="006A7000">
        <w:rPr>
          <w:rFonts w:asciiTheme="minorHAnsi" w:hAnsiTheme="minorHAnsi" w:cs="Arial"/>
          <w:sz w:val="22"/>
          <w:szCs w:val="22"/>
        </w:rPr>
        <w:t xml:space="preserve"> </w:t>
      </w:r>
      <w:r w:rsidR="00F65B7B" w:rsidRPr="006A7000">
        <w:rPr>
          <w:rFonts w:asciiTheme="minorHAnsi" w:hAnsiTheme="minorHAnsi" w:cs="Arial"/>
          <w:b/>
          <w:sz w:val="22"/>
          <w:szCs w:val="22"/>
        </w:rPr>
        <w:t>3</w:t>
      </w:r>
      <w:r w:rsidR="00F65B7B" w:rsidRPr="006A7000">
        <w:rPr>
          <w:rFonts w:asciiTheme="minorHAnsi" w:hAnsiTheme="minorHAnsi" w:cs="Arial"/>
          <w:sz w:val="22"/>
          <w:szCs w:val="22"/>
        </w:rPr>
        <w:t>(4)</w:t>
      </w:r>
      <w:r w:rsidR="00E45400" w:rsidRPr="006A7000">
        <w:rPr>
          <w:rFonts w:asciiTheme="minorHAnsi" w:hAnsiTheme="minorHAnsi" w:cs="Arial"/>
          <w:sz w:val="22"/>
          <w:szCs w:val="22"/>
        </w:rPr>
        <w:t xml:space="preserve"> (2013).</w:t>
      </w:r>
    </w:p>
    <w:p w14:paraId="1B1E47C4" w14:textId="77777777" w:rsidR="00F65B7B" w:rsidRPr="006A7000" w:rsidRDefault="00F65B7B" w:rsidP="00EB35B4">
      <w:pPr>
        <w:pStyle w:val="Title1"/>
        <w:shd w:val="clear" w:color="auto" w:fill="FFFFFF"/>
        <w:spacing w:before="0" w:beforeAutospacing="0" w:after="0" w:afterAutospacing="0"/>
        <w:rPr>
          <w:rFonts w:asciiTheme="minorHAnsi" w:hAnsiTheme="minorHAnsi" w:cs="Helvetica"/>
          <w:sz w:val="22"/>
          <w:szCs w:val="22"/>
        </w:rPr>
      </w:pPr>
    </w:p>
    <w:p w14:paraId="79D0E34F" w14:textId="22A5E991" w:rsidR="00380318" w:rsidRPr="006A7000" w:rsidRDefault="00A63738" w:rsidP="00947DC7">
      <w:pPr>
        <w:pStyle w:val="CommentText"/>
        <w:spacing w:after="0"/>
        <w:rPr>
          <w:rFonts w:asciiTheme="minorHAnsi" w:hAnsiTheme="minorHAnsi"/>
          <w:sz w:val="22"/>
          <w:szCs w:val="22"/>
        </w:rPr>
      </w:pPr>
      <w:r w:rsidRPr="006A7000">
        <w:rPr>
          <w:rFonts w:asciiTheme="minorHAnsi" w:hAnsiTheme="minorHAnsi" w:cs="Arial"/>
          <w:sz w:val="22"/>
          <w:szCs w:val="22"/>
          <w:shd w:val="clear" w:color="auto" w:fill="FFFFFF"/>
        </w:rPr>
        <w:t>1</w:t>
      </w:r>
      <w:r w:rsidR="00E30F75" w:rsidRPr="006A7000">
        <w:rPr>
          <w:rFonts w:asciiTheme="minorHAnsi" w:hAnsiTheme="minorHAnsi" w:cs="Arial"/>
          <w:sz w:val="22"/>
          <w:szCs w:val="22"/>
          <w:shd w:val="clear" w:color="auto" w:fill="FFFFFF"/>
        </w:rPr>
        <w:t>8</w:t>
      </w:r>
      <w:r w:rsidR="00380318" w:rsidRPr="006A7000">
        <w:rPr>
          <w:rFonts w:asciiTheme="minorHAnsi" w:hAnsiTheme="minorHAnsi" w:cs="Arial"/>
          <w:sz w:val="22"/>
          <w:szCs w:val="22"/>
          <w:shd w:val="clear" w:color="auto" w:fill="FFFFFF"/>
        </w:rPr>
        <w:t xml:space="preserve">. Innovative Medicines Initiative (IMI) GetReal. </w:t>
      </w:r>
      <w:hyperlink r:id="rId13" w:history="1">
        <w:r w:rsidR="00380318" w:rsidRPr="006A7000">
          <w:rPr>
            <w:rStyle w:val="Hyperlink"/>
            <w:rFonts w:asciiTheme="minorHAnsi" w:hAnsiTheme="minorHAnsi"/>
            <w:color w:val="auto"/>
            <w:sz w:val="22"/>
            <w:szCs w:val="22"/>
            <w:u w:val="none"/>
          </w:rPr>
          <w:t>http://www.imi-getreal.eu/</w:t>
        </w:r>
      </w:hyperlink>
      <w:r w:rsidR="007151F2" w:rsidRPr="006A7000">
        <w:rPr>
          <w:rStyle w:val="Hyperlink"/>
          <w:rFonts w:asciiTheme="minorHAnsi" w:hAnsiTheme="minorHAnsi"/>
          <w:color w:val="auto"/>
          <w:sz w:val="22"/>
          <w:szCs w:val="22"/>
          <w:u w:val="none"/>
        </w:rPr>
        <w:t>, accessed April 2019.</w:t>
      </w:r>
    </w:p>
    <w:p w14:paraId="5072ABE5" w14:textId="77777777" w:rsidR="00A63738" w:rsidRPr="006A7000" w:rsidRDefault="00A63738" w:rsidP="004E0697">
      <w:pPr>
        <w:autoSpaceDE w:val="0"/>
        <w:autoSpaceDN w:val="0"/>
        <w:adjustRightInd w:val="0"/>
        <w:spacing w:after="0" w:line="240" w:lineRule="auto"/>
        <w:rPr>
          <w:rFonts w:asciiTheme="minorHAnsi" w:hAnsiTheme="minorHAnsi" w:cs="AdvOTdaafad64"/>
          <w:lang w:eastAsia="en-GB"/>
        </w:rPr>
      </w:pPr>
    </w:p>
    <w:p w14:paraId="3159DE35" w14:textId="51FE262F" w:rsidR="004E0697" w:rsidRPr="006A7000" w:rsidRDefault="00E30F75" w:rsidP="004E0697">
      <w:pPr>
        <w:autoSpaceDE w:val="0"/>
        <w:autoSpaceDN w:val="0"/>
        <w:adjustRightInd w:val="0"/>
        <w:spacing w:after="0" w:line="240" w:lineRule="auto"/>
        <w:rPr>
          <w:rFonts w:asciiTheme="minorHAnsi" w:hAnsiTheme="minorHAnsi" w:cs="AdvOTdaafad64"/>
          <w:lang w:eastAsia="en-GB"/>
        </w:rPr>
      </w:pPr>
      <w:r w:rsidRPr="006A7000">
        <w:rPr>
          <w:rFonts w:asciiTheme="minorHAnsi" w:hAnsiTheme="minorHAnsi" w:cs="AdvOTdaafad64"/>
          <w:lang w:eastAsia="en-GB"/>
        </w:rPr>
        <w:t>19</w:t>
      </w:r>
      <w:r w:rsidR="004E0697" w:rsidRPr="006A7000">
        <w:rPr>
          <w:rFonts w:asciiTheme="minorHAnsi" w:hAnsiTheme="minorHAnsi" w:cs="AdvOTdaafad64"/>
          <w:lang w:eastAsia="en-GB"/>
        </w:rPr>
        <w:t xml:space="preserve">. Aaronson NK, Ahmedzai S, Bergman B, </w:t>
      </w:r>
      <w:r w:rsidR="007151F2" w:rsidRPr="006A7000">
        <w:rPr>
          <w:rFonts w:asciiTheme="minorHAnsi" w:hAnsiTheme="minorHAnsi" w:cs="AdvOTdaafad64"/>
          <w:lang w:eastAsia="en-GB"/>
        </w:rPr>
        <w:t xml:space="preserve">Bullinger M, Cull A, Duez NJ </w:t>
      </w:r>
      <w:r w:rsidR="004E0697" w:rsidRPr="006A7000">
        <w:rPr>
          <w:rFonts w:asciiTheme="minorHAnsi" w:hAnsiTheme="minorHAnsi" w:cs="AdvOTdaafad64"/>
          <w:lang w:eastAsia="en-GB"/>
        </w:rPr>
        <w:t>et al</w:t>
      </w:r>
      <w:r w:rsidR="007151F2" w:rsidRPr="006A7000">
        <w:rPr>
          <w:rFonts w:asciiTheme="minorHAnsi" w:hAnsiTheme="minorHAnsi" w:cs="AdvOTdaafad64"/>
          <w:lang w:eastAsia="en-GB"/>
        </w:rPr>
        <w:t>.</w:t>
      </w:r>
      <w:r w:rsidR="004E0697" w:rsidRPr="006A7000">
        <w:rPr>
          <w:rFonts w:asciiTheme="minorHAnsi" w:hAnsiTheme="minorHAnsi" w:cs="AdvOTdaafad64"/>
          <w:lang w:eastAsia="en-GB"/>
        </w:rPr>
        <w:t xml:space="preserve"> The European Organization for Research and Treatment of Cancer QLQ-C30: A quality-of-life instrument for use in international clinical trials in oncology. </w:t>
      </w:r>
      <w:r w:rsidR="004E0697" w:rsidRPr="006A7000">
        <w:rPr>
          <w:rFonts w:asciiTheme="minorHAnsi" w:hAnsiTheme="minorHAnsi" w:cs="AdvOTdaafad64"/>
          <w:i/>
          <w:lang w:eastAsia="en-GB"/>
        </w:rPr>
        <w:t>J Natl Cancer Inst</w:t>
      </w:r>
      <w:r w:rsidR="007151F2" w:rsidRPr="006A7000">
        <w:rPr>
          <w:rFonts w:asciiTheme="minorHAnsi" w:hAnsiTheme="minorHAnsi" w:cs="AdvOTdaafad64"/>
          <w:lang w:eastAsia="en-GB"/>
        </w:rPr>
        <w:t>.</w:t>
      </w:r>
      <w:r w:rsidR="004E0697" w:rsidRPr="006A7000">
        <w:rPr>
          <w:rFonts w:asciiTheme="minorHAnsi" w:hAnsiTheme="minorHAnsi" w:cs="AdvOTdaafad64"/>
          <w:lang w:eastAsia="en-GB"/>
        </w:rPr>
        <w:t xml:space="preserve"> </w:t>
      </w:r>
      <w:r w:rsidR="004E0697" w:rsidRPr="006A7000">
        <w:rPr>
          <w:rFonts w:asciiTheme="minorHAnsi" w:hAnsiTheme="minorHAnsi" w:cs="AdvOTdaafad64"/>
          <w:b/>
          <w:lang w:eastAsia="en-GB"/>
        </w:rPr>
        <w:t>85</w:t>
      </w:r>
      <w:r w:rsidR="007151F2" w:rsidRPr="006A7000">
        <w:rPr>
          <w:rFonts w:asciiTheme="minorHAnsi" w:hAnsiTheme="minorHAnsi" w:cs="AdvOTdaafad64"/>
          <w:lang w:eastAsia="en-GB"/>
        </w:rPr>
        <w:t xml:space="preserve">(5), </w:t>
      </w:r>
      <w:r w:rsidR="004E0697" w:rsidRPr="006A7000">
        <w:rPr>
          <w:rFonts w:asciiTheme="minorHAnsi" w:hAnsiTheme="minorHAnsi" w:cs="AdvOTdaafad64"/>
          <w:lang w:eastAsia="en-GB"/>
        </w:rPr>
        <w:t>365-376</w:t>
      </w:r>
      <w:r w:rsidR="007151F2" w:rsidRPr="006A7000">
        <w:rPr>
          <w:rFonts w:asciiTheme="minorHAnsi" w:hAnsiTheme="minorHAnsi" w:cs="AdvOTdaafad64"/>
          <w:lang w:eastAsia="en-GB"/>
        </w:rPr>
        <w:t xml:space="preserve"> (1993).</w:t>
      </w:r>
    </w:p>
    <w:p w14:paraId="44BBCFB5" w14:textId="77777777" w:rsidR="004E0697" w:rsidRPr="006A7000" w:rsidRDefault="004E0697" w:rsidP="004E0697">
      <w:pPr>
        <w:pStyle w:val="Title1"/>
        <w:shd w:val="clear" w:color="auto" w:fill="FFFFFF"/>
        <w:spacing w:before="0" w:beforeAutospacing="0" w:after="0" w:afterAutospacing="0"/>
        <w:rPr>
          <w:rFonts w:asciiTheme="minorHAnsi" w:hAnsiTheme="minorHAnsi" w:cs="Arial"/>
          <w:sz w:val="22"/>
          <w:szCs w:val="22"/>
        </w:rPr>
      </w:pPr>
    </w:p>
    <w:p w14:paraId="7A9CB6F4" w14:textId="1E0BAFFE" w:rsidR="009C066F" w:rsidRPr="006A7000" w:rsidRDefault="00A63738" w:rsidP="009C066F">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F96948" w:rsidRPr="006A7000">
        <w:rPr>
          <w:rFonts w:asciiTheme="minorHAnsi" w:hAnsiTheme="minorHAnsi" w:cs="Arial"/>
          <w:sz w:val="22"/>
          <w:szCs w:val="22"/>
        </w:rPr>
        <w:t>0</w:t>
      </w:r>
      <w:r w:rsidR="009C066F" w:rsidRPr="006A7000">
        <w:rPr>
          <w:rFonts w:asciiTheme="minorHAnsi" w:hAnsiTheme="minorHAnsi" w:cs="Arial"/>
          <w:sz w:val="22"/>
          <w:szCs w:val="22"/>
        </w:rPr>
        <w:t>. Ren ZH, Xu JL, Li B,</w:t>
      </w:r>
      <w:r w:rsidR="006F652C" w:rsidRPr="006A7000">
        <w:rPr>
          <w:rFonts w:asciiTheme="minorHAnsi" w:hAnsiTheme="minorHAnsi" w:cs="Arial"/>
          <w:sz w:val="22"/>
          <w:szCs w:val="22"/>
        </w:rPr>
        <w:t xml:space="preserve"> Fan TF, Ji T, Zhang CP.</w:t>
      </w:r>
      <w:r w:rsidR="009C066F" w:rsidRPr="006A7000">
        <w:rPr>
          <w:rFonts w:asciiTheme="minorHAnsi" w:hAnsiTheme="minorHAnsi" w:cs="Arial"/>
          <w:sz w:val="22"/>
          <w:szCs w:val="22"/>
        </w:rPr>
        <w:t xml:space="preserve"> </w:t>
      </w:r>
      <w:hyperlink r:id="rId14" w:history="1">
        <w:r w:rsidR="009C066F" w:rsidRPr="006A7000">
          <w:rPr>
            <w:rStyle w:val="Hyperlink"/>
            <w:rFonts w:asciiTheme="minorHAnsi" w:hAnsiTheme="minorHAnsi" w:cs="Arial"/>
            <w:color w:val="auto"/>
            <w:sz w:val="22"/>
            <w:szCs w:val="22"/>
            <w:u w:val="none"/>
          </w:rPr>
          <w:t>Elective versus therapeutic</w:t>
        </w:r>
        <w:r w:rsidR="009C066F" w:rsidRPr="006A7000">
          <w:rPr>
            <w:rStyle w:val="apple-converted-space"/>
            <w:rFonts w:asciiTheme="minorHAnsi" w:hAnsiTheme="minorHAnsi" w:cs="Arial"/>
            <w:sz w:val="22"/>
            <w:szCs w:val="22"/>
          </w:rPr>
          <w:t> </w:t>
        </w:r>
        <w:r w:rsidR="009C066F" w:rsidRPr="006A7000">
          <w:rPr>
            <w:rStyle w:val="Hyperlink"/>
            <w:rFonts w:asciiTheme="minorHAnsi" w:hAnsiTheme="minorHAnsi" w:cs="Arial"/>
            <w:bCs/>
            <w:color w:val="auto"/>
            <w:sz w:val="22"/>
            <w:szCs w:val="22"/>
            <w:u w:val="none"/>
          </w:rPr>
          <w:t>neck</w:t>
        </w:r>
        <w:r w:rsidR="009C066F" w:rsidRPr="006A7000">
          <w:rPr>
            <w:rStyle w:val="apple-converted-space"/>
            <w:rFonts w:asciiTheme="minorHAnsi" w:hAnsiTheme="minorHAnsi" w:cs="Arial"/>
            <w:sz w:val="22"/>
            <w:szCs w:val="22"/>
          </w:rPr>
          <w:t> </w:t>
        </w:r>
        <w:r w:rsidR="009C066F" w:rsidRPr="006A7000">
          <w:rPr>
            <w:rStyle w:val="Hyperlink"/>
            <w:rFonts w:asciiTheme="minorHAnsi" w:hAnsiTheme="minorHAnsi" w:cs="Arial"/>
            <w:bCs/>
            <w:color w:val="auto"/>
            <w:sz w:val="22"/>
            <w:szCs w:val="22"/>
            <w:u w:val="none"/>
          </w:rPr>
          <w:t>dissection</w:t>
        </w:r>
        <w:r w:rsidR="009C066F" w:rsidRPr="006A7000">
          <w:rPr>
            <w:rStyle w:val="apple-converted-space"/>
            <w:rFonts w:asciiTheme="minorHAnsi" w:hAnsiTheme="minorHAnsi" w:cs="Arial"/>
            <w:sz w:val="22"/>
            <w:szCs w:val="22"/>
          </w:rPr>
          <w:t> </w:t>
        </w:r>
        <w:r w:rsidR="009C066F" w:rsidRPr="006A7000">
          <w:rPr>
            <w:rStyle w:val="Hyperlink"/>
            <w:rFonts w:asciiTheme="minorHAnsi" w:hAnsiTheme="minorHAnsi" w:cs="Arial"/>
            <w:color w:val="auto"/>
            <w:sz w:val="22"/>
            <w:szCs w:val="22"/>
            <w:u w:val="none"/>
          </w:rPr>
          <w:t>in node-negative</w:t>
        </w:r>
        <w:r w:rsidR="009C066F" w:rsidRPr="006A7000">
          <w:rPr>
            <w:rStyle w:val="apple-converted-space"/>
            <w:rFonts w:asciiTheme="minorHAnsi" w:hAnsiTheme="minorHAnsi" w:cs="Arial"/>
            <w:sz w:val="22"/>
            <w:szCs w:val="22"/>
          </w:rPr>
          <w:t> </w:t>
        </w:r>
        <w:r w:rsidR="009C066F" w:rsidRPr="006A7000">
          <w:rPr>
            <w:rStyle w:val="Hyperlink"/>
            <w:rFonts w:asciiTheme="minorHAnsi" w:hAnsiTheme="minorHAnsi" w:cs="Arial"/>
            <w:bCs/>
            <w:color w:val="auto"/>
            <w:sz w:val="22"/>
            <w:szCs w:val="22"/>
            <w:u w:val="none"/>
          </w:rPr>
          <w:t>oral</w:t>
        </w:r>
        <w:r w:rsidR="009C066F" w:rsidRPr="006A7000">
          <w:rPr>
            <w:rStyle w:val="apple-converted-space"/>
            <w:rFonts w:asciiTheme="minorHAnsi" w:hAnsiTheme="minorHAnsi" w:cs="Arial"/>
            <w:sz w:val="22"/>
            <w:szCs w:val="22"/>
          </w:rPr>
          <w:t> </w:t>
        </w:r>
        <w:r w:rsidR="009C066F" w:rsidRPr="006A7000">
          <w:rPr>
            <w:rStyle w:val="Hyperlink"/>
            <w:rFonts w:asciiTheme="minorHAnsi" w:hAnsiTheme="minorHAnsi" w:cs="Arial"/>
            <w:bCs/>
            <w:color w:val="auto"/>
            <w:sz w:val="22"/>
            <w:szCs w:val="22"/>
            <w:u w:val="none"/>
          </w:rPr>
          <w:t>cancer</w:t>
        </w:r>
        <w:r w:rsidR="009C066F" w:rsidRPr="006A7000">
          <w:rPr>
            <w:rStyle w:val="Hyperlink"/>
            <w:rFonts w:asciiTheme="minorHAnsi" w:hAnsiTheme="minorHAnsi" w:cs="Arial"/>
            <w:color w:val="auto"/>
            <w:sz w:val="22"/>
            <w:szCs w:val="22"/>
            <w:u w:val="none"/>
          </w:rPr>
          <w:t>: Evidence from five randomized controlled trials.</w:t>
        </w:r>
      </w:hyperlink>
      <w:r w:rsidR="009C066F" w:rsidRPr="006A7000">
        <w:rPr>
          <w:rStyle w:val="Hyperlink"/>
          <w:rFonts w:asciiTheme="minorHAnsi" w:hAnsiTheme="minorHAnsi" w:cs="Arial"/>
          <w:color w:val="auto"/>
          <w:sz w:val="22"/>
          <w:szCs w:val="22"/>
          <w:u w:val="none"/>
        </w:rPr>
        <w:t xml:space="preserve"> </w:t>
      </w:r>
      <w:r w:rsidR="009C066F" w:rsidRPr="006A7000">
        <w:rPr>
          <w:rStyle w:val="jrnl"/>
          <w:rFonts w:asciiTheme="minorHAnsi" w:hAnsiTheme="minorHAnsi" w:cs="Arial"/>
          <w:bCs/>
          <w:i/>
          <w:sz w:val="22"/>
          <w:szCs w:val="22"/>
        </w:rPr>
        <w:t>Oral</w:t>
      </w:r>
      <w:r w:rsidR="009C066F" w:rsidRPr="006A7000">
        <w:rPr>
          <w:rStyle w:val="apple-converted-space"/>
          <w:rFonts w:asciiTheme="minorHAnsi" w:hAnsiTheme="minorHAnsi" w:cs="Arial"/>
          <w:i/>
          <w:sz w:val="22"/>
          <w:szCs w:val="22"/>
        </w:rPr>
        <w:t> </w:t>
      </w:r>
      <w:r w:rsidR="009C066F" w:rsidRPr="006A7000">
        <w:rPr>
          <w:rStyle w:val="jrnl"/>
          <w:rFonts w:asciiTheme="minorHAnsi" w:hAnsiTheme="minorHAnsi" w:cs="Arial"/>
          <w:i/>
          <w:sz w:val="22"/>
          <w:szCs w:val="22"/>
        </w:rPr>
        <w:t>Oncol</w:t>
      </w:r>
      <w:r w:rsidR="009C066F" w:rsidRPr="006A7000">
        <w:rPr>
          <w:rFonts w:asciiTheme="minorHAnsi" w:hAnsiTheme="minorHAnsi" w:cs="Arial"/>
          <w:sz w:val="22"/>
          <w:szCs w:val="22"/>
        </w:rPr>
        <w:t>.</w:t>
      </w:r>
      <w:r w:rsidR="00D57A62" w:rsidRPr="006A7000">
        <w:rPr>
          <w:rFonts w:asciiTheme="minorHAnsi" w:hAnsiTheme="minorHAnsi" w:cs="Arial"/>
          <w:sz w:val="22"/>
          <w:szCs w:val="22"/>
        </w:rPr>
        <w:t xml:space="preserve"> </w:t>
      </w:r>
      <w:r w:rsidR="009C066F" w:rsidRPr="006A7000">
        <w:rPr>
          <w:rFonts w:asciiTheme="minorHAnsi" w:hAnsiTheme="minorHAnsi" w:cs="Arial"/>
          <w:b/>
          <w:sz w:val="22"/>
          <w:szCs w:val="22"/>
        </w:rPr>
        <w:t>51</w:t>
      </w:r>
      <w:r w:rsidR="009C066F" w:rsidRPr="006A7000">
        <w:rPr>
          <w:rFonts w:asciiTheme="minorHAnsi" w:hAnsiTheme="minorHAnsi" w:cs="Arial"/>
          <w:sz w:val="22"/>
          <w:szCs w:val="22"/>
        </w:rPr>
        <w:t>(11)</w:t>
      </w:r>
      <w:r w:rsidR="00D57A62" w:rsidRPr="006A7000">
        <w:rPr>
          <w:rFonts w:asciiTheme="minorHAnsi" w:hAnsiTheme="minorHAnsi" w:cs="Arial"/>
          <w:sz w:val="22"/>
          <w:szCs w:val="22"/>
        </w:rPr>
        <w:t xml:space="preserve">, </w:t>
      </w:r>
      <w:r w:rsidR="009C066F" w:rsidRPr="006A7000">
        <w:rPr>
          <w:rFonts w:asciiTheme="minorHAnsi" w:hAnsiTheme="minorHAnsi" w:cs="Arial"/>
          <w:sz w:val="22"/>
          <w:szCs w:val="22"/>
        </w:rPr>
        <w:t>976-81</w:t>
      </w:r>
      <w:r w:rsidR="00D57A62" w:rsidRPr="006A7000">
        <w:rPr>
          <w:rFonts w:asciiTheme="minorHAnsi" w:hAnsiTheme="minorHAnsi" w:cs="Arial"/>
          <w:sz w:val="22"/>
          <w:szCs w:val="22"/>
        </w:rPr>
        <w:t xml:space="preserve"> (2015).</w:t>
      </w:r>
    </w:p>
    <w:p w14:paraId="6CB8FE13" w14:textId="77777777" w:rsidR="00380318" w:rsidRPr="006A7000" w:rsidRDefault="00380318" w:rsidP="00380318">
      <w:pPr>
        <w:pStyle w:val="Title1"/>
        <w:shd w:val="clear" w:color="auto" w:fill="FFFFFF"/>
        <w:spacing w:before="0" w:beforeAutospacing="0" w:after="0" w:afterAutospacing="0"/>
        <w:rPr>
          <w:rFonts w:asciiTheme="minorHAnsi" w:hAnsiTheme="minorHAnsi" w:cs="Arial"/>
          <w:sz w:val="22"/>
          <w:szCs w:val="22"/>
        </w:rPr>
      </w:pPr>
    </w:p>
    <w:p w14:paraId="05A42518" w14:textId="416B71B9" w:rsidR="00380318" w:rsidRPr="006A7000" w:rsidRDefault="00F96948" w:rsidP="00380318">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21</w:t>
      </w:r>
      <w:r w:rsidR="00380318" w:rsidRPr="006A7000">
        <w:rPr>
          <w:rFonts w:asciiTheme="minorHAnsi" w:hAnsiTheme="minorHAnsi" w:cs="Arial"/>
          <w:sz w:val="22"/>
          <w:szCs w:val="22"/>
        </w:rPr>
        <w:t>. Review Manager (RevMan) [Computer program]. Version 5.3. Copenhagen: The Nordic Cochrane Centre, The Cochrane Collaboration</w:t>
      </w:r>
      <w:r w:rsidR="00096FA5" w:rsidRPr="006A7000">
        <w:rPr>
          <w:rFonts w:asciiTheme="minorHAnsi" w:hAnsiTheme="minorHAnsi" w:cs="Arial"/>
          <w:sz w:val="22"/>
          <w:szCs w:val="22"/>
        </w:rPr>
        <w:t>.</w:t>
      </w:r>
      <w:r w:rsidR="00380318" w:rsidRPr="006A7000">
        <w:rPr>
          <w:rFonts w:asciiTheme="minorHAnsi" w:hAnsiTheme="minorHAnsi" w:cs="Arial"/>
          <w:sz w:val="22"/>
          <w:szCs w:val="22"/>
        </w:rPr>
        <w:t xml:space="preserve"> </w:t>
      </w:r>
      <w:r w:rsidR="00096FA5" w:rsidRPr="006A7000">
        <w:rPr>
          <w:rFonts w:asciiTheme="minorHAnsi" w:hAnsiTheme="minorHAnsi" w:cs="Arial"/>
          <w:sz w:val="22"/>
          <w:szCs w:val="22"/>
        </w:rPr>
        <w:t>(</w:t>
      </w:r>
      <w:r w:rsidR="00380318" w:rsidRPr="006A7000">
        <w:rPr>
          <w:rFonts w:asciiTheme="minorHAnsi" w:hAnsiTheme="minorHAnsi" w:cs="Arial"/>
          <w:sz w:val="22"/>
          <w:szCs w:val="22"/>
        </w:rPr>
        <w:t>2014</w:t>
      </w:r>
      <w:r w:rsidR="00096FA5" w:rsidRPr="006A7000">
        <w:rPr>
          <w:rFonts w:asciiTheme="minorHAnsi" w:hAnsiTheme="minorHAnsi" w:cs="Arial"/>
          <w:sz w:val="22"/>
          <w:szCs w:val="22"/>
        </w:rPr>
        <w:t>).</w:t>
      </w:r>
    </w:p>
    <w:p w14:paraId="052FAF56" w14:textId="55ACE837" w:rsidR="00380318" w:rsidRPr="006A7000" w:rsidRDefault="00380318" w:rsidP="00380318">
      <w:pPr>
        <w:pStyle w:val="Title1"/>
        <w:shd w:val="clear" w:color="auto" w:fill="FFFFFF"/>
        <w:spacing w:before="0" w:beforeAutospacing="0" w:after="0" w:afterAutospacing="0"/>
        <w:rPr>
          <w:rFonts w:asciiTheme="minorHAnsi" w:hAnsiTheme="minorHAnsi" w:cs="Arial"/>
          <w:sz w:val="22"/>
          <w:szCs w:val="22"/>
        </w:rPr>
      </w:pPr>
    </w:p>
    <w:p w14:paraId="6F48C6A4" w14:textId="51F6A6DD" w:rsidR="00380318" w:rsidRPr="006A7000" w:rsidRDefault="00A63738" w:rsidP="0038031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3B7A63" w:rsidRPr="006A7000">
        <w:rPr>
          <w:rFonts w:asciiTheme="minorHAnsi" w:hAnsiTheme="minorHAnsi" w:cs="Arial"/>
          <w:sz w:val="22"/>
          <w:szCs w:val="22"/>
        </w:rPr>
        <w:t>2</w:t>
      </w:r>
      <w:r w:rsidR="00380318" w:rsidRPr="006A7000">
        <w:rPr>
          <w:rFonts w:asciiTheme="minorHAnsi" w:hAnsiTheme="minorHAnsi" w:cs="Arial"/>
          <w:sz w:val="22"/>
          <w:szCs w:val="22"/>
        </w:rPr>
        <w:t xml:space="preserve">. Zhan KY, Morgan PF, Neskey DM, Kim JJ, Huang AT, Garrett-Mayer E </w:t>
      </w:r>
      <w:r w:rsidR="00096FA5" w:rsidRPr="006A7000">
        <w:rPr>
          <w:rFonts w:asciiTheme="minorHAnsi" w:hAnsiTheme="minorHAnsi" w:cs="Arial"/>
          <w:sz w:val="22"/>
          <w:szCs w:val="22"/>
        </w:rPr>
        <w:t>et al</w:t>
      </w:r>
      <w:r w:rsidR="00380318" w:rsidRPr="006A7000">
        <w:rPr>
          <w:rFonts w:asciiTheme="minorHAnsi" w:hAnsiTheme="minorHAnsi" w:cs="Arial"/>
          <w:sz w:val="22"/>
          <w:szCs w:val="22"/>
        </w:rPr>
        <w:t xml:space="preserve">. </w:t>
      </w:r>
      <w:hyperlink r:id="rId15" w:history="1">
        <w:r w:rsidR="00380318" w:rsidRPr="006A7000">
          <w:rPr>
            <w:rStyle w:val="Hyperlink"/>
            <w:rFonts w:asciiTheme="minorHAnsi" w:hAnsiTheme="minorHAnsi" w:cs="Arial"/>
            <w:color w:val="auto"/>
            <w:sz w:val="22"/>
            <w:szCs w:val="22"/>
            <w:u w:val="none"/>
          </w:rPr>
          <w:t>Preoperative predictors of occult nodal disease in cT1N0 </w:t>
        </w:r>
        <w:r w:rsidR="00380318" w:rsidRPr="006A7000">
          <w:rPr>
            <w:rStyle w:val="Hyperlink"/>
            <w:rFonts w:asciiTheme="minorHAnsi" w:hAnsiTheme="minorHAnsi" w:cs="Arial"/>
            <w:bCs/>
            <w:color w:val="auto"/>
            <w:sz w:val="22"/>
            <w:szCs w:val="22"/>
            <w:u w:val="none"/>
          </w:rPr>
          <w:t>oral</w:t>
        </w:r>
        <w:r w:rsidR="00380318" w:rsidRPr="006A7000">
          <w:rPr>
            <w:rStyle w:val="Hyperlink"/>
            <w:rFonts w:asciiTheme="minorHAnsi" w:hAnsiTheme="minorHAnsi" w:cs="Arial"/>
            <w:color w:val="auto"/>
            <w:sz w:val="22"/>
            <w:szCs w:val="22"/>
            <w:u w:val="none"/>
          </w:rPr>
          <w:t> cavity squamous cell carcinoma: Review of 2623 cases.</w:t>
        </w:r>
      </w:hyperlink>
      <w:r w:rsidR="00380318" w:rsidRPr="006A7000">
        <w:rPr>
          <w:rStyle w:val="Hyperlink"/>
          <w:rFonts w:asciiTheme="minorHAnsi" w:hAnsiTheme="minorHAnsi" w:cs="Arial"/>
          <w:color w:val="auto"/>
          <w:sz w:val="22"/>
          <w:szCs w:val="22"/>
          <w:u w:val="none"/>
        </w:rPr>
        <w:t xml:space="preserve"> </w:t>
      </w:r>
      <w:r w:rsidR="00380318" w:rsidRPr="006A7000">
        <w:rPr>
          <w:rStyle w:val="jrnl"/>
          <w:rFonts w:asciiTheme="minorHAnsi" w:hAnsiTheme="minorHAnsi" w:cs="Arial"/>
          <w:i/>
          <w:sz w:val="22"/>
          <w:szCs w:val="22"/>
        </w:rPr>
        <w:t>Head </w:t>
      </w:r>
      <w:r w:rsidR="00380318" w:rsidRPr="006A7000">
        <w:rPr>
          <w:rStyle w:val="jrnl"/>
          <w:rFonts w:asciiTheme="minorHAnsi" w:hAnsiTheme="minorHAnsi" w:cs="Arial"/>
          <w:bCs/>
          <w:i/>
          <w:sz w:val="22"/>
          <w:szCs w:val="22"/>
        </w:rPr>
        <w:t>Neck</w:t>
      </w:r>
      <w:r w:rsidR="00380318" w:rsidRPr="006A7000">
        <w:rPr>
          <w:rFonts w:asciiTheme="minorHAnsi" w:hAnsiTheme="minorHAnsi" w:cs="Arial"/>
          <w:sz w:val="22"/>
          <w:szCs w:val="22"/>
        </w:rPr>
        <w:t>.</w:t>
      </w:r>
      <w:r w:rsidR="00096FA5" w:rsidRPr="006A7000">
        <w:rPr>
          <w:rFonts w:asciiTheme="minorHAnsi" w:hAnsiTheme="minorHAnsi" w:cs="Arial"/>
          <w:sz w:val="22"/>
          <w:szCs w:val="22"/>
        </w:rPr>
        <w:t xml:space="preserve"> </w:t>
      </w:r>
      <w:r w:rsidR="00380318" w:rsidRPr="006A7000">
        <w:rPr>
          <w:rFonts w:asciiTheme="minorHAnsi" w:hAnsiTheme="minorHAnsi" w:cs="Arial"/>
          <w:b/>
          <w:sz w:val="22"/>
          <w:szCs w:val="22"/>
        </w:rPr>
        <w:t>40</w:t>
      </w:r>
      <w:r w:rsidR="00380318" w:rsidRPr="006A7000">
        <w:rPr>
          <w:rFonts w:asciiTheme="minorHAnsi" w:hAnsiTheme="minorHAnsi" w:cs="Arial"/>
          <w:sz w:val="22"/>
          <w:szCs w:val="22"/>
        </w:rPr>
        <w:t>(9)</w:t>
      </w:r>
      <w:r w:rsidR="00096FA5" w:rsidRPr="006A7000">
        <w:rPr>
          <w:rFonts w:asciiTheme="minorHAnsi" w:hAnsiTheme="minorHAnsi" w:cs="Arial"/>
          <w:sz w:val="22"/>
          <w:szCs w:val="22"/>
        </w:rPr>
        <w:t xml:space="preserve">, </w:t>
      </w:r>
      <w:r w:rsidR="00380318" w:rsidRPr="006A7000">
        <w:rPr>
          <w:rFonts w:asciiTheme="minorHAnsi" w:hAnsiTheme="minorHAnsi" w:cs="Arial"/>
          <w:sz w:val="22"/>
          <w:szCs w:val="22"/>
        </w:rPr>
        <w:t>1967-1976</w:t>
      </w:r>
      <w:r w:rsidR="00096FA5" w:rsidRPr="006A7000">
        <w:rPr>
          <w:rFonts w:asciiTheme="minorHAnsi" w:hAnsiTheme="minorHAnsi" w:cs="Arial"/>
          <w:sz w:val="22"/>
          <w:szCs w:val="22"/>
        </w:rPr>
        <w:t xml:space="preserve"> (2018).</w:t>
      </w:r>
    </w:p>
    <w:p w14:paraId="4AF4A63D" w14:textId="076EFE83" w:rsidR="00380318" w:rsidRPr="006A7000" w:rsidRDefault="00380318" w:rsidP="00380318">
      <w:pPr>
        <w:pStyle w:val="Title5"/>
        <w:shd w:val="clear" w:color="auto" w:fill="FFFFFF"/>
        <w:spacing w:before="0" w:beforeAutospacing="0" w:after="0" w:afterAutospacing="0"/>
        <w:rPr>
          <w:rFonts w:asciiTheme="minorHAnsi" w:hAnsiTheme="minorHAnsi" w:cs="Arial"/>
          <w:sz w:val="22"/>
          <w:szCs w:val="22"/>
        </w:rPr>
      </w:pPr>
    </w:p>
    <w:p w14:paraId="2F6D44BE" w14:textId="7E6C5242" w:rsidR="00A63738" w:rsidRPr="006A7000" w:rsidRDefault="00A63738" w:rsidP="00A6373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3B7A63" w:rsidRPr="006A7000">
        <w:rPr>
          <w:rFonts w:asciiTheme="minorHAnsi" w:hAnsiTheme="minorHAnsi" w:cs="Arial"/>
          <w:sz w:val="22"/>
          <w:szCs w:val="22"/>
        </w:rPr>
        <w:t>3</w:t>
      </w:r>
      <w:r w:rsidRPr="006A7000">
        <w:rPr>
          <w:rFonts w:asciiTheme="minorHAnsi" w:hAnsiTheme="minorHAnsi" w:cs="Arial"/>
          <w:sz w:val="22"/>
          <w:szCs w:val="22"/>
        </w:rPr>
        <w:t>. American Joint Committee on Cancer, Cancer Staging Manual, 8</w:t>
      </w:r>
      <w:r w:rsidRPr="006A7000">
        <w:rPr>
          <w:rFonts w:asciiTheme="minorHAnsi" w:hAnsiTheme="minorHAnsi" w:cs="Arial"/>
          <w:sz w:val="22"/>
          <w:szCs w:val="22"/>
          <w:vertAlign w:val="superscript"/>
        </w:rPr>
        <w:t>th</w:t>
      </w:r>
      <w:r w:rsidRPr="006A7000">
        <w:rPr>
          <w:rFonts w:asciiTheme="minorHAnsi" w:hAnsiTheme="minorHAnsi" w:cs="Arial"/>
          <w:sz w:val="22"/>
          <w:szCs w:val="22"/>
        </w:rPr>
        <w:t xml:space="preserve"> edition </w:t>
      </w:r>
      <w:r w:rsidR="00096FA5" w:rsidRPr="006A7000">
        <w:rPr>
          <w:rFonts w:asciiTheme="minorHAnsi" w:hAnsiTheme="minorHAnsi" w:cs="Arial"/>
          <w:sz w:val="22"/>
          <w:szCs w:val="22"/>
        </w:rPr>
        <w:t>(</w:t>
      </w:r>
      <w:r w:rsidRPr="006A7000">
        <w:rPr>
          <w:rFonts w:asciiTheme="minorHAnsi" w:hAnsiTheme="minorHAnsi" w:cs="Arial"/>
          <w:sz w:val="22"/>
          <w:szCs w:val="22"/>
        </w:rPr>
        <w:t>2017</w:t>
      </w:r>
      <w:r w:rsidR="00096FA5" w:rsidRPr="006A7000">
        <w:rPr>
          <w:rFonts w:asciiTheme="minorHAnsi" w:hAnsiTheme="minorHAnsi" w:cs="Arial"/>
          <w:sz w:val="22"/>
          <w:szCs w:val="22"/>
        </w:rPr>
        <w:t>)</w:t>
      </w:r>
      <w:r w:rsidRPr="006A7000">
        <w:rPr>
          <w:rFonts w:asciiTheme="minorHAnsi" w:hAnsiTheme="minorHAnsi" w:cs="Arial"/>
          <w:sz w:val="22"/>
          <w:szCs w:val="22"/>
        </w:rPr>
        <w:t xml:space="preserve">. </w:t>
      </w:r>
      <w:r w:rsidR="00096FA5" w:rsidRPr="006A7000">
        <w:rPr>
          <w:rFonts w:asciiTheme="minorHAnsi" w:hAnsiTheme="minorHAnsi" w:cs="Arial"/>
          <w:sz w:val="22"/>
          <w:szCs w:val="22"/>
        </w:rPr>
        <w:t>https://cancerstaging.org/references-tools/deskreferences/Pages/default.aspx, accessed April 2019.</w:t>
      </w:r>
    </w:p>
    <w:p w14:paraId="270F57FA" w14:textId="77777777" w:rsidR="00380318" w:rsidRPr="006A7000" w:rsidRDefault="00380318" w:rsidP="00380318">
      <w:pPr>
        <w:pStyle w:val="Title1"/>
        <w:shd w:val="clear" w:color="auto" w:fill="FFFFFF"/>
        <w:spacing w:before="0" w:beforeAutospacing="0" w:after="0" w:afterAutospacing="0"/>
        <w:rPr>
          <w:rFonts w:asciiTheme="minorHAnsi" w:hAnsiTheme="minorHAnsi" w:cs="AdvTT16f3b945.B"/>
          <w:sz w:val="22"/>
          <w:szCs w:val="22"/>
        </w:rPr>
      </w:pPr>
    </w:p>
    <w:p w14:paraId="12AECCDE" w14:textId="1C9CB659" w:rsidR="00380318" w:rsidRPr="006A7000" w:rsidRDefault="00A63738" w:rsidP="0038031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BB29A1" w:rsidRPr="006A7000">
        <w:rPr>
          <w:rFonts w:asciiTheme="minorHAnsi" w:hAnsiTheme="minorHAnsi" w:cs="Arial"/>
          <w:sz w:val="22"/>
          <w:szCs w:val="22"/>
        </w:rPr>
        <w:t>4</w:t>
      </w:r>
      <w:r w:rsidR="00380318" w:rsidRPr="006A7000">
        <w:rPr>
          <w:rFonts w:asciiTheme="minorHAnsi" w:hAnsiTheme="minorHAnsi" w:cs="Arial"/>
          <w:sz w:val="22"/>
          <w:szCs w:val="22"/>
        </w:rPr>
        <w:t>. Mizrachi A, Migliacci JC, Montero PH, McBride S, Shah JP, Patel SG</w:t>
      </w:r>
      <w:r w:rsidR="009E2BDA" w:rsidRPr="006A7000">
        <w:rPr>
          <w:rFonts w:asciiTheme="minorHAnsi" w:hAnsiTheme="minorHAnsi" w:cs="Arial"/>
          <w:sz w:val="22"/>
          <w:szCs w:val="22"/>
        </w:rPr>
        <w:t xml:space="preserve"> et al</w:t>
      </w:r>
      <w:r w:rsidR="00380318" w:rsidRPr="006A7000">
        <w:rPr>
          <w:rFonts w:asciiTheme="minorHAnsi" w:hAnsiTheme="minorHAnsi" w:cs="Arial"/>
          <w:sz w:val="22"/>
          <w:szCs w:val="22"/>
        </w:rPr>
        <w:t>.</w:t>
      </w:r>
      <w:r w:rsidR="00380318" w:rsidRPr="006A7000">
        <w:rPr>
          <w:rStyle w:val="Hyperlink"/>
          <w:rFonts w:asciiTheme="minorHAnsi" w:hAnsiTheme="minorHAnsi" w:cs="Arial"/>
          <w:bCs/>
          <w:color w:val="auto"/>
          <w:sz w:val="22"/>
          <w:szCs w:val="22"/>
          <w:u w:val="none"/>
        </w:rPr>
        <w:t xml:space="preserve"> </w:t>
      </w:r>
      <w:hyperlink r:id="rId16" w:history="1">
        <w:r w:rsidR="00380318" w:rsidRPr="006A7000">
          <w:rPr>
            <w:rStyle w:val="Hyperlink"/>
            <w:rFonts w:asciiTheme="minorHAnsi" w:hAnsiTheme="minorHAnsi" w:cs="Arial"/>
            <w:bCs/>
            <w:color w:val="auto"/>
            <w:sz w:val="22"/>
            <w:szCs w:val="22"/>
            <w:u w:val="none"/>
          </w:rPr>
          <w:t>Neck</w:t>
        </w:r>
        <w:r w:rsidR="00380318" w:rsidRPr="006A7000">
          <w:rPr>
            <w:rStyle w:val="Hyperlink"/>
            <w:rFonts w:asciiTheme="minorHAnsi" w:hAnsiTheme="minorHAnsi" w:cs="Arial"/>
            <w:color w:val="auto"/>
            <w:sz w:val="22"/>
            <w:szCs w:val="22"/>
            <w:u w:val="none"/>
          </w:rPr>
          <w:t> recurrence in clinically node-negative </w:t>
        </w:r>
        <w:r w:rsidR="00380318" w:rsidRPr="006A7000">
          <w:rPr>
            <w:rStyle w:val="Hyperlink"/>
            <w:rFonts w:asciiTheme="minorHAnsi" w:hAnsiTheme="minorHAnsi" w:cs="Arial"/>
            <w:bCs/>
            <w:color w:val="auto"/>
            <w:sz w:val="22"/>
            <w:szCs w:val="22"/>
            <w:u w:val="none"/>
          </w:rPr>
          <w:t>oral cancer</w:t>
        </w:r>
        <w:r w:rsidR="00380318" w:rsidRPr="006A7000">
          <w:rPr>
            <w:rStyle w:val="Hyperlink"/>
            <w:rFonts w:asciiTheme="minorHAnsi" w:hAnsiTheme="minorHAnsi" w:cs="Arial"/>
            <w:color w:val="auto"/>
            <w:sz w:val="22"/>
            <w:szCs w:val="22"/>
            <w:u w:val="none"/>
          </w:rPr>
          <w:t>: 27-year experience at a single institution.</w:t>
        </w:r>
      </w:hyperlink>
      <w:r w:rsidR="00380318" w:rsidRPr="006A7000">
        <w:rPr>
          <w:rStyle w:val="Hyperlink"/>
          <w:rFonts w:asciiTheme="minorHAnsi" w:hAnsiTheme="minorHAnsi" w:cs="Arial"/>
          <w:color w:val="auto"/>
          <w:sz w:val="22"/>
          <w:szCs w:val="22"/>
          <w:u w:val="none"/>
        </w:rPr>
        <w:t xml:space="preserve"> </w:t>
      </w:r>
      <w:r w:rsidR="00380318" w:rsidRPr="006A7000">
        <w:rPr>
          <w:rStyle w:val="jrnl"/>
          <w:rFonts w:asciiTheme="minorHAnsi" w:hAnsiTheme="minorHAnsi" w:cs="Arial"/>
          <w:bCs/>
          <w:i/>
          <w:sz w:val="22"/>
          <w:szCs w:val="22"/>
        </w:rPr>
        <w:t>Oral</w:t>
      </w:r>
      <w:r w:rsidR="00380318" w:rsidRPr="006A7000">
        <w:rPr>
          <w:rStyle w:val="jrnl"/>
          <w:rFonts w:asciiTheme="minorHAnsi" w:hAnsiTheme="minorHAnsi" w:cs="Arial"/>
          <w:i/>
          <w:sz w:val="22"/>
          <w:szCs w:val="22"/>
        </w:rPr>
        <w:t> Oncol</w:t>
      </w:r>
      <w:r w:rsidR="00380318" w:rsidRPr="006A7000">
        <w:rPr>
          <w:rFonts w:asciiTheme="minorHAnsi" w:hAnsiTheme="minorHAnsi" w:cs="Arial"/>
          <w:sz w:val="22"/>
          <w:szCs w:val="22"/>
        </w:rPr>
        <w:t>.</w:t>
      </w:r>
      <w:r w:rsidR="00863313" w:rsidRPr="006A7000">
        <w:rPr>
          <w:rFonts w:asciiTheme="minorHAnsi" w:hAnsiTheme="minorHAnsi" w:cs="Arial"/>
          <w:sz w:val="22"/>
          <w:szCs w:val="22"/>
        </w:rPr>
        <w:t xml:space="preserve"> </w:t>
      </w:r>
      <w:r w:rsidR="00380318" w:rsidRPr="006A7000">
        <w:rPr>
          <w:rFonts w:asciiTheme="minorHAnsi" w:hAnsiTheme="minorHAnsi" w:cs="Arial"/>
          <w:b/>
          <w:sz w:val="22"/>
          <w:szCs w:val="22"/>
        </w:rPr>
        <w:t>78</w:t>
      </w:r>
      <w:r w:rsidR="00863313" w:rsidRPr="006A7000">
        <w:rPr>
          <w:rFonts w:asciiTheme="minorHAnsi" w:hAnsiTheme="minorHAnsi" w:cs="Arial"/>
          <w:b/>
          <w:sz w:val="22"/>
          <w:szCs w:val="22"/>
        </w:rPr>
        <w:t xml:space="preserve">, </w:t>
      </w:r>
      <w:r w:rsidR="00380318" w:rsidRPr="006A7000">
        <w:rPr>
          <w:rFonts w:asciiTheme="minorHAnsi" w:hAnsiTheme="minorHAnsi" w:cs="Arial"/>
          <w:sz w:val="22"/>
          <w:szCs w:val="22"/>
        </w:rPr>
        <w:t>94-101</w:t>
      </w:r>
      <w:r w:rsidR="00863313" w:rsidRPr="006A7000">
        <w:rPr>
          <w:rFonts w:asciiTheme="minorHAnsi" w:hAnsiTheme="minorHAnsi" w:cs="Arial"/>
          <w:sz w:val="22"/>
          <w:szCs w:val="22"/>
        </w:rPr>
        <w:t xml:space="preserve"> (2018).</w:t>
      </w:r>
    </w:p>
    <w:p w14:paraId="56F61938" w14:textId="77777777" w:rsidR="00380318" w:rsidRPr="006A7000" w:rsidRDefault="00380318" w:rsidP="00380318">
      <w:pPr>
        <w:pStyle w:val="details"/>
        <w:shd w:val="clear" w:color="auto" w:fill="FFFFFF"/>
        <w:spacing w:before="0" w:beforeAutospacing="0" w:after="0" w:afterAutospacing="0"/>
        <w:rPr>
          <w:rFonts w:asciiTheme="minorHAnsi" w:hAnsiTheme="minorHAnsi" w:cs="Arial"/>
          <w:sz w:val="22"/>
          <w:szCs w:val="22"/>
        </w:rPr>
      </w:pPr>
    </w:p>
    <w:p w14:paraId="3A325881" w14:textId="430C3E49" w:rsidR="00380318" w:rsidRPr="006A7000" w:rsidRDefault="00A63738" w:rsidP="0038031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BB29A1" w:rsidRPr="006A7000">
        <w:rPr>
          <w:rFonts w:asciiTheme="minorHAnsi" w:hAnsiTheme="minorHAnsi" w:cs="Arial"/>
          <w:sz w:val="22"/>
          <w:szCs w:val="22"/>
        </w:rPr>
        <w:t>5</w:t>
      </w:r>
      <w:r w:rsidR="00380318" w:rsidRPr="006A7000">
        <w:rPr>
          <w:rFonts w:asciiTheme="minorHAnsi" w:hAnsiTheme="minorHAnsi" w:cs="Arial"/>
          <w:sz w:val="22"/>
          <w:szCs w:val="22"/>
        </w:rPr>
        <w:t xml:space="preserve">. Cheraghlou S, Schettino A, Zogg CK, Judson BL. </w:t>
      </w:r>
      <w:hyperlink r:id="rId17" w:history="1">
        <w:r w:rsidR="00380318" w:rsidRPr="006A7000">
          <w:rPr>
            <w:rStyle w:val="Hyperlink"/>
            <w:rFonts w:asciiTheme="minorHAnsi" w:hAnsiTheme="minorHAnsi" w:cs="Arial"/>
            <w:color w:val="auto"/>
            <w:sz w:val="22"/>
            <w:szCs w:val="22"/>
            <w:u w:val="none"/>
          </w:rPr>
          <w:t>Changing prognosis of </w:t>
        </w:r>
        <w:r w:rsidR="00380318" w:rsidRPr="006A7000">
          <w:rPr>
            <w:rStyle w:val="Hyperlink"/>
            <w:rFonts w:asciiTheme="minorHAnsi" w:hAnsiTheme="minorHAnsi" w:cs="Arial"/>
            <w:bCs/>
            <w:color w:val="auto"/>
            <w:sz w:val="22"/>
            <w:szCs w:val="22"/>
            <w:u w:val="none"/>
          </w:rPr>
          <w:t>oral cancer</w:t>
        </w:r>
        <w:r w:rsidR="00380318" w:rsidRPr="006A7000">
          <w:rPr>
            <w:rStyle w:val="Hyperlink"/>
            <w:rFonts w:asciiTheme="minorHAnsi" w:hAnsiTheme="minorHAnsi" w:cs="Arial"/>
            <w:color w:val="auto"/>
            <w:sz w:val="22"/>
            <w:szCs w:val="22"/>
            <w:u w:val="none"/>
          </w:rPr>
          <w:t>: An analysis of survival and treatment between 1973 and 2014.</w:t>
        </w:r>
      </w:hyperlink>
      <w:r w:rsidR="00380318" w:rsidRPr="006A7000">
        <w:rPr>
          <w:rStyle w:val="Hyperlink"/>
          <w:rFonts w:asciiTheme="minorHAnsi" w:hAnsiTheme="minorHAnsi" w:cs="Arial"/>
          <w:color w:val="auto"/>
          <w:sz w:val="22"/>
          <w:szCs w:val="22"/>
          <w:u w:val="none"/>
        </w:rPr>
        <w:t xml:space="preserve"> </w:t>
      </w:r>
      <w:r w:rsidR="00380318" w:rsidRPr="006A7000">
        <w:rPr>
          <w:rStyle w:val="jrnl"/>
          <w:rFonts w:asciiTheme="minorHAnsi" w:hAnsiTheme="minorHAnsi" w:cs="Arial"/>
          <w:i/>
          <w:sz w:val="22"/>
          <w:szCs w:val="22"/>
        </w:rPr>
        <w:t>Laryngoscope</w:t>
      </w:r>
      <w:r w:rsidR="00380318" w:rsidRPr="006A7000">
        <w:rPr>
          <w:rFonts w:asciiTheme="minorHAnsi" w:hAnsiTheme="minorHAnsi" w:cs="Arial"/>
          <w:sz w:val="22"/>
          <w:szCs w:val="22"/>
        </w:rPr>
        <w:t xml:space="preserve">. </w:t>
      </w:r>
      <w:r w:rsidR="00A67DED" w:rsidRPr="006A7000">
        <w:rPr>
          <w:rStyle w:val="Hyperlink"/>
          <w:rFonts w:asciiTheme="minorHAnsi" w:hAnsiTheme="minorHAnsi"/>
          <w:b/>
          <w:color w:val="auto"/>
          <w:sz w:val="22"/>
          <w:szCs w:val="22"/>
          <w:u w:val="none"/>
        </w:rPr>
        <w:t>128</w:t>
      </w:r>
      <w:r w:rsidR="00A67DED" w:rsidRPr="006A7000">
        <w:rPr>
          <w:rStyle w:val="Hyperlink"/>
          <w:rFonts w:asciiTheme="minorHAnsi" w:hAnsiTheme="minorHAnsi"/>
          <w:color w:val="auto"/>
          <w:sz w:val="22"/>
          <w:szCs w:val="22"/>
          <w:u w:val="none"/>
        </w:rPr>
        <w:t>(12), 2762-2769</w:t>
      </w:r>
      <w:r w:rsidR="00A67DED" w:rsidRPr="006A7000">
        <w:rPr>
          <w:rFonts w:ascii="Arial" w:hAnsi="Arial" w:cs="Arial"/>
          <w:sz w:val="20"/>
          <w:szCs w:val="20"/>
          <w:shd w:val="clear" w:color="auto" w:fill="FFFFFF"/>
        </w:rPr>
        <w:t xml:space="preserve"> </w:t>
      </w:r>
      <w:r w:rsidR="00380318" w:rsidRPr="006A7000">
        <w:rPr>
          <w:rFonts w:asciiTheme="minorHAnsi" w:hAnsiTheme="minorHAnsi" w:cs="Arial"/>
          <w:sz w:val="22"/>
          <w:szCs w:val="22"/>
        </w:rPr>
        <w:t>doi: 10.1002/lary.27315</w:t>
      </w:r>
      <w:r w:rsidR="00A67DED" w:rsidRPr="006A7000">
        <w:rPr>
          <w:rFonts w:asciiTheme="minorHAnsi" w:hAnsiTheme="minorHAnsi" w:cs="Arial"/>
          <w:sz w:val="22"/>
          <w:szCs w:val="22"/>
        </w:rPr>
        <w:t xml:space="preserve"> (2018).</w:t>
      </w:r>
    </w:p>
    <w:p w14:paraId="387A1A91" w14:textId="77777777" w:rsidR="00380318" w:rsidRPr="006A7000" w:rsidRDefault="00380318" w:rsidP="00380318">
      <w:pPr>
        <w:pStyle w:val="Title1"/>
        <w:shd w:val="clear" w:color="auto" w:fill="FFFFFF"/>
        <w:spacing w:before="0" w:beforeAutospacing="0" w:after="0" w:afterAutospacing="0"/>
        <w:rPr>
          <w:rFonts w:asciiTheme="minorHAnsi" w:hAnsiTheme="minorHAnsi" w:cs="AdvTT16f3b945.B"/>
          <w:sz w:val="22"/>
          <w:szCs w:val="22"/>
        </w:rPr>
      </w:pPr>
    </w:p>
    <w:p w14:paraId="1B99D68C" w14:textId="47BE5B13" w:rsidR="00380318" w:rsidRPr="006A7000" w:rsidRDefault="00A63738" w:rsidP="0038031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Helvetica"/>
          <w:sz w:val="22"/>
          <w:szCs w:val="22"/>
        </w:rPr>
        <w:t>2</w:t>
      </w:r>
      <w:r w:rsidR="00BB29A1" w:rsidRPr="006A7000">
        <w:rPr>
          <w:rFonts w:asciiTheme="minorHAnsi" w:hAnsiTheme="minorHAnsi" w:cs="Helvetica"/>
          <w:sz w:val="22"/>
          <w:szCs w:val="22"/>
        </w:rPr>
        <w:t>6</w:t>
      </w:r>
      <w:r w:rsidR="00380318" w:rsidRPr="006A7000">
        <w:rPr>
          <w:rFonts w:asciiTheme="minorHAnsi" w:hAnsiTheme="minorHAnsi" w:cs="Helvetica"/>
          <w:sz w:val="22"/>
          <w:szCs w:val="22"/>
        </w:rPr>
        <w:t xml:space="preserve">. Nieuwenhuis EJ, Castelijns JA, Pijpers R, </w:t>
      </w:r>
      <w:r w:rsidR="00441F06" w:rsidRPr="006A7000">
        <w:rPr>
          <w:rFonts w:asciiTheme="minorHAnsi" w:hAnsiTheme="minorHAnsi" w:cs="Helvetica"/>
          <w:sz w:val="22"/>
          <w:szCs w:val="22"/>
        </w:rPr>
        <w:t xml:space="preserve">van den Brekel MW, Brakenhoff RH, van der Waal I </w:t>
      </w:r>
      <w:r w:rsidR="00380318" w:rsidRPr="006A7000">
        <w:rPr>
          <w:rFonts w:asciiTheme="minorHAnsi" w:hAnsiTheme="minorHAnsi" w:cs="Helvetica"/>
          <w:sz w:val="22"/>
          <w:szCs w:val="22"/>
        </w:rPr>
        <w:t>et al</w:t>
      </w:r>
      <w:r w:rsidR="00441F06" w:rsidRPr="006A7000">
        <w:rPr>
          <w:rFonts w:asciiTheme="minorHAnsi" w:hAnsiTheme="minorHAnsi" w:cs="Helvetica"/>
          <w:sz w:val="22"/>
          <w:szCs w:val="22"/>
        </w:rPr>
        <w:t>.</w:t>
      </w:r>
      <w:r w:rsidR="00380318" w:rsidRPr="006A7000">
        <w:rPr>
          <w:rFonts w:asciiTheme="minorHAnsi" w:hAnsiTheme="minorHAnsi" w:cs="Helvetica"/>
          <w:sz w:val="22"/>
          <w:szCs w:val="22"/>
        </w:rPr>
        <w:t xml:space="preserve"> Wait-and-see policy for the N0 neck in early-stage oral and oropharyngeal squamous cell carcinoma using ultrasonography-guided cytology: is there a role for identification of the sentinel node? </w:t>
      </w:r>
      <w:r w:rsidR="00380318" w:rsidRPr="006A7000">
        <w:rPr>
          <w:rFonts w:asciiTheme="minorHAnsi" w:hAnsiTheme="minorHAnsi" w:cs="Helvetica"/>
          <w:i/>
          <w:sz w:val="22"/>
          <w:szCs w:val="22"/>
        </w:rPr>
        <w:t>Head Neck</w:t>
      </w:r>
      <w:r w:rsidR="00380318" w:rsidRPr="006A7000">
        <w:rPr>
          <w:rFonts w:asciiTheme="minorHAnsi" w:hAnsiTheme="minorHAnsi" w:cs="Helvetica"/>
          <w:sz w:val="22"/>
          <w:szCs w:val="22"/>
        </w:rPr>
        <w:t>.</w:t>
      </w:r>
      <w:r w:rsidR="00441F06" w:rsidRPr="006A7000">
        <w:rPr>
          <w:rFonts w:asciiTheme="minorHAnsi" w:hAnsiTheme="minorHAnsi" w:cs="Helvetica"/>
          <w:sz w:val="22"/>
          <w:szCs w:val="22"/>
        </w:rPr>
        <w:t xml:space="preserve"> </w:t>
      </w:r>
      <w:r w:rsidR="00380318" w:rsidRPr="006A7000">
        <w:rPr>
          <w:rFonts w:asciiTheme="minorHAnsi" w:hAnsiTheme="minorHAnsi" w:cs="Helvetica"/>
          <w:b/>
          <w:sz w:val="22"/>
          <w:szCs w:val="22"/>
        </w:rPr>
        <w:t>24</w:t>
      </w:r>
      <w:r w:rsidR="00380318" w:rsidRPr="006A7000">
        <w:rPr>
          <w:rFonts w:asciiTheme="minorHAnsi" w:hAnsiTheme="minorHAnsi" w:cs="Helvetica"/>
          <w:sz w:val="22"/>
          <w:szCs w:val="22"/>
        </w:rPr>
        <w:t>(3)</w:t>
      </w:r>
      <w:r w:rsidR="00441F06" w:rsidRPr="006A7000">
        <w:rPr>
          <w:rFonts w:asciiTheme="minorHAnsi" w:hAnsiTheme="minorHAnsi" w:cs="Helvetica"/>
          <w:sz w:val="22"/>
          <w:szCs w:val="22"/>
        </w:rPr>
        <w:t xml:space="preserve">, </w:t>
      </w:r>
      <w:r w:rsidR="00380318" w:rsidRPr="006A7000">
        <w:rPr>
          <w:rFonts w:asciiTheme="minorHAnsi" w:hAnsiTheme="minorHAnsi" w:cs="Helvetica"/>
          <w:sz w:val="22"/>
          <w:szCs w:val="22"/>
        </w:rPr>
        <w:t>282-9</w:t>
      </w:r>
      <w:r w:rsidR="00441F06" w:rsidRPr="006A7000">
        <w:rPr>
          <w:rFonts w:asciiTheme="minorHAnsi" w:hAnsiTheme="minorHAnsi" w:cs="Helvetica"/>
          <w:sz w:val="22"/>
          <w:szCs w:val="22"/>
        </w:rPr>
        <w:t xml:space="preserve"> (2002).</w:t>
      </w:r>
    </w:p>
    <w:p w14:paraId="77C86716" w14:textId="02581283" w:rsidR="00380318" w:rsidRPr="006A7000" w:rsidRDefault="00380318" w:rsidP="00380318">
      <w:pPr>
        <w:pStyle w:val="Title1"/>
        <w:shd w:val="clear" w:color="auto" w:fill="FFFFFF"/>
        <w:spacing w:before="0" w:beforeAutospacing="0" w:after="0" w:afterAutospacing="0"/>
        <w:rPr>
          <w:rFonts w:asciiTheme="minorHAnsi" w:hAnsiTheme="minorHAnsi" w:cs="Arial"/>
          <w:sz w:val="22"/>
          <w:szCs w:val="22"/>
        </w:rPr>
      </w:pPr>
    </w:p>
    <w:p w14:paraId="07CAD5DA" w14:textId="6CB8B899" w:rsidR="00672B1F" w:rsidRPr="006A7000" w:rsidRDefault="00672B1F" w:rsidP="00380318">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w:t>
      </w:r>
      <w:r w:rsidR="00BB29A1" w:rsidRPr="006A7000">
        <w:rPr>
          <w:rFonts w:asciiTheme="minorHAnsi" w:hAnsiTheme="minorHAnsi" w:cs="Arial"/>
          <w:sz w:val="22"/>
          <w:szCs w:val="22"/>
        </w:rPr>
        <w:t>7</w:t>
      </w:r>
      <w:r w:rsidRPr="006A7000">
        <w:rPr>
          <w:rFonts w:asciiTheme="minorHAnsi" w:hAnsiTheme="minorHAnsi" w:cs="Arial"/>
          <w:sz w:val="22"/>
          <w:szCs w:val="22"/>
        </w:rPr>
        <w:t xml:space="preserve">. Dik EA, Willems SM, Ipenburg NA, </w:t>
      </w:r>
      <w:r w:rsidR="003D1693" w:rsidRPr="006A7000">
        <w:rPr>
          <w:rFonts w:asciiTheme="minorHAnsi" w:hAnsiTheme="minorHAnsi" w:cs="Arial"/>
          <w:sz w:val="22"/>
          <w:szCs w:val="22"/>
        </w:rPr>
        <w:t>Rosenberg AJ, Van Cann EM, van Es RJ.</w:t>
      </w:r>
      <w:r w:rsidRPr="006A7000">
        <w:rPr>
          <w:rFonts w:asciiTheme="minorHAnsi" w:hAnsiTheme="minorHAnsi" w:cs="Arial"/>
          <w:sz w:val="22"/>
          <w:szCs w:val="22"/>
        </w:rPr>
        <w:t xml:space="preserve"> </w:t>
      </w:r>
      <w:hyperlink r:id="rId18" w:history="1">
        <w:r w:rsidRPr="006A7000">
          <w:rPr>
            <w:rStyle w:val="Hyperlink"/>
            <w:rFonts w:asciiTheme="minorHAnsi" w:hAnsiTheme="minorHAnsi" w:cs="Arial"/>
            <w:color w:val="auto"/>
            <w:sz w:val="22"/>
            <w:szCs w:val="22"/>
            <w:u w:val="none"/>
          </w:rPr>
          <w:t>Watchful waiting of the</w:t>
        </w:r>
        <w:r w:rsidRPr="006A7000">
          <w:rPr>
            <w:rStyle w:val="apple-converted-space"/>
            <w:rFonts w:asciiTheme="minorHAnsi" w:hAnsiTheme="minorHAnsi" w:cs="Arial"/>
            <w:sz w:val="22"/>
            <w:szCs w:val="22"/>
          </w:rPr>
          <w:t> </w:t>
        </w:r>
        <w:r w:rsidRPr="006A7000">
          <w:rPr>
            <w:rStyle w:val="Hyperlink"/>
            <w:rFonts w:asciiTheme="minorHAnsi" w:hAnsiTheme="minorHAnsi" w:cs="Arial"/>
            <w:bCs/>
            <w:color w:val="auto"/>
            <w:sz w:val="22"/>
            <w:szCs w:val="22"/>
            <w:u w:val="none"/>
          </w:rPr>
          <w:t>neck</w:t>
        </w:r>
        <w:r w:rsidRPr="006A7000">
          <w:rPr>
            <w:rStyle w:val="apple-converted-space"/>
            <w:rFonts w:asciiTheme="minorHAnsi" w:hAnsiTheme="minorHAnsi" w:cs="Arial"/>
            <w:sz w:val="22"/>
            <w:szCs w:val="22"/>
          </w:rPr>
          <w:t> </w:t>
        </w:r>
        <w:r w:rsidRPr="006A7000">
          <w:rPr>
            <w:rStyle w:val="Hyperlink"/>
            <w:rFonts w:asciiTheme="minorHAnsi" w:hAnsiTheme="minorHAnsi" w:cs="Arial"/>
            <w:color w:val="auto"/>
            <w:sz w:val="22"/>
            <w:szCs w:val="22"/>
            <w:u w:val="none"/>
          </w:rPr>
          <w:t>in early stage</w:t>
        </w:r>
        <w:r w:rsidRPr="006A7000">
          <w:rPr>
            <w:rStyle w:val="apple-converted-space"/>
            <w:rFonts w:asciiTheme="minorHAnsi" w:hAnsiTheme="minorHAnsi" w:cs="Arial"/>
            <w:sz w:val="22"/>
            <w:szCs w:val="22"/>
          </w:rPr>
          <w:t> </w:t>
        </w:r>
        <w:r w:rsidRPr="006A7000">
          <w:rPr>
            <w:rStyle w:val="Hyperlink"/>
            <w:rFonts w:asciiTheme="minorHAnsi" w:hAnsiTheme="minorHAnsi" w:cs="Arial"/>
            <w:bCs/>
            <w:color w:val="auto"/>
            <w:sz w:val="22"/>
            <w:szCs w:val="22"/>
            <w:u w:val="none"/>
          </w:rPr>
          <w:t>oral</w:t>
        </w:r>
        <w:r w:rsidRPr="006A7000">
          <w:rPr>
            <w:rStyle w:val="apple-converted-space"/>
            <w:rFonts w:asciiTheme="minorHAnsi" w:hAnsiTheme="minorHAnsi" w:cs="Arial"/>
            <w:sz w:val="22"/>
            <w:szCs w:val="22"/>
          </w:rPr>
          <w:t> </w:t>
        </w:r>
        <w:r w:rsidRPr="006A7000">
          <w:rPr>
            <w:rStyle w:val="Hyperlink"/>
            <w:rFonts w:asciiTheme="minorHAnsi" w:hAnsiTheme="minorHAnsi" w:cs="Arial"/>
            <w:bCs/>
            <w:color w:val="auto"/>
            <w:sz w:val="22"/>
            <w:szCs w:val="22"/>
            <w:u w:val="none"/>
          </w:rPr>
          <w:t>cancer</w:t>
        </w:r>
        <w:r w:rsidRPr="006A7000">
          <w:rPr>
            <w:rStyle w:val="apple-converted-space"/>
            <w:rFonts w:asciiTheme="minorHAnsi" w:hAnsiTheme="minorHAnsi" w:cs="Arial"/>
            <w:sz w:val="22"/>
            <w:szCs w:val="22"/>
          </w:rPr>
          <w:t> </w:t>
        </w:r>
        <w:r w:rsidRPr="006A7000">
          <w:rPr>
            <w:rStyle w:val="Hyperlink"/>
            <w:rFonts w:asciiTheme="minorHAnsi" w:hAnsiTheme="minorHAnsi" w:cs="Arial"/>
            <w:color w:val="auto"/>
            <w:sz w:val="22"/>
            <w:szCs w:val="22"/>
            <w:u w:val="none"/>
          </w:rPr>
          <w:t>is unfavourable for patients with occult nodal disease.</w:t>
        </w:r>
      </w:hyperlink>
      <w:r w:rsidRPr="006A7000">
        <w:rPr>
          <w:rStyle w:val="Hyperlink"/>
          <w:rFonts w:asciiTheme="minorHAnsi" w:hAnsiTheme="minorHAnsi" w:cs="Arial"/>
          <w:color w:val="auto"/>
          <w:sz w:val="22"/>
          <w:szCs w:val="22"/>
          <w:u w:val="none"/>
        </w:rPr>
        <w:t xml:space="preserve"> </w:t>
      </w:r>
      <w:r w:rsidRPr="006A7000">
        <w:rPr>
          <w:rStyle w:val="jrnl"/>
          <w:rFonts w:asciiTheme="minorHAnsi" w:hAnsiTheme="minorHAnsi" w:cs="Arial"/>
          <w:i/>
          <w:sz w:val="22"/>
          <w:szCs w:val="22"/>
        </w:rPr>
        <w:t>Int J</w:t>
      </w:r>
      <w:r w:rsidRPr="006A7000">
        <w:rPr>
          <w:rStyle w:val="apple-converted-space"/>
          <w:rFonts w:asciiTheme="minorHAnsi" w:hAnsiTheme="minorHAnsi" w:cs="Arial"/>
          <w:i/>
          <w:sz w:val="22"/>
          <w:szCs w:val="22"/>
        </w:rPr>
        <w:t> </w:t>
      </w:r>
      <w:r w:rsidRPr="006A7000">
        <w:rPr>
          <w:rStyle w:val="jrnl"/>
          <w:rFonts w:asciiTheme="minorHAnsi" w:hAnsiTheme="minorHAnsi" w:cs="Arial"/>
          <w:bCs/>
          <w:i/>
          <w:sz w:val="22"/>
          <w:szCs w:val="22"/>
        </w:rPr>
        <w:t>Oral</w:t>
      </w:r>
      <w:r w:rsidRPr="006A7000">
        <w:rPr>
          <w:rStyle w:val="apple-converted-space"/>
          <w:rFonts w:asciiTheme="minorHAnsi" w:hAnsiTheme="minorHAnsi" w:cs="Arial"/>
          <w:i/>
          <w:sz w:val="22"/>
          <w:szCs w:val="22"/>
        </w:rPr>
        <w:t> </w:t>
      </w:r>
      <w:r w:rsidRPr="006A7000">
        <w:rPr>
          <w:rStyle w:val="jrnl"/>
          <w:rFonts w:asciiTheme="minorHAnsi" w:hAnsiTheme="minorHAnsi" w:cs="Arial"/>
          <w:i/>
          <w:sz w:val="22"/>
          <w:szCs w:val="22"/>
        </w:rPr>
        <w:t>Maxillofac Surg</w:t>
      </w:r>
      <w:r w:rsidRPr="006A7000">
        <w:rPr>
          <w:rFonts w:asciiTheme="minorHAnsi" w:hAnsiTheme="minorHAnsi" w:cs="Arial"/>
          <w:sz w:val="22"/>
          <w:szCs w:val="22"/>
        </w:rPr>
        <w:t>.</w:t>
      </w:r>
      <w:r w:rsidR="003D1693" w:rsidRPr="006A7000">
        <w:rPr>
          <w:rFonts w:asciiTheme="minorHAnsi" w:hAnsiTheme="minorHAnsi" w:cs="Arial"/>
          <w:sz w:val="22"/>
          <w:szCs w:val="22"/>
        </w:rPr>
        <w:t xml:space="preserve"> </w:t>
      </w:r>
      <w:r w:rsidRPr="006A7000">
        <w:rPr>
          <w:rFonts w:asciiTheme="minorHAnsi" w:hAnsiTheme="minorHAnsi" w:cs="Arial"/>
          <w:b/>
          <w:sz w:val="22"/>
          <w:szCs w:val="22"/>
        </w:rPr>
        <w:t>45</w:t>
      </w:r>
      <w:r w:rsidRPr="006A7000">
        <w:rPr>
          <w:rFonts w:asciiTheme="minorHAnsi" w:hAnsiTheme="minorHAnsi" w:cs="Arial"/>
          <w:sz w:val="22"/>
          <w:szCs w:val="22"/>
        </w:rPr>
        <w:t>(8)</w:t>
      </w:r>
      <w:r w:rsidR="003D1693" w:rsidRPr="006A7000">
        <w:rPr>
          <w:rFonts w:asciiTheme="minorHAnsi" w:hAnsiTheme="minorHAnsi" w:cs="Arial"/>
          <w:sz w:val="22"/>
          <w:szCs w:val="22"/>
        </w:rPr>
        <w:t xml:space="preserve">, </w:t>
      </w:r>
      <w:r w:rsidRPr="006A7000">
        <w:rPr>
          <w:rFonts w:asciiTheme="minorHAnsi" w:hAnsiTheme="minorHAnsi" w:cs="Arial"/>
          <w:sz w:val="22"/>
          <w:szCs w:val="22"/>
        </w:rPr>
        <w:t>945-50</w:t>
      </w:r>
      <w:r w:rsidR="003D1693" w:rsidRPr="006A7000">
        <w:rPr>
          <w:rFonts w:asciiTheme="minorHAnsi" w:hAnsiTheme="minorHAnsi" w:cs="Arial"/>
          <w:sz w:val="22"/>
          <w:szCs w:val="22"/>
        </w:rPr>
        <w:t xml:space="preserve"> (2016).</w:t>
      </w:r>
    </w:p>
    <w:p w14:paraId="01A774AB" w14:textId="77777777" w:rsidR="00672B1F" w:rsidRPr="006A7000" w:rsidRDefault="00672B1F" w:rsidP="00380318">
      <w:pPr>
        <w:pStyle w:val="Title1"/>
        <w:shd w:val="clear" w:color="auto" w:fill="FFFFFF"/>
        <w:spacing w:before="0" w:beforeAutospacing="0" w:after="0" w:afterAutospacing="0"/>
        <w:rPr>
          <w:rFonts w:asciiTheme="minorHAnsi" w:hAnsiTheme="minorHAnsi" w:cs="Arial"/>
          <w:sz w:val="22"/>
          <w:szCs w:val="22"/>
        </w:rPr>
      </w:pPr>
    </w:p>
    <w:p w14:paraId="30C17E7D" w14:textId="058EB77A" w:rsidR="000438D5" w:rsidRPr="006A7000" w:rsidRDefault="00BB29A1" w:rsidP="000438D5">
      <w:pPr>
        <w:shd w:val="clear" w:color="auto" w:fill="FFFFFF"/>
        <w:spacing w:after="0" w:line="270" w:lineRule="atLeast"/>
        <w:rPr>
          <w:rFonts w:asciiTheme="minorHAnsi" w:eastAsia="Times New Roman" w:hAnsiTheme="minorHAnsi" w:cs="Arial"/>
          <w:lang w:eastAsia="en-GB"/>
        </w:rPr>
      </w:pPr>
      <w:r w:rsidRPr="006A7000">
        <w:rPr>
          <w:rFonts w:asciiTheme="minorHAnsi" w:eastAsia="Times New Roman" w:hAnsiTheme="minorHAnsi" w:cs="Arial"/>
          <w:lang w:eastAsia="en-GB"/>
        </w:rPr>
        <w:t>28</w:t>
      </w:r>
      <w:r w:rsidR="000438D5" w:rsidRPr="006A7000">
        <w:rPr>
          <w:rFonts w:asciiTheme="minorHAnsi" w:eastAsia="Times New Roman" w:hAnsiTheme="minorHAnsi" w:cs="Arial"/>
          <w:lang w:eastAsia="en-GB"/>
        </w:rPr>
        <w:t xml:space="preserve">. Patel TD, Vázquez A, Marchiano E, </w:t>
      </w:r>
      <w:r w:rsidR="00FB5A1C" w:rsidRPr="006A7000">
        <w:rPr>
          <w:rFonts w:asciiTheme="minorHAnsi" w:eastAsia="Times New Roman" w:hAnsiTheme="minorHAnsi" w:cs="Arial"/>
          <w:lang w:eastAsia="en-GB"/>
        </w:rPr>
        <w:t>Sanghvi S, Eloy JA, Baredes S</w:t>
      </w:r>
      <w:r w:rsidR="00192647" w:rsidRPr="006A7000">
        <w:rPr>
          <w:rFonts w:asciiTheme="minorHAnsi" w:eastAsia="Times New Roman" w:hAnsiTheme="minorHAnsi" w:cs="Arial"/>
          <w:lang w:eastAsia="en-GB"/>
        </w:rPr>
        <w:t xml:space="preserve"> </w:t>
      </w:r>
      <w:r w:rsidR="00BE11C5" w:rsidRPr="006A7000">
        <w:rPr>
          <w:rFonts w:asciiTheme="minorHAnsi" w:eastAsia="Times New Roman" w:hAnsiTheme="minorHAnsi" w:cs="Arial"/>
          <w:lang w:eastAsia="en-GB"/>
        </w:rPr>
        <w:t>et al</w:t>
      </w:r>
      <w:r w:rsidR="00192647" w:rsidRPr="006A7000">
        <w:rPr>
          <w:rFonts w:asciiTheme="minorHAnsi" w:eastAsia="Times New Roman" w:hAnsiTheme="minorHAnsi" w:cs="Arial"/>
          <w:lang w:eastAsia="en-GB"/>
        </w:rPr>
        <w:t>.</w:t>
      </w:r>
      <w:r w:rsidR="000438D5" w:rsidRPr="006A7000">
        <w:rPr>
          <w:rFonts w:asciiTheme="minorHAnsi" w:eastAsia="Times New Roman" w:hAnsiTheme="minorHAnsi" w:cs="Arial"/>
          <w:lang w:eastAsia="en-GB"/>
        </w:rPr>
        <w:t xml:space="preserve"> </w:t>
      </w:r>
      <w:hyperlink r:id="rId19" w:history="1">
        <w:r w:rsidR="000438D5" w:rsidRPr="006A7000">
          <w:rPr>
            <w:rFonts w:asciiTheme="minorHAnsi" w:eastAsia="Times New Roman" w:hAnsiTheme="minorHAnsi" w:cs="Arial"/>
            <w:lang w:eastAsia="en-GB"/>
          </w:rPr>
          <w:t>Efficacy of Elective </w:t>
        </w:r>
        <w:r w:rsidR="000438D5" w:rsidRPr="006A7000">
          <w:rPr>
            <w:rFonts w:asciiTheme="minorHAnsi" w:eastAsia="Times New Roman" w:hAnsiTheme="minorHAnsi" w:cs="Arial"/>
            <w:bCs/>
            <w:lang w:eastAsia="en-GB"/>
          </w:rPr>
          <w:t>Neck</w:t>
        </w:r>
        <w:r w:rsidR="000438D5" w:rsidRPr="006A7000">
          <w:rPr>
            <w:rFonts w:asciiTheme="minorHAnsi" w:eastAsia="Times New Roman" w:hAnsiTheme="minorHAnsi" w:cs="Arial"/>
            <w:lang w:eastAsia="en-GB"/>
          </w:rPr>
          <w:t> </w:t>
        </w:r>
        <w:r w:rsidR="000438D5" w:rsidRPr="006A7000">
          <w:rPr>
            <w:rFonts w:asciiTheme="minorHAnsi" w:eastAsia="Times New Roman" w:hAnsiTheme="minorHAnsi" w:cs="Arial"/>
            <w:bCs/>
            <w:lang w:eastAsia="en-GB"/>
          </w:rPr>
          <w:t>Dissection</w:t>
        </w:r>
        <w:r w:rsidR="000438D5" w:rsidRPr="006A7000">
          <w:rPr>
            <w:rFonts w:asciiTheme="minorHAnsi" w:eastAsia="Times New Roman" w:hAnsiTheme="minorHAnsi" w:cs="Arial"/>
            <w:lang w:eastAsia="en-GB"/>
          </w:rPr>
          <w:t> in T1/T2N0M0 </w:t>
        </w:r>
        <w:r w:rsidR="000438D5" w:rsidRPr="006A7000">
          <w:rPr>
            <w:rFonts w:asciiTheme="minorHAnsi" w:eastAsia="Times New Roman" w:hAnsiTheme="minorHAnsi" w:cs="Arial"/>
            <w:bCs/>
            <w:lang w:eastAsia="en-GB"/>
          </w:rPr>
          <w:t>Oral</w:t>
        </w:r>
        <w:r w:rsidR="000438D5" w:rsidRPr="006A7000">
          <w:rPr>
            <w:rFonts w:asciiTheme="minorHAnsi" w:eastAsia="Times New Roman" w:hAnsiTheme="minorHAnsi" w:cs="Arial"/>
            <w:lang w:eastAsia="en-GB"/>
          </w:rPr>
          <w:t> Tongue Squamous Cell </w:t>
        </w:r>
        <w:r w:rsidR="000438D5" w:rsidRPr="006A7000">
          <w:rPr>
            <w:rFonts w:asciiTheme="minorHAnsi" w:eastAsia="Times New Roman" w:hAnsiTheme="minorHAnsi" w:cs="Arial"/>
            <w:bCs/>
            <w:lang w:eastAsia="en-GB"/>
          </w:rPr>
          <w:t>Carcinoma</w:t>
        </w:r>
        <w:r w:rsidR="000438D5" w:rsidRPr="006A7000">
          <w:rPr>
            <w:rFonts w:asciiTheme="minorHAnsi" w:eastAsia="Times New Roman" w:hAnsiTheme="minorHAnsi" w:cs="Arial"/>
            <w:lang w:eastAsia="en-GB"/>
          </w:rPr>
          <w:t>: A Population-Based Analysis.</w:t>
        </w:r>
      </w:hyperlink>
      <w:r w:rsidR="000438D5" w:rsidRPr="006A7000">
        <w:rPr>
          <w:rFonts w:asciiTheme="minorHAnsi" w:eastAsia="Times New Roman" w:hAnsiTheme="minorHAnsi" w:cs="Arial"/>
          <w:lang w:eastAsia="en-GB"/>
        </w:rPr>
        <w:t xml:space="preserve"> </w:t>
      </w:r>
      <w:r w:rsidR="000438D5" w:rsidRPr="006A7000">
        <w:rPr>
          <w:rFonts w:asciiTheme="minorHAnsi" w:eastAsia="Times New Roman" w:hAnsiTheme="minorHAnsi" w:cs="Arial"/>
          <w:i/>
          <w:lang w:eastAsia="en-GB"/>
        </w:rPr>
        <w:t>Otolaryngol Head </w:t>
      </w:r>
      <w:r w:rsidR="000438D5" w:rsidRPr="006A7000">
        <w:rPr>
          <w:rFonts w:asciiTheme="minorHAnsi" w:eastAsia="Times New Roman" w:hAnsiTheme="minorHAnsi" w:cs="Arial"/>
          <w:bCs/>
          <w:i/>
          <w:lang w:eastAsia="en-GB"/>
        </w:rPr>
        <w:t>Neck</w:t>
      </w:r>
      <w:r w:rsidR="000438D5" w:rsidRPr="006A7000">
        <w:rPr>
          <w:rFonts w:asciiTheme="minorHAnsi" w:eastAsia="Times New Roman" w:hAnsiTheme="minorHAnsi" w:cs="Arial"/>
          <w:i/>
          <w:lang w:eastAsia="en-GB"/>
        </w:rPr>
        <w:t> Surg</w:t>
      </w:r>
      <w:r w:rsidR="000438D5" w:rsidRPr="006A7000">
        <w:rPr>
          <w:rFonts w:asciiTheme="minorHAnsi" w:eastAsia="Times New Roman" w:hAnsiTheme="minorHAnsi" w:cs="Arial"/>
          <w:lang w:eastAsia="en-GB"/>
        </w:rPr>
        <w:t>. 2016</w:t>
      </w:r>
      <w:r w:rsidR="00192647" w:rsidRPr="006A7000">
        <w:rPr>
          <w:rFonts w:asciiTheme="minorHAnsi" w:eastAsia="Times New Roman" w:hAnsiTheme="minorHAnsi" w:cs="Arial"/>
          <w:lang w:eastAsia="en-GB"/>
        </w:rPr>
        <w:t>; Epub ahead of print 10</w:t>
      </w:r>
      <w:r w:rsidR="000438D5" w:rsidRPr="006A7000">
        <w:rPr>
          <w:rFonts w:asciiTheme="minorHAnsi" w:eastAsia="Times New Roman" w:hAnsiTheme="minorHAnsi" w:cs="Arial"/>
          <w:lang w:eastAsia="en-GB"/>
        </w:rPr>
        <w:t xml:space="preserve"> May </w:t>
      </w:r>
      <w:r w:rsidR="00192647" w:rsidRPr="006A7000">
        <w:rPr>
          <w:rFonts w:asciiTheme="minorHAnsi" w:eastAsia="Times New Roman" w:hAnsiTheme="minorHAnsi" w:cs="Arial"/>
          <w:lang w:eastAsia="en-GB"/>
        </w:rPr>
        <w:t>2016;</w:t>
      </w:r>
      <w:r w:rsidR="000438D5" w:rsidRPr="006A7000">
        <w:rPr>
          <w:rFonts w:asciiTheme="minorHAnsi" w:eastAsia="Times New Roman" w:hAnsiTheme="minorHAnsi" w:cs="Arial"/>
          <w:lang w:eastAsia="en-GB"/>
        </w:rPr>
        <w:t xml:space="preserve"> pii: 0194599816643695. </w:t>
      </w:r>
    </w:p>
    <w:p w14:paraId="0A1E3C75" w14:textId="0AC2826B" w:rsidR="00F059C2" w:rsidRPr="006A7000" w:rsidRDefault="00F059C2" w:rsidP="00EB35B4">
      <w:pPr>
        <w:pStyle w:val="Title1"/>
        <w:shd w:val="clear" w:color="auto" w:fill="FFFFFF"/>
        <w:spacing w:before="0" w:beforeAutospacing="0" w:after="0" w:afterAutospacing="0"/>
        <w:rPr>
          <w:rFonts w:asciiTheme="minorHAnsi" w:hAnsiTheme="minorHAnsi" w:cs="Arial"/>
          <w:sz w:val="22"/>
          <w:szCs w:val="22"/>
        </w:rPr>
      </w:pPr>
    </w:p>
    <w:p w14:paraId="45020D13" w14:textId="52613B93" w:rsidR="00DC6533" w:rsidRPr="006A7000" w:rsidRDefault="00BB29A1" w:rsidP="00DC6533">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29</w:t>
      </w:r>
      <w:r w:rsidR="00DC6533" w:rsidRPr="006A7000">
        <w:rPr>
          <w:rFonts w:asciiTheme="minorHAnsi" w:hAnsiTheme="minorHAnsi" w:cs="Arial"/>
          <w:sz w:val="22"/>
          <w:szCs w:val="22"/>
        </w:rPr>
        <w:t xml:space="preserve">. Luryi AL, Chen MM, Mehra S, </w:t>
      </w:r>
      <w:r w:rsidR="00192647" w:rsidRPr="006A7000">
        <w:rPr>
          <w:rFonts w:asciiTheme="minorHAnsi" w:hAnsiTheme="minorHAnsi" w:cs="Arial"/>
          <w:sz w:val="22"/>
          <w:szCs w:val="22"/>
        </w:rPr>
        <w:t>Roman SA, Sosa JA, Judson BL.</w:t>
      </w:r>
      <w:r w:rsidR="00DC6533" w:rsidRPr="006A7000">
        <w:rPr>
          <w:rFonts w:asciiTheme="minorHAnsi" w:hAnsiTheme="minorHAnsi" w:cs="Arial"/>
          <w:sz w:val="22"/>
          <w:szCs w:val="22"/>
        </w:rPr>
        <w:t xml:space="preserve"> </w:t>
      </w:r>
      <w:hyperlink r:id="rId20" w:history="1">
        <w:r w:rsidR="00DC6533" w:rsidRPr="006A7000">
          <w:rPr>
            <w:rStyle w:val="Hyperlink"/>
            <w:rFonts w:asciiTheme="minorHAnsi" w:hAnsiTheme="minorHAnsi" w:cs="Arial"/>
            <w:color w:val="auto"/>
            <w:sz w:val="22"/>
            <w:szCs w:val="22"/>
            <w:u w:val="none"/>
          </w:rPr>
          <w:t>Hospital readmission and 30-day mortality after surgery for</w:t>
        </w:r>
        <w:r w:rsidR="00DC6533" w:rsidRPr="006A7000">
          <w:rPr>
            <w:rStyle w:val="apple-converted-space"/>
            <w:rFonts w:asciiTheme="minorHAnsi" w:hAnsiTheme="minorHAnsi" w:cs="Arial"/>
            <w:sz w:val="22"/>
            <w:szCs w:val="22"/>
          </w:rPr>
          <w:t> </w:t>
        </w:r>
        <w:r w:rsidR="00DC6533" w:rsidRPr="006A7000">
          <w:rPr>
            <w:rStyle w:val="Hyperlink"/>
            <w:rFonts w:asciiTheme="minorHAnsi" w:hAnsiTheme="minorHAnsi" w:cs="Arial"/>
            <w:bCs/>
            <w:color w:val="auto"/>
            <w:sz w:val="22"/>
            <w:szCs w:val="22"/>
            <w:u w:val="none"/>
          </w:rPr>
          <w:t>oral</w:t>
        </w:r>
        <w:r w:rsidR="00DC6533" w:rsidRPr="006A7000">
          <w:rPr>
            <w:rStyle w:val="apple-converted-space"/>
            <w:rFonts w:asciiTheme="minorHAnsi" w:hAnsiTheme="minorHAnsi" w:cs="Arial"/>
            <w:sz w:val="22"/>
            <w:szCs w:val="22"/>
          </w:rPr>
          <w:t> </w:t>
        </w:r>
        <w:r w:rsidR="00DC6533" w:rsidRPr="006A7000">
          <w:rPr>
            <w:rStyle w:val="Hyperlink"/>
            <w:rFonts w:asciiTheme="minorHAnsi" w:hAnsiTheme="minorHAnsi" w:cs="Arial"/>
            <w:color w:val="auto"/>
            <w:sz w:val="22"/>
            <w:szCs w:val="22"/>
            <w:u w:val="none"/>
          </w:rPr>
          <w:t>cavity</w:t>
        </w:r>
        <w:r w:rsidR="00DC6533" w:rsidRPr="006A7000">
          <w:rPr>
            <w:rStyle w:val="apple-converted-space"/>
            <w:rFonts w:asciiTheme="minorHAnsi" w:hAnsiTheme="minorHAnsi" w:cs="Arial"/>
            <w:sz w:val="22"/>
            <w:szCs w:val="22"/>
          </w:rPr>
          <w:t> </w:t>
        </w:r>
        <w:r w:rsidR="00DC6533" w:rsidRPr="006A7000">
          <w:rPr>
            <w:rStyle w:val="Hyperlink"/>
            <w:rFonts w:asciiTheme="minorHAnsi" w:hAnsiTheme="minorHAnsi" w:cs="Arial"/>
            <w:bCs/>
            <w:color w:val="auto"/>
            <w:sz w:val="22"/>
            <w:szCs w:val="22"/>
            <w:u w:val="none"/>
          </w:rPr>
          <w:t>cancer</w:t>
        </w:r>
        <w:r w:rsidR="00DC6533" w:rsidRPr="006A7000">
          <w:rPr>
            <w:rStyle w:val="Hyperlink"/>
            <w:rFonts w:asciiTheme="minorHAnsi" w:hAnsiTheme="minorHAnsi" w:cs="Arial"/>
            <w:color w:val="auto"/>
            <w:sz w:val="22"/>
            <w:szCs w:val="22"/>
            <w:u w:val="none"/>
          </w:rPr>
          <w:t>: Analysis of 21,681 cases.</w:t>
        </w:r>
      </w:hyperlink>
      <w:r w:rsidR="00DC6533" w:rsidRPr="006A7000">
        <w:rPr>
          <w:rStyle w:val="Hyperlink"/>
          <w:rFonts w:asciiTheme="minorHAnsi" w:hAnsiTheme="minorHAnsi" w:cs="Arial"/>
          <w:color w:val="auto"/>
          <w:sz w:val="22"/>
          <w:szCs w:val="22"/>
          <w:u w:val="none"/>
        </w:rPr>
        <w:t xml:space="preserve"> </w:t>
      </w:r>
      <w:r w:rsidR="00DC6533" w:rsidRPr="006A7000">
        <w:rPr>
          <w:rStyle w:val="jrnl"/>
          <w:rFonts w:asciiTheme="minorHAnsi" w:hAnsiTheme="minorHAnsi" w:cs="Arial"/>
          <w:i/>
          <w:sz w:val="22"/>
          <w:szCs w:val="22"/>
        </w:rPr>
        <w:t>Head</w:t>
      </w:r>
      <w:r w:rsidR="00DC6533" w:rsidRPr="006A7000">
        <w:rPr>
          <w:rStyle w:val="apple-converted-space"/>
          <w:rFonts w:asciiTheme="minorHAnsi" w:hAnsiTheme="minorHAnsi" w:cs="Arial"/>
          <w:i/>
          <w:sz w:val="22"/>
          <w:szCs w:val="22"/>
        </w:rPr>
        <w:t> </w:t>
      </w:r>
      <w:r w:rsidR="00DC6533" w:rsidRPr="006A7000">
        <w:rPr>
          <w:rStyle w:val="jrnl"/>
          <w:rFonts w:asciiTheme="minorHAnsi" w:hAnsiTheme="minorHAnsi" w:cs="Arial"/>
          <w:bCs/>
          <w:i/>
          <w:sz w:val="22"/>
          <w:szCs w:val="22"/>
        </w:rPr>
        <w:t>Neck</w:t>
      </w:r>
      <w:r w:rsidR="00DC6533" w:rsidRPr="006A7000">
        <w:rPr>
          <w:rFonts w:asciiTheme="minorHAnsi" w:hAnsiTheme="minorHAnsi" w:cs="Arial"/>
          <w:sz w:val="22"/>
          <w:szCs w:val="22"/>
        </w:rPr>
        <w:t>.</w:t>
      </w:r>
      <w:r w:rsidR="00192647" w:rsidRPr="006A7000">
        <w:rPr>
          <w:rFonts w:asciiTheme="minorHAnsi" w:hAnsiTheme="minorHAnsi" w:cs="Arial"/>
          <w:sz w:val="22"/>
          <w:szCs w:val="22"/>
        </w:rPr>
        <w:t xml:space="preserve"> </w:t>
      </w:r>
      <w:r w:rsidR="00DC6533" w:rsidRPr="006A7000">
        <w:rPr>
          <w:rFonts w:asciiTheme="minorHAnsi" w:hAnsiTheme="minorHAnsi" w:cs="Arial"/>
          <w:b/>
          <w:sz w:val="22"/>
          <w:szCs w:val="22"/>
        </w:rPr>
        <w:t>38</w:t>
      </w:r>
      <w:r w:rsidR="00192647" w:rsidRPr="006A7000">
        <w:rPr>
          <w:rFonts w:asciiTheme="minorHAnsi" w:hAnsiTheme="minorHAnsi" w:cs="Arial"/>
          <w:sz w:val="22"/>
          <w:szCs w:val="22"/>
        </w:rPr>
        <w:t>(</w:t>
      </w:r>
      <w:r w:rsidR="00DC6533" w:rsidRPr="006A7000">
        <w:rPr>
          <w:rFonts w:asciiTheme="minorHAnsi" w:hAnsiTheme="minorHAnsi" w:cs="Arial"/>
          <w:sz w:val="22"/>
          <w:szCs w:val="22"/>
        </w:rPr>
        <w:t>Suppl 1:E221-6.</w:t>
      </w:r>
      <w:r w:rsidR="00192647" w:rsidRPr="006A7000">
        <w:rPr>
          <w:rFonts w:asciiTheme="minorHAnsi" w:hAnsiTheme="minorHAnsi" w:cs="Arial"/>
          <w:sz w:val="22"/>
          <w:szCs w:val="22"/>
        </w:rPr>
        <w:t>)</w:t>
      </w:r>
      <w:r w:rsidR="00DC6533" w:rsidRPr="006A7000">
        <w:rPr>
          <w:rFonts w:asciiTheme="minorHAnsi" w:hAnsiTheme="minorHAnsi" w:cs="Arial"/>
          <w:sz w:val="22"/>
          <w:szCs w:val="22"/>
        </w:rPr>
        <w:t xml:space="preserve"> doi: 10.</w:t>
      </w:r>
      <w:r w:rsidR="00094EE1" w:rsidRPr="006A7000">
        <w:rPr>
          <w:rFonts w:asciiTheme="minorHAnsi" w:hAnsiTheme="minorHAnsi" w:cs="Arial"/>
          <w:sz w:val="22"/>
          <w:szCs w:val="22"/>
        </w:rPr>
        <w:t>1002/hed.23973.</w:t>
      </w:r>
      <w:r w:rsidR="00192647" w:rsidRPr="006A7000">
        <w:rPr>
          <w:rFonts w:asciiTheme="minorHAnsi" w:hAnsiTheme="minorHAnsi" w:cs="Arial"/>
          <w:sz w:val="22"/>
          <w:szCs w:val="22"/>
        </w:rPr>
        <w:t xml:space="preserve"> (2016).</w:t>
      </w:r>
    </w:p>
    <w:p w14:paraId="7ABC710F" w14:textId="41072F85" w:rsidR="000438D5" w:rsidRPr="006A7000" w:rsidRDefault="000438D5" w:rsidP="00EB35B4">
      <w:pPr>
        <w:pStyle w:val="Title1"/>
        <w:shd w:val="clear" w:color="auto" w:fill="FFFFFF"/>
        <w:spacing w:before="0" w:beforeAutospacing="0" w:after="0" w:afterAutospacing="0"/>
        <w:rPr>
          <w:rFonts w:asciiTheme="minorHAnsi" w:hAnsiTheme="minorHAnsi" w:cs="Arial"/>
          <w:sz w:val="22"/>
          <w:szCs w:val="22"/>
        </w:rPr>
      </w:pPr>
    </w:p>
    <w:p w14:paraId="2A4A4084" w14:textId="773749CB" w:rsidR="00EB35B4" w:rsidRPr="006A7000" w:rsidRDefault="00A63738" w:rsidP="00043798">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3</w:t>
      </w:r>
      <w:r w:rsidR="00BB29A1" w:rsidRPr="006A7000">
        <w:rPr>
          <w:rFonts w:asciiTheme="minorHAnsi" w:hAnsiTheme="minorHAnsi" w:cs="Arial"/>
          <w:sz w:val="22"/>
          <w:szCs w:val="22"/>
        </w:rPr>
        <w:t>0</w:t>
      </w:r>
      <w:r w:rsidR="00043798" w:rsidRPr="006A7000">
        <w:rPr>
          <w:rFonts w:asciiTheme="minorHAnsi" w:hAnsiTheme="minorHAnsi" w:cs="Arial"/>
          <w:sz w:val="22"/>
          <w:szCs w:val="22"/>
        </w:rPr>
        <w:t xml:space="preserve">. </w:t>
      </w:r>
      <w:r w:rsidR="00EB35B4" w:rsidRPr="006A7000">
        <w:rPr>
          <w:rFonts w:asciiTheme="minorHAnsi" w:hAnsiTheme="minorHAnsi" w:cs="Arial"/>
          <w:sz w:val="22"/>
          <w:szCs w:val="22"/>
        </w:rPr>
        <w:t xml:space="preserve">Acevedo JR, Fero KE, Wilson B, </w:t>
      </w:r>
      <w:r w:rsidR="00192647" w:rsidRPr="006A7000">
        <w:rPr>
          <w:rFonts w:asciiTheme="minorHAnsi" w:hAnsiTheme="minorHAnsi" w:cs="Arial"/>
          <w:sz w:val="22"/>
          <w:szCs w:val="22"/>
        </w:rPr>
        <w:t xml:space="preserve">Sacco AG, Mell LK, Coffey CS </w:t>
      </w:r>
      <w:r w:rsidR="00BE11C5" w:rsidRPr="006A7000">
        <w:rPr>
          <w:rFonts w:asciiTheme="minorHAnsi" w:hAnsiTheme="minorHAnsi" w:cs="Arial"/>
          <w:sz w:val="22"/>
          <w:szCs w:val="22"/>
        </w:rPr>
        <w:t>et al</w:t>
      </w:r>
      <w:r w:rsidR="00192647" w:rsidRPr="006A7000">
        <w:rPr>
          <w:rFonts w:asciiTheme="minorHAnsi" w:hAnsiTheme="minorHAnsi" w:cs="Arial"/>
          <w:sz w:val="22"/>
          <w:szCs w:val="22"/>
        </w:rPr>
        <w:t>.</w:t>
      </w:r>
      <w:r w:rsidR="00043798" w:rsidRPr="006A7000">
        <w:rPr>
          <w:rFonts w:asciiTheme="minorHAnsi" w:hAnsiTheme="minorHAnsi" w:cs="Arial"/>
          <w:sz w:val="22"/>
          <w:szCs w:val="22"/>
        </w:rPr>
        <w:t xml:space="preserve"> </w:t>
      </w:r>
      <w:hyperlink r:id="rId21" w:history="1">
        <w:r w:rsidR="00043798" w:rsidRPr="006A7000">
          <w:rPr>
            <w:rStyle w:val="Hyperlink"/>
            <w:rFonts w:asciiTheme="minorHAnsi" w:hAnsiTheme="minorHAnsi" w:cs="Arial"/>
            <w:color w:val="auto"/>
            <w:sz w:val="22"/>
            <w:szCs w:val="22"/>
            <w:u w:val="none"/>
          </w:rPr>
          <w:t>Cost-Effectiveness Analysis of Elective</w:t>
        </w:r>
        <w:r w:rsidR="00043798" w:rsidRPr="006A7000">
          <w:rPr>
            <w:rStyle w:val="apple-converted-space"/>
            <w:rFonts w:asciiTheme="minorHAnsi" w:hAnsiTheme="minorHAnsi" w:cs="Arial"/>
            <w:sz w:val="22"/>
            <w:szCs w:val="22"/>
          </w:rPr>
          <w:t> </w:t>
        </w:r>
        <w:r w:rsidR="00043798" w:rsidRPr="006A7000">
          <w:rPr>
            <w:rStyle w:val="Hyperlink"/>
            <w:rFonts w:asciiTheme="minorHAnsi" w:hAnsiTheme="minorHAnsi" w:cs="Arial"/>
            <w:bCs/>
            <w:color w:val="auto"/>
            <w:sz w:val="22"/>
            <w:szCs w:val="22"/>
            <w:u w:val="none"/>
          </w:rPr>
          <w:t>Neck</w:t>
        </w:r>
        <w:r w:rsidR="00043798" w:rsidRPr="006A7000">
          <w:rPr>
            <w:rStyle w:val="apple-converted-space"/>
            <w:rFonts w:asciiTheme="minorHAnsi" w:hAnsiTheme="minorHAnsi" w:cs="Arial"/>
            <w:sz w:val="22"/>
            <w:szCs w:val="22"/>
          </w:rPr>
          <w:t> </w:t>
        </w:r>
        <w:r w:rsidR="00043798" w:rsidRPr="006A7000">
          <w:rPr>
            <w:rStyle w:val="Hyperlink"/>
            <w:rFonts w:asciiTheme="minorHAnsi" w:hAnsiTheme="minorHAnsi" w:cs="Arial"/>
            <w:bCs/>
            <w:color w:val="auto"/>
            <w:sz w:val="22"/>
            <w:szCs w:val="22"/>
            <w:u w:val="none"/>
          </w:rPr>
          <w:t>Dissection</w:t>
        </w:r>
        <w:r w:rsidR="00043798" w:rsidRPr="006A7000">
          <w:rPr>
            <w:rStyle w:val="apple-converted-space"/>
            <w:rFonts w:asciiTheme="minorHAnsi" w:hAnsiTheme="minorHAnsi" w:cs="Arial"/>
            <w:sz w:val="22"/>
            <w:szCs w:val="22"/>
          </w:rPr>
          <w:t> </w:t>
        </w:r>
        <w:r w:rsidR="00043798" w:rsidRPr="006A7000">
          <w:rPr>
            <w:rStyle w:val="Hyperlink"/>
            <w:rFonts w:asciiTheme="minorHAnsi" w:hAnsiTheme="minorHAnsi" w:cs="Arial"/>
            <w:color w:val="auto"/>
            <w:sz w:val="22"/>
            <w:szCs w:val="22"/>
            <w:u w:val="none"/>
          </w:rPr>
          <w:t>in Patients With Clinically Node-Negative</w:t>
        </w:r>
        <w:r w:rsidR="00192647" w:rsidRPr="006A7000">
          <w:rPr>
            <w:rStyle w:val="Hyperlink"/>
            <w:rFonts w:asciiTheme="minorHAnsi" w:hAnsiTheme="minorHAnsi" w:cs="Arial"/>
            <w:color w:val="auto"/>
            <w:sz w:val="22"/>
            <w:szCs w:val="22"/>
            <w:u w:val="none"/>
          </w:rPr>
          <w:t xml:space="preserve"> </w:t>
        </w:r>
        <w:r w:rsidR="00043798" w:rsidRPr="006A7000">
          <w:rPr>
            <w:rStyle w:val="Hyperlink"/>
            <w:rFonts w:asciiTheme="minorHAnsi" w:hAnsiTheme="minorHAnsi" w:cs="Arial"/>
            <w:bCs/>
            <w:color w:val="auto"/>
            <w:sz w:val="22"/>
            <w:szCs w:val="22"/>
            <w:u w:val="none"/>
          </w:rPr>
          <w:t>Oral</w:t>
        </w:r>
        <w:r w:rsidR="00043798" w:rsidRPr="006A7000">
          <w:rPr>
            <w:rStyle w:val="apple-converted-space"/>
            <w:rFonts w:asciiTheme="minorHAnsi" w:hAnsiTheme="minorHAnsi" w:cs="Arial"/>
            <w:sz w:val="22"/>
            <w:szCs w:val="22"/>
          </w:rPr>
          <w:t> </w:t>
        </w:r>
        <w:r w:rsidR="00043798" w:rsidRPr="006A7000">
          <w:rPr>
            <w:rStyle w:val="Hyperlink"/>
            <w:rFonts w:asciiTheme="minorHAnsi" w:hAnsiTheme="minorHAnsi" w:cs="Arial"/>
            <w:color w:val="auto"/>
            <w:sz w:val="22"/>
            <w:szCs w:val="22"/>
            <w:u w:val="none"/>
          </w:rPr>
          <w:t>Cavity</w:t>
        </w:r>
        <w:r w:rsidR="00043798" w:rsidRPr="006A7000">
          <w:rPr>
            <w:rStyle w:val="apple-converted-space"/>
            <w:rFonts w:asciiTheme="minorHAnsi" w:hAnsiTheme="minorHAnsi" w:cs="Arial"/>
            <w:sz w:val="22"/>
            <w:szCs w:val="22"/>
          </w:rPr>
          <w:t> </w:t>
        </w:r>
        <w:r w:rsidR="00043798" w:rsidRPr="006A7000">
          <w:rPr>
            <w:rStyle w:val="Hyperlink"/>
            <w:rFonts w:asciiTheme="minorHAnsi" w:hAnsiTheme="minorHAnsi" w:cs="Arial"/>
            <w:bCs/>
            <w:color w:val="auto"/>
            <w:sz w:val="22"/>
            <w:szCs w:val="22"/>
            <w:u w:val="none"/>
          </w:rPr>
          <w:t>Cancer</w:t>
        </w:r>
        <w:r w:rsidR="00043798" w:rsidRPr="006A7000">
          <w:rPr>
            <w:rStyle w:val="Hyperlink"/>
            <w:rFonts w:asciiTheme="minorHAnsi" w:hAnsiTheme="minorHAnsi" w:cs="Arial"/>
            <w:color w:val="auto"/>
            <w:sz w:val="22"/>
            <w:szCs w:val="22"/>
            <w:u w:val="none"/>
          </w:rPr>
          <w:t>.</w:t>
        </w:r>
      </w:hyperlink>
      <w:r w:rsidR="00043798" w:rsidRPr="006A7000">
        <w:rPr>
          <w:rStyle w:val="Hyperlink"/>
          <w:rFonts w:asciiTheme="minorHAnsi" w:hAnsiTheme="minorHAnsi" w:cs="Arial"/>
          <w:color w:val="auto"/>
          <w:sz w:val="22"/>
          <w:szCs w:val="22"/>
          <w:u w:val="none"/>
        </w:rPr>
        <w:t xml:space="preserve"> </w:t>
      </w:r>
      <w:r w:rsidR="00EB35B4" w:rsidRPr="006A7000">
        <w:rPr>
          <w:rStyle w:val="jrnl"/>
          <w:rFonts w:asciiTheme="minorHAnsi" w:hAnsiTheme="minorHAnsi" w:cs="Arial"/>
          <w:i/>
          <w:sz w:val="22"/>
          <w:szCs w:val="22"/>
        </w:rPr>
        <w:t>J Clin Oncol</w:t>
      </w:r>
      <w:r w:rsidR="00043798" w:rsidRPr="006A7000">
        <w:rPr>
          <w:rFonts w:asciiTheme="minorHAnsi" w:hAnsiTheme="minorHAnsi" w:cs="Arial"/>
          <w:sz w:val="22"/>
          <w:szCs w:val="22"/>
        </w:rPr>
        <w:t>. 2016</w:t>
      </w:r>
      <w:r w:rsidR="005676AF" w:rsidRPr="006A7000">
        <w:rPr>
          <w:rFonts w:asciiTheme="minorHAnsi" w:hAnsiTheme="minorHAnsi" w:cs="Arial"/>
          <w:sz w:val="22"/>
          <w:szCs w:val="22"/>
        </w:rPr>
        <w:t xml:space="preserve">; </w:t>
      </w:r>
      <w:r w:rsidR="00FC2AEC" w:rsidRPr="006A7000">
        <w:rPr>
          <w:rFonts w:asciiTheme="minorHAnsi" w:hAnsiTheme="minorHAnsi" w:cs="Arial"/>
          <w:sz w:val="22"/>
          <w:szCs w:val="22"/>
        </w:rPr>
        <w:t>Epub ahead of print</w:t>
      </w:r>
      <w:r w:rsidR="00EB35B4" w:rsidRPr="006A7000">
        <w:rPr>
          <w:rFonts w:asciiTheme="minorHAnsi" w:hAnsiTheme="minorHAnsi" w:cs="Arial"/>
          <w:sz w:val="22"/>
          <w:szCs w:val="22"/>
        </w:rPr>
        <w:t xml:space="preserve"> pii: JCO684563. </w:t>
      </w:r>
    </w:p>
    <w:p w14:paraId="6D9C2F60" w14:textId="1072B468" w:rsidR="00BF363D" w:rsidRPr="006A7000" w:rsidRDefault="00BF363D" w:rsidP="00991252">
      <w:pPr>
        <w:pStyle w:val="Title1"/>
        <w:shd w:val="clear" w:color="auto" w:fill="FFFFFF"/>
        <w:spacing w:before="0" w:beforeAutospacing="0" w:after="0" w:afterAutospacing="0"/>
        <w:rPr>
          <w:rFonts w:asciiTheme="minorHAnsi" w:hAnsiTheme="minorHAnsi" w:cs="AdvTT16f3b945.B"/>
          <w:sz w:val="22"/>
          <w:szCs w:val="22"/>
        </w:rPr>
      </w:pPr>
    </w:p>
    <w:p w14:paraId="6045422F" w14:textId="4F1AC0F5" w:rsidR="00ED63EE" w:rsidRPr="006A7000" w:rsidRDefault="00A63738" w:rsidP="00ED63EE">
      <w:pPr>
        <w:pStyle w:val="Title6"/>
        <w:shd w:val="clear" w:color="auto" w:fill="FFFFFF"/>
        <w:spacing w:before="0" w:beforeAutospacing="0" w:after="0" w:afterAutospacing="0"/>
        <w:rPr>
          <w:rFonts w:asciiTheme="minorHAnsi" w:hAnsiTheme="minorHAnsi" w:cs="Arial"/>
          <w:bCs/>
          <w:sz w:val="22"/>
          <w:szCs w:val="22"/>
        </w:rPr>
      </w:pPr>
      <w:r w:rsidRPr="006A7000">
        <w:rPr>
          <w:rFonts w:asciiTheme="minorHAnsi" w:hAnsiTheme="minorHAnsi" w:cs="Arial"/>
          <w:bCs/>
          <w:sz w:val="22"/>
          <w:szCs w:val="22"/>
        </w:rPr>
        <w:t>3</w:t>
      </w:r>
      <w:r w:rsidR="00BB29A1" w:rsidRPr="006A7000">
        <w:rPr>
          <w:rFonts w:asciiTheme="minorHAnsi" w:hAnsiTheme="minorHAnsi" w:cs="Arial"/>
          <w:bCs/>
          <w:sz w:val="22"/>
          <w:szCs w:val="22"/>
        </w:rPr>
        <w:t>1</w:t>
      </w:r>
      <w:r w:rsidR="00ED63EE" w:rsidRPr="006A7000">
        <w:rPr>
          <w:rFonts w:asciiTheme="minorHAnsi" w:hAnsiTheme="minorHAnsi" w:cs="Arial"/>
          <w:bCs/>
          <w:sz w:val="22"/>
          <w:szCs w:val="22"/>
        </w:rPr>
        <w:t>. Kumar</w:t>
      </w:r>
      <w:r w:rsidR="00ED63EE" w:rsidRPr="006A7000">
        <w:rPr>
          <w:rFonts w:asciiTheme="minorHAnsi" w:hAnsiTheme="minorHAnsi" w:cs="Arial"/>
          <w:sz w:val="22"/>
          <w:szCs w:val="22"/>
        </w:rPr>
        <w:t> R, </w:t>
      </w:r>
      <w:r w:rsidR="00ED63EE" w:rsidRPr="006A7000">
        <w:rPr>
          <w:rFonts w:asciiTheme="minorHAnsi" w:hAnsiTheme="minorHAnsi" w:cs="Arial"/>
          <w:bCs/>
          <w:sz w:val="22"/>
          <w:szCs w:val="22"/>
        </w:rPr>
        <w:t>Putnam</w:t>
      </w:r>
      <w:r w:rsidR="00ED63EE" w:rsidRPr="006A7000">
        <w:rPr>
          <w:rFonts w:asciiTheme="minorHAnsi" w:hAnsiTheme="minorHAnsi" w:cs="Arial"/>
          <w:sz w:val="22"/>
          <w:szCs w:val="22"/>
        </w:rPr>
        <w:t xml:space="preserve"> G, Dyson P, Robson AK. </w:t>
      </w:r>
      <w:hyperlink r:id="rId22" w:history="1">
        <w:r w:rsidR="00ED63EE" w:rsidRPr="006A7000">
          <w:rPr>
            <w:rStyle w:val="Hyperlink"/>
            <w:rFonts w:asciiTheme="minorHAnsi" w:hAnsiTheme="minorHAnsi" w:cs="Arial"/>
            <w:color w:val="auto"/>
            <w:sz w:val="22"/>
            <w:szCs w:val="22"/>
            <w:u w:val="none"/>
          </w:rPr>
          <w:t>Can head and neck cancer patients be discharged after three years?</w:t>
        </w:r>
      </w:hyperlink>
      <w:r w:rsidR="00ED63EE" w:rsidRPr="006A7000">
        <w:rPr>
          <w:rFonts w:asciiTheme="minorHAnsi" w:hAnsiTheme="minorHAnsi" w:cs="Arial"/>
          <w:sz w:val="22"/>
          <w:szCs w:val="22"/>
        </w:rPr>
        <w:t xml:space="preserve"> </w:t>
      </w:r>
      <w:r w:rsidR="00ED63EE" w:rsidRPr="006A7000">
        <w:rPr>
          <w:rStyle w:val="jrnl"/>
          <w:rFonts w:asciiTheme="minorHAnsi" w:hAnsiTheme="minorHAnsi" w:cs="Arial"/>
          <w:i/>
          <w:sz w:val="22"/>
          <w:szCs w:val="22"/>
        </w:rPr>
        <w:t>J Laryngol Otol</w:t>
      </w:r>
      <w:r w:rsidR="00B07002" w:rsidRPr="006A7000">
        <w:rPr>
          <w:rFonts w:asciiTheme="minorHAnsi" w:hAnsiTheme="minorHAnsi" w:cs="Arial"/>
          <w:sz w:val="22"/>
          <w:szCs w:val="22"/>
        </w:rPr>
        <w:t>.</w:t>
      </w:r>
      <w:r w:rsidR="00FC2AEC" w:rsidRPr="006A7000">
        <w:rPr>
          <w:rFonts w:asciiTheme="minorHAnsi" w:hAnsiTheme="minorHAnsi" w:cs="Arial"/>
          <w:sz w:val="22"/>
          <w:szCs w:val="22"/>
        </w:rPr>
        <w:t xml:space="preserve"> </w:t>
      </w:r>
      <w:r w:rsidR="00ED63EE" w:rsidRPr="006A7000">
        <w:rPr>
          <w:rFonts w:asciiTheme="minorHAnsi" w:hAnsiTheme="minorHAnsi" w:cs="Arial"/>
          <w:b/>
          <w:sz w:val="22"/>
          <w:szCs w:val="22"/>
        </w:rPr>
        <w:t>127</w:t>
      </w:r>
      <w:r w:rsidR="00ED63EE" w:rsidRPr="006A7000">
        <w:rPr>
          <w:rFonts w:asciiTheme="minorHAnsi" w:hAnsiTheme="minorHAnsi" w:cs="Arial"/>
          <w:sz w:val="22"/>
          <w:szCs w:val="22"/>
        </w:rPr>
        <w:t>(10)</w:t>
      </w:r>
      <w:r w:rsidR="00FC2AEC" w:rsidRPr="006A7000">
        <w:rPr>
          <w:rFonts w:asciiTheme="minorHAnsi" w:hAnsiTheme="minorHAnsi" w:cs="Arial"/>
          <w:sz w:val="22"/>
          <w:szCs w:val="22"/>
        </w:rPr>
        <w:t xml:space="preserve">, </w:t>
      </w:r>
      <w:r w:rsidR="00ED63EE" w:rsidRPr="006A7000">
        <w:rPr>
          <w:rFonts w:asciiTheme="minorHAnsi" w:hAnsiTheme="minorHAnsi" w:cs="Arial"/>
          <w:sz w:val="22"/>
          <w:szCs w:val="22"/>
        </w:rPr>
        <w:t>991-6</w:t>
      </w:r>
      <w:r w:rsidR="00FC2AEC" w:rsidRPr="006A7000">
        <w:rPr>
          <w:rFonts w:asciiTheme="minorHAnsi" w:hAnsiTheme="minorHAnsi" w:cs="Arial"/>
          <w:sz w:val="22"/>
          <w:szCs w:val="22"/>
        </w:rPr>
        <w:t xml:space="preserve"> (2013).</w:t>
      </w:r>
    </w:p>
    <w:p w14:paraId="63AAAAA6" w14:textId="77777777" w:rsidR="00ED63EE" w:rsidRPr="006A7000" w:rsidRDefault="00ED63EE" w:rsidP="00425C2E">
      <w:pPr>
        <w:pStyle w:val="Title1"/>
        <w:shd w:val="clear" w:color="auto" w:fill="FFFFFF"/>
        <w:spacing w:before="0" w:beforeAutospacing="0" w:after="0" w:afterAutospacing="0"/>
        <w:rPr>
          <w:rFonts w:asciiTheme="minorHAnsi" w:hAnsiTheme="minorHAnsi" w:cs="Arial"/>
          <w:sz w:val="22"/>
          <w:szCs w:val="22"/>
        </w:rPr>
      </w:pPr>
    </w:p>
    <w:p w14:paraId="7C05912E" w14:textId="50694B5F" w:rsidR="00854887" w:rsidRPr="006A7000" w:rsidRDefault="00A63738" w:rsidP="00425C2E">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3</w:t>
      </w:r>
      <w:r w:rsidR="00BB29A1" w:rsidRPr="006A7000">
        <w:rPr>
          <w:rFonts w:asciiTheme="minorHAnsi" w:hAnsiTheme="minorHAnsi" w:cs="Arial"/>
          <w:sz w:val="22"/>
          <w:szCs w:val="22"/>
        </w:rPr>
        <w:t>2</w:t>
      </w:r>
      <w:r w:rsidR="00425C2E" w:rsidRPr="006A7000">
        <w:rPr>
          <w:rFonts w:asciiTheme="minorHAnsi" w:hAnsiTheme="minorHAnsi" w:cs="Arial"/>
          <w:sz w:val="22"/>
          <w:szCs w:val="22"/>
        </w:rPr>
        <w:t xml:space="preserve">. </w:t>
      </w:r>
      <w:r w:rsidR="00854887" w:rsidRPr="006A7000">
        <w:rPr>
          <w:rFonts w:asciiTheme="minorHAnsi" w:hAnsiTheme="minorHAnsi" w:cs="Arial"/>
          <w:sz w:val="22"/>
          <w:szCs w:val="22"/>
        </w:rPr>
        <w:t xml:space="preserve">Schilling C, Stoeckli SJ, Haerle SK, </w:t>
      </w:r>
      <w:r w:rsidR="00FC2AEC" w:rsidRPr="006A7000">
        <w:rPr>
          <w:rFonts w:asciiTheme="minorHAnsi" w:hAnsiTheme="minorHAnsi" w:cs="Arial"/>
          <w:sz w:val="22"/>
          <w:szCs w:val="22"/>
        </w:rPr>
        <w:t xml:space="preserve">Broglie MA, Huber GF, Sorensen JA </w:t>
      </w:r>
      <w:r w:rsidR="00BE11C5" w:rsidRPr="006A7000">
        <w:rPr>
          <w:rFonts w:asciiTheme="minorHAnsi" w:hAnsiTheme="minorHAnsi" w:cs="Arial"/>
          <w:sz w:val="22"/>
          <w:szCs w:val="22"/>
        </w:rPr>
        <w:t>et al</w:t>
      </w:r>
      <w:r w:rsidR="00FC2AEC" w:rsidRPr="006A7000">
        <w:rPr>
          <w:rFonts w:asciiTheme="minorHAnsi" w:hAnsiTheme="minorHAnsi" w:cs="Arial"/>
          <w:sz w:val="22"/>
          <w:szCs w:val="22"/>
        </w:rPr>
        <w:t>.</w:t>
      </w:r>
      <w:r w:rsidR="00425C2E" w:rsidRPr="006A7000">
        <w:rPr>
          <w:rFonts w:asciiTheme="minorHAnsi" w:hAnsiTheme="minorHAnsi" w:cs="Arial"/>
          <w:sz w:val="22"/>
          <w:szCs w:val="22"/>
        </w:rPr>
        <w:t xml:space="preserve"> </w:t>
      </w:r>
      <w:hyperlink r:id="rId23" w:history="1">
        <w:r w:rsidR="00425C2E" w:rsidRPr="006A7000">
          <w:rPr>
            <w:rStyle w:val="Hyperlink"/>
            <w:rFonts w:asciiTheme="minorHAnsi" w:hAnsiTheme="minorHAnsi" w:cs="Arial"/>
            <w:color w:val="auto"/>
            <w:sz w:val="22"/>
            <w:szCs w:val="22"/>
            <w:u w:val="none"/>
          </w:rPr>
          <w:t>Sentinel European Node Trial (SENT): 3-year results of sentinel node biopsy in</w:t>
        </w:r>
        <w:r w:rsidR="00425C2E" w:rsidRPr="006A7000">
          <w:rPr>
            <w:rStyle w:val="apple-converted-space"/>
            <w:rFonts w:asciiTheme="minorHAnsi" w:hAnsiTheme="minorHAnsi" w:cs="Arial"/>
            <w:sz w:val="22"/>
            <w:szCs w:val="22"/>
          </w:rPr>
          <w:t> </w:t>
        </w:r>
        <w:r w:rsidR="00425C2E" w:rsidRPr="006A7000">
          <w:rPr>
            <w:rStyle w:val="Hyperlink"/>
            <w:rFonts w:asciiTheme="minorHAnsi" w:hAnsiTheme="minorHAnsi" w:cs="Arial"/>
            <w:bCs/>
            <w:color w:val="auto"/>
            <w:sz w:val="22"/>
            <w:szCs w:val="22"/>
            <w:u w:val="none"/>
          </w:rPr>
          <w:t>oral</w:t>
        </w:r>
        <w:r w:rsidR="00425C2E" w:rsidRPr="006A7000">
          <w:rPr>
            <w:rStyle w:val="apple-converted-space"/>
            <w:rFonts w:asciiTheme="minorHAnsi" w:hAnsiTheme="minorHAnsi" w:cs="Arial"/>
            <w:sz w:val="22"/>
            <w:szCs w:val="22"/>
          </w:rPr>
          <w:t> </w:t>
        </w:r>
        <w:r w:rsidR="00425C2E" w:rsidRPr="006A7000">
          <w:rPr>
            <w:rStyle w:val="Hyperlink"/>
            <w:rFonts w:asciiTheme="minorHAnsi" w:hAnsiTheme="minorHAnsi" w:cs="Arial"/>
            <w:bCs/>
            <w:color w:val="auto"/>
            <w:sz w:val="22"/>
            <w:szCs w:val="22"/>
            <w:u w:val="none"/>
          </w:rPr>
          <w:t>cancer</w:t>
        </w:r>
        <w:r w:rsidR="00425C2E" w:rsidRPr="006A7000">
          <w:rPr>
            <w:rStyle w:val="Hyperlink"/>
            <w:rFonts w:asciiTheme="minorHAnsi" w:hAnsiTheme="minorHAnsi" w:cs="Arial"/>
            <w:color w:val="auto"/>
            <w:sz w:val="22"/>
            <w:szCs w:val="22"/>
            <w:u w:val="none"/>
          </w:rPr>
          <w:t>.</w:t>
        </w:r>
      </w:hyperlink>
      <w:r w:rsidR="00425C2E" w:rsidRPr="006A7000">
        <w:rPr>
          <w:rStyle w:val="Hyperlink"/>
          <w:rFonts w:asciiTheme="minorHAnsi" w:hAnsiTheme="minorHAnsi" w:cs="Arial"/>
          <w:color w:val="auto"/>
          <w:sz w:val="22"/>
          <w:szCs w:val="22"/>
          <w:u w:val="none"/>
        </w:rPr>
        <w:t xml:space="preserve"> </w:t>
      </w:r>
      <w:r w:rsidR="00854887" w:rsidRPr="006A7000">
        <w:rPr>
          <w:rStyle w:val="jrnl"/>
          <w:rFonts w:asciiTheme="minorHAnsi" w:hAnsiTheme="minorHAnsi" w:cs="Arial"/>
          <w:i/>
          <w:sz w:val="22"/>
          <w:szCs w:val="22"/>
        </w:rPr>
        <w:t>Eur J</w:t>
      </w:r>
      <w:r w:rsidR="00854887" w:rsidRPr="006A7000">
        <w:rPr>
          <w:rStyle w:val="apple-converted-space"/>
          <w:rFonts w:asciiTheme="minorHAnsi" w:hAnsiTheme="minorHAnsi" w:cs="Arial"/>
          <w:i/>
          <w:sz w:val="22"/>
          <w:szCs w:val="22"/>
        </w:rPr>
        <w:t> </w:t>
      </w:r>
      <w:r w:rsidR="00854887" w:rsidRPr="006A7000">
        <w:rPr>
          <w:rStyle w:val="jrnl"/>
          <w:rFonts w:asciiTheme="minorHAnsi" w:hAnsiTheme="minorHAnsi" w:cs="Arial"/>
          <w:bCs/>
          <w:i/>
          <w:sz w:val="22"/>
          <w:szCs w:val="22"/>
        </w:rPr>
        <w:t>Cancer</w:t>
      </w:r>
      <w:r w:rsidR="00BE11C5" w:rsidRPr="006A7000">
        <w:rPr>
          <w:rFonts w:asciiTheme="minorHAnsi" w:hAnsiTheme="minorHAnsi" w:cs="Arial"/>
          <w:sz w:val="22"/>
          <w:szCs w:val="22"/>
        </w:rPr>
        <w:t>.</w:t>
      </w:r>
      <w:r w:rsidR="00FC2AEC" w:rsidRPr="006A7000">
        <w:rPr>
          <w:rFonts w:asciiTheme="minorHAnsi" w:hAnsiTheme="minorHAnsi" w:cs="Arial"/>
          <w:sz w:val="22"/>
          <w:szCs w:val="22"/>
        </w:rPr>
        <w:t xml:space="preserve"> </w:t>
      </w:r>
      <w:r w:rsidR="00BE11C5" w:rsidRPr="006A7000">
        <w:rPr>
          <w:rFonts w:asciiTheme="minorHAnsi" w:hAnsiTheme="minorHAnsi" w:cs="Arial"/>
          <w:b/>
          <w:sz w:val="22"/>
          <w:szCs w:val="22"/>
        </w:rPr>
        <w:t>51</w:t>
      </w:r>
      <w:r w:rsidR="00BE11C5" w:rsidRPr="006A7000">
        <w:rPr>
          <w:rFonts w:asciiTheme="minorHAnsi" w:hAnsiTheme="minorHAnsi" w:cs="Arial"/>
          <w:sz w:val="22"/>
          <w:szCs w:val="22"/>
        </w:rPr>
        <w:t>(18)</w:t>
      </w:r>
      <w:r w:rsidR="00FC2AEC" w:rsidRPr="006A7000">
        <w:rPr>
          <w:rFonts w:asciiTheme="minorHAnsi" w:hAnsiTheme="minorHAnsi" w:cs="Arial"/>
          <w:sz w:val="22"/>
          <w:szCs w:val="22"/>
        </w:rPr>
        <w:t xml:space="preserve">, </w:t>
      </w:r>
      <w:r w:rsidR="00BE11C5" w:rsidRPr="006A7000">
        <w:rPr>
          <w:rFonts w:asciiTheme="minorHAnsi" w:hAnsiTheme="minorHAnsi" w:cs="Arial"/>
          <w:sz w:val="22"/>
          <w:szCs w:val="22"/>
        </w:rPr>
        <w:t>2777-84</w:t>
      </w:r>
      <w:r w:rsidR="00FC2AEC" w:rsidRPr="006A7000">
        <w:rPr>
          <w:rFonts w:asciiTheme="minorHAnsi" w:hAnsiTheme="minorHAnsi" w:cs="Arial"/>
          <w:sz w:val="22"/>
          <w:szCs w:val="22"/>
        </w:rPr>
        <w:t xml:space="preserve"> (2015).</w:t>
      </w:r>
    </w:p>
    <w:p w14:paraId="7C9F8300" w14:textId="77777777" w:rsidR="00FB10E5" w:rsidRPr="006A7000" w:rsidRDefault="00FB10E5" w:rsidP="00425C2E">
      <w:pPr>
        <w:pStyle w:val="Title1"/>
        <w:shd w:val="clear" w:color="auto" w:fill="FFFFFF"/>
        <w:spacing w:before="0" w:beforeAutospacing="0" w:after="0" w:afterAutospacing="0"/>
        <w:rPr>
          <w:rFonts w:asciiTheme="minorHAnsi" w:hAnsiTheme="minorHAnsi" w:cs="Arial"/>
          <w:sz w:val="22"/>
          <w:szCs w:val="22"/>
        </w:rPr>
      </w:pPr>
    </w:p>
    <w:p w14:paraId="0E71896B" w14:textId="727D6994" w:rsidR="00365710" w:rsidRPr="006A7000" w:rsidRDefault="00A63738" w:rsidP="00365710">
      <w:pPr>
        <w:pStyle w:val="Title1"/>
        <w:shd w:val="clear" w:color="auto" w:fill="FFFFFF"/>
        <w:spacing w:before="0" w:beforeAutospacing="0" w:after="0" w:afterAutospacing="0"/>
        <w:rPr>
          <w:rFonts w:asciiTheme="minorHAnsi" w:hAnsiTheme="minorHAnsi"/>
          <w:sz w:val="22"/>
          <w:szCs w:val="22"/>
        </w:rPr>
      </w:pPr>
      <w:r w:rsidRPr="006A7000">
        <w:rPr>
          <w:rFonts w:asciiTheme="minorHAnsi" w:hAnsiTheme="minorHAnsi"/>
          <w:sz w:val="22"/>
          <w:szCs w:val="22"/>
        </w:rPr>
        <w:lastRenderedPageBreak/>
        <w:t>3</w:t>
      </w:r>
      <w:r w:rsidR="00BB29A1" w:rsidRPr="006A7000">
        <w:rPr>
          <w:rFonts w:asciiTheme="minorHAnsi" w:hAnsiTheme="minorHAnsi"/>
          <w:sz w:val="22"/>
          <w:szCs w:val="22"/>
        </w:rPr>
        <w:t>3</w:t>
      </w:r>
      <w:r w:rsidR="00365710" w:rsidRPr="006A7000">
        <w:rPr>
          <w:rFonts w:asciiTheme="minorHAnsi" w:hAnsiTheme="minorHAnsi"/>
          <w:sz w:val="22"/>
          <w:szCs w:val="22"/>
        </w:rPr>
        <w:t xml:space="preserve">. Chaturvedi P, Datta S, Arya S, </w:t>
      </w:r>
      <w:r w:rsidR="00FC2AEC" w:rsidRPr="006A7000">
        <w:rPr>
          <w:rFonts w:asciiTheme="minorHAnsi" w:hAnsiTheme="minorHAnsi"/>
          <w:sz w:val="22"/>
          <w:szCs w:val="22"/>
        </w:rPr>
        <w:t xml:space="preserve">Rangarajan V, Kane SV, Nair D </w:t>
      </w:r>
      <w:r w:rsidR="00BE11C5" w:rsidRPr="006A7000">
        <w:rPr>
          <w:rFonts w:asciiTheme="minorHAnsi" w:hAnsiTheme="minorHAnsi"/>
          <w:sz w:val="22"/>
          <w:szCs w:val="22"/>
        </w:rPr>
        <w:t>et al:</w:t>
      </w:r>
      <w:r w:rsidR="00365710" w:rsidRPr="006A7000">
        <w:rPr>
          <w:rFonts w:asciiTheme="minorHAnsi" w:hAnsiTheme="minorHAnsi" w:cs="Helvetica Neue"/>
          <w:sz w:val="22"/>
          <w:szCs w:val="22"/>
          <w:lang w:val="en-US"/>
        </w:rPr>
        <w:t xml:space="preserve"> </w:t>
      </w:r>
      <w:r w:rsidR="00365710" w:rsidRPr="006A7000">
        <w:rPr>
          <w:rFonts w:asciiTheme="minorHAnsi" w:hAnsiTheme="minorHAnsi"/>
          <w:sz w:val="22"/>
          <w:szCs w:val="22"/>
        </w:rPr>
        <w:t xml:space="preserve">Prospective study of ultrasound-guided fine-needle aspiration cytology and sentinel node biopsy in the staging of clinically negative T1 and T2 oral cancer. </w:t>
      </w:r>
      <w:r w:rsidR="00365710" w:rsidRPr="006A7000">
        <w:rPr>
          <w:rFonts w:asciiTheme="minorHAnsi" w:hAnsiTheme="minorHAnsi"/>
          <w:i/>
          <w:sz w:val="22"/>
          <w:szCs w:val="22"/>
        </w:rPr>
        <w:t>Head Neck</w:t>
      </w:r>
      <w:r w:rsidR="00365710" w:rsidRPr="006A7000">
        <w:rPr>
          <w:rFonts w:asciiTheme="minorHAnsi" w:hAnsiTheme="minorHAnsi"/>
          <w:sz w:val="22"/>
          <w:szCs w:val="22"/>
        </w:rPr>
        <w:t>.</w:t>
      </w:r>
      <w:r w:rsidR="00FC2AEC" w:rsidRPr="006A7000">
        <w:rPr>
          <w:rFonts w:asciiTheme="minorHAnsi" w:hAnsiTheme="minorHAnsi"/>
          <w:sz w:val="22"/>
          <w:szCs w:val="22"/>
        </w:rPr>
        <w:t xml:space="preserve"> </w:t>
      </w:r>
      <w:r w:rsidR="00365710" w:rsidRPr="006A7000">
        <w:rPr>
          <w:rFonts w:asciiTheme="minorHAnsi" w:hAnsiTheme="minorHAnsi"/>
          <w:b/>
          <w:sz w:val="22"/>
          <w:szCs w:val="22"/>
        </w:rPr>
        <w:t>37</w:t>
      </w:r>
      <w:r w:rsidR="00365710" w:rsidRPr="006A7000">
        <w:rPr>
          <w:rFonts w:asciiTheme="minorHAnsi" w:hAnsiTheme="minorHAnsi"/>
          <w:sz w:val="22"/>
          <w:szCs w:val="22"/>
        </w:rPr>
        <w:t>(10)</w:t>
      </w:r>
      <w:r w:rsidR="00FC2AEC" w:rsidRPr="006A7000">
        <w:rPr>
          <w:rFonts w:asciiTheme="minorHAnsi" w:hAnsiTheme="minorHAnsi"/>
          <w:sz w:val="22"/>
          <w:szCs w:val="22"/>
        </w:rPr>
        <w:t xml:space="preserve">, </w:t>
      </w:r>
      <w:r w:rsidR="00365710" w:rsidRPr="006A7000">
        <w:rPr>
          <w:rFonts w:asciiTheme="minorHAnsi" w:hAnsiTheme="minorHAnsi"/>
          <w:sz w:val="22"/>
          <w:szCs w:val="22"/>
        </w:rPr>
        <w:t>1504-8</w:t>
      </w:r>
      <w:r w:rsidR="00FC2AEC" w:rsidRPr="006A7000">
        <w:rPr>
          <w:rFonts w:asciiTheme="minorHAnsi" w:hAnsiTheme="minorHAnsi"/>
          <w:sz w:val="22"/>
          <w:szCs w:val="22"/>
        </w:rPr>
        <w:t xml:space="preserve"> (2015).</w:t>
      </w:r>
    </w:p>
    <w:p w14:paraId="34B18F6F" w14:textId="7F6047E0" w:rsidR="00365710" w:rsidRPr="006A7000" w:rsidRDefault="00365710" w:rsidP="00425C2E">
      <w:pPr>
        <w:pStyle w:val="Title1"/>
        <w:shd w:val="clear" w:color="auto" w:fill="FFFFFF"/>
        <w:spacing w:before="0" w:beforeAutospacing="0" w:after="0" w:afterAutospacing="0"/>
        <w:rPr>
          <w:rFonts w:asciiTheme="minorHAnsi" w:hAnsiTheme="minorHAnsi" w:cs="Arial"/>
          <w:sz w:val="22"/>
          <w:szCs w:val="22"/>
        </w:rPr>
      </w:pPr>
    </w:p>
    <w:p w14:paraId="3EBCC80E" w14:textId="50484C73" w:rsidR="00380318" w:rsidRPr="006A7000" w:rsidRDefault="00A63738" w:rsidP="00380318">
      <w:pPr>
        <w:pStyle w:val="Title1"/>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3</w:t>
      </w:r>
      <w:r w:rsidR="00D216EA" w:rsidRPr="006A7000">
        <w:rPr>
          <w:rFonts w:asciiTheme="minorHAnsi" w:hAnsiTheme="minorHAnsi" w:cs="Arial"/>
          <w:sz w:val="22"/>
          <w:szCs w:val="22"/>
        </w:rPr>
        <w:t>4</w:t>
      </w:r>
      <w:r w:rsidR="00380318" w:rsidRPr="006A7000">
        <w:rPr>
          <w:rFonts w:asciiTheme="minorHAnsi" w:hAnsiTheme="minorHAnsi" w:cs="Arial"/>
          <w:sz w:val="22"/>
          <w:szCs w:val="22"/>
        </w:rPr>
        <w:t xml:space="preserve">. Hernando J, Villarreal P, Alvarez-Marcos F, </w:t>
      </w:r>
      <w:r w:rsidR="00FC2AEC" w:rsidRPr="006A7000">
        <w:rPr>
          <w:rFonts w:asciiTheme="minorHAnsi" w:hAnsiTheme="minorHAnsi" w:cs="Arial"/>
          <w:sz w:val="22"/>
          <w:szCs w:val="22"/>
        </w:rPr>
        <w:t>Gallego L, García-Consuegra L, Junquera L.</w:t>
      </w:r>
      <w:r w:rsidR="00380318" w:rsidRPr="006A7000">
        <w:rPr>
          <w:rFonts w:asciiTheme="minorHAnsi" w:hAnsiTheme="minorHAnsi" w:cs="Arial"/>
          <w:sz w:val="22"/>
          <w:szCs w:val="22"/>
        </w:rPr>
        <w:t xml:space="preserve"> Comparison of related complications: sentinel node biopsy versus elective neck dissection. </w:t>
      </w:r>
      <w:r w:rsidR="00380318" w:rsidRPr="006A7000">
        <w:rPr>
          <w:rFonts w:asciiTheme="minorHAnsi" w:hAnsiTheme="minorHAnsi" w:cs="Arial"/>
          <w:i/>
          <w:sz w:val="22"/>
          <w:szCs w:val="22"/>
        </w:rPr>
        <w:t>Int J</w:t>
      </w:r>
      <w:r w:rsidR="00FC2AEC" w:rsidRPr="006A7000">
        <w:rPr>
          <w:rFonts w:asciiTheme="minorHAnsi" w:hAnsiTheme="minorHAnsi" w:cs="Arial"/>
          <w:i/>
          <w:sz w:val="22"/>
          <w:szCs w:val="22"/>
        </w:rPr>
        <w:t xml:space="preserve"> </w:t>
      </w:r>
      <w:r w:rsidR="00380318" w:rsidRPr="006A7000">
        <w:rPr>
          <w:rFonts w:asciiTheme="minorHAnsi" w:hAnsiTheme="minorHAnsi" w:cs="Arial"/>
          <w:i/>
          <w:sz w:val="22"/>
          <w:szCs w:val="22"/>
        </w:rPr>
        <w:t>Oral Maxillofac Surg</w:t>
      </w:r>
      <w:r w:rsidR="00380318" w:rsidRPr="006A7000">
        <w:rPr>
          <w:rFonts w:asciiTheme="minorHAnsi" w:hAnsiTheme="minorHAnsi" w:cs="Arial"/>
          <w:sz w:val="22"/>
          <w:szCs w:val="22"/>
        </w:rPr>
        <w:t>.</w:t>
      </w:r>
      <w:r w:rsidR="006776A5" w:rsidRPr="006A7000">
        <w:rPr>
          <w:rFonts w:asciiTheme="minorHAnsi" w:hAnsiTheme="minorHAnsi" w:cs="Arial"/>
          <w:sz w:val="22"/>
          <w:szCs w:val="22"/>
        </w:rPr>
        <w:t xml:space="preserve"> </w:t>
      </w:r>
      <w:r w:rsidR="00380318" w:rsidRPr="006A7000">
        <w:rPr>
          <w:rFonts w:asciiTheme="minorHAnsi" w:hAnsiTheme="minorHAnsi" w:cs="Arial"/>
          <w:b/>
          <w:sz w:val="22"/>
          <w:szCs w:val="22"/>
        </w:rPr>
        <w:t>43</w:t>
      </w:r>
      <w:r w:rsidR="00380318" w:rsidRPr="006A7000">
        <w:rPr>
          <w:rFonts w:asciiTheme="minorHAnsi" w:hAnsiTheme="minorHAnsi" w:cs="Arial"/>
          <w:sz w:val="22"/>
          <w:szCs w:val="22"/>
        </w:rPr>
        <w:t>(11)</w:t>
      </w:r>
      <w:r w:rsidR="006776A5" w:rsidRPr="006A7000">
        <w:rPr>
          <w:rFonts w:asciiTheme="minorHAnsi" w:hAnsiTheme="minorHAnsi" w:cs="Arial"/>
          <w:sz w:val="22"/>
          <w:szCs w:val="22"/>
        </w:rPr>
        <w:t xml:space="preserve">, </w:t>
      </w:r>
      <w:r w:rsidR="00380318" w:rsidRPr="006A7000">
        <w:rPr>
          <w:rFonts w:asciiTheme="minorHAnsi" w:hAnsiTheme="minorHAnsi" w:cs="Arial"/>
          <w:sz w:val="22"/>
          <w:szCs w:val="22"/>
        </w:rPr>
        <w:t>1307-12</w:t>
      </w:r>
      <w:r w:rsidR="006776A5" w:rsidRPr="006A7000">
        <w:rPr>
          <w:rFonts w:asciiTheme="minorHAnsi" w:hAnsiTheme="minorHAnsi" w:cs="Arial"/>
          <w:sz w:val="22"/>
          <w:szCs w:val="22"/>
        </w:rPr>
        <w:t xml:space="preserve"> (2014).</w:t>
      </w:r>
    </w:p>
    <w:p w14:paraId="6B539873" w14:textId="77777777" w:rsidR="00380318" w:rsidRPr="006A7000" w:rsidRDefault="00380318" w:rsidP="00380318">
      <w:pPr>
        <w:pStyle w:val="Title1"/>
        <w:shd w:val="clear" w:color="auto" w:fill="FFFFFF"/>
        <w:spacing w:before="0" w:beforeAutospacing="0" w:after="0" w:afterAutospacing="0"/>
        <w:rPr>
          <w:rFonts w:asciiTheme="minorHAnsi" w:hAnsiTheme="minorHAnsi" w:cs="Arial"/>
          <w:sz w:val="22"/>
          <w:szCs w:val="22"/>
        </w:rPr>
      </w:pPr>
    </w:p>
    <w:p w14:paraId="7568419E" w14:textId="00A9B105" w:rsidR="00094EE1" w:rsidRPr="006A7000" w:rsidRDefault="00ED63EE" w:rsidP="00380318">
      <w:pPr>
        <w:pStyle w:val="Title5"/>
        <w:shd w:val="clear" w:color="auto" w:fill="FFFFFF"/>
        <w:spacing w:before="0" w:beforeAutospacing="0" w:after="0" w:afterAutospacing="0"/>
        <w:rPr>
          <w:rFonts w:asciiTheme="minorHAnsi" w:hAnsiTheme="minorHAnsi" w:cs="Arial"/>
          <w:sz w:val="22"/>
          <w:szCs w:val="22"/>
        </w:rPr>
      </w:pPr>
      <w:r w:rsidRPr="006A7000">
        <w:rPr>
          <w:rFonts w:asciiTheme="minorHAnsi" w:hAnsiTheme="minorHAnsi" w:cs="Arial"/>
          <w:sz w:val="22"/>
          <w:szCs w:val="22"/>
        </w:rPr>
        <w:t>3</w:t>
      </w:r>
      <w:r w:rsidR="00D216EA" w:rsidRPr="006A7000">
        <w:rPr>
          <w:rFonts w:asciiTheme="minorHAnsi" w:hAnsiTheme="minorHAnsi" w:cs="Arial"/>
          <w:sz w:val="22"/>
          <w:szCs w:val="22"/>
        </w:rPr>
        <w:t>5</w:t>
      </w:r>
      <w:r w:rsidR="00094EE1" w:rsidRPr="006A7000">
        <w:rPr>
          <w:rFonts w:asciiTheme="minorHAnsi" w:hAnsiTheme="minorHAnsi" w:cs="Arial"/>
          <w:sz w:val="22"/>
          <w:szCs w:val="22"/>
        </w:rPr>
        <w:t>. Cramer JD, Sridharan S, Ferris RL, Duvvuri U, Samant S.</w:t>
      </w:r>
      <w:r w:rsidR="00380318" w:rsidRPr="006A7000">
        <w:rPr>
          <w:rFonts w:asciiTheme="minorHAnsi" w:hAnsiTheme="minorHAnsi" w:cs="Arial"/>
          <w:sz w:val="22"/>
          <w:szCs w:val="22"/>
        </w:rPr>
        <w:t xml:space="preserve"> </w:t>
      </w:r>
      <w:hyperlink r:id="rId24" w:history="1">
        <w:r w:rsidR="00380318" w:rsidRPr="006A7000">
          <w:rPr>
            <w:rStyle w:val="Hyperlink"/>
            <w:rFonts w:asciiTheme="minorHAnsi" w:hAnsiTheme="minorHAnsi" w:cs="Arial"/>
            <w:color w:val="auto"/>
            <w:sz w:val="22"/>
            <w:szCs w:val="22"/>
            <w:u w:val="none"/>
          </w:rPr>
          <w:t>Sentinel Lymph Node Biopsy Versus Elective </w:t>
        </w:r>
        <w:r w:rsidR="00380318" w:rsidRPr="006A7000">
          <w:rPr>
            <w:rStyle w:val="Hyperlink"/>
            <w:rFonts w:asciiTheme="minorHAnsi" w:hAnsiTheme="minorHAnsi" w:cs="Arial"/>
            <w:bCs/>
            <w:color w:val="auto"/>
            <w:sz w:val="22"/>
            <w:szCs w:val="22"/>
            <w:u w:val="none"/>
          </w:rPr>
          <w:t>Neck Dissection</w:t>
        </w:r>
        <w:r w:rsidR="00380318" w:rsidRPr="006A7000">
          <w:rPr>
            <w:rStyle w:val="Hyperlink"/>
            <w:rFonts w:asciiTheme="minorHAnsi" w:hAnsiTheme="minorHAnsi" w:cs="Arial"/>
            <w:color w:val="auto"/>
            <w:sz w:val="22"/>
            <w:szCs w:val="22"/>
            <w:u w:val="none"/>
          </w:rPr>
          <w:t> for Stage I to II </w:t>
        </w:r>
        <w:r w:rsidR="00380318" w:rsidRPr="006A7000">
          <w:rPr>
            <w:rStyle w:val="Hyperlink"/>
            <w:rFonts w:asciiTheme="minorHAnsi" w:hAnsiTheme="minorHAnsi" w:cs="Arial"/>
            <w:bCs/>
            <w:color w:val="auto"/>
            <w:sz w:val="22"/>
            <w:szCs w:val="22"/>
            <w:u w:val="none"/>
          </w:rPr>
          <w:t>Oral</w:t>
        </w:r>
        <w:r w:rsidR="00380318" w:rsidRPr="006A7000">
          <w:rPr>
            <w:rStyle w:val="Hyperlink"/>
            <w:rFonts w:asciiTheme="minorHAnsi" w:hAnsiTheme="minorHAnsi" w:cs="Arial"/>
            <w:color w:val="auto"/>
            <w:sz w:val="22"/>
            <w:szCs w:val="22"/>
            <w:u w:val="none"/>
          </w:rPr>
          <w:t> Cavity </w:t>
        </w:r>
        <w:r w:rsidR="00380318" w:rsidRPr="006A7000">
          <w:rPr>
            <w:rStyle w:val="Hyperlink"/>
            <w:rFonts w:asciiTheme="minorHAnsi" w:hAnsiTheme="minorHAnsi" w:cs="Arial"/>
            <w:bCs/>
            <w:color w:val="auto"/>
            <w:sz w:val="22"/>
            <w:szCs w:val="22"/>
            <w:u w:val="none"/>
          </w:rPr>
          <w:t>Cancer</w:t>
        </w:r>
        <w:r w:rsidR="00380318" w:rsidRPr="006A7000">
          <w:rPr>
            <w:rStyle w:val="Hyperlink"/>
            <w:rFonts w:asciiTheme="minorHAnsi" w:hAnsiTheme="minorHAnsi" w:cs="Arial"/>
            <w:color w:val="auto"/>
            <w:sz w:val="22"/>
            <w:szCs w:val="22"/>
            <w:u w:val="none"/>
          </w:rPr>
          <w:t>.</w:t>
        </w:r>
      </w:hyperlink>
      <w:r w:rsidR="00380318" w:rsidRPr="006A7000">
        <w:rPr>
          <w:rStyle w:val="Hyperlink"/>
          <w:rFonts w:asciiTheme="minorHAnsi" w:hAnsiTheme="minorHAnsi" w:cs="Arial"/>
          <w:color w:val="auto"/>
          <w:sz w:val="22"/>
          <w:szCs w:val="22"/>
          <w:u w:val="none"/>
        </w:rPr>
        <w:t xml:space="preserve"> </w:t>
      </w:r>
      <w:r w:rsidR="00094EE1" w:rsidRPr="006A7000">
        <w:rPr>
          <w:rStyle w:val="jrnl"/>
          <w:rFonts w:asciiTheme="minorHAnsi" w:hAnsiTheme="minorHAnsi" w:cs="Arial"/>
          <w:i/>
          <w:sz w:val="22"/>
          <w:szCs w:val="22"/>
        </w:rPr>
        <w:t>Laryngoscope</w:t>
      </w:r>
      <w:r w:rsidR="00380318" w:rsidRPr="006A7000">
        <w:rPr>
          <w:rFonts w:asciiTheme="minorHAnsi" w:hAnsiTheme="minorHAnsi" w:cs="Arial"/>
          <w:sz w:val="22"/>
          <w:szCs w:val="22"/>
        </w:rPr>
        <w:t>.</w:t>
      </w:r>
      <w:r w:rsidR="006776A5" w:rsidRPr="006A7000">
        <w:rPr>
          <w:rFonts w:asciiTheme="minorHAnsi" w:hAnsiTheme="minorHAnsi" w:cs="Arial"/>
          <w:sz w:val="22"/>
          <w:szCs w:val="22"/>
        </w:rPr>
        <w:t xml:space="preserve"> </w:t>
      </w:r>
      <w:r w:rsidR="006776A5" w:rsidRPr="006A7000">
        <w:rPr>
          <w:rFonts w:asciiTheme="minorHAnsi" w:hAnsiTheme="minorHAnsi" w:cs="Arial"/>
          <w:b/>
          <w:sz w:val="22"/>
          <w:szCs w:val="22"/>
        </w:rPr>
        <w:t>129</w:t>
      </w:r>
      <w:r w:rsidR="006776A5" w:rsidRPr="006A7000">
        <w:rPr>
          <w:rFonts w:asciiTheme="minorHAnsi" w:hAnsiTheme="minorHAnsi" w:cs="Arial"/>
          <w:sz w:val="22"/>
          <w:szCs w:val="22"/>
        </w:rPr>
        <w:t>(1), 162-169 (2019).</w:t>
      </w:r>
    </w:p>
    <w:p w14:paraId="2BB25409" w14:textId="77777777" w:rsidR="00094EE1" w:rsidRPr="006A7000" w:rsidRDefault="00094EE1" w:rsidP="00425C2E">
      <w:pPr>
        <w:pStyle w:val="Title1"/>
        <w:shd w:val="clear" w:color="auto" w:fill="FFFFFF"/>
        <w:spacing w:before="0" w:beforeAutospacing="0" w:after="0" w:afterAutospacing="0"/>
        <w:rPr>
          <w:rFonts w:asciiTheme="minorHAnsi" w:hAnsiTheme="minorHAnsi" w:cs="Arial"/>
          <w:sz w:val="22"/>
          <w:szCs w:val="22"/>
        </w:rPr>
      </w:pPr>
    </w:p>
    <w:p w14:paraId="27310BDF" w14:textId="74C5575A" w:rsidR="003270C8" w:rsidRPr="006A7000" w:rsidRDefault="00A63738" w:rsidP="00EA749A">
      <w:pPr>
        <w:pStyle w:val="Title1"/>
        <w:shd w:val="clear" w:color="auto" w:fill="FFFFFF"/>
        <w:spacing w:before="0" w:beforeAutospacing="0" w:after="0" w:afterAutospacing="0"/>
        <w:rPr>
          <w:rFonts w:cs="Arial"/>
        </w:rPr>
      </w:pPr>
      <w:r w:rsidRPr="006A7000">
        <w:rPr>
          <w:rFonts w:asciiTheme="minorHAnsi" w:hAnsiTheme="minorHAnsi" w:cs="Arial"/>
          <w:sz w:val="22"/>
          <w:szCs w:val="22"/>
        </w:rPr>
        <w:t>3</w:t>
      </w:r>
      <w:r w:rsidR="00D216EA" w:rsidRPr="006A7000">
        <w:rPr>
          <w:rFonts w:asciiTheme="minorHAnsi" w:hAnsiTheme="minorHAnsi" w:cs="Arial"/>
          <w:sz w:val="22"/>
          <w:szCs w:val="22"/>
        </w:rPr>
        <w:t>6</w:t>
      </w:r>
      <w:r w:rsidRPr="006A7000">
        <w:rPr>
          <w:rFonts w:asciiTheme="minorHAnsi" w:hAnsiTheme="minorHAnsi" w:cs="Arial"/>
          <w:sz w:val="22"/>
          <w:szCs w:val="22"/>
        </w:rPr>
        <w:t xml:space="preserve">. Hernando J, Villarreal P, Álvarez-Marcos F, </w:t>
      </w:r>
      <w:r w:rsidR="006776A5" w:rsidRPr="006A7000">
        <w:rPr>
          <w:rFonts w:asciiTheme="minorHAnsi" w:hAnsiTheme="minorHAnsi" w:cs="Arial"/>
          <w:sz w:val="22"/>
          <w:szCs w:val="22"/>
        </w:rPr>
        <w:t>García-Consuegra L, Gallego L, Junquera L.</w:t>
      </w:r>
      <w:r w:rsidRPr="006A7000">
        <w:rPr>
          <w:rFonts w:asciiTheme="minorHAnsi" w:hAnsiTheme="minorHAnsi" w:cs="Arial"/>
          <w:sz w:val="22"/>
          <w:szCs w:val="22"/>
        </w:rPr>
        <w:t xml:space="preserve"> </w:t>
      </w:r>
      <w:hyperlink r:id="rId25" w:history="1">
        <w:r w:rsidRPr="006A7000">
          <w:rPr>
            <w:rStyle w:val="Hyperlink"/>
            <w:rFonts w:asciiTheme="minorHAnsi" w:hAnsiTheme="minorHAnsi" w:cs="Arial"/>
            <w:color w:val="auto"/>
            <w:sz w:val="22"/>
            <w:szCs w:val="22"/>
            <w:u w:val="none"/>
          </w:rPr>
          <w:t>Sentinel node biopsy versus elective</w:t>
        </w:r>
        <w:r w:rsidRPr="006A7000">
          <w:rPr>
            <w:rStyle w:val="apple-converted-space"/>
            <w:rFonts w:asciiTheme="minorHAnsi" w:hAnsiTheme="minorHAnsi" w:cs="Arial"/>
            <w:sz w:val="22"/>
            <w:szCs w:val="22"/>
          </w:rPr>
          <w:t> </w:t>
        </w:r>
        <w:r w:rsidRPr="006A7000">
          <w:rPr>
            <w:rStyle w:val="Hyperlink"/>
            <w:rFonts w:asciiTheme="minorHAnsi" w:hAnsiTheme="minorHAnsi" w:cs="Arial"/>
            <w:bCs/>
            <w:color w:val="auto"/>
            <w:sz w:val="22"/>
            <w:szCs w:val="22"/>
            <w:u w:val="none"/>
          </w:rPr>
          <w:t>neck</w:t>
        </w:r>
        <w:r w:rsidRPr="006A7000">
          <w:rPr>
            <w:rStyle w:val="apple-converted-space"/>
            <w:rFonts w:asciiTheme="minorHAnsi" w:hAnsiTheme="minorHAnsi" w:cs="Arial"/>
            <w:sz w:val="22"/>
            <w:szCs w:val="22"/>
          </w:rPr>
          <w:t> </w:t>
        </w:r>
        <w:r w:rsidRPr="006A7000">
          <w:rPr>
            <w:rStyle w:val="Hyperlink"/>
            <w:rFonts w:asciiTheme="minorHAnsi" w:hAnsiTheme="minorHAnsi" w:cs="Arial"/>
            <w:bCs/>
            <w:color w:val="auto"/>
            <w:sz w:val="22"/>
            <w:szCs w:val="22"/>
            <w:u w:val="none"/>
          </w:rPr>
          <w:t>dissection</w:t>
        </w:r>
        <w:r w:rsidRPr="006A7000">
          <w:rPr>
            <w:rStyle w:val="Hyperlink"/>
            <w:rFonts w:asciiTheme="minorHAnsi" w:hAnsiTheme="minorHAnsi" w:cs="Arial"/>
            <w:color w:val="auto"/>
            <w:sz w:val="22"/>
            <w:szCs w:val="22"/>
            <w:u w:val="none"/>
          </w:rPr>
          <w:t>. Which is more cost-effective? A prospective observational study.</w:t>
        </w:r>
      </w:hyperlink>
      <w:r w:rsidRPr="006A7000">
        <w:rPr>
          <w:rStyle w:val="Hyperlink"/>
          <w:rFonts w:asciiTheme="minorHAnsi" w:hAnsiTheme="minorHAnsi" w:cs="Arial"/>
          <w:color w:val="auto"/>
          <w:sz w:val="22"/>
          <w:szCs w:val="22"/>
          <w:u w:val="none"/>
        </w:rPr>
        <w:t xml:space="preserve"> </w:t>
      </w:r>
      <w:r w:rsidRPr="006A7000">
        <w:rPr>
          <w:rStyle w:val="jrnl"/>
          <w:rFonts w:asciiTheme="minorHAnsi" w:hAnsiTheme="minorHAnsi" w:cs="Arial"/>
          <w:i/>
          <w:sz w:val="22"/>
          <w:szCs w:val="22"/>
        </w:rPr>
        <w:t>J Craniomaxillofac Surg</w:t>
      </w:r>
      <w:r w:rsidRPr="006A7000">
        <w:rPr>
          <w:rFonts w:asciiTheme="minorHAnsi" w:hAnsiTheme="minorHAnsi" w:cs="Arial"/>
          <w:sz w:val="22"/>
          <w:szCs w:val="22"/>
        </w:rPr>
        <w:t>.</w:t>
      </w:r>
      <w:r w:rsidR="006776A5" w:rsidRPr="006A7000">
        <w:rPr>
          <w:rFonts w:asciiTheme="minorHAnsi" w:hAnsiTheme="minorHAnsi" w:cs="Arial"/>
          <w:sz w:val="22"/>
          <w:szCs w:val="22"/>
        </w:rPr>
        <w:t xml:space="preserve"> </w:t>
      </w:r>
      <w:r w:rsidRPr="006A7000">
        <w:rPr>
          <w:rFonts w:asciiTheme="minorHAnsi" w:hAnsiTheme="minorHAnsi" w:cs="Arial"/>
          <w:b/>
          <w:sz w:val="22"/>
          <w:szCs w:val="22"/>
        </w:rPr>
        <w:t>44</w:t>
      </w:r>
      <w:r w:rsidRPr="006A7000">
        <w:rPr>
          <w:rFonts w:asciiTheme="minorHAnsi" w:hAnsiTheme="minorHAnsi" w:cs="Arial"/>
          <w:sz w:val="22"/>
          <w:szCs w:val="22"/>
        </w:rPr>
        <w:t>(5)</w:t>
      </w:r>
      <w:r w:rsidR="006776A5" w:rsidRPr="006A7000">
        <w:rPr>
          <w:rFonts w:asciiTheme="minorHAnsi" w:hAnsiTheme="minorHAnsi" w:cs="Arial"/>
          <w:sz w:val="22"/>
          <w:szCs w:val="22"/>
        </w:rPr>
        <w:t xml:space="preserve">, </w:t>
      </w:r>
      <w:r w:rsidRPr="006A7000">
        <w:rPr>
          <w:rFonts w:asciiTheme="minorHAnsi" w:hAnsiTheme="minorHAnsi" w:cs="Arial"/>
          <w:sz w:val="22"/>
          <w:szCs w:val="22"/>
        </w:rPr>
        <w:t>550-6</w:t>
      </w:r>
      <w:r w:rsidR="006776A5" w:rsidRPr="006A7000">
        <w:rPr>
          <w:rFonts w:asciiTheme="minorHAnsi" w:hAnsiTheme="minorHAnsi" w:cs="Arial"/>
          <w:sz w:val="22"/>
          <w:szCs w:val="22"/>
        </w:rPr>
        <w:t xml:space="preserve"> (2016).</w:t>
      </w:r>
      <w:r w:rsidR="00F51764" w:rsidRPr="006A7000">
        <w:rPr>
          <w:rFonts w:cs="Arial"/>
        </w:rPr>
        <w:br w:type="page"/>
      </w:r>
    </w:p>
    <w:p w14:paraId="2BB7F58D" w14:textId="77777777" w:rsidR="003270C8" w:rsidRPr="006A7000" w:rsidRDefault="003270C8" w:rsidP="00B95772">
      <w:pPr>
        <w:spacing w:line="480" w:lineRule="auto"/>
        <w:rPr>
          <w:b/>
          <w:sz w:val="24"/>
          <w:szCs w:val="24"/>
        </w:rPr>
      </w:pPr>
      <w:r w:rsidRPr="006A7000">
        <w:rPr>
          <w:b/>
          <w:sz w:val="24"/>
          <w:szCs w:val="24"/>
        </w:rPr>
        <w:lastRenderedPageBreak/>
        <w:t>Figure Legends</w:t>
      </w:r>
    </w:p>
    <w:p w14:paraId="4B53F82A" w14:textId="77777777" w:rsidR="003270C8" w:rsidRPr="006A7000" w:rsidRDefault="003270C8" w:rsidP="00B95772">
      <w:pPr>
        <w:spacing w:line="480" w:lineRule="auto"/>
        <w:rPr>
          <w:rFonts w:cs="Courier New"/>
          <w:b/>
          <w:shd w:val="clear" w:color="auto" w:fill="FFFFFF"/>
        </w:rPr>
      </w:pPr>
    </w:p>
    <w:p w14:paraId="416D5D72" w14:textId="3E41DDF7" w:rsidR="003270C8" w:rsidRPr="006A7000" w:rsidRDefault="003270C8" w:rsidP="00B95772">
      <w:pPr>
        <w:pStyle w:val="NoSpacing"/>
        <w:spacing w:line="480" w:lineRule="auto"/>
        <w:rPr>
          <w:rFonts w:cs="Courier New"/>
          <w:shd w:val="clear" w:color="auto" w:fill="FFFFFF"/>
        </w:rPr>
      </w:pPr>
      <w:r w:rsidRPr="006A7000">
        <w:rPr>
          <w:b/>
        </w:rPr>
        <w:t>Figure 1. Measures of efficacy for the randomi</w:t>
      </w:r>
      <w:r w:rsidR="00666342" w:rsidRPr="006A7000">
        <w:rPr>
          <w:b/>
        </w:rPr>
        <w:t>s</w:t>
      </w:r>
      <w:r w:rsidRPr="006A7000">
        <w:rPr>
          <w:b/>
        </w:rPr>
        <w:t xml:space="preserve">ed patients. The 5-year OS HR allowing for the randomisation stratification factors (age, T-stage and surgeon; stratified intention-to-treat analysis) is </w:t>
      </w:r>
      <w:r w:rsidRPr="006A7000">
        <w:rPr>
          <w:b/>
          <w:shd w:val="clear" w:color="auto" w:fill="FFFFFF"/>
        </w:rPr>
        <w:t xml:space="preserve">0.64 (95% CI 0.33-1.23). Because 41 surgeons each operated on &lt;10 patients, we also replaced ‘surgeon’ with geographical location and the adjusted OS is 0.73 (95% CI 0.44-1.22). </w:t>
      </w:r>
      <w:r w:rsidRPr="006A7000">
        <w:rPr>
          <w:rFonts w:cs="Arial"/>
          <w:b/>
        </w:rPr>
        <w:t xml:space="preserve">All three efficacy outcomes (OS, DFS, loco-regional recurrence) did not violate the assumption of proportional hazards (the OS curves crossed when there were few patients). </w:t>
      </w:r>
      <w:r w:rsidRPr="006A7000">
        <w:rPr>
          <w:rFonts w:cs="Courier New"/>
          <w:b/>
          <w:shd w:val="clear" w:color="auto" w:fill="FFFFFF"/>
        </w:rPr>
        <w:t>(OS overall survival, DFS disease-free survival, HR hazard ratio, CI confidence interval)</w:t>
      </w:r>
    </w:p>
    <w:p w14:paraId="1BA6A885" w14:textId="77777777" w:rsidR="003270C8" w:rsidRPr="006A7000" w:rsidRDefault="003270C8" w:rsidP="00B95772">
      <w:pPr>
        <w:pStyle w:val="Title1"/>
        <w:shd w:val="clear" w:color="auto" w:fill="FFFFFF"/>
        <w:spacing w:before="0" w:beforeAutospacing="0" w:after="0" w:afterAutospacing="0" w:line="480" w:lineRule="auto"/>
        <w:rPr>
          <w:rFonts w:ascii="Calibri" w:hAnsi="Calibri" w:cs="Arial"/>
          <w:sz w:val="22"/>
          <w:szCs w:val="22"/>
        </w:rPr>
      </w:pPr>
    </w:p>
    <w:p w14:paraId="639BC271" w14:textId="6BEC6AB7" w:rsidR="003270C8" w:rsidRPr="006A7000" w:rsidRDefault="003270C8" w:rsidP="00B95772">
      <w:pPr>
        <w:pStyle w:val="NoSpacing"/>
        <w:spacing w:line="480" w:lineRule="auto"/>
        <w:rPr>
          <w:b/>
          <w:shd w:val="clear" w:color="auto" w:fill="FFFFFF"/>
        </w:rPr>
      </w:pPr>
      <w:r w:rsidRPr="006A7000">
        <w:rPr>
          <w:b/>
          <w:shd w:val="clear" w:color="auto" w:fill="FFFFFF"/>
        </w:rPr>
        <w:t>Figure 2. Patients in the observational cohort. The adjusted hazard ratios allow for age, sex, smoking status, alcohol drinking status, geographical location, clinical T-stage, and site of tumo</w:t>
      </w:r>
      <w:r w:rsidR="00851534" w:rsidRPr="006A7000">
        <w:rPr>
          <w:b/>
          <w:shd w:val="clear" w:color="auto" w:fill="FFFFFF"/>
        </w:rPr>
        <w:t>u</w:t>
      </w:r>
      <w:r w:rsidRPr="006A7000">
        <w:rPr>
          <w:b/>
          <w:shd w:val="clear" w:color="auto" w:fill="FFFFFF"/>
        </w:rPr>
        <w:t>r in the mouth. If additionally adjusted for tumo</w:t>
      </w:r>
      <w:r w:rsidR="00851534" w:rsidRPr="006A7000">
        <w:rPr>
          <w:b/>
          <w:shd w:val="clear" w:color="auto" w:fill="FFFFFF"/>
        </w:rPr>
        <w:t>u</w:t>
      </w:r>
      <w:r w:rsidRPr="006A7000">
        <w:rPr>
          <w:b/>
          <w:shd w:val="clear" w:color="auto" w:fill="FFFFFF"/>
        </w:rPr>
        <w:t>r pathology features (tumo</w:t>
      </w:r>
      <w:r w:rsidR="00851534" w:rsidRPr="006A7000">
        <w:rPr>
          <w:b/>
          <w:shd w:val="clear" w:color="auto" w:fill="FFFFFF"/>
        </w:rPr>
        <w:t>u</w:t>
      </w:r>
      <w:r w:rsidRPr="006A7000">
        <w:rPr>
          <w:b/>
          <w:shd w:val="clear" w:color="auto" w:fill="FFFFFF"/>
        </w:rPr>
        <w:t xml:space="preserve">r diameter, depth of invasion, differentiation and completeness of resection), the HRs become 0.43 (95% CI 0.25-0.75, p=0.003) for OS; 0.35 (95% CI 0.25-0.69, p&lt;0.001) for DFS; and 0.19 (95% CI 0.09-0.44, p&lt;0.001) for loco-regional recurrence. </w:t>
      </w:r>
      <w:r w:rsidRPr="006A7000">
        <w:rPr>
          <w:rFonts w:cs="Courier New"/>
          <w:b/>
          <w:shd w:val="clear" w:color="auto" w:fill="FFFFFF"/>
        </w:rPr>
        <w:t>(OS overall survival, DFS disease-free survival, HR hazard ratio, CI confidence interval)</w:t>
      </w:r>
    </w:p>
    <w:p w14:paraId="697F57DE" w14:textId="77777777" w:rsidR="003270C8" w:rsidRPr="006A7000" w:rsidRDefault="003270C8" w:rsidP="00B95772">
      <w:pPr>
        <w:pStyle w:val="Title1"/>
        <w:shd w:val="clear" w:color="auto" w:fill="FFFFFF"/>
        <w:spacing w:before="0" w:beforeAutospacing="0" w:after="0" w:afterAutospacing="0" w:line="480" w:lineRule="auto"/>
        <w:rPr>
          <w:rFonts w:ascii="Calibri" w:hAnsi="Calibri" w:cs="Arial"/>
          <w:sz w:val="22"/>
          <w:szCs w:val="22"/>
        </w:rPr>
      </w:pPr>
    </w:p>
    <w:p w14:paraId="555AD24A" w14:textId="10C763DA" w:rsidR="003270C8" w:rsidRPr="006A7000" w:rsidRDefault="003270C8" w:rsidP="00B95772">
      <w:pPr>
        <w:pStyle w:val="MediumGrid2-Accent11"/>
        <w:spacing w:line="480" w:lineRule="auto"/>
        <w:rPr>
          <w:b/>
          <w:shd w:val="clear" w:color="auto" w:fill="FFFFFF"/>
        </w:rPr>
      </w:pPr>
      <w:r w:rsidRPr="006A7000">
        <w:rPr>
          <w:b/>
          <w:shd w:val="clear" w:color="auto" w:fill="FFFFFF"/>
        </w:rPr>
        <w:t>Figure 3. Forest plots of all randomi</w:t>
      </w:r>
      <w:r w:rsidR="00666342" w:rsidRPr="006A7000">
        <w:rPr>
          <w:b/>
          <w:shd w:val="clear" w:color="auto" w:fill="FFFFFF"/>
        </w:rPr>
        <w:t>s</w:t>
      </w:r>
      <w:r w:rsidRPr="006A7000">
        <w:rPr>
          <w:b/>
          <w:shd w:val="clear" w:color="auto" w:fill="FFFFFF"/>
        </w:rPr>
        <w:t>ed trials</w:t>
      </w:r>
      <w:r w:rsidR="00E5119A" w:rsidRPr="006A7000">
        <w:rPr>
          <w:b/>
          <w:shd w:val="clear" w:color="auto" w:fill="FFFFFF"/>
          <w:vertAlign w:val="superscript"/>
        </w:rPr>
        <w:t>9</w:t>
      </w:r>
      <w:r w:rsidRPr="006A7000">
        <w:rPr>
          <w:b/>
          <w:shd w:val="clear" w:color="auto" w:fill="FFFFFF"/>
          <w:vertAlign w:val="superscript"/>
        </w:rPr>
        <w:t>-1</w:t>
      </w:r>
      <w:r w:rsidR="00E5119A" w:rsidRPr="006A7000">
        <w:rPr>
          <w:b/>
          <w:shd w:val="clear" w:color="auto" w:fill="FFFFFF"/>
          <w:vertAlign w:val="superscript"/>
        </w:rPr>
        <w:t>3</w:t>
      </w:r>
      <w:r w:rsidRPr="006A7000">
        <w:rPr>
          <w:b/>
          <w:shd w:val="clear" w:color="auto" w:fill="FFFFFF"/>
        </w:rPr>
        <w:t xml:space="preserve"> that have evaluated elective neck dissection (END) for early stage oral cancer. All trials except one compared END with resection only of the primary mouth tumo</w:t>
      </w:r>
      <w:r w:rsidR="00851534" w:rsidRPr="006A7000">
        <w:rPr>
          <w:b/>
          <w:shd w:val="clear" w:color="auto" w:fill="FFFFFF"/>
        </w:rPr>
        <w:t>u</w:t>
      </w:r>
      <w:r w:rsidRPr="006A7000">
        <w:rPr>
          <w:b/>
          <w:shd w:val="clear" w:color="auto" w:fill="FFFFFF"/>
        </w:rPr>
        <w:t>r, whilst in the study by Vandenbrouck</w:t>
      </w:r>
      <w:r w:rsidR="00E5119A" w:rsidRPr="006A7000">
        <w:rPr>
          <w:b/>
          <w:shd w:val="clear" w:color="auto" w:fill="FFFFFF"/>
          <w:vertAlign w:val="superscript"/>
        </w:rPr>
        <w:t>9</w:t>
      </w:r>
      <w:r w:rsidRPr="006A7000">
        <w:rPr>
          <w:b/>
          <w:shd w:val="clear" w:color="auto" w:fill="FFFFFF"/>
        </w:rPr>
        <w:t xml:space="preserve"> all patients had radiotherapy for the primary tumo</w:t>
      </w:r>
      <w:r w:rsidR="00851534" w:rsidRPr="006A7000">
        <w:rPr>
          <w:b/>
          <w:shd w:val="clear" w:color="auto" w:fill="FFFFFF"/>
        </w:rPr>
        <w:t>u</w:t>
      </w:r>
      <w:r w:rsidRPr="006A7000">
        <w:rPr>
          <w:b/>
          <w:shd w:val="clear" w:color="auto" w:fill="FFFFFF"/>
        </w:rPr>
        <w:t>r and were then randomi</w:t>
      </w:r>
      <w:r w:rsidR="00666342" w:rsidRPr="006A7000">
        <w:rPr>
          <w:b/>
          <w:shd w:val="clear" w:color="auto" w:fill="FFFFFF"/>
        </w:rPr>
        <w:t>s</w:t>
      </w:r>
      <w:r w:rsidRPr="006A7000">
        <w:rPr>
          <w:b/>
          <w:shd w:val="clear" w:color="auto" w:fill="FFFFFF"/>
        </w:rPr>
        <w:t xml:space="preserve">ed to receive a neck dissection or not. </w:t>
      </w:r>
    </w:p>
    <w:p w14:paraId="078D3500" w14:textId="14F18B4E" w:rsidR="000140E8" w:rsidRPr="006A7000" w:rsidRDefault="003270C8" w:rsidP="00191AF0">
      <w:pPr>
        <w:pStyle w:val="MediumGrid2-Accent11"/>
        <w:spacing w:line="480" w:lineRule="auto"/>
        <w:rPr>
          <w:rFonts w:cs="Arial"/>
        </w:rPr>
      </w:pPr>
      <w:r w:rsidRPr="006A7000">
        <w:rPr>
          <w:b/>
          <w:shd w:val="clear" w:color="auto" w:fill="FFFFFF"/>
        </w:rPr>
        <w:t xml:space="preserve">Excluding the Vandenbrouck </w:t>
      </w:r>
      <w:r w:rsidR="009356E6" w:rsidRPr="006A7000">
        <w:rPr>
          <w:b/>
          <w:shd w:val="clear" w:color="auto" w:fill="FFFFFF"/>
        </w:rPr>
        <w:t>study</w:t>
      </w:r>
      <w:r w:rsidR="00151CB5" w:rsidRPr="006A7000">
        <w:rPr>
          <w:b/>
          <w:shd w:val="clear" w:color="auto" w:fill="FFFFFF"/>
        </w:rPr>
        <w:t xml:space="preserve"> </w:t>
      </w:r>
      <w:r w:rsidRPr="006A7000">
        <w:rPr>
          <w:b/>
          <w:shd w:val="clear" w:color="auto" w:fill="FFFFFF"/>
        </w:rPr>
        <w:t>produces p=0.35 for the heterogeneity test and I</w:t>
      </w:r>
      <w:r w:rsidRPr="006A7000">
        <w:rPr>
          <w:b/>
          <w:shd w:val="clear" w:color="auto" w:fill="FFFFFF"/>
          <w:vertAlign w:val="superscript"/>
        </w:rPr>
        <w:t>2</w:t>
      </w:r>
      <w:r w:rsidRPr="006A7000">
        <w:rPr>
          <w:b/>
          <w:shd w:val="clear" w:color="auto" w:fill="FFFFFF"/>
        </w:rPr>
        <w:t xml:space="preserve">=11% for DFS, and the pooled HR is 0.54, 95% CI 0.43-0.68, p&lt;0.001 for DFS, and HR 0.64, 95% CI 0.49-0.82 p&lt;0.001 for OS. </w:t>
      </w:r>
      <w:r w:rsidRPr="006A7000">
        <w:rPr>
          <w:rFonts w:cs="Courier New"/>
          <w:b/>
          <w:shd w:val="clear" w:color="auto" w:fill="FFFFFF"/>
        </w:rPr>
        <w:t>(OS overall survival, DFS disease-free survival, END elective neck dissection, HR hazard ratio, CI confidence interval)</w:t>
      </w:r>
    </w:p>
    <w:sectPr w:rsidR="000140E8" w:rsidRPr="006A7000" w:rsidSect="00191AF0">
      <w:footerReference w:type="default" r:id="rId26"/>
      <w:pgSz w:w="11906" w:h="16838"/>
      <w:pgMar w:top="709" w:right="1134" w:bottom="1276" w:left="85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AE2C" w14:textId="77777777" w:rsidR="00545EBF" w:rsidRDefault="00545EBF" w:rsidP="006E4710">
      <w:pPr>
        <w:spacing w:after="0" w:line="240" w:lineRule="auto"/>
      </w:pPr>
      <w:r>
        <w:separator/>
      </w:r>
    </w:p>
  </w:endnote>
  <w:endnote w:type="continuationSeparator" w:id="0">
    <w:p w14:paraId="54A30387" w14:textId="77777777" w:rsidR="00545EBF" w:rsidRDefault="00545EBF" w:rsidP="006E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panose1 w:val="020B0604020202020204"/>
    <w:charset w:val="00"/>
    <w:family w:val="auto"/>
    <w:notTrueType/>
    <w:pitch w:val="default"/>
    <w:sig w:usb0="00000003" w:usb1="00000000" w:usb2="0000000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 w:name="OTNEJMQuadraat">
    <w:altName w:val="Times New Roman"/>
    <w:panose1 w:val="020B0604020202020204"/>
    <w:charset w:val="A3"/>
    <w:family w:val="roman"/>
    <w:notTrueType/>
    <w:pitch w:val="default"/>
    <w:sig w:usb0="20000001" w:usb1="00000000" w:usb2="00000000" w:usb3="00000000" w:csb0="00000100" w:csb1="00000000"/>
  </w:font>
  <w:font w:name="AdvTT16f3b945.B">
    <w:panose1 w:val="020B0604020202020204"/>
    <w:charset w:val="00"/>
    <w:family w:val="swiss"/>
    <w:notTrueType/>
    <w:pitch w:val="default"/>
    <w:sig w:usb0="00000003" w:usb1="00000000" w:usb2="00000000" w:usb3="00000000" w:csb0="00000001" w:csb1="00000000"/>
  </w:font>
  <w:font w:name="AdvOT833fb896">
    <w:panose1 w:val="020B0604020202020204"/>
    <w:charset w:val="00"/>
    <w:family w:val="roman"/>
    <w:notTrueType/>
    <w:pitch w:val="default"/>
    <w:sig w:usb0="00000003" w:usb1="00000000" w:usb2="00000000" w:usb3="00000000" w:csb0="00000001" w:csb1="00000000"/>
  </w:font>
  <w:font w:name="AdvOT2ea83e65.I">
    <w:panose1 w:val="020B0604020202020204"/>
    <w:charset w:val="00"/>
    <w:family w:val="roman"/>
    <w:notTrueType/>
    <w:pitch w:val="default"/>
    <w:sig w:usb0="00000003" w:usb1="00000000" w:usb2="00000000" w:usb3="00000000" w:csb0="00000001" w:csb1="00000000"/>
  </w:font>
  <w:font w:name="AdvOT38164c97.B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dvOTdaafad64">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35E" w14:textId="67950E46" w:rsidR="00D478C7" w:rsidRDefault="00D478C7">
    <w:pPr>
      <w:pStyle w:val="Footer"/>
      <w:jc w:val="right"/>
    </w:pPr>
    <w:r>
      <w:fldChar w:fldCharType="begin"/>
    </w:r>
    <w:r>
      <w:instrText xml:space="preserve"> PAGE   \* MERGEFORMAT </w:instrText>
    </w:r>
    <w:r>
      <w:fldChar w:fldCharType="separate"/>
    </w:r>
    <w:r w:rsidR="00057047">
      <w:rPr>
        <w:noProof/>
      </w:rPr>
      <w:t>1</w:t>
    </w:r>
    <w:r>
      <w:rPr>
        <w:noProof/>
      </w:rPr>
      <w:fldChar w:fldCharType="end"/>
    </w:r>
  </w:p>
  <w:p w14:paraId="68B3550B" w14:textId="77777777" w:rsidR="00D478C7" w:rsidRDefault="00D4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732D" w14:textId="77777777" w:rsidR="00545EBF" w:rsidRDefault="00545EBF" w:rsidP="006E4710">
      <w:pPr>
        <w:spacing w:after="0" w:line="240" w:lineRule="auto"/>
      </w:pPr>
      <w:r>
        <w:separator/>
      </w:r>
    </w:p>
  </w:footnote>
  <w:footnote w:type="continuationSeparator" w:id="0">
    <w:p w14:paraId="16DB207F" w14:textId="77777777" w:rsidR="00545EBF" w:rsidRDefault="00545EBF" w:rsidP="006E4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C6F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B4BB8"/>
    <w:multiLevelType w:val="hybridMultilevel"/>
    <w:tmpl w:val="4BD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3AA1"/>
    <w:multiLevelType w:val="hybridMultilevel"/>
    <w:tmpl w:val="DD36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F10122"/>
    <w:multiLevelType w:val="hybridMultilevel"/>
    <w:tmpl w:val="3AB2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11BDC"/>
    <w:multiLevelType w:val="hybridMultilevel"/>
    <w:tmpl w:val="1488E3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F7395"/>
    <w:multiLevelType w:val="hybridMultilevel"/>
    <w:tmpl w:val="0C0C7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B7A02"/>
    <w:multiLevelType w:val="hybridMultilevel"/>
    <w:tmpl w:val="C130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8B7C18"/>
    <w:multiLevelType w:val="hybridMultilevel"/>
    <w:tmpl w:val="E88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102B0"/>
    <w:multiLevelType w:val="hybridMultilevel"/>
    <w:tmpl w:val="868E5E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34EF9"/>
    <w:multiLevelType w:val="hybridMultilevel"/>
    <w:tmpl w:val="B3A2D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1"/>
  </w:num>
  <w:num w:numId="6">
    <w:abstractNumId w:val="0"/>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48"/>
    <w:rsid w:val="00000018"/>
    <w:rsid w:val="00001BF6"/>
    <w:rsid w:val="000027F1"/>
    <w:rsid w:val="00004CE3"/>
    <w:rsid w:val="000052BF"/>
    <w:rsid w:val="000053FF"/>
    <w:rsid w:val="00005662"/>
    <w:rsid w:val="00006FDE"/>
    <w:rsid w:val="00006FF0"/>
    <w:rsid w:val="00007B07"/>
    <w:rsid w:val="00007FA7"/>
    <w:rsid w:val="000103DB"/>
    <w:rsid w:val="000113D2"/>
    <w:rsid w:val="00011BCE"/>
    <w:rsid w:val="00011DA0"/>
    <w:rsid w:val="00012FA4"/>
    <w:rsid w:val="00013167"/>
    <w:rsid w:val="00013926"/>
    <w:rsid w:val="000140E8"/>
    <w:rsid w:val="000150C9"/>
    <w:rsid w:val="00017030"/>
    <w:rsid w:val="00017C58"/>
    <w:rsid w:val="00021773"/>
    <w:rsid w:val="00022C19"/>
    <w:rsid w:val="00023187"/>
    <w:rsid w:val="00026267"/>
    <w:rsid w:val="00027A41"/>
    <w:rsid w:val="00030ECF"/>
    <w:rsid w:val="000311ED"/>
    <w:rsid w:val="00031664"/>
    <w:rsid w:val="00032801"/>
    <w:rsid w:val="00032879"/>
    <w:rsid w:val="00034897"/>
    <w:rsid w:val="00034DD5"/>
    <w:rsid w:val="00037201"/>
    <w:rsid w:val="00037F07"/>
    <w:rsid w:val="00041B9F"/>
    <w:rsid w:val="000422DC"/>
    <w:rsid w:val="00042A58"/>
    <w:rsid w:val="00042D21"/>
    <w:rsid w:val="00043798"/>
    <w:rsid w:val="000438D5"/>
    <w:rsid w:val="000452E6"/>
    <w:rsid w:val="0004600C"/>
    <w:rsid w:val="00046753"/>
    <w:rsid w:val="00047C8F"/>
    <w:rsid w:val="000511A6"/>
    <w:rsid w:val="000514C1"/>
    <w:rsid w:val="000519D4"/>
    <w:rsid w:val="00051CE2"/>
    <w:rsid w:val="00052499"/>
    <w:rsid w:val="000525BC"/>
    <w:rsid w:val="00052A03"/>
    <w:rsid w:val="000535FF"/>
    <w:rsid w:val="00055028"/>
    <w:rsid w:val="000555A5"/>
    <w:rsid w:val="00057047"/>
    <w:rsid w:val="00057E5F"/>
    <w:rsid w:val="00060A09"/>
    <w:rsid w:val="00062238"/>
    <w:rsid w:val="00062B71"/>
    <w:rsid w:val="00062B8C"/>
    <w:rsid w:val="00062EFE"/>
    <w:rsid w:val="0006719B"/>
    <w:rsid w:val="000673F0"/>
    <w:rsid w:val="00067A5A"/>
    <w:rsid w:val="00070A58"/>
    <w:rsid w:val="00071999"/>
    <w:rsid w:val="0007205E"/>
    <w:rsid w:val="000725BB"/>
    <w:rsid w:val="00073C04"/>
    <w:rsid w:val="00073C20"/>
    <w:rsid w:val="00073F3C"/>
    <w:rsid w:val="00075A46"/>
    <w:rsid w:val="00075D16"/>
    <w:rsid w:val="00075FE2"/>
    <w:rsid w:val="0007684E"/>
    <w:rsid w:val="000804AB"/>
    <w:rsid w:val="000806F5"/>
    <w:rsid w:val="000808DC"/>
    <w:rsid w:val="00081B66"/>
    <w:rsid w:val="00082AC0"/>
    <w:rsid w:val="0008362A"/>
    <w:rsid w:val="0008450F"/>
    <w:rsid w:val="0008490E"/>
    <w:rsid w:val="00084AFE"/>
    <w:rsid w:val="00086C48"/>
    <w:rsid w:val="00090148"/>
    <w:rsid w:val="0009023B"/>
    <w:rsid w:val="00091309"/>
    <w:rsid w:val="00091E8B"/>
    <w:rsid w:val="0009232F"/>
    <w:rsid w:val="0009260B"/>
    <w:rsid w:val="00092628"/>
    <w:rsid w:val="00092FF6"/>
    <w:rsid w:val="000932F5"/>
    <w:rsid w:val="00094432"/>
    <w:rsid w:val="00094EE1"/>
    <w:rsid w:val="00095A12"/>
    <w:rsid w:val="00095F79"/>
    <w:rsid w:val="00096FA5"/>
    <w:rsid w:val="000977AE"/>
    <w:rsid w:val="000978B4"/>
    <w:rsid w:val="000A2742"/>
    <w:rsid w:val="000A279D"/>
    <w:rsid w:val="000A30A1"/>
    <w:rsid w:val="000A3450"/>
    <w:rsid w:val="000A3D8B"/>
    <w:rsid w:val="000A53E5"/>
    <w:rsid w:val="000A65E1"/>
    <w:rsid w:val="000A6A41"/>
    <w:rsid w:val="000A79C2"/>
    <w:rsid w:val="000B07B4"/>
    <w:rsid w:val="000B5199"/>
    <w:rsid w:val="000B6400"/>
    <w:rsid w:val="000B6504"/>
    <w:rsid w:val="000B77D6"/>
    <w:rsid w:val="000C0762"/>
    <w:rsid w:val="000C0A60"/>
    <w:rsid w:val="000C2B74"/>
    <w:rsid w:val="000C2D01"/>
    <w:rsid w:val="000C3EB9"/>
    <w:rsid w:val="000C532D"/>
    <w:rsid w:val="000C5FE5"/>
    <w:rsid w:val="000C65B9"/>
    <w:rsid w:val="000C775D"/>
    <w:rsid w:val="000D07A6"/>
    <w:rsid w:val="000D278F"/>
    <w:rsid w:val="000D33D7"/>
    <w:rsid w:val="000D3CBB"/>
    <w:rsid w:val="000D4DFC"/>
    <w:rsid w:val="000D580F"/>
    <w:rsid w:val="000D5AD4"/>
    <w:rsid w:val="000D5EBE"/>
    <w:rsid w:val="000D64EF"/>
    <w:rsid w:val="000E027A"/>
    <w:rsid w:val="000E0E73"/>
    <w:rsid w:val="000E11B3"/>
    <w:rsid w:val="000E1FDD"/>
    <w:rsid w:val="000E4388"/>
    <w:rsid w:val="000E5C14"/>
    <w:rsid w:val="000E7458"/>
    <w:rsid w:val="000F000D"/>
    <w:rsid w:val="000F126B"/>
    <w:rsid w:val="000F25F7"/>
    <w:rsid w:val="000F4774"/>
    <w:rsid w:val="000F52C3"/>
    <w:rsid w:val="000F5CF8"/>
    <w:rsid w:val="000F7969"/>
    <w:rsid w:val="0010037F"/>
    <w:rsid w:val="001005BC"/>
    <w:rsid w:val="00100A88"/>
    <w:rsid w:val="00101A58"/>
    <w:rsid w:val="0010220B"/>
    <w:rsid w:val="001028CF"/>
    <w:rsid w:val="00102E93"/>
    <w:rsid w:val="00103155"/>
    <w:rsid w:val="001045C0"/>
    <w:rsid w:val="00105692"/>
    <w:rsid w:val="00105800"/>
    <w:rsid w:val="00106639"/>
    <w:rsid w:val="00106A4B"/>
    <w:rsid w:val="00106DA6"/>
    <w:rsid w:val="00110507"/>
    <w:rsid w:val="00112006"/>
    <w:rsid w:val="00112347"/>
    <w:rsid w:val="00112DFD"/>
    <w:rsid w:val="00113115"/>
    <w:rsid w:val="00113A84"/>
    <w:rsid w:val="0011486F"/>
    <w:rsid w:val="00116B8D"/>
    <w:rsid w:val="00116EE7"/>
    <w:rsid w:val="001173EE"/>
    <w:rsid w:val="00120948"/>
    <w:rsid w:val="00123BF5"/>
    <w:rsid w:val="00124D2A"/>
    <w:rsid w:val="00125921"/>
    <w:rsid w:val="0012636C"/>
    <w:rsid w:val="00127E21"/>
    <w:rsid w:val="00130105"/>
    <w:rsid w:val="00130BE7"/>
    <w:rsid w:val="0013129C"/>
    <w:rsid w:val="0013209E"/>
    <w:rsid w:val="0013476C"/>
    <w:rsid w:val="0014047E"/>
    <w:rsid w:val="001409B6"/>
    <w:rsid w:val="00143C52"/>
    <w:rsid w:val="00143D4B"/>
    <w:rsid w:val="00144C6C"/>
    <w:rsid w:val="001459FF"/>
    <w:rsid w:val="00146C1D"/>
    <w:rsid w:val="001472F9"/>
    <w:rsid w:val="00150E0C"/>
    <w:rsid w:val="00150E58"/>
    <w:rsid w:val="00151579"/>
    <w:rsid w:val="0015189D"/>
    <w:rsid w:val="00151CB5"/>
    <w:rsid w:val="00151FE0"/>
    <w:rsid w:val="001523E7"/>
    <w:rsid w:val="001539CE"/>
    <w:rsid w:val="001540EA"/>
    <w:rsid w:val="0015411A"/>
    <w:rsid w:val="001544B3"/>
    <w:rsid w:val="001553E2"/>
    <w:rsid w:val="00156EC7"/>
    <w:rsid w:val="00162447"/>
    <w:rsid w:val="00162B02"/>
    <w:rsid w:val="00162F72"/>
    <w:rsid w:val="001631D7"/>
    <w:rsid w:val="00163B7E"/>
    <w:rsid w:val="00165715"/>
    <w:rsid w:val="00167872"/>
    <w:rsid w:val="0017068A"/>
    <w:rsid w:val="0017087B"/>
    <w:rsid w:val="00171201"/>
    <w:rsid w:val="00171BBF"/>
    <w:rsid w:val="001723B5"/>
    <w:rsid w:val="00173A1C"/>
    <w:rsid w:val="00174952"/>
    <w:rsid w:val="00175367"/>
    <w:rsid w:val="001757A3"/>
    <w:rsid w:val="00177752"/>
    <w:rsid w:val="00177E90"/>
    <w:rsid w:val="0018035C"/>
    <w:rsid w:val="001811AE"/>
    <w:rsid w:val="00181C05"/>
    <w:rsid w:val="00182CAF"/>
    <w:rsid w:val="0018373E"/>
    <w:rsid w:val="0019041E"/>
    <w:rsid w:val="001905FF"/>
    <w:rsid w:val="001908D5"/>
    <w:rsid w:val="00190AC1"/>
    <w:rsid w:val="00191AF0"/>
    <w:rsid w:val="0019252E"/>
    <w:rsid w:val="00192647"/>
    <w:rsid w:val="00193BD6"/>
    <w:rsid w:val="00194783"/>
    <w:rsid w:val="00194A5A"/>
    <w:rsid w:val="001969B9"/>
    <w:rsid w:val="001969D6"/>
    <w:rsid w:val="001A1A7F"/>
    <w:rsid w:val="001A23A7"/>
    <w:rsid w:val="001A23C9"/>
    <w:rsid w:val="001A2F44"/>
    <w:rsid w:val="001A3F12"/>
    <w:rsid w:val="001A4031"/>
    <w:rsid w:val="001A5A0A"/>
    <w:rsid w:val="001A6452"/>
    <w:rsid w:val="001B09A4"/>
    <w:rsid w:val="001B0BE5"/>
    <w:rsid w:val="001B1216"/>
    <w:rsid w:val="001B12BC"/>
    <w:rsid w:val="001B177F"/>
    <w:rsid w:val="001B19D0"/>
    <w:rsid w:val="001B24EF"/>
    <w:rsid w:val="001B3E63"/>
    <w:rsid w:val="001B3F93"/>
    <w:rsid w:val="001B46BE"/>
    <w:rsid w:val="001B580D"/>
    <w:rsid w:val="001B7A84"/>
    <w:rsid w:val="001C1737"/>
    <w:rsid w:val="001C1B7C"/>
    <w:rsid w:val="001C3A36"/>
    <w:rsid w:val="001C562B"/>
    <w:rsid w:val="001C6A5B"/>
    <w:rsid w:val="001C6AD4"/>
    <w:rsid w:val="001C7002"/>
    <w:rsid w:val="001C7ACE"/>
    <w:rsid w:val="001D1070"/>
    <w:rsid w:val="001D2D11"/>
    <w:rsid w:val="001D2E53"/>
    <w:rsid w:val="001D3E60"/>
    <w:rsid w:val="001D4F2C"/>
    <w:rsid w:val="001D5D99"/>
    <w:rsid w:val="001D6425"/>
    <w:rsid w:val="001D72E5"/>
    <w:rsid w:val="001E0122"/>
    <w:rsid w:val="001E1861"/>
    <w:rsid w:val="001E1C9E"/>
    <w:rsid w:val="001E23C2"/>
    <w:rsid w:val="001E2787"/>
    <w:rsid w:val="001E2E6D"/>
    <w:rsid w:val="001E3937"/>
    <w:rsid w:val="001E4193"/>
    <w:rsid w:val="001E5946"/>
    <w:rsid w:val="001E6ADA"/>
    <w:rsid w:val="001F0279"/>
    <w:rsid w:val="001F0F37"/>
    <w:rsid w:val="001F21B2"/>
    <w:rsid w:val="001F2DCA"/>
    <w:rsid w:val="001F31DE"/>
    <w:rsid w:val="001F476F"/>
    <w:rsid w:val="001F4BA0"/>
    <w:rsid w:val="001F612B"/>
    <w:rsid w:val="001F7C47"/>
    <w:rsid w:val="0020129D"/>
    <w:rsid w:val="00201A9C"/>
    <w:rsid w:val="00202F4E"/>
    <w:rsid w:val="00204726"/>
    <w:rsid w:val="00205533"/>
    <w:rsid w:val="00205B77"/>
    <w:rsid w:val="00205C23"/>
    <w:rsid w:val="00206153"/>
    <w:rsid w:val="00206AF4"/>
    <w:rsid w:val="00206BD2"/>
    <w:rsid w:val="00207164"/>
    <w:rsid w:val="00207F18"/>
    <w:rsid w:val="002127A0"/>
    <w:rsid w:val="00215396"/>
    <w:rsid w:val="00215584"/>
    <w:rsid w:val="00215F53"/>
    <w:rsid w:val="002165DC"/>
    <w:rsid w:val="002172A9"/>
    <w:rsid w:val="00217DCC"/>
    <w:rsid w:val="00220590"/>
    <w:rsid w:val="00221268"/>
    <w:rsid w:val="00222156"/>
    <w:rsid w:val="00223B4C"/>
    <w:rsid w:val="002245BB"/>
    <w:rsid w:val="00226DAF"/>
    <w:rsid w:val="00226E8D"/>
    <w:rsid w:val="00227C06"/>
    <w:rsid w:val="00230069"/>
    <w:rsid w:val="002317E0"/>
    <w:rsid w:val="0023208D"/>
    <w:rsid w:val="00232346"/>
    <w:rsid w:val="002328CE"/>
    <w:rsid w:val="00234555"/>
    <w:rsid w:val="00234A60"/>
    <w:rsid w:val="00234EE5"/>
    <w:rsid w:val="00236157"/>
    <w:rsid w:val="002361E4"/>
    <w:rsid w:val="00240FC9"/>
    <w:rsid w:val="00241679"/>
    <w:rsid w:val="00241F5B"/>
    <w:rsid w:val="00242BE3"/>
    <w:rsid w:val="00242D4A"/>
    <w:rsid w:val="00243419"/>
    <w:rsid w:val="0024447C"/>
    <w:rsid w:val="00245833"/>
    <w:rsid w:val="0024632C"/>
    <w:rsid w:val="00246712"/>
    <w:rsid w:val="0025030A"/>
    <w:rsid w:val="002506BD"/>
    <w:rsid w:val="00250B43"/>
    <w:rsid w:val="00251944"/>
    <w:rsid w:val="00254296"/>
    <w:rsid w:val="002544A1"/>
    <w:rsid w:val="00254878"/>
    <w:rsid w:val="00256B88"/>
    <w:rsid w:val="00261F1D"/>
    <w:rsid w:val="002628D1"/>
    <w:rsid w:val="00262997"/>
    <w:rsid w:val="00263FAF"/>
    <w:rsid w:val="002642A1"/>
    <w:rsid w:val="00264A79"/>
    <w:rsid w:val="00264E81"/>
    <w:rsid w:val="002652AB"/>
    <w:rsid w:val="00265EA8"/>
    <w:rsid w:val="002665F2"/>
    <w:rsid w:val="0026670D"/>
    <w:rsid w:val="00266F7A"/>
    <w:rsid w:val="00271744"/>
    <w:rsid w:val="00271F2C"/>
    <w:rsid w:val="0027233F"/>
    <w:rsid w:val="0027314E"/>
    <w:rsid w:val="00277271"/>
    <w:rsid w:val="00280949"/>
    <w:rsid w:val="002811F6"/>
    <w:rsid w:val="00282EB4"/>
    <w:rsid w:val="00282F29"/>
    <w:rsid w:val="002842B6"/>
    <w:rsid w:val="00285168"/>
    <w:rsid w:val="002853F1"/>
    <w:rsid w:val="002913B5"/>
    <w:rsid w:val="002927BC"/>
    <w:rsid w:val="00292DD8"/>
    <w:rsid w:val="00292DE7"/>
    <w:rsid w:val="00294430"/>
    <w:rsid w:val="00296E36"/>
    <w:rsid w:val="00296F65"/>
    <w:rsid w:val="002A02AC"/>
    <w:rsid w:val="002A0636"/>
    <w:rsid w:val="002A099F"/>
    <w:rsid w:val="002A0D89"/>
    <w:rsid w:val="002A1431"/>
    <w:rsid w:val="002A243D"/>
    <w:rsid w:val="002A4660"/>
    <w:rsid w:val="002A539A"/>
    <w:rsid w:val="002A58DD"/>
    <w:rsid w:val="002A6C4B"/>
    <w:rsid w:val="002A7B36"/>
    <w:rsid w:val="002B1D12"/>
    <w:rsid w:val="002B273A"/>
    <w:rsid w:val="002B5490"/>
    <w:rsid w:val="002B6731"/>
    <w:rsid w:val="002B6A2E"/>
    <w:rsid w:val="002B772A"/>
    <w:rsid w:val="002B7EA7"/>
    <w:rsid w:val="002C0151"/>
    <w:rsid w:val="002C04F7"/>
    <w:rsid w:val="002C11EA"/>
    <w:rsid w:val="002C2531"/>
    <w:rsid w:val="002C295A"/>
    <w:rsid w:val="002C2D27"/>
    <w:rsid w:val="002C30E1"/>
    <w:rsid w:val="002C4E07"/>
    <w:rsid w:val="002C64C7"/>
    <w:rsid w:val="002D0C83"/>
    <w:rsid w:val="002D0DF5"/>
    <w:rsid w:val="002D1485"/>
    <w:rsid w:val="002D1ADD"/>
    <w:rsid w:val="002D36D5"/>
    <w:rsid w:val="002D3F28"/>
    <w:rsid w:val="002D4C33"/>
    <w:rsid w:val="002D50F3"/>
    <w:rsid w:val="002D563F"/>
    <w:rsid w:val="002D6626"/>
    <w:rsid w:val="002D6D91"/>
    <w:rsid w:val="002D7126"/>
    <w:rsid w:val="002E1E4D"/>
    <w:rsid w:val="002E308F"/>
    <w:rsid w:val="002E368A"/>
    <w:rsid w:val="002E4713"/>
    <w:rsid w:val="002E74AF"/>
    <w:rsid w:val="002E7EEA"/>
    <w:rsid w:val="002F04FC"/>
    <w:rsid w:val="002F1676"/>
    <w:rsid w:val="002F26A5"/>
    <w:rsid w:val="002F2811"/>
    <w:rsid w:val="002F3992"/>
    <w:rsid w:val="002F590C"/>
    <w:rsid w:val="002F5C9B"/>
    <w:rsid w:val="002F69B3"/>
    <w:rsid w:val="002F7F61"/>
    <w:rsid w:val="0030052B"/>
    <w:rsid w:val="00300E9B"/>
    <w:rsid w:val="00300E9E"/>
    <w:rsid w:val="003038A1"/>
    <w:rsid w:val="00303A2B"/>
    <w:rsid w:val="0030563C"/>
    <w:rsid w:val="0030707C"/>
    <w:rsid w:val="003118E9"/>
    <w:rsid w:val="00313647"/>
    <w:rsid w:val="00314DA5"/>
    <w:rsid w:val="003155B7"/>
    <w:rsid w:val="00315655"/>
    <w:rsid w:val="00315F73"/>
    <w:rsid w:val="003164E1"/>
    <w:rsid w:val="00316B3C"/>
    <w:rsid w:val="00316DD9"/>
    <w:rsid w:val="00321B6A"/>
    <w:rsid w:val="00322536"/>
    <w:rsid w:val="003230E8"/>
    <w:rsid w:val="003237CE"/>
    <w:rsid w:val="003252C7"/>
    <w:rsid w:val="00325A8B"/>
    <w:rsid w:val="00325C10"/>
    <w:rsid w:val="0032629B"/>
    <w:rsid w:val="003266DF"/>
    <w:rsid w:val="003270C8"/>
    <w:rsid w:val="00327C77"/>
    <w:rsid w:val="00331875"/>
    <w:rsid w:val="0033205A"/>
    <w:rsid w:val="003329A8"/>
    <w:rsid w:val="00332A34"/>
    <w:rsid w:val="003350D3"/>
    <w:rsid w:val="0033579E"/>
    <w:rsid w:val="003371ED"/>
    <w:rsid w:val="00337914"/>
    <w:rsid w:val="003402DF"/>
    <w:rsid w:val="003404AF"/>
    <w:rsid w:val="00340C9F"/>
    <w:rsid w:val="00340D39"/>
    <w:rsid w:val="003426D6"/>
    <w:rsid w:val="00343E8B"/>
    <w:rsid w:val="00344E5C"/>
    <w:rsid w:val="00345622"/>
    <w:rsid w:val="00345D50"/>
    <w:rsid w:val="00346054"/>
    <w:rsid w:val="00346223"/>
    <w:rsid w:val="00350395"/>
    <w:rsid w:val="00350BF8"/>
    <w:rsid w:val="00350C2C"/>
    <w:rsid w:val="00353BF7"/>
    <w:rsid w:val="00353D56"/>
    <w:rsid w:val="00355A2C"/>
    <w:rsid w:val="003563DA"/>
    <w:rsid w:val="00357197"/>
    <w:rsid w:val="0035788A"/>
    <w:rsid w:val="00360DAF"/>
    <w:rsid w:val="003612BC"/>
    <w:rsid w:val="00363437"/>
    <w:rsid w:val="003634E8"/>
    <w:rsid w:val="0036351F"/>
    <w:rsid w:val="00363E67"/>
    <w:rsid w:val="00364744"/>
    <w:rsid w:val="003654A6"/>
    <w:rsid w:val="00365710"/>
    <w:rsid w:val="003679D2"/>
    <w:rsid w:val="00367C08"/>
    <w:rsid w:val="00370F0E"/>
    <w:rsid w:val="003715A8"/>
    <w:rsid w:val="003728A9"/>
    <w:rsid w:val="003733F7"/>
    <w:rsid w:val="0037393A"/>
    <w:rsid w:val="0037646B"/>
    <w:rsid w:val="003778F9"/>
    <w:rsid w:val="00377E51"/>
    <w:rsid w:val="00380318"/>
    <w:rsid w:val="00381100"/>
    <w:rsid w:val="003813D1"/>
    <w:rsid w:val="0038363B"/>
    <w:rsid w:val="003837B9"/>
    <w:rsid w:val="0038413F"/>
    <w:rsid w:val="00384C5B"/>
    <w:rsid w:val="00386942"/>
    <w:rsid w:val="00390CCD"/>
    <w:rsid w:val="00391CA8"/>
    <w:rsid w:val="00391E5A"/>
    <w:rsid w:val="00394688"/>
    <w:rsid w:val="003949ED"/>
    <w:rsid w:val="00394A76"/>
    <w:rsid w:val="003961C7"/>
    <w:rsid w:val="003965C6"/>
    <w:rsid w:val="00396C1C"/>
    <w:rsid w:val="00396D2F"/>
    <w:rsid w:val="00397179"/>
    <w:rsid w:val="00397FE1"/>
    <w:rsid w:val="003A2916"/>
    <w:rsid w:val="003A2978"/>
    <w:rsid w:val="003A389E"/>
    <w:rsid w:val="003A3ACA"/>
    <w:rsid w:val="003A4124"/>
    <w:rsid w:val="003A416B"/>
    <w:rsid w:val="003A5482"/>
    <w:rsid w:val="003A5899"/>
    <w:rsid w:val="003A60E4"/>
    <w:rsid w:val="003A622C"/>
    <w:rsid w:val="003A76C1"/>
    <w:rsid w:val="003B0A51"/>
    <w:rsid w:val="003B1A02"/>
    <w:rsid w:val="003B1E58"/>
    <w:rsid w:val="003B252F"/>
    <w:rsid w:val="003B34BD"/>
    <w:rsid w:val="003B4219"/>
    <w:rsid w:val="003B5103"/>
    <w:rsid w:val="003B551B"/>
    <w:rsid w:val="003B67F3"/>
    <w:rsid w:val="003B6E67"/>
    <w:rsid w:val="003B7A63"/>
    <w:rsid w:val="003C113C"/>
    <w:rsid w:val="003C18F7"/>
    <w:rsid w:val="003C1AD0"/>
    <w:rsid w:val="003C1F26"/>
    <w:rsid w:val="003C33AC"/>
    <w:rsid w:val="003C406E"/>
    <w:rsid w:val="003C45AC"/>
    <w:rsid w:val="003C4CF8"/>
    <w:rsid w:val="003C50F8"/>
    <w:rsid w:val="003C5380"/>
    <w:rsid w:val="003C6FFC"/>
    <w:rsid w:val="003C73E1"/>
    <w:rsid w:val="003C7C47"/>
    <w:rsid w:val="003D1693"/>
    <w:rsid w:val="003D2026"/>
    <w:rsid w:val="003D2D5B"/>
    <w:rsid w:val="003D568A"/>
    <w:rsid w:val="003D5A18"/>
    <w:rsid w:val="003D5F10"/>
    <w:rsid w:val="003D60C2"/>
    <w:rsid w:val="003D6872"/>
    <w:rsid w:val="003D729D"/>
    <w:rsid w:val="003E0D12"/>
    <w:rsid w:val="003E2C2D"/>
    <w:rsid w:val="003E2E5B"/>
    <w:rsid w:val="003E3265"/>
    <w:rsid w:val="003E34E5"/>
    <w:rsid w:val="003E3E4C"/>
    <w:rsid w:val="003E48EA"/>
    <w:rsid w:val="003E4963"/>
    <w:rsid w:val="003E49D6"/>
    <w:rsid w:val="003E7D12"/>
    <w:rsid w:val="003F0ECA"/>
    <w:rsid w:val="003F29A9"/>
    <w:rsid w:val="003F2D0F"/>
    <w:rsid w:val="003F312D"/>
    <w:rsid w:val="003F362F"/>
    <w:rsid w:val="003F3D80"/>
    <w:rsid w:val="003F4035"/>
    <w:rsid w:val="003F4057"/>
    <w:rsid w:val="003F4F80"/>
    <w:rsid w:val="00400BC7"/>
    <w:rsid w:val="00403DBE"/>
    <w:rsid w:val="004047E4"/>
    <w:rsid w:val="00404974"/>
    <w:rsid w:val="00404E98"/>
    <w:rsid w:val="00405202"/>
    <w:rsid w:val="004053DD"/>
    <w:rsid w:val="00405CC5"/>
    <w:rsid w:val="0040723B"/>
    <w:rsid w:val="00412698"/>
    <w:rsid w:val="004126D9"/>
    <w:rsid w:val="0041498C"/>
    <w:rsid w:val="00414F73"/>
    <w:rsid w:val="00415925"/>
    <w:rsid w:val="00420779"/>
    <w:rsid w:val="00421812"/>
    <w:rsid w:val="00422B19"/>
    <w:rsid w:val="00424488"/>
    <w:rsid w:val="00424624"/>
    <w:rsid w:val="00425AB9"/>
    <w:rsid w:val="00425C2E"/>
    <w:rsid w:val="0043158F"/>
    <w:rsid w:val="0043238D"/>
    <w:rsid w:val="00432A71"/>
    <w:rsid w:val="00433E1A"/>
    <w:rsid w:val="00434695"/>
    <w:rsid w:val="00436282"/>
    <w:rsid w:val="0043636A"/>
    <w:rsid w:val="00437306"/>
    <w:rsid w:val="004406B5"/>
    <w:rsid w:val="004413B2"/>
    <w:rsid w:val="00441F06"/>
    <w:rsid w:val="0044304A"/>
    <w:rsid w:val="00443C06"/>
    <w:rsid w:val="00444816"/>
    <w:rsid w:val="00446171"/>
    <w:rsid w:val="00446DA5"/>
    <w:rsid w:val="00447685"/>
    <w:rsid w:val="00450771"/>
    <w:rsid w:val="004509D9"/>
    <w:rsid w:val="0045124D"/>
    <w:rsid w:val="00455530"/>
    <w:rsid w:val="00460273"/>
    <w:rsid w:val="00460955"/>
    <w:rsid w:val="0046219F"/>
    <w:rsid w:val="004631FC"/>
    <w:rsid w:val="00463B78"/>
    <w:rsid w:val="00464C69"/>
    <w:rsid w:val="0046501D"/>
    <w:rsid w:val="004657B9"/>
    <w:rsid w:val="0046586A"/>
    <w:rsid w:val="0046675B"/>
    <w:rsid w:val="00466DDA"/>
    <w:rsid w:val="00467160"/>
    <w:rsid w:val="00467B8C"/>
    <w:rsid w:val="004707BE"/>
    <w:rsid w:val="00470C44"/>
    <w:rsid w:val="00470F3C"/>
    <w:rsid w:val="00471D75"/>
    <w:rsid w:val="0047215B"/>
    <w:rsid w:val="00473FC9"/>
    <w:rsid w:val="004746B2"/>
    <w:rsid w:val="00475803"/>
    <w:rsid w:val="00475942"/>
    <w:rsid w:val="004762FB"/>
    <w:rsid w:val="004772F3"/>
    <w:rsid w:val="004779AE"/>
    <w:rsid w:val="004808DB"/>
    <w:rsid w:val="0048147D"/>
    <w:rsid w:val="0048167B"/>
    <w:rsid w:val="00482E8D"/>
    <w:rsid w:val="00483DAF"/>
    <w:rsid w:val="0048439D"/>
    <w:rsid w:val="00485930"/>
    <w:rsid w:val="00490111"/>
    <w:rsid w:val="00490257"/>
    <w:rsid w:val="004908CE"/>
    <w:rsid w:val="00491C77"/>
    <w:rsid w:val="00491E73"/>
    <w:rsid w:val="00492D30"/>
    <w:rsid w:val="004937AC"/>
    <w:rsid w:val="00493866"/>
    <w:rsid w:val="00494A73"/>
    <w:rsid w:val="00494BD6"/>
    <w:rsid w:val="00497063"/>
    <w:rsid w:val="0049734B"/>
    <w:rsid w:val="004978A6"/>
    <w:rsid w:val="00497DCA"/>
    <w:rsid w:val="004A193A"/>
    <w:rsid w:val="004A5087"/>
    <w:rsid w:val="004A5099"/>
    <w:rsid w:val="004A56BA"/>
    <w:rsid w:val="004A59AB"/>
    <w:rsid w:val="004A68A6"/>
    <w:rsid w:val="004A76BB"/>
    <w:rsid w:val="004B0952"/>
    <w:rsid w:val="004B1AA4"/>
    <w:rsid w:val="004B327F"/>
    <w:rsid w:val="004B458E"/>
    <w:rsid w:val="004B6A0F"/>
    <w:rsid w:val="004B72F9"/>
    <w:rsid w:val="004C0B08"/>
    <w:rsid w:val="004C1077"/>
    <w:rsid w:val="004C14D0"/>
    <w:rsid w:val="004C1B51"/>
    <w:rsid w:val="004C2689"/>
    <w:rsid w:val="004C29B8"/>
    <w:rsid w:val="004C2AAB"/>
    <w:rsid w:val="004C2EEE"/>
    <w:rsid w:val="004C3A2B"/>
    <w:rsid w:val="004C6034"/>
    <w:rsid w:val="004C626F"/>
    <w:rsid w:val="004C713A"/>
    <w:rsid w:val="004C7E85"/>
    <w:rsid w:val="004D2A9F"/>
    <w:rsid w:val="004D5D34"/>
    <w:rsid w:val="004D73C9"/>
    <w:rsid w:val="004E0697"/>
    <w:rsid w:val="004E078B"/>
    <w:rsid w:val="004E088D"/>
    <w:rsid w:val="004E125C"/>
    <w:rsid w:val="004E133F"/>
    <w:rsid w:val="004E205A"/>
    <w:rsid w:val="004E2C2C"/>
    <w:rsid w:val="004E4EC6"/>
    <w:rsid w:val="004E642F"/>
    <w:rsid w:val="004E6435"/>
    <w:rsid w:val="004E7706"/>
    <w:rsid w:val="004F08B4"/>
    <w:rsid w:val="004F189B"/>
    <w:rsid w:val="004F199D"/>
    <w:rsid w:val="004F29DC"/>
    <w:rsid w:val="004F6133"/>
    <w:rsid w:val="004F697F"/>
    <w:rsid w:val="00500063"/>
    <w:rsid w:val="0050103E"/>
    <w:rsid w:val="005010FD"/>
    <w:rsid w:val="00501F04"/>
    <w:rsid w:val="00502BC7"/>
    <w:rsid w:val="00502FEE"/>
    <w:rsid w:val="0050356F"/>
    <w:rsid w:val="005038F9"/>
    <w:rsid w:val="00504E85"/>
    <w:rsid w:val="00504FC0"/>
    <w:rsid w:val="00505540"/>
    <w:rsid w:val="00505732"/>
    <w:rsid w:val="00505FD4"/>
    <w:rsid w:val="005062EE"/>
    <w:rsid w:val="005072FD"/>
    <w:rsid w:val="005073CB"/>
    <w:rsid w:val="00507CAD"/>
    <w:rsid w:val="005105F6"/>
    <w:rsid w:val="00510FD2"/>
    <w:rsid w:val="00512C6E"/>
    <w:rsid w:val="00514E36"/>
    <w:rsid w:val="00515A6B"/>
    <w:rsid w:val="00516B03"/>
    <w:rsid w:val="00516B52"/>
    <w:rsid w:val="00516ED2"/>
    <w:rsid w:val="00517E4F"/>
    <w:rsid w:val="005203D9"/>
    <w:rsid w:val="00520ED0"/>
    <w:rsid w:val="0052133B"/>
    <w:rsid w:val="005220E1"/>
    <w:rsid w:val="00523D33"/>
    <w:rsid w:val="0052438E"/>
    <w:rsid w:val="0052468A"/>
    <w:rsid w:val="00524855"/>
    <w:rsid w:val="00524E44"/>
    <w:rsid w:val="0052518B"/>
    <w:rsid w:val="005252CA"/>
    <w:rsid w:val="0052578C"/>
    <w:rsid w:val="00525791"/>
    <w:rsid w:val="005258E5"/>
    <w:rsid w:val="00526290"/>
    <w:rsid w:val="00527E44"/>
    <w:rsid w:val="00531349"/>
    <w:rsid w:val="00531A57"/>
    <w:rsid w:val="00531D06"/>
    <w:rsid w:val="00531FC7"/>
    <w:rsid w:val="005332C9"/>
    <w:rsid w:val="00535B91"/>
    <w:rsid w:val="00535F74"/>
    <w:rsid w:val="0053604B"/>
    <w:rsid w:val="0053682E"/>
    <w:rsid w:val="0053724A"/>
    <w:rsid w:val="00537C28"/>
    <w:rsid w:val="00540A24"/>
    <w:rsid w:val="00541B3C"/>
    <w:rsid w:val="00541D00"/>
    <w:rsid w:val="005434D1"/>
    <w:rsid w:val="005438BC"/>
    <w:rsid w:val="005443AB"/>
    <w:rsid w:val="005448B9"/>
    <w:rsid w:val="00544A3B"/>
    <w:rsid w:val="0054507F"/>
    <w:rsid w:val="005459DD"/>
    <w:rsid w:val="00545EBF"/>
    <w:rsid w:val="0054642D"/>
    <w:rsid w:val="00550A31"/>
    <w:rsid w:val="00550F4C"/>
    <w:rsid w:val="00551BBD"/>
    <w:rsid w:val="00551EFE"/>
    <w:rsid w:val="0055260E"/>
    <w:rsid w:val="005544D6"/>
    <w:rsid w:val="00555063"/>
    <w:rsid w:val="0055542B"/>
    <w:rsid w:val="005568DF"/>
    <w:rsid w:val="00556E7E"/>
    <w:rsid w:val="00557318"/>
    <w:rsid w:val="005576D5"/>
    <w:rsid w:val="0055791A"/>
    <w:rsid w:val="005620A4"/>
    <w:rsid w:val="00563FDE"/>
    <w:rsid w:val="00564450"/>
    <w:rsid w:val="005676AF"/>
    <w:rsid w:val="00570C60"/>
    <w:rsid w:val="00571FB5"/>
    <w:rsid w:val="00572201"/>
    <w:rsid w:val="005741D0"/>
    <w:rsid w:val="00575C42"/>
    <w:rsid w:val="00576743"/>
    <w:rsid w:val="005768AC"/>
    <w:rsid w:val="0057699B"/>
    <w:rsid w:val="00576FC0"/>
    <w:rsid w:val="00577F01"/>
    <w:rsid w:val="00581A56"/>
    <w:rsid w:val="00581BA0"/>
    <w:rsid w:val="005820C9"/>
    <w:rsid w:val="00583743"/>
    <w:rsid w:val="00583E62"/>
    <w:rsid w:val="005855B8"/>
    <w:rsid w:val="0058564C"/>
    <w:rsid w:val="00586D9C"/>
    <w:rsid w:val="00586E61"/>
    <w:rsid w:val="00587435"/>
    <w:rsid w:val="00587A2C"/>
    <w:rsid w:val="00587E27"/>
    <w:rsid w:val="00591A18"/>
    <w:rsid w:val="00592F98"/>
    <w:rsid w:val="00594C53"/>
    <w:rsid w:val="00594C83"/>
    <w:rsid w:val="0059568D"/>
    <w:rsid w:val="00595F68"/>
    <w:rsid w:val="00596193"/>
    <w:rsid w:val="005A00FC"/>
    <w:rsid w:val="005A1CF6"/>
    <w:rsid w:val="005A4C6B"/>
    <w:rsid w:val="005A566F"/>
    <w:rsid w:val="005A6708"/>
    <w:rsid w:val="005A67AC"/>
    <w:rsid w:val="005A6986"/>
    <w:rsid w:val="005A6B38"/>
    <w:rsid w:val="005A6C94"/>
    <w:rsid w:val="005A78C1"/>
    <w:rsid w:val="005B0149"/>
    <w:rsid w:val="005B019C"/>
    <w:rsid w:val="005B154E"/>
    <w:rsid w:val="005B3798"/>
    <w:rsid w:val="005B3EEC"/>
    <w:rsid w:val="005B5665"/>
    <w:rsid w:val="005B7DAC"/>
    <w:rsid w:val="005C0464"/>
    <w:rsid w:val="005C119C"/>
    <w:rsid w:val="005C15A0"/>
    <w:rsid w:val="005C32FC"/>
    <w:rsid w:val="005C4490"/>
    <w:rsid w:val="005C5320"/>
    <w:rsid w:val="005C5C7B"/>
    <w:rsid w:val="005C7A26"/>
    <w:rsid w:val="005C7ADF"/>
    <w:rsid w:val="005D0E65"/>
    <w:rsid w:val="005D139D"/>
    <w:rsid w:val="005D213F"/>
    <w:rsid w:val="005D32EC"/>
    <w:rsid w:val="005D4CAE"/>
    <w:rsid w:val="005D4DDA"/>
    <w:rsid w:val="005D4DE9"/>
    <w:rsid w:val="005D68BA"/>
    <w:rsid w:val="005D7094"/>
    <w:rsid w:val="005D7FA9"/>
    <w:rsid w:val="005E1430"/>
    <w:rsid w:val="005E2D78"/>
    <w:rsid w:val="005E546A"/>
    <w:rsid w:val="005E5C6C"/>
    <w:rsid w:val="005E67CF"/>
    <w:rsid w:val="005F0252"/>
    <w:rsid w:val="005F0542"/>
    <w:rsid w:val="005F1810"/>
    <w:rsid w:val="005F1E62"/>
    <w:rsid w:val="005F4837"/>
    <w:rsid w:val="005F7145"/>
    <w:rsid w:val="005F7DC9"/>
    <w:rsid w:val="00600468"/>
    <w:rsid w:val="00601858"/>
    <w:rsid w:val="00601DA3"/>
    <w:rsid w:val="0060335F"/>
    <w:rsid w:val="00604824"/>
    <w:rsid w:val="0060552E"/>
    <w:rsid w:val="00607595"/>
    <w:rsid w:val="0060770C"/>
    <w:rsid w:val="00607758"/>
    <w:rsid w:val="0061050B"/>
    <w:rsid w:val="00610CD2"/>
    <w:rsid w:val="0061147D"/>
    <w:rsid w:val="00611D85"/>
    <w:rsid w:val="00613943"/>
    <w:rsid w:val="00613D6C"/>
    <w:rsid w:val="00614E77"/>
    <w:rsid w:val="0061513E"/>
    <w:rsid w:val="006169D2"/>
    <w:rsid w:val="0062191B"/>
    <w:rsid w:val="00621B54"/>
    <w:rsid w:val="00622CB3"/>
    <w:rsid w:val="0062487B"/>
    <w:rsid w:val="00626B84"/>
    <w:rsid w:val="00630A21"/>
    <w:rsid w:val="00632C56"/>
    <w:rsid w:val="00633964"/>
    <w:rsid w:val="00633994"/>
    <w:rsid w:val="00633BA0"/>
    <w:rsid w:val="006360B5"/>
    <w:rsid w:val="006377B1"/>
    <w:rsid w:val="00637BC9"/>
    <w:rsid w:val="00637E63"/>
    <w:rsid w:val="00640438"/>
    <w:rsid w:val="00641D0C"/>
    <w:rsid w:val="00641D7F"/>
    <w:rsid w:val="00643282"/>
    <w:rsid w:val="00644677"/>
    <w:rsid w:val="00646848"/>
    <w:rsid w:val="006471FE"/>
    <w:rsid w:val="00650321"/>
    <w:rsid w:val="006507F9"/>
    <w:rsid w:val="006556BE"/>
    <w:rsid w:val="00655884"/>
    <w:rsid w:val="006566AE"/>
    <w:rsid w:val="00662533"/>
    <w:rsid w:val="006629F2"/>
    <w:rsid w:val="00664F9F"/>
    <w:rsid w:val="00666342"/>
    <w:rsid w:val="00670D06"/>
    <w:rsid w:val="00671E2C"/>
    <w:rsid w:val="00672B1F"/>
    <w:rsid w:val="006754AF"/>
    <w:rsid w:val="00675B1A"/>
    <w:rsid w:val="00676DEE"/>
    <w:rsid w:val="00676E82"/>
    <w:rsid w:val="006776A5"/>
    <w:rsid w:val="00680D67"/>
    <w:rsid w:val="006825F2"/>
    <w:rsid w:val="00682900"/>
    <w:rsid w:val="00682B83"/>
    <w:rsid w:val="006840F6"/>
    <w:rsid w:val="0068476B"/>
    <w:rsid w:val="00685306"/>
    <w:rsid w:val="00685BE1"/>
    <w:rsid w:val="00686486"/>
    <w:rsid w:val="00686977"/>
    <w:rsid w:val="00686C7E"/>
    <w:rsid w:val="00686D81"/>
    <w:rsid w:val="0069004D"/>
    <w:rsid w:val="006901C1"/>
    <w:rsid w:val="0069101E"/>
    <w:rsid w:val="00691BBC"/>
    <w:rsid w:val="00692CBF"/>
    <w:rsid w:val="00693960"/>
    <w:rsid w:val="0069431B"/>
    <w:rsid w:val="00694766"/>
    <w:rsid w:val="0069702A"/>
    <w:rsid w:val="006977A4"/>
    <w:rsid w:val="006A02FC"/>
    <w:rsid w:val="006A041D"/>
    <w:rsid w:val="006A1151"/>
    <w:rsid w:val="006A1D41"/>
    <w:rsid w:val="006A38A5"/>
    <w:rsid w:val="006A5278"/>
    <w:rsid w:val="006A5D6F"/>
    <w:rsid w:val="006A7000"/>
    <w:rsid w:val="006A7EC5"/>
    <w:rsid w:val="006B0E41"/>
    <w:rsid w:val="006B1496"/>
    <w:rsid w:val="006B2780"/>
    <w:rsid w:val="006B27D0"/>
    <w:rsid w:val="006B4E48"/>
    <w:rsid w:val="006B64FC"/>
    <w:rsid w:val="006B6E32"/>
    <w:rsid w:val="006B79F3"/>
    <w:rsid w:val="006C0CAB"/>
    <w:rsid w:val="006C16F0"/>
    <w:rsid w:val="006C2536"/>
    <w:rsid w:val="006C2742"/>
    <w:rsid w:val="006C3C14"/>
    <w:rsid w:val="006C4470"/>
    <w:rsid w:val="006C6C95"/>
    <w:rsid w:val="006D0787"/>
    <w:rsid w:val="006D37A2"/>
    <w:rsid w:val="006D3D75"/>
    <w:rsid w:val="006D4794"/>
    <w:rsid w:val="006D4840"/>
    <w:rsid w:val="006D4872"/>
    <w:rsid w:val="006D5A67"/>
    <w:rsid w:val="006D5FA0"/>
    <w:rsid w:val="006D6520"/>
    <w:rsid w:val="006D72A9"/>
    <w:rsid w:val="006D74C6"/>
    <w:rsid w:val="006D7A84"/>
    <w:rsid w:val="006E00A4"/>
    <w:rsid w:val="006E01E3"/>
    <w:rsid w:val="006E19A2"/>
    <w:rsid w:val="006E1B6D"/>
    <w:rsid w:val="006E1F54"/>
    <w:rsid w:val="006E27D0"/>
    <w:rsid w:val="006E3362"/>
    <w:rsid w:val="006E4631"/>
    <w:rsid w:val="006E4710"/>
    <w:rsid w:val="006E4FBA"/>
    <w:rsid w:val="006E7247"/>
    <w:rsid w:val="006E7966"/>
    <w:rsid w:val="006F0869"/>
    <w:rsid w:val="006F0DF0"/>
    <w:rsid w:val="006F1D00"/>
    <w:rsid w:val="006F1D92"/>
    <w:rsid w:val="006F4EC4"/>
    <w:rsid w:val="006F61AF"/>
    <w:rsid w:val="006F652C"/>
    <w:rsid w:val="00701F21"/>
    <w:rsid w:val="007022B8"/>
    <w:rsid w:val="00702FCD"/>
    <w:rsid w:val="0070394D"/>
    <w:rsid w:val="0070396D"/>
    <w:rsid w:val="00704631"/>
    <w:rsid w:val="0070703F"/>
    <w:rsid w:val="007071AD"/>
    <w:rsid w:val="00707419"/>
    <w:rsid w:val="00710A3E"/>
    <w:rsid w:val="00713075"/>
    <w:rsid w:val="00714659"/>
    <w:rsid w:val="0071476B"/>
    <w:rsid w:val="007151F2"/>
    <w:rsid w:val="0071548C"/>
    <w:rsid w:val="00715CD6"/>
    <w:rsid w:val="0071674E"/>
    <w:rsid w:val="007169CF"/>
    <w:rsid w:val="00716D4D"/>
    <w:rsid w:val="00717557"/>
    <w:rsid w:val="00717AED"/>
    <w:rsid w:val="00720C05"/>
    <w:rsid w:val="00720E59"/>
    <w:rsid w:val="00721921"/>
    <w:rsid w:val="00721C98"/>
    <w:rsid w:val="00722981"/>
    <w:rsid w:val="00722ED6"/>
    <w:rsid w:val="00723B18"/>
    <w:rsid w:val="00724D22"/>
    <w:rsid w:val="00725456"/>
    <w:rsid w:val="00725E18"/>
    <w:rsid w:val="0072633E"/>
    <w:rsid w:val="00726E35"/>
    <w:rsid w:val="0072739B"/>
    <w:rsid w:val="00731351"/>
    <w:rsid w:val="007318D9"/>
    <w:rsid w:val="007343C6"/>
    <w:rsid w:val="00736B52"/>
    <w:rsid w:val="00737E52"/>
    <w:rsid w:val="00740718"/>
    <w:rsid w:val="00741078"/>
    <w:rsid w:val="00741AEF"/>
    <w:rsid w:val="00741E73"/>
    <w:rsid w:val="00742619"/>
    <w:rsid w:val="007434A2"/>
    <w:rsid w:val="00743C56"/>
    <w:rsid w:val="00744DE3"/>
    <w:rsid w:val="00745F3F"/>
    <w:rsid w:val="0074671D"/>
    <w:rsid w:val="007502BB"/>
    <w:rsid w:val="00750882"/>
    <w:rsid w:val="00750C65"/>
    <w:rsid w:val="00750D5B"/>
    <w:rsid w:val="00750F17"/>
    <w:rsid w:val="00751164"/>
    <w:rsid w:val="007519B7"/>
    <w:rsid w:val="00752365"/>
    <w:rsid w:val="007523BA"/>
    <w:rsid w:val="00754F08"/>
    <w:rsid w:val="007558EC"/>
    <w:rsid w:val="00756C3C"/>
    <w:rsid w:val="00756D69"/>
    <w:rsid w:val="00760712"/>
    <w:rsid w:val="0076298F"/>
    <w:rsid w:val="00762B0D"/>
    <w:rsid w:val="00765931"/>
    <w:rsid w:val="00766828"/>
    <w:rsid w:val="00767506"/>
    <w:rsid w:val="00770FD0"/>
    <w:rsid w:val="0077204C"/>
    <w:rsid w:val="0077246B"/>
    <w:rsid w:val="00772CE2"/>
    <w:rsid w:val="007735D8"/>
    <w:rsid w:val="007748BF"/>
    <w:rsid w:val="0077508A"/>
    <w:rsid w:val="00776908"/>
    <w:rsid w:val="00776B77"/>
    <w:rsid w:val="00776BA6"/>
    <w:rsid w:val="007818A3"/>
    <w:rsid w:val="0078239C"/>
    <w:rsid w:val="00782621"/>
    <w:rsid w:val="00784667"/>
    <w:rsid w:val="0078596D"/>
    <w:rsid w:val="00785F50"/>
    <w:rsid w:val="00790F4F"/>
    <w:rsid w:val="00791808"/>
    <w:rsid w:val="007927AD"/>
    <w:rsid w:val="00792F73"/>
    <w:rsid w:val="007933C5"/>
    <w:rsid w:val="00794402"/>
    <w:rsid w:val="0079537A"/>
    <w:rsid w:val="00796939"/>
    <w:rsid w:val="007A0A47"/>
    <w:rsid w:val="007A0E50"/>
    <w:rsid w:val="007A3722"/>
    <w:rsid w:val="007A4F6E"/>
    <w:rsid w:val="007A58DD"/>
    <w:rsid w:val="007A6FD3"/>
    <w:rsid w:val="007A7039"/>
    <w:rsid w:val="007B0F21"/>
    <w:rsid w:val="007B1415"/>
    <w:rsid w:val="007B2294"/>
    <w:rsid w:val="007B285F"/>
    <w:rsid w:val="007B432C"/>
    <w:rsid w:val="007B6648"/>
    <w:rsid w:val="007B77E8"/>
    <w:rsid w:val="007C20F5"/>
    <w:rsid w:val="007C389C"/>
    <w:rsid w:val="007C4CC8"/>
    <w:rsid w:val="007C4D0B"/>
    <w:rsid w:val="007C4DDC"/>
    <w:rsid w:val="007C598E"/>
    <w:rsid w:val="007C7826"/>
    <w:rsid w:val="007D07BA"/>
    <w:rsid w:val="007D0BE9"/>
    <w:rsid w:val="007D1889"/>
    <w:rsid w:val="007D2064"/>
    <w:rsid w:val="007D20B7"/>
    <w:rsid w:val="007D2881"/>
    <w:rsid w:val="007D2C98"/>
    <w:rsid w:val="007D32CA"/>
    <w:rsid w:val="007D478E"/>
    <w:rsid w:val="007D5027"/>
    <w:rsid w:val="007D51EF"/>
    <w:rsid w:val="007D521F"/>
    <w:rsid w:val="007D63C1"/>
    <w:rsid w:val="007D7902"/>
    <w:rsid w:val="007D7B96"/>
    <w:rsid w:val="007E06D1"/>
    <w:rsid w:val="007E0F1C"/>
    <w:rsid w:val="007E130D"/>
    <w:rsid w:val="007E1B23"/>
    <w:rsid w:val="007E25DA"/>
    <w:rsid w:val="007E344C"/>
    <w:rsid w:val="007E4633"/>
    <w:rsid w:val="007E56F9"/>
    <w:rsid w:val="007E653D"/>
    <w:rsid w:val="007F010B"/>
    <w:rsid w:val="007F2394"/>
    <w:rsid w:val="007F2DD6"/>
    <w:rsid w:val="007F2ED7"/>
    <w:rsid w:val="007F2F6F"/>
    <w:rsid w:val="007F32E3"/>
    <w:rsid w:val="007F3A64"/>
    <w:rsid w:val="007F3BF9"/>
    <w:rsid w:val="007F4353"/>
    <w:rsid w:val="007F53AC"/>
    <w:rsid w:val="007F58AD"/>
    <w:rsid w:val="007F5EA0"/>
    <w:rsid w:val="007F79DA"/>
    <w:rsid w:val="007F7F6A"/>
    <w:rsid w:val="008004EC"/>
    <w:rsid w:val="00800C65"/>
    <w:rsid w:val="00801A1E"/>
    <w:rsid w:val="0080408F"/>
    <w:rsid w:val="00804111"/>
    <w:rsid w:val="008042FD"/>
    <w:rsid w:val="0080458B"/>
    <w:rsid w:val="00805C5B"/>
    <w:rsid w:val="00805D83"/>
    <w:rsid w:val="008069B7"/>
    <w:rsid w:val="0080744C"/>
    <w:rsid w:val="00811A7D"/>
    <w:rsid w:val="00813EE7"/>
    <w:rsid w:val="00814959"/>
    <w:rsid w:val="0081572E"/>
    <w:rsid w:val="0081623D"/>
    <w:rsid w:val="00816D22"/>
    <w:rsid w:val="00817843"/>
    <w:rsid w:val="0082021B"/>
    <w:rsid w:val="00820566"/>
    <w:rsid w:val="00820575"/>
    <w:rsid w:val="00822897"/>
    <w:rsid w:val="00823158"/>
    <w:rsid w:val="008256BA"/>
    <w:rsid w:val="00826303"/>
    <w:rsid w:val="00830351"/>
    <w:rsid w:val="00832110"/>
    <w:rsid w:val="00832711"/>
    <w:rsid w:val="00832BCC"/>
    <w:rsid w:val="00832C60"/>
    <w:rsid w:val="00832C68"/>
    <w:rsid w:val="008333EE"/>
    <w:rsid w:val="0083468E"/>
    <w:rsid w:val="008352D6"/>
    <w:rsid w:val="008359DB"/>
    <w:rsid w:val="00836FDA"/>
    <w:rsid w:val="00840FA7"/>
    <w:rsid w:val="008414B4"/>
    <w:rsid w:val="00841C49"/>
    <w:rsid w:val="00842055"/>
    <w:rsid w:val="00842827"/>
    <w:rsid w:val="00844D7F"/>
    <w:rsid w:val="00844F6E"/>
    <w:rsid w:val="00845A50"/>
    <w:rsid w:val="00845ABA"/>
    <w:rsid w:val="00845ED5"/>
    <w:rsid w:val="0084643E"/>
    <w:rsid w:val="0084796F"/>
    <w:rsid w:val="00850180"/>
    <w:rsid w:val="0085019E"/>
    <w:rsid w:val="00850530"/>
    <w:rsid w:val="00850A21"/>
    <w:rsid w:val="00851534"/>
    <w:rsid w:val="00852906"/>
    <w:rsid w:val="0085293F"/>
    <w:rsid w:val="00852E01"/>
    <w:rsid w:val="00853C95"/>
    <w:rsid w:val="00853F17"/>
    <w:rsid w:val="00854798"/>
    <w:rsid w:val="00854887"/>
    <w:rsid w:val="00854C0E"/>
    <w:rsid w:val="008557BE"/>
    <w:rsid w:val="00855B96"/>
    <w:rsid w:val="00856259"/>
    <w:rsid w:val="00856404"/>
    <w:rsid w:val="00856829"/>
    <w:rsid w:val="008575CE"/>
    <w:rsid w:val="00860B09"/>
    <w:rsid w:val="00860B80"/>
    <w:rsid w:val="00860F4E"/>
    <w:rsid w:val="00862884"/>
    <w:rsid w:val="00863313"/>
    <w:rsid w:val="00863427"/>
    <w:rsid w:val="0086487D"/>
    <w:rsid w:val="008656E0"/>
    <w:rsid w:val="00865AB4"/>
    <w:rsid w:val="00866BCE"/>
    <w:rsid w:val="00870951"/>
    <w:rsid w:val="00871936"/>
    <w:rsid w:val="00871D5D"/>
    <w:rsid w:val="00871F43"/>
    <w:rsid w:val="008730F3"/>
    <w:rsid w:val="00874093"/>
    <w:rsid w:val="008750B5"/>
    <w:rsid w:val="00882D7A"/>
    <w:rsid w:val="00883421"/>
    <w:rsid w:val="00883454"/>
    <w:rsid w:val="00883B1F"/>
    <w:rsid w:val="008850A1"/>
    <w:rsid w:val="00885764"/>
    <w:rsid w:val="00885FB7"/>
    <w:rsid w:val="00886FDC"/>
    <w:rsid w:val="0088720A"/>
    <w:rsid w:val="00887621"/>
    <w:rsid w:val="00890921"/>
    <w:rsid w:val="00891B32"/>
    <w:rsid w:val="00892376"/>
    <w:rsid w:val="008927A0"/>
    <w:rsid w:val="00892FA8"/>
    <w:rsid w:val="008941EE"/>
    <w:rsid w:val="00894EF5"/>
    <w:rsid w:val="00895449"/>
    <w:rsid w:val="00895BCF"/>
    <w:rsid w:val="00896760"/>
    <w:rsid w:val="00897897"/>
    <w:rsid w:val="008A015D"/>
    <w:rsid w:val="008A3E5B"/>
    <w:rsid w:val="008A4DBD"/>
    <w:rsid w:val="008A53EE"/>
    <w:rsid w:val="008A67CC"/>
    <w:rsid w:val="008A70A4"/>
    <w:rsid w:val="008A720F"/>
    <w:rsid w:val="008A7FD9"/>
    <w:rsid w:val="008B00FA"/>
    <w:rsid w:val="008B0939"/>
    <w:rsid w:val="008B10E7"/>
    <w:rsid w:val="008B13A7"/>
    <w:rsid w:val="008B2495"/>
    <w:rsid w:val="008B3B11"/>
    <w:rsid w:val="008B4A9D"/>
    <w:rsid w:val="008B6102"/>
    <w:rsid w:val="008B6B1B"/>
    <w:rsid w:val="008B6C40"/>
    <w:rsid w:val="008B70C8"/>
    <w:rsid w:val="008B7466"/>
    <w:rsid w:val="008B79B4"/>
    <w:rsid w:val="008C09A6"/>
    <w:rsid w:val="008C24CC"/>
    <w:rsid w:val="008C3CAA"/>
    <w:rsid w:val="008C4EEC"/>
    <w:rsid w:val="008C591F"/>
    <w:rsid w:val="008C66BE"/>
    <w:rsid w:val="008C6CCF"/>
    <w:rsid w:val="008C70C4"/>
    <w:rsid w:val="008C7662"/>
    <w:rsid w:val="008D134F"/>
    <w:rsid w:val="008D13BE"/>
    <w:rsid w:val="008D2B3E"/>
    <w:rsid w:val="008D35A6"/>
    <w:rsid w:val="008D4A7B"/>
    <w:rsid w:val="008D4E1A"/>
    <w:rsid w:val="008D50B6"/>
    <w:rsid w:val="008D5EBB"/>
    <w:rsid w:val="008E1547"/>
    <w:rsid w:val="008E15A2"/>
    <w:rsid w:val="008E2FF4"/>
    <w:rsid w:val="008E3489"/>
    <w:rsid w:val="008E3EAE"/>
    <w:rsid w:val="008E3ECB"/>
    <w:rsid w:val="008E4832"/>
    <w:rsid w:val="008E4845"/>
    <w:rsid w:val="008E6274"/>
    <w:rsid w:val="008E6DD4"/>
    <w:rsid w:val="008E703A"/>
    <w:rsid w:val="008E72DD"/>
    <w:rsid w:val="008E7D23"/>
    <w:rsid w:val="008E7DC8"/>
    <w:rsid w:val="008E7EF0"/>
    <w:rsid w:val="008F0358"/>
    <w:rsid w:val="008F1F89"/>
    <w:rsid w:val="008F23DD"/>
    <w:rsid w:val="008F31EC"/>
    <w:rsid w:val="008F36B1"/>
    <w:rsid w:val="008F3C34"/>
    <w:rsid w:val="008F5933"/>
    <w:rsid w:val="008F608C"/>
    <w:rsid w:val="008F75AA"/>
    <w:rsid w:val="008F7F7F"/>
    <w:rsid w:val="00900678"/>
    <w:rsid w:val="00900B1D"/>
    <w:rsid w:val="00902039"/>
    <w:rsid w:val="0090304E"/>
    <w:rsid w:val="00904367"/>
    <w:rsid w:val="00906DAD"/>
    <w:rsid w:val="00906FB8"/>
    <w:rsid w:val="00906FF0"/>
    <w:rsid w:val="009106A7"/>
    <w:rsid w:val="0091072D"/>
    <w:rsid w:val="00910E11"/>
    <w:rsid w:val="009113E4"/>
    <w:rsid w:val="009123BA"/>
    <w:rsid w:val="009138BB"/>
    <w:rsid w:val="00914D4D"/>
    <w:rsid w:val="00914ED1"/>
    <w:rsid w:val="009158BF"/>
    <w:rsid w:val="00916C35"/>
    <w:rsid w:val="00917644"/>
    <w:rsid w:val="00920259"/>
    <w:rsid w:val="009211B0"/>
    <w:rsid w:val="0092166E"/>
    <w:rsid w:val="00921C0A"/>
    <w:rsid w:val="009221A8"/>
    <w:rsid w:val="00922E9A"/>
    <w:rsid w:val="00924BD3"/>
    <w:rsid w:val="00925231"/>
    <w:rsid w:val="009253B3"/>
    <w:rsid w:val="00925435"/>
    <w:rsid w:val="00925700"/>
    <w:rsid w:val="00926D51"/>
    <w:rsid w:val="00926E7C"/>
    <w:rsid w:val="00926EDB"/>
    <w:rsid w:val="0092769A"/>
    <w:rsid w:val="009313D9"/>
    <w:rsid w:val="00932DAB"/>
    <w:rsid w:val="00934264"/>
    <w:rsid w:val="00935569"/>
    <w:rsid w:val="009356E6"/>
    <w:rsid w:val="0093778F"/>
    <w:rsid w:val="00937EC5"/>
    <w:rsid w:val="009401C5"/>
    <w:rsid w:val="00942030"/>
    <w:rsid w:val="00942BE4"/>
    <w:rsid w:val="00943B6D"/>
    <w:rsid w:val="00944788"/>
    <w:rsid w:val="00944A6A"/>
    <w:rsid w:val="0094712C"/>
    <w:rsid w:val="009477AE"/>
    <w:rsid w:val="00947DC7"/>
    <w:rsid w:val="00951A84"/>
    <w:rsid w:val="00951E6B"/>
    <w:rsid w:val="0095493C"/>
    <w:rsid w:val="00954A1B"/>
    <w:rsid w:val="00960EB7"/>
    <w:rsid w:val="009611E9"/>
    <w:rsid w:val="00961C1F"/>
    <w:rsid w:val="009621A2"/>
    <w:rsid w:val="0096338F"/>
    <w:rsid w:val="00964B16"/>
    <w:rsid w:val="009650AD"/>
    <w:rsid w:val="0096532A"/>
    <w:rsid w:val="00965F1E"/>
    <w:rsid w:val="00966D45"/>
    <w:rsid w:val="00967A38"/>
    <w:rsid w:val="00970F5A"/>
    <w:rsid w:val="0097642D"/>
    <w:rsid w:val="009769AA"/>
    <w:rsid w:val="00976C4D"/>
    <w:rsid w:val="0097750D"/>
    <w:rsid w:val="0098011D"/>
    <w:rsid w:val="0098101A"/>
    <w:rsid w:val="009813C0"/>
    <w:rsid w:val="009815DB"/>
    <w:rsid w:val="00981B73"/>
    <w:rsid w:val="00983D35"/>
    <w:rsid w:val="009842D4"/>
    <w:rsid w:val="009846D0"/>
    <w:rsid w:val="00984C2A"/>
    <w:rsid w:val="00984CC3"/>
    <w:rsid w:val="00985691"/>
    <w:rsid w:val="009866BB"/>
    <w:rsid w:val="009903F8"/>
    <w:rsid w:val="00990693"/>
    <w:rsid w:val="00991252"/>
    <w:rsid w:val="00992B80"/>
    <w:rsid w:val="0099529A"/>
    <w:rsid w:val="0099682C"/>
    <w:rsid w:val="009972C3"/>
    <w:rsid w:val="009A06D1"/>
    <w:rsid w:val="009A20BB"/>
    <w:rsid w:val="009A2F40"/>
    <w:rsid w:val="009A37CC"/>
    <w:rsid w:val="009A3B5F"/>
    <w:rsid w:val="009A3CDF"/>
    <w:rsid w:val="009A76AF"/>
    <w:rsid w:val="009B227C"/>
    <w:rsid w:val="009B3785"/>
    <w:rsid w:val="009B38F7"/>
    <w:rsid w:val="009B53A5"/>
    <w:rsid w:val="009B586E"/>
    <w:rsid w:val="009B5B47"/>
    <w:rsid w:val="009B5B9A"/>
    <w:rsid w:val="009B5EAB"/>
    <w:rsid w:val="009B61B3"/>
    <w:rsid w:val="009B6371"/>
    <w:rsid w:val="009B7399"/>
    <w:rsid w:val="009C066F"/>
    <w:rsid w:val="009C0A85"/>
    <w:rsid w:val="009C1472"/>
    <w:rsid w:val="009C2CCC"/>
    <w:rsid w:val="009C4A41"/>
    <w:rsid w:val="009C7192"/>
    <w:rsid w:val="009C7CA7"/>
    <w:rsid w:val="009C7D1B"/>
    <w:rsid w:val="009D0AE3"/>
    <w:rsid w:val="009D2595"/>
    <w:rsid w:val="009D2724"/>
    <w:rsid w:val="009D281E"/>
    <w:rsid w:val="009D29B3"/>
    <w:rsid w:val="009D50E6"/>
    <w:rsid w:val="009D55A1"/>
    <w:rsid w:val="009D5E5D"/>
    <w:rsid w:val="009E22A4"/>
    <w:rsid w:val="009E2B5D"/>
    <w:rsid w:val="009E2BDA"/>
    <w:rsid w:val="009E2D7D"/>
    <w:rsid w:val="009E3201"/>
    <w:rsid w:val="009E504E"/>
    <w:rsid w:val="009E6E03"/>
    <w:rsid w:val="009E7047"/>
    <w:rsid w:val="009E7ECF"/>
    <w:rsid w:val="009F0607"/>
    <w:rsid w:val="009F1989"/>
    <w:rsid w:val="009F1D7C"/>
    <w:rsid w:val="009F2823"/>
    <w:rsid w:val="009F3D08"/>
    <w:rsid w:val="009F52C9"/>
    <w:rsid w:val="009F5355"/>
    <w:rsid w:val="009F66BB"/>
    <w:rsid w:val="009F6FB3"/>
    <w:rsid w:val="00A00DBD"/>
    <w:rsid w:val="00A02524"/>
    <w:rsid w:val="00A02CC9"/>
    <w:rsid w:val="00A034E0"/>
    <w:rsid w:val="00A039A6"/>
    <w:rsid w:val="00A04AC8"/>
    <w:rsid w:val="00A06DA7"/>
    <w:rsid w:val="00A075B7"/>
    <w:rsid w:val="00A07872"/>
    <w:rsid w:val="00A11320"/>
    <w:rsid w:val="00A11BB9"/>
    <w:rsid w:val="00A126CD"/>
    <w:rsid w:val="00A140E9"/>
    <w:rsid w:val="00A14469"/>
    <w:rsid w:val="00A1575D"/>
    <w:rsid w:val="00A163E5"/>
    <w:rsid w:val="00A17C3B"/>
    <w:rsid w:val="00A202A8"/>
    <w:rsid w:val="00A20783"/>
    <w:rsid w:val="00A21A80"/>
    <w:rsid w:val="00A2237D"/>
    <w:rsid w:val="00A2242F"/>
    <w:rsid w:val="00A22F9A"/>
    <w:rsid w:val="00A2336C"/>
    <w:rsid w:val="00A23379"/>
    <w:rsid w:val="00A2425B"/>
    <w:rsid w:val="00A24A91"/>
    <w:rsid w:val="00A25F23"/>
    <w:rsid w:val="00A26243"/>
    <w:rsid w:val="00A263A5"/>
    <w:rsid w:val="00A26966"/>
    <w:rsid w:val="00A30563"/>
    <w:rsid w:val="00A30679"/>
    <w:rsid w:val="00A30D1B"/>
    <w:rsid w:val="00A31AD8"/>
    <w:rsid w:val="00A32944"/>
    <w:rsid w:val="00A33E2E"/>
    <w:rsid w:val="00A348B9"/>
    <w:rsid w:val="00A34A19"/>
    <w:rsid w:val="00A352D8"/>
    <w:rsid w:val="00A36089"/>
    <w:rsid w:val="00A3672F"/>
    <w:rsid w:val="00A402D7"/>
    <w:rsid w:val="00A40A9A"/>
    <w:rsid w:val="00A40B9A"/>
    <w:rsid w:val="00A418FC"/>
    <w:rsid w:val="00A424A6"/>
    <w:rsid w:val="00A43ED5"/>
    <w:rsid w:val="00A44B73"/>
    <w:rsid w:val="00A451CC"/>
    <w:rsid w:val="00A4626E"/>
    <w:rsid w:val="00A46A2F"/>
    <w:rsid w:val="00A513B2"/>
    <w:rsid w:val="00A51430"/>
    <w:rsid w:val="00A53573"/>
    <w:rsid w:val="00A53BF1"/>
    <w:rsid w:val="00A545C4"/>
    <w:rsid w:val="00A5489C"/>
    <w:rsid w:val="00A54D79"/>
    <w:rsid w:val="00A55F08"/>
    <w:rsid w:val="00A55F4F"/>
    <w:rsid w:val="00A57853"/>
    <w:rsid w:val="00A630B6"/>
    <w:rsid w:val="00A63738"/>
    <w:rsid w:val="00A67467"/>
    <w:rsid w:val="00A67DED"/>
    <w:rsid w:val="00A67F19"/>
    <w:rsid w:val="00A70036"/>
    <w:rsid w:val="00A72F7C"/>
    <w:rsid w:val="00A735B9"/>
    <w:rsid w:val="00A75D08"/>
    <w:rsid w:val="00A75DED"/>
    <w:rsid w:val="00A80C4A"/>
    <w:rsid w:val="00A81201"/>
    <w:rsid w:val="00A81605"/>
    <w:rsid w:val="00A83587"/>
    <w:rsid w:val="00A8381D"/>
    <w:rsid w:val="00A83B8D"/>
    <w:rsid w:val="00A83C1F"/>
    <w:rsid w:val="00A86276"/>
    <w:rsid w:val="00A86C1A"/>
    <w:rsid w:val="00A87F43"/>
    <w:rsid w:val="00A91666"/>
    <w:rsid w:val="00A919D9"/>
    <w:rsid w:val="00A91E3B"/>
    <w:rsid w:val="00A91E73"/>
    <w:rsid w:val="00A921C9"/>
    <w:rsid w:val="00A92AEA"/>
    <w:rsid w:val="00A92E1C"/>
    <w:rsid w:val="00A93857"/>
    <w:rsid w:val="00A94069"/>
    <w:rsid w:val="00A947CD"/>
    <w:rsid w:val="00A95409"/>
    <w:rsid w:val="00A95AC2"/>
    <w:rsid w:val="00A961C7"/>
    <w:rsid w:val="00A97108"/>
    <w:rsid w:val="00A975AD"/>
    <w:rsid w:val="00A97640"/>
    <w:rsid w:val="00AA0E3B"/>
    <w:rsid w:val="00AA1920"/>
    <w:rsid w:val="00AA1949"/>
    <w:rsid w:val="00AA2668"/>
    <w:rsid w:val="00AA27D1"/>
    <w:rsid w:val="00AA3FF9"/>
    <w:rsid w:val="00AA54B6"/>
    <w:rsid w:val="00AA6679"/>
    <w:rsid w:val="00AB04EA"/>
    <w:rsid w:val="00AB0C79"/>
    <w:rsid w:val="00AB0FAF"/>
    <w:rsid w:val="00AB15DF"/>
    <w:rsid w:val="00AB1E69"/>
    <w:rsid w:val="00AB2251"/>
    <w:rsid w:val="00AB254F"/>
    <w:rsid w:val="00AB3038"/>
    <w:rsid w:val="00AB3832"/>
    <w:rsid w:val="00AB48C1"/>
    <w:rsid w:val="00AB769F"/>
    <w:rsid w:val="00AB7EEC"/>
    <w:rsid w:val="00AC180E"/>
    <w:rsid w:val="00AC1E07"/>
    <w:rsid w:val="00AC21DF"/>
    <w:rsid w:val="00AC2C24"/>
    <w:rsid w:val="00AC3BE3"/>
    <w:rsid w:val="00AC3FFC"/>
    <w:rsid w:val="00AC46A8"/>
    <w:rsid w:val="00AC4751"/>
    <w:rsid w:val="00AC4CDA"/>
    <w:rsid w:val="00AC4EB5"/>
    <w:rsid w:val="00AC5218"/>
    <w:rsid w:val="00AC631C"/>
    <w:rsid w:val="00AD0AC3"/>
    <w:rsid w:val="00AD0F32"/>
    <w:rsid w:val="00AD1256"/>
    <w:rsid w:val="00AD1AE4"/>
    <w:rsid w:val="00AD2033"/>
    <w:rsid w:val="00AD2C89"/>
    <w:rsid w:val="00AD6C71"/>
    <w:rsid w:val="00AD7292"/>
    <w:rsid w:val="00AD7C4B"/>
    <w:rsid w:val="00AE0584"/>
    <w:rsid w:val="00AE19EE"/>
    <w:rsid w:val="00AE2690"/>
    <w:rsid w:val="00AE33EA"/>
    <w:rsid w:val="00AE3696"/>
    <w:rsid w:val="00AE5576"/>
    <w:rsid w:val="00AE65B1"/>
    <w:rsid w:val="00AE66DE"/>
    <w:rsid w:val="00AE74C2"/>
    <w:rsid w:val="00AF07A1"/>
    <w:rsid w:val="00AF0D57"/>
    <w:rsid w:val="00AF168A"/>
    <w:rsid w:val="00AF2873"/>
    <w:rsid w:val="00AF361D"/>
    <w:rsid w:val="00AF4CC4"/>
    <w:rsid w:val="00AF570C"/>
    <w:rsid w:val="00AF5F0B"/>
    <w:rsid w:val="00AF6D7E"/>
    <w:rsid w:val="00AF6E60"/>
    <w:rsid w:val="00AF7179"/>
    <w:rsid w:val="00AF7439"/>
    <w:rsid w:val="00AF77B1"/>
    <w:rsid w:val="00AF7DB8"/>
    <w:rsid w:val="00B041ED"/>
    <w:rsid w:val="00B0443C"/>
    <w:rsid w:val="00B04D37"/>
    <w:rsid w:val="00B05DCC"/>
    <w:rsid w:val="00B07002"/>
    <w:rsid w:val="00B07812"/>
    <w:rsid w:val="00B1015C"/>
    <w:rsid w:val="00B10454"/>
    <w:rsid w:val="00B11072"/>
    <w:rsid w:val="00B110DC"/>
    <w:rsid w:val="00B12944"/>
    <w:rsid w:val="00B133B7"/>
    <w:rsid w:val="00B13F23"/>
    <w:rsid w:val="00B14AF8"/>
    <w:rsid w:val="00B14D11"/>
    <w:rsid w:val="00B17A60"/>
    <w:rsid w:val="00B20721"/>
    <w:rsid w:val="00B2114D"/>
    <w:rsid w:val="00B21273"/>
    <w:rsid w:val="00B238AD"/>
    <w:rsid w:val="00B24DBA"/>
    <w:rsid w:val="00B255CE"/>
    <w:rsid w:val="00B313E7"/>
    <w:rsid w:val="00B31586"/>
    <w:rsid w:val="00B32AE4"/>
    <w:rsid w:val="00B33370"/>
    <w:rsid w:val="00B33C0F"/>
    <w:rsid w:val="00B33DA3"/>
    <w:rsid w:val="00B345E8"/>
    <w:rsid w:val="00B3479D"/>
    <w:rsid w:val="00B34DD9"/>
    <w:rsid w:val="00B3563F"/>
    <w:rsid w:val="00B37986"/>
    <w:rsid w:val="00B37FEF"/>
    <w:rsid w:val="00B4040C"/>
    <w:rsid w:val="00B40A3C"/>
    <w:rsid w:val="00B44050"/>
    <w:rsid w:val="00B44646"/>
    <w:rsid w:val="00B4693C"/>
    <w:rsid w:val="00B478D9"/>
    <w:rsid w:val="00B504D6"/>
    <w:rsid w:val="00B50BEA"/>
    <w:rsid w:val="00B514CF"/>
    <w:rsid w:val="00B5223F"/>
    <w:rsid w:val="00B52307"/>
    <w:rsid w:val="00B54747"/>
    <w:rsid w:val="00B572DE"/>
    <w:rsid w:val="00B57F61"/>
    <w:rsid w:val="00B6093E"/>
    <w:rsid w:val="00B60B07"/>
    <w:rsid w:val="00B617B5"/>
    <w:rsid w:val="00B62475"/>
    <w:rsid w:val="00B62847"/>
    <w:rsid w:val="00B62912"/>
    <w:rsid w:val="00B6384F"/>
    <w:rsid w:val="00B63A44"/>
    <w:rsid w:val="00B63E3E"/>
    <w:rsid w:val="00B6441F"/>
    <w:rsid w:val="00B64551"/>
    <w:rsid w:val="00B65E1C"/>
    <w:rsid w:val="00B65F9B"/>
    <w:rsid w:val="00B66760"/>
    <w:rsid w:val="00B66909"/>
    <w:rsid w:val="00B704CB"/>
    <w:rsid w:val="00B70AFE"/>
    <w:rsid w:val="00B71AEF"/>
    <w:rsid w:val="00B72313"/>
    <w:rsid w:val="00B725D6"/>
    <w:rsid w:val="00B73FF5"/>
    <w:rsid w:val="00B75679"/>
    <w:rsid w:val="00B76075"/>
    <w:rsid w:val="00B76F41"/>
    <w:rsid w:val="00B76F6C"/>
    <w:rsid w:val="00B77038"/>
    <w:rsid w:val="00B8019B"/>
    <w:rsid w:val="00B80273"/>
    <w:rsid w:val="00B807E9"/>
    <w:rsid w:val="00B8158B"/>
    <w:rsid w:val="00B86E4D"/>
    <w:rsid w:val="00B918FF"/>
    <w:rsid w:val="00B930EB"/>
    <w:rsid w:val="00B945E8"/>
    <w:rsid w:val="00B9470C"/>
    <w:rsid w:val="00B95772"/>
    <w:rsid w:val="00B96084"/>
    <w:rsid w:val="00B964BF"/>
    <w:rsid w:val="00B9723A"/>
    <w:rsid w:val="00BA1CDB"/>
    <w:rsid w:val="00BA2560"/>
    <w:rsid w:val="00BA2C50"/>
    <w:rsid w:val="00BA2CE3"/>
    <w:rsid w:val="00BA31F7"/>
    <w:rsid w:val="00BA3277"/>
    <w:rsid w:val="00BA34E9"/>
    <w:rsid w:val="00BA4145"/>
    <w:rsid w:val="00BA4E87"/>
    <w:rsid w:val="00BA69B7"/>
    <w:rsid w:val="00BB04A1"/>
    <w:rsid w:val="00BB06C9"/>
    <w:rsid w:val="00BB1A05"/>
    <w:rsid w:val="00BB2985"/>
    <w:rsid w:val="00BB29A1"/>
    <w:rsid w:val="00BB4BB5"/>
    <w:rsid w:val="00BB6E43"/>
    <w:rsid w:val="00BB719E"/>
    <w:rsid w:val="00BB72AA"/>
    <w:rsid w:val="00BB73A0"/>
    <w:rsid w:val="00BC3620"/>
    <w:rsid w:val="00BC41DD"/>
    <w:rsid w:val="00BC5DF3"/>
    <w:rsid w:val="00BC6814"/>
    <w:rsid w:val="00BC7FC6"/>
    <w:rsid w:val="00BD11E5"/>
    <w:rsid w:val="00BD267F"/>
    <w:rsid w:val="00BD3EE5"/>
    <w:rsid w:val="00BD4962"/>
    <w:rsid w:val="00BD4DE2"/>
    <w:rsid w:val="00BD5BF4"/>
    <w:rsid w:val="00BD7099"/>
    <w:rsid w:val="00BD75D5"/>
    <w:rsid w:val="00BD764D"/>
    <w:rsid w:val="00BE0208"/>
    <w:rsid w:val="00BE038A"/>
    <w:rsid w:val="00BE080B"/>
    <w:rsid w:val="00BE11C5"/>
    <w:rsid w:val="00BE3341"/>
    <w:rsid w:val="00BE3906"/>
    <w:rsid w:val="00BE411E"/>
    <w:rsid w:val="00BE5CA3"/>
    <w:rsid w:val="00BE648A"/>
    <w:rsid w:val="00BE69AA"/>
    <w:rsid w:val="00BF0FF9"/>
    <w:rsid w:val="00BF1587"/>
    <w:rsid w:val="00BF18C9"/>
    <w:rsid w:val="00BF203E"/>
    <w:rsid w:val="00BF2247"/>
    <w:rsid w:val="00BF2608"/>
    <w:rsid w:val="00BF363D"/>
    <w:rsid w:val="00BF3F76"/>
    <w:rsid w:val="00BF5516"/>
    <w:rsid w:val="00BF5E5C"/>
    <w:rsid w:val="00C0132F"/>
    <w:rsid w:val="00C02C28"/>
    <w:rsid w:val="00C03659"/>
    <w:rsid w:val="00C040CC"/>
    <w:rsid w:val="00C045DC"/>
    <w:rsid w:val="00C06556"/>
    <w:rsid w:val="00C0677F"/>
    <w:rsid w:val="00C070D5"/>
    <w:rsid w:val="00C071E1"/>
    <w:rsid w:val="00C10CB7"/>
    <w:rsid w:val="00C142F9"/>
    <w:rsid w:val="00C1665A"/>
    <w:rsid w:val="00C166D4"/>
    <w:rsid w:val="00C16ACA"/>
    <w:rsid w:val="00C16DA0"/>
    <w:rsid w:val="00C178D1"/>
    <w:rsid w:val="00C179C2"/>
    <w:rsid w:val="00C20F93"/>
    <w:rsid w:val="00C271B8"/>
    <w:rsid w:val="00C27752"/>
    <w:rsid w:val="00C30A94"/>
    <w:rsid w:val="00C31005"/>
    <w:rsid w:val="00C33817"/>
    <w:rsid w:val="00C3412C"/>
    <w:rsid w:val="00C3569B"/>
    <w:rsid w:val="00C35766"/>
    <w:rsid w:val="00C36303"/>
    <w:rsid w:val="00C36A52"/>
    <w:rsid w:val="00C404C6"/>
    <w:rsid w:val="00C417AD"/>
    <w:rsid w:val="00C417BD"/>
    <w:rsid w:val="00C42612"/>
    <w:rsid w:val="00C4572C"/>
    <w:rsid w:val="00C45D73"/>
    <w:rsid w:val="00C4697D"/>
    <w:rsid w:val="00C47B01"/>
    <w:rsid w:val="00C50459"/>
    <w:rsid w:val="00C50F37"/>
    <w:rsid w:val="00C50F5E"/>
    <w:rsid w:val="00C52350"/>
    <w:rsid w:val="00C52712"/>
    <w:rsid w:val="00C529DE"/>
    <w:rsid w:val="00C533B3"/>
    <w:rsid w:val="00C5692D"/>
    <w:rsid w:val="00C5728D"/>
    <w:rsid w:val="00C57529"/>
    <w:rsid w:val="00C579D5"/>
    <w:rsid w:val="00C6001A"/>
    <w:rsid w:val="00C61B64"/>
    <w:rsid w:val="00C61DD7"/>
    <w:rsid w:val="00C64E4D"/>
    <w:rsid w:val="00C677F6"/>
    <w:rsid w:val="00C7043B"/>
    <w:rsid w:val="00C7060C"/>
    <w:rsid w:val="00C70775"/>
    <w:rsid w:val="00C70A11"/>
    <w:rsid w:val="00C73A14"/>
    <w:rsid w:val="00C74217"/>
    <w:rsid w:val="00C74465"/>
    <w:rsid w:val="00C74A33"/>
    <w:rsid w:val="00C77268"/>
    <w:rsid w:val="00C80CDD"/>
    <w:rsid w:val="00C818D8"/>
    <w:rsid w:val="00C86AC0"/>
    <w:rsid w:val="00C871C7"/>
    <w:rsid w:val="00C90253"/>
    <w:rsid w:val="00C90F3A"/>
    <w:rsid w:val="00C92A52"/>
    <w:rsid w:val="00C93BEF"/>
    <w:rsid w:val="00C93C7B"/>
    <w:rsid w:val="00C94078"/>
    <w:rsid w:val="00C949AC"/>
    <w:rsid w:val="00C951B6"/>
    <w:rsid w:val="00C96512"/>
    <w:rsid w:val="00C96FF3"/>
    <w:rsid w:val="00C972AF"/>
    <w:rsid w:val="00C97C48"/>
    <w:rsid w:val="00CA00F7"/>
    <w:rsid w:val="00CA064A"/>
    <w:rsid w:val="00CA20B8"/>
    <w:rsid w:val="00CA34E3"/>
    <w:rsid w:val="00CA39CA"/>
    <w:rsid w:val="00CA4840"/>
    <w:rsid w:val="00CA656C"/>
    <w:rsid w:val="00CA6A2F"/>
    <w:rsid w:val="00CA7D29"/>
    <w:rsid w:val="00CB0748"/>
    <w:rsid w:val="00CB0811"/>
    <w:rsid w:val="00CB10F8"/>
    <w:rsid w:val="00CB1326"/>
    <w:rsid w:val="00CB29FE"/>
    <w:rsid w:val="00CB34D6"/>
    <w:rsid w:val="00CB3847"/>
    <w:rsid w:val="00CB4067"/>
    <w:rsid w:val="00CB43C5"/>
    <w:rsid w:val="00CB5230"/>
    <w:rsid w:val="00CB53C1"/>
    <w:rsid w:val="00CB5AAD"/>
    <w:rsid w:val="00CB7569"/>
    <w:rsid w:val="00CB7998"/>
    <w:rsid w:val="00CC01D5"/>
    <w:rsid w:val="00CC1013"/>
    <w:rsid w:val="00CC15F3"/>
    <w:rsid w:val="00CC3790"/>
    <w:rsid w:val="00CC383B"/>
    <w:rsid w:val="00CC3DD4"/>
    <w:rsid w:val="00CC4C3D"/>
    <w:rsid w:val="00CC56F5"/>
    <w:rsid w:val="00CC5848"/>
    <w:rsid w:val="00CC5E4F"/>
    <w:rsid w:val="00CC67DB"/>
    <w:rsid w:val="00CC6891"/>
    <w:rsid w:val="00CC6DF4"/>
    <w:rsid w:val="00CC6F0B"/>
    <w:rsid w:val="00CC736E"/>
    <w:rsid w:val="00CD0509"/>
    <w:rsid w:val="00CD0914"/>
    <w:rsid w:val="00CD1249"/>
    <w:rsid w:val="00CD24D4"/>
    <w:rsid w:val="00CD3CF3"/>
    <w:rsid w:val="00CD4C2A"/>
    <w:rsid w:val="00CD4D65"/>
    <w:rsid w:val="00CD51E7"/>
    <w:rsid w:val="00CD52D9"/>
    <w:rsid w:val="00CD623E"/>
    <w:rsid w:val="00CD6351"/>
    <w:rsid w:val="00CD7DDB"/>
    <w:rsid w:val="00CE0991"/>
    <w:rsid w:val="00CE09EC"/>
    <w:rsid w:val="00CE0A4B"/>
    <w:rsid w:val="00CE2B3D"/>
    <w:rsid w:val="00CE5058"/>
    <w:rsid w:val="00CE5409"/>
    <w:rsid w:val="00CE56BA"/>
    <w:rsid w:val="00CE621E"/>
    <w:rsid w:val="00CE63B6"/>
    <w:rsid w:val="00CF032C"/>
    <w:rsid w:val="00CF0B00"/>
    <w:rsid w:val="00CF17A7"/>
    <w:rsid w:val="00CF1C4B"/>
    <w:rsid w:val="00CF1F41"/>
    <w:rsid w:val="00CF2952"/>
    <w:rsid w:val="00CF3034"/>
    <w:rsid w:val="00CF399C"/>
    <w:rsid w:val="00CF3FF1"/>
    <w:rsid w:val="00CF42DC"/>
    <w:rsid w:val="00CF5745"/>
    <w:rsid w:val="00CF629E"/>
    <w:rsid w:val="00CF7648"/>
    <w:rsid w:val="00CF7F5D"/>
    <w:rsid w:val="00D01223"/>
    <w:rsid w:val="00D01FFB"/>
    <w:rsid w:val="00D02523"/>
    <w:rsid w:val="00D0310E"/>
    <w:rsid w:val="00D03754"/>
    <w:rsid w:val="00D051AF"/>
    <w:rsid w:val="00D05661"/>
    <w:rsid w:val="00D05AD7"/>
    <w:rsid w:val="00D06510"/>
    <w:rsid w:val="00D06B4E"/>
    <w:rsid w:val="00D125EA"/>
    <w:rsid w:val="00D13CEB"/>
    <w:rsid w:val="00D14379"/>
    <w:rsid w:val="00D16322"/>
    <w:rsid w:val="00D200BD"/>
    <w:rsid w:val="00D20990"/>
    <w:rsid w:val="00D21028"/>
    <w:rsid w:val="00D216EA"/>
    <w:rsid w:val="00D21A59"/>
    <w:rsid w:val="00D22C30"/>
    <w:rsid w:val="00D30BA0"/>
    <w:rsid w:val="00D30CFD"/>
    <w:rsid w:val="00D3154C"/>
    <w:rsid w:val="00D32F9B"/>
    <w:rsid w:val="00D34225"/>
    <w:rsid w:val="00D35947"/>
    <w:rsid w:val="00D367F8"/>
    <w:rsid w:val="00D41789"/>
    <w:rsid w:val="00D41976"/>
    <w:rsid w:val="00D41982"/>
    <w:rsid w:val="00D4228C"/>
    <w:rsid w:val="00D42449"/>
    <w:rsid w:val="00D435E5"/>
    <w:rsid w:val="00D45766"/>
    <w:rsid w:val="00D459C1"/>
    <w:rsid w:val="00D478C7"/>
    <w:rsid w:val="00D50139"/>
    <w:rsid w:val="00D54DD0"/>
    <w:rsid w:val="00D557EC"/>
    <w:rsid w:val="00D55BF4"/>
    <w:rsid w:val="00D56AFB"/>
    <w:rsid w:val="00D56E17"/>
    <w:rsid w:val="00D57614"/>
    <w:rsid w:val="00D57A62"/>
    <w:rsid w:val="00D60BD2"/>
    <w:rsid w:val="00D65252"/>
    <w:rsid w:val="00D653DC"/>
    <w:rsid w:val="00D66943"/>
    <w:rsid w:val="00D6736A"/>
    <w:rsid w:val="00D70C2A"/>
    <w:rsid w:val="00D714AA"/>
    <w:rsid w:val="00D7284E"/>
    <w:rsid w:val="00D72D16"/>
    <w:rsid w:val="00D737FD"/>
    <w:rsid w:val="00D74F51"/>
    <w:rsid w:val="00D76A30"/>
    <w:rsid w:val="00D81654"/>
    <w:rsid w:val="00D81E2A"/>
    <w:rsid w:val="00D83C74"/>
    <w:rsid w:val="00D848E4"/>
    <w:rsid w:val="00D85A9B"/>
    <w:rsid w:val="00D8638E"/>
    <w:rsid w:val="00D864B9"/>
    <w:rsid w:val="00D92582"/>
    <w:rsid w:val="00D925DF"/>
    <w:rsid w:val="00D92AE2"/>
    <w:rsid w:val="00D94383"/>
    <w:rsid w:val="00DA0D14"/>
    <w:rsid w:val="00DA1E17"/>
    <w:rsid w:val="00DA5A38"/>
    <w:rsid w:val="00DA66B7"/>
    <w:rsid w:val="00DA6E68"/>
    <w:rsid w:val="00DA7A93"/>
    <w:rsid w:val="00DA7E89"/>
    <w:rsid w:val="00DA7EFE"/>
    <w:rsid w:val="00DB0819"/>
    <w:rsid w:val="00DB289F"/>
    <w:rsid w:val="00DB2DF9"/>
    <w:rsid w:val="00DB34A5"/>
    <w:rsid w:val="00DB4274"/>
    <w:rsid w:val="00DB437E"/>
    <w:rsid w:val="00DB4722"/>
    <w:rsid w:val="00DB4BB1"/>
    <w:rsid w:val="00DB633B"/>
    <w:rsid w:val="00DB643B"/>
    <w:rsid w:val="00DB67D1"/>
    <w:rsid w:val="00DB68F8"/>
    <w:rsid w:val="00DB6C58"/>
    <w:rsid w:val="00DB7E5B"/>
    <w:rsid w:val="00DC0D1B"/>
    <w:rsid w:val="00DC299A"/>
    <w:rsid w:val="00DC3DE3"/>
    <w:rsid w:val="00DC481F"/>
    <w:rsid w:val="00DC5B71"/>
    <w:rsid w:val="00DC63AD"/>
    <w:rsid w:val="00DC6533"/>
    <w:rsid w:val="00DC683A"/>
    <w:rsid w:val="00DD0E24"/>
    <w:rsid w:val="00DD432C"/>
    <w:rsid w:val="00DD43CB"/>
    <w:rsid w:val="00DD5133"/>
    <w:rsid w:val="00DD7531"/>
    <w:rsid w:val="00DD7E5A"/>
    <w:rsid w:val="00DE07E3"/>
    <w:rsid w:val="00DE19AC"/>
    <w:rsid w:val="00DE2735"/>
    <w:rsid w:val="00DE27CD"/>
    <w:rsid w:val="00DE3D74"/>
    <w:rsid w:val="00DE5281"/>
    <w:rsid w:val="00DF071F"/>
    <w:rsid w:val="00DF19B8"/>
    <w:rsid w:val="00DF21DF"/>
    <w:rsid w:val="00DF342C"/>
    <w:rsid w:val="00DF4F25"/>
    <w:rsid w:val="00DF5138"/>
    <w:rsid w:val="00DF573A"/>
    <w:rsid w:val="00DF66E7"/>
    <w:rsid w:val="00DF7F57"/>
    <w:rsid w:val="00E011E1"/>
    <w:rsid w:val="00E030F8"/>
    <w:rsid w:val="00E0353D"/>
    <w:rsid w:val="00E04F14"/>
    <w:rsid w:val="00E0666C"/>
    <w:rsid w:val="00E0677D"/>
    <w:rsid w:val="00E07DE4"/>
    <w:rsid w:val="00E10543"/>
    <w:rsid w:val="00E10EC8"/>
    <w:rsid w:val="00E11DB7"/>
    <w:rsid w:val="00E1248A"/>
    <w:rsid w:val="00E13288"/>
    <w:rsid w:val="00E13FDB"/>
    <w:rsid w:val="00E1438D"/>
    <w:rsid w:val="00E23372"/>
    <w:rsid w:val="00E239AD"/>
    <w:rsid w:val="00E23C98"/>
    <w:rsid w:val="00E242C0"/>
    <w:rsid w:val="00E242E2"/>
    <w:rsid w:val="00E24EBD"/>
    <w:rsid w:val="00E257A2"/>
    <w:rsid w:val="00E260B4"/>
    <w:rsid w:val="00E267A1"/>
    <w:rsid w:val="00E26DEB"/>
    <w:rsid w:val="00E30F75"/>
    <w:rsid w:val="00E312EB"/>
    <w:rsid w:val="00E31779"/>
    <w:rsid w:val="00E317EE"/>
    <w:rsid w:val="00E31963"/>
    <w:rsid w:val="00E33E70"/>
    <w:rsid w:val="00E3534B"/>
    <w:rsid w:val="00E35731"/>
    <w:rsid w:val="00E35EE9"/>
    <w:rsid w:val="00E408AA"/>
    <w:rsid w:val="00E433E5"/>
    <w:rsid w:val="00E4382D"/>
    <w:rsid w:val="00E4439A"/>
    <w:rsid w:val="00E45400"/>
    <w:rsid w:val="00E4615A"/>
    <w:rsid w:val="00E464FF"/>
    <w:rsid w:val="00E5013E"/>
    <w:rsid w:val="00E50555"/>
    <w:rsid w:val="00E5098A"/>
    <w:rsid w:val="00E5119A"/>
    <w:rsid w:val="00E5195C"/>
    <w:rsid w:val="00E53F46"/>
    <w:rsid w:val="00E5472A"/>
    <w:rsid w:val="00E54C77"/>
    <w:rsid w:val="00E55709"/>
    <w:rsid w:val="00E55D23"/>
    <w:rsid w:val="00E56F1A"/>
    <w:rsid w:val="00E57EE2"/>
    <w:rsid w:val="00E60423"/>
    <w:rsid w:val="00E60C88"/>
    <w:rsid w:val="00E62FE6"/>
    <w:rsid w:val="00E63550"/>
    <w:rsid w:val="00E63B9F"/>
    <w:rsid w:val="00E64FB1"/>
    <w:rsid w:val="00E65E5C"/>
    <w:rsid w:val="00E66694"/>
    <w:rsid w:val="00E705AD"/>
    <w:rsid w:val="00E71271"/>
    <w:rsid w:val="00E71B77"/>
    <w:rsid w:val="00E72BC0"/>
    <w:rsid w:val="00E73CDE"/>
    <w:rsid w:val="00E75EEB"/>
    <w:rsid w:val="00E76426"/>
    <w:rsid w:val="00E773C4"/>
    <w:rsid w:val="00E775EF"/>
    <w:rsid w:val="00E80727"/>
    <w:rsid w:val="00E81BFA"/>
    <w:rsid w:val="00E81C11"/>
    <w:rsid w:val="00E81DAE"/>
    <w:rsid w:val="00E82D9B"/>
    <w:rsid w:val="00E82E4F"/>
    <w:rsid w:val="00E82F4D"/>
    <w:rsid w:val="00E83185"/>
    <w:rsid w:val="00E83505"/>
    <w:rsid w:val="00E84102"/>
    <w:rsid w:val="00E855AC"/>
    <w:rsid w:val="00E86FC6"/>
    <w:rsid w:val="00E90B8F"/>
    <w:rsid w:val="00E92389"/>
    <w:rsid w:val="00E924E7"/>
    <w:rsid w:val="00E93C64"/>
    <w:rsid w:val="00E93F65"/>
    <w:rsid w:val="00E95BE6"/>
    <w:rsid w:val="00E95C23"/>
    <w:rsid w:val="00E95F16"/>
    <w:rsid w:val="00E96F80"/>
    <w:rsid w:val="00E9722B"/>
    <w:rsid w:val="00E9797A"/>
    <w:rsid w:val="00EA003C"/>
    <w:rsid w:val="00EA0725"/>
    <w:rsid w:val="00EA0A32"/>
    <w:rsid w:val="00EA2082"/>
    <w:rsid w:val="00EA38BE"/>
    <w:rsid w:val="00EA4E4C"/>
    <w:rsid w:val="00EA5F80"/>
    <w:rsid w:val="00EA670E"/>
    <w:rsid w:val="00EA6928"/>
    <w:rsid w:val="00EA749A"/>
    <w:rsid w:val="00EA7954"/>
    <w:rsid w:val="00EB02BC"/>
    <w:rsid w:val="00EB246C"/>
    <w:rsid w:val="00EB2D80"/>
    <w:rsid w:val="00EB35B4"/>
    <w:rsid w:val="00EB38FA"/>
    <w:rsid w:val="00EB3FB6"/>
    <w:rsid w:val="00EB4519"/>
    <w:rsid w:val="00EB4BCC"/>
    <w:rsid w:val="00EB5CA5"/>
    <w:rsid w:val="00EB6294"/>
    <w:rsid w:val="00EB6F8D"/>
    <w:rsid w:val="00EB705F"/>
    <w:rsid w:val="00EB714F"/>
    <w:rsid w:val="00EB7BE7"/>
    <w:rsid w:val="00EC03C9"/>
    <w:rsid w:val="00EC198B"/>
    <w:rsid w:val="00EC1F96"/>
    <w:rsid w:val="00EC3904"/>
    <w:rsid w:val="00EC391C"/>
    <w:rsid w:val="00EC4728"/>
    <w:rsid w:val="00EC4AEF"/>
    <w:rsid w:val="00EC4EB3"/>
    <w:rsid w:val="00EC61D7"/>
    <w:rsid w:val="00EC73E0"/>
    <w:rsid w:val="00EC752B"/>
    <w:rsid w:val="00ED0103"/>
    <w:rsid w:val="00ED0948"/>
    <w:rsid w:val="00ED0A8F"/>
    <w:rsid w:val="00ED21C4"/>
    <w:rsid w:val="00ED2966"/>
    <w:rsid w:val="00ED326B"/>
    <w:rsid w:val="00ED37C0"/>
    <w:rsid w:val="00ED397E"/>
    <w:rsid w:val="00ED47FD"/>
    <w:rsid w:val="00ED51C6"/>
    <w:rsid w:val="00ED5C64"/>
    <w:rsid w:val="00ED6371"/>
    <w:rsid w:val="00ED63EE"/>
    <w:rsid w:val="00ED6926"/>
    <w:rsid w:val="00ED6B27"/>
    <w:rsid w:val="00ED75A9"/>
    <w:rsid w:val="00ED7882"/>
    <w:rsid w:val="00EE106D"/>
    <w:rsid w:val="00EE1604"/>
    <w:rsid w:val="00EE1C51"/>
    <w:rsid w:val="00EE2E0F"/>
    <w:rsid w:val="00EE3716"/>
    <w:rsid w:val="00EE3FED"/>
    <w:rsid w:val="00EE5057"/>
    <w:rsid w:val="00EF06DC"/>
    <w:rsid w:val="00EF1DF5"/>
    <w:rsid w:val="00EF4114"/>
    <w:rsid w:val="00EF50DE"/>
    <w:rsid w:val="00EF5654"/>
    <w:rsid w:val="00EF56A3"/>
    <w:rsid w:val="00EF5C14"/>
    <w:rsid w:val="00EF7479"/>
    <w:rsid w:val="00EF7F1E"/>
    <w:rsid w:val="00F010C9"/>
    <w:rsid w:val="00F01803"/>
    <w:rsid w:val="00F01A54"/>
    <w:rsid w:val="00F01E89"/>
    <w:rsid w:val="00F02E03"/>
    <w:rsid w:val="00F05364"/>
    <w:rsid w:val="00F057AB"/>
    <w:rsid w:val="00F059C2"/>
    <w:rsid w:val="00F05BCF"/>
    <w:rsid w:val="00F05D4E"/>
    <w:rsid w:val="00F05FCC"/>
    <w:rsid w:val="00F060FF"/>
    <w:rsid w:val="00F06CAF"/>
    <w:rsid w:val="00F070BE"/>
    <w:rsid w:val="00F07429"/>
    <w:rsid w:val="00F07652"/>
    <w:rsid w:val="00F07CC0"/>
    <w:rsid w:val="00F10D2D"/>
    <w:rsid w:val="00F12DC9"/>
    <w:rsid w:val="00F13F0F"/>
    <w:rsid w:val="00F1440A"/>
    <w:rsid w:val="00F14726"/>
    <w:rsid w:val="00F15158"/>
    <w:rsid w:val="00F15505"/>
    <w:rsid w:val="00F172DE"/>
    <w:rsid w:val="00F17B95"/>
    <w:rsid w:val="00F229BB"/>
    <w:rsid w:val="00F2587A"/>
    <w:rsid w:val="00F27A40"/>
    <w:rsid w:val="00F30636"/>
    <w:rsid w:val="00F30D70"/>
    <w:rsid w:val="00F30EB8"/>
    <w:rsid w:val="00F30F9C"/>
    <w:rsid w:val="00F316C0"/>
    <w:rsid w:val="00F31812"/>
    <w:rsid w:val="00F32279"/>
    <w:rsid w:val="00F33132"/>
    <w:rsid w:val="00F33A17"/>
    <w:rsid w:val="00F34774"/>
    <w:rsid w:val="00F34AFA"/>
    <w:rsid w:val="00F36965"/>
    <w:rsid w:val="00F40594"/>
    <w:rsid w:val="00F41378"/>
    <w:rsid w:val="00F41958"/>
    <w:rsid w:val="00F4276E"/>
    <w:rsid w:val="00F42A0F"/>
    <w:rsid w:val="00F43DB1"/>
    <w:rsid w:val="00F45A12"/>
    <w:rsid w:val="00F45E28"/>
    <w:rsid w:val="00F45EAC"/>
    <w:rsid w:val="00F47184"/>
    <w:rsid w:val="00F5006F"/>
    <w:rsid w:val="00F5021C"/>
    <w:rsid w:val="00F51764"/>
    <w:rsid w:val="00F53580"/>
    <w:rsid w:val="00F5414D"/>
    <w:rsid w:val="00F54953"/>
    <w:rsid w:val="00F54CA6"/>
    <w:rsid w:val="00F54EBB"/>
    <w:rsid w:val="00F56456"/>
    <w:rsid w:val="00F56DBF"/>
    <w:rsid w:val="00F572CD"/>
    <w:rsid w:val="00F57F0A"/>
    <w:rsid w:val="00F60744"/>
    <w:rsid w:val="00F62B75"/>
    <w:rsid w:val="00F63091"/>
    <w:rsid w:val="00F639D2"/>
    <w:rsid w:val="00F65030"/>
    <w:rsid w:val="00F65B7B"/>
    <w:rsid w:val="00F6639F"/>
    <w:rsid w:val="00F665DA"/>
    <w:rsid w:val="00F67EF3"/>
    <w:rsid w:val="00F70275"/>
    <w:rsid w:val="00F715C6"/>
    <w:rsid w:val="00F71700"/>
    <w:rsid w:val="00F73673"/>
    <w:rsid w:val="00F76B33"/>
    <w:rsid w:val="00F77609"/>
    <w:rsid w:val="00F77633"/>
    <w:rsid w:val="00F80347"/>
    <w:rsid w:val="00F8182E"/>
    <w:rsid w:val="00F819AF"/>
    <w:rsid w:val="00F81B36"/>
    <w:rsid w:val="00F81EEF"/>
    <w:rsid w:val="00F82EC1"/>
    <w:rsid w:val="00F83C72"/>
    <w:rsid w:val="00F844ED"/>
    <w:rsid w:val="00F86BA1"/>
    <w:rsid w:val="00F8780C"/>
    <w:rsid w:val="00F87D11"/>
    <w:rsid w:val="00F87E1B"/>
    <w:rsid w:val="00F9140E"/>
    <w:rsid w:val="00F918FC"/>
    <w:rsid w:val="00F93119"/>
    <w:rsid w:val="00F93515"/>
    <w:rsid w:val="00F96948"/>
    <w:rsid w:val="00F96F30"/>
    <w:rsid w:val="00FA0266"/>
    <w:rsid w:val="00FA0A71"/>
    <w:rsid w:val="00FA0D65"/>
    <w:rsid w:val="00FA2CED"/>
    <w:rsid w:val="00FA33EF"/>
    <w:rsid w:val="00FA3525"/>
    <w:rsid w:val="00FA37D2"/>
    <w:rsid w:val="00FA689D"/>
    <w:rsid w:val="00FB0322"/>
    <w:rsid w:val="00FB03A6"/>
    <w:rsid w:val="00FB08D9"/>
    <w:rsid w:val="00FB10E5"/>
    <w:rsid w:val="00FB22B3"/>
    <w:rsid w:val="00FB2671"/>
    <w:rsid w:val="00FB2CFD"/>
    <w:rsid w:val="00FB31DE"/>
    <w:rsid w:val="00FB3923"/>
    <w:rsid w:val="00FB5A1C"/>
    <w:rsid w:val="00FC040A"/>
    <w:rsid w:val="00FC0FE6"/>
    <w:rsid w:val="00FC1A4B"/>
    <w:rsid w:val="00FC1D3E"/>
    <w:rsid w:val="00FC1EA5"/>
    <w:rsid w:val="00FC2AEC"/>
    <w:rsid w:val="00FC2D6E"/>
    <w:rsid w:val="00FC38D0"/>
    <w:rsid w:val="00FC4090"/>
    <w:rsid w:val="00FC4148"/>
    <w:rsid w:val="00FC46E3"/>
    <w:rsid w:val="00FD02CB"/>
    <w:rsid w:val="00FD1504"/>
    <w:rsid w:val="00FD1B43"/>
    <w:rsid w:val="00FD2854"/>
    <w:rsid w:val="00FD3062"/>
    <w:rsid w:val="00FD3274"/>
    <w:rsid w:val="00FD7E15"/>
    <w:rsid w:val="00FE02F9"/>
    <w:rsid w:val="00FE151A"/>
    <w:rsid w:val="00FE1622"/>
    <w:rsid w:val="00FE25E9"/>
    <w:rsid w:val="00FE2615"/>
    <w:rsid w:val="00FE270E"/>
    <w:rsid w:val="00FE3BE7"/>
    <w:rsid w:val="00FE5A81"/>
    <w:rsid w:val="00FE6E33"/>
    <w:rsid w:val="00FE7604"/>
    <w:rsid w:val="00FE7609"/>
    <w:rsid w:val="00FF1678"/>
    <w:rsid w:val="00FF2E47"/>
    <w:rsid w:val="00FF33E4"/>
    <w:rsid w:val="00FF3B5C"/>
    <w:rsid w:val="00FF5487"/>
    <w:rsid w:val="00FF5CFC"/>
    <w:rsid w:val="00FF66A2"/>
    <w:rsid w:val="00FF69D1"/>
    <w:rsid w:val="00FF7604"/>
    <w:rsid w:val="00FF7873"/>
    <w:rsid w:val="00FF7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2418"/>
  <w15:docId w15:val="{D3245158-1185-554A-9010-F237C72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9D281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F5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CA7D2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725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21">
    <w:name w:val="Colorful List - Accent 21"/>
    <w:uiPriority w:val="1"/>
    <w:qFormat/>
    <w:rsid w:val="006825F2"/>
    <w:rPr>
      <w:sz w:val="22"/>
      <w:szCs w:val="22"/>
      <w:lang w:eastAsia="en-US"/>
    </w:rPr>
  </w:style>
  <w:style w:type="paragraph" w:styleId="BalloonText">
    <w:name w:val="Balloon Text"/>
    <w:basedOn w:val="Normal"/>
    <w:link w:val="BalloonTextChar"/>
    <w:uiPriority w:val="99"/>
    <w:semiHidden/>
    <w:unhideWhenUsed/>
    <w:rsid w:val="006471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71FE"/>
    <w:rPr>
      <w:rFonts w:ascii="Segoe UI" w:hAnsi="Segoe UI" w:cs="Segoe UI"/>
      <w:sz w:val="18"/>
      <w:szCs w:val="18"/>
    </w:rPr>
  </w:style>
  <w:style w:type="paragraph" w:styleId="Header">
    <w:name w:val="header"/>
    <w:basedOn w:val="Normal"/>
    <w:link w:val="HeaderChar"/>
    <w:uiPriority w:val="99"/>
    <w:unhideWhenUsed/>
    <w:rsid w:val="006E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710"/>
  </w:style>
  <w:style w:type="paragraph" w:styleId="Footer">
    <w:name w:val="footer"/>
    <w:basedOn w:val="Normal"/>
    <w:link w:val="FooterChar"/>
    <w:uiPriority w:val="99"/>
    <w:unhideWhenUsed/>
    <w:rsid w:val="006E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10"/>
  </w:style>
  <w:style w:type="character" w:styleId="CommentReference">
    <w:name w:val="annotation reference"/>
    <w:uiPriority w:val="99"/>
    <w:semiHidden/>
    <w:unhideWhenUsed/>
    <w:rsid w:val="00116EE7"/>
    <w:rPr>
      <w:sz w:val="16"/>
      <w:szCs w:val="16"/>
    </w:rPr>
  </w:style>
  <w:style w:type="paragraph" w:styleId="CommentText">
    <w:name w:val="annotation text"/>
    <w:basedOn w:val="Normal"/>
    <w:link w:val="CommentTextChar"/>
    <w:uiPriority w:val="99"/>
    <w:unhideWhenUsed/>
    <w:rsid w:val="00116EE7"/>
    <w:pPr>
      <w:spacing w:line="240" w:lineRule="auto"/>
    </w:pPr>
    <w:rPr>
      <w:sz w:val="20"/>
      <w:szCs w:val="20"/>
    </w:rPr>
  </w:style>
  <w:style w:type="character" w:customStyle="1" w:styleId="CommentTextChar">
    <w:name w:val="Comment Text Char"/>
    <w:link w:val="CommentText"/>
    <w:uiPriority w:val="99"/>
    <w:rsid w:val="00116EE7"/>
    <w:rPr>
      <w:sz w:val="20"/>
      <w:szCs w:val="20"/>
    </w:rPr>
  </w:style>
  <w:style w:type="paragraph" w:styleId="CommentSubject">
    <w:name w:val="annotation subject"/>
    <w:basedOn w:val="CommentText"/>
    <w:next w:val="CommentText"/>
    <w:link w:val="CommentSubjectChar"/>
    <w:uiPriority w:val="99"/>
    <w:semiHidden/>
    <w:unhideWhenUsed/>
    <w:rsid w:val="00116EE7"/>
    <w:rPr>
      <w:b/>
      <w:bCs/>
    </w:rPr>
  </w:style>
  <w:style w:type="character" w:customStyle="1" w:styleId="CommentSubjectChar">
    <w:name w:val="Comment Subject Char"/>
    <w:link w:val="CommentSubject"/>
    <w:uiPriority w:val="99"/>
    <w:semiHidden/>
    <w:rsid w:val="00116EE7"/>
    <w:rPr>
      <w:b/>
      <w:bCs/>
      <w:sz w:val="20"/>
      <w:szCs w:val="20"/>
    </w:rPr>
  </w:style>
  <w:style w:type="paragraph" w:customStyle="1" w:styleId="Title1">
    <w:name w:val="Title1"/>
    <w:basedOn w:val="Normal"/>
    <w:rsid w:val="00EB35B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EB35B4"/>
    <w:rPr>
      <w:color w:val="0000FF"/>
      <w:u w:val="single"/>
    </w:rPr>
  </w:style>
  <w:style w:type="character" w:customStyle="1" w:styleId="apple-converted-space">
    <w:name w:val="apple-converted-space"/>
    <w:basedOn w:val="DefaultParagraphFont"/>
    <w:rsid w:val="00EB35B4"/>
  </w:style>
  <w:style w:type="paragraph" w:customStyle="1" w:styleId="desc">
    <w:name w:val="desc"/>
    <w:basedOn w:val="Normal"/>
    <w:rsid w:val="00EB35B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EB35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EB35B4"/>
  </w:style>
  <w:style w:type="paragraph" w:customStyle="1" w:styleId="links">
    <w:name w:val="links"/>
    <w:basedOn w:val="Normal"/>
    <w:rsid w:val="00EB35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lement-invisible">
    <w:name w:val="element-invisible"/>
    <w:basedOn w:val="DefaultParagraphFont"/>
    <w:rsid w:val="00E93C64"/>
  </w:style>
  <w:style w:type="paragraph" w:customStyle="1" w:styleId="Title2">
    <w:name w:val="Title2"/>
    <w:basedOn w:val="Normal"/>
    <w:rsid w:val="00F059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991252"/>
    <w:pPr>
      <w:autoSpaceDE w:val="0"/>
      <w:autoSpaceDN w:val="0"/>
      <w:adjustRightInd w:val="0"/>
    </w:pPr>
    <w:rPr>
      <w:rFonts w:ascii="Arial" w:hAnsi="Arial" w:cs="Arial"/>
      <w:color w:val="000000"/>
      <w:sz w:val="24"/>
      <w:szCs w:val="24"/>
      <w:lang w:eastAsia="en-US"/>
    </w:rPr>
  </w:style>
  <w:style w:type="character" w:customStyle="1" w:styleId="complextitleprimary">
    <w:name w:val="complextitle_primary"/>
    <w:basedOn w:val="DefaultParagraphFont"/>
    <w:rsid w:val="00CD4D65"/>
  </w:style>
  <w:style w:type="character" w:customStyle="1" w:styleId="Heading1Char">
    <w:name w:val="Heading 1 Char"/>
    <w:link w:val="Heading1"/>
    <w:uiPriority w:val="9"/>
    <w:rsid w:val="009D281E"/>
    <w:rPr>
      <w:rFonts w:ascii="Times New Roman" w:eastAsia="Times New Roman" w:hAnsi="Times New Roman" w:cs="Times New Roman"/>
      <w:b/>
      <w:bCs/>
      <w:kern w:val="36"/>
      <w:sz w:val="48"/>
      <w:szCs w:val="48"/>
      <w:lang w:eastAsia="en-GB"/>
    </w:rPr>
  </w:style>
  <w:style w:type="character" w:styleId="HTMLCite">
    <w:name w:val="HTML Cite"/>
    <w:uiPriority w:val="99"/>
    <w:semiHidden/>
    <w:unhideWhenUsed/>
    <w:rsid w:val="009D281E"/>
    <w:rPr>
      <w:i/>
      <w:iCs/>
    </w:rPr>
  </w:style>
  <w:style w:type="character" w:customStyle="1" w:styleId="Heading3Char">
    <w:name w:val="Heading 3 Char"/>
    <w:link w:val="Heading3"/>
    <w:uiPriority w:val="9"/>
    <w:semiHidden/>
    <w:rsid w:val="00CA7D29"/>
    <w:rPr>
      <w:rFonts w:ascii="Calibri Light" w:eastAsia="Times New Roman" w:hAnsi="Calibri Light" w:cs="Times New Roman"/>
      <w:b/>
      <w:bCs/>
      <w:sz w:val="26"/>
      <w:szCs w:val="26"/>
      <w:lang w:eastAsia="en-US"/>
    </w:rPr>
  </w:style>
  <w:style w:type="paragraph" w:customStyle="1" w:styleId="MediumShading1-Accent21">
    <w:name w:val="Medium Shading 1 - Accent 21"/>
    <w:uiPriority w:val="99"/>
    <w:qFormat/>
    <w:rsid w:val="00AC3FFC"/>
    <w:rPr>
      <w:sz w:val="22"/>
      <w:szCs w:val="22"/>
      <w:lang w:eastAsia="en-US"/>
    </w:rPr>
  </w:style>
  <w:style w:type="paragraph" w:customStyle="1" w:styleId="Title3">
    <w:name w:val="Title3"/>
    <w:basedOn w:val="Normal"/>
    <w:rsid w:val="00F65B7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diumGrid2-Accent11">
    <w:name w:val="Medium Grid 2 - Accent 11"/>
    <w:uiPriority w:val="99"/>
    <w:qFormat/>
    <w:rsid w:val="00C61B64"/>
    <w:rPr>
      <w:sz w:val="22"/>
      <w:szCs w:val="22"/>
      <w:lang w:eastAsia="en-US"/>
    </w:rPr>
  </w:style>
  <w:style w:type="paragraph" w:customStyle="1" w:styleId="MediumShading1-Accent11">
    <w:name w:val="Medium Shading 1 - Accent 11"/>
    <w:uiPriority w:val="99"/>
    <w:qFormat/>
    <w:rsid w:val="00EA0A32"/>
    <w:rPr>
      <w:sz w:val="22"/>
      <w:szCs w:val="22"/>
      <w:lang w:eastAsia="en-US"/>
    </w:rPr>
  </w:style>
  <w:style w:type="paragraph" w:customStyle="1" w:styleId="ColorfulShading-Accent11">
    <w:name w:val="Colorful Shading - Accent 11"/>
    <w:hidden/>
    <w:uiPriority w:val="71"/>
    <w:rsid w:val="009B586E"/>
    <w:rPr>
      <w:sz w:val="22"/>
      <w:szCs w:val="22"/>
      <w:lang w:eastAsia="en-US"/>
    </w:rPr>
  </w:style>
  <w:style w:type="paragraph" w:styleId="NoSpacing">
    <w:name w:val="No Spacing"/>
    <w:uiPriority w:val="1"/>
    <w:qFormat/>
    <w:rsid w:val="00914ED1"/>
    <w:rPr>
      <w:sz w:val="22"/>
      <w:szCs w:val="22"/>
      <w:lang w:eastAsia="en-US"/>
    </w:rPr>
  </w:style>
  <w:style w:type="paragraph" w:styleId="NormalWeb">
    <w:name w:val="Normal (Web)"/>
    <w:basedOn w:val="Normal"/>
    <w:uiPriority w:val="99"/>
    <w:semiHidden/>
    <w:unhideWhenUsed/>
    <w:rsid w:val="004978A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978A6"/>
    <w:rPr>
      <w:b/>
      <w:bCs/>
    </w:rPr>
  </w:style>
  <w:style w:type="paragraph" w:customStyle="1" w:styleId="Title4">
    <w:name w:val="Title4"/>
    <w:basedOn w:val="Normal"/>
    <w:rsid w:val="00BF363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5">
    <w:name w:val="Title5"/>
    <w:basedOn w:val="Normal"/>
    <w:rsid w:val="0012592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63"/>
    <w:qFormat/>
    <w:rsid w:val="008D5EBB"/>
    <w:pPr>
      <w:ind w:left="720"/>
      <w:contextualSpacing/>
    </w:pPr>
  </w:style>
  <w:style w:type="character" w:styleId="FollowedHyperlink">
    <w:name w:val="FollowedHyperlink"/>
    <w:basedOn w:val="DefaultParagraphFont"/>
    <w:uiPriority w:val="99"/>
    <w:semiHidden/>
    <w:unhideWhenUsed/>
    <w:rsid w:val="00AB3038"/>
    <w:rPr>
      <w:color w:val="954F72" w:themeColor="followedHyperlink"/>
      <w:u w:val="single"/>
    </w:rPr>
  </w:style>
  <w:style w:type="paragraph" w:customStyle="1" w:styleId="Title6">
    <w:name w:val="Title6"/>
    <w:basedOn w:val="Normal"/>
    <w:rsid w:val="00ED63E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7">
    <w:name w:val="Title7"/>
    <w:basedOn w:val="Normal"/>
    <w:rsid w:val="000027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7F5EA0"/>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semiHidden/>
    <w:rsid w:val="000725BB"/>
    <w:rPr>
      <w:rFonts w:asciiTheme="majorHAnsi" w:eastAsiaTheme="majorEastAsia" w:hAnsiTheme="majorHAnsi" w:cstheme="majorBidi"/>
      <w:i/>
      <w:iCs/>
      <w:color w:val="2E74B5" w:themeColor="accent1" w:themeShade="BF"/>
      <w:sz w:val="22"/>
      <w:szCs w:val="22"/>
      <w:lang w:eastAsia="en-US"/>
    </w:rPr>
  </w:style>
  <w:style w:type="character" w:customStyle="1" w:styleId="UnresolvedMention1">
    <w:name w:val="Unresolved Mention1"/>
    <w:basedOn w:val="DefaultParagraphFont"/>
    <w:uiPriority w:val="99"/>
    <w:semiHidden/>
    <w:unhideWhenUsed/>
    <w:rsid w:val="00E267A1"/>
    <w:rPr>
      <w:color w:val="605E5C"/>
      <w:shd w:val="clear" w:color="auto" w:fill="E1DFDD"/>
    </w:rPr>
  </w:style>
  <w:style w:type="character" w:styleId="LineNumber">
    <w:name w:val="line number"/>
    <w:basedOn w:val="DefaultParagraphFont"/>
    <w:uiPriority w:val="99"/>
    <w:semiHidden/>
    <w:unhideWhenUsed/>
    <w:rsid w:val="00B6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402">
      <w:bodyDiv w:val="1"/>
      <w:marLeft w:val="0"/>
      <w:marRight w:val="0"/>
      <w:marTop w:val="0"/>
      <w:marBottom w:val="0"/>
      <w:divBdr>
        <w:top w:val="none" w:sz="0" w:space="0" w:color="auto"/>
        <w:left w:val="none" w:sz="0" w:space="0" w:color="auto"/>
        <w:bottom w:val="none" w:sz="0" w:space="0" w:color="auto"/>
        <w:right w:val="none" w:sz="0" w:space="0" w:color="auto"/>
      </w:divBdr>
      <w:divsChild>
        <w:div w:id="1124929350">
          <w:marLeft w:val="0"/>
          <w:marRight w:val="0"/>
          <w:marTop w:val="34"/>
          <w:marBottom w:val="34"/>
          <w:divBdr>
            <w:top w:val="none" w:sz="0" w:space="0" w:color="auto"/>
            <w:left w:val="none" w:sz="0" w:space="0" w:color="auto"/>
            <w:bottom w:val="none" w:sz="0" w:space="0" w:color="auto"/>
            <w:right w:val="none" w:sz="0" w:space="0" w:color="auto"/>
          </w:divBdr>
        </w:div>
      </w:divsChild>
    </w:div>
    <w:div w:id="135339338">
      <w:bodyDiv w:val="1"/>
      <w:marLeft w:val="0"/>
      <w:marRight w:val="0"/>
      <w:marTop w:val="0"/>
      <w:marBottom w:val="0"/>
      <w:divBdr>
        <w:top w:val="none" w:sz="0" w:space="0" w:color="auto"/>
        <w:left w:val="none" w:sz="0" w:space="0" w:color="auto"/>
        <w:bottom w:val="none" w:sz="0" w:space="0" w:color="auto"/>
        <w:right w:val="none" w:sz="0" w:space="0" w:color="auto"/>
      </w:divBdr>
      <w:divsChild>
        <w:div w:id="102386466">
          <w:marLeft w:val="0"/>
          <w:marRight w:val="0"/>
          <w:marTop w:val="34"/>
          <w:marBottom w:val="34"/>
          <w:divBdr>
            <w:top w:val="none" w:sz="0" w:space="0" w:color="auto"/>
            <w:left w:val="none" w:sz="0" w:space="0" w:color="auto"/>
            <w:bottom w:val="none" w:sz="0" w:space="0" w:color="auto"/>
            <w:right w:val="none" w:sz="0" w:space="0" w:color="auto"/>
          </w:divBdr>
        </w:div>
      </w:divsChild>
    </w:div>
    <w:div w:id="211692392">
      <w:bodyDiv w:val="1"/>
      <w:marLeft w:val="0"/>
      <w:marRight w:val="0"/>
      <w:marTop w:val="0"/>
      <w:marBottom w:val="0"/>
      <w:divBdr>
        <w:top w:val="none" w:sz="0" w:space="0" w:color="auto"/>
        <w:left w:val="none" w:sz="0" w:space="0" w:color="auto"/>
        <w:bottom w:val="none" w:sz="0" w:space="0" w:color="auto"/>
        <w:right w:val="none" w:sz="0" w:space="0" w:color="auto"/>
      </w:divBdr>
      <w:divsChild>
        <w:div w:id="124129778">
          <w:marLeft w:val="0"/>
          <w:marRight w:val="0"/>
          <w:marTop w:val="34"/>
          <w:marBottom w:val="34"/>
          <w:divBdr>
            <w:top w:val="none" w:sz="0" w:space="0" w:color="auto"/>
            <w:left w:val="none" w:sz="0" w:space="0" w:color="auto"/>
            <w:bottom w:val="none" w:sz="0" w:space="0" w:color="auto"/>
            <w:right w:val="none" w:sz="0" w:space="0" w:color="auto"/>
          </w:divBdr>
        </w:div>
      </w:divsChild>
    </w:div>
    <w:div w:id="282881622">
      <w:bodyDiv w:val="1"/>
      <w:marLeft w:val="0"/>
      <w:marRight w:val="0"/>
      <w:marTop w:val="0"/>
      <w:marBottom w:val="0"/>
      <w:divBdr>
        <w:top w:val="none" w:sz="0" w:space="0" w:color="auto"/>
        <w:left w:val="none" w:sz="0" w:space="0" w:color="auto"/>
        <w:bottom w:val="none" w:sz="0" w:space="0" w:color="auto"/>
        <w:right w:val="none" w:sz="0" w:space="0" w:color="auto"/>
      </w:divBdr>
      <w:divsChild>
        <w:div w:id="919945811">
          <w:marLeft w:val="0"/>
          <w:marRight w:val="0"/>
          <w:marTop w:val="34"/>
          <w:marBottom w:val="34"/>
          <w:divBdr>
            <w:top w:val="none" w:sz="0" w:space="0" w:color="auto"/>
            <w:left w:val="none" w:sz="0" w:space="0" w:color="auto"/>
            <w:bottom w:val="none" w:sz="0" w:space="0" w:color="auto"/>
            <w:right w:val="none" w:sz="0" w:space="0" w:color="auto"/>
          </w:divBdr>
        </w:div>
      </w:divsChild>
    </w:div>
    <w:div w:id="304772794">
      <w:bodyDiv w:val="1"/>
      <w:marLeft w:val="0"/>
      <w:marRight w:val="0"/>
      <w:marTop w:val="0"/>
      <w:marBottom w:val="0"/>
      <w:divBdr>
        <w:top w:val="none" w:sz="0" w:space="0" w:color="auto"/>
        <w:left w:val="none" w:sz="0" w:space="0" w:color="auto"/>
        <w:bottom w:val="none" w:sz="0" w:space="0" w:color="auto"/>
        <w:right w:val="none" w:sz="0" w:space="0" w:color="auto"/>
      </w:divBdr>
    </w:div>
    <w:div w:id="387073767">
      <w:bodyDiv w:val="1"/>
      <w:marLeft w:val="0"/>
      <w:marRight w:val="0"/>
      <w:marTop w:val="0"/>
      <w:marBottom w:val="0"/>
      <w:divBdr>
        <w:top w:val="none" w:sz="0" w:space="0" w:color="auto"/>
        <w:left w:val="none" w:sz="0" w:space="0" w:color="auto"/>
        <w:bottom w:val="none" w:sz="0" w:space="0" w:color="auto"/>
        <w:right w:val="none" w:sz="0" w:space="0" w:color="auto"/>
      </w:divBdr>
      <w:divsChild>
        <w:div w:id="1987784608">
          <w:marLeft w:val="0"/>
          <w:marRight w:val="0"/>
          <w:marTop w:val="34"/>
          <w:marBottom w:val="34"/>
          <w:divBdr>
            <w:top w:val="none" w:sz="0" w:space="0" w:color="auto"/>
            <w:left w:val="none" w:sz="0" w:space="0" w:color="auto"/>
            <w:bottom w:val="none" w:sz="0" w:space="0" w:color="auto"/>
            <w:right w:val="none" w:sz="0" w:space="0" w:color="auto"/>
          </w:divBdr>
        </w:div>
      </w:divsChild>
    </w:div>
    <w:div w:id="439182498">
      <w:bodyDiv w:val="1"/>
      <w:marLeft w:val="0"/>
      <w:marRight w:val="0"/>
      <w:marTop w:val="0"/>
      <w:marBottom w:val="0"/>
      <w:divBdr>
        <w:top w:val="none" w:sz="0" w:space="0" w:color="auto"/>
        <w:left w:val="none" w:sz="0" w:space="0" w:color="auto"/>
        <w:bottom w:val="none" w:sz="0" w:space="0" w:color="auto"/>
        <w:right w:val="none" w:sz="0" w:space="0" w:color="auto"/>
      </w:divBdr>
      <w:divsChild>
        <w:div w:id="714886423">
          <w:marLeft w:val="0"/>
          <w:marRight w:val="0"/>
          <w:marTop w:val="34"/>
          <w:marBottom w:val="34"/>
          <w:divBdr>
            <w:top w:val="none" w:sz="0" w:space="0" w:color="auto"/>
            <w:left w:val="none" w:sz="0" w:space="0" w:color="auto"/>
            <w:bottom w:val="none" w:sz="0" w:space="0" w:color="auto"/>
            <w:right w:val="none" w:sz="0" w:space="0" w:color="auto"/>
          </w:divBdr>
        </w:div>
      </w:divsChild>
    </w:div>
    <w:div w:id="498810085">
      <w:bodyDiv w:val="1"/>
      <w:marLeft w:val="0"/>
      <w:marRight w:val="0"/>
      <w:marTop w:val="0"/>
      <w:marBottom w:val="0"/>
      <w:divBdr>
        <w:top w:val="none" w:sz="0" w:space="0" w:color="auto"/>
        <w:left w:val="none" w:sz="0" w:space="0" w:color="auto"/>
        <w:bottom w:val="none" w:sz="0" w:space="0" w:color="auto"/>
        <w:right w:val="none" w:sz="0" w:space="0" w:color="auto"/>
      </w:divBdr>
      <w:divsChild>
        <w:div w:id="1722821055">
          <w:marLeft w:val="0"/>
          <w:marRight w:val="0"/>
          <w:marTop w:val="34"/>
          <w:marBottom w:val="34"/>
          <w:divBdr>
            <w:top w:val="none" w:sz="0" w:space="0" w:color="auto"/>
            <w:left w:val="none" w:sz="0" w:space="0" w:color="auto"/>
            <w:bottom w:val="none" w:sz="0" w:space="0" w:color="auto"/>
            <w:right w:val="none" w:sz="0" w:space="0" w:color="auto"/>
          </w:divBdr>
        </w:div>
      </w:divsChild>
    </w:div>
    <w:div w:id="538513500">
      <w:bodyDiv w:val="1"/>
      <w:marLeft w:val="0"/>
      <w:marRight w:val="0"/>
      <w:marTop w:val="0"/>
      <w:marBottom w:val="0"/>
      <w:divBdr>
        <w:top w:val="none" w:sz="0" w:space="0" w:color="auto"/>
        <w:left w:val="none" w:sz="0" w:space="0" w:color="auto"/>
        <w:bottom w:val="none" w:sz="0" w:space="0" w:color="auto"/>
        <w:right w:val="none" w:sz="0" w:space="0" w:color="auto"/>
      </w:divBdr>
      <w:divsChild>
        <w:div w:id="2053578511">
          <w:marLeft w:val="0"/>
          <w:marRight w:val="0"/>
          <w:marTop w:val="34"/>
          <w:marBottom w:val="34"/>
          <w:divBdr>
            <w:top w:val="none" w:sz="0" w:space="0" w:color="auto"/>
            <w:left w:val="none" w:sz="0" w:space="0" w:color="auto"/>
            <w:bottom w:val="none" w:sz="0" w:space="0" w:color="auto"/>
            <w:right w:val="none" w:sz="0" w:space="0" w:color="auto"/>
          </w:divBdr>
        </w:div>
      </w:divsChild>
    </w:div>
    <w:div w:id="562259223">
      <w:bodyDiv w:val="1"/>
      <w:marLeft w:val="0"/>
      <w:marRight w:val="0"/>
      <w:marTop w:val="0"/>
      <w:marBottom w:val="0"/>
      <w:divBdr>
        <w:top w:val="none" w:sz="0" w:space="0" w:color="auto"/>
        <w:left w:val="none" w:sz="0" w:space="0" w:color="auto"/>
        <w:bottom w:val="none" w:sz="0" w:space="0" w:color="auto"/>
        <w:right w:val="none" w:sz="0" w:space="0" w:color="auto"/>
      </w:divBdr>
    </w:div>
    <w:div w:id="566234548">
      <w:bodyDiv w:val="1"/>
      <w:marLeft w:val="0"/>
      <w:marRight w:val="0"/>
      <w:marTop w:val="0"/>
      <w:marBottom w:val="0"/>
      <w:divBdr>
        <w:top w:val="none" w:sz="0" w:space="0" w:color="auto"/>
        <w:left w:val="none" w:sz="0" w:space="0" w:color="auto"/>
        <w:bottom w:val="none" w:sz="0" w:space="0" w:color="auto"/>
        <w:right w:val="none" w:sz="0" w:space="0" w:color="auto"/>
      </w:divBdr>
    </w:div>
    <w:div w:id="583729393">
      <w:bodyDiv w:val="1"/>
      <w:marLeft w:val="0"/>
      <w:marRight w:val="0"/>
      <w:marTop w:val="0"/>
      <w:marBottom w:val="0"/>
      <w:divBdr>
        <w:top w:val="none" w:sz="0" w:space="0" w:color="auto"/>
        <w:left w:val="none" w:sz="0" w:space="0" w:color="auto"/>
        <w:bottom w:val="none" w:sz="0" w:space="0" w:color="auto"/>
        <w:right w:val="none" w:sz="0" w:space="0" w:color="auto"/>
      </w:divBdr>
    </w:div>
    <w:div w:id="595671166">
      <w:bodyDiv w:val="1"/>
      <w:marLeft w:val="0"/>
      <w:marRight w:val="0"/>
      <w:marTop w:val="0"/>
      <w:marBottom w:val="0"/>
      <w:divBdr>
        <w:top w:val="none" w:sz="0" w:space="0" w:color="auto"/>
        <w:left w:val="none" w:sz="0" w:space="0" w:color="auto"/>
        <w:bottom w:val="none" w:sz="0" w:space="0" w:color="auto"/>
        <w:right w:val="none" w:sz="0" w:space="0" w:color="auto"/>
      </w:divBdr>
    </w:div>
    <w:div w:id="633104042">
      <w:bodyDiv w:val="1"/>
      <w:marLeft w:val="0"/>
      <w:marRight w:val="0"/>
      <w:marTop w:val="0"/>
      <w:marBottom w:val="0"/>
      <w:divBdr>
        <w:top w:val="none" w:sz="0" w:space="0" w:color="auto"/>
        <w:left w:val="none" w:sz="0" w:space="0" w:color="auto"/>
        <w:bottom w:val="none" w:sz="0" w:space="0" w:color="auto"/>
        <w:right w:val="none" w:sz="0" w:space="0" w:color="auto"/>
      </w:divBdr>
      <w:divsChild>
        <w:div w:id="509561442">
          <w:marLeft w:val="0"/>
          <w:marRight w:val="0"/>
          <w:marTop w:val="34"/>
          <w:marBottom w:val="34"/>
          <w:divBdr>
            <w:top w:val="none" w:sz="0" w:space="0" w:color="auto"/>
            <w:left w:val="none" w:sz="0" w:space="0" w:color="auto"/>
            <w:bottom w:val="none" w:sz="0" w:space="0" w:color="auto"/>
            <w:right w:val="none" w:sz="0" w:space="0" w:color="auto"/>
          </w:divBdr>
        </w:div>
      </w:divsChild>
    </w:div>
    <w:div w:id="660625076">
      <w:bodyDiv w:val="1"/>
      <w:marLeft w:val="0"/>
      <w:marRight w:val="0"/>
      <w:marTop w:val="0"/>
      <w:marBottom w:val="0"/>
      <w:divBdr>
        <w:top w:val="none" w:sz="0" w:space="0" w:color="auto"/>
        <w:left w:val="none" w:sz="0" w:space="0" w:color="auto"/>
        <w:bottom w:val="none" w:sz="0" w:space="0" w:color="auto"/>
        <w:right w:val="none" w:sz="0" w:space="0" w:color="auto"/>
      </w:divBdr>
      <w:divsChild>
        <w:div w:id="1371884630">
          <w:marLeft w:val="0"/>
          <w:marRight w:val="0"/>
          <w:marTop w:val="34"/>
          <w:marBottom w:val="34"/>
          <w:divBdr>
            <w:top w:val="none" w:sz="0" w:space="0" w:color="auto"/>
            <w:left w:val="none" w:sz="0" w:space="0" w:color="auto"/>
            <w:bottom w:val="none" w:sz="0" w:space="0" w:color="auto"/>
            <w:right w:val="none" w:sz="0" w:space="0" w:color="auto"/>
          </w:divBdr>
        </w:div>
      </w:divsChild>
    </w:div>
    <w:div w:id="863325550">
      <w:bodyDiv w:val="1"/>
      <w:marLeft w:val="0"/>
      <w:marRight w:val="0"/>
      <w:marTop w:val="0"/>
      <w:marBottom w:val="0"/>
      <w:divBdr>
        <w:top w:val="none" w:sz="0" w:space="0" w:color="auto"/>
        <w:left w:val="none" w:sz="0" w:space="0" w:color="auto"/>
        <w:bottom w:val="none" w:sz="0" w:space="0" w:color="auto"/>
        <w:right w:val="none" w:sz="0" w:space="0" w:color="auto"/>
      </w:divBdr>
      <w:divsChild>
        <w:div w:id="1390882670">
          <w:marLeft w:val="0"/>
          <w:marRight w:val="0"/>
          <w:marTop w:val="34"/>
          <w:marBottom w:val="34"/>
          <w:divBdr>
            <w:top w:val="none" w:sz="0" w:space="0" w:color="auto"/>
            <w:left w:val="none" w:sz="0" w:space="0" w:color="auto"/>
            <w:bottom w:val="none" w:sz="0" w:space="0" w:color="auto"/>
            <w:right w:val="none" w:sz="0" w:space="0" w:color="auto"/>
          </w:divBdr>
        </w:div>
      </w:divsChild>
    </w:div>
    <w:div w:id="920913622">
      <w:bodyDiv w:val="1"/>
      <w:marLeft w:val="0"/>
      <w:marRight w:val="0"/>
      <w:marTop w:val="0"/>
      <w:marBottom w:val="0"/>
      <w:divBdr>
        <w:top w:val="none" w:sz="0" w:space="0" w:color="auto"/>
        <w:left w:val="none" w:sz="0" w:space="0" w:color="auto"/>
        <w:bottom w:val="none" w:sz="0" w:space="0" w:color="auto"/>
        <w:right w:val="none" w:sz="0" w:space="0" w:color="auto"/>
      </w:divBdr>
      <w:divsChild>
        <w:div w:id="601183593">
          <w:marLeft w:val="0"/>
          <w:marRight w:val="0"/>
          <w:marTop w:val="34"/>
          <w:marBottom w:val="34"/>
          <w:divBdr>
            <w:top w:val="none" w:sz="0" w:space="0" w:color="auto"/>
            <w:left w:val="none" w:sz="0" w:space="0" w:color="auto"/>
            <w:bottom w:val="none" w:sz="0" w:space="0" w:color="auto"/>
            <w:right w:val="none" w:sz="0" w:space="0" w:color="auto"/>
          </w:divBdr>
        </w:div>
      </w:divsChild>
    </w:div>
    <w:div w:id="994600837">
      <w:bodyDiv w:val="1"/>
      <w:marLeft w:val="0"/>
      <w:marRight w:val="0"/>
      <w:marTop w:val="0"/>
      <w:marBottom w:val="0"/>
      <w:divBdr>
        <w:top w:val="none" w:sz="0" w:space="0" w:color="auto"/>
        <w:left w:val="none" w:sz="0" w:space="0" w:color="auto"/>
        <w:bottom w:val="none" w:sz="0" w:space="0" w:color="auto"/>
        <w:right w:val="none" w:sz="0" w:space="0" w:color="auto"/>
      </w:divBdr>
      <w:divsChild>
        <w:div w:id="2044330663">
          <w:marLeft w:val="0"/>
          <w:marRight w:val="0"/>
          <w:marTop w:val="34"/>
          <w:marBottom w:val="34"/>
          <w:divBdr>
            <w:top w:val="none" w:sz="0" w:space="0" w:color="auto"/>
            <w:left w:val="none" w:sz="0" w:space="0" w:color="auto"/>
            <w:bottom w:val="none" w:sz="0" w:space="0" w:color="auto"/>
            <w:right w:val="none" w:sz="0" w:space="0" w:color="auto"/>
          </w:divBdr>
        </w:div>
      </w:divsChild>
    </w:div>
    <w:div w:id="1037000055">
      <w:bodyDiv w:val="1"/>
      <w:marLeft w:val="0"/>
      <w:marRight w:val="0"/>
      <w:marTop w:val="0"/>
      <w:marBottom w:val="0"/>
      <w:divBdr>
        <w:top w:val="none" w:sz="0" w:space="0" w:color="auto"/>
        <w:left w:val="none" w:sz="0" w:space="0" w:color="auto"/>
        <w:bottom w:val="none" w:sz="0" w:space="0" w:color="auto"/>
        <w:right w:val="none" w:sz="0" w:space="0" w:color="auto"/>
      </w:divBdr>
      <w:divsChild>
        <w:div w:id="1557932790">
          <w:marLeft w:val="0"/>
          <w:marRight w:val="0"/>
          <w:marTop w:val="34"/>
          <w:marBottom w:val="34"/>
          <w:divBdr>
            <w:top w:val="none" w:sz="0" w:space="0" w:color="auto"/>
            <w:left w:val="none" w:sz="0" w:space="0" w:color="auto"/>
            <w:bottom w:val="none" w:sz="0" w:space="0" w:color="auto"/>
            <w:right w:val="none" w:sz="0" w:space="0" w:color="auto"/>
          </w:divBdr>
        </w:div>
      </w:divsChild>
    </w:div>
    <w:div w:id="1052462983">
      <w:bodyDiv w:val="1"/>
      <w:marLeft w:val="0"/>
      <w:marRight w:val="0"/>
      <w:marTop w:val="0"/>
      <w:marBottom w:val="0"/>
      <w:divBdr>
        <w:top w:val="none" w:sz="0" w:space="0" w:color="auto"/>
        <w:left w:val="none" w:sz="0" w:space="0" w:color="auto"/>
        <w:bottom w:val="none" w:sz="0" w:space="0" w:color="auto"/>
        <w:right w:val="none" w:sz="0" w:space="0" w:color="auto"/>
      </w:divBdr>
    </w:div>
    <w:div w:id="1186209696">
      <w:bodyDiv w:val="1"/>
      <w:marLeft w:val="0"/>
      <w:marRight w:val="0"/>
      <w:marTop w:val="0"/>
      <w:marBottom w:val="0"/>
      <w:divBdr>
        <w:top w:val="none" w:sz="0" w:space="0" w:color="auto"/>
        <w:left w:val="none" w:sz="0" w:space="0" w:color="auto"/>
        <w:bottom w:val="none" w:sz="0" w:space="0" w:color="auto"/>
        <w:right w:val="none" w:sz="0" w:space="0" w:color="auto"/>
      </w:divBdr>
    </w:div>
    <w:div w:id="1196772243">
      <w:bodyDiv w:val="1"/>
      <w:marLeft w:val="0"/>
      <w:marRight w:val="0"/>
      <w:marTop w:val="0"/>
      <w:marBottom w:val="0"/>
      <w:divBdr>
        <w:top w:val="none" w:sz="0" w:space="0" w:color="auto"/>
        <w:left w:val="none" w:sz="0" w:space="0" w:color="auto"/>
        <w:bottom w:val="none" w:sz="0" w:space="0" w:color="auto"/>
        <w:right w:val="none" w:sz="0" w:space="0" w:color="auto"/>
      </w:divBdr>
    </w:div>
    <w:div w:id="1204362139">
      <w:bodyDiv w:val="1"/>
      <w:marLeft w:val="0"/>
      <w:marRight w:val="0"/>
      <w:marTop w:val="0"/>
      <w:marBottom w:val="0"/>
      <w:divBdr>
        <w:top w:val="none" w:sz="0" w:space="0" w:color="auto"/>
        <w:left w:val="none" w:sz="0" w:space="0" w:color="auto"/>
        <w:bottom w:val="none" w:sz="0" w:space="0" w:color="auto"/>
        <w:right w:val="none" w:sz="0" w:space="0" w:color="auto"/>
      </w:divBdr>
      <w:divsChild>
        <w:div w:id="1303541743">
          <w:marLeft w:val="0"/>
          <w:marRight w:val="0"/>
          <w:marTop w:val="34"/>
          <w:marBottom w:val="34"/>
          <w:divBdr>
            <w:top w:val="none" w:sz="0" w:space="0" w:color="auto"/>
            <w:left w:val="none" w:sz="0" w:space="0" w:color="auto"/>
            <w:bottom w:val="none" w:sz="0" w:space="0" w:color="auto"/>
            <w:right w:val="none" w:sz="0" w:space="0" w:color="auto"/>
          </w:divBdr>
        </w:div>
      </w:divsChild>
    </w:div>
    <w:div w:id="1250655415">
      <w:bodyDiv w:val="1"/>
      <w:marLeft w:val="0"/>
      <w:marRight w:val="0"/>
      <w:marTop w:val="0"/>
      <w:marBottom w:val="0"/>
      <w:divBdr>
        <w:top w:val="none" w:sz="0" w:space="0" w:color="auto"/>
        <w:left w:val="none" w:sz="0" w:space="0" w:color="auto"/>
        <w:bottom w:val="none" w:sz="0" w:space="0" w:color="auto"/>
        <w:right w:val="none" w:sz="0" w:space="0" w:color="auto"/>
      </w:divBdr>
      <w:divsChild>
        <w:div w:id="935018937">
          <w:marLeft w:val="0"/>
          <w:marRight w:val="0"/>
          <w:marTop w:val="34"/>
          <w:marBottom w:val="34"/>
          <w:divBdr>
            <w:top w:val="none" w:sz="0" w:space="0" w:color="auto"/>
            <w:left w:val="none" w:sz="0" w:space="0" w:color="auto"/>
            <w:bottom w:val="none" w:sz="0" w:space="0" w:color="auto"/>
            <w:right w:val="none" w:sz="0" w:space="0" w:color="auto"/>
          </w:divBdr>
        </w:div>
        <w:div w:id="1691488469">
          <w:marLeft w:val="0"/>
          <w:marRight w:val="0"/>
          <w:marTop w:val="0"/>
          <w:marBottom w:val="0"/>
          <w:divBdr>
            <w:top w:val="none" w:sz="0" w:space="0" w:color="auto"/>
            <w:left w:val="none" w:sz="0" w:space="0" w:color="auto"/>
            <w:bottom w:val="none" w:sz="0" w:space="0" w:color="auto"/>
            <w:right w:val="none" w:sz="0" w:space="0" w:color="auto"/>
          </w:divBdr>
        </w:div>
      </w:divsChild>
    </w:div>
    <w:div w:id="1386567344">
      <w:bodyDiv w:val="1"/>
      <w:marLeft w:val="0"/>
      <w:marRight w:val="0"/>
      <w:marTop w:val="0"/>
      <w:marBottom w:val="0"/>
      <w:divBdr>
        <w:top w:val="none" w:sz="0" w:space="0" w:color="auto"/>
        <w:left w:val="none" w:sz="0" w:space="0" w:color="auto"/>
        <w:bottom w:val="none" w:sz="0" w:space="0" w:color="auto"/>
        <w:right w:val="none" w:sz="0" w:space="0" w:color="auto"/>
      </w:divBdr>
      <w:divsChild>
        <w:div w:id="1763335717">
          <w:marLeft w:val="0"/>
          <w:marRight w:val="0"/>
          <w:marTop w:val="34"/>
          <w:marBottom w:val="34"/>
          <w:divBdr>
            <w:top w:val="none" w:sz="0" w:space="0" w:color="auto"/>
            <w:left w:val="none" w:sz="0" w:space="0" w:color="auto"/>
            <w:bottom w:val="none" w:sz="0" w:space="0" w:color="auto"/>
            <w:right w:val="none" w:sz="0" w:space="0" w:color="auto"/>
          </w:divBdr>
        </w:div>
      </w:divsChild>
    </w:div>
    <w:div w:id="1443379495">
      <w:bodyDiv w:val="1"/>
      <w:marLeft w:val="0"/>
      <w:marRight w:val="0"/>
      <w:marTop w:val="0"/>
      <w:marBottom w:val="0"/>
      <w:divBdr>
        <w:top w:val="none" w:sz="0" w:space="0" w:color="auto"/>
        <w:left w:val="none" w:sz="0" w:space="0" w:color="auto"/>
        <w:bottom w:val="none" w:sz="0" w:space="0" w:color="auto"/>
        <w:right w:val="none" w:sz="0" w:space="0" w:color="auto"/>
      </w:divBdr>
    </w:div>
    <w:div w:id="1471941724">
      <w:bodyDiv w:val="1"/>
      <w:marLeft w:val="0"/>
      <w:marRight w:val="0"/>
      <w:marTop w:val="0"/>
      <w:marBottom w:val="0"/>
      <w:divBdr>
        <w:top w:val="none" w:sz="0" w:space="0" w:color="auto"/>
        <w:left w:val="none" w:sz="0" w:space="0" w:color="auto"/>
        <w:bottom w:val="none" w:sz="0" w:space="0" w:color="auto"/>
        <w:right w:val="none" w:sz="0" w:space="0" w:color="auto"/>
      </w:divBdr>
      <w:divsChild>
        <w:div w:id="215164773">
          <w:marLeft w:val="0"/>
          <w:marRight w:val="0"/>
          <w:marTop w:val="34"/>
          <w:marBottom w:val="34"/>
          <w:divBdr>
            <w:top w:val="none" w:sz="0" w:space="0" w:color="auto"/>
            <w:left w:val="none" w:sz="0" w:space="0" w:color="auto"/>
            <w:bottom w:val="none" w:sz="0" w:space="0" w:color="auto"/>
            <w:right w:val="none" w:sz="0" w:space="0" w:color="auto"/>
          </w:divBdr>
        </w:div>
      </w:divsChild>
    </w:div>
    <w:div w:id="1487285730">
      <w:bodyDiv w:val="1"/>
      <w:marLeft w:val="0"/>
      <w:marRight w:val="0"/>
      <w:marTop w:val="0"/>
      <w:marBottom w:val="0"/>
      <w:divBdr>
        <w:top w:val="none" w:sz="0" w:space="0" w:color="auto"/>
        <w:left w:val="none" w:sz="0" w:space="0" w:color="auto"/>
        <w:bottom w:val="none" w:sz="0" w:space="0" w:color="auto"/>
        <w:right w:val="none" w:sz="0" w:space="0" w:color="auto"/>
      </w:divBdr>
    </w:div>
    <w:div w:id="1547911059">
      <w:bodyDiv w:val="1"/>
      <w:marLeft w:val="0"/>
      <w:marRight w:val="0"/>
      <w:marTop w:val="0"/>
      <w:marBottom w:val="0"/>
      <w:divBdr>
        <w:top w:val="none" w:sz="0" w:space="0" w:color="auto"/>
        <w:left w:val="none" w:sz="0" w:space="0" w:color="auto"/>
        <w:bottom w:val="none" w:sz="0" w:space="0" w:color="auto"/>
        <w:right w:val="none" w:sz="0" w:space="0" w:color="auto"/>
      </w:divBdr>
    </w:div>
    <w:div w:id="1581792072">
      <w:bodyDiv w:val="1"/>
      <w:marLeft w:val="0"/>
      <w:marRight w:val="0"/>
      <w:marTop w:val="0"/>
      <w:marBottom w:val="0"/>
      <w:divBdr>
        <w:top w:val="none" w:sz="0" w:space="0" w:color="auto"/>
        <w:left w:val="none" w:sz="0" w:space="0" w:color="auto"/>
        <w:bottom w:val="none" w:sz="0" w:space="0" w:color="auto"/>
        <w:right w:val="none" w:sz="0" w:space="0" w:color="auto"/>
      </w:divBdr>
    </w:div>
    <w:div w:id="1614627040">
      <w:bodyDiv w:val="1"/>
      <w:marLeft w:val="0"/>
      <w:marRight w:val="0"/>
      <w:marTop w:val="0"/>
      <w:marBottom w:val="0"/>
      <w:divBdr>
        <w:top w:val="none" w:sz="0" w:space="0" w:color="auto"/>
        <w:left w:val="none" w:sz="0" w:space="0" w:color="auto"/>
        <w:bottom w:val="none" w:sz="0" w:space="0" w:color="auto"/>
        <w:right w:val="none" w:sz="0" w:space="0" w:color="auto"/>
      </w:divBdr>
      <w:divsChild>
        <w:div w:id="417484341">
          <w:marLeft w:val="0"/>
          <w:marRight w:val="0"/>
          <w:marTop w:val="34"/>
          <w:marBottom w:val="34"/>
          <w:divBdr>
            <w:top w:val="none" w:sz="0" w:space="0" w:color="auto"/>
            <w:left w:val="none" w:sz="0" w:space="0" w:color="auto"/>
            <w:bottom w:val="none" w:sz="0" w:space="0" w:color="auto"/>
            <w:right w:val="none" w:sz="0" w:space="0" w:color="auto"/>
          </w:divBdr>
        </w:div>
      </w:divsChild>
    </w:div>
    <w:div w:id="1675570530">
      <w:bodyDiv w:val="1"/>
      <w:marLeft w:val="0"/>
      <w:marRight w:val="0"/>
      <w:marTop w:val="0"/>
      <w:marBottom w:val="0"/>
      <w:divBdr>
        <w:top w:val="none" w:sz="0" w:space="0" w:color="auto"/>
        <w:left w:val="none" w:sz="0" w:space="0" w:color="auto"/>
        <w:bottom w:val="none" w:sz="0" w:space="0" w:color="auto"/>
        <w:right w:val="none" w:sz="0" w:space="0" w:color="auto"/>
      </w:divBdr>
      <w:divsChild>
        <w:div w:id="1963075379">
          <w:marLeft w:val="0"/>
          <w:marRight w:val="0"/>
          <w:marTop w:val="34"/>
          <w:marBottom w:val="34"/>
          <w:divBdr>
            <w:top w:val="none" w:sz="0" w:space="0" w:color="auto"/>
            <w:left w:val="none" w:sz="0" w:space="0" w:color="auto"/>
            <w:bottom w:val="none" w:sz="0" w:space="0" w:color="auto"/>
            <w:right w:val="none" w:sz="0" w:space="0" w:color="auto"/>
          </w:divBdr>
        </w:div>
      </w:divsChild>
    </w:div>
    <w:div w:id="1754206361">
      <w:bodyDiv w:val="1"/>
      <w:marLeft w:val="0"/>
      <w:marRight w:val="0"/>
      <w:marTop w:val="0"/>
      <w:marBottom w:val="0"/>
      <w:divBdr>
        <w:top w:val="none" w:sz="0" w:space="0" w:color="auto"/>
        <w:left w:val="none" w:sz="0" w:space="0" w:color="auto"/>
        <w:bottom w:val="none" w:sz="0" w:space="0" w:color="auto"/>
        <w:right w:val="none" w:sz="0" w:space="0" w:color="auto"/>
      </w:divBdr>
    </w:div>
    <w:div w:id="1779790544">
      <w:bodyDiv w:val="1"/>
      <w:marLeft w:val="0"/>
      <w:marRight w:val="0"/>
      <w:marTop w:val="0"/>
      <w:marBottom w:val="0"/>
      <w:divBdr>
        <w:top w:val="none" w:sz="0" w:space="0" w:color="auto"/>
        <w:left w:val="none" w:sz="0" w:space="0" w:color="auto"/>
        <w:bottom w:val="none" w:sz="0" w:space="0" w:color="auto"/>
        <w:right w:val="none" w:sz="0" w:space="0" w:color="auto"/>
      </w:divBdr>
    </w:div>
    <w:div w:id="1791627195">
      <w:bodyDiv w:val="1"/>
      <w:marLeft w:val="0"/>
      <w:marRight w:val="0"/>
      <w:marTop w:val="0"/>
      <w:marBottom w:val="0"/>
      <w:divBdr>
        <w:top w:val="none" w:sz="0" w:space="0" w:color="auto"/>
        <w:left w:val="none" w:sz="0" w:space="0" w:color="auto"/>
        <w:bottom w:val="none" w:sz="0" w:space="0" w:color="auto"/>
        <w:right w:val="none" w:sz="0" w:space="0" w:color="auto"/>
      </w:divBdr>
      <w:divsChild>
        <w:div w:id="443694244">
          <w:marLeft w:val="0"/>
          <w:marRight w:val="0"/>
          <w:marTop w:val="34"/>
          <w:marBottom w:val="34"/>
          <w:divBdr>
            <w:top w:val="none" w:sz="0" w:space="0" w:color="auto"/>
            <w:left w:val="none" w:sz="0" w:space="0" w:color="auto"/>
            <w:bottom w:val="none" w:sz="0" w:space="0" w:color="auto"/>
            <w:right w:val="none" w:sz="0" w:space="0" w:color="auto"/>
          </w:divBdr>
        </w:div>
      </w:divsChild>
    </w:div>
    <w:div w:id="1815022691">
      <w:bodyDiv w:val="1"/>
      <w:marLeft w:val="0"/>
      <w:marRight w:val="0"/>
      <w:marTop w:val="0"/>
      <w:marBottom w:val="0"/>
      <w:divBdr>
        <w:top w:val="none" w:sz="0" w:space="0" w:color="auto"/>
        <w:left w:val="none" w:sz="0" w:space="0" w:color="auto"/>
        <w:bottom w:val="none" w:sz="0" w:space="0" w:color="auto"/>
        <w:right w:val="none" w:sz="0" w:space="0" w:color="auto"/>
      </w:divBdr>
      <w:divsChild>
        <w:div w:id="1715538967">
          <w:marLeft w:val="0"/>
          <w:marRight w:val="0"/>
          <w:marTop w:val="34"/>
          <w:marBottom w:val="34"/>
          <w:divBdr>
            <w:top w:val="none" w:sz="0" w:space="0" w:color="auto"/>
            <w:left w:val="none" w:sz="0" w:space="0" w:color="auto"/>
            <w:bottom w:val="none" w:sz="0" w:space="0" w:color="auto"/>
            <w:right w:val="none" w:sz="0" w:space="0" w:color="auto"/>
          </w:divBdr>
        </w:div>
      </w:divsChild>
    </w:div>
    <w:div w:id="1888713734">
      <w:bodyDiv w:val="1"/>
      <w:marLeft w:val="0"/>
      <w:marRight w:val="0"/>
      <w:marTop w:val="0"/>
      <w:marBottom w:val="0"/>
      <w:divBdr>
        <w:top w:val="none" w:sz="0" w:space="0" w:color="auto"/>
        <w:left w:val="none" w:sz="0" w:space="0" w:color="auto"/>
        <w:bottom w:val="none" w:sz="0" w:space="0" w:color="auto"/>
        <w:right w:val="none" w:sz="0" w:space="0" w:color="auto"/>
      </w:divBdr>
    </w:div>
    <w:div w:id="1923249600">
      <w:bodyDiv w:val="1"/>
      <w:marLeft w:val="0"/>
      <w:marRight w:val="0"/>
      <w:marTop w:val="0"/>
      <w:marBottom w:val="0"/>
      <w:divBdr>
        <w:top w:val="none" w:sz="0" w:space="0" w:color="auto"/>
        <w:left w:val="none" w:sz="0" w:space="0" w:color="auto"/>
        <w:bottom w:val="none" w:sz="0" w:space="0" w:color="auto"/>
        <w:right w:val="none" w:sz="0" w:space="0" w:color="auto"/>
      </w:divBdr>
    </w:div>
    <w:div w:id="1932853472">
      <w:bodyDiv w:val="1"/>
      <w:marLeft w:val="0"/>
      <w:marRight w:val="0"/>
      <w:marTop w:val="0"/>
      <w:marBottom w:val="0"/>
      <w:divBdr>
        <w:top w:val="none" w:sz="0" w:space="0" w:color="auto"/>
        <w:left w:val="none" w:sz="0" w:space="0" w:color="auto"/>
        <w:bottom w:val="none" w:sz="0" w:space="0" w:color="auto"/>
        <w:right w:val="none" w:sz="0" w:space="0" w:color="auto"/>
      </w:divBdr>
    </w:div>
    <w:div w:id="2117093407">
      <w:bodyDiv w:val="1"/>
      <w:marLeft w:val="0"/>
      <w:marRight w:val="0"/>
      <w:marTop w:val="0"/>
      <w:marBottom w:val="0"/>
      <w:divBdr>
        <w:top w:val="none" w:sz="0" w:space="0" w:color="auto"/>
        <w:left w:val="none" w:sz="0" w:space="0" w:color="auto"/>
        <w:bottom w:val="none" w:sz="0" w:space="0" w:color="auto"/>
        <w:right w:val="none" w:sz="0" w:space="0" w:color="auto"/>
      </w:divBdr>
    </w:div>
    <w:div w:id="2122258118">
      <w:bodyDiv w:val="1"/>
      <w:marLeft w:val="0"/>
      <w:marRight w:val="0"/>
      <w:marTop w:val="0"/>
      <w:marBottom w:val="0"/>
      <w:divBdr>
        <w:top w:val="none" w:sz="0" w:space="0" w:color="auto"/>
        <w:left w:val="none" w:sz="0" w:space="0" w:color="auto"/>
        <w:bottom w:val="none" w:sz="0" w:space="0" w:color="auto"/>
        <w:right w:val="none" w:sz="0" w:space="0" w:color="auto"/>
      </w:divBdr>
      <w:divsChild>
        <w:div w:id="68843218">
          <w:marLeft w:val="0"/>
          <w:marRight w:val="0"/>
          <w:marTop w:val="120"/>
          <w:marBottom w:val="360"/>
          <w:divBdr>
            <w:top w:val="none" w:sz="0" w:space="0" w:color="auto"/>
            <w:left w:val="none" w:sz="0" w:space="0" w:color="auto"/>
            <w:bottom w:val="none" w:sz="0" w:space="0" w:color="auto"/>
            <w:right w:val="none" w:sz="0" w:space="0" w:color="auto"/>
          </w:divBdr>
          <w:divsChild>
            <w:div w:id="580212896">
              <w:marLeft w:val="420"/>
              <w:marRight w:val="0"/>
              <w:marTop w:val="0"/>
              <w:marBottom w:val="0"/>
              <w:divBdr>
                <w:top w:val="none" w:sz="0" w:space="0" w:color="auto"/>
                <w:left w:val="none" w:sz="0" w:space="0" w:color="auto"/>
                <w:bottom w:val="none" w:sz="0" w:space="0" w:color="auto"/>
                <w:right w:val="none" w:sz="0" w:space="0" w:color="auto"/>
              </w:divBdr>
              <w:divsChild>
                <w:div w:id="1445536201">
                  <w:marLeft w:val="0"/>
                  <w:marRight w:val="0"/>
                  <w:marTop w:val="0"/>
                  <w:marBottom w:val="0"/>
                  <w:divBdr>
                    <w:top w:val="none" w:sz="0" w:space="0" w:color="auto"/>
                    <w:left w:val="none" w:sz="0" w:space="0" w:color="auto"/>
                    <w:bottom w:val="none" w:sz="0" w:space="0" w:color="auto"/>
                    <w:right w:val="none" w:sz="0" w:space="0" w:color="auto"/>
                  </w:divBdr>
                  <w:divsChild>
                    <w:div w:id="1615212396">
                      <w:marLeft w:val="0"/>
                      <w:marRight w:val="0"/>
                      <w:marTop w:val="0"/>
                      <w:marBottom w:val="0"/>
                      <w:divBdr>
                        <w:top w:val="none" w:sz="0" w:space="0" w:color="auto"/>
                        <w:left w:val="none" w:sz="0" w:space="0" w:color="auto"/>
                        <w:bottom w:val="none" w:sz="0" w:space="0" w:color="auto"/>
                        <w:right w:val="none" w:sz="0" w:space="0" w:color="auto"/>
                      </w:divBdr>
                    </w:div>
                  </w:divsChild>
                </w:div>
                <w:div w:id="18933471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98340303">
          <w:marLeft w:val="0"/>
          <w:marRight w:val="0"/>
          <w:marTop w:val="120"/>
          <w:marBottom w:val="360"/>
          <w:divBdr>
            <w:top w:val="none" w:sz="0" w:space="0" w:color="auto"/>
            <w:left w:val="none" w:sz="0" w:space="0" w:color="auto"/>
            <w:bottom w:val="none" w:sz="0" w:space="0" w:color="auto"/>
            <w:right w:val="none" w:sz="0" w:space="0" w:color="auto"/>
          </w:divBdr>
          <w:divsChild>
            <w:div w:id="233708207">
              <w:marLeft w:val="0"/>
              <w:marRight w:val="0"/>
              <w:marTop w:val="0"/>
              <w:marBottom w:val="0"/>
              <w:divBdr>
                <w:top w:val="none" w:sz="0" w:space="0" w:color="auto"/>
                <w:left w:val="none" w:sz="0" w:space="0" w:color="auto"/>
                <w:bottom w:val="none" w:sz="0" w:space="0" w:color="auto"/>
                <w:right w:val="none" w:sz="0" w:space="0" w:color="auto"/>
              </w:divBdr>
            </w:div>
            <w:div w:id="1027366680">
              <w:marLeft w:val="420"/>
              <w:marRight w:val="0"/>
              <w:marTop w:val="0"/>
              <w:marBottom w:val="0"/>
              <w:divBdr>
                <w:top w:val="none" w:sz="0" w:space="0" w:color="auto"/>
                <w:left w:val="none" w:sz="0" w:space="0" w:color="auto"/>
                <w:bottom w:val="none" w:sz="0" w:space="0" w:color="auto"/>
                <w:right w:val="none" w:sz="0" w:space="0" w:color="auto"/>
              </w:divBdr>
              <w:divsChild>
                <w:div w:id="725376240">
                  <w:marLeft w:val="0"/>
                  <w:marRight w:val="0"/>
                  <w:marTop w:val="34"/>
                  <w:marBottom w:val="34"/>
                  <w:divBdr>
                    <w:top w:val="none" w:sz="0" w:space="0" w:color="auto"/>
                    <w:left w:val="none" w:sz="0" w:space="0" w:color="auto"/>
                    <w:bottom w:val="none" w:sz="0" w:space="0" w:color="auto"/>
                    <w:right w:val="none" w:sz="0" w:space="0" w:color="auto"/>
                  </w:divBdr>
                </w:div>
                <w:div w:id="1751851966">
                  <w:marLeft w:val="0"/>
                  <w:marRight w:val="0"/>
                  <w:marTop w:val="0"/>
                  <w:marBottom w:val="0"/>
                  <w:divBdr>
                    <w:top w:val="none" w:sz="0" w:space="0" w:color="auto"/>
                    <w:left w:val="none" w:sz="0" w:space="0" w:color="auto"/>
                    <w:bottom w:val="none" w:sz="0" w:space="0" w:color="auto"/>
                    <w:right w:val="none" w:sz="0" w:space="0" w:color="auto"/>
                  </w:divBdr>
                  <w:divsChild>
                    <w:div w:id="1302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347">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sChild>
        <w:div w:id="1425876284">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london@googlemail.com" TargetMode="External"/><Relationship Id="rId13" Type="http://schemas.openxmlformats.org/officeDocument/2006/relationships/hyperlink" Target="http://www.imi-getreal.eu/" TargetMode="External"/><Relationship Id="rId18" Type="http://schemas.openxmlformats.org/officeDocument/2006/relationships/hyperlink" Target="http://www.ncbi.nlm.nih.gov/pubmed/2705597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27551113" TargetMode="External"/><Relationship Id="rId7" Type="http://schemas.openxmlformats.org/officeDocument/2006/relationships/endnotes" Target="endnotes.xml"/><Relationship Id="rId12" Type="http://schemas.openxmlformats.org/officeDocument/2006/relationships/hyperlink" Target="https://www.ncbi.nlm.nih.gov/pubmed/23585392" TargetMode="External"/><Relationship Id="rId17" Type="http://schemas.openxmlformats.org/officeDocument/2006/relationships/hyperlink" Target="https://www.ncbi.nlm.nih.gov/pubmed/30194691" TargetMode="External"/><Relationship Id="rId25" Type="http://schemas.openxmlformats.org/officeDocument/2006/relationships/hyperlink" Target="http://www.ncbi.nlm.nih.gov/pubmed/26948173" TargetMode="External"/><Relationship Id="rId2" Type="http://schemas.openxmlformats.org/officeDocument/2006/relationships/numbering" Target="numbering.xml"/><Relationship Id="rId16" Type="http://schemas.openxmlformats.org/officeDocument/2006/relationships/hyperlink" Target="https://www.ncbi.nlm.nih.gov/pubmed/29496065" TargetMode="External"/><Relationship Id="rId20" Type="http://schemas.openxmlformats.org/officeDocument/2006/relationships/hyperlink" Target="http://www.ncbi.nlm.nih.gov/pubmed/25537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6027881" TargetMode="External"/><Relationship Id="rId24" Type="http://schemas.openxmlformats.org/officeDocument/2006/relationships/hyperlink" Target="https://www.ncbi.nlm.nih.gov/pubmed/30284248" TargetMode="External"/><Relationship Id="rId5" Type="http://schemas.openxmlformats.org/officeDocument/2006/relationships/webSettings" Target="webSettings.xml"/><Relationship Id="rId15" Type="http://schemas.openxmlformats.org/officeDocument/2006/relationships/hyperlink" Target="https://www.ncbi.nlm.nih.gov/pubmed/29761586" TargetMode="External"/><Relationship Id="rId23" Type="http://schemas.openxmlformats.org/officeDocument/2006/relationships/hyperlink" Target="http://www.ncbi.nlm.nih.gov/pubmed/26597442" TargetMode="External"/><Relationship Id="rId28" Type="http://schemas.openxmlformats.org/officeDocument/2006/relationships/theme" Target="theme/theme1.xml"/><Relationship Id="rId10" Type="http://schemas.openxmlformats.org/officeDocument/2006/relationships/hyperlink" Target="https://www.ncbi.nlm.nih.gov/pubmed/26643388" TargetMode="External"/><Relationship Id="rId19" Type="http://schemas.openxmlformats.org/officeDocument/2006/relationships/hyperlink" Target="http://www.ncbi.nlm.nih.gov/pubmed/27165672" TargetMode="External"/><Relationship Id="rId4" Type="http://schemas.openxmlformats.org/officeDocument/2006/relationships/settings" Target="settings.xml"/><Relationship Id="rId9" Type="http://schemas.openxmlformats.org/officeDocument/2006/relationships/hyperlink" Target="http://www.ncbi.nlm.nih.gov/pubmed/19132717" TargetMode="External"/><Relationship Id="rId14" Type="http://schemas.openxmlformats.org/officeDocument/2006/relationships/hyperlink" Target="http://www.ncbi.nlm.nih.gov/pubmed/26321080" TargetMode="External"/><Relationship Id="rId22" Type="http://schemas.openxmlformats.org/officeDocument/2006/relationships/hyperlink" Target="https://www.ncbi.nlm.nih.gov/pubmed/2410723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0603-98BA-DF41-B50A-549BA64B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7758</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51882</CharactersWithSpaces>
  <SharedDoc>false</SharedDoc>
  <HLinks>
    <vt:vector size="72" baseType="variant">
      <vt:variant>
        <vt:i4>3407917</vt:i4>
      </vt:variant>
      <vt:variant>
        <vt:i4>33</vt:i4>
      </vt:variant>
      <vt:variant>
        <vt:i4>0</vt:i4>
      </vt:variant>
      <vt:variant>
        <vt:i4>5</vt:i4>
      </vt:variant>
      <vt:variant>
        <vt:lpwstr>http://www.ncbi.nlm.nih.gov/pubmed/26597442</vt:lpwstr>
      </vt:variant>
      <vt:variant>
        <vt:lpwstr/>
      </vt:variant>
      <vt:variant>
        <vt:i4>3407909</vt:i4>
      </vt:variant>
      <vt:variant>
        <vt:i4>30</vt:i4>
      </vt:variant>
      <vt:variant>
        <vt:i4>0</vt:i4>
      </vt:variant>
      <vt:variant>
        <vt:i4>5</vt:i4>
      </vt:variant>
      <vt:variant>
        <vt:lpwstr>http://www.ncbi.nlm.nih.gov/pubmed/26948173</vt:lpwstr>
      </vt:variant>
      <vt:variant>
        <vt:lpwstr/>
      </vt:variant>
      <vt:variant>
        <vt:i4>3604517</vt:i4>
      </vt:variant>
      <vt:variant>
        <vt:i4>27</vt:i4>
      </vt:variant>
      <vt:variant>
        <vt:i4>0</vt:i4>
      </vt:variant>
      <vt:variant>
        <vt:i4>5</vt:i4>
      </vt:variant>
      <vt:variant>
        <vt:lpwstr>http://www.ncbi.nlm.nih.gov/pubmed/27551113</vt:lpwstr>
      </vt:variant>
      <vt:variant>
        <vt:lpwstr/>
      </vt:variant>
      <vt:variant>
        <vt:i4>3276834</vt:i4>
      </vt:variant>
      <vt:variant>
        <vt:i4>24</vt:i4>
      </vt:variant>
      <vt:variant>
        <vt:i4>0</vt:i4>
      </vt:variant>
      <vt:variant>
        <vt:i4>5</vt:i4>
      </vt:variant>
      <vt:variant>
        <vt:lpwstr>http://www.ncbi.nlm.nih.gov/pubmed/25537226</vt:lpwstr>
      </vt:variant>
      <vt:variant>
        <vt:lpwstr/>
      </vt:variant>
      <vt:variant>
        <vt:i4>3211297</vt:i4>
      </vt:variant>
      <vt:variant>
        <vt:i4>21</vt:i4>
      </vt:variant>
      <vt:variant>
        <vt:i4>0</vt:i4>
      </vt:variant>
      <vt:variant>
        <vt:i4>5</vt:i4>
      </vt:variant>
      <vt:variant>
        <vt:lpwstr>http://www.ncbi.nlm.nih.gov/pubmed/27165672</vt:lpwstr>
      </vt:variant>
      <vt:variant>
        <vt:lpwstr/>
      </vt:variant>
      <vt:variant>
        <vt:i4>3145773</vt:i4>
      </vt:variant>
      <vt:variant>
        <vt:i4>18</vt:i4>
      </vt:variant>
      <vt:variant>
        <vt:i4>0</vt:i4>
      </vt:variant>
      <vt:variant>
        <vt:i4>5</vt:i4>
      </vt:variant>
      <vt:variant>
        <vt:lpwstr>http://www.ncbi.nlm.nih.gov/pubmed/27055978</vt:lpwstr>
      </vt:variant>
      <vt:variant>
        <vt:lpwstr/>
      </vt:variant>
      <vt:variant>
        <vt:i4>3670050</vt:i4>
      </vt:variant>
      <vt:variant>
        <vt:i4>15</vt:i4>
      </vt:variant>
      <vt:variant>
        <vt:i4>0</vt:i4>
      </vt:variant>
      <vt:variant>
        <vt:i4>5</vt:i4>
      </vt:variant>
      <vt:variant>
        <vt:lpwstr>http://www.ncbi.nlm.nih.gov/pubmed/26321080</vt:lpwstr>
      </vt:variant>
      <vt:variant>
        <vt:lpwstr/>
      </vt:variant>
      <vt:variant>
        <vt:i4>262224</vt:i4>
      </vt:variant>
      <vt:variant>
        <vt:i4>12</vt:i4>
      </vt:variant>
      <vt:variant>
        <vt:i4>0</vt:i4>
      </vt:variant>
      <vt:variant>
        <vt:i4>5</vt:i4>
      </vt:variant>
      <vt:variant>
        <vt:lpwstr>https://www.ncbi.nlm.nih.gov/pubmed/23585392</vt:lpwstr>
      </vt:variant>
      <vt:variant>
        <vt:lpwstr/>
      </vt:variant>
      <vt:variant>
        <vt:i4>3997738</vt:i4>
      </vt:variant>
      <vt:variant>
        <vt:i4>9</vt:i4>
      </vt:variant>
      <vt:variant>
        <vt:i4>0</vt:i4>
      </vt:variant>
      <vt:variant>
        <vt:i4>5</vt:i4>
      </vt:variant>
      <vt:variant>
        <vt:lpwstr>http://www.ncbi.nlm.nih.gov/pubmed/26027881</vt:lpwstr>
      </vt:variant>
      <vt:variant>
        <vt:lpwstr/>
      </vt:variant>
      <vt:variant>
        <vt:i4>3276844</vt:i4>
      </vt:variant>
      <vt:variant>
        <vt:i4>6</vt:i4>
      </vt:variant>
      <vt:variant>
        <vt:i4>0</vt:i4>
      </vt:variant>
      <vt:variant>
        <vt:i4>5</vt:i4>
      </vt:variant>
      <vt:variant>
        <vt:lpwstr>http://www.ncbi.nlm.nih.gov/pubmed/27442962</vt:lpwstr>
      </vt:variant>
      <vt:variant>
        <vt:lpwstr/>
      </vt:variant>
      <vt:variant>
        <vt:i4>3342379</vt:i4>
      </vt:variant>
      <vt:variant>
        <vt:i4>3</vt:i4>
      </vt:variant>
      <vt:variant>
        <vt:i4>0</vt:i4>
      </vt:variant>
      <vt:variant>
        <vt:i4>5</vt:i4>
      </vt:variant>
      <vt:variant>
        <vt:lpwstr>http://www.ncbi.nlm.nih.gov/pubmed/19132717</vt:lpwstr>
      </vt:variant>
      <vt:variant>
        <vt:lpwstr/>
      </vt:variant>
      <vt:variant>
        <vt:i4>5570614</vt:i4>
      </vt:variant>
      <vt:variant>
        <vt:i4>0</vt:i4>
      </vt:variant>
      <vt:variant>
        <vt:i4>0</vt:i4>
      </vt:variant>
      <vt:variant>
        <vt:i4>5</vt:i4>
      </vt:variant>
      <vt:variant>
        <vt:lpwstr>mailto:hutch.london@googlemail.com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Hackshaw</dc:creator>
  <cp:lastModifiedBy>Shaw, Richard</cp:lastModifiedBy>
  <cp:revision>2</cp:revision>
  <cp:lastPrinted>2019-04-12T14:15:00Z</cp:lastPrinted>
  <dcterms:created xsi:type="dcterms:W3CDTF">2019-11-29T12:09:00Z</dcterms:created>
  <dcterms:modified xsi:type="dcterms:W3CDTF">2019-11-29T12:09:00Z</dcterms:modified>
</cp:coreProperties>
</file>