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25A6" w14:textId="170B5A31" w:rsidR="008D03F1" w:rsidRPr="002C0A56" w:rsidRDefault="008D03F1" w:rsidP="001D6CB1">
      <w:pPr>
        <w:pStyle w:val="Heading1"/>
        <w:jc w:val="both"/>
        <w:rPr>
          <w:lang w:val="en-GB"/>
        </w:rPr>
      </w:pPr>
      <w:r>
        <w:rPr>
          <w:lang w:val="en-GB"/>
        </w:rPr>
        <w:t>‘If you didn’t laugh, you’d cry’: Emotional labour, re</w:t>
      </w:r>
      <w:r w:rsidR="009C3A18">
        <w:rPr>
          <w:lang w:val="en-GB"/>
        </w:rPr>
        <w:t>flexivity</w:t>
      </w:r>
      <w:r>
        <w:rPr>
          <w:lang w:val="en-GB"/>
        </w:rPr>
        <w:t>, and ethics</w:t>
      </w:r>
      <w:r w:rsidR="007C5460">
        <w:rPr>
          <w:lang w:val="en-GB"/>
        </w:rPr>
        <w:t>-</w:t>
      </w:r>
      <w:r>
        <w:rPr>
          <w:lang w:val="en-GB"/>
        </w:rPr>
        <w:t>as</w:t>
      </w:r>
      <w:r w:rsidR="007C5460">
        <w:rPr>
          <w:lang w:val="en-GB"/>
        </w:rPr>
        <w:t>-</w:t>
      </w:r>
      <w:r>
        <w:rPr>
          <w:lang w:val="en-GB"/>
        </w:rPr>
        <w:t>practice in a</w:t>
      </w:r>
      <w:r w:rsidR="00F47F98">
        <w:rPr>
          <w:lang w:val="en-GB"/>
        </w:rPr>
        <w:t xml:space="preserve"> qualitative</w:t>
      </w:r>
      <w:r>
        <w:rPr>
          <w:lang w:val="en-GB"/>
        </w:rPr>
        <w:t xml:space="preserve"> fieldwork context</w:t>
      </w:r>
    </w:p>
    <w:p w14:paraId="2C27DE6E" w14:textId="77542BAC" w:rsidR="00406430" w:rsidRDefault="00406430" w:rsidP="00135CAE">
      <w:pPr>
        <w:pStyle w:val="ABKW"/>
        <w:spacing w:line="360" w:lineRule="auto"/>
        <w:contextualSpacing/>
        <w:jc w:val="both"/>
      </w:pPr>
    </w:p>
    <w:p w14:paraId="731C52E0" w14:textId="60070F25" w:rsidR="005C2735" w:rsidRDefault="005C2735" w:rsidP="00135CAE">
      <w:pPr>
        <w:pStyle w:val="ABKW"/>
        <w:spacing w:line="360" w:lineRule="auto"/>
        <w:contextualSpacing/>
        <w:jc w:val="both"/>
        <w:rPr>
          <w:sz w:val="32"/>
          <w:szCs w:val="32"/>
        </w:rPr>
      </w:pPr>
      <w:r>
        <w:rPr>
          <w:sz w:val="32"/>
          <w:szCs w:val="32"/>
        </w:rPr>
        <w:t>William McGowan</w:t>
      </w:r>
    </w:p>
    <w:p w14:paraId="09DCF641" w14:textId="77777777" w:rsidR="000C0D34" w:rsidRDefault="000C0D34" w:rsidP="00135CAE">
      <w:pPr>
        <w:pStyle w:val="ABKW"/>
        <w:spacing w:line="360" w:lineRule="auto"/>
        <w:contextualSpacing/>
        <w:jc w:val="both"/>
        <w:rPr>
          <w:sz w:val="32"/>
          <w:szCs w:val="32"/>
        </w:rPr>
      </w:pPr>
    </w:p>
    <w:p w14:paraId="7B10B7BE" w14:textId="0C42206A" w:rsidR="008D03F1" w:rsidRDefault="000C0D34" w:rsidP="000C0D34">
      <w:pPr>
        <w:pStyle w:val="Heading2"/>
      </w:pPr>
      <w:r>
        <w:t>Abstract</w:t>
      </w:r>
    </w:p>
    <w:p w14:paraId="5FE23C93" w14:textId="053ACAD8" w:rsidR="000C0D34" w:rsidRDefault="000C0D34" w:rsidP="000C0D34"/>
    <w:p w14:paraId="2AFAEE27" w14:textId="7E839BF9" w:rsidR="000C0D34" w:rsidRDefault="000C0D34" w:rsidP="000C0D34">
      <w:pPr>
        <w:spacing w:line="360" w:lineRule="auto"/>
        <w:jc w:val="both"/>
      </w:pPr>
      <w:r w:rsidRPr="000C0D34">
        <w:t>This article takes Guillemin and</w:t>
      </w:r>
      <w:r w:rsidR="00B447CE">
        <w:t xml:space="preserve"> </w:t>
      </w:r>
      <w:r w:rsidRPr="000C0D34">
        <w:t xml:space="preserve">Gillam’s (2004) distinction between ‘procedural ethics’ and ‘ethics in practice’ as a point of departure and return for reflecting critically on a recently completed doctoral research project about political violence and terrorism. </w:t>
      </w:r>
      <w:r w:rsidRPr="000C0D34">
        <w:rPr>
          <w:lang w:val="en-GB"/>
        </w:rPr>
        <w:t>It provides an overview of the study before offering some instructive vignettes to show how ethical decision-making processes engaged with ‘in the field’ were an extension of more everyday and mundane reasoning than we may typically associate with such quintessentially ‘sensitive research’.</w:t>
      </w:r>
      <w:r w:rsidRPr="000C0D34">
        <w:t xml:space="preserve"> As the final section of the paper argues, it is this everyday and mundane quality to ethical reasoning which is sometimes obscured in formal accounts of ‘reflexivity’. It is hoped that the paper is useful for scholars interested in the ethics and emotional practices of qualitative inquiry, as well as those researching serious violence and bereavement.</w:t>
      </w:r>
    </w:p>
    <w:p w14:paraId="43956105" w14:textId="54B7E172" w:rsidR="000C0D34" w:rsidRDefault="000C0D34" w:rsidP="000C0D34">
      <w:pPr>
        <w:spacing w:line="360" w:lineRule="auto"/>
        <w:jc w:val="both"/>
      </w:pPr>
    </w:p>
    <w:p w14:paraId="62C9422B" w14:textId="77777777" w:rsidR="000C0D34" w:rsidRDefault="000C0D34" w:rsidP="000C0D34">
      <w:pPr>
        <w:spacing w:line="360" w:lineRule="auto"/>
        <w:jc w:val="both"/>
        <w:rPr>
          <w:sz w:val="32"/>
        </w:rPr>
      </w:pPr>
      <w:r>
        <w:rPr>
          <w:sz w:val="32"/>
        </w:rPr>
        <w:t xml:space="preserve">Keywords: </w:t>
      </w:r>
    </w:p>
    <w:p w14:paraId="2D50AA15" w14:textId="0C48E015" w:rsidR="000C0D34" w:rsidRPr="000C0D34" w:rsidRDefault="000C0D34" w:rsidP="000C0D34">
      <w:pPr>
        <w:spacing w:line="360" w:lineRule="auto"/>
        <w:jc w:val="both"/>
      </w:pPr>
      <w:r>
        <w:t>emotional labour; reflexivity; ethics;</w:t>
      </w:r>
      <w:r w:rsidRPr="000C0D34">
        <w:t xml:space="preserve"> </w:t>
      </w:r>
      <w:r>
        <w:t>political violence and terrorism; sensitive research</w:t>
      </w:r>
    </w:p>
    <w:p w14:paraId="687A0AA8" w14:textId="77777777" w:rsidR="000C0D34" w:rsidRDefault="000C0D34" w:rsidP="000C0D34">
      <w:pPr>
        <w:pStyle w:val="TEXT"/>
        <w:spacing w:before="120" w:after="120"/>
        <w:contextualSpacing/>
        <w:jc w:val="both"/>
      </w:pPr>
    </w:p>
    <w:p w14:paraId="4B65E3E5" w14:textId="77777777" w:rsidR="008D03F1" w:rsidRDefault="008D03F1" w:rsidP="00135CAE">
      <w:pPr>
        <w:pStyle w:val="Heading2"/>
        <w:jc w:val="both"/>
      </w:pPr>
      <w:r>
        <w:t>Introduction</w:t>
      </w:r>
    </w:p>
    <w:p w14:paraId="1EE499F1" w14:textId="77777777" w:rsidR="008D03F1" w:rsidRDefault="008D03F1" w:rsidP="00135CAE">
      <w:pPr>
        <w:pStyle w:val="ABKWH"/>
        <w:contextualSpacing/>
        <w:jc w:val="both"/>
        <w:rPr>
          <w:color w:val="000000" w:themeColor="text1"/>
        </w:rPr>
      </w:pPr>
    </w:p>
    <w:p w14:paraId="7472A289" w14:textId="72B5F9D0" w:rsidR="0076346E" w:rsidRDefault="00DE0BBA" w:rsidP="00135CAE">
      <w:pPr>
        <w:pStyle w:val="ABKWH"/>
        <w:spacing w:line="360" w:lineRule="auto"/>
        <w:contextualSpacing/>
        <w:jc w:val="both"/>
        <w:rPr>
          <w:color w:val="000000" w:themeColor="text1"/>
          <w:sz w:val="24"/>
        </w:rPr>
      </w:pPr>
      <w:r>
        <w:rPr>
          <w:color w:val="000000" w:themeColor="text1"/>
          <w:sz w:val="24"/>
        </w:rPr>
        <w:t>R</w:t>
      </w:r>
      <w:r w:rsidR="008D03F1" w:rsidRPr="00680641">
        <w:rPr>
          <w:color w:val="000000" w:themeColor="text1"/>
          <w:sz w:val="24"/>
        </w:rPr>
        <w:t xml:space="preserve">esearching </w:t>
      </w:r>
      <w:r w:rsidR="008F5337">
        <w:rPr>
          <w:color w:val="000000" w:themeColor="text1"/>
          <w:sz w:val="24"/>
        </w:rPr>
        <w:t>political violence and terrorism</w:t>
      </w:r>
      <w:r w:rsidR="00645DBF" w:rsidRPr="00645DBF">
        <w:rPr>
          <w:color w:val="000000" w:themeColor="text1"/>
          <w:sz w:val="24"/>
        </w:rPr>
        <w:t xml:space="preserve"> </w:t>
      </w:r>
      <w:r w:rsidR="00D75291">
        <w:rPr>
          <w:color w:val="000000" w:themeColor="text1"/>
          <w:sz w:val="24"/>
        </w:rPr>
        <w:t>is</w:t>
      </w:r>
      <w:r w:rsidR="00645DBF">
        <w:rPr>
          <w:color w:val="000000" w:themeColor="text1"/>
          <w:sz w:val="24"/>
        </w:rPr>
        <w:t xml:space="preserve"> a controversial </w:t>
      </w:r>
      <w:r w:rsidR="003B1DBF">
        <w:rPr>
          <w:color w:val="000000" w:themeColor="text1"/>
          <w:sz w:val="24"/>
        </w:rPr>
        <w:t>and emoti</w:t>
      </w:r>
      <w:r>
        <w:rPr>
          <w:color w:val="000000" w:themeColor="text1"/>
          <w:sz w:val="24"/>
        </w:rPr>
        <w:t xml:space="preserve">ve </w:t>
      </w:r>
      <w:r w:rsidR="00645DBF">
        <w:rPr>
          <w:color w:val="000000" w:themeColor="text1"/>
          <w:sz w:val="24"/>
        </w:rPr>
        <w:t>endeavor.</w:t>
      </w:r>
      <w:r w:rsidR="00D75291">
        <w:rPr>
          <w:color w:val="000000" w:themeColor="text1"/>
          <w:sz w:val="24"/>
        </w:rPr>
        <w:t xml:space="preserve"> </w:t>
      </w:r>
      <w:r w:rsidR="00A9359A">
        <w:rPr>
          <w:color w:val="000000" w:themeColor="text1"/>
          <w:sz w:val="24"/>
        </w:rPr>
        <w:t>C</w:t>
      </w:r>
      <w:r w:rsidR="00852FC1">
        <w:rPr>
          <w:color w:val="000000" w:themeColor="text1"/>
          <w:sz w:val="24"/>
        </w:rPr>
        <w:t>onduct</w:t>
      </w:r>
      <w:r w:rsidR="00A9359A">
        <w:rPr>
          <w:color w:val="000000" w:themeColor="text1"/>
          <w:sz w:val="24"/>
        </w:rPr>
        <w:t>ing</w:t>
      </w:r>
      <w:r w:rsidR="00852FC1">
        <w:rPr>
          <w:color w:val="000000" w:themeColor="text1"/>
          <w:sz w:val="24"/>
        </w:rPr>
        <w:t xml:space="preserve"> </w:t>
      </w:r>
      <w:r w:rsidR="0029385B">
        <w:rPr>
          <w:color w:val="000000" w:themeColor="text1"/>
          <w:sz w:val="24"/>
        </w:rPr>
        <w:t>qualitative</w:t>
      </w:r>
      <w:r w:rsidR="00852FC1">
        <w:rPr>
          <w:color w:val="000000" w:themeColor="text1"/>
          <w:sz w:val="24"/>
        </w:rPr>
        <w:t xml:space="preserve"> </w:t>
      </w:r>
      <w:r w:rsidR="0029385B">
        <w:rPr>
          <w:color w:val="000000" w:themeColor="text1"/>
          <w:sz w:val="24"/>
        </w:rPr>
        <w:t xml:space="preserve">fieldwork </w:t>
      </w:r>
      <w:r w:rsidR="00852FC1">
        <w:rPr>
          <w:color w:val="000000" w:themeColor="text1"/>
          <w:sz w:val="24"/>
        </w:rPr>
        <w:t xml:space="preserve">with survivors of </w:t>
      </w:r>
      <w:r w:rsidR="000115A4">
        <w:rPr>
          <w:color w:val="000000" w:themeColor="text1"/>
          <w:sz w:val="24"/>
        </w:rPr>
        <w:t xml:space="preserve">political violence and </w:t>
      </w:r>
      <w:r w:rsidR="00852FC1">
        <w:rPr>
          <w:color w:val="000000" w:themeColor="text1"/>
          <w:sz w:val="24"/>
        </w:rPr>
        <w:t>terror attacks</w:t>
      </w:r>
      <w:r w:rsidR="000115A4">
        <w:rPr>
          <w:color w:val="000000" w:themeColor="text1"/>
          <w:sz w:val="24"/>
        </w:rPr>
        <w:t xml:space="preserve"> would be rightly considered a quintessentially ‘sensitive research topic’ </w:t>
      </w:r>
      <w:r w:rsidR="008D03F1" w:rsidRPr="00680641">
        <w:rPr>
          <w:color w:val="000000" w:themeColor="text1"/>
          <w:sz w:val="24"/>
        </w:rPr>
        <w:t>(</w:t>
      </w:r>
      <w:proofErr w:type="spellStart"/>
      <w:r w:rsidR="00F54C2E">
        <w:rPr>
          <w:color w:val="000000" w:themeColor="text1"/>
          <w:sz w:val="24"/>
        </w:rPr>
        <w:t>Renzetti</w:t>
      </w:r>
      <w:proofErr w:type="spellEnd"/>
      <w:r w:rsidR="00F54C2E">
        <w:rPr>
          <w:color w:val="000000" w:themeColor="text1"/>
          <w:sz w:val="24"/>
        </w:rPr>
        <w:t xml:space="preserve"> and Lee, 1993)</w:t>
      </w:r>
      <w:r w:rsidR="00423396">
        <w:rPr>
          <w:color w:val="000000" w:themeColor="text1"/>
          <w:sz w:val="24"/>
        </w:rPr>
        <w:t xml:space="preserve"> by ethical review boards</w:t>
      </w:r>
      <w:r w:rsidR="000115A4">
        <w:rPr>
          <w:color w:val="000000" w:themeColor="text1"/>
          <w:sz w:val="24"/>
        </w:rPr>
        <w:t>.</w:t>
      </w:r>
      <w:r w:rsidR="0029385B">
        <w:rPr>
          <w:color w:val="000000" w:themeColor="text1"/>
          <w:sz w:val="24"/>
        </w:rPr>
        <w:t xml:space="preserve"> The mental and psychosomatic wellbeing of participants with distressing experiences of violence is a crucial consideration, as is the welfare of the </w:t>
      </w:r>
      <w:r w:rsidR="0029385B">
        <w:rPr>
          <w:color w:val="000000" w:themeColor="text1"/>
          <w:sz w:val="24"/>
        </w:rPr>
        <w:lastRenderedPageBreak/>
        <w:t>researcher. Doing</w:t>
      </w:r>
      <w:r w:rsidR="00E750F2">
        <w:rPr>
          <w:color w:val="000000" w:themeColor="text1"/>
          <w:sz w:val="24"/>
        </w:rPr>
        <w:t xml:space="preserve"> </w:t>
      </w:r>
      <w:r w:rsidR="0029385B">
        <w:rPr>
          <w:color w:val="000000" w:themeColor="text1"/>
          <w:sz w:val="24"/>
        </w:rPr>
        <w:t>justice to such considerations</w:t>
      </w:r>
      <w:r w:rsidR="0076346E">
        <w:rPr>
          <w:color w:val="000000" w:themeColor="text1"/>
          <w:sz w:val="24"/>
        </w:rPr>
        <w:t>, including securing ethical approval in the first place,</w:t>
      </w:r>
      <w:r w:rsidR="0029385B">
        <w:rPr>
          <w:color w:val="000000" w:themeColor="text1"/>
          <w:sz w:val="24"/>
        </w:rPr>
        <w:t xml:space="preserve"> necessarily </w:t>
      </w:r>
      <w:r w:rsidR="00E750F2">
        <w:rPr>
          <w:color w:val="000000" w:themeColor="text1"/>
          <w:sz w:val="24"/>
        </w:rPr>
        <w:t>engages</w:t>
      </w:r>
      <w:r w:rsidR="0029385B">
        <w:rPr>
          <w:color w:val="000000" w:themeColor="text1"/>
          <w:sz w:val="24"/>
        </w:rPr>
        <w:t xml:space="preserve"> </w:t>
      </w:r>
      <w:bookmarkStart w:id="0" w:name="_Hlk23839528"/>
      <w:r w:rsidR="0029385B">
        <w:rPr>
          <w:color w:val="000000" w:themeColor="text1"/>
          <w:sz w:val="24"/>
        </w:rPr>
        <w:t xml:space="preserve">a range of </w:t>
      </w:r>
      <w:r w:rsidR="00E750F2">
        <w:rPr>
          <w:color w:val="000000" w:themeColor="text1"/>
          <w:sz w:val="24"/>
        </w:rPr>
        <w:t xml:space="preserve">practical, </w:t>
      </w:r>
      <w:r w:rsidR="0029385B">
        <w:rPr>
          <w:color w:val="000000" w:themeColor="text1"/>
          <w:sz w:val="24"/>
        </w:rPr>
        <w:t>interactive</w:t>
      </w:r>
      <w:r w:rsidR="00E750F2">
        <w:rPr>
          <w:color w:val="000000" w:themeColor="text1"/>
          <w:sz w:val="24"/>
        </w:rPr>
        <w:t xml:space="preserve">, and presentational registers </w:t>
      </w:r>
      <w:r w:rsidR="0048542E">
        <w:rPr>
          <w:color w:val="000000" w:themeColor="text1"/>
          <w:sz w:val="24"/>
        </w:rPr>
        <w:t>variously</w:t>
      </w:r>
      <w:r w:rsidR="00E750F2">
        <w:rPr>
          <w:color w:val="000000" w:themeColor="text1"/>
          <w:sz w:val="24"/>
        </w:rPr>
        <w:t xml:space="preserve"> </w:t>
      </w:r>
      <w:r w:rsidR="0048542E">
        <w:rPr>
          <w:color w:val="000000" w:themeColor="text1"/>
          <w:sz w:val="24"/>
        </w:rPr>
        <w:t>typical of</w:t>
      </w:r>
      <w:r w:rsidR="00E750F2">
        <w:rPr>
          <w:color w:val="000000" w:themeColor="text1"/>
          <w:sz w:val="24"/>
        </w:rPr>
        <w:t xml:space="preserve"> ‘emotional labour’ (Hochschild, 2012</w:t>
      </w:r>
      <w:r w:rsidR="00D20AA2">
        <w:rPr>
          <w:color w:val="000000" w:themeColor="text1"/>
          <w:sz w:val="24"/>
        </w:rPr>
        <w:t>; Ward and McMurray, 2016</w:t>
      </w:r>
      <w:r w:rsidR="00E750F2">
        <w:rPr>
          <w:color w:val="000000" w:themeColor="text1"/>
          <w:sz w:val="24"/>
        </w:rPr>
        <w:t>).</w:t>
      </w:r>
      <w:bookmarkEnd w:id="0"/>
      <w:r w:rsidR="00476DD5">
        <w:rPr>
          <w:color w:val="000000" w:themeColor="text1"/>
          <w:sz w:val="24"/>
        </w:rPr>
        <w:t xml:space="preserve"> This article explores the somewhat grey area</w:t>
      </w:r>
      <w:r w:rsidR="0076346E">
        <w:rPr>
          <w:color w:val="000000" w:themeColor="text1"/>
          <w:sz w:val="24"/>
        </w:rPr>
        <w:t>s</w:t>
      </w:r>
      <w:r w:rsidR="00476DD5">
        <w:rPr>
          <w:color w:val="000000" w:themeColor="text1"/>
          <w:sz w:val="24"/>
        </w:rPr>
        <w:t xml:space="preserve"> between ‘told’ and ‘untold’ aspects of such a project</w:t>
      </w:r>
      <w:r w:rsidR="0076346E">
        <w:rPr>
          <w:color w:val="000000" w:themeColor="text1"/>
          <w:sz w:val="24"/>
        </w:rPr>
        <w:t xml:space="preserve"> and its ethical processes</w:t>
      </w:r>
      <w:r w:rsidR="00476DD5">
        <w:rPr>
          <w:color w:val="000000" w:themeColor="text1"/>
          <w:sz w:val="24"/>
        </w:rPr>
        <w:t>.</w:t>
      </w:r>
    </w:p>
    <w:p w14:paraId="25327E8C" w14:textId="77777777" w:rsidR="00E304E0" w:rsidRDefault="001E269F" w:rsidP="0076346E">
      <w:pPr>
        <w:pStyle w:val="ABKWH"/>
        <w:spacing w:line="360" w:lineRule="auto"/>
        <w:ind w:firstLine="720"/>
        <w:contextualSpacing/>
        <w:jc w:val="both"/>
        <w:rPr>
          <w:color w:val="000000" w:themeColor="text1"/>
          <w:sz w:val="24"/>
        </w:rPr>
      </w:pPr>
      <w:r>
        <w:rPr>
          <w:color w:val="000000" w:themeColor="text1"/>
          <w:sz w:val="24"/>
        </w:rPr>
        <w:t>Eth</w:t>
      </w:r>
      <w:r w:rsidR="00814DC5">
        <w:rPr>
          <w:color w:val="000000" w:themeColor="text1"/>
          <w:sz w:val="24"/>
        </w:rPr>
        <w:t>ical discussions concerning death and bereavement abound within eponymous</w:t>
      </w:r>
      <w:r w:rsidR="00A9359A">
        <w:rPr>
          <w:color w:val="000000" w:themeColor="text1"/>
          <w:sz w:val="24"/>
        </w:rPr>
        <w:t xml:space="preserve"> </w:t>
      </w:r>
      <w:r w:rsidR="00814DC5">
        <w:rPr>
          <w:color w:val="000000" w:themeColor="text1"/>
          <w:sz w:val="24"/>
        </w:rPr>
        <w:t>research fields (</w:t>
      </w:r>
      <w:r w:rsidR="00EE0D0A">
        <w:rPr>
          <w:color w:val="000000" w:themeColor="text1"/>
          <w:sz w:val="24"/>
        </w:rPr>
        <w:t xml:space="preserve">see, inter alia, </w:t>
      </w:r>
      <w:proofErr w:type="spellStart"/>
      <w:r w:rsidR="00954221">
        <w:rPr>
          <w:color w:val="000000" w:themeColor="text1"/>
          <w:sz w:val="24"/>
        </w:rPr>
        <w:t>Briller</w:t>
      </w:r>
      <w:proofErr w:type="spellEnd"/>
      <w:r w:rsidR="00954221">
        <w:rPr>
          <w:color w:val="000000" w:themeColor="text1"/>
          <w:sz w:val="24"/>
        </w:rPr>
        <w:t xml:space="preserve"> et al., 2008; </w:t>
      </w:r>
      <w:r w:rsidR="00EE0D0A">
        <w:rPr>
          <w:color w:val="000000" w:themeColor="text1"/>
          <w:sz w:val="24"/>
        </w:rPr>
        <w:t>Williams et al., 2008;</w:t>
      </w:r>
      <w:r w:rsidR="00954221">
        <w:rPr>
          <w:color w:val="000000" w:themeColor="text1"/>
          <w:sz w:val="24"/>
        </w:rPr>
        <w:t xml:space="preserve"> Carmack and </w:t>
      </w:r>
      <w:proofErr w:type="spellStart"/>
      <w:r w:rsidR="00954221">
        <w:rPr>
          <w:color w:val="000000" w:themeColor="text1"/>
          <w:sz w:val="24"/>
        </w:rPr>
        <w:t>Degroot</w:t>
      </w:r>
      <w:proofErr w:type="spellEnd"/>
      <w:r w:rsidR="00954221">
        <w:rPr>
          <w:color w:val="000000" w:themeColor="text1"/>
          <w:sz w:val="24"/>
        </w:rPr>
        <w:t>, 2014</w:t>
      </w:r>
      <w:r w:rsidR="00814DC5">
        <w:rPr>
          <w:color w:val="000000" w:themeColor="text1"/>
          <w:sz w:val="24"/>
        </w:rPr>
        <w:t>)</w:t>
      </w:r>
      <w:r w:rsidR="00A9359A">
        <w:rPr>
          <w:color w:val="000000" w:themeColor="text1"/>
          <w:sz w:val="24"/>
        </w:rPr>
        <w:t xml:space="preserve">. Many, however, occupy </w:t>
      </w:r>
      <w:r>
        <w:rPr>
          <w:color w:val="000000" w:themeColor="text1"/>
          <w:sz w:val="24"/>
        </w:rPr>
        <w:t xml:space="preserve">a </w:t>
      </w:r>
      <w:r w:rsidR="00E304E0">
        <w:rPr>
          <w:color w:val="000000" w:themeColor="text1"/>
          <w:sz w:val="24"/>
        </w:rPr>
        <w:t xml:space="preserve">somewhat </w:t>
      </w:r>
      <w:r>
        <w:rPr>
          <w:color w:val="000000" w:themeColor="text1"/>
          <w:sz w:val="24"/>
        </w:rPr>
        <w:t>‘specialized’ or technical space divorced from broader methodological</w:t>
      </w:r>
      <w:r w:rsidR="00E304E0">
        <w:rPr>
          <w:color w:val="000000" w:themeColor="text1"/>
          <w:sz w:val="24"/>
        </w:rPr>
        <w:t xml:space="preserve"> controversies</w:t>
      </w:r>
      <w:r>
        <w:rPr>
          <w:color w:val="000000" w:themeColor="text1"/>
          <w:sz w:val="24"/>
        </w:rPr>
        <w:t xml:space="preserve"> which should concern us all.</w:t>
      </w:r>
      <w:r w:rsidR="0076346E">
        <w:rPr>
          <w:color w:val="000000" w:themeColor="text1"/>
          <w:sz w:val="24"/>
        </w:rPr>
        <w:t xml:space="preserve"> </w:t>
      </w:r>
      <w:r w:rsidR="00814DC5">
        <w:rPr>
          <w:color w:val="000000" w:themeColor="text1"/>
          <w:sz w:val="24"/>
        </w:rPr>
        <w:t xml:space="preserve">Cognizant of Denzin’s (2017: 8) </w:t>
      </w:r>
      <w:r w:rsidR="004D4814">
        <w:rPr>
          <w:color w:val="000000" w:themeColor="text1"/>
          <w:sz w:val="24"/>
        </w:rPr>
        <w:t>call</w:t>
      </w:r>
      <w:r w:rsidR="00814DC5">
        <w:rPr>
          <w:color w:val="000000" w:themeColor="text1"/>
          <w:sz w:val="24"/>
        </w:rPr>
        <w:t xml:space="preserve"> for a </w:t>
      </w:r>
      <w:r w:rsidR="00D75291">
        <w:rPr>
          <w:color w:val="000000" w:themeColor="text1"/>
          <w:sz w:val="24"/>
        </w:rPr>
        <w:t xml:space="preserve">renewed and </w:t>
      </w:r>
      <w:r w:rsidR="00814DC5">
        <w:rPr>
          <w:color w:val="000000" w:themeColor="text1"/>
          <w:sz w:val="24"/>
        </w:rPr>
        <w:t xml:space="preserve">critical exploration into what counts as legitimate and </w:t>
      </w:r>
      <w:r w:rsidR="00814DC5" w:rsidRPr="00814DC5">
        <w:rPr>
          <w:color w:val="000000" w:themeColor="text1"/>
          <w:sz w:val="24"/>
        </w:rPr>
        <w:t>ethical</w:t>
      </w:r>
      <w:r w:rsidR="00814DC5">
        <w:rPr>
          <w:color w:val="000000" w:themeColor="text1"/>
          <w:sz w:val="24"/>
        </w:rPr>
        <w:t xml:space="preserve"> inquiry, this article takes </w:t>
      </w:r>
      <w:r w:rsidR="00814DC5" w:rsidRPr="00814DC5">
        <w:rPr>
          <w:color w:val="000000" w:themeColor="text1"/>
          <w:sz w:val="24"/>
        </w:rPr>
        <w:t xml:space="preserve">Guillemin and Gillam’s (2004) distinction between ‘procedural ethics’ and ‘ethics in practice’ as a point of departure and return for reflecting on a </w:t>
      </w:r>
      <w:r w:rsidR="00814DC5">
        <w:rPr>
          <w:color w:val="000000" w:themeColor="text1"/>
          <w:sz w:val="24"/>
        </w:rPr>
        <w:t xml:space="preserve">doctoral </w:t>
      </w:r>
      <w:r w:rsidR="00814DC5" w:rsidRPr="00814DC5">
        <w:rPr>
          <w:color w:val="000000" w:themeColor="text1"/>
          <w:sz w:val="24"/>
        </w:rPr>
        <w:t>research project explor</w:t>
      </w:r>
      <w:r w:rsidR="00D75291">
        <w:rPr>
          <w:color w:val="000000" w:themeColor="text1"/>
          <w:sz w:val="24"/>
        </w:rPr>
        <w:t>ing</w:t>
      </w:r>
      <w:r w:rsidR="00814DC5" w:rsidRPr="00814DC5">
        <w:rPr>
          <w:color w:val="000000" w:themeColor="text1"/>
          <w:sz w:val="24"/>
        </w:rPr>
        <w:t xml:space="preserve"> the trauma and harms faced by survivors of political violence and terrorism</w:t>
      </w:r>
      <w:r w:rsidR="00814DC5">
        <w:rPr>
          <w:color w:val="000000" w:themeColor="text1"/>
          <w:sz w:val="24"/>
        </w:rPr>
        <w:t>.</w:t>
      </w:r>
    </w:p>
    <w:p w14:paraId="7F6A0B82" w14:textId="66D8C60B" w:rsidR="00814DC5" w:rsidRDefault="001E269F" w:rsidP="0076346E">
      <w:pPr>
        <w:pStyle w:val="ABKWH"/>
        <w:spacing w:line="360" w:lineRule="auto"/>
        <w:ind w:firstLine="720"/>
        <w:contextualSpacing/>
        <w:jc w:val="both"/>
        <w:rPr>
          <w:color w:val="000000" w:themeColor="text1"/>
          <w:sz w:val="24"/>
        </w:rPr>
      </w:pPr>
      <w:r>
        <w:rPr>
          <w:color w:val="000000" w:themeColor="text1"/>
          <w:sz w:val="24"/>
        </w:rPr>
        <w:t>F</w:t>
      </w:r>
      <w:r w:rsidR="00814DC5">
        <w:rPr>
          <w:color w:val="000000" w:themeColor="text1"/>
          <w:sz w:val="24"/>
        </w:rPr>
        <w:t>ifteen years since their work first appeared</w:t>
      </w:r>
      <w:r w:rsidR="009D1EFE">
        <w:rPr>
          <w:color w:val="000000" w:themeColor="text1"/>
          <w:sz w:val="24"/>
        </w:rPr>
        <w:t>,</w:t>
      </w:r>
      <w:r w:rsidR="00814DC5">
        <w:rPr>
          <w:color w:val="000000" w:themeColor="text1"/>
          <w:sz w:val="24"/>
        </w:rPr>
        <w:t xml:space="preserve"> it is not hard to connect Guillemin and Gillam’s concern to unpack the often-contradictory relationship between the theory and practice of ethical social science research with </w:t>
      </w:r>
      <w:r w:rsidR="0076346E">
        <w:rPr>
          <w:color w:val="000000" w:themeColor="text1"/>
          <w:sz w:val="24"/>
        </w:rPr>
        <w:t>Denzin’s (2017)</w:t>
      </w:r>
      <w:r w:rsidR="00814DC5">
        <w:rPr>
          <w:color w:val="000000" w:themeColor="text1"/>
          <w:sz w:val="24"/>
        </w:rPr>
        <w:t xml:space="preserve"> more contemporaneous rallying cry. As I will make clear, their work encourages us to think carefully about ‘the standpoint of the inquirer’ and certainly rebuts the idea of ‘a God’s eye view that guarantees absolute methodological certainty’ (Denzin, 2017: 12). In the spirit of ‘self-learning’ and ‘self-criticism’ encouraged among the international qualitative inquiry community (Denzin, 2017: 14),</w:t>
      </w:r>
      <w:r>
        <w:rPr>
          <w:color w:val="000000" w:themeColor="text1"/>
          <w:sz w:val="24"/>
        </w:rPr>
        <w:t xml:space="preserve"> this article subjects the methodological rationale of their original work – particularly the faith they ultimately place in reflexivity – to comparative empirical scrutiny</w:t>
      </w:r>
      <w:r w:rsidR="00264B93">
        <w:rPr>
          <w:color w:val="000000" w:themeColor="text1"/>
          <w:sz w:val="24"/>
        </w:rPr>
        <w:t xml:space="preserve"> against the backcloth of this doctoral work</w:t>
      </w:r>
      <w:r>
        <w:rPr>
          <w:color w:val="000000" w:themeColor="text1"/>
          <w:sz w:val="24"/>
        </w:rPr>
        <w:t>.</w:t>
      </w:r>
    </w:p>
    <w:p w14:paraId="295E7D5D" w14:textId="098E495E" w:rsidR="00787E77" w:rsidRDefault="00E304E0" w:rsidP="00135CAE">
      <w:pPr>
        <w:pStyle w:val="ABKWH"/>
        <w:spacing w:line="360" w:lineRule="auto"/>
        <w:ind w:firstLine="720"/>
        <w:contextualSpacing/>
        <w:jc w:val="both"/>
        <w:rPr>
          <w:color w:val="000000" w:themeColor="text1"/>
          <w:sz w:val="24"/>
        </w:rPr>
      </w:pPr>
      <w:r>
        <w:rPr>
          <w:color w:val="000000" w:themeColor="text1"/>
          <w:sz w:val="24"/>
        </w:rPr>
        <w:t>R</w:t>
      </w:r>
      <w:r w:rsidR="00E74294" w:rsidRPr="002F0CB0">
        <w:rPr>
          <w:color w:val="000000" w:themeColor="text1"/>
          <w:sz w:val="24"/>
        </w:rPr>
        <w:t>esearch ethics are often divorced into approval processes at the institutional level and ethical practice</w:t>
      </w:r>
      <w:r>
        <w:rPr>
          <w:color w:val="000000" w:themeColor="text1"/>
          <w:sz w:val="24"/>
        </w:rPr>
        <w:t>s</w:t>
      </w:r>
      <w:r w:rsidR="00E74294" w:rsidRPr="002F0CB0">
        <w:rPr>
          <w:color w:val="000000" w:themeColor="text1"/>
          <w:sz w:val="24"/>
        </w:rPr>
        <w:t xml:space="preserve"> of researcher</w:t>
      </w:r>
      <w:r>
        <w:rPr>
          <w:color w:val="000000" w:themeColor="text1"/>
          <w:sz w:val="24"/>
        </w:rPr>
        <w:t>s</w:t>
      </w:r>
      <w:r w:rsidR="00E74294" w:rsidRPr="002F0CB0">
        <w:rPr>
          <w:color w:val="000000" w:themeColor="text1"/>
          <w:sz w:val="24"/>
        </w:rPr>
        <w:t xml:space="preserve"> at </w:t>
      </w:r>
      <w:r w:rsidR="00E74294">
        <w:rPr>
          <w:color w:val="000000" w:themeColor="text1"/>
          <w:sz w:val="24"/>
        </w:rPr>
        <w:t>an</w:t>
      </w:r>
      <w:r w:rsidR="00E74294" w:rsidRPr="002F0CB0">
        <w:rPr>
          <w:color w:val="000000" w:themeColor="text1"/>
          <w:sz w:val="24"/>
        </w:rPr>
        <w:t xml:space="preserve"> individual </w:t>
      </w:r>
      <w:r w:rsidR="00E74294">
        <w:rPr>
          <w:color w:val="000000" w:themeColor="text1"/>
          <w:sz w:val="24"/>
        </w:rPr>
        <w:t xml:space="preserve">or interactional </w:t>
      </w:r>
      <w:r w:rsidR="00E74294" w:rsidRPr="002F0CB0">
        <w:rPr>
          <w:color w:val="000000" w:themeColor="text1"/>
          <w:sz w:val="24"/>
        </w:rPr>
        <w:t xml:space="preserve">level – a dichotomy which often ignores the relationship between the two. </w:t>
      </w:r>
      <w:r w:rsidR="00AB6438">
        <w:rPr>
          <w:color w:val="000000" w:themeColor="text1"/>
          <w:sz w:val="24"/>
        </w:rPr>
        <w:t xml:space="preserve">In many ways, </w:t>
      </w:r>
      <w:r w:rsidR="00E74294" w:rsidRPr="002F0CB0">
        <w:rPr>
          <w:color w:val="000000" w:themeColor="text1"/>
          <w:sz w:val="24"/>
        </w:rPr>
        <w:t>Guillemin and Gillam (2004)</w:t>
      </w:r>
      <w:r w:rsidR="00AB6438">
        <w:rPr>
          <w:color w:val="000000" w:themeColor="text1"/>
          <w:sz w:val="24"/>
        </w:rPr>
        <w:t xml:space="preserve"> provide a valuable and welcome corrective to</w:t>
      </w:r>
      <w:r w:rsidR="00E74294" w:rsidRPr="002F0CB0">
        <w:rPr>
          <w:color w:val="000000" w:themeColor="text1"/>
          <w:sz w:val="24"/>
        </w:rPr>
        <w:t xml:space="preserve"> </w:t>
      </w:r>
      <w:r w:rsidR="00E14179">
        <w:rPr>
          <w:color w:val="000000" w:themeColor="text1"/>
          <w:sz w:val="24"/>
        </w:rPr>
        <w:t xml:space="preserve">such </w:t>
      </w:r>
      <w:r w:rsidR="00AB6438">
        <w:rPr>
          <w:color w:val="000000" w:themeColor="text1"/>
          <w:sz w:val="24"/>
        </w:rPr>
        <w:t xml:space="preserve">reductive either/or accounts of ‘doing ethical research’. </w:t>
      </w:r>
      <w:r w:rsidR="006057E8">
        <w:rPr>
          <w:color w:val="000000" w:themeColor="text1"/>
          <w:sz w:val="24"/>
        </w:rPr>
        <w:t xml:space="preserve">They begin with a </w:t>
      </w:r>
      <w:r w:rsidR="005B4E0E">
        <w:rPr>
          <w:color w:val="000000" w:themeColor="text1"/>
          <w:sz w:val="24"/>
        </w:rPr>
        <w:t xml:space="preserve">moving </w:t>
      </w:r>
      <w:r w:rsidR="006057E8">
        <w:rPr>
          <w:color w:val="000000" w:themeColor="text1"/>
          <w:sz w:val="24"/>
        </w:rPr>
        <w:t>vignette</w:t>
      </w:r>
      <w:r w:rsidR="001D2538">
        <w:rPr>
          <w:color w:val="000000" w:themeColor="text1"/>
          <w:sz w:val="24"/>
        </w:rPr>
        <w:t>, encouraging readers to picture a scenario in which they</w:t>
      </w:r>
      <w:r w:rsidR="005B4E0E">
        <w:rPr>
          <w:color w:val="000000" w:themeColor="text1"/>
          <w:sz w:val="24"/>
        </w:rPr>
        <w:t xml:space="preserve"> </w:t>
      </w:r>
      <w:r w:rsidR="001D2538">
        <w:rPr>
          <w:color w:val="000000" w:themeColor="text1"/>
          <w:sz w:val="24"/>
        </w:rPr>
        <w:t xml:space="preserve">are interviewing Sonia, a woman in her late 40s living with diagnosed heart disease. The interview is part of a study examining women’s experiences </w:t>
      </w:r>
      <w:r w:rsidR="001D2538">
        <w:rPr>
          <w:color w:val="000000" w:themeColor="text1"/>
          <w:sz w:val="24"/>
        </w:rPr>
        <w:lastRenderedPageBreak/>
        <w:t xml:space="preserve">of </w:t>
      </w:r>
      <w:r w:rsidR="005B4E0E">
        <w:rPr>
          <w:color w:val="000000" w:themeColor="text1"/>
          <w:sz w:val="24"/>
        </w:rPr>
        <w:t>living with the condition</w:t>
      </w:r>
      <w:r w:rsidR="001D2538">
        <w:rPr>
          <w:color w:val="000000" w:themeColor="text1"/>
          <w:sz w:val="24"/>
        </w:rPr>
        <w:t>. Sonia is married and lives with her husband and their teenage daughter in a rural region on a remote farming property. The interview is taking place in the kitchen over a cup of tea</w:t>
      </w:r>
      <w:r w:rsidR="003D3E82">
        <w:rPr>
          <w:color w:val="000000" w:themeColor="text1"/>
          <w:sz w:val="24"/>
        </w:rPr>
        <w:t xml:space="preserve"> and </w:t>
      </w:r>
      <w:r w:rsidR="001D2538">
        <w:rPr>
          <w:color w:val="000000" w:themeColor="text1"/>
          <w:sz w:val="24"/>
        </w:rPr>
        <w:t xml:space="preserve">is progressing well, </w:t>
      </w:r>
      <w:r w:rsidR="003D3E82">
        <w:rPr>
          <w:color w:val="000000" w:themeColor="text1"/>
          <w:sz w:val="24"/>
        </w:rPr>
        <w:t>until</w:t>
      </w:r>
      <w:r w:rsidR="001D2538">
        <w:rPr>
          <w:color w:val="000000" w:themeColor="text1"/>
          <w:sz w:val="24"/>
        </w:rPr>
        <w:t xml:space="preserve"> you </w:t>
      </w:r>
      <w:r w:rsidR="003D3E82">
        <w:rPr>
          <w:color w:val="000000" w:themeColor="text1"/>
          <w:sz w:val="24"/>
        </w:rPr>
        <w:t xml:space="preserve">ask Sonia about the general impact of heart disease on her life. At this point, she stops responding and tears begin welling up in her eyes. She has not been coping well, though not because of her heart disease. Sonia discloses that her husband has been sexually abusing their daughter since she was a child. It is this revelation, rather than living with heart disease, </w:t>
      </w:r>
      <w:r w:rsidR="00517799">
        <w:rPr>
          <w:color w:val="000000" w:themeColor="text1"/>
          <w:sz w:val="24"/>
        </w:rPr>
        <w:t>which</w:t>
      </w:r>
      <w:r w:rsidR="003D3E82">
        <w:rPr>
          <w:color w:val="000000" w:themeColor="text1"/>
          <w:sz w:val="24"/>
        </w:rPr>
        <w:t xml:space="preserve"> Sonia is</w:t>
      </w:r>
      <w:r w:rsidR="00517799">
        <w:rPr>
          <w:color w:val="000000" w:themeColor="text1"/>
          <w:sz w:val="24"/>
        </w:rPr>
        <w:t xml:space="preserve"> clearly </w:t>
      </w:r>
      <w:r w:rsidR="005B4E0E">
        <w:rPr>
          <w:color w:val="000000" w:themeColor="text1"/>
          <w:sz w:val="24"/>
        </w:rPr>
        <w:t>anguished</w:t>
      </w:r>
      <w:r w:rsidR="00517799">
        <w:rPr>
          <w:color w:val="000000" w:themeColor="text1"/>
          <w:sz w:val="24"/>
        </w:rPr>
        <w:t xml:space="preserve"> by most and which</w:t>
      </w:r>
      <w:r w:rsidR="001D2538">
        <w:rPr>
          <w:color w:val="000000" w:themeColor="text1"/>
          <w:sz w:val="24"/>
        </w:rPr>
        <w:t xml:space="preserve"> </w:t>
      </w:r>
      <w:r w:rsidR="00517799">
        <w:rPr>
          <w:color w:val="000000" w:themeColor="text1"/>
          <w:sz w:val="24"/>
        </w:rPr>
        <w:t>the interview, for a whole host of potential and unknown reasons, provides a space and time to disclose.</w:t>
      </w:r>
    </w:p>
    <w:p w14:paraId="39867EF8" w14:textId="75396794" w:rsidR="00AB6438" w:rsidRDefault="00787E77" w:rsidP="00135CAE">
      <w:pPr>
        <w:pStyle w:val="ABKWH"/>
        <w:spacing w:line="360" w:lineRule="auto"/>
        <w:ind w:firstLine="720"/>
        <w:contextualSpacing/>
        <w:jc w:val="both"/>
        <w:rPr>
          <w:color w:val="000000" w:themeColor="text1"/>
          <w:sz w:val="24"/>
        </w:rPr>
      </w:pPr>
      <w:r>
        <w:rPr>
          <w:color w:val="000000" w:themeColor="text1"/>
          <w:sz w:val="24"/>
        </w:rPr>
        <w:t xml:space="preserve">As Guillemin and Gillam (2004: 261) rightly </w:t>
      </w:r>
      <w:r w:rsidR="00537EF1">
        <w:rPr>
          <w:color w:val="000000" w:themeColor="text1"/>
          <w:sz w:val="24"/>
        </w:rPr>
        <w:t>state: ‘</w:t>
      </w:r>
      <w:r w:rsidR="00537EF1" w:rsidRPr="00537EF1">
        <w:rPr>
          <w:color w:val="000000" w:themeColor="text1"/>
          <w:sz w:val="24"/>
        </w:rPr>
        <w:t>This kind of scenario is not</w:t>
      </w:r>
      <w:r w:rsidR="00537EF1">
        <w:rPr>
          <w:color w:val="000000" w:themeColor="text1"/>
          <w:sz w:val="24"/>
        </w:rPr>
        <w:t xml:space="preserve"> </w:t>
      </w:r>
      <w:r w:rsidR="00537EF1" w:rsidRPr="00537EF1">
        <w:rPr>
          <w:color w:val="000000" w:themeColor="text1"/>
          <w:sz w:val="24"/>
        </w:rPr>
        <w:t>unusual when conducting qualitative research.</w:t>
      </w:r>
      <w:r w:rsidR="00537EF1">
        <w:rPr>
          <w:color w:val="000000" w:themeColor="text1"/>
          <w:sz w:val="24"/>
        </w:rPr>
        <w:t xml:space="preserve">’ </w:t>
      </w:r>
      <w:r w:rsidR="00DD4575">
        <w:rPr>
          <w:color w:val="000000" w:themeColor="text1"/>
          <w:sz w:val="24"/>
        </w:rPr>
        <w:t>T</w:t>
      </w:r>
      <w:r w:rsidR="00AB6438">
        <w:rPr>
          <w:color w:val="000000" w:themeColor="text1"/>
          <w:sz w:val="24"/>
        </w:rPr>
        <w:t xml:space="preserve">hey </w:t>
      </w:r>
      <w:r w:rsidR="00E74294" w:rsidRPr="002F0CB0">
        <w:rPr>
          <w:color w:val="000000" w:themeColor="text1"/>
          <w:sz w:val="24"/>
        </w:rPr>
        <w:t xml:space="preserve">argue that while </w:t>
      </w:r>
      <w:r w:rsidR="00DD4575">
        <w:rPr>
          <w:color w:val="000000" w:themeColor="text1"/>
          <w:sz w:val="24"/>
        </w:rPr>
        <w:t xml:space="preserve">institutional </w:t>
      </w:r>
      <w:r w:rsidR="00E74294" w:rsidRPr="002F0CB0">
        <w:rPr>
          <w:color w:val="000000" w:themeColor="text1"/>
          <w:sz w:val="24"/>
        </w:rPr>
        <w:t>ethic</w:t>
      </w:r>
      <w:r w:rsidR="00DD4575">
        <w:rPr>
          <w:color w:val="000000" w:themeColor="text1"/>
          <w:sz w:val="24"/>
        </w:rPr>
        <w:t xml:space="preserve">s </w:t>
      </w:r>
      <w:r w:rsidR="00E74294" w:rsidRPr="002F0CB0">
        <w:rPr>
          <w:color w:val="000000" w:themeColor="text1"/>
          <w:sz w:val="24"/>
        </w:rPr>
        <w:t xml:space="preserve">cannot possibly </w:t>
      </w:r>
      <w:r w:rsidR="00AB6438">
        <w:rPr>
          <w:color w:val="000000" w:themeColor="text1"/>
          <w:sz w:val="24"/>
        </w:rPr>
        <w:t>observe (</w:t>
      </w:r>
      <w:r w:rsidR="00E14179">
        <w:rPr>
          <w:color w:val="000000" w:themeColor="text1"/>
          <w:sz w:val="24"/>
        </w:rPr>
        <w:t>much less</w:t>
      </w:r>
      <w:r w:rsidR="00AB6438">
        <w:rPr>
          <w:color w:val="000000" w:themeColor="text1"/>
          <w:sz w:val="24"/>
        </w:rPr>
        <w:t xml:space="preserve"> actually regulate)</w:t>
      </w:r>
      <w:r w:rsidR="00E74294" w:rsidRPr="002F0CB0">
        <w:rPr>
          <w:color w:val="000000" w:themeColor="text1"/>
          <w:sz w:val="24"/>
        </w:rPr>
        <w:t xml:space="preserve"> </w:t>
      </w:r>
      <w:r w:rsidR="00DD4575">
        <w:rPr>
          <w:color w:val="000000" w:themeColor="text1"/>
          <w:sz w:val="24"/>
        </w:rPr>
        <w:t xml:space="preserve">such </w:t>
      </w:r>
      <w:r w:rsidR="00AB6438">
        <w:rPr>
          <w:color w:val="000000" w:themeColor="text1"/>
          <w:sz w:val="24"/>
        </w:rPr>
        <w:t>‘</w:t>
      </w:r>
      <w:proofErr w:type="spellStart"/>
      <w:r w:rsidR="00E74294" w:rsidRPr="002F0CB0">
        <w:rPr>
          <w:color w:val="000000" w:themeColor="text1"/>
          <w:sz w:val="24"/>
        </w:rPr>
        <w:t>microethics</w:t>
      </w:r>
      <w:proofErr w:type="spellEnd"/>
      <w:r w:rsidR="00AB6438">
        <w:rPr>
          <w:color w:val="000000" w:themeColor="text1"/>
          <w:sz w:val="24"/>
        </w:rPr>
        <w:t>’</w:t>
      </w:r>
      <w:r w:rsidR="005B4E0E">
        <w:rPr>
          <w:color w:val="000000" w:themeColor="text1"/>
          <w:sz w:val="24"/>
        </w:rPr>
        <w:t>, or</w:t>
      </w:r>
      <w:r w:rsidR="00E74294" w:rsidRPr="002F0CB0">
        <w:rPr>
          <w:color w:val="000000" w:themeColor="text1"/>
          <w:sz w:val="24"/>
        </w:rPr>
        <w:t xml:space="preserve"> ‘ethically important moments’</w:t>
      </w:r>
      <w:r w:rsidR="005B4E0E">
        <w:rPr>
          <w:color w:val="000000" w:themeColor="text1"/>
          <w:sz w:val="24"/>
        </w:rPr>
        <w:t xml:space="preserve">, </w:t>
      </w:r>
      <w:r w:rsidR="00E74294" w:rsidRPr="002F0CB0">
        <w:rPr>
          <w:color w:val="000000" w:themeColor="text1"/>
          <w:sz w:val="24"/>
        </w:rPr>
        <w:t xml:space="preserve">which may arise </w:t>
      </w:r>
      <w:r w:rsidR="0055499B">
        <w:rPr>
          <w:color w:val="000000" w:themeColor="text1"/>
          <w:sz w:val="24"/>
        </w:rPr>
        <w:t>while</w:t>
      </w:r>
      <w:r w:rsidR="00E74294" w:rsidRPr="002F0CB0">
        <w:rPr>
          <w:color w:val="000000" w:themeColor="text1"/>
          <w:sz w:val="24"/>
        </w:rPr>
        <w:t xml:space="preserve"> conducting social research</w:t>
      </w:r>
      <w:r w:rsidR="00E14179">
        <w:rPr>
          <w:color w:val="000000" w:themeColor="text1"/>
          <w:sz w:val="24"/>
        </w:rPr>
        <w:t xml:space="preserve"> (see also Haggerty, 2004; Hammersley, 2009)</w:t>
      </w:r>
      <w:r w:rsidR="00E74294" w:rsidRPr="002F0CB0">
        <w:rPr>
          <w:color w:val="000000" w:themeColor="text1"/>
          <w:sz w:val="24"/>
        </w:rPr>
        <w:t xml:space="preserve">, </w:t>
      </w:r>
      <w:r w:rsidR="00AB6438">
        <w:rPr>
          <w:color w:val="000000" w:themeColor="text1"/>
          <w:sz w:val="24"/>
        </w:rPr>
        <w:t>such institutional requirements</w:t>
      </w:r>
      <w:r w:rsidR="00E74294" w:rsidRPr="002F0CB0">
        <w:rPr>
          <w:color w:val="000000" w:themeColor="text1"/>
          <w:sz w:val="24"/>
        </w:rPr>
        <w:t xml:space="preserve"> </w:t>
      </w:r>
      <w:r w:rsidR="00E74294" w:rsidRPr="00AB6438">
        <w:rPr>
          <w:i/>
          <w:color w:val="000000" w:themeColor="text1"/>
          <w:sz w:val="24"/>
        </w:rPr>
        <w:t>do</w:t>
      </w:r>
      <w:r w:rsidR="00E74294" w:rsidRPr="002F0CB0">
        <w:rPr>
          <w:color w:val="000000" w:themeColor="text1"/>
          <w:sz w:val="24"/>
        </w:rPr>
        <w:t xml:space="preserve"> serve to reiterate the importance of </w:t>
      </w:r>
      <w:r w:rsidR="00DD4575">
        <w:rPr>
          <w:color w:val="000000" w:themeColor="text1"/>
          <w:sz w:val="24"/>
        </w:rPr>
        <w:t xml:space="preserve">good </w:t>
      </w:r>
      <w:r w:rsidR="00E74294" w:rsidRPr="002F0CB0">
        <w:rPr>
          <w:color w:val="000000" w:themeColor="text1"/>
          <w:sz w:val="24"/>
        </w:rPr>
        <w:t xml:space="preserve">ethical </w:t>
      </w:r>
      <w:r w:rsidR="00AB6438">
        <w:rPr>
          <w:color w:val="000000" w:themeColor="text1"/>
          <w:sz w:val="24"/>
        </w:rPr>
        <w:t>practice</w:t>
      </w:r>
      <w:r w:rsidR="00DD4575">
        <w:rPr>
          <w:color w:val="000000" w:themeColor="text1"/>
          <w:sz w:val="24"/>
        </w:rPr>
        <w:t>.</w:t>
      </w:r>
      <w:r w:rsidR="005C3FA7">
        <w:rPr>
          <w:color w:val="000000" w:themeColor="text1"/>
          <w:sz w:val="24"/>
        </w:rPr>
        <w:t xml:space="preserve"> T</w:t>
      </w:r>
      <w:r w:rsidR="00AB6438">
        <w:rPr>
          <w:color w:val="000000" w:themeColor="text1"/>
          <w:sz w:val="24"/>
        </w:rPr>
        <w:t>hey argue</w:t>
      </w:r>
      <w:r w:rsidR="005C3FA7">
        <w:rPr>
          <w:color w:val="000000" w:themeColor="text1"/>
          <w:sz w:val="24"/>
        </w:rPr>
        <w:t xml:space="preserve"> this can be achieved more fruitfully, however</w:t>
      </w:r>
      <w:r w:rsidR="00AB6438">
        <w:rPr>
          <w:color w:val="000000" w:themeColor="text1"/>
          <w:sz w:val="24"/>
        </w:rPr>
        <w:t xml:space="preserve">, if researchers embrace </w:t>
      </w:r>
      <w:r w:rsidR="00FD3955">
        <w:rPr>
          <w:color w:val="000000" w:themeColor="text1"/>
          <w:sz w:val="24"/>
        </w:rPr>
        <w:t>‘</w:t>
      </w:r>
      <w:r w:rsidR="00AB6438">
        <w:rPr>
          <w:color w:val="000000" w:themeColor="text1"/>
          <w:sz w:val="24"/>
        </w:rPr>
        <w:t>reflexivity</w:t>
      </w:r>
      <w:r w:rsidR="00FD3955">
        <w:rPr>
          <w:color w:val="000000" w:themeColor="text1"/>
          <w:sz w:val="24"/>
        </w:rPr>
        <w:t>’</w:t>
      </w:r>
      <w:r w:rsidR="00F74D67">
        <w:rPr>
          <w:color w:val="000000" w:themeColor="text1"/>
          <w:sz w:val="24"/>
        </w:rPr>
        <w:t>,</w:t>
      </w:r>
      <w:r w:rsidR="00AB6438">
        <w:rPr>
          <w:color w:val="000000" w:themeColor="text1"/>
          <w:sz w:val="24"/>
        </w:rPr>
        <w:t xml:space="preserve"> not just to produce rigorous but </w:t>
      </w:r>
      <w:r w:rsidR="00E14179">
        <w:rPr>
          <w:color w:val="000000" w:themeColor="text1"/>
          <w:sz w:val="24"/>
        </w:rPr>
        <w:t>responsive</w:t>
      </w:r>
      <w:r w:rsidR="00AB6438">
        <w:rPr>
          <w:color w:val="000000" w:themeColor="text1"/>
          <w:sz w:val="24"/>
        </w:rPr>
        <w:t xml:space="preserve"> research</w:t>
      </w:r>
      <w:r w:rsidR="00E14179">
        <w:rPr>
          <w:color w:val="000000" w:themeColor="text1"/>
          <w:sz w:val="24"/>
        </w:rPr>
        <w:t>, attuned to fieldwork</w:t>
      </w:r>
      <w:r w:rsidR="005C3FA7">
        <w:rPr>
          <w:color w:val="000000" w:themeColor="text1"/>
          <w:sz w:val="24"/>
        </w:rPr>
        <w:t xml:space="preserve"> contingencies</w:t>
      </w:r>
      <w:r w:rsidR="00E14179">
        <w:rPr>
          <w:color w:val="000000" w:themeColor="text1"/>
          <w:sz w:val="24"/>
        </w:rPr>
        <w:t xml:space="preserve"> </w:t>
      </w:r>
      <w:r w:rsidR="006218D1">
        <w:rPr>
          <w:color w:val="000000" w:themeColor="text1"/>
          <w:sz w:val="24"/>
        </w:rPr>
        <w:t>including</w:t>
      </w:r>
      <w:r w:rsidR="00E14179">
        <w:rPr>
          <w:color w:val="000000" w:themeColor="text1"/>
          <w:sz w:val="24"/>
        </w:rPr>
        <w:t xml:space="preserve"> unexpected </w:t>
      </w:r>
      <w:r w:rsidR="002F4A16">
        <w:rPr>
          <w:color w:val="000000" w:themeColor="text1"/>
          <w:sz w:val="24"/>
        </w:rPr>
        <w:t xml:space="preserve">and sometimes distressing </w:t>
      </w:r>
      <w:r w:rsidR="00E14179">
        <w:rPr>
          <w:color w:val="000000" w:themeColor="text1"/>
          <w:sz w:val="24"/>
        </w:rPr>
        <w:t>scenarios</w:t>
      </w:r>
      <w:r w:rsidR="002F4A16">
        <w:rPr>
          <w:color w:val="000000" w:themeColor="text1"/>
          <w:sz w:val="24"/>
        </w:rPr>
        <w:t xml:space="preserve"> for participants and researchers</w:t>
      </w:r>
      <w:r w:rsidR="00AB6438">
        <w:rPr>
          <w:color w:val="000000" w:themeColor="text1"/>
          <w:sz w:val="24"/>
        </w:rPr>
        <w:t>.</w:t>
      </w:r>
    </w:p>
    <w:p w14:paraId="2BF10496" w14:textId="1ACB5EEF" w:rsidR="00EF5A5A" w:rsidRDefault="006057E8" w:rsidP="00986C1C">
      <w:pPr>
        <w:pStyle w:val="ABKWH"/>
        <w:spacing w:line="360" w:lineRule="auto"/>
        <w:ind w:firstLine="720"/>
        <w:contextualSpacing/>
        <w:jc w:val="both"/>
        <w:rPr>
          <w:color w:val="000000" w:themeColor="text1"/>
          <w:sz w:val="24"/>
        </w:rPr>
      </w:pPr>
      <w:r>
        <w:rPr>
          <w:color w:val="000000" w:themeColor="text1"/>
          <w:sz w:val="24"/>
        </w:rPr>
        <w:t xml:space="preserve">Aided and inspired by Guillemin and Gillam (2004), this article is written in three </w:t>
      </w:r>
      <w:r w:rsidR="00CF4F27">
        <w:rPr>
          <w:color w:val="000000" w:themeColor="text1"/>
          <w:sz w:val="24"/>
        </w:rPr>
        <w:t>parts</w:t>
      </w:r>
      <w:r>
        <w:rPr>
          <w:color w:val="000000" w:themeColor="text1"/>
          <w:sz w:val="24"/>
        </w:rPr>
        <w:t xml:space="preserve">, each of which engages </w:t>
      </w:r>
      <w:r w:rsidR="0007744A">
        <w:rPr>
          <w:color w:val="000000" w:themeColor="text1"/>
          <w:sz w:val="24"/>
        </w:rPr>
        <w:t>different aspects of</w:t>
      </w:r>
      <w:r>
        <w:rPr>
          <w:color w:val="000000" w:themeColor="text1"/>
          <w:sz w:val="24"/>
        </w:rPr>
        <w:t xml:space="preserve"> their work in some way. The first </w:t>
      </w:r>
      <w:r w:rsidR="00B67E4A">
        <w:rPr>
          <w:color w:val="000000" w:themeColor="text1"/>
          <w:sz w:val="24"/>
        </w:rPr>
        <w:t xml:space="preserve">provides an overview of </w:t>
      </w:r>
      <w:r w:rsidR="007100BB">
        <w:rPr>
          <w:color w:val="000000" w:themeColor="text1"/>
          <w:sz w:val="24"/>
        </w:rPr>
        <w:t>my doctoral</w:t>
      </w:r>
      <w:r w:rsidR="00B67E4A">
        <w:rPr>
          <w:color w:val="000000" w:themeColor="text1"/>
          <w:sz w:val="24"/>
        </w:rPr>
        <w:t xml:space="preserve"> </w:t>
      </w:r>
      <w:r w:rsidR="00645F0D">
        <w:rPr>
          <w:color w:val="000000" w:themeColor="text1"/>
          <w:sz w:val="24"/>
        </w:rPr>
        <w:t>research</w:t>
      </w:r>
      <w:r w:rsidR="00B67E4A">
        <w:rPr>
          <w:color w:val="000000" w:themeColor="text1"/>
          <w:sz w:val="24"/>
        </w:rPr>
        <w:t xml:space="preserve"> </w:t>
      </w:r>
      <w:r w:rsidR="00B67E4A" w:rsidRPr="00B67E4A">
        <w:rPr>
          <w:color w:val="000000" w:themeColor="text1"/>
          <w:sz w:val="24"/>
        </w:rPr>
        <w:t>explor</w:t>
      </w:r>
      <w:r w:rsidR="00CF4F27">
        <w:rPr>
          <w:color w:val="000000" w:themeColor="text1"/>
          <w:sz w:val="24"/>
        </w:rPr>
        <w:t>ing</w:t>
      </w:r>
      <w:r w:rsidR="00B67E4A" w:rsidRPr="00B67E4A">
        <w:rPr>
          <w:color w:val="000000" w:themeColor="text1"/>
          <w:sz w:val="24"/>
        </w:rPr>
        <w:t xml:space="preserve"> survivors</w:t>
      </w:r>
      <w:r w:rsidR="007100BB">
        <w:rPr>
          <w:color w:val="000000" w:themeColor="text1"/>
          <w:sz w:val="24"/>
        </w:rPr>
        <w:t>’ experiences</w:t>
      </w:r>
      <w:r w:rsidR="00B67E4A" w:rsidRPr="00B67E4A">
        <w:rPr>
          <w:color w:val="000000" w:themeColor="text1"/>
          <w:sz w:val="24"/>
        </w:rPr>
        <w:t xml:space="preserve"> of political violence and terrorism</w:t>
      </w:r>
      <w:r w:rsidR="00CF4F27">
        <w:rPr>
          <w:color w:val="000000" w:themeColor="text1"/>
          <w:sz w:val="24"/>
        </w:rPr>
        <w:t>, for which institutional ethical approval was sought and</w:t>
      </w:r>
      <w:r w:rsidR="00DE0BBA">
        <w:rPr>
          <w:color w:val="000000" w:themeColor="text1"/>
          <w:sz w:val="24"/>
        </w:rPr>
        <w:t xml:space="preserve"> </w:t>
      </w:r>
      <w:r w:rsidR="00CF4F27">
        <w:rPr>
          <w:color w:val="000000" w:themeColor="text1"/>
          <w:sz w:val="24"/>
        </w:rPr>
        <w:t>secured.</w:t>
      </w:r>
      <w:r w:rsidR="00A72383">
        <w:rPr>
          <w:color w:val="000000" w:themeColor="text1"/>
          <w:sz w:val="24"/>
        </w:rPr>
        <w:t xml:space="preserve"> </w:t>
      </w:r>
      <w:r w:rsidR="0000086B">
        <w:rPr>
          <w:color w:val="000000" w:themeColor="text1"/>
          <w:sz w:val="24"/>
        </w:rPr>
        <w:t>While this section contextualiz</w:t>
      </w:r>
      <w:r w:rsidR="004A2466">
        <w:rPr>
          <w:color w:val="000000" w:themeColor="text1"/>
          <w:sz w:val="24"/>
        </w:rPr>
        <w:t>es</w:t>
      </w:r>
      <w:r w:rsidR="0000086B">
        <w:rPr>
          <w:color w:val="000000" w:themeColor="text1"/>
          <w:sz w:val="24"/>
        </w:rPr>
        <w:t xml:space="preserve"> the research setting and</w:t>
      </w:r>
      <w:r w:rsidR="00645F0D">
        <w:rPr>
          <w:color w:val="000000" w:themeColor="text1"/>
          <w:sz w:val="24"/>
        </w:rPr>
        <w:t xml:space="preserve"> requisites</w:t>
      </w:r>
      <w:r w:rsidR="0000086B">
        <w:rPr>
          <w:color w:val="000000" w:themeColor="text1"/>
          <w:sz w:val="24"/>
        </w:rPr>
        <w:t xml:space="preserve"> associated with Guillemin and Gillam’s (2004) ‘procedural ethics’</w:t>
      </w:r>
      <w:r w:rsidR="00A72383">
        <w:rPr>
          <w:color w:val="000000" w:themeColor="text1"/>
          <w:sz w:val="24"/>
        </w:rPr>
        <w:t xml:space="preserve">, </w:t>
      </w:r>
      <w:r w:rsidR="0000086B">
        <w:rPr>
          <w:color w:val="000000" w:themeColor="text1"/>
          <w:sz w:val="24"/>
        </w:rPr>
        <w:t xml:space="preserve">it points to </w:t>
      </w:r>
      <w:r w:rsidR="0055499B">
        <w:rPr>
          <w:color w:val="000000" w:themeColor="text1"/>
          <w:sz w:val="24"/>
        </w:rPr>
        <w:t>the</w:t>
      </w:r>
      <w:r w:rsidR="0000086B">
        <w:rPr>
          <w:color w:val="000000" w:themeColor="text1"/>
          <w:sz w:val="24"/>
        </w:rPr>
        <w:t xml:space="preserve"> always-already contradictory logics at play as I maneuvered myself </w:t>
      </w:r>
      <w:r w:rsidR="00A72383">
        <w:rPr>
          <w:color w:val="000000" w:themeColor="text1"/>
          <w:sz w:val="24"/>
        </w:rPr>
        <w:t>i</w:t>
      </w:r>
      <w:r w:rsidR="0000086B">
        <w:rPr>
          <w:color w:val="000000" w:themeColor="text1"/>
          <w:sz w:val="24"/>
        </w:rPr>
        <w:t>nto a position of ethical legitimacy</w:t>
      </w:r>
      <w:r w:rsidR="0007744A">
        <w:rPr>
          <w:color w:val="000000" w:themeColor="text1"/>
          <w:sz w:val="24"/>
        </w:rPr>
        <w:t xml:space="preserve">. The second </w:t>
      </w:r>
      <w:r w:rsidR="009E502E">
        <w:rPr>
          <w:color w:val="000000" w:themeColor="text1"/>
          <w:sz w:val="24"/>
        </w:rPr>
        <w:t>section</w:t>
      </w:r>
      <w:r w:rsidR="0007744A">
        <w:rPr>
          <w:color w:val="000000" w:themeColor="text1"/>
          <w:sz w:val="24"/>
        </w:rPr>
        <w:t xml:space="preserve"> explore</w:t>
      </w:r>
      <w:r w:rsidR="004A2466">
        <w:rPr>
          <w:color w:val="000000" w:themeColor="text1"/>
          <w:sz w:val="24"/>
        </w:rPr>
        <w:t>s</w:t>
      </w:r>
      <w:r w:rsidR="0007744A">
        <w:rPr>
          <w:color w:val="000000" w:themeColor="text1"/>
          <w:sz w:val="24"/>
        </w:rPr>
        <w:t xml:space="preserve"> </w:t>
      </w:r>
      <w:r w:rsidR="009E502E">
        <w:rPr>
          <w:color w:val="000000" w:themeColor="text1"/>
          <w:sz w:val="24"/>
        </w:rPr>
        <w:t xml:space="preserve">challenging </w:t>
      </w:r>
      <w:r w:rsidR="0007744A">
        <w:rPr>
          <w:color w:val="000000" w:themeColor="text1"/>
          <w:sz w:val="24"/>
        </w:rPr>
        <w:t>fieldwork</w:t>
      </w:r>
      <w:r w:rsidR="009E502E">
        <w:rPr>
          <w:color w:val="000000" w:themeColor="text1"/>
          <w:sz w:val="24"/>
        </w:rPr>
        <w:t xml:space="preserve"> experiences</w:t>
      </w:r>
      <w:r w:rsidR="0007744A">
        <w:rPr>
          <w:color w:val="000000" w:themeColor="text1"/>
          <w:sz w:val="24"/>
        </w:rPr>
        <w:t xml:space="preserve"> or periods of particularly </w:t>
      </w:r>
      <w:r w:rsidR="009E502E">
        <w:rPr>
          <w:color w:val="000000" w:themeColor="text1"/>
          <w:sz w:val="24"/>
        </w:rPr>
        <w:t>fatiguing</w:t>
      </w:r>
      <w:r w:rsidR="0007744A">
        <w:rPr>
          <w:color w:val="000000" w:themeColor="text1"/>
          <w:sz w:val="24"/>
        </w:rPr>
        <w:t xml:space="preserve"> ‘emotional labour’ (Hochschild, 2012</w:t>
      </w:r>
      <w:r w:rsidR="0076346E">
        <w:rPr>
          <w:color w:val="000000" w:themeColor="text1"/>
          <w:sz w:val="24"/>
        </w:rPr>
        <w:t>; Ward and McMurray, 2016</w:t>
      </w:r>
      <w:r w:rsidR="0007744A">
        <w:rPr>
          <w:color w:val="000000" w:themeColor="text1"/>
          <w:sz w:val="24"/>
        </w:rPr>
        <w:t>)</w:t>
      </w:r>
      <w:r w:rsidR="00063DA0">
        <w:rPr>
          <w:color w:val="000000" w:themeColor="text1"/>
          <w:sz w:val="24"/>
        </w:rPr>
        <w:t xml:space="preserve">. </w:t>
      </w:r>
      <w:r w:rsidR="004A2466">
        <w:rPr>
          <w:color w:val="000000" w:themeColor="text1"/>
          <w:sz w:val="24"/>
        </w:rPr>
        <w:t>It</w:t>
      </w:r>
      <w:r w:rsidR="00063DA0">
        <w:rPr>
          <w:color w:val="000000" w:themeColor="text1"/>
          <w:sz w:val="24"/>
        </w:rPr>
        <w:t xml:space="preserve"> consider</w:t>
      </w:r>
      <w:r w:rsidR="004A2466">
        <w:rPr>
          <w:color w:val="000000" w:themeColor="text1"/>
          <w:sz w:val="24"/>
        </w:rPr>
        <w:t>s</w:t>
      </w:r>
      <w:r w:rsidR="00063DA0">
        <w:rPr>
          <w:color w:val="000000" w:themeColor="text1"/>
          <w:sz w:val="24"/>
        </w:rPr>
        <w:t xml:space="preserve"> how neatly this</w:t>
      </w:r>
      <w:r w:rsidR="009E502E">
        <w:rPr>
          <w:color w:val="000000" w:themeColor="text1"/>
          <w:sz w:val="24"/>
        </w:rPr>
        <w:t xml:space="preserve"> </w:t>
      </w:r>
      <w:r w:rsidR="00063DA0">
        <w:rPr>
          <w:color w:val="000000" w:themeColor="text1"/>
          <w:sz w:val="24"/>
        </w:rPr>
        <w:t xml:space="preserve">‘fits’ into Hochschild’s oft-cited study of emotions </w:t>
      </w:r>
      <w:r w:rsidR="009E502E">
        <w:rPr>
          <w:color w:val="000000" w:themeColor="text1"/>
          <w:sz w:val="24"/>
        </w:rPr>
        <w:t>and</w:t>
      </w:r>
      <w:r w:rsidR="00063DA0">
        <w:rPr>
          <w:color w:val="000000" w:themeColor="text1"/>
          <w:sz w:val="24"/>
        </w:rPr>
        <w:t xml:space="preserve"> labour process</w:t>
      </w:r>
      <w:r w:rsidR="009E502E">
        <w:rPr>
          <w:color w:val="000000" w:themeColor="text1"/>
          <w:sz w:val="24"/>
        </w:rPr>
        <w:t>es</w:t>
      </w:r>
      <w:r w:rsidR="00063DA0">
        <w:rPr>
          <w:color w:val="000000" w:themeColor="text1"/>
          <w:sz w:val="24"/>
        </w:rPr>
        <w:t>, highlight</w:t>
      </w:r>
      <w:r w:rsidR="004A2466">
        <w:rPr>
          <w:color w:val="000000" w:themeColor="text1"/>
          <w:sz w:val="24"/>
        </w:rPr>
        <w:t>ing</w:t>
      </w:r>
      <w:r w:rsidR="00063DA0">
        <w:rPr>
          <w:color w:val="000000" w:themeColor="text1"/>
          <w:sz w:val="24"/>
        </w:rPr>
        <w:t xml:space="preserve"> some of the everyday methods employed to negotiate these challenges. This included spontaneous and deliberate forms of </w:t>
      </w:r>
      <w:proofErr w:type="spellStart"/>
      <w:r w:rsidR="00063DA0">
        <w:rPr>
          <w:color w:val="000000" w:themeColor="text1"/>
          <w:sz w:val="24"/>
        </w:rPr>
        <w:t>humour</w:t>
      </w:r>
      <w:proofErr w:type="spellEnd"/>
      <w:r w:rsidR="00063DA0">
        <w:rPr>
          <w:color w:val="000000" w:themeColor="text1"/>
          <w:sz w:val="24"/>
        </w:rPr>
        <w:t xml:space="preserve"> </w:t>
      </w:r>
      <w:r w:rsidR="00FD3955">
        <w:rPr>
          <w:color w:val="000000" w:themeColor="text1"/>
          <w:sz w:val="24"/>
        </w:rPr>
        <w:t>among</w:t>
      </w:r>
      <w:r w:rsidR="00063DA0">
        <w:rPr>
          <w:color w:val="000000" w:themeColor="text1"/>
          <w:sz w:val="24"/>
        </w:rPr>
        <w:t xml:space="preserve"> both researcher and participants, occurr</w:t>
      </w:r>
      <w:r w:rsidR="00FD3955">
        <w:rPr>
          <w:color w:val="000000" w:themeColor="text1"/>
          <w:sz w:val="24"/>
        </w:rPr>
        <w:t>ing</w:t>
      </w:r>
      <w:r w:rsidR="00063DA0">
        <w:rPr>
          <w:color w:val="000000" w:themeColor="text1"/>
          <w:sz w:val="24"/>
        </w:rPr>
        <w:t xml:space="preserve"> against a </w:t>
      </w:r>
      <w:r w:rsidR="0055499B">
        <w:rPr>
          <w:color w:val="000000" w:themeColor="text1"/>
          <w:sz w:val="24"/>
        </w:rPr>
        <w:t>normalized</w:t>
      </w:r>
      <w:r w:rsidR="00063DA0">
        <w:rPr>
          <w:color w:val="000000" w:themeColor="text1"/>
          <w:sz w:val="24"/>
        </w:rPr>
        <w:t xml:space="preserve"> backdrop of </w:t>
      </w:r>
      <w:proofErr w:type="spellStart"/>
      <w:r w:rsidR="00063DA0">
        <w:rPr>
          <w:color w:val="000000" w:themeColor="text1"/>
          <w:sz w:val="24"/>
        </w:rPr>
        <w:t>humour</w:t>
      </w:r>
      <w:proofErr w:type="spellEnd"/>
      <w:r w:rsidR="00063DA0">
        <w:rPr>
          <w:color w:val="000000" w:themeColor="text1"/>
          <w:sz w:val="24"/>
        </w:rPr>
        <w:t xml:space="preserve"> among gatekeepers</w:t>
      </w:r>
      <w:r w:rsidR="00B16FD8">
        <w:rPr>
          <w:color w:val="000000" w:themeColor="text1"/>
          <w:sz w:val="24"/>
        </w:rPr>
        <w:t xml:space="preserve">, and routine interactions with people </w:t>
      </w:r>
      <w:r w:rsidR="00B337CA">
        <w:rPr>
          <w:color w:val="000000" w:themeColor="text1"/>
          <w:sz w:val="24"/>
        </w:rPr>
        <w:lastRenderedPageBreak/>
        <w:t xml:space="preserve">beyond </w:t>
      </w:r>
      <w:r w:rsidR="00B16FD8">
        <w:rPr>
          <w:color w:val="000000" w:themeColor="text1"/>
          <w:sz w:val="24"/>
        </w:rPr>
        <w:t xml:space="preserve">designated mentors </w:t>
      </w:r>
      <w:r w:rsidR="009E502E">
        <w:rPr>
          <w:color w:val="000000" w:themeColor="text1"/>
          <w:sz w:val="24"/>
        </w:rPr>
        <w:t>and</w:t>
      </w:r>
      <w:r w:rsidR="00B16FD8">
        <w:rPr>
          <w:color w:val="000000" w:themeColor="text1"/>
          <w:sz w:val="24"/>
        </w:rPr>
        <w:t xml:space="preserve"> supervisors</w:t>
      </w:r>
      <w:r w:rsidR="00063DA0">
        <w:rPr>
          <w:color w:val="000000" w:themeColor="text1"/>
          <w:sz w:val="24"/>
        </w:rPr>
        <w:t xml:space="preserve">. </w:t>
      </w:r>
      <w:r w:rsidR="00FD3955">
        <w:rPr>
          <w:color w:val="000000" w:themeColor="text1"/>
          <w:sz w:val="24"/>
        </w:rPr>
        <w:t>Finally,</w:t>
      </w:r>
      <w:r w:rsidR="00063DA0">
        <w:rPr>
          <w:color w:val="000000" w:themeColor="text1"/>
          <w:sz w:val="24"/>
        </w:rPr>
        <w:t xml:space="preserve"> the paper returns to the distinction between ‘procedural ethics’ and ‘ethics in practice’ to reflect on the extent to which this separation, if only heuristic, is warranted or useful for thinking about the</w:t>
      </w:r>
      <w:r w:rsidR="00B16FD8">
        <w:rPr>
          <w:color w:val="000000" w:themeColor="text1"/>
          <w:sz w:val="24"/>
        </w:rPr>
        <w:t xml:space="preserve"> proclaimed</w:t>
      </w:r>
      <w:r w:rsidR="009E502E">
        <w:rPr>
          <w:color w:val="000000" w:themeColor="text1"/>
          <w:sz w:val="24"/>
        </w:rPr>
        <w:t xml:space="preserve"> </w:t>
      </w:r>
      <w:r w:rsidR="00B16FD8">
        <w:rPr>
          <w:color w:val="000000" w:themeColor="text1"/>
          <w:sz w:val="24"/>
        </w:rPr>
        <w:t>importance of ‘reflexivity’.</w:t>
      </w:r>
    </w:p>
    <w:p w14:paraId="7A90DBE5" w14:textId="77777777" w:rsidR="00EF5A5A" w:rsidRPr="00680641" w:rsidRDefault="00EF5A5A" w:rsidP="00135CAE">
      <w:pPr>
        <w:pStyle w:val="ABKWH"/>
        <w:contextualSpacing/>
        <w:jc w:val="both"/>
        <w:rPr>
          <w:color w:val="000000" w:themeColor="text1"/>
          <w:sz w:val="24"/>
        </w:rPr>
      </w:pPr>
    </w:p>
    <w:p w14:paraId="15DA5922" w14:textId="77777777" w:rsidR="008D03F1" w:rsidRDefault="008D03F1" w:rsidP="00135CAE">
      <w:pPr>
        <w:pStyle w:val="Heading2"/>
        <w:jc w:val="both"/>
      </w:pPr>
      <w:r>
        <w:t>An Overview of the Study and its ‘Procedural Ethics’</w:t>
      </w:r>
    </w:p>
    <w:p w14:paraId="749A1BA8" w14:textId="77777777" w:rsidR="008D03F1" w:rsidRDefault="008D03F1" w:rsidP="00135CAE">
      <w:pPr>
        <w:pStyle w:val="ABKWH"/>
        <w:contextualSpacing/>
        <w:jc w:val="both"/>
        <w:rPr>
          <w:color w:val="000000" w:themeColor="text1"/>
        </w:rPr>
      </w:pPr>
    </w:p>
    <w:p w14:paraId="5723DF9C" w14:textId="472DFB66" w:rsidR="008D03F1" w:rsidRDefault="00B80E39" w:rsidP="00135CAE">
      <w:pPr>
        <w:pStyle w:val="ABKWH"/>
        <w:spacing w:line="360" w:lineRule="auto"/>
        <w:contextualSpacing/>
        <w:jc w:val="both"/>
        <w:rPr>
          <w:color w:val="000000" w:themeColor="text1"/>
          <w:sz w:val="24"/>
        </w:rPr>
      </w:pPr>
      <w:r>
        <w:rPr>
          <w:color w:val="000000" w:themeColor="text1"/>
          <w:sz w:val="24"/>
        </w:rPr>
        <w:t>My research</w:t>
      </w:r>
      <w:r w:rsidR="008D03F1" w:rsidRPr="00762967">
        <w:rPr>
          <w:color w:val="000000" w:themeColor="text1"/>
          <w:sz w:val="24"/>
        </w:rPr>
        <w:t xml:space="preserve"> </w:t>
      </w:r>
      <w:r w:rsidR="008D03F1">
        <w:rPr>
          <w:color w:val="000000" w:themeColor="text1"/>
          <w:sz w:val="24"/>
        </w:rPr>
        <w:t>focused on the work of a small charity, t</w:t>
      </w:r>
      <w:r w:rsidR="008D03F1" w:rsidRPr="00762967">
        <w:rPr>
          <w:color w:val="000000" w:themeColor="text1"/>
          <w:sz w:val="24"/>
        </w:rPr>
        <w:t xml:space="preserve">he Tim Parry Johnathan Ball Foundation for Peace (abbreviated </w:t>
      </w:r>
      <w:r w:rsidR="008D03F1">
        <w:rPr>
          <w:color w:val="000000" w:themeColor="text1"/>
          <w:sz w:val="24"/>
        </w:rPr>
        <w:t>hereafter</w:t>
      </w:r>
      <w:r w:rsidR="008D03F1" w:rsidRPr="00762967">
        <w:rPr>
          <w:color w:val="000000" w:themeColor="text1"/>
          <w:sz w:val="24"/>
        </w:rPr>
        <w:t xml:space="preserve"> to ‘</w:t>
      </w:r>
      <w:proofErr w:type="spellStart"/>
      <w:r w:rsidR="008D03F1" w:rsidRPr="00762967">
        <w:rPr>
          <w:color w:val="000000" w:themeColor="text1"/>
          <w:sz w:val="24"/>
        </w:rPr>
        <w:t>FfP</w:t>
      </w:r>
      <w:proofErr w:type="spellEnd"/>
      <w:r w:rsidR="008D03F1" w:rsidRPr="00762967">
        <w:rPr>
          <w:color w:val="000000" w:themeColor="text1"/>
          <w:sz w:val="24"/>
        </w:rPr>
        <w:t>’)</w:t>
      </w:r>
      <w:r w:rsidR="008D03F1">
        <w:rPr>
          <w:color w:val="000000" w:themeColor="text1"/>
          <w:sz w:val="24"/>
        </w:rPr>
        <w:t>, based</w:t>
      </w:r>
      <w:r w:rsidR="008D03F1" w:rsidRPr="00762967">
        <w:rPr>
          <w:color w:val="000000" w:themeColor="text1"/>
          <w:sz w:val="24"/>
        </w:rPr>
        <w:t xml:space="preserve"> in Warrington, a large town in the North West of England. </w:t>
      </w:r>
      <w:proofErr w:type="spellStart"/>
      <w:r w:rsidR="008D03F1" w:rsidRPr="00762967">
        <w:rPr>
          <w:color w:val="000000" w:themeColor="text1"/>
          <w:sz w:val="24"/>
        </w:rPr>
        <w:t>FfP’s</w:t>
      </w:r>
      <w:proofErr w:type="spellEnd"/>
      <w:r w:rsidR="008D03F1" w:rsidRPr="00762967">
        <w:rPr>
          <w:color w:val="000000" w:themeColor="text1"/>
          <w:sz w:val="24"/>
        </w:rPr>
        <w:t xml:space="preserve"> </w:t>
      </w:r>
      <w:r>
        <w:rPr>
          <w:color w:val="000000" w:themeColor="text1"/>
          <w:sz w:val="24"/>
        </w:rPr>
        <w:t>origins</w:t>
      </w:r>
      <w:r w:rsidR="000C0237">
        <w:rPr>
          <w:color w:val="000000" w:themeColor="text1"/>
          <w:sz w:val="24"/>
        </w:rPr>
        <w:t xml:space="preserve"> </w:t>
      </w:r>
      <w:r w:rsidR="00C15699">
        <w:rPr>
          <w:color w:val="000000" w:themeColor="text1"/>
          <w:sz w:val="24"/>
        </w:rPr>
        <w:t xml:space="preserve">began </w:t>
      </w:r>
      <w:r w:rsidR="000C0237">
        <w:rPr>
          <w:color w:val="000000" w:themeColor="text1"/>
          <w:sz w:val="24"/>
        </w:rPr>
        <w:t>on</w:t>
      </w:r>
      <w:r w:rsidR="008D03F1" w:rsidRPr="00762967">
        <w:rPr>
          <w:color w:val="000000" w:themeColor="text1"/>
          <w:sz w:val="24"/>
        </w:rPr>
        <w:t xml:space="preserve"> 20th March 1993 when two Irish Republican Army (IRA</w:t>
      </w:r>
      <w:r w:rsidR="008D03F1">
        <w:rPr>
          <w:rStyle w:val="FootnoteReference"/>
          <w:color w:val="000000" w:themeColor="text1"/>
          <w:sz w:val="24"/>
        </w:rPr>
        <w:footnoteReference w:id="1"/>
      </w:r>
      <w:r w:rsidR="008D03F1">
        <w:rPr>
          <w:color w:val="000000" w:themeColor="text1"/>
          <w:sz w:val="24"/>
        </w:rPr>
        <w:t>)</w:t>
      </w:r>
      <w:r w:rsidR="008D03F1" w:rsidRPr="00762967">
        <w:rPr>
          <w:color w:val="000000" w:themeColor="text1"/>
          <w:sz w:val="24"/>
        </w:rPr>
        <w:t xml:space="preserve"> bombs exploded in Warrington town </w:t>
      </w:r>
      <w:proofErr w:type="spellStart"/>
      <w:r w:rsidR="008D03F1" w:rsidRPr="00762967">
        <w:rPr>
          <w:color w:val="000000" w:themeColor="text1"/>
          <w:sz w:val="24"/>
        </w:rPr>
        <w:t>centre</w:t>
      </w:r>
      <w:proofErr w:type="spellEnd"/>
      <w:r w:rsidR="008D03F1" w:rsidRPr="00762967">
        <w:rPr>
          <w:color w:val="000000" w:themeColor="text1"/>
          <w:sz w:val="24"/>
        </w:rPr>
        <w:t>, killing 12-year-old Tim Parry and 3-year-old Johnath</w:t>
      </w:r>
      <w:r w:rsidR="00606CD5">
        <w:rPr>
          <w:color w:val="000000" w:themeColor="text1"/>
          <w:sz w:val="24"/>
        </w:rPr>
        <w:t>a</w:t>
      </w:r>
      <w:r w:rsidR="008D03F1" w:rsidRPr="00762967">
        <w:rPr>
          <w:color w:val="000000" w:themeColor="text1"/>
          <w:sz w:val="24"/>
        </w:rPr>
        <w:t>n Ball. Bronwen Vickers, a 32-year-old mother of two, was severely injured and</w:t>
      </w:r>
      <w:r w:rsidR="008D03F1">
        <w:rPr>
          <w:color w:val="000000" w:themeColor="text1"/>
          <w:sz w:val="24"/>
        </w:rPr>
        <w:t xml:space="preserve"> died a year later from skin cancer which medical experts believed could have been aggravated by this event. </w:t>
      </w:r>
      <w:r w:rsidR="00C15699">
        <w:rPr>
          <w:color w:val="000000" w:themeColor="text1"/>
          <w:sz w:val="24"/>
        </w:rPr>
        <w:t xml:space="preserve">The </w:t>
      </w:r>
      <w:proofErr w:type="spellStart"/>
      <w:r w:rsidR="00C15699">
        <w:rPr>
          <w:color w:val="000000" w:themeColor="text1"/>
          <w:sz w:val="24"/>
        </w:rPr>
        <w:t>FfP</w:t>
      </w:r>
      <w:proofErr w:type="spellEnd"/>
      <w:r w:rsidR="00C15699">
        <w:rPr>
          <w:color w:val="000000" w:themeColor="text1"/>
          <w:sz w:val="24"/>
        </w:rPr>
        <w:t xml:space="preserve"> was later founded by Tim Parry’s parents, Colin and Wendy. </w:t>
      </w:r>
      <w:r w:rsidR="008D03F1">
        <w:rPr>
          <w:color w:val="000000" w:themeColor="text1"/>
          <w:sz w:val="24"/>
        </w:rPr>
        <w:t xml:space="preserve">A detailed history of the </w:t>
      </w:r>
      <w:proofErr w:type="spellStart"/>
      <w:r w:rsidR="008D03F1">
        <w:rPr>
          <w:color w:val="000000" w:themeColor="text1"/>
          <w:sz w:val="24"/>
        </w:rPr>
        <w:t>FfP</w:t>
      </w:r>
      <w:proofErr w:type="spellEnd"/>
      <w:r w:rsidR="008D03F1">
        <w:rPr>
          <w:color w:val="000000" w:themeColor="text1"/>
          <w:sz w:val="24"/>
        </w:rPr>
        <w:t xml:space="preserve"> is beyond the scope of this paper, but it is important to briefly consider </w:t>
      </w:r>
      <w:r w:rsidR="00751A40">
        <w:rPr>
          <w:color w:val="000000" w:themeColor="text1"/>
          <w:sz w:val="24"/>
        </w:rPr>
        <w:t>their</w:t>
      </w:r>
      <w:r w:rsidR="008D03F1">
        <w:rPr>
          <w:color w:val="000000" w:themeColor="text1"/>
          <w:sz w:val="24"/>
        </w:rPr>
        <w:t xml:space="preserve"> </w:t>
      </w:r>
      <w:r w:rsidR="00751A40">
        <w:rPr>
          <w:color w:val="000000" w:themeColor="text1"/>
          <w:sz w:val="24"/>
        </w:rPr>
        <w:t>contemporary work</w:t>
      </w:r>
      <w:r w:rsidR="008D03F1">
        <w:rPr>
          <w:color w:val="000000" w:themeColor="text1"/>
          <w:sz w:val="24"/>
        </w:rPr>
        <w:t xml:space="preserve"> </w:t>
      </w:r>
      <w:r w:rsidR="0055499B">
        <w:rPr>
          <w:color w:val="000000" w:themeColor="text1"/>
          <w:sz w:val="24"/>
        </w:rPr>
        <w:t>to</w:t>
      </w:r>
      <w:r w:rsidR="008D03F1">
        <w:rPr>
          <w:color w:val="000000" w:themeColor="text1"/>
          <w:sz w:val="24"/>
        </w:rPr>
        <w:t xml:space="preserve"> situate the </w:t>
      </w:r>
      <w:r w:rsidR="000C0237">
        <w:rPr>
          <w:color w:val="000000" w:themeColor="text1"/>
          <w:sz w:val="24"/>
        </w:rPr>
        <w:t>discussion</w:t>
      </w:r>
      <w:r w:rsidR="008D03F1">
        <w:rPr>
          <w:color w:val="000000" w:themeColor="text1"/>
          <w:sz w:val="24"/>
        </w:rPr>
        <w:t xml:space="preserve"> that follow</w:t>
      </w:r>
      <w:r w:rsidR="000C0237">
        <w:rPr>
          <w:color w:val="000000" w:themeColor="text1"/>
          <w:sz w:val="24"/>
        </w:rPr>
        <w:t>s</w:t>
      </w:r>
      <w:r w:rsidR="008D03F1">
        <w:rPr>
          <w:color w:val="000000" w:themeColor="text1"/>
          <w:sz w:val="24"/>
        </w:rPr>
        <w:t>. T</w:t>
      </w:r>
      <w:r w:rsidR="008D03F1" w:rsidRPr="00D4756D">
        <w:rPr>
          <w:color w:val="000000" w:themeColor="text1"/>
          <w:sz w:val="24"/>
        </w:rPr>
        <w:t xml:space="preserve">he </w:t>
      </w:r>
      <w:r w:rsidR="008D03F1">
        <w:rPr>
          <w:color w:val="000000" w:themeColor="text1"/>
          <w:sz w:val="24"/>
        </w:rPr>
        <w:t>charity</w:t>
      </w:r>
      <w:r w:rsidR="008D03F1" w:rsidRPr="00D4756D">
        <w:rPr>
          <w:color w:val="000000" w:themeColor="text1"/>
          <w:sz w:val="24"/>
        </w:rPr>
        <w:t xml:space="preserve"> operate</w:t>
      </w:r>
      <w:r w:rsidR="008D03F1">
        <w:rPr>
          <w:color w:val="000000" w:themeColor="text1"/>
          <w:sz w:val="24"/>
        </w:rPr>
        <w:t>s</w:t>
      </w:r>
      <w:r w:rsidR="008D03F1" w:rsidRPr="00D4756D">
        <w:rPr>
          <w:color w:val="000000" w:themeColor="text1"/>
          <w:sz w:val="24"/>
        </w:rPr>
        <w:t xml:space="preserve"> several strands. </w:t>
      </w:r>
      <w:r w:rsidR="00751A40">
        <w:rPr>
          <w:color w:val="000000" w:themeColor="text1"/>
          <w:sz w:val="24"/>
        </w:rPr>
        <w:t>P</w:t>
      </w:r>
      <w:r w:rsidR="008D03F1" w:rsidRPr="00D4756D">
        <w:rPr>
          <w:color w:val="000000" w:themeColor="text1"/>
          <w:sz w:val="24"/>
        </w:rPr>
        <w:t xml:space="preserve">articipants and activities described </w:t>
      </w:r>
      <w:r w:rsidR="00C15699">
        <w:rPr>
          <w:color w:val="000000" w:themeColor="text1"/>
          <w:sz w:val="24"/>
        </w:rPr>
        <w:t>here</w:t>
      </w:r>
      <w:r w:rsidR="008D03F1" w:rsidRPr="00D4756D">
        <w:rPr>
          <w:color w:val="000000" w:themeColor="text1"/>
          <w:sz w:val="24"/>
        </w:rPr>
        <w:t xml:space="preserve"> form part of the Survivors Assistance Network (SAN). </w:t>
      </w:r>
      <w:r w:rsidR="008D03F1">
        <w:rPr>
          <w:color w:val="000000" w:themeColor="text1"/>
          <w:sz w:val="24"/>
        </w:rPr>
        <w:t xml:space="preserve">SAN </w:t>
      </w:r>
      <w:r w:rsidR="00495C00">
        <w:rPr>
          <w:color w:val="000000" w:themeColor="text1"/>
          <w:sz w:val="24"/>
        </w:rPr>
        <w:t>encompasses</w:t>
      </w:r>
      <w:r w:rsidR="008D03F1">
        <w:rPr>
          <w:color w:val="000000" w:themeColor="text1"/>
          <w:sz w:val="24"/>
        </w:rPr>
        <w:t xml:space="preserve"> a diverse time and place-range of incidents and conflicts including both state and non-state violence, primarily in England and Northern Ireland, but also more recent terror attacks in parts of Europe, Africa, and Asia. </w:t>
      </w:r>
      <w:r w:rsidR="008D03F1" w:rsidRPr="00D4756D">
        <w:rPr>
          <w:color w:val="000000" w:themeColor="text1"/>
          <w:sz w:val="24"/>
        </w:rPr>
        <w:t xml:space="preserve">Despite </w:t>
      </w:r>
      <w:r w:rsidR="000C0237">
        <w:rPr>
          <w:color w:val="000000" w:themeColor="text1"/>
          <w:sz w:val="24"/>
        </w:rPr>
        <w:t>this breadth</w:t>
      </w:r>
      <w:r w:rsidR="008D03F1" w:rsidRPr="00D4756D">
        <w:rPr>
          <w:color w:val="000000" w:themeColor="text1"/>
          <w:sz w:val="24"/>
        </w:rPr>
        <w:t xml:space="preserve">, the premise of SAN activities </w:t>
      </w:r>
      <w:proofErr w:type="gramStart"/>
      <w:r w:rsidR="008D03F1">
        <w:rPr>
          <w:color w:val="000000" w:themeColor="text1"/>
          <w:sz w:val="24"/>
        </w:rPr>
        <w:t>are</w:t>
      </w:r>
      <w:proofErr w:type="gramEnd"/>
      <w:r w:rsidR="008D03F1" w:rsidRPr="00D4756D">
        <w:rPr>
          <w:color w:val="000000" w:themeColor="text1"/>
          <w:sz w:val="24"/>
        </w:rPr>
        <w:t xml:space="preserve">, in essence, deceptively modest. </w:t>
      </w:r>
      <w:r w:rsidR="000C0237">
        <w:rPr>
          <w:color w:val="000000" w:themeColor="text1"/>
          <w:sz w:val="24"/>
        </w:rPr>
        <w:t>This includes</w:t>
      </w:r>
      <w:r w:rsidR="008D03F1" w:rsidRPr="00D4756D">
        <w:rPr>
          <w:color w:val="000000" w:themeColor="text1"/>
          <w:sz w:val="24"/>
        </w:rPr>
        <w:t xml:space="preserve"> free practical and emotional support to individuals and families affected by </w:t>
      </w:r>
      <w:r w:rsidR="008D03F1">
        <w:rPr>
          <w:color w:val="000000" w:themeColor="text1"/>
          <w:sz w:val="24"/>
        </w:rPr>
        <w:t>political violence and terrorism, in order to</w:t>
      </w:r>
      <w:r w:rsidR="008D03F1" w:rsidRPr="00D4756D">
        <w:rPr>
          <w:color w:val="000000" w:themeColor="text1"/>
          <w:sz w:val="24"/>
        </w:rPr>
        <w:t xml:space="preserve"> ‘facilitate the sharing of experiences and dialogue where appropriate to the needs of survivors’ (The Tim Parry Johnathan Ball Foundation for Peace, 2017).</w:t>
      </w:r>
    </w:p>
    <w:p w14:paraId="7CE3054B" w14:textId="22CAF497" w:rsidR="001E7791" w:rsidRDefault="008D03F1" w:rsidP="00135CAE">
      <w:pPr>
        <w:pStyle w:val="ABKWH"/>
        <w:spacing w:line="360" w:lineRule="auto"/>
        <w:ind w:firstLine="720"/>
        <w:contextualSpacing/>
        <w:jc w:val="both"/>
        <w:rPr>
          <w:color w:val="000000" w:themeColor="text1"/>
          <w:sz w:val="24"/>
        </w:rPr>
      </w:pPr>
      <w:r w:rsidRPr="00D4756D">
        <w:rPr>
          <w:color w:val="000000" w:themeColor="text1"/>
          <w:sz w:val="24"/>
        </w:rPr>
        <w:t>The charity runs weekend-long residential event</w:t>
      </w:r>
      <w:r>
        <w:rPr>
          <w:color w:val="000000" w:themeColor="text1"/>
          <w:sz w:val="24"/>
        </w:rPr>
        <w:t>s</w:t>
      </w:r>
      <w:r w:rsidRPr="00D4756D">
        <w:rPr>
          <w:color w:val="000000" w:themeColor="text1"/>
          <w:sz w:val="24"/>
        </w:rPr>
        <w:t xml:space="preserve">, which </w:t>
      </w:r>
      <w:r>
        <w:rPr>
          <w:color w:val="000000" w:themeColor="text1"/>
          <w:sz w:val="24"/>
        </w:rPr>
        <w:t>are</w:t>
      </w:r>
      <w:r w:rsidRPr="00D4756D">
        <w:rPr>
          <w:color w:val="000000" w:themeColor="text1"/>
          <w:sz w:val="24"/>
        </w:rPr>
        <w:t xml:space="preserve"> often the first-time new participants to the </w:t>
      </w:r>
      <w:proofErr w:type="spellStart"/>
      <w:r w:rsidRPr="00D4756D">
        <w:rPr>
          <w:color w:val="000000" w:themeColor="text1"/>
          <w:sz w:val="24"/>
        </w:rPr>
        <w:t>FfP</w:t>
      </w:r>
      <w:proofErr w:type="spellEnd"/>
      <w:r w:rsidRPr="00D4756D">
        <w:rPr>
          <w:color w:val="000000" w:themeColor="text1"/>
          <w:sz w:val="24"/>
        </w:rPr>
        <w:t xml:space="preserve"> talk about their experiences to fellow survivors</w:t>
      </w:r>
      <w:r w:rsidR="003658AB">
        <w:rPr>
          <w:color w:val="000000" w:themeColor="text1"/>
          <w:sz w:val="24"/>
        </w:rPr>
        <w:t>, providing a</w:t>
      </w:r>
      <w:r w:rsidRPr="00D4756D">
        <w:rPr>
          <w:color w:val="000000" w:themeColor="text1"/>
          <w:sz w:val="24"/>
        </w:rPr>
        <w:t xml:space="preserve"> catalyst for friendships, networks, and </w:t>
      </w:r>
      <w:r>
        <w:rPr>
          <w:color w:val="000000" w:themeColor="text1"/>
          <w:sz w:val="24"/>
        </w:rPr>
        <w:t>short/</w:t>
      </w:r>
      <w:r w:rsidRPr="00D4756D">
        <w:rPr>
          <w:color w:val="000000" w:themeColor="text1"/>
          <w:sz w:val="24"/>
        </w:rPr>
        <w:t>long-term relationships</w:t>
      </w:r>
      <w:r>
        <w:rPr>
          <w:color w:val="000000" w:themeColor="text1"/>
          <w:sz w:val="24"/>
        </w:rPr>
        <w:t xml:space="preserve"> to flourish</w:t>
      </w:r>
      <w:r w:rsidRPr="00D4756D">
        <w:rPr>
          <w:color w:val="000000" w:themeColor="text1"/>
          <w:sz w:val="24"/>
        </w:rPr>
        <w:t xml:space="preserve">. The </w:t>
      </w:r>
      <w:r w:rsidRPr="00D4756D">
        <w:rPr>
          <w:color w:val="000000" w:themeColor="text1"/>
          <w:sz w:val="24"/>
        </w:rPr>
        <w:lastRenderedPageBreak/>
        <w:t>org</w:t>
      </w:r>
      <w:r>
        <w:rPr>
          <w:color w:val="000000" w:themeColor="text1"/>
          <w:sz w:val="24"/>
        </w:rPr>
        <w:t>a</w:t>
      </w:r>
      <w:r w:rsidRPr="00D4756D">
        <w:rPr>
          <w:color w:val="000000" w:themeColor="text1"/>
          <w:sz w:val="24"/>
        </w:rPr>
        <w:t>ni</w:t>
      </w:r>
      <w:r>
        <w:rPr>
          <w:color w:val="000000" w:themeColor="text1"/>
          <w:sz w:val="24"/>
        </w:rPr>
        <w:t>z</w:t>
      </w:r>
      <w:r w:rsidRPr="00D4756D">
        <w:rPr>
          <w:color w:val="000000" w:themeColor="text1"/>
          <w:sz w:val="24"/>
        </w:rPr>
        <w:t>ation</w:t>
      </w:r>
      <w:r w:rsidR="000C0237">
        <w:rPr>
          <w:color w:val="000000" w:themeColor="text1"/>
          <w:sz w:val="24"/>
        </w:rPr>
        <w:t>’s core tenet</w:t>
      </w:r>
      <w:r w:rsidRPr="00D4756D">
        <w:rPr>
          <w:color w:val="000000" w:themeColor="text1"/>
          <w:sz w:val="24"/>
        </w:rPr>
        <w:t xml:space="preserve"> revolv</w:t>
      </w:r>
      <w:r w:rsidR="005E2D88">
        <w:rPr>
          <w:color w:val="000000" w:themeColor="text1"/>
          <w:sz w:val="24"/>
        </w:rPr>
        <w:t>es</w:t>
      </w:r>
      <w:r w:rsidRPr="00D4756D">
        <w:rPr>
          <w:color w:val="000000" w:themeColor="text1"/>
          <w:sz w:val="24"/>
        </w:rPr>
        <w:t xml:space="preserve"> around conflict resolution</w:t>
      </w:r>
      <w:r>
        <w:rPr>
          <w:color w:val="000000" w:themeColor="text1"/>
          <w:sz w:val="24"/>
        </w:rPr>
        <w:t xml:space="preserve"> and peace</w:t>
      </w:r>
      <w:r w:rsidRPr="00D4756D">
        <w:rPr>
          <w:color w:val="000000" w:themeColor="text1"/>
          <w:sz w:val="24"/>
        </w:rPr>
        <w:t>, provid</w:t>
      </w:r>
      <w:r w:rsidR="000C0237">
        <w:rPr>
          <w:color w:val="000000" w:themeColor="text1"/>
          <w:sz w:val="24"/>
        </w:rPr>
        <w:t>ing</w:t>
      </w:r>
      <w:r w:rsidRPr="00D4756D">
        <w:rPr>
          <w:color w:val="000000" w:themeColor="text1"/>
          <w:sz w:val="24"/>
        </w:rPr>
        <w:t xml:space="preserve"> </w:t>
      </w:r>
      <w:r>
        <w:rPr>
          <w:color w:val="000000" w:themeColor="text1"/>
          <w:sz w:val="24"/>
        </w:rPr>
        <w:t xml:space="preserve">both </w:t>
      </w:r>
      <w:r w:rsidRPr="00D4756D">
        <w:rPr>
          <w:color w:val="000000" w:themeColor="text1"/>
          <w:sz w:val="24"/>
        </w:rPr>
        <w:t xml:space="preserve">survivors and former combatants a safe space in which they can </w:t>
      </w:r>
      <w:r w:rsidR="003B5450">
        <w:rPr>
          <w:color w:val="000000" w:themeColor="text1"/>
          <w:sz w:val="24"/>
        </w:rPr>
        <w:t xml:space="preserve">interact. </w:t>
      </w:r>
      <w:r>
        <w:rPr>
          <w:color w:val="000000" w:themeColor="text1"/>
          <w:sz w:val="24"/>
        </w:rPr>
        <w:t xml:space="preserve">These </w:t>
      </w:r>
      <w:r w:rsidR="00265140">
        <w:rPr>
          <w:color w:val="000000" w:themeColor="text1"/>
          <w:sz w:val="24"/>
        </w:rPr>
        <w:t>aims,</w:t>
      </w:r>
      <w:r>
        <w:rPr>
          <w:color w:val="000000" w:themeColor="text1"/>
          <w:sz w:val="24"/>
        </w:rPr>
        <w:t xml:space="preserve"> and the</w:t>
      </w:r>
      <w:r w:rsidR="005E2D88">
        <w:rPr>
          <w:color w:val="000000" w:themeColor="text1"/>
          <w:sz w:val="24"/>
        </w:rPr>
        <w:t>ir</w:t>
      </w:r>
      <w:r>
        <w:rPr>
          <w:color w:val="000000" w:themeColor="text1"/>
          <w:sz w:val="24"/>
        </w:rPr>
        <w:t xml:space="preserve"> operationaliz</w:t>
      </w:r>
      <w:r w:rsidR="005E2D88">
        <w:rPr>
          <w:color w:val="000000" w:themeColor="text1"/>
          <w:sz w:val="24"/>
        </w:rPr>
        <w:t>ation</w:t>
      </w:r>
      <w:r w:rsidR="00265140">
        <w:rPr>
          <w:color w:val="000000" w:themeColor="text1"/>
          <w:sz w:val="24"/>
        </w:rPr>
        <w:t>,</w:t>
      </w:r>
      <w:r>
        <w:rPr>
          <w:color w:val="000000" w:themeColor="text1"/>
          <w:sz w:val="24"/>
        </w:rPr>
        <w:t xml:space="preserve"> change continuously in a rapidly moving landscape. As a small charity increasingly dependent upon commission rather than grant-based funding (see Simmonds, 2016) to design and implement ‘innovative’ (that is, partly, politically attractive), or ‘good projects’ (see Krause, 2014), it’s practical organizational work rarely sits still for long. </w:t>
      </w:r>
      <w:r w:rsidR="0065173F">
        <w:rPr>
          <w:color w:val="000000" w:themeColor="text1"/>
          <w:sz w:val="24"/>
        </w:rPr>
        <w:t>T</w:t>
      </w:r>
      <w:r w:rsidRPr="00D4756D">
        <w:rPr>
          <w:color w:val="000000" w:themeColor="text1"/>
          <w:sz w:val="24"/>
        </w:rPr>
        <w:t xml:space="preserve">he trajectory of the </w:t>
      </w:r>
      <w:proofErr w:type="spellStart"/>
      <w:r w:rsidRPr="00D4756D">
        <w:rPr>
          <w:color w:val="000000" w:themeColor="text1"/>
          <w:sz w:val="24"/>
        </w:rPr>
        <w:t>FfP</w:t>
      </w:r>
      <w:proofErr w:type="spellEnd"/>
      <w:r w:rsidRPr="00D4756D">
        <w:rPr>
          <w:color w:val="000000" w:themeColor="text1"/>
          <w:sz w:val="24"/>
        </w:rPr>
        <w:t>,</w:t>
      </w:r>
      <w:r w:rsidR="0065173F">
        <w:rPr>
          <w:color w:val="000000" w:themeColor="text1"/>
          <w:sz w:val="24"/>
        </w:rPr>
        <w:t xml:space="preserve"> however,</w:t>
      </w:r>
      <w:r w:rsidRPr="00D4756D">
        <w:rPr>
          <w:color w:val="000000" w:themeColor="text1"/>
          <w:sz w:val="24"/>
        </w:rPr>
        <w:t xml:space="preserve"> from its genesis to the present, continues to be told and retold by beneficiaries and staff</w:t>
      </w:r>
      <w:r w:rsidR="0065173F">
        <w:rPr>
          <w:color w:val="000000" w:themeColor="text1"/>
          <w:sz w:val="24"/>
        </w:rPr>
        <w:t xml:space="preserve"> – </w:t>
      </w:r>
      <w:r w:rsidRPr="00D4756D">
        <w:rPr>
          <w:color w:val="000000" w:themeColor="text1"/>
          <w:sz w:val="24"/>
        </w:rPr>
        <w:t xml:space="preserve">a powerful and emotive form of </w:t>
      </w:r>
      <w:r w:rsidR="00AB6438" w:rsidRPr="00D4756D">
        <w:rPr>
          <w:color w:val="000000" w:themeColor="text1"/>
          <w:sz w:val="24"/>
        </w:rPr>
        <w:t>organizational</w:t>
      </w:r>
      <w:r w:rsidRPr="00D4756D">
        <w:rPr>
          <w:color w:val="000000" w:themeColor="text1"/>
          <w:sz w:val="24"/>
        </w:rPr>
        <w:t xml:space="preserve"> storytelling (Gabriel, 2000), fortifying its identity among new</w:t>
      </w:r>
      <w:r>
        <w:rPr>
          <w:color w:val="000000" w:themeColor="text1"/>
          <w:sz w:val="24"/>
        </w:rPr>
        <w:t xml:space="preserve">, </w:t>
      </w:r>
      <w:r w:rsidRPr="00D4756D">
        <w:rPr>
          <w:color w:val="000000" w:themeColor="text1"/>
          <w:sz w:val="24"/>
        </w:rPr>
        <w:t>existing</w:t>
      </w:r>
      <w:r>
        <w:rPr>
          <w:color w:val="000000" w:themeColor="text1"/>
          <w:sz w:val="24"/>
        </w:rPr>
        <w:t>, and potential future</w:t>
      </w:r>
      <w:r w:rsidRPr="00D4756D">
        <w:rPr>
          <w:color w:val="000000" w:themeColor="text1"/>
          <w:sz w:val="24"/>
        </w:rPr>
        <w:t xml:space="preserve"> audiences.</w:t>
      </w:r>
    </w:p>
    <w:p w14:paraId="4E51C85D" w14:textId="7618C9E9" w:rsidR="00E74294" w:rsidRDefault="00513E44" w:rsidP="00513E44">
      <w:pPr>
        <w:pStyle w:val="ABKWH"/>
        <w:spacing w:line="360" w:lineRule="auto"/>
        <w:ind w:firstLine="720"/>
        <w:contextualSpacing/>
        <w:jc w:val="both"/>
        <w:rPr>
          <w:color w:val="000000" w:themeColor="text1"/>
          <w:sz w:val="24"/>
        </w:rPr>
      </w:pPr>
      <w:r>
        <w:rPr>
          <w:color w:val="000000" w:themeColor="text1"/>
          <w:sz w:val="24"/>
        </w:rPr>
        <w:t xml:space="preserve">I </w:t>
      </w:r>
      <w:r w:rsidR="00DF129A" w:rsidRPr="00923B6F">
        <w:rPr>
          <w:color w:val="000000" w:themeColor="text1"/>
          <w:sz w:val="24"/>
        </w:rPr>
        <w:t xml:space="preserve">made </w:t>
      </w:r>
      <w:r>
        <w:rPr>
          <w:color w:val="000000" w:themeColor="text1"/>
          <w:sz w:val="24"/>
        </w:rPr>
        <w:t xml:space="preserve">regular fieldwork visits </w:t>
      </w:r>
      <w:r w:rsidR="00DF129A" w:rsidRPr="00923B6F">
        <w:rPr>
          <w:color w:val="000000" w:themeColor="text1"/>
          <w:sz w:val="24"/>
        </w:rPr>
        <w:t xml:space="preserve">from the beginning of the project </w:t>
      </w:r>
      <w:r w:rsidR="00265140" w:rsidRPr="00923B6F">
        <w:rPr>
          <w:color w:val="000000" w:themeColor="text1"/>
          <w:sz w:val="24"/>
        </w:rPr>
        <w:t>to</w:t>
      </w:r>
      <w:r w:rsidR="00DF129A" w:rsidRPr="00923B6F">
        <w:rPr>
          <w:color w:val="000000" w:themeColor="text1"/>
          <w:sz w:val="24"/>
        </w:rPr>
        <w:t xml:space="preserve"> familiari</w:t>
      </w:r>
      <w:r w:rsidR="00DF129A">
        <w:rPr>
          <w:color w:val="000000" w:themeColor="text1"/>
          <w:sz w:val="24"/>
        </w:rPr>
        <w:t>z</w:t>
      </w:r>
      <w:r w:rsidR="00DF129A" w:rsidRPr="00923B6F">
        <w:rPr>
          <w:color w:val="000000" w:themeColor="text1"/>
          <w:sz w:val="24"/>
        </w:rPr>
        <w:t>e myself with the</w:t>
      </w:r>
      <w:r w:rsidR="00DF129A">
        <w:rPr>
          <w:color w:val="000000" w:themeColor="text1"/>
          <w:sz w:val="24"/>
        </w:rPr>
        <w:t>se</w:t>
      </w:r>
      <w:r w:rsidR="00DF129A" w:rsidRPr="00923B6F">
        <w:rPr>
          <w:color w:val="000000" w:themeColor="text1"/>
          <w:sz w:val="24"/>
        </w:rPr>
        <w:t xml:space="preserve"> activities and</w:t>
      </w:r>
      <w:r w:rsidR="00DF129A">
        <w:rPr>
          <w:color w:val="000000" w:themeColor="text1"/>
          <w:sz w:val="24"/>
        </w:rPr>
        <w:t>, by extension,</w:t>
      </w:r>
      <w:r w:rsidR="00DF129A" w:rsidRPr="00923B6F">
        <w:rPr>
          <w:color w:val="000000" w:themeColor="text1"/>
          <w:sz w:val="24"/>
        </w:rPr>
        <w:t xml:space="preserve"> the</w:t>
      </w:r>
      <w:r w:rsidR="00265140">
        <w:rPr>
          <w:color w:val="000000" w:themeColor="text1"/>
          <w:sz w:val="24"/>
        </w:rPr>
        <w:t xml:space="preserve"> </w:t>
      </w:r>
      <w:proofErr w:type="spellStart"/>
      <w:r w:rsidR="00265140">
        <w:rPr>
          <w:color w:val="000000" w:themeColor="text1"/>
          <w:sz w:val="24"/>
        </w:rPr>
        <w:t>FfP’s</w:t>
      </w:r>
      <w:proofErr w:type="spellEnd"/>
      <w:r w:rsidR="00DF129A" w:rsidRPr="00923B6F">
        <w:rPr>
          <w:color w:val="000000" w:themeColor="text1"/>
          <w:sz w:val="24"/>
        </w:rPr>
        <w:t xml:space="preserve"> participants, some of whom would go on to be</w:t>
      </w:r>
      <w:r w:rsidR="004108B7">
        <w:rPr>
          <w:color w:val="000000" w:themeColor="text1"/>
          <w:sz w:val="24"/>
        </w:rPr>
        <w:t xml:space="preserve"> interviewed</w:t>
      </w:r>
      <w:r w:rsidR="00DF129A" w:rsidRPr="00923B6F">
        <w:rPr>
          <w:color w:val="000000" w:themeColor="text1"/>
          <w:sz w:val="24"/>
        </w:rPr>
        <w:t>.</w:t>
      </w:r>
      <w:r>
        <w:rPr>
          <w:color w:val="000000" w:themeColor="text1"/>
          <w:sz w:val="24"/>
        </w:rPr>
        <w:t xml:space="preserve"> </w:t>
      </w:r>
      <w:r w:rsidR="001E7791">
        <w:rPr>
          <w:color w:val="000000" w:themeColor="text1"/>
          <w:sz w:val="24"/>
        </w:rPr>
        <w:t xml:space="preserve">Institutional approval by an ethics committee to conduct </w:t>
      </w:r>
      <w:r w:rsidR="006375AA">
        <w:rPr>
          <w:color w:val="000000" w:themeColor="text1"/>
          <w:sz w:val="24"/>
        </w:rPr>
        <w:t xml:space="preserve">in-depth, </w:t>
      </w:r>
      <w:r w:rsidR="001E7791">
        <w:rPr>
          <w:color w:val="000000" w:themeColor="text1"/>
          <w:sz w:val="24"/>
        </w:rPr>
        <w:t>audio recorded</w:t>
      </w:r>
      <w:r w:rsidR="006375AA">
        <w:rPr>
          <w:color w:val="000000" w:themeColor="text1"/>
          <w:sz w:val="24"/>
        </w:rPr>
        <w:t xml:space="preserve"> </w:t>
      </w:r>
      <w:r w:rsidR="001E7791">
        <w:rPr>
          <w:color w:val="000000" w:themeColor="text1"/>
          <w:sz w:val="24"/>
        </w:rPr>
        <w:t xml:space="preserve">interviews was submitted, and granted approval, just under twelve months after the start of the project. </w:t>
      </w:r>
      <w:r w:rsidR="006375AA">
        <w:rPr>
          <w:color w:val="000000" w:themeColor="text1"/>
          <w:sz w:val="24"/>
        </w:rPr>
        <w:t>B</w:t>
      </w:r>
      <w:r w:rsidR="00923B6F" w:rsidRPr="00923B6F">
        <w:rPr>
          <w:color w:val="000000" w:themeColor="text1"/>
          <w:sz w:val="24"/>
        </w:rPr>
        <w:t xml:space="preserve">etween </w:t>
      </w:r>
      <w:r w:rsidR="003A1D1E">
        <w:rPr>
          <w:color w:val="000000" w:themeColor="text1"/>
          <w:sz w:val="24"/>
        </w:rPr>
        <w:t>sixteen</w:t>
      </w:r>
      <w:r w:rsidR="00923B6F" w:rsidRPr="00923B6F">
        <w:rPr>
          <w:color w:val="000000" w:themeColor="text1"/>
          <w:sz w:val="24"/>
        </w:rPr>
        <w:t xml:space="preserve"> </w:t>
      </w:r>
      <w:r w:rsidR="006375AA">
        <w:rPr>
          <w:color w:val="000000" w:themeColor="text1"/>
          <w:sz w:val="24"/>
        </w:rPr>
        <w:t>and</w:t>
      </w:r>
      <w:r w:rsidR="00923B6F" w:rsidRPr="00923B6F">
        <w:rPr>
          <w:color w:val="000000" w:themeColor="text1"/>
          <w:sz w:val="24"/>
        </w:rPr>
        <w:t xml:space="preserve"> </w:t>
      </w:r>
      <w:r w:rsidR="003A1D1E">
        <w:rPr>
          <w:color w:val="000000" w:themeColor="text1"/>
          <w:sz w:val="24"/>
        </w:rPr>
        <w:t>twenty-four</w:t>
      </w:r>
      <w:r w:rsidR="00923B6F" w:rsidRPr="00923B6F">
        <w:rPr>
          <w:color w:val="000000" w:themeColor="text1"/>
          <w:sz w:val="24"/>
        </w:rPr>
        <w:t xml:space="preserve"> months</w:t>
      </w:r>
      <w:r w:rsidR="001E7791">
        <w:rPr>
          <w:color w:val="000000" w:themeColor="text1"/>
          <w:sz w:val="24"/>
        </w:rPr>
        <w:t xml:space="preserve"> since the start of the project</w:t>
      </w:r>
      <w:r w:rsidR="00923B6F" w:rsidRPr="00923B6F">
        <w:rPr>
          <w:color w:val="000000" w:themeColor="text1"/>
          <w:sz w:val="24"/>
        </w:rPr>
        <w:t>,</w:t>
      </w:r>
      <w:r w:rsidR="006375AA">
        <w:rPr>
          <w:color w:val="000000" w:themeColor="text1"/>
          <w:sz w:val="24"/>
        </w:rPr>
        <w:t xml:space="preserve"> </w:t>
      </w:r>
      <w:r w:rsidR="00035C08">
        <w:rPr>
          <w:color w:val="000000" w:themeColor="text1"/>
          <w:sz w:val="24"/>
        </w:rPr>
        <w:t>these</w:t>
      </w:r>
      <w:r w:rsidR="00923B6F" w:rsidRPr="00923B6F">
        <w:rPr>
          <w:color w:val="000000" w:themeColor="text1"/>
          <w:sz w:val="24"/>
        </w:rPr>
        <w:t xml:space="preserve"> interviews were used to explore individual narratives in more detail.</w:t>
      </w:r>
      <w:r w:rsidR="001E7791">
        <w:rPr>
          <w:color w:val="000000" w:themeColor="text1"/>
          <w:sz w:val="24"/>
        </w:rPr>
        <w:t xml:space="preserve"> </w:t>
      </w:r>
      <w:r w:rsidR="00035C08">
        <w:rPr>
          <w:color w:val="000000" w:themeColor="text1"/>
          <w:sz w:val="24"/>
        </w:rPr>
        <w:t>O</w:t>
      </w:r>
      <w:r w:rsidR="00923B6F" w:rsidRPr="00923B6F">
        <w:rPr>
          <w:color w:val="000000" w:themeColor="text1"/>
          <w:sz w:val="24"/>
        </w:rPr>
        <w:t xml:space="preserve">ngoing </w:t>
      </w:r>
      <w:r w:rsidR="00035C08">
        <w:rPr>
          <w:color w:val="000000" w:themeColor="text1"/>
          <w:sz w:val="24"/>
        </w:rPr>
        <w:t xml:space="preserve">fieldwork </w:t>
      </w:r>
      <w:r w:rsidR="00923B6F" w:rsidRPr="00923B6F">
        <w:rPr>
          <w:color w:val="000000" w:themeColor="text1"/>
          <w:sz w:val="24"/>
        </w:rPr>
        <w:t>visits to the Foundation</w:t>
      </w:r>
      <w:r w:rsidR="00AB6FF8">
        <w:rPr>
          <w:color w:val="000000" w:themeColor="text1"/>
          <w:sz w:val="24"/>
        </w:rPr>
        <w:t xml:space="preserve"> </w:t>
      </w:r>
      <w:r w:rsidR="00035C08">
        <w:rPr>
          <w:color w:val="000000" w:themeColor="text1"/>
          <w:sz w:val="24"/>
        </w:rPr>
        <w:t xml:space="preserve">eventually </w:t>
      </w:r>
      <w:r w:rsidR="00923B6F" w:rsidRPr="00923B6F">
        <w:rPr>
          <w:color w:val="000000" w:themeColor="text1"/>
          <w:sz w:val="24"/>
        </w:rPr>
        <w:t>allowed prospective participants to be approached</w:t>
      </w:r>
      <w:r w:rsidR="00035C08">
        <w:rPr>
          <w:color w:val="000000" w:themeColor="text1"/>
          <w:sz w:val="24"/>
        </w:rPr>
        <w:t>; most</w:t>
      </w:r>
      <w:r w:rsidR="00923B6F" w:rsidRPr="00923B6F">
        <w:rPr>
          <w:color w:val="000000" w:themeColor="text1"/>
          <w:sz w:val="24"/>
        </w:rPr>
        <w:t xml:space="preserve"> showed great interest in the project without being directly </w:t>
      </w:r>
      <w:r w:rsidR="00035C08">
        <w:rPr>
          <w:color w:val="000000" w:themeColor="text1"/>
          <w:sz w:val="24"/>
        </w:rPr>
        <w:t>solicited</w:t>
      </w:r>
      <w:r w:rsidR="00923B6F" w:rsidRPr="00923B6F">
        <w:rPr>
          <w:color w:val="000000" w:themeColor="text1"/>
          <w:sz w:val="24"/>
        </w:rPr>
        <w:t xml:space="preserve"> and some had already made enquiries about taking part. This elongated phase of ‘gaining </w:t>
      </w:r>
      <w:proofErr w:type="gramStart"/>
      <w:r w:rsidR="00923B6F" w:rsidRPr="00923B6F">
        <w:rPr>
          <w:color w:val="000000" w:themeColor="text1"/>
          <w:sz w:val="24"/>
        </w:rPr>
        <w:t>access’</w:t>
      </w:r>
      <w:proofErr w:type="gramEnd"/>
      <w:r w:rsidR="00035C08">
        <w:rPr>
          <w:color w:val="000000" w:themeColor="text1"/>
          <w:sz w:val="24"/>
        </w:rPr>
        <w:t xml:space="preserve"> was</w:t>
      </w:r>
      <w:r w:rsidR="00923B6F" w:rsidRPr="00923B6F">
        <w:rPr>
          <w:color w:val="000000" w:themeColor="text1"/>
          <w:sz w:val="24"/>
        </w:rPr>
        <w:t xml:space="preserve"> an immersive</w:t>
      </w:r>
      <w:r w:rsidR="00035C08">
        <w:rPr>
          <w:color w:val="000000" w:themeColor="text1"/>
          <w:sz w:val="24"/>
        </w:rPr>
        <w:t>, yet informal,</w:t>
      </w:r>
      <w:r w:rsidR="00923B6F" w:rsidRPr="00923B6F">
        <w:rPr>
          <w:color w:val="000000" w:themeColor="text1"/>
          <w:sz w:val="24"/>
        </w:rPr>
        <w:t xml:space="preserve"> process</w:t>
      </w:r>
      <w:r w:rsidR="00035C08">
        <w:rPr>
          <w:color w:val="000000" w:themeColor="text1"/>
          <w:sz w:val="24"/>
        </w:rPr>
        <w:t xml:space="preserve"> where</w:t>
      </w:r>
      <w:r w:rsidR="00923B6F" w:rsidRPr="00923B6F">
        <w:rPr>
          <w:color w:val="000000" w:themeColor="text1"/>
          <w:sz w:val="24"/>
        </w:rPr>
        <w:t xml:space="preserve"> casual conversations </w:t>
      </w:r>
      <w:r w:rsidR="00035C08">
        <w:rPr>
          <w:color w:val="000000" w:themeColor="text1"/>
          <w:sz w:val="24"/>
        </w:rPr>
        <w:t xml:space="preserve">could </w:t>
      </w:r>
      <w:r w:rsidR="00923B6F" w:rsidRPr="00923B6F">
        <w:rPr>
          <w:color w:val="000000" w:themeColor="text1"/>
          <w:sz w:val="24"/>
        </w:rPr>
        <w:t>play out</w:t>
      </w:r>
      <w:r w:rsidR="00035C08">
        <w:rPr>
          <w:color w:val="000000" w:themeColor="text1"/>
          <w:sz w:val="24"/>
        </w:rPr>
        <w:t xml:space="preserve">. I avoided </w:t>
      </w:r>
      <w:r w:rsidR="00923B6F" w:rsidRPr="00923B6F">
        <w:rPr>
          <w:color w:val="000000" w:themeColor="text1"/>
          <w:sz w:val="24"/>
        </w:rPr>
        <w:t>a purely instrumental approach to ‘data collection’</w:t>
      </w:r>
      <w:r w:rsidR="00F56874">
        <w:rPr>
          <w:color w:val="000000" w:themeColor="text1"/>
          <w:sz w:val="24"/>
        </w:rPr>
        <w:t xml:space="preserve">; </w:t>
      </w:r>
      <w:r w:rsidR="00923B6F" w:rsidRPr="00923B6F">
        <w:rPr>
          <w:color w:val="000000" w:themeColor="text1"/>
          <w:sz w:val="24"/>
        </w:rPr>
        <w:t>people express</w:t>
      </w:r>
      <w:r w:rsidR="00F56874">
        <w:rPr>
          <w:color w:val="000000" w:themeColor="text1"/>
          <w:sz w:val="24"/>
        </w:rPr>
        <w:t>ed</w:t>
      </w:r>
      <w:r w:rsidR="00923B6F" w:rsidRPr="00923B6F">
        <w:rPr>
          <w:color w:val="000000" w:themeColor="text1"/>
          <w:sz w:val="24"/>
        </w:rPr>
        <w:t xml:space="preserve"> themselves ‘off the record’ before committing to recorded interview</w:t>
      </w:r>
      <w:r w:rsidR="00F56874">
        <w:rPr>
          <w:color w:val="000000" w:themeColor="text1"/>
          <w:sz w:val="24"/>
        </w:rPr>
        <w:t>s.</w:t>
      </w:r>
      <w:r w:rsidR="001C3539">
        <w:rPr>
          <w:color w:val="000000" w:themeColor="text1"/>
          <w:sz w:val="24"/>
        </w:rPr>
        <w:t xml:space="preserve"> W</w:t>
      </w:r>
      <w:r w:rsidR="00923B6F" w:rsidRPr="00923B6F">
        <w:rPr>
          <w:color w:val="000000" w:themeColor="text1"/>
          <w:sz w:val="24"/>
        </w:rPr>
        <w:t>ithout the full immersion required to constitute ethnography as ‘deep hanging out’ (Geertz, 1998)</w:t>
      </w:r>
      <w:r w:rsidR="001C3539">
        <w:rPr>
          <w:color w:val="000000" w:themeColor="text1"/>
          <w:sz w:val="24"/>
        </w:rPr>
        <w:t xml:space="preserve">, this approach was </w:t>
      </w:r>
      <w:r w:rsidR="001C3539" w:rsidRPr="00923B6F">
        <w:rPr>
          <w:color w:val="000000" w:themeColor="text1"/>
          <w:sz w:val="24"/>
        </w:rPr>
        <w:t>akin to</w:t>
      </w:r>
      <w:r w:rsidR="001C3539">
        <w:rPr>
          <w:color w:val="000000" w:themeColor="text1"/>
          <w:sz w:val="24"/>
        </w:rPr>
        <w:t xml:space="preserve"> </w:t>
      </w:r>
      <w:proofErr w:type="spellStart"/>
      <w:r w:rsidR="001C3539" w:rsidRPr="00923B6F">
        <w:rPr>
          <w:color w:val="000000" w:themeColor="text1"/>
          <w:sz w:val="24"/>
        </w:rPr>
        <w:t>Forsey’s</w:t>
      </w:r>
      <w:proofErr w:type="spellEnd"/>
      <w:r w:rsidR="001C3539" w:rsidRPr="00923B6F">
        <w:rPr>
          <w:color w:val="000000" w:themeColor="text1"/>
          <w:sz w:val="24"/>
        </w:rPr>
        <w:t xml:space="preserve"> (2010) ‘ethnography as participant listening’</w:t>
      </w:r>
      <w:r w:rsidR="00923B6F" w:rsidRPr="00923B6F">
        <w:rPr>
          <w:color w:val="000000" w:themeColor="text1"/>
          <w:sz w:val="24"/>
        </w:rPr>
        <w:t xml:space="preserve">. </w:t>
      </w:r>
      <w:r w:rsidR="003A1D1E">
        <w:rPr>
          <w:color w:val="000000" w:themeColor="text1"/>
          <w:sz w:val="24"/>
        </w:rPr>
        <w:t>Although</w:t>
      </w:r>
      <w:r w:rsidR="00923B6F" w:rsidRPr="00923B6F">
        <w:rPr>
          <w:color w:val="000000" w:themeColor="text1"/>
          <w:sz w:val="24"/>
        </w:rPr>
        <w:t xml:space="preserve"> more solid</w:t>
      </w:r>
      <w:r w:rsidR="003A1D1E">
        <w:rPr>
          <w:color w:val="000000" w:themeColor="text1"/>
          <w:sz w:val="24"/>
        </w:rPr>
        <w:t>, structured</w:t>
      </w:r>
      <w:r w:rsidR="00923B6F" w:rsidRPr="00923B6F">
        <w:rPr>
          <w:color w:val="000000" w:themeColor="text1"/>
          <w:sz w:val="24"/>
        </w:rPr>
        <w:t xml:space="preserve"> participant recruitment became a realistic necessity, it was not a primary consideration for at least the first </w:t>
      </w:r>
      <w:r w:rsidR="002F4D2F">
        <w:rPr>
          <w:color w:val="000000" w:themeColor="text1"/>
          <w:sz w:val="24"/>
        </w:rPr>
        <w:t>fourteen</w:t>
      </w:r>
      <w:r w:rsidR="00923B6F" w:rsidRPr="00923B6F">
        <w:rPr>
          <w:color w:val="000000" w:themeColor="text1"/>
          <w:sz w:val="24"/>
        </w:rPr>
        <w:t xml:space="preserve"> to eighteen months of the fieldwork.</w:t>
      </w:r>
    </w:p>
    <w:p w14:paraId="764A9D7D" w14:textId="4A492E85" w:rsidR="00F70777" w:rsidRDefault="0004416C" w:rsidP="00135CAE">
      <w:pPr>
        <w:pStyle w:val="ABKWH"/>
        <w:spacing w:line="360" w:lineRule="auto"/>
        <w:ind w:firstLine="720"/>
        <w:contextualSpacing/>
        <w:jc w:val="both"/>
        <w:rPr>
          <w:color w:val="000000" w:themeColor="text1"/>
          <w:sz w:val="24"/>
        </w:rPr>
      </w:pPr>
      <w:r>
        <w:rPr>
          <w:color w:val="000000" w:themeColor="text1"/>
          <w:sz w:val="24"/>
        </w:rPr>
        <w:t xml:space="preserve">Although </w:t>
      </w:r>
      <w:r w:rsidR="00AB6FF8">
        <w:rPr>
          <w:color w:val="000000" w:themeColor="text1"/>
          <w:sz w:val="24"/>
        </w:rPr>
        <w:t>interviews</w:t>
      </w:r>
      <w:r w:rsidR="00E74294">
        <w:rPr>
          <w:color w:val="000000" w:themeColor="text1"/>
          <w:sz w:val="24"/>
        </w:rPr>
        <w:t xml:space="preserve"> </w:t>
      </w:r>
      <w:r w:rsidR="00E74294" w:rsidRPr="002F0CB0">
        <w:rPr>
          <w:color w:val="000000" w:themeColor="text1"/>
          <w:sz w:val="24"/>
        </w:rPr>
        <w:t>t</w:t>
      </w:r>
      <w:r w:rsidR="00A66986">
        <w:rPr>
          <w:color w:val="000000" w:themeColor="text1"/>
          <w:sz w:val="24"/>
        </w:rPr>
        <w:t>ook</w:t>
      </w:r>
      <w:r w:rsidR="00E74294" w:rsidRPr="002F0CB0">
        <w:rPr>
          <w:color w:val="000000" w:themeColor="text1"/>
          <w:sz w:val="24"/>
        </w:rPr>
        <w:t xml:space="preserve"> place </w:t>
      </w:r>
      <w:r w:rsidR="00A66986">
        <w:rPr>
          <w:color w:val="000000" w:themeColor="text1"/>
          <w:sz w:val="24"/>
        </w:rPr>
        <w:t>after</w:t>
      </w:r>
      <w:r w:rsidR="00E74294" w:rsidRPr="002F0CB0">
        <w:rPr>
          <w:color w:val="000000" w:themeColor="text1"/>
          <w:sz w:val="24"/>
        </w:rPr>
        <w:t xml:space="preserve"> an independent review board had granted full ethical approval</w:t>
      </w:r>
      <w:r w:rsidR="00A66986">
        <w:rPr>
          <w:color w:val="000000" w:themeColor="text1"/>
          <w:sz w:val="24"/>
        </w:rPr>
        <w:t>, t</w:t>
      </w:r>
      <w:r w:rsidR="00E74294">
        <w:rPr>
          <w:color w:val="000000" w:themeColor="text1"/>
          <w:sz w:val="24"/>
        </w:rPr>
        <w:t>his does not mean that I did not ‘enter the field’ until then</w:t>
      </w:r>
      <w:r w:rsidR="000E24B0">
        <w:rPr>
          <w:color w:val="000000" w:themeColor="text1"/>
          <w:sz w:val="24"/>
        </w:rPr>
        <w:t>. My ability</w:t>
      </w:r>
      <w:r w:rsidR="00E74294">
        <w:rPr>
          <w:color w:val="000000" w:themeColor="text1"/>
          <w:sz w:val="24"/>
        </w:rPr>
        <w:t xml:space="preserve"> to faithfully promise close supervision of the data collection process within my formal institutional ethics application – including transparent information sharing between staff and I around when and where subsequent interviews took place; arranging post-interview </w:t>
      </w:r>
      <w:r w:rsidR="00E74294">
        <w:rPr>
          <w:color w:val="000000" w:themeColor="text1"/>
          <w:sz w:val="24"/>
        </w:rPr>
        <w:lastRenderedPageBreak/>
        <w:t xml:space="preserve">debriefing between staff and survivors; and sharing important up-to-date information about unfolding dynamics within and between different groups attending the charity – rested precisely on </w:t>
      </w:r>
      <w:r w:rsidR="003413AF">
        <w:rPr>
          <w:color w:val="000000" w:themeColor="text1"/>
          <w:sz w:val="24"/>
        </w:rPr>
        <w:t xml:space="preserve">these </w:t>
      </w:r>
      <w:r w:rsidR="00E74294">
        <w:rPr>
          <w:color w:val="000000" w:themeColor="text1"/>
          <w:sz w:val="24"/>
        </w:rPr>
        <w:t xml:space="preserve">periods of preliminary meetings, visits, observations, and invitations to attend events and talks. </w:t>
      </w:r>
      <w:r w:rsidR="003413AF">
        <w:rPr>
          <w:color w:val="000000" w:themeColor="text1"/>
          <w:sz w:val="24"/>
        </w:rPr>
        <w:t xml:space="preserve">During this time, I was able to get to know staff, discuss our respective expectations, and establish working boundaries. </w:t>
      </w:r>
      <w:r w:rsidR="00E74294">
        <w:rPr>
          <w:color w:val="000000" w:themeColor="text1"/>
          <w:sz w:val="24"/>
        </w:rPr>
        <w:t xml:space="preserve">One might think this kind of opportune preliminary involvement within a research field common, even ubiquitous, to the point of being unworthy of attention. </w:t>
      </w:r>
      <w:r w:rsidR="00417315">
        <w:rPr>
          <w:color w:val="000000" w:themeColor="text1"/>
          <w:sz w:val="24"/>
        </w:rPr>
        <w:t>R</w:t>
      </w:r>
      <w:r w:rsidR="00E74294">
        <w:rPr>
          <w:color w:val="000000" w:themeColor="text1"/>
          <w:sz w:val="24"/>
        </w:rPr>
        <w:t>esearchers, supervisors, and ethic</w:t>
      </w:r>
      <w:r w:rsidR="00417315">
        <w:rPr>
          <w:color w:val="000000" w:themeColor="text1"/>
          <w:sz w:val="24"/>
        </w:rPr>
        <w:t>al</w:t>
      </w:r>
      <w:r w:rsidR="00E74294">
        <w:rPr>
          <w:color w:val="000000" w:themeColor="text1"/>
          <w:sz w:val="24"/>
        </w:rPr>
        <w:t xml:space="preserve"> review boards </w:t>
      </w:r>
      <w:r w:rsidR="00417315">
        <w:rPr>
          <w:color w:val="000000" w:themeColor="text1"/>
          <w:sz w:val="24"/>
        </w:rPr>
        <w:t>often</w:t>
      </w:r>
      <w:r w:rsidR="00E74294">
        <w:rPr>
          <w:color w:val="000000" w:themeColor="text1"/>
          <w:sz w:val="24"/>
        </w:rPr>
        <w:t xml:space="preserve"> convey a linear process of ‘gaining</w:t>
      </w:r>
      <w:r w:rsidR="00216445">
        <w:rPr>
          <w:color w:val="000000" w:themeColor="text1"/>
          <w:sz w:val="24"/>
        </w:rPr>
        <w:t xml:space="preserve"> </w:t>
      </w:r>
      <w:r w:rsidR="00E74294">
        <w:rPr>
          <w:color w:val="000000" w:themeColor="text1"/>
          <w:sz w:val="24"/>
        </w:rPr>
        <w:t>access’ to research field</w:t>
      </w:r>
      <w:r w:rsidR="00417315">
        <w:rPr>
          <w:color w:val="000000" w:themeColor="text1"/>
          <w:sz w:val="24"/>
        </w:rPr>
        <w:t>s</w:t>
      </w:r>
      <w:r w:rsidR="00E74294">
        <w:rPr>
          <w:color w:val="000000" w:themeColor="text1"/>
          <w:sz w:val="24"/>
        </w:rPr>
        <w:t xml:space="preserve"> </w:t>
      </w:r>
      <w:r w:rsidR="00417315">
        <w:rPr>
          <w:color w:val="000000" w:themeColor="text1"/>
          <w:sz w:val="24"/>
        </w:rPr>
        <w:t xml:space="preserve">as something </w:t>
      </w:r>
      <w:r w:rsidR="00F63A00">
        <w:rPr>
          <w:color w:val="000000" w:themeColor="text1"/>
          <w:sz w:val="24"/>
        </w:rPr>
        <w:t xml:space="preserve">assuming a particular form, articulated </w:t>
      </w:r>
      <w:r w:rsidR="00417315">
        <w:rPr>
          <w:color w:val="000000" w:themeColor="text1"/>
          <w:sz w:val="24"/>
        </w:rPr>
        <w:t>in</w:t>
      </w:r>
      <w:r w:rsidR="002258DE">
        <w:rPr>
          <w:color w:val="000000" w:themeColor="text1"/>
          <w:sz w:val="24"/>
        </w:rPr>
        <w:t xml:space="preserve"> a particular </w:t>
      </w:r>
      <w:r w:rsidR="00417315">
        <w:rPr>
          <w:color w:val="000000" w:themeColor="text1"/>
          <w:sz w:val="24"/>
        </w:rPr>
        <w:t>style</w:t>
      </w:r>
      <w:r w:rsidR="00F70777">
        <w:rPr>
          <w:color w:val="000000" w:themeColor="text1"/>
          <w:sz w:val="24"/>
        </w:rPr>
        <w:t xml:space="preserve">. </w:t>
      </w:r>
      <w:r w:rsidR="002258DE">
        <w:rPr>
          <w:color w:val="000000" w:themeColor="text1"/>
          <w:sz w:val="24"/>
        </w:rPr>
        <w:t xml:space="preserve">That </w:t>
      </w:r>
      <w:r w:rsidR="00F63A00">
        <w:rPr>
          <w:color w:val="000000" w:themeColor="text1"/>
          <w:sz w:val="24"/>
        </w:rPr>
        <w:t xml:space="preserve">form and </w:t>
      </w:r>
      <w:r w:rsidR="00417315">
        <w:rPr>
          <w:color w:val="000000" w:themeColor="text1"/>
          <w:sz w:val="24"/>
        </w:rPr>
        <w:t>style</w:t>
      </w:r>
      <w:r w:rsidR="002258DE">
        <w:rPr>
          <w:color w:val="000000" w:themeColor="text1"/>
          <w:sz w:val="24"/>
        </w:rPr>
        <w:t>, within locally and disciplinarily bound conventions, is a product of an order immediately recognizable by the professionals involved (the researchers, supervisors, members of ethical review boards, and so on)</w:t>
      </w:r>
      <w:r w:rsidR="00F70777">
        <w:rPr>
          <w:color w:val="000000" w:themeColor="text1"/>
          <w:sz w:val="24"/>
        </w:rPr>
        <w:t>.</w:t>
      </w:r>
      <w:r w:rsidR="00BC48D1">
        <w:rPr>
          <w:color w:val="000000" w:themeColor="text1"/>
          <w:sz w:val="24"/>
        </w:rPr>
        <w:t xml:space="preserve"> The ethical review procedure ‘</w:t>
      </w:r>
      <w:r w:rsidR="00BC48D1" w:rsidRPr="00BC48D1">
        <w:rPr>
          <w:color w:val="000000" w:themeColor="text1"/>
          <w:sz w:val="24"/>
        </w:rPr>
        <w:t>is a product of some order of relationships where the combination of</w:t>
      </w:r>
      <w:r w:rsidR="00BC48D1">
        <w:rPr>
          <w:color w:val="000000" w:themeColor="text1"/>
          <w:sz w:val="24"/>
        </w:rPr>
        <w:t xml:space="preserve"> </w:t>
      </w:r>
      <w:r w:rsidR="00BC48D1" w:rsidRPr="00BC48D1">
        <w:rPr>
          <w:color w:val="000000" w:themeColor="text1"/>
          <w:sz w:val="24"/>
        </w:rPr>
        <w:t>persons and what they're doing is something seeable as ' their business'</w:t>
      </w:r>
      <w:r w:rsidR="00BC48D1">
        <w:rPr>
          <w:color w:val="000000" w:themeColor="text1"/>
          <w:sz w:val="24"/>
        </w:rPr>
        <w:t>’ (Sacks, 1992: 91).</w:t>
      </w:r>
      <w:r w:rsidR="00F70777">
        <w:rPr>
          <w:color w:val="000000" w:themeColor="text1"/>
          <w:sz w:val="24"/>
        </w:rPr>
        <w:t xml:space="preserve"> ‘Arrangements’, such as those </w:t>
      </w:r>
      <w:r w:rsidR="00417315">
        <w:rPr>
          <w:color w:val="000000" w:themeColor="text1"/>
          <w:sz w:val="24"/>
        </w:rPr>
        <w:t>above</w:t>
      </w:r>
      <w:r w:rsidR="00F70777">
        <w:rPr>
          <w:color w:val="000000" w:themeColor="text1"/>
          <w:sz w:val="24"/>
        </w:rPr>
        <w:t xml:space="preserve"> aimed at enhancing safeguarding practice and rigor, simply appear; they are not so much ‘put in place’ as just ‘are in place’</w:t>
      </w:r>
      <w:r w:rsidR="00417315">
        <w:rPr>
          <w:color w:val="000000" w:themeColor="text1"/>
          <w:sz w:val="24"/>
        </w:rPr>
        <w:t xml:space="preserve"> at the point of application</w:t>
      </w:r>
      <w:r w:rsidR="00F70777">
        <w:rPr>
          <w:color w:val="000000" w:themeColor="text1"/>
          <w:sz w:val="24"/>
        </w:rPr>
        <w:t xml:space="preserve">. The not inconsiderable amounts of </w:t>
      </w:r>
      <w:r w:rsidR="00417315">
        <w:rPr>
          <w:color w:val="000000" w:themeColor="text1"/>
          <w:sz w:val="24"/>
        </w:rPr>
        <w:t xml:space="preserve">(emotional) </w:t>
      </w:r>
      <w:r w:rsidR="00F70777">
        <w:rPr>
          <w:color w:val="000000" w:themeColor="text1"/>
          <w:sz w:val="24"/>
        </w:rPr>
        <w:t>labo</w:t>
      </w:r>
      <w:r w:rsidR="00417315">
        <w:rPr>
          <w:color w:val="000000" w:themeColor="text1"/>
          <w:sz w:val="24"/>
        </w:rPr>
        <w:t>u</w:t>
      </w:r>
      <w:r w:rsidR="00F70777">
        <w:rPr>
          <w:color w:val="000000" w:themeColor="text1"/>
          <w:sz w:val="24"/>
        </w:rPr>
        <w:t>r that have gone into producing these arrangements are typically airbrushed from view</w:t>
      </w:r>
      <w:r w:rsidR="00BC48D1">
        <w:rPr>
          <w:color w:val="000000" w:themeColor="text1"/>
          <w:sz w:val="24"/>
        </w:rPr>
        <w:t>, or else stylized,</w:t>
      </w:r>
      <w:r w:rsidR="00F70777">
        <w:rPr>
          <w:color w:val="000000" w:themeColor="text1"/>
          <w:sz w:val="24"/>
        </w:rPr>
        <w:t xml:space="preserve"> ready for a clean and robust ethics application to be reviewed and subsequently deemed acceptable or unacceptable.</w:t>
      </w:r>
    </w:p>
    <w:p w14:paraId="06608F23" w14:textId="0A79ABFD" w:rsidR="0010204A" w:rsidRDefault="00BC48D1" w:rsidP="00135CAE">
      <w:pPr>
        <w:pStyle w:val="ABKWH"/>
        <w:spacing w:line="360" w:lineRule="auto"/>
        <w:ind w:firstLine="720"/>
        <w:contextualSpacing/>
        <w:jc w:val="both"/>
        <w:rPr>
          <w:color w:val="000000" w:themeColor="text1"/>
          <w:sz w:val="24"/>
        </w:rPr>
      </w:pPr>
      <w:r>
        <w:rPr>
          <w:color w:val="000000" w:themeColor="text1"/>
          <w:sz w:val="24"/>
        </w:rPr>
        <w:t xml:space="preserve">This is characteristic of what </w:t>
      </w:r>
      <w:r w:rsidR="00F70777">
        <w:rPr>
          <w:color w:val="000000" w:themeColor="text1"/>
          <w:sz w:val="24"/>
        </w:rPr>
        <w:t>Sacks (1992</w:t>
      </w:r>
      <w:r>
        <w:rPr>
          <w:color w:val="000000" w:themeColor="text1"/>
          <w:sz w:val="24"/>
        </w:rPr>
        <w:t>: 83</w:t>
      </w:r>
      <w:r w:rsidR="00F70777">
        <w:rPr>
          <w:color w:val="000000" w:themeColor="text1"/>
          <w:sz w:val="24"/>
        </w:rPr>
        <w:t>)</w:t>
      </w:r>
      <w:r>
        <w:rPr>
          <w:color w:val="000000" w:themeColor="text1"/>
          <w:sz w:val="24"/>
        </w:rPr>
        <w:t xml:space="preserve"> refers </w:t>
      </w:r>
      <w:r w:rsidR="0055499B">
        <w:rPr>
          <w:color w:val="000000" w:themeColor="text1"/>
          <w:sz w:val="24"/>
        </w:rPr>
        <w:t xml:space="preserve">to </w:t>
      </w:r>
      <w:r>
        <w:rPr>
          <w:color w:val="000000" w:themeColor="text1"/>
          <w:sz w:val="24"/>
        </w:rPr>
        <w:t>as ‘feigning ignorance’</w:t>
      </w:r>
      <w:r w:rsidR="00E74294">
        <w:rPr>
          <w:color w:val="000000" w:themeColor="text1"/>
          <w:sz w:val="24"/>
        </w:rPr>
        <w:t>.</w:t>
      </w:r>
      <w:r>
        <w:rPr>
          <w:color w:val="000000" w:themeColor="text1"/>
          <w:sz w:val="24"/>
        </w:rPr>
        <w:t xml:space="preserve"> To assume that ethical review boards, supervisors, </w:t>
      </w:r>
      <w:r w:rsidR="009D6D37">
        <w:rPr>
          <w:color w:val="000000" w:themeColor="text1"/>
          <w:sz w:val="24"/>
        </w:rPr>
        <w:t xml:space="preserve">and fellow researchers are </w:t>
      </w:r>
      <w:r w:rsidR="0055499B">
        <w:rPr>
          <w:color w:val="000000" w:themeColor="text1"/>
          <w:sz w:val="24"/>
        </w:rPr>
        <w:t>un</w:t>
      </w:r>
      <w:r w:rsidR="009D6D37">
        <w:rPr>
          <w:color w:val="000000" w:themeColor="text1"/>
          <w:sz w:val="24"/>
        </w:rPr>
        <w:t xml:space="preserve">aware of </w:t>
      </w:r>
      <w:r w:rsidR="00F63A00">
        <w:rPr>
          <w:color w:val="000000" w:themeColor="text1"/>
          <w:sz w:val="24"/>
        </w:rPr>
        <w:t xml:space="preserve">the </w:t>
      </w:r>
      <w:r w:rsidR="009D6D37">
        <w:rPr>
          <w:color w:val="000000" w:themeColor="text1"/>
          <w:sz w:val="24"/>
        </w:rPr>
        <w:t xml:space="preserve">extra </w:t>
      </w:r>
      <w:r w:rsidR="00F63A00">
        <w:rPr>
          <w:color w:val="000000" w:themeColor="text1"/>
          <w:sz w:val="24"/>
        </w:rPr>
        <w:t xml:space="preserve">(emotional) </w:t>
      </w:r>
      <w:r w:rsidR="009D6D37">
        <w:rPr>
          <w:color w:val="000000" w:themeColor="text1"/>
          <w:sz w:val="24"/>
        </w:rPr>
        <w:t>labo</w:t>
      </w:r>
      <w:r w:rsidR="00F63A00">
        <w:rPr>
          <w:color w:val="000000" w:themeColor="text1"/>
          <w:sz w:val="24"/>
        </w:rPr>
        <w:t>u</w:t>
      </w:r>
      <w:r w:rsidR="009D6D37">
        <w:rPr>
          <w:color w:val="000000" w:themeColor="text1"/>
          <w:sz w:val="24"/>
        </w:rPr>
        <w:t xml:space="preserve">r that goes into furnishing viable ethical research arrangements would be a mistake. They </w:t>
      </w:r>
      <w:r w:rsidR="00577CF7">
        <w:rPr>
          <w:color w:val="000000" w:themeColor="text1"/>
          <w:sz w:val="24"/>
        </w:rPr>
        <w:t>are</w:t>
      </w:r>
      <w:r w:rsidR="009D6D37">
        <w:rPr>
          <w:color w:val="000000" w:themeColor="text1"/>
          <w:sz w:val="24"/>
        </w:rPr>
        <w:t xml:space="preserve">. Of course, they may not all be fully aware of </w:t>
      </w:r>
      <w:r w:rsidR="00265140">
        <w:rPr>
          <w:color w:val="000000" w:themeColor="text1"/>
          <w:sz w:val="24"/>
        </w:rPr>
        <w:t>every</w:t>
      </w:r>
      <w:r w:rsidR="009D6D37">
        <w:rPr>
          <w:color w:val="000000" w:themeColor="text1"/>
          <w:sz w:val="24"/>
        </w:rPr>
        <w:t xml:space="preserve"> stage of this labo</w:t>
      </w:r>
      <w:r w:rsidR="00F63A00">
        <w:rPr>
          <w:color w:val="000000" w:themeColor="text1"/>
          <w:sz w:val="24"/>
        </w:rPr>
        <w:t>u</w:t>
      </w:r>
      <w:r w:rsidR="009D6D37">
        <w:rPr>
          <w:color w:val="000000" w:themeColor="text1"/>
          <w:sz w:val="24"/>
        </w:rPr>
        <w:t xml:space="preserve">r process to the same extent as each other, and each </w:t>
      </w:r>
      <w:r w:rsidR="00577CF7">
        <w:rPr>
          <w:color w:val="000000" w:themeColor="text1"/>
          <w:sz w:val="24"/>
        </w:rPr>
        <w:t xml:space="preserve">may </w:t>
      </w:r>
      <w:r w:rsidR="009D6D37">
        <w:rPr>
          <w:color w:val="000000" w:themeColor="text1"/>
          <w:sz w:val="24"/>
        </w:rPr>
        <w:t>ha</w:t>
      </w:r>
      <w:r w:rsidR="00577CF7">
        <w:rPr>
          <w:color w:val="000000" w:themeColor="text1"/>
          <w:sz w:val="24"/>
        </w:rPr>
        <w:t>ve</w:t>
      </w:r>
      <w:r w:rsidR="009D6D37">
        <w:rPr>
          <w:color w:val="000000" w:themeColor="text1"/>
          <w:sz w:val="24"/>
        </w:rPr>
        <w:t xml:space="preserve"> particular interests and objectives.</w:t>
      </w:r>
      <w:r w:rsidR="00F70777">
        <w:rPr>
          <w:color w:val="000000" w:themeColor="text1"/>
          <w:sz w:val="24"/>
        </w:rPr>
        <w:t xml:space="preserve"> </w:t>
      </w:r>
      <w:r w:rsidR="009D6D37">
        <w:rPr>
          <w:color w:val="000000" w:themeColor="text1"/>
          <w:sz w:val="24"/>
        </w:rPr>
        <w:t xml:space="preserve">In my case, a working relationship had been garnered between my supervisory team and the </w:t>
      </w:r>
      <w:proofErr w:type="spellStart"/>
      <w:r w:rsidR="009D6D37">
        <w:rPr>
          <w:color w:val="000000" w:themeColor="text1"/>
          <w:sz w:val="24"/>
        </w:rPr>
        <w:t>FfP</w:t>
      </w:r>
      <w:proofErr w:type="spellEnd"/>
      <w:r w:rsidR="00F63A00">
        <w:rPr>
          <w:color w:val="000000" w:themeColor="text1"/>
          <w:sz w:val="24"/>
        </w:rPr>
        <w:t xml:space="preserve"> </w:t>
      </w:r>
      <w:r w:rsidR="009D6D37">
        <w:rPr>
          <w:color w:val="000000" w:themeColor="text1"/>
          <w:sz w:val="24"/>
        </w:rPr>
        <w:t>quite some time before I formally applied for ethical approval</w:t>
      </w:r>
      <w:r w:rsidR="00F63A00">
        <w:rPr>
          <w:color w:val="000000" w:themeColor="text1"/>
          <w:sz w:val="24"/>
        </w:rPr>
        <w:t>. Due to staff resignations</w:t>
      </w:r>
      <w:r w:rsidR="009D6D37">
        <w:rPr>
          <w:color w:val="000000" w:themeColor="text1"/>
          <w:sz w:val="24"/>
        </w:rPr>
        <w:t xml:space="preserve">, new relationships, new contacts, new forms of trust, and new expectations had to be constantly negotiated and renegotiated prior to ‘doing research’. I was introduced </w:t>
      </w:r>
      <w:r w:rsidR="00F536FD">
        <w:rPr>
          <w:color w:val="000000" w:themeColor="text1"/>
          <w:sz w:val="24"/>
        </w:rPr>
        <w:t xml:space="preserve">and reintroduced </w:t>
      </w:r>
      <w:r w:rsidR="009D6D37">
        <w:rPr>
          <w:color w:val="000000" w:themeColor="text1"/>
          <w:sz w:val="24"/>
        </w:rPr>
        <w:t xml:space="preserve">to survivors, activists, and practitioners whose stories I heard </w:t>
      </w:r>
      <w:r w:rsidR="00D66D6F">
        <w:rPr>
          <w:color w:val="000000" w:themeColor="text1"/>
          <w:sz w:val="24"/>
        </w:rPr>
        <w:t>at various invitational events</w:t>
      </w:r>
      <w:r w:rsidR="009D6D37">
        <w:rPr>
          <w:color w:val="000000" w:themeColor="text1"/>
          <w:sz w:val="24"/>
        </w:rPr>
        <w:t xml:space="preserve">. </w:t>
      </w:r>
      <w:r w:rsidR="00A76C25">
        <w:rPr>
          <w:color w:val="000000" w:themeColor="text1"/>
          <w:sz w:val="24"/>
        </w:rPr>
        <w:t>Such</w:t>
      </w:r>
      <w:r w:rsidR="009D6D37">
        <w:rPr>
          <w:color w:val="000000" w:themeColor="text1"/>
          <w:sz w:val="24"/>
        </w:rPr>
        <w:t xml:space="preserve"> instances were not in</w:t>
      </w:r>
      <w:r w:rsidR="00735B7F">
        <w:rPr>
          <w:color w:val="000000" w:themeColor="text1"/>
          <w:sz w:val="24"/>
        </w:rPr>
        <w:t>stigated by me, nor were they audio recorded.</w:t>
      </w:r>
      <w:r w:rsidR="00F53FFE">
        <w:rPr>
          <w:color w:val="000000" w:themeColor="text1"/>
          <w:sz w:val="24"/>
        </w:rPr>
        <w:t xml:space="preserve"> The</w:t>
      </w:r>
      <w:r w:rsidR="006F5C9E">
        <w:rPr>
          <w:color w:val="000000" w:themeColor="text1"/>
          <w:sz w:val="24"/>
        </w:rPr>
        <w:t>y</w:t>
      </w:r>
      <w:r w:rsidR="00F53FFE">
        <w:rPr>
          <w:color w:val="000000" w:themeColor="text1"/>
          <w:sz w:val="24"/>
        </w:rPr>
        <w:t xml:space="preserve"> were</w:t>
      </w:r>
      <w:r w:rsidR="006F5C9E">
        <w:rPr>
          <w:color w:val="000000" w:themeColor="text1"/>
          <w:sz w:val="24"/>
        </w:rPr>
        <w:t>, however,</w:t>
      </w:r>
      <w:r w:rsidR="00F53FFE">
        <w:rPr>
          <w:color w:val="000000" w:themeColor="text1"/>
          <w:sz w:val="24"/>
        </w:rPr>
        <w:t xml:space="preserve"> crucial preliminary </w:t>
      </w:r>
      <w:r w:rsidR="00A76C25">
        <w:rPr>
          <w:color w:val="000000" w:themeColor="text1"/>
          <w:sz w:val="24"/>
        </w:rPr>
        <w:t>periods</w:t>
      </w:r>
      <w:r w:rsidR="00F53FFE">
        <w:rPr>
          <w:color w:val="000000" w:themeColor="text1"/>
          <w:sz w:val="24"/>
        </w:rPr>
        <w:t xml:space="preserve"> of </w:t>
      </w:r>
      <w:r w:rsidR="006F5C9E">
        <w:rPr>
          <w:color w:val="000000" w:themeColor="text1"/>
          <w:sz w:val="24"/>
        </w:rPr>
        <w:t xml:space="preserve">the </w:t>
      </w:r>
      <w:r w:rsidR="00F53FFE">
        <w:rPr>
          <w:color w:val="000000" w:themeColor="text1"/>
          <w:sz w:val="24"/>
        </w:rPr>
        <w:t xml:space="preserve">research </w:t>
      </w:r>
      <w:r w:rsidR="00F53FFE">
        <w:rPr>
          <w:color w:val="000000" w:themeColor="text1"/>
          <w:sz w:val="24"/>
        </w:rPr>
        <w:lastRenderedPageBreak/>
        <w:t xml:space="preserve">process which neither contravened, nor were made readily </w:t>
      </w:r>
      <w:r w:rsidR="00335562">
        <w:rPr>
          <w:color w:val="000000" w:themeColor="text1"/>
          <w:sz w:val="24"/>
        </w:rPr>
        <w:t xml:space="preserve">and descriptively </w:t>
      </w:r>
      <w:r w:rsidR="00F53FFE">
        <w:rPr>
          <w:color w:val="000000" w:themeColor="text1"/>
          <w:sz w:val="24"/>
        </w:rPr>
        <w:t>available to,</w:t>
      </w:r>
      <w:r w:rsidR="00335562">
        <w:rPr>
          <w:color w:val="000000" w:themeColor="text1"/>
          <w:sz w:val="24"/>
        </w:rPr>
        <w:t xml:space="preserve"> the as-yet-to-be-completed</w:t>
      </w:r>
      <w:r w:rsidR="009D6D37">
        <w:rPr>
          <w:color w:val="000000" w:themeColor="text1"/>
          <w:sz w:val="24"/>
        </w:rPr>
        <w:t xml:space="preserve"> </w:t>
      </w:r>
      <w:r w:rsidR="00335562">
        <w:rPr>
          <w:color w:val="000000" w:themeColor="text1"/>
          <w:sz w:val="24"/>
        </w:rPr>
        <w:t>ethical review application</w:t>
      </w:r>
      <w:r w:rsidR="00797F30">
        <w:rPr>
          <w:color w:val="000000" w:themeColor="text1"/>
          <w:sz w:val="24"/>
        </w:rPr>
        <w:t xml:space="preserve">. </w:t>
      </w:r>
      <w:r w:rsidR="0010204A">
        <w:rPr>
          <w:color w:val="000000" w:themeColor="text1"/>
          <w:sz w:val="24"/>
        </w:rPr>
        <w:t xml:space="preserve">As Sacks (1992: 83) demonstrates, this game of ‘feigning ignorance’ ‘has to be learned as a special task’ </w:t>
      </w:r>
      <w:r w:rsidR="007427CB">
        <w:rPr>
          <w:color w:val="000000" w:themeColor="text1"/>
          <w:sz w:val="24"/>
        </w:rPr>
        <w:t>in its own right. T</w:t>
      </w:r>
      <w:r w:rsidR="0010204A">
        <w:rPr>
          <w:color w:val="000000" w:themeColor="text1"/>
          <w:sz w:val="24"/>
        </w:rPr>
        <w:t xml:space="preserve">his </w:t>
      </w:r>
      <w:r w:rsidR="007427CB">
        <w:rPr>
          <w:color w:val="000000" w:themeColor="text1"/>
          <w:sz w:val="24"/>
        </w:rPr>
        <w:t xml:space="preserve">‘special task’ </w:t>
      </w:r>
      <w:r w:rsidR="0010204A">
        <w:rPr>
          <w:color w:val="000000" w:themeColor="text1"/>
          <w:sz w:val="24"/>
        </w:rPr>
        <w:t xml:space="preserve">is captured perfectly </w:t>
      </w:r>
      <w:r w:rsidR="00540E83">
        <w:rPr>
          <w:color w:val="000000" w:themeColor="text1"/>
          <w:sz w:val="24"/>
        </w:rPr>
        <w:t>by</w:t>
      </w:r>
      <w:r w:rsidR="0010204A">
        <w:rPr>
          <w:color w:val="000000" w:themeColor="text1"/>
          <w:sz w:val="24"/>
        </w:rPr>
        <w:t xml:space="preserve"> </w:t>
      </w:r>
      <w:r w:rsidR="00F53FFE">
        <w:rPr>
          <w:color w:val="000000" w:themeColor="text1"/>
          <w:sz w:val="24"/>
        </w:rPr>
        <w:t>Guillemin and Gillam (2004</w:t>
      </w:r>
      <w:r w:rsidR="0010204A">
        <w:rPr>
          <w:color w:val="000000" w:themeColor="text1"/>
          <w:sz w:val="24"/>
        </w:rPr>
        <w:t>: 263-64</w:t>
      </w:r>
      <w:r w:rsidR="00F53FFE">
        <w:rPr>
          <w:color w:val="000000" w:themeColor="text1"/>
          <w:sz w:val="24"/>
        </w:rPr>
        <w:t>)</w:t>
      </w:r>
      <w:r w:rsidR="0010204A">
        <w:rPr>
          <w:color w:val="000000" w:themeColor="text1"/>
          <w:sz w:val="24"/>
        </w:rPr>
        <w:t>:</w:t>
      </w:r>
    </w:p>
    <w:p w14:paraId="15897787" w14:textId="55BB38A7" w:rsidR="0010204A" w:rsidRDefault="0010204A" w:rsidP="00135CAE">
      <w:pPr>
        <w:pStyle w:val="ABKWH"/>
        <w:spacing w:line="360" w:lineRule="auto"/>
        <w:ind w:firstLine="720"/>
        <w:contextualSpacing/>
        <w:jc w:val="both"/>
        <w:rPr>
          <w:color w:val="000000" w:themeColor="text1"/>
          <w:sz w:val="24"/>
        </w:rPr>
      </w:pPr>
    </w:p>
    <w:p w14:paraId="29BDD805" w14:textId="341E700D" w:rsidR="0010204A" w:rsidRPr="007427CB" w:rsidRDefault="0010204A" w:rsidP="00135CAE">
      <w:pPr>
        <w:pStyle w:val="ABKWH"/>
        <w:spacing w:line="360" w:lineRule="auto"/>
        <w:ind w:left="567" w:right="567"/>
        <w:contextualSpacing/>
        <w:jc w:val="both"/>
        <w:rPr>
          <w:color w:val="000000" w:themeColor="text1"/>
          <w:sz w:val="22"/>
        </w:rPr>
      </w:pPr>
      <w:r w:rsidRPr="007427CB">
        <w:rPr>
          <w:color w:val="000000" w:themeColor="text1"/>
          <w:sz w:val="22"/>
        </w:rPr>
        <w:t>For many researchers, the completion of the research ethics committee’s application form is a formality, a hurdle to surmount to get on and do the research.</w:t>
      </w:r>
      <w:r w:rsidR="007427CB" w:rsidRPr="007427CB">
        <w:rPr>
          <w:color w:val="000000" w:themeColor="text1"/>
          <w:sz w:val="22"/>
        </w:rPr>
        <w:t xml:space="preserve"> </w:t>
      </w:r>
      <w:r w:rsidR="0097149A">
        <w:rPr>
          <w:color w:val="000000" w:themeColor="text1"/>
          <w:sz w:val="22"/>
        </w:rPr>
        <w:t>[…] we</w:t>
      </w:r>
      <w:r w:rsidR="007427CB" w:rsidRPr="007427CB">
        <w:rPr>
          <w:color w:val="000000" w:themeColor="text1"/>
          <w:sz w:val="22"/>
        </w:rPr>
        <w:t xml:space="preserve"> </w:t>
      </w:r>
      <w:r w:rsidRPr="007427CB">
        <w:rPr>
          <w:color w:val="000000" w:themeColor="text1"/>
          <w:sz w:val="22"/>
        </w:rPr>
        <w:t xml:space="preserve">diligently answer the questions on the ethics application form, even though they may be irrelevant to our research. We have learned to write our responses to the questions in “ethics-committee speak.” This involves using language that the committee will understand, is free of jargon, but will nonetheless reassure the committee that we are competent and experienced researchers who can be trusted. </w:t>
      </w:r>
      <w:r w:rsidR="0097149A">
        <w:rPr>
          <w:color w:val="000000" w:themeColor="text1"/>
          <w:sz w:val="22"/>
        </w:rPr>
        <w:t>[…]</w:t>
      </w:r>
      <w:r w:rsidRPr="007427CB">
        <w:rPr>
          <w:color w:val="000000" w:themeColor="text1"/>
          <w:sz w:val="22"/>
        </w:rPr>
        <w:t xml:space="preserve"> Moreover, we have learned to gloss over some issues that we know may cause the committee concern, for example, giving a transcriber, who is external to the research team, access to interview tapes without seeking direct consent from the participants, or not to draw too much attention to potential, although unlikely, risks to the researchers </w:t>
      </w:r>
      <w:r w:rsidR="0097149A">
        <w:rPr>
          <w:color w:val="000000" w:themeColor="text1"/>
          <w:sz w:val="22"/>
        </w:rPr>
        <w:t xml:space="preserve">[…]. </w:t>
      </w:r>
      <w:r w:rsidRPr="007427CB">
        <w:rPr>
          <w:color w:val="000000" w:themeColor="text1"/>
          <w:sz w:val="22"/>
        </w:rPr>
        <w:t>The form asks what measures the researcher/s have put in place in the event of unexpected outcomes or adverse effects. As indicated in the opening scenario, there are many situations that are unexpected when doing research that can potentially have adverse consequences—how can you foresee and plan for all of these? Most researchers learn quickly that they need to be savvy in addressing the potential issues of concern of the committee: using the appropriate discourse to ensure that applications will be approved as quickly as possible with minimum changes and dispute, while remaining true to their research integrity.</w:t>
      </w:r>
    </w:p>
    <w:p w14:paraId="16A91D52" w14:textId="77777777" w:rsidR="0010204A" w:rsidRDefault="0010204A" w:rsidP="00135CAE">
      <w:pPr>
        <w:pStyle w:val="ABKWH"/>
        <w:spacing w:line="360" w:lineRule="auto"/>
        <w:ind w:firstLine="720"/>
        <w:contextualSpacing/>
        <w:jc w:val="both"/>
        <w:rPr>
          <w:color w:val="000000" w:themeColor="text1"/>
          <w:sz w:val="24"/>
        </w:rPr>
      </w:pPr>
    </w:p>
    <w:p w14:paraId="3130F090" w14:textId="4318709A" w:rsidR="00D66D6F" w:rsidRDefault="0044588B" w:rsidP="00135CAE">
      <w:pPr>
        <w:pStyle w:val="ABKWH"/>
        <w:spacing w:line="360" w:lineRule="auto"/>
        <w:ind w:firstLine="720"/>
        <w:contextualSpacing/>
        <w:jc w:val="both"/>
        <w:rPr>
          <w:color w:val="000000" w:themeColor="text1"/>
          <w:sz w:val="24"/>
        </w:rPr>
      </w:pPr>
      <w:r>
        <w:rPr>
          <w:color w:val="000000" w:themeColor="text1"/>
          <w:sz w:val="24"/>
        </w:rPr>
        <w:t>S</w:t>
      </w:r>
      <w:r w:rsidR="00E74294">
        <w:rPr>
          <w:color w:val="000000" w:themeColor="text1"/>
          <w:sz w:val="24"/>
        </w:rPr>
        <w:t>everal contradictions</w:t>
      </w:r>
      <w:r w:rsidR="00216445">
        <w:rPr>
          <w:color w:val="000000" w:themeColor="text1"/>
          <w:sz w:val="24"/>
        </w:rPr>
        <w:t xml:space="preserve"> </w:t>
      </w:r>
      <w:r w:rsidR="007427CB">
        <w:rPr>
          <w:color w:val="000000" w:themeColor="text1"/>
          <w:sz w:val="24"/>
        </w:rPr>
        <w:t xml:space="preserve">often </w:t>
      </w:r>
      <w:r w:rsidR="00D4682A">
        <w:rPr>
          <w:color w:val="000000" w:themeColor="text1"/>
          <w:sz w:val="24"/>
        </w:rPr>
        <w:t>exist</w:t>
      </w:r>
      <w:r w:rsidR="007427CB">
        <w:rPr>
          <w:color w:val="000000" w:themeColor="text1"/>
          <w:sz w:val="24"/>
        </w:rPr>
        <w:t xml:space="preserve"> within such careful</w:t>
      </w:r>
      <w:r w:rsidR="00850C18">
        <w:rPr>
          <w:color w:val="000000" w:themeColor="text1"/>
          <w:sz w:val="24"/>
        </w:rPr>
        <w:t xml:space="preserve"> </w:t>
      </w:r>
      <w:r w:rsidR="00D4682A">
        <w:rPr>
          <w:color w:val="000000" w:themeColor="text1"/>
          <w:sz w:val="24"/>
        </w:rPr>
        <w:t>curations</w:t>
      </w:r>
      <w:r w:rsidR="007427CB">
        <w:rPr>
          <w:color w:val="000000" w:themeColor="text1"/>
          <w:sz w:val="24"/>
        </w:rPr>
        <w:t xml:space="preserve">, many of which </w:t>
      </w:r>
      <w:r w:rsidR="00D4682A">
        <w:rPr>
          <w:color w:val="000000" w:themeColor="text1"/>
          <w:sz w:val="24"/>
        </w:rPr>
        <w:t>should</w:t>
      </w:r>
      <w:r w:rsidR="007427CB">
        <w:rPr>
          <w:color w:val="000000" w:themeColor="text1"/>
          <w:sz w:val="24"/>
        </w:rPr>
        <w:t>, in principle, enhance rather than jeopardize a project’s chances of approval</w:t>
      </w:r>
      <w:r w:rsidR="00477BF2">
        <w:rPr>
          <w:color w:val="000000" w:themeColor="text1"/>
          <w:sz w:val="24"/>
        </w:rPr>
        <w:t>.</w:t>
      </w:r>
      <w:r w:rsidR="00130A0E">
        <w:rPr>
          <w:color w:val="000000" w:themeColor="text1"/>
          <w:sz w:val="24"/>
        </w:rPr>
        <w:t xml:space="preserve"> </w:t>
      </w:r>
      <w:r w:rsidR="00B016D5">
        <w:rPr>
          <w:color w:val="000000" w:themeColor="text1"/>
          <w:sz w:val="24"/>
        </w:rPr>
        <w:t>T</w:t>
      </w:r>
      <w:r w:rsidR="00130A0E">
        <w:rPr>
          <w:color w:val="000000" w:themeColor="text1"/>
          <w:sz w:val="24"/>
        </w:rPr>
        <w:t xml:space="preserve">his is </w:t>
      </w:r>
      <w:r w:rsidR="00540E83">
        <w:rPr>
          <w:color w:val="000000" w:themeColor="text1"/>
          <w:sz w:val="24"/>
        </w:rPr>
        <w:t>seldom</w:t>
      </w:r>
      <w:r w:rsidR="00130A0E">
        <w:rPr>
          <w:color w:val="000000" w:themeColor="text1"/>
          <w:sz w:val="24"/>
        </w:rPr>
        <w:t xml:space="preserve"> the case when researchers a</w:t>
      </w:r>
      <w:r w:rsidR="00540E83">
        <w:rPr>
          <w:color w:val="000000" w:themeColor="text1"/>
          <w:sz w:val="24"/>
        </w:rPr>
        <w:t>re tasked with</w:t>
      </w:r>
      <w:r w:rsidR="00130A0E">
        <w:rPr>
          <w:color w:val="000000" w:themeColor="text1"/>
          <w:sz w:val="24"/>
        </w:rPr>
        <w:t xml:space="preserve"> </w:t>
      </w:r>
      <w:r w:rsidR="00540E83">
        <w:rPr>
          <w:color w:val="000000" w:themeColor="text1"/>
          <w:sz w:val="24"/>
        </w:rPr>
        <w:t xml:space="preserve">steering </w:t>
      </w:r>
      <w:r w:rsidR="00130A0E">
        <w:rPr>
          <w:color w:val="000000" w:themeColor="text1"/>
          <w:sz w:val="24"/>
        </w:rPr>
        <w:t>their project through a diverse and often unfamiliar committee</w:t>
      </w:r>
      <w:r w:rsidR="00E74294">
        <w:rPr>
          <w:color w:val="000000" w:themeColor="text1"/>
          <w:sz w:val="24"/>
        </w:rPr>
        <w:t xml:space="preserve">. Genuinely ethical practice, sensitive to the context and practices taking place within a research field, cannot be achieved without </w:t>
      </w:r>
      <w:r w:rsidR="00216445">
        <w:rPr>
          <w:color w:val="000000" w:themeColor="text1"/>
          <w:sz w:val="24"/>
        </w:rPr>
        <w:t xml:space="preserve">some </w:t>
      </w:r>
      <w:r w:rsidR="00E74294">
        <w:rPr>
          <w:color w:val="000000" w:themeColor="text1"/>
          <w:sz w:val="24"/>
        </w:rPr>
        <w:t>familiarity of it.</w:t>
      </w:r>
      <w:r w:rsidR="00216445">
        <w:rPr>
          <w:color w:val="000000" w:themeColor="text1"/>
          <w:sz w:val="24"/>
        </w:rPr>
        <w:t xml:space="preserve"> </w:t>
      </w:r>
      <w:r w:rsidR="00E74294">
        <w:rPr>
          <w:color w:val="000000" w:themeColor="text1"/>
          <w:sz w:val="24"/>
        </w:rPr>
        <w:t xml:space="preserve">In theory, a diligent and discerning panel </w:t>
      </w:r>
      <w:r w:rsidR="00B016D5">
        <w:rPr>
          <w:color w:val="000000" w:themeColor="text1"/>
          <w:sz w:val="24"/>
        </w:rPr>
        <w:t xml:space="preserve">will </w:t>
      </w:r>
      <w:r w:rsidR="00E74294">
        <w:rPr>
          <w:color w:val="000000" w:themeColor="text1"/>
          <w:sz w:val="24"/>
        </w:rPr>
        <w:t xml:space="preserve">want evidence of practical and emotional support strategies </w:t>
      </w:r>
      <w:r>
        <w:rPr>
          <w:color w:val="000000" w:themeColor="text1"/>
          <w:sz w:val="24"/>
        </w:rPr>
        <w:t>which</w:t>
      </w:r>
      <w:r w:rsidR="00E74294">
        <w:rPr>
          <w:color w:val="000000" w:themeColor="text1"/>
          <w:sz w:val="24"/>
        </w:rPr>
        <w:t xml:space="preserve"> mitigate</w:t>
      </w:r>
      <w:r w:rsidR="00D4682A">
        <w:rPr>
          <w:color w:val="000000" w:themeColor="text1"/>
          <w:sz w:val="24"/>
        </w:rPr>
        <w:t xml:space="preserve"> (</w:t>
      </w:r>
      <w:r w:rsidR="00E74294">
        <w:rPr>
          <w:color w:val="000000" w:themeColor="text1"/>
          <w:sz w:val="24"/>
        </w:rPr>
        <w:t>again</w:t>
      </w:r>
      <w:r w:rsidR="00D4682A">
        <w:rPr>
          <w:color w:val="000000" w:themeColor="text1"/>
          <w:sz w:val="24"/>
        </w:rPr>
        <w:t>,</w:t>
      </w:r>
      <w:r w:rsidR="00E74294">
        <w:rPr>
          <w:color w:val="000000" w:themeColor="text1"/>
          <w:sz w:val="24"/>
        </w:rPr>
        <w:t xml:space="preserve"> in theory</w:t>
      </w:r>
      <w:r w:rsidR="00D4682A">
        <w:rPr>
          <w:color w:val="000000" w:themeColor="text1"/>
          <w:sz w:val="24"/>
        </w:rPr>
        <w:t>)</w:t>
      </w:r>
      <w:r w:rsidR="00E74294">
        <w:rPr>
          <w:color w:val="000000" w:themeColor="text1"/>
          <w:sz w:val="24"/>
        </w:rPr>
        <w:t xml:space="preserve"> </w:t>
      </w:r>
      <w:r w:rsidR="00B016D5" w:rsidRPr="00B016D5">
        <w:rPr>
          <w:i/>
          <w:iCs/>
          <w:color w:val="000000" w:themeColor="text1"/>
          <w:sz w:val="24"/>
        </w:rPr>
        <w:t>future</w:t>
      </w:r>
      <w:r w:rsidR="00B016D5">
        <w:rPr>
          <w:color w:val="000000" w:themeColor="text1"/>
          <w:sz w:val="24"/>
        </w:rPr>
        <w:t xml:space="preserve"> </w:t>
      </w:r>
      <w:r w:rsidR="00E74294">
        <w:rPr>
          <w:color w:val="000000" w:themeColor="text1"/>
          <w:sz w:val="24"/>
        </w:rPr>
        <w:t>risk to</w:t>
      </w:r>
      <w:r w:rsidR="00613E98">
        <w:rPr>
          <w:color w:val="000000" w:themeColor="text1"/>
          <w:sz w:val="24"/>
        </w:rPr>
        <w:t xml:space="preserve"> </w:t>
      </w:r>
      <w:r w:rsidR="00613E98" w:rsidRPr="00B016D5">
        <w:rPr>
          <w:i/>
          <w:iCs/>
          <w:color w:val="000000" w:themeColor="text1"/>
          <w:sz w:val="24"/>
        </w:rPr>
        <w:t>prospective</w:t>
      </w:r>
      <w:r w:rsidR="00E74294">
        <w:rPr>
          <w:color w:val="000000" w:themeColor="text1"/>
          <w:sz w:val="24"/>
        </w:rPr>
        <w:t xml:space="preserve"> participants or researchers. </w:t>
      </w:r>
      <w:r w:rsidR="00A45A1F">
        <w:rPr>
          <w:color w:val="000000" w:themeColor="text1"/>
          <w:sz w:val="24"/>
        </w:rPr>
        <w:t xml:space="preserve">There is something of the work-experience paradox at play </w:t>
      </w:r>
      <w:r w:rsidR="00A45A1F">
        <w:rPr>
          <w:color w:val="000000" w:themeColor="text1"/>
          <w:sz w:val="24"/>
        </w:rPr>
        <w:lastRenderedPageBreak/>
        <w:t>here</w:t>
      </w:r>
      <w:r w:rsidR="00B016D5">
        <w:rPr>
          <w:color w:val="000000" w:themeColor="text1"/>
          <w:sz w:val="24"/>
        </w:rPr>
        <w:t xml:space="preserve">, </w:t>
      </w:r>
      <w:r w:rsidR="00A45A1F">
        <w:rPr>
          <w:color w:val="000000" w:themeColor="text1"/>
          <w:sz w:val="24"/>
        </w:rPr>
        <w:t>when people seeking employment are told they need more work experience before they can get a job, except they cannot get that experience without first having a job.</w:t>
      </w:r>
    </w:p>
    <w:p w14:paraId="0A6FFA79" w14:textId="300B5CAB" w:rsidR="0036624B" w:rsidRDefault="00E74294" w:rsidP="00135CAE">
      <w:pPr>
        <w:pStyle w:val="ABKWH"/>
        <w:spacing w:line="360" w:lineRule="auto"/>
        <w:ind w:firstLine="720"/>
        <w:contextualSpacing/>
        <w:jc w:val="both"/>
        <w:rPr>
          <w:color w:val="000000" w:themeColor="text1"/>
          <w:sz w:val="24"/>
        </w:rPr>
      </w:pPr>
      <w:r>
        <w:rPr>
          <w:color w:val="000000" w:themeColor="text1"/>
          <w:sz w:val="24"/>
        </w:rPr>
        <w:t>In this project and many others involving professionals and their services’ ‘users’, the most app</w:t>
      </w:r>
      <w:r w:rsidR="00A45A1F">
        <w:rPr>
          <w:color w:val="000000" w:themeColor="text1"/>
          <w:sz w:val="24"/>
        </w:rPr>
        <w:t>ropriate</w:t>
      </w:r>
      <w:r>
        <w:rPr>
          <w:color w:val="000000" w:themeColor="text1"/>
          <w:sz w:val="24"/>
        </w:rPr>
        <w:t xml:space="preserve"> and effective means of </w:t>
      </w:r>
      <w:r w:rsidR="00A45A1F">
        <w:rPr>
          <w:color w:val="000000" w:themeColor="text1"/>
          <w:sz w:val="24"/>
        </w:rPr>
        <w:t>developing relationships</w:t>
      </w:r>
      <w:r w:rsidR="00111386">
        <w:rPr>
          <w:color w:val="000000" w:themeColor="text1"/>
          <w:sz w:val="24"/>
        </w:rPr>
        <w:t xml:space="preserve">, including that textbook ideal of ‘rapport’ with potential gatekeepers and participants, </w:t>
      </w:r>
      <w:r>
        <w:rPr>
          <w:color w:val="000000" w:themeColor="text1"/>
          <w:sz w:val="24"/>
        </w:rPr>
        <w:t>proves to be the very same source o</w:t>
      </w:r>
      <w:r w:rsidR="00111386">
        <w:rPr>
          <w:color w:val="000000" w:themeColor="text1"/>
          <w:sz w:val="24"/>
        </w:rPr>
        <w:t xml:space="preserve">f </w:t>
      </w:r>
      <w:r w:rsidR="00EF1B98">
        <w:rPr>
          <w:color w:val="000000" w:themeColor="text1"/>
          <w:sz w:val="24"/>
        </w:rPr>
        <w:t>ideational risk for ethical review boards. Carving out truly sensitive context</w:t>
      </w:r>
      <w:r w:rsidR="00D83057">
        <w:rPr>
          <w:color w:val="000000" w:themeColor="text1"/>
          <w:sz w:val="24"/>
        </w:rPr>
        <w:t>s</w:t>
      </w:r>
      <w:r w:rsidR="00EF1B98">
        <w:rPr>
          <w:color w:val="000000" w:themeColor="text1"/>
          <w:sz w:val="24"/>
        </w:rPr>
        <w:t xml:space="preserve"> first in which to later think about approaching people for interviews could well contravene </w:t>
      </w:r>
      <w:r w:rsidR="00D83057">
        <w:rPr>
          <w:color w:val="000000" w:themeColor="text1"/>
          <w:sz w:val="24"/>
        </w:rPr>
        <w:t>written</w:t>
      </w:r>
      <w:r w:rsidR="00EF1B98">
        <w:rPr>
          <w:color w:val="000000" w:themeColor="text1"/>
          <w:sz w:val="24"/>
        </w:rPr>
        <w:t xml:space="preserve"> parameters of ethical review</w:t>
      </w:r>
      <w:r w:rsidR="00E4192B">
        <w:rPr>
          <w:color w:val="000000" w:themeColor="text1"/>
          <w:sz w:val="24"/>
        </w:rPr>
        <w:t>.</w:t>
      </w:r>
      <w:r w:rsidR="00EF1B98">
        <w:rPr>
          <w:color w:val="000000" w:themeColor="text1"/>
          <w:sz w:val="24"/>
        </w:rPr>
        <w:t xml:space="preserve"> </w:t>
      </w:r>
      <w:r w:rsidR="00E4192B">
        <w:rPr>
          <w:color w:val="000000" w:themeColor="text1"/>
          <w:sz w:val="24"/>
        </w:rPr>
        <w:t>C</w:t>
      </w:r>
      <w:r w:rsidR="00EF1B98">
        <w:rPr>
          <w:color w:val="000000" w:themeColor="text1"/>
          <w:sz w:val="24"/>
        </w:rPr>
        <w:t xml:space="preserve">onversely, </w:t>
      </w:r>
      <w:r w:rsidR="00E4192B">
        <w:rPr>
          <w:color w:val="000000" w:themeColor="text1"/>
          <w:sz w:val="24"/>
        </w:rPr>
        <w:t>nothing stop</w:t>
      </w:r>
      <w:r w:rsidR="00D83057">
        <w:rPr>
          <w:color w:val="000000" w:themeColor="text1"/>
          <w:sz w:val="24"/>
        </w:rPr>
        <w:t>s</w:t>
      </w:r>
      <w:r w:rsidR="00E4192B">
        <w:rPr>
          <w:color w:val="000000" w:themeColor="text1"/>
          <w:sz w:val="24"/>
        </w:rPr>
        <w:t xml:space="preserve"> </w:t>
      </w:r>
      <w:r w:rsidR="00EF1B98">
        <w:rPr>
          <w:color w:val="000000" w:themeColor="text1"/>
          <w:sz w:val="24"/>
        </w:rPr>
        <w:t>research</w:t>
      </w:r>
      <w:r w:rsidR="00E4192B">
        <w:rPr>
          <w:color w:val="000000" w:themeColor="text1"/>
          <w:sz w:val="24"/>
        </w:rPr>
        <w:t>ers</w:t>
      </w:r>
      <w:r w:rsidR="00EF1B98">
        <w:rPr>
          <w:color w:val="000000" w:themeColor="text1"/>
          <w:sz w:val="24"/>
        </w:rPr>
        <w:t xml:space="preserve"> </w:t>
      </w:r>
      <w:r w:rsidR="00E4192B">
        <w:rPr>
          <w:color w:val="000000" w:themeColor="text1"/>
          <w:sz w:val="24"/>
        </w:rPr>
        <w:t>who</w:t>
      </w:r>
      <w:r w:rsidR="00EF1B98">
        <w:rPr>
          <w:color w:val="000000" w:themeColor="text1"/>
          <w:sz w:val="24"/>
        </w:rPr>
        <w:t xml:space="preserve"> </w:t>
      </w:r>
      <w:r w:rsidR="00E4192B">
        <w:rPr>
          <w:color w:val="000000" w:themeColor="text1"/>
          <w:sz w:val="24"/>
        </w:rPr>
        <w:t>avoid</w:t>
      </w:r>
      <w:r w:rsidR="00EF1B98">
        <w:rPr>
          <w:color w:val="000000" w:themeColor="text1"/>
          <w:sz w:val="24"/>
        </w:rPr>
        <w:t xml:space="preserve"> such preliminary work until getting </w:t>
      </w:r>
      <w:r w:rsidR="00E4192B">
        <w:rPr>
          <w:color w:val="000000" w:themeColor="text1"/>
          <w:sz w:val="24"/>
        </w:rPr>
        <w:t>ethical approval</w:t>
      </w:r>
      <w:r w:rsidR="00EF1B98">
        <w:rPr>
          <w:color w:val="000000" w:themeColor="text1"/>
          <w:sz w:val="24"/>
        </w:rPr>
        <w:t xml:space="preserve"> </w:t>
      </w:r>
      <w:r w:rsidR="00E4192B">
        <w:rPr>
          <w:color w:val="000000" w:themeColor="text1"/>
          <w:sz w:val="24"/>
        </w:rPr>
        <w:t>from</w:t>
      </w:r>
      <w:r w:rsidR="00EF1B98">
        <w:rPr>
          <w:color w:val="000000" w:themeColor="text1"/>
          <w:sz w:val="24"/>
        </w:rPr>
        <w:t xml:space="preserve"> </w:t>
      </w:r>
      <w:r w:rsidR="00E4192B">
        <w:rPr>
          <w:color w:val="000000" w:themeColor="text1"/>
          <w:sz w:val="24"/>
        </w:rPr>
        <w:t xml:space="preserve">then </w:t>
      </w:r>
      <w:r w:rsidR="00EF1B98">
        <w:rPr>
          <w:color w:val="000000" w:themeColor="text1"/>
          <w:sz w:val="24"/>
        </w:rPr>
        <w:t xml:space="preserve">clumsily and insensitively </w:t>
      </w:r>
      <w:r w:rsidR="00E4192B">
        <w:rPr>
          <w:color w:val="000000" w:themeColor="text1"/>
          <w:sz w:val="24"/>
        </w:rPr>
        <w:t>pursu</w:t>
      </w:r>
      <w:r w:rsidR="00D83057">
        <w:rPr>
          <w:color w:val="000000" w:themeColor="text1"/>
          <w:sz w:val="24"/>
        </w:rPr>
        <w:t>ing</w:t>
      </w:r>
      <w:r w:rsidR="00EF1B98">
        <w:rPr>
          <w:color w:val="000000" w:themeColor="text1"/>
          <w:sz w:val="24"/>
        </w:rPr>
        <w:t xml:space="preserve"> interview opportunities</w:t>
      </w:r>
      <w:r w:rsidR="00F00B3B">
        <w:rPr>
          <w:color w:val="000000" w:themeColor="text1"/>
          <w:sz w:val="24"/>
        </w:rPr>
        <w:t>,</w:t>
      </w:r>
      <w:r w:rsidR="00EF1B98">
        <w:rPr>
          <w:color w:val="000000" w:themeColor="text1"/>
          <w:sz w:val="24"/>
        </w:rPr>
        <w:t xml:space="preserve"> irrespective of whether </w:t>
      </w:r>
      <w:r w:rsidR="00E4192B">
        <w:rPr>
          <w:color w:val="000000" w:themeColor="text1"/>
          <w:sz w:val="24"/>
        </w:rPr>
        <w:t>people</w:t>
      </w:r>
      <w:r w:rsidR="00EF1B98">
        <w:rPr>
          <w:color w:val="000000" w:themeColor="text1"/>
          <w:sz w:val="24"/>
        </w:rPr>
        <w:t xml:space="preserve"> seem ready</w:t>
      </w:r>
      <w:r w:rsidR="00674F6B">
        <w:rPr>
          <w:color w:val="000000" w:themeColor="text1"/>
          <w:sz w:val="24"/>
        </w:rPr>
        <w:t xml:space="preserve"> or </w:t>
      </w:r>
      <w:r w:rsidR="00EF1B98">
        <w:rPr>
          <w:color w:val="000000" w:themeColor="text1"/>
          <w:sz w:val="24"/>
        </w:rPr>
        <w:t>willing</w:t>
      </w:r>
      <w:r w:rsidR="00674F6B">
        <w:rPr>
          <w:color w:val="000000" w:themeColor="text1"/>
          <w:sz w:val="24"/>
        </w:rPr>
        <w:t xml:space="preserve"> to</w:t>
      </w:r>
      <w:r w:rsidR="00EF1B98">
        <w:rPr>
          <w:color w:val="000000" w:themeColor="text1"/>
          <w:sz w:val="24"/>
        </w:rPr>
        <w:t xml:space="preserve"> recall harrowing events. </w:t>
      </w:r>
      <w:r w:rsidR="006874ED">
        <w:rPr>
          <w:color w:val="000000" w:themeColor="text1"/>
          <w:sz w:val="24"/>
        </w:rPr>
        <w:t>R</w:t>
      </w:r>
      <w:r w:rsidR="00EF1B98">
        <w:rPr>
          <w:color w:val="000000" w:themeColor="text1"/>
          <w:sz w:val="24"/>
        </w:rPr>
        <w:t xml:space="preserve">esearchers with more time in the field prior to collecting recorded data are </w:t>
      </w:r>
      <w:r w:rsidR="006874ED">
        <w:rPr>
          <w:color w:val="000000" w:themeColor="text1"/>
          <w:sz w:val="24"/>
        </w:rPr>
        <w:t>not automatically</w:t>
      </w:r>
      <w:r w:rsidR="00EF1B98">
        <w:rPr>
          <w:color w:val="000000" w:themeColor="text1"/>
          <w:sz w:val="24"/>
        </w:rPr>
        <w:t xml:space="preserve"> better placed to make these decisions</w:t>
      </w:r>
      <w:r w:rsidR="006874ED">
        <w:rPr>
          <w:color w:val="000000" w:themeColor="text1"/>
          <w:sz w:val="24"/>
        </w:rPr>
        <w:t>. I</w:t>
      </w:r>
      <w:r w:rsidR="00EF1B98">
        <w:rPr>
          <w:color w:val="000000" w:themeColor="text1"/>
          <w:sz w:val="24"/>
        </w:rPr>
        <w:t>n a context such as this,</w:t>
      </w:r>
      <w:r w:rsidR="006874ED">
        <w:rPr>
          <w:color w:val="000000" w:themeColor="text1"/>
          <w:sz w:val="24"/>
        </w:rPr>
        <w:t xml:space="preserve"> however,</w:t>
      </w:r>
      <w:r w:rsidR="00EF1B98">
        <w:rPr>
          <w:color w:val="000000" w:themeColor="text1"/>
          <w:sz w:val="24"/>
        </w:rPr>
        <w:t xml:space="preserve"> data collection must surely be ‘in-step’ to some degree with the daily workings of the organization facilitating access.</w:t>
      </w:r>
      <w:r w:rsidR="00FA7FD6">
        <w:rPr>
          <w:color w:val="000000" w:themeColor="text1"/>
          <w:sz w:val="24"/>
        </w:rPr>
        <w:t xml:space="preserve"> </w:t>
      </w:r>
      <w:r w:rsidR="00CA1951">
        <w:rPr>
          <w:color w:val="000000" w:themeColor="text1"/>
          <w:sz w:val="24"/>
        </w:rPr>
        <w:t xml:space="preserve">When deciding who to interview, </w:t>
      </w:r>
      <w:r w:rsidR="00FA7FD6">
        <w:rPr>
          <w:color w:val="000000" w:themeColor="text1"/>
          <w:sz w:val="24"/>
        </w:rPr>
        <w:t xml:space="preserve">I </w:t>
      </w:r>
      <w:r w:rsidR="00CA0AE4">
        <w:rPr>
          <w:color w:val="000000" w:themeColor="text1"/>
          <w:sz w:val="24"/>
        </w:rPr>
        <w:t xml:space="preserve">sometimes </w:t>
      </w:r>
      <w:r w:rsidR="00FA7FD6">
        <w:rPr>
          <w:color w:val="000000" w:themeColor="text1"/>
          <w:sz w:val="24"/>
        </w:rPr>
        <w:t xml:space="preserve">felt uneasy about the terms used </w:t>
      </w:r>
      <w:r w:rsidR="00CA0AE4">
        <w:rPr>
          <w:color w:val="000000" w:themeColor="text1"/>
          <w:sz w:val="24"/>
        </w:rPr>
        <w:t xml:space="preserve">by staff </w:t>
      </w:r>
      <w:r w:rsidR="00FA7FD6">
        <w:rPr>
          <w:color w:val="000000" w:themeColor="text1"/>
          <w:sz w:val="24"/>
        </w:rPr>
        <w:t xml:space="preserve">to describe survivors’ </w:t>
      </w:r>
      <w:r w:rsidR="0036624B">
        <w:rPr>
          <w:color w:val="000000" w:themeColor="text1"/>
          <w:sz w:val="24"/>
        </w:rPr>
        <w:t xml:space="preserve">apparent strength or </w:t>
      </w:r>
      <w:r w:rsidR="00CA0AE4">
        <w:rPr>
          <w:color w:val="000000" w:themeColor="text1"/>
          <w:sz w:val="24"/>
        </w:rPr>
        <w:t>coping mechanisms</w:t>
      </w:r>
      <w:r w:rsidR="00CA1951">
        <w:rPr>
          <w:color w:val="000000" w:themeColor="text1"/>
          <w:sz w:val="24"/>
        </w:rPr>
        <w:t>. I</w:t>
      </w:r>
      <w:r w:rsidR="0036624B">
        <w:rPr>
          <w:color w:val="000000" w:themeColor="text1"/>
          <w:sz w:val="24"/>
        </w:rPr>
        <w:t xml:space="preserve">t was far easier to </w:t>
      </w:r>
      <w:r w:rsidR="00F165FD">
        <w:rPr>
          <w:color w:val="000000" w:themeColor="text1"/>
          <w:sz w:val="24"/>
        </w:rPr>
        <w:t>negotiate</w:t>
      </w:r>
      <w:r w:rsidR="0036624B">
        <w:rPr>
          <w:color w:val="000000" w:themeColor="text1"/>
          <w:sz w:val="24"/>
        </w:rPr>
        <w:t xml:space="preserve"> </w:t>
      </w:r>
      <w:r w:rsidR="00F165FD">
        <w:rPr>
          <w:color w:val="000000" w:themeColor="text1"/>
          <w:sz w:val="24"/>
        </w:rPr>
        <w:t xml:space="preserve">these </w:t>
      </w:r>
      <w:r w:rsidR="0036624B">
        <w:rPr>
          <w:color w:val="000000" w:themeColor="text1"/>
          <w:sz w:val="24"/>
        </w:rPr>
        <w:t>conversations with familiar staff</w:t>
      </w:r>
      <w:r w:rsidR="00CA1951">
        <w:rPr>
          <w:color w:val="000000" w:themeColor="text1"/>
          <w:sz w:val="24"/>
        </w:rPr>
        <w:t>, however,</w:t>
      </w:r>
      <w:r w:rsidR="0036624B">
        <w:rPr>
          <w:color w:val="000000" w:themeColor="text1"/>
          <w:sz w:val="24"/>
        </w:rPr>
        <w:t xml:space="preserve"> than it would be to explain away serious distress among participants that I barely knew but decided to interview anyway simply because I had obtained ethical clearance to do so.</w:t>
      </w:r>
    </w:p>
    <w:p w14:paraId="29403A53" w14:textId="77777777" w:rsidR="00423CB3" w:rsidRDefault="00130A0E" w:rsidP="00986C1C">
      <w:pPr>
        <w:pStyle w:val="ABKWH"/>
        <w:spacing w:line="360" w:lineRule="auto"/>
        <w:ind w:firstLine="720"/>
        <w:contextualSpacing/>
        <w:jc w:val="both"/>
        <w:rPr>
          <w:color w:val="000000" w:themeColor="text1"/>
          <w:sz w:val="24"/>
        </w:rPr>
      </w:pPr>
      <w:r>
        <w:rPr>
          <w:color w:val="000000" w:themeColor="text1"/>
          <w:sz w:val="24"/>
        </w:rPr>
        <w:t xml:space="preserve">In sum, the project successfully </w:t>
      </w:r>
      <w:r w:rsidR="0016505C">
        <w:rPr>
          <w:color w:val="000000" w:themeColor="text1"/>
          <w:sz w:val="24"/>
        </w:rPr>
        <w:t>outlined it</w:t>
      </w:r>
      <w:r w:rsidR="001440B0">
        <w:rPr>
          <w:color w:val="000000" w:themeColor="text1"/>
          <w:sz w:val="24"/>
        </w:rPr>
        <w:t>s</w:t>
      </w:r>
      <w:r w:rsidR="0016505C">
        <w:rPr>
          <w:color w:val="000000" w:themeColor="text1"/>
          <w:sz w:val="24"/>
        </w:rPr>
        <w:t xml:space="preserve"> ‘procedural </w:t>
      </w:r>
      <w:r w:rsidR="008D03F1">
        <w:rPr>
          <w:color w:val="000000" w:themeColor="text1"/>
          <w:sz w:val="24"/>
        </w:rPr>
        <w:t>ethics</w:t>
      </w:r>
      <w:r w:rsidR="0016505C">
        <w:rPr>
          <w:color w:val="000000" w:themeColor="text1"/>
          <w:sz w:val="24"/>
        </w:rPr>
        <w:t>’ (Guillemin and Gillam, 2004)</w:t>
      </w:r>
      <w:r w:rsidR="008D03F1">
        <w:rPr>
          <w:color w:val="000000" w:themeColor="text1"/>
          <w:sz w:val="24"/>
        </w:rPr>
        <w:t xml:space="preserve"> to </w:t>
      </w:r>
      <w:r>
        <w:rPr>
          <w:color w:val="000000" w:themeColor="text1"/>
          <w:sz w:val="24"/>
        </w:rPr>
        <w:t xml:space="preserve">an </w:t>
      </w:r>
      <w:r w:rsidR="00F86DBF">
        <w:rPr>
          <w:color w:val="000000" w:themeColor="text1"/>
          <w:sz w:val="24"/>
        </w:rPr>
        <w:t xml:space="preserve">ethics </w:t>
      </w:r>
      <w:r>
        <w:rPr>
          <w:color w:val="000000" w:themeColor="text1"/>
          <w:sz w:val="24"/>
        </w:rPr>
        <w:t>review board</w:t>
      </w:r>
      <w:r w:rsidR="00F86DBF">
        <w:rPr>
          <w:color w:val="000000" w:themeColor="text1"/>
          <w:sz w:val="24"/>
        </w:rPr>
        <w:t>,</w:t>
      </w:r>
      <w:r>
        <w:rPr>
          <w:color w:val="000000" w:themeColor="text1"/>
          <w:sz w:val="24"/>
        </w:rPr>
        <w:t xml:space="preserve"> </w:t>
      </w:r>
      <w:r w:rsidR="0016505C">
        <w:rPr>
          <w:color w:val="000000" w:themeColor="text1"/>
          <w:sz w:val="24"/>
        </w:rPr>
        <w:t>aided</w:t>
      </w:r>
      <w:r>
        <w:rPr>
          <w:color w:val="000000" w:themeColor="text1"/>
          <w:sz w:val="24"/>
        </w:rPr>
        <w:t xml:space="preserve"> by a promise</w:t>
      </w:r>
      <w:r w:rsidR="00F86DBF">
        <w:rPr>
          <w:color w:val="000000" w:themeColor="text1"/>
          <w:sz w:val="24"/>
        </w:rPr>
        <w:t xml:space="preserve"> </w:t>
      </w:r>
      <w:r w:rsidR="008D03F1">
        <w:rPr>
          <w:color w:val="000000" w:themeColor="text1"/>
          <w:sz w:val="24"/>
        </w:rPr>
        <w:t xml:space="preserve">that all fieldwork and interviews would be </w:t>
      </w:r>
      <w:r w:rsidR="0016505C">
        <w:rPr>
          <w:color w:val="000000" w:themeColor="text1"/>
          <w:sz w:val="24"/>
        </w:rPr>
        <w:t>arranged (not conducted)</w:t>
      </w:r>
      <w:r w:rsidR="008D03F1">
        <w:rPr>
          <w:color w:val="000000" w:themeColor="text1"/>
          <w:sz w:val="24"/>
        </w:rPr>
        <w:t xml:space="preserve"> under the supervision and debriefing of </w:t>
      </w:r>
      <w:proofErr w:type="spellStart"/>
      <w:r w:rsidR="008D03F1">
        <w:rPr>
          <w:color w:val="000000" w:themeColor="text1"/>
          <w:sz w:val="24"/>
        </w:rPr>
        <w:t>FfP</w:t>
      </w:r>
      <w:proofErr w:type="spellEnd"/>
      <w:r w:rsidR="0036624B">
        <w:rPr>
          <w:color w:val="000000" w:themeColor="text1"/>
          <w:sz w:val="24"/>
        </w:rPr>
        <w:t xml:space="preserve"> staff</w:t>
      </w:r>
      <w:r w:rsidR="008D03F1">
        <w:rPr>
          <w:color w:val="000000" w:themeColor="text1"/>
          <w:sz w:val="24"/>
        </w:rPr>
        <w:t>.</w:t>
      </w:r>
      <w:r w:rsidR="0036624B">
        <w:rPr>
          <w:color w:val="000000" w:themeColor="text1"/>
          <w:sz w:val="24"/>
        </w:rPr>
        <w:t xml:space="preserve"> </w:t>
      </w:r>
      <w:r w:rsidR="001440B0">
        <w:rPr>
          <w:color w:val="000000" w:themeColor="text1"/>
          <w:sz w:val="24"/>
        </w:rPr>
        <w:t>Staff</w:t>
      </w:r>
      <w:r w:rsidR="0036624B">
        <w:rPr>
          <w:color w:val="000000" w:themeColor="text1"/>
          <w:sz w:val="24"/>
        </w:rPr>
        <w:t xml:space="preserve"> acted in a strict debriefing capacity </w:t>
      </w:r>
      <w:r w:rsidR="006B1C61">
        <w:rPr>
          <w:color w:val="000000" w:themeColor="text1"/>
          <w:sz w:val="24"/>
        </w:rPr>
        <w:t>without</w:t>
      </w:r>
      <w:r w:rsidR="0036624B">
        <w:rPr>
          <w:color w:val="000000" w:themeColor="text1"/>
          <w:sz w:val="24"/>
        </w:rPr>
        <w:t xml:space="preserve"> impact</w:t>
      </w:r>
      <w:r w:rsidR="006B1C61">
        <w:rPr>
          <w:color w:val="000000" w:themeColor="text1"/>
          <w:sz w:val="24"/>
        </w:rPr>
        <w:t>ing</w:t>
      </w:r>
      <w:r w:rsidR="0036624B">
        <w:rPr>
          <w:color w:val="000000" w:themeColor="text1"/>
          <w:sz w:val="24"/>
        </w:rPr>
        <w:t xml:space="preserve"> interviews, encourag</w:t>
      </w:r>
      <w:r w:rsidR="001440B0">
        <w:rPr>
          <w:color w:val="000000" w:themeColor="text1"/>
          <w:sz w:val="24"/>
        </w:rPr>
        <w:t>ing</w:t>
      </w:r>
      <w:r w:rsidR="0036624B">
        <w:rPr>
          <w:color w:val="000000" w:themeColor="text1"/>
          <w:sz w:val="24"/>
        </w:rPr>
        <w:t xml:space="preserve"> and facilitat</w:t>
      </w:r>
      <w:r w:rsidR="001440B0">
        <w:rPr>
          <w:color w:val="000000" w:themeColor="text1"/>
          <w:sz w:val="24"/>
        </w:rPr>
        <w:t>ing</w:t>
      </w:r>
      <w:r w:rsidR="0036624B">
        <w:rPr>
          <w:color w:val="000000" w:themeColor="text1"/>
          <w:sz w:val="24"/>
        </w:rPr>
        <w:t xml:space="preserve"> as open a conversation as possible by hel</w:t>
      </w:r>
      <w:r w:rsidR="001440B0">
        <w:rPr>
          <w:color w:val="000000" w:themeColor="text1"/>
          <w:sz w:val="24"/>
        </w:rPr>
        <w:t>p</w:t>
      </w:r>
      <w:r w:rsidR="0036624B">
        <w:rPr>
          <w:color w:val="000000" w:themeColor="text1"/>
          <w:sz w:val="24"/>
        </w:rPr>
        <w:t>ing to ensure that thought and consideration had gone into who was approached for interviews and why in the first place.</w:t>
      </w:r>
      <w:r w:rsidR="008D03F1">
        <w:rPr>
          <w:color w:val="000000" w:themeColor="text1"/>
          <w:sz w:val="24"/>
        </w:rPr>
        <w:t xml:space="preserve"> </w:t>
      </w:r>
      <w:r w:rsidR="0079270F">
        <w:rPr>
          <w:color w:val="000000" w:themeColor="text1"/>
          <w:sz w:val="24"/>
        </w:rPr>
        <w:t>Fulfilling</w:t>
      </w:r>
      <w:r w:rsidR="008D03F1">
        <w:rPr>
          <w:color w:val="000000" w:themeColor="text1"/>
          <w:sz w:val="24"/>
        </w:rPr>
        <w:t xml:space="preserve"> ‘procedural </w:t>
      </w:r>
      <w:proofErr w:type="gramStart"/>
      <w:r w:rsidR="008D03F1">
        <w:rPr>
          <w:color w:val="000000" w:themeColor="text1"/>
          <w:sz w:val="24"/>
        </w:rPr>
        <w:t>ethics’</w:t>
      </w:r>
      <w:proofErr w:type="gramEnd"/>
      <w:r w:rsidR="008D03F1">
        <w:rPr>
          <w:color w:val="000000" w:themeColor="text1"/>
          <w:sz w:val="24"/>
        </w:rPr>
        <w:t xml:space="preserve"> </w:t>
      </w:r>
      <w:r w:rsidR="0079270F">
        <w:rPr>
          <w:color w:val="000000" w:themeColor="text1"/>
          <w:sz w:val="24"/>
        </w:rPr>
        <w:t>was only</w:t>
      </w:r>
      <w:r w:rsidR="008D03F1">
        <w:rPr>
          <w:color w:val="000000" w:themeColor="text1"/>
          <w:sz w:val="24"/>
        </w:rPr>
        <w:t xml:space="preserve"> possible through </w:t>
      </w:r>
      <w:r w:rsidR="0079270F">
        <w:rPr>
          <w:color w:val="000000" w:themeColor="text1"/>
          <w:sz w:val="24"/>
        </w:rPr>
        <w:t xml:space="preserve">prior </w:t>
      </w:r>
      <w:r w:rsidR="008D03F1">
        <w:rPr>
          <w:color w:val="000000" w:themeColor="text1"/>
          <w:sz w:val="24"/>
        </w:rPr>
        <w:t xml:space="preserve">meetings with </w:t>
      </w:r>
      <w:r w:rsidR="0079270F">
        <w:rPr>
          <w:color w:val="000000" w:themeColor="text1"/>
          <w:sz w:val="24"/>
        </w:rPr>
        <w:t xml:space="preserve">staff, </w:t>
      </w:r>
      <w:r w:rsidR="008D03F1">
        <w:rPr>
          <w:color w:val="000000" w:themeColor="text1"/>
          <w:sz w:val="24"/>
        </w:rPr>
        <w:t>visits to the organization</w:t>
      </w:r>
      <w:r w:rsidR="0036624B">
        <w:rPr>
          <w:color w:val="000000" w:themeColor="text1"/>
          <w:sz w:val="24"/>
        </w:rPr>
        <w:t xml:space="preserve">, </w:t>
      </w:r>
      <w:r w:rsidR="0079270F">
        <w:rPr>
          <w:color w:val="000000" w:themeColor="text1"/>
          <w:sz w:val="24"/>
        </w:rPr>
        <w:t>invitational</w:t>
      </w:r>
      <w:r w:rsidR="0036624B">
        <w:rPr>
          <w:color w:val="000000" w:themeColor="text1"/>
          <w:sz w:val="24"/>
        </w:rPr>
        <w:t xml:space="preserve"> events, and generally ‘get</w:t>
      </w:r>
      <w:r w:rsidR="0079270F">
        <w:rPr>
          <w:color w:val="000000" w:themeColor="text1"/>
          <w:sz w:val="24"/>
        </w:rPr>
        <w:t>ting</w:t>
      </w:r>
      <w:r w:rsidR="0036624B">
        <w:rPr>
          <w:color w:val="000000" w:themeColor="text1"/>
          <w:sz w:val="24"/>
        </w:rPr>
        <w:t xml:space="preserve"> a feel’ for the day-to-day workings of the charity. </w:t>
      </w:r>
      <w:r w:rsidR="00423CB3">
        <w:rPr>
          <w:color w:val="000000" w:themeColor="text1"/>
          <w:sz w:val="24"/>
        </w:rPr>
        <w:t>S</w:t>
      </w:r>
      <w:r w:rsidR="00BD0F5A">
        <w:rPr>
          <w:color w:val="000000" w:themeColor="text1"/>
          <w:sz w:val="24"/>
        </w:rPr>
        <w:t xml:space="preserve">uch preliminary work is </w:t>
      </w:r>
      <w:r w:rsidR="00423CB3">
        <w:rPr>
          <w:color w:val="000000" w:themeColor="text1"/>
          <w:sz w:val="24"/>
        </w:rPr>
        <w:t xml:space="preserve">clearly </w:t>
      </w:r>
      <w:r w:rsidR="00BD0F5A">
        <w:rPr>
          <w:color w:val="000000" w:themeColor="text1"/>
          <w:sz w:val="24"/>
        </w:rPr>
        <w:t>not divorced from practical decision-making</w:t>
      </w:r>
      <w:r w:rsidR="00423CB3">
        <w:rPr>
          <w:color w:val="000000" w:themeColor="text1"/>
          <w:sz w:val="24"/>
        </w:rPr>
        <w:t>,</w:t>
      </w:r>
      <w:r w:rsidR="00BD0F5A">
        <w:rPr>
          <w:color w:val="000000" w:themeColor="text1"/>
          <w:sz w:val="24"/>
        </w:rPr>
        <w:t xml:space="preserve"> reflect</w:t>
      </w:r>
      <w:r w:rsidR="00423CB3">
        <w:rPr>
          <w:color w:val="000000" w:themeColor="text1"/>
          <w:sz w:val="24"/>
        </w:rPr>
        <w:t>ing</w:t>
      </w:r>
      <w:r w:rsidR="00BD0F5A">
        <w:rPr>
          <w:color w:val="000000" w:themeColor="text1"/>
          <w:sz w:val="24"/>
        </w:rPr>
        <w:t xml:space="preserve"> several aspects of Guillemin and Gillam’s (2004) ‘ethics in practice’. Withstanding this conceptual blur, </w:t>
      </w:r>
      <w:r w:rsidR="00423CB3">
        <w:rPr>
          <w:color w:val="000000" w:themeColor="text1"/>
          <w:sz w:val="24"/>
        </w:rPr>
        <w:t xml:space="preserve">however, </w:t>
      </w:r>
      <w:r w:rsidR="00BD0F5A">
        <w:rPr>
          <w:color w:val="000000" w:themeColor="text1"/>
          <w:sz w:val="24"/>
        </w:rPr>
        <w:t xml:space="preserve">crucial differences include the spaces in which such preliminary work took place (work places not private residences, for </w:t>
      </w:r>
      <w:r w:rsidR="00BD0F5A">
        <w:rPr>
          <w:color w:val="000000" w:themeColor="text1"/>
          <w:sz w:val="24"/>
        </w:rPr>
        <w:lastRenderedPageBreak/>
        <w:t>example), the transparency of such visits (always among groups of people at semi-public events rather than one-to-one meetings), and the ends to which such visits were directed (familiarity with the research setting and ITS participants</w:t>
      </w:r>
      <w:r w:rsidR="00F67C9E">
        <w:rPr>
          <w:color w:val="000000" w:themeColor="text1"/>
          <w:sz w:val="24"/>
        </w:rPr>
        <w:t>,</w:t>
      </w:r>
      <w:r w:rsidR="00BD0F5A">
        <w:rPr>
          <w:color w:val="000000" w:themeColor="text1"/>
          <w:sz w:val="24"/>
        </w:rPr>
        <w:t xml:space="preserve"> rather than seeking out members of that setting instrumentally as potential participants in </w:t>
      </w:r>
      <w:r w:rsidR="00F67C9E">
        <w:rPr>
          <w:color w:val="000000" w:themeColor="text1"/>
          <w:sz w:val="24"/>
        </w:rPr>
        <w:t>my</w:t>
      </w:r>
      <w:r w:rsidR="00BD0F5A">
        <w:rPr>
          <w:color w:val="000000" w:themeColor="text1"/>
          <w:sz w:val="24"/>
        </w:rPr>
        <w:t xml:space="preserve"> </w:t>
      </w:r>
      <w:r w:rsidR="00423CB3">
        <w:rPr>
          <w:color w:val="000000" w:themeColor="text1"/>
          <w:sz w:val="24"/>
        </w:rPr>
        <w:t xml:space="preserve">own </w:t>
      </w:r>
      <w:r w:rsidR="00BD0F5A">
        <w:rPr>
          <w:color w:val="000000" w:themeColor="text1"/>
          <w:sz w:val="24"/>
        </w:rPr>
        <w:t>study).</w:t>
      </w:r>
    </w:p>
    <w:p w14:paraId="43A2899D" w14:textId="4DF460AE" w:rsidR="00EF5A5A" w:rsidRDefault="00586358" w:rsidP="00986C1C">
      <w:pPr>
        <w:pStyle w:val="ABKWH"/>
        <w:spacing w:line="360" w:lineRule="auto"/>
        <w:ind w:firstLine="720"/>
        <w:contextualSpacing/>
        <w:jc w:val="both"/>
        <w:rPr>
          <w:color w:val="000000" w:themeColor="text1"/>
          <w:sz w:val="24"/>
        </w:rPr>
      </w:pPr>
      <w:r>
        <w:rPr>
          <w:color w:val="000000" w:themeColor="text1"/>
          <w:sz w:val="24"/>
        </w:rPr>
        <w:t xml:space="preserve">I now turn to some of the challenges that arose once </w:t>
      </w:r>
      <w:r w:rsidR="00F052AF">
        <w:rPr>
          <w:color w:val="000000" w:themeColor="text1"/>
          <w:sz w:val="24"/>
        </w:rPr>
        <w:t xml:space="preserve">I had begun interviewing survivors and reflect, retrospectively of course, on perhaps why some of these periods of fieldwork became </w:t>
      </w:r>
      <w:r w:rsidR="00423CB3">
        <w:rPr>
          <w:color w:val="000000" w:themeColor="text1"/>
          <w:sz w:val="24"/>
        </w:rPr>
        <w:t xml:space="preserve">emotionally </w:t>
      </w:r>
      <w:r w:rsidR="00F052AF">
        <w:rPr>
          <w:color w:val="000000" w:themeColor="text1"/>
          <w:sz w:val="24"/>
        </w:rPr>
        <w:t xml:space="preserve">fraught affairs. Again, just as this section has drawn connections with the practical work in the field which makes its ‘procedural </w:t>
      </w:r>
      <w:proofErr w:type="gramStart"/>
      <w:r w:rsidR="00F052AF">
        <w:rPr>
          <w:color w:val="000000" w:themeColor="text1"/>
          <w:sz w:val="24"/>
        </w:rPr>
        <w:t>ethics’</w:t>
      </w:r>
      <w:proofErr w:type="gramEnd"/>
      <w:r w:rsidR="00F052AF">
        <w:rPr>
          <w:color w:val="000000" w:themeColor="text1"/>
          <w:sz w:val="24"/>
        </w:rPr>
        <w:t xml:space="preserve"> seem more feasible to a review board, so too are the project’s unexpected practical and emotional challenges never fully divorced from its </w:t>
      </w:r>
      <w:r w:rsidR="000D71C1">
        <w:rPr>
          <w:color w:val="000000" w:themeColor="text1"/>
          <w:sz w:val="24"/>
        </w:rPr>
        <w:t>ethical safeguarding on paper.</w:t>
      </w:r>
    </w:p>
    <w:p w14:paraId="76044232" w14:textId="77777777" w:rsidR="00EF5A5A" w:rsidRPr="00145DF7" w:rsidRDefault="00EF5A5A" w:rsidP="00135CAE">
      <w:pPr>
        <w:pStyle w:val="ABKWH"/>
        <w:contextualSpacing/>
        <w:jc w:val="both"/>
        <w:rPr>
          <w:color w:val="000000" w:themeColor="text1"/>
          <w:sz w:val="24"/>
        </w:rPr>
      </w:pPr>
    </w:p>
    <w:p w14:paraId="7DCBCC4F" w14:textId="2836E8BF" w:rsidR="008D03F1" w:rsidRDefault="008D03F1" w:rsidP="00135CAE">
      <w:pPr>
        <w:pStyle w:val="Heading2"/>
        <w:jc w:val="both"/>
      </w:pPr>
      <w:r>
        <w:t xml:space="preserve">An </w:t>
      </w:r>
      <w:r w:rsidR="00A90D1F">
        <w:t xml:space="preserve">Affective </w:t>
      </w:r>
      <w:r>
        <w:t xml:space="preserve">Account of the Study’s ‘Ethics </w:t>
      </w:r>
      <w:proofErr w:type="gramStart"/>
      <w:r>
        <w:t>In</w:t>
      </w:r>
      <w:proofErr w:type="gramEnd"/>
      <w:r>
        <w:t xml:space="preserve"> Practice’</w:t>
      </w:r>
    </w:p>
    <w:p w14:paraId="0E69E62B" w14:textId="1634C2D2" w:rsidR="008D03F1" w:rsidRDefault="008D03F1" w:rsidP="00135CAE">
      <w:pPr>
        <w:pStyle w:val="ABKWH"/>
        <w:contextualSpacing/>
        <w:jc w:val="both"/>
        <w:rPr>
          <w:color w:val="000000" w:themeColor="text1"/>
          <w:sz w:val="24"/>
        </w:rPr>
      </w:pPr>
    </w:p>
    <w:p w14:paraId="3534F30D" w14:textId="32EA6009" w:rsidR="00D673C8" w:rsidRDefault="006F0281" w:rsidP="00D673C8">
      <w:pPr>
        <w:pStyle w:val="ABKWH"/>
        <w:spacing w:line="360" w:lineRule="auto"/>
        <w:contextualSpacing/>
        <w:jc w:val="both"/>
        <w:rPr>
          <w:color w:val="000000" w:themeColor="text1"/>
          <w:sz w:val="24"/>
        </w:rPr>
      </w:pPr>
      <w:r>
        <w:rPr>
          <w:color w:val="000000" w:themeColor="text1"/>
          <w:sz w:val="24"/>
        </w:rPr>
        <w:t>One of the difficulties researchers face as they stumble into ‘ethically important moments’</w:t>
      </w:r>
      <w:r w:rsidR="00F91B26">
        <w:rPr>
          <w:color w:val="000000" w:themeColor="text1"/>
          <w:sz w:val="24"/>
        </w:rPr>
        <w:t xml:space="preserve"> (Guillemin and Gillam, 2004</w:t>
      </w:r>
      <w:r w:rsidR="00A17A64">
        <w:rPr>
          <w:color w:val="000000" w:themeColor="text1"/>
          <w:sz w:val="24"/>
        </w:rPr>
        <w:t>; see also Subramani, 2019</w:t>
      </w:r>
      <w:r w:rsidR="00F91B26">
        <w:rPr>
          <w:color w:val="000000" w:themeColor="text1"/>
          <w:sz w:val="24"/>
        </w:rPr>
        <w:t>)</w:t>
      </w:r>
      <w:r>
        <w:rPr>
          <w:color w:val="000000" w:themeColor="text1"/>
          <w:sz w:val="24"/>
        </w:rPr>
        <w:t xml:space="preserve"> is that</w:t>
      </w:r>
      <w:r w:rsidR="00502D74">
        <w:rPr>
          <w:color w:val="000000" w:themeColor="text1"/>
          <w:sz w:val="24"/>
        </w:rPr>
        <w:t xml:space="preserve"> they are </w:t>
      </w:r>
      <w:r w:rsidR="00D673C8">
        <w:rPr>
          <w:color w:val="000000" w:themeColor="text1"/>
          <w:sz w:val="24"/>
        </w:rPr>
        <w:t xml:space="preserve">often </w:t>
      </w:r>
      <w:r>
        <w:rPr>
          <w:color w:val="000000" w:themeColor="text1"/>
          <w:sz w:val="24"/>
        </w:rPr>
        <w:t>emotionally</w:t>
      </w:r>
      <w:r w:rsidR="00D673C8">
        <w:rPr>
          <w:color w:val="000000" w:themeColor="text1"/>
          <w:sz w:val="24"/>
        </w:rPr>
        <w:t xml:space="preserve"> fraught affairs</w:t>
      </w:r>
      <w:r>
        <w:rPr>
          <w:color w:val="000000" w:themeColor="text1"/>
          <w:sz w:val="24"/>
        </w:rPr>
        <w:t xml:space="preserve">. While the wellbeing, safety, and protection of research participants is rightly prioritized in professional guidelines, our ability to fulfill these promises remains </w:t>
      </w:r>
      <w:r w:rsidR="00D673C8">
        <w:rPr>
          <w:color w:val="000000" w:themeColor="text1"/>
          <w:sz w:val="24"/>
        </w:rPr>
        <w:t xml:space="preserve">partly </w:t>
      </w:r>
      <w:r>
        <w:rPr>
          <w:color w:val="000000" w:themeColor="text1"/>
          <w:sz w:val="24"/>
        </w:rPr>
        <w:t>contingent</w:t>
      </w:r>
      <w:r w:rsidR="00D673C8">
        <w:rPr>
          <w:color w:val="000000" w:themeColor="text1"/>
          <w:sz w:val="24"/>
        </w:rPr>
        <w:t xml:space="preserve"> </w:t>
      </w:r>
      <w:r w:rsidR="002C734A">
        <w:rPr>
          <w:color w:val="000000" w:themeColor="text1"/>
          <w:sz w:val="24"/>
        </w:rPr>
        <w:t>on our</w:t>
      </w:r>
      <w:r w:rsidR="001013DB">
        <w:rPr>
          <w:color w:val="000000" w:themeColor="text1"/>
          <w:sz w:val="24"/>
        </w:rPr>
        <w:t xml:space="preserve"> own emotional command of the situation. This does not mean being emotionally </w:t>
      </w:r>
      <w:r w:rsidR="00135CAE">
        <w:rPr>
          <w:color w:val="000000" w:themeColor="text1"/>
          <w:sz w:val="24"/>
        </w:rPr>
        <w:t>stoic</w:t>
      </w:r>
      <w:r w:rsidR="001013DB">
        <w:rPr>
          <w:color w:val="000000" w:themeColor="text1"/>
          <w:sz w:val="24"/>
        </w:rPr>
        <w:t xml:space="preserve"> or </w:t>
      </w:r>
      <w:r w:rsidR="00135CAE">
        <w:rPr>
          <w:color w:val="000000" w:themeColor="text1"/>
          <w:sz w:val="24"/>
        </w:rPr>
        <w:t xml:space="preserve">purposefully </w:t>
      </w:r>
      <w:r w:rsidR="001013DB">
        <w:rPr>
          <w:color w:val="000000" w:themeColor="text1"/>
          <w:sz w:val="24"/>
        </w:rPr>
        <w:t>detached, far from it. In most, if not all, interactions involving disclosures of violence it would be bizarre to respond in a</w:t>
      </w:r>
      <w:r w:rsidR="000C27DB">
        <w:rPr>
          <w:color w:val="000000" w:themeColor="text1"/>
          <w:sz w:val="24"/>
        </w:rPr>
        <w:t>n entirely</w:t>
      </w:r>
      <w:r w:rsidR="001013DB">
        <w:rPr>
          <w:color w:val="000000" w:themeColor="text1"/>
          <w:sz w:val="24"/>
        </w:rPr>
        <w:t xml:space="preserve"> predetermined manner. </w:t>
      </w:r>
      <w:r w:rsidR="000D522E">
        <w:rPr>
          <w:color w:val="000000" w:themeColor="text1"/>
          <w:sz w:val="24"/>
        </w:rPr>
        <w:t>R</w:t>
      </w:r>
      <w:r w:rsidR="001013DB">
        <w:rPr>
          <w:color w:val="000000" w:themeColor="text1"/>
          <w:sz w:val="24"/>
        </w:rPr>
        <w:t xml:space="preserve">esponding compassionately, or reverently, or angrily, </w:t>
      </w:r>
      <w:r w:rsidR="002022C4">
        <w:rPr>
          <w:color w:val="000000" w:themeColor="text1"/>
          <w:sz w:val="24"/>
        </w:rPr>
        <w:t xml:space="preserve">or cheerily, </w:t>
      </w:r>
      <w:r w:rsidR="001013DB">
        <w:rPr>
          <w:color w:val="000000" w:themeColor="text1"/>
          <w:sz w:val="24"/>
        </w:rPr>
        <w:t>or sadly, or whatever way the situation and its interaction demands</w:t>
      </w:r>
      <w:r w:rsidR="004D37E8">
        <w:rPr>
          <w:color w:val="000000" w:themeColor="text1"/>
          <w:sz w:val="24"/>
        </w:rPr>
        <w:t xml:space="preserve"> – </w:t>
      </w:r>
      <w:r w:rsidR="001013DB">
        <w:rPr>
          <w:color w:val="000000" w:themeColor="text1"/>
          <w:sz w:val="24"/>
        </w:rPr>
        <w:t xml:space="preserve">based on the things demanding </w:t>
      </w:r>
      <w:r w:rsidR="002022C4">
        <w:rPr>
          <w:color w:val="000000" w:themeColor="text1"/>
          <w:sz w:val="24"/>
        </w:rPr>
        <w:t>it</w:t>
      </w:r>
      <w:r w:rsidR="000C27DB">
        <w:rPr>
          <w:color w:val="000000" w:themeColor="text1"/>
          <w:sz w:val="24"/>
        </w:rPr>
        <w:t xml:space="preserve"> in the there-and-then of the situation</w:t>
      </w:r>
      <w:r w:rsidR="004D37E8">
        <w:rPr>
          <w:color w:val="000000" w:themeColor="text1"/>
          <w:sz w:val="24"/>
        </w:rPr>
        <w:t xml:space="preserve"> – require</w:t>
      </w:r>
      <w:r w:rsidR="001013DB">
        <w:rPr>
          <w:color w:val="000000" w:themeColor="text1"/>
          <w:sz w:val="24"/>
        </w:rPr>
        <w:t xml:space="preserve"> </w:t>
      </w:r>
      <w:r w:rsidR="000C27DB">
        <w:rPr>
          <w:color w:val="000000" w:themeColor="text1"/>
          <w:sz w:val="24"/>
        </w:rPr>
        <w:t>that we remain alert, attentive, and prepared to perform emotionally as the situation requires</w:t>
      </w:r>
      <w:r w:rsidR="000D522E">
        <w:rPr>
          <w:color w:val="000000" w:themeColor="text1"/>
          <w:sz w:val="24"/>
        </w:rPr>
        <w:t>. N</w:t>
      </w:r>
      <w:r w:rsidR="001013DB">
        <w:rPr>
          <w:color w:val="000000" w:themeColor="text1"/>
          <w:sz w:val="24"/>
        </w:rPr>
        <w:t>o shortlist of structural</w:t>
      </w:r>
      <w:r w:rsidR="004D37E8">
        <w:rPr>
          <w:color w:val="000000" w:themeColor="text1"/>
          <w:sz w:val="24"/>
        </w:rPr>
        <w:t>-sociological</w:t>
      </w:r>
      <w:r w:rsidR="001013DB">
        <w:rPr>
          <w:color w:val="000000" w:themeColor="text1"/>
          <w:sz w:val="24"/>
        </w:rPr>
        <w:t xml:space="preserve"> characteristics</w:t>
      </w:r>
      <w:r w:rsidR="004D37E8">
        <w:rPr>
          <w:color w:val="000000" w:themeColor="text1"/>
          <w:sz w:val="24"/>
        </w:rPr>
        <w:t>, nor an extensive theoretical knowledge of them,</w:t>
      </w:r>
      <w:r w:rsidR="001013DB">
        <w:rPr>
          <w:color w:val="000000" w:themeColor="text1"/>
          <w:sz w:val="24"/>
        </w:rPr>
        <w:t xml:space="preserve"> rea</w:t>
      </w:r>
      <w:r w:rsidR="004D37E8">
        <w:rPr>
          <w:color w:val="000000" w:themeColor="text1"/>
          <w:sz w:val="24"/>
        </w:rPr>
        <w:t>dily</w:t>
      </w:r>
      <w:r w:rsidR="001013DB">
        <w:rPr>
          <w:color w:val="000000" w:themeColor="text1"/>
          <w:sz w:val="24"/>
        </w:rPr>
        <w:t xml:space="preserve"> </w:t>
      </w:r>
      <w:r w:rsidR="004D37E8">
        <w:rPr>
          <w:color w:val="000000" w:themeColor="text1"/>
          <w:sz w:val="24"/>
        </w:rPr>
        <w:t>prepares</w:t>
      </w:r>
      <w:r w:rsidR="001013DB">
        <w:rPr>
          <w:color w:val="000000" w:themeColor="text1"/>
          <w:sz w:val="24"/>
        </w:rPr>
        <w:t xml:space="preserve"> us </w:t>
      </w:r>
      <w:r w:rsidR="004D37E8">
        <w:rPr>
          <w:color w:val="000000" w:themeColor="text1"/>
          <w:sz w:val="24"/>
        </w:rPr>
        <w:t>for</w:t>
      </w:r>
      <w:r w:rsidR="001013DB">
        <w:rPr>
          <w:color w:val="000000" w:themeColor="text1"/>
          <w:sz w:val="24"/>
        </w:rPr>
        <w:t xml:space="preserve"> how to act here</w:t>
      </w:r>
      <w:r w:rsidR="004D37E8">
        <w:rPr>
          <w:color w:val="000000" w:themeColor="text1"/>
          <w:sz w:val="24"/>
        </w:rPr>
        <w:t xml:space="preserve">. </w:t>
      </w:r>
      <w:r w:rsidR="000D522E">
        <w:rPr>
          <w:color w:val="000000" w:themeColor="text1"/>
          <w:sz w:val="24"/>
        </w:rPr>
        <w:t>At the very least</w:t>
      </w:r>
      <w:r w:rsidR="002022C4">
        <w:rPr>
          <w:color w:val="000000" w:themeColor="text1"/>
          <w:sz w:val="24"/>
        </w:rPr>
        <w:t xml:space="preserve">, hearing harrowing testimony requires that we engage in sure and emphatic </w:t>
      </w:r>
      <w:r w:rsidR="00D56633">
        <w:rPr>
          <w:color w:val="000000" w:themeColor="text1"/>
          <w:sz w:val="24"/>
        </w:rPr>
        <w:t>ways/practice</w:t>
      </w:r>
      <w:r w:rsidR="002022C4">
        <w:rPr>
          <w:color w:val="000000" w:themeColor="text1"/>
          <w:sz w:val="24"/>
        </w:rPr>
        <w:t>s</w:t>
      </w:r>
      <w:r w:rsidR="00D56633">
        <w:rPr>
          <w:color w:val="000000" w:themeColor="text1"/>
          <w:sz w:val="24"/>
        </w:rPr>
        <w:t xml:space="preserve"> with people</w:t>
      </w:r>
      <w:r w:rsidR="002022C4">
        <w:rPr>
          <w:color w:val="000000" w:themeColor="text1"/>
          <w:sz w:val="24"/>
        </w:rPr>
        <w:t>, whatever those ways</w:t>
      </w:r>
      <w:r w:rsidR="00D56633">
        <w:rPr>
          <w:color w:val="000000" w:themeColor="text1"/>
          <w:sz w:val="24"/>
        </w:rPr>
        <w:t>/practices</w:t>
      </w:r>
      <w:r w:rsidR="002022C4">
        <w:rPr>
          <w:color w:val="000000" w:themeColor="text1"/>
          <w:sz w:val="24"/>
        </w:rPr>
        <w:t xml:space="preserve"> look like, whether those ways</w:t>
      </w:r>
      <w:r w:rsidR="00D56633">
        <w:rPr>
          <w:color w:val="000000" w:themeColor="text1"/>
          <w:sz w:val="24"/>
        </w:rPr>
        <w:t>/practices</w:t>
      </w:r>
      <w:r w:rsidR="002022C4">
        <w:rPr>
          <w:color w:val="000000" w:themeColor="text1"/>
          <w:sz w:val="24"/>
        </w:rPr>
        <w:t xml:space="preserve"> are </w:t>
      </w:r>
      <w:r w:rsidR="00D56633">
        <w:rPr>
          <w:color w:val="000000" w:themeColor="text1"/>
          <w:sz w:val="24"/>
        </w:rPr>
        <w:t xml:space="preserve">positively </w:t>
      </w:r>
      <w:r w:rsidR="002022C4">
        <w:rPr>
          <w:color w:val="000000" w:themeColor="text1"/>
          <w:sz w:val="24"/>
        </w:rPr>
        <w:t>dialogic</w:t>
      </w:r>
      <w:r w:rsidR="00D56633">
        <w:rPr>
          <w:color w:val="000000" w:themeColor="text1"/>
          <w:sz w:val="24"/>
        </w:rPr>
        <w:t>al or contemplatively silent</w:t>
      </w:r>
      <w:r w:rsidR="00135CAE">
        <w:rPr>
          <w:color w:val="000000" w:themeColor="text1"/>
          <w:sz w:val="24"/>
        </w:rPr>
        <w:t xml:space="preserve"> encounters</w:t>
      </w:r>
      <w:r w:rsidR="00D56633">
        <w:rPr>
          <w:color w:val="000000" w:themeColor="text1"/>
          <w:sz w:val="24"/>
        </w:rPr>
        <w:t>.</w:t>
      </w:r>
      <w:r w:rsidR="00D673C8">
        <w:rPr>
          <w:color w:val="000000" w:themeColor="text1"/>
          <w:sz w:val="24"/>
        </w:rPr>
        <w:t xml:space="preserve"> In</w:t>
      </w:r>
      <w:r w:rsidR="000D522E">
        <w:rPr>
          <w:color w:val="000000" w:themeColor="text1"/>
          <w:sz w:val="24"/>
        </w:rPr>
        <w:t xml:space="preserve"> striving to meet the precedents outlined within procedural ethics, </w:t>
      </w:r>
      <w:r w:rsidR="00D673C8">
        <w:rPr>
          <w:color w:val="000000" w:themeColor="text1"/>
          <w:sz w:val="24"/>
        </w:rPr>
        <w:t xml:space="preserve">some of </w:t>
      </w:r>
      <w:r w:rsidR="000D522E">
        <w:rPr>
          <w:color w:val="000000" w:themeColor="text1"/>
          <w:sz w:val="24"/>
        </w:rPr>
        <w:t xml:space="preserve">the most sensitively conducted </w:t>
      </w:r>
      <w:r w:rsidR="00D673C8">
        <w:rPr>
          <w:color w:val="000000" w:themeColor="text1"/>
          <w:sz w:val="24"/>
        </w:rPr>
        <w:t>research</w:t>
      </w:r>
      <w:r w:rsidR="00135CAE">
        <w:rPr>
          <w:color w:val="000000" w:themeColor="text1"/>
          <w:sz w:val="24"/>
        </w:rPr>
        <w:t xml:space="preserve"> </w:t>
      </w:r>
      <w:r w:rsidR="00D673C8">
        <w:rPr>
          <w:color w:val="000000" w:themeColor="text1"/>
          <w:sz w:val="24"/>
        </w:rPr>
        <w:t>is often</w:t>
      </w:r>
      <w:r w:rsidR="00135CAE">
        <w:rPr>
          <w:color w:val="000000" w:themeColor="text1"/>
          <w:sz w:val="24"/>
        </w:rPr>
        <w:t xml:space="preserve"> </w:t>
      </w:r>
      <w:r w:rsidR="000D522E">
        <w:rPr>
          <w:color w:val="000000" w:themeColor="text1"/>
          <w:sz w:val="24"/>
        </w:rPr>
        <w:t xml:space="preserve">the most </w:t>
      </w:r>
      <w:r w:rsidR="00D673C8">
        <w:rPr>
          <w:color w:val="000000" w:themeColor="text1"/>
          <w:sz w:val="24"/>
        </w:rPr>
        <w:t xml:space="preserve">emotionally </w:t>
      </w:r>
      <w:r w:rsidR="000D522E">
        <w:rPr>
          <w:color w:val="000000" w:themeColor="text1"/>
          <w:sz w:val="24"/>
        </w:rPr>
        <w:t>difficult for researchers.</w:t>
      </w:r>
    </w:p>
    <w:p w14:paraId="756E5570" w14:textId="3C0E6C9B" w:rsidR="002022C4" w:rsidRDefault="00F91B26" w:rsidP="00D673C8">
      <w:pPr>
        <w:pStyle w:val="ABKWH"/>
        <w:spacing w:line="360" w:lineRule="auto"/>
        <w:ind w:firstLine="720"/>
        <w:contextualSpacing/>
        <w:jc w:val="both"/>
        <w:rPr>
          <w:color w:val="000000" w:themeColor="text1"/>
          <w:sz w:val="24"/>
        </w:rPr>
      </w:pPr>
      <w:r>
        <w:rPr>
          <w:color w:val="000000" w:themeColor="text1"/>
          <w:sz w:val="24"/>
        </w:rPr>
        <w:lastRenderedPageBreak/>
        <w:t>A</w:t>
      </w:r>
      <w:r w:rsidR="004D49CB">
        <w:rPr>
          <w:color w:val="000000" w:themeColor="text1"/>
          <w:sz w:val="24"/>
        </w:rPr>
        <w:t>n uncharacteristically ‘immersive’ regime of interviewing that took place toward the end of 2016</w:t>
      </w:r>
      <w:r w:rsidR="001311A5">
        <w:rPr>
          <w:color w:val="000000" w:themeColor="text1"/>
          <w:sz w:val="24"/>
        </w:rPr>
        <w:t xml:space="preserve"> in Northern Ireland stands out here</w:t>
      </w:r>
      <w:r w:rsidR="004D49CB">
        <w:rPr>
          <w:color w:val="000000" w:themeColor="text1"/>
          <w:sz w:val="24"/>
        </w:rPr>
        <w:t>.</w:t>
      </w:r>
      <w:r w:rsidR="001311A5">
        <w:rPr>
          <w:color w:val="000000" w:themeColor="text1"/>
          <w:sz w:val="24"/>
        </w:rPr>
        <w:t xml:space="preserve"> </w:t>
      </w:r>
      <w:r w:rsidR="004D49CB">
        <w:rPr>
          <w:color w:val="000000" w:themeColor="text1"/>
          <w:sz w:val="24"/>
        </w:rPr>
        <w:t xml:space="preserve">I </w:t>
      </w:r>
      <w:r w:rsidR="003F64C7">
        <w:rPr>
          <w:color w:val="000000" w:themeColor="text1"/>
          <w:sz w:val="24"/>
        </w:rPr>
        <w:t>interview</w:t>
      </w:r>
      <w:r>
        <w:rPr>
          <w:color w:val="000000" w:themeColor="text1"/>
          <w:sz w:val="24"/>
        </w:rPr>
        <w:t>ed</w:t>
      </w:r>
      <w:r w:rsidR="003F64C7">
        <w:rPr>
          <w:color w:val="000000" w:themeColor="text1"/>
          <w:sz w:val="24"/>
        </w:rPr>
        <w:t xml:space="preserve"> several people throughout the week </w:t>
      </w:r>
      <w:r>
        <w:rPr>
          <w:color w:val="000000" w:themeColor="text1"/>
          <w:sz w:val="24"/>
        </w:rPr>
        <w:t>with the help of ‘</w:t>
      </w:r>
      <w:r w:rsidR="003F64C7">
        <w:rPr>
          <w:color w:val="000000" w:themeColor="text1"/>
          <w:sz w:val="24"/>
        </w:rPr>
        <w:t>Louise’</w:t>
      </w:r>
      <w:r>
        <w:rPr>
          <w:color w:val="000000" w:themeColor="text1"/>
          <w:sz w:val="24"/>
        </w:rPr>
        <w:t>, a gatekeeper</w:t>
      </w:r>
      <w:r w:rsidR="003F64C7">
        <w:rPr>
          <w:color w:val="000000" w:themeColor="text1"/>
          <w:sz w:val="24"/>
        </w:rPr>
        <w:t xml:space="preserve"> who kindly contact</w:t>
      </w:r>
      <w:r>
        <w:rPr>
          <w:color w:val="000000" w:themeColor="text1"/>
          <w:sz w:val="24"/>
        </w:rPr>
        <w:t>ed</w:t>
      </w:r>
      <w:r w:rsidR="003F64C7">
        <w:rPr>
          <w:color w:val="000000" w:themeColor="text1"/>
          <w:sz w:val="24"/>
        </w:rPr>
        <w:t xml:space="preserve"> mutual contacts. Despite </w:t>
      </w:r>
      <w:r w:rsidR="00D673C8">
        <w:rPr>
          <w:color w:val="000000" w:themeColor="text1"/>
          <w:sz w:val="24"/>
        </w:rPr>
        <w:t>securing</w:t>
      </w:r>
      <w:r w:rsidR="003F64C7">
        <w:rPr>
          <w:color w:val="000000" w:themeColor="text1"/>
          <w:sz w:val="24"/>
        </w:rPr>
        <w:t xml:space="preserve"> accommodation </w:t>
      </w:r>
      <w:r w:rsidR="00D673C8">
        <w:rPr>
          <w:color w:val="000000" w:themeColor="text1"/>
          <w:sz w:val="24"/>
        </w:rPr>
        <w:t>for the week</w:t>
      </w:r>
      <w:r w:rsidR="003F64C7">
        <w:rPr>
          <w:color w:val="000000" w:themeColor="text1"/>
          <w:sz w:val="24"/>
        </w:rPr>
        <w:t xml:space="preserve"> and having contact details and agreements from all interviewees, Louise generously insisted on doing as much as she could to ensure things ran smoothly. Without her help I would not have completed half as much </w:t>
      </w:r>
      <w:r w:rsidR="00D673C8">
        <w:rPr>
          <w:color w:val="000000" w:themeColor="text1"/>
          <w:sz w:val="24"/>
        </w:rPr>
        <w:t>research</w:t>
      </w:r>
      <w:r w:rsidR="003F64C7">
        <w:rPr>
          <w:color w:val="000000" w:themeColor="text1"/>
          <w:sz w:val="24"/>
        </w:rPr>
        <w:t xml:space="preserve"> as I did that trip</w:t>
      </w:r>
      <w:r w:rsidR="005949CF">
        <w:rPr>
          <w:color w:val="000000" w:themeColor="text1"/>
          <w:sz w:val="24"/>
        </w:rPr>
        <w:t>. It was a busy week</w:t>
      </w:r>
      <w:r w:rsidR="00131566">
        <w:rPr>
          <w:color w:val="000000" w:themeColor="text1"/>
          <w:sz w:val="24"/>
        </w:rPr>
        <w:t xml:space="preserve"> and I managed to interview many people I had been hoping to speak with for several months. It was also good to spend time with Louise, who I had come to know well but only at the </w:t>
      </w:r>
      <w:proofErr w:type="spellStart"/>
      <w:r w:rsidR="00131566">
        <w:rPr>
          <w:color w:val="000000" w:themeColor="text1"/>
          <w:sz w:val="24"/>
        </w:rPr>
        <w:t>FfP</w:t>
      </w:r>
      <w:proofErr w:type="spellEnd"/>
      <w:r w:rsidR="00131566">
        <w:rPr>
          <w:color w:val="000000" w:themeColor="text1"/>
          <w:sz w:val="24"/>
        </w:rPr>
        <w:t xml:space="preserve">. </w:t>
      </w:r>
      <w:r w:rsidR="00A76A7D" w:rsidRPr="00A76A7D">
        <w:rPr>
          <w:color w:val="000000" w:themeColor="text1"/>
          <w:sz w:val="24"/>
        </w:rPr>
        <w:t>Much of the week was spent at her home with her partner and son who went about their daily routines.</w:t>
      </w:r>
      <w:r w:rsidR="00A76A7D">
        <w:rPr>
          <w:color w:val="000000" w:themeColor="text1"/>
          <w:sz w:val="24"/>
        </w:rPr>
        <w:t xml:space="preserve"> </w:t>
      </w:r>
      <w:r w:rsidR="00131566">
        <w:rPr>
          <w:color w:val="000000" w:themeColor="text1"/>
          <w:sz w:val="24"/>
        </w:rPr>
        <w:t>Despite being an unusually condensed window of quite intensive fieldwork, I was enjoying the company of Louise and her family and, careful not to make a nuisance of myself, felt glad they had welcomed me into their home.</w:t>
      </w:r>
    </w:p>
    <w:p w14:paraId="4CB710C8" w14:textId="3E1D27B8" w:rsidR="00BC4938" w:rsidRDefault="00CA462D" w:rsidP="00BC4938">
      <w:pPr>
        <w:pStyle w:val="ABKWH"/>
        <w:spacing w:line="360" w:lineRule="auto"/>
        <w:ind w:firstLine="720"/>
        <w:contextualSpacing/>
        <w:jc w:val="both"/>
        <w:rPr>
          <w:color w:val="000000" w:themeColor="text1"/>
          <w:sz w:val="24"/>
        </w:rPr>
      </w:pPr>
      <w:r>
        <w:rPr>
          <w:color w:val="000000" w:themeColor="text1"/>
          <w:sz w:val="24"/>
        </w:rPr>
        <w:t>Despite feeling relaxed between daily fieldtrips, when I would often be conducting recorded interviews</w:t>
      </w:r>
      <w:r w:rsidR="00D06CAA">
        <w:rPr>
          <w:color w:val="000000" w:themeColor="text1"/>
          <w:sz w:val="24"/>
        </w:rPr>
        <w:t xml:space="preserve"> about particularly harrowing events</w:t>
      </w:r>
      <w:r>
        <w:rPr>
          <w:color w:val="000000" w:themeColor="text1"/>
          <w:sz w:val="24"/>
        </w:rPr>
        <w:t>,</w:t>
      </w:r>
      <w:r w:rsidR="00D06CAA">
        <w:rPr>
          <w:color w:val="000000" w:themeColor="text1"/>
          <w:sz w:val="24"/>
        </w:rPr>
        <w:t xml:space="preserve"> I underestimated the degree of emotional labour I was constantly investing while participating in more ordinary interactions with Louise. Although acting initially as a gatekeeper, she and I chatted openly about all sorts of things both within and beyond the confines of my research. Two important facets of Hochschild’s (2012: 147) conceptualization of emotional labour are worth noting here, however. Firstly, it requires face-to-face contact as opposed to communication at a distance. In this instance, although I was invited to spend time among Louise and her family, I was still something of an ‘outsider’ and certainly would not have entirely lost my status as someone visiting for work purposes given the extensively planned nature of the trip. Perhaps more telling </w:t>
      </w:r>
      <w:r w:rsidR="005F2C5B">
        <w:rPr>
          <w:color w:val="000000" w:themeColor="text1"/>
          <w:sz w:val="24"/>
        </w:rPr>
        <w:t xml:space="preserve">then, given this palpable connection to work of a </w:t>
      </w:r>
      <w:proofErr w:type="gramStart"/>
      <w:r w:rsidR="005F2C5B">
        <w:rPr>
          <w:color w:val="000000" w:themeColor="text1"/>
          <w:sz w:val="24"/>
        </w:rPr>
        <w:t>particular kind</w:t>
      </w:r>
      <w:proofErr w:type="gramEnd"/>
      <w:r w:rsidR="005F2C5B">
        <w:rPr>
          <w:color w:val="000000" w:themeColor="text1"/>
          <w:sz w:val="24"/>
        </w:rPr>
        <w:t xml:space="preserve">, </w:t>
      </w:r>
      <w:r w:rsidR="00D06CAA">
        <w:rPr>
          <w:color w:val="000000" w:themeColor="text1"/>
          <w:sz w:val="24"/>
        </w:rPr>
        <w:t>is Hochschild’s (2012: 147) second</w:t>
      </w:r>
      <w:r w:rsidR="005F2C5B">
        <w:rPr>
          <w:color w:val="000000" w:themeColor="text1"/>
          <w:sz w:val="24"/>
        </w:rPr>
        <w:t xml:space="preserve"> point about emotional labour – that it requires ‘the worker to produce an emotional state in another person – gratitude or fear, for example’.</w:t>
      </w:r>
      <w:r w:rsidR="00FE2A65">
        <w:rPr>
          <w:color w:val="000000" w:themeColor="text1"/>
          <w:sz w:val="24"/>
        </w:rPr>
        <w:t xml:space="preserve"> </w:t>
      </w:r>
      <w:r w:rsidR="005F2C5B">
        <w:rPr>
          <w:color w:val="000000" w:themeColor="text1"/>
          <w:sz w:val="24"/>
        </w:rPr>
        <w:t xml:space="preserve">Research ethics </w:t>
      </w:r>
      <w:r w:rsidR="00B818A9" w:rsidRPr="00B818A9">
        <w:rPr>
          <w:i/>
          <w:color w:val="000000" w:themeColor="text1"/>
          <w:sz w:val="24"/>
        </w:rPr>
        <w:t>describe</w:t>
      </w:r>
      <w:r w:rsidR="005F2C5B">
        <w:rPr>
          <w:color w:val="000000" w:themeColor="text1"/>
          <w:sz w:val="24"/>
        </w:rPr>
        <w:t xml:space="preserve"> </w:t>
      </w:r>
      <w:r w:rsidR="00B818A9">
        <w:rPr>
          <w:color w:val="000000" w:themeColor="text1"/>
          <w:sz w:val="24"/>
        </w:rPr>
        <w:t xml:space="preserve">a process of </w:t>
      </w:r>
      <w:r w:rsidR="005F2C5B">
        <w:rPr>
          <w:color w:val="000000" w:themeColor="text1"/>
          <w:sz w:val="24"/>
        </w:rPr>
        <w:t>garnering rapport</w:t>
      </w:r>
      <w:r w:rsidR="003727B6">
        <w:rPr>
          <w:color w:val="000000" w:themeColor="text1"/>
          <w:sz w:val="24"/>
        </w:rPr>
        <w:t xml:space="preserve">, </w:t>
      </w:r>
      <w:r w:rsidR="005F2C5B">
        <w:rPr>
          <w:color w:val="000000" w:themeColor="text1"/>
          <w:sz w:val="24"/>
        </w:rPr>
        <w:t>making participants and gatekeepers feel comfortable. What if we surpass these rather</w:t>
      </w:r>
      <w:r w:rsidR="003727B6">
        <w:rPr>
          <w:color w:val="000000" w:themeColor="text1"/>
          <w:sz w:val="24"/>
        </w:rPr>
        <w:t xml:space="preserve"> </w:t>
      </w:r>
      <w:r w:rsidR="005F2C5B">
        <w:rPr>
          <w:color w:val="000000" w:themeColor="text1"/>
          <w:sz w:val="24"/>
        </w:rPr>
        <w:t xml:space="preserve">rudimentary and minimal requisites and develop a much fuller and diverse set of emotional exchanges with people, as happens </w:t>
      </w:r>
      <w:r w:rsidR="003B2261">
        <w:rPr>
          <w:color w:val="000000" w:themeColor="text1"/>
          <w:sz w:val="24"/>
        </w:rPr>
        <w:t>all</w:t>
      </w:r>
      <w:r w:rsidR="005F2C5B">
        <w:rPr>
          <w:color w:val="000000" w:themeColor="text1"/>
          <w:sz w:val="24"/>
        </w:rPr>
        <w:t xml:space="preserve"> the time in other relational contexts? </w:t>
      </w:r>
      <w:r w:rsidR="00B818A9">
        <w:rPr>
          <w:color w:val="000000" w:themeColor="text1"/>
          <w:sz w:val="24"/>
        </w:rPr>
        <w:t>D</w:t>
      </w:r>
      <w:r w:rsidR="005F2C5B">
        <w:rPr>
          <w:color w:val="000000" w:themeColor="text1"/>
          <w:sz w:val="24"/>
        </w:rPr>
        <w:t>espite feeling relaxed and spontaneous around Louise, I was still investing considerable energy in the ongoing</w:t>
      </w:r>
      <w:r w:rsidR="003B2261">
        <w:rPr>
          <w:color w:val="000000" w:themeColor="text1"/>
          <w:sz w:val="24"/>
        </w:rPr>
        <w:t xml:space="preserve"> </w:t>
      </w:r>
      <w:r w:rsidR="00B04705">
        <w:rPr>
          <w:color w:val="000000" w:themeColor="text1"/>
          <w:sz w:val="24"/>
        </w:rPr>
        <w:lastRenderedPageBreak/>
        <w:t>emotional work</w:t>
      </w:r>
      <w:r w:rsidR="003B2261">
        <w:rPr>
          <w:color w:val="000000" w:themeColor="text1"/>
          <w:sz w:val="24"/>
        </w:rPr>
        <w:t xml:space="preserve"> of impression management (Goffman, 1990[1959])</w:t>
      </w:r>
      <w:r w:rsidR="00B04705">
        <w:rPr>
          <w:color w:val="000000" w:themeColor="text1"/>
          <w:sz w:val="24"/>
        </w:rPr>
        <w:t>.</w:t>
      </w:r>
      <w:r w:rsidR="003B2261">
        <w:rPr>
          <w:color w:val="000000" w:themeColor="text1"/>
          <w:sz w:val="24"/>
        </w:rPr>
        <w:t xml:space="preserve"> </w:t>
      </w:r>
      <w:r w:rsidR="00B04705">
        <w:rPr>
          <w:color w:val="000000" w:themeColor="text1"/>
          <w:sz w:val="24"/>
        </w:rPr>
        <w:t xml:space="preserve">Qualitative researchers surely know how mentally and </w:t>
      </w:r>
      <w:r w:rsidR="00B818A9">
        <w:rPr>
          <w:color w:val="000000" w:themeColor="text1"/>
          <w:sz w:val="24"/>
        </w:rPr>
        <w:t xml:space="preserve">even </w:t>
      </w:r>
      <w:r w:rsidR="00B04705">
        <w:rPr>
          <w:color w:val="000000" w:themeColor="text1"/>
          <w:sz w:val="24"/>
        </w:rPr>
        <w:t xml:space="preserve">physically tiring this can be, </w:t>
      </w:r>
      <w:r w:rsidR="006F094A">
        <w:rPr>
          <w:color w:val="000000" w:themeColor="text1"/>
          <w:sz w:val="24"/>
        </w:rPr>
        <w:t xml:space="preserve">which made the final part of the trip </w:t>
      </w:r>
      <w:proofErr w:type="gramStart"/>
      <w:r w:rsidR="00B818A9">
        <w:rPr>
          <w:color w:val="000000" w:themeColor="text1"/>
          <w:sz w:val="24"/>
        </w:rPr>
        <w:t>all the more</w:t>
      </w:r>
      <w:proofErr w:type="gramEnd"/>
      <w:r w:rsidR="006F094A">
        <w:rPr>
          <w:color w:val="000000" w:themeColor="text1"/>
          <w:sz w:val="24"/>
        </w:rPr>
        <w:t xml:space="preserve"> difficult</w:t>
      </w:r>
      <w:r w:rsidR="00B04705">
        <w:rPr>
          <w:color w:val="000000" w:themeColor="text1"/>
          <w:sz w:val="24"/>
        </w:rPr>
        <w:t>.</w:t>
      </w:r>
    </w:p>
    <w:p w14:paraId="7D9CC423" w14:textId="77777777" w:rsidR="00684DDC" w:rsidRDefault="006F094A" w:rsidP="00FE2A65">
      <w:pPr>
        <w:pStyle w:val="ABKWH"/>
        <w:spacing w:line="360" w:lineRule="auto"/>
        <w:ind w:firstLine="720"/>
        <w:contextualSpacing/>
        <w:jc w:val="both"/>
        <w:rPr>
          <w:color w:val="000000" w:themeColor="text1"/>
          <w:sz w:val="24"/>
        </w:rPr>
      </w:pPr>
      <w:r>
        <w:rPr>
          <w:color w:val="000000" w:themeColor="text1"/>
          <w:sz w:val="24"/>
        </w:rPr>
        <w:t>Louise and I spent the final couple of days of my trip walking around the city</w:t>
      </w:r>
      <w:r w:rsidR="001D1896">
        <w:rPr>
          <w:color w:val="000000" w:themeColor="text1"/>
          <w:sz w:val="24"/>
        </w:rPr>
        <w:t xml:space="preserve"> together</w:t>
      </w:r>
      <w:r>
        <w:rPr>
          <w:color w:val="000000" w:themeColor="text1"/>
          <w:sz w:val="24"/>
        </w:rPr>
        <w:t xml:space="preserve">. </w:t>
      </w:r>
      <w:r w:rsidR="001D1896">
        <w:rPr>
          <w:color w:val="000000" w:themeColor="text1"/>
          <w:sz w:val="24"/>
        </w:rPr>
        <w:t>S</w:t>
      </w:r>
      <w:r>
        <w:rPr>
          <w:color w:val="000000" w:themeColor="text1"/>
          <w:sz w:val="24"/>
        </w:rPr>
        <w:t>he knew it was a city close to my heart having grown up listening to stories my father would tell me about when he lived here many years earlier. Indeed, I had shared stories with her about my late half-brother who also shared an inextricable connection with the place we now walked around</w:t>
      </w:r>
      <w:r w:rsidR="00B818A9">
        <w:rPr>
          <w:color w:val="000000" w:themeColor="text1"/>
          <w:sz w:val="24"/>
        </w:rPr>
        <w:t>. T</w:t>
      </w:r>
      <w:r>
        <w:rPr>
          <w:color w:val="000000" w:themeColor="text1"/>
          <w:sz w:val="24"/>
        </w:rPr>
        <w:t xml:space="preserve">hese visits to the city had come to feel significant for me, even cathartic. On the penultimate day of my stay, I sat down and interviewed Louise about her experiences of everyday life during conflict in Northern Ireland. Some of what she </w:t>
      </w:r>
      <w:r w:rsidR="00B818A9">
        <w:rPr>
          <w:color w:val="000000" w:themeColor="text1"/>
          <w:sz w:val="24"/>
        </w:rPr>
        <w:t>told</w:t>
      </w:r>
      <w:r>
        <w:rPr>
          <w:color w:val="000000" w:themeColor="text1"/>
          <w:sz w:val="24"/>
        </w:rPr>
        <w:t xml:space="preserve"> me I already knew well, but some was new and struck fresh emotional chords. Hearing yet another woman </w:t>
      </w:r>
      <w:proofErr w:type="gramStart"/>
      <w:r>
        <w:rPr>
          <w:color w:val="000000" w:themeColor="text1"/>
          <w:sz w:val="24"/>
        </w:rPr>
        <w:t>disclose</w:t>
      </w:r>
      <w:proofErr w:type="gramEnd"/>
      <w:r>
        <w:rPr>
          <w:color w:val="000000" w:themeColor="text1"/>
          <w:sz w:val="24"/>
        </w:rPr>
        <w:t xml:space="preserve"> her experiences of </w:t>
      </w:r>
      <w:r w:rsidR="00BC4938">
        <w:rPr>
          <w:color w:val="000000" w:themeColor="text1"/>
          <w:sz w:val="24"/>
        </w:rPr>
        <w:t xml:space="preserve">historic domestic and </w:t>
      </w:r>
      <w:r>
        <w:rPr>
          <w:color w:val="000000" w:themeColor="text1"/>
          <w:sz w:val="24"/>
        </w:rPr>
        <w:t>sexual abuse engendered inner-feelings I had felt before</w:t>
      </w:r>
      <w:r w:rsidR="00BC4938">
        <w:rPr>
          <w:color w:val="000000" w:themeColor="text1"/>
          <w:sz w:val="24"/>
        </w:rPr>
        <w:t xml:space="preserve"> </w:t>
      </w:r>
      <w:r>
        <w:rPr>
          <w:color w:val="000000" w:themeColor="text1"/>
          <w:sz w:val="24"/>
        </w:rPr>
        <w:t>upon listening to disclosures by numerous female family members</w:t>
      </w:r>
      <w:r w:rsidR="00BC4938">
        <w:rPr>
          <w:color w:val="000000" w:themeColor="text1"/>
          <w:sz w:val="24"/>
        </w:rPr>
        <w:t xml:space="preserve">, </w:t>
      </w:r>
      <w:r>
        <w:rPr>
          <w:color w:val="000000" w:themeColor="text1"/>
          <w:sz w:val="24"/>
        </w:rPr>
        <w:t>friends</w:t>
      </w:r>
      <w:r w:rsidR="00BC4938">
        <w:rPr>
          <w:color w:val="000000" w:themeColor="text1"/>
          <w:sz w:val="24"/>
        </w:rPr>
        <w:t xml:space="preserve"> and partners</w:t>
      </w:r>
      <w:r>
        <w:rPr>
          <w:color w:val="000000" w:themeColor="text1"/>
          <w:sz w:val="24"/>
        </w:rPr>
        <w:t>.</w:t>
      </w:r>
      <w:r w:rsidR="00E07894">
        <w:rPr>
          <w:color w:val="000000" w:themeColor="text1"/>
          <w:sz w:val="24"/>
        </w:rPr>
        <w:t xml:space="preserve"> The </w:t>
      </w:r>
      <w:r w:rsidR="00352906">
        <w:rPr>
          <w:color w:val="000000" w:themeColor="text1"/>
          <w:sz w:val="24"/>
        </w:rPr>
        <w:t>similar</w:t>
      </w:r>
      <w:r w:rsidR="00E07894">
        <w:rPr>
          <w:color w:val="000000" w:themeColor="text1"/>
          <w:sz w:val="24"/>
        </w:rPr>
        <w:t xml:space="preserve">ity, on some level, of Louise’s story made it </w:t>
      </w:r>
      <w:r w:rsidR="00352906">
        <w:rPr>
          <w:color w:val="000000" w:themeColor="text1"/>
          <w:sz w:val="24"/>
        </w:rPr>
        <w:t>even more</w:t>
      </w:r>
      <w:r w:rsidR="00E07894">
        <w:rPr>
          <w:color w:val="000000" w:themeColor="text1"/>
          <w:sz w:val="24"/>
        </w:rPr>
        <w:t xml:space="preserve"> difficult to hear. It created a sort of emotional liminality in which neither empathetic spontaneity based on personal experience nor procedural responses based on professional research ethics seemed able to engage and lurch into action in any satisfactory way.</w:t>
      </w:r>
    </w:p>
    <w:p w14:paraId="2F782024" w14:textId="6792964C" w:rsidR="00BD74EA" w:rsidRDefault="00E07894" w:rsidP="00FE2A65">
      <w:pPr>
        <w:pStyle w:val="ABKWH"/>
        <w:spacing w:line="360" w:lineRule="auto"/>
        <w:ind w:firstLine="720"/>
        <w:contextualSpacing/>
        <w:jc w:val="both"/>
        <w:rPr>
          <w:color w:val="000000" w:themeColor="text1"/>
          <w:sz w:val="24"/>
        </w:rPr>
      </w:pPr>
      <w:r>
        <w:rPr>
          <w:color w:val="000000" w:themeColor="text1"/>
          <w:sz w:val="24"/>
        </w:rPr>
        <w:t xml:space="preserve">On one level it felt reminiscent of </w:t>
      </w:r>
      <w:proofErr w:type="spellStart"/>
      <w:r w:rsidR="006F094A">
        <w:rPr>
          <w:color w:val="000000" w:themeColor="text1"/>
          <w:sz w:val="24"/>
        </w:rPr>
        <w:t>Wakeman</w:t>
      </w:r>
      <w:r>
        <w:rPr>
          <w:color w:val="000000" w:themeColor="text1"/>
          <w:sz w:val="24"/>
        </w:rPr>
        <w:t>’s</w:t>
      </w:r>
      <w:proofErr w:type="spellEnd"/>
      <w:r w:rsidR="006F094A">
        <w:rPr>
          <w:color w:val="000000" w:themeColor="text1"/>
          <w:sz w:val="24"/>
        </w:rPr>
        <w:t xml:space="preserve"> </w:t>
      </w:r>
      <w:r>
        <w:rPr>
          <w:color w:val="000000" w:themeColor="text1"/>
          <w:sz w:val="24"/>
        </w:rPr>
        <w:t>(</w:t>
      </w:r>
      <w:r w:rsidR="006F094A">
        <w:rPr>
          <w:color w:val="000000" w:themeColor="text1"/>
          <w:sz w:val="24"/>
        </w:rPr>
        <w:t>2014</w:t>
      </w:r>
      <w:r>
        <w:rPr>
          <w:color w:val="000000" w:themeColor="text1"/>
          <w:sz w:val="24"/>
        </w:rPr>
        <w:t>)</w:t>
      </w:r>
      <w:r w:rsidR="006F094A">
        <w:rPr>
          <w:color w:val="000000" w:themeColor="text1"/>
          <w:sz w:val="24"/>
        </w:rPr>
        <w:t xml:space="preserve"> descri</w:t>
      </w:r>
      <w:r>
        <w:rPr>
          <w:color w:val="000000" w:themeColor="text1"/>
          <w:sz w:val="24"/>
        </w:rPr>
        <w:t>ption of</w:t>
      </w:r>
      <w:r w:rsidR="006F094A">
        <w:rPr>
          <w:color w:val="000000" w:themeColor="text1"/>
          <w:sz w:val="24"/>
        </w:rPr>
        <w:t xml:space="preserve"> </w:t>
      </w:r>
      <w:r>
        <w:rPr>
          <w:color w:val="000000" w:themeColor="text1"/>
          <w:sz w:val="24"/>
        </w:rPr>
        <w:t xml:space="preserve">a </w:t>
      </w:r>
      <w:r w:rsidR="006F094A">
        <w:rPr>
          <w:color w:val="000000" w:themeColor="text1"/>
          <w:sz w:val="24"/>
        </w:rPr>
        <w:t>biography-emotion intersection in conducting fieldwork, where experiences as researchers tread familiar emotional paths to those experienced elsewhere at other times and places</w:t>
      </w:r>
      <w:r>
        <w:rPr>
          <w:color w:val="000000" w:themeColor="text1"/>
          <w:sz w:val="24"/>
        </w:rPr>
        <w:t>, except the tacit and intuitive ability of knowing how to respond most surely which he portrays failed me.</w:t>
      </w:r>
      <w:r w:rsidR="00275D7B">
        <w:rPr>
          <w:color w:val="000000" w:themeColor="text1"/>
          <w:sz w:val="24"/>
        </w:rPr>
        <w:t xml:space="preserve"> </w:t>
      </w:r>
      <w:r w:rsidR="00352906">
        <w:rPr>
          <w:color w:val="000000" w:themeColor="text1"/>
          <w:sz w:val="24"/>
        </w:rPr>
        <w:t>N</w:t>
      </w:r>
      <w:r w:rsidR="00275D7B">
        <w:rPr>
          <w:color w:val="000000" w:themeColor="text1"/>
          <w:sz w:val="24"/>
        </w:rPr>
        <w:t>othing happened, much like</w:t>
      </w:r>
      <w:r w:rsidR="00FE2A65">
        <w:rPr>
          <w:color w:val="000000" w:themeColor="text1"/>
          <w:sz w:val="24"/>
        </w:rPr>
        <w:t xml:space="preserve"> it probably hadn’t </w:t>
      </w:r>
      <w:r w:rsidR="00275D7B">
        <w:rPr>
          <w:color w:val="000000" w:themeColor="text1"/>
          <w:sz w:val="24"/>
        </w:rPr>
        <w:t>many times before when Louise</w:t>
      </w:r>
      <w:r w:rsidR="00FE2A65">
        <w:rPr>
          <w:color w:val="000000" w:themeColor="text1"/>
          <w:sz w:val="24"/>
        </w:rPr>
        <w:t xml:space="preserve"> disclosed her abuse to people. Nothing bad and nothing good, as far as I could discern. When it came time for me to leave the following day, Louise and I both expressed how much we had enjoyed the week. She said how well she thought I had gotten on with her </w:t>
      </w:r>
      <w:r w:rsidR="00425FB2">
        <w:rPr>
          <w:color w:val="000000" w:themeColor="text1"/>
          <w:sz w:val="24"/>
        </w:rPr>
        <w:t xml:space="preserve">teenage son who suffers from Tourette’s syndrome. We had spoken lots during my stay and she felt it was good for his confidence that he had enjoyed the chance to talk with someone new. I left for home after saying our goodbyes. It was an odd feeling reflecting on the trip in the following days and weeks. I was mentally and physically exhausted, feeling a mixture of upset, anger, sadness at stories I had heard, and an even bigger range </w:t>
      </w:r>
      <w:r w:rsidR="00425FB2">
        <w:rPr>
          <w:color w:val="000000" w:themeColor="text1"/>
          <w:sz w:val="24"/>
        </w:rPr>
        <w:lastRenderedPageBreak/>
        <w:t>of positive feelings too. This maelstrom of affect stayed with me for weeks</w:t>
      </w:r>
      <w:r w:rsidR="002C5EEA">
        <w:rPr>
          <w:color w:val="000000" w:themeColor="text1"/>
          <w:sz w:val="24"/>
        </w:rPr>
        <w:t xml:space="preserve"> and I really struggled, </w:t>
      </w:r>
      <w:r w:rsidR="00352906">
        <w:rPr>
          <w:color w:val="000000" w:themeColor="text1"/>
          <w:sz w:val="24"/>
        </w:rPr>
        <w:t>despite</w:t>
      </w:r>
      <w:r w:rsidR="002C5EEA">
        <w:rPr>
          <w:color w:val="000000" w:themeColor="text1"/>
          <w:sz w:val="24"/>
        </w:rPr>
        <w:t xml:space="preserve"> meetings with professional mentors and supervisors, to focus on my everyday tasks or to really make any sense of how I felt about the trip</w:t>
      </w:r>
      <w:r w:rsidR="00425FB2">
        <w:rPr>
          <w:color w:val="000000" w:themeColor="text1"/>
          <w:sz w:val="24"/>
        </w:rPr>
        <w:t>.</w:t>
      </w:r>
    </w:p>
    <w:p w14:paraId="7DF4CBC8" w14:textId="2E99057A" w:rsidR="002E7FC8" w:rsidRDefault="002C5EEA" w:rsidP="002E7FC8">
      <w:pPr>
        <w:pStyle w:val="ABKWH"/>
        <w:spacing w:line="360" w:lineRule="auto"/>
        <w:ind w:firstLine="720"/>
        <w:contextualSpacing/>
        <w:jc w:val="both"/>
        <w:rPr>
          <w:color w:val="000000" w:themeColor="text1"/>
          <w:sz w:val="24"/>
        </w:rPr>
      </w:pPr>
      <w:r>
        <w:rPr>
          <w:color w:val="000000" w:themeColor="text1"/>
          <w:sz w:val="24"/>
        </w:rPr>
        <w:t xml:space="preserve">Around a month or so later I travelled to the home of a man called ‘George’. </w:t>
      </w:r>
      <w:r w:rsidR="003249A5">
        <w:rPr>
          <w:color w:val="000000" w:themeColor="text1"/>
          <w:sz w:val="24"/>
        </w:rPr>
        <w:t xml:space="preserve">George had asked during our first meeting </w:t>
      </w:r>
      <w:r>
        <w:rPr>
          <w:color w:val="000000" w:themeColor="text1"/>
          <w:sz w:val="24"/>
        </w:rPr>
        <w:t>if I wanted to interview him for my research</w:t>
      </w:r>
      <w:r w:rsidR="003249A5">
        <w:rPr>
          <w:color w:val="000000" w:themeColor="text1"/>
          <w:sz w:val="24"/>
        </w:rPr>
        <w:t xml:space="preserve"> and</w:t>
      </w:r>
      <w:r>
        <w:rPr>
          <w:color w:val="000000" w:themeColor="text1"/>
          <w:sz w:val="24"/>
        </w:rPr>
        <w:t xml:space="preserve"> twelve months later I was </w:t>
      </w:r>
      <w:r w:rsidR="003249A5">
        <w:rPr>
          <w:color w:val="000000" w:themeColor="text1"/>
          <w:sz w:val="24"/>
        </w:rPr>
        <w:t>pursuing</w:t>
      </w:r>
      <w:r>
        <w:rPr>
          <w:color w:val="000000" w:themeColor="text1"/>
          <w:sz w:val="24"/>
        </w:rPr>
        <w:t xml:space="preserve"> his offer. Perhaps due to a combination of </w:t>
      </w:r>
      <w:r w:rsidR="003249A5">
        <w:rPr>
          <w:color w:val="000000" w:themeColor="text1"/>
          <w:sz w:val="24"/>
        </w:rPr>
        <w:t>the</w:t>
      </w:r>
      <w:r>
        <w:rPr>
          <w:color w:val="000000" w:themeColor="text1"/>
          <w:sz w:val="24"/>
        </w:rPr>
        <w:t xml:space="preserve"> previous fieldtrip and the fact that I felt George’s story to be a particularly </w:t>
      </w:r>
      <w:r w:rsidR="002C254E">
        <w:rPr>
          <w:color w:val="000000" w:themeColor="text1"/>
          <w:sz w:val="24"/>
        </w:rPr>
        <w:t>harrowing one, my approach to this visit and interview was entirely different.</w:t>
      </w:r>
      <w:r w:rsidR="002C254E">
        <w:rPr>
          <w:rStyle w:val="FootnoteReference"/>
          <w:color w:val="000000" w:themeColor="text1"/>
          <w:sz w:val="24"/>
        </w:rPr>
        <w:footnoteReference w:id="2"/>
      </w:r>
      <w:r>
        <w:rPr>
          <w:color w:val="000000" w:themeColor="text1"/>
          <w:sz w:val="24"/>
        </w:rPr>
        <w:t xml:space="preserve"> </w:t>
      </w:r>
      <w:r w:rsidR="002C254E">
        <w:rPr>
          <w:color w:val="000000" w:themeColor="text1"/>
          <w:sz w:val="24"/>
        </w:rPr>
        <w:t xml:space="preserve">In contrast with my interviews the previous month, I felt like I knew what the focus of George’s discussions would be and, rightly or wrongly, I felt mentally braced. </w:t>
      </w:r>
      <w:r w:rsidR="003249A5">
        <w:rPr>
          <w:color w:val="000000" w:themeColor="text1"/>
          <w:sz w:val="24"/>
        </w:rPr>
        <w:t>Knowing</w:t>
      </w:r>
      <w:r w:rsidR="002C254E">
        <w:rPr>
          <w:color w:val="000000" w:themeColor="text1"/>
          <w:sz w:val="24"/>
        </w:rPr>
        <w:t xml:space="preserve"> my participants for some time prior to interviews </w:t>
      </w:r>
      <w:r w:rsidR="003249A5">
        <w:rPr>
          <w:color w:val="000000" w:themeColor="text1"/>
          <w:sz w:val="24"/>
        </w:rPr>
        <w:t xml:space="preserve">meant </w:t>
      </w:r>
      <w:r w:rsidR="002C254E">
        <w:rPr>
          <w:color w:val="000000" w:themeColor="text1"/>
          <w:sz w:val="24"/>
        </w:rPr>
        <w:t>I would often have observed them telling and retelling stories in different settings. While I still invested an emotional labour into our time together and interview, I felt that I had exposed my emotions and those of my participants during the previous, schedule-filled period of fieldwork. I remember calling my sister on my way to George’s home and rec</w:t>
      </w:r>
      <w:r w:rsidR="003249A5">
        <w:rPr>
          <w:color w:val="000000" w:themeColor="text1"/>
          <w:sz w:val="24"/>
        </w:rPr>
        <w:t>ounting</w:t>
      </w:r>
      <w:r w:rsidR="002C254E">
        <w:rPr>
          <w:color w:val="000000" w:themeColor="text1"/>
          <w:sz w:val="24"/>
        </w:rPr>
        <w:t xml:space="preserve"> how difficult this had been. I always felt a tension between ignoring the potential for </w:t>
      </w:r>
      <w:r w:rsidR="002E7FC8">
        <w:rPr>
          <w:color w:val="000000" w:themeColor="text1"/>
          <w:sz w:val="24"/>
        </w:rPr>
        <w:t>vicarious impacts on me as a researcher and selfishly embellishing other people’s experiences.</w:t>
      </w:r>
      <w:r w:rsidR="002C254E">
        <w:rPr>
          <w:color w:val="000000" w:themeColor="text1"/>
          <w:sz w:val="24"/>
        </w:rPr>
        <w:t xml:space="preserve"> </w:t>
      </w:r>
      <w:r w:rsidR="003249A5">
        <w:rPr>
          <w:color w:val="000000" w:themeColor="text1"/>
          <w:sz w:val="24"/>
        </w:rPr>
        <w:t>Ironically</w:t>
      </w:r>
      <w:r w:rsidR="00775552">
        <w:rPr>
          <w:color w:val="000000" w:themeColor="text1"/>
          <w:sz w:val="24"/>
        </w:rPr>
        <w:t xml:space="preserve">, spending </w:t>
      </w:r>
      <w:r w:rsidR="003249A5">
        <w:rPr>
          <w:color w:val="000000" w:themeColor="text1"/>
          <w:sz w:val="24"/>
        </w:rPr>
        <w:t>so much time</w:t>
      </w:r>
      <w:r w:rsidR="00775552">
        <w:rPr>
          <w:color w:val="000000" w:themeColor="text1"/>
          <w:sz w:val="24"/>
        </w:rPr>
        <w:t xml:space="preserve"> familiarizing myself with</w:t>
      </w:r>
      <w:r w:rsidR="003249A5">
        <w:rPr>
          <w:color w:val="000000" w:themeColor="text1"/>
          <w:sz w:val="24"/>
        </w:rPr>
        <w:t xml:space="preserve"> </w:t>
      </w:r>
      <w:r w:rsidR="00775552">
        <w:rPr>
          <w:color w:val="000000" w:themeColor="text1"/>
          <w:sz w:val="24"/>
        </w:rPr>
        <w:t xml:space="preserve">prospective participants in as ‘slow’ a way as possible </w:t>
      </w:r>
      <w:r w:rsidR="003249A5">
        <w:rPr>
          <w:color w:val="000000" w:themeColor="text1"/>
          <w:sz w:val="24"/>
        </w:rPr>
        <w:t>resulted in</w:t>
      </w:r>
      <w:r w:rsidR="00775552">
        <w:rPr>
          <w:color w:val="000000" w:themeColor="text1"/>
          <w:sz w:val="24"/>
        </w:rPr>
        <w:t xml:space="preserve"> some relatively intens</w:t>
      </w:r>
      <w:r w:rsidR="003249A5">
        <w:rPr>
          <w:color w:val="000000" w:themeColor="text1"/>
          <w:sz w:val="24"/>
        </w:rPr>
        <w:t>ive</w:t>
      </w:r>
      <w:r w:rsidR="00775552">
        <w:rPr>
          <w:color w:val="000000" w:themeColor="text1"/>
          <w:sz w:val="24"/>
        </w:rPr>
        <w:t xml:space="preserve"> periods of interviewing toward the end of the project’s ‘data collection’ timeframe.</w:t>
      </w:r>
      <w:r w:rsidR="002C254E">
        <w:rPr>
          <w:color w:val="000000" w:themeColor="text1"/>
          <w:sz w:val="24"/>
        </w:rPr>
        <w:t xml:space="preserve"> I</w:t>
      </w:r>
      <w:r w:rsidR="002E7FC8">
        <w:rPr>
          <w:color w:val="000000" w:themeColor="text1"/>
          <w:sz w:val="24"/>
        </w:rPr>
        <w:t xml:space="preserve"> spent time at George’s home, conducted our interview, and similarly spent lots of time chatting over dinner just as I had with Louise. I left for home with a totally different experience again. I felt I had conducted myself empathetically and naturally as before, but I also seemed to have instinctively </w:t>
      </w:r>
      <w:proofErr w:type="gramStart"/>
      <w:r w:rsidR="002E7FC8">
        <w:rPr>
          <w:color w:val="000000" w:themeColor="text1"/>
          <w:sz w:val="24"/>
        </w:rPr>
        <w:t>opened up</w:t>
      </w:r>
      <w:proofErr w:type="gramEnd"/>
      <w:r w:rsidR="002E7FC8">
        <w:rPr>
          <w:color w:val="000000" w:themeColor="text1"/>
          <w:sz w:val="24"/>
        </w:rPr>
        <w:t xml:space="preserve"> less, not in how much I contributed or shared, but more in how much I allowed George’s words to move me. As I reflected in the days afterwards, I felt much more stable and even sanguine, but consequently somewhat detached – not a feeling I had experienced before following such a quintessentially sensitive and harrowing interview.</w:t>
      </w:r>
    </w:p>
    <w:p w14:paraId="24254C86" w14:textId="6A73C213" w:rsidR="0070666C" w:rsidRDefault="00B433BB" w:rsidP="002E7FC8">
      <w:pPr>
        <w:pStyle w:val="ABKWH"/>
        <w:spacing w:line="360" w:lineRule="auto"/>
        <w:ind w:firstLine="720"/>
        <w:contextualSpacing/>
        <w:jc w:val="both"/>
        <w:rPr>
          <w:color w:val="000000" w:themeColor="text1"/>
          <w:sz w:val="24"/>
        </w:rPr>
      </w:pPr>
      <w:r>
        <w:rPr>
          <w:color w:val="000000" w:themeColor="text1"/>
          <w:sz w:val="24"/>
        </w:rPr>
        <w:t>Many scholars</w:t>
      </w:r>
      <w:r w:rsidR="0070666C" w:rsidRPr="0070666C">
        <w:rPr>
          <w:color w:val="000000" w:themeColor="text1"/>
          <w:sz w:val="24"/>
        </w:rPr>
        <w:t xml:space="preserve">, particularly from qualitative health </w:t>
      </w:r>
      <w:r w:rsidR="001E2B56">
        <w:rPr>
          <w:color w:val="000000" w:themeColor="text1"/>
          <w:sz w:val="24"/>
        </w:rPr>
        <w:t xml:space="preserve">and social work </w:t>
      </w:r>
      <w:r w:rsidR="0070666C" w:rsidRPr="0070666C">
        <w:rPr>
          <w:color w:val="000000" w:themeColor="text1"/>
          <w:sz w:val="24"/>
        </w:rPr>
        <w:t>research, counselling therapies and ‘</w:t>
      </w:r>
      <w:proofErr w:type="spellStart"/>
      <w:r w:rsidR="0070666C" w:rsidRPr="0070666C">
        <w:rPr>
          <w:color w:val="000000" w:themeColor="text1"/>
          <w:sz w:val="24"/>
        </w:rPr>
        <w:t>psy</w:t>
      </w:r>
      <w:proofErr w:type="spellEnd"/>
      <w:r w:rsidR="0070666C" w:rsidRPr="0070666C">
        <w:rPr>
          <w:color w:val="000000" w:themeColor="text1"/>
          <w:sz w:val="24"/>
        </w:rPr>
        <w:t xml:space="preserve">’ disciplines (Rose, 1998), </w:t>
      </w:r>
      <w:proofErr w:type="spellStart"/>
      <w:r w:rsidR="0070666C" w:rsidRPr="0070666C">
        <w:rPr>
          <w:color w:val="000000" w:themeColor="text1"/>
          <w:sz w:val="24"/>
        </w:rPr>
        <w:t>recognise</w:t>
      </w:r>
      <w:proofErr w:type="spellEnd"/>
      <w:r w:rsidR="0070666C" w:rsidRPr="0070666C">
        <w:rPr>
          <w:color w:val="000000" w:themeColor="text1"/>
          <w:sz w:val="24"/>
        </w:rPr>
        <w:t xml:space="preserve"> the potential toll of emotional </w:t>
      </w:r>
      <w:r w:rsidR="00CB5A81">
        <w:rPr>
          <w:color w:val="000000" w:themeColor="text1"/>
          <w:sz w:val="24"/>
        </w:rPr>
        <w:t>fieldwork</w:t>
      </w:r>
      <w:r w:rsidR="0070666C" w:rsidRPr="0070666C">
        <w:rPr>
          <w:color w:val="000000" w:themeColor="text1"/>
          <w:sz w:val="24"/>
        </w:rPr>
        <w:t xml:space="preserve"> on researchers a</w:t>
      </w:r>
      <w:r w:rsidR="00CB5A81">
        <w:rPr>
          <w:color w:val="000000" w:themeColor="text1"/>
          <w:sz w:val="24"/>
        </w:rPr>
        <w:t>nd</w:t>
      </w:r>
      <w:r w:rsidR="0070666C" w:rsidRPr="0070666C">
        <w:rPr>
          <w:color w:val="000000" w:themeColor="text1"/>
          <w:sz w:val="24"/>
        </w:rPr>
        <w:t xml:space="preserve"> participants </w:t>
      </w:r>
      <w:r w:rsidR="00CB5A81">
        <w:rPr>
          <w:color w:val="000000" w:themeColor="text1"/>
          <w:sz w:val="24"/>
        </w:rPr>
        <w:t>alike</w:t>
      </w:r>
      <w:r w:rsidR="0070666C" w:rsidRPr="0070666C">
        <w:rPr>
          <w:color w:val="000000" w:themeColor="text1"/>
          <w:sz w:val="24"/>
        </w:rPr>
        <w:t xml:space="preserve"> (see, inter alia, Hubbard, </w:t>
      </w:r>
      <w:proofErr w:type="spellStart"/>
      <w:r w:rsidR="0070666C" w:rsidRPr="0070666C">
        <w:rPr>
          <w:color w:val="000000" w:themeColor="text1"/>
          <w:sz w:val="24"/>
        </w:rPr>
        <w:lastRenderedPageBreak/>
        <w:t>Backett</w:t>
      </w:r>
      <w:proofErr w:type="spellEnd"/>
      <w:r w:rsidR="0070666C" w:rsidRPr="0070666C">
        <w:rPr>
          <w:color w:val="000000" w:themeColor="text1"/>
          <w:sz w:val="24"/>
        </w:rPr>
        <w:t xml:space="preserve">-Milburn and </w:t>
      </w:r>
      <w:proofErr w:type="spellStart"/>
      <w:r w:rsidR="0070666C" w:rsidRPr="0070666C">
        <w:rPr>
          <w:color w:val="000000" w:themeColor="text1"/>
          <w:sz w:val="24"/>
        </w:rPr>
        <w:t>Kemmer</w:t>
      </w:r>
      <w:proofErr w:type="spellEnd"/>
      <w:r w:rsidR="0070666C" w:rsidRPr="0070666C">
        <w:rPr>
          <w:color w:val="000000" w:themeColor="text1"/>
          <w:sz w:val="24"/>
        </w:rPr>
        <w:t>, 2001; Dickson-Swift et al., 2008; 2009).</w:t>
      </w:r>
      <w:r w:rsidR="003E65AB">
        <w:rPr>
          <w:color w:val="000000" w:themeColor="text1"/>
          <w:sz w:val="24"/>
        </w:rPr>
        <w:t xml:space="preserve"> </w:t>
      </w:r>
      <w:r w:rsidR="00CB5A81">
        <w:rPr>
          <w:color w:val="000000" w:themeColor="text1"/>
          <w:sz w:val="24"/>
        </w:rPr>
        <w:t>T</w:t>
      </w:r>
      <w:r w:rsidR="003E65AB">
        <w:rPr>
          <w:color w:val="000000" w:themeColor="text1"/>
          <w:sz w:val="24"/>
        </w:rPr>
        <w:t xml:space="preserve">his has not always been matched by proactive efforts on the part of university ethics committees to protect researchers (Dickson-Swift, James and </w:t>
      </w:r>
      <w:proofErr w:type="spellStart"/>
      <w:r w:rsidR="003E65AB">
        <w:rPr>
          <w:color w:val="000000" w:themeColor="text1"/>
          <w:sz w:val="24"/>
        </w:rPr>
        <w:t>Kippen</w:t>
      </w:r>
      <w:proofErr w:type="spellEnd"/>
      <w:r w:rsidR="003E65AB">
        <w:rPr>
          <w:color w:val="000000" w:themeColor="text1"/>
          <w:sz w:val="24"/>
        </w:rPr>
        <w:t>, 2007).</w:t>
      </w:r>
      <w:r w:rsidR="0070666C" w:rsidRPr="0070666C">
        <w:rPr>
          <w:color w:val="000000" w:themeColor="text1"/>
          <w:sz w:val="24"/>
        </w:rPr>
        <w:t xml:space="preserve"> In-line with Dickson-Swift et al.’s (2008) findings from interviewing public health researchers, I drew upon a mixture of formal/informal, structured/unstructured, and regular/infrequent supervision and debriefing </w:t>
      </w:r>
      <w:r w:rsidR="006D712A">
        <w:rPr>
          <w:color w:val="000000" w:themeColor="text1"/>
          <w:sz w:val="24"/>
        </w:rPr>
        <w:t>throughout</w:t>
      </w:r>
      <w:r w:rsidR="0070666C" w:rsidRPr="0070666C">
        <w:rPr>
          <w:color w:val="000000" w:themeColor="text1"/>
          <w:sz w:val="24"/>
        </w:rPr>
        <w:t xml:space="preserve"> the project with a range of different people </w:t>
      </w:r>
      <w:r w:rsidR="001A6091">
        <w:rPr>
          <w:color w:val="000000" w:themeColor="text1"/>
          <w:sz w:val="24"/>
        </w:rPr>
        <w:t>(</w:t>
      </w:r>
      <w:proofErr w:type="spellStart"/>
      <w:r w:rsidR="001A6091">
        <w:rPr>
          <w:color w:val="000000" w:themeColor="text1"/>
          <w:sz w:val="24"/>
        </w:rPr>
        <w:t>FfP</w:t>
      </w:r>
      <w:proofErr w:type="spellEnd"/>
      <w:r w:rsidR="001A6091">
        <w:rPr>
          <w:color w:val="000000" w:themeColor="text1"/>
          <w:sz w:val="24"/>
        </w:rPr>
        <w:t xml:space="preserve"> contacts, supervisors, partner, friends, family) </w:t>
      </w:r>
      <w:r w:rsidR="00642CC0">
        <w:rPr>
          <w:color w:val="000000" w:themeColor="text1"/>
          <w:sz w:val="24"/>
        </w:rPr>
        <w:t>in an</w:t>
      </w:r>
      <w:r w:rsidR="0070666C" w:rsidRPr="0070666C">
        <w:rPr>
          <w:color w:val="000000" w:themeColor="text1"/>
          <w:sz w:val="24"/>
        </w:rPr>
        <w:t xml:space="preserve"> attempt to avoid both emotional distress and ‘researcher burnout’ (Dickson-Swift et al., 2008: 136). </w:t>
      </w:r>
      <w:r w:rsidR="001A6091">
        <w:rPr>
          <w:color w:val="000000" w:themeColor="text1"/>
          <w:sz w:val="24"/>
        </w:rPr>
        <w:t>But s</w:t>
      </w:r>
      <w:r w:rsidR="0070666C" w:rsidRPr="0070666C">
        <w:rPr>
          <w:color w:val="000000" w:themeColor="text1"/>
          <w:sz w:val="24"/>
        </w:rPr>
        <w:t>ome attempts were more successful than others</w:t>
      </w:r>
      <w:r w:rsidR="001A6091">
        <w:rPr>
          <w:color w:val="000000" w:themeColor="text1"/>
          <w:sz w:val="24"/>
        </w:rPr>
        <w:t xml:space="preserve">, and theory seldom helps </w:t>
      </w:r>
      <w:r w:rsidR="00CD266F">
        <w:rPr>
          <w:color w:val="000000" w:themeColor="text1"/>
          <w:sz w:val="24"/>
        </w:rPr>
        <w:t xml:space="preserve">one to forecast disclosures of violence – its content, its </w:t>
      </w:r>
      <w:r w:rsidR="00642CC0">
        <w:rPr>
          <w:color w:val="000000" w:themeColor="text1"/>
          <w:sz w:val="24"/>
        </w:rPr>
        <w:t>affect</w:t>
      </w:r>
      <w:r w:rsidR="00CD266F">
        <w:rPr>
          <w:color w:val="000000" w:themeColor="text1"/>
          <w:sz w:val="24"/>
        </w:rPr>
        <w:t xml:space="preserve">, nor what we do with that </w:t>
      </w:r>
      <w:r w:rsidR="00642CC0">
        <w:rPr>
          <w:color w:val="000000" w:themeColor="text1"/>
          <w:sz w:val="24"/>
        </w:rPr>
        <w:t>a</w:t>
      </w:r>
      <w:r w:rsidR="00CD266F">
        <w:rPr>
          <w:color w:val="000000" w:themeColor="text1"/>
          <w:sz w:val="24"/>
        </w:rPr>
        <w:t>ffect</w:t>
      </w:r>
      <w:r w:rsidR="0070666C" w:rsidRPr="0070666C">
        <w:rPr>
          <w:color w:val="000000" w:themeColor="text1"/>
          <w:sz w:val="24"/>
        </w:rPr>
        <w:t xml:space="preserve">. </w:t>
      </w:r>
      <w:r w:rsidR="00642CC0">
        <w:rPr>
          <w:color w:val="000000" w:themeColor="text1"/>
          <w:sz w:val="24"/>
        </w:rPr>
        <w:t>S</w:t>
      </w:r>
      <w:r w:rsidR="0070666C" w:rsidRPr="0070666C">
        <w:rPr>
          <w:color w:val="000000" w:themeColor="text1"/>
          <w:sz w:val="24"/>
        </w:rPr>
        <w:t xml:space="preserve">ome sad, </w:t>
      </w:r>
      <w:proofErr w:type="spellStart"/>
      <w:r w:rsidR="0070666C" w:rsidRPr="0070666C">
        <w:rPr>
          <w:color w:val="000000" w:themeColor="text1"/>
          <w:sz w:val="24"/>
        </w:rPr>
        <w:t>sombre</w:t>
      </w:r>
      <w:proofErr w:type="spellEnd"/>
      <w:r w:rsidR="0070666C" w:rsidRPr="0070666C">
        <w:rPr>
          <w:color w:val="000000" w:themeColor="text1"/>
          <w:sz w:val="24"/>
        </w:rPr>
        <w:t>, angry, or other</w:t>
      </w:r>
      <w:r w:rsidR="00642CC0">
        <w:rPr>
          <w:color w:val="000000" w:themeColor="text1"/>
          <w:sz w:val="24"/>
        </w:rPr>
        <w:t xml:space="preserve"> emotions were better anticipated than others.</w:t>
      </w:r>
      <w:r w:rsidR="0070666C" w:rsidRPr="0070666C">
        <w:rPr>
          <w:color w:val="000000" w:themeColor="text1"/>
          <w:sz w:val="24"/>
        </w:rPr>
        <w:t xml:space="preserve"> </w:t>
      </w:r>
      <w:r w:rsidR="00642CC0">
        <w:rPr>
          <w:color w:val="000000" w:themeColor="text1"/>
          <w:sz w:val="24"/>
        </w:rPr>
        <w:t xml:space="preserve">They assumed both </w:t>
      </w:r>
      <w:r w:rsidR="0070666C" w:rsidRPr="0070666C">
        <w:rPr>
          <w:color w:val="000000" w:themeColor="text1"/>
          <w:sz w:val="24"/>
        </w:rPr>
        <w:t>private (emotions I felt ‘quietly’</w:t>
      </w:r>
      <w:r w:rsidR="00642CC0">
        <w:rPr>
          <w:color w:val="000000" w:themeColor="text1"/>
          <w:sz w:val="24"/>
        </w:rPr>
        <w:t xml:space="preserve"> on my own</w:t>
      </w:r>
      <w:r w:rsidR="0070666C" w:rsidRPr="0070666C">
        <w:rPr>
          <w:color w:val="000000" w:themeColor="text1"/>
          <w:sz w:val="24"/>
        </w:rPr>
        <w:t xml:space="preserve">) </w:t>
      </w:r>
      <w:r w:rsidR="00642CC0">
        <w:rPr>
          <w:color w:val="000000" w:themeColor="text1"/>
          <w:sz w:val="24"/>
        </w:rPr>
        <w:t>and</w:t>
      </w:r>
      <w:r w:rsidR="0070666C" w:rsidRPr="0070666C">
        <w:rPr>
          <w:color w:val="000000" w:themeColor="text1"/>
          <w:sz w:val="24"/>
        </w:rPr>
        <w:t xml:space="preserve"> co-constructed </w:t>
      </w:r>
      <w:r w:rsidR="00642CC0" w:rsidRPr="0070666C">
        <w:rPr>
          <w:color w:val="000000" w:themeColor="text1"/>
          <w:sz w:val="24"/>
        </w:rPr>
        <w:t>(emotions that were produced collectively between participants and I)</w:t>
      </w:r>
      <w:r w:rsidR="00642CC0">
        <w:rPr>
          <w:color w:val="000000" w:themeColor="text1"/>
          <w:sz w:val="24"/>
        </w:rPr>
        <w:t xml:space="preserve"> forms </w:t>
      </w:r>
      <w:r w:rsidR="0070666C" w:rsidRPr="0070666C">
        <w:rPr>
          <w:color w:val="000000" w:themeColor="text1"/>
          <w:sz w:val="24"/>
        </w:rPr>
        <w:t>(</w:t>
      </w:r>
      <w:proofErr w:type="spellStart"/>
      <w:r w:rsidR="0070666C" w:rsidRPr="0070666C">
        <w:rPr>
          <w:color w:val="000000" w:themeColor="text1"/>
          <w:sz w:val="24"/>
        </w:rPr>
        <w:t>Riessman</w:t>
      </w:r>
      <w:proofErr w:type="spellEnd"/>
      <w:r w:rsidR="0070666C" w:rsidRPr="0070666C">
        <w:rPr>
          <w:color w:val="000000" w:themeColor="text1"/>
          <w:sz w:val="24"/>
        </w:rPr>
        <w:t xml:space="preserve">, 2008: 40). </w:t>
      </w:r>
      <w:r w:rsidR="00642CC0">
        <w:rPr>
          <w:color w:val="000000" w:themeColor="text1"/>
          <w:sz w:val="24"/>
        </w:rPr>
        <w:t>I</w:t>
      </w:r>
      <w:r w:rsidR="0070666C" w:rsidRPr="0070666C">
        <w:rPr>
          <w:color w:val="000000" w:themeColor="text1"/>
          <w:sz w:val="24"/>
        </w:rPr>
        <w:t xml:space="preserve">t was largely prior ‘expectancy’ or ‘preparedness’ before undertaking interviews or </w:t>
      </w:r>
      <w:r w:rsidR="00642CC0">
        <w:rPr>
          <w:color w:val="000000" w:themeColor="text1"/>
          <w:sz w:val="24"/>
        </w:rPr>
        <w:t>fieldwork</w:t>
      </w:r>
      <w:r w:rsidR="0070666C" w:rsidRPr="0070666C">
        <w:rPr>
          <w:color w:val="000000" w:themeColor="text1"/>
          <w:sz w:val="24"/>
        </w:rPr>
        <w:t xml:space="preserve"> that dictated my inner composure, rather than the incredibly important debriefs with </w:t>
      </w:r>
      <w:proofErr w:type="spellStart"/>
      <w:r w:rsidR="0070666C" w:rsidRPr="0070666C">
        <w:rPr>
          <w:color w:val="000000" w:themeColor="text1"/>
          <w:sz w:val="24"/>
        </w:rPr>
        <w:t>FfP</w:t>
      </w:r>
      <w:proofErr w:type="spellEnd"/>
      <w:r w:rsidR="0070666C" w:rsidRPr="0070666C">
        <w:rPr>
          <w:color w:val="000000" w:themeColor="text1"/>
          <w:sz w:val="24"/>
        </w:rPr>
        <w:t xml:space="preserve"> staff and my supervisors. Being relaxed and assuming of my own wellbeing around participants I had come to know</w:t>
      </w:r>
      <w:r w:rsidR="00642CC0">
        <w:rPr>
          <w:color w:val="000000" w:themeColor="text1"/>
          <w:sz w:val="24"/>
        </w:rPr>
        <w:t xml:space="preserve"> </w:t>
      </w:r>
      <w:r w:rsidR="0070666C" w:rsidRPr="0070666C">
        <w:rPr>
          <w:color w:val="000000" w:themeColor="text1"/>
          <w:sz w:val="24"/>
        </w:rPr>
        <w:t>was often jolted upon hearing new information or more emotive iterations of their stories, whereas I was mentally ‘braced’ for certain interviews I knew would be particularly difficult to conduct. Difficult interviews seemed to ‘harden’ me somewhat ahead of subsequent interviews where I would not forsake being empathetic but would not allow myself to feel perhaps as involved as I previously had.</w:t>
      </w:r>
    </w:p>
    <w:p w14:paraId="4FE24C86" w14:textId="23A316BB" w:rsidR="00512C5C" w:rsidRDefault="00FD7E23" w:rsidP="00512C5C">
      <w:pPr>
        <w:pStyle w:val="ABKWH"/>
        <w:spacing w:line="360" w:lineRule="auto"/>
        <w:ind w:firstLine="720"/>
        <w:contextualSpacing/>
        <w:jc w:val="both"/>
        <w:rPr>
          <w:color w:val="000000" w:themeColor="text1"/>
          <w:sz w:val="24"/>
        </w:rPr>
      </w:pPr>
      <w:r w:rsidRPr="0070666C">
        <w:rPr>
          <w:color w:val="000000" w:themeColor="text1"/>
          <w:sz w:val="24"/>
        </w:rPr>
        <w:t>I</w:t>
      </w:r>
      <w:r>
        <w:rPr>
          <w:color w:val="000000" w:themeColor="text1"/>
          <w:sz w:val="24"/>
        </w:rPr>
        <w:t xml:space="preserve"> </w:t>
      </w:r>
      <w:proofErr w:type="gramStart"/>
      <w:r>
        <w:rPr>
          <w:color w:val="000000" w:themeColor="text1"/>
          <w:sz w:val="24"/>
        </w:rPr>
        <w:t>definitely</w:t>
      </w:r>
      <w:r w:rsidRPr="0070666C">
        <w:rPr>
          <w:color w:val="000000" w:themeColor="text1"/>
          <w:sz w:val="24"/>
        </w:rPr>
        <w:t xml:space="preserve"> experienced</w:t>
      </w:r>
      <w:proofErr w:type="gramEnd"/>
      <w:r w:rsidRPr="0070666C">
        <w:rPr>
          <w:color w:val="000000" w:themeColor="text1"/>
          <w:sz w:val="24"/>
        </w:rPr>
        <w:t xml:space="preserve"> a period of ‘researcher burnout’ (Dickson-Swift et al., 2008: 136)</w:t>
      </w:r>
      <w:r>
        <w:rPr>
          <w:color w:val="000000" w:themeColor="text1"/>
          <w:sz w:val="24"/>
        </w:rPr>
        <w:t xml:space="preserve"> toward the end of 2016</w:t>
      </w:r>
      <w:r w:rsidRPr="0070666C">
        <w:rPr>
          <w:color w:val="000000" w:themeColor="text1"/>
          <w:sz w:val="24"/>
        </w:rPr>
        <w:t>, caused by a combination of difficult substantive discussions</w:t>
      </w:r>
      <w:r w:rsidR="00642CC0">
        <w:rPr>
          <w:color w:val="000000" w:themeColor="text1"/>
          <w:sz w:val="24"/>
        </w:rPr>
        <w:t xml:space="preserve">, </w:t>
      </w:r>
      <w:r w:rsidRPr="0070666C">
        <w:rPr>
          <w:color w:val="000000" w:themeColor="text1"/>
          <w:sz w:val="24"/>
        </w:rPr>
        <w:t xml:space="preserve">tiredness and pushing myself to do fieldwork in a more condensed window of time to keep the thesis ‘on track’. </w:t>
      </w:r>
      <w:r w:rsidR="00642CC0">
        <w:rPr>
          <w:color w:val="000000" w:themeColor="text1"/>
          <w:sz w:val="24"/>
        </w:rPr>
        <w:t>T</w:t>
      </w:r>
      <w:r w:rsidRPr="0070666C">
        <w:rPr>
          <w:color w:val="000000" w:themeColor="text1"/>
          <w:sz w:val="24"/>
        </w:rPr>
        <w:t xml:space="preserve">he main way participants and I traversed such instances or periods was through </w:t>
      </w:r>
      <w:proofErr w:type="spellStart"/>
      <w:r w:rsidRPr="0070666C">
        <w:rPr>
          <w:color w:val="000000" w:themeColor="text1"/>
          <w:sz w:val="24"/>
        </w:rPr>
        <w:t>humour</w:t>
      </w:r>
      <w:proofErr w:type="spellEnd"/>
      <w:r w:rsidRPr="0070666C">
        <w:rPr>
          <w:color w:val="000000" w:themeColor="text1"/>
          <w:sz w:val="24"/>
        </w:rPr>
        <w:t xml:space="preserve">. </w:t>
      </w:r>
      <w:proofErr w:type="spellStart"/>
      <w:r w:rsidRPr="0070666C">
        <w:rPr>
          <w:color w:val="000000" w:themeColor="text1"/>
          <w:sz w:val="24"/>
        </w:rPr>
        <w:t>Humour</w:t>
      </w:r>
      <w:proofErr w:type="spellEnd"/>
      <w:r w:rsidRPr="0070666C">
        <w:rPr>
          <w:color w:val="000000" w:themeColor="text1"/>
          <w:sz w:val="24"/>
        </w:rPr>
        <w:t xml:space="preserve"> </w:t>
      </w:r>
      <w:r w:rsidR="00B3034F">
        <w:rPr>
          <w:color w:val="000000" w:themeColor="text1"/>
          <w:sz w:val="24"/>
        </w:rPr>
        <w:t>appeared</w:t>
      </w:r>
      <w:r w:rsidRPr="0070666C">
        <w:rPr>
          <w:color w:val="000000" w:themeColor="text1"/>
          <w:sz w:val="24"/>
        </w:rPr>
        <w:t xml:space="preserve"> repeatedly throughout the fieldwork and data analysis as a coping motif. It featured as both an aspect of our interview interaction</w:t>
      </w:r>
      <w:r w:rsidR="00B3034F">
        <w:rPr>
          <w:color w:val="000000" w:themeColor="text1"/>
          <w:sz w:val="24"/>
        </w:rPr>
        <w:t>s</w:t>
      </w:r>
      <w:r w:rsidRPr="0070666C">
        <w:rPr>
          <w:color w:val="000000" w:themeColor="text1"/>
          <w:sz w:val="24"/>
        </w:rPr>
        <w:t xml:space="preserve"> and in participants’ reflections of how they had coped with difficult periods in the past. Louise, for example, recalled several stories from her childhood in Northern Ireland during The Troubles that still, to this day, really make her laugh. She, and others, would sometimes reflect fondly on these times, highlighting the fact that ‘normal’, everyday life continues </w:t>
      </w:r>
      <w:r w:rsidRPr="0070666C">
        <w:rPr>
          <w:color w:val="000000" w:themeColor="text1"/>
          <w:sz w:val="24"/>
        </w:rPr>
        <w:lastRenderedPageBreak/>
        <w:t xml:space="preserve">amid otherwise seemingly chaotic conflicts. </w:t>
      </w:r>
      <w:proofErr w:type="spellStart"/>
      <w:r w:rsidRPr="0070666C">
        <w:rPr>
          <w:color w:val="000000" w:themeColor="text1"/>
          <w:sz w:val="24"/>
        </w:rPr>
        <w:t>Siapno</w:t>
      </w:r>
      <w:proofErr w:type="spellEnd"/>
      <w:r w:rsidRPr="0070666C">
        <w:rPr>
          <w:color w:val="000000" w:themeColor="text1"/>
          <w:sz w:val="24"/>
        </w:rPr>
        <w:t xml:space="preserve"> (2009: 58) notes the occurrence of so-called ‘post-trauma </w:t>
      </w:r>
      <w:proofErr w:type="spellStart"/>
      <w:r w:rsidRPr="0070666C">
        <w:rPr>
          <w:color w:val="000000" w:themeColor="text1"/>
          <w:sz w:val="24"/>
        </w:rPr>
        <w:t>humour</w:t>
      </w:r>
      <w:proofErr w:type="spellEnd"/>
      <w:r w:rsidRPr="0070666C">
        <w:rPr>
          <w:color w:val="000000" w:themeColor="text1"/>
          <w:sz w:val="24"/>
        </w:rPr>
        <w:t xml:space="preserve">’ as a form of resilience among displaced women in East Timor; </w:t>
      </w:r>
      <w:proofErr w:type="spellStart"/>
      <w:r w:rsidRPr="0070666C">
        <w:rPr>
          <w:color w:val="000000" w:themeColor="text1"/>
          <w:sz w:val="24"/>
        </w:rPr>
        <w:t>humour</w:t>
      </w:r>
      <w:proofErr w:type="spellEnd"/>
      <w:r w:rsidRPr="0070666C">
        <w:rPr>
          <w:color w:val="000000" w:themeColor="text1"/>
          <w:sz w:val="24"/>
        </w:rPr>
        <w:t xml:space="preserve"> is similarly highlighted by Heath-Kelly and Jarvis (2016: 243) as offering some the ability to cope and come to terms with both specific or risk of future terror attacks. I would sometimes make light of the fact that I was researching such a ‘cheery topic’ when people asked me about what my PhD research was about, rather than engage in a </w:t>
      </w:r>
      <w:r w:rsidR="00B3034F">
        <w:rPr>
          <w:color w:val="000000" w:themeColor="text1"/>
          <w:sz w:val="24"/>
        </w:rPr>
        <w:t xml:space="preserve">direct </w:t>
      </w:r>
      <w:r w:rsidRPr="0070666C">
        <w:rPr>
          <w:color w:val="000000" w:themeColor="text1"/>
          <w:sz w:val="24"/>
        </w:rPr>
        <w:t xml:space="preserve">conversation about how challenging it was at times. I </w:t>
      </w:r>
      <w:r w:rsidR="00B3034F">
        <w:rPr>
          <w:color w:val="000000" w:themeColor="text1"/>
          <w:sz w:val="24"/>
        </w:rPr>
        <w:t>pondered</w:t>
      </w:r>
      <w:r w:rsidRPr="0070666C">
        <w:rPr>
          <w:color w:val="000000" w:themeColor="text1"/>
          <w:sz w:val="24"/>
        </w:rPr>
        <w:t xml:space="preserve"> whether this constituted </w:t>
      </w:r>
      <w:r w:rsidR="00B3034F">
        <w:rPr>
          <w:color w:val="000000" w:themeColor="text1"/>
          <w:sz w:val="24"/>
        </w:rPr>
        <w:t>some</w:t>
      </w:r>
      <w:r w:rsidRPr="0070666C">
        <w:rPr>
          <w:color w:val="000000" w:themeColor="text1"/>
          <w:sz w:val="24"/>
        </w:rPr>
        <w:t xml:space="preserve"> form of ‘researcher resilience’, but dwell</w:t>
      </w:r>
      <w:r w:rsidR="00B3034F">
        <w:rPr>
          <w:color w:val="000000" w:themeColor="text1"/>
          <w:sz w:val="24"/>
        </w:rPr>
        <w:t>ing</w:t>
      </w:r>
      <w:r w:rsidRPr="0070666C">
        <w:rPr>
          <w:color w:val="000000" w:themeColor="text1"/>
          <w:sz w:val="24"/>
        </w:rPr>
        <w:t xml:space="preserve"> on this </w:t>
      </w:r>
      <w:r w:rsidR="00B3034F">
        <w:rPr>
          <w:color w:val="000000" w:themeColor="text1"/>
          <w:sz w:val="24"/>
        </w:rPr>
        <w:t>felt irrelevant, narcissistic and un</w:t>
      </w:r>
      <w:r w:rsidRPr="0070666C">
        <w:rPr>
          <w:color w:val="000000" w:themeColor="text1"/>
          <w:sz w:val="24"/>
        </w:rPr>
        <w:t>comfortable.</w:t>
      </w:r>
      <w:r w:rsidR="00B3034F">
        <w:rPr>
          <w:color w:val="000000" w:themeColor="text1"/>
          <w:sz w:val="24"/>
        </w:rPr>
        <w:t xml:space="preserve"> Similar forms of</w:t>
      </w:r>
      <w:r w:rsidRPr="0070666C">
        <w:rPr>
          <w:color w:val="000000" w:themeColor="text1"/>
          <w:sz w:val="24"/>
        </w:rPr>
        <w:t xml:space="preserve"> stoicism w</w:t>
      </w:r>
      <w:r w:rsidR="00B3034F">
        <w:rPr>
          <w:color w:val="000000" w:themeColor="text1"/>
          <w:sz w:val="24"/>
        </w:rPr>
        <w:t>ere</w:t>
      </w:r>
      <w:r w:rsidRPr="0070666C">
        <w:rPr>
          <w:color w:val="000000" w:themeColor="text1"/>
          <w:sz w:val="24"/>
        </w:rPr>
        <w:t xml:space="preserve"> evident among staff too and </w:t>
      </w:r>
      <w:r w:rsidR="00B3034F">
        <w:rPr>
          <w:color w:val="000000" w:themeColor="text1"/>
          <w:sz w:val="24"/>
        </w:rPr>
        <w:t xml:space="preserve">seem to represent a </w:t>
      </w:r>
      <w:r w:rsidRPr="0070666C">
        <w:rPr>
          <w:color w:val="000000" w:themeColor="text1"/>
          <w:sz w:val="24"/>
        </w:rPr>
        <w:t>widespread occupational response among the victim support sector. As a gatekeeper reflecting on their job once uttered to me, ‘If you didn’t laugh, you’d cry’.</w:t>
      </w:r>
    </w:p>
    <w:p w14:paraId="6EB64F66" w14:textId="77777777" w:rsidR="008F6E67" w:rsidRDefault="0070666C" w:rsidP="00986C1C">
      <w:pPr>
        <w:pStyle w:val="ABKWH"/>
        <w:spacing w:line="360" w:lineRule="auto"/>
        <w:ind w:firstLine="720"/>
        <w:contextualSpacing/>
        <w:jc w:val="both"/>
        <w:rPr>
          <w:color w:val="000000" w:themeColor="text1"/>
          <w:sz w:val="24"/>
        </w:rPr>
      </w:pPr>
      <w:r w:rsidRPr="0070666C">
        <w:rPr>
          <w:color w:val="000000" w:themeColor="text1"/>
          <w:sz w:val="24"/>
        </w:rPr>
        <w:t>Understanding sadness, anger, or other ostensibly difficult emotions as various forms of emotional labour (Hochschild, 20</w:t>
      </w:r>
      <w:r w:rsidR="0007744A">
        <w:rPr>
          <w:color w:val="000000" w:themeColor="text1"/>
          <w:sz w:val="24"/>
        </w:rPr>
        <w:t>12</w:t>
      </w:r>
      <w:r w:rsidR="008F6E67">
        <w:rPr>
          <w:color w:val="000000" w:themeColor="text1"/>
          <w:sz w:val="24"/>
        </w:rPr>
        <w:t>;</w:t>
      </w:r>
      <w:r w:rsidR="008F6E67" w:rsidRPr="008F6E67">
        <w:rPr>
          <w:color w:val="000000" w:themeColor="text1"/>
          <w:sz w:val="24"/>
        </w:rPr>
        <w:t xml:space="preserve"> </w:t>
      </w:r>
      <w:r w:rsidR="008F6E67">
        <w:rPr>
          <w:color w:val="000000" w:themeColor="text1"/>
          <w:sz w:val="24"/>
        </w:rPr>
        <w:t>Ward and McMurray, 2016</w:t>
      </w:r>
      <w:r w:rsidRPr="0070666C">
        <w:rPr>
          <w:color w:val="000000" w:themeColor="text1"/>
          <w:sz w:val="24"/>
        </w:rPr>
        <w:t>), emotion work (Dickson-Swift et al., 2009) and participant/researcher co-construction (</w:t>
      </w:r>
      <w:proofErr w:type="spellStart"/>
      <w:r w:rsidRPr="0070666C">
        <w:rPr>
          <w:color w:val="000000" w:themeColor="text1"/>
          <w:sz w:val="24"/>
        </w:rPr>
        <w:t>Riessman</w:t>
      </w:r>
      <w:proofErr w:type="spellEnd"/>
      <w:r w:rsidRPr="0070666C">
        <w:rPr>
          <w:color w:val="000000" w:themeColor="text1"/>
          <w:sz w:val="24"/>
        </w:rPr>
        <w:t xml:space="preserve">, 2008: 40) aided in making sense of </w:t>
      </w:r>
      <w:r w:rsidR="008F6E67">
        <w:rPr>
          <w:color w:val="000000" w:themeColor="text1"/>
          <w:sz w:val="24"/>
        </w:rPr>
        <w:t>them</w:t>
      </w:r>
      <w:r w:rsidRPr="0070666C">
        <w:rPr>
          <w:color w:val="000000" w:themeColor="text1"/>
          <w:sz w:val="24"/>
        </w:rPr>
        <w:t xml:space="preserve">. </w:t>
      </w:r>
      <w:r w:rsidR="008F6E67">
        <w:rPr>
          <w:color w:val="000000" w:themeColor="text1"/>
          <w:sz w:val="24"/>
        </w:rPr>
        <w:t>That s</w:t>
      </w:r>
      <w:r w:rsidRPr="0070666C">
        <w:rPr>
          <w:color w:val="000000" w:themeColor="text1"/>
          <w:sz w:val="24"/>
        </w:rPr>
        <w:t xml:space="preserve">uch </w:t>
      </w:r>
      <w:r w:rsidR="008F6E67">
        <w:rPr>
          <w:color w:val="000000" w:themeColor="text1"/>
          <w:sz w:val="24"/>
        </w:rPr>
        <w:t>experience</w:t>
      </w:r>
      <w:r w:rsidRPr="0070666C">
        <w:rPr>
          <w:color w:val="000000" w:themeColor="text1"/>
          <w:sz w:val="24"/>
        </w:rPr>
        <w:t xml:space="preserve">s are </w:t>
      </w:r>
      <w:r w:rsidR="004D01CD">
        <w:rPr>
          <w:color w:val="000000" w:themeColor="text1"/>
          <w:sz w:val="24"/>
        </w:rPr>
        <w:t xml:space="preserve">increasingly </w:t>
      </w:r>
      <w:r w:rsidRPr="0070666C">
        <w:rPr>
          <w:color w:val="000000" w:themeColor="text1"/>
          <w:sz w:val="24"/>
        </w:rPr>
        <w:t xml:space="preserve">acknowledged within </w:t>
      </w:r>
      <w:r w:rsidR="004D01CD">
        <w:rPr>
          <w:color w:val="000000" w:themeColor="text1"/>
          <w:sz w:val="24"/>
        </w:rPr>
        <w:t xml:space="preserve">qualitative </w:t>
      </w:r>
      <w:r w:rsidRPr="0070666C">
        <w:rPr>
          <w:color w:val="000000" w:themeColor="text1"/>
          <w:sz w:val="24"/>
        </w:rPr>
        <w:t>literature</w:t>
      </w:r>
      <w:r w:rsidR="008F6E67">
        <w:rPr>
          <w:color w:val="000000" w:themeColor="text1"/>
          <w:sz w:val="24"/>
        </w:rPr>
        <w:t>s</w:t>
      </w:r>
      <w:r w:rsidR="004D01CD">
        <w:rPr>
          <w:color w:val="000000" w:themeColor="text1"/>
          <w:sz w:val="24"/>
        </w:rPr>
        <w:t xml:space="preserve"> </w:t>
      </w:r>
      <w:r w:rsidRPr="0070666C">
        <w:rPr>
          <w:color w:val="000000" w:themeColor="text1"/>
          <w:sz w:val="24"/>
        </w:rPr>
        <w:t xml:space="preserve">did genuinely help me to keep a sense of perspective on them. </w:t>
      </w:r>
      <w:r w:rsidR="004D01CD">
        <w:rPr>
          <w:color w:val="000000" w:themeColor="text1"/>
          <w:sz w:val="24"/>
        </w:rPr>
        <w:t>However, it is important to recognize the peculiarity of the labour process for doctoral research students.</w:t>
      </w:r>
      <w:r w:rsidR="004F6A93">
        <w:rPr>
          <w:color w:val="000000" w:themeColor="text1"/>
          <w:sz w:val="24"/>
        </w:rPr>
        <w:t xml:space="preserve"> </w:t>
      </w:r>
      <w:r w:rsidR="008F6E67">
        <w:rPr>
          <w:color w:val="000000" w:themeColor="text1"/>
          <w:sz w:val="24"/>
        </w:rPr>
        <w:t>F</w:t>
      </w:r>
      <w:r w:rsidR="005A745E">
        <w:rPr>
          <w:color w:val="000000" w:themeColor="text1"/>
          <w:sz w:val="24"/>
        </w:rPr>
        <w:t xml:space="preserve">ace-to-face interaction and production of emotional states in others are two pertinent factors in Hochschild’s (2012: 147) work, </w:t>
      </w:r>
      <w:r w:rsidR="008F6E67">
        <w:rPr>
          <w:color w:val="000000" w:themeColor="text1"/>
          <w:sz w:val="24"/>
        </w:rPr>
        <w:t>but whether</w:t>
      </w:r>
      <w:r w:rsidR="007C2F1F">
        <w:rPr>
          <w:color w:val="000000" w:themeColor="text1"/>
          <w:sz w:val="24"/>
        </w:rPr>
        <w:t xml:space="preserve"> </w:t>
      </w:r>
      <w:r w:rsidR="005A745E">
        <w:rPr>
          <w:color w:val="000000" w:themeColor="text1"/>
          <w:sz w:val="24"/>
        </w:rPr>
        <w:t>the e</w:t>
      </w:r>
      <w:r w:rsidR="007C2F1F">
        <w:rPr>
          <w:color w:val="000000" w:themeColor="text1"/>
          <w:sz w:val="24"/>
        </w:rPr>
        <w:t xml:space="preserve">xercising of control by employers over the emotional activity of employees necessarily captures the self-directed dynamic of impression management among lone researchers remains a moot point. </w:t>
      </w:r>
      <w:r w:rsidR="002C5EEA">
        <w:rPr>
          <w:color w:val="000000" w:themeColor="text1"/>
          <w:sz w:val="24"/>
        </w:rPr>
        <w:t xml:space="preserve">That humor surfaces as a natural, automatic, spontaneous, and often protective response to violence, </w:t>
      </w:r>
      <w:r w:rsidR="008F6E67">
        <w:rPr>
          <w:color w:val="000000" w:themeColor="text1"/>
          <w:sz w:val="24"/>
        </w:rPr>
        <w:t>either</w:t>
      </w:r>
      <w:r w:rsidR="002C5EEA">
        <w:rPr>
          <w:color w:val="000000" w:themeColor="text1"/>
          <w:sz w:val="24"/>
        </w:rPr>
        <w:t xml:space="preserve"> in research</w:t>
      </w:r>
      <w:r w:rsidR="008F6E67">
        <w:rPr>
          <w:color w:val="000000" w:themeColor="text1"/>
          <w:sz w:val="24"/>
        </w:rPr>
        <w:t>/</w:t>
      </w:r>
      <w:r w:rsidR="002C5EEA">
        <w:rPr>
          <w:color w:val="000000" w:themeColor="text1"/>
          <w:sz w:val="24"/>
        </w:rPr>
        <w:t xml:space="preserve">teaching contexts (see, for example, Moran et al., 2002 and </w:t>
      </w:r>
      <w:proofErr w:type="spellStart"/>
      <w:r w:rsidR="002C5EEA">
        <w:rPr>
          <w:color w:val="000000" w:themeColor="text1"/>
          <w:sz w:val="24"/>
        </w:rPr>
        <w:t>Brina</w:t>
      </w:r>
      <w:proofErr w:type="spellEnd"/>
      <w:r w:rsidR="002C5EEA">
        <w:rPr>
          <w:color w:val="000000" w:themeColor="text1"/>
          <w:sz w:val="24"/>
        </w:rPr>
        <w:t xml:space="preserve">, 2003 respectively) </w:t>
      </w:r>
      <w:r w:rsidR="008F6E67">
        <w:rPr>
          <w:color w:val="000000" w:themeColor="text1"/>
          <w:sz w:val="24"/>
        </w:rPr>
        <w:t>or</w:t>
      </w:r>
      <w:r w:rsidR="002C5EEA">
        <w:rPr>
          <w:color w:val="000000" w:themeColor="text1"/>
          <w:sz w:val="24"/>
        </w:rPr>
        <w:t xml:space="preserve"> occupational settings beyond the university </w:t>
      </w:r>
      <w:r w:rsidR="007C2F1F">
        <w:rPr>
          <w:color w:val="000000" w:themeColor="text1"/>
          <w:sz w:val="24"/>
        </w:rPr>
        <w:t xml:space="preserve">(see, inter alia, Scott, 2007; Rowe and </w:t>
      </w:r>
      <w:proofErr w:type="spellStart"/>
      <w:r w:rsidR="007C2F1F">
        <w:rPr>
          <w:color w:val="000000" w:themeColor="text1"/>
          <w:sz w:val="24"/>
        </w:rPr>
        <w:t>Regehr</w:t>
      </w:r>
      <w:proofErr w:type="spellEnd"/>
      <w:r w:rsidR="007C2F1F">
        <w:rPr>
          <w:color w:val="000000" w:themeColor="text1"/>
          <w:sz w:val="24"/>
        </w:rPr>
        <w:t>, 2010)</w:t>
      </w:r>
      <w:r w:rsidR="002C5EEA">
        <w:rPr>
          <w:color w:val="000000" w:themeColor="text1"/>
          <w:sz w:val="24"/>
        </w:rPr>
        <w:t>, is rightly recognized as</w:t>
      </w:r>
      <w:r w:rsidR="008F6E67">
        <w:rPr>
          <w:color w:val="000000" w:themeColor="text1"/>
          <w:sz w:val="24"/>
        </w:rPr>
        <w:t xml:space="preserve"> </w:t>
      </w:r>
      <w:r w:rsidR="002C5EEA">
        <w:rPr>
          <w:color w:val="000000" w:themeColor="text1"/>
          <w:sz w:val="24"/>
        </w:rPr>
        <w:t xml:space="preserve">important sociological phenomena </w:t>
      </w:r>
      <w:r w:rsidR="001202D1">
        <w:rPr>
          <w:color w:val="000000" w:themeColor="text1"/>
          <w:sz w:val="24"/>
        </w:rPr>
        <w:t xml:space="preserve">capable of ‘smoothing difficulties and creating ‘mutuality’’ </w:t>
      </w:r>
      <w:r w:rsidR="002C5EEA">
        <w:rPr>
          <w:color w:val="000000" w:themeColor="text1"/>
          <w:sz w:val="24"/>
        </w:rPr>
        <w:t>(Watson, 2015</w:t>
      </w:r>
      <w:r w:rsidR="001202D1">
        <w:rPr>
          <w:color w:val="000000" w:themeColor="text1"/>
          <w:sz w:val="24"/>
        </w:rPr>
        <w:t>: 135</w:t>
      </w:r>
      <w:r w:rsidR="002C5EEA">
        <w:rPr>
          <w:color w:val="000000" w:themeColor="text1"/>
          <w:sz w:val="24"/>
        </w:rPr>
        <w:t>).</w:t>
      </w:r>
      <w:r w:rsidR="00512C5C">
        <w:rPr>
          <w:color w:val="000000" w:themeColor="text1"/>
          <w:sz w:val="24"/>
        </w:rPr>
        <w:t xml:space="preserve"> That greater attention should be paid to these ‘little things’ we do to steady ourselves </w:t>
      </w:r>
      <w:r w:rsidR="008F6E67">
        <w:rPr>
          <w:color w:val="000000" w:themeColor="text1"/>
          <w:sz w:val="24"/>
        </w:rPr>
        <w:t>during</w:t>
      </w:r>
      <w:r w:rsidR="00512C5C">
        <w:rPr>
          <w:color w:val="000000" w:themeColor="text1"/>
          <w:sz w:val="24"/>
        </w:rPr>
        <w:t xml:space="preserve"> our research comes second to the fact that we will surely do them anyway.</w:t>
      </w:r>
    </w:p>
    <w:p w14:paraId="2BA2C3E3" w14:textId="6C450D81" w:rsidR="0001129E" w:rsidRDefault="00512C5C" w:rsidP="00986C1C">
      <w:pPr>
        <w:pStyle w:val="ABKWH"/>
        <w:spacing w:line="360" w:lineRule="auto"/>
        <w:ind w:firstLine="720"/>
        <w:contextualSpacing/>
        <w:jc w:val="both"/>
        <w:rPr>
          <w:color w:val="000000" w:themeColor="text1"/>
          <w:sz w:val="24"/>
        </w:rPr>
      </w:pPr>
      <w:r>
        <w:rPr>
          <w:color w:val="000000" w:themeColor="text1"/>
          <w:sz w:val="24"/>
        </w:rPr>
        <w:t xml:space="preserve">That is not to say we cannot learn from them. </w:t>
      </w:r>
      <w:r w:rsidR="00BB6EB3">
        <w:rPr>
          <w:color w:val="000000" w:themeColor="text1"/>
          <w:sz w:val="24"/>
        </w:rPr>
        <w:t>Situating our emotional labour</w:t>
      </w:r>
      <w:r w:rsidR="00BB6EB3" w:rsidRPr="00801611">
        <w:rPr>
          <w:color w:val="FF0000"/>
          <w:sz w:val="24"/>
        </w:rPr>
        <w:t xml:space="preserve"> </w:t>
      </w:r>
      <w:r w:rsidR="00BB6EB3">
        <w:rPr>
          <w:color w:val="000000" w:themeColor="text1"/>
          <w:sz w:val="24"/>
        </w:rPr>
        <w:t xml:space="preserve">as qualitative researchers among a range of extraneous but </w:t>
      </w:r>
      <w:r w:rsidR="008F6E67">
        <w:rPr>
          <w:color w:val="000000" w:themeColor="text1"/>
          <w:sz w:val="24"/>
        </w:rPr>
        <w:t>distinctly</w:t>
      </w:r>
      <w:r>
        <w:rPr>
          <w:color w:val="000000" w:themeColor="text1"/>
          <w:sz w:val="24"/>
        </w:rPr>
        <w:t xml:space="preserve"> </w:t>
      </w:r>
      <w:r w:rsidR="00BB6EB3">
        <w:rPr>
          <w:color w:val="000000" w:themeColor="text1"/>
          <w:sz w:val="24"/>
        </w:rPr>
        <w:t xml:space="preserve">everyday and routine </w:t>
      </w:r>
      <w:r w:rsidR="00BB6EB3">
        <w:rPr>
          <w:color w:val="000000" w:themeColor="text1"/>
          <w:sz w:val="24"/>
        </w:rPr>
        <w:lastRenderedPageBreak/>
        <w:t xml:space="preserve">factors in our lives maintains the always-relational nature of research ethics and guards against the charge of narcissism often levelled at autoethnographic research accounts (see Ellis, 2009 </w:t>
      </w:r>
      <w:r w:rsidR="00B55617">
        <w:rPr>
          <w:color w:val="000000" w:themeColor="text1"/>
          <w:sz w:val="24"/>
        </w:rPr>
        <w:t xml:space="preserve">for a </w:t>
      </w:r>
      <w:r w:rsidR="00BB6EB3">
        <w:rPr>
          <w:color w:val="000000" w:themeColor="text1"/>
          <w:sz w:val="24"/>
        </w:rPr>
        <w:t xml:space="preserve">rebuttal). The distinction between </w:t>
      </w:r>
      <w:r w:rsidR="00EF6D7C">
        <w:rPr>
          <w:color w:val="000000" w:themeColor="text1"/>
          <w:sz w:val="24"/>
        </w:rPr>
        <w:t>‘</w:t>
      </w:r>
      <w:r w:rsidR="00BB6EB3">
        <w:rPr>
          <w:color w:val="000000" w:themeColor="text1"/>
          <w:sz w:val="24"/>
        </w:rPr>
        <w:t>procedural ethics</w:t>
      </w:r>
      <w:r w:rsidR="00EF6D7C">
        <w:rPr>
          <w:color w:val="000000" w:themeColor="text1"/>
          <w:sz w:val="24"/>
        </w:rPr>
        <w:t>’</w:t>
      </w:r>
      <w:r w:rsidR="00BB6EB3">
        <w:rPr>
          <w:color w:val="000000" w:themeColor="text1"/>
          <w:sz w:val="24"/>
        </w:rPr>
        <w:t xml:space="preserve"> and </w:t>
      </w:r>
      <w:r w:rsidR="00EF6D7C">
        <w:rPr>
          <w:color w:val="000000" w:themeColor="text1"/>
          <w:sz w:val="24"/>
        </w:rPr>
        <w:t>‘</w:t>
      </w:r>
      <w:r w:rsidR="00BB6EB3">
        <w:rPr>
          <w:color w:val="000000" w:themeColor="text1"/>
          <w:sz w:val="24"/>
        </w:rPr>
        <w:t>ethics in practice</w:t>
      </w:r>
      <w:r w:rsidR="00EF6D7C">
        <w:rPr>
          <w:color w:val="000000" w:themeColor="text1"/>
          <w:sz w:val="24"/>
        </w:rPr>
        <w:t>’</w:t>
      </w:r>
      <w:r w:rsidR="00BB6EB3">
        <w:rPr>
          <w:color w:val="000000" w:themeColor="text1"/>
          <w:sz w:val="24"/>
        </w:rPr>
        <w:t xml:space="preserve"> offered </w:t>
      </w:r>
      <w:r w:rsidR="00EF6D7C">
        <w:rPr>
          <w:color w:val="000000" w:themeColor="text1"/>
          <w:sz w:val="24"/>
        </w:rPr>
        <w:t>in</w:t>
      </w:r>
      <w:r w:rsidR="00BB6EB3">
        <w:rPr>
          <w:color w:val="000000" w:themeColor="text1"/>
          <w:sz w:val="24"/>
        </w:rPr>
        <w:t xml:space="preserve"> Guillemin and Gillam</w:t>
      </w:r>
      <w:r w:rsidR="00EF6D7C">
        <w:rPr>
          <w:color w:val="000000" w:themeColor="text1"/>
          <w:sz w:val="24"/>
        </w:rPr>
        <w:t>’s account</w:t>
      </w:r>
      <w:r w:rsidR="00BB6EB3">
        <w:rPr>
          <w:color w:val="000000" w:themeColor="text1"/>
          <w:sz w:val="24"/>
        </w:rPr>
        <w:t xml:space="preserve"> should thus be thought of as both mutually inclusive and contingent on our existing relationships, prior research experience, and ongoing logistical factors such as health, work-life balance, and </w:t>
      </w:r>
      <w:r w:rsidR="00EF6D7C">
        <w:rPr>
          <w:color w:val="000000" w:themeColor="text1"/>
          <w:sz w:val="24"/>
        </w:rPr>
        <w:t>mental wellbeing</w:t>
      </w:r>
      <w:r w:rsidR="00BB6EB3">
        <w:rPr>
          <w:color w:val="000000" w:themeColor="text1"/>
          <w:sz w:val="24"/>
        </w:rPr>
        <w:t>, independent of (but potentially affected by) the research topic at hand, no matter how harrowing that may be.</w:t>
      </w:r>
      <w:r w:rsidR="00EF6D7C">
        <w:rPr>
          <w:color w:val="000000" w:themeColor="text1"/>
          <w:sz w:val="24"/>
        </w:rPr>
        <w:t xml:space="preserve"> </w:t>
      </w:r>
      <w:r w:rsidR="00B55617">
        <w:rPr>
          <w:color w:val="000000" w:themeColor="text1"/>
          <w:sz w:val="24"/>
        </w:rPr>
        <w:t>It</w:t>
      </w:r>
      <w:r w:rsidR="00EF6D7C">
        <w:rPr>
          <w:color w:val="000000" w:themeColor="text1"/>
          <w:sz w:val="24"/>
        </w:rPr>
        <w:t xml:space="preserve"> is </w:t>
      </w:r>
      <w:proofErr w:type="gramStart"/>
      <w:r w:rsidR="00B55617">
        <w:rPr>
          <w:color w:val="000000" w:themeColor="text1"/>
          <w:sz w:val="24"/>
        </w:rPr>
        <w:t>in light of</w:t>
      </w:r>
      <w:proofErr w:type="gramEnd"/>
      <w:r w:rsidR="00B55617">
        <w:rPr>
          <w:color w:val="000000" w:themeColor="text1"/>
          <w:sz w:val="24"/>
        </w:rPr>
        <w:t xml:space="preserve"> these observations </w:t>
      </w:r>
      <w:r w:rsidR="00EF6D7C">
        <w:rPr>
          <w:color w:val="000000" w:themeColor="text1"/>
          <w:sz w:val="24"/>
        </w:rPr>
        <w:t>that the article now returns</w:t>
      </w:r>
      <w:r w:rsidR="00B55617">
        <w:rPr>
          <w:color w:val="000000" w:themeColor="text1"/>
          <w:sz w:val="24"/>
        </w:rPr>
        <w:t xml:space="preserve"> to their account</w:t>
      </w:r>
      <w:r w:rsidR="00EF6D7C">
        <w:rPr>
          <w:color w:val="000000" w:themeColor="text1"/>
          <w:sz w:val="24"/>
        </w:rPr>
        <w:t>.</w:t>
      </w:r>
    </w:p>
    <w:p w14:paraId="0904B7E1" w14:textId="77777777" w:rsidR="00EF5A5A" w:rsidRPr="001F4339" w:rsidRDefault="00EF5A5A" w:rsidP="00135CAE">
      <w:pPr>
        <w:pStyle w:val="ABKWH"/>
        <w:contextualSpacing/>
        <w:jc w:val="both"/>
        <w:rPr>
          <w:color w:val="000000" w:themeColor="text1"/>
          <w:sz w:val="24"/>
        </w:rPr>
      </w:pPr>
    </w:p>
    <w:p w14:paraId="0FAFAFA7" w14:textId="765AD698" w:rsidR="008D03F1" w:rsidRDefault="00CA3EA3" w:rsidP="00135CAE">
      <w:pPr>
        <w:pStyle w:val="Heading2"/>
        <w:jc w:val="both"/>
      </w:pPr>
      <w:bookmarkStart w:id="1" w:name="_Hlk11335801"/>
      <w:r>
        <w:t xml:space="preserve">Emotive Research and Reflexivity: </w:t>
      </w:r>
      <w:r w:rsidR="008D03F1">
        <w:t>Procedural and Field Ethics</w:t>
      </w:r>
      <w:r w:rsidR="002E4B26">
        <w:t>-</w:t>
      </w:r>
      <w:r w:rsidR="008D03F1">
        <w:t>as</w:t>
      </w:r>
      <w:r w:rsidR="002E4B26">
        <w:t>-</w:t>
      </w:r>
      <w:r w:rsidR="008D03F1">
        <w:t>Practice</w:t>
      </w:r>
    </w:p>
    <w:p w14:paraId="61F25DB3" w14:textId="77777777" w:rsidR="008D03F1" w:rsidRDefault="008D03F1" w:rsidP="00135CAE">
      <w:pPr>
        <w:pStyle w:val="ABKWH"/>
        <w:contextualSpacing/>
        <w:jc w:val="both"/>
        <w:rPr>
          <w:color w:val="000000" w:themeColor="text1"/>
          <w:sz w:val="24"/>
        </w:rPr>
      </w:pPr>
    </w:p>
    <w:p w14:paraId="5CB8F16A" w14:textId="5A2CE3DF" w:rsidR="00F178B0" w:rsidRDefault="00EF6AFF" w:rsidP="00F65CD9">
      <w:pPr>
        <w:pStyle w:val="ABKWH"/>
        <w:spacing w:line="360" w:lineRule="auto"/>
        <w:contextualSpacing/>
        <w:jc w:val="both"/>
        <w:rPr>
          <w:color w:val="000000" w:themeColor="text1"/>
          <w:sz w:val="24"/>
        </w:rPr>
      </w:pPr>
      <w:r>
        <w:rPr>
          <w:color w:val="000000" w:themeColor="text1"/>
          <w:sz w:val="24"/>
        </w:rPr>
        <w:t>Returning to Guillemin and Gillam’s (2004) account</w:t>
      </w:r>
      <w:r w:rsidR="00C06815">
        <w:rPr>
          <w:color w:val="000000" w:themeColor="text1"/>
          <w:sz w:val="24"/>
        </w:rPr>
        <w:t>,</w:t>
      </w:r>
      <w:r>
        <w:rPr>
          <w:color w:val="000000" w:themeColor="text1"/>
          <w:sz w:val="24"/>
        </w:rPr>
        <w:t xml:space="preserve"> précised in the introduction and </w:t>
      </w:r>
      <w:r w:rsidR="00C16BA3">
        <w:rPr>
          <w:color w:val="000000" w:themeColor="text1"/>
          <w:sz w:val="24"/>
        </w:rPr>
        <w:t>used</w:t>
      </w:r>
      <w:r>
        <w:rPr>
          <w:color w:val="000000" w:themeColor="text1"/>
          <w:sz w:val="24"/>
        </w:rPr>
        <w:t xml:space="preserve"> as a </w:t>
      </w:r>
      <w:r w:rsidR="001F2302">
        <w:rPr>
          <w:color w:val="000000" w:themeColor="text1"/>
          <w:sz w:val="24"/>
        </w:rPr>
        <w:t>comparative</w:t>
      </w:r>
      <w:r>
        <w:rPr>
          <w:color w:val="000000" w:themeColor="text1"/>
          <w:sz w:val="24"/>
        </w:rPr>
        <w:t xml:space="preserve"> device for structuring this article</w:t>
      </w:r>
      <w:r w:rsidR="00C06815">
        <w:rPr>
          <w:color w:val="000000" w:themeColor="text1"/>
          <w:sz w:val="24"/>
        </w:rPr>
        <w:t>,</w:t>
      </w:r>
      <w:r>
        <w:rPr>
          <w:color w:val="000000" w:themeColor="text1"/>
          <w:sz w:val="24"/>
        </w:rPr>
        <w:t xml:space="preserve"> prompts a series of critical and appreciative rejoinders. </w:t>
      </w:r>
      <w:r w:rsidR="00132D4C">
        <w:rPr>
          <w:color w:val="000000" w:themeColor="text1"/>
          <w:sz w:val="24"/>
        </w:rPr>
        <w:t>B</w:t>
      </w:r>
      <w:r w:rsidR="0001129E">
        <w:rPr>
          <w:color w:val="000000" w:themeColor="text1"/>
          <w:sz w:val="24"/>
        </w:rPr>
        <w:t>oth the ‘procedural ethics’ and ‘ethics in practice’ aspects of th</w:t>
      </w:r>
      <w:r>
        <w:rPr>
          <w:color w:val="000000" w:themeColor="text1"/>
          <w:sz w:val="24"/>
        </w:rPr>
        <w:t>is</w:t>
      </w:r>
      <w:r w:rsidR="0001129E">
        <w:rPr>
          <w:color w:val="000000" w:themeColor="text1"/>
          <w:sz w:val="24"/>
        </w:rPr>
        <w:t xml:space="preserve"> research</w:t>
      </w:r>
      <w:r>
        <w:rPr>
          <w:color w:val="000000" w:themeColor="text1"/>
          <w:sz w:val="24"/>
        </w:rPr>
        <w:t xml:space="preserve"> project</w:t>
      </w:r>
      <w:r w:rsidR="0001129E">
        <w:rPr>
          <w:color w:val="000000" w:themeColor="text1"/>
          <w:sz w:val="24"/>
        </w:rPr>
        <w:t xml:space="preserve"> involved the negotiation of what Guillemin and Gillam (2004: 265) refer to as dilemmas, or ‘ethically important </w:t>
      </w:r>
      <w:proofErr w:type="gramStart"/>
      <w:r w:rsidR="0001129E">
        <w:rPr>
          <w:color w:val="000000" w:themeColor="text1"/>
          <w:sz w:val="24"/>
        </w:rPr>
        <w:t>moments’</w:t>
      </w:r>
      <w:proofErr w:type="gramEnd"/>
      <w:r w:rsidR="0001129E">
        <w:rPr>
          <w:color w:val="000000" w:themeColor="text1"/>
          <w:sz w:val="24"/>
        </w:rPr>
        <w:t xml:space="preserve">. </w:t>
      </w:r>
      <w:r w:rsidR="00C06815">
        <w:rPr>
          <w:color w:val="000000" w:themeColor="text1"/>
          <w:sz w:val="24"/>
        </w:rPr>
        <w:t>These are n</w:t>
      </w:r>
      <w:r w:rsidR="0001129E">
        <w:rPr>
          <w:color w:val="000000" w:themeColor="text1"/>
          <w:sz w:val="24"/>
        </w:rPr>
        <w:t>ot</w:t>
      </w:r>
      <w:r w:rsidR="00C06815">
        <w:rPr>
          <w:color w:val="000000" w:themeColor="text1"/>
          <w:sz w:val="24"/>
        </w:rPr>
        <w:t xml:space="preserve"> always</w:t>
      </w:r>
      <w:r w:rsidR="0001129E">
        <w:rPr>
          <w:color w:val="000000" w:themeColor="text1"/>
          <w:sz w:val="24"/>
        </w:rPr>
        <w:t xml:space="preserve"> dilemmas of the spectacular or ‘red-letter’ variety where we necessarily </w:t>
      </w:r>
      <w:r>
        <w:rPr>
          <w:color w:val="000000" w:themeColor="text1"/>
          <w:sz w:val="24"/>
        </w:rPr>
        <w:t>find ourselves</w:t>
      </w:r>
      <w:r w:rsidR="0001129E">
        <w:rPr>
          <w:color w:val="000000" w:themeColor="text1"/>
          <w:sz w:val="24"/>
        </w:rPr>
        <w:t xml:space="preserve"> stuck ‘on the horns of a dilemma’</w:t>
      </w:r>
      <w:r>
        <w:rPr>
          <w:color w:val="000000" w:themeColor="text1"/>
          <w:sz w:val="24"/>
        </w:rPr>
        <w:t xml:space="preserve"> as it were</w:t>
      </w:r>
      <w:r w:rsidR="0001129E">
        <w:rPr>
          <w:color w:val="000000" w:themeColor="text1"/>
          <w:sz w:val="24"/>
        </w:rPr>
        <w:t xml:space="preserve"> (often quite the opposite)</w:t>
      </w:r>
      <w:r w:rsidR="00DD79CD">
        <w:rPr>
          <w:color w:val="000000" w:themeColor="text1"/>
          <w:sz w:val="24"/>
        </w:rPr>
        <w:t xml:space="preserve"> – </w:t>
      </w:r>
      <w:r w:rsidR="0001129E">
        <w:rPr>
          <w:color w:val="000000" w:themeColor="text1"/>
          <w:sz w:val="24"/>
        </w:rPr>
        <w:t>rather</w:t>
      </w:r>
      <w:r w:rsidR="00DD79CD">
        <w:rPr>
          <w:color w:val="000000" w:themeColor="text1"/>
          <w:sz w:val="24"/>
        </w:rPr>
        <w:t xml:space="preserve"> </w:t>
      </w:r>
      <w:r w:rsidR="0001129E">
        <w:rPr>
          <w:color w:val="000000" w:themeColor="text1"/>
          <w:sz w:val="24"/>
        </w:rPr>
        <w:t>a much more every day, mundane</w:t>
      </w:r>
      <w:r w:rsidR="00DD79CD">
        <w:rPr>
          <w:color w:val="000000" w:themeColor="text1"/>
          <w:sz w:val="24"/>
        </w:rPr>
        <w:t>, and unending</w:t>
      </w:r>
      <w:r w:rsidR="0001129E">
        <w:rPr>
          <w:color w:val="000000" w:themeColor="text1"/>
          <w:sz w:val="24"/>
        </w:rPr>
        <w:t xml:space="preserve"> sort</w:t>
      </w:r>
      <w:r w:rsidR="00DD79CD">
        <w:rPr>
          <w:color w:val="000000" w:themeColor="text1"/>
          <w:sz w:val="24"/>
        </w:rPr>
        <w:t xml:space="preserve"> of decision-making</w:t>
      </w:r>
      <w:r w:rsidR="0001129E">
        <w:rPr>
          <w:color w:val="000000" w:themeColor="text1"/>
          <w:sz w:val="24"/>
        </w:rPr>
        <w:t xml:space="preserve"> but which nonetheless require</w:t>
      </w:r>
      <w:r w:rsidR="00C06815">
        <w:rPr>
          <w:color w:val="000000" w:themeColor="text1"/>
          <w:sz w:val="24"/>
        </w:rPr>
        <w:t>s</w:t>
      </w:r>
      <w:r w:rsidR="00DD79CD">
        <w:rPr>
          <w:color w:val="000000" w:themeColor="text1"/>
          <w:sz w:val="24"/>
        </w:rPr>
        <w:t xml:space="preserve"> decisiveness</w:t>
      </w:r>
      <w:r w:rsidR="0001129E">
        <w:rPr>
          <w:color w:val="000000" w:themeColor="text1"/>
          <w:sz w:val="24"/>
        </w:rPr>
        <w:t xml:space="preserve"> (Guillemin and Gillam, 2004: 265).</w:t>
      </w:r>
      <w:r w:rsidR="00C06815">
        <w:rPr>
          <w:color w:val="000000" w:themeColor="text1"/>
          <w:sz w:val="24"/>
        </w:rPr>
        <w:t xml:space="preserve"> </w:t>
      </w:r>
      <w:r>
        <w:rPr>
          <w:color w:val="000000" w:themeColor="text1"/>
          <w:sz w:val="24"/>
        </w:rPr>
        <w:t xml:space="preserve">Indeed, that ongoing ethical reasoning exhibits this low-key, every day, mundane, and routine form is one of two central </w:t>
      </w:r>
      <w:r w:rsidR="001B2AB6">
        <w:rPr>
          <w:color w:val="000000" w:themeColor="text1"/>
          <w:sz w:val="24"/>
        </w:rPr>
        <w:t>claims</w:t>
      </w:r>
      <w:r>
        <w:rPr>
          <w:color w:val="000000" w:themeColor="text1"/>
          <w:sz w:val="24"/>
        </w:rPr>
        <w:t xml:space="preserve"> made by Guillemin and Gillam. The second is their </w:t>
      </w:r>
      <w:r w:rsidR="001B2AB6">
        <w:rPr>
          <w:color w:val="000000" w:themeColor="text1"/>
          <w:sz w:val="24"/>
        </w:rPr>
        <w:t>assertion that while having an awareness of ethically significant, often unexpected, and sometimes risky or challenging moments in our research practice (most of which are not necessarily forecast let alone realistically guarded against through research ethics committees) is important, this awareness alone ‘</w:t>
      </w:r>
      <w:r w:rsidR="001B2AB6" w:rsidRPr="001B2AB6">
        <w:rPr>
          <w:color w:val="000000" w:themeColor="text1"/>
          <w:sz w:val="24"/>
        </w:rPr>
        <w:t>is not helpful in addressing and dealing with these issues when</w:t>
      </w:r>
      <w:r w:rsidR="001B2AB6">
        <w:rPr>
          <w:color w:val="000000" w:themeColor="text1"/>
          <w:sz w:val="24"/>
        </w:rPr>
        <w:t xml:space="preserve"> </w:t>
      </w:r>
      <w:r w:rsidR="001B2AB6" w:rsidRPr="001B2AB6">
        <w:rPr>
          <w:color w:val="000000" w:themeColor="text1"/>
          <w:sz w:val="24"/>
        </w:rPr>
        <w:t>they arise</w:t>
      </w:r>
      <w:r w:rsidR="001B2AB6">
        <w:rPr>
          <w:color w:val="000000" w:themeColor="text1"/>
          <w:sz w:val="24"/>
        </w:rPr>
        <w:t xml:space="preserve">’ (Guillemin and Gillam, 2004: 273). </w:t>
      </w:r>
      <w:r w:rsidR="001F2302">
        <w:rPr>
          <w:color w:val="000000" w:themeColor="text1"/>
          <w:sz w:val="24"/>
        </w:rPr>
        <w:t>‘Reflexivity’</w:t>
      </w:r>
      <w:r w:rsidR="001B2AB6">
        <w:rPr>
          <w:color w:val="000000" w:themeColor="text1"/>
          <w:sz w:val="24"/>
        </w:rPr>
        <w:t>, they argue</w:t>
      </w:r>
      <w:r w:rsidR="00C06815">
        <w:rPr>
          <w:color w:val="000000" w:themeColor="text1"/>
          <w:sz w:val="24"/>
        </w:rPr>
        <w:t xml:space="preserve"> however</w:t>
      </w:r>
      <w:r w:rsidR="001B2AB6">
        <w:rPr>
          <w:color w:val="000000" w:themeColor="text1"/>
          <w:sz w:val="24"/>
        </w:rPr>
        <w:t xml:space="preserve">, is. It is </w:t>
      </w:r>
      <w:r w:rsidR="001F2302">
        <w:rPr>
          <w:color w:val="000000" w:themeColor="text1"/>
          <w:sz w:val="24"/>
        </w:rPr>
        <w:t xml:space="preserve">primarily </w:t>
      </w:r>
      <w:r w:rsidR="001B2AB6">
        <w:rPr>
          <w:color w:val="000000" w:themeColor="text1"/>
          <w:sz w:val="24"/>
        </w:rPr>
        <w:t>this latter claim, but particularly the</w:t>
      </w:r>
      <w:r w:rsidR="00C06815">
        <w:rPr>
          <w:color w:val="000000" w:themeColor="text1"/>
          <w:sz w:val="24"/>
        </w:rPr>
        <w:t>ir</w:t>
      </w:r>
      <w:r w:rsidR="001B2AB6">
        <w:rPr>
          <w:color w:val="000000" w:themeColor="text1"/>
          <w:sz w:val="24"/>
        </w:rPr>
        <w:t xml:space="preserve"> separation</w:t>
      </w:r>
      <w:r w:rsidR="001F2302">
        <w:rPr>
          <w:color w:val="000000" w:themeColor="text1"/>
          <w:sz w:val="24"/>
        </w:rPr>
        <w:t xml:space="preserve">, if </w:t>
      </w:r>
      <w:r w:rsidR="00C06815">
        <w:rPr>
          <w:color w:val="000000" w:themeColor="text1"/>
          <w:sz w:val="24"/>
        </w:rPr>
        <w:t>chiefly</w:t>
      </w:r>
      <w:r w:rsidR="001F2302">
        <w:rPr>
          <w:color w:val="000000" w:themeColor="text1"/>
          <w:sz w:val="24"/>
        </w:rPr>
        <w:t xml:space="preserve"> heuristic, between the two </w:t>
      </w:r>
      <w:r w:rsidR="001F2302">
        <w:rPr>
          <w:color w:val="000000" w:themeColor="text1"/>
          <w:sz w:val="24"/>
        </w:rPr>
        <w:lastRenderedPageBreak/>
        <w:t xml:space="preserve">which </w:t>
      </w:r>
      <w:r w:rsidR="00C06815">
        <w:rPr>
          <w:color w:val="000000" w:themeColor="text1"/>
          <w:sz w:val="24"/>
        </w:rPr>
        <w:t>is worth mulling over: ethics and its ‘everydayness’; ‘reflexivity’ as the solution to negotiating it</w:t>
      </w:r>
      <w:r w:rsidR="001F2302">
        <w:rPr>
          <w:color w:val="000000" w:themeColor="text1"/>
          <w:sz w:val="24"/>
        </w:rPr>
        <w:t>.</w:t>
      </w:r>
    </w:p>
    <w:p w14:paraId="748B6D28" w14:textId="2CF8CC7E" w:rsidR="00F178B0" w:rsidRDefault="00BF3031" w:rsidP="00F178B0">
      <w:pPr>
        <w:pStyle w:val="ABKWH"/>
        <w:spacing w:line="360" w:lineRule="auto"/>
        <w:ind w:firstLine="720"/>
        <w:contextualSpacing/>
        <w:jc w:val="both"/>
        <w:rPr>
          <w:color w:val="000000" w:themeColor="text1"/>
          <w:sz w:val="24"/>
        </w:rPr>
      </w:pPr>
      <w:r>
        <w:rPr>
          <w:color w:val="000000" w:themeColor="text1"/>
          <w:sz w:val="24"/>
        </w:rPr>
        <w:t xml:space="preserve">While Guillemin and Gillam’s article </w:t>
      </w:r>
      <w:proofErr w:type="gramStart"/>
      <w:r>
        <w:rPr>
          <w:color w:val="000000" w:themeColor="text1"/>
          <w:sz w:val="24"/>
        </w:rPr>
        <w:t>is</w:t>
      </w:r>
      <w:proofErr w:type="gramEnd"/>
      <w:r>
        <w:rPr>
          <w:color w:val="000000" w:themeColor="text1"/>
          <w:sz w:val="24"/>
        </w:rPr>
        <w:t xml:space="preserve"> now fifteen years old, the</w:t>
      </w:r>
      <w:r w:rsidR="00BD0686">
        <w:rPr>
          <w:color w:val="000000" w:themeColor="text1"/>
          <w:sz w:val="24"/>
        </w:rPr>
        <w:t>ir</w:t>
      </w:r>
      <w:r>
        <w:rPr>
          <w:color w:val="000000" w:themeColor="text1"/>
          <w:sz w:val="24"/>
        </w:rPr>
        <w:t xml:space="preserve"> two </w:t>
      </w:r>
      <w:r w:rsidR="00BD0686">
        <w:rPr>
          <w:color w:val="000000" w:themeColor="text1"/>
          <w:sz w:val="24"/>
        </w:rPr>
        <w:t xml:space="preserve">related </w:t>
      </w:r>
      <w:r>
        <w:rPr>
          <w:color w:val="000000" w:themeColor="text1"/>
          <w:sz w:val="24"/>
        </w:rPr>
        <w:t xml:space="preserve">concerns </w:t>
      </w:r>
      <w:r w:rsidR="00BD0686">
        <w:rPr>
          <w:color w:val="000000" w:themeColor="text1"/>
          <w:sz w:val="24"/>
        </w:rPr>
        <w:t xml:space="preserve">– ‘reflexivity’ and ‘the everyday’ – </w:t>
      </w:r>
      <w:r>
        <w:rPr>
          <w:color w:val="000000" w:themeColor="text1"/>
          <w:sz w:val="24"/>
        </w:rPr>
        <w:t>remain at the heart of social science research methodology and ethics</w:t>
      </w:r>
      <w:r w:rsidR="00FA5FB1">
        <w:rPr>
          <w:color w:val="000000" w:themeColor="text1"/>
          <w:sz w:val="24"/>
        </w:rPr>
        <w:t xml:space="preserve"> debates</w:t>
      </w:r>
      <w:r>
        <w:rPr>
          <w:color w:val="000000" w:themeColor="text1"/>
          <w:sz w:val="24"/>
        </w:rPr>
        <w:t>,</w:t>
      </w:r>
      <w:r w:rsidR="00BD0686">
        <w:rPr>
          <w:color w:val="000000" w:themeColor="text1"/>
          <w:sz w:val="24"/>
        </w:rPr>
        <w:t xml:space="preserve"> even said to represent distinct ‘turns’ contemporarily (see </w:t>
      </w:r>
      <w:proofErr w:type="spellStart"/>
      <w:r w:rsidR="00BD0686">
        <w:rPr>
          <w:color w:val="000000" w:themeColor="text1"/>
          <w:sz w:val="24"/>
        </w:rPr>
        <w:t>Brownlie</w:t>
      </w:r>
      <w:proofErr w:type="spellEnd"/>
      <w:r w:rsidR="00BD0686">
        <w:rPr>
          <w:color w:val="000000" w:themeColor="text1"/>
          <w:sz w:val="24"/>
        </w:rPr>
        <w:t xml:space="preserve">, 2018). The extent to which claims of such ‘turns’ are warranted, useful, or accurate remains a moot point and is not </w:t>
      </w:r>
      <w:r w:rsidR="002A0482">
        <w:rPr>
          <w:color w:val="000000" w:themeColor="text1"/>
          <w:sz w:val="24"/>
        </w:rPr>
        <w:t>my concern here.</w:t>
      </w:r>
      <w:r w:rsidR="00FA5FB1">
        <w:rPr>
          <w:color w:val="000000" w:themeColor="text1"/>
          <w:sz w:val="24"/>
        </w:rPr>
        <w:t xml:space="preserve"> </w:t>
      </w:r>
      <w:r w:rsidR="00CA3945">
        <w:rPr>
          <w:color w:val="000000" w:themeColor="text1"/>
          <w:sz w:val="24"/>
        </w:rPr>
        <w:t>It is</w:t>
      </w:r>
      <w:r w:rsidR="00F65CD9">
        <w:rPr>
          <w:color w:val="000000" w:themeColor="text1"/>
          <w:sz w:val="24"/>
        </w:rPr>
        <w:t xml:space="preserve"> </w:t>
      </w:r>
      <w:r w:rsidR="00BD75CA">
        <w:rPr>
          <w:color w:val="000000" w:themeColor="text1"/>
          <w:sz w:val="24"/>
        </w:rPr>
        <w:t>nonetheless</w:t>
      </w:r>
      <w:r w:rsidR="00F65CD9">
        <w:rPr>
          <w:color w:val="000000" w:themeColor="text1"/>
          <w:sz w:val="24"/>
        </w:rPr>
        <w:t xml:space="preserve"> </w:t>
      </w:r>
      <w:r w:rsidR="00BD75CA">
        <w:rPr>
          <w:color w:val="000000" w:themeColor="text1"/>
          <w:sz w:val="24"/>
        </w:rPr>
        <w:t xml:space="preserve">an </w:t>
      </w:r>
      <w:r w:rsidR="00F65CD9">
        <w:rPr>
          <w:color w:val="000000" w:themeColor="text1"/>
          <w:sz w:val="24"/>
        </w:rPr>
        <w:t xml:space="preserve">important debate to return to, so seemingly ubiquitous has their suggestion become in the intervening years; namely, that ‘reflexivity encourages researchers to develop the skills to respond appropriately [to ‘ethically important moments’]’ (2004: 277). </w:t>
      </w:r>
      <w:r w:rsidR="00FA5FB1">
        <w:rPr>
          <w:color w:val="000000" w:themeColor="text1"/>
          <w:sz w:val="24"/>
        </w:rPr>
        <w:t xml:space="preserve">I </w:t>
      </w:r>
      <w:r w:rsidR="00BD75CA">
        <w:rPr>
          <w:color w:val="000000" w:themeColor="text1"/>
          <w:sz w:val="24"/>
        </w:rPr>
        <w:t>would argue</w:t>
      </w:r>
      <w:r w:rsidR="00FA5FB1">
        <w:rPr>
          <w:color w:val="000000" w:themeColor="text1"/>
          <w:sz w:val="24"/>
        </w:rPr>
        <w:t xml:space="preserve">, </w:t>
      </w:r>
      <w:r w:rsidR="00BD75CA">
        <w:rPr>
          <w:color w:val="000000" w:themeColor="text1"/>
          <w:sz w:val="24"/>
        </w:rPr>
        <w:t xml:space="preserve">however, </w:t>
      </w:r>
      <w:r w:rsidR="00D23A77">
        <w:rPr>
          <w:color w:val="000000" w:themeColor="text1"/>
          <w:sz w:val="24"/>
        </w:rPr>
        <w:t>b</w:t>
      </w:r>
      <w:r w:rsidR="00FA5FB1">
        <w:rPr>
          <w:color w:val="000000" w:themeColor="text1"/>
          <w:sz w:val="24"/>
        </w:rPr>
        <w:t>ased on</w:t>
      </w:r>
      <w:r w:rsidR="00D23A77">
        <w:rPr>
          <w:color w:val="000000" w:themeColor="text1"/>
          <w:sz w:val="24"/>
        </w:rPr>
        <w:t xml:space="preserve"> experiences described above</w:t>
      </w:r>
      <w:r w:rsidR="000C1B00">
        <w:rPr>
          <w:color w:val="000000" w:themeColor="text1"/>
          <w:sz w:val="24"/>
        </w:rPr>
        <w:t xml:space="preserve">, that </w:t>
      </w:r>
      <w:r w:rsidR="00F65CD9">
        <w:rPr>
          <w:color w:val="000000" w:themeColor="text1"/>
          <w:sz w:val="24"/>
        </w:rPr>
        <w:t>their</w:t>
      </w:r>
      <w:r w:rsidR="000C1B00">
        <w:rPr>
          <w:color w:val="000000" w:themeColor="text1"/>
          <w:sz w:val="24"/>
        </w:rPr>
        <w:t xml:space="preserve"> separation</w:t>
      </w:r>
      <w:r w:rsidR="00133A51">
        <w:rPr>
          <w:color w:val="000000" w:themeColor="text1"/>
          <w:sz w:val="24"/>
        </w:rPr>
        <w:t xml:space="preserve"> </w:t>
      </w:r>
      <w:r w:rsidR="00133A51">
        <w:rPr>
          <w:color w:val="000000" w:themeColor="text1"/>
          <w:sz w:val="24"/>
        </w:rPr>
        <w:t>(albeit heuristic)</w:t>
      </w:r>
      <w:r w:rsidR="000C1B00">
        <w:rPr>
          <w:color w:val="000000" w:themeColor="text1"/>
          <w:sz w:val="24"/>
        </w:rPr>
        <w:t xml:space="preserve"> </w:t>
      </w:r>
      <w:r w:rsidR="00F65CD9">
        <w:rPr>
          <w:color w:val="000000" w:themeColor="text1"/>
          <w:sz w:val="24"/>
        </w:rPr>
        <w:t xml:space="preserve">of ethical practice </w:t>
      </w:r>
      <w:r w:rsidR="00133A51">
        <w:rPr>
          <w:color w:val="000000" w:themeColor="text1"/>
          <w:sz w:val="24"/>
        </w:rPr>
        <w:t>as ‘procedural’</w:t>
      </w:r>
      <w:proofErr w:type="gramStart"/>
      <w:r w:rsidR="00133A51">
        <w:rPr>
          <w:color w:val="000000" w:themeColor="text1"/>
          <w:sz w:val="24"/>
        </w:rPr>
        <w:t>/‘</w:t>
      </w:r>
      <w:proofErr w:type="gramEnd"/>
      <w:r w:rsidR="00133A51">
        <w:rPr>
          <w:color w:val="000000" w:themeColor="text1"/>
          <w:sz w:val="24"/>
        </w:rPr>
        <w:t xml:space="preserve">practical’ </w:t>
      </w:r>
      <w:r w:rsidR="000C1B00">
        <w:rPr>
          <w:color w:val="000000" w:themeColor="text1"/>
          <w:sz w:val="24"/>
        </w:rPr>
        <w:t xml:space="preserve">is </w:t>
      </w:r>
      <w:r w:rsidR="00133A51">
        <w:rPr>
          <w:color w:val="000000" w:themeColor="text1"/>
          <w:sz w:val="24"/>
        </w:rPr>
        <w:t xml:space="preserve">a little too reductive </w:t>
      </w:r>
      <w:r w:rsidR="0035468F">
        <w:rPr>
          <w:color w:val="000000" w:themeColor="text1"/>
          <w:sz w:val="24"/>
        </w:rPr>
        <w:t xml:space="preserve">and that </w:t>
      </w:r>
      <w:r w:rsidR="00F65CD9">
        <w:rPr>
          <w:color w:val="000000" w:themeColor="text1"/>
          <w:sz w:val="24"/>
        </w:rPr>
        <w:t xml:space="preserve">their advocation of reflexivity </w:t>
      </w:r>
      <w:r w:rsidR="00133A51">
        <w:rPr>
          <w:color w:val="000000" w:themeColor="text1"/>
          <w:sz w:val="24"/>
        </w:rPr>
        <w:t>demands a somewhat unrealistically prescriptive separation, or lag, between practical action, meaning-making and mutual understanding (</w:t>
      </w:r>
      <w:r w:rsidR="003E01AD">
        <w:rPr>
          <w:color w:val="000000" w:themeColor="text1"/>
          <w:sz w:val="24"/>
        </w:rPr>
        <w:t xml:space="preserve">see </w:t>
      </w:r>
      <w:r w:rsidR="00133A51">
        <w:rPr>
          <w:color w:val="000000" w:themeColor="text1"/>
          <w:sz w:val="24"/>
        </w:rPr>
        <w:t xml:space="preserve">Mair and Sharrock, </w:t>
      </w:r>
      <w:r w:rsidR="003E01AD">
        <w:rPr>
          <w:color w:val="000000" w:themeColor="text1"/>
          <w:sz w:val="24"/>
        </w:rPr>
        <w:t>2018</w:t>
      </w:r>
      <w:r w:rsidR="00133A51">
        <w:rPr>
          <w:color w:val="000000" w:themeColor="text1"/>
          <w:sz w:val="24"/>
        </w:rPr>
        <w:t>)</w:t>
      </w:r>
      <w:r w:rsidR="00F65CD9">
        <w:rPr>
          <w:color w:val="000000" w:themeColor="text1"/>
          <w:sz w:val="24"/>
        </w:rPr>
        <w:t>.</w:t>
      </w:r>
      <w:bookmarkStart w:id="2" w:name="_GoBack"/>
      <w:bookmarkEnd w:id="2"/>
    </w:p>
    <w:p w14:paraId="7987EAD2" w14:textId="4869BAF3" w:rsidR="009F07AA" w:rsidRDefault="004C48B7" w:rsidP="000D0CF1">
      <w:pPr>
        <w:pStyle w:val="ABKWH"/>
        <w:spacing w:line="360" w:lineRule="auto"/>
        <w:ind w:firstLine="720"/>
        <w:contextualSpacing/>
        <w:jc w:val="both"/>
        <w:rPr>
          <w:color w:val="000000" w:themeColor="text1"/>
          <w:sz w:val="24"/>
        </w:rPr>
      </w:pPr>
      <w:r w:rsidRPr="004C48B7">
        <w:rPr>
          <w:color w:val="000000" w:themeColor="text1"/>
          <w:sz w:val="24"/>
        </w:rPr>
        <w:t>Following Lynch (2000: 26-27</w:t>
      </w:r>
      <w:r>
        <w:rPr>
          <w:color w:val="000000" w:themeColor="text1"/>
          <w:sz w:val="24"/>
        </w:rPr>
        <w:t>, emphasis added</w:t>
      </w:r>
      <w:r w:rsidRPr="004C48B7">
        <w:rPr>
          <w:color w:val="000000" w:themeColor="text1"/>
          <w:sz w:val="24"/>
        </w:rPr>
        <w:t xml:space="preserve">), reflexivity is not afforded an elevated status as </w:t>
      </w:r>
      <w:r w:rsidR="009F07AA">
        <w:rPr>
          <w:color w:val="000000" w:themeColor="text1"/>
          <w:sz w:val="24"/>
        </w:rPr>
        <w:t>an</w:t>
      </w:r>
      <w:r w:rsidRPr="004C48B7">
        <w:rPr>
          <w:color w:val="000000" w:themeColor="text1"/>
          <w:sz w:val="24"/>
        </w:rPr>
        <w:t xml:space="preserve"> epistemological or moral elixir but rather taken to encompass ‘an </w:t>
      </w:r>
      <w:r w:rsidRPr="004C48B7">
        <w:rPr>
          <w:i/>
          <w:color w:val="000000" w:themeColor="text1"/>
          <w:sz w:val="24"/>
        </w:rPr>
        <w:t>unavoidable</w:t>
      </w:r>
      <w:r w:rsidRPr="004C48B7">
        <w:rPr>
          <w:color w:val="000000" w:themeColor="text1"/>
          <w:sz w:val="24"/>
        </w:rPr>
        <w:t xml:space="preserve"> feature of the way actions (including actions performed, and expressions written, by academic researchers) are performed, made sense of and incorporated into social settings.’ ‘Making sense’ of the substantive topic under study and its various elements</w:t>
      </w:r>
      <w:r>
        <w:rPr>
          <w:color w:val="000000" w:themeColor="text1"/>
          <w:sz w:val="24"/>
        </w:rPr>
        <w:t xml:space="preserve"> i</w:t>
      </w:r>
      <w:r w:rsidRPr="004C48B7">
        <w:rPr>
          <w:color w:val="000000" w:themeColor="text1"/>
          <w:sz w:val="24"/>
        </w:rPr>
        <w:t xml:space="preserve">s particularly resonant with the </w:t>
      </w:r>
      <w:r w:rsidR="00C90993">
        <w:rPr>
          <w:color w:val="000000" w:themeColor="text1"/>
          <w:sz w:val="24"/>
        </w:rPr>
        <w:t xml:space="preserve">methodological </w:t>
      </w:r>
      <w:r w:rsidRPr="004C48B7">
        <w:rPr>
          <w:color w:val="000000" w:themeColor="text1"/>
          <w:sz w:val="24"/>
        </w:rPr>
        <w:t>self-awareness</w:t>
      </w:r>
      <w:r w:rsidR="00C90993">
        <w:rPr>
          <w:color w:val="000000" w:themeColor="text1"/>
          <w:sz w:val="24"/>
        </w:rPr>
        <w:t xml:space="preserve">, standpoint, and </w:t>
      </w:r>
      <w:r w:rsidRPr="004C48B7">
        <w:rPr>
          <w:color w:val="000000" w:themeColor="text1"/>
          <w:sz w:val="24"/>
        </w:rPr>
        <w:t>hermeneutic elements outlined in Lynch’s reflexivity inventory</w:t>
      </w:r>
      <w:r w:rsidR="00E33C6E">
        <w:rPr>
          <w:color w:val="000000" w:themeColor="text1"/>
          <w:sz w:val="24"/>
        </w:rPr>
        <w:t xml:space="preserve"> (</w:t>
      </w:r>
      <w:r w:rsidR="00C90993">
        <w:rPr>
          <w:color w:val="000000" w:themeColor="text1"/>
          <w:sz w:val="24"/>
        </w:rPr>
        <w:t xml:space="preserve">Lynch, </w:t>
      </w:r>
      <w:r w:rsidR="00E33C6E">
        <w:rPr>
          <w:color w:val="000000" w:themeColor="text1"/>
          <w:sz w:val="24"/>
        </w:rPr>
        <w:t>2000:</w:t>
      </w:r>
      <w:r w:rsidR="00C90993">
        <w:rPr>
          <w:color w:val="000000" w:themeColor="text1"/>
          <w:sz w:val="24"/>
        </w:rPr>
        <w:t xml:space="preserve"> 29-32</w:t>
      </w:r>
      <w:r w:rsidR="008516FC">
        <w:rPr>
          <w:color w:val="000000" w:themeColor="text1"/>
          <w:sz w:val="24"/>
        </w:rPr>
        <w:t>; see also Berger, 2015</w:t>
      </w:r>
      <w:r w:rsidR="00E33C6E">
        <w:rPr>
          <w:color w:val="000000" w:themeColor="text1"/>
          <w:sz w:val="24"/>
        </w:rPr>
        <w:t>)</w:t>
      </w:r>
      <w:r>
        <w:rPr>
          <w:color w:val="000000" w:themeColor="text1"/>
          <w:sz w:val="24"/>
        </w:rPr>
        <w:t xml:space="preserve">, which encompass </w:t>
      </w:r>
      <w:r w:rsidR="00C90993">
        <w:rPr>
          <w:color w:val="000000" w:themeColor="text1"/>
          <w:sz w:val="24"/>
        </w:rPr>
        <w:t xml:space="preserve">much of </w:t>
      </w:r>
      <w:r>
        <w:rPr>
          <w:color w:val="000000" w:themeColor="text1"/>
          <w:sz w:val="24"/>
        </w:rPr>
        <w:t>Guillemin and Gillam’s (2004) work</w:t>
      </w:r>
      <w:r w:rsidR="00C90993">
        <w:rPr>
          <w:color w:val="000000" w:themeColor="text1"/>
          <w:sz w:val="24"/>
        </w:rPr>
        <w:t>. Like them</w:t>
      </w:r>
      <w:r w:rsidR="00221CF1">
        <w:rPr>
          <w:color w:val="000000" w:themeColor="text1"/>
          <w:sz w:val="24"/>
        </w:rPr>
        <w:t xml:space="preserve">, </w:t>
      </w:r>
      <w:r w:rsidR="00C90993" w:rsidRPr="004C48B7">
        <w:rPr>
          <w:color w:val="000000" w:themeColor="text1"/>
          <w:sz w:val="24"/>
        </w:rPr>
        <w:t>Lynch</w:t>
      </w:r>
      <w:r w:rsidR="00221CF1">
        <w:rPr>
          <w:color w:val="000000" w:themeColor="text1"/>
          <w:sz w:val="24"/>
        </w:rPr>
        <w:t xml:space="preserve"> </w:t>
      </w:r>
      <w:r w:rsidR="00C90993" w:rsidRPr="004C48B7">
        <w:rPr>
          <w:color w:val="000000" w:themeColor="text1"/>
          <w:sz w:val="24"/>
        </w:rPr>
        <w:t>remind</w:t>
      </w:r>
      <w:r w:rsidR="00221CF1">
        <w:rPr>
          <w:color w:val="000000" w:themeColor="text1"/>
          <w:sz w:val="24"/>
        </w:rPr>
        <w:t>s</w:t>
      </w:r>
      <w:r w:rsidR="00C90993" w:rsidRPr="004C48B7">
        <w:rPr>
          <w:color w:val="000000" w:themeColor="text1"/>
          <w:sz w:val="24"/>
        </w:rPr>
        <w:t xml:space="preserve"> us of the importance of acknowledging the wider context in which research practices take place.</w:t>
      </w:r>
      <w:r w:rsidR="00837AC0">
        <w:rPr>
          <w:color w:val="000000" w:themeColor="text1"/>
          <w:sz w:val="24"/>
        </w:rPr>
        <w:t xml:space="preserve"> </w:t>
      </w:r>
      <w:r w:rsidR="00C90993">
        <w:rPr>
          <w:color w:val="000000" w:themeColor="text1"/>
          <w:sz w:val="24"/>
        </w:rPr>
        <w:t xml:space="preserve">If we think in general terms about what reflexivity </w:t>
      </w:r>
      <w:r w:rsidR="00BD75CA">
        <w:rPr>
          <w:color w:val="000000" w:themeColor="text1"/>
          <w:sz w:val="24"/>
        </w:rPr>
        <w:t>encompasses</w:t>
      </w:r>
      <w:r w:rsidR="00C04013">
        <w:rPr>
          <w:color w:val="000000" w:themeColor="text1"/>
          <w:sz w:val="24"/>
        </w:rPr>
        <w:t>,</w:t>
      </w:r>
      <w:r w:rsidR="00C90993">
        <w:rPr>
          <w:color w:val="000000" w:themeColor="text1"/>
          <w:sz w:val="24"/>
        </w:rPr>
        <w:t xml:space="preserve"> it </w:t>
      </w:r>
      <w:r w:rsidR="00BD75CA">
        <w:rPr>
          <w:color w:val="000000" w:themeColor="text1"/>
          <w:sz w:val="24"/>
        </w:rPr>
        <w:t xml:space="preserve">might </w:t>
      </w:r>
      <w:r w:rsidR="00C90993">
        <w:rPr>
          <w:color w:val="000000" w:themeColor="text1"/>
          <w:sz w:val="24"/>
        </w:rPr>
        <w:t>ap</w:t>
      </w:r>
      <w:r w:rsidR="00BD75CA">
        <w:rPr>
          <w:color w:val="000000" w:themeColor="text1"/>
          <w:sz w:val="24"/>
        </w:rPr>
        <w:t>pear</w:t>
      </w:r>
      <w:r w:rsidR="00C90993">
        <w:rPr>
          <w:color w:val="000000" w:themeColor="text1"/>
          <w:sz w:val="24"/>
        </w:rPr>
        <w:t xml:space="preserve"> that such accounts are similar. The major difference, however, lies in the promise placed on reflexivity as some sort of solution to an encountered set of ‘field </w:t>
      </w:r>
      <w:proofErr w:type="gramStart"/>
      <w:r w:rsidR="00C90993">
        <w:rPr>
          <w:color w:val="000000" w:themeColor="text1"/>
          <w:sz w:val="24"/>
        </w:rPr>
        <w:t>problems’</w:t>
      </w:r>
      <w:proofErr w:type="gramEnd"/>
      <w:r w:rsidR="00C90993">
        <w:rPr>
          <w:color w:val="000000" w:themeColor="text1"/>
          <w:sz w:val="24"/>
        </w:rPr>
        <w:t>.</w:t>
      </w:r>
    </w:p>
    <w:p w14:paraId="622BB0D7" w14:textId="76195DC0" w:rsidR="003A48B6" w:rsidRDefault="00C90993" w:rsidP="00F40474">
      <w:pPr>
        <w:pStyle w:val="ABKWH"/>
        <w:spacing w:line="360" w:lineRule="auto"/>
        <w:ind w:firstLine="720"/>
        <w:contextualSpacing/>
        <w:jc w:val="both"/>
        <w:rPr>
          <w:color w:val="000000" w:themeColor="text1"/>
          <w:sz w:val="24"/>
        </w:rPr>
      </w:pPr>
      <w:r>
        <w:rPr>
          <w:color w:val="000000" w:themeColor="text1"/>
          <w:sz w:val="24"/>
        </w:rPr>
        <w:t xml:space="preserve">Lynch points to the ethnomethodological reflexivity in the work of Harold Garfinkel and Harvey Sacks. </w:t>
      </w:r>
      <w:r w:rsidR="00F40474">
        <w:rPr>
          <w:color w:val="000000" w:themeColor="text1"/>
          <w:sz w:val="24"/>
        </w:rPr>
        <w:t>Within</w:t>
      </w:r>
      <w:r w:rsidR="00ED125C">
        <w:rPr>
          <w:color w:val="000000" w:themeColor="text1"/>
          <w:sz w:val="24"/>
        </w:rPr>
        <w:t xml:space="preserve"> their unorthodox</w:t>
      </w:r>
      <w:r w:rsidR="00E51912">
        <w:rPr>
          <w:color w:val="000000" w:themeColor="text1"/>
          <w:sz w:val="24"/>
        </w:rPr>
        <w:t xml:space="preserve"> </w:t>
      </w:r>
      <w:r w:rsidR="00ED125C">
        <w:rPr>
          <w:color w:val="000000" w:themeColor="text1"/>
          <w:sz w:val="24"/>
        </w:rPr>
        <w:t xml:space="preserve">challenge </w:t>
      </w:r>
      <w:r w:rsidR="00E51912">
        <w:rPr>
          <w:color w:val="000000" w:themeColor="text1"/>
          <w:sz w:val="24"/>
        </w:rPr>
        <w:t xml:space="preserve">to </w:t>
      </w:r>
      <w:r w:rsidR="00ED125C">
        <w:rPr>
          <w:color w:val="000000" w:themeColor="text1"/>
          <w:sz w:val="24"/>
        </w:rPr>
        <w:t>formal analytic sociology, n</w:t>
      </w:r>
      <w:r w:rsidR="00E33C6E">
        <w:rPr>
          <w:color w:val="000000" w:themeColor="text1"/>
          <w:sz w:val="24"/>
        </w:rPr>
        <w:t xml:space="preserve">o matter how flexible, adaptive, non-prescriptive, and context-sensitive our </w:t>
      </w:r>
      <w:r w:rsidR="00E33C6E">
        <w:rPr>
          <w:color w:val="000000" w:themeColor="text1"/>
          <w:sz w:val="24"/>
        </w:rPr>
        <w:lastRenderedPageBreak/>
        <w:t xml:space="preserve">efforts to </w:t>
      </w:r>
      <w:r w:rsidR="00B75A47">
        <w:rPr>
          <w:color w:val="000000" w:themeColor="text1"/>
          <w:sz w:val="24"/>
        </w:rPr>
        <w:t>‘</w:t>
      </w:r>
      <w:r w:rsidR="00E33C6E">
        <w:rPr>
          <w:color w:val="000000" w:themeColor="text1"/>
          <w:sz w:val="24"/>
        </w:rPr>
        <w:t>tak</w:t>
      </w:r>
      <w:r w:rsidR="00B75A47">
        <w:rPr>
          <w:color w:val="000000" w:themeColor="text1"/>
          <w:sz w:val="24"/>
        </w:rPr>
        <w:t>ing</w:t>
      </w:r>
      <w:r w:rsidR="00E33C6E">
        <w:rPr>
          <w:color w:val="000000" w:themeColor="text1"/>
          <w:sz w:val="24"/>
        </w:rPr>
        <w:t xml:space="preserve"> reflexivity seriously</w:t>
      </w:r>
      <w:r w:rsidR="00B75A47">
        <w:rPr>
          <w:color w:val="000000" w:themeColor="text1"/>
          <w:sz w:val="24"/>
        </w:rPr>
        <w:t>’ are</w:t>
      </w:r>
      <w:r w:rsidR="00E33C6E">
        <w:rPr>
          <w:color w:val="000000" w:themeColor="text1"/>
          <w:sz w:val="24"/>
        </w:rPr>
        <w:t xml:space="preserve">, </w:t>
      </w:r>
      <w:r w:rsidR="00B75A47">
        <w:rPr>
          <w:color w:val="000000" w:themeColor="text1"/>
          <w:sz w:val="24"/>
        </w:rPr>
        <w:t>they</w:t>
      </w:r>
      <w:r w:rsidR="00ED125C">
        <w:rPr>
          <w:color w:val="000000" w:themeColor="text1"/>
          <w:sz w:val="24"/>
        </w:rPr>
        <w:t xml:space="preserve"> should</w:t>
      </w:r>
      <w:r w:rsidR="00E33C6E">
        <w:rPr>
          <w:color w:val="000000" w:themeColor="text1"/>
          <w:sz w:val="24"/>
        </w:rPr>
        <w:t xml:space="preserve"> </w:t>
      </w:r>
      <w:r w:rsidR="00C04013">
        <w:rPr>
          <w:color w:val="000000" w:themeColor="text1"/>
          <w:sz w:val="24"/>
        </w:rPr>
        <w:t>represent ‘a property of ‘accounts’ (verbal expressions, signifiers, texts and other formal devices) that is furnished by taken-for-granted usage in recurrent circumstances</w:t>
      </w:r>
      <w:r w:rsidR="00ED125C">
        <w:rPr>
          <w:color w:val="000000" w:themeColor="text1"/>
          <w:sz w:val="24"/>
        </w:rPr>
        <w:t xml:space="preserve"> […], not associated with any epistemic virtue, cognitive skill or emancipatory interest</w:t>
      </w:r>
      <w:r w:rsidR="00B75A47">
        <w:rPr>
          <w:color w:val="000000" w:themeColor="text1"/>
          <w:sz w:val="24"/>
        </w:rPr>
        <w:t>’ (Lynch, 2000: 34).</w:t>
      </w:r>
      <w:r w:rsidR="00F40474">
        <w:rPr>
          <w:color w:val="000000" w:themeColor="text1"/>
          <w:sz w:val="24"/>
        </w:rPr>
        <w:t xml:space="preserve"> </w:t>
      </w:r>
      <w:r w:rsidR="00B75A47">
        <w:rPr>
          <w:color w:val="000000" w:themeColor="text1"/>
          <w:sz w:val="24"/>
        </w:rPr>
        <w:t>The</w:t>
      </w:r>
      <w:r w:rsidR="00F40474">
        <w:rPr>
          <w:color w:val="000000" w:themeColor="text1"/>
          <w:sz w:val="24"/>
        </w:rPr>
        <w:t>y</w:t>
      </w:r>
      <w:r w:rsidR="00B75A47">
        <w:rPr>
          <w:color w:val="000000" w:themeColor="text1"/>
          <w:sz w:val="24"/>
        </w:rPr>
        <w:t xml:space="preserve"> point to the fact that sociology’s methods and concepts for studying social life, including social structures, often assume familiar – ‘but unstudied’ – background understandings of ordinary life and its workings </w:t>
      </w:r>
      <w:r w:rsidR="00511D81">
        <w:rPr>
          <w:color w:val="000000" w:themeColor="text1"/>
          <w:sz w:val="24"/>
        </w:rPr>
        <w:t>(Lynch, 2000: 34)</w:t>
      </w:r>
      <w:r w:rsidR="00B75A47">
        <w:rPr>
          <w:color w:val="000000" w:themeColor="text1"/>
          <w:sz w:val="24"/>
        </w:rPr>
        <w:t>.</w:t>
      </w:r>
      <w:r w:rsidR="00C62D7A">
        <w:rPr>
          <w:color w:val="000000" w:themeColor="text1"/>
          <w:sz w:val="24"/>
        </w:rPr>
        <w:t xml:space="preserve"> That critique withstanding, researcher’s attempts to depict the dilemmas we might run into during qualitative fieldwork, including the likes I have offered here, </w:t>
      </w:r>
      <w:r w:rsidR="00C62D7A" w:rsidRPr="004D49CB">
        <w:rPr>
          <w:color w:val="000000" w:themeColor="text1"/>
          <w:sz w:val="24"/>
        </w:rPr>
        <w:t>often only approximate a</w:t>
      </w:r>
      <w:r w:rsidR="00E224C6">
        <w:rPr>
          <w:color w:val="000000" w:themeColor="text1"/>
          <w:sz w:val="24"/>
        </w:rPr>
        <w:t>n</w:t>
      </w:r>
      <w:r w:rsidR="00C62D7A" w:rsidRPr="004D49CB">
        <w:rPr>
          <w:color w:val="000000" w:themeColor="text1"/>
          <w:sz w:val="24"/>
        </w:rPr>
        <w:t xml:space="preserve"> adequate </w:t>
      </w:r>
      <w:r w:rsidR="00E224C6">
        <w:rPr>
          <w:color w:val="000000" w:themeColor="text1"/>
          <w:sz w:val="24"/>
        </w:rPr>
        <w:t xml:space="preserve">and transparent </w:t>
      </w:r>
      <w:r w:rsidR="00C62D7A" w:rsidRPr="004D49CB">
        <w:rPr>
          <w:color w:val="000000" w:themeColor="text1"/>
          <w:sz w:val="24"/>
        </w:rPr>
        <w:t xml:space="preserve">account able to be studied by others. This is </w:t>
      </w:r>
      <w:r w:rsidR="00C62D7A">
        <w:rPr>
          <w:color w:val="000000" w:themeColor="text1"/>
          <w:sz w:val="24"/>
        </w:rPr>
        <w:t>seldom intentional</w:t>
      </w:r>
      <w:r w:rsidR="00CE1F01">
        <w:rPr>
          <w:color w:val="000000" w:themeColor="text1"/>
          <w:sz w:val="24"/>
        </w:rPr>
        <w:t xml:space="preserve"> but underscores the importance of </w:t>
      </w:r>
      <w:r w:rsidR="004E10E1">
        <w:rPr>
          <w:color w:val="000000" w:themeColor="text1"/>
          <w:sz w:val="24"/>
        </w:rPr>
        <w:t xml:space="preserve">carefully cataloguing the </w:t>
      </w:r>
      <w:r w:rsidR="00E224C6">
        <w:rPr>
          <w:color w:val="000000" w:themeColor="text1"/>
          <w:sz w:val="24"/>
        </w:rPr>
        <w:t>exchanges</w:t>
      </w:r>
      <w:r w:rsidR="004E10E1">
        <w:rPr>
          <w:color w:val="000000" w:themeColor="text1"/>
          <w:sz w:val="24"/>
        </w:rPr>
        <w:t xml:space="preserve"> and texts which made the gathering of subsequent information achievable. </w:t>
      </w:r>
      <w:r w:rsidR="00CE1F01">
        <w:rPr>
          <w:color w:val="000000" w:themeColor="text1"/>
          <w:sz w:val="24"/>
        </w:rPr>
        <w:t>A</w:t>
      </w:r>
      <w:r w:rsidR="00C62D7A">
        <w:rPr>
          <w:color w:val="000000" w:themeColor="text1"/>
          <w:sz w:val="24"/>
        </w:rPr>
        <w:t xml:space="preserve">s </w:t>
      </w:r>
      <w:r w:rsidR="00CE1F01">
        <w:rPr>
          <w:color w:val="000000" w:themeColor="text1"/>
          <w:sz w:val="24"/>
        </w:rPr>
        <w:t>my own examples show</w:t>
      </w:r>
      <w:r w:rsidR="00C62D7A">
        <w:rPr>
          <w:color w:val="000000" w:themeColor="text1"/>
          <w:sz w:val="24"/>
        </w:rPr>
        <w:t xml:space="preserve">, </w:t>
      </w:r>
      <w:r w:rsidR="004E10E1">
        <w:rPr>
          <w:color w:val="000000" w:themeColor="text1"/>
          <w:sz w:val="24"/>
        </w:rPr>
        <w:t>when researchers retrospectively attempt to reconstruct an account of ethics</w:t>
      </w:r>
      <w:r w:rsidR="00E224C6">
        <w:rPr>
          <w:color w:val="000000" w:themeColor="text1"/>
          <w:sz w:val="24"/>
        </w:rPr>
        <w:t>-</w:t>
      </w:r>
      <w:r w:rsidR="004E10E1">
        <w:rPr>
          <w:color w:val="000000" w:themeColor="text1"/>
          <w:sz w:val="24"/>
        </w:rPr>
        <w:t>in</w:t>
      </w:r>
      <w:r w:rsidR="00E224C6">
        <w:rPr>
          <w:color w:val="000000" w:themeColor="text1"/>
          <w:sz w:val="24"/>
        </w:rPr>
        <w:t>-</w:t>
      </w:r>
      <w:r w:rsidR="004E10E1">
        <w:rPr>
          <w:color w:val="000000" w:themeColor="text1"/>
          <w:sz w:val="24"/>
        </w:rPr>
        <w:t xml:space="preserve">practice, </w:t>
      </w:r>
      <w:r w:rsidR="00C62D7A">
        <w:rPr>
          <w:color w:val="000000" w:themeColor="text1"/>
          <w:sz w:val="24"/>
        </w:rPr>
        <w:t>the taxonomy or heuristic sorting of ethical ‘types’ becomes a necessary evil for (</w:t>
      </w:r>
      <w:r w:rsidR="00A54F1C">
        <w:rPr>
          <w:color w:val="000000" w:themeColor="text1"/>
          <w:sz w:val="24"/>
        </w:rPr>
        <w:t xml:space="preserve">only </w:t>
      </w:r>
      <w:r w:rsidR="00C62D7A">
        <w:rPr>
          <w:color w:val="000000" w:themeColor="text1"/>
          <w:sz w:val="24"/>
        </w:rPr>
        <w:t>partially) reconstructing accounts of p</w:t>
      </w:r>
      <w:r w:rsidR="004E10E1">
        <w:rPr>
          <w:color w:val="000000" w:themeColor="text1"/>
          <w:sz w:val="24"/>
        </w:rPr>
        <w:t>r</w:t>
      </w:r>
      <w:r w:rsidR="00C62D7A">
        <w:rPr>
          <w:color w:val="000000" w:themeColor="text1"/>
          <w:sz w:val="24"/>
        </w:rPr>
        <w:t>actical action</w:t>
      </w:r>
      <w:r w:rsidR="00F178B0">
        <w:rPr>
          <w:color w:val="000000" w:themeColor="text1"/>
          <w:sz w:val="24"/>
        </w:rPr>
        <w:t>.</w:t>
      </w:r>
    </w:p>
    <w:p w14:paraId="65CD2FE3" w14:textId="3870EAA7" w:rsidR="00243670" w:rsidRDefault="008D03F1" w:rsidP="00B125AA">
      <w:pPr>
        <w:pStyle w:val="ABKWH"/>
        <w:spacing w:line="360" w:lineRule="auto"/>
        <w:ind w:firstLine="720"/>
        <w:contextualSpacing/>
        <w:jc w:val="both"/>
        <w:rPr>
          <w:color w:val="000000" w:themeColor="text1"/>
          <w:sz w:val="24"/>
        </w:rPr>
      </w:pPr>
      <w:r>
        <w:rPr>
          <w:color w:val="000000" w:themeColor="text1"/>
          <w:sz w:val="24"/>
        </w:rPr>
        <w:t xml:space="preserve">Guillemin and Gillam’s work has proven undoubtedly useful, prompting me to think through my own situated and empirical research practices, including before, during, and after their completion. </w:t>
      </w:r>
      <w:proofErr w:type="spellStart"/>
      <w:r>
        <w:rPr>
          <w:color w:val="000000" w:themeColor="text1"/>
          <w:sz w:val="24"/>
        </w:rPr>
        <w:t>Utilising</w:t>
      </w:r>
      <w:proofErr w:type="spellEnd"/>
      <w:r>
        <w:rPr>
          <w:color w:val="000000" w:themeColor="text1"/>
          <w:sz w:val="24"/>
        </w:rPr>
        <w:t xml:space="preserve"> a feminist and science and technology studies-inspired approach to what they term ‘</w:t>
      </w:r>
      <w:proofErr w:type="spellStart"/>
      <w:r>
        <w:rPr>
          <w:color w:val="000000" w:themeColor="text1"/>
          <w:sz w:val="24"/>
        </w:rPr>
        <w:t>microethics</w:t>
      </w:r>
      <w:proofErr w:type="spellEnd"/>
      <w:r>
        <w:rPr>
          <w:color w:val="000000" w:themeColor="text1"/>
          <w:sz w:val="24"/>
        </w:rPr>
        <w:t xml:space="preserve">’ (informed perhaps most </w:t>
      </w:r>
      <w:r w:rsidR="00A60A65">
        <w:rPr>
          <w:color w:val="000000" w:themeColor="text1"/>
          <w:sz w:val="24"/>
        </w:rPr>
        <w:t>notably</w:t>
      </w:r>
      <w:r>
        <w:rPr>
          <w:color w:val="000000" w:themeColor="text1"/>
          <w:sz w:val="24"/>
        </w:rPr>
        <w:t xml:space="preserve"> by the work of Sandra Harding), they rightly stress that ‘Reflexivity </w:t>
      </w:r>
      <w:r w:rsidRPr="004538B3">
        <w:rPr>
          <w:i/>
          <w:color w:val="000000" w:themeColor="text1"/>
          <w:sz w:val="24"/>
        </w:rPr>
        <w:t>in research</w:t>
      </w:r>
      <w:r>
        <w:rPr>
          <w:color w:val="000000" w:themeColor="text1"/>
          <w:sz w:val="24"/>
        </w:rPr>
        <w:t xml:space="preserve"> is not a single or universal entity but a process – an active, ongoing process that saturates every stage </w:t>
      </w:r>
      <w:r w:rsidRPr="00507336">
        <w:rPr>
          <w:i/>
          <w:color w:val="000000" w:themeColor="text1"/>
          <w:sz w:val="24"/>
        </w:rPr>
        <w:t>of the research</w:t>
      </w:r>
      <w:r>
        <w:rPr>
          <w:color w:val="000000" w:themeColor="text1"/>
          <w:sz w:val="24"/>
        </w:rPr>
        <w:t>’ in which ‘our social and political locations [as researchers] affect our research’ (2004: 274, emphases added). It is the</w:t>
      </w:r>
      <w:r w:rsidRPr="007658A9">
        <w:rPr>
          <w:color w:val="000000" w:themeColor="text1"/>
          <w:sz w:val="24"/>
        </w:rPr>
        <w:t xml:space="preserve"> </w:t>
      </w:r>
      <w:r>
        <w:rPr>
          <w:color w:val="000000" w:themeColor="text1"/>
          <w:sz w:val="24"/>
        </w:rPr>
        <w:t xml:space="preserve">special singling out of ‘the research’, italicized above, and the inevitable square bracketing [of researchers] which often accompanies accounts of reflexivity that Lynch (2000) </w:t>
      </w:r>
      <w:r w:rsidR="00A60A65">
        <w:rPr>
          <w:color w:val="000000" w:themeColor="text1"/>
          <w:sz w:val="24"/>
        </w:rPr>
        <w:t xml:space="preserve">would </w:t>
      </w:r>
      <w:r>
        <w:rPr>
          <w:color w:val="000000" w:themeColor="text1"/>
          <w:sz w:val="24"/>
        </w:rPr>
        <w:t xml:space="preserve">ultimately problematize (for different </w:t>
      </w:r>
      <w:r w:rsidR="00DE707D">
        <w:rPr>
          <w:color w:val="000000" w:themeColor="text1"/>
          <w:sz w:val="24"/>
        </w:rPr>
        <w:t xml:space="preserve">ethnomethodological </w:t>
      </w:r>
      <w:r>
        <w:rPr>
          <w:color w:val="000000" w:themeColor="text1"/>
          <w:sz w:val="24"/>
        </w:rPr>
        <w:t>approaches to this issue see Kim, 1999). Guillemin and Gillam’s (2004: 274) chosen subheading – ‘Using Reflexivity in Research’ – will undoubtedly</w:t>
      </w:r>
      <w:r w:rsidR="00483D67">
        <w:rPr>
          <w:color w:val="000000" w:themeColor="text1"/>
          <w:sz w:val="24"/>
        </w:rPr>
        <w:t xml:space="preserve"> peeve </w:t>
      </w:r>
      <w:r>
        <w:rPr>
          <w:color w:val="000000" w:themeColor="text1"/>
          <w:sz w:val="24"/>
        </w:rPr>
        <w:t>scholars</w:t>
      </w:r>
      <w:r w:rsidR="00483D67">
        <w:rPr>
          <w:color w:val="000000" w:themeColor="text1"/>
          <w:sz w:val="24"/>
        </w:rPr>
        <w:t>, like Lynch (2000),</w:t>
      </w:r>
      <w:r>
        <w:rPr>
          <w:color w:val="000000" w:themeColor="text1"/>
          <w:sz w:val="24"/>
        </w:rPr>
        <w:t xml:space="preserve"> whose sensitivities toward the overly virtuous status frequently attributed to reflexivity as an ethical-imperative-cum-silver-bullet solution to ‘ethical dilemmas’ are particularly heightened. That is, to suggest even implicitly that ‘Reflexivity’ (as theoretical scaffolding) is a </w:t>
      </w:r>
      <w:proofErr w:type="spellStart"/>
      <w:r>
        <w:rPr>
          <w:color w:val="000000" w:themeColor="text1"/>
          <w:sz w:val="24"/>
        </w:rPr>
        <w:t>boundaried</w:t>
      </w:r>
      <w:proofErr w:type="spellEnd"/>
      <w:r>
        <w:rPr>
          <w:color w:val="000000" w:themeColor="text1"/>
          <w:sz w:val="24"/>
        </w:rPr>
        <w:t xml:space="preserve"> resource to be ‘Used’ (deployed, utilized, or added) ‘</w:t>
      </w:r>
      <w:r w:rsidR="00A54F1C">
        <w:rPr>
          <w:color w:val="000000" w:themeColor="text1"/>
          <w:sz w:val="24"/>
        </w:rPr>
        <w:t xml:space="preserve">in </w:t>
      </w:r>
      <w:r>
        <w:rPr>
          <w:color w:val="000000" w:themeColor="text1"/>
          <w:sz w:val="24"/>
        </w:rPr>
        <w:t xml:space="preserve">Research’ (as distinct from </w:t>
      </w:r>
      <w:r w:rsidR="00A54F1C">
        <w:rPr>
          <w:color w:val="000000" w:themeColor="text1"/>
          <w:sz w:val="24"/>
        </w:rPr>
        <w:t>any other activity</w:t>
      </w:r>
      <w:r>
        <w:rPr>
          <w:color w:val="000000" w:themeColor="text1"/>
          <w:sz w:val="24"/>
        </w:rPr>
        <w:t xml:space="preserve">) </w:t>
      </w:r>
      <w:r w:rsidR="00275244">
        <w:rPr>
          <w:color w:val="000000" w:themeColor="text1"/>
          <w:sz w:val="24"/>
        </w:rPr>
        <w:t>inevitably</w:t>
      </w:r>
      <w:r>
        <w:rPr>
          <w:color w:val="000000" w:themeColor="text1"/>
          <w:sz w:val="24"/>
        </w:rPr>
        <w:t xml:space="preserve"> </w:t>
      </w:r>
      <w:r w:rsidR="00275244">
        <w:rPr>
          <w:color w:val="000000" w:themeColor="text1"/>
          <w:sz w:val="24"/>
        </w:rPr>
        <w:t>provokes</w:t>
      </w:r>
      <w:r>
        <w:rPr>
          <w:color w:val="000000" w:themeColor="text1"/>
          <w:sz w:val="24"/>
        </w:rPr>
        <w:t xml:space="preserve"> </w:t>
      </w:r>
      <w:r>
        <w:rPr>
          <w:color w:val="000000" w:themeColor="text1"/>
          <w:sz w:val="24"/>
        </w:rPr>
        <w:lastRenderedPageBreak/>
        <w:t xml:space="preserve">criticism. As </w:t>
      </w:r>
      <w:r w:rsidR="00275244">
        <w:rPr>
          <w:color w:val="000000" w:themeColor="text1"/>
          <w:sz w:val="24"/>
        </w:rPr>
        <w:t>the</w:t>
      </w:r>
      <w:r>
        <w:rPr>
          <w:color w:val="000000" w:themeColor="text1"/>
          <w:sz w:val="24"/>
        </w:rPr>
        <w:t xml:space="preserve"> deliberately and unfaithfully separated accounts of my ‘procedural ethics’ versus my ‘ethics in practice’ presented above show, such attempts at separation </w:t>
      </w:r>
      <w:r w:rsidRPr="00BA273B">
        <w:rPr>
          <w:i/>
          <w:color w:val="000000" w:themeColor="text1"/>
          <w:sz w:val="24"/>
        </w:rPr>
        <w:t>must inevitably fail</w:t>
      </w:r>
      <w:r>
        <w:rPr>
          <w:color w:val="000000" w:themeColor="text1"/>
          <w:sz w:val="24"/>
        </w:rPr>
        <w:t xml:space="preserve"> if we are to faithfully recognize all aspects of research ethics as practical action, conducted at all times, whatever the stage of any research project, by and between immanently analytical social actors in always-already-recognizable context (see Sharrock and Button, 1991).</w:t>
      </w:r>
      <w:r w:rsidR="005E70AD">
        <w:rPr>
          <w:color w:val="000000" w:themeColor="text1"/>
          <w:sz w:val="24"/>
        </w:rPr>
        <w:t xml:space="preserve"> </w:t>
      </w:r>
      <w:r w:rsidR="00A64A1C">
        <w:rPr>
          <w:color w:val="000000" w:themeColor="text1"/>
          <w:sz w:val="24"/>
        </w:rPr>
        <w:t>T</w:t>
      </w:r>
      <w:r w:rsidR="005E70AD">
        <w:rPr>
          <w:color w:val="000000" w:themeColor="text1"/>
          <w:sz w:val="24"/>
        </w:rPr>
        <w:t xml:space="preserve">he first section of this article </w:t>
      </w:r>
      <w:r w:rsidR="00A64A1C">
        <w:rPr>
          <w:color w:val="000000" w:themeColor="text1"/>
          <w:sz w:val="24"/>
        </w:rPr>
        <w:t>suggests that</w:t>
      </w:r>
      <w:r w:rsidR="005E70AD">
        <w:rPr>
          <w:color w:val="000000" w:themeColor="text1"/>
          <w:sz w:val="24"/>
        </w:rPr>
        <w:t xml:space="preserve"> practical ethics are </w:t>
      </w:r>
      <w:r w:rsidR="00A64A1C">
        <w:rPr>
          <w:color w:val="000000" w:themeColor="text1"/>
          <w:sz w:val="24"/>
        </w:rPr>
        <w:t xml:space="preserve">typically </w:t>
      </w:r>
      <w:r w:rsidR="005E70AD">
        <w:rPr>
          <w:color w:val="000000" w:themeColor="text1"/>
          <w:sz w:val="24"/>
        </w:rPr>
        <w:t xml:space="preserve">integral to research projects long before institutional review boards even formally recognize </w:t>
      </w:r>
      <w:r w:rsidR="00CD4C09">
        <w:rPr>
          <w:color w:val="000000" w:themeColor="text1"/>
          <w:sz w:val="24"/>
        </w:rPr>
        <w:t>them as such</w:t>
      </w:r>
      <w:r w:rsidR="005E70AD">
        <w:rPr>
          <w:color w:val="000000" w:themeColor="text1"/>
          <w:sz w:val="24"/>
        </w:rPr>
        <w:t>.</w:t>
      </w:r>
    </w:p>
    <w:p w14:paraId="089C8C7B" w14:textId="7738275B" w:rsidR="005C5E82" w:rsidRDefault="008D03F1" w:rsidP="00986C1C">
      <w:pPr>
        <w:pStyle w:val="ABKWH"/>
        <w:spacing w:line="360" w:lineRule="auto"/>
        <w:ind w:firstLine="720"/>
        <w:contextualSpacing/>
        <w:jc w:val="both"/>
        <w:rPr>
          <w:color w:val="000000" w:themeColor="text1"/>
          <w:sz w:val="24"/>
        </w:rPr>
      </w:pPr>
      <w:r>
        <w:rPr>
          <w:color w:val="000000" w:themeColor="text1"/>
          <w:sz w:val="24"/>
        </w:rPr>
        <w:t>Guillemin and Gillam (2004) offer a far more nuanced and practice-oriented account of reflexivity vis-à-vis research ethics than most</w:t>
      </w:r>
      <w:r w:rsidR="003A48B6" w:rsidRPr="003A48B6">
        <w:rPr>
          <w:color w:val="000000" w:themeColor="text1"/>
          <w:sz w:val="24"/>
        </w:rPr>
        <w:t xml:space="preserve"> </w:t>
      </w:r>
      <w:r w:rsidR="003A48B6">
        <w:rPr>
          <w:color w:val="000000" w:themeColor="text1"/>
          <w:sz w:val="24"/>
        </w:rPr>
        <w:t>which goes some way to guarding against opposing critique by offering an explicitly non-prescriptive account of reflexivity</w:t>
      </w:r>
      <w:r>
        <w:rPr>
          <w:color w:val="000000" w:themeColor="text1"/>
          <w:sz w:val="24"/>
        </w:rPr>
        <w:t>. They are a</w:t>
      </w:r>
      <w:r w:rsidR="00151576">
        <w:rPr>
          <w:color w:val="000000" w:themeColor="text1"/>
          <w:sz w:val="24"/>
        </w:rPr>
        <w:t>stute to</w:t>
      </w:r>
      <w:r>
        <w:rPr>
          <w:color w:val="000000" w:themeColor="text1"/>
          <w:sz w:val="24"/>
        </w:rPr>
        <w:t xml:space="preserve"> argue that the adoption of quintessentially proactive approaches to ensuring participant autonomy, such as those often found in participatory action research which </w:t>
      </w:r>
      <w:r w:rsidR="00151576">
        <w:rPr>
          <w:color w:val="000000" w:themeColor="text1"/>
          <w:sz w:val="24"/>
        </w:rPr>
        <w:t>transcend</w:t>
      </w:r>
      <w:r>
        <w:rPr>
          <w:color w:val="000000" w:themeColor="text1"/>
          <w:sz w:val="24"/>
        </w:rPr>
        <w:t xml:space="preserve"> the minimalist confines of standalone informed consent, ‘would not necessarily lead to ethical research practice’ (Guillemin and Gillam, 2004: 276) – to which we should add – any more than a ‘minimalist notion of informed consent’ (Guillemin and Gillam, 2004: 275) is necessarily a reliable predictor for unethical research practice. Again, the study-by-study context is key</w:t>
      </w:r>
      <w:r w:rsidR="003A48B6">
        <w:rPr>
          <w:color w:val="000000" w:themeColor="text1"/>
          <w:sz w:val="24"/>
        </w:rPr>
        <w:t>, but even they risk inviting a reductionist reading of their nuanced discussion of practice with the invocation for</w:t>
      </w:r>
      <w:r w:rsidR="00F66AD5">
        <w:rPr>
          <w:color w:val="000000" w:themeColor="text1"/>
          <w:sz w:val="24"/>
        </w:rPr>
        <w:t xml:space="preserve"> ‘more reflexivity’ in the hope that it can act as a ‘sensitizing notion’ (Guillemin and Gillam, 2004: 278). Is it time we stopped lauding the virtues of reflexivity in qualitative research? Perhaps not. Surely, though, if we are to retain its constant connection with everyday practice in appraisals of our research ethics then this must extend to all stages of our research, including field encounters which exist </w:t>
      </w:r>
      <w:r w:rsidR="005E70AD">
        <w:rPr>
          <w:color w:val="000000" w:themeColor="text1"/>
          <w:sz w:val="24"/>
        </w:rPr>
        <w:t xml:space="preserve">both </w:t>
      </w:r>
      <w:r w:rsidR="00F66AD5">
        <w:rPr>
          <w:color w:val="000000" w:themeColor="text1"/>
          <w:sz w:val="24"/>
        </w:rPr>
        <w:t xml:space="preserve">on </w:t>
      </w:r>
      <w:r w:rsidR="00A54F1C">
        <w:rPr>
          <w:color w:val="000000" w:themeColor="text1"/>
          <w:sz w:val="24"/>
        </w:rPr>
        <w:t xml:space="preserve">and off </w:t>
      </w:r>
      <w:r w:rsidR="00F66AD5">
        <w:rPr>
          <w:color w:val="000000" w:themeColor="text1"/>
          <w:sz w:val="24"/>
        </w:rPr>
        <w:t>paper. Perhaps then we might even start to think about the informed</w:t>
      </w:r>
      <w:r w:rsidR="001D08D9">
        <w:rPr>
          <w:color w:val="000000" w:themeColor="text1"/>
          <w:sz w:val="24"/>
        </w:rPr>
        <w:t xml:space="preserve">, instructive </w:t>
      </w:r>
      <w:r w:rsidR="00F66AD5">
        <w:rPr>
          <w:color w:val="000000" w:themeColor="text1"/>
          <w:sz w:val="24"/>
        </w:rPr>
        <w:t>and practically useful role ethical review committees might be able to play</w:t>
      </w:r>
      <w:r w:rsidR="001B0777">
        <w:rPr>
          <w:color w:val="000000" w:themeColor="text1"/>
          <w:sz w:val="24"/>
        </w:rPr>
        <w:t xml:space="preserve"> </w:t>
      </w:r>
      <w:r w:rsidR="00F66AD5">
        <w:rPr>
          <w:color w:val="000000" w:themeColor="text1"/>
          <w:sz w:val="24"/>
        </w:rPr>
        <w:t xml:space="preserve">in </w:t>
      </w:r>
      <w:r w:rsidR="001D08D9">
        <w:rPr>
          <w:color w:val="000000" w:themeColor="text1"/>
          <w:sz w:val="24"/>
        </w:rPr>
        <w:t xml:space="preserve">supportively </w:t>
      </w:r>
      <w:r w:rsidR="00F66AD5">
        <w:rPr>
          <w:color w:val="000000" w:themeColor="text1"/>
          <w:sz w:val="24"/>
        </w:rPr>
        <w:t xml:space="preserve">shaping ethical practice in </w:t>
      </w:r>
      <w:r w:rsidR="001D08D9">
        <w:rPr>
          <w:color w:val="000000" w:themeColor="text1"/>
          <w:sz w:val="24"/>
        </w:rPr>
        <w:t xml:space="preserve">newly </w:t>
      </w:r>
      <w:r w:rsidR="00F66AD5">
        <w:rPr>
          <w:color w:val="000000" w:themeColor="text1"/>
          <w:sz w:val="24"/>
        </w:rPr>
        <w:t xml:space="preserve">developing projects rather than simply </w:t>
      </w:r>
      <w:r w:rsidR="001D08D9">
        <w:rPr>
          <w:color w:val="000000" w:themeColor="text1"/>
          <w:sz w:val="24"/>
        </w:rPr>
        <w:t xml:space="preserve">rejecting them or </w:t>
      </w:r>
      <w:r w:rsidR="00F66AD5">
        <w:rPr>
          <w:color w:val="000000" w:themeColor="text1"/>
          <w:sz w:val="24"/>
        </w:rPr>
        <w:t>signing them off.</w:t>
      </w:r>
      <w:bookmarkEnd w:id="1"/>
    </w:p>
    <w:p w14:paraId="20F35DED" w14:textId="77777777" w:rsidR="00EF5A5A" w:rsidRPr="005C5E82" w:rsidRDefault="00EF5A5A" w:rsidP="00135CAE">
      <w:pPr>
        <w:pStyle w:val="ABKWH"/>
        <w:contextualSpacing/>
        <w:jc w:val="both"/>
        <w:rPr>
          <w:color w:val="000000" w:themeColor="text1"/>
          <w:sz w:val="24"/>
        </w:rPr>
      </w:pPr>
    </w:p>
    <w:p w14:paraId="368DE223" w14:textId="259A7514" w:rsidR="008D03F1" w:rsidRDefault="008D03F1" w:rsidP="00135CAE">
      <w:pPr>
        <w:pStyle w:val="Heading2"/>
        <w:jc w:val="both"/>
      </w:pPr>
      <w:r>
        <w:t>Conclusion</w:t>
      </w:r>
    </w:p>
    <w:p w14:paraId="0C82B977" w14:textId="77777777" w:rsidR="003302DF" w:rsidRDefault="003302DF" w:rsidP="003302DF">
      <w:pPr>
        <w:pStyle w:val="ABKWH"/>
        <w:contextualSpacing/>
        <w:jc w:val="both"/>
        <w:rPr>
          <w:color w:val="000000" w:themeColor="text1"/>
        </w:rPr>
      </w:pPr>
    </w:p>
    <w:p w14:paraId="71CA30CB" w14:textId="4D31A106" w:rsidR="006C7955" w:rsidRDefault="00AD734C" w:rsidP="00125DBE">
      <w:pPr>
        <w:pStyle w:val="ABKWH"/>
        <w:spacing w:line="360" w:lineRule="auto"/>
        <w:contextualSpacing/>
        <w:jc w:val="both"/>
        <w:rPr>
          <w:color w:val="000000" w:themeColor="text1"/>
          <w:sz w:val="24"/>
        </w:rPr>
      </w:pPr>
      <w:r>
        <w:rPr>
          <w:color w:val="000000" w:themeColor="text1"/>
          <w:sz w:val="24"/>
        </w:rPr>
        <w:lastRenderedPageBreak/>
        <w:t>The research</w:t>
      </w:r>
      <w:r w:rsidR="00CB7137">
        <w:rPr>
          <w:color w:val="000000" w:themeColor="text1"/>
          <w:sz w:val="24"/>
        </w:rPr>
        <w:t xml:space="preserve"> at the heart of this article </w:t>
      </w:r>
      <w:r>
        <w:rPr>
          <w:color w:val="000000" w:themeColor="text1"/>
          <w:sz w:val="24"/>
        </w:rPr>
        <w:t>revolved around a highly emotive topic associated with grief and loss</w:t>
      </w:r>
      <w:r w:rsidR="00FD378E">
        <w:rPr>
          <w:color w:val="000000" w:themeColor="text1"/>
          <w:sz w:val="24"/>
        </w:rPr>
        <w:t xml:space="preserve">. </w:t>
      </w:r>
      <w:r w:rsidR="0013259C">
        <w:rPr>
          <w:color w:val="000000" w:themeColor="text1"/>
          <w:sz w:val="24"/>
        </w:rPr>
        <w:t>P</w:t>
      </w:r>
      <w:r>
        <w:rPr>
          <w:color w:val="000000" w:themeColor="text1"/>
          <w:sz w:val="24"/>
        </w:rPr>
        <w:t>ractically</w:t>
      </w:r>
      <w:r w:rsidR="0013259C">
        <w:rPr>
          <w:color w:val="000000" w:themeColor="text1"/>
          <w:sz w:val="24"/>
        </w:rPr>
        <w:t>, however, it also</w:t>
      </w:r>
      <w:r>
        <w:rPr>
          <w:color w:val="000000" w:themeColor="text1"/>
          <w:sz w:val="24"/>
        </w:rPr>
        <w:t xml:space="preserve"> triggered a</w:t>
      </w:r>
      <w:r w:rsidR="0013259C">
        <w:rPr>
          <w:color w:val="000000" w:themeColor="text1"/>
          <w:sz w:val="24"/>
        </w:rPr>
        <w:t xml:space="preserve"> range of</w:t>
      </w:r>
      <w:r>
        <w:rPr>
          <w:color w:val="000000" w:themeColor="text1"/>
          <w:sz w:val="24"/>
        </w:rPr>
        <w:t xml:space="preserve"> </w:t>
      </w:r>
      <w:r w:rsidR="0013259C">
        <w:rPr>
          <w:color w:val="000000" w:themeColor="text1"/>
          <w:sz w:val="24"/>
        </w:rPr>
        <w:t xml:space="preserve">positive and adaptive emotional responses </w:t>
      </w:r>
      <w:r>
        <w:rPr>
          <w:color w:val="000000" w:themeColor="text1"/>
          <w:sz w:val="24"/>
        </w:rPr>
        <w:t xml:space="preserve">from </w:t>
      </w:r>
      <w:r w:rsidR="009E502E">
        <w:rPr>
          <w:color w:val="000000" w:themeColor="text1"/>
          <w:sz w:val="24"/>
        </w:rPr>
        <w:t xml:space="preserve">participants and </w:t>
      </w:r>
      <w:proofErr w:type="gramStart"/>
      <w:r w:rsidR="009E502E">
        <w:rPr>
          <w:color w:val="000000" w:themeColor="text1"/>
          <w:sz w:val="24"/>
        </w:rPr>
        <w:t>I</w:t>
      </w:r>
      <w:r>
        <w:rPr>
          <w:color w:val="000000" w:themeColor="text1"/>
          <w:sz w:val="24"/>
        </w:rPr>
        <w:t>.</w:t>
      </w:r>
      <w:proofErr w:type="gramEnd"/>
      <w:r>
        <w:rPr>
          <w:color w:val="000000" w:themeColor="text1"/>
          <w:sz w:val="24"/>
        </w:rPr>
        <w:t xml:space="preserve"> There appeared to be a dialectic relationship between this very distressing and </w:t>
      </w:r>
      <w:proofErr w:type="spellStart"/>
      <w:r>
        <w:rPr>
          <w:color w:val="000000" w:themeColor="text1"/>
          <w:sz w:val="24"/>
        </w:rPr>
        <w:t>sombre</w:t>
      </w:r>
      <w:proofErr w:type="spellEnd"/>
      <w:r>
        <w:rPr>
          <w:color w:val="000000" w:themeColor="text1"/>
          <w:sz w:val="24"/>
        </w:rPr>
        <w:t xml:space="preserve"> topic and the production of camaraderie, survivor solidarity and coping mechanisms based on </w:t>
      </w:r>
      <w:proofErr w:type="spellStart"/>
      <w:r>
        <w:rPr>
          <w:color w:val="000000" w:themeColor="text1"/>
          <w:sz w:val="24"/>
        </w:rPr>
        <w:t>humour</w:t>
      </w:r>
      <w:proofErr w:type="spellEnd"/>
      <w:r>
        <w:rPr>
          <w:color w:val="000000" w:themeColor="text1"/>
          <w:sz w:val="24"/>
        </w:rPr>
        <w:t>.</w:t>
      </w:r>
      <w:r w:rsidR="003B1DBF">
        <w:rPr>
          <w:color w:val="000000" w:themeColor="text1"/>
          <w:sz w:val="24"/>
        </w:rPr>
        <w:t xml:space="preserve"> </w:t>
      </w:r>
      <w:r>
        <w:rPr>
          <w:color w:val="000000" w:themeColor="text1"/>
          <w:sz w:val="24"/>
        </w:rPr>
        <w:t xml:space="preserve">This </w:t>
      </w:r>
      <w:r w:rsidR="00261A0D">
        <w:rPr>
          <w:color w:val="000000" w:themeColor="text1"/>
          <w:sz w:val="24"/>
        </w:rPr>
        <w:t xml:space="preserve">alone </w:t>
      </w:r>
      <w:r w:rsidR="00EB09E5">
        <w:rPr>
          <w:color w:val="000000" w:themeColor="text1"/>
          <w:sz w:val="24"/>
        </w:rPr>
        <w:t>is unremarkable</w:t>
      </w:r>
      <w:r w:rsidR="00261A0D">
        <w:rPr>
          <w:color w:val="000000" w:themeColor="text1"/>
          <w:sz w:val="24"/>
        </w:rPr>
        <w:t>. T</w:t>
      </w:r>
      <w:r>
        <w:rPr>
          <w:color w:val="000000" w:themeColor="text1"/>
          <w:sz w:val="24"/>
        </w:rPr>
        <w:t>h</w:t>
      </w:r>
      <w:r w:rsidR="00767E29">
        <w:rPr>
          <w:color w:val="000000" w:themeColor="text1"/>
          <w:sz w:val="24"/>
        </w:rPr>
        <w:t>at</w:t>
      </w:r>
      <w:r>
        <w:rPr>
          <w:color w:val="000000" w:themeColor="text1"/>
          <w:sz w:val="24"/>
        </w:rPr>
        <w:t xml:space="preserve"> seemingly incongruous responses to grief and </w:t>
      </w:r>
      <w:r w:rsidR="00261A0D">
        <w:rPr>
          <w:color w:val="000000" w:themeColor="text1"/>
          <w:sz w:val="24"/>
        </w:rPr>
        <w:t>bereavement</w:t>
      </w:r>
      <w:r>
        <w:rPr>
          <w:color w:val="000000" w:themeColor="text1"/>
          <w:sz w:val="24"/>
        </w:rPr>
        <w:t xml:space="preserve"> are so commonplace</w:t>
      </w:r>
      <w:r w:rsidR="00261A0D">
        <w:rPr>
          <w:color w:val="000000" w:themeColor="text1"/>
          <w:sz w:val="24"/>
        </w:rPr>
        <w:t>, however,</w:t>
      </w:r>
      <w:r>
        <w:rPr>
          <w:color w:val="000000" w:themeColor="text1"/>
          <w:sz w:val="24"/>
        </w:rPr>
        <w:t xml:space="preserve"> </w:t>
      </w:r>
      <w:r w:rsidR="00767E29">
        <w:rPr>
          <w:color w:val="000000" w:themeColor="text1"/>
          <w:sz w:val="24"/>
        </w:rPr>
        <w:t>hints toward</w:t>
      </w:r>
      <w:r>
        <w:rPr>
          <w:color w:val="000000" w:themeColor="text1"/>
          <w:sz w:val="24"/>
        </w:rPr>
        <w:t xml:space="preserve"> the perfunctory </w:t>
      </w:r>
      <w:r w:rsidR="00767E29">
        <w:rPr>
          <w:color w:val="000000" w:themeColor="text1"/>
          <w:sz w:val="24"/>
        </w:rPr>
        <w:t>tendencies</w:t>
      </w:r>
      <w:r>
        <w:rPr>
          <w:color w:val="000000" w:themeColor="text1"/>
          <w:sz w:val="24"/>
        </w:rPr>
        <w:t xml:space="preserve"> of institutional </w:t>
      </w:r>
      <w:r w:rsidR="006C7955">
        <w:rPr>
          <w:color w:val="000000" w:themeColor="text1"/>
          <w:sz w:val="24"/>
        </w:rPr>
        <w:t xml:space="preserve">ethical review boards. Their relationship with researchers </w:t>
      </w:r>
      <w:r w:rsidR="00505ED7">
        <w:rPr>
          <w:color w:val="000000" w:themeColor="text1"/>
          <w:sz w:val="24"/>
        </w:rPr>
        <w:t>seeking</w:t>
      </w:r>
      <w:r w:rsidR="00F626BF">
        <w:rPr>
          <w:color w:val="000000" w:themeColor="text1"/>
          <w:sz w:val="24"/>
        </w:rPr>
        <w:t xml:space="preserve"> </w:t>
      </w:r>
      <w:r w:rsidR="006C7955">
        <w:rPr>
          <w:color w:val="000000" w:themeColor="text1"/>
          <w:sz w:val="24"/>
        </w:rPr>
        <w:t xml:space="preserve">ethical approval is </w:t>
      </w:r>
      <w:r w:rsidR="00505ED7">
        <w:rPr>
          <w:color w:val="000000" w:themeColor="text1"/>
          <w:sz w:val="24"/>
        </w:rPr>
        <w:t>predominantly</w:t>
      </w:r>
      <w:r w:rsidR="00F626BF">
        <w:rPr>
          <w:color w:val="000000" w:themeColor="text1"/>
          <w:sz w:val="24"/>
        </w:rPr>
        <w:t xml:space="preserve"> geared towards the avoidance and management of potential harm, yet</w:t>
      </w:r>
      <w:r w:rsidR="00505ED7">
        <w:rPr>
          <w:color w:val="000000" w:themeColor="text1"/>
          <w:sz w:val="24"/>
        </w:rPr>
        <w:t xml:space="preserve"> they </w:t>
      </w:r>
      <w:r w:rsidR="004A2A97">
        <w:rPr>
          <w:color w:val="000000" w:themeColor="text1"/>
          <w:sz w:val="24"/>
        </w:rPr>
        <w:t xml:space="preserve">necessarily </w:t>
      </w:r>
      <w:r w:rsidR="00F626BF">
        <w:rPr>
          <w:color w:val="000000" w:themeColor="text1"/>
          <w:sz w:val="24"/>
        </w:rPr>
        <w:t>overlook</w:t>
      </w:r>
      <w:r w:rsidR="006C7955">
        <w:rPr>
          <w:color w:val="000000" w:themeColor="text1"/>
          <w:sz w:val="24"/>
        </w:rPr>
        <w:t xml:space="preserve"> </w:t>
      </w:r>
      <w:r w:rsidR="00505ED7">
        <w:rPr>
          <w:color w:val="000000" w:themeColor="text1"/>
          <w:sz w:val="24"/>
        </w:rPr>
        <w:t xml:space="preserve">the unseen </w:t>
      </w:r>
      <w:r w:rsidR="00F37BDF">
        <w:rPr>
          <w:color w:val="000000" w:themeColor="text1"/>
          <w:sz w:val="24"/>
        </w:rPr>
        <w:t xml:space="preserve">‘preliminary’ </w:t>
      </w:r>
      <w:r w:rsidR="00505ED7">
        <w:rPr>
          <w:color w:val="000000" w:themeColor="text1"/>
          <w:sz w:val="24"/>
        </w:rPr>
        <w:t xml:space="preserve">work undertaken by researchers </w:t>
      </w:r>
      <w:r w:rsidR="00BD185A">
        <w:rPr>
          <w:color w:val="000000" w:themeColor="text1"/>
          <w:sz w:val="24"/>
        </w:rPr>
        <w:t xml:space="preserve">as they </w:t>
      </w:r>
      <w:r w:rsidR="00505ED7">
        <w:rPr>
          <w:color w:val="000000" w:themeColor="text1"/>
          <w:sz w:val="24"/>
        </w:rPr>
        <w:t>maneuver themselves into positions of trust and legitimacy</w:t>
      </w:r>
      <w:r w:rsidR="006C7955">
        <w:rPr>
          <w:color w:val="000000" w:themeColor="text1"/>
          <w:sz w:val="24"/>
        </w:rPr>
        <w:t xml:space="preserve">. </w:t>
      </w:r>
      <w:bookmarkStart w:id="3" w:name="_Hlk23839589"/>
      <w:r w:rsidR="006C7955">
        <w:rPr>
          <w:color w:val="000000" w:themeColor="text1"/>
          <w:sz w:val="24"/>
        </w:rPr>
        <w:t>Emotional labour and the relationships that develop through it become truly integral objects of reflection and analysis if we are to make continued sense of our research ethics.</w:t>
      </w:r>
      <w:r w:rsidR="003B1DBF" w:rsidRPr="003B1DBF">
        <w:rPr>
          <w:color w:val="000000" w:themeColor="text1"/>
          <w:sz w:val="24"/>
        </w:rPr>
        <w:t xml:space="preserve"> </w:t>
      </w:r>
      <w:r w:rsidR="00F37BDF">
        <w:rPr>
          <w:color w:val="000000" w:themeColor="text1"/>
          <w:sz w:val="24"/>
        </w:rPr>
        <w:t>T</w:t>
      </w:r>
      <w:r w:rsidR="003B1DBF">
        <w:rPr>
          <w:color w:val="000000" w:themeColor="text1"/>
          <w:sz w:val="24"/>
        </w:rPr>
        <w:t xml:space="preserve">hese findings must not be extrapolated to ‘speak’ for other researchers in similar fields, </w:t>
      </w:r>
      <w:r w:rsidR="00F37BDF">
        <w:rPr>
          <w:color w:val="000000" w:themeColor="text1"/>
          <w:sz w:val="24"/>
        </w:rPr>
        <w:t xml:space="preserve">but </w:t>
      </w:r>
      <w:r w:rsidR="003B1DBF">
        <w:rPr>
          <w:color w:val="000000" w:themeColor="text1"/>
          <w:sz w:val="24"/>
        </w:rPr>
        <w:t>it is hoped that they can contribute to this debate.</w:t>
      </w:r>
      <w:bookmarkEnd w:id="3"/>
    </w:p>
    <w:p w14:paraId="05D5A3AD" w14:textId="576206DA" w:rsidR="00125DBE" w:rsidRDefault="003302DF" w:rsidP="006C7955">
      <w:pPr>
        <w:pStyle w:val="ABKWH"/>
        <w:spacing w:line="360" w:lineRule="auto"/>
        <w:ind w:firstLine="720"/>
        <w:contextualSpacing/>
        <w:jc w:val="both"/>
        <w:rPr>
          <w:color w:val="000000" w:themeColor="text1"/>
          <w:sz w:val="24"/>
        </w:rPr>
      </w:pPr>
      <w:r>
        <w:rPr>
          <w:color w:val="000000" w:themeColor="text1"/>
          <w:sz w:val="24"/>
        </w:rPr>
        <w:t>This article has shown, through an iterative dialogue with Guillemin and Gillam (2004), that the practicalities of qualitative research are a complex and variegated affair carry</w:t>
      </w:r>
      <w:r w:rsidR="0046503C">
        <w:rPr>
          <w:color w:val="000000" w:themeColor="text1"/>
          <w:sz w:val="24"/>
        </w:rPr>
        <w:t>ing</w:t>
      </w:r>
      <w:r>
        <w:rPr>
          <w:color w:val="000000" w:themeColor="text1"/>
          <w:sz w:val="24"/>
        </w:rPr>
        <w:t xml:space="preserve"> different </w:t>
      </w:r>
      <w:r w:rsidR="0046503C">
        <w:rPr>
          <w:color w:val="000000" w:themeColor="text1"/>
          <w:sz w:val="24"/>
        </w:rPr>
        <w:t xml:space="preserve">emotional </w:t>
      </w:r>
      <w:r>
        <w:rPr>
          <w:color w:val="000000" w:themeColor="text1"/>
          <w:sz w:val="24"/>
        </w:rPr>
        <w:t xml:space="preserve">demands and challenges at different periods </w:t>
      </w:r>
      <w:r w:rsidR="0055499B">
        <w:rPr>
          <w:color w:val="000000" w:themeColor="text1"/>
          <w:sz w:val="24"/>
        </w:rPr>
        <w:t>during</w:t>
      </w:r>
      <w:r>
        <w:rPr>
          <w:color w:val="000000" w:themeColor="text1"/>
          <w:sz w:val="24"/>
        </w:rPr>
        <w:t xml:space="preserve"> a project. Using a recently completed doctoral project as an illustrative touchstone, </w:t>
      </w:r>
      <w:proofErr w:type="gramStart"/>
      <w:r>
        <w:rPr>
          <w:color w:val="000000" w:themeColor="text1"/>
          <w:sz w:val="24"/>
        </w:rPr>
        <w:t xml:space="preserve">it is clear that </w:t>
      </w:r>
      <w:r w:rsidR="00C80E17" w:rsidRPr="003302DF">
        <w:rPr>
          <w:color w:val="000000" w:themeColor="text1"/>
          <w:sz w:val="24"/>
        </w:rPr>
        <w:t>maneuvering</w:t>
      </w:r>
      <w:proofErr w:type="gramEnd"/>
      <w:r>
        <w:rPr>
          <w:color w:val="000000" w:themeColor="text1"/>
          <w:sz w:val="24"/>
        </w:rPr>
        <w:t xml:space="preserve"> oneself</w:t>
      </w:r>
      <w:r w:rsidR="00C80E17" w:rsidRPr="003302DF">
        <w:rPr>
          <w:color w:val="000000" w:themeColor="text1"/>
          <w:sz w:val="24"/>
        </w:rPr>
        <w:t xml:space="preserve"> into a position of ethical legitimacy must </w:t>
      </w:r>
      <w:r w:rsidR="0055499B">
        <w:rPr>
          <w:color w:val="000000" w:themeColor="text1"/>
          <w:sz w:val="24"/>
        </w:rPr>
        <w:t xml:space="preserve">sometimes </w:t>
      </w:r>
      <w:r w:rsidR="00C80E17" w:rsidRPr="003302DF">
        <w:rPr>
          <w:color w:val="000000" w:themeColor="text1"/>
          <w:sz w:val="24"/>
        </w:rPr>
        <w:t xml:space="preserve">be concomitantly pursued with prospective research participants </w:t>
      </w:r>
      <w:r w:rsidR="00C80E17" w:rsidRPr="003302DF">
        <w:rPr>
          <w:i/>
          <w:color w:val="000000" w:themeColor="text1"/>
          <w:sz w:val="24"/>
        </w:rPr>
        <w:t>and</w:t>
      </w:r>
      <w:r w:rsidR="00C80E17" w:rsidRPr="003302DF">
        <w:rPr>
          <w:color w:val="000000" w:themeColor="text1"/>
          <w:sz w:val="24"/>
        </w:rPr>
        <w:t xml:space="preserve"> those ultimately responsible for granting institutional approval</w:t>
      </w:r>
      <w:r>
        <w:rPr>
          <w:color w:val="000000" w:themeColor="text1"/>
          <w:sz w:val="24"/>
        </w:rPr>
        <w:t>, prior to ethical approval being granted</w:t>
      </w:r>
      <w:r w:rsidR="00C80E17" w:rsidRPr="003302DF">
        <w:rPr>
          <w:color w:val="000000" w:themeColor="text1"/>
          <w:sz w:val="24"/>
        </w:rPr>
        <w:t>.</w:t>
      </w:r>
      <w:r>
        <w:rPr>
          <w:color w:val="000000" w:themeColor="text1"/>
          <w:sz w:val="24"/>
        </w:rPr>
        <w:t xml:space="preserve"> This is not due to eagerness or cunning on the part of the researcher but rather a practical demand which provides the opportunity of scoping out feasible ways in which a convincing and faithful story of ethical safeguarding</w:t>
      </w:r>
      <w:r w:rsidR="0076637D">
        <w:rPr>
          <w:color w:val="000000" w:themeColor="text1"/>
          <w:sz w:val="24"/>
        </w:rPr>
        <w:t xml:space="preserve"> on paper and ethical judgement in the field can be honed prior to submission for approval.</w:t>
      </w:r>
      <w:r w:rsidR="00A260AD">
        <w:rPr>
          <w:color w:val="000000" w:themeColor="text1"/>
          <w:sz w:val="24"/>
        </w:rPr>
        <w:t xml:space="preserve"> Without this local knowledge, writing a robust application for ethical review would be both difficult and uninformed.</w:t>
      </w:r>
      <w:r w:rsidR="00C80E17" w:rsidRPr="003302DF">
        <w:rPr>
          <w:color w:val="000000" w:themeColor="text1"/>
          <w:sz w:val="24"/>
        </w:rPr>
        <w:t xml:space="preserve"> Where the understandings and interests of the two groups diverge</w:t>
      </w:r>
      <w:r w:rsidR="00A260AD">
        <w:rPr>
          <w:color w:val="000000" w:themeColor="text1"/>
          <w:sz w:val="24"/>
        </w:rPr>
        <w:t xml:space="preserve"> (prospective participants and those conducting ethical review)</w:t>
      </w:r>
      <w:r w:rsidR="00C80E17" w:rsidRPr="003302DF">
        <w:rPr>
          <w:color w:val="000000" w:themeColor="text1"/>
          <w:sz w:val="24"/>
        </w:rPr>
        <w:t>, particularly around how trust, confidentiality, safety, and harm are to be rendered intelligible, as they almost certainly will, researchers are automatically and unavoidably engaged in the production of local and accountable order, the kind</w:t>
      </w:r>
      <w:r w:rsidR="00A260AD">
        <w:rPr>
          <w:color w:val="000000" w:themeColor="text1"/>
          <w:sz w:val="24"/>
        </w:rPr>
        <w:t>s</w:t>
      </w:r>
      <w:r w:rsidR="00C80E17" w:rsidRPr="003302DF">
        <w:rPr>
          <w:color w:val="000000" w:themeColor="text1"/>
          <w:sz w:val="24"/>
        </w:rPr>
        <w:t xml:space="preserve"> of which characterize a whole variety of everyday human phenomena (</w:t>
      </w:r>
      <w:r w:rsidR="00C80E17" w:rsidRPr="003302DF">
        <w:rPr>
          <w:i/>
          <w:color w:val="000000" w:themeColor="text1"/>
          <w:sz w:val="24"/>
        </w:rPr>
        <w:t xml:space="preserve">qua </w:t>
      </w:r>
      <w:r w:rsidR="00C80E17" w:rsidRPr="003302DF">
        <w:rPr>
          <w:color w:val="000000" w:themeColor="text1"/>
          <w:sz w:val="24"/>
        </w:rPr>
        <w:t xml:space="preserve">Garfinkel, 1967). As researchers, we </w:t>
      </w:r>
      <w:r w:rsidR="00C80E17" w:rsidRPr="003302DF">
        <w:rPr>
          <w:color w:val="000000" w:themeColor="text1"/>
          <w:sz w:val="24"/>
        </w:rPr>
        <w:lastRenderedPageBreak/>
        <w:t>cannot simply extradite these ‘other’ kinds of decision-making processes under the auspices of reflexivity, as though they were phenomenologically unique in status, to special issues, eponymous textbooks, or chapter subsections in bad faith. ‘Doing reflexivity’ or ‘Being reflexive’ in this sense, then, is not a requisite exercise in methodological ground-clearing, after which we can get down to the ‘real’ task at hand (be that identifying, creating, entering, leaving, or analyzing research fields), but an inherent and immanent feature of all practical activity that we engage in.</w:t>
      </w:r>
    </w:p>
    <w:p w14:paraId="74AA1451" w14:textId="487E630B" w:rsidR="008D03F1" w:rsidRPr="003302DF" w:rsidRDefault="00743154" w:rsidP="003302DF">
      <w:pPr>
        <w:pStyle w:val="ABKWH"/>
        <w:spacing w:line="360" w:lineRule="auto"/>
        <w:ind w:firstLine="720"/>
        <w:contextualSpacing/>
        <w:jc w:val="both"/>
        <w:rPr>
          <w:color w:val="000000" w:themeColor="text1"/>
          <w:sz w:val="24"/>
        </w:rPr>
      </w:pPr>
      <w:r w:rsidRPr="003302DF">
        <w:rPr>
          <w:color w:val="000000" w:themeColor="text1"/>
          <w:sz w:val="24"/>
        </w:rPr>
        <w:t>There is also an important</w:t>
      </w:r>
      <w:r w:rsidR="008D03F1" w:rsidRPr="003302DF">
        <w:rPr>
          <w:color w:val="000000" w:themeColor="text1"/>
          <w:sz w:val="24"/>
        </w:rPr>
        <w:t xml:space="preserve"> political point </w:t>
      </w:r>
      <w:r w:rsidR="00AD320A">
        <w:rPr>
          <w:color w:val="000000" w:themeColor="text1"/>
          <w:sz w:val="24"/>
        </w:rPr>
        <w:t>to</w:t>
      </w:r>
      <w:r w:rsidR="008D03F1" w:rsidRPr="003302DF">
        <w:rPr>
          <w:color w:val="000000" w:themeColor="text1"/>
          <w:sz w:val="24"/>
        </w:rPr>
        <w:t xml:space="preserve"> </w:t>
      </w:r>
      <w:r w:rsidRPr="003302DF">
        <w:rPr>
          <w:color w:val="000000" w:themeColor="text1"/>
          <w:sz w:val="24"/>
        </w:rPr>
        <w:t>understanding</w:t>
      </w:r>
      <w:r w:rsidR="008D03F1" w:rsidRPr="003302DF">
        <w:rPr>
          <w:color w:val="000000" w:themeColor="text1"/>
          <w:sz w:val="24"/>
        </w:rPr>
        <w:t xml:space="preserve"> reflexiv</w:t>
      </w:r>
      <w:r w:rsidR="00AB23E4">
        <w:rPr>
          <w:color w:val="000000" w:themeColor="text1"/>
          <w:sz w:val="24"/>
        </w:rPr>
        <w:t xml:space="preserve">ity and </w:t>
      </w:r>
      <w:r w:rsidR="008D03F1" w:rsidRPr="003302DF">
        <w:rPr>
          <w:color w:val="000000" w:themeColor="text1"/>
          <w:sz w:val="24"/>
        </w:rPr>
        <w:t xml:space="preserve">research ethics in this way. </w:t>
      </w:r>
      <w:r w:rsidR="00AD320A">
        <w:rPr>
          <w:color w:val="000000" w:themeColor="text1"/>
          <w:sz w:val="24"/>
        </w:rPr>
        <w:t>Firstly, it does not</w:t>
      </w:r>
      <w:r w:rsidR="008D03F1" w:rsidRPr="003302DF">
        <w:rPr>
          <w:color w:val="000000" w:themeColor="text1"/>
          <w:sz w:val="24"/>
        </w:rPr>
        <w:t xml:space="preserve"> risk the </w:t>
      </w:r>
      <w:proofErr w:type="gramStart"/>
      <w:r w:rsidR="008D03F1" w:rsidRPr="003302DF">
        <w:rPr>
          <w:color w:val="000000" w:themeColor="text1"/>
          <w:sz w:val="24"/>
        </w:rPr>
        <w:t>often unreasonable</w:t>
      </w:r>
      <w:proofErr w:type="gramEnd"/>
      <w:r w:rsidR="008D03F1" w:rsidRPr="003302DF">
        <w:rPr>
          <w:color w:val="000000" w:themeColor="text1"/>
          <w:sz w:val="24"/>
        </w:rPr>
        <w:t xml:space="preserve"> expectation that formal debriefs with professional colleagues, variously including gatekeepers, counsellors, supervisors, or mentors, can engender.</w:t>
      </w:r>
      <w:r w:rsidR="00AD320A">
        <w:rPr>
          <w:color w:val="000000" w:themeColor="text1"/>
          <w:sz w:val="24"/>
        </w:rPr>
        <w:t xml:space="preserve"> In the examples described here, these debriefs were not stressful or unpleasant but rather ineffectual, failing to account for existing relationships (for example, family members) and mechanisms (such as </w:t>
      </w:r>
      <w:proofErr w:type="spellStart"/>
      <w:r w:rsidR="00AD320A">
        <w:rPr>
          <w:color w:val="000000" w:themeColor="text1"/>
          <w:sz w:val="24"/>
        </w:rPr>
        <w:t>humour</w:t>
      </w:r>
      <w:proofErr w:type="spellEnd"/>
      <w:r w:rsidR="00AD320A">
        <w:rPr>
          <w:color w:val="000000" w:themeColor="text1"/>
          <w:sz w:val="24"/>
        </w:rPr>
        <w:t xml:space="preserve">) for negotiating what will always be moving and emotionally charged research. To insist on the importance of these more formal relationships and meetings at the expense of existing sources of support for researchers is to extend the bureaucratic reach of the review process without </w:t>
      </w:r>
      <w:proofErr w:type="gramStart"/>
      <w:r w:rsidR="00AD320A">
        <w:rPr>
          <w:color w:val="000000" w:themeColor="text1"/>
          <w:sz w:val="24"/>
        </w:rPr>
        <w:t>taking into account</w:t>
      </w:r>
      <w:proofErr w:type="gramEnd"/>
      <w:r w:rsidR="00AD320A">
        <w:rPr>
          <w:color w:val="000000" w:themeColor="text1"/>
          <w:sz w:val="24"/>
        </w:rPr>
        <w:t xml:space="preserve"> qualitative life.</w:t>
      </w:r>
      <w:r w:rsidR="008D03F1" w:rsidRPr="003302DF">
        <w:rPr>
          <w:color w:val="000000" w:themeColor="text1"/>
          <w:sz w:val="24"/>
        </w:rPr>
        <w:t xml:space="preserve"> </w:t>
      </w:r>
      <w:r w:rsidR="00AD320A">
        <w:rPr>
          <w:color w:val="000000" w:themeColor="text1"/>
          <w:sz w:val="24"/>
        </w:rPr>
        <w:t>Secondly,</w:t>
      </w:r>
      <w:r w:rsidR="008D03F1" w:rsidRPr="003302DF">
        <w:rPr>
          <w:color w:val="000000" w:themeColor="text1"/>
          <w:sz w:val="24"/>
        </w:rPr>
        <w:t xml:space="preserve"> by thinking of </w:t>
      </w:r>
      <w:r w:rsidR="008D03F1" w:rsidRPr="003302DF">
        <w:rPr>
          <w:i/>
          <w:color w:val="000000" w:themeColor="text1"/>
          <w:sz w:val="24"/>
        </w:rPr>
        <w:t>ethics</w:t>
      </w:r>
      <w:r w:rsidR="00D53680" w:rsidRPr="003302DF">
        <w:rPr>
          <w:i/>
          <w:color w:val="000000" w:themeColor="text1"/>
          <w:sz w:val="24"/>
        </w:rPr>
        <w:t>-</w:t>
      </w:r>
      <w:r w:rsidR="008D03F1" w:rsidRPr="003302DF">
        <w:rPr>
          <w:i/>
          <w:color w:val="000000" w:themeColor="text1"/>
          <w:sz w:val="24"/>
        </w:rPr>
        <w:t>as</w:t>
      </w:r>
      <w:r w:rsidR="00D53680" w:rsidRPr="003302DF">
        <w:rPr>
          <w:i/>
          <w:color w:val="000000" w:themeColor="text1"/>
          <w:sz w:val="24"/>
        </w:rPr>
        <w:t>-</w:t>
      </w:r>
      <w:r w:rsidR="008D03F1" w:rsidRPr="003302DF">
        <w:rPr>
          <w:i/>
          <w:color w:val="000000" w:themeColor="text1"/>
          <w:sz w:val="24"/>
        </w:rPr>
        <w:t>practice</w:t>
      </w:r>
      <w:r w:rsidR="008D03F1" w:rsidRPr="003302DF">
        <w:rPr>
          <w:color w:val="000000" w:themeColor="text1"/>
          <w:sz w:val="24"/>
        </w:rPr>
        <w:t xml:space="preserve"> in this way, we </w:t>
      </w:r>
      <w:r w:rsidR="00D53680" w:rsidRPr="003302DF">
        <w:rPr>
          <w:color w:val="000000" w:themeColor="text1"/>
          <w:sz w:val="24"/>
        </w:rPr>
        <w:t>might</w:t>
      </w:r>
      <w:r w:rsidR="008D03F1" w:rsidRPr="003302DF">
        <w:rPr>
          <w:color w:val="000000" w:themeColor="text1"/>
          <w:sz w:val="24"/>
        </w:rPr>
        <w:t xml:space="preserve"> start to think more fruitfully about decentering research ethics </w:t>
      </w:r>
      <w:r w:rsidR="00AD320A">
        <w:rPr>
          <w:color w:val="000000" w:themeColor="text1"/>
          <w:sz w:val="24"/>
        </w:rPr>
        <w:t>around</w:t>
      </w:r>
      <w:r w:rsidR="00D53680" w:rsidRPr="003302DF">
        <w:rPr>
          <w:color w:val="000000" w:themeColor="text1"/>
          <w:sz w:val="24"/>
        </w:rPr>
        <w:t xml:space="preserve"> violence </w:t>
      </w:r>
      <w:r w:rsidR="008D03F1" w:rsidRPr="003302DF">
        <w:rPr>
          <w:color w:val="000000" w:themeColor="text1"/>
          <w:sz w:val="24"/>
        </w:rPr>
        <w:t>in all manner of ways.</w:t>
      </w:r>
      <w:r w:rsidR="004A3DF0">
        <w:rPr>
          <w:color w:val="000000" w:themeColor="text1"/>
          <w:sz w:val="24"/>
        </w:rPr>
        <w:t xml:space="preserve"> This includes ‘researching the powerful’, an area in desperate need of ethical reconstruction (</w:t>
      </w:r>
      <w:proofErr w:type="spellStart"/>
      <w:r w:rsidR="004A3DF0">
        <w:rPr>
          <w:color w:val="000000" w:themeColor="text1"/>
          <w:sz w:val="24"/>
        </w:rPr>
        <w:t>Alvesalo-Kuusi</w:t>
      </w:r>
      <w:proofErr w:type="spellEnd"/>
      <w:r w:rsidR="004A3DF0">
        <w:rPr>
          <w:color w:val="000000" w:themeColor="text1"/>
          <w:sz w:val="24"/>
        </w:rPr>
        <w:t xml:space="preserve"> and Whyte, 2018). </w:t>
      </w:r>
      <w:r w:rsidR="00D53680" w:rsidRPr="003302DF">
        <w:rPr>
          <w:color w:val="000000" w:themeColor="text1"/>
          <w:sz w:val="24"/>
        </w:rPr>
        <w:t>We might encourage students and researchers of violence to engage more positively with conversations about ‘ethics’ as a l</w:t>
      </w:r>
      <w:r w:rsidR="008C3DFF" w:rsidRPr="003302DF">
        <w:rPr>
          <w:color w:val="000000" w:themeColor="text1"/>
          <w:sz w:val="24"/>
        </w:rPr>
        <w:t>i</w:t>
      </w:r>
      <w:r w:rsidR="00D53680" w:rsidRPr="003302DF">
        <w:rPr>
          <w:color w:val="000000" w:themeColor="text1"/>
          <w:sz w:val="24"/>
        </w:rPr>
        <w:t xml:space="preserve">ving and breathing practice, riddled with uncertainties, unknowns, contradictions, and questions. If we see ‘clearing ethics’ only as a mechanical and requisite practice, one of </w:t>
      </w:r>
      <w:r w:rsidR="00AD320A">
        <w:rPr>
          <w:color w:val="000000" w:themeColor="text1"/>
          <w:sz w:val="24"/>
        </w:rPr>
        <w:t xml:space="preserve">the </w:t>
      </w:r>
      <w:r w:rsidR="00D53680" w:rsidRPr="003302DF">
        <w:rPr>
          <w:color w:val="000000" w:themeColor="text1"/>
          <w:sz w:val="24"/>
        </w:rPr>
        <w:t xml:space="preserve">many stepping stones on </w:t>
      </w:r>
      <w:r w:rsidR="00AD320A">
        <w:rPr>
          <w:color w:val="000000" w:themeColor="text1"/>
          <w:sz w:val="24"/>
        </w:rPr>
        <w:t>our</w:t>
      </w:r>
      <w:r w:rsidR="00D53680" w:rsidRPr="003302DF">
        <w:rPr>
          <w:color w:val="000000" w:themeColor="text1"/>
          <w:sz w:val="24"/>
        </w:rPr>
        <w:t xml:space="preserve"> way to completing a research project, we are in trouble</w:t>
      </w:r>
      <w:r w:rsidR="00445C2D">
        <w:rPr>
          <w:color w:val="000000" w:themeColor="text1"/>
          <w:sz w:val="24"/>
        </w:rPr>
        <w:t xml:space="preserve"> – hurdles and challenges simply get airbrushed from view.</w:t>
      </w:r>
      <w:r w:rsidR="00D53680" w:rsidRPr="003302DF">
        <w:rPr>
          <w:color w:val="000000" w:themeColor="text1"/>
          <w:sz w:val="24"/>
        </w:rPr>
        <w:t xml:space="preserve"> But similarly, if we approach only with caution</w:t>
      </w:r>
      <w:r w:rsidR="00AD320A">
        <w:rPr>
          <w:color w:val="000000" w:themeColor="text1"/>
          <w:sz w:val="24"/>
        </w:rPr>
        <w:t xml:space="preserve">, </w:t>
      </w:r>
      <w:r w:rsidR="00D53680" w:rsidRPr="003302DF">
        <w:rPr>
          <w:color w:val="000000" w:themeColor="text1"/>
          <w:sz w:val="24"/>
        </w:rPr>
        <w:t xml:space="preserve">then how well are we preparing ourselves and each other </w:t>
      </w:r>
      <w:r w:rsidR="00911327" w:rsidRPr="003302DF">
        <w:rPr>
          <w:color w:val="000000" w:themeColor="text1"/>
          <w:sz w:val="24"/>
        </w:rPr>
        <w:t>for those moments when the aftermath of violence confronts us in ways that would be impossible, and surely unethical, to turn away from?</w:t>
      </w:r>
    </w:p>
    <w:p w14:paraId="0AAFFA97" w14:textId="308A02D6" w:rsidR="0061370D" w:rsidRDefault="00445C2D" w:rsidP="002F71EB">
      <w:pPr>
        <w:pStyle w:val="ABKWH"/>
        <w:spacing w:line="360" w:lineRule="auto"/>
        <w:ind w:firstLine="720"/>
        <w:contextualSpacing/>
        <w:jc w:val="both"/>
        <w:rPr>
          <w:color w:val="000000" w:themeColor="text1"/>
          <w:sz w:val="24"/>
        </w:rPr>
      </w:pPr>
      <w:r>
        <w:rPr>
          <w:color w:val="000000" w:themeColor="text1"/>
          <w:sz w:val="24"/>
        </w:rPr>
        <w:t>Imagining an alternative form of</w:t>
      </w:r>
      <w:r w:rsidR="007D12F3">
        <w:rPr>
          <w:color w:val="000000" w:themeColor="text1"/>
          <w:sz w:val="24"/>
        </w:rPr>
        <w:t xml:space="preserve"> </w:t>
      </w:r>
      <w:r w:rsidR="002F71EB">
        <w:rPr>
          <w:color w:val="000000" w:themeColor="text1"/>
          <w:sz w:val="24"/>
        </w:rPr>
        <w:t>‘</w:t>
      </w:r>
      <w:r w:rsidR="007D12F3">
        <w:rPr>
          <w:color w:val="000000" w:themeColor="text1"/>
          <w:sz w:val="24"/>
        </w:rPr>
        <w:t>procedural ethics</w:t>
      </w:r>
      <w:r w:rsidR="002F71EB">
        <w:rPr>
          <w:color w:val="000000" w:themeColor="text1"/>
          <w:sz w:val="24"/>
        </w:rPr>
        <w:t>’ (Guillemin and Gillam, 2004)</w:t>
      </w:r>
      <w:r w:rsidR="007D12F3">
        <w:rPr>
          <w:color w:val="000000" w:themeColor="text1"/>
          <w:sz w:val="24"/>
        </w:rPr>
        <w:t xml:space="preserve"> </w:t>
      </w:r>
      <w:r>
        <w:rPr>
          <w:color w:val="000000" w:themeColor="text1"/>
          <w:sz w:val="24"/>
        </w:rPr>
        <w:t xml:space="preserve">which </w:t>
      </w:r>
      <w:r w:rsidR="002F71EB">
        <w:rPr>
          <w:color w:val="000000" w:themeColor="text1"/>
          <w:sz w:val="24"/>
        </w:rPr>
        <w:t>not only allow</w:t>
      </w:r>
      <w:r>
        <w:rPr>
          <w:color w:val="000000" w:themeColor="text1"/>
          <w:sz w:val="24"/>
        </w:rPr>
        <w:t>s,</w:t>
      </w:r>
      <w:r w:rsidR="002F71EB">
        <w:rPr>
          <w:color w:val="000000" w:themeColor="text1"/>
          <w:sz w:val="24"/>
        </w:rPr>
        <w:t xml:space="preserve"> but encourage</w:t>
      </w:r>
      <w:r>
        <w:rPr>
          <w:color w:val="000000" w:themeColor="text1"/>
          <w:sz w:val="24"/>
        </w:rPr>
        <w:t>s, prior engagement in the field</w:t>
      </w:r>
      <w:r w:rsidR="002F71EB">
        <w:rPr>
          <w:color w:val="000000" w:themeColor="text1"/>
          <w:sz w:val="24"/>
        </w:rPr>
        <w:t xml:space="preserve"> </w:t>
      </w:r>
      <w:r w:rsidR="007D12F3">
        <w:rPr>
          <w:color w:val="000000" w:themeColor="text1"/>
          <w:sz w:val="24"/>
        </w:rPr>
        <w:t>open</w:t>
      </w:r>
      <w:r>
        <w:rPr>
          <w:color w:val="000000" w:themeColor="text1"/>
          <w:sz w:val="24"/>
        </w:rPr>
        <w:t>s</w:t>
      </w:r>
      <w:r w:rsidR="007D12F3">
        <w:rPr>
          <w:color w:val="000000" w:themeColor="text1"/>
          <w:sz w:val="24"/>
        </w:rPr>
        <w:t xml:space="preserve"> up possibilit</w:t>
      </w:r>
      <w:r>
        <w:rPr>
          <w:color w:val="000000" w:themeColor="text1"/>
          <w:sz w:val="24"/>
        </w:rPr>
        <w:t>ies</w:t>
      </w:r>
      <w:r w:rsidR="007D12F3">
        <w:rPr>
          <w:color w:val="000000" w:themeColor="text1"/>
          <w:sz w:val="24"/>
        </w:rPr>
        <w:t xml:space="preserve"> </w:t>
      </w:r>
      <w:r>
        <w:rPr>
          <w:color w:val="000000" w:themeColor="text1"/>
          <w:sz w:val="24"/>
        </w:rPr>
        <w:t>for</w:t>
      </w:r>
      <w:r w:rsidR="007D12F3">
        <w:rPr>
          <w:color w:val="000000" w:themeColor="text1"/>
          <w:sz w:val="24"/>
        </w:rPr>
        <w:t xml:space="preserve"> an ethical review process of a fundamentally different kind</w:t>
      </w:r>
      <w:r>
        <w:rPr>
          <w:color w:val="000000" w:themeColor="text1"/>
          <w:sz w:val="24"/>
        </w:rPr>
        <w:t>.</w:t>
      </w:r>
      <w:r w:rsidR="002F71EB">
        <w:rPr>
          <w:color w:val="000000" w:themeColor="text1"/>
          <w:sz w:val="24"/>
        </w:rPr>
        <w:t xml:space="preserve"> </w:t>
      </w:r>
      <w:r>
        <w:rPr>
          <w:color w:val="000000" w:themeColor="text1"/>
          <w:sz w:val="24"/>
        </w:rPr>
        <w:t>This</w:t>
      </w:r>
      <w:r w:rsidR="002F71EB">
        <w:rPr>
          <w:color w:val="000000" w:themeColor="text1"/>
          <w:sz w:val="24"/>
        </w:rPr>
        <w:t xml:space="preserve"> </w:t>
      </w:r>
      <w:r>
        <w:rPr>
          <w:color w:val="000000" w:themeColor="text1"/>
          <w:sz w:val="24"/>
        </w:rPr>
        <w:t xml:space="preserve">could </w:t>
      </w:r>
      <w:r w:rsidR="002F71EB">
        <w:rPr>
          <w:color w:val="000000" w:themeColor="text1"/>
          <w:sz w:val="24"/>
        </w:rPr>
        <w:t>focus</w:t>
      </w:r>
      <w:r>
        <w:rPr>
          <w:color w:val="000000" w:themeColor="text1"/>
          <w:sz w:val="24"/>
        </w:rPr>
        <w:t xml:space="preserve"> less</w:t>
      </w:r>
      <w:r w:rsidR="002F71EB">
        <w:rPr>
          <w:color w:val="000000" w:themeColor="text1"/>
          <w:sz w:val="24"/>
        </w:rPr>
        <w:t xml:space="preserve"> </w:t>
      </w:r>
      <w:r>
        <w:rPr>
          <w:color w:val="000000" w:themeColor="text1"/>
          <w:sz w:val="24"/>
        </w:rPr>
        <w:t>one-</w:t>
      </w:r>
      <w:r>
        <w:rPr>
          <w:color w:val="000000" w:themeColor="text1"/>
          <w:sz w:val="24"/>
        </w:rPr>
        <w:lastRenderedPageBreak/>
        <w:t xml:space="preserve">dimensionally </w:t>
      </w:r>
      <w:r w:rsidR="002F71EB">
        <w:rPr>
          <w:color w:val="000000" w:themeColor="text1"/>
          <w:sz w:val="24"/>
        </w:rPr>
        <w:t>on deficit thinking about risk</w:t>
      </w:r>
      <w:r>
        <w:rPr>
          <w:color w:val="000000" w:themeColor="text1"/>
          <w:sz w:val="24"/>
        </w:rPr>
        <w:t>,</w:t>
      </w:r>
      <w:r w:rsidR="002F71EB">
        <w:rPr>
          <w:color w:val="000000" w:themeColor="text1"/>
          <w:sz w:val="24"/>
        </w:rPr>
        <w:t xml:space="preserve"> </w:t>
      </w:r>
      <w:r>
        <w:rPr>
          <w:color w:val="000000" w:themeColor="text1"/>
          <w:sz w:val="24"/>
        </w:rPr>
        <w:t>committing</w:t>
      </w:r>
      <w:r w:rsidR="002F71EB">
        <w:rPr>
          <w:color w:val="000000" w:themeColor="text1"/>
          <w:sz w:val="24"/>
        </w:rPr>
        <w:t xml:space="preserve"> instead to </w:t>
      </w:r>
      <w:r>
        <w:rPr>
          <w:color w:val="000000" w:themeColor="text1"/>
          <w:sz w:val="24"/>
        </w:rPr>
        <w:t xml:space="preserve">more </w:t>
      </w:r>
      <w:r w:rsidR="007D12F3">
        <w:rPr>
          <w:color w:val="000000" w:themeColor="text1"/>
          <w:sz w:val="24"/>
        </w:rPr>
        <w:t>transparent, constructive, and dialogical research practice.</w:t>
      </w:r>
      <w:r w:rsidR="002F71EB">
        <w:rPr>
          <w:color w:val="000000" w:themeColor="text1"/>
          <w:sz w:val="24"/>
        </w:rPr>
        <w:t xml:space="preserve"> R</w:t>
      </w:r>
      <w:r w:rsidR="007D12F3">
        <w:rPr>
          <w:color w:val="000000" w:themeColor="text1"/>
          <w:sz w:val="24"/>
        </w:rPr>
        <w:t>esearch acce</w:t>
      </w:r>
      <w:r w:rsidR="002F71EB">
        <w:rPr>
          <w:color w:val="000000" w:themeColor="text1"/>
          <w:sz w:val="24"/>
        </w:rPr>
        <w:t>s</w:t>
      </w:r>
      <w:r w:rsidR="007D12F3">
        <w:rPr>
          <w:color w:val="000000" w:themeColor="text1"/>
          <w:sz w:val="24"/>
        </w:rPr>
        <w:t xml:space="preserve">s forays </w:t>
      </w:r>
      <w:r w:rsidR="002F71EB">
        <w:rPr>
          <w:color w:val="000000" w:themeColor="text1"/>
          <w:sz w:val="24"/>
        </w:rPr>
        <w:t>frequently</w:t>
      </w:r>
      <w:r w:rsidR="007D12F3">
        <w:rPr>
          <w:color w:val="000000" w:themeColor="text1"/>
          <w:sz w:val="24"/>
        </w:rPr>
        <w:t xml:space="preserve"> begin before ethical approval is granted at an </w:t>
      </w:r>
      <w:r w:rsidR="002F71EB">
        <w:rPr>
          <w:color w:val="000000" w:themeColor="text1"/>
          <w:sz w:val="24"/>
        </w:rPr>
        <w:t>institutional</w:t>
      </w:r>
      <w:r w:rsidR="007D12F3">
        <w:rPr>
          <w:color w:val="000000" w:themeColor="text1"/>
          <w:sz w:val="24"/>
        </w:rPr>
        <w:t xml:space="preserve"> level; </w:t>
      </w:r>
      <w:r w:rsidR="002F71EB">
        <w:rPr>
          <w:color w:val="000000" w:themeColor="text1"/>
          <w:sz w:val="24"/>
        </w:rPr>
        <w:t>such institutional processes</w:t>
      </w:r>
      <w:r w:rsidR="007D12F3">
        <w:rPr>
          <w:color w:val="000000" w:themeColor="text1"/>
          <w:sz w:val="24"/>
        </w:rPr>
        <w:t xml:space="preserve"> are frequently complained about for delaying the progress of projects</w:t>
      </w:r>
      <w:r w:rsidR="002F71EB">
        <w:rPr>
          <w:color w:val="000000" w:themeColor="text1"/>
          <w:sz w:val="24"/>
        </w:rPr>
        <w:t xml:space="preserve">. This surely </w:t>
      </w:r>
      <w:r w:rsidR="007D12F3">
        <w:rPr>
          <w:color w:val="000000" w:themeColor="text1"/>
          <w:sz w:val="24"/>
        </w:rPr>
        <w:t>r</w:t>
      </w:r>
      <w:r w:rsidR="002F71EB">
        <w:rPr>
          <w:color w:val="000000" w:themeColor="text1"/>
          <w:sz w:val="24"/>
        </w:rPr>
        <w:t>epresents</w:t>
      </w:r>
      <w:r w:rsidR="007D12F3">
        <w:rPr>
          <w:color w:val="000000" w:themeColor="text1"/>
          <w:sz w:val="24"/>
        </w:rPr>
        <w:t xml:space="preserve"> </w:t>
      </w:r>
      <w:r w:rsidR="002F71EB">
        <w:rPr>
          <w:color w:val="000000" w:themeColor="text1"/>
          <w:sz w:val="24"/>
        </w:rPr>
        <w:t xml:space="preserve">a </w:t>
      </w:r>
      <w:r w:rsidR="007D12F3">
        <w:rPr>
          <w:color w:val="000000" w:themeColor="text1"/>
          <w:sz w:val="24"/>
        </w:rPr>
        <w:t>miss</w:t>
      </w:r>
      <w:r w:rsidR="002F71EB">
        <w:rPr>
          <w:color w:val="000000" w:themeColor="text1"/>
          <w:sz w:val="24"/>
        </w:rPr>
        <w:t>ed</w:t>
      </w:r>
      <w:r w:rsidR="007D12F3">
        <w:rPr>
          <w:color w:val="000000" w:themeColor="text1"/>
          <w:sz w:val="24"/>
        </w:rPr>
        <w:t xml:space="preserve"> opportunity</w:t>
      </w:r>
      <w:r w:rsidR="002F71EB" w:rsidRPr="002F71EB">
        <w:rPr>
          <w:color w:val="000000" w:themeColor="text1"/>
          <w:sz w:val="24"/>
        </w:rPr>
        <w:t xml:space="preserve"> </w:t>
      </w:r>
      <w:r w:rsidR="002F71EB">
        <w:rPr>
          <w:color w:val="000000" w:themeColor="text1"/>
          <w:sz w:val="24"/>
        </w:rPr>
        <w:t>for institutions and committees of experienced researchers to play a more active, useful role in research-led support as sounding boards for developing projects during preliminary fieldwork. To be sure, this fieldwork should have parameters. Examples suggested here include attendance at public or semi-public events rather than one-to-one meetings, in work places not private residences, and logistical familiarity with organizations or communities rather than singling-out prospective participants.</w:t>
      </w:r>
    </w:p>
    <w:p w14:paraId="05ACCB6A" w14:textId="10141A31" w:rsidR="005C5E82" w:rsidRDefault="0061370D" w:rsidP="00986C1C">
      <w:pPr>
        <w:pStyle w:val="ABKWH"/>
        <w:spacing w:line="360" w:lineRule="auto"/>
        <w:ind w:firstLine="720"/>
        <w:contextualSpacing/>
        <w:jc w:val="both"/>
        <w:rPr>
          <w:color w:val="000000" w:themeColor="text1"/>
          <w:sz w:val="24"/>
        </w:rPr>
      </w:pPr>
      <w:r>
        <w:rPr>
          <w:color w:val="000000" w:themeColor="text1"/>
          <w:sz w:val="24"/>
        </w:rPr>
        <w:t xml:space="preserve">Guillemin and Gillam’s (2004) work continues to be a useful and nuanced guide to the practicalities of qualitative research ethics and an astute observation of how practice can quickly diverge from theory. We should not misread their account, nor our own frustrations at the somewhat </w:t>
      </w:r>
      <w:r w:rsidR="00270D8F">
        <w:rPr>
          <w:color w:val="000000" w:themeColor="text1"/>
          <w:sz w:val="24"/>
        </w:rPr>
        <w:t>mechanical</w:t>
      </w:r>
      <w:r>
        <w:rPr>
          <w:color w:val="000000" w:themeColor="text1"/>
          <w:sz w:val="24"/>
        </w:rPr>
        <w:t xml:space="preserve"> nature of institutional review processes, as a justification or call for the deregulation of research safeguarding but </w:t>
      </w:r>
      <w:r w:rsidR="00270D8F">
        <w:rPr>
          <w:color w:val="000000" w:themeColor="text1"/>
          <w:sz w:val="24"/>
        </w:rPr>
        <w:t xml:space="preserve">rather </w:t>
      </w:r>
      <w:r>
        <w:rPr>
          <w:color w:val="000000" w:themeColor="text1"/>
          <w:sz w:val="24"/>
        </w:rPr>
        <w:t>a rallying cry for</w:t>
      </w:r>
      <w:r w:rsidR="00270D8F">
        <w:rPr>
          <w:color w:val="000000" w:themeColor="text1"/>
          <w:sz w:val="24"/>
        </w:rPr>
        <w:t xml:space="preserve"> its ongoing improvement.</w:t>
      </w:r>
    </w:p>
    <w:p w14:paraId="084B14D2" w14:textId="77777777" w:rsidR="00EE2170" w:rsidRDefault="00EE2170" w:rsidP="00135CAE">
      <w:pPr>
        <w:pStyle w:val="ABKWH"/>
        <w:contextualSpacing/>
        <w:jc w:val="both"/>
        <w:rPr>
          <w:color w:val="000000" w:themeColor="text1"/>
          <w:sz w:val="24"/>
        </w:rPr>
      </w:pPr>
    </w:p>
    <w:p w14:paraId="412FE111" w14:textId="6850674C" w:rsidR="00753911" w:rsidRDefault="00753911" w:rsidP="00753911">
      <w:pPr>
        <w:pStyle w:val="Heading2"/>
      </w:pPr>
      <w:r>
        <w:t>Acknowledgements</w:t>
      </w:r>
    </w:p>
    <w:p w14:paraId="6F97BA21" w14:textId="2ACC76EE" w:rsidR="00753911" w:rsidRDefault="00753911" w:rsidP="00753911"/>
    <w:p w14:paraId="1231B1B5" w14:textId="4F3AA286" w:rsidR="00EF5A5A" w:rsidRPr="00986C1C" w:rsidRDefault="00753911" w:rsidP="00986C1C">
      <w:pPr>
        <w:spacing w:line="480" w:lineRule="auto"/>
        <w:jc w:val="both"/>
      </w:pPr>
      <w:r>
        <w:t xml:space="preserve">I </w:t>
      </w:r>
      <w:r w:rsidR="00AA64F7">
        <w:t>would like to thank</w:t>
      </w:r>
      <w:r w:rsidR="00EE2170">
        <w:t xml:space="preserve"> </w:t>
      </w:r>
      <w:r>
        <w:t>Christian Perrin for</w:t>
      </w:r>
      <w:r w:rsidR="00EE2170">
        <w:t xml:space="preserve"> taking the time to read and comment on an earlier draft of this article. </w:t>
      </w:r>
      <w:r w:rsidR="00AA64F7">
        <w:t>I am</w:t>
      </w:r>
      <w:r w:rsidR="00EE2170">
        <w:t xml:space="preserve"> also </w:t>
      </w:r>
      <w:r w:rsidR="00AA64F7">
        <w:t xml:space="preserve">grateful </w:t>
      </w:r>
      <w:r w:rsidR="00EE2170">
        <w:t>to the</w:t>
      </w:r>
      <w:r w:rsidR="0003039B">
        <w:t xml:space="preserve"> editor and</w:t>
      </w:r>
      <w:r w:rsidR="00EE2170">
        <w:t xml:space="preserve"> two </w:t>
      </w:r>
      <w:r w:rsidR="0003039B">
        <w:t xml:space="preserve">anonymous </w:t>
      </w:r>
      <w:r w:rsidR="00EE2170">
        <w:t>reviewers, all of whom provided valuable feedback.</w:t>
      </w:r>
    </w:p>
    <w:p w14:paraId="7CFDDA6E" w14:textId="77777777" w:rsidR="00EE2170" w:rsidRDefault="00EE2170" w:rsidP="00135CAE">
      <w:pPr>
        <w:pStyle w:val="ABKWH"/>
        <w:contextualSpacing/>
        <w:jc w:val="both"/>
        <w:rPr>
          <w:color w:val="000000" w:themeColor="text1"/>
          <w:sz w:val="24"/>
        </w:rPr>
      </w:pPr>
    </w:p>
    <w:p w14:paraId="03BB6F65" w14:textId="77777777" w:rsidR="008D03F1" w:rsidRDefault="008D03F1" w:rsidP="00135CAE">
      <w:pPr>
        <w:pStyle w:val="Heading2"/>
        <w:jc w:val="both"/>
      </w:pPr>
      <w:r>
        <w:t>References</w:t>
      </w:r>
    </w:p>
    <w:p w14:paraId="48AD2904" w14:textId="77777777" w:rsidR="008D03F1" w:rsidRDefault="008D03F1" w:rsidP="00135CAE">
      <w:pPr>
        <w:pStyle w:val="ABKWH"/>
        <w:contextualSpacing/>
        <w:jc w:val="both"/>
        <w:rPr>
          <w:color w:val="000000" w:themeColor="text1"/>
        </w:rPr>
      </w:pPr>
    </w:p>
    <w:p w14:paraId="38D0E9C5" w14:textId="48BDEF0D" w:rsidR="00A17A64" w:rsidRPr="00A17A64" w:rsidRDefault="00A17A64" w:rsidP="00135CAE">
      <w:pPr>
        <w:pStyle w:val="ABKWH"/>
        <w:spacing w:before="0" w:after="240"/>
        <w:ind w:left="720" w:hanging="720"/>
        <w:jc w:val="both"/>
        <w:rPr>
          <w:color w:val="000000" w:themeColor="text1"/>
          <w:sz w:val="24"/>
        </w:rPr>
      </w:pPr>
      <w:proofErr w:type="spellStart"/>
      <w:r>
        <w:rPr>
          <w:color w:val="000000" w:themeColor="text1"/>
          <w:sz w:val="24"/>
        </w:rPr>
        <w:t>Alvesalo-Kuusi</w:t>
      </w:r>
      <w:proofErr w:type="spellEnd"/>
      <w:r>
        <w:rPr>
          <w:color w:val="000000" w:themeColor="text1"/>
          <w:sz w:val="24"/>
        </w:rPr>
        <w:t xml:space="preserve">, A. and Whyte, D. (2018) Researching the Powerful: A Call for the Reconstruction of Research Ethics. </w:t>
      </w:r>
      <w:r>
        <w:rPr>
          <w:i/>
          <w:color w:val="000000" w:themeColor="text1"/>
          <w:sz w:val="24"/>
        </w:rPr>
        <w:t>Sociological Research Online</w:t>
      </w:r>
      <w:r>
        <w:rPr>
          <w:color w:val="000000" w:themeColor="text1"/>
          <w:sz w:val="24"/>
        </w:rPr>
        <w:t xml:space="preserve"> 23(1): 136-152.</w:t>
      </w:r>
    </w:p>
    <w:p w14:paraId="4609C2CB" w14:textId="26662CC9" w:rsidR="008516FC" w:rsidRPr="001D08D9" w:rsidRDefault="008516FC" w:rsidP="00135CAE">
      <w:pPr>
        <w:pStyle w:val="ABKWH"/>
        <w:spacing w:before="0" w:after="240"/>
        <w:ind w:left="720" w:hanging="720"/>
        <w:jc w:val="both"/>
        <w:rPr>
          <w:color w:val="000000" w:themeColor="text1"/>
          <w:sz w:val="24"/>
        </w:rPr>
      </w:pPr>
      <w:r>
        <w:rPr>
          <w:color w:val="000000" w:themeColor="text1"/>
          <w:sz w:val="24"/>
        </w:rPr>
        <w:t xml:space="preserve">Berger, R. (2015) </w:t>
      </w:r>
      <w:r w:rsidR="001D08D9" w:rsidRPr="001D08D9">
        <w:rPr>
          <w:color w:val="000000" w:themeColor="text1"/>
          <w:sz w:val="24"/>
        </w:rPr>
        <w:t>Now I see it, now I don’t: researcher’s position and reflexivity in qualitative research</w:t>
      </w:r>
      <w:r w:rsidR="001D08D9">
        <w:rPr>
          <w:color w:val="000000" w:themeColor="text1"/>
          <w:sz w:val="24"/>
        </w:rPr>
        <w:t xml:space="preserve">. </w:t>
      </w:r>
      <w:r w:rsidR="001D08D9">
        <w:rPr>
          <w:i/>
          <w:color w:val="000000" w:themeColor="text1"/>
          <w:sz w:val="24"/>
        </w:rPr>
        <w:t>Qualitative Research</w:t>
      </w:r>
      <w:r w:rsidR="001D08D9">
        <w:rPr>
          <w:color w:val="000000" w:themeColor="text1"/>
          <w:sz w:val="24"/>
        </w:rPr>
        <w:t xml:space="preserve"> 15(2): 219-234.</w:t>
      </w:r>
    </w:p>
    <w:p w14:paraId="0F5D2E33" w14:textId="31B34924" w:rsidR="00954221" w:rsidRPr="00954221" w:rsidRDefault="00954221" w:rsidP="00135CAE">
      <w:pPr>
        <w:pStyle w:val="ABKWH"/>
        <w:spacing w:before="0" w:after="240"/>
        <w:ind w:left="720" w:hanging="720"/>
        <w:jc w:val="both"/>
        <w:rPr>
          <w:color w:val="000000" w:themeColor="text1"/>
          <w:sz w:val="24"/>
        </w:rPr>
      </w:pPr>
      <w:proofErr w:type="spellStart"/>
      <w:r>
        <w:rPr>
          <w:color w:val="000000" w:themeColor="text1"/>
          <w:sz w:val="24"/>
        </w:rPr>
        <w:lastRenderedPageBreak/>
        <w:t>Briller</w:t>
      </w:r>
      <w:proofErr w:type="spellEnd"/>
      <w:r>
        <w:rPr>
          <w:color w:val="000000" w:themeColor="text1"/>
          <w:sz w:val="24"/>
        </w:rPr>
        <w:t xml:space="preserve">, S.H., </w:t>
      </w:r>
      <w:proofErr w:type="spellStart"/>
      <w:r>
        <w:rPr>
          <w:color w:val="000000" w:themeColor="text1"/>
          <w:sz w:val="24"/>
        </w:rPr>
        <w:t>Schim</w:t>
      </w:r>
      <w:proofErr w:type="spellEnd"/>
      <w:r>
        <w:rPr>
          <w:color w:val="000000" w:themeColor="text1"/>
          <w:sz w:val="24"/>
        </w:rPr>
        <w:t xml:space="preserve">, S.M., </w:t>
      </w:r>
      <w:proofErr w:type="spellStart"/>
      <w:r>
        <w:rPr>
          <w:color w:val="000000" w:themeColor="text1"/>
          <w:sz w:val="24"/>
        </w:rPr>
        <w:t>Meert</w:t>
      </w:r>
      <w:proofErr w:type="spellEnd"/>
      <w:r>
        <w:rPr>
          <w:color w:val="000000" w:themeColor="text1"/>
          <w:sz w:val="24"/>
        </w:rPr>
        <w:t xml:space="preserve">, K.L. and Thurston, C.S. (2008) </w:t>
      </w:r>
      <w:r w:rsidRPr="00954221">
        <w:rPr>
          <w:color w:val="000000" w:themeColor="text1"/>
          <w:sz w:val="24"/>
        </w:rPr>
        <w:t>Special Considerations in Conducting Bereavement Focus Groups</w:t>
      </w:r>
      <w:r>
        <w:rPr>
          <w:color w:val="000000" w:themeColor="text1"/>
          <w:sz w:val="24"/>
        </w:rPr>
        <w:t xml:space="preserve">. </w:t>
      </w:r>
      <w:r>
        <w:rPr>
          <w:i/>
          <w:color w:val="000000" w:themeColor="text1"/>
          <w:sz w:val="24"/>
        </w:rPr>
        <w:t>Journal of Death and Dying</w:t>
      </w:r>
      <w:r>
        <w:rPr>
          <w:color w:val="000000" w:themeColor="text1"/>
          <w:sz w:val="24"/>
        </w:rPr>
        <w:t xml:space="preserve"> 56(3): 255-271.</w:t>
      </w:r>
    </w:p>
    <w:p w14:paraId="68072683" w14:textId="06A1FC6A" w:rsidR="009D154A" w:rsidRPr="00794AA2" w:rsidRDefault="009D154A" w:rsidP="00135CAE">
      <w:pPr>
        <w:pStyle w:val="ABKWH"/>
        <w:spacing w:before="0" w:after="240"/>
        <w:ind w:left="720" w:hanging="720"/>
        <w:jc w:val="both"/>
        <w:rPr>
          <w:color w:val="000000" w:themeColor="text1"/>
          <w:sz w:val="24"/>
        </w:rPr>
      </w:pPr>
      <w:proofErr w:type="spellStart"/>
      <w:r>
        <w:rPr>
          <w:color w:val="000000" w:themeColor="text1"/>
          <w:sz w:val="24"/>
        </w:rPr>
        <w:t>Brina</w:t>
      </w:r>
      <w:proofErr w:type="spellEnd"/>
      <w:r>
        <w:rPr>
          <w:color w:val="000000" w:themeColor="text1"/>
          <w:sz w:val="24"/>
        </w:rPr>
        <w:t xml:space="preserve">, C. (2003) Not Crying, but Laughing: the ethics of horrifying students. </w:t>
      </w:r>
      <w:r w:rsidR="00794AA2">
        <w:rPr>
          <w:i/>
          <w:color w:val="000000" w:themeColor="text1"/>
          <w:sz w:val="24"/>
        </w:rPr>
        <w:t>Teaching in Higher Education</w:t>
      </w:r>
      <w:r w:rsidR="00794AA2">
        <w:rPr>
          <w:color w:val="000000" w:themeColor="text1"/>
          <w:sz w:val="24"/>
        </w:rPr>
        <w:t xml:space="preserve"> 8(4): 517-528.</w:t>
      </w:r>
    </w:p>
    <w:p w14:paraId="16E7B750" w14:textId="72C198A8" w:rsidR="008C191D" w:rsidRDefault="008C191D" w:rsidP="00135CAE">
      <w:pPr>
        <w:pStyle w:val="ABKWH"/>
        <w:spacing w:before="0" w:after="240"/>
        <w:ind w:left="720" w:hanging="720"/>
        <w:jc w:val="both"/>
        <w:rPr>
          <w:color w:val="000000" w:themeColor="text1"/>
          <w:sz w:val="24"/>
        </w:rPr>
      </w:pPr>
      <w:proofErr w:type="spellStart"/>
      <w:r>
        <w:rPr>
          <w:color w:val="000000" w:themeColor="text1"/>
          <w:sz w:val="24"/>
        </w:rPr>
        <w:t>Brownlie</w:t>
      </w:r>
      <w:proofErr w:type="spellEnd"/>
      <w:r>
        <w:rPr>
          <w:color w:val="000000" w:themeColor="text1"/>
          <w:sz w:val="24"/>
        </w:rPr>
        <w:t xml:space="preserve">, J. (2018) Out of the ordinary: research participants’ experiences of sharing the ‘insignificant’. </w:t>
      </w:r>
      <w:r>
        <w:rPr>
          <w:i/>
          <w:color w:val="000000" w:themeColor="text1"/>
          <w:sz w:val="24"/>
        </w:rPr>
        <w:t>International Journal of Social Research Methodology</w:t>
      </w:r>
      <w:r>
        <w:rPr>
          <w:color w:val="000000" w:themeColor="text1"/>
          <w:sz w:val="24"/>
        </w:rPr>
        <w:t xml:space="preserve"> 22(3): 257-269.</w:t>
      </w:r>
    </w:p>
    <w:p w14:paraId="080A6610" w14:textId="669A25C0" w:rsidR="00954221" w:rsidRPr="00954221" w:rsidRDefault="00954221" w:rsidP="00135CAE">
      <w:pPr>
        <w:pStyle w:val="ABKWH"/>
        <w:spacing w:before="0" w:after="240"/>
        <w:ind w:left="720" w:hanging="720"/>
        <w:jc w:val="both"/>
        <w:rPr>
          <w:color w:val="000000" w:themeColor="text1"/>
          <w:sz w:val="24"/>
        </w:rPr>
      </w:pPr>
      <w:r>
        <w:rPr>
          <w:color w:val="000000" w:themeColor="text1"/>
          <w:sz w:val="24"/>
        </w:rPr>
        <w:t xml:space="preserve">Carmack, H.J. and </w:t>
      </w:r>
      <w:proofErr w:type="spellStart"/>
      <w:r>
        <w:rPr>
          <w:color w:val="000000" w:themeColor="text1"/>
          <w:sz w:val="24"/>
        </w:rPr>
        <w:t>Degroot</w:t>
      </w:r>
      <w:proofErr w:type="spellEnd"/>
      <w:r>
        <w:rPr>
          <w:color w:val="000000" w:themeColor="text1"/>
          <w:sz w:val="24"/>
        </w:rPr>
        <w:t xml:space="preserve">, J.M. (2014) </w:t>
      </w:r>
      <w:r w:rsidRPr="00954221">
        <w:rPr>
          <w:color w:val="000000" w:themeColor="text1"/>
          <w:sz w:val="24"/>
        </w:rPr>
        <w:t xml:space="preserve">Exploiting </w:t>
      </w:r>
      <w:proofErr w:type="gramStart"/>
      <w:r w:rsidRPr="00954221">
        <w:rPr>
          <w:color w:val="000000" w:themeColor="text1"/>
          <w:sz w:val="24"/>
        </w:rPr>
        <w:t>Loss?:</w:t>
      </w:r>
      <w:proofErr w:type="gramEnd"/>
      <w:r w:rsidRPr="00954221">
        <w:rPr>
          <w:color w:val="000000" w:themeColor="text1"/>
          <w:sz w:val="24"/>
        </w:rPr>
        <w:t xml:space="preserve"> Ethical Considerations, Boundaries, and Opportunities for the Study of Death and Grief Online</w:t>
      </w:r>
      <w:r>
        <w:rPr>
          <w:color w:val="000000" w:themeColor="text1"/>
          <w:sz w:val="24"/>
        </w:rPr>
        <w:t xml:space="preserve">. </w:t>
      </w:r>
      <w:r>
        <w:rPr>
          <w:i/>
          <w:color w:val="000000" w:themeColor="text1"/>
          <w:sz w:val="24"/>
        </w:rPr>
        <w:t>Journal of Death and Dying</w:t>
      </w:r>
      <w:r>
        <w:rPr>
          <w:color w:val="000000" w:themeColor="text1"/>
          <w:sz w:val="24"/>
        </w:rPr>
        <w:t xml:space="preserve"> 68(4): 315-335.</w:t>
      </w:r>
    </w:p>
    <w:p w14:paraId="360B688D" w14:textId="2EA26703" w:rsidR="008D03F1" w:rsidRDefault="008D03F1" w:rsidP="00135CAE">
      <w:pPr>
        <w:pStyle w:val="ABKWH"/>
        <w:spacing w:before="0" w:after="240"/>
        <w:ind w:left="720" w:hanging="720"/>
        <w:jc w:val="both"/>
        <w:rPr>
          <w:color w:val="000000" w:themeColor="text1"/>
          <w:sz w:val="24"/>
        </w:rPr>
      </w:pPr>
      <w:r w:rsidRPr="00B75378">
        <w:rPr>
          <w:color w:val="000000" w:themeColor="text1"/>
          <w:sz w:val="24"/>
        </w:rPr>
        <w:t>Coogan, T.P. (2002) The IRA (revised and updated). New York: St Martin’s Press.</w:t>
      </w:r>
    </w:p>
    <w:p w14:paraId="27569743" w14:textId="1A8C1A22" w:rsidR="00814DC5" w:rsidRDefault="00814DC5" w:rsidP="00135CAE">
      <w:pPr>
        <w:pStyle w:val="ABKWH"/>
        <w:spacing w:before="0" w:after="240"/>
        <w:ind w:left="720" w:hanging="720"/>
        <w:jc w:val="both"/>
        <w:rPr>
          <w:color w:val="000000" w:themeColor="text1"/>
          <w:sz w:val="24"/>
        </w:rPr>
      </w:pPr>
      <w:r>
        <w:rPr>
          <w:color w:val="000000" w:themeColor="text1"/>
          <w:sz w:val="24"/>
        </w:rPr>
        <w:t xml:space="preserve">Denzin, N.K. (2017) Critical Qualitative Inquiry. </w:t>
      </w:r>
      <w:r>
        <w:rPr>
          <w:i/>
          <w:color w:val="000000" w:themeColor="text1"/>
          <w:sz w:val="24"/>
        </w:rPr>
        <w:t>Qualitative Inquiry</w:t>
      </w:r>
      <w:r>
        <w:rPr>
          <w:color w:val="000000" w:themeColor="text1"/>
          <w:sz w:val="24"/>
        </w:rPr>
        <w:t xml:space="preserve"> 23(1): 8-16.</w:t>
      </w:r>
    </w:p>
    <w:p w14:paraId="0BD3489F" w14:textId="7B773DC9" w:rsidR="004D01CD" w:rsidRPr="00814DC5" w:rsidRDefault="004D01CD" w:rsidP="00135CAE">
      <w:pPr>
        <w:pStyle w:val="ABKWH"/>
        <w:spacing w:before="0" w:after="240"/>
        <w:ind w:left="720" w:hanging="720"/>
        <w:jc w:val="both"/>
        <w:rPr>
          <w:color w:val="000000" w:themeColor="text1"/>
          <w:sz w:val="24"/>
        </w:rPr>
      </w:pPr>
      <w:r w:rsidRPr="004D01CD">
        <w:rPr>
          <w:color w:val="000000" w:themeColor="text1"/>
          <w:sz w:val="24"/>
        </w:rPr>
        <w:t>Dickson-Swift, V., James, E.L.</w:t>
      </w:r>
      <w:r>
        <w:rPr>
          <w:color w:val="000000" w:themeColor="text1"/>
          <w:sz w:val="24"/>
        </w:rPr>
        <w:t xml:space="preserve"> and </w:t>
      </w:r>
      <w:proofErr w:type="spellStart"/>
      <w:r w:rsidRPr="004D01CD">
        <w:rPr>
          <w:color w:val="000000" w:themeColor="text1"/>
          <w:sz w:val="24"/>
        </w:rPr>
        <w:t>Kippen</w:t>
      </w:r>
      <w:proofErr w:type="spellEnd"/>
      <w:r w:rsidRPr="004D01CD">
        <w:rPr>
          <w:color w:val="000000" w:themeColor="text1"/>
          <w:sz w:val="24"/>
        </w:rPr>
        <w:t>, S.</w:t>
      </w:r>
      <w:r>
        <w:rPr>
          <w:color w:val="000000" w:themeColor="text1"/>
          <w:sz w:val="24"/>
        </w:rPr>
        <w:t xml:space="preserve"> (2007) </w:t>
      </w:r>
      <w:r w:rsidRPr="004D01CD">
        <w:rPr>
          <w:color w:val="000000" w:themeColor="text1"/>
          <w:sz w:val="24"/>
        </w:rPr>
        <w:t>Do university ethics committees adequately protect public health researchers?</w:t>
      </w:r>
      <w:r>
        <w:rPr>
          <w:color w:val="000000" w:themeColor="text1"/>
          <w:sz w:val="24"/>
        </w:rPr>
        <w:t xml:space="preserve"> </w:t>
      </w:r>
      <w:r>
        <w:rPr>
          <w:i/>
          <w:color w:val="000000" w:themeColor="text1"/>
          <w:sz w:val="24"/>
        </w:rPr>
        <w:t>Australian and New Zealand Journal of Public Health</w:t>
      </w:r>
      <w:r>
        <w:rPr>
          <w:color w:val="000000" w:themeColor="text1"/>
          <w:sz w:val="24"/>
        </w:rPr>
        <w:t xml:space="preserve"> 29(6): 576-579.</w:t>
      </w:r>
    </w:p>
    <w:p w14:paraId="7F94D601" w14:textId="77777777" w:rsidR="00AD0929" w:rsidRDefault="00AD0929" w:rsidP="00135CAE">
      <w:pPr>
        <w:spacing w:after="240"/>
        <w:ind w:left="720" w:hanging="720"/>
        <w:jc w:val="both"/>
        <w:rPr>
          <w:color w:val="000000" w:themeColor="text1"/>
        </w:rPr>
      </w:pPr>
      <w:r w:rsidRPr="00925635">
        <w:rPr>
          <w:color w:val="000000" w:themeColor="text1"/>
        </w:rPr>
        <w:t xml:space="preserve">Dickson-Swift, V., James, E.L., </w:t>
      </w:r>
      <w:proofErr w:type="spellStart"/>
      <w:r w:rsidRPr="00925635">
        <w:rPr>
          <w:color w:val="000000" w:themeColor="text1"/>
        </w:rPr>
        <w:t>Kippen</w:t>
      </w:r>
      <w:proofErr w:type="spellEnd"/>
      <w:r>
        <w:rPr>
          <w:color w:val="000000" w:themeColor="text1"/>
        </w:rPr>
        <w:t xml:space="preserve">, S. and </w:t>
      </w:r>
      <w:proofErr w:type="spellStart"/>
      <w:r>
        <w:rPr>
          <w:color w:val="000000" w:themeColor="text1"/>
        </w:rPr>
        <w:t>Liamputtong</w:t>
      </w:r>
      <w:proofErr w:type="spellEnd"/>
      <w:r>
        <w:rPr>
          <w:color w:val="000000" w:themeColor="text1"/>
        </w:rPr>
        <w:t xml:space="preserve">, P. (2008) </w:t>
      </w:r>
      <w:r w:rsidRPr="00925635">
        <w:rPr>
          <w:color w:val="000000" w:themeColor="text1"/>
        </w:rPr>
        <w:t>Risk to researchers in qualitative research on sensitive topics: Issues and strategies. </w:t>
      </w:r>
      <w:r w:rsidRPr="00925635">
        <w:rPr>
          <w:i/>
          <w:iCs/>
          <w:color w:val="000000" w:themeColor="text1"/>
        </w:rPr>
        <w:t>Qualitative Health Research</w:t>
      </w:r>
      <w:r>
        <w:rPr>
          <w:color w:val="000000" w:themeColor="text1"/>
        </w:rPr>
        <w:t xml:space="preserve"> 18(1): </w:t>
      </w:r>
      <w:r w:rsidRPr="00925635">
        <w:rPr>
          <w:color w:val="000000" w:themeColor="text1"/>
        </w:rPr>
        <w:t>133-144.</w:t>
      </w:r>
    </w:p>
    <w:p w14:paraId="70120D4A" w14:textId="3708A4AC" w:rsidR="00AD0929" w:rsidRDefault="00AD0929" w:rsidP="00135CAE">
      <w:pPr>
        <w:spacing w:after="240"/>
        <w:ind w:left="720" w:hanging="720"/>
        <w:jc w:val="both"/>
        <w:rPr>
          <w:color w:val="000000" w:themeColor="text1"/>
        </w:rPr>
      </w:pPr>
      <w:r w:rsidRPr="00A64F88">
        <w:rPr>
          <w:color w:val="000000" w:themeColor="text1"/>
        </w:rPr>
        <w:t xml:space="preserve">Dickson-Swift, V., James, E.L., </w:t>
      </w:r>
      <w:proofErr w:type="spellStart"/>
      <w:r w:rsidRPr="00A64F88">
        <w:rPr>
          <w:color w:val="000000" w:themeColor="text1"/>
        </w:rPr>
        <w:t>Kippen</w:t>
      </w:r>
      <w:proofErr w:type="spellEnd"/>
      <w:r w:rsidRPr="00A64F88">
        <w:rPr>
          <w:color w:val="000000" w:themeColor="text1"/>
        </w:rPr>
        <w:t xml:space="preserve">, S. and </w:t>
      </w:r>
      <w:proofErr w:type="spellStart"/>
      <w:r w:rsidRPr="00A64F88">
        <w:rPr>
          <w:color w:val="000000" w:themeColor="text1"/>
        </w:rPr>
        <w:t>Liamputtong</w:t>
      </w:r>
      <w:proofErr w:type="spellEnd"/>
      <w:r w:rsidRPr="00A64F88">
        <w:rPr>
          <w:color w:val="000000" w:themeColor="text1"/>
        </w:rPr>
        <w:t xml:space="preserve">, </w:t>
      </w:r>
      <w:r>
        <w:rPr>
          <w:color w:val="000000" w:themeColor="text1"/>
        </w:rPr>
        <w:t xml:space="preserve">P. (2009) Researching sensitive </w:t>
      </w:r>
      <w:r w:rsidRPr="00A64F88">
        <w:rPr>
          <w:color w:val="000000" w:themeColor="text1"/>
        </w:rPr>
        <w:t>topics: Qualitative research as emotion work. </w:t>
      </w:r>
      <w:r w:rsidRPr="00A64F88">
        <w:rPr>
          <w:i/>
          <w:iCs/>
          <w:color w:val="000000" w:themeColor="text1"/>
        </w:rPr>
        <w:t>Qualitative Research</w:t>
      </w:r>
      <w:r>
        <w:rPr>
          <w:color w:val="000000" w:themeColor="text1"/>
        </w:rPr>
        <w:t xml:space="preserve"> 9(1): </w:t>
      </w:r>
      <w:r w:rsidRPr="00A64F88">
        <w:rPr>
          <w:color w:val="000000" w:themeColor="text1"/>
        </w:rPr>
        <w:t>61-79.</w:t>
      </w:r>
    </w:p>
    <w:p w14:paraId="61A227A9" w14:textId="43C2CF4C" w:rsidR="00D53C73" w:rsidRPr="00D53C73" w:rsidRDefault="00D53C73" w:rsidP="00135CAE">
      <w:pPr>
        <w:spacing w:after="240"/>
        <w:ind w:left="720" w:hanging="720"/>
        <w:jc w:val="both"/>
        <w:rPr>
          <w:color w:val="000000" w:themeColor="text1"/>
        </w:rPr>
      </w:pPr>
      <w:r>
        <w:rPr>
          <w:color w:val="000000" w:themeColor="text1"/>
        </w:rPr>
        <w:t xml:space="preserve">Ellis, C. (2009) Fighting Back or Moving On: An Autoethnographic Response to Critics. </w:t>
      </w:r>
      <w:r>
        <w:rPr>
          <w:i/>
          <w:color w:val="000000" w:themeColor="text1"/>
        </w:rPr>
        <w:t>International Review of Qualitative Research</w:t>
      </w:r>
      <w:r>
        <w:rPr>
          <w:color w:val="000000" w:themeColor="text1"/>
        </w:rPr>
        <w:t xml:space="preserve"> 2(3): 371-378.</w:t>
      </w:r>
    </w:p>
    <w:p w14:paraId="6EB6CADA" w14:textId="0710DB52" w:rsidR="008D03F1" w:rsidRDefault="008D03F1" w:rsidP="00135CAE">
      <w:pPr>
        <w:spacing w:after="240"/>
        <w:ind w:left="720" w:hanging="720"/>
        <w:jc w:val="both"/>
        <w:rPr>
          <w:color w:val="000000" w:themeColor="text1"/>
        </w:rPr>
      </w:pPr>
      <w:r w:rsidRPr="00E126B0">
        <w:rPr>
          <w:color w:val="000000" w:themeColor="text1"/>
        </w:rPr>
        <w:t xml:space="preserve">English, R. (2003) </w:t>
      </w:r>
      <w:r w:rsidRPr="00E126B0">
        <w:rPr>
          <w:i/>
          <w:color w:val="000000" w:themeColor="text1"/>
        </w:rPr>
        <w:t>Armed Struggle: The History of the IRA</w:t>
      </w:r>
      <w:r w:rsidRPr="00E126B0">
        <w:rPr>
          <w:color w:val="000000" w:themeColor="text1"/>
        </w:rPr>
        <w:t>. O</w:t>
      </w:r>
      <w:r>
        <w:rPr>
          <w:color w:val="000000" w:themeColor="text1"/>
        </w:rPr>
        <w:t>xford: Oxford University Press.</w:t>
      </w:r>
    </w:p>
    <w:p w14:paraId="2CBA91F6" w14:textId="657E51F4" w:rsidR="002F4D2F" w:rsidRDefault="002F4D2F" w:rsidP="00135CAE">
      <w:pPr>
        <w:spacing w:after="240"/>
        <w:ind w:left="720" w:hanging="720"/>
        <w:jc w:val="both"/>
        <w:rPr>
          <w:color w:val="000000" w:themeColor="text1"/>
        </w:rPr>
      </w:pPr>
      <w:proofErr w:type="spellStart"/>
      <w:r>
        <w:rPr>
          <w:color w:val="000000" w:themeColor="text1"/>
        </w:rPr>
        <w:t>Forsey</w:t>
      </w:r>
      <w:proofErr w:type="spellEnd"/>
      <w:r>
        <w:rPr>
          <w:color w:val="000000" w:themeColor="text1"/>
        </w:rPr>
        <w:t xml:space="preserve">, M.G. (2010) Ethnography as participant listening. </w:t>
      </w:r>
      <w:r>
        <w:rPr>
          <w:i/>
          <w:color w:val="000000" w:themeColor="text1"/>
        </w:rPr>
        <w:t>Ethnography</w:t>
      </w:r>
      <w:r>
        <w:rPr>
          <w:color w:val="000000" w:themeColor="text1"/>
        </w:rPr>
        <w:t xml:space="preserve"> 11(4): 558-572.</w:t>
      </w:r>
    </w:p>
    <w:p w14:paraId="75910108" w14:textId="241A7F8E" w:rsidR="008D03F1" w:rsidRDefault="008D03F1" w:rsidP="00135CAE">
      <w:pPr>
        <w:spacing w:after="240"/>
        <w:ind w:left="720" w:hanging="720"/>
        <w:jc w:val="both"/>
        <w:rPr>
          <w:color w:val="000000" w:themeColor="text1"/>
        </w:rPr>
      </w:pPr>
      <w:r w:rsidRPr="00B67510">
        <w:rPr>
          <w:color w:val="000000" w:themeColor="text1"/>
        </w:rPr>
        <w:t xml:space="preserve">Gabriel, Y. (2000) </w:t>
      </w:r>
      <w:r w:rsidRPr="00B67510">
        <w:rPr>
          <w:i/>
          <w:color w:val="000000" w:themeColor="text1"/>
        </w:rPr>
        <w:t>Storytelling in Organizations: Facts, Fictions, and Fantasies</w:t>
      </w:r>
      <w:r w:rsidRPr="00B67510">
        <w:rPr>
          <w:color w:val="000000" w:themeColor="text1"/>
        </w:rPr>
        <w:t>. Oxford: Oxford University Press.</w:t>
      </w:r>
    </w:p>
    <w:p w14:paraId="279C27E1" w14:textId="3EF4AE52" w:rsidR="00901065" w:rsidRPr="00901065" w:rsidRDefault="00901065" w:rsidP="00135CAE">
      <w:pPr>
        <w:spacing w:after="240"/>
        <w:ind w:left="720" w:hanging="720"/>
        <w:jc w:val="both"/>
        <w:rPr>
          <w:color w:val="000000" w:themeColor="text1"/>
          <w:lang w:val="en-GB"/>
        </w:rPr>
      </w:pPr>
      <w:r w:rsidRPr="00901065">
        <w:rPr>
          <w:color w:val="000000" w:themeColor="text1"/>
          <w:lang w:val="en-GB"/>
        </w:rPr>
        <w:t>Garfinkel, H. (1967)</w:t>
      </w:r>
      <w:r w:rsidRPr="00901065">
        <w:rPr>
          <w:i/>
          <w:color w:val="000000" w:themeColor="text1"/>
          <w:lang w:val="en-GB"/>
        </w:rPr>
        <w:t xml:space="preserve"> Studies in </w:t>
      </w:r>
      <w:r>
        <w:rPr>
          <w:i/>
          <w:color w:val="000000" w:themeColor="text1"/>
          <w:lang w:val="en-GB"/>
        </w:rPr>
        <w:t>E</w:t>
      </w:r>
      <w:r w:rsidRPr="00901065">
        <w:rPr>
          <w:i/>
          <w:color w:val="000000" w:themeColor="text1"/>
          <w:lang w:val="en-GB"/>
        </w:rPr>
        <w:t>thnomethodology</w:t>
      </w:r>
      <w:r>
        <w:rPr>
          <w:i/>
          <w:color w:val="000000" w:themeColor="text1"/>
          <w:lang w:val="en-GB"/>
        </w:rPr>
        <w:t xml:space="preserve">. </w:t>
      </w:r>
      <w:r>
        <w:rPr>
          <w:color w:val="000000" w:themeColor="text1"/>
          <w:lang w:val="en-GB"/>
        </w:rPr>
        <w:t>E</w:t>
      </w:r>
      <w:r w:rsidRPr="00901065">
        <w:rPr>
          <w:color w:val="000000" w:themeColor="text1"/>
          <w:lang w:val="en-GB"/>
        </w:rPr>
        <w:t>nglewood Cliffs, NJ: Prentice-Hall.</w:t>
      </w:r>
    </w:p>
    <w:p w14:paraId="47456E80" w14:textId="2C53D770" w:rsidR="002F4D2F" w:rsidRDefault="002F4D2F" w:rsidP="00135CAE">
      <w:pPr>
        <w:spacing w:after="240"/>
        <w:ind w:left="720" w:hanging="720"/>
        <w:jc w:val="both"/>
        <w:rPr>
          <w:color w:val="000000" w:themeColor="text1"/>
        </w:rPr>
      </w:pPr>
      <w:r>
        <w:rPr>
          <w:color w:val="000000" w:themeColor="text1"/>
        </w:rPr>
        <w:t xml:space="preserve">Geertz, C. (1998) Deep hanging out. </w:t>
      </w:r>
      <w:r>
        <w:rPr>
          <w:i/>
          <w:color w:val="000000" w:themeColor="text1"/>
        </w:rPr>
        <w:t>The New York review of books</w:t>
      </w:r>
      <w:r>
        <w:rPr>
          <w:color w:val="000000" w:themeColor="text1"/>
        </w:rPr>
        <w:t>. 45(16): 69.</w:t>
      </w:r>
    </w:p>
    <w:p w14:paraId="277CC146" w14:textId="0CED33BC" w:rsidR="003B2261" w:rsidRPr="003B2261" w:rsidRDefault="003B2261" w:rsidP="00135CAE">
      <w:pPr>
        <w:spacing w:after="240"/>
        <w:ind w:left="720" w:hanging="720"/>
        <w:jc w:val="both"/>
        <w:rPr>
          <w:color w:val="000000" w:themeColor="text1"/>
        </w:rPr>
      </w:pPr>
      <w:r>
        <w:rPr>
          <w:color w:val="000000" w:themeColor="text1"/>
        </w:rPr>
        <w:t xml:space="preserve">Goffman, E. (1990[1959]) </w:t>
      </w:r>
      <w:r>
        <w:rPr>
          <w:i/>
          <w:color w:val="000000" w:themeColor="text1"/>
        </w:rPr>
        <w:t>The Presentation of Self in Everyday Life</w:t>
      </w:r>
      <w:r>
        <w:rPr>
          <w:color w:val="000000" w:themeColor="text1"/>
        </w:rPr>
        <w:t>. London: Penguin Books.</w:t>
      </w:r>
    </w:p>
    <w:p w14:paraId="56E18937" w14:textId="20661357" w:rsidR="008D03F1" w:rsidRDefault="008D03F1" w:rsidP="00135CAE">
      <w:pPr>
        <w:pStyle w:val="ABKWH"/>
        <w:spacing w:before="0" w:after="240"/>
        <w:ind w:left="720" w:hanging="720"/>
        <w:jc w:val="both"/>
        <w:rPr>
          <w:color w:val="000000" w:themeColor="text1"/>
          <w:sz w:val="24"/>
        </w:rPr>
      </w:pPr>
      <w:r w:rsidRPr="004538B3">
        <w:rPr>
          <w:color w:val="000000" w:themeColor="text1"/>
          <w:sz w:val="24"/>
        </w:rPr>
        <w:lastRenderedPageBreak/>
        <w:t xml:space="preserve">Guillemin, M. and Gillam, L. (2004) Ethics, Reflexivity, and “Ethically Important Moments” in Research. </w:t>
      </w:r>
      <w:r w:rsidRPr="004538B3">
        <w:rPr>
          <w:i/>
          <w:color w:val="000000" w:themeColor="text1"/>
          <w:sz w:val="24"/>
        </w:rPr>
        <w:t xml:space="preserve">Qualitative </w:t>
      </w:r>
      <w:r w:rsidR="00A65FB6">
        <w:rPr>
          <w:i/>
          <w:color w:val="000000" w:themeColor="text1"/>
          <w:sz w:val="24"/>
        </w:rPr>
        <w:t>I</w:t>
      </w:r>
      <w:r w:rsidRPr="004538B3">
        <w:rPr>
          <w:i/>
          <w:color w:val="000000" w:themeColor="text1"/>
          <w:sz w:val="24"/>
        </w:rPr>
        <w:t>nquiry</w:t>
      </w:r>
      <w:r w:rsidRPr="004538B3">
        <w:rPr>
          <w:color w:val="000000" w:themeColor="text1"/>
          <w:sz w:val="24"/>
        </w:rPr>
        <w:t xml:space="preserve"> 10(2): 261-280</w:t>
      </w:r>
      <w:r>
        <w:rPr>
          <w:color w:val="000000" w:themeColor="text1"/>
          <w:sz w:val="24"/>
        </w:rPr>
        <w:t>.</w:t>
      </w:r>
    </w:p>
    <w:p w14:paraId="376CF584" w14:textId="0DF19C14" w:rsidR="00E13479" w:rsidRDefault="00E13479" w:rsidP="00135CAE">
      <w:pPr>
        <w:spacing w:after="240"/>
        <w:ind w:left="720" w:hanging="720"/>
        <w:jc w:val="both"/>
        <w:rPr>
          <w:color w:val="000000" w:themeColor="text1"/>
        </w:rPr>
      </w:pPr>
      <w:r w:rsidRPr="00271415">
        <w:rPr>
          <w:color w:val="000000" w:themeColor="text1"/>
        </w:rPr>
        <w:t xml:space="preserve">Haggerty, K.D. (2004) Ethics creep: Governing social science research in the name of ethics. </w:t>
      </w:r>
      <w:r w:rsidRPr="00271415">
        <w:rPr>
          <w:i/>
          <w:color w:val="000000" w:themeColor="text1"/>
        </w:rPr>
        <w:t>Qualitative Sociology</w:t>
      </w:r>
      <w:r>
        <w:rPr>
          <w:color w:val="000000" w:themeColor="text1"/>
        </w:rPr>
        <w:t xml:space="preserve"> </w:t>
      </w:r>
      <w:r w:rsidRPr="00271415">
        <w:rPr>
          <w:color w:val="000000" w:themeColor="text1"/>
        </w:rPr>
        <w:t>27(4): 391-414.</w:t>
      </w:r>
    </w:p>
    <w:p w14:paraId="6A00B574" w14:textId="1F7D68B1" w:rsidR="00E13479" w:rsidRDefault="00E13479" w:rsidP="00135CAE">
      <w:pPr>
        <w:spacing w:after="240"/>
        <w:ind w:left="720" w:hanging="720"/>
        <w:jc w:val="both"/>
        <w:rPr>
          <w:color w:val="000000" w:themeColor="text1"/>
        </w:rPr>
      </w:pPr>
      <w:r w:rsidRPr="00271415">
        <w:rPr>
          <w:color w:val="000000" w:themeColor="text1"/>
        </w:rPr>
        <w:t xml:space="preserve">Hammersley, M. (2009) Against the ethicists: on the evils of ethical regulation. </w:t>
      </w:r>
      <w:r w:rsidRPr="00271415">
        <w:rPr>
          <w:i/>
          <w:color w:val="000000" w:themeColor="text1"/>
        </w:rPr>
        <w:t>International Journal of Social Research Methodology</w:t>
      </w:r>
      <w:r>
        <w:rPr>
          <w:color w:val="000000" w:themeColor="text1"/>
        </w:rPr>
        <w:t xml:space="preserve"> </w:t>
      </w:r>
      <w:r w:rsidRPr="00271415">
        <w:rPr>
          <w:color w:val="000000" w:themeColor="text1"/>
        </w:rPr>
        <w:t>12(3): 211-225.</w:t>
      </w:r>
    </w:p>
    <w:p w14:paraId="2926242C" w14:textId="22B4B8F0" w:rsidR="00323325" w:rsidRDefault="00323325" w:rsidP="00135CAE">
      <w:pPr>
        <w:spacing w:after="240"/>
        <w:ind w:left="720" w:hanging="720"/>
        <w:jc w:val="both"/>
        <w:rPr>
          <w:color w:val="000000" w:themeColor="text1"/>
        </w:rPr>
      </w:pPr>
      <w:r>
        <w:rPr>
          <w:color w:val="000000" w:themeColor="text1"/>
        </w:rPr>
        <w:t xml:space="preserve">Heath-Kelly, C. and Jarvis, L. (2016) Affecting Terrorism: Laughter, Lamentation, and Detestation as Drives to Terrorism Knowledge. </w:t>
      </w:r>
      <w:r>
        <w:rPr>
          <w:i/>
          <w:color w:val="000000" w:themeColor="text1"/>
        </w:rPr>
        <w:t>International Political Sociology</w:t>
      </w:r>
      <w:r>
        <w:rPr>
          <w:color w:val="000000" w:themeColor="text1"/>
        </w:rPr>
        <w:t xml:space="preserve"> 11(3): 239-256.</w:t>
      </w:r>
    </w:p>
    <w:p w14:paraId="1CFECD66" w14:textId="2E011950" w:rsidR="00DA52C5" w:rsidRDefault="00DA52C5" w:rsidP="00135CAE">
      <w:pPr>
        <w:spacing w:after="240"/>
        <w:ind w:left="720" w:hanging="720"/>
        <w:jc w:val="both"/>
        <w:rPr>
          <w:color w:val="000000" w:themeColor="text1"/>
        </w:rPr>
      </w:pPr>
      <w:r>
        <w:rPr>
          <w:color w:val="000000" w:themeColor="text1"/>
        </w:rPr>
        <w:t>Hochschild, A.R. (20</w:t>
      </w:r>
      <w:r w:rsidR="0007744A">
        <w:rPr>
          <w:color w:val="000000" w:themeColor="text1"/>
        </w:rPr>
        <w:t>12</w:t>
      </w:r>
      <w:r>
        <w:rPr>
          <w:color w:val="000000" w:themeColor="text1"/>
        </w:rPr>
        <w:t xml:space="preserve">) </w:t>
      </w:r>
      <w:r>
        <w:rPr>
          <w:i/>
          <w:color w:val="000000" w:themeColor="text1"/>
        </w:rPr>
        <w:t>The Managed Heart: Commercialization of Human Feeling</w:t>
      </w:r>
      <w:r>
        <w:rPr>
          <w:color w:val="000000" w:themeColor="text1"/>
        </w:rPr>
        <w:t>. Berkley: University of California Press.</w:t>
      </w:r>
    </w:p>
    <w:p w14:paraId="3B72A97C" w14:textId="06FF2814" w:rsidR="00AD0929" w:rsidRDefault="00AD0929" w:rsidP="00135CAE">
      <w:pPr>
        <w:spacing w:after="240"/>
        <w:ind w:left="720" w:hanging="720"/>
        <w:jc w:val="both"/>
        <w:rPr>
          <w:color w:val="000000" w:themeColor="text1"/>
        </w:rPr>
      </w:pPr>
      <w:r w:rsidRPr="00362694">
        <w:rPr>
          <w:color w:val="000000" w:themeColor="text1"/>
        </w:rPr>
        <w:t xml:space="preserve">Hubbard, G., </w:t>
      </w:r>
      <w:proofErr w:type="spellStart"/>
      <w:r w:rsidRPr="00362694">
        <w:rPr>
          <w:color w:val="000000" w:themeColor="text1"/>
        </w:rPr>
        <w:t>Backett</w:t>
      </w:r>
      <w:proofErr w:type="spellEnd"/>
      <w:r w:rsidRPr="00362694">
        <w:rPr>
          <w:color w:val="000000" w:themeColor="text1"/>
        </w:rPr>
        <w:t>-Mi</w:t>
      </w:r>
      <w:r>
        <w:rPr>
          <w:color w:val="000000" w:themeColor="text1"/>
        </w:rPr>
        <w:t xml:space="preserve">lburn, K. and </w:t>
      </w:r>
      <w:proofErr w:type="spellStart"/>
      <w:r>
        <w:rPr>
          <w:color w:val="000000" w:themeColor="text1"/>
        </w:rPr>
        <w:t>Kemmer</w:t>
      </w:r>
      <w:proofErr w:type="spellEnd"/>
      <w:r>
        <w:rPr>
          <w:color w:val="000000" w:themeColor="text1"/>
        </w:rPr>
        <w:t xml:space="preserve">, D. (2001) </w:t>
      </w:r>
      <w:r w:rsidRPr="00362694">
        <w:rPr>
          <w:color w:val="000000" w:themeColor="text1"/>
        </w:rPr>
        <w:t>Working with emotion: issues for the researcher in fieldwork and teamwork. </w:t>
      </w:r>
      <w:r w:rsidRPr="00362694">
        <w:rPr>
          <w:i/>
          <w:iCs/>
          <w:color w:val="000000" w:themeColor="text1"/>
        </w:rPr>
        <w:t>International Journal of Social Research Methodology</w:t>
      </w:r>
      <w:r>
        <w:rPr>
          <w:color w:val="000000" w:themeColor="text1"/>
        </w:rPr>
        <w:t xml:space="preserve"> 4(2): </w:t>
      </w:r>
      <w:r w:rsidRPr="00362694">
        <w:rPr>
          <w:color w:val="000000" w:themeColor="text1"/>
        </w:rPr>
        <w:t>119-137.</w:t>
      </w:r>
    </w:p>
    <w:p w14:paraId="2559DFD2" w14:textId="77777777" w:rsidR="008D03F1" w:rsidRDefault="008D03F1" w:rsidP="00135CAE">
      <w:pPr>
        <w:pStyle w:val="ABKWH"/>
        <w:spacing w:before="0" w:after="240"/>
        <w:ind w:left="720" w:hanging="720"/>
        <w:jc w:val="both"/>
        <w:rPr>
          <w:color w:val="000000" w:themeColor="text1"/>
          <w:sz w:val="24"/>
        </w:rPr>
      </w:pPr>
      <w:r>
        <w:rPr>
          <w:color w:val="000000" w:themeColor="text1"/>
          <w:sz w:val="24"/>
        </w:rPr>
        <w:t xml:space="preserve">Kim, K-M. (1999) The Management of Temporality: Ethnomethodology as Historical Reconstruction of Practical Action. </w:t>
      </w:r>
      <w:r>
        <w:rPr>
          <w:i/>
          <w:color w:val="000000" w:themeColor="text1"/>
          <w:sz w:val="24"/>
        </w:rPr>
        <w:t>The Sociological Quarterly</w:t>
      </w:r>
      <w:r>
        <w:rPr>
          <w:color w:val="000000" w:themeColor="text1"/>
          <w:sz w:val="24"/>
        </w:rPr>
        <w:t xml:space="preserve"> 40(3): 505-523.</w:t>
      </w:r>
    </w:p>
    <w:p w14:paraId="03EC30CB" w14:textId="77777777" w:rsidR="008D03F1" w:rsidRPr="004538B3" w:rsidRDefault="008D03F1" w:rsidP="00135CAE">
      <w:pPr>
        <w:spacing w:after="240"/>
        <w:ind w:left="720" w:hanging="720"/>
        <w:jc w:val="both"/>
        <w:rPr>
          <w:color w:val="000000" w:themeColor="text1"/>
        </w:rPr>
      </w:pPr>
      <w:r w:rsidRPr="00271415">
        <w:rPr>
          <w:color w:val="000000" w:themeColor="text1"/>
        </w:rPr>
        <w:t xml:space="preserve">Krause, M. (2014) </w:t>
      </w:r>
      <w:r w:rsidRPr="00271415">
        <w:rPr>
          <w:i/>
          <w:color w:val="000000" w:themeColor="text1"/>
        </w:rPr>
        <w:t>The Good Project: Humanitarian Relief NGOs and the Fragmentation of Reason</w:t>
      </w:r>
      <w:r w:rsidRPr="00271415">
        <w:rPr>
          <w:color w:val="000000" w:themeColor="text1"/>
        </w:rPr>
        <w:t>. Chicago: The University of Chicago Press.</w:t>
      </w:r>
    </w:p>
    <w:p w14:paraId="5AC04160" w14:textId="7556B255" w:rsidR="00452EBC" w:rsidRDefault="008D03F1" w:rsidP="00135CAE">
      <w:pPr>
        <w:spacing w:after="240"/>
        <w:ind w:left="720" w:hanging="720"/>
        <w:jc w:val="both"/>
        <w:rPr>
          <w:color w:val="000000" w:themeColor="text1"/>
        </w:rPr>
      </w:pPr>
      <w:r w:rsidRPr="00271415">
        <w:rPr>
          <w:color w:val="000000" w:themeColor="text1"/>
        </w:rPr>
        <w:t xml:space="preserve">Lynch, M. (2000) Against Reflexivity as an Academic Virtue and Source of Privileged Knowledge. </w:t>
      </w:r>
      <w:r w:rsidRPr="00271415">
        <w:rPr>
          <w:i/>
          <w:color w:val="000000" w:themeColor="text1"/>
        </w:rPr>
        <w:t>Theory, Culture &amp; Society</w:t>
      </w:r>
      <w:r>
        <w:rPr>
          <w:color w:val="000000" w:themeColor="text1"/>
        </w:rPr>
        <w:t xml:space="preserve"> </w:t>
      </w:r>
      <w:r w:rsidRPr="00271415">
        <w:rPr>
          <w:color w:val="000000" w:themeColor="text1"/>
        </w:rPr>
        <w:t>17(3): 26-54.</w:t>
      </w:r>
    </w:p>
    <w:p w14:paraId="1A046F1A" w14:textId="32177956" w:rsidR="00794AA2" w:rsidRDefault="00794AA2" w:rsidP="00135CAE">
      <w:pPr>
        <w:spacing w:after="240"/>
        <w:ind w:left="720" w:hanging="720"/>
        <w:jc w:val="both"/>
        <w:rPr>
          <w:color w:val="000000" w:themeColor="text1"/>
        </w:rPr>
      </w:pPr>
      <w:r>
        <w:rPr>
          <w:color w:val="000000" w:themeColor="text1"/>
        </w:rPr>
        <w:t xml:space="preserve">Moran, L.J., </w:t>
      </w:r>
      <w:proofErr w:type="spellStart"/>
      <w:r>
        <w:rPr>
          <w:color w:val="000000" w:themeColor="text1"/>
        </w:rPr>
        <w:t>Skeggs</w:t>
      </w:r>
      <w:proofErr w:type="spellEnd"/>
      <w:r>
        <w:rPr>
          <w:color w:val="000000" w:themeColor="text1"/>
        </w:rPr>
        <w:t xml:space="preserve">, B., </w:t>
      </w:r>
      <w:proofErr w:type="spellStart"/>
      <w:r>
        <w:rPr>
          <w:color w:val="000000" w:themeColor="text1"/>
        </w:rPr>
        <w:t>Tyrer</w:t>
      </w:r>
      <w:proofErr w:type="spellEnd"/>
      <w:r>
        <w:rPr>
          <w:color w:val="000000" w:themeColor="text1"/>
        </w:rPr>
        <w:t xml:space="preserve">, P. and </w:t>
      </w:r>
      <w:proofErr w:type="spellStart"/>
      <w:r>
        <w:rPr>
          <w:color w:val="000000" w:themeColor="text1"/>
        </w:rPr>
        <w:t>Corteen</w:t>
      </w:r>
      <w:proofErr w:type="spellEnd"/>
      <w:r>
        <w:rPr>
          <w:color w:val="000000" w:themeColor="text1"/>
        </w:rPr>
        <w:t>, K. (2002)</w:t>
      </w:r>
      <w:r w:rsidRPr="00794AA2">
        <w:rPr>
          <w:color w:val="000000" w:themeColor="text1"/>
        </w:rPr>
        <w:t xml:space="preserve"> </w:t>
      </w:r>
      <w:r>
        <w:rPr>
          <w:color w:val="000000" w:themeColor="text1"/>
        </w:rPr>
        <w:t xml:space="preserve">Safety </w:t>
      </w:r>
      <w:r w:rsidRPr="00794AA2">
        <w:rPr>
          <w:color w:val="000000" w:themeColor="text1"/>
        </w:rPr>
        <w:t xml:space="preserve">talk, violence and laughter: Methodological reflections on focus groups in violence research. In </w:t>
      </w:r>
      <w:r>
        <w:rPr>
          <w:color w:val="000000" w:themeColor="text1"/>
        </w:rPr>
        <w:t>R.M. Lee and E.A. Stanko (Eds.)</w:t>
      </w:r>
      <w:r w:rsidRPr="00794AA2">
        <w:rPr>
          <w:i/>
          <w:color w:val="000000" w:themeColor="text1"/>
        </w:rPr>
        <w:t xml:space="preserve"> Researching Violence: Essays on Methodology and Measurement</w:t>
      </w:r>
      <w:r>
        <w:rPr>
          <w:color w:val="000000" w:themeColor="text1"/>
        </w:rPr>
        <w:t xml:space="preserve">. London: </w:t>
      </w:r>
      <w:r w:rsidRPr="00794AA2">
        <w:rPr>
          <w:color w:val="000000" w:themeColor="text1"/>
        </w:rPr>
        <w:t>Routledge. pp.119-137</w:t>
      </w:r>
      <w:r>
        <w:rPr>
          <w:color w:val="000000" w:themeColor="text1"/>
        </w:rPr>
        <w:t>.</w:t>
      </w:r>
    </w:p>
    <w:p w14:paraId="0145463D" w14:textId="03B0650F" w:rsidR="009A0FC6" w:rsidRPr="009A0FC6" w:rsidRDefault="009A0FC6" w:rsidP="00135CAE">
      <w:pPr>
        <w:spacing w:after="240"/>
        <w:ind w:left="720" w:hanging="720"/>
        <w:jc w:val="both"/>
        <w:rPr>
          <w:color w:val="000000" w:themeColor="text1"/>
        </w:rPr>
      </w:pPr>
      <w:proofErr w:type="spellStart"/>
      <w:r>
        <w:rPr>
          <w:color w:val="000000" w:themeColor="text1"/>
        </w:rPr>
        <w:t>Renzetti</w:t>
      </w:r>
      <w:proofErr w:type="spellEnd"/>
      <w:r>
        <w:rPr>
          <w:color w:val="000000" w:themeColor="text1"/>
        </w:rPr>
        <w:t xml:space="preserve">, C.M. and Lee, R.M. (1993) </w:t>
      </w:r>
      <w:r>
        <w:rPr>
          <w:i/>
          <w:color w:val="000000" w:themeColor="text1"/>
        </w:rPr>
        <w:t>Researching Sensitive Topics</w:t>
      </w:r>
      <w:r>
        <w:rPr>
          <w:color w:val="000000" w:themeColor="text1"/>
        </w:rPr>
        <w:t>. London: Sage.</w:t>
      </w:r>
    </w:p>
    <w:p w14:paraId="1C42D4D6" w14:textId="558FD89D" w:rsidR="00AD0929" w:rsidRDefault="00AD0929" w:rsidP="00135CAE">
      <w:pPr>
        <w:spacing w:after="240"/>
        <w:ind w:left="720" w:hanging="720"/>
        <w:jc w:val="both"/>
        <w:rPr>
          <w:color w:val="000000" w:themeColor="text1"/>
        </w:rPr>
      </w:pPr>
      <w:proofErr w:type="spellStart"/>
      <w:r w:rsidRPr="00C568A5">
        <w:rPr>
          <w:color w:val="000000" w:themeColor="text1"/>
        </w:rPr>
        <w:t>Riessman</w:t>
      </w:r>
      <w:proofErr w:type="spellEnd"/>
      <w:r>
        <w:rPr>
          <w:color w:val="000000" w:themeColor="text1"/>
        </w:rPr>
        <w:t>, C.K.</w:t>
      </w:r>
      <w:r w:rsidRPr="00C568A5">
        <w:rPr>
          <w:color w:val="000000" w:themeColor="text1"/>
        </w:rPr>
        <w:t xml:space="preserve"> (2008) </w:t>
      </w:r>
      <w:r w:rsidRPr="00C568A5">
        <w:rPr>
          <w:i/>
          <w:color w:val="000000" w:themeColor="text1"/>
        </w:rPr>
        <w:t>Narrative Methods for the Human Sciences</w:t>
      </w:r>
      <w:r w:rsidRPr="00C568A5">
        <w:rPr>
          <w:color w:val="000000" w:themeColor="text1"/>
        </w:rPr>
        <w:t>. London: Sage.</w:t>
      </w:r>
    </w:p>
    <w:p w14:paraId="02D27251" w14:textId="1C1373F4" w:rsidR="00581CB2" w:rsidRDefault="00581CB2" w:rsidP="00135CAE">
      <w:pPr>
        <w:spacing w:after="240"/>
        <w:ind w:left="720" w:hanging="720"/>
        <w:jc w:val="both"/>
        <w:rPr>
          <w:color w:val="000000" w:themeColor="text1"/>
        </w:rPr>
      </w:pPr>
      <w:r>
        <w:rPr>
          <w:color w:val="000000" w:themeColor="text1"/>
        </w:rPr>
        <w:t xml:space="preserve">Rose, N. (1998) </w:t>
      </w:r>
      <w:r>
        <w:rPr>
          <w:i/>
          <w:color w:val="000000" w:themeColor="text1"/>
        </w:rPr>
        <w:t>Inventing Our Selves: Psychology, Power and Personhood</w:t>
      </w:r>
      <w:r>
        <w:rPr>
          <w:color w:val="000000" w:themeColor="text1"/>
        </w:rPr>
        <w:t>. Cambridge: Cambridge University Press.</w:t>
      </w:r>
    </w:p>
    <w:p w14:paraId="31541C6D" w14:textId="21C66709" w:rsidR="007C2F1F" w:rsidRDefault="007C2F1F" w:rsidP="00135CAE">
      <w:pPr>
        <w:spacing w:after="240"/>
        <w:ind w:left="720" w:hanging="720"/>
        <w:jc w:val="both"/>
        <w:rPr>
          <w:color w:val="000000" w:themeColor="text1"/>
        </w:rPr>
      </w:pPr>
      <w:r w:rsidRPr="007C2F1F">
        <w:rPr>
          <w:color w:val="000000" w:themeColor="text1"/>
        </w:rPr>
        <w:t xml:space="preserve">Rowe, A. and </w:t>
      </w:r>
      <w:proofErr w:type="spellStart"/>
      <w:r w:rsidRPr="007C2F1F">
        <w:rPr>
          <w:color w:val="000000" w:themeColor="text1"/>
        </w:rPr>
        <w:t>Regehr</w:t>
      </w:r>
      <w:proofErr w:type="spellEnd"/>
      <w:r w:rsidRPr="007C2F1F">
        <w:rPr>
          <w:color w:val="000000" w:themeColor="text1"/>
        </w:rPr>
        <w:t xml:space="preserve">, C. (2010) Whatever Gets You Through Today: An Examination of Cynical Humor Among Emergency Service Professionals. </w:t>
      </w:r>
      <w:r w:rsidRPr="007C2F1F">
        <w:rPr>
          <w:i/>
          <w:color w:val="000000" w:themeColor="text1"/>
        </w:rPr>
        <w:t>Journal of Loss and Trauma</w:t>
      </w:r>
      <w:r w:rsidRPr="007C2F1F">
        <w:rPr>
          <w:color w:val="000000" w:themeColor="text1"/>
        </w:rPr>
        <w:t xml:space="preserve"> 15(5): 448-464.</w:t>
      </w:r>
    </w:p>
    <w:p w14:paraId="348F2860" w14:textId="0D0F65EB" w:rsidR="00452EBC" w:rsidRDefault="00452EBC" w:rsidP="00135CAE">
      <w:pPr>
        <w:spacing w:after="240"/>
        <w:ind w:left="720" w:hanging="720"/>
        <w:jc w:val="both"/>
        <w:rPr>
          <w:color w:val="000000" w:themeColor="text1"/>
          <w:lang w:val="en-GB"/>
        </w:rPr>
      </w:pPr>
      <w:r w:rsidRPr="00452EBC">
        <w:rPr>
          <w:color w:val="000000" w:themeColor="text1"/>
          <w:lang w:val="en-GB"/>
        </w:rPr>
        <w:t>Sacks, H. (1992) Jefferson, G. (</w:t>
      </w:r>
      <w:r>
        <w:rPr>
          <w:color w:val="000000" w:themeColor="text1"/>
          <w:lang w:val="en-GB"/>
        </w:rPr>
        <w:t>E</w:t>
      </w:r>
      <w:r w:rsidRPr="00452EBC">
        <w:rPr>
          <w:color w:val="000000" w:themeColor="text1"/>
          <w:lang w:val="en-GB"/>
        </w:rPr>
        <w:t xml:space="preserve">d.) </w:t>
      </w:r>
      <w:r w:rsidRPr="00452EBC">
        <w:rPr>
          <w:i/>
          <w:color w:val="000000" w:themeColor="text1"/>
          <w:lang w:val="en-GB"/>
        </w:rPr>
        <w:t>Lectures on Conversation: Volumes 1 &amp; 2</w:t>
      </w:r>
      <w:r>
        <w:rPr>
          <w:color w:val="000000" w:themeColor="text1"/>
          <w:lang w:val="en-GB"/>
        </w:rPr>
        <w:t xml:space="preserve">. </w:t>
      </w:r>
      <w:r w:rsidRPr="00452EBC">
        <w:rPr>
          <w:color w:val="000000" w:themeColor="text1"/>
          <w:lang w:val="en-GB"/>
        </w:rPr>
        <w:t>Oxford: Blackwell</w:t>
      </w:r>
      <w:r>
        <w:rPr>
          <w:color w:val="000000" w:themeColor="text1"/>
          <w:lang w:val="en-GB"/>
        </w:rPr>
        <w:t>.</w:t>
      </w:r>
    </w:p>
    <w:p w14:paraId="22C59D33" w14:textId="33CA0842" w:rsidR="007C2F1F" w:rsidRPr="00452EBC" w:rsidRDefault="007C2F1F" w:rsidP="00135CAE">
      <w:pPr>
        <w:spacing w:after="240"/>
        <w:ind w:left="720" w:hanging="720"/>
        <w:jc w:val="both"/>
        <w:rPr>
          <w:color w:val="000000" w:themeColor="text1"/>
          <w:lang w:val="en-GB"/>
        </w:rPr>
      </w:pPr>
      <w:r w:rsidRPr="007C2F1F">
        <w:rPr>
          <w:color w:val="000000" w:themeColor="text1"/>
          <w:lang w:val="en-GB"/>
        </w:rPr>
        <w:lastRenderedPageBreak/>
        <w:t xml:space="preserve">Scott, T. (2007) Expression of humour by emergency personnel involved in sudden </w:t>
      </w:r>
      <w:proofErr w:type="spellStart"/>
      <w:r w:rsidRPr="007C2F1F">
        <w:rPr>
          <w:color w:val="000000" w:themeColor="text1"/>
          <w:lang w:val="en-GB"/>
        </w:rPr>
        <w:t>deathwork</w:t>
      </w:r>
      <w:proofErr w:type="spellEnd"/>
      <w:r w:rsidRPr="007C2F1F">
        <w:rPr>
          <w:color w:val="000000" w:themeColor="text1"/>
          <w:lang w:val="en-GB"/>
        </w:rPr>
        <w:t xml:space="preserve">. </w:t>
      </w:r>
      <w:r w:rsidRPr="007C2F1F">
        <w:rPr>
          <w:i/>
          <w:color w:val="000000" w:themeColor="text1"/>
          <w:lang w:val="en-GB"/>
        </w:rPr>
        <w:t>Mortality</w:t>
      </w:r>
      <w:r w:rsidRPr="007C2F1F">
        <w:rPr>
          <w:color w:val="000000" w:themeColor="text1"/>
          <w:lang w:val="en-GB"/>
        </w:rPr>
        <w:t xml:space="preserve"> 12(4): 350-364.</w:t>
      </w:r>
    </w:p>
    <w:p w14:paraId="227523D1" w14:textId="7E789648" w:rsidR="008D03F1" w:rsidRDefault="008D03F1" w:rsidP="00135CAE">
      <w:pPr>
        <w:pStyle w:val="ABKWH"/>
        <w:spacing w:before="0" w:after="240"/>
        <w:ind w:left="720" w:hanging="720"/>
        <w:jc w:val="both"/>
        <w:rPr>
          <w:color w:val="000000" w:themeColor="text1"/>
          <w:sz w:val="24"/>
        </w:rPr>
      </w:pPr>
      <w:r>
        <w:rPr>
          <w:color w:val="000000" w:themeColor="text1"/>
          <w:sz w:val="24"/>
        </w:rPr>
        <w:t>Sharrock, W. and Button, G</w:t>
      </w:r>
      <w:r w:rsidRPr="007739A6">
        <w:rPr>
          <w:color w:val="000000" w:themeColor="text1"/>
          <w:sz w:val="24"/>
        </w:rPr>
        <w:t xml:space="preserve">. </w:t>
      </w:r>
      <w:r>
        <w:rPr>
          <w:color w:val="000000" w:themeColor="text1"/>
          <w:sz w:val="24"/>
        </w:rPr>
        <w:t xml:space="preserve">(1991) </w:t>
      </w:r>
      <w:r w:rsidRPr="007739A6">
        <w:rPr>
          <w:color w:val="000000" w:themeColor="text1"/>
          <w:sz w:val="24"/>
        </w:rPr>
        <w:t xml:space="preserve">In Button, G. (Ed.) </w:t>
      </w:r>
      <w:r w:rsidRPr="007739A6">
        <w:rPr>
          <w:i/>
          <w:color w:val="000000" w:themeColor="text1"/>
          <w:sz w:val="24"/>
        </w:rPr>
        <w:t>Ethnomethodology and the Human Sciences</w:t>
      </w:r>
      <w:r w:rsidRPr="007739A6">
        <w:rPr>
          <w:color w:val="000000" w:themeColor="text1"/>
          <w:sz w:val="24"/>
        </w:rPr>
        <w:t>. Cambridge: Cambridge University Press. pp.</w:t>
      </w:r>
      <w:r>
        <w:rPr>
          <w:color w:val="000000" w:themeColor="text1"/>
          <w:sz w:val="24"/>
        </w:rPr>
        <w:t>137-175</w:t>
      </w:r>
      <w:r w:rsidRPr="007739A6">
        <w:rPr>
          <w:color w:val="000000" w:themeColor="text1"/>
          <w:sz w:val="24"/>
        </w:rPr>
        <w:t>.</w:t>
      </w:r>
    </w:p>
    <w:p w14:paraId="732A419D" w14:textId="7D58EEE4" w:rsidR="00323325" w:rsidRDefault="00323325" w:rsidP="00135CAE">
      <w:pPr>
        <w:spacing w:after="240"/>
        <w:ind w:left="720" w:hanging="720"/>
        <w:jc w:val="both"/>
        <w:rPr>
          <w:color w:val="000000" w:themeColor="text1"/>
        </w:rPr>
      </w:pPr>
      <w:proofErr w:type="spellStart"/>
      <w:r w:rsidRPr="00934A2F">
        <w:rPr>
          <w:color w:val="000000" w:themeColor="text1"/>
        </w:rPr>
        <w:t>Siapno</w:t>
      </w:r>
      <w:proofErr w:type="spellEnd"/>
      <w:r w:rsidRPr="00934A2F">
        <w:rPr>
          <w:color w:val="000000" w:themeColor="text1"/>
        </w:rPr>
        <w:t xml:space="preserve">, J.A. (2009) Living through terror: everyday resilience in East Timor and Aceh. </w:t>
      </w:r>
      <w:r w:rsidRPr="00934A2F">
        <w:rPr>
          <w:i/>
          <w:color w:val="000000" w:themeColor="text1"/>
        </w:rPr>
        <w:t>Social Identities</w:t>
      </w:r>
      <w:r w:rsidRPr="00934A2F">
        <w:rPr>
          <w:color w:val="000000" w:themeColor="text1"/>
        </w:rPr>
        <w:t xml:space="preserve"> 15(1): 43-64.</w:t>
      </w:r>
    </w:p>
    <w:p w14:paraId="02EBBAE8" w14:textId="64731820" w:rsidR="008D03F1" w:rsidRDefault="008D03F1" w:rsidP="00135CAE">
      <w:pPr>
        <w:spacing w:after="240"/>
        <w:ind w:left="720" w:hanging="720"/>
        <w:jc w:val="both"/>
        <w:rPr>
          <w:color w:val="000000" w:themeColor="text1"/>
        </w:rPr>
      </w:pPr>
      <w:r w:rsidRPr="0075374E">
        <w:rPr>
          <w:color w:val="000000" w:themeColor="text1"/>
        </w:rPr>
        <w:t xml:space="preserve">Simmonds, L. (2016) The potential impact of local commissioning on victim services in England and Wales. </w:t>
      </w:r>
      <w:r w:rsidRPr="0075374E">
        <w:rPr>
          <w:i/>
          <w:color w:val="000000" w:themeColor="text1"/>
        </w:rPr>
        <w:t>International Review of Victimology</w:t>
      </w:r>
      <w:r w:rsidRPr="0075374E">
        <w:rPr>
          <w:color w:val="000000" w:themeColor="text1"/>
        </w:rPr>
        <w:t xml:space="preserve"> 22(3): 223-237.</w:t>
      </w:r>
    </w:p>
    <w:p w14:paraId="2E71822E" w14:textId="6D240A16" w:rsidR="00A17A64" w:rsidRPr="00A17A64" w:rsidRDefault="00A17A64" w:rsidP="00135CAE">
      <w:pPr>
        <w:spacing w:after="240"/>
        <w:ind w:left="720" w:hanging="720"/>
        <w:jc w:val="both"/>
        <w:rPr>
          <w:color w:val="000000" w:themeColor="text1"/>
        </w:rPr>
      </w:pPr>
      <w:r>
        <w:rPr>
          <w:color w:val="000000" w:themeColor="text1"/>
        </w:rPr>
        <w:t xml:space="preserve">Subramani, S. (2019) </w:t>
      </w:r>
      <w:proofErr w:type="spellStart"/>
      <w:r>
        <w:rPr>
          <w:color w:val="000000" w:themeColor="text1"/>
        </w:rPr>
        <w:t>Practising</w:t>
      </w:r>
      <w:proofErr w:type="spellEnd"/>
      <w:r>
        <w:rPr>
          <w:color w:val="000000" w:themeColor="text1"/>
        </w:rPr>
        <w:t xml:space="preserve"> reflexivity: Ethics, methodology and theory construction. </w:t>
      </w:r>
      <w:r>
        <w:rPr>
          <w:i/>
          <w:color w:val="000000" w:themeColor="text1"/>
        </w:rPr>
        <w:t>Methodological Innovations</w:t>
      </w:r>
      <w:r>
        <w:rPr>
          <w:color w:val="000000" w:themeColor="text1"/>
        </w:rPr>
        <w:t xml:space="preserve"> 12(2): 1-11.</w:t>
      </w:r>
    </w:p>
    <w:p w14:paraId="286E0FAE" w14:textId="776C9918" w:rsidR="008D03F1" w:rsidRDefault="008D03F1" w:rsidP="00135CAE">
      <w:pPr>
        <w:spacing w:after="240"/>
        <w:ind w:left="720" w:hanging="720"/>
        <w:jc w:val="both"/>
        <w:rPr>
          <w:color w:val="000000" w:themeColor="text1"/>
        </w:rPr>
      </w:pPr>
      <w:r w:rsidRPr="00A33EDB">
        <w:rPr>
          <w:color w:val="000000" w:themeColor="text1"/>
        </w:rPr>
        <w:t xml:space="preserve">The Tim Parry Johnathan Ball Foundation for Peace (2017) Survivors Assistance Network: Have you or someone you know been affected by an act of terrorism at home or abroad? [online] Available at: </w:t>
      </w:r>
      <w:hyperlink r:id="rId8" w:history="1">
        <w:r w:rsidRPr="00A33EDB">
          <w:rPr>
            <w:rStyle w:val="Hyperlink"/>
            <w:color w:val="000000" w:themeColor="text1"/>
          </w:rPr>
          <w:t>http://foundation4peace.org/survivors-assistance-network-we-can-help/</w:t>
        </w:r>
      </w:hyperlink>
      <w:r w:rsidRPr="00A33EDB">
        <w:rPr>
          <w:color w:val="000000" w:themeColor="text1"/>
        </w:rPr>
        <w:t xml:space="preserve"> [Accessed 16/01/2017].</w:t>
      </w:r>
    </w:p>
    <w:p w14:paraId="1C3A1A71" w14:textId="5FDBB677" w:rsidR="0025721C" w:rsidRDefault="0025721C" w:rsidP="00135CAE">
      <w:pPr>
        <w:spacing w:after="240"/>
        <w:ind w:left="720" w:hanging="720"/>
        <w:jc w:val="both"/>
        <w:rPr>
          <w:color w:val="000000" w:themeColor="text1"/>
        </w:rPr>
      </w:pPr>
      <w:proofErr w:type="spellStart"/>
      <w:r>
        <w:rPr>
          <w:color w:val="000000" w:themeColor="text1"/>
        </w:rPr>
        <w:t>Wakeman</w:t>
      </w:r>
      <w:proofErr w:type="spellEnd"/>
      <w:r>
        <w:rPr>
          <w:color w:val="000000" w:themeColor="text1"/>
        </w:rPr>
        <w:t xml:space="preserve">, S. (2014) Fieldwork, Biography and Emotion: Doing Criminological Autoethnography. </w:t>
      </w:r>
      <w:r>
        <w:rPr>
          <w:i/>
          <w:color w:val="000000" w:themeColor="text1"/>
        </w:rPr>
        <w:t>The British Journal of Criminology</w:t>
      </w:r>
      <w:r>
        <w:rPr>
          <w:color w:val="000000" w:themeColor="text1"/>
        </w:rPr>
        <w:t xml:space="preserve"> 54(5):</w:t>
      </w:r>
      <w:r w:rsidR="00524E5D">
        <w:rPr>
          <w:color w:val="000000" w:themeColor="text1"/>
        </w:rPr>
        <w:t xml:space="preserve"> </w:t>
      </w:r>
      <w:r>
        <w:rPr>
          <w:color w:val="000000" w:themeColor="text1"/>
        </w:rPr>
        <w:t>705-721.</w:t>
      </w:r>
    </w:p>
    <w:p w14:paraId="0AF3CAD3" w14:textId="6107747F" w:rsidR="00476DD5" w:rsidRPr="00476DD5" w:rsidRDefault="00476DD5" w:rsidP="00135CAE">
      <w:pPr>
        <w:spacing w:after="240"/>
        <w:ind w:left="720" w:hanging="720"/>
        <w:jc w:val="both"/>
        <w:rPr>
          <w:color w:val="000000" w:themeColor="text1"/>
        </w:rPr>
      </w:pPr>
      <w:r>
        <w:rPr>
          <w:color w:val="000000" w:themeColor="text1"/>
        </w:rPr>
        <w:t xml:space="preserve">Ward, J. and McMurray, R. (2016) </w:t>
      </w:r>
      <w:r>
        <w:rPr>
          <w:i/>
          <w:color w:val="000000" w:themeColor="text1"/>
        </w:rPr>
        <w:t>The Dark Side of Emotional Labour</w:t>
      </w:r>
      <w:r>
        <w:rPr>
          <w:color w:val="000000" w:themeColor="text1"/>
        </w:rPr>
        <w:t>. London: Routledge.</w:t>
      </w:r>
    </w:p>
    <w:p w14:paraId="2F0885D5" w14:textId="7B9EBA0E" w:rsidR="001475CB" w:rsidRDefault="00323325" w:rsidP="00135CAE">
      <w:pPr>
        <w:spacing w:after="240"/>
        <w:ind w:left="720" w:hanging="720"/>
        <w:jc w:val="both"/>
        <w:rPr>
          <w:color w:val="000000" w:themeColor="text1"/>
        </w:rPr>
      </w:pPr>
      <w:r>
        <w:rPr>
          <w:color w:val="000000" w:themeColor="text1"/>
        </w:rPr>
        <w:t xml:space="preserve">Watson, C. (2015) </w:t>
      </w:r>
      <w:r>
        <w:rPr>
          <w:i/>
          <w:color w:val="000000" w:themeColor="text1"/>
        </w:rPr>
        <w:t>Comedy and Social Science: Towards a Methodology of Funny</w:t>
      </w:r>
      <w:r>
        <w:rPr>
          <w:color w:val="000000" w:themeColor="text1"/>
        </w:rPr>
        <w:t xml:space="preserve">. </w:t>
      </w:r>
      <w:r w:rsidR="009D154A">
        <w:rPr>
          <w:color w:val="000000" w:themeColor="text1"/>
        </w:rPr>
        <w:t>London: Routledge.</w:t>
      </w:r>
    </w:p>
    <w:p w14:paraId="1354AAB1" w14:textId="23DAD83F" w:rsidR="00EE0D0A" w:rsidRPr="00EE0D0A" w:rsidRDefault="00EE0D0A" w:rsidP="00135CAE">
      <w:pPr>
        <w:spacing w:after="240"/>
        <w:ind w:left="720" w:hanging="720"/>
        <w:jc w:val="both"/>
        <w:rPr>
          <w:color w:val="000000" w:themeColor="text1"/>
        </w:rPr>
      </w:pPr>
      <w:r>
        <w:rPr>
          <w:color w:val="000000" w:themeColor="text1"/>
        </w:rPr>
        <w:t xml:space="preserve">Williams, B.R., </w:t>
      </w:r>
      <w:proofErr w:type="spellStart"/>
      <w:r>
        <w:rPr>
          <w:color w:val="000000" w:themeColor="text1"/>
        </w:rPr>
        <w:t>Woodby</w:t>
      </w:r>
      <w:proofErr w:type="spellEnd"/>
      <w:r>
        <w:rPr>
          <w:color w:val="000000" w:themeColor="text1"/>
        </w:rPr>
        <w:t xml:space="preserve">, L.L., Amos Bailey, F. and </w:t>
      </w:r>
      <w:proofErr w:type="spellStart"/>
      <w:r>
        <w:rPr>
          <w:color w:val="000000" w:themeColor="text1"/>
        </w:rPr>
        <w:t>Burgio</w:t>
      </w:r>
      <w:proofErr w:type="spellEnd"/>
      <w:r>
        <w:rPr>
          <w:color w:val="000000" w:themeColor="text1"/>
        </w:rPr>
        <w:t xml:space="preserve">, K.L. (2008) </w:t>
      </w:r>
      <w:r w:rsidRPr="00EE0D0A">
        <w:rPr>
          <w:color w:val="000000" w:themeColor="text1"/>
        </w:rPr>
        <w:t>Identifying and Responding to Ethical and Methodological Issues in After-Death Interviews with Next-of-Kin</w:t>
      </w:r>
      <w:r>
        <w:rPr>
          <w:color w:val="000000" w:themeColor="text1"/>
        </w:rPr>
        <w:t xml:space="preserve">. </w:t>
      </w:r>
      <w:r>
        <w:rPr>
          <w:i/>
          <w:color w:val="000000" w:themeColor="text1"/>
        </w:rPr>
        <w:t>Death Studies</w:t>
      </w:r>
      <w:r>
        <w:rPr>
          <w:color w:val="000000" w:themeColor="text1"/>
        </w:rPr>
        <w:t xml:space="preserve"> 32(3): 197-236.</w:t>
      </w:r>
    </w:p>
    <w:sectPr w:rsidR="00EE0D0A" w:rsidRPr="00EE0D0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30E3C" w14:textId="77777777" w:rsidR="00FD209F" w:rsidRDefault="00FD209F" w:rsidP="00245A40">
      <w:r>
        <w:separator/>
      </w:r>
    </w:p>
  </w:endnote>
  <w:endnote w:type="continuationSeparator" w:id="0">
    <w:p w14:paraId="0071D790" w14:textId="77777777" w:rsidR="00FD209F" w:rsidRDefault="00FD209F" w:rsidP="0024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195166"/>
      <w:docPartObj>
        <w:docPartGallery w:val="Page Numbers (Bottom of Page)"/>
        <w:docPartUnique/>
      </w:docPartObj>
    </w:sdtPr>
    <w:sdtEndPr>
      <w:rPr>
        <w:b/>
        <w:bCs/>
        <w:noProof/>
      </w:rPr>
    </w:sdtEndPr>
    <w:sdtContent>
      <w:p w14:paraId="407694E5" w14:textId="110D6AC7" w:rsidR="00C01BF8" w:rsidRPr="003271A8" w:rsidRDefault="00C01BF8">
        <w:pPr>
          <w:pStyle w:val="Footer"/>
          <w:rPr>
            <w:b/>
            <w:bCs/>
          </w:rPr>
        </w:pPr>
        <w:r w:rsidRPr="003271A8">
          <w:rPr>
            <w:b/>
            <w:bCs/>
          </w:rPr>
          <w:fldChar w:fldCharType="begin"/>
        </w:r>
        <w:r w:rsidRPr="003271A8">
          <w:rPr>
            <w:b/>
            <w:bCs/>
          </w:rPr>
          <w:instrText xml:space="preserve"> PAGE   \* MERGEFORMAT </w:instrText>
        </w:r>
        <w:r w:rsidRPr="003271A8">
          <w:rPr>
            <w:b/>
            <w:bCs/>
          </w:rPr>
          <w:fldChar w:fldCharType="separate"/>
        </w:r>
        <w:r w:rsidRPr="003271A8">
          <w:rPr>
            <w:b/>
            <w:bCs/>
            <w:noProof/>
          </w:rPr>
          <w:t>2</w:t>
        </w:r>
        <w:r w:rsidRPr="003271A8">
          <w:rPr>
            <w:b/>
            <w:bCs/>
            <w:noProof/>
          </w:rPr>
          <w:fldChar w:fldCharType="end"/>
        </w:r>
      </w:p>
    </w:sdtContent>
  </w:sdt>
  <w:p w14:paraId="0837DB77" w14:textId="77777777" w:rsidR="00C01BF8" w:rsidRDefault="00C0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7F87" w14:textId="77777777" w:rsidR="00FD209F" w:rsidRDefault="00FD209F" w:rsidP="00245A40">
      <w:r>
        <w:separator/>
      </w:r>
    </w:p>
  </w:footnote>
  <w:footnote w:type="continuationSeparator" w:id="0">
    <w:p w14:paraId="2C57DC7E" w14:textId="77777777" w:rsidR="00FD209F" w:rsidRDefault="00FD209F" w:rsidP="00245A40">
      <w:r>
        <w:continuationSeparator/>
      </w:r>
    </w:p>
  </w:footnote>
  <w:footnote w:id="1">
    <w:p w14:paraId="215C3EF0" w14:textId="0EDAB0EC" w:rsidR="00C01BF8" w:rsidRPr="00B75378" w:rsidRDefault="00C01BF8" w:rsidP="005E2D88">
      <w:pPr>
        <w:pStyle w:val="FootnoteText"/>
        <w:jc w:val="both"/>
        <w:rPr>
          <w:sz w:val="22"/>
          <w:lang w:val="en-GB"/>
        </w:rPr>
      </w:pPr>
      <w:r w:rsidRPr="00B75378">
        <w:rPr>
          <w:rStyle w:val="FootnoteReference"/>
          <w:sz w:val="22"/>
        </w:rPr>
        <w:footnoteRef/>
      </w:r>
      <w:r w:rsidRPr="00B75378">
        <w:rPr>
          <w:sz w:val="22"/>
        </w:rPr>
        <w:t xml:space="preserve"> The history of the IRA as a political movement, including contested understandings of its visions, causes, membership criteria, name and organizational ethos is a complex one beyond the scope of this article (though see, for example, Coogan, 2002 and English, 2003).</w:t>
      </w:r>
    </w:p>
  </w:footnote>
  <w:footnote w:id="2">
    <w:p w14:paraId="7A850FB9" w14:textId="5CACAE8E" w:rsidR="00C01BF8" w:rsidRPr="002C254E" w:rsidRDefault="00C01BF8" w:rsidP="005E2D88">
      <w:pPr>
        <w:pStyle w:val="FootnoteText"/>
        <w:jc w:val="both"/>
        <w:rPr>
          <w:sz w:val="22"/>
          <w:lang w:val="en-GB"/>
        </w:rPr>
      </w:pPr>
      <w:r>
        <w:rPr>
          <w:rStyle w:val="FootnoteReference"/>
        </w:rPr>
        <w:footnoteRef/>
      </w:r>
      <w:r>
        <w:t xml:space="preserve"> </w:t>
      </w:r>
      <w:r>
        <w:rPr>
          <w:sz w:val="22"/>
          <w:lang w:val="en-GB"/>
        </w:rPr>
        <w:t>George’s brother had been murdered in a hostage situation.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6817"/>
    <w:multiLevelType w:val="hybridMultilevel"/>
    <w:tmpl w:val="910CE8C0"/>
    <w:lvl w:ilvl="0" w:tplc="3790DE44">
      <w:start w:val="199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F203A"/>
    <w:multiLevelType w:val="hybridMultilevel"/>
    <w:tmpl w:val="7A6AC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517EE4"/>
    <w:multiLevelType w:val="hybridMultilevel"/>
    <w:tmpl w:val="481E32FC"/>
    <w:lvl w:ilvl="0" w:tplc="814A5EC6">
      <w:start w:val="199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13"/>
    <w:rsid w:val="0000086B"/>
    <w:rsid w:val="0001129E"/>
    <w:rsid w:val="000115A4"/>
    <w:rsid w:val="000229B5"/>
    <w:rsid w:val="0003039B"/>
    <w:rsid w:val="00035C08"/>
    <w:rsid w:val="0004416C"/>
    <w:rsid w:val="00046E3F"/>
    <w:rsid w:val="00052EE1"/>
    <w:rsid w:val="00063DA0"/>
    <w:rsid w:val="0007744A"/>
    <w:rsid w:val="00080676"/>
    <w:rsid w:val="00081CC7"/>
    <w:rsid w:val="00086789"/>
    <w:rsid w:val="000B0D09"/>
    <w:rsid w:val="000C0237"/>
    <w:rsid w:val="000C0D34"/>
    <w:rsid w:val="000C1B00"/>
    <w:rsid w:val="000C27DB"/>
    <w:rsid w:val="000C307A"/>
    <w:rsid w:val="000C6B2D"/>
    <w:rsid w:val="000D0CF1"/>
    <w:rsid w:val="000D2B3A"/>
    <w:rsid w:val="000D522E"/>
    <w:rsid w:val="000D6E0D"/>
    <w:rsid w:val="000D71C1"/>
    <w:rsid w:val="000E24B0"/>
    <w:rsid w:val="000F1910"/>
    <w:rsid w:val="000F48B2"/>
    <w:rsid w:val="001013DB"/>
    <w:rsid w:val="00101971"/>
    <w:rsid w:val="0010204A"/>
    <w:rsid w:val="00105AE1"/>
    <w:rsid w:val="00111386"/>
    <w:rsid w:val="001202D1"/>
    <w:rsid w:val="00125C63"/>
    <w:rsid w:val="00125DBE"/>
    <w:rsid w:val="001303F3"/>
    <w:rsid w:val="00130A0E"/>
    <w:rsid w:val="001311A5"/>
    <w:rsid w:val="00131566"/>
    <w:rsid w:val="0013259C"/>
    <w:rsid w:val="00132D4C"/>
    <w:rsid w:val="00133A51"/>
    <w:rsid w:val="00135CAE"/>
    <w:rsid w:val="001440B0"/>
    <w:rsid w:val="00144A66"/>
    <w:rsid w:val="0014701B"/>
    <w:rsid w:val="001475CB"/>
    <w:rsid w:val="00151576"/>
    <w:rsid w:val="0016505C"/>
    <w:rsid w:val="00190852"/>
    <w:rsid w:val="001A392E"/>
    <w:rsid w:val="001A6091"/>
    <w:rsid w:val="001B0777"/>
    <w:rsid w:val="001B2AB6"/>
    <w:rsid w:val="001C3539"/>
    <w:rsid w:val="001C61C2"/>
    <w:rsid w:val="001D08D9"/>
    <w:rsid w:val="001D1896"/>
    <w:rsid w:val="001D2538"/>
    <w:rsid w:val="001D6CB1"/>
    <w:rsid w:val="001E269F"/>
    <w:rsid w:val="001E2B56"/>
    <w:rsid w:val="001E7791"/>
    <w:rsid w:val="001F2302"/>
    <w:rsid w:val="001F4339"/>
    <w:rsid w:val="002022C4"/>
    <w:rsid w:val="00206E42"/>
    <w:rsid w:val="00216445"/>
    <w:rsid w:val="00221CF1"/>
    <w:rsid w:val="002258DE"/>
    <w:rsid w:val="002430FF"/>
    <w:rsid w:val="00243670"/>
    <w:rsid w:val="00245A40"/>
    <w:rsid w:val="00245BB1"/>
    <w:rsid w:val="002507CA"/>
    <w:rsid w:val="002548E2"/>
    <w:rsid w:val="0025721C"/>
    <w:rsid w:val="00261A0D"/>
    <w:rsid w:val="00264B93"/>
    <w:rsid w:val="00265140"/>
    <w:rsid w:val="00270D8F"/>
    <w:rsid w:val="00275244"/>
    <w:rsid w:val="00275D7B"/>
    <w:rsid w:val="00282D98"/>
    <w:rsid w:val="0029385B"/>
    <w:rsid w:val="0029421E"/>
    <w:rsid w:val="002A0482"/>
    <w:rsid w:val="002A7CE5"/>
    <w:rsid w:val="002C254E"/>
    <w:rsid w:val="002C36A2"/>
    <w:rsid w:val="002C5EEA"/>
    <w:rsid w:val="002C734A"/>
    <w:rsid w:val="002E4B26"/>
    <w:rsid w:val="002E7FC8"/>
    <w:rsid w:val="002F4A16"/>
    <w:rsid w:val="002F4D2F"/>
    <w:rsid w:val="002F71EB"/>
    <w:rsid w:val="00313105"/>
    <w:rsid w:val="00314C3D"/>
    <w:rsid w:val="00323325"/>
    <w:rsid w:val="003249A5"/>
    <w:rsid w:val="003271A8"/>
    <w:rsid w:val="003302DF"/>
    <w:rsid w:val="00335562"/>
    <w:rsid w:val="003413AF"/>
    <w:rsid w:val="00352906"/>
    <w:rsid w:val="0035468F"/>
    <w:rsid w:val="0035507C"/>
    <w:rsid w:val="003658AB"/>
    <w:rsid w:val="0036624B"/>
    <w:rsid w:val="003727B6"/>
    <w:rsid w:val="003768A6"/>
    <w:rsid w:val="003776BE"/>
    <w:rsid w:val="00380C79"/>
    <w:rsid w:val="00387BAA"/>
    <w:rsid w:val="00390A99"/>
    <w:rsid w:val="00392BFA"/>
    <w:rsid w:val="00394FB7"/>
    <w:rsid w:val="003A1D1E"/>
    <w:rsid w:val="003A48B6"/>
    <w:rsid w:val="003A7E42"/>
    <w:rsid w:val="003B1DBF"/>
    <w:rsid w:val="003B2261"/>
    <w:rsid w:val="003B5450"/>
    <w:rsid w:val="003C7E17"/>
    <w:rsid w:val="003D3E82"/>
    <w:rsid w:val="003E01AD"/>
    <w:rsid w:val="003E3ABA"/>
    <w:rsid w:val="003E65AB"/>
    <w:rsid w:val="003F56F5"/>
    <w:rsid w:val="003F618F"/>
    <w:rsid w:val="003F64C7"/>
    <w:rsid w:val="00406430"/>
    <w:rsid w:val="004108B7"/>
    <w:rsid w:val="00417315"/>
    <w:rsid w:val="004201F2"/>
    <w:rsid w:val="00423396"/>
    <w:rsid w:val="00423CB3"/>
    <w:rsid w:val="00425FB2"/>
    <w:rsid w:val="00433F06"/>
    <w:rsid w:val="00434A9C"/>
    <w:rsid w:val="00436B93"/>
    <w:rsid w:val="00441C0A"/>
    <w:rsid w:val="0044588B"/>
    <w:rsid w:val="00445C2D"/>
    <w:rsid w:val="00452EBC"/>
    <w:rsid w:val="0046503C"/>
    <w:rsid w:val="00476DD5"/>
    <w:rsid w:val="00477BF2"/>
    <w:rsid w:val="00483D67"/>
    <w:rsid w:val="00484105"/>
    <w:rsid w:val="0048542E"/>
    <w:rsid w:val="00490653"/>
    <w:rsid w:val="00490D9E"/>
    <w:rsid w:val="00495C00"/>
    <w:rsid w:val="004A2466"/>
    <w:rsid w:val="004A2A97"/>
    <w:rsid w:val="004A3DF0"/>
    <w:rsid w:val="004C48B7"/>
    <w:rsid w:val="004C6294"/>
    <w:rsid w:val="004C66C3"/>
    <w:rsid w:val="004D01CD"/>
    <w:rsid w:val="004D2BD2"/>
    <w:rsid w:val="004D37E8"/>
    <w:rsid w:val="004D4814"/>
    <w:rsid w:val="004D49CB"/>
    <w:rsid w:val="004E10E1"/>
    <w:rsid w:val="004E6C16"/>
    <w:rsid w:val="004E7064"/>
    <w:rsid w:val="004F6804"/>
    <w:rsid w:val="004F6A93"/>
    <w:rsid w:val="00502D74"/>
    <w:rsid w:val="00505ED7"/>
    <w:rsid w:val="00506BEF"/>
    <w:rsid w:val="00511D81"/>
    <w:rsid w:val="00512C5C"/>
    <w:rsid w:val="00513E44"/>
    <w:rsid w:val="005166C1"/>
    <w:rsid w:val="00516B01"/>
    <w:rsid w:val="00517799"/>
    <w:rsid w:val="00524E5D"/>
    <w:rsid w:val="00537EF1"/>
    <w:rsid w:val="00540E83"/>
    <w:rsid w:val="0055499B"/>
    <w:rsid w:val="00565229"/>
    <w:rsid w:val="005702E5"/>
    <w:rsid w:val="00577A7B"/>
    <w:rsid w:val="00577CF7"/>
    <w:rsid w:val="00581CB2"/>
    <w:rsid w:val="00586358"/>
    <w:rsid w:val="005949CF"/>
    <w:rsid w:val="00594A3C"/>
    <w:rsid w:val="005A745E"/>
    <w:rsid w:val="005B4DCD"/>
    <w:rsid w:val="005B4E0E"/>
    <w:rsid w:val="005B7B76"/>
    <w:rsid w:val="005C1CDE"/>
    <w:rsid w:val="005C2735"/>
    <w:rsid w:val="005C3FA7"/>
    <w:rsid w:val="005C5E82"/>
    <w:rsid w:val="005E1990"/>
    <w:rsid w:val="005E2D88"/>
    <w:rsid w:val="005E59AE"/>
    <w:rsid w:val="005E70AD"/>
    <w:rsid w:val="005F2C5B"/>
    <w:rsid w:val="00600352"/>
    <w:rsid w:val="006057E8"/>
    <w:rsid w:val="00606CD5"/>
    <w:rsid w:val="00613500"/>
    <w:rsid w:val="0061370D"/>
    <w:rsid w:val="00613E98"/>
    <w:rsid w:val="00614938"/>
    <w:rsid w:val="006218D1"/>
    <w:rsid w:val="006340FF"/>
    <w:rsid w:val="006375AA"/>
    <w:rsid w:val="006407AD"/>
    <w:rsid w:val="00642CC0"/>
    <w:rsid w:val="00645DBF"/>
    <w:rsid w:val="00645F0D"/>
    <w:rsid w:val="0065173F"/>
    <w:rsid w:val="0066387A"/>
    <w:rsid w:val="00674F6B"/>
    <w:rsid w:val="00684DDC"/>
    <w:rsid w:val="00687156"/>
    <w:rsid w:val="006874ED"/>
    <w:rsid w:val="006B12B4"/>
    <w:rsid w:val="006B1C61"/>
    <w:rsid w:val="006C1288"/>
    <w:rsid w:val="006C3E51"/>
    <w:rsid w:val="006C5346"/>
    <w:rsid w:val="006C7955"/>
    <w:rsid w:val="006D138D"/>
    <w:rsid w:val="006D712A"/>
    <w:rsid w:val="006E05F7"/>
    <w:rsid w:val="006F0281"/>
    <w:rsid w:val="006F094A"/>
    <w:rsid w:val="006F5C9E"/>
    <w:rsid w:val="00703940"/>
    <w:rsid w:val="0070666C"/>
    <w:rsid w:val="007100BB"/>
    <w:rsid w:val="00711A59"/>
    <w:rsid w:val="00725574"/>
    <w:rsid w:val="007329CA"/>
    <w:rsid w:val="00735B7F"/>
    <w:rsid w:val="007427CB"/>
    <w:rsid w:val="00743154"/>
    <w:rsid w:val="00751A40"/>
    <w:rsid w:val="00753911"/>
    <w:rsid w:val="0076346E"/>
    <w:rsid w:val="0076637D"/>
    <w:rsid w:val="00767E29"/>
    <w:rsid w:val="00775552"/>
    <w:rsid w:val="00787E77"/>
    <w:rsid w:val="0079270F"/>
    <w:rsid w:val="00794AA2"/>
    <w:rsid w:val="00797F30"/>
    <w:rsid w:val="007A08F0"/>
    <w:rsid w:val="007A1C71"/>
    <w:rsid w:val="007A2F85"/>
    <w:rsid w:val="007C2F1F"/>
    <w:rsid w:val="007C5460"/>
    <w:rsid w:val="007C6570"/>
    <w:rsid w:val="007D12F3"/>
    <w:rsid w:val="007D1AA2"/>
    <w:rsid w:val="007D3885"/>
    <w:rsid w:val="00801611"/>
    <w:rsid w:val="0080264A"/>
    <w:rsid w:val="00803ECA"/>
    <w:rsid w:val="00814DC5"/>
    <w:rsid w:val="0081789E"/>
    <w:rsid w:val="00827788"/>
    <w:rsid w:val="008341BE"/>
    <w:rsid w:val="008379A5"/>
    <w:rsid w:val="00837AC0"/>
    <w:rsid w:val="00850C18"/>
    <w:rsid w:val="008516FC"/>
    <w:rsid w:val="00852FC1"/>
    <w:rsid w:val="00866A09"/>
    <w:rsid w:val="00867E7F"/>
    <w:rsid w:val="00870963"/>
    <w:rsid w:val="00872AB5"/>
    <w:rsid w:val="008846B8"/>
    <w:rsid w:val="008A431B"/>
    <w:rsid w:val="008B3BB4"/>
    <w:rsid w:val="008B7668"/>
    <w:rsid w:val="008C191D"/>
    <w:rsid w:val="008C3DFF"/>
    <w:rsid w:val="008D03F1"/>
    <w:rsid w:val="008D0CCA"/>
    <w:rsid w:val="008D6E93"/>
    <w:rsid w:val="008F178A"/>
    <w:rsid w:val="008F2104"/>
    <w:rsid w:val="008F29B8"/>
    <w:rsid w:val="008F5337"/>
    <w:rsid w:val="008F6E67"/>
    <w:rsid w:val="00900966"/>
    <w:rsid w:val="00901065"/>
    <w:rsid w:val="009020D8"/>
    <w:rsid w:val="00905D9F"/>
    <w:rsid w:val="00911327"/>
    <w:rsid w:val="0092100B"/>
    <w:rsid w:val="00923B6F"/>
    <w:rsid w:val="00924DE1"/>
    <w:rsid w:val="00932A8E"/>
    <w:rsid w:val="00954221"/>
    <w:rsid w:val="0097149A"/>
    <w:rsid w:val="00983378"/>
    <w:rsid w:val="00986C1C"/>
    <w:rsid w:val="00994C17"/>
    <w:rsid w:val="009A0FC6"/>
    <w:rsid w:val="009A7EA1"/>
    <w:rsid w:val="009B086B"/>
    <w:rsid w:val="009C3A18"/>
    <w:rsid w:val="009D154A"/>
    <w:rsid w:val="009D1EFE"/>
    <w:rsid w:val="009D2560"/>
    <w:rsid w:val="009D5728"/>
    <w:rsid w:val="009D6D37"/>
    <w:rsid w:val="009E2401"/>
    <w:rsid w:val="009E502E"/>
    <w:rsid w:val="009F07AA"/>
    <w:rsid w:val="00A03582"/>
    <w:rsid w:val="00A15EC7"/>
    <w:rsid w:val="00A17A64"/>
    <w:rsid w:val="00A260AD"/>
    <w:rsid w:val="00A34A98"/>
    <w:rsid w:val="00A35E1F"/>
    <w:rsid w:val="00A45A1F"/>
    <w:rsid w:val="00A54B3E"/>
    <w:rsid w:val="00A54F1C"/>
    <w:rsid w:val="00A60A65"/>
    <w:rsid w:val="00A64A1C"/>
    <w:rsid w:val="00A65FB6"/>
    <w:rsid w:val="00A66986"/>
    <w:rsid w:val="00A72383"/>
    <w:rsid w:val="00A76A7D"/>
    <w:rsid w:val="00A76C25"/>
    <w:rsid w:val="00A82172"/>
    <w:rsid w:val="00A90D1F"/>
    <w:rsid w:val="00A9359A"/>
    <w:rsid w:val="00AA3168"/>
    <w:rsid w:val="00AA64F7"/>
    <w:rsid w:val="00AB23E4"/>
    <w:rsid w:val="00AB6438"/>
    <w:rsid w:val="00AB6FF8"/>
    <w:rsid w:val="00AD0929"/>
    <w:rsid w:val="00AD300A"/>
    <w:rsid w:val="00AD320A"/>
    <w:rsid w:val="00AD734C"/>
    <w:rsid w:val="00AE5298"/>
    <w:rsid w:val="00B016D5"/>
    <w:rsid w:val="00B04705"/>
    <w:rsid w:val="00B125AA"/>
    <w:rsid w:val="00B16FD8"/>
    <w:rsid w:val="00B207E3"/>
    <w:rsid w:val="00B3034F"/>
    <w:rsid w:val="00B337CA"/>
    <w:rsid w:val="00B433BB"/>
    <w:rsid w:val="00B447CE"/>
    <w:rsid w:val="00B55617"/>
    <w:rsid w:val="00B64303"/>
    <w:rsid w:val="00B67E4A"/>
    <w:rsid w:val="00B70BBA"/>
    <w:rsid w:val="00B74987"/>
    <w:rsid w:val="00B75A47"/>
    <w:rsid w:val="00B773B0"/>
    <w:rsid w:val="00B80E39"/>
    <w:rsid w:val="00B818A9"/>
    <w:rsid w:val="00B968F5"/>
    <w:rsid w:val="00BA6F71"/>
    <w:rsid w:val="00BB68ED"/>
    <w:rsid w:val="00BB6EB3"/>
    <w:rsid w:val="00BC48D1"/>
    <w:rsid w:val="00BC4938"/>
    <w:rsid w:val="00BC6603"/>
    <w:rsid w:val="00BD0686"/>
    <w:rsid w:val="00BD0F5A"/>
    <w:rsid w:val="00BD185A"/>
    <w:rsid w:val="00BD2026"/>
    <w:rsid w:val="00BD74EA"/>
    <w:rsid w:val="00BD75CA"/>
    <w:rsid w:val="00BE2F94"/>
    <w:rsid w:val="00BF128E"/>
    <w:rsid w:val="00BF3031"/>
    <w:rsid w:val="00BF6334"/>
    <w:rsid w:val="00C01BF8"/>
    <w:rsid w:val="00C04013"/>
    <w:rsid w:val="00C06815"/>
    <w:rsid w:val="00C10702"/>
    <w:rsid w:val="00C10A15"/>
    <w:rsid w:val="00C11F5E"/>
    <w:rsid w:val="00C15699"/>
    <w:rsid w:val="00C16BA3"/>
    <w:rsid w:val="00C4717A"/>
    <w:rsid w:val="00C609EB"/>
    <w:rsid w:val="00C62D7A"/>
    <w:rsid w:val="00C67B13"/>
    <w:rsid w:val="00C7138F"/>
    <w:rsid w:val="00C806A9"/>
    <w:rsid w:val="00C80E17"/>
    <w:rsid w:val="00C868CC"/>
    <w:rsid w:val="00C90993"/>
    <w:rsid w:val="00CA0AE4"/>
    <w:rsid w:val="00CA1951"/>
    <w:rsid w:val="00CA3945"/>
    <w:rsid w:val="00CA3EA3"/>
    <w:rsid w:val="00CA462D"/>
    <w:rsid w:val="00CB5A81"/>
    <w:rsid w:val="00CB7137"/>
    <w:rsid w:val="00CC02A6"/>
    <w:rsid w:val="00CC0409"/>
    <w:rsid w:val="00CC7C42"/>
    <w:rsid w:val="00CD266F"/>
    <w:rsid w:val="00CD4C09"/>
    <w:rsid w:val="00CE0841"/>
    <w:rsid w:val="00CE1F01"/>
    <w:rsid w:val="00CE4810"/>
    <w:rsid w:val="00CE4E27"/>
    <w:rsid w:val="00CF014A"/>
    <w:rsid w:val="00CF2133"/>
    <w:rsid w:val="00CF4F27"/>
    <w:rsid w:val="00D06CAA"/>
    <w:rsid w:val="00D20AA2"/>
    <w:rsid w:val="00D23A77"/>
    <w:rsid w:val="00D4682A"/>
    <w:rsid w:val="00D53680"/>
    <w:rsid w:val="00D53C73"/>
    <w:rsid w:val="00D56633"/>
    <w:rsid w:val="00D66D6F"/>
    <w:rsid w:val="00D673C8"/>
    <w:rsid w:val="00D7113A"/>
    <w:rsid w:val="00D75291"/>
    <w:rsid w:val="00D83057"/>
    <w:rsid w:val="00D8775F"/>
    <w:rsid w:val="00DA52C5"/>
    <w:rsid w:val="00DB5DF5"/>
    <w:rsid w:val="00DD4575"/>
    <w:rsid w:val="00DD79CD"/>
    <w:rsid w:val="00DE0BBA"/>
    <w:rsid w:val="00DE55FE"/>
    <w:rsid w:val="00DE707D"/>
    <w:rsid w:val="00DF0BA5"/>
    <w:rsid w:val="00DF0E90"/>
    <w:rsid w:val="00DF129A"/>
    <w:rsid w:val="00DF35AA"/>
    <w:rsid w:val="00E07894"/>
    <w:rsid w:val="00E13479"/>
    <w:rsid w:val="00E14179"/>
    <w:rsid w:val="00E22458"/>
    <w:rsid w:val="00E224C6"/>
    <w:rsid w:val="00E304E0"/>
    <w:rsid w:val="00E33C6E"/>
    <w:rsid w:val="00E4021B"/>
    <w:rsid w:val="00E4192B"/>
    <w:rsid w:val="00E50201"/>
    <w:rsid w:val="00E51912"/>
    <w:rsid w:val="00E60BF0"/>
    <w:rsid w:val="00E74294"/>
    <w:rsid w:val="00E750F2"/>
    <w:rsid w:val="00E934E9"/>
    <w:rsid w:val="00EA4692"/>
    <w:rsid w:val="00EA62EB"/>
    <w:rsid w:val="00EB09E5"/>
    <w:rsid w:val="00EB7F31"/>
    <w:rsid w:val="00ED0213"/>
    <w:rsid w:val="00ED125C"/>
    <w:rsid w:val="00ED1BCF"/>
    <w:rsid w:val="00ED42DF"/>
    <w:rsid w:val="00EE0D0A"/>
    <w:rsid w:val="00EE2170"/>
    <w:rsid w:val="00EE756C"/>
    <w:rsid w:val="00EF1B98"/>
    <w:rsid w:val="00EF5A5A"/>
    <w:rsid w:val="00EF6AFF"/>
    <w:rsid w:val="00EF6D7C"/>
    <w:rsid w:val="00F00B3B"/>
    <w:rsid w:val="00F00FB1"/>
    <w:rsid w:val="00F052AF"/>
    <w:rsid w:val="00F0669B"/>
    <w:rsid w:val="00F10EB9"/>
    <w:rsid w:val="00F10FD9"/>
    <w:rsid w:val="00F165FD"/>
    <w:rsid w:val="00F178B0"/>
    <w:rsid w:val="00F236F0"/>
    <w:rsid w:val="00F37BDF"/>
    <w:rsid w:val="00F37EC3"/>
    <w:rsid w:val="00F40474"/>
    <w:rsid w:val="00F459FF"/>
    <w:rsid w:val="00F47F98"/>
    <w:rsid w:val="00F536FD"/>
    <w:rsid w:val="00F53FFE"/>
    <w:rsid w:val="00F54C2E"/>
    <w:rsid w:val="00F56874"/>
    <w:rsid w:val="00F568AB"/>
    <w:rsid w:val="00F626BF"/>
    <w:rsid w:val="00F63A00"/>
    <w:rsid w:val="00F65CD9"/>
    <w:rsid w:val="00F66AD5"/>
    <w:rsid w:val="00F67C9E"/>
    <w:rsid w:val="00F70777"/>
    <w:rsid w:val="00F74D67"/>
    <w:rsid w:val="00F82100"/>
    <w:rsid w:val="00F86DBF"/>
    <w:rsid w:val="00F87DC1"/>
    <w:rsid w:val="00F91B26"/>
    <w:rsid w:val="00F96AE9"/>
    <w:rsid w:val="00FA501E"/>
    <w:rsid w:val="00FA5FB1"/>
    <w:rsid w:val="00FA7FD6"/>
    <w:rsid w:val="00FC0040"/>
    <w:rsid w:val="00FD209F"/>
    <w:rsid w:val="00FD378E"/>
    <w:rsid w:val="00FD3955"/>
    <w:rsid w:val="00FD3EC7"/>
    <w:rsid w:val="00FD7E23"/>
    <w:rsid w:val="00FE2A65"/>
    <w:rsid w:val="00FE4EB3"/>
    <w:rsid w:val="00FF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EC6C"/>
  <w15:chartTrackingRefBased/>
  <w15:docId w15:val="{1BA8545A-57C3-4F16-B942-2EDFB86F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3F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D03F1"/>
    <w:pPr>
      <w:keepNext/>
      <w:keepLines/>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D03F1"/>
    <w:pPr>
      <w:keepNext/>
      <w:keepLines/>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3F1"/>
    <w:rPr>
      <w:rFonts w:ascii="Times New Roman" w:eastAsiaTheme="majorEastAsia" w:hAnsi="Times New Roman" w:cstheme="majorBidi"/>
      <w:color w:val="000000" w:themeColor="text1"/>
      <w:sz w:val="36"/>
      <w:szCs w:val="32"/>
      <w:lang w:val="en-US"/>
    </w:rPr>
  </w:style>
  <w:style w:type="character" w:customStyle="1" w:styleId="Heading2Char">
    <w:name w:val="Heading 2 Char"/>
    <w:basedOn w:val="DefaultParagraphFont"/>
    <w:link w:val="Heading2"/>
    <w:uiPriority w:val="9"/>
    <w:rsid w:val="008D03F1"/>
    <w:rPr>
      <w:rFonts w:ascii="Times New Roman" w:eastAsiaTheme="majorEastAsia" w:hAnsi="Times New Roman" w:cstheme="majorBidi"/>
      <w:color w:val="000000" w:themeColor="text1"/>
      <w:sz w:val="32"/>
      <w:szCs w:val="26"/>
      <w:lang w:val="en-US"/>
    </w:rPr>
  </w:style>
  <w:style w:type="paragraph" w:styleId="FootnoteText">
    <w:name w:val="footnote text"/>
    <w:basedOn w:val="Normal"/>
    <w:link w:val="FootnoteTextChar"/>
    <w:unhideWhenUsed/>
    <w:rsid w:val="00245A40"/>
    <w:rPr>
      <w:sz w:val="20"/>
      <w:szCs w:val="20"/>
    </w:rPr>
  </w:style>
  <w:style w:type="character" w:customStyle="1" w:styleId="FootnoteTextChar">
    <w:name w:val="Footnote Text Char"/>
    <w:basedOn w:val="DefaultParagraphFont"/>
    <w:link w:val="FootnoteText"/>
    <w:rsid w:val="00245A40"/>
    <w:rPr>
      <w:sz w:val="20"/>
      <w:szCs w:val="20"/>
    </w:rPr>
  </w:style>
  <w:style w:type="character" w:styleId="FootnoteReference">
    <w:name w:val="footnote reference"/>
    <w:semiHidden/>
    <w:unhideWhenUsed/>
    <w:rsid w:val="00245A40"/>
    <w:rPr>
      <w:rFonts w:cs="Times New Roman"/>
      <w:vertAlign w:val="superscript"/>
    </w:rPr>
  </w:style>
  <w:style w:type="character" w:styleId="CommentReference">
    <w:name w:val="annotation reference"/>
    <w:basedOn w:val="DefaultParagraphFont"/>
    <w:uiPriority w:val="99"/>
    <w:semiHidden/>
    <w:unhideWhenUsed/>
    <w:rsid w:val="007A1C71"/>
    <w:rPr>
      <w:sz w:val="16"/>
      <w:szCs w:val="16"/>
    </w:rPr>
  </w:style>
  <w:style w:type="paragraph" w:styleId="CommentText">
    <w:name w:val="annotation text"/>
    <w:basedOn w:val="Normal"/>
    <w:link w:val="CommentTextChar"/>
    <w:uiPriority w:val="99"/>
    <w:semiHidden/>
    <w:unhideWhenUsed/>
    <w:rsid w:val="007A1C71"/>
    <w:rPr>
      <w:sz w:val="20"/>
      <w:szCs w:val="20"/>
    </w:rPr>
  </w:style>
  <w:style w:type="character" w:customStyle="1" w:styleId="CommentTextChar">
    <w:name w:val="Comment Text Char"/>
    <w:basedOn w:val="DefaultParagraphFont"/>
    <w:link w:val="CommentText"/>
    <w:uiPriority w:val="99"/>
    <w:semiHidden/>
    <w:rsid w:val="007A1C71"/>
    <w:rPr>
      <w:sz w:val="20"/>
      <w:szCs w:val="20"/>
    </w:rPr>
  </w:style>
  <w:style w:type="paragraph" w:styleId="CommentSubject">
    <w:name w:val="annotation subject"/>
    <w:basedOn w:val="CommentText"/>
    <w:next w:val="CommentText"/>
    <w:link w:val="CommentSubjectChar"/>
    <w:uiPriority w:val="99"/>
    <w:semiHidden/>
    <w:unhideWhenUsed/>
    <w:rsid w:val="007A1C71"/>
    <w:rPr>
      <w:b/>
      <w:bCs/>
    </w:rPr>
  </w:style>
  <w:style w:type="character" w:customStyle="1" w:styleId="CommentSubjectChar">
    <w:name w:val="Comment Subject Char"/>
    <w:basedOn w:val="CommentTextChar"/>
    <w:link w:val="CommentSubject"/>
    <w:uiPriority w:val="99"/>
    <w:semiHidden/>
    <w:rsid w:val="007A1C71"/>
    <w:rPr>
      <w:b/>
      <w:bCs/>
      <w:sz w:val="20"/>
      <w:szCs w:val="20"/>
    </w:rPr>
  </w:style>
  <w:style w:type="paragraph" w:styleId="BalloonText">
    <w:name w:val="Balloon Text"/>
    <w:basedOn w:val="Normal"/>
    <w:link w:val="BalloonTextChar"/>
    <w:uiPriority w:val="99"/>
    <w:semiHidden/>
    <w:unhideWhenUsed/>
    <w:rsid w:val="007A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71"/>
    <w:rPr>
      <w:rFonts w:ascii="Segoe UI" w:hAnsi="Segoe UI" w:cs="Segoe UI"/>
      <w:sz w:val="18"/>
      <w:szCs w:val="18"/>
    </w:rPr>
  </w:style>
  <w:style w:type="paragraph" w:styleId="ListParagraph">
    <w:name w:val="List Paragraph"/>
    <w:basedOn w:val="Normal"/>
    <w:uiPriority w:val="34"/>
    <w:qFormat/>
    <w:rsid w:val="003E3ABA"/>
    <w:pPr>
      <w:ind w:left="720"/>
      <w:contextualSpacing/>
    </w:pPr>
  </w:style>
  <w:style w:type="paragraph" w:customStyle="1" w:styleId="ABKW">
    <w:name w:val="ABKW"/>
    <w:basedOn w:val="Normal"/>
    <w:rsid w:val="008D03F1"/>
    <w:pPr>
      <w:spacing w:before="120" w:after="120"/>
    </w:pPr>
  </w:style>
  <w:style w:type="paragraph" w:customStyle="1" w:styleId="ABKWH">
    <w:name w:val="ABKWH"/>
    <w:basedOn w:val="Normal"/>
    <w:rsid w:val="008D03F1"/>
    <w:pPr>
      <w:spacing w:before="120" w:after="120"/>
    </w:pPr>
    <w:rPr>
      <w:color w:val="9E3A3A"/>
      <w:sz w:val="32"/>
    </w:rPr>
  </w:style>
  <w:style w:type="paragraph" w:customStyle="1" w:styleId="AU">
    <w:name w:val="AU"/>
    <w:basedOn w:val="Normal"/>
    <w:rsid w:val="008D03F1"/>
    <w:pPr>
      <w:spacing w:before="120" w:after="120"/>
    </w:pPr>
    <w:rPr>
      <w:color w:val="00823B"/>
      <w:sz w:val="32"/>
    </w:rPr>
  </w:style>
  <w:style w:type="paragraph" w:customStyle="1" w:styleId="H1">
    <w:name w:val="H1"/>
    <w:basedOn w:val="Normal"/>
    <w:rsid w:val="008D03F1"/>
    <w:pPr>
      <w:spacing w:before="240" w:after="240"/>
    </w:pPr>
    <w:rPr>
      <w:color w:val="31849B"/>
      <w:sz w:val="36"/>
    </w:rPr>
  </w:style>
  <w:style w:type="paragraph" w:customStyle="1" w:styleId="TEXT">
    <w:name w:val="TEXT"/>
    <w:basedOn w:val="Normal"/>
    <w:rsid w:val="008D03F1"/>
  </w:style>
  <w:style w:type="character" w:styleId="Hyperlink">
    <w:name w:val="Hyperlink"/>
    <w:basedOn w:val="DefaultParagraphFont"/>
    <w:rsid w:val="008D03F1"/>
    <w:rPr>
      <w:color w:val="0000FF"/>
      <w:u w:val="single"/>
    </w:rPr>
  </w:style>
  <w:style w:type="paragraph" w:styleId="Header">
    <w:name w:val="header"/>
    <w:basedOn w:val="Normal"/>
    <w:link w:val="HeaderChar"/>
    <w:uiPriority w:val="99"/>
    <w:unhideWhenUsed/>
    <w:rsid w:val="003271A8"/>
    <w:pPr>
      <w:tabs>
        <w:tab w:val="center" w:pos="4513"/>
        <w:tab w:val="right" w:pos="9026"/>
      </w:tabs>
    </w:pPr>
  </w:style>
  <w:style w:type="character" w:customStyle="1" w:styleId="HeaderChar">
    <w:name w:val="Header Char"/>
    <w:basedOn w:val="DefaultParagraphFont"/>
    <w:link w:val="Header"/>
    <w:uiPriority w:val="99"/>
    <w:rsid w:val="003271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271A8"/>
    <w:pPr>
      <w:tabs>
        <w:tab w:val="center" w:pos="4513"/>
        <w:tab w:val="right" w:pos="9026"/>
      </w:tabs>
    </w:pPr>
  </w:style>
  <w:style w:type="character" w:customStyle="1" w:styleId="FooterChar">
    <w:name w:val="Footer Char"/>
    <w:basedOn w:val="DefaultParagraphFont"/>
    <w:link w:val="Footer"/>
    <w:uiPriority w:val="99"/>
    <w:rsid w:val="003271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13852">
      <w:bodyDiv w:val="1"/>
      <w:marLeft w:val="0"/>
      <w:marRight w:val="0"/>
      <w:marTop w:val="0"/>
      <w:marBottom w:val="0"/>
      <w:divBdr>
        <w:top w:val="none" w:sz="0" w:space="0" w:color="auto"/>
        <w:left w:val="none" w:sz="0" w:space="0" w:color="auto"/>
        <w:bottom w:val="none" w:sz="0" w:space="0" w:color="auto"/>
        <w:right w:val="none" w:sz="0" w:space="0" w:color="auto"/>
      </w:divBdr>
    </w:div>
    <w:div w:id="1466316687">
      <w:bodyDiv w:val="1"/>
      <w:marLeft w:val="0"/>
      <w:marRight w:val="0"/>
      <w:marTop w:val="0"/>
      <w:marBottom w:val="0"/>
      <w:divBdr>
        <w:top w:val="none" w:sz="0" w:space="0" w:color="auto"/>
        <w:left w:val="none" w:sz="0" w:space="0" w:color="auto"/>
        <w:bottom w:val="none" w:sz="0" w:space="0" w:color="auto"/>
        <w:right w:val="none" w:sz="0" w:space="0" w:color="auto"/>
      </w:divBdr>
    </w:div>
    <w:div w:id="1647855192">
      <w:bodyDiv w:val="1"/>
      <w:marLeft w:val="0"/>
      <w:marRight w:val="0"/>
      <w:marTop w:val="0"/>
      <w:marBottom w:val="0"/>
      <w:divBdr>
        <w:top w:val="none" w:sz="0" w:space="0" w:color="auto"/>
        <w:left w:val="none" w:sz="0" w:space="0" w:color="auto"/>
        <w:bottom w:val="none" w:sz="0" w:space="0" w:color="auto"/>
        <w:right w:val="none" w:sz="0" w:space="0" w:color="auto"/>
      </w:divBdr>
    </w:div>
    <w:div w:id="18035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4peace.org/survivors-assistance-network-we-can-hel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74E2-2906-4AB7-AFAB-07E2A90C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60035</TotalTime>
  <Pages>24</Pages>
  <Words>8715</Words>
  <Characters>49680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McGowan</dc:creator>
  <cp:keywords/>
  <dc:description/>
  <cp:lastModifiedBy>Will McGowan</cp:lastModifiedBy>
  <cp:revision>270</cp:revision>
  <cp:lastPrinted>2019-10-10T14:50:00Z</cp:lastPrinted>
  <dcterms:created xsi:type="dcterms:W3CDTF">2018-12-03T03:42:00Z</dcterms:created>
  <dcterms:modified xsi:type="dcterms:W3CDTF">2019-11-05T09:58:00Z</dcterms:modified>
</cp:coreProperties>
</file>