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3884D" w14:textId="0828D5CF" w:rsidR="001B656C" w:rsidRPr="002B10DA" w:rsidRDefault="003E7778" w:rsidP="00B07C8F">
      <w:pPr>
        <w:pStyle w:val="Body"/>
        <w:spacing w:line="480" w:lineRule="auto"/>
        <w:jc w:val="center"/>
        <w:outlineLvl w:val="0"/>
        <w:rPr>
          <w:rFonts w:ascii="Times New Roman" w:eastAsia="Times New Roman" w:hAnsi="Times New Roman" w:cs="Times New Roman"/>
          <w:bCs/>
          <w:sz w:val="52"/>
          <w:szCs w:val="52"/>
          <w:lang w:val="en-GB"/>
        </w:rPr>
      </w:pPr>
      <w:r w:rsidRPr="002B10DA">
        <w:rPr>
          <w:rFonts w:ascii="Times New Roman" w:hAnsi="Times New Roman" w:cs="Times New Roman"/>
          <w:bCs/>
          <w:sz w:val="52"/>
          <w:szCs w:val="52"/>
          <w:lang w:val="en-GB"/>
        </w:rPr>
        <w:t>Bede</w:t>
      </w:r>
      <w:r w:rsidR="001138BA" w:rsidRPr="002B10DA">
        <w:rPr>
          <w:rFonts w:ascii="Times New Roman" w:hAnsi="Times New Roman" w:cs="Times New Roman"/>
          <w:bCs/>
          <w:sz w:val="52"/>
          <w:szCs w:val="52"/>
          <w:lang w:val="en-GB"/>
        </w:rPr>
        <w:t>’</w:t>
      </w:r>
      <w:r w:rsidRPr="002B10DA">
        <w:rPr>
          <w:rFonts w:ascii="Times New Roman" w:hAnsi="Times New Roman" w:cs="Times New Roman"/>
          <w:bCs/>
          <w:sz w:val="52"/>
          <w:szCs w:val="52"/>
          <w:lang w:val="en-GB"/>
        </w:rPr>
        <w:t>s Miracles Reconsidered</w:t>
      </w:r>
    </w:p>
    <w:p w14:paraId="41C0CF7C" w14:textId="77777777" w:rsidR="001B656C" w:rsidRPr="002B10DA" w:rsidRDefault="001B656C" w:rsidP="00B07C8F">
      <w:pPr>
        <w:pStyle w:val="Body"/>
        <w:spacing w:line="480" w:lineRule="auto"/>
        <w:jc w:val="both"/>
        <w:rPr>
          <w:rFonts w:ascii="Times New Roman" w:eastAsia="Times New Roman" w:hAnsi="Times New Roman" w:cs="Times New Roman"/>
          <w:sz w:val="24"/>
          <w:szCs w:val="24"/>
          <w:lang w:val="en-GB"/>
        </w:rPr>
      </w:pPr>
    </w:p>
    <w:p w14:paraId="0307DEDB" w14:textId="0681BD27" w:rsidR="003502C5" w:rsidRPr="002B10DA" w:rsidRDefault="003502C5" w:rsidP="00B07C8F">
      <w:pPr>
        <w:pBdr>
          <w:top w:val="nil"/>
          <w:left w:val="nil"/>
          <w:bottom w:val="nil"/>
          <w:right w:val="nil"/>
          <w:between w:val="nil"/>
          <w:bar w:val="nil"/>
        </w:pBdr>
        <w:spacing w:line="480" w:lineRule="auto"/>
        <w:rPr>
          <w:i/>
          <w:iCs/>
          <w:lang w:val="en-GB"/>
        </w:rPr>
      </w:pPr>
      <w:r w:rsidRPr="002B10DA">
        <w:rPr>
          <w:i/>
          <w:iCs/>
          <w:lang w:val="en-GB"/>
        </w:rPr>
        <w:br w:type="page"/>
      </w:r>
    </w:p>
    <w:p w14:paraId="0BEE7F35" w14:textId="3E04CAAE" w:rsidR="00F94323" w:rsidRPr="002B10DA" w:rsidRDefault="006B66D4" w:rsidP="00B07C8F">
      <w:pPr>
        <w:pStyle w:val="Body"/>
        <w:spacing w:line="480" w:lineRule="auto"/>
        <w:jc w:val="both"/>
        <w:rPr>
          <w:rFonts w:ascii="Times New Roman" w:hAnsi="Times New Roman" w:cs="Times New Roman"/>
          <w:i/>
          <w:iCs/>
          <w:sz w:val="24"/>
          <w:szCs w:val="24"/>
          <w:lang w:val="en-GB"/>
        </w:rPr>
      </w:pPr>
      <w:r w:rsidRPr="002B10DA">
        <w:rPr>
          <w:rFonts w:ascii="Times New Roman" w:hAnsi="Times New Roman" w:cs="Times New Roman"/>
          <w:i/>
          <w:iCs/>
          <w:sz w:val="24"/>
          <w:szCs w:val="24"/>
          <w:lang w:val="en-GB"/>
        </w:rPr>
        <w:lastRenderedPageBreak/>
        <w:t xml:space="preserve">The miracles </w:t>
      </w:r>
      <w:r w:rsidR="00C21C8B" w:rsidRPr="002B10DA">
        <w:rPr>
          <w:rFonts w:ascii="Times New Roman" w:hAnsi="Times New Roman" w:cs="Times New Roman"/>
          <w:i/>
          <w:iCs/>
          <w:sz w:val="24"/>
          <w:szCs w:val="24"/>
          <w:lang w:val="en-GB"/>
        </w:rPr>
        <w:t>depicted</w:t>
      </w:r>
      <w:r w:rsidRPr="002B10DA">
        <w:rPr>
          <w:rFonts w:ascii="Times New Roman" w:hAnsi="Times New Roman" w:cs="Times New Roman"/>
          <w:i/>
          <w:iCs/>
          <w:sz w:val="24"/>
          <w:szCs w:val="24"/>
          <w:lang w:val="en-GB"/>
        </w:rPr>
        <w:t xml:space="preserve"> by the Venerable Bede—particularly in his </w:t>
      </w:r>
      <w:r w:rsidRPr="002B10DA">
        <w:rPr>
          <w:rFonts w:ascii="Times New Roman" w:hAnsi="Times New Roman" w:cs="Times New Roman"/>
          <w:iCs/>
          <w:sz w:val="24"/>
          <w:szCs w:val="24"/>
          <w:lang w:val="en-GB"/>
        </w:rPr>
        <w:t>Historia ecclesiastica</w:t>
      </w:r>
      <w:r w:rsidRPr="002B10DA">
        <w:rPr>
          <w:rFonts w:ascii="Times New Roman" w:hAnsi="Times New Roman" w:cs="Times New Roman"/>
          <w:i/>
          <w:iCs/>
          <w:sz w:val="24"/>
          <w:szCs w:val="24"/>
          <w:lang w:val="en-GB"/>
        </w:rPr>
        <w:t>—</w:t>
      </w:r>
      <w:r w:rsidR="00354364" w:rsidRPr="002B10DA">
        <w:rPr>
          <w:rFonts w:ascii="Times New Roman" w:hAnsi="Times New Roman" w:cs="Times New Roman"/>
          <w:i/>
          <w:iCs/>
          <w:sz w:val="24"/>
          <w:szCs w:val="24"/>
          <w:lang w:val="en-GB"/>
        </w:rPr>
        <w:t>have proved problematic for historian</w:t>
      </w:r>
      <w:r w:rsidR="000F5A56" w:rsidRPr="002B10DA">
        <w:rPr>
          <w:rFonts w:ascii="Times New Roman" w:hAnsi="Times New Roman" w:cs="Times New Roman"/>
          <w:i/>
          <w:iCs/>
          <w:sz w:val="24"/>
          <w:szCs w:val="24"/>
          <w:lang w:val="en-GB"/>
        </w:rPr>
        <w:t xml:space="preserve">s. </w:t>
      </w:r>
      <w:r w:rsidR="00354364" w:rsidRPr="002B10DA">
        <w:rPr>
          <w:rFonts w:ascii="Times New Roman" w:hAnsi="Times New Roman" w:cs="Times New Roman"/>
          <w:i/>
          <w:iCs/>
          <w:sz w:val="24"/>
          <w:szCs w:val="24"/>
          <w:lang w:val="en-GB"/>
        </w:rPr>
        <w:t xml:space="preserve">This </w:t>
      </w:r>
      <w:r w:rsidR="00F94323" w:rsidRPr="002B10DA">
        <w:rPr>
          <w:rFonts w:ascii="Times New Roman" w:hAnsi="Times New Roman" w:cs="Times New Roman"/>
          <w:i/>
          <w:iCs/>
          <w:sz w:val="24"/>
          <w:szCs w:val="24"/>
          <w:lang w:val="en-GB"/>
        </w:rPr>
        <w:t>article</w:t>
      </w:r>
      <w:r w:rsidR="00911F44" w:rsidRPr="002B10DA">
        <w:rPr>
          <w:rFonts w:ascii="Times New Roman" w:hAnsi="Times New Roman" w:cs="Times New Roman"/>
          <w:i/>
          <w:iCs/>
          <w:sz w:val="24"/>
          <w:szCs w:val="24"/>
          <w:lang w:val="en-GB"/>
        </w:rPr>
        <w:t xml:space="preserve"> will argue</w:t>
      </w:r>
      <w:r w:rsidR="00354364" w:rsidRPr="002B10DA">
        <w:rPr>
          <w:rFonts w:ascii="Times New Roman" w:hAnsi="Times New Roman" w:cs="Times New Roman"/>
          <w:i/>
          <w:iCs/>
          <w:sz w:val="24"/>
          <w:szCs w:val="24"/>
          <w:lang w:val="en-GB"/>
        </w:rPr>
        <w:t xml:space="preserve"> that Bede conceptualized miracles in a fundamentally different way than has </w:t>
      </w:r>
      <w:r w:rsidR="00BB6888" w:rsidRPr="002B10DA">
        <w:rPr>
          <w:rFonts w:ascii="Times New Roman" w:hAnsi="Times New Roman" w:cs="Times New Roman"/>
          <w:i/>
          <w:iCs/>
          <w:sz w:val="24"/>
          <w:szCs w:val="24"/>
          <w:lang w:val="en-GB"/>
        </w:rPr>
        <w:t>generally</w:t>
      </w:r>
      <w:r w:rsidR="00354364" w:rsidRPr="002B10DA">
        <w:rPr>
          <w:rFonts w:ascii="Times New Roman" w:hAnsi="Times New Roman" w:cs="Times New Roman"/>
          <w:i/>
          <w:iCs/>
          <w:sz w:val="24"/>
          <w:szCs w:val="24"/>
          <w:lang w:val="en-GB"/>
        </w:rPr>
        <w:t xml:space="preserve"> been </w:t>
      </w:r>
      <w:r w:rsidR="006443FA" w:rsidRPr="002B10DA">
        <w:rPr>
          <w:rFonts w:ascii="Times New Roman" w:hAnsi="Times New Roman" w:cs="Times New Roman"/>
          <w:i/>
          <w:iCs/>
          <w:sz w:val="24"/>
          <w:szCs w:val="24"/>
          <w:lang w:val="en-GB"/>
        </w:rPr>
        <w:t>understood</w:t>
      </w:r>
      <w:r w:rsidR="00354364" w:rsidRPr="002B10DA">
        <w:rPr>
          <w:rFonts w:ascii="Times New Roman" w:hAnsi="Times New Roman" w:cs="Times New Roman"/>
          <w:i/>
          <w:iCs/>
          <w:sz w:val="24"/>
          <w:szCs w:val="24"/>
          <w:lang w:val="en-GB"/>
        </w:rPr>
        <w:t xml:space="preserve">. </w:t>
      </w:r>
      <w:r w:rsidR="003E7778" w:rsidRPr="002B10DA">
        <w:rPr>
          <w:rFonts w:ascii="Times New Roman" w:hAnsi="Times New Roman" w:cs="Times New Roman"/>
          <w:i/>
          <w:iCs/>
          <w:sz w:val="24"/>
          <w:szCs w:val="24"/>
          <w:lang w:val="en-GB"/>
        </w:rPr>
        <w:t xml:space="preserve">It will </w:t>
      </w:r>
      <w:r w:rsidR="007F1110" w:rsidRPr="002B10DA">
        <w:rPr>
          <w:rFonts w:ascii="Times New Roman" w:hAnsi="Times New Roman" w:cs="Times New Roman"/>
          <w:i/>
          <w:iCs/>
          <w:sz w:val="24"/>
          <w:szCs w:val="24"/>
          <w:lang w:val="en-GB"/>
        </w:rPr>
        <w:t>demonstrate</w:t>
      </w:r>
      <w:r w:rsidR="003E7778" w:rsidRPr="002B10DA">
        <w:rPr>
          <w:rFonts w:ascii="Times New Roman" w:hAnsi="Times New Roman" w:cs="Times New Roman"/>
          <w:i/>
          <w:iCs/>
          <w:sz w:val="24"/>
          <w:szCs w:val="24"/>
          <w:lang w:val="en-GB"/>
        </w:rPr>
        <w:t xml:space="preserve"> two related points: that, for Bede, miracles were not a clearly defined category in the way they would become for later philosophers</w:t>
      </w:r>
      <w:r w:rsidR="00911F44" w:rsidRPr="002B10DA">
        <w:rPr>
          <w:rFonts w:ascii="Times New Roman" w:hAnsi="Times New Roman" w:cs="Times New Roman"/>
          <w:i/>
          <w:iCs/>
          <w:sz w:val="24"/>
          <w:szCs w:val="24"/>
          <w:lang w:val="en-GB"/>
        </w:rPr>
        <w:t xml:space="preserve"> and </w:t>
      </w:r>
      <w:r w:rsidR="003E7778" w:rsidRPr="002B10DA">
        <w:rPr>
          <w:rFonts w:ascii="Times New Roman" w:hAnsi="Times New Roman" w:cs="Times New Roman"/>
          <w:i/>
          <w:iCs/>
          <w:sz w:val="24"/>
          <w:szCs w:val="24"/>
          <w:lang w:val="en-GB"/>
        </w:rPr>
        <w:t>as is often assumed by modern commentators; and that Bede</w:t>
      </w:r>
      <w:r w:rsidR="001138BA" w:rsidRPr="002B10DA">
        <w:rPr>
          <w:rFonts w:ascii="Times New Roman" w:hAnsi="Times New Roman" w:cs="Times New Roman"/>
          <w:i/>
          <w:iCs/>
          <w:sz w:val="24"/>
          <w:szCs w:val="24"/>
          <w:lang w:val="en-GB"/>
        </w:rPr>
        <w:t>’</w:t>
      </w:r>
      <w:r w:rsidR="003E7778" w:rsidRPr="002B10DA">
        <w:rPr>
          <w:rFonts w:ascii="Times New Roman" w:hAnsi="Times New Roman" w:cs="Times New Roman"/>
          <w:i/>
          <w:iCs/>
          <w:sz w:val="24"/>
          <w:szCs w:val="24"/>
          <w:lang w:val="en-GB"/>
        </w:rPr>
        <w:t xml:space="preserve">s miraculous episodes can best be appreciated as </w:t>
      </w:r>
      <w:r w:rsidR="003E7778" w:rsidRPr="002B10DA">
        <w:rPr>
          <w:rFonts w:ascii="Times New Roman" w:hAnsi="Times New Roman" w:cs="Times New Roman"/>
          <w:sz w:val="24"/>
          <w:szCs w:val="24"/>
          <w:lang w:val="en-GB"/>
        </w:rPr>
        <w:t>signa</w:t>
      </w:r>
      <w:r w:rsidR="003E7778" w:rsidRPr="002B10DA">
        <w:rPr>
          <w:rFonts w:ascii="Times New Roman" w:hAnsi="Times New Roman" w:cs="Times New Roman"/>
          <w:i/>
          <w:iCs/>
          <w:sz w:val="24"/>
          <w:szCs w:val="24"/>
          <w:lang w:val="en-GB"/>
        </w:rPr>
        <w:t xml:space="preserve"> that point to a meaning beyond </w:t>
      </w:r>
      <w:r w:rsidR="00911F44" w:rsidRPr="002B10DA">
        <w:rPr>
          <w:rFonts w:ascii="Times New Roman" w:hAnsi="Times New Roman" w:cs="Times New Roman"/>
          <w:i/>
          <w:iCs/>
          <w:sz w:val="24"/>
          <w:szCs w:val="24"/>
          <w:lang w:val="en-GB"/>
        </w:rPr>
        <w:t>the literal</w:t>
      </w:r>
      <w:r w:rsidR="003E7778" w:rsidRPr="002B10DA">
        <w:rPr>
          <w:rFonts w:ascii="Times New Roman" w:hAnsi="Times New Roman" w:cs="Times New Roman"/>
          <w:i/>
          <w:iCs/>
          <w:sz w:val="24"/>
          <w:szCs w:val="24"/>
          <w:lang w:val="en-GB"/>
        </w:rPr>
        <w:t>.</w:t>
      </w:r>
      <w:r w:rsidR="006A4308" w:rsidRPr="002B10DA">
        <w:rPr>
          <w:rFonts w:ascii="Times New Roman" w:hAnsi="Times New Roman" w:cs="Times New Roman"/>
          <w:i/>
          <w:iCs/>
          <w:sz w:val="24"/>
          <w:szCs w:val="24"/>
          <w:lang w:val="en-GB"/>
        </w:rPr>
        <w:t xml:space="preserve"> </w:t>
      </w:r>
      <w:r w:rsidR="00911F44" w:rsidRPr="002B10DA">
        <w:rPr>
          <w:rFonts w:ascii="Times New Roman" w:hAnsi="Times New Roman" w:cs="Times New Roman"/>
          <w:i/>
          <w:iCs/>
          <w:sz w:val="24"/>
          <w:szCs w:val="24"/>
          <w:lang w:val="en-GB"/>
        </w:rPr>
        <w:t xml:space="preserve">It </w:t>
      </w:r>
      <w:r w:rsidR="00CE67C0" w:rsidRPr="002B10DA">
        <w:rPr>
          <w:rFonts w:ascii="Times New Roman" w:hAnsi="Times New Roman" w:cs="Times New Roman"/>
          <w:i/>
          <w:iCs/>
          <w:sz w:val="24"/>
          <w:szCs w:val="24"/>
          <w:lang w:val="en-GB"/>
        </w:rPr>
        <w:t xml:space="preserve">is </w:t>
      </w:r>
      <w:r w:rsidR="00911F44" w:rsidRPr="002B10DA">
        <w:rPr>
          <w:rFonts w:ascii="Times New Roman" w:hAnsi="Times New Roman" w:cs="Times New Roman"/>
          <w:i/>
          <w:iCs/>
          <w:sz w:val="24"/>
          <w:szCs w:val="24"/>
          <w:lang w:val="en-GB"/>
        </w:rPr>
        <w:t>imperative that we</w:t>
      </w:r>
      <w:r w:rsidR="00CE67C0" w:rsidRPr="002B10DA">
        <w:rPr>
          <w:rFonts w:ascii="Times New Roman" w:hAnsi="Times New Roman" w:cs="Times New Roman"/>
          <w:i/>
          <w:iCs/>
          <w:sz w:val="24"/>
          <w:szCs w:val="24"/>
          <w:lang w:val="en-GB"/>
        </w:rPr>
        <w:t xml:space="preserve"> develop a </w:t>
      </w:r>
      <w:r w:rsidR="006A4308" w:rsidRPr="002B10DA">
        <w:rPr>
          <w:rFonts w:ascii="Times New Roman" w:hAnsi="Times New Roman" w:cs="Times New Roman"/>
          <w:i/>
          <w:iCs/>
          <w:sz w:val="24"/>
          <w:szCs w:val="24"/>
          <w:lang w:val="en-GB"/>
        </w:rPr>
        <w:t>more refined understanding of Bede</w:t>
      </w:r>
      <w:r w:rsidR="001138BA" w:rsidRPr="002B10DA">
        <w:rPr>
          <w:rFonts w:ascii="Times New Roman" w:hAnsi="Times New Roman" w:cs="Times New Roman"/>
          <w:i/>
          <w:iCs/>
          <w:sz w:val="24"/>
          <w:szCs w:val="24"/>
          <w:lang w:val="en-GB"/>
        </w:rPr>
        <w:t>’</w:t>
      </w:r>
      <w:r w:rsidR="006A4308" w:rsidRPr="002B10DA">
        <w:rPr>
          <w:rFonts w:ascii="Times New Roman" w:hAnsi="Times New Roman" w:cs="Times New Roman"/>
          <w:i/>
          <w:iCs/>
          <w:sz w:val="24"/>
          <w:szCs w:val="24"/>
          <w:lang w:val="en-GB"/>
        </w:rPr>
        <w:t xml:space="preserve">s conceptualization of the miraculous </w:t>
      </w:r>
      <w:r w:rsidR="00CE67C0" w:rsidRPr="002B10DA">
        <w:rPr>
          <w:rFonts w:ascii="Times New Roman" w:hAnsi="Times New Roman" w:cs="Times New Roman"/>
          <w:i/>
          <w:iCs/>
          <w:sz w:val="24"/>
          <w:szCs w:val="24"/>
          <w:lang w:val="en-GB"/>
        </w:rPr>
        <w:t xml:space="preserve">if we are to better </w:t>
      </w:r>
      <w:r w:rsidR="007E3C3B" w:rsidRPr="002B10DA">
        <w:rPr>
          <w:rFonts w:ascii="Times New Roman" w:hAnsi="Times New Roman" w:cs="Times New Roman"/>
          <w:i/>
          <w:iCs/>
          <w:sz w:val="24"/>
          <w:szCs w:val="24"/>
          <w:lang w:val="en-GB"/>
        </w:rPr>
        <w:t>comprehend</w:t>
      </w:r>
      <w:r w:rsidR="00CE67C0" w:rsidRPr="002B10DA">
        <w:rPr>
          <w:rFonts w:ascii="Times New Roman" w:hAnsi="Times New Roman" w:cs="Times New Roman"/>
          <w:i/>
          <w:iCs/>
          <w:sz w:val="24"/>
          <w:szCs w:val="24"/>
          <w:lang w:val="en-GB"/>
        </w:rPr>
        <w:t xml:space="preserve"> the mechanics of his celebrated narrative of </w:t>
      </w:r>
      <w:r w:rsidR="00D263FB" w:rsidRPr="002B10DA">
        <w:rPr>
          <w:rFonts w:ascii="Times New Roman" w:hAnsi="Times New Roman" w:cs="Times New Roman"/>
          <w:i/>
          <w:iCs/>
          <w:sz w:val="24"/>
          <w:szCs w:val="24"/>
          <w:lang w:val="en-GB"/>
        </w:rPr>
        <w:t>the English Church</w:t>
      </w:r>
      <w:r w:rsidR="00CE67C0" w:rsidRPr="002B10DA">
        <w:rPr>
          <w:rFonts w:ascii="Times New Roman" w:hAnsi="Times New Roman" w:cs="Times New Roman"/>
          <w:i/>
          <w:iCs/>
          <w:sz w:val="24"/>
          <w:szCs w:val="24"/>
          <w:lang w:val="en-GB"/>
        </w:rPr>
        <w:t>.</w:t>
      </w:r>
    </w:p>
    <w:p w14:paraId="7A4FF9AD" w14:textId="77777777" w:rsidR="00F538BA" w:rsidRPr="002B10DA" w:rsidRDefault="00F538BA" w:rsidP="00B07C8F">
      <w:pPr>
        <w:pStyle w:val="Body"/>
        <w:spacing w:line="480" w:lineRule="auto"/>
        <w:jc w:val="both"/>
        <w:rPr>
          <w:rFonts w:ascii="Times New Roman" w:eastAsia="Times New Roman" w:hAnsi="Times New Roman" w:cs="Times New Roman"/>
          <w:sz w:val="24"/>
          <w:szCs w:val="24"/>
          <w:lang w:val="en-GB"/>
        </w:rPr>
      </w:pPr>
    </w:p>
    <w:p w14:paraId="700E796B" w14:textId="538A93FF" w:rsidR="006F008E" w:rsidRDefault="00823DDE" w:rsidP="00B07C8F">
      <w:pPr>
        <w:pStyle w:val="Body"/>
        <w:spacing w:line="480" w:lineRule="auto"/>
        <w:jc w:val="both"/>
        <w:rPr>
          <w:rFonts w:ascii="Times New Roman" w:hAnsi="Times New Roman" w:cs="Times New Roman"/>
          <w:sz w:val="24"/>
          <w:szCs w:val="24"/>
          <w:lang w:val="en-GB"/>
        </w:rPr>
      </w:pPr>
      <w:r w:rsidRPr="002B10DA">
        <w:rPr>
          <w:rFonts w:ascii="Times New Roman" w:eastAsia="Times New Roman" w:hAnsi="Times New Roman" w:cs="Times New Roman"/>
          <w:sz w:val="24"/>
          <w:szCs w:val="24"/>
          <w:lang w:val="en-GB"/>
        </w:rPr>
        <w:t>Miracles are</w:t>
      </w:r>
      <w:r w:rsidR="00A91FDA" w:rsidRPr="002B10DA">
        <w:rPr>
          <w:rFonts w:ascii="Times New Roman" w:eastAsia="Times New Roman" w:hAnsi="Times New Roman" w:cs="Times New Roman"/>
          <w:sz w:val="24"/>
          <w:szCs w:val="24"/>
          <w:lang w:val="en-GB"/>
        </w:rPr>
        <w:t xml:space="preserve"> a constant presence throughout</w:t>
      </w:r>
      <w:r w:rsidR="00105FF9" w:rsidRPr="002B10DA">
        <w:rPr>
          <w:rFonts w:ascii="Times New Roman" w:eastAsia="Times New Roman" w:hAnsi="Times New Roman" w:cs="Times New Roman"/>
          <w:sz w:val="24"/>
          <w:szCs w:val="24"/>
          <w:lang w:val="en-GB"/>
        </w:rPr>
        <w:t xml:space="preserve"> Bede’s </w:t>
      </w:r>
      <w:r w:rsidR="00A91FDA" w:rsidRPr="002B10DA">
        <w:rPr>
          <w:rFonts w:ascii="Times New Roman" w:eastAsia="Times New Roman" w:hAnsi="Times New Roman" w:cs="Times New Roman"/>
          <w:sz w:val="24"/>
          <w:szCs w:val="24"/>
          <w:lang w:val="en-GB"/>
        </w:rPr>
        <w:t>hagiographical and historical narratives</w:t>
      </w:r>
      <w:r w:rsidR="00DE42C4" w:rsidRPr="002B10DA">
        <w:rPr>
          <w:rFonts w:ascii="Times New Roman" w:eastAsia="Times New Roman" w:hAnsi="Times New Roman" w:cs="Times New Roman"/>
          <w:sz w:val="24"/>
          <w:szCs w:val="24"/>
          <w:lang w:val="en-GB"/>
        </w:rPr>
        <w:t xml:space="preserve">, particularly in the text for which he is most famous, the </w:t>
      </w:r>
      <w:r w:rsidR="00E80E79" w:rsidRPr="002B10DA">
        <w:rPr>
          <w:rFonts w:ascii="Times New Roman" w:eastAsia="Times New Roman" w:hAnsi="Times New Roman" w:cs="Times New Roman"/>
          <w:i/>
          <w:sz w:val="24"/>
          <w:szCs w:val="24"/>
          <w:lang w:val="en-GB"/>
        </w:rPr>
        <w:t>Historia ecclesiastica gentis A</w:t>
      </w:r>
      <w:r w:rsidR="00A91FDA" w:rsidRPr="002B10DA">
        <w:rPr>
          <w:rFonts w:ascii="Times New Roman" w:eastAsia="Times New Roman" w:hAnsi="Times New Roman" w:cs="Times New Roman"/>
          <w:i/>
          <w:sz w:val="24"/>
          <w:szCs w:val="24"/>
          <w:lang w:val="en-GB"/>
        </w:rPr>
        <w:t>nglorum</w:t>
      </w:r>
      <w:r w:rsidR="00A91FDA" w:rsidRPr="002B10DA">
        <w:rPr>
          <w:rFonts w:ascii="Times New Roman" w:eastAsia="Times New Roman" w:hAnsi="Times New Roman" w:cs="Times New Roman"/>
          <w:sz w:val="24"/>
          <w:szCs w:val="24"/>
          <w:lang w:val="en-GB"/>
        </w:rPr>
        <w:t xml:space="preserve">. </w:t>
      </w:r>
      <w:r w:rsidRPr="002B10DA">
        <w:rPr>
          <w:rFonts w:ascii="Times New Roman" w:eastAsia="Times New Roman" w:hAnsi="Times New Roman" w:cs="Times New Roman"/>
          <w:sz w:val="24"/>
          <w:szCs w:val="24"/>
          <w:lang w:val="en-GB"/>
        </w:rPr>
        <w:t xml:space="preserve">Unsurprisingly, then, </w:t>
      </w:r>
      <w:r w:rsidR="00AB3A35" w:rsidRPr="002B10DA">
        <w:rPr>
          <w:rFonts w:ascii="Times New Roman" w:eastAsia="Times New Roman" w:hAnsi="Times New Roman" w:cs="Times New Roman"/>
          <w:sz w:val="24"/>
          <w:szCs w:val="24"/>
          <w:lang w:val="en-GB"/>
        </w:rPr>
        <w:t>his</w:t>
      </w:r>
      <w:r w:rsidR="00DE42C4" w:rsidRPr="002B10DA">
        <w:rPr>
          <w:rFonts w:ascii="Times New Roman" w:eastAsia="Times New Roman" w:hAnsi="Times New Roman" w:cs="Times New Roman"/>
          <w:sz w:val="24"/>
          <w:szCs w:val="24"/>
          <w:lang w:val="en-GB"/>
        </w:rPr>
        <w:t xml:space="preserve"> attitude towards </w:t>
      </w:r>
      <w:r w:rsidRPr="002B10DA">
        <w:rPr>
          <w:rFonts w:ascii="Times New Roman" w:eastAsia="Times New Roman" w:hAnsi="Times New Roman" w:cs="Times New Roman"/>
          <w:sz w:val="24"/>
          <w:szCs w:val="24"/>
          <w:lang w:val="en-GB"/>
        </w:rPr>
        <w:t>the miraculous</w:t>
      </w:r>
      <w:r w:rsidR="00DE42C4" w:rsidRPr="002B10DA">
        <w:rPr>
          <w:rFonts w:ascii="Times New Roman" w:eastAsia="Times New Roman" w:hAnsi="Times New Roman" w:cs="Times New Roman"/>
          <w:sz w:val="24"/>
          <w:szCs w:val="24"/>
          <w:lang w:val="en-GB"/>
        </w:rPr>
        <w:t xml:space="preserve"> has </w:t>
      </w:r>
      <w:r w:rsidR="00A91FDA" w:rsidRPr="002B10DA">
        <w:rPr>
          <w:rFonts w:ascii="Times New Roman" w:eastAsia="Times New Roman" w:hAnsi="Times New Roman" w:cs="Times New Roman"/>
          <w:sz w:val="24"/>
          <w:szCs w:val="24"/>
          <w:lang w:val="en-GB"/>
        </w:rPr>
        <w:t>attracted considerable comment</w:t>
      </w:r>
      <w:r w:rsidR="00DE42C4" w:rsidRPr="002B10DA">
        <w:rPr>
          <w:rFonts w:ascii="Times New Roman" w:eastAsia="Times New Roman" w:hAnsi="Times New Roman" w:cs="Times New Roman"/>
          <w:sz w:val="24"/>
          <w:szCs w:val="24"/>
          <w:lang w:val="en-GB"/>
        </w:rPr>
        <w:t xml:space="preserve"> from modern historians</w:t>
      </w:r>
      <w:r w:rsidR="00CE719D" w:rsidRPr="002B10DA">
        <w:rPr>
          <w:rFonts w:ascii="Times New Roman" w:eastAsia="Times New Roman" w:hAnsi="Times New Roman" w:cs="Times New Roman"/>
          <w:sz w:val="24"/>
          <w:szCs w:val="24"/>
          <w:lang w:val="en-GB"/>
        </w:rPr>
        <w:t>—</w:t>
      </w:r>
      <w:r w:rsidRPr="002B10DA">
        <w:rPr>
          <w:rFonts w:ascii="Times New Roman" w:eastAsia="Times New Roman" w:hAnsi="Times New Roman" w:cs="Times New Roman"/>
          <w:sz w:val="24"/>
          <w:szCs w:val="24"/>
          <w:lang w:val="en-GB"/>
        </w:rPr>
        <w:t>comment which</w:t>
      </w:r>
      <w:r w:rsidR="003E7778" w:rsidRPr="002B10DA">
        <w:rPr>
          <w:rFonts w:ascii="Times New Roman" w:hAnsi="Times New Roman" w:cs="Times New Roman"/>
          <w:sz w:val="24"/>
          <w:szCs w:val="24"/>
          <w:lang w:val="en-GB"/>
        </w:rPr>
        <w:t>, for the most part,</w:t>
      </w:r>
      <w:r w:rsidRPr="002B10DA">
        <w:rPr>
          <w:rFonts w:ascii="Times New Roman" w:hAnsi="Times New Roman" w:cs="Times New Roman"/>
          <w:sz w:val="24"/>
          <w:szCs w:val="24"/>
          <w:lang w:val="en-GB"/>
        </w:rPr>
        <w:t xml:space="preserve"> has</w:t>
      </w:r>
      <w:r w:rsidR="003E7778" w:rsidRPr="002B10DA">
        <w:rPr>
          <w:rFonts w:ascii="Times New Roman" w:hAnsi="Times New Roman" w:cs="Times New Roman"/>
          <w:sz w:val="24"/>
          <w:szCs w:val="24"/>
          <w:lang w:val="en-GB"/>
        </w:rPr>
        <w:t xml:space="preserve"> tended to follow the contours of wider Bedan scholarship. </w:t>
      </w:r>
      <w:r w:rsidR="000922A9" w:rsidRPr="002B10DA">
        <w:rPr>
          <w:rFonts w:ascii="Times New Roman" w:hAnsi="Times New Roman" w:cs="Times New Roman"/>
          <w:sz w:val="24"/>
          <w:szCs w:val="24"/>
          <w:lang w:val="en-GB"/>
        </w:rPr>
        <w:t>Readers</w:t>
      </w:r>
      <w:r w:rsidR="003E7778" w:rsidRPr="002B10DA">
        <w:rPr>
          <w:rFonts w:ascii="Times New Roman" w:hAnsi="Times New Roman" w:cs="Times New Roman"/>
          <w:sz w:val="24"/>
          <w:szCs w:val="24"/>
          <w:lang w:val="en-GB"/>
        </w:rPr>
        <w:t xml:space="preserve"> of the early- and mid-twentieth century were apt to see Bede as a precursor of the modern historian. They praised his careful use of documents and his judicious and unbiased approach to the sea of misinformation that surrounded him. In this context, miracles seemed a superstitious and credulous interruption to the main f</w:t>
      </w:r>
      <w:r w:rsidR="00BC20D5" w:rsidRPr="002B10DA">
        <w:rPr>
          <w:rFonts w:ascii="Times New Roman" w:hAnsi="Times New Roman" w:cs="Times New Roman"/>
          <w:sz w:val="24"/>
          <w:szCs w:val="24"/>
          <w:lang w:val="en-GB"/>
        </w:rPr>
        <w:t>lo</w:t>
      </w:r>
      <w:r w:rsidR="00AE30EC">
        <w:rPr>
          <w:rFonts w:ascii="Times New Roman" w:hAnsi="Times New Roman" w:cs="Times New Roman"/>
          <w:sz w:val="24"/>
          <w:szCs w:val="24"/>
          <w:lang w:val="en-GB"/>
        </w:rPr>
        <w:t>w of critical history-writing. S</w:t>
      </w:r>
      <w:r w:rsidR="00BC20D5" w:rsidRPr="002B10DA">
        <w:rPr>
          <w:rFonts w:ascii="Times New Roman" w:hAnsi="Times New Roman" w:cs="Times New Roman"/>
          <w:sz w:val="24"/>
          <w:szCs w:val="24"/>
          <w:lang w:val="en-GB"/>
        </w:rPr>
        <w:t xml:space="preserve">uch a view led </w:t>
      </w:r>
      <w:r w:rsidR="003E7778" w:rsidRPr="002B10DA">
        <w:rPr>
          <w:rFonts w:ascii="Times New Roman" w:hAnsi="Times New Roman" w:cs="Times New Roman"/>
          <w:sz w:val="24"/>
          <w:szCs w:val="24"/>
          <w:lang w:val="en-GB"/>
        </w:rPr>
        <w:t xml:space="preserve">Bertram Colgrave, in </w:t>
      </w:r>
      <w:r w:rsidR="00732164" w:rsidRPr="002B10DA">
        <w:rPr>
          <w:rFonts w:ascii="Times New Roman" w:hAnsi="Times New Roman" w:cs="Times New Roman"/>
          <w:sz w:val="24"/>
          <w:szCs w:val="24"/>
          <w:lang w:val="en-GB"/>
        </w:rPr>
        <w:t>the</w:t>
      </w:r>
      <w:r w:rsidR="003E7778" w:rsidRPr="002B10DA">
        <w:rPr>
          <w:rFonts w:ascii="Times New Roman" w:hAnsi="Times New Roman" w:cs="Times New Roman"/>
          <w:sz w:val="24"/>
          <w:szCs w:val="24"/>
          <w:lang w:val="en-GB"/>
        </w:rPr>
        <w:t xml:space="preserve"> </w:t>
      </w:r>
      <w:r w:rsidR="00BC20D5" w:rsidRPr="002B10DA">
        <w:rPr>
          <w:rFonts w:ascii="Times New Roman" w:hAnsi="Times New Roman" w:cs="Times New Roman"/>
          <w:sz w:val="24"/>
          <w:szCs w:val="24"/>
          <w:lang w:val="en-GB"/>
        </w:rPr>
        <w:t xml:space="preserve">introduction to </w:t>
      </w:r>
      <w:r w:rsidR="000F5A56" w:rsidRPr="002B10DA">
        <w:rPr>
          <w:rFonts w:ascii="Times New Roman" w:hAnsi="Times New Roman" w:cs="Times New Roman"/>
          <w:sz w:val="24"/>
          <w:szCs w:val="24"/>
          <w:lang w:val="en-GB"/>
        </w:rPr>
        <w:t>his</w:t>
      </w:r>
      <w:r w:rsidR="00BC20D5" w:rsidRPr="002B10DA">
        <w:rPr>
          <w:rFonts w:ascii="Times New Roman" w:hAnsi="Times New Roman" w:cs="Times New Roman"/>
          <w:sz w:val="24"/>
          <w:szCs w:val="24"/>
          <w:lang w:val="en-GB"/>
        </w:rPr>
        <w:t xml:space="preserve"> </w:t>
      </w:r>
      <w:r w:rsidR="003E7778" w:rsidRPr="002B10DA">
        <w:rPr>
          <w:rFonts w:ascii="Times New Roman" w:hAnsi="Times New Roman" w:cs="Times New Roman"/>
          <w:sz w:val="24"/>
          <w:szCs w:val="24"/>
          <w:lang w:val="en-GB"/>
        </w:rPr>
        <w:t xml:space="preserve">1969 edition </w:t>
      </w:r>
      <w:r w:rsidR="000F5A56" w:rsidRPr="002B10DA">
        <w:rPr>
          <w:rFonts w:ascii="Times New Roman" w:hAnsi="Times New Roman" w:cs="Times New Roman"/>
          <w:sz w:val="24"/>
          <w:szCs w:val="24"/>
          <w:lang w:val="en-GB"/>
        </w:rPr>
        <w:t xml:space="preserve">(with Roger Mynors) </w:t>
      </w:r>
      <w:r w:rsidR="003E7778" w:rsidRPr="002B10DA">
        <w:rPr>
          <w:rFonts w:ascii="Times New Roman" w:hAnsi="Times New Roman" w:cs="Times New Roman"/>
          <w:sz w:val="24"/>
          <w:szCs w:val="24"/>
          <w:lang w:val="en-GB"/>
        </w:rPr>
        <w:t xml:space="preserve">of </w:t>
      </w:r>
      <w:r w:rsidR="00540365" w:rsidRPr="002B10DA">
        <w:rPr>
          <w:rFonts w:ascii="Times New Roman" w:hAnsi="Times New Roman" w:cs="Times New Roman"/>
          <w:sz w:val="24"/>
          <w:szCs w:val="24"/>
          <w:lang w:val="en-GB"/>
        </w:rPr>
        <w:t>the</w:t>
      </w:r>
      <w:r w:rsidR="003E7778" w:rsidRPr="002B10DA">
        <w:rPr>
          <w:rFonts w:ascii="Times New Roman" w:hAnsi="Times New Roman" w:cs="Times New Roman"/>
          <w:sz w:val="24"/>
          <w:szCs w:val="24"/>
          <w:lang w:val="en-GB"/>
        </w:rPr>
        <w:t xml:space="preserve"> </w:t>
      </w:r>
      <w:r w:rsidR="003E7778" w:rsidRPr="002B10DA">
        <w:rPr>
          <w:rFonts w:ascii="Times New Roman" w:hAnsi="Times New Roman" w:cs="Times New Roman"/>
          <w:i/>
          <w:iCs/>
          <w:sz w:val="24"/>
          <w:szCs w:val="24"/>
          <w:lang w:val="en-GB"/>
        </w:rPr>
        <w:t>Historia ecclesiastica</w:t>
      </w:r>
      <w:r w:rsidR="003E7778" w:rsidRPr="002B10DA">
        <w:rPr>
          <w:rFonts w:ascii="Times New Roman" w:hAnsi="Times New Roman" w:cs="Times New Roman"/>
          <w:sz w:val="24"/>
          <w:szCs w:val="24"/>
          <w:lang w:val="en-GB"/>
        </w:rPr>
        <w:t xml:space="preserve">, to the question: </w:t>
      </w:r>
      <w:r w:rsidR="001138BA" w:rsidRPr="002B10DA">
        <w:rPr>
          <w:rFonts w:ascii="Times New Roman" w:hAnsi="Times New Roman" w:cs="Times New Roman"/>
          <w:sz w:val="24"/>
          <w:szCs w:val="24"/>
          <w:lang w:val="en-GB"/>
        </w:rPr>
        <w:t>‘</w:t>
      </w:r>
      <w:r w:rsidR="003E7778" w:rsidRPr="002B10DA">
        <w:rPr>
          <w:rFonts w:ascii="Times New Roman" w:hAnsi="Times New Roman" w:cs="Times New Roman"/>
          <w:sz w:val="24"/>
          <w:szCs w:val="24"/>
          <w:lang w:val="en-GB"/>
        </w:rPr>
        <w:t>how is it that one who is supposed to be our greatest medieval historian can spend so much time telling wonder tales?</w:t>
      </w:r>
      <w:r w:rsidR="001138BA" w:rsidRPr="002B10DA">
        <w:rPr>
          <w:rFonts w:ascii="Times New Roman" w:hAnsi="Times New Roman" w:cs="Times New Roman"/>
          <w:sz w:val="24"/>
          <w:szCs w:val="24"/>
          <w:lang w:val="en-GB"/>
        </w:rPr>
        <w:t>’</w:t>
      </w:r>
      <w:r w:rsidR="00B21D7D" w:rsidRPr="002B10DA">
        <w:rPr>
          <w:rFonts w:ascii="Times New Roman" w:eastAsia="Times New Roman" w:hAnsi="Times New Roman" w:cs="Times New Roman"/>
          <w:sz w:val="24"/>
          <w:szCs w:val="24"/>
          <w:vertAlign w:val="superscript"/>
          <w:lang w:val="en-GB"/>
        </w:rPr>
        <w:endnoteReference w:id="2"/>
      </w:r>
      <w:r w:rsidR="00B21D7D" w:rsidRPr="002B10DA">
        <w:rPr>
          <w:rFonts w:ascii="Times New Roman" w:hAnsi="Times New Roman" w:cs="Times New Roman"/>
          <w:sz w:val="24"/>
          <w:szCs w:val="24"/>
          <w:lang w:val="en-GB"/>
        </w:rPr>
        <w:t xml:space="preserve"> Early studies of Bede’s miracles are</w:t>
      </w:r>
      <w:r w:rsidR="006F008E">
        <w:rPr>
          <w:rFonts w:ascii="Times New Roman" w:hAnsi="Times New Roman" w:cs="Times New Roman"/>
          <w:sz w:val="24"/>
          <w:szCs w:val="24"/>
          <w:lang w:val="en-GB"/>
        </w:rPr>
        <w:t xml:space="preserve"> tinged with the same concerns, concluding variously that Bede </w:t>
      </w:r>
      <w:r w:rsidR="006F008E" w:rsidRPr="002B10DA">
        <w:rPr>
          <w:rFonts w:ascii="Times New Roman" w:hAnsi="Times New Roman" w:cs="Times New Roman"/>
          <w:sz w:val="24"/>
          <w:szCs w:val="24"/>
          <w:lang w:val="en-GB"/>
        </w:rPr>
        <w:t xml:space="preserve">purposefully avoided subjecting such stories to the same close examination as other </w:t>
      </w:r>
      <w:r w:rsidR="006F008E" w:rsidRPr="002B10DA">
        <w:rPr>
          <w:rFonts w:ascii="Times New Roman" w:hAnsi="Times New Roman" w:cs="Times New Roman"/>
          <w:sz w:val="24"/>
          <w:szCs w:val="24"/>
          <w:lang w:val="en-GB"/>
        </w:rPr>
        <w:lastRenderedPageBreak/>
        <w:t>elements of his history</w:t>
      </w:r>
      <w:r w:rsidR="006F008E">
        <w:rPr>
          <w:rFonts w:ascii="Times New Roman" w:hAnsi="Times New Roman" w:cs="Times New Roman"/>
          <w:sz w:val="24"/>
          <w:szCs w:val="24"/>
          <w:lang w:val="en-GB"/>
        </w:rPr>
        <w:t>;</w:t>
      </w:r>
      <w:r w:rsidR="006F008E" w:rsidRPr="002B10DA">
        <w:rPr>
          <w:rFonts w:ascii="Times New Roman" w:eastAsia="Times New Roman" w:hAnsi="Times New Roman" w:cs="Times New Roman"/>
          <w:sz w:val="24"/>
          <w:szCs w:val="24"/>
          <w:vertAlign w:val="superscript"/>
          <w:lang w:val="en-GB"/>
        </w:rPr>
        <w:endnoteReference w:id="3"/>
      </w:r>
      <w:r w:rsidR="006F008E">
        <w:rPr>
          <w:rFonts w:ascii="Times New Roman" w:hAnsi="Times New Roman" w:cs="Times New Roman"/>
          <w:sz w:val="24"/>
          <w:szCs w:val="24"/>
          <w:lang w:val="en-GB"/>
        </w:rPr>
        <w:t xml:space="preserve"> that he </w:t>
      </w:r>
      <w:r w:rsidR="006F008E" w:rsidRPr="002B10DA">
        <w:rPr>
          <w:rFonts w:ascii="Times New Roman" w:hAnsi="Times New Roman" w:cs="Times New Roman"/>
          <w:sz w:val="24"/>
          <w:szCs w:val="24"/>
          <w:lang w:val="en-GB"/>
        </w:rPr>
        <w:t>judiciously expunged the wilder elements from his miracle</w:t>
      </w:r>
      <w:r w:rsidR="006F008E">
        <w:rPr>
          <w:rFonts w:ascii="Times New Roman" w:hAnsi="Times New Roman" w:cs="Times New Roman"/>
          <w:sz w:val="24"/>
          <w:szCs w:val="24"/>
          <w:lang w:val="en-GB"/>
        </w:rPr>
        <w:t xml:space="preserve"> narratives;</w:t>
      </w:r>
      <w:r w:rsidR="006F008E" w:rsidRPr="002B10DA">
        <w:rPr>
          <w:rFonts w:ascii="Times New Roman" w:eastAsia="Times New Roman" w:hAnsi="Times New Roman" w:cs="Times New Roman"/>
          <w:sz w:val="24"/>
          <w:szCs w:val="24"/>
          <w:vertAlign w:val="superscript"/>
          <w:lang w:val="en-GB"/>
        </w:rPr>
        <w:endnoteReference w:id="4"/>
      </w:r>
      <w:r w:rsidR="006F008E">
        <w:rPr>
          <w:rFonts w:ascii="Times New Roman" w:hAnsi="Times New Roman" w:cs="Times New Roman"/>
          <w:sz w:val="24"/>
          <w:szCs w:val="24"/>
          <w:lang w:val="en-GB"/>
        </w:rPr>
        <w:t xml:space="preserve"> or that </w:t>
      </w:r>
      <w:r w:rsidR="006F008E" w:rsidRPr="002B10DA">
        <w:rPr>
          <w:rFonts w:ascii="Times New Roman" w:hAnsi="Times New Roman" w:cs="Times New Roman"/>
          <w:sz w:val="24"/>
          <w:szCs w:val="24"/>
          <w:lang w:val="en-GB"/>
        </w:rPr>
        <w:t xml:space="preserve">his use of </w:t>
      </w:r>
      <w:r w:rsidR="006F008E">
        <w:rPr>
          <w:rFonts w:ascii="Times New Roman" w:hAnsi="Times New Roman" w:cs="Times New Roman"/>
          <w:sz w:val="24"/>
          <w:szCs w:val="24"/>
          <w:lang w:val="en-GB"/>
        </w:rPr>
        <w:t>miracles</w:t>
      </w:r>
      <w:r w:rsidR="006F008E" w:rsidRPr="002B10DA">
        <w:rPr>
          <w:rFonts w:ascii="Times New Roman" w:hAnsi="Times New Roman" w:cs="Times New Roman"/>
          <w:sz w:val="24"/>
          <w:szCs w:val="24"/>
          <w:lang w:val="en-GB"/>
        </w:rPr>
        <w:t xml:space="preserve"> was guided above all by moral and literary concerns.</w:t>
      </w:r>
      <w:r w:rsidR="006F008E" w:rsidRPr="002B10DA">
        <w:rPr>
          <w:rStyle w:val="EndnoteReference"/>
          <w:rFonts w:ascii="Times New Roman" w:hAnsi="Times New Roman" w:cs="Times New Roman"/>
          <w:sz w:val="24"/>
          <w:szCs w:val="24"/>
          <w:lang w:val="en-GB"/>
        </w:rPr>
        <w:endnoteReference w:id="5"/>
      </w:r>
    </w:p>
    <w:p w14:paraId="1C37109A" w14:textId="571F9136" w:rsidR="00B21D7D" w:rsidRPr="002B10DA" w:rsidRDefault="00B21D7D" w:rsidP="00B07C8F">
      <w:pPr>
        <w:pStyle w:val="Body"/>
        <w:spacing w:line="480" w:lineRule="auto"/>
        <w:jc w:val="both"/>
        <w:rPr>
          <w:rFonts w:ascii="Times New Roman" w:eastAsia="Times New Roman" w:hAnsi="Times New Roman" w:cs="Times New Roman"/>
          <w:sz w:val="24"/>
          <w:szCs w:val="24"/>
          <w:lang w:val="en-GB"/>
        </w:rPr>
      </w:pPr>
      <w:r w:rsidRPr="002B10DA">
        <w:rPr>
          <w:rFonts w:ascii="Times New Roman" w:eastAsia="Times New Roman" w:hAnsi="Times New Roman" w:cs="Times New Roman"/>
          <w:sz w:val="24"/>
          <w:szCs w:val="24"/>
          <w:lang w:val="en-GB"/>
        </w:rPr>
        <w:tab/>
        <w:t>Since then, Bedan studies have progressed apace. Recent scholarship in the field has tended to assert the close relationship in Bede</w:t>
      </w:r>
      <w:r w:rsidRPr="002B10DA">
        <w:rPr>
          <w:rFonts w:ascii="Times New Roman" w:hAnsi="Times New Roman" w:cs="Times New Roman"/>
          <w:sz w:val="24"/>
          <w:szCs w:val="24"/>
          <w:lang w:val="en-GB"/>
        </w:rPr>
        <w:t>’s worldview between hagiography and history.</w:t>
      </w:r>
      <w:r w:rsidR="005B27A3" w:rsidRPr="002B10DA">
        <w:rPr>
          <w:rStyle w:val="EndnoteReference"/>
          <w:rFonts w:ascii="Times New Roman" w:hAnsi="Times New Roman" w:cs="Times New Roman"/>
          <w:sz w:val="24"/>
          <w:szCs w:val="24"/>
          <w:lang w:val="en-GB"/>
        </w:rPr>
        <w:endnoteReference w:id="6"/>
      </w:r>
      <w:r w:rsidRPr="002B10DA">
        <w:rPr>
          <w:rFonts w:ascii="Times New Roman" w:hAnsi="Times New Roman" w:cs="Times New Roman"/>
          <w:sz w:val="24"/>
          <w:szCs w:val="24"/>
          <w:lang w:val="en-GB"/>
        </w:rPr>
        <w:t xml:space="preserve"> The idea that Bede’s miracle stories were somehow not reflective of his true beliefs—which were, in actual fact, laudably rational and critical—has been rightfully discarded. Since the 1970s a succession of studies have explored the intricacies of Bede’s miracles, emphasizing both the fact that Bede believed in the miracles he was relating and that they possessed important symbolic importance for him.</w:t>
      </w:r>
      <w:r w:rsidRPr="002B10DA">
        <w:rPr>
          <w:rFonts w:ascii="Times New Roman" w:eastAsia="Times New Roman" w:hAnsi="Times New Roman" w:cs="Times New Roman"/>
          <w:sz w:val="24"/>
          <w:szCs w:val="24"/>
          <w:vertAlign w:val="superscript"/>
          <w:lang w:val="en-GB"/>
        </w:rPr>
        <w:endnoteReference w:id="7"/>
      </w:r>
      <w:r w:rsidRPr="002B10DA">
        <w:rPr>
          <w:rFonts w:ascii="Times New Roman" w:hAnsi="Times New Roman" w:cs="Times New Roman"/>
          <w:sz w:val="24"/>
          <w:szCs w:val="24"/>
          <w:lang w:val="en-GB"/>
        </w:rPr>
        <w:t xml:space="preserve"> The most detailed </w:t>
      </w:r>
      <w:r w:rsidR="00DA5F6D">
        <w:rPr>
          <w:rFonts w:ascii="Times New Roman" w:hAnsi="Times New Roman" w:cs="Times New Roman"/>
          <w:sz w:val="24"/>
          <w:szCs w:val="24"/>
          <w:lang w:val="en-GB"/>
        </w:rPr>
        <w:t>of these studies is</w:t>
      </w:r>
      <w:r w:rsidRPr="002B10DA">
        <w:rPr>
          <w:rFonts w:ascii="Times New Roman" w:hAnsi="Times New Roman" w:cs="Times New Roman"/>
          <w:sz w:val="24"/>
          <w:szCs w:val="24"/>
          <w:lang w:val="en-GB"/>
        </w:rPr>
        <w:t xml:space="preserve"> William McCready’s monograph of 1994, </w:t>
      </w:r>
      <w:r w:rsidRPr="002B10DA">
        <w:rPr>
          <w:rFonts w:ascii="Times New Roman" w:hAnsi="Times New Roman" w:cs="Times New Roman"/>
          <w:i/>
          <w:iCs/>
          <w:sz w:val="24"/>
          <w:szCs w:val="24"/>
          <w:lang w:val="en-GB"/>
        </w:rPr>
        <w:t>Miracles and the Venerable Bede</w:t>
      </w:r>
      <w:r w:rsidRPr="002B10DA">
        <w:rPr>
          <w:rFonts w:ascii="Times New Roman" w:hAnsi="Times New Roman" w:cs="Times New Roman"/>
          <w:sz w:val="24"/>
          <w:szCs w:val="24"/>
          <w:lang w:val="en-GB"/>
        </w:rPr>
        <w:t xml:space="preserve">. </w:t>
      </w:r>
      <w:r w:rsidR="00823DDE" w:rsidRPr="002B10DA">
        <w:rPr>
          <w:rFonts w:ascii="Times New Roman" w:hAnsi="Times New Roman" w:cs="Times New Roman"/>
          <w:sz w:val="24"/>
          <w:szCs w:val="24"/>
          <w:lang w:val="en-GB"/>
        </w:rPr>
        <w:t>Most r</w:t>
      </w:r>
      <w:r w:rsidRPr="002B10DA">
        <w:rPr>
          <w:rFonts w:ascii="Times New Roman" w:hAnsi="Times New Roman" w:cs="Times New Roman"/>
          <w:sz w:val="24"/>
          <w:szCs w:val="24"/>
          <w:lang w:val="en-GB"/>
        </w:rPr>
        <w:t>ecent overviews of Bede’</w:t>
      </w:r>
      <w:r w:rsidR="00823DDE" w:rsidRPr="002B10DA">
        <w:rPr>
          <w:rFonts w:ascii="Times New Roman" w:hAnsi="Times New Roman" w:cs="Times New Roman"/>
          <w:sz w:val="24"/>
          <w:szCs w:val="24"/>
          <w:lang w:val="en-GB"/>
        </w:rPr>
        <w:t>s</w:t>
      </w:r>
      <w:r w:rsidRPr="002B10DA">
        <w:rPr>
          <w:rFonts w:ascii="Times New Roman" w:hAnsi="Times New Roman" w:cs="Times New Roman"/>
          <w:sz w:val="24"/>
          <w:szCs w:val="24"/>
          <w:lang w:val="en-GB"/>
        </w:rPr>
        <w:t xml:space="preserve"> life and work have not tended to deal in detail with miracles, content instead to refer in passing to McCready’s book.</w:t>
      </w:r>
      <w:r w:rsidR="00DA5F6D">
        <w:rPr>
          <w:rFonts w:ascii="Times New Roman" w:hAnsi="Times New Roman" w:cs="Times New Roman"/>
          <w:sz w:val="24"/>
          <w:szCs w:val="24"/>
          <w:lang w:val="en-GB"/>
        </w:rPr>
        <w:t xml:space="preserve"> However, as I shall argue,</w:t>
      </w:r>
      <w:r w:rsidR="00DA5F6D" w:rsidRPr="002B10DA">
        <w:rPr>
          <w:rFonts w:ascii="Times New Roman" w:hAnsi="Times New Roman" w:cs="Times New Roman"/>
          <w:sz w:val="24"/>
          <w:szCs w:val="24"/>
          <w:lang w:val="en-GB"/>
        </w:rPr>
        <w:t xml:space="preserve"> the place of the miraculous in relation to Bede’s conception of history </w:t>
      </w:r>
      <w:r w:rsidR="009A1967">
        <w:rPr>
          <w:rFonts w:ascii="Times New Roman" w:hAnsi="Times New Roman" w:cs="Times New Roman"/>
          <w:sz w:val="24"/>
          <w:szCs w:val="24"/>
          <w:lang w:val="en-GB"/>
        </w:rPr>
        <w:t>requires further examination.</w:t>
      </w:r>
    </w:p>
    <w:p w14:paraId="07849C98" w14:textId="6195F5D7" w:rsidR="00B21D7D" w:rsidRPr="002B10DA" w:rsidRDefault="00B21D7D" w:rsidP="00B07C8F">
      <w:pPr>
        <w:pStyle w:val="Body"/>
        <w:spacing w:line="480" w:lineRule="auto"/>
        <w:jc w:val="both"/>
        <w:rPr>
          <w:rFonts w:ascii="Times New Roman" w:eastAsia="Times New Roman" w:hAnsi="Times New Roman" w:cs="Times New Roman"/>
          <w:sz w:val="24"/>
          <w:szCs w:val="24"/>
          <w:lang w:val="en-GB"/>
        </w:rPr>
      </w:pPr>
      <w:r w:rsidRPr="002B10DA">
        <w:rPr>
          <w:rFonts w:ascii="Times New Roman" w:eastAsia="Times New Roman" w:hAnsi="Times New Roman" w:cs="Times New Roman"/>
          <w:sz w:val="24"/>
          <w:szCs w:val="24"/>
          <w:lang w:val="en-GB"/>
        </w:rPr>
        <w:tab/>
        <w:t>An issue with the majority of these studies</w:t>
      </w:r>
      <w:r w:rsidR="001A24AB">
        <w:rPr>
          <w:rFonts w:ascii="Times New Roman" w:eastAsia="Times New Roman" w:hAnsi="Times New Roman" w:cs="Times New Roman"/>
          <w:sz w:val="24"/>
          <w:szCs w:val="24"/>
          <w:lang w:val="en-GB"/>
        </w:rPr>
        <w:t xml:space="preserve"> is </w:t>
      </w:r>
      <w:r w:rsidRPr="002B10DA">
        <w:rPr>
          <w:rFonts w:ascii="Times New Roman" w:eastAsia="Times New Roman" w:hAnsi="Times New Roman" w:cs="Times New Roman"/>
          <w:sz w:val="24"/>
          <w:szCs w:val="24"/>
          <w:lang w:val="en-GB"/>
        </w:rPr>
        <w:t xml:space="preserve">that they tend to hold to an </w:t>
      </w:r>
      <w:r w:rsidR="001A24AB">
        <w:rPr>
          <w:rFonts w:ascii="Times New Roman" w:eastAsia="Times New Roman" w:hAnsi="Times New Roman" w:cs="Times New Roman"/>
          <w:sz w:val="24"/>
          <w:szCs w:val="24"/>
          <w:lang w:val="en-GB"/>
        </w:rPr>
        <w:t>unspoken</w:t>
      </w:r>
      <w:r w:rsidRPr="002B10DA">
        <w:rPr>
          <w:rFonts w:ascii="Times New Roman" w:eastAsia="Times New Roman" w:hAnsi="Times New Roman" w:cs="Times New Roman"/>
          <w:sz w:val="24"/>
          <w:szCs w:val="24"/>
          <w:lang w:val="en-GB"/>
        </w:rPr>
        <w:t xml:space="preserve"> definition </w:t>
      </w:r>
      <w:r w:rsidR="001A24AB">
        <w:rPr>
          <w:rFonts w:ascii="Times New Roman" w:eastAsia="Times New Roman" w:hAnsi="Times New Roman" w:cs="Times New Roman"/>
          <w:sz w:val="24"/>
          <w:szCs w:val="24"/>
          <w:lang w:val="en-GB"/>
        </w:rPr>
        <w:t xml:space="preserve">that sees </w:t>
      </w:r>
      <w:r w:rsidRPr="002B10DA">
        <w:rPr>
          <w:rFonts w:ascii="Times New Roman" w:eastAsia="Times New Roman" w:hAnsi="Times New Roman" w:cs="Times New Roman"/>
          <w:sz w:val="24"/>
          <w:szCs w:val="24"/>
          <w:lang w:val="en-GB"/>
        </w:rPr>
        <w:t xml:space="preserve">a miracle as </w:t>
      </w:r>
      <w:r w:rsidR="001A24AB">
        <w:rPr>
          <w:rFonts w:ascii="Times New Roman" w:eastAsia="Times New Roman" w:hAnsi="Times New Roman" w:cs="Times New Roman"/>
          <w:sz w:val="24"/>
          <w:szCs w:val="24"/>
          <w:lang w:val="en-GB"/>
        </w:rPr>
        <w:t>something</w:t>
      </w:r>
      <w:r w:rsidRPr="002B10DA">
        <w:rPr>
          <w:rFonts w:ascii="Times New Roman" w:hAnsi="Times New Roman" w:cs="Times New Roman"/>
          <w:sz w:val="24"/>
          <w:szCs w:val="24"/>
          <w:lang w:val="en-GB"/>
        </w:rPr>
        <w:t xml:space="preserve"> contrary to the laws of nature.</w:t>
      </w:r>
      <w:r w:rsidRPr="002B10DA">
        <w:rPr>
          <w:rFonts w:ascii="Times New Roman" w:eastAsia="Times New Roman" w:hAnsi="Times New Roman" w:cs="Times New Roman"/>
          <w:sz w:val="24"/>
          <w:szCs w:val="24"/>
          <w:vertAlign w:val="superscript"/>
          <w:lang w:val="en-GB"/>
        </w:rPr>
        <w:endnoteReference w:id="8"/>
      </w:r>
      <w:r w:rsidRPr="002B10DA">
        <w:rPr>
          <w:rFonts w:ascii="Times New Roman" w:hAnsi="Times New Roman" w:cs="Times New Roman"/>
          <w:sz w:val="24"/>
          <w:szCs w:val="24"/>
          <w:lang w:val="en-GB"/>
        </w:rPr>
        <w:t xml:space="preserve"> While Bede and his contemporaries commonly refer to miracles as going against the usual or expected course of things—a concept expressed in </w:t>
      </w:r>
      <w:r w:rsidR="009A1967">
        <w:rPr>
          <w:rFonts w:ascii="Times New Roman" w:hAnsi="Times New Roman" w:cs="Times New Roman"/>
          <w:sz w:val="24"/>
          <w:szCs w:val="24"/>
          <w:lang w:val="en-GB"/>
        </w:rPr>
        <w:t xml:space="preserve">phrases such as </w:t>
      </w:r>
      <w:r w:rsidR="009A1967" w:rsidRPr="009A1967">
        <w:rPr>
          <w:rFonts w:ascii="Times New Roman" w:hAnsi="Times New Roman" w:cs="Times New Roman"/>
          <w:i/>
          <w:sz w:val="24"/>
          <w:szCs w:val="24"/>
          <w:lang w:val="en-GB"/>
        </w:rPr>
        <w:t>contra naturam</w:t>
      </w:r>
      <w:r w:rsidRPr="002B10DA">
        <w:rPr>
          <w:rFonts w:ascii="Times New Roman" w:hAnsi="Times New Roman" w:cs="Times New Roman"/>
          <w:sz w:val="24"/>
          <w:szCs w:val="24"/>
          <w:lang w:val="en-GB"/>
        </w:rPr>
        <w:t xml:space="preserve">—there is a subtle difference between their meaning in such instances and the idea which arose later in western thought which precisely defined miracle as something completely removed from natural laws. </w:t>
      </w:r>
      <w:r w:rsidR="00DA5F6D" w:rsidRPr="002B10DA">
        <w:rPr>
          <w:rFonts w:ascii="Times New Roman" w:hAnsi="Times New Roman" w:cs="Times New Roman"/>
          <w:sz w:val="24"/>
          <w:szCs w:val="24"/>
          <w:lang w:val="en-GB"/>
        </w:rPr>
        <w:t xml:space="preserve">As a number of studies in recent decades have shown, it wasn’t until the scholastic theologians that the miracle was defined as </w:t>
      </w:r>
      <w:r w:rsidR="00DA5F6D" w:rsidRPr="002B10DA">
        <w:rPr>
          <w:rFonts w:ascii="Times New Roman" w:hAnsi="Times New Roman" w:cs="Times New Roman"/>
          <w:i/>
          <w:iCs/>
          <w:sz w:val="24"/>
          <w:szCs w:val="24"/>
          <w:lang w:val="en-GB"/>
        </w:rPr>
        <w:t>super</w:t>
      </w:r>
      <w:r w:rsidR="00DA5F6D" w:rsidRPr="002B10DA">
        <w:rPr>
          <w:rFonts w:ascii="Times New Roman" w:hAnsi="Times New Roman" w:cs="Times New Roman"/>
          <w:sz w:val="24"/>
          <w:szCs w:val="24"/>
          <w:lang w:val="en-GB"/>
        </w:rPr>
        <w:t xml:space="preserve">-natural, something that involved the suspension of the laws of nature, a development that coincided with the </w:t>
      </w:r>
      <w:r w:rsidR="00DA5F6D" w:rsidRPr="002B10DA">
        <w:rPr>
          <w:rFonts w:ascii="Times New Roman" w:hAnsi="Times New Roman" w:cs="Times New Roman"/>
          <w:sz w:val="24"/>
          <w:szCs w:val="24"/>
          <w:lang w:val="en-GB"/>
        </w:rPr>
        <w:lastRenderedPageBreak/>
        <w:t>emergence of a concern with causation.</w:t>
      </w:r>
      <w:r w:rsidR="00DA5F6D" w:rsidRPr="002B10DA">
        <w:rPr>
          <w:rFonts w:ascii="Times New Roman" w:eastAsia="Times New Roman" w:hAnsi="Times New Roman" w:cs="Times New Roman"/>
          <w:sz w:val="24"/>
          <w:szCs w:val="24"/>
          <w:vertAlign w:val="superscript"/>
          <w:lang w:val="en-GB"/>
        </w:rPr>
        <w:endnoteReference w:id="9"/>
      </w:r>
      <w:r w:rsidR="00DA5F6D" w:rsidRPr="002B10DA">
        <w:rPr>
          <w:rFonts w:ascii="Times New Roman" w:hAnsi="Times New Roman" w:cs="Times New Roman"/>
          <w:sz w:val="24"/>
          <w:szCs w:val="24"/>
          <w:lang w:val="en-GB"/>
        </w:rPr>
        <w:t xml:space="preserve"> </w:t>
      </w:r>
      <w:r w:rsidRPr="002B10DA">
        <w:rPr>
          <w:rFonts w:ascii="Times New Roman" w:hAnsi="Times New Roman" w:cs="Times New Roman"/>
          <w:sz w:val="24"/>
          <w:szCs w:val="24"/>
          <w:lang w:val="en-GB"/>
        </w:rPr>
        <w:t>Thomas Aquinas, in the thirteenth century, could give examples of events which might seem miraculous to the ignorant—such as solar eclipses and magnetic attraction—but which were not miracles, as they followed the laws of nature.</w:t>
      </w:r>
      <w:r w:rsidRPr="002B10DA">
        <w:rPr>
          <w:rFonts w:ascii="Times New Roman" w:eastAsia="Times New Roman" w:hAnsi="Times New Roman" w:cs="Times New Roman"/>
          <w:sz w:val="24"/>
          <w:szCs w:val="24"/>
          <w:vertAlign w:val="superscript"/>
          <w:lang w:val="en-GB"/>
        </w:rPr>
        <w:endnoteReference w:id="10"/>
      </w:r>
      <w:r w:rsidRPr="002B10DA">
        <w:rPr>
          <w:rFonts w:ascii="Times New Roman" w:hAnsi="Times New Roman" w:cs="Times New Roman"/>
          <w:sz w:val="24"/>
          <w:szCs w:val="24"/>
          <w:lang w:val="en-GB"/>
        </w:rPr>
        <w:t xml:space="preserve"> True miracles, according to this paradigm, broke with these laws. However, this division was not at all self-evident for earlier generations of thinkers. It is worth stating again</w:t>
      </w:r>
      <w:r w:rsidR="00E11E0C">
        <w:rPr>
          <w:rFonts w:ascii="Times New Roman" w:hAnsi="Times New Roman" w:cs="Times New Roman"/>
          <w:sz w:val="24"/>
          <w:szCs w:val="24"/>
          <w:lang w:val="en-GB"/>
        </w:rPr>
        <w:t>, then,</w:t>
      </w:r>
      <w:r w:rsidRPr="002B10DA">
        <w:rPr>
          <w:rFonts w:ascii="Times New Roman" w:hAnsi="Times New Roman" w:cs="Times New Roman"/>
          <w:sz w:val="24"/>
          <w:szCs w:val="24"/>
          <w:lang w:val="en-GB"/>
        </w:rPr>
        <w:t xml:space="preserve"> that Bede’s conception of the miraculous did not follow the logic of Thomistic theology, but was closer to that of the patristic and early medieval writers who preceded him.</w:t>
      </w:r>
    </w:p>
    <w:p w14:paraId="057832FD" w14:textId="12594A28" w:rsidR="00B21D7D" w:rsidRPr="002B10DA" w:rsidRDefault="00B21D7D" w:rsidP="00B07C8F">
      <w:pPr>
        <w:pStyle w:val="Body"/>
        <w:spacing w:line="480" w:lineRule="auto"/>
        <w:jc w:val="both"/>
        <w:rPr>
          <w:rFonts w:ascii="Times New Roman" w:hAnsi="Times New Roman" w:cs="Times New Roman"/>
          <w:sz w:val="24"/>
          <w:szCs w:val="24"/>
          <w:lang w:val="en-GB"/>
        </w:rPr>
      </w:pPr>
      <w:r w:rsidRPr="002B10DA">
        <w:rPr>
          <w:rFonts w:ascii="Times New Roman" w:eastAsia="Times New Roman" w:hAnsi="Times New Roman" w:cs="Times New Roman"/>
          <w:sz w:val="24"/>
          <w:szCs w:val="24"/>
          <w:lang w:val="en-GB"/>
        </w:rPr>
        <w:tab/>
        <w:t xml:space="preserve">What then was the miraculous according to pre-scholastic definitions? Augustine wrote that miracles did not operate contrary to nature, </w:t>
      </w:r>
      <w:r w:rsidRPr="002B10DA">
        <w:rPr>
          <w:rFonts w:ascii="Times New Roman" w:hAnsi="Times New Roman" w:cs="Times New Roman"/>
          <w:sz w:val="24"/>
          <w:szCs w:val="24"/>
          <w:lang w:val="en-GB"/>
        </w:rPr>
        <w:t>‘for how is that contrary to nature which happens by the will of God, since the will of so great a Creator is certainly the nature of every created thing?’</w:t>
      </w:r>
      <w:r w:rsidRPr="002B10DA">
        <w:rPr>
          <w:rFonts w:ascii="Times New Roman" w:eastAsia="Times New Roman" w:hAnsi="Times New Roman" w:cs="Times New Roman"/>
          <w:sz w:val="24"/>
          <w:szCs w:val="24"/>
          <w:vertAlign w:val="superscript"/>
          <w:lang w:val="en-GB"/>
        </w:rPr>
        <w:endnoteReference w:id="11"/>
      </w:r>
      <w:r w:rsidRPr="002B10DA">
        <w:rPr>
          <w:rFonts w:ascii="Times New Roman" w:hAnsi="Times New Roman" w:cs="Times New Roman"/>
          <w:sz w:val="24"/>
          <w:szCs w:val="24"/>
          <w:lang w:val="en-GB"/>
        </w:rPr>
        <w:t xml:space="preserve"> Instead, he posited that miracles sprang from inherent but hidden ‘causes’ or ‘seeds’ (</w:t>
      </w:r>
      <w:r w:rsidRPr="002B10DA">
        <w:rPr>
          <w:rFonts w:ascii="Times New Roman" w:hAnsi="Times New Roman" w:cs="Times New Roman"/>
          <w:i/>
          <w:iCs/>
          <w:sz w:val="24"/>
          <w:szCs w:val="24"/>
          <w:lang w:val="en-GB"/>
        </w:rPr>
        <w:t>semina</w:t>
      </w:r>
      <w:r w:rsidRPr="002B10DA">
        <w:rPr>
          <w:rFonts w:ascii="Times New Roman" w:hAnsi="Times New Roman" w:cs="Times New Roman"/>
          <w:sz w:val="24"/>
          <w:szCs w:val="24"/>
          <w:lang w:val="en-GB"/>
        </w:rPr>
        <w:t>) in nature which, when activated, could cause events that seemed miraculous to the observer.</w:t>
      </w:r>
      <w:r w:rsidRPr="002B10DA">
        <w:rPr>
          <w:rFonts w:ascii="Times New Roman" w:eastAsia="Times New Roman" w:hAnsi="Times New Roman" w:cs="Times New Roman"/>
          <w:sz w:val="24"/>
          <w:szCs w:val="24"/>
          <w:vertAlign w:val="superscript"/>
          <w:lang w:val="en-GB"/>
        </w:rPr>
        <w:endnoteReference w:id="12"/>
      </w:r>
      <w:r w:rsidRPr="002B10DA">
        <w:rPr>
          <w:rFonts w:ascii="Times New Roman" w:hAnsi="Times New Roman" w:cs="Times New Roman"/>
          <w:sz w:val="24"/>
          <w:szCs w:val="24"/>
          <w:lang w:val="en-GB"/>
        </w:rPr>
        <w:t xml:space="preserve"> When a Christian referred to a miracle as being ‘contra naturam’, therefore, he or she simply meant that it was ‘contrary t</w:t>
      </w:r>
      <w:r w:rsidR="000E69B1">
        <w:rPr>
          <w:rFonts w:ascii="Times New Roman" w:hAnsi="Times New Roman" w:cs="Times New Roman"/>
          <w:sz w:val="24"/>
          <w:szCs w:val="24"/>
          <w:lang w:val="en-GB"/>
        </w:rPr>
        <w:t>o what is familiar in nature’ (</w:t>
      </w:r>
      <w:r w:rsidRPr="000E69B1">
        <w:rPr>
          <w:rFonts w:ascii="Times New Roman" w:hAnsi="Times New Roman" w:cs="Times New Roman"/>
          <w:i/>
          <w:sz w:val="24"/>
          <w:szCs w:val="24"/>
          <w:lang w:val="en-GB"/>
        </w:rPr>
        <w:t>contra quam est nota natura</w:t>
      </w:r>
      <w:r w:rsidRPr="002B10DA">
        <w:rPr>
          <w:rFonts w:ascii="Times New Roman" w:hAnsi="Times New Roman" w:cs="Times New Roman"/>
          <w:sz w:val="24"/>
          <w:szCs w:val="24"/>
          <w:lang w:val="en-GB"/>
        </w:rPr>
        <w:t>)</w:t>
      </w:r>
      <w:r w:rsidRPr="002B10DA">
        <w:rPr>
          <w:rFonts w:ascii="Times New Roman" w:eastAsia="Times New Roman" w:hAnsi="Times New Roman" w:cs="Times New Roman"/>
          <w:sz w:val="24"/>
          <w:szCs w:val="24"/>
          <w:vertAlign w:val="superscript"/>
          <w:lang w:val="en-GB"/>
        </w:rPr>
        <w:endnoteReference w:id="13"/>
      </w:r>
      <w:r w:rsidRPr="002B10DA">
        <w:rPr>
          <w:rFonts w:ascii="Times New Roman" w:hAnsi="Times New Roman" w:cs="Times New Roman"/>
          <w:sz w:val="24"/>
          <w:szCs w:val="24"/>
          <w:lang w:val="en-GB"/>
        </w:rPr>
        <w:t xml:space="preserve"> or ‘contrary to that which we a</w:t>
      </w:r>
      <w:r w:rsidR="000E69B1">
        <w:rPr>
          <w:rFonts w:ascii="Times New Roman" w:hAnsi="Times New Roman" w:cs="Times New Roman"/>
          <w:sz w:val="24"/>
          <w:szCs w:val="24"/>
          <w:lang w:val="en-GB"/>
        </w:rPr>
        <w:t>re acquainted with in nature’ (</w:t>
      </w:r>
      <w:r w:rsidRPr="000E69B1">
        <w:rPr>
          <w:rFonts w:ascii="Times New Roman" w:hAnsi="Times New Roman" w:cs="Times New Roman"/>
          <w:i/>
          <w:sz w:val="24"/>
          <w:szCs w:val="24"/>
          <w:lang w:val="en-GB"/>
        </w:rPr>
        <w:t>co</w:t>
      </w:r>
      <w:r w:rsidR="000E69B1" w:rsidRPr="000E69B1">
        <w:rPr>
          <w:rFonts w:ascii="Times New Roman" w:hAnsi="Times New Roman" w:cs="Times New Roman"/>
          <w:i/>
          <w:sz w:val="24"/>
          <w:szCs w:val="24"/>
          <w:lang w:val="en-GB"/>
        </w:rPr>
        <w:t>ntra id, quod nouimus in natura</w:t>
      </w:r>
      <w:r w:rsidRPr="002B10DA">
        <w:rPr>
          <w:rFonts w:ascii="Times New Roman" w:hAnsi="Times New Roman" w:cs="Times New Roman"/>
          <w:sz w:val="24"/>
          <w:szCs w:val="24"/>
          <w:lang w:val="en-GB"/>
        </w:rPr>
        <w:t>).</w:t>
      </w:r>
      <w:r w:rsidRPr="002B10DA">
        <w:rPr>
          <w:rFonts w:ascii="Times New Roman" w:eastAsia="Times New Roman" w:hAnsi="Times New Roman" w:cs="Times New Roman"/>
          <w:sz w:val="24"/>
          <w:szCs w:val="24"/>
          <w:vertAlign w:val="superscript"/>
          <w:lang w:val="en-GB"/>
        </w:rPr>
        <w:endnoteReference w:id="14"/>
      </w:r>
      <w:r w:rsidRPr="002B10DA">
        <w:rPr>
          <w:rFonts w:ascii="Times New Roman" w:hAnsi="Times New Roman" w:cs="Times New Roman"/>
          <w:sz w:val="24"/>
          <w:szCs w:val="24"/>
          <w:lang w:val="en-GB"/>
        </w:rPr>
        <w:t xml:space="preserve"> Augustine’s definition firmly placed the cause of miracles in the general unfolding of God’s creation. All of creation was a miracle, in a sense. But if a miracle could not be defined as being in opposition to nature, how could it be defined? Augustine suggested the following: ‘I call a miracle anything which appears arduous or unusual, beyond the expectation or ability of the one who marvels at it’.</w:t>
      </w:r>
      <w:r w:rsidRPr="002B10DA">
        <w:rPr>
          <w:rFonts w:ascii="Times New Roman" w:eastAsia="Times New Roman" w:hAnsi="Times New Roman" w:cs="Times New Roman"/>
          <w:sz w:val="24"/>
          <w:szCs w:val="24"/>
          <w:vertAlign w:val="superscript"/>
          <w:lang w:val="en-GB"/>
        </w:rPr>
        <w:endnoteReference w:id="15"/>
      </w:r>
      <w:r w:rsidRPr="002B10DA">
        <w:rPr>
          <w:rFonts w:ascii="Times New Roman" w:hAnsi="Times New Roman" w:cs="Times New Roman"/>
          <w:sz w:val="24"/>
          <w:szCs w:val="24"/>
          <w:lang w:val="en-GB"/>
        </w:rPr>
        <w:t xml:space="preserve"> This definition suggests that the classification of a miracle lies, quite literally, in the eye of the beholder(s). An event was miraculous if it stood out enough from the usual course of nature for humankind to perceive it as something special.</w:t>
      </w:r>
    </w:p>
    <w:p w14:paraId="6F48B720" w14:textId="6CAFB19E" w:rsidR="00B21D7D" w:rsidRPr="002B10DA" w:rsidRDefault="00B21D7D" w:rsidP="00B07C8F">
      <w:pPr>
        <w:pStyle w:val="Body"/>
        <w:spacing w:line="480" w:lineRule="auto"/>
        <w:jc w:val="both"/>
        <w:rPr>
          <w:rFonts w:ascii="Times New Roman" w:eastAsia="Times New Roman" w:hAnsi="Times New Roman" w:cs="Times New Roman"/>
          <w:sz w:val="24"/>
          <w:szCs w:val="24"/>
          <w:lang w:val="en-GB"/>
        </w:rPr>
      </w:pPr>
      <w:r w:rsidRPr="002B10DA">
        <w:rPr>
          <w:rFonts w:ascii="Times New Roman" w:eastAsia="Times New Roman" w:hAnsi="Times New Roman" w:cs="Times New Roman"/>
          <w:sz w:val="24"/>
          <w:szCs w:val="24"/>
          <w:lang w:val="en-GB"/>
        </w:rPr>
        <w:lastRenderedPageBreak/>
        <w:tab/>
        <w:t>This view of the nature of miracles was influential on t</w:t>
      </w:r>
      <w:r w:rsidR="00061809">
        <w:rPr>
          <w:rFonts w:ascii="Times New Roman" w:eastAsia="Times New Roman" w:hAnsi="Times New Roman" w:cs="Times New Roman"/>
          <w:sz w:val="24"/>
          <w:szCs w:val="24"/>
          <w:lang w:val="en-GB"/>
        </w:rPr>
        <w:t>hose who came after Augustine. I</w:t>
      </w:r>
      <w:r w:rsidRPr="002B10DA">
        <w:rPr>
          <w:rFonts w:ascii="Times New Roman" w:eastAsia="Times New Roman" w:hAnsi="Times New Roman" w:cs="Times New Roman"/>
          <w:sz w:val="24"/>
          <w:szCs w:val="24"/>
          <w:lang w:val="en-GB"/>
        </w:rPr>
        <w:t>ts</w:t>
      </w:r>
      <w:r w:rsidRPr="002B10DA">
        <w:rPr>
          <w:rFonts w:ascii="Times New Roman" w:hAnsi="Times New Roman" w:cs="Times New Roman"/>
          <w:sz w:val="24"/>
          <w:szCs w:val="24"/>
          <w:lang w:val="en-GB"/>
        </w:rPr>
        <w:t xml:space="preserve"> apogee is represented by a seventh-century Irish text, </w:t>
      </w:r>
      <w:r w:rsidRPr="002B10DA">
        <w:rPr>
          <w:rFonts w:ascii="Times New Roman" w:hAnsi="Times New Roman" w:cs="Times New Roman"/>
          <w:i/>
          <w:iCs/>
          <w:sz w:val="24"/>
          <w:szCs w:val="24"/>
          <w:lang w:val="en-GB"/>
        </w:rPr>
        <w:t>De mirabilibus sacrae scripturae</w:t>
      </w:r>
      <w:r w:rsidRPr="002B10DA">
        <w:rPr>
          <w:rFonts w:ascii="Times New Roman" w:hAnsi="Times New Roman" w:cs="Times New Roman"/>
          <w:sz w:val="24"/>
          <w:szCs w:val="24"/>
          <w:lang w:val="en-GB"/>
        </w:rPr>
        <w:t>. This text’s author, known appropriately as Augustinus Hibernicus, sought to explain the miracles of scripture by showing that they arose from the natural laws of the universe.</w:t>
      </w:r>
      <w:r w:rsidRPr="002B10DA">
        <w:rPr>
          <w:rFonts w:ascii="Times New Roman" w:eastAsia="Times New Roman" w:hAnsi="Times New Roman" w:cs="Times New Roman"/>
          <w:sz w:val="24"/>
          <w:szCs w:val="24"/>
          <w:vertAlign w:val="superscript"/>
          <w:lang w:val="en-GB"/>
        </w:rPr>
        <w:endnoteReference w:id="16"/>
      </w:r>
      <w:r w:rsidRPr="002B10DA">
        <w:rPr>
          <w:rFonts w:ascii="Times New Roman" w:hAnsi="Times New Roman" w:cs="Times New Roman"/>
          <w:sz w:val="24"/>
          <w:szCs w:val="24"/>
          <w:lang w:val="en-GB"/>
        </w:rPr>
        <w:t xml:space="preserve"> There has been a tendency to view Augustinus Hibernicus as a unique and anomalous thinker, but a rationalist understanding of miracles was by no means limited to </w:t>
      </w:r>
      <w:r w:rsidRPr="002B10DA">
        <w:rPr>
          <w:rFonts w:ascii="Times New Roman" w:hAnsi="Times New Roman" w:cs="Times New Roman"/>
          <w:i/>
          <w:iCs/>
          <w:sz w:val="24"/>
          <w:szCs w:val="24"/>
          <w:lang w:val="en-GB"/>
        </w:rPr>
        <w:t>De mirabilibus</w:t>
      </w:r>
      <w:r w:rsidRPr="002B10DA">
        <w:rPr>
          <w:rFonts w:ascii="Times New Roman" w:hAnsi="Times New Roman" w:cs="Times New Roman"/>
          <w:sz w:val="24"/>
          <w:szCs w:val="24"/>
          <w:lang w:val="en-GB"/>
        </w:rPr>
        <w:t>. It was also the approach used as a matter of course by patristic writers from Hilary of Poitiers to John Chrysostom.</w:t>
      </w:r>
      <w:r w:rsidRPr="002B10DA">
        <w:rPr>
          <w:rFonts w:ascii="Times New Roman" w:eastAsia="Times New Roman" w:hAnsi="Times New Roman" w:cs="Times New Roman"/>
          <w:sz w:val="24"/>
          <w:szCs w:val="24"/>
          <w:vertAlign w:val="superscript"/>
          <w:lang w:val="en-GB"/>
        </w:rPr>
        <w:endnoteReference w:id="17"/>
      </w:r>
      <w:r w:rsidRPr="002B10DA">
        <w:rPr>
          <w:rFonts w:ascii="Times New Roman" w:hAnsi="Times New Roman" w:cs="Times New Roman"/>
          <w:sz w:val="24"/>
          <w:szCs w:val="24"/>
          <w:lang w:val="en-GB"/>
        </w:rPr>
        <w:t xml:space="preserve"> This is the reasoning that lies behind patristic attempts to prove the rationality of miracles by using analogies with natural processes like childbirth or the recurring resurrection of the Phoenix. We find the same mode of thought in one of Bede’s heroes, Gregory the Great, who sees miracles most importantly as events invoking wonder which function as signs of spiritual import.</w:t>
      </w:r>
      <w:r w:rsidRPr="002B10DA">
        <w:rPr>
          <w:rFonts w:ascii="Times New Roman" w:eastAsia="Times New Roman" w:hAnsi="Times New Roman" w:cs="Times New Roman"/>
          <w:sz w:val="24"/>
          <w:szCs w:val="24"/>
          <w:vertAlign w:val="superscript"/>
          <w:lang w:val="en-GB"/>
        </w:rPr>
        <w:endnoteReference w:id="18"/>
      </w:r>
      <w:r w:rsidRPr="002B10DA">
        <w:rPr>
          <w:rFonts w:ascii="Times New Roman" w:hAnsi="Times New Roman" w:cs="Times New Roman"/>
          <w:sz w:val="24"/>
          <w:szCs w:val="24"/>
          <w:lang w:val="en-GB"/>
        </w:rPr>
        <w:t xml:space="preserve"> In the manner of Augustine, Gregory compared miracles like the Resurrection and the blossoming of the dry rod of Aaron to natural processes which occur in the everyday world but which do not seem miraculous to us because we are used to them.</w:t>
      </w:r>
      <w:r w:rsidRPr="002B10DA">
        <w:rPr>
          <w:rFonts w:ascii="Times New Roman" w:eastAsia="Times New Roman" w:hAnsi="Times New Roman" w:cs="Times New Roman"/>
          <w:sz w:val="24"/>
          <w:szCs w:val="24"/>
          <w:vertAlign w:val="superscript"/>
          <w:lang w:val="en-GB"/>
        </w:rPr>
        <w:endnoteReference w:id="19"/>
      </w:r>
      <w:r w:rsidR="009A1967">
        <w:rPr>
          <w:rFonts w:ascii="Times New Roman" w:hAnsi="Times New Roman" w:cs="Times New Roman"/>
          <w:sz w:val="24"/>
          <w:szCs w:val="24"/>
          <w:lang w:val="en-GB"/>
        </w:rPr>
        <w:t xml:space="preserve"> Objectively, these </w:t>
      </w:r>
      <w:r w:rsidRPr="002B10DA">
        <w:rPr>
          <w:rFonts w:ascii="Times New Roman" w:hAnsi="Times New Roman" w:cs="Times New Roman"/>
          <w:sz w:val="24"/>
          <w:szCs w:val="24"/>
          <w:lang w:val="en-GB"/>
        </w:rPr>
        <w:t xml:space="preserve">events are no </w:t>
      </w:r>
      <w:r w:rsidR="00061809">
        <w:rPr>
          <w:rFonts w:ascii="Times New Roman" w:hAnsi="Times New Roman" w:cs="Times New Roman"/>
          <w:sz w:val="24"/>
          <w:szCs w:val="24"/>
          <w:lang w:val="en-GB"/>
        </w:rPr>
        <w:t>more miraculous than any other—</w:t>
      </w:r>
      <w:r w:rsidRPr="002B10DA">
        <w:rPr>
          <w:rFonts w:ascii="Times New Roman" w:hAnsi="Times New Roman" w:cs="Times New Roman"/>
          <w:sz w:val="24"/>
          <w:szCs w:val="24"/>
          <w:lang w:val="en-GB"/>
        </w:rPr>
        <w:t xml:space="preserve">all of Creation is, in a sense, a miracle. Again, however, Gregory does not suggest that we should therefore give up on identifying miracles. Rather, it is clear from his writings that these events, which evoke wonder in humans, are worthy of our attention as special signs from God. Within </w:t>
      </w:r>
      <w:r w:rsidR="00F906F6">
        <w:rPr>
          <w:rFonts w:ascii="Times New Roman" w:hAnsi="Times New Roman" w:cs="Times New Roman"/>
          <w:sz w:val="24"/>
          <w:szCs w:val="24"/>
          <w:lang w:val="en-GB"/>
        </w:rPr>
        <w:t>this paradigm</w:t>
      </w:r>
      <w:r w:rsidRPr="002B10DA">
        <w:rPr>
          <w:rFonts w:ascii="Times New Roman" w:hAnsi="Times New Roman" w:cs="Times New Roman"/>
          <w:sz w:val="24"/>
          <w:szCs w:val="24"/>
          <w:lang w:val="en-GB"/>
        </w:rPr>
        <w:t xml:space="preserve"> there is no way of defining miracle without reference to the viewpoint of the observer. The unusualness of the miracle is what sets it apart from the everyday and reveals it as a signifier of deeper truths (it should be noted that, despite Aquinas’ attempts to objectively define miracles, the ultimate criterion was still for him the wonder of those who witnessed it).</w:t>
      </w:r>
      <w:r w:rsidRPr="002B10DA">
        <w:rPr>
          <w:rFonts w:ascii="Times New Roman" w:eastAsia="Times New Roman" w:hAnsi="Times New Roman" w:cs="Times New Roman"/>
          <w:sz w:val="24"/>
          <w:szCs w:val="24"/>
          <w:vertAlign w:val="superscript"/>
          <w:lang w:val="en-GB"/>
        </w:rPr>
        <w:endnoteReference w:id="20"/>
      </w:r>
      <w:r w:rsidRPr="002B10DA">
        <w:rPr>
          <w:rFonts w:ascii="Times New Roman" w:hAnsi="Times New Roman" w:cs="Times New Roman"/>
          <w:sz w:val="24"/>
          <w:szCs w:val="24"/>
          <w:lang w:val="en-GB"/>
        </w:rPr>
        <w:t xml:space="preserve"> </w:t>
      </w:r>
    </w:p>
    <w:p w14:paraId="45B93DED" w14:textId="18FEE3FF" w:rsidR="00B21D7D" w:rsidRDefault="00B21D7D" w:rsidP="00B07C8F">
      <w:pPr>
        <w:pStyle w:val="Body"/>
        <w:spacing w:line="480" w:lineRule="auto"/>
        <w:jc w:val="both"/>
        <w:rPr>
          <w:rFonts w:ascii="Times New Roman" w:hAnsi="Times New Roman" w:cs="Times New Roman"/>
          <w:kern w:val="2"/>
          <w:sz w:val="24"/>
          <w:szCs w:val="24"/>
          <w:lang w:val="en-GB"/>
        </w:rPr>
      </w:pPr>
      <w:r w:rsidRPr="002B10DA">
        <w:rPr>
          <w:rFonts w:ascii="Times New Roman" w:eastAsia="Times New Roman" w:hAnsi="Times New Roman" w:cs="Times New Roman"/>
          <w:sz w:val="24"/>
          <w:szCs w:val="24"/>
          <w:lang w:val="en-GB"/>
        </w:rPr>
        <w:lastRenderedPageBreak/>
        <w:tab/>
      </w:r>
      <w:r w:rsidR="00973A12">
        <w:rPr>
          <w:rFonts w:ascii="Times New Roman" w:eastAsia="Times New Roman" w:hAnsi="Times New Roman" w:cs="Times New Roman"/>
          <w:sz w:val="24"/>
          <w:szCs w:val="24"/>
          <w:lang w:val="en-GB"/>
        </w:rPr>
        <w:t xml:space="preserve">Scholarly interpretations of late antique </w:t>
      </w:r>
      <w:r w:rsidR="009A1967">
        <w:rPr>
          <w:rFonts w:ascii="Times New Roman" w:eastAsia="Times New Roman" w:hAnsi="Times New Roman" w:cs="Times New Roman"/>
          <w:sz w:val="24"/>
          <w:szCs w:val="24"/>
          <w:lang w:val="en-GB"/>
        </w:rPr>
        <w:t>perceptions</w:t>
      </w:r>
      <w:r w:rsidR="00973A12">
        <w:rPr>
          <w:rFonts w:ascii="Times New Roman" w:eastAsia="Times New Roman" w:hAnsi="Times New Roman" w:cs="Times New Roman"/>
          <w:sz w:val="24"/>
          <w:szCs w:val="24"/>
          <w:lang w:val="en-GB"/>
        </w:rPr>
        <w:t xml:space="preserve"> of </w:t>
      </w:r>
      <w:r w:rsidR="009A1967">
        <w:rPr>
          <w:rFonts w:ascii="Times New Roman" w:eastAsia="Times New Roman" w:hAnsi="Times New Roman" w:cs="Times New Roman"/>
          <w:sz w:val="24"/>
          <w:szCs w:val="24"/>
          <w:lang w:val="en-GB"/>
        </w:rPr>
        <w:t>the miraculous</w:t>
      </w:r>
      <w:r w:rsidR="00973A12">
        <w:rPr>
          <w:rFonts w:ascii="Times New Roman" w:eastAsia="Times New Roman" w:hAnsi="Times New Roman" w:cs="Times New Roman"/>
          <w:sz w:val="24"/>
          <w:szCs w:val="24"/>
          <w:lang w:val="en-GB"/>
        </w:rPr>
        <w:t xml:space="preserve"> have </w:t>
      </w:r>
      <w:r w:rsidR="009A1967">
        <w:rPr>
          <w:rFonts w:ascii="Times New Roman" w:eastAsia="Times New Roman" w:hAnsi="Times New Roman" w:cs="Times New Roman"/>
          <w:sz w:val="24"/>
          <w:szCs w:val="24"/>
          <w:lang w:val="en-GB"/>
        </w:rPr>
        <w:t xml:space="preserve">been </w:t>
      </w:r>
      <w:r w:rsidR="00973A12">
        <w:rPr>
          <w:rFonts w:ascii="Times New Roman" w:eastAsia="Times New Roman" w:hAnsi="Times New Roman" w:cs="Times New Roman"/>
          <w:sz w:val="24"/>
          <w:szCs w:val="24"/>
          <w:lang w:val="en-GB"/>
        </w:rPr>
        <w:t xml:space="preserve">varied. </w:t>
      </w:r>
      <w:r w:rsidRPr="002B10DA">
        <w:rPr>
          <w:rFonts w:ascii="Times New Roman" w:hAnsi="Times New Roman" w:cs="Times New Roman"/>
          <w:sz w:val="24"/>
          <w:szCs w:val="24"/>
          <w:lang w:val="en-GB"/>
        </w:rPr>
        <w:t>Maurice Wiles identified an</w:t>
      </w:r>
      <w:r w:rsidR="00973A12">
        <w:rPr>
          <w:rFonts w:ascii="Times New Roman" w:hAnsi="Times New Roman" w:cs="Times New Roman"/>
          <w:sz w:val="24"/>
          <w:szCs w:val="24"/>
          <w:lang w:val="en-GB"/>
        </w:rPr>
        <w:t xml:space="preserve"> ‘inescapable problem’ for the</w:t>
      </w:r>
      <w:r w:rsidRPr="002B10DA">
        <w:rPr>
          <w:rFonts w:ascii="Times New Roman" w:hAnsi="Times New Roman" w:cs="Times New Roman"/>
          <w:sz w:val="24"/>
          <w:szCs w:val="24"/>
          <w:lang w:val="en-GB"/>
        </w:rPr>
        <w:t xml:space="preserve"> patristic writers, namely that ‘they want to stress the absolute transcendent nature of the miracle that it may make its point, but at the same time they want to show its congruity with other aspects of experience so that the Christ of faith may be seen to be in harmony with the God of creation’.</w:t>
      </w:r>
      <w:r w:rsidRPr="002B10DA">
        <w:rPr>
          <w:rFonts w:ascii="Times New Roman" w:eastAsia="Times New Roman" w:hAnsi="Times New Roman" w:cs="Times New Roman"/>
          <w:sz w:val="24"/>
          <w:szCs w:val="24"/>
          <w:vertAlign w:val="superscript"/>
          <w:lang w:val="en-GB"/>
        </w:rPr>
        <w:endnoteReference w:id="21"/>
      </w:r>
      <w:r w:rsidRPr="002B10DA">
        <w:rPr>
          <w:rFonts w:ascii="Times New Roman" w:hAnsi="Times New Roman" w:cs="Times New Roman"/>
          <w:sz w:val="24"/>
          <w:szCs w:val="24"/>
          <w:lang w:val="en-GB"/>
        </w:rPr>
        <w:t xml:space="preserve"> A similar contradiction has been identified by Jo</w:t>
      </w:r>
      <w:r w:rsidR="00973A12">
        <w:rPr>
          <w:rFonts w:ascii="Times New Roman" w:hAnsi="Times New Roman" w:cs="Times New Roman"/>
          <w:sz w:val="24"/>
          <w:szCs w:val="24"/>
          <w:lang w:val="en-GB"/>
        </w:rPr>
        <w:t>hn Carey in early Irish texts: w</w:t>
      </w:r>
      <w:r w:rsidRPr="002B10DA">
        <w:rPr>
          <w:rFonts w:ascii="Times New Roman" w:hAnsi="Times New Roman" w:cs="Times New Roman"/>
          <w:sz w:val="24"/>
          <w:szCs w:val="24"/>
          <w:lang w:val="en-GB"/>
        </w:rPr>
        <w:t xml:space="preserve">here Augustinus Hibernicus emphasizes the miraculous nature of </w:t>
      </w:r>
      <w:r w:rsidRPr="002B10DA">
        <w:rPr>
          <w:rFonts w:ascii="Times New Roman" w:hAnsi="Times New Roman" w:cs="Times New Roman"/>
          <w:i/>
          <w:sz w:val="24"/>
          <w:szCs w:val="24"/>
          <w:lang w:val="en-GB"/>
        </w:rPr>
        <w:t>all</w:t>
      </w:r>
      <w:r w:rsidRPr="002B10DA">
        <w:rPr>
          <w:rFonts w:ascii="Times New Roman" w:hAnsi="Times New Roman" w:cs="Times New Roman"/>
          <w:sz w:val="24"/>
          <w:szCs w:val="24"/>
          <w:lang w:val="en-GB"/>
        </w:rPr>
        <w:t xml:space="preserve"> of creation, Adomnán of Iona describes Columba’s miracles as being ‘contra naturam’.</w:t>
      </w:r>
      <w:r w:rsidRPr="002B10DA">
        <w:rPr>
          <w:rFonts w:ascii="Times New Roman" w:eastAsia="Times New Roman" w:hAnsi="Times New Roman" w:cs="Times New Roman"/>
          <w:sz w:val="24"/>
          <w:szCs w:val="24"/>
          <w:vertAlign w:val="superscript"/>
          <w:lang w:val="en-GB"/>
        </w:rPr>
        <w:endnoteReference w:id="22"/>
      </w:r>
      <w:r w:rsidRPr="002B10DA">
        <w:rPr>
          <w:rFonts w:ascii="Times New Roman" w:hAnsi="Times New Roman" w:cs="Times New Roman"/>
          <w:sz w:val="24"/>
          <w:szCs w:val="24"/>
          <w:lang w:val="en-GB"/>
        </w:rPr>
        <w:t xml:space="preserve"> Such a difference in opinion can at least partly be explained by a difference in genre: cosmologists would </w:t>
      </w:r>
      <w:r w:rsidR="00714A93">
        <w:rPr>
          <w:rFonts w:ascii="Times New Roman" w:hAnsi="Times New Roman" w:cs="Times New Roman"/>
          <w:sz w:val="24"/>
          <w:szCs w:val="24"/>
          <w:lang w:val="en-GB"/>
        </w:rPr>
        <w:t xml:space="preserve">presumably </w:t>
      </w:r>
      <w:r w:rsidRPr="002B10DA">
        <w:rPr>
          <w:rFonts w:ascii="Times New Roman" w:hAnsi="Times New Roman" w:cs="Times New Roman"/>
          <w:sz w:val="24"/>
          <w:szCs w:val="24"/>
          <w:lang w:val="en-GB"/>
        </w:rPr>
        <w:t xml:space="preserve">wish to emphasize the fact that all of creation is a miracle, hagiographers to </w:t>
      </w:r>
      <w:r w:rsidR="00714A93">
        <w:rPr>
          <w:rFonts w:ascii="Times New Roman" w:hAnsi="Times New Roman" w:cs="Times New Roman"/>
          <w:sz w:val="24"/>
          <w:szCs w:val="24"/>
          <w:lang w:val="en-GB"/>
        </w:rPr>
        <w:t>stress</w:t>
      </w:r>
      <w:r w:rsidRPr="002B10DA">
        <w:rPr>
          <w:rFonts w:ascii="Times New Roman" w:hAnsi="Times New Roman" w:cs="Times New Roman"/>
          <w:sz w:val="24"/>
          <w:szCs w:val="24"/>
          <w:lang w:val="en-GB"/>
        </w:rPr>
        <w:t xml:space="preserve"> the supramundane power of a saint’s miracles. But this seeming incongruity was rarely acknowledged or even caused much of an issue for medieval thinkers. Robert Bartlett has discussed how events with regular causes and scientific explanations that were known to their observers could nevertheless be read as miraculous by some medieval writers, a dissonance which would have been untenable to Aquinas.</w:t>
      </w:r>
      <w:r w:rsidRPr="002B10DA">
        <w:rPr>
          <w:rFonts w:ascii="Times New Roman" w:eastAsia="Times New Roman" w:hAnsi="Times New Roman" w:cs="Times New Roman"/>
          <w:sz w:val="24"/>
          <w:szCs w:val="24"/>
          <w:vertAlign w:val="superscript"/>
          <w:lang w:val="en-GB"/>
        </w:rPr>
        <w:endnoteReference w:id="23"/>
      </w:r>
      <w:r w:rsidRPr="002B10DA">
        <w:rPr>
          <w:rFonts w:ascii="Times New Roman" w:hAnsi="Times New Roman" w:cs="Times New Roman"/>
          <w:sz w:val="24"/>
          <w:szCs w:val="24"/>
          <w:lang w:val="en-GB"/>
        </w:rPr>
        <w:t xml:space="preserve"> A particularly telling example of this sensibility is found in Gregory of Tours’ writings. </w:t>
      </w:r>
      <w:r w:rsidRPr="002B10DA">
        <w:rPr>
          <w:rFonts w:ascii="Times New Roman" w:hAnsi="Times New Roman" w:cs="Times New Roman"/>
          <w:kern w:val="2"/>
          <w:sz w:val="24"/>
          <w:szCs w:val="24"/>
          <w:lang w:val="en-GB"/>
        </w:rPr>
        <w:t xml:space="preserve">His </w:t>
      </w:r>
      <w:r w:rsidRPr="002B10DA">
        <w:rPr>
          <w:rFonts w:ascii="Times New Roman" w:hAnsi="Times New Roman" w:cs="Times New Roman"/>
          <w:i/>
          <w:iCs/>
          <w:kern w:val="2"/>
          <w:sz w:val="24"/>
          <w:szCs w:val="24"/>
          <w:lang w:val="en-GB"/>
        </w:rPr>
        <w:t>Decem libri historiarum</w:t>
      </w:r>
      <w:r w:rsidRPr="002B10DA">
        <w:rPr>
          <w:rFonts w:ascii="Times New Roman" w:hAnsi="Times New Roman" w:cs="Times New Roman"/>
          <w:kern w:val="2"/>
          <w:sz w:val="24"/>
          <w:szCs w:val="24"/>
          <w:lang w:val="en-GB"/>
        </w:rPr>
        <w:t xml:space="preserve"> </w:t>
      </w:r>
      <w:r w:rsidR="000E66ED" w:rsidRPr="002B10DA">
        <w:rPr>
          <w:rFonts w:ascii="Times New Roman" w:hAnsi="Times New Roman" w:cs="Times New Roman"/>
          <w:kern w:val="2"/>
          <w:sz w:val="24"/>
          <w:szCs w:val="24"/>
          <w:lang w:val="en-GB"/>
        </w:rPr>
        <w:t>are</w:t>
      </w:r>
      <w:r w:rsidRPr="002B10DA">
        <w:rPr>
          <w:rFonts w:ascii="Times New Roman" w:hAnsi="Times New Roman" w:cs="Times New Roman"/>
          <w:kern w:val="2"/>
          <w:sz w:val="24"/>
          <w:szCs w:val="24"/>
          <w:lang w:val="en-GB"/>
        </w:rPr>
        <w:t xml:space="preserve"> full of prodigies and signs that indicate divine disfavour in the form of deaths, plagues or other ravaging disasters.</w:t>
      </w:r>
      <w:r w:rsidRPr="002B10DA">
        <w:rPr>
          <w:rFonts w:ascii="Times New Roman" w:eastAsia="Times New Roman" w:hAnsi="Times New Roman" w:cs="Times New Roman"/>
          <w:kern w:val="2"/>
          <w:sz w:val="24"/>
          <w:szCs w:val="24"/>
          <w:vertAlign w:val="superscript"/>
          <w:lang w:val="en-GB"/>
        </w:rPr>
        <w:endnoteReference w:id="24"/>
      </w:r>
      <w:r w:rsidR="00714A93">
        <w:rPr>
          <w:rFonts w:ascii="Times New Roman" w:hAnsi="Times New Roman" w:cs="Times New Roman"/>
          <w:kern w:val="2"/>
          <w:sz w:val="24"/>
          <w:szCs w:val="24"/>
          <w:lang w:val="en-GB"/>
        </w:rPr>
        <w:t xml:space="preserve"> Yet he was happy</w:t>
      </w:r>
      <w:r w:rsidRPr="002B10DA">
        <w:rPr>
          <w:rFonts w:ascii="Times New Roman" w:hAnsi="Times New Roman" w:cs="Times New Roman"/>
          <w:kern w:val="2"/>
          <w:sz w:val="24"/>
          <w:szCs w:val="24"/>
          <w:lang w:val="en-GB"/>
        </w:rPr>
        <w:t xml:space="preserve"> to discuss a ‘hi</w:t>
      </w:r>
      <w:r w:rsidR="000E69B1">
        <w:rPr>
          <w:rFonts w:ascii="Times New Roman" w:hAnsi="Times New Roman" w:cs="Times New Roman"/>
          <w:kern w:val="2"/>
          <w:sz w:val="24"/>
          <w:szCs w:val="24"/>
          <w:lang w:val="en-GB"/>
        </w:rPr>
        <w:t>dden poison’ (</w:t>
      </w:r>
      <w:r w:rsidR="000E69B1" w:rsidRPr="000E69B1">
        <w:rPr>
          <w:rFonts w:ascii="Times New Roman" w:hAnsi="Times New Roman" w:cs="Times New Roman"/>
          <w:i/>
          <w:kern w:val="2"/>
          <w:sz w:val="24"/>
          <w:szCs w:val="24"/>
          <w:lang w:val="en-GB"/>
        </w:rPr>
        <w:t>veninum occultum</w:t>
      </w:r>
      <w:r w:rsidRPr="002B10DA">
        <w:rPr>
          <w:rFonts w:ascii="Times New Roman" w:hAnsi="Times New Roman" w:cs="Times New Roman"/>
          <w:kern w:val="2"/>
          <w:sz w:val="24"/>
          <w:szCs w:val="24"/>
          <w:lang w:val="en-GB"/>
        </w:rPr>
        <w:t>) as a possible cause of one of these plagues and to detail how some victims were cured with antidotes. Giselle de Nie has observed that, for Gregory, both natural and divine causes can be ascribed to such events—the existence of one does not preclude the other.</w:t>
      </w:r>
      <w:r w:rsidRPr="002B10DA">
        <w:rPr>
          <w:rFonts w:ascii="Times New Roman" w:eastAsia="Times New Roman" w:hAnsi="Times New Roman" w:cs="Times New Roman"/>
          <w:kern w:val="2"/>
          <w:sz w:val="24"/>
          <w:szCs w:val="24"/>
          <w:vertAlign w:val="superscript"/>
          <w:lang w:val="en-GB"/>
        </w:rPr>
        <w:endnoteReference w:id="25"/>
      </w:r>
      <w:r w:rsidRPr="002B10DA">
        <w:rPr>
          <w:rFonts w:ascii="Times New Roman" w:hAnsi="Times New Roman" w:cs="Times New Roman"/>
          <w:kern w:val="2"/>
          <w:sz w:val="24"/>
          <w:szCs w:val="24"/>
          <w:lang w:val="en-GB"/>
        </w:rPr>
        <w:t xml:space="preserve"> Elsewhere, Edward James has painted a picture of Gregory’s beliefs that fit easily with the patristic understanding described above. He observes of Gregory’s views: ‘The growth of a seed into a tree and </w:t>
      </w:r>
      <w:r w:rsidRPr="002B10DA">
        <w:rPr>
          <w:rFonts w:ascii="Times New Roman" w:hAnsi="Times New Roman" w:cs="Times New Roman"/>
          <w:kern w:val="2"/>
          <w:sz w:val="24"/>
          <w:szCs w:val="24"/>
          <w:lang w:val="en-GB"/>
        </w:rPr>
        <w:lastRenderedPageBreak/>
        <w:t>the movement of stars were great wonders</w:t>
      </w:r>
      <w:r w:rsidR="00714A93">
        <w:rPr>
          <w:rFonts w:ascii="Times New Roman" w:hAnsi="Times New Roman" w:cs="Times New Roman"/>
          <w:kern w:val="2"/>
          <w:sz w:val="24"/>
          <w:szCs w:val="24"/>
          <w:lang w:val="en-GB"/>
        </w:rPr>
        <w:t>, miracles worked every day by G</w:t>
      </w:r>
      <w:r w:rsidRPr="002B10DA">
        <w:rPr>
          <w:rFonts w:ascii="Times New Roman" w:hAnsi="Times New Roman" w:cs="Times New Roman"/>
          <w:kern w:val="2"/>
          <w:sz w:val="24"/>
          <w:szCs w:val="24"/>
          <w:lang w:val="en-GB"/>
        </w:rPr>
        <w:t xml:space="preserve">od; the removal of a headache by contact with a relic was equally inexplicable to Gregory, but clearly belonged to the same category of </w:t>
      </w:r>
      <w:r w:rsidR="00362C29">
        <w:rPr>
          <w:noProof/>
        </w:rPr>
        <mc:AlternateContent>
          <mc:Choice Requires="wps">
            <w:drawing>
              <wp:anchor distT="0" distB="0" distL="114300" distR="114300" simplePos="0" relativeHeight="251659264" behindDoc="0" locked="0" layoutInCell="1" allowOverlap="1" wp14:anchorId="5BE47EB2" wp14:editId="68774F37">
                <wp:simplePos x="0" y="0"/>
                <wp:positionH relativeFrom="column">
                  <wp:posOffset>-1080135</wp:posOffset>
                </wp:positionH>
                <wp:positionV relativeFrom="paragraph">
                  <wp:posOffset>979170</wp:posOffset>
                </wp:positionV>
                <wp:extent cx="542925" cy="7988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542925" cy="798830"/>
                        </a:xfrm>
                        <a:prstGeom prst="rect">
                          <a:avLst/>
                        </a:prstGeom>
                        <a:noFill/>
                        <a:ln>
                          <a:noFill/>
                        </a:ln>
                        <a:effectLst/>
                      </wps:spPr>
                      <wps:txbx>
                        <w:txbxContent>
                          <w:p w14:paraId="5E05DB56" w14:textId="230C470F" w:rsidR="00B07C8F" w:rsidRPr="00B07C8F" w:rsidRDefault="00B07C8F" w:rsidP="001B0052">
                            <w:pPr>
                              <w:pStyle w:val="Body"/>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Heading: </w:t>
                            </w:r>
                            <w:r w:rsidRPr="00B07C8F">
                              <w:rPr>
                                <w:rFonts w:ascii="Times New Roman" w:eastAsia="Times New Roman" w:hAnsi="Times New Roman" w:cs="Times New Roman"/>
                                <w:sz w:val="24"/>
                                <w:szCs w:val="24"/>
                                <w:lang w:val="en-GB"/>
                              </w:rPr>
                              <w:t>A</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E47EB2" id="_x0000_t202" coordsize="21600,21600" o:spt="202" path="m0,0l0,21600,21600,21600,21600,0xe">
                <v:stroke joinstyle="miter"/>
                <v:path gradientshapeok="t" o:connecttype="rect"/>
              </v:shapetype>
              <v:shape id="Text_x0020_Box_x0020_1" o:spid="_x0000_s1026" type="#_x0000_t202" style="position:absolute;left:0;text-align:left;margin-left:-85.05pt;margin-top:77.1pt;width:42.75pt;height:62.9pt;rotation:18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" filled="f" stroked="f">
                <v:fill o:detectmouseclick="t"/>
                <v:textbox style="layout-flow:vertical-ideographic;mso-fit-shape-to-text:t">
                  <w:txbxContent>
                    <w:p w14:paraId="5E05DB56" w14:textId="230C470F" w:rsidR="00B07C8F" w:rsidRPr="00B07C8F" w:rsidRDefault="00B07C8F" w:rsidP="001B0052">
                      <w:pPr>
                        <w:pStyle w:val="Body"/>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Heading: </w:t>
                      </w:r>
                      <w:r w:rsidRPr="00B07C8F">
                        <w:rPr>
                          <w:rFonts w:ascii="Times New Roman" w:eastAsia="Times New Roman" w:hAnsi="Times New Roman" w:cs="Times New Roman"/>
                          <w:sz w:val="24"/>
                          <w:szCs w:val="24"/>
                          <w:lang w:val="en-GB"/>
                        </w:rPr>
                        <w:t>A</w:t>
                      </w:r>
                    </w:p>
                  </w:txbxContent>
                </v:textbox>
                <w10:wrap type="square"/>
              </v:shape>
            </w:pict>
          </mc:Fallback>
        </mc:AlternateContent>
      </w:r>
      <w:r w:rsidRPr="002B10DA">
        <w:rPr>
          <w:rFonts w:ascii="Times New Roman" w:hAnsi="Times New Roman" w:cs="Times New Roman"/>
          <w:kern w:val="2"/>
          <w:sz w:val="24"/>
          <w:szCs w:val="24"/>
          <w:lang w:val="en-GB"/>
        </w:rPr>
        <w:t>phenomena’.</w:t>
      </w:r>
      <w:r w:rsidRPr="002B10DA">
        <w:rPr>
          <w:rFonts w:ascii="Times New Roman" w:eastAsia="Times New Roman" w:hAnsi="Times New Roman" w:cs="Times New Roman"/>
          <w:kern w:val="2"/>
          <w:sz w:val="24"/>
          <w:szCs w:val="24"/>
          <w:vertAlign w:val="superscript"/>
          <w:lang w:val="en-GB"/>
        </w:rPr>
        <w:endnoteReference w:id="26"/>
      </w:r>
    </w:p>
    <w:p w14:paraId="7B0F7FAB" w14:textId="77777777" w:rsidR="00362C29" w:rsidRPr="002B10DA" w:rsidRDefault="00362C29" w:rsidP="00B07C8F">
      <w:pPr>
        <w:pStyle w:val="Body"/>
        <w:spacing w:line="480" w:lineRule="auto"/>
        <w:jc w:val="both"/>
        <w:rPr>
          <w:rFonts w:ascii="Times New Roman" w:hAnsi="Times New Roman" w:cs="Times New Roman"/>
          <w:kern w:val="2"/>
          <w:sz w:val="24"/>
          <w:szCs w:val="24"/>
          <w:lang w:val="en-GB"/>
        </w:rPr>
      </w:pPr>
    </w:p>
    <w:p w14:paraId="0D4A5C68" w14:textId="0E6C8A7E" w:rsidR="00B21D7D" w:rsidRPr="002B10DA" w:rsidRDefault="00B21D7D" w:rsidP="00B07C8F">
      <w:pPr>
        <w:pStyle w:val="Body"/>
        <w:spacing w:line="480" w:lineRule="auto"/>
        <w:jc w:val="center"/>
        <w:outlineLvl w:val="0"/>
        <w:rPr>
          <w:rFonts w:ascii="Times New Roman" w:eastAsia="Times New Roman" w:hAnsi="Times New Roman" w:cs="Times New Roman"/>
          <w:b/>
          <w:bCs/>
          <w:sz w:val="24"/>
          <w:szCs w:val="24"/>
          <w:lang w:val="en-GB"/>
        </w:rPr>
      </w:pPr>
      <w:r w:rsidRPr="002B10DA">
        <w:rPr>
          <w:rFonts w:ascii="Times New Roman" w:hAnsi="Times New Roman" w:cs="Times New Roman"/>
          <w:b/>
          <w:bCs/>
          <w:sz w:val="24"/>
          <w:szCs w:val="24"/>
          <w:lang w:val="en-GB"/>
        </w:rPr>
        <w:t>Defining miracles in Bede</w:t>
      </w:r>
    </w:p>
    <w:p w14:paraId="78C7C656" w14:textId="77777777" w:rsidR="00B21D7D" w:rsidRPr="002B10DA" w:rsidRDefault="00B21D7D" w:rsidP="00B07C8F">
      <w:pPr>
        <w:pStyle w:val="Body"/>
        <w:spacing w:line="480" w:lineRule="auto"/>
        <w:jc w:val="both"/>
        <w:rPr>
          <w:rFonts w:ascii="Times New Roman" w:eastAsia="Times New Roman" w:hAnsi="Times New Roman" w:cs="Times New Roman"/>
          <w:sz w:val="24"/>
          <w:szCs w:val="24"/>
          <w:lang w:val="en-GB"/>
        </w:rPr>
      </w:pPr>
    </w:p>
    <w:p w14:paraId="2310D92A" w14:textId="065A1D43" w:rsidR="00B21D7D" w:rsidRDefault="00B21D7D" w:rsidP="00B07C8F">
      <w:pPr>
        <w:pStyle w:val="Body"/>
        <w:spacing w:line="480" w:lineRule="auto"/>
        <w:jc w:val="both"/>
        <w:rPr>
          <w:rFonts w:ascii="Times New Roman" w:hAnsi="Times New Roman" w:cs="Times New Roman"/>
          <w:sz w:val="24"/>
          <w:szCs w:val="24"/>
          <w:lang w:val="en-GB"/>
        </w:rPr>
      </w:pPr>
      <w:r w:rsidRPr="002B10DA">
        <w:rPr>
          <w:rFonts w:ascii="Times New Roman" w:hAnsi="Times New Roman" w:cs="Times New Roman"/>
          <w:sz w:val="24"/>
          <w:szCs w:val="24"/>
          <w:lang w:val="en-GB"/>
        </w:rPr>
        <w:t xml:space="preserve">This, then, is the context in which Bede </w:t>
      </w:r>
      <w:r w:rsidR="005514F5">
        <w:rPr>
          <w:rFonts w:ascii="Times New Roman" w:hAnsi="Times New Roman" w:cs="Times New Roman"/>
          <w:sz w:val="24"/>
          <w:szCs w:val="24"/>
          <w:lang w:val="en-GB"/>
        </w:rPr>
        <w:t>wrote</w:t>
      </w:r>
      <w:r w:rsidRPr="002B10DA">
        <w:rPr>
          <w:rFonts w:ascii="Times New Roman" w:hAnsi="Times New Roman" w:cs="Times New Roman"/>
          <w:sz w:val="24"/>
          <w:szCs w:val="24"/>
          <w:lang w:val="en-GB"/>
        </w:rPr>
        <w:t xml:space="preserve"> and we must approach his conception of the miraculous with </w:t>
      </w:r>
      <w:r w:rsidR="001C74F3">
        <w:rPr>
          <w:rFonts w:ascii="Times New Roman" w:hAnsi="Times New Roman" w:cs="Times New Roman"/>
          <w:sz w:val="24"/>
          <w:szCs w:val="24"/>
          <w:lang w:val="en-GB"/>
        </w:rPr>
        <w:t>it</w:t>
      </w:r>
      <w:r w:rsidRPr="002B10DA">
        <w:rPr>
          <w:rFonts w:ascii="Times New Roman" w:hAnsi="Times New Roman" w:cs="Times New Roman"/>
          <w:sz w:val="24"/>
          <w:szCs w:val="24"/>
          <w:lang w:val="en-GB"/>
        </w:rPr>
        <w:t xml:space="preserve"> in mind. Such an approach has not been widely adopted, however, and the definition of the miraculous as something that goes against the laws of nature is common in modern </w:t>
      </w:r>
      <w:r w:rsidR="007D38EF">
        <w:rPr>
          <w:rFonts w:ascii="Times New Roman" w:hAnsi="Times New Roman" w:cs="Times New Roman"/>
          <w:sz w:val="24"/>
          <w:szCs w:val="24"/>
          <w:lang w:val="en-GB"/>
        </w:rPr>
        <w:t>scholarship</w:t>
      </w:r>
      <w:r w:rsidRPr="002B10DA">
        <w:rPr>
          <w:rFonts w:ascii="Times New Roman" w:hAnsi="Times New Roman" w:cs="Times New Roman"/>
          <w:sz w:val="24"/>
          <w:szCs w:val="24"/>
          <w:lang w:val="en-GB"/>
        </w:rPr>
        <w:t>. As McCready puts it with regard to Bede’s portrayal of miracles: ‘far from stripping nature of any and all consistency of its own, miracles were remarkable precisely because they remained those rare occurrences in which nature was required to yield to the divine, normal human expectations being suspended by the breakthrough of the transcendent’.</w:t>
      </w:r>
      <w:r w:rsidRPr="002B10DA">
        <w:rPr>
          <w:rFonts w:ascii="Times New Roman" w:eastAsia="Times New Roman" w:hAnsi="Times New Roman" w:cs="Times New Roman"/>
          <w:sz w:val="24"/>
          <w:szCs w:val="24"/>
          <w:vertAlign w:val="superscript"/>
          <w:lang w:val="en-GB"/>
        </w:rPr>
        <w:endnoteReference w:id="27"/>
      </w:r>
      <w:r w:rsidRPr="002B10DA">
        <w:rPr>
          <w:rFonts w:ascii="Times New Roman" w:hAnsi="Times New Roman" w:cs="Times New Roman"/>
          <w:sz w:val="24"/>
          <w:szCs w:val="24"/>
          <w:lang w:val="en-GB"/>
        </w:rPr>
        <w:t xml:space="preserve"> Applying such an anachronistic definition of the miraculous to Bede’s thought results in some unconvincing results. For instance, McCready does not classify the cures effected by scrapings from Irish parchment as truly miraculous, ‘but rather a product of the natural properties of things Irish’.</w:t>
      </w:r>
      <w:r w:rsidRPr="002B10DA">
        <w:rPr>
          <w:rFonts w:ascii="Times New Roman" w:eastAsia="Times New Roman" w:hAnsi="Times New Roman" w:cs="Times New Roman"/>
          <w:sz w:val="24"/>
          <w:szCs w:val="24"/>
          <w:vertAlign w:val="superscript"/>
          <w:lang w:val="en-GB"/>
        </w:rPr>
        <w:endnoteReference w:id="28"/>
      </w:r>
      <w:r w:rsidRPr="002B10DA">
        <w:rPr>
          <w:rFonts w:ascii="Times New Roman" w:hAnsi="Times New Roman" w:cs="Times New Roman"/>
          <w:sz w:val="24"/>
          <w:szCs w:val="24"/>
          <w:lang w:val="en-GB"/>
        </w:rPr>
        <w:t xml:space="preserve"> This artificial division between such events and other miracles does a disservice to Bede’s worldview for the sake of imposing a clear, post-scholastic definition where none exists. Even when scholars have recognized in the abstract that Bede’s beliefs do not match with these later developments,</w:t>
      </w:r>
      <w:r w:rsidRPr="002B10DA">
        <w:rPr>
          <w:rFonts w:ascii="Times New Roman" w:eastAsia="Times New Roman" w:hAnsi="Times New Roman" w:cs="Times New Roman"/>
          <w:sz w:val="24"/>
          <w:szCs w:val="24"/>
          <w:vertAlign w:val="superscript"/>
          <w:lang w:val="en-GB"/>
        </w:rPr>
        <w:endnoteReference w:id="29"/>
      </w:r>
      <w:r w:rsidRPr="002B10DA">
        <w:rPr>
          <w:rFonts w:ascii="Times New Roman" w:hAnsi="Times New Roman" w:cs="Times New Roman"/>
          <w:sz w:val="24"/>
          <w:szCs w:val="24"/>
          <w:lang w:val="en-GB"/>
        </w:rPr>
        <w:t xml:space="preserve"> the categorization of miracles in this manner proves hard to escape. Most studies have thus been concerned to discuss only a small selection of the various representations of the miraculous that populate Bede’s writings. This limiting definition is obvious when scholars attempt to count Bede’s miracles. </w:t>
      </w:r>
      <w:r w:rsidR="001C74F3">
        <w:rPr>
          <w:rFonts w:ascii="Times New Roman" w:hAnsi="Times New Roman" w:cs="Times New Roman"/>
          <w:sz w:val="24"/>
          <w:szCs w:val="24"/>
          <w:lang w:val="en-GB"/>
        </w:rPr>
        <w:t xml:space="preserve">C. Grant </w:t>
      </w:r>
      <w:r w:rsidRPr="002B10DA">
        <w:rPr>
          <w:rFonts w:ascii="Times New Roman" w:hAnsi="Times New Roman" w:cs="Times New Roman"/>
          <w:sz w:val="24"/>
          <w:szCs w:val="24"/>
          <w:lang w:val="en-GB"/>
        </w:rPr>
        <w:t xml:space="preserve">Loomis counted </w:t>
      </w:r>
      <w:r w:rsidRPr="002B10DA">
        <w:rPr>
          <w:rFonts w:ascii="Times New Roman" w:hAnsi="Times New Roman" w:cs="Times New Roman"/>
          <w:sz w:val="24"/>
          <w:szCs w:val="24"/>
          <w:lang w:val="en-GB"/>
        </w:rPr>
        <w:lastRenderedPageBreak/>
        <w:t xml:space="preserve">fifty-two miracles in the </w:t>
      </w:r>
      <w:r w:rsidRPr="002B10DA">
        <w:rPr>
          <w:rFonts w:ascii="Times New Roman" w:hAnsi="Times New Roman" w:cs="Times New Roman"/>
          <w:i/>
          <w:iCs/>
          <w:sz w:val="24"/>
          <w:szCs w:val="24"/>
          <w:lang w:val="en-GB"/>
        </w:rPr>
        <w:t>Historia ecclesiastica</w:t>
      </w:r>
      <w:r w:rsidRPr="002B10DA">
        <w:rPr>
          <w:rFonts w:ascii="Times New Roman" w:hAnsi="Times New Roman" w:cs="Times New Roman"/>
          <w:sz w:val="24"/>
          <w:szCs w:val="24"/>
          <w:lang w:val="en-GB"/>
        </w:rPr>
        <w:t>, Joel Rosenthal ‘about 51’, and Karl Lutterkort spoke of ‘some fifty’—presumably these authors did not include episodes such as the Irish manuscript cures in their count.</w:t>
      </w:r>
      <w:r w:rsidRPr="002B10DA">
        <w:rPr>
          <w:rFonts w:ascii="Times New Roman" w:eastAsia="Times New Roman" w:hAnsi="Times New Roman" w:cs="Times New Roman"/>
          <w:sz w:val="24"/>
          <w:szCs w:val="24"/>
          <w:vertAlign w:val="superscript"/>
          <w:lang w:val="en-GB"/>
        </w:rPr>
        <w:endnoteReference w:id="30"/>
      </w:r>
      <w:r w:rsidRPr="002B10DA">
        <w:rPr>
          <w:rFonts w:ascii="Times New Roman" w:hAnsi="Times New Roman" w:cs="Times New Roman"/>
          <w:sz w:val="24"/>
          <w:szCs w:val="24"/>
          <w:lang w:val="en-GB"/>
        </w:rPr>
        <w:t xml:space="preserve"> Such conservative estimations contribute to the mistaken idea that the </w:t>
      </w:r>
      <w:r w:rsidRPr="002B10DA">
        <w:rPr>
          <w:rFonts w:ascii="Times New Roman" w:hAnsi="Times New Roman" w:cs="Times New Roman"/>
          <w:i/>
          <w:iCs/>
          <w:sz w:val="24"/>
          <w:szCs w:val="24"/>
          <w:lang w:val="en-GB"/>
        </w:rPr>
        <w:t xml:space="preserve">Historia </w:t>
      </w:r>
      <w:r w:rsidRPr="002B10DA">
        <w:rPr>
          <w:rFonts w:ascii="Times New Roman" w:hAnsi="Times New Roman" w:cs="Times New Roman"/>
          <w:sz w:val="24"/>
          <w:szCs w:val="24"/>
          <w:lang w:val="en-GB"/>
        </w:rPr>
        <w:t>is an objective history with occasional intrusions of obligatory hagiographical tale-telling.</w:t>
      </w:r>
      <w:r w:rsidR="003167B5">
        <w:rPr>
          <w:rFonts w:ascii="Times New Roman" w:hAnsi="Times New Roman" w:cs="Times New Roman"/>
          <w:sz w:val="24"/>
          <w:szCs w:val="24"/>
          <w:lang w:val="en-GB"/>
        </w:rPr>
        <w:t xml:space="preserve"> However, t</w:t>
      </w:r>
      <w:r w:rsidR="003167B5" w:rsidRPr="003167B5">
        <w:rPr>
          <w:rFonts w:ascii="Times New Roman" w:hAnsi="Times New Roman" w:cs="Times New Roman"/>
          <w:sz w:val="24"/>
          <w:szCs w:val="24"/>
          <w:lang w:val="en-GB"/>
        </w:rPr>
        <w:t xml:space="preserve">he symbolic importance of Bede’s miracles has been emphasized by scholars—they were signs which stood for something more, rather than simple displays of power. As Benedicta Ward has observed, Bede’s ‘most usual word for miracles is not </w:t>
      </w:r>
      <w:r w:rsidR="003167B5" w:rsidRPr="003167B5">
        <w:rPr>
          <w:rFonts w:ascii="Times New Roman" w:hAnsi="Times New Roman" w:cs="Times New Roman"/>
          <w:i/>
          <w:iCs/>
          <w:sz w:val="24"/>
          <w:szCs w:val="24"/>
          <w:lang w:val="en-GB"/>
        </w:rPr>
        <w:t xml:space="preserve">miracula </w:t>
      </w:r>
      <w:r w:rsidR="003167B5" w:rsidRPr="003167B5">
        <w:rPr>
          <w:rFonts w:ascii="Times New Roman" w:hAnsi="Times New Roman" w:cs="Times New Roman"/>
          <w:sz w:val="24"/>
          <w:szCs w:val="24"/>
          <w:lang w:val="en-GB"/>
        </w:rPr>
        <w:t xml:space="preserve">but </w:t>
      </w:r>
      <w:r w:rsidR="003167B5" w:rsidRPr="003167B5">
        <w:rPr>
          <w:rFonts w:ascii="Times New Roman" w:hAnsi="Times New Roman" w:cs="Times New Roman"/>
          <w:i/>
          <w:iCs/>
          <w:sz w:val="24"/>
          <w:szCs w:val="24"/>
          <w:lang w:val="en-GB"/>
        </w:rPr>
        <w:t>signa</w:t>
      </w:r>
      <w:r w:rsidR="003167B5" w:rsidRPr="003167B5">
        <w:rPr>
          <w:rFonts w:ascii="Times New Roman" w:hAnsi="Times New Roman" w:cs="Times New Roman"/>
          <w:sz w:val="24"/>
          <w:szCs w:val="24"/>
          <w:lang w:val="en-GB"/>
        </w:rPr>
        <w:t>. It was what was signified that mattered; the wonder itself was secondary’.</w:t>
      </w:r>
      <w:r w:rsidR="003167B5" w:rsidRPr="003167B5">
        <w:rPr>
          <w:rFonts w:ascii="Times New Roman" w:hAnsi="Times New Roman" w:cs="Times New Roman"/>
          <w:sz w:val="24"/>
          <w:szCs w:val="24"/>
          <w:vertAlign w:val="superscript"/>
          <w:lang w:val="en-GB"/>
        </w:rPr>
        <w:endnoteReference w:id="31"/>
      </w:r>
    </w:p>
    <w:p w14:paraId="382B8E9C" w14:textId="4A12981D" w:rsidR="00027E38" w:rsidRPr="00027E38" w:rsidRDefault="00027E38" w:rsidP="00B07C8F">
      <w:pPr>
        <w:pStyle w:val="Body"/>
        <w:spacing w:line="480" w:lineRule="auto"/>
        <w:ind w:firstLine="720"/>
        <w:jc w:val="both"/>
        <w:rPr>
          <w:rFonts w:ascii="Times New Roman" w:hAnsi="Times New Roman" w:cs="Times New Roman"/>
          <w:sz w:val="24"/>
          <w:szCs w:val="24"/>
          <w:lang w:val="en-GB"/>
        </w:rPr>
      </w:pPr>
      <w:r w:rsidRPr="002B10DA">
        <w:rPr>
          <w:rFonts w:ascii="Times New Roman" w:eastAsia="Times New Roman" w:hAnsi="Times New Roman" w:cs="Times New Roman"/>
          <w:sz w:val="24"/>
          <w:szCs w:val="24"/>
          <w:lang w:val="en-GB"/>
        </w:rPr>
        <w:t>A review of the terminology used b</w:t>
      </w:r>
      <w:r>
        <w:rPr>
          <w:rFonts w:ascii="Times New Roman" w:eastAsia="Times New Roman" w:hAnsi="Times New Roman" w:cs="Times New Roman"/>
          <w:sz w:val="24"/>
          <w:szCs w:val="24"/>
          <w:lang w:val="en-GB"/>
        </w:rPr>
        <w:t>y Bede reveals further problems.</w:t>
      </w:r>
      <w:r w:rsidRPr="002B10D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As Laurence Creider has noted, </w:t>
      </w:r>
      <w:r w:rsidRPr="002B10DA">
        <w:rPr>
          <w:rFonts w:ascii="Times New Roman" w:eastAsia="Times New Roman" w:hAnsi="Times New Roman" w:cs="Times New Roman"/>
          <w:sz w:val="24"/>
          <w:szCs w:val="24"/>
          <w:lang w:val="en-GB"/>
        </w:rPr>
        <w:t>Bede</w:t>
      </w:r>
      <w:r w:rsidRPr="002B10DA">
        <w:rPr>
          <w:rFonts w:ascii="Times New Roman" w:hAnsi="Times New Roman" w:cs="Times New Roman"/>
          <w:sz w:val="24"/>
          <w:szCs w:val="24"/>
          <w:lang w:val="en-GB"/>
        </w:rPr>
        <w:t xml:space="preserve">’s </w:t>
      </w:r>
      <w:r>
        <w:rPr>
          <w:rFonts w:ascii="Times New Roman" w:hAnsi="Times New Roman" w:cs="Times New Roman"/>
          <w:sz w:val="24"/>
          <w:szCs w:val="24"/>
          <w:lang w:val="en-GB"/>
        </w:rPr>
        <w:t xml:space="preserve">deployment of the terms </w:t>
      </w:r>
      <w:r w:rsidRPr="007A6F7B">
        <w:rPr>
          <w:rFonts w:ascii="Times New Roman" w:hAnsi="Times New Roman" w:cs="Times New Roman"/>
          <w:i/>
          <w:sz w:val="24"/>
          <w:szCs w:val="24"/>
          <w:lang w:val="en-GB"/>
        </w:rPr>
        <w:t>signum</w:t>
      </w:r>
      <w:r>
        <w:rPr>
          <w:rFonts w:ascii="Times New Roman" w:hAnsi="Times New Roman" w:cs="Times New Roman"/>
          <w:sz w:val="24"/>
          <w:szCs w:val="24"/>
          <w:lang w:val="en-GB"/>
        </w:rPr>
        <w:t xml:space="preserve">, </w:t>
      </w:r>
      <w:r w:rsidRPr="007A6F7B">
        <w:rPr>
          <w:rFonts w:ascii="Times New Roman" w:hAnsi="Times New Roman" w:cs="Times New Roman"/>
          <w:i/>
          <w:sz w:val="24"/>
          <w:szCs w:val="24"/>
          <w:lang w:val="en-GB"/>
        </w:rPr>
        <w:t>miraculum</w:t>
      </w:r>
      <w:r w:rsidRPr="002B10D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7A6F7B">
        <w:rPr>
          <w:rFonts w:ascii="Times New Roman" w:hAnsi="Times New Roman" w:cs="Times New Roman"/>
          <w:i/>
          <w:sz w:val="24"/>
          <w:szCs w:val="24"/>
          <w:lang w:val="en-GB"/>
        </w:rPr>
        <w:t>uirtus</w:t>
      </w:r>
      <w:r w:rsidRPr="002B10DA">
        <w:rPr>
          <w:rFonts w:ascii="Times New Roman" w:hAnsi="Times New Roman" w:cs="Times New Roman"/>
          <w:sz w:val="24"/>
          <w:szCs w:val="24"/>
          <w:lang w:val="en-GB"/>
        </w:rPr>
        <w:t xml:space="preserve"> does not map on to the episodes singled out by modern scholars as ‘miracles’. Instead, while all three terms can ref</w:t>
      </w:r>
      <w:r>
        <w:rPr>
          <w:rFonts w:ascii="Times New Roman" w:hAnsi="Times New Roman" w:cs="Times New Roman"/>
          <w:sz w:val="24"/>
          <w:szCs w:val="24"/>
          <w:lang w:val="en-GB"/>
        </w:rPr>
        <w:t xml:space="preserve">er to a saint’s wondrous deed, </w:t>
      </w:r>
      <w:r w:rsidRPr="007A6F7B">
        <w:rPr>
          <w:rFonts w:ascii="Times New Roman" w:hAnsi="Times New Roman" w:cs="Times New Roman"/>
          <w:i/>
          <w:sz w:val="24"/>
          <w:szCs w:val="24"/>
          <w:lang w:val="en-GB"/>
        </w:rPr>
        <w:t>miraculum</w:t>
      </w:r>
      <w:r w:rsidRPr="002B10DA">
        <w:rPr>
          <w:rFonts w:ascii="Times New Roman" w:hAnsi="Times New Roman" w:cs="Times New Roman"/>
          <w:sz w:val="24"/>
          <w:szCs w:val="24"/>
          <w:lang w:val="en-GB"/>
        </w:rPr>
        <w:t xml:space="preserve"> is also used to refer to the holding up of the wate</w:t>
      </w:r>
      <w:r>
        <w:rPr>
          <w:rFonts w:ascii="Times New Roman" w:hAnsi="Times New Roman" w:cs="Times New Roman"/>
          <w:sz w:val="24"/>
          <w:szCs w:val="24"/>
          <w:lang w:val="en-GB"/>
        </w:rPr>
        <w:t xml:space="preserve">rs above the firmament; </w:t>
      </w:r>
      <w:r w:rsidRPr="007A6F7B">
        <w:rPr>
          <w:rFonts w:ascii="Times New Roman" w:hAnsi="Times New Roman" w:cs="Times New Roman"/>
          <w:i/>
          <w:sz w:val="24"/>
          <w:szCs w:val="24"/>
          <w:lang w:val="en-GB"/>
        </w:rPr>
        <w:t>signum</w:t>
      </w:r>
      <w:r>
        <w:rPr>
          <w:rFonts w:ascii="Times New Roman" w:hAnsi="Times New Roman" w:cs="Times New Roman"/>
          <w:sz w:val="24"/>
          <w:szCs w:val="24"/>
          <w:lang w:val="en-GB"/>
        </w:rPr>
        <w:t xml:space="preserve"> to the rainbow; and </w:t>
      </w:r>
      <w:r w:rsidRPr="007A6F7B">
        <w:rPr>
          <w:rFonts w:ascii="Times New Roman" w:hAnsi="Times New Roman" w:cs="Times New Roman"/>
          <w:i/>
          <w:sz w:val="24"/>
          <w:szCs w:val="24"/>
          <w:lang w:val="en-GB"/>
        </w:rPr>
        <w:t>uirtus</w:t>
      </w:r>
      <w:r w:rsidRPr="002B10DA">
        <w:rPr>
          <w:rFonts w:ascii="Times New Roman" w:hAnsi="Times New Roman" w:cs="Times New Roman"/>
          <w:sz w:val="24"/>
          <w:szCs w:val="24"/>
          <w:lang w:val="en-GB"/>
        </w:rPr>
        <w:t xml:space="preserve"> to the virtue of a saint, in the modern sense of the word.</w:t>
      </w:r>
      <w:r w:rsidRPr="002B10DA">
        <w:rPr>
          <w:rFonts w:ascii="Times New Roman" w:eastAsia="Times New Roman" w:hAnsi="Times New Roman" w:cs="Times New Roman"/>
          <w:sz w:val="24"/>
          <w:szCs w:val="24"/>
          <w:vertAlign w:val="superscript"/>
          <w:lang w:val="en-GB"/>
        </w:rPr>
        <w:endnoteReference w:id="32"/>
      </w:r>
      <w:r w:rsidRPr="002B10DA">
        <w:rPr>
          <w:rFonts w:ascii="Times New Roman" w:hAnsi="Times New Roman" w:cs="Times New Roman"/>
          <w:sz w:val="24"/>
          <w:szCs w:val="24"/>
          <w:lang w:val="en-GB"/>
        </w:rPr>
        <w:t xml:space="preserve"> These terms cannot be read as signs of a fixed category of miracle, in the sense either of something defined in opposition to nature or even </w:t>
      </w:r>
      <w:r>
        <w:rPr>
          <w:rFonts w:ascii="Times New Roman" w:hAnsi="Times New Roman" w:cs="Times New Roman"/>
          <w:sz w:val="24"/>
          <w:szCs w:val="24"/>
          <w:lang w:val="en-GB"/>
        </w:rPr>
        <w:t>of a deed performed by a saint.</w:t>
      </w:r>
    </w:p>
    <w:p w14:paraId="251283DD" w14:textId="2D927521" w:rsidR="00B21D7D" w:rsidRDefault="007D38EF" w:rsidP="00B07C8F">
      <w:pPr>
        <w:pStyle w:val="Body"/>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F906F6" w:rsidRPr="002B10DA">
        <w:rPr>
          <w:rFonts w:ascii="Times New Roman" w:hAnsi="Times New Roman" w:cs="Times New Roman"/>
          <w:sz w:val="24"/>
          <w:szCs w:val="24"/>
          <w:lang w:val="en-GB"/>
        </w:rPr>
        <w:t xml:space="preserve">n examination of Bede’s writings </w:t>
      </w:r>
      <w:r>
        <w:rPr>
          <w:rFonts w:ascii="Times New Roman" w:hAnsi="Times New Roman" w:cs="Times New Roman"/>
          <w:sz w:val="24"/>
          <w:szCs w:val="24"/>
          <w:lang w:val="en-GB"/>
        </w:rPr>
        <w:t xml:space="preserve">demonstrates that </w:t>
      </w:r>
      <w:r w:rsidR="00F906F6" w:rsidRPr="002B10DA">
        <w:rPr>
          <w:rFonts w:ascii="Times New Roman" w:hAnsi="Times New Roman" w:cs="Times New Roman"/>
          <w:sz w:val="24"/>
          <w:szCs w:val="24"/>
          <w:lang w:val="en-GB"/>
        </w:rPr>
        <w:t>his understanding of the miraculous is of a piece with the patristic model</w:t>
      </w:r>
      <w:r>
        <w:rPr>
          <w:rFonts w:ascii="Times New Roman" w:hAnsi="Times New Roman" w:cs="Times New Roman"/>
          <w:sz w:val="24"/>
          <w:szCs w:val="24"/>
          <w:lang w:val="en-GB"/>
        </w:rPr>
        <w:t xml:space="preserve"> discussed above</w:t>
      </w:r>
      <w:r w:rsidR="00263306">
        <w:rPr>
          <w:rFonts w:ascii="Times New Roman" w:hAnsi="Times New Roman" w:cs="Times New Roman"/>
          <w:sz w:val="24"/>
          <w:szCs w:val="24"/>
          <w:lang w:val="en-GB"/>
        </w:rPr>
        <w:t xml:space="preserve"> and that he sees divine involvement at work in the world at large</w:t>
      </w:r>
      <w:r w:rsidR="00F906F6" w:rsidRPr="002B10DA">
        <w:rPr>
          <w:rFonts w:ascii="Times New Roman" w:hAnsi="Times New Roman" w:cs="Times New Roman"/>
          <w:sz w:val="24"/>
          <w:szCs w:val="24"/>
          <w:lang w:val="en-GB"/>
        </w:rPr>
        <w:t>.</w:t>
      </w:r>
      <w:r w:rsidR="00F906F6">
        <w:rPr>
          <w:rFonts w:ascii="Times New Roman" w:eastAsia="Times New Roman" w:hAnsi="Times New Roman" w:cs="Times New Roman"/>
          <w:sz w:val="24"/>
          <w:szCs w:val="24"/>
          <w:lang w:val="en-GB"/>
        </w:rPr>
        <w:t xml:space="preserve"> </w:t>
      </w:r>
      <w:r w:rsidR="00B21D7D" w:rsidRPr="002B10DA">
        <w:rPr>
          <w:rFonts w:ascii="Times New Roman" w:hAnsi="Times New Roman" w:cs="Times New Roman"/>
          <w:sz w:val="24"/>
          <w:szCs w:val="24"/>
          <w:lang w:val="en-GB"/>
        </w:rPr>
        <w:t xml:space="preserve">Bede is not as concerned as the Church Fathers to argue for the veracity of Christian miracles using examples drawn from the natural world, but neither is he opposed to the practice. In his commentary on Genesis, for instance, he argues that the solid quality of the waters above the firmament is no more unbelievable than the crystalline rock that, according to antique science, forms from </w:t>
      </w:r>
      <w:r w:rsidR="00B21D7D" w:rsidRPr="002B10DA">
        <w:rPr>
          <w:rFonts w:ascii="Times New Roman" w:hAnsi="Times New Roman" w:cs="Times New Roman"/>
          <w:sz w:val="24"/>
          <w:szCs w:val="24"/>
          <w:lang w:val="en-GB"/>
        </w:rPr>
        <w:lastRenderedPageBreak/>
        <w:t>congealed water.</w:t>
      </w:r>
      <w:r w:rsidR="00B21D7D" w:rsidRPr="002B10DA">
        <w:rPr>
          <w:rStyle w:val="EndnoteReference"/>
          <w:rFonts w:ascii="Times New Roman" w:hAnsi="Times New Roman" w:cs="Times New Roman"/>
          <w:sz w:val="24"/>
          <w:szCs w:val="24"/>
          <w:lang w:val="en-GB"/>
        </w:rPr>
        <w:endnoteReference w:id="33"/>
      </w:r>
      <w:r w:rsidR="00B21D7D" w:rsidRPr="002B10DA">
        <w:rPr>
          <w:rFonts w:ascii="Times New Roman" w:hAnsi="Times New Roman" w:cs="Times New Roman"/>
          <w:sz w:val="24"/>
          <w:szCs w:val="24"/>
          <w:lang w:val="en-GB"/>
        </w:rPr>
        <w:t xml:space="preserve"> </w:t>
      </w:r>
      <w:r w:rsidR="00D64154" w:rsidRPr="002B10DA">
        <w:rPr>
          <w:rFonts w:ascii="Times New Roman" w:hAnsi="Times New Roman" w:cs="Times New Roman"/>
          <w:sz w:val="24"/>
          <w:szCs w:val="24"/>
          <w:lang w:val="en-GB"/>
        </w:rPr>
        <w:t>Furthermore, the wondrous (to humans) nature of the waters above the firmament is really no more miraculous than anything else in creation: ‘is this any greater a miracle than that, as Scripture says, the very bulk of the earth he has hanged on nothing?’</w:t>
      </w:r>
      <w:r w:rsidR="00D64154" w:rsidRPr="002B10DA">
        <w:rPr>
          <w:rStyle w:val="EndnoteReference"/>
          <w:rFonts w:ascii="Times New Roman" w:hAnsi="Times New Roman" w:cs="Times New Roman"/>
          <w:sz w:val="24"/>
          <w:szCs w:val="24"/>
          <w:lang w:val="en-GB"/>
        </w:rPr>
        <w:endnoteReference w:id="34"/>
      </w:r>
      <w:r w:rsidR="00D64154" w:rsidRPr="002B10DA">
        <w:rPr>
          <w:rFonts w:ascii="Times New Roman" w:hAnsi="Times New Roman" w:cs="Times New Roman"/>
          <w:sz w:val="24"/>
          <w:szCs w:val="24"/>
          <w:lang w:val="en-GB"/>
        </w:rPr>
        <w:t xml:space="preserve"> </w:t>
      </w:r>
      <w:r w:rsidR="00B21D7D" w:rsidRPr="002B10DA">
        <w:rPr>
          <w:rFonts w:ascii="Times New Roman" w:hAnsi="Times New Roman" w:cs="Times New Roman"/>
          <w:sz w:val="24"/>
          <w:szCs w:val="24"/>
          <w:lang w:val="en-GB"/>
        </w:rPr>
        <w:t>The miracle of the loaves and the fishes</w:t>
      </w:r>
      <w:r w:rsidR="00D64154">
        <w:rPr>
          <w:rFonts w:ascii="Times New Roman" w:hAnsi="Times New Roman" w:cs="Times New Roman"/>
          <w:sz w:val="24"/>
          <w:szCs w:val="24"/>
          <w:lang w:val="en-GB"/>
        </w:rPr>
        <w:t>, meanwhile,</w:t>
      </w:r>
      <w:r w:rsidR="00B21D7D" w:rsidRPr="002B10DA">
        <w:rPr>
          <w:rFonts w:ascii="Times New Roman" w:hAnsi="Times New Roman" w:cs="Times New Roman"/>
          <w:sz w:val="24"/>
          <w:szCs w:val="24"/>
          <w:lang w:val="en-GB"/>
        </w:rPr>
        <w:t xml:space="preserve"> is well within the capabilities of the Creator of all things, ‘who brings forth bread from the earth and gladdens the hearts of human beings with wine’.</w:t>
      </w:r>
      <w:r w:rsidR="00B21D7D" w:rsidRPr="002B10DA">
        <w:rPr>
          <w:rFonts w:ascii="Times New Roman" w:eastAsia="Times New Roman" w:hAnsi="Times New Roman" w:cs="Times New Roman"/>
          <w:sz w:val="24"/>
          <w:szCs w:val="24"/>
          <w:vertAlign w:val="superscript"/>
          <w:lang w:val="en-GB"/>
        </w:rPr>
        <w:endnoteReference w:id="35"/>
      </w:r>
      <w:r w:rsidR="00B21D7D" w:rsidRPr="002B10DA">
        <w:rPr>
          <w:rFonts w:ascii="Times New Roman" w:hAnsi="Times New Roman" w:cs="Times New Roman"/>
          <w:sz w:val="24"/>
          <w:szCs w:val="24"/>
          <w:lang w:val="en-GB"/>
        </w:rPr>
        <w:t xml:space="preserve"> Bede’s writings—particularly </w:t>
      </w:r>
      <w:r w:rsidR="00B21D7D" w:rsidRPr="002B10DA">
        <w:rPr>
          <w:rFonts w:ascii="Times New Roman" w:hAnsi="Times New Roman" w:cs="Times New Roman"/>
          <w:i/>
          <w:iCs/>
          <w:sz w:val="24"/>
          <w:szCs w:val="24"/>
          <w:lang w:val="en-GB"/>
        </w:rPr>
        <w:t>De natura rerum</w:t>
      </w:r>
      <w:r w:rsidR="00B21D7D" w:rsidRPr="002B10DA">
        <w:rPr>
          <w:rFonts w:ascii="Times New Roman" w:hAnsi="Times New Roman" w:cs="Times New Roman"/>
          <w:sz w:val="24"/>
          <w:szCs w:val="24"/>
          <w:lang w:val="en-GB"/>
        </w:rPr>
        <w:t xml:space="preserve"> and </w:t>
      </w:r>
      <w:r w:rsidR="00B21D7D" w:rsidRPr="002B10DA">
        <w:rPr>
          <w:rFonts w:ascii="Times New Roman" w:hAnsi="Times New Roman" w:cs="Times New Roman"/>
          <w:i/>
          <w:iCs/>
          <w:sz w:val="24"/>
          <w:szCs w:val="24"/>
          <w:lang w:val="en-GB"/>
        </w:rPr>
        <w:t>In Genesim</w:t>
      </w:r>
      <w:r w:rsidR="00B21D7D" w:rsidRPr="002B10DA">
        <w:rPr>
          <w:rFonts w:ascii="Times New Roman" w:hAnsi="Times New Roman" w:cs="Times New Roman"/>
          <w:sz w:val="24"/>
          <w:szCs w:val="24"/>
          <w:lang w:val="en-GB"/>
        </w:rPr>
        <w:t>—reveal a belief in a Creator whose influence continues to be exercised after Creation.</w:t>
      </w:r>
    </w:p>
    <w:p w14:paraId="52597B7E" w14:textId="60E04AF0" w:rsidR="00B21D7D" w:rsidRPr="00D4024B" w:rsidRDefault="00B21D7D" w:rsidP="00B07C8F">
      <w:pPr>
        <w:pStyle w:val="Body"/>
        <w:spacing w:line="480" w:lineRule="auto"/>
        <w:jc w:val="both"/>
        <w:rPr>
          <w:rFonts w:ascii="Times New Roman" w:hAnsi="Times New Roman" w:cs="Times New Roman"/>
          <w:sz w:val="24"/>
          <w:szCs w:val="24"/>
          <w:lang w:val="en-GB"/>
        </w:rPr>
      </w:pPr>
      <w:r w:rsidRPr="002B10DA">
        <w:rPr>
          <w:rFonts w:ascii="Times New Roman" w:eastAsia="Times New Roman" w:hAnsi="Times New Roman" w:cs="Times New Roman"/>
          <w:sz w:val="24"/>
          <w:szCs w:val="24"/>
          <w:lang w:val="en-GB"/>
        </w:rPr>
        <w:tab/>
      </w:r>
      <w:r w:rsidRPr="002B10DA">
        <w:rPr>
          <w:rFonts w:ascii="Times New Roman" w:hAnsi="Times New Roman" w:cs="Times New Roman"/>
          <w:sz w:val="24"/>
          <w:szCs w:val="24"/>
          <w:lang w:val="en-GB"/>
        </w:rPr>
        <w:t xml:space="preserve">Anyone who reads the </w:t>
      </w:r>
      <w:r w:rsidRPr="002B10DA">
        <w:rPr>
          <w:rFonts w:ascii="Times New Roman" w:hAnsi="Times New Roman" w:cs="Times New Roman"/>
          <w:i/>
          <w:iCs/>
          <w:sz w:val="24"/>
          <w:szCs w:val="24"/>
          <w:lang w:val="en-GB"/>
        </w:rPr>
        <w:t>Historia ecclesiastica</w:t>
      </w:r>
      <w:r w:rsidRPr="002B10DA">
        <w:rPr>
          <w:rFonts w:ascii="Times New Roman" w:hAnsi="Times New Roman" w:cs="Times New Roman"/>
          <w:sz w:val="24"/>
          <w:szCs w:val="24"/>
          <w:lang w:val="en-GB"/>
        </w:rPr>
        <w:t xml:space="preserve"> will certainly come away with impression that God is present and involved during every event, and that little or nothing that happens in the world can be ascribed </w:t>
      </w:r>
      <w:r w:rsidR="001C74F3">
        <w:rPr>
          <w:rFonts w:ascii="Times New Roman" w:hAnsi="Times New Roman" w:cs="Times New Roman"/>
          <w:sz w:val="24"/>
          <w:szCs w:val="24"/>
          <w:lang w:val="en-GB"/>
        </w:rPr>
        <w:t>simply to</w:t>
      </w:r>
      <w:r w:rsidRPr="002B10DA">
        <w:rPr>
          <w:rFonts w:ascii="Times New Roman" w:hAnsi="Times New Roman" w:cs="Times New Roman"/>
          <w:sz w:val="24"/>
          <w:szCs w:val="24"/>
          <w:lang w:val="en-GB"/>
        </w:rPr>
        <w:t xml:space="preserve"> ‘natural’</w:t>
      </w:r>
      <w:r w:rsidR="001C74F3">
        <w:rPr>
          <w:rFonts w:ascii="Times New Roman" w:hAnsi="Times New Roman" w:cs="Times New Roman"/>
          <w:sz w:val="24"/>
          <w:szCs w:val="24"/>
          <w:lang w:val="en-GB"/>
        </w:rPr>
        <w:t xml:space="preserve"> causes</w:t>
      </w:r>
      <w:r w:rsidRPr="002B10DA">
        <w:rPr>
          <w:rFonts w:ascii="Times New Roman" w:hAnsi="Times New Roman" w:cs="Times New Roman"/>
          <w:sz w:val="24"/>
          <w:szCs w:val="24"/>
          <w:lang w:val="en-GB"/>
        </w:rPr>
        <w:t xml:space="preserve">. </w:t>
      </w:r>
      <w:r w:rsidR="00212960">
        <w:rPr>
          <w:rFonts w:ascii="Times New Roman" w:hAnsi="Times New Roman" w:cs="Times New Roman"/>
          <w:sz w:val="24"/>
          <w:szCs w:val="24"/>
          <w:lang w:val="en-GB"/>
        </w:rPr>
        <w:t xml:space="preserve">A telling </w:t>
      </w:r>
      <w:r w:rsidR="00D4024B">
        <w:rPr>
          <w:rFonts w:ascii="Times New Roman" w:hAnsi="Times New Roman" w:cs="Times New Roman"/>
          <w:sz w:val="24"/>
          <w:szCs w:val="24"/>
          <w:lang w:val="en-GB"/>
        </w:rPr>
        <w:t xml:space="preserve">detail is found in Bede’s depiction of the saintly bishop, Chad. Bede says that the saint </w:t>
      </w:r>
      <w:r w:rsidRPr="002B10DA">
        <w:rPr>
          <w:rFonts w:ascii="Times New Roman" w:hAnsi="Times New Roman" w:cs="Times New Roman"/>
          <w:sz w:val="24"/>
          <w:szCs w:val="24"/>
          <w:lang w:val="en-GB"/>
        </w:rPr>
        <w:t>used to pray du</w:t>
      </w:r>
      <w:r w:rsidR="00D4024B">
        <w:rPr>
          <w:rFonts w:ascii="Times New Roman" w:hAnsi="Times New Roman" w:cs="Times New Roman"/>
          <w:sz w:val="24"/>
          <w:szCs w:val="24"/>
          <w:lang w:val="en-GB"/>
        </w:rPr>
        <w:t>ring extreme weather conditions. When questioned by his followers about this behaviour, Chad replies:</w:t>
      </w:r>
    </w:p>
    <w:p w14:paraId="4DE3722E" w14:textId="0E5D6E38" w:rsidR="00B21D7D" w:rsidRPr="002B10DA" w:rsidRDefault="00B21D7D" w:rsidP="00B07C8F">
      <w:pPr>
        <w:pStyle w:val="Body"/>
        <w:spacing w:before="100" w:after="100" w:line="480" w:lineRule="auto"/>
        <w:ind w:left="567" w:right="567"/>
        <w:jc w:val="both"/>
        <w:rPr>
          <w:rFonts w:ascii="Times New Roman" w:eastAsia="Times New Roman" w:hAnsi="Times New Roman" w:cs="Times New Roman"/>
          <w:sz w:val="24"/>
          <w:szCs w:val="24"/>
          <w:lang w:val="en-GB"/>
        </w:rPr>
      </w:pPr>
      <w:r w:rsidRPr="002B10DA">
        <w:rPr>
          <w:rFonts w:ascii="Times New Roman" w:hAnsi="Times New Roman" w:cs="Times New Roman"/>
          <w:sz w:val="24"/>
          <w:szCs w:val="24"/>
          <w:lang w:val="en-GB"/>
        </w:rPr>
        <w:t>‘Have you not read, “The Lord also thundered in the heavens and the Highest gave His voice. Yea, He sent out His arrows and scattered them and He shot out lightenings and discomfited them”? For the Lord moves the air, raises the winds, hurls lightening, and thunders forth from heaven so as to rouse inhabitants of the world to fear him, to call them to remember the future judgment in order that He may scatter their pride and confoun</w:t>
      </w:r>
      <w:r w:rsidR="001F6281" w:rsidRPr="002B10DA">
        <w:rPr>
          <w:rFonts w:ascii="Times New Roman" w:hAnsi="Times New Roman" w:cs="Times New Roman"/>
          <w:sz w:val="24"/>
          <w:szCs w:val="24"/>
          <w:lang w:val="en-GB"/>
        </w:rPr>
        <w:t>d their boldness by bringing to their minds</w:t>
      </w:r>
      <w:r w:rsidRPr="002B10DA">
        <w:rPr>
          <w:rFonts w:ascii="Times New Roman" w:hAnsi="Times New Roman" w:cs="Times New Roman"/>
          <w:sz w:val="24"/>
          <w:szCs w:val="24"/>
          <w:lang w:val="en-GB"/>
        </w:rPr>
        <w:t xml:space="preserve"> that dread time when he will come in the clouds in great power and majesty, to judge the living and the dead, while the heavens and the earth are aflame. And so’, said he, ‘we ought to respond to His heavenly warning with due fear and love; so that as often as He disturbs the </w:t>
      </w:r>
      <w:r w:rsidRPr="002B10DA">
        <w:rPr>
          <w:rFonts w:ascii="Times New Roman" w:hAnsi="Times New Roman" w:cs="Times New Roman"/>
          <w:sz w:val="24"/>
          <w:szCs w:val="24"/>
          <w:lang w:val="en-GB"/>
        </w:rPr>
        <w:lastRenderedPageBreak/>
        <w:t>sky and raises His hand as if about to strike, yet spares us still, we should implore His mercy, examining the innermost recesses of our hearts and purging out the dregs of our sins, and behave with such caution that we may never deserve to be struck down.</w:t>
      </w:r>
      <w:r w:rsidRPr="002B10DA">
        <w:rPr>
          <w:rFonts w:ascii="Times New Roman" w:eastAsia="Times New Roman" w:hAnsi="Times New Roman" w:cs="Times New Roman"/>
          <w:sz w:val="24"/>
          <w:szCs w:val="24"/>
          <w:vertAlign w:val="superscript"/>
          <w:lang w:val="en-GB"/>
        </w:rPr>
        <w:endnoteReference w:id="36"/>
      </w:r>
    </w:p>
    <w:p w14:paraId="29A02DA6" w14:textId="00F635F2" w:rsidR="00B21D7D" w:rsidRPr="002B10DA" w:rsidRDefault="00B21D7D" w:rsidP="00B07C8F">
      <w:pPr>
        <w:pStyle w:val="Body"/>
        <w:spacing w:line="480" w:lineRule="auto"/>
        <w:jc w:val="both"/>
        <w:rPr>
          <w:rFonts w:ascii="Times New Roman" w:eastAsia="Times New Roman" w:hAnsi="Times New Roman" w:cs="Times New Roman"/>
          <w:sz w:val="24"/>
          <w:szCs w:val="24"/>
          <w:lang w:val="en-GB"/>
        </w:rPr>
      </w:pPr>
      <w:r w:rsidRPr="002B10DA">
        <w:rPr>
          <w:rFonts w:ascii="Times New Roman" w:hAnsi="Times New Roman" w:cs="Times New Roman"/>
          <w:sz w:val="24"/>
          <w:szCs w:val="24"/>
          <w:lang w:val="en-GB"/>
        </w:rPr>
        <w:t>The implication here is that the varieties of weather described—</w:t>
      </w:r>
      <w:r w:rsidR="00D4024B">
        <w:rPr>
          <w:rFonts w:ascii="Times New Roman" w:hAnsi="Times New Roman" w:cs="Times New Roman"/>
          <w:sz w:val="24"/>
          <w:szCs w:val="24"/>
          <w:lang w:val="en-GB"/>
        </w:rPr>
        <w:t>which include everything from</w:t>
      </w:r>
      <w:r w:rsidRPr="002B10DA">
        <w:rPr>
          <w:rFonts w:ascii="Times New Roman" w:hAnsi="Times New Roman" w:cs="Times New Roman"/>
          <w:sz w:val="24"/>
          <w:szCs w:val="24"/>
          <w:lang w:val="en-GB"/>
        </w:rPr>
        <w:t xml:space="preserve"> high winds to </w:t>
      </w:r>
      <w:r w:rsidR="003167B5">
        <w:rPr>
          <w:rFonts w:ascii="Times New Roman" w:hAnsi="Times New Roman" w:cs="Times New Roman"/>
          <w:sz w:val="24"/>
          <w:szCs w:val="24"/>
          <w:lang w:val="en-GB"/>
        </w:rPr>
        <w:t>terrifying</w:t>
      </w:r>
      <w:r w:rsidRPr="002B10DA">
        <w:rPr>
          <w:rFonts w:ascii="Times New Roman" w:hAnsi="Times New Roman" w:cs="Times New Roman"/>
          <w:sz w:val="24"/>
          <w:szCs w:val="24"/>
          <w:lang w:val="en-GB"/>
        </w:rPr>
        <w:t xml:space="preserve"> thunder storms—function as </w:t>
      </w:r>
      <w:r w:rsidRPr="002B10DA">
        <w:rPr>
          <w:rFonts w:ascii="Times New Roman" w:hAnsi="Times New Roman" w:cs="Times New Roman"/>
          <w:i/>
          <w:iCs/>
          <w:sz w:val="24"/>
          <w:szCs w:val="24"/>
          <w:lang w:val="en-GB"/>
        </w:rPr>
        <w:t>signa</w:t>
      </w:r>
      <w:r w:rsidRPr="002B10DA">
        <w:rPr>
          <w:rFonts w:ascii="Times New Roman" w:hAnsi="Times New Roman" w:cs="Times New Roman"/>
          <w:sz w:val="24"/>
          <w:szCs w:val="24"/>
          <w:lang w:val="en-GB"/>
        </w:rPr>
        <w:t xml:space="preserve"> in the same way as the more obviously miraculous tokens of the Saints’ Lives. In his commentary on Ezra-Nehemiah, Bede gives a similar reading. There, he implies that divine admonishment should be deduced when the weather turns sour, ‘when the elements are stirred up and weather deteriorates into violent winds, floods of rain, heavy snowstorms, parching drought or even the death of men and animals, and when the judge himself threatens the force of his anger through open signs’.</w:t>
      </w:r>
      <w:r w:rsidRPr="002B10DA">
        <w:rPr>
          <w:rFonts w:ascii="Times New Roman" w:eastAsia="Times New Roman" w:hAnsi="Times New Roman" w:cs="Times New Roman"/>
          <w:sz w:val="24"/>
          <w:szCs w:val="24"/>
          <w:vertAlign w:val="superscript"/>
          <w:lang w:val="en-GB"/>
        </w:rPr>
        <w:endnoteReference w:id="37"/>
      </w:r>
    </w:p>
    <w:p w14:paraId="2E787C25" w14:textId="43EC5E65" w:rsidR="00B21D7D" w:rsidRDefault="00B21D7D" w:rsidP="00B07C8F">
      <w:pPr>
        <w:pStyle w:val="Body"/>
        <w:spacing w:line="480" w:lineRule="auto"/>
        <w:jc w:val="both"/>
        <w:rPr>
          <w:rFonts w:ascii="Times New Roman" w:hAnsi="Times New Roman" w:cs="Times New Roman"/>
          <w:sz w:val="24"/>
          <w:szCs w:val="24"/>
          <w:lang w:val="en-GB"/>
        </w:rPr>
      </w:pPr>
      <w:r w:rsidRPr="002B10DA">
        <w:rPr>
          <w:rFonts w:ascii="Times New Roman" w:eastAsia="Times New Roman" w:hAnsi="Times New Roman" w:cs="Times New Roman"/>
          <w:sz w:val="24"/>
          <w:szCs w:val="24"/>
          <w:lang w:val="en-GB"/>
        </w:rPr>
        <w:tab/>
      </w:r>
      <w:r w:rsidRPr="002B10DA">
        <w:rPr>
          <w:rFonts w:ascii="Times New Roman" w:hAnsi="Times New Roman" w:cs="Times New Roman"/>
          <w:sz w:val="24"/>
          <w:szCs w:val="24"/>
          <w:lang w:val="en-GB"/>
        </w:rPr>
        <w:t xml:space="preserve">Yet this does not stop Bede from also exploring the natural causes behind wind, thunder and lightning; in his </w:t>
      </w:r>
      <w:r w:rsidRPr="002B10DA">
        <w:rPr>
          <w:rFonts w:ascii="Times New Roman" w:hAnsi="Times New Roman" w:cs="Times New Roman"/>
          <w:i/>
          <w:iCs/>
          <w:sz w:val="24"/>
          <w:szCs w:val="24"/>
          <w:lang w:val="en-GB"/>
        </w:rPr>
        <w:t>De natura rerum</w:t>
      </w:r>
      <w:r w:rsidRPr="002B10DA">
        <w:rPr>
          <w:rFonts w:ascii="Times New Roman" w:hAnsi="Times New Roman" w:cs="Times New Roman"/>
          <w:sz w:val="24"/>
          <w:szCs w:val="24"/>
          <w:lang w:val="en-GB"/>
        </w:rPr>
        <w:t>, he gives detailed explanations for these natural phenomena.</w:t>
      </w:r>
      <w:r w:rsidRPr="002B10DA">
        <w:rPr>
          <w:rFonts w:ascii="Times New Roman" w:eastAsia="Times New Roman" w:hAnsi="Times New Roman" w:cs="Times New Roman"/>
          <w:sz w:val="24"/>
          <w:szCs w:val="24"/>
          <w:vertAlign w:val="superscript"/>
          <w:lang w:val="en-GB"/>
        </w:rPr>
        <w:endnoteReference w:id="38"/>
      </w:r>
      <w:r w:rsidRPr="002B10DA">
        <w:rPr>
          <w:rFonts w:ascii="Times New Roman" w:hAnsi="Times New Roman" w:cs="Times New Roman"/>
          <w:sz w:val="24"/>
          <w:szCs w:val="24"/>
          <w:lang w:val="en-GB"/>
        </w:rPr>
        <w:t xml:space="preserve"> As in Gregory of Tours, s</w:t>
      </w:r>
      <w:r w:rsidRPr="002B10DA">
        <w:rPr>
          <w:rFonts w:ascii="Times New Roman" w:hAnsi="Times New Roman" w:cs="Times New Roman"/>
          <w:kern w:val="2"/>
          <w:sz w:val="24"/>
          <w:szCs w:val="24"/>
          <w:lang w:val="en-GB"/>
        </w:rPr>
        <w:t xml:space="preserve">cientific reasons for storms, plagues and portents could be accepted without weakening his central belief that divine meaning could be read into such occurrences. </w:t>
      </w:r>
      <w:r w:rsidR="003E522C">
        <w:rPr>
          <w:rFonts w:ascii="Times New Roman" w:hAnsi="Times New Roman" w:cs="Times New Roman"/>
          <w:kern w:val="2"/>
          <w:sz w:val="24"/>
          <w:szCs w:val="24"/>
          <w:lang w:val="en-GB"/>
        </w:rPr>
        <w:t xml:space="preserve">Similarly, </w:t>
      </w:r>
      <w:r w:rsidR="003E522C">
        <w:rPr>
          <w:rFonts w:ascii="Times New Roman" w:hAnsi="Times New Roman" w:cs="Times New Roman"/>
          <w:sz w:val="24"/>
          <w:szCs w:val="24"/>
          <w:lang w:val="en-GB"/>
        </w:rPr>
        <w:t xml:space="preserve">Bede </w:t>
      </w:r>
      <w:r w:rsidRPr="002B10DA">
        <w:rPr>
          <w:rFonts w:ascii="Times New Roman" w:hAnsi="Times New Roman" w:cs="Times New Roman"/>
          <w:sz w:val="24"/>
          <w:szCs w:val="24"/>
          <w:lang w:val="en-GB"/>
        </w:rPr>
        <w:t xml:space="preserve">understands rainbows both as natural phenomena with scientific, explainable causes </w:t>
      </w:r>
      <w:r w:rsidRPr="002B10DA">
        <w:rPr>
          <w:rFonts w:ascii="Times New Roman" w:hAnsi="Times New Roman" w:cs="Times New Roman"/>
          <w:i/>
          <w:iCs/>
          <w:sz w:val="24"/>
          <w:szCs w:val="24"/>
          <w:lang w:val="en-GB"/>
        </w:rPr>
        <w:t>and</w:t>
      </w:r>
      <w:r w:rsidRPr="002B10DA">
        <w:rPr>
          <w:rFonts w:ascii="Times New Roman" w:hAnsi="Times New Roman" w:cs="Times New Roman"/>
          <w:sz w:val="24"/>
          <w:szCs w:val="24"/>
          <w:lang w:val="en-GB"/>
        </w:rPr>
        <w:t xml:space="preserve"> as signs of God’s promise not to send another Flood. In </w:t>
      </w:r>
      <w:r w:rsidRPr="002B10DA">
        <w:rPr>
          <w:rFonts w:ascii="Times New Roman" w:hAnsi="Times New Roman" w:cs="Times New Roman"/>
          <w:i/>
          <w:iCs/>
          <w:sz w:val="24"/>
          <w:szCs w:val="24"/>
          <w:lang w:val="en-GB"/>
        </w:rPr>
        <w:t>De natura rerum</w:t>
      </w:r>
      <w:r w:rsidRPr="002B10DA">
        <w:rPr>
          <w:rFonts w:ascii="Times New Roman" w:hAnsi="Times New Roman" w:cs="Times New Roman"/>
          <w:sz w:val="24"/>
          <w:szCs w:val="24"/>
          <w:lang w:val="en-GB"/>
        </w:rPr>
        <w:t>, he explains how the rainbow is formed when a sun-ray is reflected by a hollow cloud and gets its colours from the sky, the waters, the air and the grass.</w:t>
      </w:r>
      <w:r w:rsidRPr="002B10DA">
        <w:rPr>
          <w:rFonts w:ascii="Times New Roman" w:eastAsia="Times New Roman" w:hAnsi="Times New Roman" w:cs="Times New Roman"/>
          <w:sz w:val="24"/>
          <w:szCs w:val="24"/>
          <w:vertAlign w:val="superscript"/>
          <w:lang w:val="en-GB"/>
        </w:rPr>
        <w:endnoteReference w:id="39"/>
      </w:r>
      <w:r w:rsidRPr="002B10DA">
        <w:rPr>
          <w:rFonts w:ascii="Times New Roman" w:hAnsi="Times New Roman" w:cs="Times New Roman"/>
          <w:sz w:val="24"/>
          <w:szCs w:val="24"/>
          <w:lang w:val="en-GB"/>
        </w:rPr>
        <w:t xml:space="preserve"> In his commentary on Genesis, </w:t>
      </w:r>
      <w:r w:rsidR="000F75E0">
        <w:rPr>
          <w:rFonts w:ascii="Times New Roman" w:hAnsi="Times New Roman" w:cs="Times New Roman"/>
          <w:sz w:val="24"/>
          <w:szCs w:val="24"/>
          <w:lang w:val="en-GB"/>
        </w:rPr>
        <w:t>he sees</w:t>
      </w:r>
      <w:r w:rsidRPr="002B10DA">
        <w:rPr>
          <w:rFonts w:ascii="Times New Roman" w:hAnsi="Times New Roman" w:cs="Times New Roman"/>
          <w:sz w:val="24"/>
          <w:szCs w:val="24"/>
          <w:lang w:val="en-GB"/>
        </w:rPr>
        <w:t xml:space="preserve"> the rainbow as </w:t>
      </w:r>
      <w:r w:rsidR="00E03AC5">
        <w:rPr>
          <w:rFonts w:ascii="Times New Roman" w:hAnsi="Times New Roman" w:cs="Times New Roman"/>
          <w:sz w:val="24"/>
          <w:szCs w:val="24"/>
          <w:lang w:val="en-GB"/>
        </w:rPr>
        <w:t xml:space="preserve">a </w:t>
      </w:r>
      <w:r w:rsidRPr="002B10DA">
        <w:rPr>
          <w:rFonts w:ascii="Times New Roman" w:hAnsi="Times New Roman" w:cs="Times New Roman"/>
          <w:sz w:val="24"/>
          <w:szCs w:val="24"/>
          <w:lang w:val="en-GB"/>
        </w:rPr>
        <w:t>divine toke</w:t>
      </w:r>
      <w:r w:rsidR="00E03AC5">
        <w:rPr>
          <w:rFonts w:ascii="Times New Roman" w:hAnsi="Times New Roman" w:cs="Times New Roman"/>
          <w:sz w:val="24"/>
          <w:szCs w:val="24"/>
          <w:lang w:val="en-GB"/>
        </w:rPr>
        <w:t>n, signifying both</w:t>
      </w:r>
      <w:r w:rsidRPr="002B10DA">
        <w:rPr>
          <w:rFonts w:ascii="Times New Roman" w:hAnsi="Times New Roman" w:cs="Times New Roman"/>
          <w:sz w:val="24"/>
          <w:szCs w:val="24"/>
          <w:lang w:val="en-GB"/>
        </w:rPr>
        <w:t xml:space="preserve"> </w:t>
      </w:r>
      <w:r w:rsidR="00E03AC5">
        <w:rPr>
          <w:rFonts w:ascii="Times New Roman" w:hAnsi="Times New Roman" w:cs="Times New Roman"/>
          <w:sz w:val="24"/>
          <w:szCs w:val="24"/>
          <w:lang w:val="en-GB"/>
        </w:rPr>
        <w:t xml:space="preserve">God’s promise not to send another flood and the future destruction of the world </w:t>
      </w:r>
      <w:r w:rsidR="00E03AC5" w:rsidRPr="00E03AC5">
        <w:rPr>
          <w:rFonts w:ascii="Times New Roman" w:hAnsi="Times New Roman" w:cs="Times New Roman"/>
          <w:sz w:val="24"/>
          <w:szCs w:val="24"/>
          <w:lang w:val="en-GB"/>
        </w:rPr>
        <w:t>by fire</w:t>
      </w:r>
      <w:r w:rsidRPr="00E03AC5">
        <w:rPr>
          <w:rFonts w:ascii="Times New Roman" w:hAnsi="Times New Roman" w:cs="Times New Roman"/>
          <w:sz w:val="24"/>
          <w:szCs w:val="24"/>
          <w:lang w:val="en-GB"/>
        </w:rPr>
        <w:t>.</w:t>
      </w:r>
      <w:r w:rsidRPr="00E03AC5">
        <w:rPr>
          <w:rFonts w:ascii="Times New Roman" w:hAnsi="Times New Roman" w:cs="Times New Roman"/>
          <w:sz w:val="24"/>
          <w:szCs w:val="24"/>
          <w:vertAlign w:val="superscript"/>
          <w:lang w:val="en-GB"/>
        </w:rPr>
        <w:endnoteReference w:id="40"/>
      </w:r>
      <w:r w:rsidR="00E03AC5" w:rsidRPr="00E03AC5">
        <w:rPr>
          <w:rFonts w:ascii="Times New Roman" w:hAnsi="Times New Roman" w:cs="Times New Roman"/>
          <w:sz w:val="24"/>
          <w:szCs w:val="24"/>
          <w:lang w:val="en-GB"/>
        </w:rPr>
        <w:t xml:space="preserve"> </w:t>
      </w:r>
      <w:r w:rsidRPr="00E03AC5">
        <w:rPr>
          <w:rFonts w:ascii="Times New Roman" w:hAnsi="Times New Roman" w:cs="Times New Roman"/>
          <w:sz w:val="24"/>
          <w:szCs w:val="24"/>
          <w:lang w:val="en-GB"/>
        </w:rPr>
        <w:t xml:space="preserve">The natural world, in Bede’s apprehension, seems like a constant stream </w:t>
      </w:r>
      <w:r w:rsidRPr="00E03AC5">
        <w:rPr>
          <w:rFonts w:ascii="Times New Roman" w:hAnsi="Times New Roman" w:cs="Times New Roman"/>
          <w:sz w:val="24"/>
          <w:szCs w:val="24"/>
          <w:lang w:val="en-GB"/>
        </w:rPr>
        <w:lastRenderedPageBreak/>
        <w:t>of symbols and portents, which, if read correctly, encourage spiritual pursuits and eschatological reflection.</w:t>
      </w:r>
    </w:p>
    <w:p w14:paraId="4353E059" w14:textId="3A327CF4" w:rsidR="003C202E" w:rsidRDefault="00B4669B" w:rsidP="003167B5">
      <w:pPr>
        <w:pStyle w:val="BodyA"/>
        <w:spacing w:line="480" w:lineRule="auto"/>
        <w:ind w:firstLine="720"/>
        <w:jc w:val="both"/>
        <w:rPr>
          <w:rFonts w:hAnsi="Times New Roman" w:cs="Times New Roman"/>
          <w:lang w:val="en-GB"/>
        </w:rPr>
      </w:pPr>
      <w:r w:rsidRPr="002B10DA">
        <w:rPr>
          <w:rFonts w:hAnsi="Times New Roman" w:cs="Times New Roman"/>
          <w:lang w:val="en-GB"/>
        </w:rPr>
        <w:t xml:space="preserve">In a number of places, to be sure, Bede seems to imply that the unnaturalness of an event is what makes it miraculous. </w:t>
      </w:r>
      <w:r w:rsidRPr="002B10DA">
        <w:rPr>
          <w:rFonts w:hAnsi="Times New Roman" w:cs="Times New Roman"/>
          <w:kern w:val="2"/>
          <w:lang w:val="en-GB"/>
        </w:rPr>
        <w:t>When commenting on biblical miracles, Bede often explicitly specifies that the event went against the usual course of nature—indeed, it was this unusual opposition to the regular course of things that marked t</w:t>
      </w:r>
      <w:r w:rsidR="005C6361">
        <w:rPr>
          <w:rFonts w:hAnsi="Times New Roman" w:cs="Times New Roman"/>
          <w:kern w:val="2"/>
          <w:lang w:val="en-GB"/>
        </w:rPr>
        <w:t>he events out as divine signs: f</w:t>
      </w:r>
      <w:r w:rsidRPr="002B10DA">
        <w:rPr>
          <w:rFonts w:hAnsi="Times New Roman" w:cs="Times New Roman"/>
          <w:kern w:val="2"/>
          <w:lang w:val="en-GB"/>
        </w:rPr>
        <w:t>or instance, the blood that flowed from Christ’s side had to be a sign because it was ‘contrary to the nature of our bodies’</w:t>
      </w:r>
      <w:r w:rsidR="003C202E">
        <w:rPr>
          <w:rFonts w:hAnsi="Times New Roman" w:cs="Times New Roman"/>
          <w:kern w:val="2"/>
          <w:lang w:val="en-GB"/>
        </w:rPr>
        <w:t>;</w:t>
      </w:r>
      <w:r w:rsidRPr="002B10DA">
        <w:rPr>
          <w:rFonts w:hAnsi="Times New Roman" w:cs="Times New Roman"/>
          <w:kern w:val="2"/>
          <w:vertAlign w:val="superscript"/>
          <w:lang w:val="en-GB"/>
        </w:rPr>
        <w:endnoteReference w:id="41"/>
      </w:r>
      <w:r w:rsidRPr="002B10DA">
        <w:rPr>
          <w:rFonts w:hAnsi="Times New Roman" w:cs="Times New Roman"/>
          <w:kern w:val="2"/>
          <w:lang w:val="en-GB"/>
        </w:rPr>
        <w:t xml:space="preserve"> the fact that Sarah had passed child-bearing age when God promised her a son was underlined by Bede in his commentary on Genesis in order to emphasize the miraculous nature of the subsequent birth of Isaac</w:t>
      </w:r>
      <w:r w:rsidR="003C202E">
        <w:rPr>
          <w:rFonts w:hAnsi="Times New Roman" w:cs="Times New Roman"/>
          <w:kern w:val="2"/>
          <w:lang w:val="en-GB"/>
        </w:rPr>
        <w:t>;</w:t>
      </w:r>
      <w:r w:rsidRPr="002B10DA">
        <w:rPr>
          <w:rFonts w:hAnsi="Times New Roman" w:cs="Times New Roman"/>
          <w:kern w:val="2"/>
          <w:vertAlign w:val="superscript"/>
          <w:lang w:val="en-GB"/>
        </w:rPr>
        <w:endnoteReference w:id="42"/>
      </w:r>
      <w:r w:rsidRPr="002B10DA">
        <w:rPr>
          <w:rFonts w:hAnsi="Times New Roman" w:cs="Times New Roman"/>
          <w:kern w:val="2"/>
          <w:lang w:val="en-GB"/>
        </w:rPr>
        <w:t xml:space="preserve"> </w:t>
      </w:r>
      <w:r>
        <w:rPr>
          <w:rFonts w:hAnsi="Times New Roman" w:cs="Times New Roman"/>
          <w:kern w:val="2"/>
          <w:lang w:val="en-GB"/>
        </w:rPr>
        <w:t xml:space="preserve"> </w:t>
      </w:r>
      <w:r w:rsidR="003C202E">
        <w:rPr>
          <w:rFonts w:hAnsi="Times New Roman" w:cs="Times New Roman"/>
          <w:kern w:val="2"/>
          <w:lang w:val="en-GB"/>
        </w:rPr>
        <w:t>while</w:t>
      </w:r>
      <w:r w:rsidRPr="002B10DA">
        <w:rPr>
          <w:rFonts w:hAnsi="Times New Roman" w:cs="Times New Roman"/>
          <w:kern w:val="2"/>
          <w:lang w:val="en-GB"/>
        </w:rPr>
        <w:t xml:space="preserve"> the darkening of the sun at the crucifixion was not a regular eclipse </w:t>
      </w:r>
      <w:r w:rsidR="003C202E">
        <w:rPr>
          <w:rFonts w:hAnsi="Times New Roman" w:cs="Times New Roman"/>
          <w:kern w:val="2"/>
          <w:lang w:val="en-GB"/>
        </w:rPr>
        <w:t xml:space="preserve">and therefore </w:t>
      </w:r>
      <w:r w:rsidRPr="002B10DA">
        <w:rPr>
          <w:rFonts w:hAnsi="Times New Roman" w:cs="Times New Roman"/>
          <w:kern w:val="2"/>
          <w:lang w:val="en-GB"/>
        </w:rPr>
        <w:t>must be a miracle.</w:t>
      </w:r>
      <w:r w:rsidRPr="002B10DA">
        <w:rPr>
          <w:rStyle w:val="EndnoteReference"/>
          <w:rFonts w:hAnsi="Times New Roman" w:cs="Times New Roman"/>
          <w:kern w:val="2"/>
          <w:lang w:val="en-GB"/>
        </w:rPr>
        <w:endnoteReference w:id="43"/>
      </w:r>
      <w:r w:rsidR="003C202E">
        <w:rPr>
          <w:rFonts w:hAnsi="Times New Roman" w:cs="Times New Roman"/>
          <w:kern w:val="2"/>
          <w:lang w:val="en-GB"/>
        </w:rPr>
        <w:t xml:space="preserve"> </w:t>
      </w:r>
      <w:r w:rsidR="00A02C98" w:rsidRPr="002B10DA">
        <w:rPr>
          <w:rFonts w:hAnsi="Times New Roman" w:cs="Times New Roman"/>
          <w:lang w:val="en-GB"/>
        </w:rPr>
        <w:t>Often the reason for such an emphasis is to show that the miracle in question cannot be ascribed to chance or some other cause.</w:t>
      </w:r>
      <w:r w:rsidR="00A02C98" w:rsidRPr="002B10DA">
        <w:rPr>
          <w:rStyle w:val="EndnoteReference"/>
          <w:rFonts w:hAnsi="Times New Roman" w:cs="Times New Roman"/>
          <w:lang w:val="en-GB"/>
        </w:rPr>
        <w:endnoteReference w:id="44"/>
      </w:r>
      <w:r w:rsidR="00A02C98" w:rsidRPr="002B10DA">
        <w:rPr>
          <w:rFonts w:hAnsi="Times New Roman" w:cs="Times New Roman"/>
          <w:lang w:val="en-GB"/>
        </w:rPr>
        <w:t xml:space="preserve"> This rationale lies behind Bede’s statement in his commentary on Luke that sweating blood is ‘contra naturam’; he does not want his reader to think that Jesus’ bloody sweat might be related to a health issue, but to understand that it was unequivocally a sign.</w:t>
      </w:r>
      <w:r w:rsidR="00A02C98" w:rsidRPr="002B10DA">
        <w:rPr>
          <w:rFonts w:hAnsi="Times New Roman" w:cs="Times New Roman"/>
          <w:vertAlign w:val="superscript"/>
          <w:lang w:val="en-GB"/>
        </w:rPr>
        <w:endnoteReference w:id="45"/>
      </w:r>
      <w:r w:rsidR="00A02C98" w:rsidRPr="002B10DA">
        <w:rPr>
          <w:rFonts w:hAnsi="Times New Roman" w:cs="Times New Roman"/>
          <w:lang w:val="en-GB"/>
        </w:rPr>
        <w:t xml:space="preserve"> </w:t>
      </w:r>
      <w:r w:rsidR="003C202E">
        <w:rPr>
          <w:rFonts w:hAnsi="Times New Roman" w:cs="Times New Roman"/>
          <w:kern w:val="2"/>
          <w:lang w:val="en-GB"/>
        </w:rPr>
        <w:t xml:space="preserve">Outside of biblical commentary, there are similar examples. </w:t>
      </w:r>
      <w:r w:rsidRPr="002B10DA">
        <w:rPr>
          <w:rFonts w:hAnsi="Times New Roman" w:cs="Times New Roman"/>
          <w:lang w:val="en-GB"/>
        </w:rPr>
        <w:t xml:space="preserve">In </w:t>
      </w:r>
      <w:r w:rsidRPr="002B10DA">
        <w:rPr>
          <w:rFonts w:hAnsi="Times New Roman" w:cs="Times New Roman"/>
          <w:i/>
          <w:iCs/>
          <w:lang w:val="en-GB"/>
        </w:rPr>
        <w:t>De natura rerum</w:t>
      </w:r>
      <w:r w:rsidRPr="002B10DA">
        <w:rPr>
          <w:rFonts w:hAnsi="Times New Roman" w:cs="Times New Roman"/>
          <w:lang w:val="en-GB"/>
        </w:rPr>
        <w:t>, he describes how tempestuous weather can be caused by pestilential air. When this happens in the correct season, he says, they ar</w:t>
      </w:r>
      <w:r>
        <w:rPr>
          <w:rFonts w:hAnsi="Times New Roman" w:cs="Times New Roman"/>
          <w:lang w:val="en-GB"/>
        </w:rPr>
        <w:t>e called ‘storms’ (</w:t>
      </w:r>
      <w:r w:rsidRPr="00481A05">
        <w:rPr>
          <w:rFonts w:hAnsi="Times New Roman" w:cs="Times New Roman"/>
          <w:i/>
          <w:lang w:val="en-GB"/>
        </w:rPr>
        <w:t>tempestates</w:t>
      </w:r>
      <w:r w:rsidRPr="002B10DA">
        <w:rPr>
          <w:rFonts w:hAnsi="Times New Roman" w:cs="Times New Roman"/>
          <w:lang w:val="en-GB"/>
        </w:rPr>
        <w:t>); however, if they happen outside of their usual season they gain a miraculous significance and are known as ‘portents’</w:t>
      </w:r>
      <w:r>
        <w:rPr>
          <w:rFonts w:hAnsi="Times New Roman" w:cs="Times New Roman"/>
          <w:lang w:val="en-GB"/>
        </w:rPr>
        <w:t xml:space="preserve"> (</w:t>
      </w:r>
      <w:r>
        <w:rPr>
          <w:rFonts w:hAnsi="Times New Roman" w:cs="Times New Roman"/>
          <w:i/>
          <w:lang w:val="en-GB"/>
        </w:rPr>
        <w:t>prodigia</w:t>
      </w:r>
      <w:r>
        <w:rPr>
          <w:rFonts w:hAnsi="Times New Roman" w:cs="Times New Roman"/>
          <w:lang w:val="en-GB"/>
        </w:rPr>
        <w:t>)</w:t>
      </w:r>
      <w:r w:rsidRPr="002B10DA">
        <w:rPr>
          <w:rFonts w:hAnsi="Times New Roman" w:cs="Times New Roman"/>
          <w:lang w:val="en-GB"/>
        </w:rPr>
        <w:t xml:space="preserve"> </w:t>
      </w:r>
      <w:r>
        <w:rPr>
          <w:rFonts w:hAnsi="Times New Roman" w:cs="Times New Roman"/>
          <w:lang w:val="en-GB"/>
        </w:rPr>
        <w:t>or ‘signs’ (</w:t>
      </w:r>
      <w:r w:rsidRPr="00481A05">
        <w:rPr>
          <w:rFonts w:hAnsi="Times New Roman" w:cs="Times New Roman"/>
          <w:i/>
          <w:lang w:val="en-GB"/>
        </w:rPr>
        <w:t>signa</w:t>
      </w:r>
      <w:r w:rsidRPr="002B10DA">
        <w:rPr>
          <w:rFonts w:hAnsi="Times New Roman" w:cs="Times New Roman"/>
          <w:lang w:val="en-GB"/>
        </w:rPr>
        <w:t>).</w:t>
      </w:r>
      <w:r w:rsidRPr="002B10DA">
        <w:rPr>
          <w:rFonts w:hAnsi="Times New Roman" w:cs="Times New Roman"/>
          <w:vertAlign w:val="superscript"/>
          <w:lang w:val="en-GB"/>
        </w:rPr>
        <w:endnoteReference w:id="46"/>
      </w:r>
      <w:r w:rsidR="003167B5">
        <w:rPr>
          <w:rFonts w:hAnsi="Times New Roman" w:cs="Times New Roman"/>
          <w:lang w:val="en-GB"/>
        </w:rPr>
        <w:t xml:space="preserve"> </w:t>
      </w:r>
    </w:p>
    <w:p w14:paraId="1E6A476C" w14:textId="551113D1" w:rsidR="00725352" w:rsidRDefault="00725352" w:rsidP="00B07C8F">
      <w:pPr>
        <w:pStyle w:val="BodyA"/>
        <w:spacing w:line="480" w:lineRule="auto"/>
        <w:jc w:val="both"/>
        <w:rPr>
          <w:rFonts w:hAnsi="Times New Roman" w:cs="Times New Roman"/>
          <w:kern w:val="1"/>
          <w:lang w:val="en-GB"/>
        </w:rPr>
      </w:pPr>
      <w:r w:rsidRPr="002B10DA">
        <w:rPr>
          <w:rFonts w:hAnsi="Times New Roman" w:cs="Times New Roman"/>
          <w:kern w:val="2"/>
          <w:lang w:val="en-GB"/>
        </w:rPr>
        <w:tab/>
        <w:t>A</w:t>
      </w:r>
      <w:r w:rsidRPr="002B10DA">
        <w:rPr>
          <w:rFonts w:hAnsi="Times New Roman" w:cs="Times New Roman"/>
          <w:lang w:val="en-GB"/>
        </w:rPr>
        <w:t xml:space="preserve">t other times the miraculous tends to shade into the everyday; </w:t>
      </w:r>
      <w:r w:rsidRPr="002B10DA">
        <w:rPr>
          <w:rFonts w:hAnsi="Times New Roman" w:cs="Times New Roman"/>
          <w:kern w:val="2"/>
          <w:lang w:val="en-GB"/>
        </w:rPr>
        <w:t xml:space="preserve">the miracles that Bede reports often </w:t>
      </w:r>
      <w:r w:rsidR="00A02C98">
        <w:rPr>
          <w:rFonts w:hAnsi="Times New Roman" w:cs="Times New Roman"/>
          <w:kern w:val="2"/>
          <w:lang w:val="en-GB"/>
        </w:rPr>
        <w:t xml:space="preserve">seem </w:t>
      </w:r>
      <w:r w:rsidRPr="002B10DA">
        <w:rPr>
          <w:rFonts w:hAnsi="Times New Roman" w:cs="Times New Roman"/>
          <w:kern w:val="2"/>
          <w:lang w:val="en-GB"/>
        </w:rPr>
        <w:t xml:space="preserve">open to other interpretations, as products of chance or coincidence, rather than events that directly and clearly contradict nature. </w:t>
      </w:r>
      <w:r w:rsidRPr="002B10DA">
        <w:rPr>
          <w:rFonts w:hAnsi="Times New Roman" w:cs="Times New Roman"/>
          <w:kern w:val="1"/>
          <w:lang w:val="en-GB"/>
        </w:rPr>
        <w:t xml:space="preserve">The healing feats of John of Beverley in the </w:t>
      </w:r>
      <w:r w:rsidRPr="002B10DA">
        <w:rPr>
          <w:rFonts w:hAnsi="Times New Roman" w:cs="Times New Roman"/>
          <w:i/>
          <w:iCs/>
          <w:kern w:val="1"/>
          <w:lang w:val="en-GB"/>
        </w:rPr>
        <w:t>Historia ecclesiastica</w:t>
      </w:r>
      <w:r w:rsidRPr="002B10DA">
        <w:rPr>
          <w:rFonts w:hAnsi="Times New Roman" w:cs="Times New Roman"/>
          <w:kern w:val="1"/>
          <w:lang w:val="en-GB"/>
        </w:rPr>
        <w:t xml:space="preserve">, in particular, tread a line between </w:t>
      </w:r>
      <w:r w:rsidRPr="002B10DA">
        <w:rPr>
          <w:rFonts w:hAnsi="Times New Roman" w:cs="Times New Roman"/>
          <w:kern w:val="1"/>
          <w:lang w:val="en-GB"/>
        </w:rPr>
        <w:lastRenderedPageBreak/>
        <w:t>miracle-working and medicinal aid. In one case, he cures a boy who was dumb and covered in scabbiness and scurf. As has been noted by scholars, John of Beverley’s approach is more medical than miraculous.</w:t>
      </w:r>
      <w:r w:rsidRPr="002B10DA">
        <w:rPr>
          <w:rFonts w:hAnsi="Times New Roman" w:cs="Times New Roman"/>
          <w:kern w:val="1"/>
          <w:vertAlign w:val="superscript"/>
          <w:lang w:val="en-GB"/>
        </w:rPr>
        <w:endnoteReference w:id="47"/>
      </w:r>
      <w:r w:rsidRPr="002B10DA">
        <w:rPr>
          <w:rFonts w:hAnsi="Times New Roman" w:cs="Times New Roman"/>
          <w:kern w:val="1"/>
          <w:lang w:val="en-GB"/>
        </w:rPr>
        <w:t xml:space="preserve"> He patiently but effectively teaches the youth letters, syllables and words, then orders the physician to cure his scabby head. The physician does so, and </w:t>
      </w:r>
      <w:r>
        <w:rPr>
          <w:kern w:val="1"/>
        </w:rPr>
        <w:t>with the help of the bishop</w:t>
      </w:r>
      <w:r>
        <w:rPr>
          <w:rFonts w:hAnsi="Times New Roman"/>
          <w:kern w:val="1"/>
        </w:rPr>
        <w:t>’</w:t>
      </w:r>
      <w:r>
        <w:rPr>
          <w:kern w:val="1"/>
        </w:rPr>
        <w:t>s blessing and prayers</w:t>
      </w:r>
      <w:r>
        <w:rPr>
          <w:rFonts w:hAnsi="Times New Roman"/>
          <w:kern w:val="1"/>
        </w:rPr>
        <w:t xml:space="preserve"> </w:t>
      </w:r>
      <w:r>
        <w:rPr>
          <w:kern w:val="1"/>
        </w:rPr>
        <w:t>(</w:t>
      </w:r>
      <w:r w:rsidRPr="00727CF0">
        <w:rPr>
          <w:i/>
          <w:kern w:val="1"/>
        </w:rPr>
        <w:t>benedictio ac precis antistitis</w:t>
      </w:r>
      <w:r>
        <w:rPr>
          <w:kern w:val="1"/>
        </w:rPr>
        <w:t xml:space="preserve">), </w:t>
      </w:r>
      <w:r w:rsidRPr="002B10DA">
        <w:rPr>
          <w:rFonts w:hAnsi="Times New Roman" w:cs="Times New Roman"/>
          <w:kern w:val="1"/>
          <w:lang w:val="en-GB"/>
        </w:rPr>
        <w:t>the boy’s skin is cleared and he grows a healthy head of hair.</w:t>
      </w:r>
      <w:r w:rsidRPr="002B10DA">
        <w:rPr>
          <w:rFonts w:hAnsi="Times New Roman" w:cs="Times New Roman"/>
          <w:kern w:val="1"/>
          <w:vertAlign w:val="superscript"/>
          <w:lang w:val="en-GB"/>
        </w:rPr>
        <w:endnoteReference w:id="48"/>
      </w:r>
      <w:r w:rsidRPr="002B10DA">
        <w:rPr>
          <w:rFonts w:hAnsi="Times New Roman" w:cs="Times New Roman"/>
          <w:kern w:val="1"/>
          <w:lang w:val="en-GB"/>
        </w:rPr>
        <w:t xml:space="preserve"> As McCready comments, its status as a miracle depends ‘on nothing more substantive than the reputation of the bishop that performed it and his having begun the process by making the sign of the cross’.</w:t>
      </w:r>
      <w:r w:rsidRPr="002B10DA">
        <w:rPr>
          <w:rFonts w:hAnsi="Times New Roman" w:cs="Times New Roman"/>
          <w:kern w:val="1"/>
          <w:vertAlign w:val="superscript"/>
          <w:lang w:val="en-GB"/>
        </w:rPr>
        <w:endnoteReference w:id="49"/>
      </w:r>
      <w:r w:rsidRPr="002B10DA">
        <w:rPr>
          <w:rFonts w:hAnsi="Times New Roman" w:cs="Times New Roman"/>
          <w:kern w:val="1"/>
          <w:lang w:val="en-GB"/>
        </w:rPr>
        <w:t xml:space="preserve"> Such thin reasons for dubbing an event miraculous are not unique either to this miracle or to Bede.</w:t>
      </w:r>
      <w:r w:rsidRPr="002B10DA">
        <w:rPr>
          <w:rFonts w:hAnsi="Times New Roman" w:cs="Times New Roman"/>
          <w:kern w:val="1"/>
          <w:vertAlign w:val="superscript"/>
          <w:lang w:val="en-GB"/>
        </w:rPr>
        <w:endnoteReference w:id="50"/>
      </w:r>
      <w:r w:rsidRPr="002B10DA">
        <w:rPr>
          <w:rFonts w:hAnsi="Times New Roman" w:cs="Times New Roman"/>
          <w:kern w:val="1"/>
          <w:lang w:val="en-GB"/>
        </w:rPr>
        <w:t xml:space="preserve"> These miracles begin to feel a lot like simple providentially-guided events rather than ‘miracles’ </w:t>
      </w:r>
      <w:r w:rsidRPr="002B10DA">
        <w:rPr>
          <w:rFonts w:hAnsi="Times New Roman" w:cs="Times New Roman"/>
          <w:i/>
          <w:iCs/>
          <w:kern w:val="1"/>
          <w:lang w:val="en-GB"/>
        </w:rPr>
        <w:t>per se</w:t>
      </w:r>
      <w:r w:rsidRPr="002B10DA">
        <w:rPr>
          <w:rFonts w:hAnsi="Times New Roman" w:cs="Times New Roman"/>
          <w:kern w:val="1"/>
          <w:lang w:val="en-GB"/>
        </w:rPr>
        <w:t>.</w:t>
      </w:r>
      <w:r w:rsidRPr="002B10DA">
        <w:rPr>
          <w:rStyle w:val="EndnoteReference"/>
          <w:rFonts w:hAnsi="Times New Roman" w:cs="Times New Roman"/>
          <w:kern w:val="1"/>
          <w:lang w:val="en-GB"/>
        </w:rPr>
        <w:endnoteReference w:id="51"/>
      </w:r>
      <w:r w:rsidRPr="002B10DA">
        <w:rPr>
          <w:rFonts w:hAnsi="Times New Roman" w:cs="Times New Roman"/>
          <w:kern w:val="1"/>
          <w:lang w:val="en-GB"/>
        </w:rPr>
        <w:t xml:space="preserve"> But if there is no objective distinction between the general providentially-guided working of history and a supernatural miraculous event, then an examination of the miraculous needs to cast its net wider than previous studies have done.</w:t>
      </w:r>
    </w:p>
    <w:p w14:paraId="5D155BF2" w14:textId="442621F1" w:rsidR="00B4669B" w:rsidRPr="004106EB" w:rsidRDefault="003C202E" w:rsidP="004106EB">
      <w:pPr>
        <w:pStyle w:val="BodyA"/>
        <w:spacing w:line="480" w:lineRule="auto"/>
        <w:jc w:val="both"/>
        <w:rPr>
          <w:rFonts w:hAnsi="Times New Roman" w:cs="Times New Roman"/>
          <w:kern w:val="1"/>
          <w:lang w:val="en-GB"/>
        </w:rPr>
      </w:pPr>
      <w:r w:rsidRPr="002B10DA">
        <w:rPr>
          <w:rFonts w:hAnsi="Times New Roman" w:cs="Times New Roman"/>
          <w:lang w:val="en-GB"/>
        </w:rPr>
        <w:tab/>
        <w:t xml:space="preserve">If we </w:t>
      </w:r>
      <w:r w:rsidR="00CC59C2">
        <w:rPr>
          <w:rFonts w:hAnsi="Times New Roman" w:cs="Times New Roman"/>
          <w:lang w:val="en-GB"/>
        </w:rPr>
        <w:t xml:space="preserve">were to </w:t>
      </w:r>
      <w:r w:rsidRPr="002B10DA">
        <w:rPr>
          <w:rFonts w:hAnsi="Times New Roman" w:cs="Times New Roman"/>
          <w:lang w:val="en-GB"/>
        </w:rPr>
        <w:t xml:space="preserve">look at this evidence through the lens of a post-scholastic understanding of the miraculous, it </w:t>
      </w:r>
      <w:r w:rsidR="00725352">
        <w:rPr>
          <w:rFonts w:hAnsi="Times New Roman" w:cs="Times New Roman"/>
          <w:lang w:val="en-GB"/>
        </w:rPr>
        <w:t xml:space="preserve">would result </w:t>
      </w:r>
      <w:r w:rsidRPr="002B10DA">
        <w:rPr>
          <w:rFonts w:hAnsi="Times New Roman" w:cs="Times New Roman"/>
          <w:lang w:val="en-GB"/>
        </w:rPr>
        <w:t xml:space="preserve">in an apparent inconsistency in Bede’s worldview: how can these events be both part of a regular nature and signs of divine import? Applying the more subjective, eye-of-the-beholder patristic paradigm—a model unconcerned with the distinction between natural and supernatural—allows us to explain such seeming discrepancies. </w:t>
      </w:r>
      <w:r w:rsidR="004106EB" w:rsidRPr="002B10DA">
        <w:rPr>
          <w:rFonts w:hAnsi="Times New Roman" w:cs="Times New Roman"/>
          <w:i/>
          <w:iCs/>
          <w:kern w:val="1"/>
          <w:lang w:val="en-GB"/>
        </w:rPr>
        <w:t>Signa</w:t>
      </w:r>
      <w:r w:rsidR="004106EB" w:rsidRPr="002B10DA">
        <w:rPr>
          <w:rFonts w:hAnsi="Times New Roman" w:cs="Times New Roman"/>
          <w:kern w:val="1"/>
          <w:lang w:val="en-GB"/>
        </w:rPr>
        <w:t xml:space="preserve"> could be quite out of the ordinary, and in fact it was often their marvelousness that set them apart as clear signs from God. But this did not mean that Bede had a clear categorization system which drew a line between natural and supernatural events in the same way as would later be attempted by the scholastics. He at no point says that miracles </w:t>
      </w:r>
      <w:r w:rsidR="004106EB" w:rsidRPr="002B10DA">
        <w:rPr>
          <w:rFonts w:hAnsi="Times New Roman" w:cs="Times New Roman"/>
          <w:i/>
          <w:iCs/>
          <w:kern w:val="1"/>
          <w:lang w:val="en-GB"/>
        </w:rPr>
        <w:t xml:space="preserve">have to be </w:t>
      </w:r>
      <w:r w:rsidR="004106EB" w:rsidRPr="002B10DA">
        <w:rPr>
          <w:rFonts w:hAnsi="Times New Roman" w:cs="Times New Roman"/>
          <w:kern w:val="1"/>
          <w:lang w:val="en-GB"/>
        </w:rPr>
        <w:t xml:space="preserve">contrary to the usual course of nature. </w:t>
      </w:r>
      <w:r w:rsidR="00B16BF2" w:rsidRPr="002B10DA">
        <w:rPr>
          <w:rFonts w:hAnsi="Times New Roman" w:cs="Times New Roman"/>
          <w:lang w:val="en-GB"/>
        </w:rPr>
        <w:t xml:space="preserve">Nowhere </w:t>
      </w:r>
      <w:r w:rsidR="00B16BF2" w:rsidRPr="002B10DA">
        <w:rPr>
          <w:rFonts w:hAnsi="Times New Roman" w:cs="Times New Roman"/>
          <w:lang w:val="en-GB"/>
        </w:rPr>
        <w:lastRenderedPageBreak/>
        <w:t>here is the transcendent and distant watch-maker of later religious thought, happy to set things in motion and then sit back to let things take their course. Rather, God is immanent in the world—at all times his judgement may be felt in the form of natural phenomena and events. In such a conceptualization, the division between natural and supernatural has no meaning. How then does one define miracle in this worldview? Patristic thought provides an answer: a miracle is ‘anything which appears arduous or unusual, beyond the expectation or ability of the one who marvels at it’.</w:t>
      </w:r>
      <w:r w:rsidR="00B16BF2" w:rsidRPr="002B10DA">
        <w:rPr>
          <w:rFonts w:hAnsi="Times New Roman" w:cs="Times New Roman"/>
          <w:vertAlign w:val="superscript"/>
          <w:lang w:val="en-GB"/>
        </w:rPr>
        <w:endnoteReference w:id="52"/>
      </w:r>
      <w:r w:rsidR="004106EB">
        <w:rPr>
          <w:rFonts w:hAnsi="Times New Roman" w:cs="Times New Roman"/>
          <w:kern w:val="1"/>
          <w:lang w:val="en-GB"/>
        </w:rPr>
        <w:t xml:space="preserve"> </w:t>
      </w:r>
      <w:r w:rsidRPr="002B10DA">
        <w:rPr>
          <w:rFonts w:hAnsi="Times New Roman" w:cs="Times New Roman"/>
          <w:lang w:val="en-GB"/>
        </w:rPr>
        <w:t xml:space="preserve">The central purpose of a miracle was to signify something to humans. The complete unusualness of some events (Sarah’s pregnancy, water from Christ’s side, an eclipse during a full moon or a storm out of season) serves to mark them as signs for our attention; they are </w:t>
      </w:r>
      <w:r w:rsidRPr="002B10DA">
        <w:rPr>
          <w:rFonts w:hAnsi="Times New Roman" w:cs="Times New Roman"/>
          <w:i/>
          <w:iCs/>
          <w:lang w:val="en-GB"/>
        </w:rPr>
        <w:t>not</w:t>
      </w:r>
      <w:r w:rsidRPr="002B10DA">
        <w:rPr>
          <w:rFonts w:hAnsi="Times New Roman" w:cs="Times New Roman"/>
          <w:lang w:val="en-GB"/>
        </w:rPr>
        <w:t xml:space="preserve"> prerequisite traits of something called a miracle—such an objective method of definition would have not occurred to Bede. But </w:t>
      </w:r>
      <w:r>
        <w:rPr>
          <w:rFonts w:hAnsi="Times New Roman" w:cs="Times New Roman"/>
          <w:lang w:val="en-GB"/>
        </w:rPr>
        <w:t>more natural events could also stand as divine signs</w:t>
      </w:r>
      <w:r w:rsidRPr="002B10DA">
        <w:rPr>
          <w:rFonts w:hAnsi="Times New Roman" w:cs="Times New Roman"/>
          <w:lang w:val="en-GB"/>
        </w:rPr>
        <w:t>; hence, Chad’s reaction to storms. The miraculous is simply a way of describing the particularly exceptional and awesome works of God—people of simple faith are more likely to be impressed by such events, whereas the most holy and mindful, like Chad, see the message of</w:t>
      </w:r>
      <w:r>
        <w:rPr>
          <w:rFonts w:hAnsi="Times New Roman" w:cs="Times New Roman"/>
          <w:lang w:val="en-GB"/>
        </w:rPr>
        <w:t xml:space="preserve"> God even in inclement weather.</w:t>
      </w:r>
      <w:r w:rsidR="00B16BF2" w:rsidRPr="00B16BF2">
        <w:rPr>
          <w:rFonts w:hAnsi="Times New Roman" w:cs="Times New Roman"/>
          <w:kern w:val="1"/>
          <w:lang w:val="en-GB"/>
        </w:rPr>
        <w:t xml:space="preserve"> </w:t>
      </w:r>
      <w:r w:rsidR="00B16BF2" w:rsidRPr="002B10DA">
        <w:rPr>
          <w:rFonts w:hAnsi="Times New Roman" w:cs="Times New Roman"/>
          <w:kern w:val="1"/>
          <w:lang w:val="en-GB"/>
        </w:rPr>
        <w:t>Reading deeply into Bede’s writing</w:t>
      </w:r>
      <w:r w:rsidR="00FA2096">
        <w:rPr>
          <w:rFonts w:hAnsi="Times New Roman" w:cs="Times New Roman"/>
          <w:kern w:val="1"/>
          <w:lang w:val="en-GB"/>
        </w:rPr>
        <w:t>s</w:t>
      </w:r>
      <w:r w:rsidR="00B16BF2" w:rsidRPr="002B10DA">
        <w:rPr>
          <w:rFonts w:hAnsi="Times New Roman" w:cs="Times New Roman"/>
          <w:kern w:val="1"/>
          <w:lang w:val="en-GB"/>
        </w:rPr>
        <w:t xml:space="preserve">, one comes away with the impression that almost anything </w:t>
      </w:r>
      <w:r w:rsidR="00B16BF2">
        <w:rPr>
          <w:rFonts w:hAnsi="Times New Roman" w:cs="Times New Roman"/>
          <w:kern w:val="1"/>
          <w:lang w:val="en-GB"/>
        </w:rPr>
        <w:t>can</w:t>
      </w:r>
      <w:r w:rsidR="00B16BF2" w:rsidRPr="002B10DA">
        <w:rPr>
          <w:rFonts w:hAnsi="Times New Roman" w:cs="Times New Roman"/>
          <w:kern w:val="1"/>
          <w:lang w:val="en-GB"/>
        </w:rPr>
        <w:t xml:space="preserve"> be a </w:t>
      </w:r>
      <w:r w:rsidR="00B16BF2">
        <w:rPr>
          <w:rFonts w:hAnsi="Times New Roman" w:cs="Times New Roman"/>
          <w:kern w:val="1"/>
          <w:lang w:val="en-GB"/>
        </w:rPr>
        <w:t xml:space="preserve">divine </w:t>
      </w:r>
      <w:r w:rsidR="00B16BF2" w:rsidRPr="002B10DA">
        <w:rPr>
          <w:rFonts w:hAnsi="Times New Roman" w:cs="Times New Roman"/>
          <w:kern w:val="1"/>
          <w:lang w:val="en-GB"/>
        </w:rPr>
        <w:t>sign</w:t>
      </w:r>
      <w:r w:rsidR="00B16BF2">
        <w:rPr>
          <w:rFonts w:hAnsi="Times New Roman" w:cs="Times New Roman"/>
          <w:kern w:val="1"/>
          <w:lang w:val="en-GB"/>
        </w:rPr>
        <w:t>: s</w:t>
      </w:r>
      <w:r w:rsidR="00B16BF2" w:rsidRPr="002B10DA">
        <w:rPr>
          <w:rFonts w:hAnsi="Times New Roman" w:cs="Times New Roman"/>
          <w:kern w:val="1"/>
          <w:lang w:val="en-GB"/>
        </w:rPr>
        <w:t>torms (in or out of season), pestilences, the marvellous deeds performed by saints, the outcomes of battles, the onset or departure of disease, the landscape in which a saint is martyred or the eclipse of the moon.</w:t>
      </w:r>
      <w:r w:rsidR="00B16BF2" w:rsidRPr="002B10DA">
        <w:rPr>
          <w:rFonts w:hAnsi="Times New Roman" w:cs="Times New Roman"/>
          <w:lang w:val="en-GB"/>
        </w:rPr>
        <w:t xml:space="preserve"> One can, if one wishes, restrict the discussion of ‘miracles’ purely to the deeds of the saints—and separate them from other events which also function as </w:t>
      </w:r>
      <w:r w:rsidR="00B16BF2" w:rsidRPr="002B10DA">
        <w:rPr>
          <w:rFonts w:hAnsi="Times New Roman" w:cs="Times New Roman"/>
          <w:i/>
          <w:iCs/>
          <w:lang w:val="en-GB"/>
        </w:rPr>
        <w:t>signa</w:t>
      </w:r>
      <w:r w:rsidR="00B16BF2">
        <w:rPr>
          <w:rFonts w:hAnsi="Times New Roman" w:cs="Times New Roman"/>
          <w:lang w:val="en-GB"/>
        </w:rPr>
        <w:t>, such as</w:t>
      </w:r>
      <w:r w:rsidR="00B16BF2" w:rsidRPr="002B10DA">
        <w:rPr>
          <w:rFonts w:hAnsi="Times New Roman" w:cs="Times New Roman"/>
          <w:lang w:val="en-GB"/>
        </w:rPr>
        <w:t xml:space="preserve"> rainbows—but this </w:t>
      </w:r>
      <w:r w:rsidR="00B16BF2">
        <w:rPr>
          <w:rFonts w:hAnsi="Times New Roman" w:cs="Times New Roman"/>
          <w:lang w:val="en-GB"/>
        </w:rPr>
        <w:t xml:space="preserve">would be an </w:t>
      </w:r>
      <w:r w:rsidR="00B16BF2" w:rsidRPr="002B10DA">
        <w:rPr>
          <w:rFonts w:hAnsi="Times New Roman" w:cs="Times New Roman"/>
          <w:lang w:val="en-GB"/>
        </w:rPr>
        <w:t xml:space="preserve">artificial division </w:t>
      </w:r>
      <w:r w:rsidR="00B16BF2">
        <w:rPr>
          <w:rFonts w:hAnsi="Times New Roman" w:cs="Times New Roman"/>
          <w:lang w:val="en-GB"/>
        </w:rPr>
        <w:t>shedding</w:t>
      </w:r>
      <w:r w:rsidR="00B16BF2" w:rsidRPr="002B10DA">
        <w:rPr>
          <w:rFonts w:hAnsi="Times New Roman" w:cs="Times New Roman"/>
          <w:lang w:val="en-GB"/>
        </w:rPr>
        <w:t xml:space="preserve"> little light on Bede’s thought. Instead, the category of the miraculous needs to be extended to include other events which stand as </w:t>
      </w:r>
      <w:r w:rsidR="00B16BF2" w:rsidRPr="002B10DA">
        <w:rPr>
          <w:rFonts w:hAnsi="Times New Roman" w:cs="Times New Roman"/>
          <w:i/>
          <w:iCs/>
          <w:lang w:val="en-GB"/>
        </w:rPr>
        <w:t>signa</w:t>
      </w:r>
      <w:r w:rsidR="00B16BF2" w:rsidRPr="002B10DA">
        <w:rPr>
          <w:rFonts w:hAnsi="Times New Roman" w:cs="Times New Roman"/>
          <w:lang w:val="en-GB"/>
        </w:rPr>
        <w:t>—in a rhetoric of deeper spiritual meaning.</w:t>
      </w:r>
    </w:p>
    <w:p w14:paraId="368199EF" w14:textId="427C5420" w:rsidR="00B21D7D" w:rsidRDefault="00B07C8F" w:rsidP="00B07C8F">
      <w:pPr>
        <w:pStyle w:val="BodyA"/>
        <w:spacing w:line="480" w:lineRule="auto"/>
        <w:ind w:firstLine="720"/>
        <w:jc w:val="both"/>
        <w:rPr>
          <w:rFonts w:hAnsi="Times New Roman" w:cs="Times New Roman"/>
          <w:lang w:val="en-GB"/>
        </w:rPr>
      </w:pPr>
      <w:r>
        <w:rPr>
          <w:noProof/>
        </w:rPr>
        <w:lastRenderedPageBreak/>
        <mc:AlternateContent>
          <mc:Choice Requires="wps">
            <w:drawing>
              <wp:anchor distT="0" distB="0" distL="114300" distR="114300" simplePos="0" relativeHeight="251661312" behindDoc="0" locked="0" layoutInCell="1" allowOverlap="1" wp14:anchorId="47600CFD" wp14:editId="3FA1C168">
                <wp:simplePos x="0" y="0"/>
                <wp:positionH relativeFrom="column">
                  <wp:posOffset>-1026795</wp:posOffset>
                </wp:positionH>
                <wp:positionV relativeFrom="paragraph">
                  <wp:posOffset>5192395</wp:posOffset>
                </wp:positionV>
                <wp:extent cx="542925" cy="2063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rot="10800000">
                          <a:off x="0" y="0"/>
                          <a:ext cx="542925" cy="206375"/>
                        </a:xfrm>
                        <a:prstGeom prst="rect">
                          <a:avLst/>
                        </a:prstGeom>
                        <a:noFill/>
                        <a:ln>
                          <a:noFill/>
                        </a:ln>
                        <a:effectLst/>
                      </wps:spPr>
                      <wps:txbx>
                        <w:txbxContent>
                          <w:p w14:paraId="1503AA99" w14:textId="231B2880" w:rsidR="00B07C8F" w:rsidRPr="00B07C8F" w:rsidRDefault="00B07C8F" w:rsidP="00B07C8F">
                            <w:pPr>
                              <w:pStyle w:val="Body"/>
                              <w:spacing w:line="480" w:lineRule="auto"/>
                              <w:jc w:val="both"/>
                              <w:rPr>
                                <w:rFonts w:ascii="Times New Roman" w:eastAsia="Times New Roman" w:hAnsi="Times New Roman" w:cs="Times New Roman"/>
                                <w:sz w:val="24"/>
                                <w:szCs w:val="24"/>
                                <w:lang w:val="en-GB"/>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600CFD" id="Text_x0020_Box_x0020_2" o:spid="_x0000_s1027" type="#_x0000_t202" style="position:absolute;left:0;text-align:left;margin-left:-80.85pt;margin-top:408.85pt;width:42.75pt;height:16.25pt;rotation:18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" filled="f" stroked="f">
                <v:fill o:detectmouseclick="t"/>
                <v:textbox style="layout-flow:vertical-ideographic;mso-fit-shape-to-text:t">
                  <w:txbxContent>
                    <w:p w14:paraId="1503AA99" w14:textId="231B2880" w:rsidR="00B07C8F" w:rsidRPr="00B07C8F" w:rsidRDefault="00B07C8F" w:rsidP="00B07C8F">
                      <w:pPr>
                        <w:pStyle w:val="Body"/>
                        <w:spacing w:line="480" w:lineRule="auto"/>
                        <w:jc w:val="both"/>
                        <w:rPr>
                          <w:rFonts w:ascii="Times New Roman" w:eastAsia="Times New Roman" w:hAnsi="Times New Roman" w:cs="Times New Roman"/>
                          <w:sz w:val="24"/>
                          <w:szCs w:val="24"/>
                          <w:lang w:val="en-GB"/>
                        </w:rPr>
                      </w:pPr>
                    </w:p>
                  </w:txbxContent>
                </v:textbox>
                <w10:wrap type="square"/>
              </v:shape>
            </w:pict>
          </mc:Fallback>
        </mc:AlternateContent>
      </w:r>
      <w:r w:rsidR="00B21D7D" w:rsidRPr="002B10DA">
        <w:rPr>
          <w:rFonts w:hAnsi="Times New Roman" w:cs="Times New Roman"/>
          <w:lang w:val="en-GB"/>
        </w:rPr>
        <w:t>Wiles and Carey</w:t>
      </w:r>
      <w:r w:rsidR="00066451" w:rsidRPr="002B10DA">
        <w:rPr>
          <w:rFonts w:hAnsi="Times New Roman" w:cs="Times New Roman"/>
          <w:lang w:val="en-GB"/>
        </w:rPr>
        <w:t xml:space="preserve"> </w:t>
      </w:r>
      <w:r w:rsidR="00B21D7D" w:rsidRPr="002B10DA">
        <w:rPr>
          <w:rFonts w:hAnsi="Times New Roman" w:cs="Times New Roman"/>
          <w:lang w:val="en-GB"/>
        </w:rPr>
        <w:t>identified a conflict</w:t>
      </w:r>
      <w:r w:rsidR="00066451" w:rsidRPr="002B10DA">
        <w:rPr>
          <w:rFonts w:hAnsi="Times New Roman" w:cs="Times New Roman"/>
          <w:lang w:val="en-GB"/>
        </w:rPr>
        <w:t xml:space="preserve">, in patristic and early Irish thought respectively, </w:t>
      </w:r>
      <w:r w:rsidR="00B21D7D" w:rsidRPr="002B10DA">
        <w:rPr>
          <w:rFonts w:hAnsi="Times New Roman" w:cs="Times New Roman"/>
          <w:lang w:val="en-GB"/>
        </w:rPr>
        <w:t xml:space="preserve">between a wish to portray miracles as singular events above the ordinary course of nature and a desire to emphasize God’s miraculous power over all of Creation. This does not appear to have been an issue for Bede. It could be argued that this difference in portrayal is related to the different genres in which Bede is writing. Following such an argument, we might expect his cosmological writings to reflect the opinions of Augustinus Hibernicus (all of creation is a miracle) and his hagiography to agree more or less with Adomnán (miracles are ‘contra naturam’). Instead, as we have seen, </w:t>
      </w:r>
      <w:r w:rsidR="00B21D7D" w:rsidRPr="002B10DA">
        <w:rPr>
          <w:rFonts w:hAnsi="Times New Roman" w:cs="Times New Roman"/>
          <w:i/>
          <w:iCs/>
          <w:lang w:val="en-GB"/>
        </w:rPr>
        <w:t>De natura rerum</w:t>
      </w:r>
      <w:r w:rsidR="00B21D7D" w:rsidRPr="002B10DA">
        <w:rPr>
          <w:rFonts w:hAnsi="Times New Roman" w:cs="Times New Roman"/>
          <w:lang w:val="en-GB"/>
        </w:rPr>
        <w:t xml:space="preserve"> admits the importance of irregularity in identifying portents, while his hagiographies portray miracles that range from ‘contra naturam’ to barely unusual. He seems closer to de Nie’s estimation of Gregory of Tours, cheerfully willing to accept both divine and natural causation, than to the picture painted by Wiles and Carey of a deep intellectual discordance.</w:t>
      </w:r>
    </w:p>
    <w:p w14:paraId="4651E991" w14:textId="2160626F" w:rsidR="00362C29" w:rsidRPr="002B10DA" w:rsidRDefault="00362C29" w:rsidP="00B07C8F">
      <w:pPr>
        <w:pStyle w:val="BodyA"/>
        <w:spacing w:line="480" w:lineRule="auto"/>
        <w:ind w:firstLine="720"/>
        <w:jc w:val="both"/>
        <w:rPr>
          <w:rFonts w:hAnsi="Times New Roman" w:cs="Times New Roman"/>
          <w:lang w:val="en-GB"/>
        </w:rPr>
      </w:pPr>
      <w:r>
        <w:rPr>
          <w:noProof/>
        </w:rPr>
        <mc:AlternateContent>
          <mc:Choice Requires="wps">
            <w:drawing>
              <wp:anchor distT="0" distB="0" distL="114300" distR="114300" simplePos="0" relativeHeight="251663360" behindDoc="0" locked="0" layoutInCell="1" allowOverlap="1" wp14:anchorId="0FA7683C" wp14:editId="778D4BC0">
                <wp:simplePos x="0" y="0"/>
                <wp:positionH relativeFrom="column">
                  <wp:posOffset>-1080135</wp:posOffset>
                </wp:positionH>
                <wp:positionV relativeFrom="paragraph">
                  <wp:posOffset>48978</wp:posOffset>
                </wp:positionV>
                <wp:extent cx="542925" cy="7988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542925" cy="798830"/>
                        </a:xfrm>
                        <a:prstGeom prst="rect">
                          <a:avLst/>
                        </a:prstGeom>
                        <a:noFill/>
                        <a:ln>
                          <a:noFill/>
                        </a:ln>
                        <a:effectLst/>
                      </wps:spPr>
                      <wps:txbx>
                        <w:txbxContent>
                          <w:p w14:paraId="3DD7EACC" w14:textId="4CDFBE0A" w:rsidR="00B07C8F" w:rsidRPr="001E4787" w:rsidRDefault="00B07C8F" w:rsidP="001E4787">
                            <w:pPr>
                              <w:pStyle w:val="BodyA"/>
                              <w:spacing w:line="480" w:lineRule="auto"/>
                              <w:jc w:val="both"/>
                              <w:rPr>
                                <w:rFonts w:hAnsi="Times New Roman" w:cs="Times New Roman"/>
                                <w:lang w:val="en-GB"/>
                              </w:rPr>
                            </w:pPr>
                            <w:r>
                              <w:rPr>
                                <w:rFonts w:hAnsi="Times New Roman" w:cs="Times New Roman"/>
                                <w:lang w:val="en-GB"/>
                              </w:rPr>
                              <w:t>Heading: A</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A7683C" id="Text_x0020_Box_x0020_3" o:spid="_x0000_s1028" type="#_x0000_t202" style="position:absolute;left:0;text-align:left;margin-left:-85.05pt;margin-top:3.85pt;width:42.75pt;height:62.9pt;rotation:180;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" filled="f" stroked="f">
                <v:fill o:detectmouseclick="t"/>
                <v:textbox style="layout-flow:vertical-ideographic;mso-fit-shape-to-text:t">
                  <w:txbxContent>
                    <w:p w14:paraId="3DD7EACC" w14:textId="4CDFBE0A" w:rsidR="00B07C8F" w:rsidRPr="001E4787" w:rsidRDefault="00B07C8F" w:rsidP="001E4787">
                      <w:pPr>
                        <w:pStyle w:val="BodyA"/>
                        <w:spacing w:line="480" w:lineRule="auto"/>
                        <w:jc w:val="both"/>
                        <w:rPr>
                          <w:rFonts w:hAnsi="Times New Roman" w:cs="Times New Roman"/>
                          <w:lang w:val="en-GB"/>
                        </w:rPr>
                      </w:pPr>
                      <w:r>
                        <w:rPr>
                          <w:rFonts w:hAnsi="Times New Roman" w:cs="Times New Roman"/>
                          <w:lang w:val="en-GB"/>
                        </w:rPr>
                        <w:t>Heading: A</w:t>
                      </w:r>
                    </w:p>
                  </w:txbxContent>
                </v:textbox>
                <w10:wrap type="square"/>
              </v:shape>
            </w:pict>
          </mc:Fallback>
        </mc:AlternateContent>
      </w:r>
    </w:p>
    <w:p w14:paraId="54421FE3" w14:textId="093A6C7B" w:rsidR="00B21D7D" w:rsidRPr="002B10DA" w:rsidRDefault="00B21D7D" w:rsidP="00B07C8F">
      <w:pPr>
        <w:pStyle w:val="BodyA"/>
        <w:spacing w:line="480" w:lineRule="auto"/>
        <w:jc w:val="center"/>
        <w:outlineLvl w:val="0"/>
        <w:rPr>
          <w:rFonts w:hAnsi="Times New Roman" w:cs="Times New Roman"/>
          <w:b/>
          <w:bCs/>
          <w:lang w:val="en-GB"/>
        </w:rPr>
      </w:pPr>
      <w:r w:rsidRPr="002B10DA">
        <w:rPr>
          <w:rFonts w:hAnsi="Times New Roman" w:cs="Times New Roman"/>
          <w:b/>
          <w:bCs/>
          <w:lang w:val="en-GB"/>
        </w:rPr>
        <w:t xml:space="preserve">Interpretation of </w:t>
      </w:r>
      <w:r w:rsidRPr="002B10DA">
        <w:rPr>
          <w:rFonts w:hAnsi="Times New Roman" w:cs="Times New Roman"/>
          <w:b/>
          <w:bCs/>
          <w:i/>
          <w:iCs/>
          <w:lang w:val="en-GB"/>
        </w:rPr>
        <w:t>signa</w:t>
      </w:r>
    </w:p>
    <w:p w14:paraId="07CE341D" w14:textId="6F7353A1" w:rsidR="00B21D7D" w:rsidRPr="002B10DA" w:rsidRDefault="00B21D7D" w:rsidP="00B07C8F">
      <w:pPr>
        <w:pStyle w:val="Body"/>
        <w:spacing w:line="480" w:lineRule="auto"/>
        <w:jc w:val="both"/>
        <w:rPr>
          <w:rFonts w:ascii="Times New Roman" w:eastAsia="Times New Roman" w:hAnsi="Times New Roman" w:cs="Times New Roman"/>
          <w:sz w:val="24"/>
          <w:szCs w:val="24"/>
          <w:lang w:val="en-GB"/>
        </w:rPr>
      </w:pPr>
    </w:p>
    <w:p w14:paraId="0CB1FE8D" w14:textId="36B428CA" w:rsidR="00B21D7D" w:rsidRPr="002B10DA" w:rsidRDefault="00B21D7D" w:rsidP="00B07C8F">
      <w:pPr>
        <w:pStyle w:val="Body"/>
        <w:spacing w:line="480" w:lineRule="auto"/>
        <w:jc w:val="both"/>
        <w:rPr>
          <w:rFonts w:ascii="Times New Roman" w:eastAsia="Times New Roman" w:hAnsi="Times New Roman" w:cs="Times New Roman"/>
          <w:sz w:val="24"/>
          <w:szCs w:val="24"/>
          <w:lang w:val="en-GB"/>
        </w:rPr>
      </w:pPr>
      <w:r w:rsidRPr="002B10DA">
        <w:rPr>
          <w:rFonts w:ascii="Times New Roman" w:hAnsi="Times New Roman" w:cs="Times New Roman"/>
          <w:sz w:val="24"/>
          <w:szCs w:val="24"/>
          <w:lang w:val="en-GB"/>
        </w:rPr>
        <w:t>Given the importance of miracles as signifiers, then, it is worth asking what exactly they signified and how they could be interpreted. An obvious starting point is the method of interpretation used</w:t>
      </w:r>
      <w:r w:rsidR="002E0938">
        <w:rPr>
          <w:rFonts w:ascii="Times New Roman" w:hAnsi="Times New Roman" w:cs="Times New Roman"/>
          <w:sz w:val="24"/>
          <w:szCs w:val="24"/>
          <w:lang w:val="en-GB"/>
        </w:rPr>
        <w:t xml:space="preserve"> by Bede</w:t>
      </w:r>
      <w:r w:rsidRPr="002B10DA">
        <w:rPr>
          <w:rFonts w:ascii="Times New Roman" w:hAnsi="Times New Roman" w:cs="Times New Roman"/>
          <w:sz w:val="24"/>
          <w:szCs w:val="24"/>
          <w:lang w:val="en-GB"/>
        </w:rPr>
        <w:t xml:space="preserve"> in </w:t>
      </w:r>
      <w:r w:rsidR="002E0938">
        <w:rPr>
          <w:rFonts w:ascii="Times New Roman" w:hAnsi="Times New Roman" w:cs="Times New Roman"/>
          <w:sz w:val="24"/>
          <w:szCs w:val="24"/>
          <w:lang w:val="en-GB"/>
        </w:rPr>
        <w:t xml:space="preserve">his </w:t>
      </w:r>
      <w:r w:rsidRPr="002B10DA">
        <w:rPr>
          <w:rFonts w:ascii="Times New Roman" w:hAnsi="Times New Roman" w:cs="Times New Roman"/>
          <w:sz w:val="24"/>
          <w:szCs w:val="24"/>
          <w:lang w:val="en-GB"/>
        </w:rPr>
        <w:t>biblical exegesis. There has been some debate, however, about the extent to which Bede thought the events of the extra-biblical world could be read allegorically. Some, notably Calvin Kendall, have seen no distinction between scripture and the contemporary world in terms of potential for allegorical interpretation.</w:t>
      </w:r>
      <w:r w:rsidRPr="002B10DA">
        <w:rPr>
          <w:rFonts w:ascii="Times New Roman" w:eastAsia="Times New Roman" w:hAnsi="Times New Roman" w:cs="Times New Roman"/>
          <w:sz w:val="24"/>
          <w:szCs w:val="24"/>
          <w:vertAlign w:val="superscript"/>
          <w:lang w:val="en-GB"/>
        </w:rPr>
        <w:endnoteReference w:id="53"/>
      </w:r>
      <w:r w:rsidR="002E0938">
        <w:rPr>
          <w:rFonts w:ascii="Times New Roman" w:hAnsi="Times New Roman" w:cs="Times New Roman"/>
          <w:sz w:val="24"/>
          <w:szCs w:val="24"/>
          <w:lang w:val="en-GB"/>
        </w:rPr>
        <w:t xml:space="preserve"> </w:t>
      </w:r>
      <w:r w:rsidRPr="002B10DA">
        <w:rPr>
          <w:rFonts w:ascii="Times New Roman" w:hAnsi="Times New Roman" w:cs="Times New Roman"/>
          <w:sz w:val="24"/>
          <w:szCs w:val="24"/>
          <w:lang w:val="en-GB"/>
        </w:rPr>
        <w:t xml:space="preserve">Others have argued that Bede’s historical writing cannot be read in such a manner—that, while it is heavily influenced by biblical ways of narrating history, the </w:t>
      </w:r>
      <w:r w:rsidRPr="002B10DA">
        <w:rPr>
          <w:rFonts w:ascii="Times New Roman" w:hAnsi="Times New Roman" w:cs="Times New Roman"/>
          <w:sz w:val="24"/>
          <w:szCs w:val="24"/>
          <w:lang w:val="en-GB"/>
        </w:rPr>
        <w:lastRenderedPageBreak/>
        <w:t xml:space="preserve">allegorical methods used in biblical exegesis cannot be applied to texts like the </w:t>
      </w:r>
      <w:r w:rsidRPr="002B10DA">
        <w:rPr>
          <w:rFonts w:ascii="Times New Roman" w:hAnsi="Times New Roman" w:cs="Times New Roman"/>
          <w:i/>
          <w:iCs/>
          <w:sz w:val="24"/>
          <w:szCs w:val="24"/>
          <w:lang w:val="en-GB"/>
        </w:rPr>
        <w:t>Historia ecclesiastica</w:t>
      </w:r>
      <w:r w:rsidRPr="002B10DA">
        <w:rPr>
          <w:rFonts w:ascii="Times New Roman" w:hAnsi="Times New Roman" w:cs="Times New Roman"/>
          <w:sz w:val="24"/>
          <w:szCs w:val="24"/>
          <w:lang w:val="en-GB"/>
        </w:rPr>
        <w:t>.</w:t>
      </w:r>
      <w:r w:rsidRPr="002B10DA">
        <w:rPr>
          <w:rFonts w:ascii="Times New Roman" w:eastAsia="Times New Roman" w:hAnsi="Times New Roman" w:cs="Times New Roman"/>
          <w:sz w:val="24"/>
          <w:szCs w:val="24"/>
          <w:vertAlign w:val="superscript"/>
          <w:lang w:val="en-GB"/>
        </w:rPr>
        <w:endnoteReference w:id="54"/>
      </w:r>
      <w:r w:rsidRPr="002B10DA">
        <w:rPr>
          <w:rFonts w:ascii="Times New Roman" w:hAnsi="Times New Roman" w:cs="Times New Roman"/>
          <w:sz w:val="24"/>
          <w:szCs w:val="24"/>
          <w:lang w:val="en-GB"/>
        </w:rPr>
        <w:t xml:space="preserve"> This argument must be revised in light of recent </w:t>
      </w:r>
      <w:r w:rsidR="00D52AFA" w:rsidRPr="002B10DA">
        <w:rPr>
          <w:rFonts w:ascii="Times New Roman" w:hAnsi="Times New Roman" w:cs="Times New Roman"/>
          <w:sz w:val="24"/>
          <w:szCs w:val="24"/>
          <w:lang w:val="en-GB"/>
        </w:rPr>
        <w:t xml:space="preserve">studies that </w:t>
      </w:r>
      <w:r w:rsidRPr="002B10DA">
        <w:rPr>
          <w:rFonts w:ascii="Times New Roman" w:hAnsi="Times New Roman" w:cs="Times New Roman"/>
          <w:sz w:val="24"/>
          <w:szCs w:val="24"/>
          <w:lang w:val="en-GB"/>
        </w:rPr>
        <w:t>have demonstrated the symbolism, drawn from exegesis, that is woven throughout the narratives of Bede’s historiographical and hagiographical works.</w:t>
      </w:r>
      <w:r w:rsidRPr="002B10DA">
        <w:rPr>
          <w:rFonts w:ascii="Times New Roman" w:eastAsia="Times New Roman" w:hAnsi="Times New Roman" w:cs="Times New Roman"/>
          <w:sz w:val="24"/>
          <w:szCs w:val="24"/>
          <w:vertAlign w:val="superscript"/>
          <w:lang w:val="en-GB"/>
        </w:rPr>
        <w:endnoteReference w:id="55"/>
      </w:r>
      <w:r w:rsidRPr="002B10DA">
        <w:rPr>
          <w:rFonts w:ascii="Times New Roman" w:eastAsia="Times New Roman" w:hAnsi="Times New Roman" w:cs="Times New Roman"/>
          <w:sz w:val="24"/>
          <w:szCs w:val="24"/>
          <w:lang w:val="en-GB"/>
        </w:rPr>
        <w:tab/>
      </w:r>
    </w:p>
    <w:p w14:paraId="237F1BAD" w14:textId="1F9062F9" w:rsidR="00B21D7D" w:rsidRPr="002B10DA" w:rsidRDefault="00B21D7D" w:rsidP="00B07C8F">
      <w:pPr>
        <w:pStyle w:val="Body"/>
        <w:spacing w:line="480" w:lineRule="auto"/>
        <w:jc w:val="both"/>
        <w:rPr>
          <w:rFonts w:ascii="Times New Roman" w:eastAsia="Times New Roman" w:hAnsi="Times New Roman" w:cs="Times New Roman"/>
          <w:sz w:val="24"/>
          <w:szCs w:val="24"/>
          <w:lang w:val="en-GB"/>
        </w:rPr>
      </w:pPr>
      <w:r w:rsidRPr="002B10DA">
        <w:rPr>
          <w:rFonts w:ascii="Times New Roman" w:eastAsia="Times New Roman" w:hAnsi="Times New Roman" w:cs="Times New Roman"/>
          <w:sz w:val="24"/>
          <w:szCs w:val="24"/>
          <w:lang w:val="en-GB"/>
        </w:rPr>
        <w:tab/>
        <w:t>A</w:t>
      </w:r>
      <w:r w:rsidRPr="002B10DA">
        <w:rPr>
          <w:rFonts w:ascii="Times New Roman" w:hAnsi="Times New Roman" w:cs="Times New Roman"/>
          <w:sz w:val="24"/>
          <w:szCs w:val="24"/>
          <w:lang w:val="en-GB"/>
        </w:rPr>
        <w:t xml:space="preserve"> central tenet of Christian exegesis as practiced by Bede was that many of the events of scripture should be understood as genuine historical happenings, in which could also be discerned a spiritual or allegorical meaning.</w:t>
      </w:r>
      <w:r w:rsidRPr="002B10DA">
        <w:rPr>
          <w:rFonts w:ascii="Times New Roman" w:eastAsia="Times New Roman" w:hAnsi="Times New Roman" w:cs="Times New Roman"/>
          <w:sz w:val="24"/>
          <w:szCs w:val="24"/>
          <w:vertAlign w:val="superscript"/>
          <w:lang w:val="en-GB"/>
        </w:rPr>
        <w:endnoteReference w:id="56"/>
      </w:r>
      <w:r w:rsidRPr="002B10DA">
        <w:rPr>
          <w:rFonts w:ascii="Times New Roman" w:hAnsi="Times New Roman" w:cs="Times New Roman"/>
          <w:sz w:val="24"/>
          <w:szCs w:val="24"/>
          <w:lang w:val="en-GB"/>
        </w:rPr>
        <w:t xml:space="preserve"> In his </w:t>
      </w:r>
      <w:r w:rsidRPr="002B10DA">
        <w:rPr>
          <w:rFonts w:ascii="Times New Roman" w:hAnsi="Times New Roman" w:cs="Times New Roman"/>
          <w:i/>
          <w:iCs/>
          <w:sz w:val="24"/>
          <w:szCs w:val="24"/>
          <w:lang w:val="en-GB"/>
        </w:rPr>
        <w:t>De schematibus et tropis</w:t>
      </w:r>
      <w:r w:rsidRPr="002B10DA">
        <w:rPr>
          <w:rFonts w:ascii="Times New Roman" w:hAnsi="Times New Roman" w:cs="Times New Roman"/>
          <w:sz w:val="24"/>
          <w:szCs w:val="24"/>
          <w:lang w:val="en-GB"/>
        </w:rPr>
        <w:t xml:space="preserve">, Bede distinguishes between two different types of biblical allegory: verbal and historical. Verbal allegory refers to spoken prophecies </w:t>
      </w:r>
      <w:r w:rsidR="00250AB2">
        <w:rPr>
          <w:rFonts w:ascii="Times New Roman" w:hAnsi="Times New Roman" w:cs="Times New Roman"/>
          <w:sz w:val="24"/>
          <w:szCs w:val="24"/>
          <w:lang w:val="en-GB"/>
        </w:rPr>
        <w:t>and will not concern us here</w:t>
      </w:r>
      <w:r w:rsidR="00FB6516">
        <w:rPr>
          <w:rFonts w:ascii="Times New Roman" w:hAnsi="Times New Roman" w:cs="Times New Roman"/>
          <w:sz w:val="24"/>
          <w:szCs w:val="24"/>
          <w:lang w:val="en-GB"/>
        </w:rPr>
        <w:t xml:space="preserve">. </w:t>
      </w:r>
      <w:r w:rsidRPr="002B10DA">
        <w:rPr>
          <w:rFonts w:ascii="Times New Roman" w:hAnsi="Times New Roman" w:cs="Times New Roman"/>
          <w:sz w:val="24"/>
          <w:szCs w:val="24"/>
          <w:lang w:val="en-GB"/>
        </w:rPr>
        <w:t xml:space="preserve">Historical allegory, </w:t>
      </w:r>
      <w:r w:rsidR="00233BAF">
        <w:rPr>
          <w:rFonts w:ascii="Times New Roman" w:hAnsi="Times New Roman" w:cs="Times New Roman"/>
          <w:sz w:val="24"/>
          <w:szCs w:val="24"/>
          <w:lang w:val="en-GB"/>
        </w:rPr>
        <w:t>on the other hand</w:t>
      </w:r>
      <w:r w:rsidRPr="002B10DA">
        <w:rPr>
          <w:rFonts w:ascii="Times New Roman" w:hAnsi="Times New Roman" w:cs="Times New Roman"/>
          <w:sz w:val="24"/>
          <w:szCs w:val="24"/>
          <w:lang w:val="en-GB"/>
        </w:rPr>
        <w:t>, is associated with an event in time which ‘refers to another reality outside of itself’</w:t>
      </w:r>
      <w:r w:rsidR="00FB6516">
        <w:rPr>
          <w:rFonts w:ascii="Times New Roman" w:hAnsi="Times New Roman" w:cs="Times New Roman"/>
          <w:sz w:val="24"/>
          <w:szCs w:val="24"/>
          <w:lang w:val="en-GB"/>
        </w:rPr>
        <w:t>.</w:t>
      </w:r>
      <w:r w:rsidRPr="002B10DA">
        <w:rPr>
          <w:rFonts w:ascii="Times New Roman" w:eastAsia="Times New Roman" w:hAnsi="Times New Roman" w:cs="Times New Roman"/>
          <w:sz w:val="24"/>
          <w:szCs w:val="24"/>
          <w:vertAlign w:val="superscript"/>
          <w:lang w:val="en-GB"/>
        </w:rPr>
        <w:endnoteReference w:id="57"/>
      </w:r>
      <w:r w:rsidRPr="002B10DA">
        <w:rPr>
          <w:rFonts w:ascii="Times New Roman" w:hAnsi="Times New Roman" w:cs="Times New Roman"/>
          <w:sz w:val="24"/>
          <w:szCs w:val="24"/>
          <w:lang w:val="en-GB"/>
        </w:rPr>
        <w:t xml:space="preserve"> So, for instance, Abraham’s two sons represent the Old and the New Testament, an allegorical reading first proposed by Paul (Gal. IV.22–4)</w:t>
      </w:r>
      <w:r w:rsidR="006D3275">
        <w:rPr>
          <w:rFonts w:ascii="Times New Roman" w:hAnsi="Times New Roman" w:cs="Times New Roman"/>
          <w:sz w:val="24"/>
          <w:szCs w:val="24"/>
          <w:lang w:val="en-GB"/>
        </w:rPr>
        <w:t xml:space="preserve">, but </w:t>
      </w:r>
      <w:r w:rsidR="006D3275">
        <w:rPr>
          <w:rFonts w:ascii="Times New Roman" w:hAnsi="Times New Roman" w:cs="Times New Roman"/>
          <w:sz w:val="24"/>
          <w:szCs w:val="24"/>
          <w:lang w:val="en-GB"/>
        </w:rPr>
        <w:t>Abraham’s sons were also real historical figures</w:t>
      </w:r>
      <w:r w:rsidRPr="002B10DA">
        <w:rPr>
          <w:rFonts w:ascii="Times New Roman" w:hAnsi="Times New Roman" w:cs="Times New Roman"/>
          <w:sz w:val="24"/>
          <w:szCs w:val="24"/>
          <w:lang w:val="en-GB"/>
        </w:rPr>
        <w:t>.</w:t>
      </w:r>
      <w:r w:rsidRPr="002B10DA">
        <w:rPr>
          <w:rFonts w:ascii="Times New Roman" w:eastAsia="Times New Roman" w:hAnsi="Times New Roman" w:cs="Times New Roman"/>
          <w:sz w:val="24"/>
          <w:szCs w:val="24"/>
          <w:vertAlign w:val="superscript"/>
          <w:lang w:val="en-GB"/>
        </w:rPr>
        <w:endnoteReference w:id="58"/>
      </w:r>
      <w:r w:rsidR="00FB6516">
        <w:rPr>
          <w:rFonts w:ascii="Times New Roman" w:hAnsi="Times New Roman" w:cs="Times New Roman"/>
          <w:sz w:val="24"/>
          <w:szCs w:val="24"/>
          <w:lang w:val="en-GB"/>
        </w:rPr>
        <w:t xml:space="preserve"> </w:t>
      </w:r>
      <w:r w:rsidRPr="002B10DA">
        <w:rPr>
          <w:rFonts w:ascii="Times New Roman" w:hAnsi="Times New Roman" w:cs="Times New Roman"/>
          <w:sz w:val="24"/>
          <w:szCs w:val="24"/>
          <w:lang w:val="en-GB"/>
        </w:rPr>
        <w:t>Bede reiterates many times in his exegesis, that events such as the Creation, the Fall and the Flood are to be understood literally—as having true historical currency—as</w:t>
      </w:r>
      <w:r w:rsidR="006D3275">
        <w:rPr>
          <w:rFonts w:ascii="Times New Roman" w:hAnsi="Times New Roman" w:cs="Times New Roman"/>
          <w:sz w:val="24"/>
          <w:szCs w:val="24"/>
          <w:lang w:val="en-GB"/>
        </w:rPr>
        <w:t xml:space="preserve"> well as interpreted mystically. A</w:t>
      </w:r>
      <w:r w:rsidRPr="002B10DA">
        <w:rPr>
          <w:rFonts w:ascii="Times New Roman" w:hAnsi="Times New Roman" w:cs="Times New Roman"/>
          <w:sz w:val="24"/>
          <w:szCs w:val="24"/>
          <w:lang w:val="en-GB"/>
        </w:rPr>
        <w:t>s he says in his commentary on Genesis: ‘</w:t>
      </w:r>
      <w:r w:rsidRPr="002B10DA">
        <w:rPr>
          <w:rFonts w:ascii="Times New Roman" w:hAnsi="Times New Roman" w:cs="Times New Roman"/>
          <w:kern w:val="1"/>
          <w:sz w:val="24"/>
          <w:szCs w:val="24"/>
          <w:lang w:val="en-GB"/>
        </w:rPr>
        <w:t>this was done for the sake of its allegorical meaning, but nevertheless it was done</w:t>
      </w:r>
      <w:r w:rsidRPr="002B10DA">
        <w:rPr>
          <w:rFonts w:ascii="Times New Roman" w:hAnsi="Times New Roman" w:cs="Times New Roman"/>
          <w:sz w:val="24"/>
          <w:szCs w:val="24"/>
          <w:lang w:val="en-GB"/>
        </w:rPr>
        <w:t>’.</w:t>
      </w:r>
      <w:r w:rsidRPr="002B10DA">
        <w:rPr>
          <w:rFonts w:ascii="Times New Roman" w:eastAsia="Times New Roman" w:hAnsi="Times New Roman" w:cs="Times New Roman"/>
          <w:sz w:val="24"/>
          <w:szCs w:val="24"/>
          <w:vertAlign w:val="superscript"/>
          <w:lang w:val="en-GB"/>
        </w:rPr>
        <w:endnoteReference w:id="59"/>
      </w:r>
      <w:r w:rsidR="00FB6516">
        <w:rPr>
          <w:rFonts w:ascii="Times New Roman" w:hAnsi="Times New Roman" w:cs="Times New Roman"/>
          <w:sz w:val="24"/>
          <w:szCs w:val="24"/>
          <w:lang w:val="en-GB"/>
        </w:rPr>
        <w:t xml:space="preserve"> </w:t>
      </w:r>
      <w:r w:rsidR="00FB6516" w:rsidRPr="002B10DA">
        <w:rPr>
          <w:rFonts w:ascii="Times New Roman" w:hAnsi="Times New Roman" w:cs="Times New Roman"/>
          <w:sz w:val="24"/>
          <w:szCs w:val="24"/>
          <w:lang w:val="en-GB"/>
        </w:rPr>
        <w:t>The implication here, then, is that the spiritual meaning is embedded in the events themselves.</w:t>
      </w:r>
      <w:r w:rsidR="00FB6516" w:rsidRPr="002B10DA">
        <w:rPr>
          <w:rFonts w:ascii="Times New Roman" w:eastAsia="Times New Roman" w:hAnsi="Times New Roman" w:cs="Times New Roman"/>
          <w:sz w:val="24"/>
          <w:szCs w:val="24"/>
          <w:vertAlign w:val="superscript"/>
          <w:lang w:val="en-GB"/>
        </w:rPr>
        <w:endnoteReference w:id="60"/>
      </w:r>
      <w:r w:rsidR="002121E7">
        <w:rPr>
          <w:rFonts w:ascii="Times New Roman" w:hAnsi="Times New Roman" w:cs="Times New Roman"/>
          <w:sz w:val="24"/>
          <w:szCs w:val="24"/>
          <w:lang w:val="en-GB"/>
        </w:rPr>
        <w:t xml:space="preserve"> </w:t>
      </w:r>
      <w:r w:rsidR="00812506">
        <w:rPr>
          <w:rFonts w:ascii="Times New Roman" w:hAnsi="Times New Roman" w:cs="Times New Roman"/>
          <w:sz w:val="24"/>
          <w:szCs w:val="24"/>
          <w:lang w:val="en-GB"/>
        </w:rPr>
        <w:t xml:space="preserve">As Kendall has noted, </w:t>
      </w:r>
      <w:r w:rsidR="005E453F">
        <w:rPr>
          <w:rFonts w:ascii="Times New Roman" w:hAnsi="Times New Roman" w:cs="Times New Roman"/>
          <w:sz w:val="24"/>
          <w:szCs w:val="24"/>
          <w:lang w:val="en-GB"/>
        </w:rPr>
        <w:t xml:space="preserve">Bede’s concept of </w:t>
      </w:r>
      <w:r w:rsidR="00812506">
        <w:rPr>
          <w:rFonts w:ascii="Times New Roman" w:hAnsi="Times New Roman" w:cs="Times New Roman"/>
          <w:sz w:val="24"/>
          <w:szCs w:val="24"/>
          <w:lang w:val="en-GB"/>
        </w:rPr>
        <w:t>historical ‘allegory’</w:t>
      </w:r>
      <w:r w:rsidR="005E453F">
        <w:rPr>
          <w:rFonts w:ascii="Times New Roman" w:hAnsi="Times New Roman" w:cs="Times New Roman"/>
          <w:sz w:val="24"/>
          <w:szCs w:val="24"/>
          <w:lang w:val="en-GB"/>
        </w:rPr>
        <w:t xml:space="preserve"> is not, strictly speaking, a </w:t>
      </w:r>
      <w:r w:rsidR="0001029D">
        <w:rPr>
          <w:rFonts w:ascii="Times New Roman" w:hAnsi="Times New Roman" w:cs="Times New Roman"/>
          <w:sz w:val="24"/>
          <w:szCs w:val="24"/>
          <w:lang w:val="en-GB"/>
        </w:rPr>
        <w:t>‘device of language</w:t>
      </w:r>
      <w:r w:rsidR="005E453F">
        <w:rPr>
          <w:rFonts w:ascii="Times New Roman" w:hAnsi="Times New Roman" w:cs="Times New Roman"/>
          <w:sz w:val="24"/>
          <w:szCs w:val="24"/>
          <w:lang w:val="en-GB"/>
        </w:rPr>
        <w:t xml:space="preserve">, although it might be said to be </w:t>
      </w:r>
      <w:r w:rsidR="00812506">
        <w:rPr>
          <w:rFonts w:ascii="Times New Roman" w:hAnsi="Times New Roman" w:cs="Times New Roman"/>
          <w:sz w:val="24"/>
          <w:szCs w:val="24"/>
          <w:lang w:val="en-GB"/>
        </w:rPr>
        <w:t>a figure of speech in Gods’ rhetoric … the speech that constitutes the world’.</w:t>
      </w:r>
      <w:r w:rsidR="0001029D">
        <w:rPr>
          <w:rStyle w:val="EndnoteReference"/>
          <w:rFonts w:ascii="Times New Roman" w:hAnsi="Times New Roman" w:cs="Times New Roman"/>
          <w:sz w:val="24"/>
          <w:szCs w:val="24"/>
          <w:lang w:val="en-GB"/>
        </w:rPr>
        <w:endnoteReference w:id="61"/>
      </w:r>
    </w:p>
    <w:p w14:paraId="5E557504" w14:textId="5158B1E5" w:rsidR="00B21D7D" w:rsidRPr="002B10DA" w:rsidRDefault="00B21D7D" w:rsidP="00B07C8F">
      <w:pPr>
        <w:pStyle w:val="Body"/>
        <w:spacing w:line="480" w:lineRule="auto"/>
        <w:jc w:val="both"/>
        <w:rPr>
          <w:rFonts w:ascii="Times New Roman" w:eastAsia="Times New Roman" w:hAnsi="Times New Roman" w:cs="Times New Roman"/>
          <w:sz w:val="24"/>
          <w:szCs w:val="24"/>
          <w:lang w:val="en-GB"/>
        </w:rPr>
      </w:pPr>
      <w:r w:rsidRPr="002B10DA">
        <w:rPr>
          <w:rFonts w:ascii="Times New Roman" w:eastAsia="Times New Roman" w:hAnsi="Times New Roman" w:cs="Times New Roman"/>
          <w:sz w:val="24"/>
          <w:szCs w:val="24"/>
          <w:lang w:val="en-GB"/>
        </w:rPr>
        <w:tab/>
      </w:r>
      <w:r w:rsidRPr="002B10DA">
        <w:rPr>
          <w:rFonts w:ascii="Times New Roman" w:hAnsi="Times New Roman" w:cs="Times New Roman"/>
          <w:sz w:val="24"/>
          <w:szCs w:val="24"/>
          <w:lang w:val="en-GB"/>
        </w:rPr>
        <w:t xml:space="preserve">The ways in which such historical allegory could manifest itself were many and varied. The allegories embedded in historical reality were to be found, for instance, in the names of people and places. In the New Testament, the many layers of meaning in Peter’s name are explicated in Matthew </w:t>
      </w:r>
      <w:r w:rsidR="00481A05">
        <w:rPr>
          <w:rFonts w:ascii="Times New Roman" w:hAnsi="Times New Roman" w:cs="Times New Roman"/>
          <w:sz w:val="24"/>
          <w:szCs w:val="24"/>
          <w:lang w:val="en-GB"/>
        </w:rPr>
        <w:t>XVI.18: ‘you are Peter (</w:t>
      </w:r>
      <w:r w:rsidR="00481A05" w:rsidRPr="00481A05">
        <w:rPr>
          <w:rFonts w:ascii="Times New Roman" w:hAnsi="Times New Roman" w:cs="Times New Roman"/>
          <w:i/>
          <w:sz w:val="24"/>
          <w:szCs w:val="24"/>
          <w:lang w:val="en-GB"/>
        </w:rPr>
        <w:t>petrus</w:t>
      </w:r>
      <w:r w:rsidRPr="002B10DA">
        <w:rPr>
          <w:rFonts w:ascii="Times New Roman" w:hAnsi="Times New Roman" w:cs="Times New Roman"/>
          <w:sz w:val="24"/>
          <w:szCs w:val="24"/>
          <w:lang w:val="en-GB"/>
        </w:rPr>
        <w:t>); and upo</w:t>
      </w:r>
      <w:r w:rsidR="00481A05">
        <w:rPr>
          <w:rFonts w:ascii="Times New Roman" w:hAnsi="Times New Roman" w:cs="Times New Roman"/>
          <w:sz w:val="24"/>
          <w:szCs w:val="24"/>
          <w:lang w:val="en-GB"/>
        </w:rPr>
        <w:t xml:space="preserve">n this rock </w:t>
      </w:r>
      <w:r w:rsidR="00481A05">
        <w:rPr>
          <w:rFonts w:ascii="Times New Roman" w:hAnsi="Times New Roman" w:cs="Times New Roman"/>
          <w:sz w:val="24"/>
          <w:szCs w:val="24"/>
          <w:lang w:val="en-GB"/>
        </w:rPr>
        <w:lastRenderedPageBreak/>
        <w:t>(</w:t>
      </w:r>
      <w:r w:rsidR="00481A05" w:rsidRPr="00481A05">
        <w:rPr>
          <w:rFonts w:ascii="Times New Roman" w:hAnsi="Times New Roman" w:cs="Times New Roman"/>
          <w:i/>
          <w:sz w:val="24"/>
          <w:szCs w:val="24"/>
          <w:lang w:val="en-GB"/>
        </w:rPr>
        <w:t>super hanc petram</w:t>
      </w:r>
      <w:r w:rsidRPr="002B10DA">
        <w:rPr>
          <w:rFonts w:ascii="Times New Roman" w:hAnsi="Times New Roman" w:cs="Times New Roman"/>
          <w:sz w:val="24"/>
          <w:szCs w:val="24"/>
          <w:lang w:val="en-GB"/>
        </w:rPr>
        <w:t>) I will build my church’. The paronomastic connection between Peter’s name and the Latin word for rock signified a deeper symbolism with cosmic and historical meaning, especially for those who would read in it a cosmic endorsement of the authority of the Bishop of Rome.</w:t>
      </w:r>
      <w:r w:rsidRPr="002B10DA">
        <w:rPr>
          <w:rFonts w:ascii="Times New Roman" w:eastAsia="Times New Roman" w:hAnsi="Times New Roman" w:cs="Times New Roman"/>
          <w:sz w:val="24"/>
          <w:szCs w:val="24"/>
          <w:vertAlign w:val="superscript"/>
          <w:lang w:val="en-GB"/>
        </w:rPr>
        <w:endnoteReference w:id="62"/>
      </w:r>
      <w:r w:rsidRPr="002B10DA">
        <w:rPr>
          <w:rFonts w:ascii="Times New Roman" w:hAnsi="Times New Roman" w:cs="Times New Roman"/>
          <w:sz w:val="24"/>
          <w:szCs w:val="24"/>
          <w:lang w:val="en-GB"/>
        </w:rPr>
        <w:t xml:space="preserve"> Number and order were also capable of being mystically read. Central to Bede’s concept of number is the idea, inherited from Isidore and especially Augustine, of God as the divine orderer. The biblical verse Wisdom XI.21, where God is referred to as having ‘ordered all things in measure, and number, and weight’, was recited to show how numbers provided a glimpse into the divine order that underlay the universe.</w:t>
      </w:r>
      <w:r w:rsidRPr="002B10DA">
        <w:rPr>
          <w:rFonts w:ascii="Times New Roman" w:eastAsia="Times New Roman" w:hAnsi="Times New Roman" w:cs="Times New Roman"/>
          <w:sz w:val="24"/>
          <w:szCs w:val="24"/>
          <w:vertAlign w:val="superscript"/>
          <w:lang w:val="en-GB"/>
        </w:rPr>
        <w:endnoteReference w:id="63"/>
      </w:r>
      <w:r w:rsidRPr="002B10DA">
        <w:rPr>
          <w:rFonts w:ascii="Times New Roman" w:hAnsi="Times New Roman" w:cs="Times New Roman"/>
          <w:sz w:val="24"/>
          <w:szCs w:val="24"/>
          <w:lang w:val="en-GB"/>
        </w:rPr>
        <w:t xml:space="preserve"> For Bede, the six days of creation mirrored the entire history of the cosmos—each balancing a different ‘age’ of the</w:t>
      </w:r>
      <w:r w:rsidR="00DC3F77">
        <w:rPr>
          <w:rFonts w:ascii="Times New Roman" w:hAnsi="Times New Roman" w:cs="Times New Roman"/>
          <w:sz w:val="24"/>
          <w:szCs w:val="24"/>
          <w:lang w:val="en-GB"/>
        </w:rPr>
        <w:t xml:space="preserve"> world. Six is also a perfect</w:t>
      </w:r>
      <w:r w:rsidRPr="002B10DA">
        <w:rPr>
          <w:rFonts w:ascii="Times New Roman" w:hAnsi="Times New Roman" w:cs="Times New Roman"/>
          <w:sz w:val="24"/>
          <w:szCs w:val="24"/>
          <w:lang w:val="en-GB"/>
        </w:rPr>
        <w:t xml:space="preserve"> number, in that it is the first numb</w:t>
      </w:r>
      <w:r w:rsidR="00DC3F77">
        <w:rPr>
          <w:rFonts w:ascii="Times New Roman" w:hAnsi="Times New Roman" w:cs="Times New Roman"/>
          <w:sz w:val="24"/>
          <w:szCs w:val="24"/>
          <w:lang w:val="en-GB"/>
        </w:rPr>
        <w:t>er made up of its own factors; t</w:t>
      </w:r>
      <w:r w:rsidRPr="002B10DA">
        <w:rPr>
          <w:rFonts w:ascii="Times New Roman" w:hAnsi="Times New Roman" w:cs="Times New Roman"/>
          <w:sz w:val="24"/>
          <w:szCs w:val="24"/>
          <w:lang w:val="en-GB"/>
        </w:rPr>
        <w:t>he fact that God created the world in six days, then, declared the completion and perfection of the world. Bede interpreted the fact that Enoch lived for three hundred and sixty-five days (Gen. V.23) as mirroring the days of the solar year, which ‘signifies mystically by the whole period of this age that those who faithfully serve the Lord and strive towards eternal rest will never fail’.</w:t>
      </w:r>
      <w:r w:rsidRPr="002B10DA">
        <w:rPr>
          <w:rFonts w:ascii="Times New Roman" w:eastAsia="Times New Roman" w:hAnsi="Times New Roman" w:cs="Times New Roman"/>
          <w:sz w:val="24"/>
          <w:szCs w:val="24"/>
          <w:vertAlign w:val="superscript"/>
          <w:lang w:val="en-GB"/>
        </w:rPr>
        <w:endnoteReference w:id="64"/>
      </w:r>
      <w:r w:rsidRPr="002B10DA">
        <w:rPr>
          <w:rFonts w:ascii="Times New Roman" w:hAnsi="Times New Roman" w:cs="Times New Roman"/>
          <w:sz w:val="24"/>
          <w:szCs w:val="24"/>
          <w:lang w:val="en-GB"/>
        </w:rPr>
        <w:t xml:space="preserve"> Even physical and topographical details from scripture could reveal hidden spiritual significance, as in the case of the sons of Eber, whose mountain residence is symbolic of desire for heavenly things.</w:t>
      </w:r>
      <w:r w:rsidRPr="002B10DA">
        <w:rPr>
          <w:rFonts w:ascii="Times New Roman" w:eastAsia="Times New Roman" w:hAnsi="Times New Roman" w:cs="Times New Roman"/>
          <w:sz w:val="24"/>
          <w:szCs w:val="24"/>
          <w:vertAlign w:val="superscript"/>
          <w:lang w:val="en-GB"/>
        </w:rPr>
        <w:endnoteReference w:id="65"/>
      </w:r>
      <w:r w:rsidRPr="002B10DA">
        <w:rPr>
          <w:rFonts w:ascii="Times New Roman" w:hAnsi="Times New Roman" w:cs="Times New Roman"/>
          <w:sz w:val="24"/>
          <w:szCs w:val="24"/>
          <w:lang w:val="en-GB"/>
        </w:rPr>
        <w:t xml:space="preserve"> Bede’s </w:t>
      </w:r>
      <w:r w:rsidR="006D3275">
        <w:rPr>
          <w:rFonts w:ascii="Times New Roman" w:hAnsi="Times New Roman" w:cs="Times New Roman"/>
          <w:sz w:val="24"/>
          <w:szCs w:val="24"/>
          <w:lang w:val="en-GB"/>
        </w:rPr>
        <w:t>scriptural</w:t>
      </w:r>
      <w:r w:rsidR="00AF12CA">
        <w:rPr>
          <w:rFonts w:ascii="Times New Roman" w:hAnsi="Times New Roman" w:cs="Times New Roman"/>
          <w:sz w:val="24"/>
          <w:szCs w:val="24"/>
          <w:lang w:val="en-GB"/>
        </w:rPr>
        <w:t xml:space="preserve"> commentaries are</w:t>
      </w:r>
      <w:r w:rsidRPr="002B10DA">
        <w:rPr>
          <w:rFonts w:ascii="Times New Roman" w:hAnsi="Times New Roman" w:cs="Times New Roman"/>
          <w:sz w:val="24"/>
          <w:szCs w:val="24"/>
          <w:lang w:val="en-GB"/>
        </w:rPr>
        <w:t xml:space="preserve"> full of </w:t>
      </w:r>
      <w:r w:rsidR="00AF12CA">
        <w:rPr>
          <w:rFonts w:ascii="Times New Roman" w:hAnsi="Times New Roman" w:cs="Times New Roman"/>
          <w:sz w:val="24"/>
          <w:szCs w:val="24"/>
          <w:lang w:val="en-GB"/>
        </w:rPr>
        <w:t>similar</w:t>
      </w:r>
      <w:r w:rsidRPr="002B10DA">
        <w:rPr>
          <w:rFonts w:ascii="Times New Roman" w:hAnsi="Times New Roman" w:cs="Times New Roman"/>
          <w:sz w:val="24"/>
          <w:szCs w:val="24"/>
          <w:lang w:val="en-GB"/>
        </w:rPr>
        <w:t xml:space="preserve"> readings</w:t>
      </w:r>
      <w:r w:rsidR="000E08DF">
        <w:rPr>
          <w:rFonts w:ascii="Times New Roman" w:hAnsi="Times New Roman" w:cs="Times New Roman"/>
          <w:sz w:val="24"/>
          <w:szCs w:val="24"/>
          <w:lang w:val="en-GB"/>
        </w:rPr>
        <w:t>; they demonstrate</w:t>
      </w:r>
      <w:r w:rsidRPr="002B10DA">
        <w:rPr>
          <w:rFonts w:ascii="Times New Roman" w:hAnsi="Times New Roman" w:cs="Times New Roman"/>
          <w:sz w:val="24"/>
          <w:szCs w:val="24"/>
          <w:lang w:val="en-GB"/>
        </w:rPr>
        <w:t xml:space="preserve"> </w:t>
      </w:r>
      <w:r w:rsidR="000E08DF">
        <w:rPr>
          <w:rFonts w:ascii="Times New Roman" w:hAnsi="Times New Roman" w:cs="Times New Roman"/>
          <w:sz w:val="24"/>
          <w:szCs w:val="24"/>
          <w:lang w:val="en-GB"/>
        </w:rPr>
        <w:t>the</w:t>
      </w:r>
      <w:r w:rsidRPr="002B10DA">
        <w:rPr>
          <w:rFonts w:ascii="Times New Roman" w:hAnsi="Times New Roman" w:cs="Times New Roman"/>
          <w:sz w:val="24"/>
          <w:szCs w:val="24"/>
          <w:lang w:val="en-GB"/>
        </w:rPr>
        <w:t xml:space="preserve"> </w:t>
      </w:r>
      <w:r w:rsidR="00AF12CA">
        <w:rPr>
          <w:rFonts w:ascii="Times New Roman" w:hAnsi="Times New Roman" w:cs="Times New Roman"/>
          <w:sz w:val="24"/>
          <w:szCs w:val="24"/>
          <w:lang w:val="en-GB"/>
        </w:rPr>
        <w:t>providentially</w:t>
      </w:r>
      <w:r w:rsidRPr="002B10DA">
        <w:rPr>
          <w:rFonts w:ascii="Times New Roman" w:hAnsi="Times New Roman" w:cs="Times New Roman"/>
          <w:sz w:val="24"/>
          <w:szCs w:val="24"/>
          <w:lang w:val="en-GB"/>
        </w:rPr>
        <w:t xml:space="preserve">-organized </w:t>
      </w:r>
      <w:r w:rsidR="00AF12CA">
        <w:rPr>
          <w:rFonts w:ascii="Times New Roman" w:hAnsi="Times New Roman" w:cs="Times New Roman"/>
          <w:sz w:val="24"/>
          <w:szCs w:val="24"/>
          <w:lang w:val="en-GB"/>
        </w:rPr>
        <w:t xml:space="preserve">web of meaning </w:t>
      </w:r>
      <w:r w:rsidR="000E08DF">
        <w:rPr>
          <w:rFonts w:ascii="Times New Roman" w:hAnsi="Times New Roman" w:cs="Times New Roman"/>
          <w:sz w:val="24"/>
          <w:szCs w:val="24"/>
          <w:lang w:val="en-GB"/>
        </w:rPr>
        <w:t xml:space="preserve">that lies </w:t>
      </w:r>
      <w:r w:rsidR="00AF12CA">
        <w:rPr>
          <w:rFonts w:ascii="Times New Roman" w:hAnsi="Times New Roman" w:cs="Times New Roman"/>
          <w:sz w:val="24"/>
          <w:szCs w:val="24"/>
          <w:lang w:val="en-GB"/>
        </w:rPr>
        <w:t xml:space="preserve">behind the events </w:t>
      </w:r>
      <w:r w:rsidR="00D818EC">
        <w:rPr>
          <w:rFonts w:ascii="Times New Roman" w:hAnsi="Times New Roman" w:cs="Times New Roman"/>
          <w:sz w:val="24"/>
          <w:szCs w:val="24"/>
          <w:lang w:val="en-GB"/>
        </w:rPr>
        <w:t>recorded in the Bible</w:t>
      </w:r>
      <w:r w:rsidRPr="002B10DA">
        <w:rPr>
          <w:rFonts w:ascii="Times New Roman" w:hAnsi="Times New Roman" w:cs="Times New Roman"/>
          <w:sz w:val="24"/>
          <w:szCs w:val="24"/>
          <w:lang w:val="en-GB"/>
        </w:rPr>
        <w:t>.</w:t>
      </w:r>
    </w:p>
    <w:p w14:paraId="0F770B00" w14:textId="1FAF5D28" w:rsidR="00B21D7D" w:rsidRPr="002B10DA" w:rsidRDefault="00B21D7D" w:rsidP="00B07C8F">
      <w:pPr>
        <w:pStyle w:val="Body"/>
        <w:spacing w:line="480" w:lineRule="auto"/>
        <w:jc w:val="both"/>
        <w:rPr>
          <w:rFonts w:ascii="Times New Roman" w:eastAsia="Times New Roman" w:hAnsi="Times New Roman" w:cs="Times New Roman"/>
          <w:sz w:val="24"/>
          <w:szCs w:val="24"/>
          <w:lang w:val="en-GB"/>
        </w:rPr>
      </w:pPr>
      <w:r w:rsidRPr="002B10DA">
        <w:rPr>
          <w:rFonts w:ascii="Times New Roman" w:eastAsia="Times New Roman" w:hAnsi="Times New Roman" w:cs="Times New Roman"/>
          <w:sz w:val="24"/>
          <w:szCs w:val="24"/>
          <w:lang w:val="en-GB"/>
        </w:rPr>
        <w:tab/>
        <w:t xml:space="preserve">Despite this emphasis on the historicity of </w:t>
      </w:r>
      <w:r w:rsidR="00FF7498">
        <w:rPr>
          <w:rFonts w:ascii="Times New Roman" w:eastAsia="Times New Roman" w:hAnsi="Times New Roman" w:cs="Times New Roman"/>
          <w:sz w:val="24"/>
          <w:szCs w:val="24"/>
          <w:lang w:val="en-GB"/>
        </w:rPr>
        <w:t>such biblical allegories</w:t>
      </w:r>
      <w:r w:rsidRPr="002B10DA">
        <w:rPr>
          <w:rFonts w:ascii="Times New Roman" w:eastAsia="Times New Roman" w:hAnsi="Times New Roman" w:cs="Times New Roman"/>
          <w:sz w:val="24"/>
          <w:szCs w:val="24"/>
          <w:lang w:val="en-GB"/>
        </w:rPr>
        <w:t>, since Arthur Holder</w:t>
      </w:r>
      <w:r w:rsidRPr="002B10DA">
        <w:rPr>
          <w:rFonts w:ascii="Times New Roman" w:hAnsi="Times New Roman" w:cs="Times New Roman"/>
          <w:sz w:val="24"/>
          <w:szCs w:val="24"/>
          <w:lang w:val="en-GB"/>
        </w:rPr>
        <w:t>’s 1989 article on Bede’s exegesis of the Temple of Solomon it has been widely agreed that Bede allegorically interpreted only the elements which were mentioned in scripture.</w:t>
      </w:r>
      <w:r w:rsidRPr="002B10DA">
        <w:rPr>
          <w:rFonts w:ascii="Times New Roman" w:eastAsia="Times New Roman" w:hAnsi="Times New Roman" w:cs="Times New Roman"/>
          <w:sz w:val="24"/>
          <w:szCs w:val="24"/>
          <w:vertAlign w:val="superscript"/>
          <w:lang w:val="en-GB"/>
        </w:rPr>
        <w:endnoteReference w:id="66"/>
      </w:r>
      <w:r w:rsidRPr="002B10DA">
        <w:rPr>
          <w:rFonts w:ascii="Times New Roman" w:hAnsi="Times New Roman" w:cs="Times New Roman"/>
          <w:sz w:val="24"/>
          <w:szCs w:val="24"/>
          <w:lang w:val="en-GB"/>
        </w:rPr>
        <w:t xml:space="preserve"> According to Holder, Bede limited his allegorical exegesis to the realm of </w:t>
      </w:r>
      <w:r w:rsidRPr="002B10DA">
        <w:rPr>
          <w:rFonts w:ascii="Times New Roman" w:hAnsi="Times New Roman" w:cs="Times New Roman"/>
          <w:sz w:val="24"/>
          <w:szCs w:val="24"/>
          <w:lang w:val="en-GB"/>
        </w:rPr>
        <w:lastRenderedPageBreak/>
        <w:t xml:space="preserve">scripture only: ‘other sources of information, however ancient and reliable they may be, provided insight into </w:t>
      </w:r>
      <w:r w:rsidRPr="002B10DA">
        <w:rPr>
          <w:rFonts w:ascii="Times New Roman" w:hAnsi="Times New Roman" w:cs="Times New Roman"/>
          <w:i/>
          <w:iCs/>
          <w:sz w:val="24"/>
          <w:szCs w:val="24"/>
          <w:lang w:val="en-GB"/>
        </w:rPr>
        <w:t xml:space="preserve">historia </w:t>
      </w:r>
      <w:r w:rsidRPr="002B10DA">
        <w:rPr>
          <w:rFonts w:ascii="Times New Roman" w:hAnsi="Times New Roman" w:cs="Times New Roman"/>
          <w:sz w:val="24"/>
          <w:szCs w:val="24"/>
          <w:lang w:val="en-GB"/>
        </w:rPr>
        <w:t>only’.</w:t>
      </w:r>
      <w:r w:rsidRPr="002B10DA">
        <w:rPr>
          <w:rFonts w:ascii="Times New Roman" w:eastAsia="Times New Roman" w:hAnsi="Times New Roman" w:cs="Times New Roman"/>
          <w:sz w:val="24"/>
          <w:szCs w:val="24"/>
          <w:vertAlign w:val="superscript"/>
          <w:lang w:val="en-GB"/>
        </w:rPr>
        <w:endnoteReference w:id="67"/>
      </w:r>
      <w:r w:rsidRPr="002B10DA">
        <w:rPr>
          <w:rFonts w:ascii="Times New Roman" w:hAnsi="Times New Roman" w:cs="Times New Roman"/>
          <w:sz w:val="24"/>
          <w:szCs w:val="24"/>
          <w:lang w:val="en-GB"/>
        </w:rPr>
        <w:t xml:space="preserve"> Holder is </w:t>
      </w:r>
      <w:r w:rsidR="003503AE">
        <w:rPr>
          <w:rFonts w:ascii="Times New Roman" w:hAnsi="Times New Roman" w:cs="Times New Roman"/>
          <w:sz w:val="24"/>
          <w:szCs w:val="24"/>
          <w:lang w:val="en-GB"/>
        </w:rPr>
        <w:t xml:space="preserve">certainly </w:t>
      </w:r>
      <w:r w:rsidRPr="002B10DA">
        <w:rPr>
          <w:rFonts w:ascii="Times New Roman" w:hAnsi="Times New Roman" w:cs="Times New Roman"/>
          <w:sz w:val="24"/>
          <w:szCs w:val="24"/>
          <w:lang w:val="en-GB"/>
        </w:rPr>
        <w:t xml:space="preserve">right to distinguish between Bede the exegete and Bede the historian. The two genres entailed two different approaches and Bede does not generally comment on the allegorical interpretation of the events recorded in his historical writings. But this is not the same as believing that historical allegory is not at play in extra-biblical events. In fact, it is clear </w:t>
      </w:r>
      <w:r w:rsidR="001259FB">
        <w:rPr>
          <w:rFonts w:ascii="Times New Roman" w:hAnsi="Times New Roman" w:cs="Times New Roman"/>
          <w:sz w:val="24"/>
          <w:szCs w:val="24"/>
          <w:lang w:val="en-GB"/>
        </w:rPr>
        <w:t>that it is</w:t>
      </w:r>
      <w:r w:rsidRPr="002B10DA">
        <w:rPr>
          <w:rFonts w:ascii="Times New Roman" w:hAnsi="Times New Roman" w:cs="Times New Roman"/>
          <w:sz w:val="24"/>
          <w:szCs w:val="24"/>
          <w:lang w:val="en-GB"/>
        </w:rPr>
        <w:t xml:space="preserve">. Bede, when commenting on scripture, </w:t>
      </w:r>
      <w:r w:rsidR="001259FB">
        <w:rPr>
          <w:rFonts w:ascii="Times New Roman" w:hAnsi="Times New Roman" w:cs="Times New Roman"/>
          <w:sz w:val="24"/>
          <w:szCs w:val="24"/>
          <w:lang w:val="en-GB"/>
        </w:rPr>
        <w:t>often</w:t>
      </w:r>
      <w:r w:rsidRPr="002B10DA">
        <w:rPr>
          <w:rFonts w:ascii="Times New Roman" w:hAnsi="Times New Roman" w:cs="Times New Roman"/>
          <w:sz w:val="24"/>
          <w:szCs w:val="24"/>
          <w:lang w:val="en-GB"/>
        </w:rPr>
        <w:t xml:space="preserve"> brings in facts gleaned from other, non-biblical sources.</w:t>
      </w:r>
      <w:r w:rsidRPr="002B10DA">
        <w:rPr>
          <w:rFonts w:ascii="Times New Roman" w:eastAsia="Times New Roman" w:hAnsi="Times New Roman" w:cs="Times New Roman"/>
          <w:sz w:val="24"/>
          <w:szCs w:val="24"/>
          <w:vertAlign w:val="superscript"/>
          <w:lang w:val="en-GB"/>
        </w:rPr>
        <w:endnoteReference w:id="68"/>
      </w:r>
      <w:r w:rsidRPr="002B10DA">
        <w:rPr>
          <w:rFonts w:ascii="Times New Roman" w:hAnsi="Times New Roman" w:cs="Times New Roman"/>
          <w:sz w:val="24"/>
          <w:szCs w:val="24"/>
          <w:lang w:val="en-GB"/>
        </w:rPr>
        <w:t xml:space="preserve"> These facts are not just use</w:t>
      </w:r>
      <w:r w:rsidR="001259FB">
        <w:rPr>
          <w:rFonts w:ascii="Times New Roman" w:hAnsi="Times New Roman" w:cs="Times New Roman"/>
          <w:sz w:val="24"/>
          <w:szCs w:val="24"/>
          <w:lang w:val="en-GB"/>
        </w:rPr>
        <w:t>d to explain historical context</w:t>
      </w:r>
      <w:r w:rsidRPr="002B10DA">
        <w:rPr>
          <w:rFonts w:ascii="Times New Roman" w:hAnsi="Times New Roman" w:cs="Times New Roman"/>
          <w:sz w:val="24"/>
          <w:szCs w:val="24"/>
          <w:lang w:val="en-GB"/>
        </w:rPr>
        <w:t>, but often contribute to the allegorical reading. Thus, according to Josephus and Jerome, there were seventy-two pomegranates and the same number of bells on the tunic of the high priest.</w:t>
      </w:r>
      <w:r w:rsidRPr="002B10DA">
        <w:rPr>
          <w:rFonts w:ascii="Times New Roman" w:eastAsia="Times New Roman" w:hAnsi="Times New Roman" w:cs="Times New Roman"/>
          <w:sz w:val="24"/>
          <w:szCs w:val="24"/>
          <w:vertAlign w:val="superscript"/>
          <w:lang w:val="en-GB"/>
        </w:rPr>
        <w:endnoteReference w:id="69"/>
      </w:r>
      <w:r w:rsidRPr="002B10DA">
        <w:rPr>
          <w:rFonts w:ascii="Times New Roman" w:hAnsi="Times New Roman" w:cs="Times New Roman"/>
          <w:sz w:val="24"/>
          <w:szCs w:val="24"/>
          <w:lang w:val="en-GB"/>
        </w:rPr>
        <w:t xml:space="preserve"> In his </w:t>
      </w:r>
      <w:r w:rsidRPr="002B10DA">
        <w:rPr>
          <w:rFonts w:ascii="Times New Roman" w:hAnsi="Times New Roman" w:cs="Times New Roman"/>
          <w:i/>
          <w:iCs/>
          <w:sz w:val="24"/>
          <w:szCs w:val="24"/>
          <w:lang w:val="en-GB"/>
        </w:rPr>
        <w:t>De tabernaculo</w:t>
      </w:r>
      <w:r w:rsidRPr="002B10DA">
        <w:rPr>
          <w:rFonts w:ascii="Times New Roman" w:hAnsi="Times New Roman" w:cs="Times New Roman"/>
          <w:sz w:val="24"/>
          <w:szCs w:val="24"/>
          <w:lang w:val="en-GB"/>
        </w:rPr>
        <w:t>, Bede interprets this number allegorically, as a reference to the seventy-two disciples and the number of hours contained in three days—</w:t>
      </w:r>
      <w:r w:rsidR="002C7902">
        <w:rPr>
          <w:rFonts w:ascii="Times New Roman" w:hAnsi="Times New Roman" w:cs="Times New Roman"/>
          <w:sz w:val="24"/>
          <w:szCs w:val="24"/>
          <w:lang w:val="en-GB"/>
        </w:rPr>
        <w:t>an allusion</w:t>
      </w:r>
      <w:r w:rsidRPr="002B10DA">
        <w:rPr>
          <w:rFonts w:ascii="Times New Roman" w:hAnsi="Times New Roman" w:cs="Times New Roman"/>
          <w:sz w:val="24"/>
          <w:szCs w:val="24"/>
          <w:lang w:val="en-GB"/>
        </w:rPr>
        <w:t xml:space="preserve"> to Christ.</w:t>
      </w:r>
      <w:r w:rsidRPr="002B10DA">
        <w:rPr>
          <w:rFonts w:ascii="Times New Roman" w:eastAsia="Times New Roman" w:hAnsi="Times New Roman" w:cs="Times New Roman"/>
          <w:sz w:val="24"/>
          <w:szCs w:val="24"/>
          <w:vertAlign w:val="superscript"/>
          <w:lang w:val="en-GB"/>
        </w:rPr>
        <w:endnoteReference w:id="70"/>
      </w:r>
      <w:r w:rsidRPr="002B10DA">
        <w:rPr>
          <w:rFonts w:ascii="Times New Roman" w:hAnsi="Times New Roman" w:cs="Times New Roman"/>
          <w:sz w:val="24"/>
          <w:szCs w:val="24"/>
          <w:lang w:val="en-GB"/>
        </w:rPr>
        <w:t xml:space="preserve"> Further examples are to be found </w:t>
      </w:r>
      <w:r w:rsidR="003503AE">
        <w:rPr>
          <w:rFonts w:ascii="Times New Roman" w:hAnsi="Times New Roman" w:cs="Times New Roman"/>
          <w:sz w:val="24"/>
          <w:szCs w:val="24"/>
          <w:lang w:val="en-GB"/>
        </w:rPr>
        <w:t>throughout</w:t>
      </w:r>
      <w:r w:rsidRPr="002B10DA">
        <w:rPr>
          <w:rFonts w:ascii="Times New Roman" w:hAnsi="Times New Roman" w:cs="Times New Roman"/>
          <w:sz w:val="24"/>
          <w:szCs w:val="24"/>
          <w:lang w:val="en-GB"/>
        </w:rPr>
        <w:t xml:space="preserve"> Bede’s exegesis. Holder argues that by the time Bede composed </w:t>
      </w:r>
      <w:r w:rsidRPr="002B10DA">
        <w:rPr>
          <w:rFonts w:ascii="Times New Roman" w:hAnsi="Times New Roman" w:cs="Times New Roman"/>
          <w:i/>
          <w:iCs/>
          <w:sz w:val="24"/>
          <w:szCs w:val="24"/>
          <w:lang w:val="en-GB"/>
        </w:rPr>
        <w:t>De templo</w:t>
      </w:r>
      <w:r w:rsidRPr="002B10DA">
        <w:rPr>
          <w:rFonts w:ascii="Times New Roman" w:hAnsi="Times New Roman" w:cs="Times New Roman"/>
          <w:sz w:val="24"/>
          <w:szCs w:val="24"/>
          <w:lang w:val="en-GB"/>
        </w:rPr>
        <w:t>, however, he no longer believed it proper to draw allegory from non-scriptural information. At the start of the second book of that work, Bede spends much time giving information about the inner court and the great hall gleaned from Josephus, Cassiodorus and others. After this he states:</w:t>
      </w:r>
    </w:p>
    <w:p w14:paraId="64EDABBB" w14:textId="77777777" w:rsidR="00B21D7D" w:rsidRPr="002B10DA" w:rsidRDefault="00B21D7D" w:rsidP="00B07C8F">
      <w:pPr>
        <w:pStyle w:val="BodyAA"/>
        <w:spacing w:before="100" w:after="100" w:line="480" w:lineRule="auto"/>
        <w:ind w:left="567" w:right="567"/>
        <w:jc w:val="both"/>
        <w:rPr>
          <w:rFonts w:hAnsi="Times New Roman" w:cs="Times New Roman"/>
          <w:lang w:val="en-GB"/>
        </w:rPr>
      </w:pPr>
      <w:r w:rsidRPr="002B10DA">
        <w:rPr>
          <w:rFonts w:hAnsi="Times New Roman" w:cs="Times New Roman"/>
          <w:lang w:val="en-GB"/>
        </w:rPr>
        <w:t>These items of information on the structure of the temple, in our opinion, should indeed be passed on to the keen reader. But among them let us seek out figures of whatever mysteries sacred scripture has thought fit to relate and the rest let us use purely for historical knowledge.</w:t>
      </w:r>
      <w:r w:rsidRPr="002B10DA">
        <w:rPr>
          <w:rFonts w:hAnsi="Times New Roman" w:cs="Times New Roman"/>
          <w:vertAlign w:val="superscript"/>
          <w:lang w:val="en-GB"/>
        </w:rPr>
        <w:endnoteReference w:id="71"/>
      </w:r>
    </w:p>
    <w:p w14:paraId="0CE20FA3" w14:textId="144F26DE" w:rsidR="00B21D7D" w:rsidRPr="002B10DA" w:rsidRDefault="00B21D7D" w:rsidP="00B07C8F">
      <w:pPr>
        <w:pStyle w:val="BodyAA"/>
        <w:spacing w:line="480" w:lineRule="auto"/>
        <w:jc w:val="both"/>
        <w:rPr>
          <w:rFonts w:hAnsi="Times New Roman" w:cs="Times New Roman"/>
          <w:lang w:val="en-GB"/>
        </w:rPr>
      </w:pPr>
      <w:r w:rsidRPr="002B10DA">
        <w:rPr>
          <w:rFonts w:hAnsi="Times New Roman" w:cs="Times New Roman"/>
          <w:lang w:val="en-GB"/>
        </w:rPr>
        <w:t xml:space="preserve">Holder and, more recently, Timothy Furry have read this passage as a proclamation of a rigid exegetical method—a manifesto that shows how Bede was, by the time of the composition of this work, unwilling to read extra-biblical history allegorically. Yet this </w:t>
      </w:r>
      <w:r w:rsidRPr="002B10DA">
        <w:rPr>
          <w:rFonts w:hAnsi="Times New Roman" w:cs="Times New Roman"/>
          <w:lang w:val="en-GB"/>
        </w:rPr>
        <w:lastRenderedPageBreak/>
        <w:t>is not what Bede says here; he merely notes that, in this instance, he will focus on allegorizing the details presented in scripture and not the information derived from other sources. My reading is not that he makes any grand claim that such information can not or should not be used for figurative interpretation. In fact, he goes on only a few lines later to give an allegorical interpretation of the great hall and the crowds who would gather to worship there, a detail specifically derived from his reading of Josephus.</w:t>
      </w:r>
      <w:r w:rsidRPr="002B10DA">
        <w:rPr>
          <w:rFonts w:hAnsi="Times New Roman" w:cs="Times New Roman"/>
          <w:vertAlign w:val="superscript"/>
          <w:lang w:val="en-GB"/>
        </w:rPr>
        <w:endnoteReference w:id="72"/>
      </w:r>
      <w:r w:rsidRPr="002B10DA">
        <w:rPr>
          <w:rFonts w:hAnsi="Times New Roman" w:cs="Times New Roman"/>
          <w:lang w:val="en-GB"/>
        </w:rPr>
        <w:t xml:space="preserve"> Elsewhere in the same work he draws on a reference in Josephus to the white walls of the temple (a detail not included in Scripture) to introduce an allegorical interpretation which links the white walls with ‘the pure manner of acting of the elect as well as their conscience purified of all blemish of corruption’</w:t>
      </w:r>
      <w:r w:rsidRPr="002B10DA">
        <w:rPr>
          <w:rFonts w:hAnsi="Times New Roman" w:cs="Times New Roman"/>
          <w:kern w:val="1"/>
          <w:lang w:val="en-GB"/>
        </w:rPr>
        <w:t>.</w:t>
      </w:r>
      <w:r w:rsidRPr="002B10DA">
        <w:rPr>
          <w:rFonts w:hAnsi="Times New Roman" w:cs="Times New Roman"/>
          <w:kern w:val="1"/>
          <w:vertAlign w:val="superscript"/>
          <w:lang w:val="en-GB"/>
        </w:rPr>
        <w:endnoteReference w:id="73"/>
      </w:r>
      <w:r w:rsidRPr="002B10DA">
        <w:rPr>
          <w:rFonts w:hAnsi="Times New Roman" w:cs="Times New Roman"/>
          <w:lang w:val="en-GB"/>
        </w:rPr>
        <w:t xml:space="preserve"> This indicates that it was the historical </w:t>
      </w:r>
      <w:r w:rsidRPr="002B10DA">
        <w:rPr>
          <w:rFonts w:hAnsi="Times New Roman" w:cs="Times New Roman"/>
          <w:iCs/>
          <w:lang w:val="en-GB"/>
        </w:rPr>
        <w:t>reality</w:t>
      </w:r>
      <w:r w:rsidRPr="002B10DA">
        <w:rPr>
          <w:rFonts w:hAnsi="Times New Roman" w:cs="Times New Roman"/>
          <w:lang w:val="en-GB"/>
        </w:rPr>
        <w:t xml:space="preserve"> itself—and not just the details recorded in scripture—that was being interpreted. The argument that Bede was averse to allegorical interpretation of </w:t>
      </w:r>
      <w:r w:rsidR="00187ABA">
        <w:rPr>
          <w:rFonts w:hAnsi="Times New Roman" w:cs="Times New Roman"/>
          <w:lang w:val="en-GB"/>
        </w:rPr>
        <w:t>extra-</w:t>
      </w:r>
      <w:r w:rsidR="00462EFC">
        <w:rPr>
          <w:rFonts w:hAnsi="Times New Roman" w:cs="Times New Roman"/>
          <w:lang w:val="en-GB"/>
        </w:rPr>
        <w:t>biblical</w:t>
      </w:r>
      <w:r w:rsidR="00187ABA">
        <w:rPr>
          <w:rFonts w:hAnsi="Times New Roman" w:cs="Times New Roman"/>
          <w:lang w:val="en-GB"/>
        </w:rPr>
        <w:t xml:space="preserve"> </w:t>
      </w:r>
      <w:r w:rsidRPr="002B10DA">
        <w:rPr>
          <w:rFonts w:hAnsi="Times New Roman" w:cs="Times New Roman"/>
          <w:lang w:val="en-GB"/>
        </w:rPr>
        <w:t>history is untenable.</w:t>
      </w:r>
    </w:p>
    <w:p w14:paraId="577E8681" w14:textId="259590D0" w:rsidR="00B21D7D" w:rsidRPr="002B10DA" w:rsidRDefault="00B21D7D" w:rsidP="00B07C8F">
      <w:pPr>
        <w:pStyle w:val="BodyAA"/>
        <w:spacing w:line="480" w:lineRule="auto"/>
        <w:jc w:val="both"/>
        <w:rPr>
          <w:rFonts w:hAnsi="Times New Roman" w:cs="Times New Roman"/>
          <w:lang w:val="en-GB"/>
        </w:rPr>
      </w:pPr>
      <w:r w:rsidRPr="002B10DA">
        <w:rPr>
          <w:rFonts w:hAnsi="Times New Roman" w:cs="Times New Roman"/>
          <w:lang w:val="en-GB"/>
        </w:rPr>
        <w:tab/>
        <w:t xml:space="preserve">What about history that has happened since the period covered by Scripture? In the same study, Holder argues that not only extra-biblical details about the Temple, but also contemporary church buildings, were out of bounds for allegorical treatment. It is important to deal separately with Holder’s two main arguments; he states that Bede does not allegorize contemporary church buildings because ‘they were not constructed according to a divinely revealed plan, nor were they described in the Bible’. The first argument is compelling, following the reasoning laid out in Holder’s article; the second (that extra-biblical elements cannot carry allegorical meaning) is less persuasively demonstrated. While Bede does indeed appear to have avoided the application of exegetically-derived allegory to contemporary church buildings, his reasons for doing so are, I believe, unrelated to the fact that these buildings were not described in Scripture. </w:t>
      </w:r>
      <w:r w:rsidRPr="002B10DA">
        <w:rPr>
          <w:rFonts w:hAnsi="Times New Roman" w:cs="Times New Roman"/>
          <w:lang w:val="en-GB"/>
        </w:rPr>
        <w:lastRenderedPageBreak/>
        <w:t>Instead, the reason may lie, as Holder at one point implies, in the divinely-inspired nature of the Temple, a nature that contemporary churches could not claim without serious theological audacity. Not only that, but the more important link between the present and the Temple, in Bede’s vision, lay with the living stones which made up the Church.</w:t>
      </w:r>
      <w:r w:rsidRPr="002B10DA">
        <w:rPr>
          <w:rFonts w:hAnsi="Times New Roman" w:cs="Times New Roman"/>
          <w:vertAlign w:val="superscript"/>
          <w:lang w:val="en-GB"/>
        </w:rPr>
        <w:endnoteReference w:id="74"/>
      </w:r>
      <w:r w:rsidRPr="002B10DA">
        <w:rPr>
          <w:rFonts w:hAnsi="Times New Roman" w:cs="Times New Roman"/>
          <w:lang w:val="en-GB"/>
        </w:rPr>
        <w:t xml:space="preserve"> Bede may have felt that such an indiscriminate approach to architectural allegory risked muddying the waters, overshadowing the importance of the Temple and its interpretation as the Church as a whole, not any individual physical building. As Jennifer O’Reilly has commented, the narrative of the </w:t>
      </w:r>
      <w:r w:rsidRPr="002B10DA">
        <w:rPr>
          <w:rFonts w:hAnsi="Times New Roman" w:cs="Times New Roman"/>
          <w:i/>
          <w:iCs/>
          <w:lang w:val="en-GB"/>
        </w:rPr>
        <w:t>Historia</w:t>
      </w:r>
      <w:r w:rsidRPr="002B10DA">
        <w:rPr>
          <w:rFonts w:hAnsi="Times New Roman" w:cs="Times New Roman"/>
          <w:lang w:val="en-GB"/>
        </w:rPr>
        <w:t xml:space="preserve"> ‘gives readers no occasion to confuse man-made church buildings, even those built of stone in the Roman manner, with the spiritual edifice prefigured by the temple in Jerusalem’.</w:t>
      </w:r>
      <w:r w:rsidR="00A326EA" w:rsidRPr="002B10DA">
        <w:rPr>
          <w:rFonts w:hAnsi="Times New Roman" w:cs="Times New Roman"/>
          <w:vertAlign w:val="superscript"/>
          <w:lang w:val="en-GB"/>
        </w:rPr>
        <w:endnoteReference w:id="75"/>
      </w:r>
      <w:r w:rsidRPr="002B10DA">
        <w:rPr>
          <w:rFonts w:hAnsi="Times New Roman" w:cs="Times New Roman"/>
          <w:lang w:val="en-GB"/>
        </w:rPr>
        <w:t xml:space="preserve"> Instead, language and imagery borrowed from exegetical commentary on the Temple pervaded Bede’s presentation of the </w:t>
      </w:r>
      <w:r w:rsidRPr="002B10DA">
        <w:rPr>
          <w:rFonts w:hAnsi="Times New Roman" w:cs="Times New Roman"/>
          <w:i/>
          <w:iCs/>
          <w:lang w:val="en-GB"/>
        </w:rPr>
        <w:t>Angli</w:t>
      </w:r>
      <w:r w:rsidRPr="002B10DA">
        <w:rPr>
          <w:rFonts w:hAnsi="Times New Roman" w:cs="Times New Roman"/>
          <w:lang w:val="en-GB"/>
        </w:rPr>
        <w:t xml:space="preserve"> and </w:t>
      </w:r>
      <w:r w:rsidR="001305BC">
        <w:rPr>
          <w:rFonts w:hAnsi="Times New Roman" w:cs="Times New Roman"/>
          <w:lang w:val="en-GB"/>
        </w:rPr>
        <w:t xml:space="preserve">the </w:t>
      </w:r>
      <w:r w:rsidRPr="002B10DA">
        <w:rPr>
          <w:rFonts w:hAnsi="Times New Roman" w:cs="Times New Roman"/>
          <w:lang w:val="en-GB"/>
        </w:rPr>
        <w:t>English Church as a whole.</w:t>
      </w:r>
    </w:p>
    <w:p w14:paraId="0E18956E" w14:textId="1A3701A0" w:rsidR="00EE283E" w:rsidRPr="00052E45" w:rsidRDefault="00B21D7D" w:rsidP="00B07C8F">
      <w:pPr>
        <w:pStyle w:val="BodyAA"/>
        <w:spacing w:line="480" w:lineRule="auto"/>
        <w:jc w:val="both"/>
        <w:rPr>
          <w:rFonts w:hAnsi="Times New Roman" w:cs="Times New Roman"/>
          <w:lang w:val="en-GB"/>
        </w:rPr>
      </w:pPr>
      <w:r w:rsidRPr="002B10DA">
        <w:rPr>
          <w:rFonts w:hAnsi="Times New Roman" w:cs="Times New Roman"/>
          <w:lang w:val="en-GB"/>
        </w:rPr>
        <w:tab/>
        <w:t xml:space="preserve">Furthermore, the architecture of the Temple is just one of the things allegorized by Bede in his exegesis. Names of people and places, historical events and peoples, number and ratio could all be interpreted in the same way, as we have seen. Signs like the rainbow and inclement weather are examples of biblical allegory that break out of the bounds of scripture and reach into the present. The rainbow continues to represent God’s sign to humanity that He will not send another Flood and its constituent colours are </w:t>
      </w:r>
      <w:r w:rsidR="009226E1">
        <w:rPr>
          <w:rFonts w:hAnsi="Times New Roman" w:cs="Times New Roman"/>
          <w:lang w:val="en-GB"/>
        </w:rPr>
        <w:t>signs</w:t>
      </w:r>
      <w:r w:rsidRPr="002B10DA">
        <w:rPr>
          <w:rFonts w:hAnsi="Times New Roman" w:cs="Times New Roman"/>
          <w:lang w:val="en-GB"/>
        </w:rPr>
        <w:t xml:space="preserve"> of </w:t>
      </w:r>
      <w:r w:rsidR="009226E1">
        <w:rPr>
          <w:rFonts w:hAnsi="Times New Roman" w:cs="Times New Roman"/>
          <w:lang w:val="en-GB"/>
        </w:rPr>
        <w:t xml:space="preserve"> the coming j</w:t>
      </w:r>
      <w:r w:rsidRPr="002B10DA">
        <w:rPr>
          <w:rFonts w:hAnsi="Times New Roman" w:cs="Times New Roman"/>
          <w:lang w:val="en-GB"/>
        </w:rPr>
        <w:t xml:space="preserve">udgement. We must acknowledge, then, that exegetical allegory continues to function in the world, if not widely then at least in the case of the rainbow. It seems clear to me, however, that Bede was not averse to such signs continuing more widely in the contemporary world—what else are miracles but </w:t>
      </w:r>
      <w:r w:rsidRPr="002B10DA">
        <w:rPr>
          <w:rFonts w:hAnsi="Times New Roman" w:cs="Times New Roman"/>
          <w:i/>
          <w:iCs/>
          <w:lang w:val="en-GB"/>
        </w:rPr>
        <w:t>signa</w:t>
      </w:r>
      <w:r w:rsidRPr="002B10DA">
        <w:rPr>
          <w:rFonts w:hAnsi="Times New Roman" w:cs="Times New Roman"/>
          <w:lang w:val="en-GB"/>
        </w:rPr>
        <w:t xml:space="preserve"> which speak of something else beyond the literal event? There are of course differences of approach</w:t>
      </w:r>
      <w:r w:rsidR="009226E1">
        <w:rPr>
          <w:rFonts w:hAnsi="Times New Roman" w:cs="Times New Roman"/>
          <w:lang w:val="en-GB"/>
        </w:rPr>
        <w:t xml:space="preserve"> between the allegories of the B</w:t>
      </w:r>
      <w:r w:rsidRPr="002B10DA">
        <w:rPr>
          <w:rFonts w:hAnsi="Times New Roman" w:cs="Times New Roman"/>
          <w:lang w:val="en-GB"/>
        </w:rPr>
        <w:t xml:space="preserve">ible and the allegories of the contemporary, post-biblical world. It is </w:t>
      </w:r>
      <w:r w:rsidRPr="002B10DA">
        <w:rPr>
          <w:rFonts w:hAnsi="Times New Roman" w:cs="Times New Roman"/>
          <w:lang w:val="en-GB"/>
        </w:rPr>
        <w:lastRenderedPageBreak/>
        <w:t xml:space="preserve">worth turning back here to Bede’s scheme of the different types of biblical interpretation in his </w:t>
      </w:r>
      <w:r w:rsidRPr="002B10DA">
        <w:rPr>
          <w:rFonts w:hAnsi="Times New Roman" w:cs="Times New Roman"/>
          <w:i/>
          <w:iCs/>
          <w:lang w:val="en-GB"/>
        </w:rPr>
        <w:t>De schematibus et tropis</w:t>
      </w:r>
      <w:r w:rsidRPr="002B10DA">
        <w:rPr>
          <w:rFonts w:hAnsi="Times New Roman" w:cs="Times New Roman"/>
          <w:lang w:val="en-GB"/>
        </w:rPr>
        <w:t>: ‘Moreover, whether allegory is verbal or historical, sometimes it prefigures an event literally, sometimes it prefigures typologically an event in the life of Christ or of the Church, sometimes it figuratively expresses a tropological, or moral, principle, and sometimes it figuratively expresses an anagogical sense, that is, a sense leading the mind to higher things’.</w:t>
      </w:r>
      <w:r w:rsidRPr="002B10DA">
        <w:rPr>
          <w:rStyle w:val="EndnoteReference"/>
          <w:rFonts w:hAnsi="Times New Roman" w:cs="Times New Roman"/>
          <w:lang w:val="en-GB"/>
        </w:rPr>
        <w:endnoteReference w:id="76"/>
      </w:r>
      <w:r w:rsidRPr="002B10DA">
        <w:rPr>
          <w:rFonts w:hAnsi="Times New Roman" w:cs="Times New Roman"/>
          <w:lang w:val="en-GB"/>
        </w:rPr>
        <w:t xml:space="preserve"> The crux of history, the Incarnation of Christ, had already happened, and it would not make sense to look for typological meaning in contemporary </w:t>
      </w:r>
      <w:r w:rsidRPr="002B10DA">
        <w:rPr>
          <w:rFonts w:hAnsi="Times New Roman" w:cs="Times New Roman"/>
          <w:i/>
          <w:iCs/>
          <w:lang w:val="en-GB"/>
        </w:rPr>
        <w:t>signa</w:t>
      </w:r>
      <w:r w:rsidRPr="002B10DA">
        <w:rPr>
          <w:rFonts w:hAnsi="Times New Roman" w:cs="Times New Roman"/>
          <w:lang w:val="en-GB"/>
        </w:rPr>
        <w:t xml:space="preserve">. But miracles provided plenty of </w:t>
      </w:r>
      <w:r w:rsidR="000B1E48">
        <w:rPr>
          <w:rFonts w:hAnsi="Times New Roman" w:cs="Times New Roman"/>
          <w:lang w:val="en-GB"/>
        </w:rPr>
        <w:t>literal (prefigurative), tropological</w:t>
      </w:r>
      <w:r w:rsidRPr="002B10DA">
        <w:rPr>
          <w:rFonts w:hAnsi="Times New Roman" w:cs="Times New Roman"/>
          <w:lang w:val="en-GB"/>
        </w:rPr>
        <w:t xml:space="preserve"> </w:t>
      </w:r>
      <w:r w:rsidR="000B1E48">
        <w:rPr>
          <w:rFonts w:hAnsi="Times New Roman" w:cs="Times New Roman"/>
          <w:lang w:val="en-GB"/>
        </w:rPr>
        <w:t>or anagogical</w:t>
      </w:r>
      <w:r w:rsidRPr="002B10DA">
        <w:rPr>
          <w:rFonts w:hAnsi="Times New Roman" w:cs="Times New Roman"/>
          <w:lang w:val="en-GB"/>
        </w:rPr>
        <w:t xml:space="preserve"> readings, often explicitly highlig</w:t>
      </w:r>
      <w:r w:rsidR="00D20FC1">
        <w:rPr>
          <w:rFonts w:hAnsi="Times New Roman" w:cs="Times New Roman"/>
          <w:lang w:val="en-GB"/>
        </w:rPr>
        <w:t>hted by Bede in his narratives: a</w:t>
      </w:r>
      <w:r w:rsidR="00753CE9">
        <w:rPr>
          <w:rFonts w:hAnsi="Times New Roman" w:cs="Times New Roman"/>
          <w:lang w:val="en-GB"/>
        </w:rPr>
        <w:t xml:space="preserve"> healing miracle in the prose </w:t>
      </w:r>
      <w:r w:rsidR="00753CE9">
        <w:rPr>
          <w:rFonts w:hAnsi="Times New Roman" w:cs="Times New Roman"/>
          <w:i/>
          <w:lang w:val="en-GB"/>
        </w:rPr>
        <w:t>Vita Cuthberti</w:t>
      </w:r>
      <w:r w:rsidR="00753CE9">
        <w:rPr>
          <w:rFonts w:hAnsi="Times New Roman" w:cs="Times New Roman"/>
          <w:lang w:val="en-GB"/>
        </w:rPr>
        <w:t xml:space="preserve"> is linked to the </w:t>
      </w:r>
      <w:r w:rsidR="00D20FC1">
        <w:rPr>
          <w:rFonts w:hAnsi="Times New Roman" w:cs="Times New Roman"/>
          <w:lang w:val="en-GB"/>
        </w:rPr>
        <w:t>perfection of the resurrected bodies after Judgement Day;</w:t>
      </w:r>
      <w:r w:rsidR="00D20FC1">
        <w:rPr>
          <w:rStyle w:val="EndnoteReference"/>
          <w:rFonts w:hAnsi="Times New Roman" w:cs="Times New Roman"/>
          <w:lang w:val="en-GB"/>
        </w:rPr>
        <w:endnoteReference w:id="77"/>
      </w:r>
      <w:r w:rsidR="00052E45">
        <w:rPr>
          <w:rFonts w:hAnsi="Times New Roman" w:cs="Times New Roman"/>
          <w:lang w:val="en-GB"/>
        </w:rPr>
        <w:t xml:space="preserve"> </w:t>
      </w:r>
      <w:r w:rsidR="006E1A3A">
        <w:rPr>
          <w:rFonts w:hAnsi="Times New Roman" w:cs="Times New Roman"/>
          <w:lang w:val="en-GB"/>
        </w:rPr>
        <w:t xml:space="preserve">that the monks of Wearmouth happened to be singing </w:t>
      </w:r>
      <w:r w:rsidR="00630363">
        <w:rPr>
          <w:rFonts w:hAnsi="Times New Roman" w:cs="Times New Roman"/>
          <w:lang w:val="en-GB"/>
        </w:rPr>
        <w:t>Psalm 82</w:t>
      </w:r>
      <w:r w:rsidR="007F30AD">
        <w:rPr>
          <w:rFonts w:hAnsi="Times New Roman" w:cs="Times New Roman"/>
          <w:lang w:val="en-GB"/>
        </w:rPr>
        <w:t xml:space="preserve"> in church</w:t>
      </w:r>
      <w:r w:rsidR="00630363">
        <w:rPr>
          <w:rFonts w:hAnsi="Times New Roman" w:cs="Times New Roman"/>
          <w:lang w:val="en-GB"/>
        </w:rPr>
        <w:t xml:space="preserve"> at the exact moment of Sicgfrith’s death </w:t>
      </w:r>
      <w:r w:rsidR="006E1A3A">
        <w:rPr>
          <w:rFonts w:hAnsi="Times New Roman" w:cs="Times New Roman"/>
          <w:lang w:val="en-GB"/>
        </w:rPr>
        <w:t xml:space="preserve">symbolized </w:t>
      </w:r>
      <w:r w:rsidR="00630363">
        <w:rPr>
          <w:rFonts w:hAnsi="Times New Roman" w:cs="Times New Roman"/>
          <w:lang w:val="en-GB"/>
        </w:rPr>
        <w:t>the indomitability of the deceased abbot’s soul;</w:t>
      </w:r>
      <w:r w:rsidR="006E1A3A">
        <w:rPr>
          <w:rStyle w:val="EndnoteReference"/>
          <w:rFonts w:hAnsi="Times New Roman" w:cs="Times New Roman"/>
          <w:lang w:val="en-GB"/>
        </w:rPr>
        <w:endnoteReference w:id="78"/>
      </w:r>
      <w:r w:rsidR="00630363">
        <w:rPr>
          <w:rFonts w:hAnsi="Times New Roman" w:cs="Times New Roman"/>
          <w:lang w:val="en-GB"/>
        </w:rPr>
        <w:t xml:space="preserve"> </w:t>
      </w:r>
      <w:r w:rsidR="001872DA">
        <w:rPr>
          <w:rFonts w:hAnsi="Times New Roman" w:cs="Times New Roman"/>
          <w:lang w:val="en-GB"/>
        </w:rPr>
        <w:t>and, in a metaphor for spiritual transformation, Wilfrid’s conversion of the South Saxons sees the immediate cessation of a three-year drought and the arrival of gentle rain, green fields and fruitfulness.</w:t>
      </w:r>
      <w:r w:rsidR="00CC310C">
        <w:rPr>
          <w:rStyle w:val="EndnoteReference"/>
          <w:rFonts w:hAnsi="Times New Roman" w:cs="Times New Roman"/>
          <w:lang w:val="en-GB"/>
        </w:rPr>
        <w:endnoteReference w:id="79"/>
      </w:r>
    </w:p>
    <w:p w14:paraId="50E66317" w14:textId="0AF84F7E" w:rsidR="00B21D7D" w:rsidRPr="002B10DA" w:rsidRDefault="00B21D7D" w:rsidP="00B07C8F">
      <w:pPr>
        <w:pStyle w:val="BodyAA"/>
        <w:spacing w:line="480" w:lineRule="auto"/>
        <w:ind w:firstLine="720"/>
        <w:jc w:val="both"/>
        <w:rPr>
          <w:rFonts w:hAnsi="Times New Roman" w:cs="Times New Roman"/>
          <w:lang w:val="en-GB"/>
        </w:rPr>
      </w:pPr>
      <w:r w:rsidRPr="002B10DA">
        <w:rPr>
          <w:rFonts w:hAnsi="Times New Roman" w:cs="Times New Roman"/>
          <w:lang w:val="en-GB"/>
        </w:rPr>
        <w:t xml:space="preserve">As the line between the miraculous and the general flow of history was not a clear one for Bede, the </w:t>
      </w:r>
      <w:r w:rsidRPr="002B10DA">
        <w:rPr>
          <w:rFonts w:hAnsi="Times New Roman" w:cs="Times New Roman"/>
          <w:i/>
          <w:iCs/>
          <w:lang w:val="en-GB"/>
        </w:rPr>
        <w:t>signa</w:t>
      </w:r>
      <w:r w:rsidRPr="002B10DA">
        <w:rPr>
          <w:rFonts w:hAnsi="Times New Roman" w:cs="Times New Roman"/>
          <w:lang w:val="en-GB"/>
        </w:rPr>
        <w:t xml:space="preserve"> that could be interpreted allegorically were not limited to the feats of the saints. An example of this is found in the famous story Bede tells in his </w:t>
      </w:r>
      <w:r w:rsidRPr="002B10DA">
        <w:rPr>
          <w:rFonts w:hAnsi="Times New Roman" w:cs="Times New Roman"/>
          <w:i/>
          <w:iCs/>
          <w:lang w:val="en-GB"/>
        </w:rPr>
        <w:t>Historia ecclesiastica</w:t>
      </w:r>
      <w:r w:rsidRPr="002B10DA">
        <w:rPr>
          <w:rFonts w:hAnsi="Times New Roman" w:cs="Times New Roman"/>
          <w:lang w:val="en-GB"/>
        </w:rPr>
        <w:t xml:space="preserve"> of Gregory the Great and the Anglo-Saxon slaves</w:t>
      </w:r>
      <w:r w:rsidR="00AD3C07">
        <w:rPr>
          <w:rFonts w:hAnsi="Times New Roman" w:cs="Times New Roman"/>
          <w:lang w:val="en-GB"/>
        </w:rPr>
        <w:t>.</w:t>
      </w:r>
      <w:r w:rsidRPr="002B10DA">
        <w:rPr>
          <w:rFonts w:hAnsi="Times New Roman" w:cs="Times New Roman"/>
          <w:vertAlign w:val="superscript"/>
          <w:lang w:val="en-GB"/>
        </w:rPr>
        <w:endnoteReference w:id="80"/>
      </w:r>
      <w:r w:rsidRPr="002B10DA">
        <w:rPr>
          <w:rFonts w:hAnsi="Times New Roman" w:cs="Times New Roman"/>
          <w:lang w:val="en-GB"/>
        </w:rPr>
        <w:t xml:space="preserve"> Gregory’s paronomastic response to the words </w:t>
      </w:r>
      <w:r w:rsidRPr="000B1E48">
        <w:rPr>
          <w:rFonts w:hAnsi="Times New Roman" w:cs="Times New Roman"/>
          <w:i/>
          <w:lang w:val="en-GB"/>
        </w:rPr>
        <w:t>Angli</w:t>
      </w:r>
      <w:r w:rsidRPr="002B10DA">
        <w:rPr>
          <w:rFonts w:hAnsi="Times New Roman" w:cs="Times New Roman"/>
          <w:lang w:val="en-GB"/>
        </w:rPr>
        <w:t>,</w:t>
      </w:r>
      <w:r w:rsidRPr="000B1E48">
        <w:rPr>
          <w:rFonts w:hAnsi="Times New Roman" w:cs="Times New Roman"/>
          <w:i/>
          <w:lang w:val="en-GB"/>
        </w:rPr>
        <w:t xml:space="preserve"> Ælle</w:t>
      </w:r>
      <w:r w:rsidRPr="002B10DA">
        <w:rPr>
          <w:rFonts w:hAnsi="Times New Roman" w:cs="Times New Roman"/>
          <w:lang w:val="en-GB"/>
        </w:rPr>
        <w:t xml:space="preserve"> and </w:t>
      </w:r>
      <w:r w:rsidRPr="000B1E48">
        <w:rPr>
          <w:rFonts w:hAnsi="Times New Roman" w:cs="Times New Roman"/>
          <w:i/>
          <w:lang w:val="en-GB"/>
        </w:rPr>
        <w:t>Deiri</w:t>
      </w:r>
      <w:r w:rsidRPr="002B10DA">
        <w:rPr>
          <w:rFonts w:hAnsi="Times New Roman" w:cs="Times New Roman"/>
          <w:lang w:val="en-GB"/>
        </w:rPr>
        <w:t xml:space="preserve"> implies a cosmic model so intricate that almost anything can be read as a sign of deeper realities. As David Orsbon has recently phrased it, the all-encompassing influence of God in historical events is such that ‘the words </w:t>
      </w:r>
      <w:r w:rsidRPr="002B10DA">
        <w:rPr>
          <w:rFonts w:hAnsi="Times New Roman" w:cs="Times New Roman"/>
          <w:i/>
          <w:iCs/>
          <w:lang w:val="en-GB"/>
        </w:rPr>
        <w:t>Angli</w:t>
      </w:r>
      <w:r w:rsidRPr="002B10DA">
        <w:rPr>
          <w:rFonts w:hAnsi="Times New Roman" w:cs="Times New Roman"/>
          <w:lang w:val="en-GB"/>
        </w:rPr>
        <w:t xml:space="preserve">, </w:t>
      </w:r>
      <w:r w:rsidRPr="002B10DA">
        <w:rPr>
          <w:rFonts w:hAnsi="Times New Roman" w:cs="Times New Roman"/>
          <w:i/>
          <w:iCs/>
          <w:lang w:val="en-GB"/>
        </w:rPr>
        <w:t>Ælle</w:t>
      </w:r>
      <w:r w:rsidRPr="002B10DA">
        <w:rPr>
          <w:rFonts w:hAnsi="Times New Roman" w:cs="Times New Roman"/>
          <w:lang w:val="en-GB"/>
        </w:rPr>
        <w:t xml:space="preserve"> and </w:t>
      </w:r>
      <w:r w:rsidRPr="002B10DA">
        <w:rPr>
          <w:rFonts w:hAnsi="Times New Roman" w:cs="Times New Roman"/>
          <w:i/>
          <w:iCs/>
          <w:lang w:val="en-GB"/>
        </w:rPr>
        <w:t>Deiri</w:t>
      </w:r>
      <w:r w:rsidRPr="002B10DA">
        <w:rPr>
          <w:rFonts w:hAnsi="Times New Roman" w:cs="Times New Roman"/>
          <w:lang w:val="en-GB"/>
        </w:rPr>
        <w:t xml:space="preserve"> always contained providential significance, although their import remained latent, because God’s order is universal and absolute’.</w:t>
      </w:r>
      <w:r w:rsidRPr="002B10DA">
        <w:rPr>
          <w:rFonts w:hAnsi="Times New Roman" w:cs="Times New Roman"/>
          <w:vertAlign w:val="superscript"/>
          <w:lang w:val="en-GB"/>
        </w:rPr>
        <w:endnoteReference w:id="81"/>
      </w:r>
      <w:r w:rsidRPr="002B10DA">
        <w:rPr>
          <w:rFonts w:hAnsi="Times New Roman" w:cs="Times New Roman"/>
          <w:vertAlign w:val="superscript"/>
          <w:lang w:val="en-GB"/>
        </w:rPr>
        <w:t xml:space="preserve"> </w:t>
      </w:r>
      <w:r w:rsidRPr="002B10DA">
        <w:rPr>
          <w:rFonts w:hAnsi="Times New Roman" w:cs="Times New Roman"/>
          <w:lang w:val="en-GB"/>
        </w:rPr>
        <w:lastRenderedPageBreak/>
        <w:t>In a similar example from the beginning of Book 3, Bede depicts the victory of the sa</w:t>
      </w:r>
      <w:r w:rsidR="00481A05">
        <w:rPr>
          <w:rFonts w:hAnsi="Times New Roman" w:cs="Times New Roman"/>
          <w:lang w:val="en-GB"/>
        </w:rPr>
        <w:t>intly King Oswald over Cædwalla</w:t>
      </w:r>
      <w:r w:rsidRPr="002B10DA">
        <w:rPr>
          <w:rFonts w:hAnsi="Times New Roman" w:cs="Times New Roman"/>
          <w:lang w:val="en-GB"/>
        </w:rPr>
        <w:t>.</w:t>
      </w:r>
      <w:r w:rsidRPr="002B10DA">
        <w:rPr>
          <w:rFonts w:hAnsi="Times New Roman" w:cs="Times New Roman"/>
          <w:vertAlign w:val="superscript"/>
          <w:lang w:val="en-GB"/>
        </w:rPr>
        <w:endnoteReference w:id="82"/>
      </w:r>
      <w:r w:rsidRPr="002B10DA">
        <w:rPr>
          <w:rFonts w:hAnsi="Times New Roman" w:cs="Times New Roman"/>
          <w:lang w:val="en-GB"/>
        </w:rPr>
        <w:t xml:space="preserve"> The site of this vi</w:t>
      </w:r>
      <w:r w:rsidR="00481A05">
        <w:rPr>
          <w:rFonts w:hAnsi="Times New Roman" w:cs="Times New Roman"/>
          <w:lang w:val="en-GB"/>
        </w:rPr>
        <w:t>ctory is called ‘Heavenfield’ (</w:t>
      </w:r>
      <w:r w:rsidR="00F01A06" w:rsidRPr="00481A05">
        <w:rPr>
          <w:rFonts w:hAnsi="Times New Roman" w:cs="Times New Roman"/>
          <w:i/>
          <w:lang w:val="en-GB"/>
        </w:rPr>
        <w:t xml:space="preserve">Hefenfelth </w:t>
      </w:r>
      <w:r w:rsidR="00F01A06">
        <w:rPr>
          <w:rFonts w:hAnsi="Times New Roman" w:cs="Times New Roman"/>
          <w:lang w:val="en-GB"/>
        </w:rPr>
        <w:t xml:space="preserve">or </w:t>
      </w:r>
      <w:r w:rsidRPr="00481A05">
        <w:rPr>
          <w:rFonts w:hAnsi="Times New Roman" w:cs="Times New Roman"/>
          <w:i/>
          <w:lang w:val="en-GB"/>
        </w:rPr>
        <w:t>Caelestis campus</w:t>
      </w:r>
      <w:r w:rsidRPr="002B10DA">
        <w:rPr>
          <w:rFonts w:hAnsi="Times New Roman" w:cs="Times New Roman"/>
          <w:lang w:val="en-GB"/>
        </w:rPr>
        <w:t>), a name which, Bede says, ‘it certainly received in days of old as an omen of future happenings; it signified that a heavenly sign was to be erected there, a heavenly victory won, and that heavenly miracles were to take place there continuing to this day’.</w:t>
      </w:r>
      <w:r w:rsidRPr="002B10DA">
        <w:rPr>
          <w:rFonts w:hAnsi="Times New Roman" w:cs="Times New Roman"/>
          <w:vertAlign w:val="superscript"/>
          <w:lang w:val="en-GB"/>
        </w:rPr>
        <w:endnoteReference w:id="83"/>
      </w:r>
      <w:r w:rsidRPr="002B10DA">
        <w:rPr>
          <w:rFonts w:hAnsi="Times New Roman" w:cs="Times New Roman"/>
          <w:lang w:val="en-GB"/>
        </w:rPr>
        <w:t xml:space="preserve"> For Bede, then, the hand of providence is involved in the world to such a great extent that, as in the Bible, the very names assigned to peoples or places can resonate with future spiritual significance. The details of the world in general could stand as signifiers of deeper meaning, just as individual miracles did.</w:t>
      </w:r>
    </w:p>
    <w:p w14:paraId="3174425F" w14:textId="071D062F" w:rsidR="00B21D7D" w:rsidRPr="002B10DA" w:rsidRDefault="00B21D7D" w:rsidP="00B07C8F">
      <w:pPr>
        <w:pStyle w:val="BodyAA"/>
        <w:spacing w:line="480" w:lineRule="auto"/>
        <w:jc w:val="both"/>
        <w:rPr>
          <w:rFonts w:hAnsi="Times New Roman" w:cs="Times New Roman"/>
          <w:kern w:val="1"/>
          <w:lang w:val="en-GB"/>
        </w:rPr>
      </w:pPr>
      <w:r w:rsidRPr="002B10DA">
        <w:rPr>
          <w:rFonts w:hAnsi="Times New Roman" w:cs="Times New Roman"/>
          <w:lang w:val="en-GB"/>
        </w:rPr>
        <w:tab/>
        <w:t>That this was also the case for the physical world is illustrated by s</w:t>
      </w:r>
      <w:r w:rsidRPr="002B10DA">
        <w:rPr>
          <w:rFonts w:hAnsi="Times New Roman" w:cs="Times New Roman"/>
          <w:kern w:val="1"/>
          <w:lang w:val="en-GB"/>
        </w:rPr>
        <w:t xml:space="preserve">ome </w:t>
      </w:r>
      <w:r w:rsidR="00044E8F">
        <w:rPr>
          <w:rFonts w:hAnsi="Times New Roman" w:cs="Times New Roman"/>
          <w:kern w:val="1"/>
          <w:lang w:val="en-GB"/>
        </w:rPr>
        <w:t xml:space="preserve">further </w:t>
      </w:r>
      <w:r w:rsidRPr="002B10DA">
        <w:rPr>
          <w:rFonts w:hAnsi="Times New Roman" w:cs="Times New Roman"/>
          <w:kern w:val="1"/>
          <w:lang w:val="en-GB"/>
        </w:rPr>
        <w:t xml:space="preserve">examples from the </w:t>
      </w:r>
      <w:r w:rsidRPr="002B10DA">
        <w:rPr>
          <w:rFonts w:hAnsi="Times New Roman" w:cs="Times New Roman"/>
          <w:i/>
          <w:iCs/>
          <w:kern w:val="1"/>
          <w:lang w:val="en-GB"/>
        </w:rPr>
        <w:t>Historia</w:t>
      </w:r>
      <w:r w:rsidRPr="002B10DA">
        <w:rPr>
          <w:rFonts w:hAnsi="Times New Roman" w:cs="Times New Roman"/>
          <w:kern w:val="1"/>
          <w:lang w:val="en-GB"/>
        </w:rPr>
        <w:t xml:space="preserve">. In the third book, Bede relates a number of miracles associated with King </w:t>
      </w:r>
      <w:r w:rsidRPr="002B10DA">
        <w:rPr>
          <w:rFonts w:hAnsi="Times New Roman" w:cs="Times New Roman"/>
          <w:lang w:val="en-GB"/>
        </w:rPr>
        <w:t xml:space="preserve">Oswald of Northumbria. Oswald had been killed in battle by a Mercian army led by Penda at </w:t>
      </w:r>
      <w:r w:rsidRPr="002B10DA">
        <w:rPr>
          <w:rFonts w:hAnsi="Times New Roman" w:cs="Times New Roman"/>
          <w:i/>
          <w:iCs/>
          <w:lang w:val="en-GB"/>
        </w:rPr>
        <w:t>Maserfelth</w:t>
      </w:r>
      <w:r w:rsidR="00FB6516">
        <w:rPr>
          <w:rFonts w:hAnsi="Times New Roman" w:cs="Times New Roman"/>
          <w:lang w:val="en-GB"/>
        </w:rPr>
        <w:t xml:space="preserve">. </w:t>
      </w:r>
      <w:r w:rsidRPr="002B10DA">
        <w:rPr>
          <w:rFonts w:hAnsi="Times New Roman" w:cs="Times New Roman"/>
          <w:kern w:val="1"/>
          <w:lang w:val="en-GB"/>
        </w:rPr>
        <w:t>Bede recounts how a Briton, passing by the site where the</w:t>
      </w:r>
      <w:r w:rsidR="00CE1564">
        <w:rPr>
          <w:rFonts w:hAnsi="Times New Roman" w:cs="Times New Roman"/>
          <w:kern w:val="1"/>
          <w:lang w:val="en-GB"/>
        </w:rPr>
        <w:t xml:space="preserve"> battle had been fought, noticed</w:t>
      </w:r>
      <w:r w:rsidRPr="002B10DA">
        <w:rPr>
          <w:rFonts w:hAnsi="Times New Roman" w:cs="Times New Roman"/>
          <w:kern w:val="1"/>
          <w:lang w:val="en-GB"/>
        </w:rPr>
        <w:t xml:space="preserve"> that ‘a certain patch of ground was greener and more beautiful than the rest of the field. He very wisely conjectured that the only cause for the unusual greenness of that part must be that some man holier than the rest of the army had perished there’.</w:t>
      </w:r>
      <w:r w:rsidRPr="002B10DA">
        <w:rPr>
          <w:rFonts w:hAnsi="Times New Roman" w:cs="Times New Roman"/>
          <w:kern w:val="1"/>
          <w:vertAlign w:val="superscript"/>
          <w:lang w:val="en-GB"/>
        </w:rPr>
        <w:endnoteReference w:id="84"/>
      </w:r>
      <w:r w:rsidRPr="002B10DA">
        <w:rPr>
          <w:rFonts w:hAnsi="Times New Roman" w:cs="Times New Roman"/>
          <w:kern w:val="1"/>
          <w:lang w:val="en-GB"/>
        </w:rPr>
        <w:t xml:space="preserve"> The man</w:t>
      </w:r>
      <w:r w:rsidR="00462EFC">
        <w:rPr>
          <w:rFonts w:hAnsi="Times New Roman" w:cs="Times New Roman"/>
          <w:kern w:val="1"/>
          <w:lang w:val="en-GB"/>
        </w:rPr>
        <w:t xml:space="preserve"> takes some soil from the site, </w:t>
      </w:r>
      <w:r w:rsidRPr="002B10DA">
        <w:rPr>
          <w:rFonts w:hAnsi="Times New Roman" w:cs="Times New Roman"/>
          <w:kern w:val="1"/>
          <w:lang w:val="en-GB"/>
        </w:rPr>
        <w:t xml:space="preserve">the bag containing the soil is later miraculously spared from </w:t>
      </w:r>
      <w:r w:rsidR="00462EFC">
        <w:rPr>
          <w:rFonts w:hAnsi="Times New Roman" w:cs="Times New Roman"/>
          <w:kern w:val="1"/>
          <w:lang w:val="en-GB"/>
        </w:rPr>
        <w:t>the flames that destroy a house and it is revealed that it came</w:t>
      </w:r>
      <w:r w:rsidRPr="002B10DA">
        <w:rPr>
          <w:rFonts w:hAnsi="Times New Roman" w:cs="Times New Roman"/>
          <w:kern w:val="1"/>
          <w:lang w:val="en-GB"/>
        </w:rPr>
        <w:t xml:space="preserve"> from </w:t>
      </w:r>
      <w:r w:rsidR="00462EFC">
        <w:rPr>
          <w:rFonts w:hAnsi="Times New Roman" w:cs="Times New Roman"/>
          <w:kern w:val="1"/>
          <w:lang w:val="en-GB"/>
        </w:rPr>
        <w:t>the</w:t>
      </w:r>
      <w:r w:rsidRPr="002B10DA">
        <w:rPr>
          <w:rFonts w:hAnsi="Times New Roman" w:cs="Times New Roman"/>
          <w:kern w:val="1"/>
          <w:lang w:val="en-GB"/>
        </w:rPr>
        <w:t xml:space="preserve"> place where Oswald’s blood had been </w:t>
      </w:r>
      <w:r w:rsidR="00462EFC">
        <w:rPr>
          <w:rFonts w:hAnsi="Times New Roman" w:cs="Times New Roman"/>
          <w:kern w:val="1"/>
          <w:lang w:val="en-GB"/>
        </w:rPr>
        <w:t>spilt</w:t>
      </w:r>
      <w:r w:rsidRPr="002B10DA">
        <w:rPr>
          <w:rFonts w:hAnsi="Times New Roman" w:cs="Times New Roman"/>
          <w:kern w:val="1"/>
          <w:lang w:val="en-GB"/>
        </w:rPr>
        <w:t xml:space="preserve">. The </w:t>
      </w:r>
      <w:r w:rsidR="00FB6516">
        <w:rPr>
          <w:rFonts w:hAnsi="Times New Roman" w:cs="Times New Roman"/>
          <w:kern w:val="1"/>
          <w:lang w:val="en-GB"/>
        </w:rPr>
        <w:t>unusual</w:t>
      </w:r>
      <w:r w:rsidRPr="002B10DA">
        <w:rPr>
          <w:rFonts w:hAnsi="Times New Roman" w:cs="Times New Roman"/>
          <w:kern w:val="1"/>
          <w:lang w:val="en-GB"/>
        </w:rPr>
        <w:t xml:space="preserve"> greenness and beauty of the place where Oswald died is not a miracle performed by a saint, either in life or in death. It is simply, as McCready might put it, </w:t>
      </w:r>
      <w:r w:rsidRPr="002B10DA">
        <w:rPr>
          <w:rFonts w:hAnsi="Times New Roman" w:cs="Times New Roman"/>
          <w:lang w:val="en-GB"/>
        </w:rPr>
        <w:t>a ‘product of the natural properties</w:t>
      </w:r>
      <w:r w:rsidRPr="002B10DA">
        <w:rPr>
          <w:rFonts w:hAnsi="Times New Roman" w:cs="Times New Roman"/>
          <w:kern w:val="1"/>
          <w:lang w:val="en-GB"/>
        </w:rPr>
        <w:t>’ of a saint’s place of martyrdom. But it is clearly a signifier of sanctity; the passer</w:t>
      </w:r>
      <w:r w:rsidR="00E259F8" w:rsidRPr="002B10DA">
        <w:rPr>
          <w:rFonts w:hAnsi="Times New Roman" w:cs="Times New Roman"/>
          <w:kern w:val="1"/>
          <w:lang w:val="en-GB"/>
        </w:rPr>
        <w:t>-</w:t>
      </w:r>
      <w:r w:rsidRPr="002B10DA">
        <w:rPr>
          <w:rFonts w:hAnsi="Times New Roman" w:cs="Times New Roman"/>
          <w:kern w:val="1"/>
          <w:lang w:val="en-GB"/>
        </w:rPr>
        <w:t xml:space="preserve">by is able to tell from this physical fecundity that a holy man had died there. Here is an example of </w:t>
      </w:r>
      <w:r w:rsidR="0001029D">
        <w:rPr>
          <w:rFonts w:hAnsi="Times New Roman" w:cs="Times New Roman"/>
          <w:kern w:val="1"/>
          <w:lang w:val="en-GB"/>
        </w:rPr>
        <w:t>Kendall’s idea of ‘God’s rhetoric’ at play in the contemporary world.</w:t>
      </w:r>
      <w:r w:rsidRPr="002B10DA">
        <w:rPr>
          <w:rFonts w:hAnsi="Times New Roman" w:cs="Times New Roman"/>
          <w:kern w:val="1"/>
          <w:lang w:val="en-GB"/>
        </w:rPr>
        <w:t xml:space="preserve"> It </w:t>
      </w:r>
      <w:r w:rsidRPr="002B10DA">
        <w:rPr>
          <w:rFonts w:hAnsi="Times New Roman" w:cs="Times New Roman"/>
          <w:kern w:val="1"/>
          <w:lang w:val="en-GB"/>
        </w:rPr>
        <w:lastRenderedPageBreak/>
        <w:t xml:space="preserve">demonstrates how a Thomistic reading of the miraculous in the </w:t>
      </w:r>
      <w:r w:rsidRPr="002B10DA">
        <w:rPr>
          <w:rFonts w:hAnsi="Times New Roman" w:cs="Times New Roman"/>
          <w:i/>
          <w:iCs/>
          <w:kern w:val="1"/>
          <w:lang w:val="en-GB"/>
        </w:rPr>
        <w:t>Historia</w:t>
      </w:r>
      <w:r w:rsidRPr="002B10DA">
        <w:rPr>
          <w:rFonts w:hAnsi="Times New Roman" w:cs="Times New Roman"/>
          <w:kern w:val="1"/>
          <w:lang w:val="en-GB"/>
        </w:rPr>
        <w:t xml:space="preserve"> misses out on some important layers of meaning.</w:t>
      </w:r>
    </w:p>
    <w:p w14:paraId="54230842" w14:textId="1285B751" w:rsidR="00B21D7D" w:rsidRPr="002B10DA" w:rsidRDefault="00B21D7D" w:rsidP="00B07C8F">
      <w:pPr>
        <w:pStyle w:val="BodyAA"/>
        <w:spacing w:line="480" w:lineRule="auto"/>
        <w:jc w:val="both"/>
        <w:rPr>
          <w:rFonts w:hAnsi="Times New Roman" w:cs="Times New Roman"/>
          <w:kern w:val="1"/>
          <w:lang w:val="en-GB"/>
        </w:rPr>
      </w:pPr>
      <w:r w:rsidRPr="002B10DA">
        <w:rPr>
          <w:rFonts w:hAnsi="Times New Roman" w:cs="Times New Roman"/>
          <w:kern w:val="1"/>
          <w:lang w:val="en-GB"/>
        </w:rPr>
        <w:tab/>
        <w:t xml:space="preserve">In the first book of the </w:t>
      </w:r>
      <w:r w:rsidRPr="002B10DA">
        <w:rPr>
          <w:rFonts w:hAnsi="Times New Roman" w:cs="Times New Roman"/>
          <w:i/>
          <w:iCs/>
          <w:kern w:val="1"/>
          <w:lang w:val="en-GB"/>
        </w:rPr>
        <w:t>Historia</w:t>
      </w:r>
      <w:r w:rsidRPr="002B10DA">
        <w:rPr>
          <w:rFonts w:hAnsi="Times New Roman" w:cs="Times New Roman"/>
          <w:kern w:val="1"/>
          <w:lang w:val="en-GB"/>
        </w:rPr>
        <w:t>,</w:t>
      </w:r>
      <w:r w:rsidR="00FB6516">
        <w:rPr>
          <w:rFonts w:hAnsi="Times New Roman" w:cs="Times New Roman"/>
          <w:kern w:val="1"/>
          <w:lang w:val="en-GB"/>
        </w:rPr>
        <w:t xml:space="preserve"> we find a further example.</w:t>
      </w:r>
      <w:r w:rsidRPr="002B10DA">
        <w:rPr>
          <w:rFonts w:hAnsi="Times New Roman" w:cs="Times New Roman"/>
          <w:kern w:val="1"/>
          <w:lang w:val="en-GB"/>
        </w:rPr>
        <w:t xml:space="preserve"> Bede recounts Saint Alban’s martyrdom at the hands of the Roman authorities during the Diocletianic Persecution. Bede describes the site of Alban’s martyrdom as follows:</w:t>
      </w:r>
    </w:p>
    <w:p w14:paraId="5F00AC55" w14:textId="77777777" w:rsidR="00B21D7D" w:rsidRPr="002B10DA" w:rsidRDefault="00B21D7D" w:rsidP="00B07C8F">
      <w:pPr>
        <w:pStyle w:val="BodyAA"/>
        <w:spacing w:before="100" w:after="100" w:line="480" w:lineRule="auto"/>
        <w:ind w:left="567" w:right="567"/>
        <w:jc w:val="both"/>
        <w:rPr>
          <w:rFonts w:hAnsi="Times New Roman" w:cs="Times New Roman"/>
          <w:kern w:val="1"/>
          <w:lang w:val="en-GB"/>
        </w:rPr>
      </w:pPr>
      <w:r w:rsidRPr="002B10DA">
        <w:rPr>
          <w:rFonts w:hAnsi="Times New Roman" w:cs="Times New Roman"/>
          <w:kern w:val="1"/>
          <w:lang w:val="en-GB"/>
        </w:rPr>
        <w:t>The most reverend confessor ascended the hill with the crowds. This hill lay about five hundred paces from the arena, and, as was fitting, it was fair, shining and beautiful, adorned, indeed clothed, on all sides with wild flowers of every kind; nowhere was it steep or precipitous or sheer but Nature had provided it with wide, long-sloping sides stretching smoothly down to the level of the plain. In fact its natural beauty had long fitted it as a place to be hallowed by the blood of a blessed martyr.</w:t>
      </w:r>
      <w:r w:rsidRPr="002B10DA">
        <w:rPr>
          <w:rFonts w:hAnsi="Times New Roman" w:cs="Times New Roman"/>
          <w:kern w:val="1"/>
          <w:vertAlign w:val="superscript"/>
          <w:lang w:val="en-GB"/>
        </w:rPr>
        <w:endnoteReference w:id="85"/>
      </w:r>
    </w:p>
    <w:p w14:paraId="37E02959" w14:textId="512A8870" w:rsidR="00B21D7D" w:rsidRPr="002B10DA" w:rsidRDefault="00B21D7D" w:rsidP="00B07C8F">
      <w:pPr>
        <w:pStyle w:val="BodyAA"/>
        <w:spacing w:line="480" w:lineRule="auto"/>
        <w:jc w:val="both"/>
        <w:rPr>
          <w:rFonts w:hAnsi="Times New Roman" w:cs="Times New Roman"/>
          <w:lang w:val="en-GB"/>
        </w:rPr>
      </w:pPr>
      <w:r w:rsidRPr="002B10DA">
        <w:rPr>
          <w:rFonts w:hAnsi="Times New Roman" w:cs="Times New Roman"/>
          <w:kern w:val="1"/>
          <w:lang w:val="en-GB"/>
        </w:rPr>
        <w:t xml:space="preserve">This presentation of a nature in sympathy with the events of the narrative is based on the original text of the </w:t>
      </w:r>
      <w:r w:rsidRPr="002B10DA">
        <w:rPr>
          <w:rFonts w:hAnsi="Times New Roman" w:cs="Times New Roman"/>
          <w:i/>
          <w:iCs/>
          <w:kern w:val="1"/>
          <w:lang w:val="en-GB"/>
        </w:rPr>
        <w:t>Passio</w:t>
      </w:r>
      <w:r w:rsidR="00AE01BE">
        <w:rPr>
          <w:rFonts w:hAnsi="Times New Roman" w:cs="Times New Roman"/>
          <w:i/>
          <w:iCs/>
          <w:kern w:val="1"/>
          <w:lang w:val="en-GB"/>
        </w:rPr>
        <w:t xml:space="preserve"> Albani</w:t>
      </w:r>
      <w:r w:rsidRPr="002B10DA">
        <w:rPr>
          <w:rFonts w:hAnsi="Times New Roman" w:cs="Times New Roman"/>
          <w:kern w:val="1"/>
          <w:lang w:val="en-GB"/>
        </w:rPr>
        <w:t>. The author of this work wrote that the scene</w:t>
      </w:r>
      <w:r w:rsidR="001F616F">
        <w:rPr>
          <w:rFonts w:hAnsi="Times New Roman" w:cs="Times New Roman"/>
          <w:kern w:val="1"/>
          <w:lang w:val="en-GB"/>
        </w:rPr>
        <w:t xml:space="preserve"> had been prepared previously (</w:t>
      </w:r>
      <w:r w:rsidR="001F616F" w:rsidRPr="001F616F">
        <w:rPr>
          <w:rFonts w:hAnsi="Times New Roman" w:cs="Times New Roman"/>
          <w:i/>
          <w:kern w:val="1"/>
          <w:lang w:val="en-GB"/>
        </w:rPr>
        <w:t>preparatum  prius</w:t>
      </w:r>
      <w:r w:rsidRPr="002B10DA">
        <w:rPr>
          <w:rFonts w:hAnsi="Times New Roman" w:cs="Times New Roman"/>
          <w:kern w:val="1"/>
          <w:lang w:val="en-GB"/>
        </w:rPr>
        <w:t>) to be consecrated by the martyr’s holy blood.</w:t>
      </w:r>
      <w:r w:rsidRPr="002B10DA">
        <w:rPr>
          <w:rFonts w:hAnsi="Times New Roman" w:cs="Times New Roman"/>
          <w:kern w:val="1"/>
          <w:vertAlign w:val="superscript"/>
          <w:lang w:val="en-GB"/>
        </w:rPr>
        <w:endnoteReference w:id="86"/>
      </w:r>
      <w:r w:rsidRPr="002B10DA">
        <w:rPr>
          <w:rFonts w:hAnsi="Times New Roman" w:cs="Times New Roman"/>
          <w:kern w:val="1"/>
          <w:lang w:val="en-GB"/>
        </w:rPr>
        <w:t xml:space="preserve"> </w:t>
      </w:r>
      <w:r w:rsidRPr="002B10DA">
        <w:rPr>
          <w:rFonts w:hAnsi="Times New Roman" w:cs="Times New Roman"/>
          <w:lang w:val="en-GB"/>
        </w:rPr>
        <w:t xml:space="preserve">Pathetic fallacy at work in the physical world was a common trope in Christian rhetoric and poetry. </w:t>
      </w:r>
      <w:r w:rsidR="00FB6516">
        <w:rPr>
          <w:rFonts w:hAnsi="Times New Roman" w:cs="Times New Roman"/>
          <w:lang w:val="en-GB"/>
        </w:rPr>
        <w:t>A poem</w:t>
      </w:r>
      <w:r w:rsidRPr="002B10DA">
        <w:rPr>
          <w:rFonts w:hAnsi="Times New Roman" w:cs="Times New Roman"/>
          <w:lang w:val="en-GB"/>
        </w:rPr>
        <w:t xml:space="preserve"> of Paulinus of Nola, for instance, recollects the conditions of the countryside where Saint Felix’s tomb is soon to be constructed; the natural landscape flourishes ‘as if the earth already knew beforehand of the tomb which would be honoured by the worshipping world’.</w:t>
      </w:r>
      <w:r w:rsidR="00FB6516">
        <w:rPr>
          <w:rStyle w:val="EndnoteReference"/>
          <w:rFonts w:hAnsi="Times New Roman" w:cs="Times New Roman"/>
          <w:lang w:val="en-GB"/>
        </w:rPr>
        <w:endnoteReference w:id="87"/>
      </w:r>
      <w:r w:rsidRPr="002B10DA">
        <w:rPr>
          <w:rFonts w:hAnsi="Times New Roman" w:cs="Times New Roman"/>
          <w:lang w:val="en-GB"/>
        </w:rPr>
        <w:t xml:space="preserve"> This sympathy of landscape was of course partly rhetorical in the case of Paulinus, and the </w:t>
      </w:r>
      <w:r w:rsidRPr="002B10DA">
        <w:rPr>
          <w:rFonts w:hAnsi="Times New Roman" w:cs="Times New Roman"/>
          <w:i/>
          <w:iCs/>
          <w:lang w:val="en-GB"/>
        </w:rPr>
        <w:t>Passio</w:t>
      </w:r>
      <w:r w:rsidRPr="002B10DA">
        <w:rPr>
          <w:rFonts w:hAnsi="Times New Roman" w:cs="Times New Roman"/>
          <w:lang w:val="en-GB"/>
        </w:rPr>
        <w:t xml:space="preserve"> is a short epitaph with arguably exaggerated language, but Bede places the Alban episode in a historical context and it should be read as written. The possibility of such natural anthropomorphism </w:t>
      </w:r>
      <w:r w:rsidR="00EE283E">
        <w:rPr>
          <w:rFonts w:hAnsi="Times New Roman" w:cs="Times New Roman"/>
          <w:lang w:val="en-GB"/>
        </w:rPr>
        <w:t>had been</w:t>
      </w:r>
      <w:r w:rsidRPr="002B10DA">
        <w:rPr>
          <w:rFonts w:hAnsi="Times New Roman" w:cs="Times New Roman"/>
          <w:lang w:val="en-GB"/>
        </w:rPr>
        <w:t xml:space="preserve"> authorised in the Gospels by the ultimat</w:t>
      </w:r>
      <w:r w:rsidR="00246F49">
        <w:rPr>
          <w:rFonts w:hAnsi="Times New Roman" w:cs="Times New Roman"/>
          <w:lang w:val="en-GB"/>
        </w:rPr>
        <w:t>e expression of cosmic sympathy,</w:t>
      </w:r>
      <w:r w:rsidRPr="002B10DA">
        <w:rPr>
          <w:rFonts w:hAnsi="Times New Roman" w:cs="Times New Roman"/>
          <w:lang w:val="en-GB"/>
        </w:rPr>
        <w:t xml:space="preserve"> the darkening of the sun at </w:t>
      </w:r>
      <w:r w:rsidRPr="002B10DA">
        <w:rPr>
          <w:rFonts w:hAnsi="Times New Roman" w:cs="Times New Roman"/>
          <w:lang w:val="en-GB"/>
        </w:rPr>
        <w:lastRenderedPageBreak/>
        <w:t xml:space="preserve">Christ’s crucifixion (Mk. 15.33; Matt. 27.45). </w:t>
      </w:r>
      <w:r w:rsidRPr="002B10DA">
        <w:rPr>
          <w:rFonts w:hAnsi="Times New Roman" w:cs="Times New Roman"/>
          <w:kern w:val="1"/>
          <w:lang w:val="en-GB"/>
        </w:rPr>
        <w:t xml:space="preserve">Bede makes some changes to the </w:t>
      </w:r>
      <w:r w:rsidRPr="002B10DA">
        <w:rPr>
          <w:rFonts w:hAnsi="Times New Roman" w:cs="Times New Roman"/>
          <w:i/>
          <w:iCs/>
          <w:kern w:val="1"/>
          <w:lang w:val="en-GB"/>
        </w:rPr>
        <w:t>Passio</w:t>
      </w:r>
      <w:r w:rsidRPr="002B10DA">
        <w:rPr>
          <w:rFonts w:hAnsi="Times New Roman" w:cs="Times New Roman"/>
          <w:kern w:val="1"/>
          <w:lang w:val="en-GB"/>
        </w:rPr>
        <w:t xml:space="preserve"> text, </w:t>
      </w:r>
      <w:r w:rsidR="001F616F">
        <w:rPr>
          <w:kern w:val="1"/>
        </w:rPr>
        <w:t>empha</w:t>
      </w:r>
      <w:r w:rsidR="004E4E80">
        <w:rPr>
          <w:kern w:val="1"/>
        </w:rPr>
        <w:t>sizing the fact that the site was most</w:t>
      </w:r>
      <w:r w:rsidR="001F616F">
        <w:rPr>
          <w:kern w:val="1"/>
        </w:rPr>
        <w:t xml:space="preserve"> fitting (</w:t>
      </w:r>
      <w:r w:rsidR="001F616F" w:rsidRPr="00727CF0">
        <w:rPr>
          <w:i/>
          <w:kern w:val="1"/>
        </w:rPr>
        <w:t>decentissima</w:t>
      </w:r>
      <w:r w:rsidR="001F616F">
        <w:rPr>
          <w:kern w:val="1"/>
        </w:rPr>
        <w:t>)</w:t>
      </w:r>
      <w:r w:rsidRPr="002B10DA">
        <w:rPr>
          <w:rFonts w:hAnsi="Times New Roman" w:cs="Times New Roman"/>
          <w:kern w:val="1"/>
          <w:lang w:val="en-GB"/>
        </w:rPr>
        <w:t xml:space="preserve">. </w:t>
      </w:r>
      <w:r w:rsidRPr="002B10DA">
        <w:rPr>
          <w:rFonts w:hAnsi="Times New Roman" w:cs="Times New Roman"/>
          <w:lang w:val="en-GB"/>
        </w:rPr>
        <w:t xml:space="preserve">The original implies that the hill was looking beautiful </w:t>
      </w:r>
      <w:r w:rsidRPr="002B10DA">
        <w:rPr>
          <w:rFonts w:hAnsi="Times New Roman" w:cs="Times New Roman"/>
          <w:iCs/>
          <w:lang w:val="en-GB"/>
        </w:rPr>
        <w:t>that day</w:t>
      </w:r>
      <w:r w:rsidRPr="002B10DA">
        <w:rPr>
          <w:rFonts w:hAnsi="Times New Roman" w:cs="Times New Roman"/>
          <w:lang w:val="en-GB"/>
        </w:rPr>
        <w:t xml:space="preserve"> in sympathy with Alban’s martyrdom; Bede, with a new phras</w:t>
      </w:r>
      <w:r w:rsidR="001F616F">
        <w:rPr>
          <w:rFonts w:hAnsi="Times New Roman" w:cs="Times New Roman"/>
          <w:lang w:val="en-GB"/>
        </w:rPr>
        <w:t xml:space="preserve">e centred around the word </w:t>
      </w:r>
      <w:r w:rsidR="001F616F" w:rsidRPr="001F616F">
        <w:rPr>
          <w:rFonts w:hAnsi="Times New Roman" w:cs="Times New Roman"/>
          <w:i/>
          <w:lang w:val="en-GB"/>
        </w:rPr>
        <w:t>olim</w:t>
      </w:r>
      <w:r w:rsidRPr="002B10DA">
        <w:rPr>
          <w:rFonts w:hAnsi="Times New Roman" w:cs="Times New Roman"/>
          <w:lang w:val="en-GB"/>
        </w:rPr>
        <w:t xml:space="preserve"> (‘for a long time’/’since long ago’), underscores the idea that the hill had long been waiting for this event. </w:t>
      </w:r>
      <w:r w:rsidRPr="002B10DA">
        <w:rPr>
          <w:rFonts w:hAnsi="Times New Roman" w:cs="Times New Roman"/>
          <w:kern w:val="1"/>
          <w:lang w:val="en-GB"/>
        </w:rPr>
        <w:t xml:space="preserve">The implications of this statement are </w:t>
      </w:r>
      <w:r w:rsidR="00FB6516">
        <w:rPr>
          <w:rFonts w:hAnsi="Times New Roman" w:cs="Times New Roman"/>
          <w:kern w:val="1"/>
          <w:lang w:val="en-GB"/>
        </w:rPr>
        <w:t>illuminating</w:t>
      </w:r>
      <w:r w:rsidRPr="002B10DA">
        <w:rPr>
          <w:rFonts w:hAnsi="Times New Roman" w:cs="Times New Roman"/>
          <w:kern w:val="1"/>
          <w:lang w:val="en-GB"/>
        </w:rPr>
        <w:t>; it indicates that the ‘sacred order’ which Bede discerned in the world on a large scale, was also to be</w:t>
      </w:r>
      <w:r w:rsidR="00FB6516">
        <w:rPr>
          <w:rFonts w:hAnsi="Times New Roman" w:cs="Times New Roman"/>
          <w:kern w:val="1"/>
          <w:lang w:val="en-GB"/>
        </w:rPr>
        <w:t xml:space="preserve"> found</w:t>
      </w:r>
      <w:r w:rsidRPr="002B10DA">
        <w:rPr>
          <w:rFonts w:hAnsi="Times New Roman" w:cs="Times New Roman"/>
          <w:kern w:val="1"/>
          <w:lang w:val="en-GB"/>
        </w:rPr>
        <w:t xml:space="preserve"> in the events at a more local level. Just as the names </w:t>
      </w:r>
      <w:r w:rsidRPr="002B10DA">
        <w:rPr>
          <w:rFonts w:hAnsi="Times New Roman" w:cs="Times New Roman"/>
          <w:i/>
          <w:iCs/>
          <w:lang w:val="en-GB"/>
        </w:rPr>
        <w:t>Angli</w:t>
      </w:r>
      <w:r w:rsidRPr="002B10DA">
        <w:rPr>
          <w:rFonts w:hAnsi="Times New Roman" w:cs="Times New Roman"/>
          <w:lang w:val="en-GB"/>
        </w:rPr>
        <w:t xml:space="preserve">, </w:t>
      </w:r>
      <w:r w:rsidRPr="002B10DA">
        <w:rPr>
          <w:rFonts w:hAnsi="Times New Roman" w:cs="Times New Roman"/>
          <w:i/>
          <w:iCs/>
          <w:lang w:val="en-GB"/>
        </w:rPr>
        <w:t>Ælle</w:t>
      </w:r>
      <w:r w:rsidRPr="002B10DA">
        <w:rPr>
          <w:rFonts w:hAnsi="Times New Roman" w:cs="Times New Roman"/>
          <w:lang w:val="en-GB"/>
        </w:rPr>
        <w:t xml:space="preserve"> and </w:t>
      </w:r>
      <w:r w:rsidRPr="002B10DA">
        <w:rPr>
          <w:rFonts w:hAnsi="Times New Roman" w:cs="Times New Roman"/>
          <w:i/>
          <w:iCs/>
          <w:lang w:val="en-GB"/>
        </w:rPr>
        <w:t xml:space="preserve">Deiri </w:t>
      </w:r>
      <w:r w:rsidRPr="002B10DA">
        <w:rPr>
          <w:rFonts w:hAnsi="Times New Roman" w:cs="Times New Roman"/>
          <w:kern w:val="1"/>
          <w:lang w:val="en-GB"/>
        </w:rPr>
        <w:t>‘</w:t>
      </w:r>
      <w:r w:rsidRPr="002B10DA">
        <w:rPr>
          <w:rFonts w:hAnsi="Times New Roman" w:cs="Times New Roman"/>
          <w:lang w:val="en-GB"/>
        </w:rPr>
        <w:t>always contained providential significance, although their import remained latent’,</w:t>
      </w:r>
      <w:r w:rsidRPr="002B10DA">
        <w:rPr>
          <w:rFonts w:hAnsi="Times New Roman" w:cs="Times New Roman"/>
          <w:vertAlign w:val="superscript"/>
          <w:lang w:val="en-GB"/>
        </w:rPr>
        <w:endnoteReference w:id="88"/>
      </w:r>
      <w:r w:rsidRPr="002B10DA">
        <w:rPr>
          <w:rFonts w:hAnsi="Times New Roman" w:cs="Times New Roman"/>
          <w:lang w:val="en-GB"/>
        </w:rPr>
        <w:t xml:space="preserve"> so too was the natural beauty of Alban’s hill a </w:t>
      </w:r>
      <w:r w:rsidRPr="002B10DA">
        <w:rPr>
          <w:rFonts w:hAnsi="Times New Roman" w:cs="Times New Roman"/>
          <w:i/>
          <w:iCs/>
          <w:lang w:val="en-GB"/>
        </w:rPr>
        <w:t>signum</w:t>
      </w:r>
      <w:r w:rsidRPr="002B10DA">
        <w:rPr>
          <w:rFonts w:hAnsi="Times New Roman" w:cs="Times New Roman"/>
          <w:lang w:val="en-GB"/>
        </w:rPr>
        <w:t xml:space="preserve"> of the important function it would play in divine history.</w:t>
      </w:r>
    </w:p>
    <w:p w14:paraId="2D9F0776" w14:textId="5DDDBAF7" w:rsidR="00785D6F" w:rsidRPr="002B10DA" w:rsidRDefault="00B21D7D" w:rsidP="00B07C8F">
      <w:pPr>
        <w:pStyle w:val="BodyAA"/>
        <w:spacing w:line="480" w:lineRule="auto"/>
        <w:jc w:val="both"/>
        <w:rPr>
          <w:rFonts w:hAnsi="Times New Roman" w:cs="Times New Roman"/>
          <w:lang w:val="en-GB"/>
        </w:rPr>
      </w:pPr>
      <w:r w:rsidRPr="002B10DA">
        <w:rPr>
          <w:rFonts w:hAnsi="Times New Roman" w:cs="Times New Roman"/>
          <w:lang w:val="en-GB"/>
        </w:rPr>
        <w:tab/>
      </w:r>
      <w:r w:rsidR="00DB1799">
        <w:rPr>
          <w:rFonts w:hAnsi="Times New Roman" w:cs="Times New Roman"/>
          <w:lang w:val="en-GB"/>
        </w:rPr>
        <w:t xml:space="preserve">The </w:t>
      </w:r>
      <w:r w:rsidR="00246F49">
        <w:rPr>
          <w:rFonts w:hAnsi="Times New Roman" w:cs="Times New Roman"/>
          <w:lang w:val="en-GB"/>
        </w:rPr>
        <w:t xml:space="preserve">examples </w:t>
      </w:r>
      <w:r w:rsidR="00DB1799">
        <w:rPr>
          <w:rFonts w:hAnsi="Times New Roman" w:cs="Times New Roman"/>
          <w:lang w:val="en-GB"/>
        </w:rPr>
        <w:t>discussed above</w:t>
      </w:r>
      <w:r w:rsidR="00785D6F" w:rsidRPr="002B10DA">
        <w:rPr>
          <w:rFonts w:hAnsi="Times New Roman" w:cs="Times New Roman"/>
          <w:lang w:val="en-GB"/>
        </w:rPr>
        <w:t xml:space="preserve"> </w:t>
      </w:r>
      <w:r w:rsidR="00246F49">
        <w:rPr>
          <w:rFonts w:hAnsi="Times New Roman" w:cs="Times New Roman"/>
          <w:lang w:val="en-GB"/>
        </w:rPr>
        <w:t>demonstrate</w:t>
      </w:r>
      <w:r w:rsidR="00785D6F" w:rsidRPr="002B10DA">
        <w:rPr>
          <w:rFonts w:hAnsi="Times New Roman" w:cs="Times New Roman"/>
          <w:lang w:val="en-GB"/>
        </w:rPr>
        <w:t xml:space="preserve"> how Bede</w:t>
      </w:r>
      <w:r w:rsidR="001138BA" w:rsidRPr="002B10DA">
        <w:rPr>
          <w:rFonts w:hAnsi="Times New Roman" w:cs="Times New Roman"/>
          <w:lang w:val="en-GB"/>
        </w:rPr>
        <w:t>’</w:t>
      </w:r>
      <w:r w:rsidR="00785D6F" w:rsidRPr="002B10DA">
        <w:rPr>
          <w:rFonts w:hAnsi="Times New Roman" w:cs="Times New Roman"/>
          <w:lang w:val="en-GB"/>
        </w:rPr>
        <w:t xml:space="preserve">s concept of divine </w:t>
      </w:r>
      <w:r w:rsidR="00785D6F" w:rsidRPr="002B10DA">
        <w:rPr>
          <w:rFonts w:hAnsi="Times New Roman" w:cs="Times New Roman"/>
          <w:i/>
          <w:iCs/>
          <w:lang w:val="en-GB"/>
        </w:rPr>
        <w:t>signa</w:t>
      </w:r>
      <w:r w:rsidR="00785D6F" w:rsidRPr="002B10DA">
        <w:rPr>
          <w:rFonts w:hAnsi="Times New Roman" w:cs="Times New Roman"/>
          <w:lang w:val="en-GB"/>
        </w:rPr>
        <w:t xml:space="preserve"> was not limited to the </w:t>
      </w:r>
      <w:r w:rsidR="00DB1799">
        <w:rPr>
          <w:rFonts w:hAnsi="Times New Roman" w:cs="Times New Roman"/>
          <w:lang w:val="en-GB"/>
        </w:rPr>
        <w:t>miraculous feats</w:t>
      </w:r>
      <w:r w:rsidR="00785D6F" w:rsidRPr="002B10DA">
        <w:rPr>
          <w:rFonts w:hAnsi="Times New Roman" w:cs="Times New Roman"/>
          <w:lang w:val="en-GB"/>
        </w:rPr>
        <w:t xml:space="preserve"> </w:t>
      </w:r>
      <w:r w:rsidR="00DB1799">
        <w:rPr>
          <w:rFonts w:hAnsi="Times New Roman" w:cs="Times New Roman"/>
          <w:lang w:val="en-GB"/>
        </w:rPr>
        <w:t xml:space="preserve">performed by </w:t>
      </w:r>
      <w:r w:rsidR="00785D6F" w:rsidRPr="002B10DA">
        <w:rPr>
          <w:rFonts w:hAnsi="Times New Roman" w:cs="Times New Roman"/>
          <w:lang w:val="en-GB"/>
        </w:rPr>
        <w:t xml:space="preserve">saints—they could be apprehended in the wider flow of history and interpreted allegorically using methodology derived from biblical exegesis. This finding is consistent with recent scholarship </w:t>
      </w:r>
      <w:r w:rsidR="00C70E24">
        <w:rPr>
          <w:rFonts w:hAnsi="Times New Roman" w:cs="Times New Roman"/>
          <w:lang w:val="en-GB"/>
        </w:rPr>
        <w:t>that</w:t>
      </w:r>
      <w:r w:rsidR="00785D6F" w:rsidRPr="002B10DA">
        <w:rPr>
          <w:rFonts w:hAnsi="Times New Roman" w:cs="Times New Roman"/>
          <w:lang w:val="en-GB"/>
        </w:rPr>
        <w:t xml:space="preserve"> has </w:t>
      </w:r>
      <w:r w:rsidR="00C70E24">
        <w:rPr>
          <w:rFonts w:hAnsi="Times New Roman" w:cs="Times New Roman"/>
          <w:lang w:val="en-GB"/>
        </w:rPr>
        <w:t>emphasized</w:t>
      </w:r>
      <w:r w:rsidR="00785D6F" w:rsidRPr="002B10DA">
        <w:rPr>
          <w:rFonts w:hAnsi="Times New Roman" w:cs="Times New Roman"/>
          <w:lang w:val="en-GB"/>
        </w:rPr>
        <w:t xml:space="preserve"> the exegetical approach that runs through Bede</w:t>
      </w:r>
      <w:r w:rsidR="001138BA" w:rsidRPr="002B10DA">
        <w:rPr>
          <w:rFonts w:hAnsi="Times New Roman" w:cs="Times New Roman"/>
          <w:lang w:val="en-GB"/>
        </w:rPr>
        <w:t>’</w:t>
      </w:r>
      <w:r w:rsidR="00785D6F" w:rsidRPr="002B10DA">
        <w:rPr>
          <w:rFonts w:hAnsi="Times New Roman" w:cs="Times New Roman"/>
          <w:lang w:val="en-GB"/>
        </w:rPr>
        <w:t>s historical and hagiographical writing.</w:t>
      </w:r>
      <w:r w:rsidR="00362C29" w:rsidRPr="00362C29">
        <w:rPr>
          <w:noProof/>
        </w:rPr>
        <w:t xml:space="preserve"> </w:t>
      </w:r>
    </w:p>
    <w:p w14:paraId="48EE0253" w14:textId="116DBF1A" w:rsidR="00785D6F" w:rsidRPr="002B10DA" w:rsidRDefault="00362C29" w:rsidP="00B07C8F">
      <w:pPr>
        <w:pStyle w:val="BodyAA"/>
        <w:spacing w:line="480" w:lineRule="auto"/>
        <w:jc w:val="both"/>
        <w:rPr>
          <w:rFonts w:hAnsi="Times New Roman" w:cs="Times New Roman"/>
          <w:lang w:val="en-GB"/>
        </w:rPr>
      </w:pPr>
      <w:r>
        <w:rPr>
          <w:noProof/>
        </w:rPr>
        <mc:AlternateContent>
          <mc:Choice Requires="wps">
            <w:drawing>
              <wp:anchor distT="0" distB="0" distL="114300" distR="114300" simplePos="0" relativeHeight="251665408" behindDoc="0" locked="0" layoutInCell="1" allowOverlap="1" wp14:anchorId="7BFF8DF0" wp14:editId="09BC7C60">
                <wp:simplePos x="0" y="0"/>
                <wp:positionH relativeFrom="column">
                  <wp:posOffset>-1080610</wp:posOffset>
                </wp:positionH>
                <wp:positionV relativeFrom="paragraph">
                  <wp:posOffset>22658</wp:posOffset>
                </wp:positionV>
                <wp:extent cx="542925" cy="79883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rot="10800000">
                          <a:off x="0" y="0"/>
                          <a:ext cx="542925" cy="798830"/>
                        </a:xfrm>
                        <a:prstGeom prst="rect">
                          <a:avLst/>
                        </a:prstGeom>
                        <a:noFill/>
                        <a:ln>
                          <a:noFill/>
                        </a:ln>
                        <a:effectLst/>
                      </wps:spPr>
                      <wps:txbx>
                        <w:txbxContent>
                          <w:p w14:paraId="64EC3879" w14:textId="77777777" w:rsidR="00362C29" w:rsidRPr="001E4787" w:rsidRDefault="00362C29" w:rsidP="00362C29">
                            <w:pPr>
                              <w:pStyle w:val="BodyA"/>
                              <w:spacing w:line="480" w:lineRule="auto"/>
                              <w:jc w:val="both"/>
                              <w:rPr>
                                <w:rFonts w:hAnsi="Times New Roman" w:cs="Times New Roman"/>
                                <w:lang w:val="en-GB"/>
                              </w:rPr>
                            </w:pPr>
                            <w:r>
                              <w:rPr>
                                <w:rFonts w:hAnsi="Times New Roman" w:cs="Times New Roman"/>
                                <w:lang w:val="en-GB"/>
                              </w:rPr>
                              <w:t>Heading: A</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FF8DF0" id="Text_x0020_Box_x0020_6" o:spid="_x0000_s1029" type="#_x0000_t202" style="position:absolute;left:0;text-align:left;margin-left:-85.1pt;margin-top:1.8pt;width:42.75pt;height:62.9pt;rotation:180;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" filled="f" stroked="f">
                <v:fill o:detectmouseclick="t"/>
                <v:textbox style="layout-flow:vertical-ideographic;mso-fit-shape-to-text:t">
                  <w:txbxContent>
                    <w:p w14:paraId="64EC3879" w14:textId="77777777" w:rsidR="00362C29" w:rsidRPr="001E4787" w:rsidRDefault="00362C29" w:rsidP="00362C29">
                      <w:pPr>
                        <w:pStyle w:val="BodyA"/>
                        <w:spacing w:line="480" w:lineRule="auto"/>
                        <w:jc w:val="both"/>
                        <w:rPr>
                          <w:rFonts w:hAnsi="Times New Roman" w:cs="Times New Roman"/>
                          <w:lang w:val="en-GB"/>
                        </w:rPr>
                      </w:pPr>
                      <w:r>
                        <w:rPr>
                          <w:rFonts w:hAnsi="Times New Roman" w:cs="Times New Roman"/>
                          <w:lang w:val="en-GB"/>
                        </w:rPr>
                        <w:t>Heading: A</w:t>
                      </w:r>
                    </w:p>
                  </w:txbxContent>
                </v:textbox>
                <w10:wrap type="square"/>
              </v:shape>
            </w:pict>
          </mc:Fallback>
        </mc:AlternateContent>
      </w:r>
    </w:p>
    <w:p w14:paraId="6DDBF66D" w14:textId="4A8D40CB" w:rsidR="00785D6F" w:rsidRPr="002B10DA" w:rsidRDefault="00785D6F" w:rsidP="00B07C8F">
      <w:pPr>
        <w:pStyle w:val="BodyAA"/>
        <w:spacing w:line="480" w:lineRule="auto"/>
        <w:jc w:val="center"/>
        <w:outlineLvl w:val="0"/>
        <w:rPr>
          <w:rFonts w:hAnsi="Times New Roman" w:cs="Times New Roman"/>
          <w:b/>
          <w:bCs/>
          <w:lang w:val="en-GB"/>
        </w:rPr>
      </w:pPr>
      <w:r w:rsidRPr="002B10DA">
        <w:rPr>
          <w:rFonts w:hAnsi="Times New Roman" w:cs="Times New Roman"/>
          <w:b/>
          <w:bCs/>
          <w:lang w:val="en-GB"/>
        </w:rPr>
        <w:t>Conclusion</w:t>
      </w:r>
    </w:p>
    <w:p w14:paraId="2A89B05B" w14:textId="61572DC5" w:rsidR="00785D6F" w:rsidRPr="002B10DA" w:rsidRDefault="00785D6F" w:rsidP="00B07C8F">
      <w:pPr>
        <w:pStyle w:val="BodyAA"/>
        <w:spacing w:line="480" w:lineRule="auto"/>
        <w:jc w:val="both"/>
        <w:rPr>
          <w:rFonts w:hAnsi="Times New Roman" w:cs="Times New Roman"/>
          <w:lang w:val="en-GB"/>
        </w:rPr>
      </w:pPr>
    </w:p>
    <w:p w14:paraId="2578C777" w14:textId="2B233298" w:rsidR="001B656C" w:rsidRPr="002B10DA" w:rsidRDefault="00846B1D" w:rsidP="00B07C8F">
      <w:pPr>
        <w:pStyle w:val="Body"/>
        <w:spacing w:line="480" w:lineRule="auto"/>
        <w:jc w:val="both"/>
        <w:rPr>
          <w:rFonts w:ascii="Times New Roman" w:hAnsi="Times New Roman" w:cs="Times New Roman"/>
          <w:kern w:val="1"/>
          <w:sz w:val="24"/>
          <w:szCs w:val="24"/>
          <w:lang w:val="en-GB"/>
        </w:rPr>
      </w:pPr>
      <w:r w:rsidRPr="002B10DA">
        <w:rPr>
          <w:rFonts w:ascii="Times New Roman" w:hAnsi="Times New Roman" w:cs="Times New Roman"/>
          <w:sz w:val="24"/>
          <w:szCs w:val="24"/>
          <w:lang w:val="en-GB"/>
        </w:rPr>
        <w:t xml:space="preserve">The </w:t>
      </w:r>
      <w:r w:rsidR="00267C2A" w:rsidRPr="002B10DA">
        <w:rPr>
          <w:rFonts w:ascii="Times New Roman" w:hAnsi="Times New Roman" w:cs="Times New Roman"/>
          <w:sz w:val="24"/>
          <w:szCs w:val="24"/>
          <w:lang w:val="en-GB"/>
        </w:rPr>
        <w:t>idea</w:t>
      </w:r>
      <w:r w:rsidRPr="002B10DA">
        <w:rPr>
          <w:rFonts w:ascii="Times New Roman" w:hAnsi="Times New Roman" w:cs="Times New Roman"/>
          <w:sz w:val="24"/>
          <w:szCs w:val="24"/>
          <w:lang w:val="en-GB"/>
        </w:rPr>
        <w:t xml:space="preserve"> that Bede saw</w:t>
      </w:r>
      <w:r w:rsidR="00347269" w:rsidRPr="002B10DA">
        <w:rPr>
          <w:rFonts w:ascii="Times New Roman" w:hAnsi="Times New Roman" w:cs="Times New Roman"/>
          <w:sz w:val="24"/>
          <w:szCs w:val="24"/>
          <w:lang w:val="en-GB"/>
        </w:rPr>
        <w:t xml:space="preserve"> miracles as</w:t>
      </w:r>
      <w:r w:rsidR="00946B77" w:rsidRPr="002B10DA">
        <w:rPr>
          <w:rFonts w:ascii="Times New Roman" w:hAnsi="Times New Roman" w:cs="Times New Roman"/>
          <w:sz w:val="24"/>
          <w:szCs w:val="24"/>
          <w:lang w:val="en-GB"/>
        </w:rPr>
        <w:t xml:space="preserve"> </w:t>
      </w:r>
      <w:r w:rsidR="00ED6702" w:rsidRPr="002B10DA">
        <w:rPr>
          <w:rFonts w:ascii="Times New Roman" w:hAnsi="Times New Roman" w:cs="Times New Roman"/>
          <w:sz w:val="24"/>
          <w:szCs w:val="24"/>
          <w:lang w:val="en-GB"/>
        </w:rPr>
        <w:t>contraventions of</w:t>
      </w:r>
      <w:r w:rsidR="00946B77" w:rsidRPr="002B10DA">
        <w:rPr>
          <w:rFonts w:ascii="Times New Roman" w:hAnsi="Times New Roman" w:cs="Times New Roman"/>
          <w:sz w:val="24"/>
          <w:szCs w:val="24"/>
          <w:lang w:val="en-GB"/>
        </w:rPr>
        <w:t xml:space="preserve"> natural laws</w:t>
      </w:r>
      <w:r w:rsidR="00347269" w:rsidRPr="002B10DA">
        <w:rPr>
          <w:rFonts w:ascii="Times New Roman" w:hAnsi="Times New Roman" w:cs="Times New Roman"/>
          <w:sz w:val="24"/>
          <w:szCs w:val="24"/>
          <w:lang w:val="en-GB"/>
        </w:rPr>
        <w:t xml:space="preserve"> is a</w:t>
      </w:r>
      <w:r w:rsidR="001C5D68" w:rsidRPr="002B10DA">
        <w:rPr>
          <w:rFonts w:ascii="Times New Roman" w:hAnsi="Times New Roman" w:cs="Times New Roman"/>
          <w:sz w:val="24"/>
          <w:szCs w:val="24"/>
          <w:lang w:val="en-GB"/>
        </w:rPr>
        <w:t>n</w:t>
      </w:r>
      <w:r w:rsidR="00347269" w:rsidRPr="002B10DA">
        <w:rPr>
          <w:rFonts w:ascii="Times New Roman" w:hAnsi="Times New Roman" w:cs="Times New Roman"/>
          <w:sz w:val="24"/>
          <w:szCs w:val="24"/>
          <w:lang w:val="en-GB"/>
        </w:rPr>
        <w:t xml:space="preserve"> anachronistic </w:t>
      </w:r>
      <w:r w:rsidR="00267C2A" w:rsidRPr="002B10DA">
        <w:rPr>
          <w:rFonts w:ascii="Times New Roman" w:hAnsi="Times New Roman" w:cs="Times New Roman"/>
          <w:sz w:val="24"/>
          <w:szCs w:val="24"/>
          <w:lang w:val="en-GB"/>
        </w:rPr>
        <w:t>interpretation of the evidence</w:t>
      </w:r>
      <w:r w:rsidR="00347269" w:rsidRPr="002B10DA">
        <w:rPr>
          <w:rFonts w:ascii="Times New Roman" w:hAnsi="Times New Roman" w:cs="Times New Roman"/>
          <w:sz w:val="24"/>
          <w:szCs w:val="24"/>
          <w:lang w:val="en-GB"/>
        </w:rPr>
        <w:t>. This article has demonstrated</w:t>
      </w:r>
      <w:r w:rsidR="00785D6F" w:rsidRPr="002B10DA">
        <w:rPr>
          <w:rFonts w:ascii="Times New Roman" w:hAnsi="Times New Roman" w:cs="Times New Roman"/>
          <w:sz w:val="24"/>
          <w:szCs w:val="24"/>
          <w:lang w:val="en-GB"/>
        </w:rPr>
        <w:t xml:space="preserve"> that the events referred to </w:t>
      </w:r>
      <w:r w:rsidR="00A75434" w:rsidRPr="002B10DA">
        <w:rPr>
          <w:rFonts w:ascii="Times New Roman" w:hAnsi="Times New Roman" w:cs="Times New Roman"/>
          <w:sz w:val="24"/>
          <w:szCs w:val="24"/>
          <w:lang w:val="en-GB"/>
        </w:rPr>
        <w:t xml:space="preserve">by modern scholars </w:t>
      </w:r>
      <w:r w:rsidR="00785D6F" w:rsidRPr="002B10DA">
        <w:rPr>
          <w:rFonts w:ascii="Times New Roman" w:hAnsi="Times New Roman" w:cs="Times New Roman"/>
          <w:sz w:val="24"/>
          <w:szCs w:val="24"/>
          <w:lang w:val="en-GB"/>
        </w:rPr>
        <w:t xml:space="preserve">as miracles </w:t>
      </w:r>
      <w:r w:rsidR="00566A9F" w:rsidRPr="002B10DA">
        <w:rPr>
          <w:rFonts w:ascii="Times New Roman" w:hAnsi="Times New Roman" w:cs="Times New Roman"/>
          <w:sz w:val="24"/>
          <w:szCs w:val="24"/>
          <w:lang w:val="en-GB"/>
        </w:rPr>
        <w:t>tend to, in Bede</w:t>
      </w:r>
      <w:r w:rsidR="001138BA" w:rsidRPr="002B10DA">
        <w:rPr>
          <w:rFonts w:ascii="Times New Roman" w:hAnsi="Times New Roman" w:cs="Times New Roman"/>
          <w:sz w:val="24"/>
          <w:szCs w:val="24"/>
          <w:lang w:val="en-GB"/>
        </w:rPr>
        <w:t>’</w:t>
      </w:r>
      <w:r w:rsidR="00785D6F" w:rsidRPr="002B10DA">
        <w:rPr>
          <w:rFonts w:ascii="Times New Roman" w:hAnsi="Times New Roman" w:cs="Times New Roman"/>
          <w:sz w:val="24"/>
          <w:szCs w:val="24"/>
          <w:lang w:val="en-GB"/>
        </w:rPr>
        <w:t xml:space="preserve">s writings, shade into the immanent divine control at work in the world at large. </w:t>
      </w:r>
      <w:r w:rsidR="001C5D68" w:rsidRPr="002B10DA">
        <w:rPr>
          <w:rFonts w:ascii="Times New Roman" w:hAnsi="Times New Roman" w:cs="Times New Roman"/>
          <w:sz w:val="24"/>
          <w:szCs w:val="24"/>
          <w:lang w:val="en-GB"/>
        </w:rPr>
        <w:t>Although he</w:t>
      </w:r>
      <w:r w:rsidR="00785D6F" w:rsidRPr="002B10DA">
        <w:rPr>
          <w:rFonts w:ascii="Times New Roman" w:hAnsi="Times New Roman" w:cs="Times New Roman"/>
          <w:sz w:val="24"/>
          <w:szCs w:val="24"/>
          <w:lang w:val="en-GB"/>
        </w:rPr>
        <w:t xml:space="preserve"> used </w:t>
      </w:r>
      <w:r w:rsidR="00E80E79" w:rsidRPr="002B10DA">
        <w:rPr>
          <w:rFonts w:ascii="Times New Roman" w:hAnsi="Times New Roman" w:cs="Times New Roman"/>
          <w:sz w:val="24"/>
          <w:szCs w:val="24"/>
          <w:lang w:val="en-GB"/>
        </w:rPr>
        <w:t>the term</w:t>
      </w:r>
      <w:r w:rsidR="00785D6F" w:rsidRPr="002B10DA">
        <w:rPr>
          <w:rFonts w:ascii="Times New Roman" w:hAnsi="Times New Roman" w:cs="Times New Roman"/>
          <w:sz w:val="24"/>
          <w:szCs w:val="24"/>
          <w:lang w:val="en-GB"/>
        </w:rPr>
        <w:t xml:space="preserve"> </w:t>
      </w:r>
      <w:r w:rsidR="00785D6F" w:rsidRPr="002B10DA">
        <w:rPr>
          <w:rFonts w:ascii="Times New Roman" w:hAnsi="Times New Roman" w:cs="Times New Roman"/>
          <w:i/>
          <w:iCs/>
          <w:sz w:val="24"/>
          <w:szCs w:val="24"/>
          <w:lang w:val="en-GB"/>
        </w:rPr>
        <w:t>miraculum</w:t>
      </w:r>
      <w:r w:rsidR="001C5D68" w:rsidRPr="002B10DA">
        <w:rPr>
          <w:rFonts w:ascii="Times New Roman" w:hAnsi="Times New Roman" w:cs="Times New Roman"/>
          <w:sz w:val="24"/>
          <w:szCs w:val="24"/>
          <w:lang w:val="en-GB"/>
        </w:rPr>
        <w:t xml:space="preserve"> frequently,</w:t>
      </w:r>
      <w:r w:rsidR="00785D6F" w:rsidRPr="002B10DA">
        <w:rPr>
          <w:rFonts w:ascii="Times New Roman" w:hAnsi="Times New Roman" w:cs="Times New Roman"/>
          <w:sz w:val="24"/>
          <w:szCs w:val="24"/>
          <w:lang w:val="en-GB"/>
        </w:rPr>
        <w:t xml:space="preserve"> he did not have in mind the kind of objectively-defined phenomena that would later come to be associated </w:t>
      </w:r>
      <w:r w:rsidR="00E80E79" w:rsidRPr="002B10DA">
        <w:rPr>
          <w:rFonts w:ascii="Times New Roman" w:hAnsi="Times New Roman" w:cs="Times New Roman"/>
          <w:sz w:val="24"/>
          <w:szCs w:val="24"/>
          <w:lang w:val="en-GB"/>
        </w:rPr>
        <w:t>with it</w:t>
      </w:r>
      <w:r w:rsidR="00785D6F" w:rsidRPr="002B10DA">
        <w:rPr>
          <w:rFonts w:ascii="Times New Roman" w:hAnsi="Times New Roman" w:cs="Times New Roman"/>
          <w:sz w:val="24"/>
          <w:szCs w:val="24"/>
          <w:lang w:val="en-GB"/>
        </w:rPr>
        <w:t xml:space="preserve">. The unnaturalness of an event was doubtless important for </w:t>
      </w:r>
      <w:r w:rsidR="00785D6F" w:rsidRPr="002B10DA">
        <w:rPr>
          <w:rFonts w:ascii="Times New Roman" w:hAnsi="Times New Roman" w:cs="Times New Roman"/>
          <w:sz w:val="24"/>
          <w:szCs w:val="24"/>
          <w:lang w:val="en-GB"/>
        </w:rPr>
        <w:lastRenderedPageBreak/>
        <w:t xml:space="preserve">Bede—it demonstrated the power of God in an indisputable manner—but this did not mean that more </w:t>
      </w:r>
      <w:r w:rsidR="001138BA" w:rsidRPr="002B10DA">
        <w:rPr>
          <w:rFonts w:ascii="Times New Roman" w:hAnsi="Times New Roman" w:cs="Times New Roman"/>
          <w:sz w:val="24"/>
          <w:szCs w:val="24"/>
          <w:lang w:val="en-GB"/>
        </w:rPr>
        <w:t>‘</w:t>
      </w:r>
      <w:r w:rsidR="00785D6F" w:rsidRPr="002B10DA">
        <w:rPr>
          <w:rFonts w:ascii="Times New Roman" w:hAnsi="Times New Roman" w:cs="Times New Roman"/>
          <w:sz w:val="24"/>
          <w:szCs w:val="24"/>
          <w:lang w:val="en-GB"/>
        </w:rPr>
        <w:t>natural</w:t>
      </w:r>
      <w:r w:rsidR="001138BA" w:rsidRPr="002B10DA">
        <w:rPr>
          <w:rFonts w:ascii="Times New Roman" w:hAnsi="Times New Roman" w:cs="Times New Roman"/>
          <w:sz w:val="24"/>
          <w:szCs w:val="24"/>
          <w:lang w:val="en-GB"/>
        </w:rPr>
        <w:t>’</w:t>
      </w:r>
      <w:r w:rsidR="00785D6F" w:rsidRPr="002B10DA">
        <w:rPr>
          <w:rFonts w:ascii="Times New Roman" w:hAnsi="Times New Roman" w:cs="Times New Roman"/>
          <w:sz w:val="24"/>
          <w:szCs w:val="24"/>
          <w:lang w:val="en-GB"/>
        </w:rPr>
        <w:t xml:space="preserve"> events were to be excluded from </w:t>
      </w:r>
      <w:r w:rsidR="00A75434" w:rsidRPr="002B10DA">
        <w:rPr>
          <w:rFonts w:ascii="Times New Roman" w:hAnsi="Times New Roman" w:cs="Times New Roman"/>
          <w:sz w:val="24"/>
          <w:szCs w:val="24"/>
          <w:lang w:val="en-GB"/>
        </w:rPr>
        <w:t xml:space="preserve">his </w:t>
      </w:r>
      <w:r w:rsidR="00785D6F" w:rsidRPr="002B10DA">
        <w:rPr>
          <w:rFonts w:ascii="Times New Roman" w:hAnsi="Times New Roman" w:cs="Times New Roman"/>
          <w:sz w:val="24"/>
          <w:szCs w:val="24"/>
          <w:lang w:val="en-GB"/>
        </w:rPr>
        <w:t>grand theory of divine sign</w:t>
      </w:r>
      <w:r w:rsidR="009F71EB" w:rsidRPr="002B10DA">
        <w:rPr>
          <w:rFonts w:ascii="Times New Roman" w:hAnsi="Times New Roman" w:cs="Times New Roman"/>
          <w:sz w:val="24"/>
          <w:szCs w:val="24"/>
          <w:lang w:val="en-GB"/>
        </w:rPr>
        <w:t>ifiers,</w:t>
      </w:r>
      <w:r w:rsidR="00785D6F" w:rsidRPr="002B10DA">
        <w:rPr>
          <w:rFonts w:ascii="Times New Roman" w:hAnsi="Times New Roman" w:cs="Times New Roman"/>
          <w:sz w:val="24"/>
          <w:szCs w:val="24"/>
          <w:lang w:val="en-GB"/>
        </w:rPr>
        <w:t xml:space="preserve"> what Kendall has called </w:t>
      </w:r>
      <w:r w:rsidR="001138BA" w:rsidRPr="002B10DA">
        <w:rPr>
          <w:rFonts w:ascii="Times New Roman" w:hAnsi="Times New Roman" w:cs="Times New Roman"/>
          <w:sz w:val="24"/>
          <w:szCs w:val="24"/>
          <w:lang w:val="en-GB"/>
        </w:rPr>
        <w:t>‘</w:t>
      </w:r>
      <w:r w:rsidR="00785D6F" w:rsidRPr="002B10DA">
        <w:rPr>
          <w:rFonts w:ascii="Times New Roman" w:hAnsi="Times New Roman" w:cs="Times New Roman"/>
          <w:sz w:val="24"/>
          <w:szCs w:val="24"/>
          <w:lang w:val="en-GB"/>
        </w:rPr>
        <w:t>God</w:t>
      </w:r>
      <w:r w:rsidR="001138BA" w:rsidRPr="002B10DA">
        <w:rPr>
          <w:rFonts w:ascii="Times New Roman" w:hAnsi="Times New Roman" w:cs="Times New Roman"/>
          <w:sz w:val="24"/>
          <w:szCs w:val="24"/>
          <w:lang w:val="en-GB"/>
        </w:rPr>
        <w:t>’</w:t>
      </w:r>
      <w:r w:rsidR="00785D6F" w:rsidRPr="002B10DA">
        <w:rPr>
          <w:rFonts w:ascii="Times New Roman" w:hAnsi="Times New Roman" w:cs="Times New Roman"/>
          <w:sz w:val="24"/>
          <w:szCs w:val="24"/>
          <w:lang w:val="en-GB"/>
        </w:rPr>
        <w:t>s rhetoric</w:t>
      </w:r>
      <w:r w:rsidR="001138BA" w:rsidRPr="002B10DA">
        <w:rPr>
          <w:rFonts w:ascii="Times New Roman" w:hAnsi="Times New Roman" w:cs="Times New Roman"/>
          <w:sz w:val="24"/>
          <w:szCs w:val="24"/>
          <w:lang w:val="en-GB"/>
        </w:rPr>
        <w:t>’</w:t>
      </w:r>
      <w:r w:rsidR="00785D6F" w:rsidRPr="002B10DA">
        <w:rPr>
          <w:rFonts w:ascii="Times New Roman" w:hAnsi="Times New Roman" w:cs="Times New Roman"/>
          <w:sz w:val="24"/>
          <w:szCs w:val="24"/>
          <w:lang w:val="en-GB"/>
        </w:rPr>
        <w:t xml:space="preserve">. </w:t>
      </w:r>
      <w:r w:rsidR="00E80E79" w:rsidRPr="002B10DA">
        <w:rPr>
          <w:rFonts w:ascii="Times New Roman" w:hAnsi="Times New Roman" w:cs="Times New Roman"/>
          <w:sz w:val="24"/>
          <w:szCs w:val="24"/>
          <w:lang w:val="en-GB"/>
        </w:rPr>
        <w:t xml:space="preserve">As we have seen, </w:t>
      </w:r>
      <w:r w:rsidR="00A75434" w:rsidRPr="002B10DA">
        <w:rPr>
          <w:rFonts w:ascii="Times New Roman" w:hAnsi="Times New Roman" w:cs="Times New Roman"/>
          <w:sz w:val="24"/>
          <w:szCs w:val="24"/>
          <w:lang w:val="en-GB"/>
        </w:rPr>
        <w:t>Bede</w:t>
      </w:r>
      <w:r w:rsidR="003E7778" w:rsidRPr="002B10DA">
        <w:rPr>
          <w:rFonts w:ascii="Times New Roman" w:hAnsi="Times New Roman" w:cs="Times New Roman"/>
          <w:sz w:val="24"/>
          <w:szCs w:val="24"/>
          <w:lang w:val="en-GB"/>
        </w:rPr>
        <w:t xml:space="preserve"> was not averse to</w:t>
      </w:r>
      <w:r w:rsidR="001103BD" w:rsidRPr="002B10DA">
        <w:rPr>
          <w:rFonts w:ascii="Times New Roman" w:hAnsi="Times New Roman" w:cs="Times New Roman"/>
          <w:sz w:val="24"/>
          <w:szCs w:val="24"/>
          <w:lang w:val="en-GB"/>
        </w:rPr>
        <w:t xml:space="preserve"> providing</w:t>
      </w:r>
      <w:r w:rsidR="003E7778" w:rsidRPr="002B10DA">
        <w:rPr>
          <w:rFonts w:ascii="Times New Roman" w:hAnsi="Times New Roman" w:cs="Times New Roman"/>
          <w:sz w:val="24"/>
          <w:szCs w:val="24"/>
          <w:lang w:val="en-GB"/>
        </w:rPr>
        <w:t xml:space="preserve"> </w:t>
      </w:r>
      <w:r w:rsidR="001103BD" w:rsidRPr="002B10DA">
        <w:rPr>
          <w:rFonts w:ascii="Times New Roman" w:hAnsi="Times New Roman" w:cs="Times New Roman"/>
          <w:sz w:val="24"/>
          <w:szCs w:val="24"/>
          <w:lang w:val="en-GB"/>
        </w:rPr>
        <w:t>exegetically-derived interpretations of</w:t>
      </w:r>
      <w:r w:rsidR="003E7778" w:rsidRPr="002B10DA">
        <w:rPr>
          <w:rFonts w:ascii="Times New Roman" w:hAnsi="Times New Roman" w:cs="Times New Roman"/>
          <w:sz w:val="24"/>
          <w:szCs w:val="24"/>
          <w:lang w:val="en-GB"/>
        </w:rPr>
        <w:t xml:space="preserve"> </w:t>
      </w:r>
      <w:r w:rsidR="009F71EB" w:rsidRPr="002B10DA">
        <w:rPr>
          <w:rFonts w:ascii="Times New Roman" w:hAnsi="Times New Roman" w:cs="Times New Roman"/>
          <w:sz w:val="24"/>
          <w:szCs w:val="24"/>
          <w:lang w:val="en-GB"/>
        </w:rPr>
        <w:t>the world around him</w:t>
      </w:r>
      <w:r w:rsidR="00ED6702" w:rsidRPr="002B10DA">
        <w:rPr>
          <w:rFonts w:ascii="Times New Roman" w:hAnsi="Times New Roman" w:cs="Times New Roman"/>
          <w:sz w:val="24"/>
          <w:szCs w:val="24"/>
          <w:lang w:val="en-GB"/>
        </w:rPr>
        <w:t>, though h</w:t>
      </w:r>
      <w:r w:rsidR="00997B54" w:rsidRPr="002B10DA">
        <w:rPr>
          <w:rFonts w:ascii="Times New Roman" w:hAnsi="Times New Roman" w:cs="Times New Roman"/>
          <w:kern w:val="1"/>
          <w:sz w:val="24"/>
          <w:szCs w:val="24"/>
          <w:lang w:val="en-GB"/>
        </w:rPr>
        <w:t>e</w:t>
      </w:r>
      <w:r w:rsidR="003E7778" w:rsidRPr="002B10DA">
        <w:rPr>
          <w:rFonts w:ascii="Times New Roman" w:hAnsi="Times New Roman" w:cs="Times New Roman"/>
          <w:kern w:val="1"/>
          <w:sz w:val="24"/>
          <w:szCs w:val="24"/>
          <w:lang w:val="en-GB"/>
        </w:rPr>
        <w:t xml:space="preserve"> does this only occasionally; the </w:t>
      </w:r>
      <w:r w:rsidR="009B3773">
        <w:rPr>
          <w:rFonts w:ascii="Times New Roman" w:hAnsi="Times New Roman" w:cs="Times New Roman"/>
          <w:kern w:val="1"/>
          <w:sz w:val="24"/>
          <w:szCs w:val="24"/>
          <w:lang w:val="en-GB"/>
        </w:rPr>
        <w:t>marvellous feats</w:t>
      </w:r>
      <w:r w:rsidR="003E7778" w:rsidRPr="002B10DA">
        <w:rPr>
          <w:rFonts w:ascii="Times New Roman" w:hAnsi="Times New Roman" w:cs="Times New Roman"/>
          <w:kern w:val="1"/>
          <w:sz w:val="24"/>
          <w:szCs w:val="24"/>
          <w:lang w:val="en-GB"/>
        </w:rPr>
        <w:t xml:space="preserve"> of the saints provide the best opportunity for such readings, but he also </w:t>
      </w:r>
      <w:r w:rsidR="00C05713">
        <w:rPr>
          <w:rFonts w:ascii="Times New Roman" w:hAnsi="Times New Roman" w:cs="Times New Roman"/>
          <w:kern w:val="1"/>
          <w:sz w:val="24"/>
          <w:szCs w:val="24"/>
          <w:lang w:val="en-GB"/>
        </w:rPr>
        <w:t xml:space="preserve">sees </w:t>
      </w:r>
      <w:r w:rsidR="00C05713">
        <w:rPr>
          <w:rFonts w:ascii="Times New Roman" w:hAnsi="Times New Roman" w:cs="Times New Roman"/>
          <w:i/>
          <w:kern w:val="1"/>
          <w:sz w:val="24"/>
          <w:szCs w:val="24"/>
          <w:lang w:val="en-GB"/>
        </w:rPr>
        <w:t>signa</w:t>
      </w:r>
      <w:r w:rsidR="00C05713">
        <w:rPr>
          <w:rFonts w:ascii="Times New Roman" w:hAnsi="Times New Roman" w:cs="Times New Roman"/>
          <w:kern w:val="1"/>
          <w:sz w:val="24"/>
          <w:szCs w:val="24"/>
          <w:lang w:val="en-GB"/>
        </w:rPr>
        <w:t xml:space="preserve"> in</w:t>
      </w:r>
      <w:r w:rsidR="003E7778" w:rsidRPr="002B10DA">
        <w:rPr>
          <w:rFonts w:ascii="Times New Roman" w:hAnsi="Times New Roman" w:cs="Times New Roman"/>
          <w:kern w:val="1"/>
          <w:sz w:val="24"/>
          <w:szCs w:val="24"/>
          <w:lang w:val="en-GB"/>
        </w:rPr>
        <w:t xml:space="preserve"> storms, rainbows, place names and natural landscapes. In doing so, he implies a level of continuity between biblical history and contemporary events—both could be interpreted to reveal a divine message below the level of the literal</w:t>
      </w:r>
      <w:r w:rsidRPr="002B10DA">
        <w:rPr>
          <w:rFonts w:ascii="Times New Roman" w:hAnsi="Times New Roman" w:cs="Times New Roman"/>
          <w:kern w:val="1"/>
          <w:sz w:val="24"/>
          <w:szCs w:val="24"/>
          <w:lang w:val="en-GB"/>
        </w:rPr>
        <w:t xml:space="preserve">. </w:t>
      </w:r>
      <w:r w:rsidR="00C61DBA" w:rsidRPr="002B10DA">
        <w:rPr>
          <w:rFonts w:ascii="Times New Roman" w:hAnsi="Times New Roman" w:cs="Times New Roman"/>
          <w:kern w:val="1"/>
          <w:sz w:val="24"/>
          <w:szCs w:val="24"/>
          <w:lang w:val="en-GB"/>
        </w:rPr>
        <w:t>His</w:t>
      </w:r>
      <w:r w:rsidR="001D3C18" w:rsidRPr="002B10DA">
        <w:rPr>
          <w:rFonts w:ascii="Times New Roman" w:hAnsi="Times New Roman" w:cs="Times New Roman"/>
          <w:kern w:val="1"/>
          <w:sz w:val="24"/>
          <w:szCs w:val="24"/>
          <w:lang w:val="en-GB"/>
        </w:rPr>
        <w:t xml:space="preserve"> </w:t>
      </w:r>
      <w:r w:rsidR="004362F6">
        <w:rPr>
          <w:rFonts w:ascii="Times New Roman" w:hAnsi="Times New Roman" w:cs="Times New Roman"/>
          <w:kern w:val="1"/>
          <w:sz w:val="24"/>
          <w:szCs w:val="24"/>
          <w:lang w:val="en-GB"/>
        </w:rPr>
        <w:t>saintly miracles</w:t>
      </w:r>
      <w:r w:rsidR="00FE1973" w:rsidRPr="002B10DA">
        <w:rPr>
          <w:rFonts w:ascii="Times New Roman" w:hAnsi="Times New Roman" w:cs="Times New Roman"/>
          <w:kern w:val="1"/>
          <w:sz w:val="24"/>
          <w:szCs w:val="24"/>
          <w:lang w:val="en-GB"/>
        </w:rPr>
        <w:t xml:space="preserve"> do not stand alone but must be understood as part of a wider system of divine signs</w:t>
      </w:r>
      <w:r w:rsidR="00E80E79" w:rsidRPr="002B10DA">
        <w:rPr>
          <w:rFonts w:ascii="Times New Roman" w:hAnsi="Times New Roman" w:cs="Times New Roman"/>
          <w:kern w:val="1"/>
          <w:sz w:val="24"/>
          <w:szCs w:val="24"/>
          <w:lang w:val="en-GB"/>
        </w:rPr>
        <w:t xml:space="preserve">. </w:t>
      </w:r>
      <w:r w:rsidR="00C855FC" w:rsidRPr="002B10DA">
        <w:rPr>
          <w:rFonts w:ascii="Times New Roman" w:hAnsi="Times New Roman" w:cs="Times New Roman"/>
          <w:kern w:val="1"/>
          <w:sz w:val="24"/>
          <w:szCs w:val="24"/>
          <w:lang w:val="en-GB"/>
        </w:rPr>
        <w:t xml:space="preserve">This conclusion has implications for </w:t>
      </w:r>
      <w:r w:rsidR="00F5502D" w:rsidRPr="002B10DA">
        <w:rPr>
          <w:rFonts w:ascii="Times New Roman" w:hAnsi="Times New Roman" w:cs="Times New Roman"/>
          <w:kern w:val="1"/>
          <w:sz w:val="24"/>
          <w:szCs w:val="24"/>
          <w:lang w:val="en-GB"/>
        </w:rPr>
        <w:t xml:space="preserve">how </w:t>
      </w:r>
      <w:r w:rsidR="00C855FC" w:rsidRPr="002B10DA">
        <w:rPr>
          <w:rFonts w:ascii="Times New Roman" w:hAnsi="Times New Roman" w:cs="Times New Roman"/>
          <w:kern w:val="1"/>
          <w:sz w:val="24"/>
          <w:szCs w:val="24"/>
          <w:lang w:val="en-GB"/>
        </w:rPr>
        <w:t>we read Bede</w:t>
      </w:r>
      <w:r w:rsidR="001138BA" w:rsidRPr="002B10DA">
        <w:rPr>
          <w:rFonts w:ascii="Times New Roman" w:hAnsi="Times New Roman" w:cs="Times New Roman"/>
          <w:kern w:val="1"/>
          <w:sz w:val="24"/>
          <w:szCs w:val="24"/>
          <w:lang w:val="en-GB"/>
        </w:rPr>
        <w:t>’</w:t>
      </w:r>
      <w:r w:rsidR="001E112D" w:rsidRPr="002B10DA">
        <w:rPr>
          <w:rFonts w:ascii="Times New Roman" w:hAnsi="Times New Roman" w:cs="Times New Roman"/>
          <w:kern w:val="1"/>
          <w:sz w:val="24"/>
          <w:szCs w:val="24"/>
          <w:lang w:val="en-GB"/>
        </w:rPr>
        <w:t>s</w:t>
      </w:r>
      <w:r w:rsidR="00997B54" w:rsidRPr="002B10DA">
        <w:rPr>
          <w:rFonts w:ascii="Times New Roman" w:hAnsi="Times New Roman" w:cs="Times New Roman"/>
          <w:kern w:val="1"/>
          <w:sz w:val="24"/>
          <w:szCs w:val="24"/>
          <w:lang w:val="en-GB"/>
        </w:rPr>
        <w:t xml:space="preserve"> historical writings and </w:t>
      </w:r>
      <w:r w:rsidR="00F5502D" w:rsidRPr="002B10DA">
        <w:rPr>
          <w:rFonts w:ascii="Times New Roman" w:hAnsi="Times New Roman" w:cs="Times New Roman"/>
          <w:kern w:val="1"/>
          <w:sz w:val="24"/>
          <w:szCs w:val="24"/>
          <w:lang w:val="en-GB"/>
        </w:rPr>
        <w:t xml:space="preserve">the view we take of </w:t>
      </w:r>
      <w:r w:rsidR="00997B54" w:rsidRPr="002B10DA">
        <w:rPr>
          <w:rFonts w:ascii="Times New Roman" w:hAnsi="Times New Roman" w:cs="Times New Roman"/>
          <w:kern w:val="1"/>
          <w:sz w:val="24"/>
          <w:szCs w:val="24"/>
          <w:lang w:val="en-GB"/>
        </w:rPr>
        <w:t xml:space="preserve">the events that Bede describes so effectively in his </w:t>
      </w:r>
      <w:r w:rsidR="00997B54" w:rsidRPr="002B10DA">
        <w:rPr>
          <w:rFonts w:ascii="Times New Roman" w:hAnsi="Times New Roman" w:cs="Times New Roman"/>
          <w:i/>
          <w:kern w:val="1"/>
          <w:sz w:val="24"/>
          <w:szCs w:val="24"/>
          <w:lang w:val="en-GB"/>
        </w:rPr>
        <w:t>H</w:t>
      </w:r>
      <w:r w:rsidR="003502C5" w:rsidRPr="002B10DA">
        <w:rPr>
          <w:rFonts w:ascii="Times New Roman" w:hAnsi="Times New Roman" w:cs="Times New Roman"/>
          <w:i/>
          <w:kern w:val="1"/>
          <w:sz w:val="24"/>
          <w:szCs w:val="24"/>
          <w:lang w:val="en-GB"/>
        </w:rPr>
        <w:t>istoria</w:t>
      </w:r>
      <w:r w:rsidR="00F5502D" w:rsidRPr="002B10DA">
        <w:rPr>
          <w:rFonts w:ascii="Times New Roman" w:hAnsi="Times New Roman" w:cs="Times New Roman"/>
          <w:i/>
          <w:kern w:val="1"/>
          <w:sz w:val="24"/>
          <w:szCs w:val="24"/>
          <w:lang w:val="en-GB"/>
        </w:rPr>
        <w:t xml:space="preserve"> ecclesiastica</w:t>
      </w:r>
      <w:r w:rsidR="00997B54" w:rsidRPr="002B10DA">
        <w:rPr>
          <w:rFonts w:ascii="Times New Roman" w:hAnsi="Times New Roman" w:cs="Times New Roman"/>
          <w:kern w:val="1"/>
          <w:sz w:val="24"/>
          <w:szCs w:val="24"/>
          <w:lang w:val="en-GB"/>
        </w:rPr>
        <w:t>.</w:t>
      </w:r>
      <w:r w:rsidR="00460E4B" w:rsidRPr="002B10DA">
        <w:rPr>
          <w:rFonts w:ascii="Times New Roman" w:hAnsi="Times New Roman" w:cs="Times New Roman"/>
          <w:kern w:val="1"/>
          <w:sz w:val="24"/>
          <w:szCs w:val="24"/>
          <w:lang w:val="en-GB"/>
        </w:rPr>
        <w:t xml:space="preserve"> The </w:t>
      </w:r>
      <w:r w:rsidR="009F71EB" w:rsidRPr="002B10DA">
        <w:rPr>
          <w:rFonts w:ascii="Times New Roman" w:hAnsi="Times New Roman" w:cs="Times New Roman"/>
          <w:kern w:val="1"/>
          <w:sz w:val="24"/>
          <w:szCs w:val="24"/>
          <w:lang w:val="en-GB"/>
        </w:rPr>
        <w:t>miraculous episodes</w:t>
      </w:r>
      <w:r w:rsidR="00460E4B" w:rsidRPr="002B10DA">
        <w:rPr>
          <w:rFonts w:ascii="Times New Roman" w:hAnsi="Times New Roman" w:cs="Times New Roman"/>
          <w:kern w:val="1"/>
          <w:sz w:val="24"/>
          <w:szCs w:val="24"/>
          <w:lang w:val="en-GB"/>
        </w:rPr>
        <w:t xml:space="preserve"> that populate </w:t>
      </w:r>
      <w:r w:rsidR="00F5502D" w:rsidRPr="002B10DA">
        <w:rPr>
          <w:rFonts w:ascii="Times New Roman" w:hAnsi="Times New Roman" w:cs="Times New Roman"/>
          <w:kern w:val="1"/>
          <w:sz w:val="24"/>
          <w:szCs w:val="24"/>
          <w:lang w:val="en-GB"/>
        </w:rPr>
        <w:t>this</w:t>
      </w:r>
      <w:r w:rsidR="00460E4B" w:rsidRPr="002B10DA">
        <w:rPr>
          <w:rFonts w:ascii="Times New Roman" w:hAnsi="Times New Roman" w:cs="Times New Roman"/>
          <w:kern w:val="1"/>
          <w:sz w:val="24"/>
          <w:szCs w:val="24"/>
          <w:lang w:val="en-GB"/>
        </w:rPr>
        <w:t xml:space="preserve"> and other</w:t>
      </w:r>
      <w:r w:rsidR="00F5502D" w:rsidRPr="002B10DA">
        <w:rPr>
          <w:rFonts w:ascii="Times New Roman" w:hAnsi="Times New Roman" w:cs="Times New Roman"/>
          <w:kern w:val="1"/>
          <w:sz w:val="24"/>
          <w:szCs w:val="24"/>
          <w:lang w:val="en-GB"/>
        </w:rPr>
        <w:t xml:space="preserve"> of his</w:t>
      </w:r>
      <w:r w:rsidR="009373D3">
        <w:rPr>
          <w:rFonts w:ascii="Times New Roman" w:hAnsi="Times New Roman" w:cs="Times New Roman"/>
          <w:kern w:val="1"/>
          <w:sz w:val="24"/>
          <w:szCs w:val="24"/>
          <w:lang w:val="en-GB"/>
        </w:rPr>
        <w:t xml:space="preserve"> works must be understood not as temporary interludes in Bede’s historical approach but </w:t>
      </w:r>
      <w:r w:rsidR="00460E4B" w:rsidRPr="002B10DA">
        <w:rPr>
          <w:rFonts w:ascii="Times New Roman" w:hAnsi="Times New Roman" w:cs="Times New Roman"/>
          <w:kern w:val="1"/>
          <w:sz w:val="24"/>
          <w:szCs w:val="24"/>
          <w:lang w:val="en-GB"/>
        </w:rPr>
        <w:t xml:space="preserve">as an important part of the narrative scaffolding, reflecting </w:t>
      </w:r>
      <w:r w:rsidR="009373D3">
        <w:rPr>
          <w:rFonts w:ascii="Times New Roman" w:hAnsi="Times New Roman" w:cs="Times New Roman"/>
          <w:kern w:val="1"/>
          <w:sz w:val="24"/>
          <w:szCs w:val="24"/>
          <w:lang w:val="en-GB"/>
        </w:rPr>
        <w:t>his</w:t>
      </w:r>
      <w:bookmarkStart w:id="0" w:name="_GoBack"/>
      <w:bookmarkEnd w:id="0"/>
      <w:r w:rsidR="00460E4B" w:rsidRPr="002B10DA">
        <w:rPr>
          <w:rFonts w:ascii="Times New Roman" w:hAnsi="Times New Roman" w:cs="Times New Roman"/>
          <w:kern w:val="1"/>
          <w:sz w:val="24"/>
          <w:szCs w:val="24"/>
          <w:lang w:val="en-GB"/>
        </w:rPr>
        <w:t xml:space="preserve"> understanding of his </w:t>
      </w:r>
      <w:r w:rsidR="00F5502D" w:rsidRPr="002B10DA">
        <w:rPr>
          <w:rFonts w:ascii="Times New Roman" w:hAnsi="Times New Roman" w:cs="Times New Roman"/>
          <w:kern w:val="1"/>
          <w:sz w:val="24"/>
          <w:szCs w:val="24"/>
          <w:lang w:val="en-GB"/>
        </w:rPr>
        <w:t>time and place</w:t>
      </w:r>
      <w:r w:rsidR="00460E4B" w:rsidRPr="002B10DA">
        <w:rPr>
          <w:rFonts w:ascii="Times New Roman" w:hAnsi="Times New Roman" w:cs="Times New Roman"/>
          <w:kern w:val="1"/>
          <w:sz w:val="24"/>
          <w:szCs w:val="24"/>
          <w:lang w:val="en-GB"/>
        </w:rPr>
        <w:t xml:space="preserve"> just as much as the more palatable historical narratives </w:t>
      </w:r>
      <w:r w:rsidR="00566A9F" w:rsidRPr="002B10DA">
        <w:rPr>
          <w:rFonts w:ascii="Times New Roman" w:hAnsi="Times New Roman" w:cs="Times New Roman"/>
          <w:kern w:val="1"/>
          <w:sz w:val="24"/>
          <w:szCs w:val="24"/>
          <w:lang w:val="en-GB"/>
        </w:rPr>
        <w:t>that accompany them.</w:t>
      </w:r>
    </w:p>
    <w:p w14:paraId="1B12B1DA" w14:textId="373DAC45" w:rsidR="00B21D7D" w:rsidRPr="00E27D69" w:rsidRDefault="00E27D69" w:rsidP="00B07C8F">
      <w:pPr>
        <w:pBdr>
          <w:top w:val="nil"/>
          <w:left w:val="nil"/>
          <w:bottom w:val="nil"/>
          <w:right w:val="nil"/>
          <w:between w:val="nil"/>
          <w:bar w:val="nil"/>
        </w:pBdr>
        <w:spacing w:line="480" w:lineRule="auto"/>
        <w:rPr>
          <w:color w:val="000000"/>
          <w:bdr w:val="nil"/>
          <w:lang w:val="en-GB"/>
        </w:rPr>
      </w:pPr>
      <w:r>
        <w:rPr>
          <w:lang w:val="en-GB"/>
        </w:rPr>
        <w:br w:type="page"/>
      </w:r>
    </w:p>
    <w:sectPr w:rsidR="00B21D7D" w:rsidRPr="00E27D69" w:rsidSect="00B07C8F">
      <w:footerReference w:type="even" r:id="rId7"/>
      <w:footerReference w:type="default" r:id="rId8"/>
      <w:endnotePr>
        <w:numFmt w:val="decimal"/>
      </w:endnotePr>
      <w:pgSz w:w="11906" w:h="16838"/>
      <w:pgMar w:top="1701" w:right="1701" w:bottom="1701" w:left="1701"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DA60" w14:textId="77777777" w:rsidR="00213646" w:rsidRDefault="00213646">
      <w:r>
        <w:separator/>
      </w:r>
    </w:p>
  </w:endnote>
  <w:endnote w:type="continuationSeparator" w:id="0">
    <w:p w14:paraId="510FC52B" w14:textId="77777777" w:rsidR="00213646" w:rsidRDefault="00213646">
      <w:r>
        <w:continuationSeparator/>
      </w:r>
    </w:p>
  </w:endnote>
  <w:endnote w:type="continuationNotice" w:id="1">
    <w:p w14:paraId="115DA054" w14:textId="77777777" w:rsidR="00213646" w:rsidRDefault="00213646"/>
  </w:endnote>
  <w:endnote w:id="2">
    <w:p w14:paraId="66E558A0" w14:textId="614DB76A" w:rsidR="0027490E" w:rsidRPr="0001029D" w:rsidRDefault="0027490E" w:rsidP="00907464">
      <w:pPr>
        <w:pStyle w:val="Footnote"/>
        <w:spacing w:after="120" w:line="480" w:lineRule="auto"/>
      </w:pPr>
      <w:r w:rsidRPr="0001029D">
        <w:rPr>
          <w:vertAlign w:val="superscript"/>
        </w:rPr>
        <w:endnoteRef/>
      </w:r>
      <w:r w:rsidRPr="0001029D">
        <w:t xml:space="preserve"> </w:t>
      </w:r>
      <w:r w:rsidRPr="0001029D">
        <w:rPr>
          <w:i/>
          <w:iCs/>
          <w:lang w:val="de-DE"/>
        </w:rPr>
        <w:t>Bede</w:t>
      </w:r>
      <w:r w:rsidRPr="0001029D">
        <w:rPr>
          <w:i/>
          <w:iCs/>
          <w:lang w:val="fr-FR"/>
        </w:rPr>
        <w:t>’</w:t>
      </w:r>
      <w:r w:rsidRPr="0001029D">
        <w:rPr>
          <w:i/>
          <w:iCs/>
        </w:rPr>
        <w:t>s Ecclesiastical History of the English People</w:t>
      </w:r>
      <w:r w:rsidRPr="0001029D">
        <w:t>, ed. and trans. B. Colgrave and R.A.B. Mynors, Oxford Medieval Texts (Oxford, 1969), p. xxxv.</w:t>
      </w:r>
    </w:p>
  </w:endnote>
  <w:endnote w:id="3">
    <w:p w14:paraId="05D2BAED" w14:textId="006FC0C4" w:rsidR="0027490E" w:rsidRPr="0001029D" w:rsidRDefault="0027490E" w:rsidP="00907464">
      <w:pPr>
        <w:pStyle w:val="Footnote"/>
        <w:spacing w:after="120" w:line="480" w:lineRule="auto"/>
        <w:rPr>
          <w:i/>
          <w:iCs/>
        </w:rPr>
      </w:pPr>
      <w:r w:rsidRPr="0001029D">
        <w:rPr>
          <w:vertAlign w:val="superscript"/>
        </w:rPr>
        <w:endnoteRef/>
      </w:r>
      <w:r w:rsidRPr="0001029D">
        <w:t xml:space="preserve"> B. Colgrave, ‘</w:t>
      </w:r>
      <w:r w:rsidRPr="0001029D">
        <w:rPr>
          <w:iCs/>
        </w:rPr>
        <w:t>Bede’s Miracle Stories’, in A.H. Thompson (ed.),</w:t>
      </w:r>
      <w:r w:rsidRPr="0001029D">
        <w:rPr>
          <w:i/>
          <w:iCs/>
        </w:rPr>
        <w:t xml:space="preserve"> Bede: His Life, Times</w:t>
      </w:r>
      <w:r w:rsidRPr="0001029D">
        <w:rPr>
          <w:iCs/>
        </w:rPr>
        <w:t xml:space="preserve"> </w:t>
      </w:r>
      <w:r w:rsidRPr="0001029D">
        <w:rPr>
          <w:i/>
          <w:iCs/>
        </w:rPr>
        <w:t xml:space="preserve">and Writings: Essays in Commemoration of the Twelfth Centenary of His Death </w:t>
      </w:r>
      <w:r w:rsidRPr="0001029D">
        <w:rPr>
          <w:iCs/>
        </w:rPr>
        <w:t>(Oxford, 1935), pp. 201–29.</w:t>
      </w:r>
    </w:p>
  </w:endnote>
  <w:endnote w:id="4">
    <w:p w14:paraId="6BA8513A" w14:textId="50B30DB8" w:rsidR="0027490E" w:rsidRPr="0001029D" w:rsidRDefault="0027490E" w:rsidP="00907464">
      <w:pPr>
        <w:pStyle w:val="Footnote"/>
        <w:spacing w:after="120" w:line="480" w:lineRule="auto"/>
      </w:pPr>
      <w:r w:rsidRPr="0001029D">
        <w:rPr>
          <w:vertAlign w:val="superscript"/>
        </w:rPr>
        <w:endnoteRef/>
      </w:r>
      <w:r w:rsidRPr="0001029D">
        <w:rPr>
          <w:lang w:val="nl-NL"/>
        </w:rPr>
        <w:t xml:space="preserve"> C.G. Loomis, </w:t>
      </w:r>
      <w:r w:rsidRPr="0001029D">
        <w:t xml:space="preserve">‘The Miracle Traditions of the Venerable Bede’, </w:t>
      </w:r>
      <w:r w:rsidRPr="0001029D">
        <w:rPr>
          <w:i/>
          <w:iCs/>
        </w:rPr>
        <w:t>Speculum</w:t>
      </w:r>
      <w:r w:rsidRPr="0001029D">
        <w:t xml:space="preserve"> (1946), pp. 404–418.</w:t>
      </w:r>
    </w:p>
  </w:endnote>
  <w:endnote w:id="5">
    <w:p w14:paraId="53710428" w14:textId="77777777" w:rsidR="0027490E" w:rsidRPr="0001029D" w:rsidRDefault="0027490E" w:rsidP="00907464">
      <w:pPr>
        <w:pStyle w:val="EndnoteText"/>
        <w:spacing w:after="120" w:line="480" w:lineRule="auto"/>
        <w:jc w:val="both"/>
        <w:rPr>
          <w:sz w:val="20"/>
          <w:szCs w:val="20"/>
          <w:lang w:val="en-IE"/>
        </w:rPr>
      </w:pPr>
      <w:r w:rsidRPr="0001029D">
        <w:rPr>
          <w:rStyle w:val="EndnoteReference"/>
          <w:sz w:val="20"/>
          <w:szCs w:val="20"/>
        </w:rPr>
        <w:endnoteRef/>
      </w:r>
      <w:r w:rsidRPr="0001029D">
        <w:rPr>
          <w:sz w:val="20"/>
          <w:szCs w:val="20"/>
        </w:rPr>
        <w:t xml:space="preserve"> C.W. Jones, </w:t>
      </w:r>
      <w:r w:rsidRPr="0001029D">
        <w:rPr>
          <w:i/>
          <w:sz w:val="20"/>
          <w:szCs w:val="20"/>
        </w:rPr>
        <w:t>Saints’ Lives and Chronicles in Early England</w:t>
      </w:r>
      <w:r w:rsidRPr="0001029D">
        <w:rPr>
          <w:sz w:val="20"/>
          <w:szCs w:val="20"/>
        </w:rPr>
        <w:t xml:space="preserve"> (Ithaca, NY, 1947), pp. 74–5, 88–9.</w:t>
      </w:r>
    </w:p>
  </w:endnote>
  <w:endnote w:id="6">
    <w:p w14:paraId="06807806" w14:textId="1E73AC7F" w:rsidR="0027490E" w:rsidRPr="0001029D" w:rsidRDefault="0027490E" w:rsidP="00907464">
      <w:pPr>
        <w:pStyle w:val="EndnoteText"/>
        <w:spacing w:after="120" w:line="480" w:lineRule="auto"/>
        <w:jc w:val="both"/>
        <w:rPr>
          <w:sz w:val="20"/>
          <w:szCs w:val="20"/>
          <w:lang w:val="en-IE"/>
        </w:rPr>
      </w:pPr>
      <w:r w:rsidRPr="0001029D">
        <w:rPr>
          <w:rStyle w:val="EndnoteReference"/>
          <w:sz w:val="20"/>
          <w:szCs w:val="20"/>
        </w:rPr>
        <w:endnoteRef/>
      </w:r>
      <w:r w:rsidRPr="0001029D">
        <w:rPr>
          <w:sz w:val="20"/>
          <w:szCs w:val="20"/>
        </w:rPr>
        <w:t xml:space="preserve"> </w:t>
      </w:r>
      <w:r w:rsidRPr="0001029D">
        <w:rPr>
          <w:sz w:val="20"/>
          <w:szCs w:val="20"/>
          <w:lang w:val="en-IE"/>
        </w:rPr>
        <w:t xml:space="preserve">See, for instance, </w:t>
      </w:r>
      <w:r w:rsidRPr="0001029D">
        <w:rPr>
          <w:sz w:val="20"/>
          <w:szCs w:val="20"/>
        </w:rPr>
        <w:t xml:space="preserve">G.H. Brown, </w:t>
      </w:r>
      <w:r w:rsidRPr="0001029D">
        <w:rPr>
          <w:i/>
          <w:sz w:val="20"/>
          <w:szCs w:val="20"/>
        </w:rPr>
        <w:t>A Companion to Bede</w:t>
      </w:r>
      <w:r w:rsidRPr="0001029D">
        <w:rPr>
          <w:sz w:val="20"/>
          <w:szCs w:val="20"/>
        </w:rPr>
        <w:t xml:space="preserve"> (Woodbridge, 2009), p. 113; </w:t>
      </w:r>
      <w:r w:rsidRPr="0001029D">
        <w:rPr>
          <w:sz w:val="20"/>
          <w:szCs w:val="20"/>
          <w:lang w:val="en-IE"/>
        </w:rPr>
        <w:t xml:space="preserve">A. Thacker, ‘Bede and History’, in </w:t>
      </w:r>
      <w:r w:rsidRPr="0001029D">
        <w:rPr>
          <w:sz w:val="20"/>
          <w:szCs w:val="20"/>
        </w:rPr>
        <w:t xml:space="preserve">S. DeGregorio (ed.), </w:t>
      </w:r>
      <w:r w:rsidRPr="0001029D">
        <w:rPr>
          <w:i/>
          <w:iCs/>
          <w:sz w:val="20"/>
          <w:szCs w:val="20"/>
        </w:rPr>
        <w:t>The Cambridge Companion to Bede</w:t>
      </w:r>
      <w:r w:rsidRPr="0001029D">
        <w:rPr>
          <w:sz w:val="20"/>
          <w:szCs w:val="20"/>
        </w:rPr>
        <w:t xml:space="preserve"> (Cambridge, 2010)</w:t>
      </w:r>
      <w:r w:rsidRPr="0001029D">
        <w:rPr>
          <w:iCs/>
          <w:sz w:val="20"/>
          <w:szCs w:val="20"/>
        </w:rPr>
        <w:t>, pp. 170–89.</w:t>
      </w:r>
    </w:p>
  </w:endnote>
  <w:endnote w:id="7">
    <w:p w14:paraId="024C4A31" w14:textId="23471913" w:rsidR="0027490E" w:rsidRPr="0001029D" w:rsidRDefault="0027490E" w:rsidP="00907464">
      <w:pPr>
        <w:pStyle w:val="Footnote"/>
        <w:spacing w:after="120" w:line="480" w:lineRule="auto"/>
        <w:rPr>
          <w:kern w:val="1"/>
          <w:u w:color="000000"/>
        </w:rPr>
      </w:pPr>
      <w:r w:rsidRPr="0001029D">
        <w:rPr>
          <w:vertAlign w:val="superscript"/>
        </w:rPr>
        <w:endnoteRef/>
      </w:r>
      <w:r w:rsidRPr="0001029D">
        <w:t xml:space="preserve"> Studies which have dealt with the subject of miracles in Bede include: J.T. Rosenthal, ‘Bede’s use of Miracles in “The Ecclesiastical History”’, </w:t>
      </w:r>
      <w:r w:rsidRPr="0001029D">
        <w:rPr>
          <w:i/>
          <w:iCs/>
        </w:rPr>
        <w:t>Traditio</w:t>
      </w:r>
      <w:r w:rsidRPr="0001029D">
        <w:t xml:space="preserve"> 31 (1975), pp. 328–335; B. Ward, ‘M</w:t>
      </w:r>
      <w:r w:rsidRPr="0001029D">
        <w:rPr>
          <w:kern w:val="1"/>
        </w:rPr>
        <w:t>iracles and History: A Reconsideration of the Miracle Stories Used by Bede</w:t>
      </w:r>
      <w:r w:rsidRPr="0001029D">
        <w:rPr>
          <w:kern w:val="1"/>
          <w:lang w:val="fr-FR"/>
        </w:rPr>
        <w:t>’</w:t>
      </w:r>
      <w:r w:rsidRPr="0001029D">
        <w:rPr>
          <w:kern w:val="1"/>
        </w:rPr>
        <w:t xml:space="preserve">, in G. Bonner (ed.), </w:t>
      </w:r>
      <w:r w:rsidRPr="0001029D">
        <w:rPr>
          <w:i/>
          <w:iCs/>
          <w:kern w:val="1"/>
        </w:rPr>
        <w:t>Famulus Christi: Essays in Commemoration of the Thirteenth Centenary of the Birth of the Venerable Bede</w:t>
      </w:r>
      <w:r w:rsidRPr="0001029D">
        <w:rPr>
          <w:kern w:val="1"/>
        </w:rPr>
        <w:t xml:space="preserve"> (London, 1976), pp. 70–6; L.S. Creider, ‘Bede’s Understanding of the Miraculous’, Ph.D. thesis, Yale University (1979); G.I. </w:t>
      </w:r>
      <w:r w:rsidRPr="0001029D">
        <w:rPr>
          <w:kern w:val="1"/>
          <w:u w:color="000000"/>
        </w:rPr>
        <w:t xml:space="preserve">Berlin, ‘Bede’s Miracle Stories: Notions of Evidence and Authority in Old English History’, </w:t>
      </w:r>
      <w:r w:rsidRPr="0001029D">
        <w:rPr>
          <w:i/>
          <w:iCs/>
          <w:kern w:val="1"/>
        </w:rPr>
        <w:t>Neophilologus</w:t>
      </w:r>
      <w:r w:rsidRPr="0001029D">
        <w:rPr>
          <w:kern w:val="1"/>
        </w:rPr>
        <w:t xml:space="preserve"> 74 (1990), pp. 434–43; W.D. </w:t>
      </w:r>
      <w:r w:rsidRPr="0001029D">
        <w:rPr>
          <w:kern w:val="1"/>
          <w:u w:color="000000"/>
        </w:rPr>
        <w:t xml:space="preserve">McCready, </w:t>
      </w:r>
      <w:r w:rsidRPr="0001029D">
        <w:rPr>
          <w:i/>
          <w:iCs/>
          <w:kern w:val="1"/>
          <w:u w:color="000000"/>
        </w:rPr>
        <w:t>Miracles and the Venerable Bede</w:t>
      </w:r>
      <w:r w:rsidRPr="0001029D">
        <w:rPr>
          <w:kern w:val="1"/>
          <w:u w:color="000000"/>
        </w:rPr>
        <w:t xml:space="preserve"> (Toronto, 1994); K. </w:t>
      </w:r>
      <w:r w:rsidRPr="0001029D">
        <w:rPr>
          <w:kern w:val="1"/>
        </w:rPr>
        <w:t xml:space="preserve">Lutterkort, ‘Beda Hagiographicus: Meaning and Function of Miracle Stories in the </w:t>
      </w:r>
      <w:r w:rsidRPr="0001029D">
        <w:rPr>
          <w:i/>
          <w:kern w:val="1"/>
        </w:rPr>
        <w:t>Vita Cuthberti</w:t>
      </w:r>
      <w:r w:rsidRPr="0001029D">
        <w:rPr>
          <w:kern w:val="1"/>
        </w:rPr>
        <w:t xml:space="preserve"> and the </w:t>
      </w:r>
      <w:r w:rsidRPr="0001029D">
        <w:rPr>
          <w:i/>
          <w:kern w:val="1"/>
        </w:rPr>
        <w:t>Historia Ecclesiastica</w:t>
      </w:r>
      <w:r w:rsidRPr="0001029D">
        <w:rPr>
          <w:kern w:val="1"/>
          <w:lang w:val="fr-FR"/>
        </w:rPr>
        <w:t>’</w:t>
      </w:r>
      <w:r w:rsidRPr="0001029D">
        <w:rPr>
          <w:kern w:val="1"/>
        </w:rPr>
        <w:t xml:space="preserve">, in </w:t>
      </w:r>
      <w:r w:rsidRPr="0001029D">
        <w:rPr>
          <w:kern w:val="1"/>
          <w:lang w:val="nl-NL"/>
        </w:rPr>
        <w:t>L.A.J.R. Houwen and A.A. MacDonald (eds),</w:t>
      </w:r>
      <w:r w:rsidRPr="0001029D">
        <w:rPr>
          <w:kern w:val="1"/>
        </w:rPr>
        <w:t xml:space="preserve"> </w:t>
      </w:r>
      <w:r w:rsidRPr="0001029D">
        <w:rPr>
          <w:i/>
          <w:iCs/>
          <w:kern w:val="1"/>
        </w:rPr>
        <w:t>Beda Venerabilis. Historian, Monk and Northumbrian</w:t>
      </w:r>
      <w:r w:rsidRPr="0001029D">
        <w:rPr>
          <w:kern w:val="1"/>
          <w:lang w:val="nl-NL"/>
        </w:rPr>
        <w:t xml:space="preserve"> (Groningen, 1996), pp. 81</w:t>
      </w:r>
      <w:r w:rsidRPr="0001029D">
        <w:rPr>
          <w:kern w:val="1"/>
        </w:rPr>
        <w:t>–106.</w:t>
      </w:r>
    </w:p>
  </w:endnote>
  <w:endnote w:id="8">
    <w:p w14:paraId="43C6DE4A" w14:textId="1A2A7CC0" w:rsidR="0027490E" w:rsidRPr="0001029D" w:rsidRDefault="0027490E" w:rsidP="00907464">
      <w:pPr>
        <w:pStyle w:val="Footnote"/>
        <w:spacing w:after="120" w:line="480" w:lineRule="auto"/>
      </w:pPr>
      <w:r w:rsidRPr="0001029D">
        <w:rPr>
          <w:vertAlign w:val="superscript"/>
        </w:rPr>
        <w:endnoteRef/>
      </w:r>
      <w:r w:rsidRPr="0001029D">
        <w:t xml:space="preserve"> Creider, ‘Bede’s Understanding of the Miraculous’ is an exception.</w:t>
      </w:r>
    </w:p>
  </w:endnote>
  <w:endnote w:id="9">
    <w:p w14:paraId="2659F79E" w14:textId="77777777" w:rsidR="00DA5F6D" w:rsidRPr="0001029D" w:rsidRDefault="00DA5F6D" w:rsidP="00907464">
      <w:pPr>
        <w:pStyle w:val="Footnote"/>
        <w:spacing w:after="120" w:line="480" w:lineRule="auto"/>
      </w:pPr>
      <w:r w:rsidRPr="0001029D">
        <w:rPr>
          <w:vertAlign w:val="superscript"/>
        </w:rPr>
        <w:endnoteRef/>
      </w:r>
      <w:r w:rsidRPr="0001029D">
        <w:t xml:space="preserve"> L. Daston, ‘Marvelous Facts and Miraculous Evidence in Early Modern Europe’, </w:t>
      </w:r>
      <w:r w:rsidRPr="0001029D">
        <w:rPr>
          <w:i/>
          <w:iCs/>
        </w:rPr>
        <w:t>Critical Inquiry</w:t>
      </w:r>
      <w:r w:rsidRPr="0001029D">
        <w:t xml:space="preserve"> 18 (1991), pp. 93–124, at pp. 95–9; R. Bartlett, </w:t>
      </w:r>
      <w:r w:rsidRPr="0001029D">
        <w:rPr>
          <w:i/>
          <w:iCs/>
          <w:kern w:val="1"/>
        </w:rPr>
        <w:t>The Natural and the Supernatural in the Middle Ages</w:t>
      </w:r>
      <w:r w:rsidRPr="0001029D">
        <w:rPr>
          <w:kern w:val="1"/>
        </w:rPr>
        <w:t xml:space="preserve"> (Cambridge, 2008)</w:t>
      </w:r>
      <w:r w:rsidRPr="0001029D">
        <w:t xml:space="preserve">, pp. 12–13; H. de Lubac, </w:t>
      </w:r>
      <w:r w:rsidRPr="0001029D">
        <w:rPr>
          <w:i/>
          <w:iCs/>
        </w:rPr>
        <w:t xml:space="preserve">Surnaturel: études historiques </w:t>
      </w:r>
      <w:r w:rsidRPr="0001029D">
        <w:rPr>
          <w:iCs/>
        </w:rPr>
        <w:t>(Paris, 1946)</w:t>
      </w:r>
      <w:r w:rsidRPr="0001029D">
        <w:t>, pp. 371–3.</w:t>
      </w:r>
    </w:p>
  </w:endnote>
  <w:endnote w:id="10">
    <w:p w14:paraId="3F4AA855" w14:textId="098DFF8A" w:rsidR="0027490E" w:rsidRPr="0001029D" w:rsidRDefault="0027490E" w:rsidP="00907464">
      <w:pPr>
        <w:pStyle w:val="Footnote"/>
        <w:spacing w:after="120" w:line="480" w:lineRule="auto"/>
      </w:pPr>
      <w:r w:rsidRPr="0001029D">
        <w:rPr>
          <w:vertAlign w:val="superscript"/>
        </w:rPr>
        <w:endnoteRef/>
      </w:r>
      <w:r w:rsidRPr="0001029D">
        <w:t xml:space="preserve"> Thomas Aquinas, </w:t>
      </w:r>
      <w:r w:rsidRPr="0001029D">
        <w:rPr>
          <w:i/>
        </w:rPr>
        <w:t>Summa contra gentiles</w:t>
      </w:r>
      <w:r w:rsidRPr="0001029D">
        <w:t xml:space="preserve"> III.101, </w:t>
      </w:r>
      <w:r w:rsidRPr="0001029D">
        <w:rPr>
          <w:i/>
        </w:rPr>
        <w:t>S. Thomae de Aquino Doctoris Angelici</w:t>
      </w:r>
      <w:r w:rsidRPr="0001029D">
        <w:t xml:space="preserve"> </w:t>
      </w:r>
      <w:r w:rsidRPr="0001029D">
        <w:rPr>
          <w:i/>
        </w:rPr>
        <w:t>Summa Contra Gentiles</w:t>
      </w:r>
      <w:r w:rsidRPr="0001029D">
        <w:t>,</w:t>
      </w:r>
      <w:r w:rsidRPr="0001029D">
        <w:rPr>
          <w:i/>
        </w:rPr>
        <w:t xml:space="preserve"> </w:t>
      </w:r>
      <w:r w:rsidRPr="0001029D">
        <w:t xml:space="preserve">Editio Leonina Manualis (Rome, 1934), p. 349; </w:t>
      </w:r>
      <w:r w:rsidRPr="0001029D">
        <w:rPr>
          <w:i/>
        </w:rPr>
        <w:t xml:space="preserve">De potentia </w:t>
      </w:r>
      <w:r w:rsidRPr="0001029D">
        <w:t xml:space="preserve">VI.2, ed. R. Spiazzi, </w:t>
      </w:r>
      <w:r w:rsidRPr="0001029D">
        <w:rPr>
          <w:i/>
        </w:rPr>
        <w:t>S. Thomae Aquinatis Quaestiones disputatae</w:t>
      </w:r>
      <w:r w:rsidRPr="0001029D">
        <w:t>, 2 vols (Turin, 1949), II, p. 162.</w:t>
      </w:r>
    </w:p>
  </w:endnote>
  <w:endnote w:id="11">
    <w:p w14:paraId="67C825BA" w14:textId="12DDE068" w:rsidR="0027490E" w:rsidRPr="0001029D" w:rsidRDefault="0027490E" w:rsidP="00907464">
      <w:pPr>
        <w:pStyle w:val="Footnote"/>
        <w:spacing w:after="120" w:line="480" w:lineRule="auto"/>
        <w:rPr>
          <w:u w:color="000000"/>
        </w:rPr>
      </w:pPr>
      <w:r w:rsidRPr="0001029D">
        <w:rPr>
          <w:u w:color="000000"/>
          <w:vertAlign w:val="superscript"/>
        </w:rPr>
        <w:endnoteRef/>
      </w:r>
      <w:r w:rsidRPr="0001029D">
        <w:rPr>
          <w:u w:color="000000"/>
        </w:rPr>
        <w:t xml:space="preserve"> Augustine, </w:t>
      </w:r>
      <w:r w:rsidRPr="0001029D">
        <w:rPr>
          <w:i/>
          <w:iCs/>
          <w:u w:color="000000"/>
        </w:rPr>
        <w:t xml:space="preserve">De ciuitate Dei </w:t>
      </w:r>
      <w:r w:rsidRPr="0001029D">
        <w:rPr>
          <w:iCs/>
          <w:u w:color="000000"/>
        </w:rPr>
        <w:t>XXI.</w:t>
      </w:r>
      <w:r w:rsidRPr="0001029D">
        <w:rPr>
          <w:u w:color="000000"/>
        </w:rPr>
        <w:t xml:space="preserve">8, ed. B. Dombart and A. Kalb, 2 vols, CCSL 47–8 (Turnhout, 1955), II, p. 504: ‘Quo modo est enim contra naturam, quod Dei fit voluntate, cum voluntas tanti utique conditoris conditae rei cuiusque natura sit?’; trans. R.W. Dyson, </w:t>
      </w:r>
      <w:r w:rsidRPr="0001029D">
        <w:rPr>
          <w:i/>
          <w:u w:color="000000"/>
        </w:rPr>
        <w:t>Augustine: The City of God against the Pagans</w:t>
      </w:r>
      <w:r w:rsidRPr="0001029D">
        <w:rPr>
          <w:u w:color="000000"/>
        </w:rPr>
        <w:t>, Cambridge Texts in the History of Political Thought (Cambridge, 1998), p. 1061.</w:t>
      </w:r>
      <w:r w:rsidRPr="0001029D">
        <w:rPr>
          <w:vanish/>
          <w:u w:color="000000"/>
        </w:rPr>
        <w:t xml:space="preserve"> tr. ed thing?'o nature which happens by the will of God, since the will of so great a Creator is certainly the nature of every  tr. ed thing?'o nature which happens by the will of God, since the will of so great a Creator is certainly the nature of every</w:t>
      </w:r>
    </w:p>
  </w:endnote>
  <w:endnote w:id="12">
    <w:p w14:paraId="045C514D" w14:textId="6629A6CD"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B. Wenisch, </w:t>
      </w:r>
      <w:r w:rsidRPr="0001029D">
        <w:rPr>
          <w:i/>
          <w:iCs/>
          <w:u w:color="000000"/>
        </w:rPr>
        <w:t xml:space="preserve">Geschichten oder Geschichte?: Theologie des Wunders </w:t>
      </w:r>
      <w:r w:rsidRPr="0001029D">
        <w:rPr>
          <w:iCs/>
          <w:u w:color="000000"/>
        </w:rPr>
        <w:t>(Salzburg, 1981),</w:t>
      </w:r>
      <w:r w:rsidRPr="0001029D">
        <w:rPr>
          <w:i/>
          <w:iCs/>
          <w:u w:color="000000"/>
        </w:rPr>
        <w:t xml:space="preserve"> </w:t>
      </w:r>
      <w:r w:rsidRPr="0001029D">
        <w:rPr>
          <w:u w:color="000000"/>
        </w:rPr>
        <w:t xml:space="preserve">p. 152; J.A. Hardon, ‘The Concept of Miracle from St. Augustine to Modern Apologetics’, </w:t>
      </w:r>
      <w:r w:rsidRPr="0001029D">
        <w:rPr>
          <w:i/>
          <w:iCs/>
          <w:u w:color="000000"/>
        </w:rPr>
        <w:t>Theological Studies</w:t>
      </w:r>
      <w:r w:rsidRPr="0001029D">
        <w:rPr>
          <w:u w:color="000000"/>
        </w:rPr>
        <w:t xml:space="preserve"> 15 (1954), pp. 229–257, at pp. 310–11; B. Ward, </w:t>
      </w:r>
      <w:r w:rsidRPr="0001029D">
        <w:rPr>
          <w:i/>
          <w:iCs/>
          <w:u w:color="000000"/>
        </w:rPr>
        <w:t xml:space="preserve">Miracles and the Medieval </w:t>
      </w:r>
      <w:r w:rsidRPr="0001029D">
        <w:rPr>
          <w:i/>
          <w:iCs/>
          <w:kern w:val="1"/>
        </w:rPr>
        <w:t>Mind</w:t>
      </w:r>
      <w:r w:rsidRPr="0001029D">
        <w:rPr>
          <w:kern w:val="1"/>
        </w:rPr>
        <w:t xml:space="preserve"> (Philadelphia, 1982)</w:t>
      </w:r>
      <w:r w:rsidRPr="0001029D">
        <w:rPr>
          <w:u w:color="000000"/>
        </w:rPr>
        <w:t xml:space="preserve">, pp. 3–4; M.E. Goodich, </w:t>
      </w:r>
      <w:r w:rsidRPr="0001029D">
        <w:rPr>
          <w:i/>
          <w:iCs/>
          <w:kern w:val="1"/>
        </w:rPr>
        <w:t>Miracles and Wonders: The Development of the Concept of Miracle, 1150–1350</w:t>
      </w:r>
      <w:r w:rsidRPr="0001029D">
        <w:rPr>
          <w:kern w:val="1"/>
        </w:rPr>
        <w:t xml:space="preserve"> (Aldershot, 2007)</w:t>
      </w:r>
      <w:r w:rsidRPr="0001029D">
        <w:rPr>
          <w:u w:color="000000"/>
        </w:rPr>
        <w:t>, pp. 13–14; L. Daston, ‘</w:t>
      </w:r>
      <w:r w:rsidRPr="0001029D">
        <w:rPr>
          <w:kern w:val="1"/>
        </w:rPr>
        <w:t xml:space="preserve">Marvelous Facts and Miraculous Evidence in Early Modern Europe’, </w:t>
      </w:r>
      <w:r w:rsidRPr="0001029D">
        <w:rPr>
          <w:i/>
          <w:iCs/>
          <w:kern w:val="1"/>
        </w:rPr>
        <w:t>Critical Inquiry</w:t>
      </w:r>
      <w:r w:rsidRPr="0001029D">
        <w:rPr>
          <w:kern w:val="1"/>
        </w:rPr>
        <w:t xml:space="preserve"> 18 (1991), pp. 93–124</w:t>
      </w:r>
      <w:r w:rsidRPr="0001029D">
        <w:rPr>
          <w:u w:color="000000"/>
        </w:rPr>
        <w:t>, at pp. 95–6.</w:t>
      </w:r>
    </w:p>
  </w:endnote>
  <w:endnote w:id="13">
    <w:p w14:paraId="64A7ACB2" w14:textId="61E97CCA"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Augustine, </w:t>
      </w:r>
      <w:r w:rsidRPr="0001029D">
        <w:rPr>
          <w:i/>
          <w:iCs/>
          <w:u w:color="000000"/>
        </w:rPr>
        <w:t>De ciuitate Dei</w:t>
      </w:r>
      <w:r w:rsidRPr="0001029D">
        <w:rPr>
          <w:iCs/>
          <w:u w:color="000000"/>
        </w:rPr>
        <w:t xml:space="preserve"> </w:t>
      </w:r>
      <w:r w:rsidRPr="0001029D">
        <w:rPr>
          <w:u w:color="000000"/>
        </w:rPr>
        <w:t xml:space="preserve"> XXI.8, ed. Dombart and Kalb, II, p. 504.</w:t>
      </w:r>
    </w:p>
  </w:endnote>
  <w:endnote w:id="14">
    <w:p w14:paraId="0F990B93" w14:textId="17223D3C" w:rsidR="0027490E" w:rsidRPr="0001029D" w:rsidRDefault="0027490E" w:rsidP="00907464">
      <w:pPr>
        <w:pStyle w:val="Footnote"/>
        <w:spacing w:after="120" w:line="480" w:lineRule="auto"/>
        <w:rPr>
          <w:u w:color="000000"/>
        </w:rPr>
      </w:pPr>
      <w:r w:rsidRPr="0001029D">
        <w:rPr>
          <w:u w:color="000000"/>
          <w:vertAlign w:val="superscript"/>
        </w:rPr>
        <w:endnoteRef/>
      </w:r>
      <w:r w:rsidRPr="0001029D">
        <w:rPr>
          <w:u w:color="000000"/>
        </w:rPr>
        <w:t xml:space="preserve"> Augustine, </w:t>
      </w:r>
      <w:r w:rsidRPr="0001029D">
        <w:rPr>
          <w:i/>
          <w:iCs/>
          <w:u w:color="000000"/>
        </w:rPr>
        <w:t>Contra Faustum</w:t>
      </w:r>
      <w:r w:rsidRPr="0001029D">
        <w:rPr>
          <w:u w:color="000000"/>
        </w:rPr>
        <w:t xml:space="preserve"> XXVI.3, ed. J. Zycha, CSEL 25.1 (Vienna, 1891), p. 731.</w:t>
      </w:r>
    </w:p>
  </w:endnote>
  <w:endnote w:id="15">
    <w:p w14:paraId="7D5DB0E2" w14:textId="4AFF5229"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Augustine, </w:t>
      </w:r>
      <w:r w:rsidRPr="0001029D">
        <w:rPr>
          <w:i/>
          <w:iCs/>
          <w:u w:color="000000"/>
        </w:rPr>
        <w:t>De utilitate credendi</w:t>
      </w:r>
      <w:r w:rsidRPr="0001029D">
        <w:rPr>
          <w:u w:color="000000"/>
        </w:rPr>
        <w:t xml:space="preserve"> XVI.34, ed. J. Zycha, CSEL 25.1, p. 43: ‘miraculum uoco quicquid arduum aut insolitum supra spem uel facultatem mirantis adparet’; trans. Hardon in ‘Concept of Miracle’, p. 230.</w:t>
      </w:r>
    </w:p>
  </w:endnote>
  <w:endnote w:id="16">
    <w:p w14:paraId="0E57CDEF" w14:textId="23B52059" w:rsidR="0027490E" w:rsidRPr="0001029D" w:rsidRDefault="0027490E" w:rsidP="00907464">
      <w:pPr>
        <w:pStyle w:val="Footnote"/>
        <w:spacing w:after="120" w:line="480" w:lineRule="auto"/>
        <w:rPr>
          <w:u w:color="000000"/>
        </w:rPr>
      </w:pPr>
      <w:r w:rsidRPr="0001029D">
        <w:rPr>
          <w:u w:color="000000"/>
          <w:vertAlign w:val="superscript"/>
        </w:rPr>
        <w:endnoteRef/>
      </w:r>
      <w:r w:rsidRPr="0001029D">
        <w:rPr>
          <w:u w:color="000000"/>
        </w:rPr>
        <w:t xml:space="preserve"> For background, see MacGinty, ‘The Irish Augustine: </w:t>
      </w:r>
      <w:r w:rsidRPr="0001029D">
        <w:rPr>
          <w:i/>
          <w:iCs/>
          <w:u w:color="000000"/>
        </w:rPr>
        <w:t>De mirabilibus sacrae Scripturae</w:t>
      </w:r>
      <w:r w:rsidRPr="0001029D">
        <w:rPr>
          <w:u w:color="000000"/>
        </w:rPr>
        <w:t xml:space="preserve">’, in P. Ní Chatháin and M. Richter (eds), </w:t>
      </w:r>
      <w:r w:rsidRPr="0001029D">
        <w:rPr>
          <w:i/>
          <w:iCs/>
          <w:u w:color="000000"/>
        </w:rPr>
        <w:t>Irland und die Christenheit: Bibelstudien und Mission. Ireland and Christendom: The Bible and the Missions</w:t>
      </w:r>
      <w:r w:rsidRPr="0001029D">
        <w:rPr>
          <w:u w:color="000000"/>
        </w:rPr>
        <w:t xml:space="preserve"> (Stuttgart, 1987), pp. 70–83.</w:t>
      </w:r>
    </w:p>
  </w:endnote>
  <w:endnote w:id="17">
    <w:p w14:paraId="5983F8CE" w14:textId="61553740" w:rsidR="0027490E" w:rsidRPr="0001029D" w:rsidRDefault="0027490E" w:rsidP="00907464">
      <w:pPr>
        <w:pStyle w:val="Footnote"/>
        <w:spacing w:after="120" w:line="480" w:lineRule="auto"/>
      </w:pPr>
      <w:r w:rsidRPr="0001029D">
        <w:rPr>
          <w:vertAlign w:val="superscript"/>
        </w:rPr>
        <w:endnoteRef/>
      </w:r>
      <w:r w:rsidRPr="0001029D">
        <w:t xml:space="preserve"> M.F. Wiles, ‘Miracles in the Early Church</w:t>
      </w:r>
      <w:r w:rsidRPr="0001029D">
        <w:rPr>
          <w:lang w:val="fr-FR"/>
        </w:rPr>
        <w:t>’</w:t>
      </w:r>
      <w:r w:rsidRPr="0001029D">
        <w:t xml:space="preserve"> in C.F.D. Moule (ed.), </w:t>
      </w:r>
      <w:r w:rsidRPr="0001029D">
        <w:rPr>
          <w:i/>
        </w:rPr>
        <w:t>Miracles: Cambridge Studies in their Philosophy and History</w:t>
      </w:r>
      <w:r w:rsidR="005814E6" w:rsidRPr="0001029D">
        <w:t xml:space="preserve"> (London, 1965), pp. 219–34.</w:t>
      </w:r>
    </w:p>
  </w:endnote>
  <w:endnote w:id="18">
    <w:p w14:paraId="36ECCC68" w14:textId="76A6C1C8" w:rsidR="0027490E" w:rsidRPr="0001029D" w:rsidRDefault="0027490E" w:rsidP="00907464">
      <w:pPr>
        <w:pStyle w:val="Footnote"/>
        <w:spacing w:after="120" w:line="480" w:lineRule="auto"/>
      </w:pPr>
      <w:r w:rsidRPr="0001029D">
        <w:rPr>
          <w:vertAlign w:val="superscript"/>
        </w:rPr>
        <w:endnoteRef/>
      </w:r>
      <w:r w:rsidRPr="0001029D">
        <w:t xml:space="preserve"> G.R. Evans, </w:t>
      </w:r>
      <w:r w:rsidRPr="0001029D">
        <w:rPr>
          <w:i/>
          <w:iCs/>
          <w:kern w:val="1"/>
        </w:rPr>
        <w:t>The Thought of Gregory the Great</w:t>
      </w:r>
      <w:r w:rsidRPr="0001029D">
        <w:rPr>
          <w:kern w:val="1"/>
        </w:rPr>
        <w:t xml:space="preserve"> (Cambridge, 1986)</w:t>
      </w:r>
      <w:r w:rsidRPr="0001029D">
        <w:t>, p. 47.</w:t>
      </w:r>
    </w:p>
  </w:endnote>
  <w:endnote w:id="19">
    <w:p w14:paraId="356A75E4" w14:textId="3AF3E612" w:rsidR="0027490E" w:rsidRPr="0001029D" w:rsidRDefault="0027490E" w:rsidP="00907464">
      <w:pPr>
        <w:pStyle w:val="Footnote"/>
        <w:spacing w:after="120" w:line="480" w:lineRule="auto"/>
      </w:pPr>
      <w:r w:rsidRPr="0001029D">
        <w:rPr>
          <w:vertAlign w:val="superscript"/>
        </w:rPr>
        <w:endnoteRef/>
      </w:r>
      <w:r w:rsidRPr="0001029D">
        <w:t xml:space="preserve"> Gregory, </w:t>
      </w:r>
      <w:r w:rsidRPr="0001029D">
        <w:rPr>
          <w:i/>
          <w:iCs/>
        </w:rPr>
        <w:t>Moralia in Iob</w:t>
      </w:r>
      <w:r w:rsidRPr="0001029D">
        <w:t xml:space="preserve"> VI.xv.18, ed. M. Adriaen, CCSL 143 (Turnhout, 1979), pp. 295–6.</w:t>
      </w:r>
    </w:p>
  </w:endnote>
  <w:endnote w:id="20">
    <w:p w14:paraId="503989F0" w14:textId="784CEAAE" w:rsidR="0027490E" w:rsidRPr="0001029D" w:rsidRDefault="0027490E" w:rsidP="00907464">
      <w:pPr>
        <w:pStyle w:val="Footnote"/>
        <w:spacing w:after="120" w:line="480" w:lineRule="auto"/>
      </w:pPr>
      <w:r w:rsidRPr="0001029D">
        <w:rPr>
          <w:vertAlign w:val="superscript"/>
        </w:rPr>
        <w:endnoteRef/>
      </w:r>
      <w:r w:rsidRPr="0001029D">
        <w:t xml:space="preserve"> Daston, ‘Miraculous Evidence’, pp. 96–8.</w:t>
      </w:r>
    </w:p>
  </w:endnote>
  <w:endnote w:id="21">
    <w:p w14:paraId="4A6D9B6C" w14:textId="43495F22" w:rsidR="0027490E" w:rsidRPr="0001029D" w:rsidRDefault="0027490E" w:rsidP="00907464">
      <w:pPr>
        <w:pStyle w:val="Footnote"/>
        <w:spacing w:after="120" w:line="480" w:lineRule="auto"/>
      </w:pPr>
      <w:r w:rsidRPr="0001029D">
        <w:rPr>
          <w:vertAlign w:val="superscript"/>
        </w:rPr>
        <w:endnoteRef/>
      </w:r>
      <w:r w:rsidRPr="0001029D">
        <w:rPr>
          <w:rFonts w:eastAsia="Arial Unicode MS"/>
        </w:rPr>
        <w:t xml:space="preserve"> Wiles, ‘Miracles in the Early Church’, pp. 232–3.</w:t>
      </w:r>
    </w:p>
  </w:endnote>
  <w:endnote w:id="22">
    <w:p w14:paraId="69F052E7" w14:textId="0D9A92B2" w:rsidR="0027490E" w:rsidRPr="0001029D" w:rsidRDefault="0027490E" w:rsidP="00907464">
      <w:pPr>
        <w:pStyle w:val="Footnote"/>
        <w:spacing w:after="120" w:line="480" w:lineRule="auto"/>
      </w:pPr>
      <w:r w:rsidRPr="0001029D">
        <w:rPr>
          <w:vertAlign w:val="superscript"/>
        </w:rPr>
        <w:endnoteRef/>
      </w:r>
      <w:r w:rsidRPr="0001029D">
        <w:rPr>
          <w:rFonts w:eastAsia="Arial Unicode MS"/>
        </w:rPr>
        <w:t xml:space="preserve"> J. Carey, ‘The Nature of Miracles in Early Irish Saints’ Lives’, in A.K. Siewers (ed.) </w:t>
      </w:r>
      <w:r w:rsidRPr="0001029D">
        <w:rPr>
          <w:rFonts w:eastAsia="Arial Unicode MS"/>
          <w:i/>
        </w:rPr>
        <w:t>Re-Imagining Nature: Environmental Humanities and Ecosemiotics</w:t>
      </w:r>
      <w:r w:rsidRPr="0001029D">
        <w:rPr>
          <w:rFonts w:eastAsia="Arial Unicode MS"/>
        </w:rPr>
        <w:t xml:space="preserve"> (Lanham, MD, 2014), pp. 127–139.</w:t>
      </w:r>
    </w:p>
  </w:endnote>
  <w:endnote w:id="23">
    <w:p w14:paraId="43A94B7F" w14:textId="32BFCDF2" w:rsidR="0027490E" w:rsidRPr="0001029D" w:rsidRDefault="0027490E" w:rsidP="00907464">
      <w:pPr>
        <w:pStyle w:val="Footnote"/>
        <w:spacing w:after="120" w:line="480" w:lineRule="auto"/>
      </w:pPr>
      <w:r w:rsidRPr="0001029D">
        <w:rPr>
          <w:vertAlign w:val="superscript"/>
        </w:rPr>
        <w:endnoteRef/>
      </w:r>
      <w:r w:rsidRPr="0001029D">
        <w:rPr>
          <w:rFonts w:eastAsia="Arial Unicode MS"/>
        </w:rPr>
        <w:t xml:space="preserve"> Bartlett, </w:t>
      </w:r>
      <w:r w:rsidRPr="0001029D">
        <w:rPr>
          <w:rFonts w:eastAsia="Arial Unicode MS"/>
          <w:i/>
        </w:rPr>
        <w:t>The</w:t>
      </w:r>
      <w:r w:rsidRPr="0001029D">
        <w:rPr>
          <w:rFonts w:eastAsia="Arial Unicode MS"/>
        </w:rPr>
        <w:t xml:space="preserve"> </w:t>
      </w:r>
      <w:r w:rsidRPr="0001029D">
        <w:rPr>
          <w:rFonts w:eastAsia="Arial Unicode MS"/>
          <w:i/>
          <w:iCs/>
        </w:rPr>
        <w:t>Natural and the Supernatural</w:t>
      </w:r>
      <w:r w:rsidRPr="0001029D">
        <w:rPr>
          <w:rFonts w:eastAsia="Arial Unicode MS"/>
        </w:rPr>
        <w:t>, pp. 62–3.</w:t>
      </w:r>
    </w:p>
  </w:endnote>
  <w:endnote w:id="24">
    <w:p w14:paraId="50C23056" w14:textId="3A7824EF" w:rsidR="0027490E" w:rsidRPr="0001029D" w:rsidRDefault="0027490E" w:rsidP="00907464">
      <w:pPr>
        <w:pStyle w:val="Footnote"/>
        <w:spacing w:after="120" w:line="480" w:lineRule="auto"/>
        <w:rPr>
          <w:u w:color="000000"/>
        </w:rPr>
      </w:pPr>
      <w:r w:rsidRPr="0001029D">
        <w:rPr>
          <w:kern w:val="2"/>
          <w:u w:color="000000"/>
          <w:vertAlign w:val="superscript"/>
        </w:rPr>
        <w:endnoteRef/>
      </w:r>
      <w:r w:rsidRPr="0001029D">
        <w:rPr>
          <w:u w:color="000000"/>
        </w:rPr>
        <w:t xml:space="preserve"> G. de Nie, ‘Roses in January: a Neglected Dimension in Gregory of Tours’ </w:t>
      </w:r>
      <w:r w:rsidRPr="0001029D">
        <w:rPr>
          <w:i/>
          <w:u w:color="000000"/>
        </w:rPr>
        <w:t>Historiae</w:t>
      </w:r>
      <w:r w:rsidRPr="0001029D">
        <w:rPr>
          <w:u w:color="000000"/>
        </w:rPr>
        <w:t xml:space="preserve">’, </w:t>
      </w:r>
      <w:r w:rsidRPr="0001029D">
        <w:rPr>
          <w:i/>
          <w:u w:color="000000"/>
        </w:rPr>
        <w:t>Journal of Medieval History</w:t>
      </w:r>
      <w:r w:rsidRPr="0001029D">
        <w:rPr>
          <w:u w:color="000000"/>
        </w:rPr>
        <w:t xml:space="preserve"> 5 (1979), pp. 259–89; repr. with revisions in G. de Nie, </w:t>
      </w:r>
      <w:r w:rsidRPr="0001029D">
        <w:rPr>
          <w:i/>
          <w:u w:color="000000"/>
        </w:rPr>
        <w:t>Views from a Many-windowed Tower: Studies of Imagination in the Works of Gregory of Tours</w:t>
      </w:r>
      <w:r w:rsidRPr="0001029D">
        <w:rPr>
          <w:u w:color="000000"/>
        </w:rPr>
        <w:t xml:space="preserve"> (Amsterdam, 1987), pp. 27–69.</w:t>
      </w:r>
    </w:p>
  </w:endnote>
  <w:endnote w:id="25">
    <w:p w14:paraId="44C52DFB" w14:textId="78661F97" w:rsidR="0027490E" w:rsidRPr="0001029D" w:rsidRDefault="0027490E" w:rsidP="00907464">
      <w:pPr>
        <w:pStyle w:val="Footnote"/>
        <w:spacing w:after="120" w:line="480" w:lineRule="auto"/>
      </w:pPr>
      <w:r w:rsidRPr="0001029D">
        <w:rPr>
          <w:kern w:val="2"/>
          <w:u w:color="000000"/>
          <w:vertAlign w:val="superscript"/>
        </w:rPr>
        <w:endnoteRef/>
      </w:r>
      <w:r w:rsidRPr="0001029D">
        <w:rPr>
          <w:u w:color="000000"/>
        </w:rPr>
        <w:t xml:space="preserve"> De Nie, ‘Roses in January’, pp. 38, 40, 48.</w:t>
      </w:r>
    </w:p>
  </w:endnote>
  <w:endnote w:id="26">
    <w:p w14:paraId="5B81CEBF" w14:textId="251F4559" w:rsidR="0027490E" w:rsidRPr="0001029D" w:rsidRDefault="0027490E" w:rsidP="00907464">
      <w:pPr>
        <w:pStyle w:val="Footnote"/>
        <w:spacing w:after="120" w:line="480" w:lineRule="auto"/>
      </w:pPr>
      <w:r w:rsidRPr="0001029D">
        <w:rPr>
          <w:vertAlign w:val="superscript"/>
        </w:rPr>
        <w:endnoteRef/>
      </w:r>
      <w:r w:rsidRPr="0001029D">
        <w:t xml:space="preserve"> E. James, ‘A Sense of Wonder: Gregory of Tours, Medicine and Science’, in M.A. Meyer (ed.), </w:t>
      </w:r>
      <w:r w:rsidRPr="0001029D">
        <w:rPr>
          <w:i/>
          <w:iCs/>
        </w:rPr>
        <w:t>The Culture of Christendom: Essays in Medieval History in Memory of Denis L.T. Bethel</w:t>
      </w:r>
      <w:r w:rsidRPr="0001029D">
        <w:t xml:space="preserve"> (London, 1993), pp. 45–60, at p. 60.</w:t>
      </w:r>
    </w:p>
  </w:endnote>
  <w:endnote w:id="27">
    <w:p w14:paraId="1DE56A0D" w14:textId="396550E2"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McCready, </w:t>
      </w:r>
      <w:r w:rsidRPr="0001029D">
        <w:rPr>
          <w:i/>
          <w:iCs/>
          <w:u w:color="000000"/>
        </w:rPr>
        <w:t>Miracles</w:t>
      </w:r>
      <w:r w:rsidRPr="0001029D">
        <w:rPr>
          <w:u w:color="000000"/>
        </w:rPr>
        <w:t>, p. 43.</w:t>
      </w:r>
    </w:p>
  </w:endnote>
  <w:endnote w:id="28">
    <w:p w14:paraId="05224773" w14:textId="38E01C3E"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McCready, </w:t>
      </w:r>
      <w:r w:rsidRPr="0001029D">
        <w:rPr>
          <w:i/>
          <w:iCs/>
          <w:u w:color="000000"/>
        </w:rPr>
        <w:t>Miracles</w:t>
      </w:r>
      <w:r w:rsidRPr="0001029D">
        <w:rPr>
          <w:u w:color="000000"/>
        </w:rPr>
        <w:t>, p. 47, n. 9.</w:t>
      </w:r>
    </w:p>
  </w:endnote>
  <w:endnote w:id="29">
    <w:p w14:paraId="21498B95" w14:textId="2AF079E1" w:rsidR="0027490E" w:rsidRPr="0001029D" w:rsidRDefault="0027490E" w:rsidP="00907464">
      <w:pPr>
        <w:pStyle w:val="Footnote"/>
        <w:spacing w:after="120" w:line="480" w:lineRule="auto"/>
      </w:pPr>
      <w:r w:rsidRPr="0001029D">
        <w:rPr>
          <w:vertAlign w:val="superscript"/>
        </w:rPr>
        <w:endnoteRef/>
      </w:r>
      <w:r w:rsidRPr="0001029D">
        <w:t xml:space="preserve"> As in McCready, </w:t>
      </w:r>
      <w:r w:rsidRPr="0001029D">
        <w:rPr>
          <w:i/>
        </w:rPr>
        <w:t>Miracles</w:t>
      </w:r>
      <w:r w:rsidRPr="0001029D">
        <w:t xml:space="preserve">, p. 20–1; Ward, ‘Miracles and History’, p. 71; Creider, ‘Bede’s Understanding of the Miraculous’, </w:t>
      </w:r>
      <w:r w:rsidRPr="0001029D">
        <w:rPr>
          <w:i/>
        </w:rPr>
        <w:t>passim</w:t>
      </w:r>
      <w:r w:rsidRPr="0001029D">
        <w:t xml:space="preserve">. The most convincing analysis of this idea, to my mind, is found in a discussion of Bede’s science: F. Wallis, </w:t>
      </w:r>
      <w:r w:rsidRPr="0001029D">
        <w:rPr>
          <w:u w:color="000000"/>
        </w:rPr>
        <w:t>‘</w:t>
      </w:r>
      <w:r w:rsidRPr="0001029D">
        <w:rPr>
          <w:i/>
          <w:iCs/>
          <w:kern w:val="1"/>
        </w:rPr>
        <w:t>Si Naturam Quaeras</w:t>
      </w:r>
      <w:r w:rsidRPr="0001029D">
        <w:rPr>
          <w:kern w:val="1"/>
        </w:rPr>
        <w:t xml:space="preserve">: Reframing Bede’s ‘Science’’, in S. DeGregorio (ed.), </w:t>
      </w:r>
      <w:r w:rsidRPr="0001029D">
        <w:rPr>
          <w:i/>
          <w:iCs/>
          <w:kern w:val="1"/>
        </w:rPr>
        <w:t>Innovation and Tradition in the Writings of the Venerable Bede</w:t>
      </w:r>
      <w:r w:rsidRPr="0001029D">
        <w:rPr>
          <w:kern w:val="1"/>
        </w:rPr>
        <w:t xml:space="preserve"> (Morgantown, WV, 2006), pp. 65–99</w:t>
      </w:r>
      <w:r w:rsidRPr="0001029D">
        <w:rPr>
          <w:u w:color="000000"/>
        </w:rPr>
        <w:t>, at p. 93–6.</w:t>
      </w:r>
    </w:p>
  </w:endnote>
  <w:endnote w:id="30">
    <w:p w14:paraId="33134053" w14:textId="692CF182" w:rsidR="0027490E" w:rsidRPr="0001029D" w:rsidRDefault="0027490E" w:rsidP="00907464">
      <w:pPr>
        <w:pStyle w:val="Footnote"/>
        <w:spacing w:after="120" w:line="480" w:lineRule="auto"/>
      </w:pPr>
      <w:r w:rsidRPr="0001029D">
        <w:rPr>
          <w:vertAlign w:val="superscript"/>
        </w:rPr>
        <w:endnoteRef/>
      </w:r>
      <w:r w:rsidRPr="0001029D">
        <w:t xml:space="preserve"> Loomis, ‘The Miracle Traditions of the Venerable Bede’, p. 404; Rosenthal, ‘Bede’s Use of Miracles’, p. 329; Lutterkort, ‘Beda Hagiographicus’, p. 94 (but note Lutterkort’s comments on the difficulty of defining miracles).</w:t>
      </w:r>
    </w:p>
  </w:endnote>
  <w:endnote w:id="31">
    <w:p w14:paraId="20234978" w14:textId="77777777" w:rsidR="003167B5" w:rsidRPr="0001029D" w:rsidRDefault="003167B5" w:rsidP="003167B5">
      <w:pPr>
        <w:pStyle w:val="Footnote"/>
        <w:spacing w:after="120" w:line="480" w:lineRule="auto"/>
      </w:pPr>
      <w:r w:rsidRPr="0001029D">
        <w:rPr>
          <w:u w:color="000000"/>
          <w:vertAlign w:val="superscript"/>
        </w:rPr>
        <w:endnoteRef/>
      </w:r>
      <w:r w:rsidRPr="0001029D">
        <w:rPr>
          <w:u w:color="000000"/>
        </w:rPr>
        <w:t xml:space="preserve"> Ward, ‘Miracles and History’, pp. 71–2.</w:t>
      </w:r>
    </w:p>
  </w:endnote>
  <w:endnote w:id="32">
    <w:p w14:paraId="08CEE738" w14:textId="77777777" w:rsidR="00027E38" w:rsidRPr="0001029D" w:rsidRDefault="00027E38" w:rsidP="00907464">
      <w:pPr>
        <w:pStyle w:val="Footnote"/>
        <w:spacing w:after="120" w:line="480" w:lineRule="auto"/>
      </w:pPr>
      <w:r w:rsidRPr="0001029D">
        <w:rPr>
          <w:vertAlign w:val="superscript"/>
        </w:rPr>
        <w:endnoteRef/>
      </w:r>
      <w:r w:rsidRPr="0001029D">
        <w:t xml:space="preserve"> Creider, ‘Bede’s Understanding of the Miraculous’, pp. 166–71</w:t>
      </w:r>
    </w:p>
  </w:endnote>
  <w:endnote w:id="33">
    <w:p w14:paraId="64944E73" w14:textId="34BCF513" w:rsidR="0027490E" w:rsidRPr="0001029D" w:rsidRDefault="0027490E" w:rsidP="00907464">
      <w:pPr>
        <w:pStyle w:val="EndnoteText"/>
        <w:spacing w:after="120" w:line="480" w:lineRule="auto"/>
        <w:jc w:val="both"/>
        <w:rPr>
          <w:sz w:val="20"/>
          <w:szCs w:val="20"/>
          <w:lang w:val="en-IE"/>
        </w:rPr>
      </w:pPr>
      <w:r w:rsidRPr="0001029D">
        <w:rPr>
          <w:rStyle w:val="EndnoteReference"/>
          <w:sz w:val="20"/>
          <w:szCs w:val="20"/>
        </w:rPr>
        <w:endnoteRef/>
      </w:r>
      <w:r w:rsidRPr="0001029D">
        <w:rPr>
          <w:sz w:val="20"/>
          <w:szCs w:val="20"/>
        </w:rPr>
        <w:t xml:space="preserve"> Bede, </w:t>
      </w:r>
      <w:r w:rsidRPr="0001029D">
        <w:rPr>
          <w:i/>
          <w:iCs/>
          <w:sz w:val="20"/>
          <w:szCs w:val="20"/>
        </w:rPr>
        <w:t>In Genesim</w:t>
      </w:r>
      <w:r w:rsidRPr="0001029D">
        <w:rPr>
          <w:sz w:val="20"/>
          <w:szCs w:val="20"/>
        </w:rPr>
        <w:t xml:space="preserve"> (henceforth </w:t>
      </w:r>
      <w:r w:rsidRPr="0001029D">
        <w:rPr>
          <w:i/>
          <w:sz w:val="20"/>
          <w:szCs w:val="20"/>
        </w:rPr>
        <w:t>IG</w:t>
      </w:r>
      <w:r w:rsidRPr="0001029D">
        <w:rPr>
          <w:sz w:val="20"/>
          <w:szCs w:val="20"/>
        </w:rPr>
        <w:t>) II.1, ed. C.W. Jones, CCSL 118A (Turnhout, 1967), p. 10.</w:t>
      </w:r>
    </w:p>
  </w:endnote>
  <w:endnote w:id="34">
    <w:p w14:paraId="20E57FB8" w14:textId="77777777" w:rsidR="00D64154" w:rsidRPr="0001029D" w:rsidRDefault="00D64154" w:rsidP="00907464">
      <w:pPr>
        <w:pStyle w:val="EndnoteText"/>
        <w:spacing w:after="120" w:line="480" w:lineRule="auto"/>
        <w:jc w:val="both"/>
        <w:rPr>
          <w:sz w:val="20"/>
          <w:szCs w:val="20"/>
        </w:rPr>
      </w:pPr>
      <w:r w:rsidRPr="0001029D">
        <w:rPr>
          <w:rStyle w:val="EndnoteReference"/>
          <w:sz w:val="20"/>
          <w:szCs w:val="20"/>
        </w:rPr>
        <w:endnoteRef/>
      </w:r>
      <w:r w:rsidRPr="0001029D">
        <w:rPr>
          <w:sz w:val="20"/>
          <w:szCs w:val="20"/>
        </w:rPr>
        <w:t xml:space="preserve"> </w:t>
      </w:r>
      <w:r w:rsidRPr="0001029D">
        <w:rPr>
          <w:sz w:val="20"/>
          <w:szCs w:val="20"/>
          <w:lang w:val="en-IE"/>
        </w:rPr>
        <w:t xml:space="preserve">Bede, </w:t>
      </w:r>
      <w:r w:rsidRPr="0001029D">
        <w:rPr>
          <w:i/>
          <w:sz w:val="20"/>
          <w:szCs w:val="20"/>
          <w:lang w:val="en-IE"/>
        </w:rPr>
        <w:t xml:space="preserve">IG </w:t>
      </w:r>
      <w:r w:rsidRPr="0001029D">
        <w:rPr>
          <w:sz w:val="20"/>
          <w:szCs w:val="20"/>
          <w:lang w:val="en-IE"/>
        </w:rPr>
        <w:t>II.1, ed. Jones, p. 11: ‘</w:t>
      </w:r>
      <w:r w:rsidRPr="0001029D">
        <w:rPr>
          <w:sz w:val="20"/>
          <w:szCs w:val="20"/>
        </w:rPr>
        <w:t>numquid maioris hoc miraculi est quam quod ipsam terrae molem, ut scriptura dicit, appendit in nihilo?’</w:t>
      </w:r>
      <w:r w:rsidRPr="0001029D">
        <w:rPr>
          <w:sz w:val="20"/>
          <w:szCs w:val="20"/>
          <w:lang w:val="en-IE"/>
        </w:rPr>
        <w:t xml:space="preserve">; trans. Kendall, </w:t>
      </w:r>
      <w:r w:rsidRPr="0001029D">
        <w:rPr>
          <w:i/>
          <w:sz w:val="20"/>
          <w:szCs w:val="20"/>
          <w:lang w:val="en-IE"/>
        </w:rPr>
        <w:t>On Genesis</w:t>
      </w:r>
      <w:r w:rsidRPr="0001029D">
        <w:rPr>
          <w:sz w:val="20"/>
          <w:szCs w:val="20"/>
          <w:lang w:val="en-IE"/>
        </w:rPr>
        <w:t>, p. 76.</w:t>
      </w:r>
      <w:r w:rsidRPr="0001029D">
        <w:rPr>
          <w:sz w:val="20"/>
          <w:szCs w:val="20"/>
        </w:rPr>
        <w:t xml:space="preserve"> </w:t>
      </w:r>
    </w:p>
  </w:endnote>
  <w:endnote w:id="35">
    <w:p w14:paraId="43427635" w14:textId="6470C7BF" w:rsidR="0027490E" w:rsidRPr="0001029D" w:rsidRDefault="0027490E" w:rsidP="00907464">
      <w:pPr>
        <w:pStyle w:val="Footnote"/>
        <w:spacing w:after="120" w:line="480" w:lineRule="auto"/>
      </w:pPr>
      <w:r w:rsidRPr="0001029D">
        <w:rPr>
          <w:vertAlign w:val="superscript"/>
        </w:rPr>
        <w:endnoteRef/>
      </w:r>
      <w:r w:rsidRPr="0001029D">
        <w:rPr>
          <w:rFonts w:eastAsia="Arial Unicode MS"/>
        </w:rPr>
        <w:t xml:space="preserve"> Bede, </w:t>
      </w:r>
      <w:r w:rsidRPr="0001029D">
        <w:rPr>
          <w:rFonts w:eastAsia="Arial Unicode MS"/>
          <w:i/>
        </w:rPr>
        <w:t>Hom</w:t>
      </w:r>
      <w:r w:rsidRPr="0001029D">
        <w:rPr>
          <w:rFonts w:eastAsia="Arial Unicode MS"/>
        </w:rPr>
        <w:t>. II.2,</w:t>
      </w:r>
      <w:r w:rsidRPr="0001029D">
        <w:t xml:space="preserve"> ed. D. Hurst, CCSL 122B (Turnhout, 1955), </w:t>
      </w:r>
      <w:r w:rsidRPr="0001029D">
        <w:rPr>
          <w:rFonts w:eastAsia="Arial Unicode MS"/>
        </w:rPr>
        <w:t xml:space="preserve">p. 196: ‘qui educit panem de terra et uino laetificat cor hominis’; trans. L.T. Martin and D. Hurst, </w:t>
      </w:r>
      <w:r w:rsidRPr="0001029D">
        <w:rPr>
          <w:rFonts w:eastAsia="Arial Unicode MS"/>
          <w:i/>
        </w:rPr>
        <w:t>Bede the Venerable: Homilies on the Gospels, Book Two, Lent to the Dedication of the Church</w:t>
      </w:r>
      <w:r w:rsidRPr="0001029D">
        <w:rPr>
          <w:rFonts w:eastAsia="Arial Unicode MS"/>
        </w:rPr>
        <w:t xml:space="preserve"> (Kalamazoo, MI, 1991), p. 17.</w:t>
      </w:r>
    </w:p>
  </w:endnote>
  <w:endnote w:id="36">
    <w:p w14:paraId="67BD9C34" w14:textId="0052FA19"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Bede, </w:t>
      </w:r>
      <w:r w:rsidRPr="0001029D">
        <w:rPr>
          <w:i/>
          <w:iCs/>
          <w:u w:color="000000"/>
        </w:rPr>
        <w:t>Historia ecclesiatica</w:t>
      </w:r>
      <w:r w:rsidRPr="0001029D">
        <w:rPr>
          <w:iCs/>
          <w:u w:color="000000"/>
        </w:rPr>
        <w:t xml:space="preserve"> (henceforth </w:t>
      </w:r>
      <w:r w:rsidRPr="0001029D">
        <w:rPr>
          <w:i/>
          <w:iCs/>
          <w:u w:color="000000"/>
        </w:rPr>
        <w:t>HE</w:t>
      </w:r>
      <w:r w:rsidRPr="0001029D">
        <w:rPr>
          <w:iCs/>
          <w:u w:color="000000"/>
        </w:rPr>
        <w:t>)</w:t>
      </w:r>
      <w:r w:rsidRPr="0001029D">
        <w:rPr>
          <w:u w:color="000000"/>
        </w:rPr>
        <w:t xml:space="preserve"> IV.3, </w:t>
      </w:r>
      <w:r w:rsidRPr="0001029D">
        <w:t>ed. and trans. Colgrave and Mynors</w:t>
      </w:r>
      <w:r w:rsidRPr="0001029D">
        <w:rPr>
          <w:u w:color="000000"/>
        </w:rPr>
        <w:t>, pp. 342–5: ‘“Non legistis, quia ‘intonuit de caelo Dominus, et Altissimus dedit uocem suam; misit sagittas suas, et dissipauit eos, fulgora multiplicauit, et conturbauit eos?’ Mouet enim aera Dominus, uentos excitat, iaculatur fulgora, de caelo intonat, ut terrigenas ad timendum se suscitet, ut corda eorum in memoriam futuri iudicii reuocet, ut superbiam eorum dissipet, et conturbet audaciam, reducto ad mentem tremendo illo tempore, quando ipse caelis ac terris ardentibus uenturus est in nubibus, in potestate magna et maiestate, ad iudicandos uiuos et mortuos. Propter quod,” inquit, “oportet nos admonitioni eius caelesti, debito cum timore et amore respondere; ut, quoties aere commoto manum quasi ad feriendum minitans exerit, nec adhuc tamen percutit, mox inploremus eius misericordiam, et discussis penetralibus cordis nostri, atque expurgatis uitiorum ruderibus, solliciti, ne umquam percuti mereamur, agamus”.’</w:t>
      </w:r>
    </w:p>
  </w:endnote>
  <w:endnote w:id="37">
    <w:p w14:paraId="701E65A2" w14:textId="63DF8951"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Bede, </w:t>
      </w:r>
      <w:r w:rsidRPr="0001029D">
        <w:rPr>
          <w:i/>
          <w:iCs/>
          <w:u w:color="000000"/>
        </w:rPr>
        <w:t xml:space="preserve">In Ezram et Neemiam </w:t>
      </w:r>
      <w:r w:rsidRPr="0001029D">
        <w:rPr>
          <w:u w:color="000000"/>
        </w:rPr>
        <w:t xml:space="preserve">II.1796–1801, ed. D. Hurst, CCSL 119A (Turnhout, 1969), p. 332: ‘turbatis licet elementis et uel uentorum fragore uel inundantia pluuiarum uel niuium aceruis uel ardore siccitatis uel etiam exitio hominum siue animalium desuper ingrauescente atque ipso iudice per aperta indicia uim suae irae minitante’; trans. S. DeGregorio, </w:t>
      </w:r>
      <w:r w:rsidRPr="0001029D">
        <w:rPr>
          <w:i/>
          <w:iCs/>
          <w:u w:color="000000"/>
        </w:rPr>
        <w:t>Bede: On Ezra and Nehemiah</w:t>
      </w:r>
      <w:r w:rsidRPr="0001029D">
        <w:rPr>
          <w:u w:color="000000"/>
        </w:rPr>
        <w:t>, Translated Texts for Historians 47 (Liverpool, 2006), p. 146.</w:t>
      </w:r>
    </w:p>
  </w:endnote>
  <w:endnote w:id="38">
    <w:p w14:paraId="592DE386" w14:textId="51D5A995" w:rsidR="0027490E" w:rsidRPr="0001029D" w:rsidRDefault="0027490E" w:rsidP="00907464">
      <w:pPr>
        <w:pStyle w:val="Footnote"/>
        <w:spacing w:after="120" w:line="480" w:lineRule="auto"/>
        <w:rPr>
          <w:highlight w:val="yellow"/>
          <w:u w:color="000000"/>
        </w:rPr>
      </w:pPr>
      <w:r w:rsidRPr="0001029D">
        <w:rPr>
          <w:u w:color="000000"/>
          <w:vertAlign w:val="superscript"/>
        </w:rPr>
        <w:endnoteRef/>
      </w:r>
      <w:r w:rsidRPr="0001029D">
        <w:rPr>
          <w:u w:color="000000"/>
        </w:rPr>
        <w:t xml:space="preserve"> Bede, </w:t>
      </w:r>
      <w:r w:rsidRPr="0001029D">
        <w:rPr>
          <w:i/>
          <w:iCs/>
          <w:u w:color="000000"/>
        </w:rPr>
        <w:t xml:space="preserve">De natura rerum </w:t>
      </w:r>
      <w:r w:rsidRPr="0001029D">
        <w:rPr>
          <w:iCs/>
          <w:u w:color="000000"/>
        </w:rPr>
        <w:t xml:space="preserve">(henceforth </w:t>
      </w:r>
      <w:r w:rsidRPr="0001029D">
        <w:rPr>
          <w:i/>
          <w:iCs/>
          <w:u w:color="000000"/>
        </w:rPr>
        <w:t>DNR</w:t>
      </w:r>
      <w:r w:rsidRPr="0001029D">
        <w:rPr>
          <w:iCs/>
          <w:u w:color="000000"/>
        </w:rPr>
        <w:t>)</w:t>
      </w:r>
      <w:r w:rsidRPr="0001029D">
        <w:rPr>
          <w:u w:color="000000"/>
        </w:rPr>
        <w:t xml:space="preserve">, chs 26–30, </w:t>
      </w:r>
      <w:r w:rsidRPr="0001029D">
        <w:t>ed. C.W. Jones, CCSL 123B (Turnhout, 1977)</w:t>
      </w:r>
      <w:r w:rsidRPr="0001029D">
        <w:rPr>
          <w:u w:color="000000"/>
        </w:rPr>
        <w:t>, pp. 217–20).</w:t>
      </w:r>
    </w:p>
  </w:endnote>
  <w:endnote w:id="39">
    <w:p w14:paraId="507E6644" w14:textId="40805ABC"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Bede, </w:t>
      </w:r>
      <w:r w:rsidRPr="0001029D">
        <w:rPr>
          <w:i/>
          <w:iCs/>
          <w:u w:color="000000"/>
        </w:rPr>
        <w:t>DNR</w:t>
      </w:r>
      <w:r w:rsidRPr="0001029D">
        <w:rPr>
          <w:u w:color="000000"/>
        </w:rPr>
        <w:t>, ch. 31, ed. Jones, pp. 220–1.</w:t>
      </w:r>
    </w:p>
  </w:endnote>
  <w:endnote w:id="40">
    <w:p w14:paraId="1C262FB3" w14:textId="57BBD33D" w:rsidR="0027490E" w:rsidRPr="0001029D" w:rsidRDefault="0027490E" w:rsidP="00907464">
      <w:pPr>
        <w:pStyle w:val="Footnote"/>
        <w:spacing w:after="120" w:line="480" w:lineRule="auto"/>
        <w:rPr>
          <w:highlight w:val="yellow"/>
          <w:u w:color="000000"/>
        </w:rPr>
      </w:pPr>
      <w:r w:rsidRPr="0001029D">
        <w:rPr>
          <w:u w:color="000000"/>
          <w:vertAlign w:val="superscript"/>
        </w:rPr>
        <w:endnoteRef/>
      </w:r>
      <w:r w:rsidRPr="0001029D">
        <w:rPr>
          <w:u w:color="000000"/>
        </w:rPr>
        <w:t xml:space="preserve"> Bede, </w:t>
      </w:r>
      <w:r w:rsidRPr="0001029D">
        <w:rPr>
          <w:i/>
          <w:iCs/>
          <w:u w:color="000000"/>
        </w:rPr>
        <w:t>IG</w:t>
      </w:r>
      <w:r w:rsidRPr="0001029D">
        <w:rPr>
          <w:u w:color="000000"/>
        </w:rPr>
        <w:t xml:space="preserve"> II.9</w:t>
      </w:r>
      <w:r w:rsidRPr="0001029D">
        <w:t xml:space="preserve">, </w:t>
      </w:r>
      <w:r w:rsidRPr="0001029D">
        <w:rPr>
          <w:u w:color="000000"/>
        </w:rPr>
        <w:t>ed. Jones, p. 135.</w:t>
      </w:r>
    </w:p>
  </w:endnote>
  <w:endnote w:id="41">
    <w:p w14:paraId="05E3B28C" w14:textId="77777777" w:rsidR="00B4669B" w:rsidRPr="0001029D" w:rsidRDefault="00B4669B" w:rsidP="00907464">
      <w:pPr>
        <w:pStyle w:val="Footnote"/>
        <w:spacing w:after="120" w:line="480" w:lineRule="auto"/>
        <w:rPr>
          <w:kern w:val="2"/>
          <w:u w:color="000000"/>
        </w:rPr>
      </w:pPr>
      <w:r w:rsidRPr="0001029D">
        <w:rPr>
          <w:kern w:val="2"/>
          <w:u w:color="000000"/>
          <w:vertAlign w:val="superscript"/>
        </w:rPr>
        <w:endnoteRef/>
      </w:r>
      <w:r w:rsidRPr="0001029D">
        <w:rPr>
          <w:u w:color="000000"/>
        </w:rPr>
        <w:t xml:space="preserve"> Bede, </w:t>
      </w:r>
      <w:r w:rsidRPr="0001029D">
        <w:rPr>
          <w:i/>
          <w:iCs/>
          <w:u w:color="000000"/>
        </w:rPr>
        <w:t>Expositio actuum apostolorum</w:t>
      </w:r>
      <w:r w:rsidRPr="0001029D">
        <w:rPr>
          <w:u w:color="000000"/>
        </w:rPr>
        <w:t xml:space="preserve"> II.19, ed. M.L.W. Laistner, CCSL 121 (Turnhout, 1983), p. 19: ‘</w:t>
      </w:r>
      <w:r w:rsidRPr="0001029D">
        <w:rPr>
          <w:u w:color="000000"/>
          <w:lang w:val="fr-FR"/>
        </w:rPr>
        <w:t>contra naturam nostrorum est corporum’</w:t>
      </w:r>
      <w:r w:rsidRPr="0001029D">
        <w:rPr>
          <w:kern w:val="2"/>
          <w:u w:color="000000"/>
        </w:rPr>
        <w:t xml:space="preserve">; trans. L.T. Martin, </w:t>
      </w:r>
      <w:r w:rsidRPr="0001029D">
        <w:rPr>
          <w:i/>
          <w:iCs/>
          <w:kern w:val="2"/>
          <w:u w:color="000000"/>
        </w:rPr>
        <w:t>The Venerable Bede: Commentary on the Acts of the Apostles</w:t>
      </w:r>
      <w:r w:rsidRPr="0001029D">
        <w:rPr>
          <w:kern w:val="2"/>
          <w:u w:color="000000"/>
        </w:rPr>
        <w:t>, Cistercian Studies Series 117 (Kalamazoo, MI, 1989), p. 32.</w:t>
      </w:r>
    </w:p>
  </w:endnote>
  <w:endnote w:id="42">
    <w:p w14:paraId="0B45574A" w14:textId="77777777" w:rsidR="00B4669B" w:rsidRPr="0001029D" w:rsidRDefault="00B4669B" w:rsidP="00907464">
      <w:pPr>
        <w:pStyle w:val="Footnote"/>
        <w:spacing w:after="120" w:line="480" w:lineRule="auto"/>
        <w:rPr>
          <w:u w:color="000000"/>
        </w:rPr>
      </w:pPr>
      <w:r w:rsidRPr="0001029D">
        <w:rPr>
          <w:kern w:val="2"/>
          <w:u w:color="000000"/>
          <w:vertAlign w:val="superscript"/>
        </w:rPr>
        <w:endnoteRef/>
      </w:r>
      <w:r w:rsidRPr="0001029D">
        <w:rPr>
          <w:u w:color="000000"/>
        </w:rPr>
        <w:t xml:space="preserve"> Bede, </w:t>
      </w:r>
      <w:r w:rsidRPr="0001029D">
        <w:rPr>
          <w:i/>
          <w:iCs/>
          <w:u w:color="000000"/>
        </w:rPr>
        <w:t>IG</w:t>
      </w:r>
      <w:r w:rsidRPr="0001029D">
        <w:rPr>
          <w:u w:color="000000"/>
        </w:rPr>
        <w:t xml:space="preserve"> iv.17, ed. Jones, p. 207.</w:t>
      </w:r>
    </w:p>
  </w:endnote>
  <w:endnote w:id="43">
    <w:p w14:paraId="1EB57369" w14:textId="77777777" w:rsidR="00B4669B" w:rsidRPr="0001029D" w:rsidRDefault="00B4669B" w:rsidP="00907464">
      <w:pPr>
        <w:pStyle w:val="EndnoteText"/>
        <w:spacing w:after="120" w:line="480" w:lineRule="auto"/>
        <w:jc w:val="both"/>
        <w:rPr>
          <w:sz w:val="20"/>
          <w:szCs w:val="20"/>
        </w:rPr>
      </w:pPr>
      <w:r w:rsidRPr="0001029D">
        <w:rPr>
          <w:rStyle w:val="EndnoteReference"/>
          <w:sz w:val="20"/>
          <w:szCs w:val="20"/>
        </w:rPr>
        <w:endnoteRef/>
      </w:r>
      <w:r w:rsidRPr="0001029D">
        <w:rPr>
          <w:sz w:val="20"/>
          <w:szCs w:val="20"/>
        </w:rPr>
        <w:t xml:space="preserve"> Bede, </w:t>
      </w:r>
      <w:r w:rsidRPr="0001029D">
        <w:rPr>
          <w:i/>
          <w:sz w:val="20"/>
          <w:szCs w:val="20"/>
        </w:rPr>
        <w:t>In primam partem Samuhelis</w:t>
      </w:r>
      <w:r w:rsidRPr="0001029D">
        <w:rPr>
          <w:sz w:val="20"/>
          <w:szCs w:val="20"/>
        </w:rPr>
        <w:t xml:space="preserve"> IV.24, ed.</w:t>
      </w:r>
      <w:r w:rsidRPr="0001029D">
        <w:rPr>
          <w:i/>
          <w:sz w:val="20"/>
          <w:szCs w:val="20"/>
        </w:rPr>
        <w:t xml:space="preserve"> </w:t>
      </w:r>
      <w:r w:rsidRPr="0001029D">
        <w:rPr>
          <w:sz w:val="20"/>
          <w:szCs w:val="20"/>
        </w:rPr>
        <w:t>D. Hurst, CCSL 119 (Turnhout, 1962), p. 227.</w:t>
      </w:r>
    </w:p>
  </w:endnote>
  <w:endnote w:id="44">
    <w:p w14:paraId="3DF07C53" w14:textId="77777777" w:rsidR="00A02C98" w:rsidRPr="0001029D" w:rsidRDefault="00A02C98" w:rsidP="00A02C98">
      <w:pPr>
        <w:pStyle w:val="EndnoteText"/>
        <w:spacing w:after="120" w:line="480" w:lineRule="auto"/>
        <w:jc w:val="both"/>
        <w:rPr>
          <w:sz w:val="20"/>
          <w:szCs w:val="20"/>
          <w:lang w:val="en-IE"/>
        </w:rPr>
      </w:pPr>
      <w:r w:rsidRPr="0001029D">
        <w:rPr>
          <w:rStyle w:val="EndnoteReference"/>
          <w:sz w:val="20"/>
          <w:szCs w:val="20"/>
        </w:rPr>
        <w:endnoteRef/>
      </w:r>
      <w:r w:rsidRPr="0001029D">
        <w:rPr>
          <w:sz w:val="20"/>
          <w:szCs w:val="20"/>
        </w:rPr>
        <w:t xml:space="preserve"> </w:t>
      </w:r>
      <w:r w:rsidRPr="0001029D">
        <w:rPr>
          <w:sz w:val="20"/>
          <w:szCs w:val="20"/>
          <w:u w:color="000000"/>
        </w:rPr>
        <w:t>Cf. Wallis, ‘</w:t>
      </w:r>
      <w:r w:rsidRPr="0001029D">
        <w:rPr>
          <w:i/>
          <w:iCs/>
          <w:kern w:val="1"/>
          <w:sz w:val="20"/>
          <w:szCs w:val="20"/>
        </w:rPr>
        <w:t>Si Naturam Quaeras</w:t>
      </w:r>
      <w:r w:rsidRPr="0001029D">
        <w:rPr>
          <w:kern w:val="1"/>
          <w:sz w:val="20"/>
          <w:szCs w:val="20"/>
        </w:rPr>
        <w:t>’</w:t>
      </w:r>
      <w:r w:rsidRPr="0001029D">
        <w:rPr>
          <w:sz w:val="20"/>
          <w:szCs w:val="20"/>
          <w:u w:color="000000"/>
        </w:rPr>
        <w:t>, pp. 94–6.</w:t>
      </w:r>
    </w:p>
  </w:endnote>
  <w:endnote w:id="45">
    <w:p w14:paraId="4DDE5444" w14:textId="77777777" w:rsidR="00A02C98" w:rsidRPr="0001029D" w:rsidRDefault="00A02C98" w:rsidP="00A02C98">
      <w:pPr>
        <w:pStyle w:val="Footnote"/>
        <w:spacing w:after="120" w:line="480" w:lineRule="auto"/>
      </w:pPr>
      <w:r w:rsidRPr="0001029D">
        <w:rPr>
          <w:vertAlign w:val="superscript"/>
        </w:rPr>
        <w:endnoteRef/>
      </w:r>
      <w:r w:rsidRPr="0001029D">
        <w:rPr>
          <w:rFonts w:eastAsia="Arial Unicode MS"/>
        </w:rPr>
        <w:t xml:space="preserve"> Bede, </w:t>
      </w:r>
      <w:r w:rsidRPr="0001029D">
        <w:rPr>
          <w:rFonts w:eastAsia="Arial Unicode MS"/>
          <w:i/>
          <w:iCs/>
        </w:rPr>
        <w:t>In Lucam</w:t>
      </w:r>
      <w:r w:rsidRPr="0001029D">
        <w:rPr>
          <w:rFonts w:eastAsia="Arial Unicode MS"/>
        </w:rPr>
        <w:t xml:space="preserve"> VI.xxii.44, ed. D. Hurst, CCSL 120 (Turnhout, 1960), p. 387.</w:t>
      </w:r>
    </w:p>
  </w:endnote>
  <w:endnote w:id="46">
    <w:p w14:paraId="7E326EB9" w14:textId="77777777" w:rsidR="00B4669B" w:rsidRPr="0001029D" w:rsidRDefault="00B4669B" w:rsidP="00907464">
      <w:pPr>
        <w:pStyle w:val="Footnote"/>
        <w:spacing w:after="120" w:line="480" w:lineRule="auto"/>
      </w:pPr>
      <w:r w:rsidRPr="0001029D">
        <w:rPr>
          <w:u w:color="000000"/>
          <w:vertAlign w:val="superscript"/>
        </w:rPr>
        <w:endnoteRef/>
      </w:r>
      <w:r w:rsidRPr="0001029D">
        <w:rPr>
          <w:u w:color="000000"/>
        </w:rPr>
        <w:t xml:space="preserve"> Bede, </w:t>
      </w:r>
      <w:r w:rsidRPr="0001029D">
        <w:rPr>
          <w:i/>
          <w:iCs/>
          <w:u w:color="000000"/>
        </w:rPr>
        <w:t>DNR</w:t>
      </w:r>
      <w:r w:rsidRPr="0001029D">
        <w:rPr>
          <w:u w:color="000000"/>
        </w:rPr>
        <w:t>, ch. 37, ed. Jones, p. 223.</w:t>
      </w:r>
    </w:p>
  </w:endnote>
  <w:endnote w:id="47">
    <w:p w14:paraId="0FE0C75A" w14:textId="77777777" w:rsidR="00725352" w:rsidRPr="0001029D" w:rsidRDefault="00725352" w:rsidP="00907464">
      <w:pPr>
        <w:pStyle w:val="Footnote"/>
        <w:spacing w:after="120" w:line="480" w:lineRule="auto"/>
        <w:rPr>
          <w:i/>
          <w:iCs/>
          <w:u w:color="000000"/>
        </w:rPr>
      </w:pPr>
      <w:r w:rsidRPr="0001029D">
        <w:rPr>
          <w:u w:color="000000"/>
          <w:vertAlign w:val="superscript"/>
        </w:rPr>
        <w:endnoteRef/>
      </w:r>
      <w:r w:rsidRPr="0001029D">
        <w:rPr>
          <w:u w:color="000000"/>
        </w:rPr>
        <w:t xml:space="preserve"> M.L. Cameron, </w:t>
      </w:r>
      <w:r w:rsidRPr="0001029D">
        <w:rPr>
          <w:i/>
          <w:iCs/>
          <w:u w:color="000000"/>
        </w:rPr>
        <w:t>Anglo-Saxon Medicine</w:t>
      </w:r>
      <w:r w:rsidRPr="0001029D">
        <w:rPr>
          <w:iCs/>
          <w:u w:color="000000"/>
        </w:rPr>
        <w:t>, Cambridge Studies in Anglo-Saxon England 7 (Cambridge, 1993)</w:t>
      </w:r>
      <w:r w:rsidRPr="0001029D">
        <w:rPr>
          <w:u w:color="000000"/>
        </w:rPr>
        <w:t xml:space="preserve">, p. 27; McCready, </w:t>
      </w:r>
      <w:r w:rsidRPr="0001029D">
        <w:rPr>
          <w:i/>
          <w:iCs/>
          <w:u w:color="000000"/>
        </w:rPr>
        <w:t>Miracles</w:t>
      </w:r>
      <w:r w:rsidRPr="0001029D">
        <w:rPr>
          <w:u w:color="000000"/>
        </w:rPr>
        <w:t xml:space="preserve">, pp. 40–1; J.M. Wallace-Hadrill, </w:t>
      </w:r>
      <w:r w:rsidRPr="0001029D">
        <w:rPr>
          <w:i/>
          <w:iCs/>
        </w:rPr>
        <w:t>Bede’s Ecclesiastical History of the English People: A Historical Commentary</w:t>
      </w:r>
      <w:r w:rsidRPr="0001029D">
        <w:t>, (Oxford, 1988)</w:t>
      </w:r>
      <w:r w:rsidRPr="0001029D">
        <w:rPr>
          <w:u w:color="000000"/>
        </w:rPr>
        <w:t>, pp. 175–6.</w:t>
      </w:r>
    </w:p>
  </w:endnote>
  <w:endnote w:id="48">
    <w:p w14:paraId="3D4C80DE" w14:textId="77777777" w:rsidR="00725352" w:rsidRPr="0001029D" w:rsidRDefault="00725352" w:rsidP="00907464">
      <w:pPr>
        <w:pStyle w:val="Footnote"/>
        <w:spacing w:after="120" w:line="480" w:lineRule="auto"/>
      </w:pPr>
      <w:r w:rsidRPr="0001029D">
        <w:rPr>
          <w:u w:color="000000"/>
          <w:vertAlign w:val="superscript"/>
        </w:rPr>
        <w:endnoteRef/>
      </w:r>
      <w:r w:rsidRPr="0001029D">
        <w:rPr>
          <w:u w:color="000000"/>
        </w:rPr>
        <w:t xml:space="preserve"> Bede, </w:t>
      </w:r>
      <w:r w:rsidRPr="0001029D">
        <w:rPr>
          <w:i/>
          <w:iCs/>
          <w:u w:color="000000"/>
        </w:rPr>
        <w:t>HE</w:t>
      </w:r>
      <w:r w:rsidRPr="0001029D">
        <w:rPr>
          <w:u w:color="000000"/>
        </w:rPr>
        <w:t xml:space="preserve"> V.2, ed. and trans. Colgrave and Mynors, pp. 458–9.</w:t>
      </w:r>
    </w:p>
  </w:endnote>
  <w:endnote w:id="49">
    <w:p w14:paraId="3AF88ED4" w14:textId="77777777" w:rsidR="00725352" w:rsidRPr="0001029D" w:rsidRDefault="00725352" w:rsidP="00907464">
      <w:pPr>
        <w:pStyle w:val="Footnote"/>
        <w:spacing w:after="120" w:line="480" w:lineRule="auto"/>
      </w:pPr>
      <w:r w:rsidRPr="0001029D">
        <w:rPr>
          <w:u w:color="000000"/>
          <w:vertAlign w:val="superscript"/>
        </w:rPr>
        <w:endnoteRef/>
      </w:r>
      <w:r w:rsidRPr="0001029D">
        <w:rPr>
          <w:u w:color="000000"/>
        </w:rPr>
        <w:t xml:space="preserve"> McCready, </w:t>
      </w:r>
      <w:r w:rsidRPr="0001029D">
        <w:rPr>
          <w:i/>
          <w:iCs/>
          <w:u w:color="000000"/>
        </w:rPr>
        <w:t>Miracles</w:t>
      </w:r>
      <w:r w:rsidRPr="0001029D">
        <w:rPr>
          <w:u w:color="000000"/>
        </w:rPr>
        <w:t>, p. 41.</w:t>
      </w:r>
    </w:p>
  </w:endnote>
  <w:endnote w:id="50">
    <w:p w14:paraId="6C8C2E1C" w14:textId="77777777" w:rsidR="00725352" w:rsidRPr="0001029D" w:rsidRDefault="00725352" w:rsidP="00907464">
      <w:pPr>
        <w:pStyle w:val="Footnote"/>
        <w:spacing w:after="120" w:line="480" w:lineRule="auto"/>
      </w:pPr>
      <w:r w:rsidRPr="0001029D">
        <w:rPr>
          <w:vertAlign w:val="superscript"/>
        </w:rPr>
        <w:endnoteRef/>
      </w:r>
      <w:r w:rsidRPr="0001029D">
        <w:rPr>
          <w:rFonts w:eastAsia="Arial Unicode MS"/>
        </w:rPr>
        <w:t xml:space="preserve"> See, for instance, the similar comments in V.I.J. Flint, </w:t>
      </w:r>
      <w:r w:rsidRPr="0001029D">
        <w:rPr>
          <w:i/>
          <w:iCs/>
          <w:kern w:val="1"/>
        </w:rPr>
        <w:t>The Rise of Magic in Early Medieval Europe</w:t>
      </w:r>
      <w:r w:rsidRPr="0001029D">
        <w:rPr>
          <w:kern w:val="1"/>
        </w:rPr>
        <w:t xml:space="preserve"> (Princeton, NJ, 1991)</w:t>
      </w:r>
      <w:r w:rsidRPr="0001029D">
        <w:rPr>
          <w:rFonts w:eastAsia="Arial Unicode MS"/>
        </w:rPr>
        <w:t>, p. 303.</w:t>
      </w:r>
    </w:p>
  </w:endnote>
  <w:endnote w:id="51">
    <w:p w14:paraId="58D1D2DE" w14:textId="77777777" w:rsidR="00725352" w:rsidRPr="0001029D" w:rsidRDefault="00725352" w:rsidP="00907464">
      <w:pPr>
        <w:pStyle w:val="EndnoteText"/>
        <w:spacing w:after="120" w:line="480" w:lineRule="auto"/>
        <w:jc w:val="both"/>
        <w:rPr>
          <w:sz w:val="20"/>
          <w:szCs w:val="20"/>
          <w:lang w:val="en-IE"/>
        </w:rPr>
      </w:pPr>
      <w:r w:rsidRPr="0001029D">
        <w:rPr>
          <w:rStyle w:val="EndnoteReference"/>
          <w:sz w:val="20"/>
          <w:szCs w:val="20"/>
        </w:rPr>
        <w:endnoteRef/>
      </w:r>
      <w:r w:rsidRPr="0001029D">
        <w:rPr>
          <w:sz w:val="20"/>
          <w:szCs w:val="20"/>
        </w:rPr>
        <w:t xml:space="preserve"> </w:t>
      </w:r>
      <w:r w:rsidRPr="0001029D">
        <w:rPr>
          <w:sz w:val="20"/>
          <w:szCs w:val="20"/>
          <w:lang w:val="en-IE"/>
        </w:rPr>
        <w:t xml:space="preserve">For a recent discussion of Bede’s understanding of God’s involvement in history, with a summation of previous scholarship on the subject, see C. O’Brien, </w:t>
      </w:r>
      <w:r w:rsidRPr="0001029D">
        <w:rPr>
          <w:i/>
          <w:sz w:val="20"/>
          <w:szCs w:val="20"/>
          <w:lang w:val="en-IE"/>
        </w:rPr>
        <w:t>Bede’s Temple: An Image and its Interpretation</w:t>
      </w:r>
      <w:r w:rsidRPr="0001029D">
        <w:rPr>
          <w:sz w:val="20"/>
          <w:szCs w:val="20"/>
          <w:lang w:val="en-IE"/>
        </w:rPr>
        <w:t xml:space="preserve"> (Oxford, 2015), pp. 63–72.</w:t>
      </w:r>
    </w:p>
  </w:endnote>
  <w:endnote w:id="52">
    <w:p w14:paraId="14F324BA" w14:textId="77777777" w:rsidR="00B16BF2" w:rsidRPr="0001029D" w:rsidRDefault="00B16BF2" w:rsidP="00B16BF2">
      <w:pPr>
        <w:pStyle w:val="Footnote"/>
        <w:spacing w:after="120" w:line="480" w:lineRule="auto"/>
      </w:pPr>
      <w:r w:rsidRPr="0001029D">
        <w:rPr>
          <w:u w:color="000000"/>
          <w:vertAlign w:val="superscript"/>
        </w:rPr>
        <w:endnoteRef/>
      </w:r>
      <w:r w:rsidRPr="0001029D">
        <w:rPr>
          <w:u w:color="000000"/>
        </w:rPr>
        <w:t xml:space="preserve"> Augustine, </w:t>
      </w:r>
      <w:r w:rsidRPr="0001029D">
        <w:rPr>
          <w:i/>
          <w:iCs/>
          <w:u w:color="000000"/>
        </w:rPr>
        <w:t>De utilitate credendi</w:t>
      </w:r>
      <w:r w:rsidRPr="0001029D">
        <w:rPr>
          <w:u w:color="000000"/>
        </w:rPr>
        <w:t xml:space="preserve"> XVI.34, ed. Zycha, p. 43: ‘quicquid arduum aut insolitum supra spem uel facultatem mirantis adparet’; trans. Hardon in ‘Concept of Miracle’, p. 230.</w:t>
      </w:r>
      <w:r w:rsidRPr="0001029D">
        <w:rPr>
          <w:highlight w:val="yellow"/>
          <w:u w:color="000000"/>
        </w:rPr>
        <w:t xml:space="preserve"> </w:t>
      </w:r>
    </w:p>
  </w:endnote>
  <w:endnote w:id="53">
    <w:p w14:paraId="00A0B155" w14:textId="471CF223" w:rsidR="0027490E" w:rsidRPr="0001029D" w:rsidRDefault="0027490E" w:rsidP="00907464">
      <w:pPr>
        <w:pStyle w:val="Footnote"/>
        <w:spacing w:after="120" w:line="480" w:lineRule="auto"/>
      </w:pPr>
      <w:r w:rsidRPr="0001029D">
        <w:rPr>
          <w:vertAlign w:val="superscript"/>
        </w:rPr>
        <w:endnoteRef/>
      </w:r>
      <w:r w:rsidRPr="0001029D">
        <w:rPr>
          <w:rFonts w:eastAsia="Arial Unicode MS"/>
        </w:rPr>
        <w:t xml:space="preserve"> C.B. Kendall, </w:t>
      </w:r>
      <w:r w:rsidRPr="0001029D">
        <w:rPr>
          <w:i/>
          <w:iCs/>
        </w:rPr>
        <w:t>The Allegory of the Church: Romanesque Portals and Their Verse Inscriptions</w:t>
      </w:r>
      <w:r w:rsidRPr="0001029D">
        <w:t xml:space="preserve"> (Toronto, 1998)</w:t>
      </w:r>
      <w:r w:rsidRPr="0001029D">
        <w:rPr>
          <w:rFonts w:eastAsia="Arial Unicode MS"/>
        </w:rPr>
        <w:t xml:space="preserve">, pp. 9–10; J.N. Stephens, ‘Bede’s Ecclesiastical History’, </w:t>
      </w:r>
      <w:r w:rsidRPr="0001029D">
        <w:rPr>
          <w:rFonts w:eastAsia="Arial Unicode MS"/>
          <w:i/>
        </w:rPr>
        <w:t>History</w:t>
      </w:r>
      <w:r w:rsidRPr="0001029D">
        <w:rPr>
          <w:rFonts w:eastAsia="Arial Unicode MS"/>
        </w:rPr>
        <w:t xml:space="preserve"> 62 (February, 1977), pp. 1–14, at p. 13.</w:t>
      </w:r>
    </w:p>
  </w:endnote>
  <w:endnote w:id="54">
    <w:p w14:paraId="2FBFB6D6" w14:textId="468C886A" w:rsidR="0027490E" w:rsidRPr="0001029D" w:rsidRDefault="0027490E" w:rsidP="00907464">
      <w:pPr>
        <w:pStyle w:val="Footnote"/>
        <w:spacing w:after="120" w:line="480" w:lineRule="auto"/>
      </w:pPr>
      <w:r w:rsidRPr="0001029D">
        <w:rPr>
          <w:vertAlign w:val="superscript"/>
        </w:rPr>
        <w:endnoteRef/>
      </w:r>
      <w:r w:rsidRPr="0001029D">
        <w:rPr>
          <w:rFonts w:eastAsia="Arial Unicode MS"/>
        </w:rPr>
        <w:t xml:space="preserve"> Creider, ‘Bede’s Understanding of the Miraculous’, pp. 160–1; A.G. </w:t>
      </w:r>
      <w:r w:rsidRPr="0001029D">
        <w:rPr>
          <w:rFonts w:eastAsia="Arial Unicode MS"/>
          <w:u w:color="000000"/>
        </w:rPr>
        <w:t>Holder, ‘</w:t>
      </w:r>
      <w:r w:rsidRPr="0001029D">
        <w:rPr>
          <w:u w:color="000000"/>
        </w:rPr>
        <w:t xml:space="preserve">Allegory and History in Bede’s Interpretation of Sacred Architecture’, </w:t>
      </w:r>
      <w:r w:rsidRPr="0001029D">
        <w:rPr>
          <w:i/>
          <w:iCs/>
          <w:u w:color="000000"/>
        </w:rPr>
        <w:t>American Benedictine Review</w:t>
      </w:r>
      <w:r w:rsidRPr="0001029D">
        <w:rPr>
          <w:u w:color="000000"/>
        </w:rPr>
        <w:t xml:space="preserve"> 40 (1989), pp. 115−31</w:t>
      </w:r>
      <w:r w:rsidRPr="0001029D">
        <w:rPr>
          <w:rFonts w:eastAsia="Arial Unicode MS"/>
        </w:rPr>
        <w:t xml:space="preserve">; </w:t>
      </w:r>
      <w:r w:rsidRPr="0001029D">
        <w:rPr>
          <w:rFonts w:eastAsia="Arial Unicode MS"/>
          <w:u w:color="000000"/>
        </w:rPr>
        <w:t xml:space="preserve">T.J. Furry, </w:t>
      </w:r>
      <w:r w:rsidRPr="0001029D">
        <w:rPr>
          <w:rFonts w:eastAsia="Arial Unicode MS"/>
          <w:i/>
          <w:iCs/>
          <w:u w:color="000000"/>
        </w:rPr>
        <w:t>Allegorizing History: The Venerable Bede, Figural Exegesis and Historical Theory</w:t>
      </w:r>
      <w:r w:rsidRPr="0001029D">
        <w:rPr>
          <w:rFonts w:eastAsia="Arial Unicode MS"/>
          <w:iCs/>
          <w:u w:color="000000"/>
        </w:rPr>
        <w:t xml:space="preserve"> (Cambridge, 2014)</w:t>
      </w:r>
      <w:r w:rsidRPr="0001029D">
        <w:rPr>
          <w:rFonts w:eastAsia="Arial Unicode MS"/>
          <w:u w:color="000000"/>
        </w:rPr>
        <w:t>.</w:t>
      </w:r>
    </w:p>
  </w:endnote>
  <w:endnote w:id="55">
    <w:p w14:paraId="68D608FB" w14:textId="70F0324A" w:rsidR="0027490E" w:rsidRPr="0001029D" w:rsidRDefault="0027490E" w:rsidP="00907464">
      <w:pPr>
        <w:pStyle w:val="Footnote"/>
        <w:spacing w:after="120" w:line="480" w:lineRule="auto"/>
      </w:pPr>
      <w:r w:rsidRPr="0001029D">
        <w:rPr>
          <w:vertAlign w:val="superscript"/>
        </w:rPr>
        <w:endnoteRef/>
      </w:r>
      <w:r w:rsidRPr="0001029D">
        <w:t xml:space="preserve"> For instance: </w:t>
      </w:r>
      <w:r w:rsidRPr="0001029D">
        <w:rPr>
          <w:kern w:val="1"/>
        </w:rPr>
        <w:t>E. Knibbs</w:t>
      </w:r>
      <w:r w:rsidRPr="0001029D">
        <w:t xml:space="preserve">, ‘Exegetical Hagiography: Bede’s Prose </w:t>
      </w:r>
      <w:r w:rsidRPr="0001029D">
        <w:rPr>
          <w:i/>
        </w:rPr>
        <w:t>Vita Sancti Cuthberti</w:t>
      </w:r>
      <w:r w:rsidRPr="0001029D">
        <w:t xml:space="preserve">’, </w:t>
      </w:r>
      <w:r w:rsidRPr="0001029D">
        <w:rPr>
          <w:i/>
          <w:iCs/>
        </w:rPr>
        <w:t>Revue bénédictine</w:t>
      </w:r>
      <w:r w:rsidRPr="0001029D">
        <w:t xml:space="preserve"> 114.2 (2004), pp. 233–252; A.H. </w:t>
      </w:r>
      <w:r w:rsidRPr="0001029D">
        <w:rPr>
          <w:kern w:val="1"/>
        </w:rPr>
        <w:t xml:space="preserve">Merrills, </w:t>
      </w:r>
      <w:r w:rsidRPr="0001029D">
        <w:rPr>
          <w:i/>
          <w:iCs/>
          <w:kern w:val="1"/>
        </w:rPr>
        <w:t>History and Geography in Late Antiquity</w:t>
      </w:r>
      <w:r w:rsidRPr="0001029D">
        <w:rPr>
          <w:kern w:val="1"/>
        </w:rPr>
        <w:t xml:space="preserve"> (Cambridge, 2005); </w:t>
      </w:r>
      <w:r w:rsidRPr="0001029D">
        <w:t xml:space="preserve">J. Barrow, ‘How Coifi Pierced Christ’s Side: A Re-Examination of Bede’s Ecclesiastical History, II, Chapter 13’, </w:t>
      </w:r>
      <w:r w:rsidRPr="0001029D">
        <w:rPr>
          <w:i/>
          <w:iCs/>
        </w:rPr>
        <w:t>The Journal of Ecclesiastical History</w:t>
      </w:r>
      <w:r w:rsidRPr="0001029D">
        <w:t xml:space="preserve"> 62 (2011), 693–706; J. O’Reilly, ‘The Multitude of Isles and the Corner-stone: Topography, Exegesis, and the Identity of the </w:t>
      </w:r>
      <w:r w:rsidRPr="0001029D">
        <w:rPr>
          <w:i/>
        </w:rPr>
        <w:t>Angli</w:t>
      </w:r>
      <w:r w:rsidRPr="0001029D">
        <w:t xml:space="preserve"> in Bede</w:t>
      </w:r>
      <w:r w:rsidRPr="0001029D">
        <w:rPr>
          <w:lang w:val="fr-FR"/>
        </w:rPr>
        <w:t>’</w:t>
      </w:r>
      <w:r w:rsidRPr="0001029D">
        <w:rPr>
          <w:lang w:val="it-IT"/>
        </w:rPr>
        <w:t xml:space="preserve">s </w:t>
      </w:r>
      <w:r w:rsidRPr="0001029D">
        <w:rPr>
          <w:i/>
          <w:lang w:val="it-IT"/>
        </w:rPr>
        <w:t>Historia Ecclesiastica</w:t>
      </w:r>
      <w:r w:rsidRPr="0001029D">
        <w:rPr>
          <w:lang w:val="fr-FR"/>
        </w:rPr>
        <w:t>’</w:t>
      </w:r>
      <w:r w:rsidRPr="0001029D">
        <w:t xml:space="preserve">, in J. Roberts and L. Webster (eds), </w:t>
      </w:r>
      <w:r w:rsidRPr="0001029D">
        <w:rPr>
          <w:i/>
          <w:iCs/>
        </w:rPr>
        <w:t>Anglo-Saxon Traces</w:t>
      </w:r>
      <w:r w:rsidRPr="0001029D">
        <w:t xml:space="preserve"> (Tempe, AZ, 2011), pp. 201–28.</w:t>
      </w:r>
    </w:p>
  </w:endnote>
  <w:endnote w:id="56">
    <w:p w14:paraId="76237755" w14:textId="32F08069" w:rsidR="0027490E" w:rsidRPr="0001029D" w:rsidRDefault="0027490E" w:rsidP="00907464">
      <w:pPr>
        <w:pStyle w:val="Footnote"/>
        <w:widowControl w:val="0"/>
        <w:suppressAutoHyphens/>
        <w:spacing w:after="120" w:line="480" w:lineRule="auto"/>
      </w:pPr>
      <w:r w:rsidRPr="0001029D">
        <w:rPr>
          <w:u w:color="000000"/>
          <w:vertAlign w:val="superscript"/>
        </w:rPr>
        <w:endnoteRef/>
      </w:r>
      <w:r w:rsidRPr="0001029D">
        <w:rPr>
          <w:kern w:val="1"/>
          <w:u w:color="000000"/>
        </w:rPr>
        <w:t xml:space="preserve"> The following discussion draws from C.B. Kendall, ‘Introduction’, in </w:t>
      </w:r>
      <w:r w:rsidRPr="0001029D">
        <w:rPr>
          <w:i/>
          <w:iCs/>
        </w:rPr>
        <w:t>Libri II De arte metrica et De schematibus et tropis. The Art of Poetry and Rhetoric</w:t>
      </w:r>
      <w:r w:rsidRPr="0001029D">
        <w:rPr>
          <w:iCs/>
        </w:rPr>
        <w:t xml:space="preserve"> </w:t>
      </w:r>
      <w:r w:rsidRPr="0001029D">
        <w:t>(</w:t>
      </w:r>
      <w:r w:rsidRPr="0001029D">
        <w:rPr>
          <w:lang w:val="nl-NL"/>
        </w:rPr>
        <w:t>Saarbr</w:t>
      </w:r>
      <w:r w:rsidRPr="0001029D">
        <w:t>ü</w:t>
      </w:r>
      <w:r w:rsidRPr="0001029D">
        <w:rPr>
          <w:lang w:val="de-DE"/>
        </w:rPr>
        <w:t>cken, 1991</w:t>
      </w:r>
      <w:r w:rsidRPr="0001029D">
        <w:t>), pp. 15–35</w:t>
      </w:r>
      <w:r w:rsidRPr="0001029D">
        <w:rPr>
          <w:kern w:val="1"/>
          <w:u w:color="000000"/>
        </w:rPr>
        <w:t xml:space="preserve">; Kendall, ‘Art of Poetry and Rhetoric’; </w:t>
      </w:r>
      <w:r w:rsidRPr="0001029D">
        <w:rPr>
          <w:u w:color="000000"/>
        </w:rPr>
        <w:t>M. Irvine, ‘</w:t>
      </w:r>
      <w:r w:rsidRPr="0001029D">
        <w:rPr>
          <w:kern w:val="1"/>
        </w:rPr>
        <w:t xml:space="preserve">Interpretation and the semiotics of allegory in Clement of Alexandria, Origen, and Augustine’, </w:t>
      </w:r>
      <w:r w:rsidRPr="0001029D">
        <w:rPr>
          <w:i/>
          <w:iCs/>
          <w:kern w:val="1"/>
        </w:rPr>
        <w:t>Semiotica</w:t>
      </w:r>
      <w:r w:rsidRPr="0001029D">
        <w:rPr>
          <w:kern w:val="1"/>
        </w:rPr>
        <w:t xml:space="preserve"> 63 (1987), pp. 33–72; </w:t>
      </w:r>
      <w:r w:rsidRPr="0001029D">
        <w:rPr>
          <w:u w:color="000000"/>
        </w:rPr>
        <w:t xml:space="preserve">M. Irvine, ‘Bede the Grammarian and the Scope of Grammatical Studies in Eighth-century Northumbria’, </w:t>
      </w:r>
      <w:r w:rsidRPr="0001029D">
        <w:rPr>
          <w:i/>
          <w:iCs/>
          <w:u w:color="000000"/>
        </w:rPr>
        <w:t xml:space="preserve">ASE </w:t>
      </w:r>
      <w:r w:rsidRPr="0001029D">
        <w:rPr>
          <w:u w:color="000000"/>
        </w:rPr>
        <w:t xml:space="preserve">15 (1986), pp. 15–44. For introductions to Bede’s exegesis, see </w:t>
      </w:r>
      <w:r w:rsidRPr="0001029D">
        <w:rPr>
          <w:kern w:val="1"/>
          <w:u w:color="000000"/>
        </w:rPr>
        <w:t xml:space="preserve">S. DeGregorio, ‘Bede and the Old Testament’, in S. DeGregorio (ed.), </w:t>
      </w:r>
      <w:r w:rsidRPr="0001029D">
        <w:rPr>
          <w:i/>
          <w:kern w:val="1"/>
          <w:u w:color="000000"/>
        </w:rPr>
        <w:t>The Cambridge Companion to Bede</w:t>
      </w:r>
      <w:r w:rsidRPr="0001029D">
        <w:rPr>
          <w:kern w:val="1"/>
          <w:u w:color="000000"/>
        </w:rPr>
        <w:t xml:space="preserve"> (Cambridge, 2010), pp. 127–41; A. Holder, ‘Bede and the New Testament’, in S. DeGregorio (ed.), </w:t>
      </w:r>
      <w:r w:rsidRPr="0001029D">
        <w:rPr>
          <w:i/>
          <w:kern w:val="1"/>
          <w:u w:color="000000"/>
        </w:rPr>
        <w:t>The Cambridge Companion to Bede</w:t>
      </w:r>
      <w:r w:rsidRPr="0001029D">
        <w:rPr>
          <w:kern w:val="1"/>
          <w:u w:color="000000"/>
        </w:rPr>
        <w:t xml:space="preserve"> (Cambridge, 2010</w:t>
      </w:r>
      <w:r w:rsidRPr="0001029D">
        <w:rPr>
          <w:kern w:val="1"/>
        </w:rPr>
        <w:t>), pp. 142–55</w:t>
      </w:r>
      <w:r w:rsidRPr="0001029D">
        <w:rPr>
          <w:kern w:val="1"/>
          <w:u w:color="000000"/>
        </w:rPr>
        <w:t>.</w:t>
      </w:r>
    </w:p>
  </w:endnote>
  <w:endnote w:id="57">
    <w:p w14:paraId="1446C485" w14:textId="4ED674F7"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Kendall, </w:t>
      </w:r>
      <w:r w:rsidRPr="0001029D">
        <w:rPr>
          <w:i/>
          <w:iCs/>
          <w:u w:color="000000"/>
        </w:rPr>
        <w:t>Art of Poetry and Rhetoric</w:t>
      </w:r>
      <w:r w:rsidRPr="0001029D">
        <w:rPr>
          <w:u w:color="000000"/>
        </w:rPr>
        <w:t>, p. 26.</w:t>
      </w:r>
    </w:p>
  </w:endnote>
  <w:endnote w:id="58">
    <w:p w14:paraId="353532A6" w14:textId="4D2597F7"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Bede, </w:t>
      </w:r>
      <w:r w:rsidRPr="0001029D">
        <w:rPr>
          <w:i/>
          <w:iCs/>
          <w:u w:color="000000"/>
        </w:rPr>
        <w:t>DSET</w:t>
      </w:r>
      <w:r w:rsidRPr="0001029D">
        <w:rPr>
          <w:u w:color="000000"/>
        </w:rPr>
        <w:t xml:space="preserve"> II.2, ed. Kendall, p. 196.</w:t>
      </w:r>
    </w:p>
  </w:endnote>
  <w:endnote w:id="59">
    <w:p w14:paraId="6D4D62E3" w14:textId="368F4E9C" w:rsidR="0027490E" w:rsidRPr="0001029D" w:rsidRDefault="0027490E" w:rsidP="00907464">
      <w:pPr>
        <w:pStyle w:val="Footnote"/>
        <w:widowControl w:val="0"/>
        <w:suppressAutoHyphens/>
        <w:spacing w:after="120" w:line="480" w:lineRule="auto"/>
      </w:pPr>
      <w:r w:rsidRPr="0001029D">
        <w:rPr>
          <w:u w:color="000000"/>
          <w:vertAlign w:val="superscript"/>
        </w:rPr>
        <w:endnoteRef/>
      </w:r>
      <w:r w:rsidRPr="0001029D">
        <w:rPr>
          <w:kern w:val="1"/>
          <w:u w:color="000000"/>
        </w:rPr>
        <w:t xml:space="preserve"> Bede, </w:t>
      </w:r>
      <w:r w:rsidRPr="0001029D">
        <w:rPr>
          <w:i/>
          <w:iCs/>
          <w:kern w:val="1"/>
          <w:u w:color="000000"/>
        </w:rPr>
        <w:t>IG</w:t>
      </w:r>
      <w:r w:rsidRPr="0001029D">
        <w:rPr>
          <w:kern w:val="1"/>
          <w:u w:color="000000"/>
        </w:rPr>
        <w:t xml:space="preserve"> I.3, ed. Jones, p.69: ‘</w:t>
      </w:r>
      <w:r w:rsidRPr="0001029D">
        <w:rPr>
          <w:u w:color="000000"/>
        </w:rPr>
        <w:t>Et hoc significationis gratia factum est, sed tamen factum</w:t>
      </w:r>
      <w:r w:rsidRPr="0001029D">
        <w:rPr>
          <w:kern w:val="1"/>
          <w:u w:color="000000"/>
        </w:rPr>
        <w:t xml:space="preserve">’; trans. Kendall, p. 136. Cf. </w:t>
      </w:r>
      <w:r w:rsidRPr="0001029D">
        <w:rPr>
          <w:i/>
          <w:iCs/>
          <w:kern w:val="1"/>
          <w:u w:color="000000"/>
        </w:rPr>
        <w:t xml:space="preserve">IG </w:t>
      </w:r>
      <w:r w:rsidRPr="0001029D">
        <w:rPr>
          <w:kern w:val="1"/>
          <w:u w:color="000000"/>
        </w:rPr>
        <w:t>I.2, ed. Jones, pp. 46.</w:t>
      </w:r>
    </w:p>
  </w:endnote>
  <w:endnote w:id="60">
    <w:p w14:paraId="1B092AE9" w14:textId="77777777"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Cf. H. de Lubac, </w:t>
      </w:r>
      <w:r w:rsidRPr="0001029D">
        <w:rPr>
          <w:i/>
          <w:iCs/>
          <w:u w:color="000000"/>
        </w:rPr>
        <w:t>Exégèse mediévale: Les quatre sens de l’écriture</w:t>
      </w:r>
      <w:r w:rsidRPr="0001029D">
        <w:rPr>
          <w:u w:color="000000"/>
        </w:rPr>
        <w:t xml:space="preserve">, 4 vols (Paris, 1959–64); trans. M. Sebanc, E.M. Macierowski, </w:t>
      </w:r>
      <w:r w:rsidRPr="0001029D">
        <w:rPr>
          <w:i/>
          <w:iCs/>
          <w:u w:color="000000"/>
        </w:rPr>
        <w:t>Medieval Exegesis: the Four Senses of Scripture</w:t>
      </w:r>
      <w:r w:rsidRPr="0001029D">
        <w:rPr>
          <w:u w:color="000000"/>
        </w:rPr>
        <w:t>, 3 vols (Edinburgh, 1998–2009), II, p. 86.</w:t>
      </w:r>
    </w:p>
  </w:endnote>
  <w:endnote w:id="61">
    <w:p w14:paraId="3976DC1A" w14:textId="26E84416" w:rsidR="0001029D" w:rsidRPr="0001029D" w:rsidRDefault="0001029D" w:rsidP="00907464">
      <w:pPr>
        <w:pStyle w:val="EndnoteText"/>
        <w:spacing w:after="120" w:line="480" w:lineRule="auto"/>
        <w:jc w:val="both"/>
        <w:rPr>
          <w:sz w:val="20"/>
          <w:szCs w:val="20"/>
          <w:lang w:val="en-IE"/>
        </w:rPr>
      </w:pPr>
      <w:r w:rsidRPr="0001029D">
        <w:rPr>
          <w:rStyle w:val="EndnoteReference"/>
          <w:sz w:val="20"/>
          <w:szCs w:val="20"/>
        </w:rPr>
        <w:endnoteRef/>
      </w:r>
      <w:r w:rsidRPr="0001029D">
        <w:rPr>
          <w:sz w:val="20"/>
          <w:szCs w:val="20"/>
        </w:rPr>
        <w:t xml:space="preserve"> Kendall, </w:t>
      </w:r>
      <w:r w:rsidRPr="0001029D">
        <w:rPr>
          <w:i/>
          <w:iCs/>
          <w:sz w:val="20"/>
          <w:szCs w:val="20"/>
        </w:rPr>
        <w:t>The Allegory of the Church</w:t>
      </w:r>
      <w:r>
        <w:rPr>
          <w:iCs/>
          <w:sz w:val="20"/>
          <w:szCs w:val="20"/>
        </w:rPr>
        <w:t>, p. 10.</w:t>
      </w:r>
    </w:p>
  </w:endnote>
  <w:endnote w:id="62">
    <w:p w14:paraId="4CD77EE6" w14:textId="2923026A" w:rsidR="0027490E" w:rsidRPr="0001029D" w:rsidRDefault="0027490E" w:rsidP="00907464">
      <w:pPr>
        <w:pStyle w:val="Footnote"/>
        <w:spacing w:after="120" w:line="480" w:lineRule="auto"/>
        <w:rPr>
          <w:kern w:val="1"/>
          <w:u w:color="000000"/>
        </w:rPr>
      </w:pPr>
      <w:r w:rsidRPr="0001029D">
        <w:rPr>
          <w:u w:color="000000"/>
          <w:vertAlign w:val="superscript"/>
        </w:rPr>
        <w:endnoteRef/>
      </w:r>
      <w:r w:rsidRPr="0001029D">
        <w:rPr>
          <w:kern w:val="1"/>
          <w:u w:color="000000"/>
        </w:rPr>
        <w:t xml:space="preserve"> Bede, </w:t>
      </w:r>
      <w:r w:rsidRPr="0001029D">
        <w:rPr>
          <w:i/>
          <w:iCs/>
          <w:kern w:val="1"/>
          <w:u w:color="000000"/>
        </w:rPr>
        <w:t>Homiliae</w:t>
      </w:r>
      <w:r w:rsidRPr="0001029D">
        <w:rPr>
          <w:kern w:val="1"/>
          <w:u w:color="000000"/>
        </w:rPr>
        <w:t xml:space="preserve"> I.20, ed. Hurst, pp. 144–5. It should be noted that Bede interpreted the ‘rock’ in this passage to refer to Christ, and not Peter himself as was common: J. Moorhead, ‘Bede on the Papacy’,</w:t>
      </w:r>
      <w:r w:rsidRPr="0001029D">
        <w:rPr>
          <w:i/>
          <w:iCs/>
          <w:kern w:val="1"/>
          <w:u w:color="000000"/>
        </w:rPr>
        <w:t xml:space="preserve"> The Journal of Ecclesiastical History</w:t>
      </w:r>
      <w:r w:rsidRPr="0001029D">
        <w:rPr>
          <w:kern w:val="1"/>
          <w:u w:color="000000"/>
        </w:rPr>
        <w:t xml:space="preserve"> 60 (2009), pp. 217–232, at pp. 224–5.</w:t>
      </w:r>
    </w:p>
  </w:endnote>
  <w:endnote w:id="63">
    <w:p w14:paraId="022C0EB5" w14:textId="1CF54278" w:rsidR="0027490E" w:rsidRPr="0001029D" w:rsidRDefault="0027490E" w:rsidP="00907464">
      <w:pPr>
        <w:pStyle w:val="Footnote"/>
        <w:widowControl w:val="0"/>
        <w:suppressAutoHyphens/>
        <w:spacing w:after="120" w:line="480" w:lineRule="auto"/>
      </w:pPr>
      <w:r w:rsidRPr="0001029D">
        <w:rPr>
          <w:u w:color="000000"/>
          <w:vertAlign w:val="superscript"/>
        </w:rPr>
        <w:endnoteRef/>
      </w:r>
      <w:r w:rsidRPr="0001029D">
        <w:rPr>
          <w:kern w:val="1"/>
          <w:u w:color="000000"/>
        </w:rPr>
        <w:t xml:space="preserve"> For instance, Isidore, </w:t>
      </w:r>
      <w:r w:rsidRPr="0001029D">
        <w:rPr>
          <w:i/>
          <w:iCs/>
          <w:kern w:val="1"/>
          <w:u w:color="000000"/>
        </w:rPr>
        <w:t>Etymologiae</w:t>
      </w:r>
      <w:r w:rsidRPr="0001029D">
        <w:rPr>
          <w:kern w:val="1"/>
          <w:u w:color="000000"/>
        </w:rPr>
        <w:t xml:space="preserve"> iii.IV.1, </w:t>
      </w:r>
      <w:r w:rsidRPr="0001029D">
        <w:t xml:space="preserve">ed. W.M. Lindsay, </w:t>
      </w:r>
      <w:r w:rsidRPr="0001029D">
        <w:rPr>
          <w:i/>
          <w:iCs/>
        </w:rPr>
        <w:t>Isidori Hispalensis episcopi:</w:t>
      </w:r>
      <w:r w:rsidRPr="0001029D">
        <w:t xml:space="preserve"> </w:t>
      </w:r>
      <w:r w:rsidRPr="0001029D">
        <w:rPr>
          <w:i/>
          <w:iCs/>
        </w:rPr>
        <w:t>Etymologiarum siue Originum libri XX</w:t>
      </w:r>
      <w:r w:rsidRPr="0001029D">
        <w:rPr>
          <w:iCs/>
        </w:rPr>
        <w:t>,</w:t>
      </w:r>
      <w:r w:rsidRPr="0001029D">
        <w:t xml:space="preserve"> Scriptorum classicorum bibliotheca Oxoniensis (Oxford, 1911)</w:t>
      </w:r>
      <w:r w:rsidRPr="0001029D">
        <w:rPr>
          <w:kern w:val="1"/>
          <w:u w:color="000000"/>
        </w:rPr>
        <w:t>; there are many more examples in Augustine, discussed in C.W. Jones, ‘</w:t>
      </w:r>
      <w:r w:rsidRPr="0001029D">
        <w:rPr>
          <w:kern w:val="1"/>
        </w:rPr>
        <w:t xml:space="preserve">Some Introductory Remarks on Bede’s Commentary on Genesis’, </w:t>
      </w:r>
      <w:r w:rsidRPr="0001029D">
        <w:rPr>
          <w:i/>
          <w:iCs/>
          <w:kern w:val="1"/>
        </w:rPr>
        <w:t>Sacris Erudiri</w:t>
      </w:r>
      <w:r w:rsidRPr="0001029D">
        <w:rPr>
          <w:kern w:val="1"/>
        </w:rPr>
        <w:t xml:space="preserve"> 19 (1969), pp. 115–198, at </w:t>
      </w:r>
      <w:r w:rsidRPr="0001029D">
        <w:rPr>
          <w:kern w:val="1"/>
          <w:u w:color="000000"/>
        </w:rPr>
        <w:t>pp. 166–8.</w:t>
      </w:r>
    </w:p>
  </w:endnote>
  <w:endnote w:id="64">
    <w:p w14:paraId="6F3CDE5D" w14:textId="64275E23" w:rsidR="0027490E" w:rsidRPr="0001029D" w:rsidRDefault="0027490E" w:rsidP="00907464">
      <w:pPr>
        <w:pStyle w:val="Footnote"/>
        <w:widowControl w:val="0"/>
        <w:suppressAutoHyphens/>
        <w:spacing w:after="120" w:line="480" w:lineRule="auto"/>
      </w:pPr>
      <w:r w:rsidRPr="0001029D">
        <w:rPr>
          <w:u w:color="000000"/>
          <w:vertAlign w:val="superscript"/>
        </w:rPr>
        <w:endnoteRef/>
      </w:r>
      <w:r w:rsidRPr="0001029D">
        <w:rPr>
          <w:iCs/>
          <w:kern w:val="1"/>
          <w:u w:color="000000"/>
        </w:rPr>
        <w:t xml:space="preserve"> </w:t>
      </w:r>
      <w:r w:rsidRPr="0001029D">
        <w:rPr>
          <w:kern w:val="1"/>
          <w:u w:color="000000"/>
        </w:rPr>
        <w:t xml:space="preserve">Bede, </w:t>
      </w:r>
      <w:r w:rsidRPr="0001029D">
        <w:rPr>
          <w:i/>
          <w:iCs/>
          <w:kern w:val="1"/>
          <w:u w:color="000000"/>
        </w:rPr>
        <w:t>IG</w:t>
      </w:r>
      <w:r w:rsidRPr="0001029D">
        <w:rPr>
          <w:kern w:val="1"/>
          <w:u w:color="000000"/>
        </w:rPr>
        <w:t xml:space="preserve"> II.5, ed. Jones, p. 97: ‘</w:t>
      </w:r>
      <w:r w:rsidRPr="0001029D">
        <w:rPr>
          <w:kern w:val="1"/>
          <w:u w:color="000000"/>
          <w:lang w:val="fr-FR"/>
        </w:rPr>
        <w:t>significat mystice per totum huius seculi tempus eos qui fideliter domino seruiunt, et ad aeternum requiem tendunt, numquam defuturos</w:t>
      </w:r>
      <w:r w:rsidRPr="0001029D">
        <w:rPr>
          <w:kern w:val="1"/>
          <w:u w:color="000000"/>
        </w:rPr>
        <w:t>’; trans. Kendall, p. 166.</w:t>
      </w:r>
    </w:p>
  </w:endnote>
  <w:endnote w:id="65">
    <w:p w14:paraId="0D2B80DD" w14:textId="6F74475D" w:rsidR="0027490E" w:rsidRPr="0001029D" w:rsidRDefault="0027490E" w:rsidP="00907464">
      <w:pPr>
        <w:pStyle w:val="Footnote"/>
        <w:spacing w:after="120" w:line="480" w:lineRule="auto"/>
      </w:pPr>
      <w:r w:rsidRPr="0001029D">
        <w:rPr>
          <w:vertAlign w:val="superscript"/>
        </w:rPr>
        <w:endnoteRef/>
      </w:r>
      <w:r w:rsidRPr="0001029D">
        <w:t xml:space="preserve"> Bede, </w:t>
      </w:r>
      <w:r w:rsidRPr="0001029D">
        <w:rPr>
          <w:i/>
          <w:iCs/>
        </w:rPr>
        <w:t>IG</w:t>
      </w:r>
      <w:r w:rsidRPr="0001029D">
        <w:t xml:space="preserve"> IV.11, ed. Jones, p. 159.</w:t>
      </w:r>
    </w:p>
  </w:endnote>
  <w:endnote w:id="66">
    <w:p w14:paraId="58FB580E" w14:textId="0A2F4767" w:rsidR="0027490E" w:rsidRPr="0001029D" w:rsidRDefault="0027490E" w:rsidP="00907464">
      <w:pPr>
        <w:pStyle w:val="Footnote"/>
        <w:spacing w:after="120" w:line="480" w:lineRule="auto"/>
        <w:rPr>
          <w:u w:color="000000"/>
        </w:rPr>
      </w:pPr>
      <w:r w:rsidRPr="0001029D">
        <w:rPr>
          <w:vertAlign w:val="superscript"/>
        </w:rPr>
        <w:endnoteRef/>
      </w:r>
      <w:r w:rsidRPr="0001029D">
        <w:rPr>
          <w:rFonts w:eastAsia="Arial Unicode MS"/>
        </w:rPr>
        <w:t xml:space="preserve"> </w:t>
      </w:r>
      <w:r w:rsidRPr="0001029D">
        <w:rPr>
          <w:rFonts w:eastAsia="Arial Unicode MS"/>
          <w:u w:color="000000"/>
        </w:rPr>
        <w:t>Holder, ‘</w:t>
      </w:r>
      <w:r w:rsidRPr="0001029D">
        <w:rPr>
          <w:u w:color="000000"/>
        </w:rPr>
        <w:t xml:space="preserve">Allegory and History’. </w:t>
      </w:r>
      <w:r w:rsidRPr="0001029D">
        <w:rPr>
          <w:rFonts w:eastAsia="Arial Unicode MS"/>
          <w:u w:color="000000"/>
        </w:rPr>
        <w:t xml:space="preserve">For a recent recapitulation of the argument, see Furry, </w:t>
      </w:r>
      <w:r w:rsidRPr="0001029D">
        <w:rPr>
          <w:rFonts w:eastAsia="Arial Unicode MS"/>
          <w:i/>
          <w:iCs/>
          <w:u w:color="000000"/>
        </w:rPr>
        <w:t>Allegorizing History</w:t>
      </w:r>
      <w:r w:rsidRPr="0001029D">
        <w:rPr>
          <w:rFonts w:eastAsia="Arial Unicode MS"/>
          <w:iCs/>
          <w:u w:color="000000"/>
        </w:rPr>
        <w:t>.</w:t>
      </w:r>
    </w:p>
  </w:endnote>
  <w:endnote w:id="67">
    <w:p w14:paraId="3D6DECA6" w14:textId="2EE0EB1A"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Holder, ‘Allegory and History’, p. 129.</w:t>
      </w:r>
    </w:p>
  </w:endnote>
  <w:endnote w:id="68">
    <w:p w14:paraId="3D1C74CC" w14:textId="43600C72"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Holder, ‘Allegory and History’, pp. 129–30.</w:t>
      </w:r>
    </w:p>
  </w:endnote>
  <w:endnote w:id="69">
    <w:p w14:paraId="07B97D72" w14:textId="2957C800" w:rsidR="0027490E" w:rsidRPr="0001029D" w:rsidRDefault="0027490E" w:rsidP="00907464">
      <w:pPr>
        <w:pStyle w:val="Footnote"/>
        <w:spacing w:after="120" w:line="480" w:lineRule="auto"/>
        <w:rPr>
          <w:bCs/>
        </w:rPr>
      </w:pPr>
      <w:r w:rsidRPr="0001029D">
        <w:rPr>
          <w:u w:color="000000"/>
          <w:vertAlign w:val="superscript"/>
        </w:rPr>
        <w:endnoteRef/>
      </w:r>
      <w:r w:rsidRPr="0001029D">
        <w:rPr>
          <w:u w:color="000000"/>
        </w:rPr>
        <w:t xml:space="preserve"> Josephus, </w:t>
      </w:r>
      <w:r w:rsidRPr="0001029D">
        <w:rPr>
          <w:i/>
          <w:iCs/>
          <w:u w:color="000000"/>
        </w:rPr>
        <w:t>Antiquitates Judaicae</w:t>
      </w:r>
      <w:r w:rsidRPr="0001029D">
        <w:rPr>
          <w:u w:color="000000"/>
        </w:rPr>
        <w:t xml:space="preserve"> III.vii.4, </w:t>
      </w:r>
      <w:r w:rsidRPr="0001029D">
        <w:rPr>
          <w:bCs/>
        </w:rPr>
        <w:t>ed. R. Pollard and J. Timmermann,</w:t>
      </w:r>
      <w:r w:rsidRPr="0001029D">
        <w:rPr>
          <w:bCs/>
          <w:i/>
        </w:rPr>
        <w:t xml:space="preserve"> </w:t>
      </w:r>
      <w:r w:rsidRPr="0001029D">
        <w:rPr>
          <w:bCs/>
        </w:rPr>
        <w:t>(2013), &lt;sites.google.com/site/latinjosephus&gt; [accessed 30 November 2015]</w:t>
      </w:r>
      <w:r w:rsidRPr="0001029D">
        <w:rPr>
          <w:u w:color="000000"/>
        </w:rPr>
        <w:t xml:space="preserve">; Jerome, </w:t>
      </w:r>
      <w:r w:rsidRPr="0001029D">
        <w:rPr>
          <w:i/>
          <w:iCs/>
          <w:u w:color="000000"/>
        </w:rPr>
        <w:t>Ep</w:t>
      </w:r>
      <w:r w:rsidRPr="0001029D">
        <w:rPr>
          <w:u w:color="000000"/>
        </w:rPr>
        <w:t xml:space="preserve">. LXIV.14, </w:t>
      </w:r>
      <w:r w:rsidRPr="0001029D">
        <w:t xml:space="preserve">ed. I Hilberg, CSEL 54 (Vienna, 1910) </w:t>
      </w:r>
      <w:r w:rsidRPr="0001029D">
        <w:rPr>
          <w:u w:color="000000"/>
        </w:rPr>
        <w:t xml:space="preserve">p. 600. Cf. </w:t>
      </w:r>
      <w:r w:rsidRPr="0001029D">
        <w:rPr>
          <w:i/>
          <w:iCs/>
        </w:rPr>
        <w:t>Bede: On the Tabernacle</w:t>
      </w:r>
      <w:r w:rsidRPr="0001029D">
        <w:t>, trans. A.G. Holder, Translated Texts for Historians 18 (Liverpool, 1994)</w:t>
      </w:r>
      <w:r w:rsidRPr="0001029D">
        <w:rPr>
          <w:u w:color="000000"/>
        </w:rPr>
        <w:t>, p. 128, n. 3.</w:t>
      </w:r>
    </w:p>
  </w:endnote>
  <w:endnote w:id="70">
    <w:p w14:paraId="720E2EE4" w14:textId="32388F36"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Bede, </w:t>
      </w:r>
      <w:r w:rsidRPr="0001029D">
        <w:rPr>
          <w:i/>
          <w:iCs/>
          <w:u w:color="000000"/>
        </w:rPr>
        <w:t>De tabernaculo</w:t>
      </w:r>
      <w:r w:rsidRPr="0001029D">
        <w:rPr>
          <w:u w:color="000000"/>
        </w:rPr>
        <w:t xml:space="preserve"> III.737–72, ed. D. Hurst, CCSL 119A (Turnhout, 1969), pp. 111–12.</w:t>
      </w:r>
    </w:p>
  </w:endnote>
  <w:endnote w:id="71">
    <w:p w14:paraId="2529CEAD" w14:textId="2843154E"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Bede, </w:t>
      </w:r>
      <w:r w:rsidRPr="0001029D">
        <w:rPr>
          <w:i/>
          <w:iCs/>
          <w:u w:color="000000"/>
        </w:rPr>
        <w:t xml:space="preserve">De templo </w:t>
      </w:r>
      <w:r w:rsidRPr="0001029D">
        <w:rPr>
          <w:u w:color="000000"/>
        </w:rPr>
        <w:t xml:space="preserve">II.73–6, ed. D. Hurst, CCSL 119A (Turnhout, 1969), pp. 193: ‘Haec quidem de structura templi studioso lectori credidimus intimanda. Verum in eis quaecumque scriptura sacra referre commodum duxit figuras mysteriorum quaeramus ceteris pro historiae cognitione simpliciter utamur’; trans. S. Connolly, </w:t>
      </w:r>
      <w:r w:rsidRPr="0001029D">
        <w:rPr>
          <w:i/>
          <w:iCs/>
          <w:u w:color="000000"/>
        </w:rPr>
        <w:t>Bede: On the Temple</w:t>
      </w:r>
      <w:r w:rsidRPr="0001029D">
        <w:rPr>
          <w:u w:color="000000"/>
        </w:rPr>
        <w:t>, Translated Texts for Historians 21 (Liverpool, 1995), p. 68, modified.</w:t>
      </w:r>
    </w:p>
  </w:endnote>
  <w:endnote w:id="72">
    <w:p w14:paraId="4FEA816A" w14:textId="1E8F25AC" w:rsidR="0027490E" w:rsidRPr="0001029D" w:rsidRDefault="0027490E" w:rsidP="00907464">
      <w:pPr>
        <w:pStyle w:val="Footnote"/>
        <w:spacing w:after="120" w:line="480" w:lineRule="auto"/>
        <w:rPr>
          <w:bCs/>
        </w:rPr>
      </w:pPr>
      <w:r w:rsidRPr="0001029D">
        <w:rPr>
          <w:vertAlign w:val="superscript"/>
        </w:rPr>
        <w:endnoteRef/>
      </w:r>
      <w:r w:rsidRPr="0001029D">
        <w:t xml:space="preserve"> Bede, </w:t>
      </w:r>
      <w:r w:rsidRPr="0001029D">
        <w:rPr>
          <w:i/>
        </w:rPr>
        <w:t>De templo</w:t>
      </w:r>
      <w:r w:rsidRPr="0001029D">
        <w:t xml:space="preserve"> II.95–114., ed. Hurst, p. 194; Josephus, </w:t>
      </w:r>
      <w:r w:rsidRPr="0001029D">
        <w:rPr>
          <w:i/>
          <w:iCs/>
          <w:u w:color="000000"/>
        </w:rPr>
        <w:t>Antiquitates Judaicae</w:t>
      </w:r>
      <w:r w:rsidRPr="0001029D">
        <w:rPr>
          <w:bCs/>
          <w:i/>
          <w:iCs/>
        </w:rPr>
        <w:t xml:space="preserve"> </w:t>
      </w:r>
      <w:r w:rsidRPr="0001029D">
        <w:rPr>
          <w:bCs/>
        </w:rPr>
        <w:t>VIII.iii.9, ed. R. Pollard and J. Timmermann,</w:t>
      </w:r>
      <w:r w:rsidRPr="0001029D">
        <w:rPr>
          <w:bCs/>
          <w:i/>
        </w:rPr>
        <w:t xml:space="preserve"> </w:t>
      </w:r>
      <w:r w:rsidRPr="0001029D">
        <w:rPr>
          <w:bCs/>
        </w:rPr>
        <w:t xml:space="preserve">(2013), &lt;sites.google.com/site/latinjosephus&gt; [accessed 30 November 2015]. Bede mentions Josephus as his source for this information in </w:t>
      </w:r>
      <w:r w:rsidRPr="0001029D">
        <w:rPr>
          <w:bCs/>
          <w:i/>
        </w:rPr>
        <w:t xml:space="preserve">De templo </w:t>
      </w:r>
      <w:r w:rsidRPr="0001029D">
        <w:rPr>
          <w:bCs/>
        </w:rPr>
        <w:t>II.19–27, ed. Hurst, p. 192.</w:t>
      </w:r>
    </w:p>
  </w:endnote>
  <w:endnote w:id="73">
    <w:p w14:paraId="72738CAE" w14:textId="4302B50C" w:rsidR="0027490E" w:rsidRPr="0001029D" w:rsidRDefault="0027490E" w:rsidP="00907464">
      <w:pPr>
        <w:pStyle w:val="Footnote"/>
        <w:spacing w:after="120" w:line="480" w:lineRule="auto"/>
      </w:pPr>
      <w:r w:rsidRPr="0001029D">
        <w:rPr>
          <w:kern w:val="1"/>
          <w:u w:color="000000"/>
          <w:vertAlign w:val="superscript"/>
        </w:rPr>
        <w:endnoteRef/>
      </w:r>
      <w:r w:rsidRPr="0001029D">
        <w:rPr>
          <w:u w:color="000000"/>
        </w:rPr>
        <w:t xml:space="preserve"> Bede, </w:t>
      </w:r>
      <w:r w:rsidRPr="0001029D">
        <w:rPr>
          <w:i/>
          <w:iCs/>
          <w:u w:color="000000"/>
        </w:rPr>
        <w:t>De templo</w:t>
      </w:r>
      <w:r w:rsidRPr="0001029D">
        <w:rPr>
          <w:u w:color="000000"/>
        </w:rPr>
        <w:t xml:space="preserve"> I.386–7, ed. Hurst, p. 156: ‘mundam electorum actionem simul et conscientiam ab omni naeuo corruptionis castigatam</w:t>
      </w:r>
      <w:r w:rsidRPr="0001029D">
        <w:rPr>
          <w:kern w:val="1"/>
          <w:u w:color="000000"/>
        </w:rPr>
        <w:t>’</w:t>
      </w:r>
      <w:r w:rsidRPr="0001029D">
        <w:rPr>
          <w:u w:color="000000"/>
        </w:rPr>
        <w:t>; trans. Connolly, p. 17</w:t>
      </w:r>
      <w:r w:rsidRPr="0001029D">
        <w:rPr>
          <w:kern w:val="1"/>
          <w:u w:color="000000"/>
        </w:rPr>
        <w:t>.</w:t>
      </w:r>
    </w:p>
  </w:endnote>
  <w:endnote w:id="74">
    <w:p w14:paraId="55E8F2DC" w14:textId="13A2239E" w:rsidR="0027490E" w:rsidRPr="0001029D" w:rsidRDefault="0027490E" w:rsidP="00907464">
      <w:pPr>
        <w:pStyle w:val="Footnote"/>
        <w:spacing w:after="120" w:line="480" w:lineRule="auto"/>
      </w:pPr>
      <w:r w:rsidRPr="0001029D">
        <w:rPr>
          <w:vertAlign w:val="superscript"/>
        </w:rPr>
        <w:endnoteRef/>
      </w:r>
      <w:r w:rsidRPr="0001029D">
        <w:t xml:space="preserve"> A.R. Meyer, </w:t>
      </w:r>
      <w:r w:rsidRPr="0001029D">
        <w:rPr>
          <w:i/>
        </w:rPr>
        <w:t>Medieval Allegory and the Building of the New Jerusalem</w:t>
      </w:r>
      <w:r w:rsidRPr="0001029D">
        <w:t xml:space="preserve"> (Cambridge, 2003), p. 21.</w:t>
      </w:r>
    </w:p>
  </w:endnote>
  <w:endnote w:id="75">
    <w:p w14:paraId="122D64D8" w14:textId="4AE50D63" w:rsidR="00A326EA" w:rsidRPr="0001029D" w:rsidRDefault="00A326EA" w:rsidP="00907464">
      <w:pPr>
        <w:pStyle w:val="Footnote"/>
        <w:spacing w:after="120" w:line="480" w:lineRule="auto"/>
      </w:pPr>
      <w:r w:rsidRPr="0001029D">
        <w:rPr>
          <w:vertAlign w:val="superscript"/>
        </w:rPr>
        <w:endnoteRef/>
      </w:r>
      <w:r w:rsidRPr="0001029D">
        <w:t xml:space="preserve"> O’Reilly, ‘The Multitude of Isles and the Corner-stone’, pp. 209–10.</w:t>
      </w:r>
    </w:p>
  </w:endnote>
  <w:endnote w:id="76">
    <w:p w14:paraId="08C5E3CD" w14:textId="737E779B" w:rsidR="0027490E" w:rsidRPr="0001029D" w:rsidRDefault="0027490E" w:rsidP="00907464">
      <w:pPr>
        <w:pStyle w:val="EndnoteText"/>
        <w:spacing w:after="120" w:line="480" w:lineRule="auto"/>
        <w:jc w:val="both"/>
        <w:rPr>
          <w:sz w:val="20"/>
          <w:szCs w:val="20"/>
          <w:lang w:val="en-IE"/>
        </w:rPr>
      </w:pPr>
      <w:r w:rsidRPr="0001029D">
        <w:rPr>
          <w:rStyle w:val="EndnoteReference"/>
          <w:sz w:val="20"/>
          <w:szCs w:val="20"/>
        </w:rPr>
        <w:endnoteRef/>
      </w:r>
      <w:r w:rsidRPr="0001029D">
        <w:rPr>
          <w:sz w:val="20"/>
          <w:szCs w:val="20"/>
        </w:rPr>
        <w:t xml:space="preserve"> </w:t>
      </w:r>
      <w:r w:rsidRPr="0001029D">
        <w:rPr>
          <w:sz w:val="20"/>
          <w:szCs w:val="20"/>
          <w:lang w:val="de-DE"/>
        </w:rPr>
        <w:t xml:space="preserve">Bede, </w:t>
      </w:r>
      <w:r w:rsidRPr="0001029D">
        <w:rPr>
          <w:i/>
          <w:iCs/>
          <w:sz w:val="20"/>
          <w:szCs w:val="20"/>
        </w:rPr>
        <w:t>DSET</w:t>
      </w:r>
      <w:r w:rsidRPr="0001029D">
        <w:rPr>
          <w:sz w:val="20"/>
          <w:szCs w:val="20"/>
        </w:rPr>
        <w:t xml:space="preserve"> ii.2, ed. and trans. Kendall, pp. 196, 203: ‘</w:t>
      </w:r>
      <w:r w:rsidRPr="0001029D">
        <w:rPr>
          <w:sz w:val="20"/>
          <w:szCs w:val="20"/>
          <w:lang w:val="it-IT"/>
        </w:rPr>
        <w:t>Item allegoria verbis sive operibus aliquando historicam rem, aliquando typicam, aliquando tropologicam, id est, moralem rationem, aliquando anagogen, hoc est, sensum ad superiora ducentem figurate denuntiat</w:t>
      </w:r>
      <w:r w:rsidRPr="0001029D">
        <w:rPr>
          <w:sz w:val="20"/>
          <w:szCs w:val="20"/>
        </w:rPr>
        <w:t>’.</w:t>
      </w:r>
    </w:p>
  </w:endnote>
  <w:endnote w:id="77">
    <w:p w14:paraId="1BE8F10E" w14:textId="31F05D8B" w:rsidR="00D20FC1" w:rsidRPr="00D20FC1" w:rsidRDefault="00D20FC1" w:rsidP="00907464">
      <w:pPr>
        <w:pStyle w:val="EndnoteText"/>
        <w:spacing w:after="120" w:line="480" w:lineRule="auto"/>
        <w:jc w:val="both"/>
        <w:rPr>
          <w:sz w:val="20"/>
          <w:szCs w:val="20"/>
          <w:lang w:val="en-IE"/>
        </w:rPr>
      </w:pPr>
      <w:r w:rsidRPr="00D20FC1">
        <w:rPr>
          <w:rStyle w:val="EndnoteReference"/>
          <w:sz w:val="20"/>
          <w:szCs w:val="20"/>
        </w:rPr>
        <w:endnoteRef/>
      </w:r>
      <w:r w:rsidRPr="00D20FC1">
        <w:rPr>
          <w:sz w:val="20"/>
          <w:szCs w:val="20"/>
        </w:rPr>
        <w:t xml:space="preserve"> Bede, </w:t>
      </w:r>
      <w:r w:rsidRPr="00D20FC1">
        <w:rPr>
          <w:i/>
          <w:iCs/>
          <w:sz w:val="20"/>
          <w:szCs w:val="20"/>
        </w:rPr>
        <w:t>V</w:t>
      </w:r>
      <w:r>
        <w:rPr>
          <w:i/>
          <w:iCs/>
          <w:sz w:val="20"/>
          <w:szCs w:val="20"/>
        </w:rPr>
        <w:t xml:space="preserve">ita </w:t>
      </w:r>
      <w:r w:rsidR="001B3A6F">
        <w:rPr>
          <w:i/>
          <w:iCs/>
          <w:sz w:val="20"/>
          <w:szCs w:val="20"/>
        </w:rPr>
        <w:t xml:space="preserve">Sancti </w:t>
      </w:r>
      <w:r w:rsidRPr="00D20FC1">
        <w:rPr>
          <w:i/>
          <w:iCs/>
          <w:sz w:val="20"/>
          <w:szCs w:val="20"/>
        </w:rPr>
        <w:t>C</w:t>
      </w:r>
      <w:r>
        <w:rPr>
          <w:i/>
          <w:iCs/>
          <w:sz w:val="20"/>
          <w:szCs w:val="20"/>
        </w:rPr>
        <w:t>uthberti</w:t>
      </w:r>
      <w:r>
        <w:rPr>
          <w:iCs/>
          <w:sz w:val="20"/>
          <w:szCs w:val="20"/>
        </w:rPr>
        <w:t>, ch.</w:t>
      </w:r>
      <w:r w:rsidRPr="00D20FC1">
        <w:rPr>
          <w:i/>
          <w:iCs/>
          <w:sz w:val="20"/>
          <w:szCs w:val="20"/>
        </w:rPr>
        <w:t xml:space="preserve"> </w:t>
      </w:r>
      <w:r>
        <w:rPr>
          <w:sz w:val="20"/>
          <w:szCs w:val="20"/>
        </w:rPr>
        <w:t xml:space="preserve">46, ed. B. </w:t>
      </w:r>
      <w:r w:rsidRPr="00D20FC1">
        <w:rPr>
          <w:sz w:val="20"/>
          <w:szCs w:val="20"/>
        </w:rPr>
        <w:t xml:space="preserve">Colgrave, </w:t>
      </w:r>
      <w:r w:rsidR="001B3A6F">
        <w:rPr>
          <w:i/>
          <w:sz w:val="20"/>
          <w:szCs w:val="20"/>
        </w:rPr>
        <w:t xml:space="preserve">Two Lives of Saint </w:t>
      </w:r>
      <w:r w:rsidR="001B3A6F" w:rsidRPr="001B3A6F">
        <w:rPr>
          <w:i/>
          <w:sz w:val="20"/>
          <w:szCs w:val="20"/>
        </w:rPr>
        <w:t>Cuthbert</w:t>
      </w:r>
      <w:r w:rsidR="001B3A6F">
        <w:rPr>
          <w:sz w:val="20"/>
          <w:szCs w:val="20"/>
        </w:rPr>
        <w:t xml:space="preserve"> (Cambridge, 1940), </w:t>
      </w:r>
      <w:r w:rsidRPr="001B3A6F">
        <w:rPr>
          <w:sz w:val="20"/>
          <w:szCs w:val="20"/>
        </w:rPr>
        <w:t>p</w:t>
      </w:r>
      <w:r w:rsidR="001B3A6F">
        <w:rPr>
          <w:sz w:val="20"/>
          <w:szCs w:val="20"/>
        </w:rPr>
        <w:t>p. 304–6</w:t>
      </w:r>
      <w:r>
        <w:rPr>
          <w:sz w:val="20"/>
          <w:szCs w:val="20"/>
        </w:rPr>
        <w:t>.</w:t>
      </w:r>
      <w:r>
        <w:rPr>
          <w:i/>
          <w:vanish/>
          <w:sz w:val="20"/>
          <w:szCs w:val="20"/>
        </w:rPr>
        <w:t>Two Lives of Cuthbertgement Day;dies after Judgement Day.ory.ave varied.thought--of the world around him, n universally applied,</w:t>
      </w:r>
      <w:r>
        <w:rPr>
          <w:sz w:val="20"/>
          <w:szCs w:val="20"/>
          <w:u w:color="000000"/>
        </w:rPr>
        <w:t xml:space="preserve"> </w:t>
      </w:r>
    </w:p>
  </w:endnote>
  <w:endnote w:id="78">
    <w:p w14:paraId="627CF3C0" w14:textId="4BE3387A" w:rsidR="006E1A3A" w:rsidRPr="006E1A3A" w:rsidRDefault="006E1A3A" w:rsidP="00907464">
      <w:pPr>
        <w:pStyle w:val="EndnoteText"/>
        <w:spacing w:after="120" w:line="480" w:lineRule="auto"/>
        <w:jc w:val="both"/>
        <w:rPr>
          <w:sz w:val="20"/>
          <w:szCs w:val="20"/>
          <w:lang w:val="en-IE"/>
        </w:rPr>
      </w:pPr>
      <w:r w:rsidRPr="006E1A3A">
        <w:rPr>
          <w:rStyle w:val="EndnoteReference"/>
          <w:sz w:val="20"/>
          <w:szCs w:val="20"/>
        </w:rPr>
        <w:endnoteRef/>
      </w:r>
      <w:r w:rsidRPr="006E1A3A">
        <w:rPr>
          <w:sz w:val="20"/>
          <w:szCs w:val="20"/>
        </w:rPr>
        <w:t xml:space="preserve"> Bede</w:t>
      </w:r>
      <w:r>
        <w:rPr>
          <w:sz w:val="20"/>
          <w:szCs w:val="20"/>
        </w:rPr>
        <w:t xml:space="preserve">, </w:t>
      </w:r>
      <w:r>
        <w:rPr>
          <w:i/>
          <w:sz w:val="20"/>
          <w:szCs w:val="20"/>
        </w:rPr>
        <w:t>Historia abbatum</w:t>
      </w:r>
      <w:r>
        <w:rPr>
          <w:sz w:val="20"/>
          <w:szCs w:val="20"/>
        </w:rPr>
        <w:t xml:space="preserve">, ch. 14, ed. C. Grocock and I. Wood, </w:t>
      </w:r>
      <w:r>
        <w:rPr>
          <w:i/>
          <w:sz w:val="20"/>
          <w:szCs w:val="20"/>
        </w:rPr>
        <w:t>Abbots of Wearmouth and Jarrow</w:t>
      </w:r>
      <w:r>
        <w:rPr>
          <w:sz w:val="20"/>
          <w:szCs w:val="20"/>
        </w:rPr>
        <w:t xml:space="preserve"> (Oxford, 2013), p. 54.</w:t>
      </w:r>
    </w:p>
  </w:endnote>
  <w:endnote w:id="79">
    <w:p w14:paraId="45CE583F" w14:textId="14B94D24" w:rsidR="00CC310C" w:rsidRPr="00CC310C" w:rsidRDefault="00CC310C" w:rsidP="00907464">
      <w:pPr>
        <w:pStyle w:val="EndnoteText"/>
        <w:spacing w:after="120" w:line="480" w:lineRule="auto"/>
        <w:jc w:val="both"/>
        <w:rPr>
          <w:sz w:val="20"/>
          <w:szCs w:val="20"/>
          <w:lang w:val="en-IE"/>
        </w:rPr>
      </w:pPr>
      <w:r w:rsidRPr="00CC310C">
        <w:rPr>
          <w:rStyle w:val="EndnoteReference"/>
          <w:sz w:val="20"/>
          <w:szCs w:val="20"/>
        </w:rPr>
        <w:endnoteRef/>
      </w:r>
      <w:r w:rsidRPr="00CC310C">
        <w:rPr>
          <w:sz w:val="20"/>
          <w:szCs w:val="20"/>
        </w:rPr>
        <w:t xml:space="preserve"> Bede, </w:t>
      </w:r>
      <w:r w:rsidRPr="00CC310C">
        <w:rPr>
          <w:i/>
          <w:iCs/>
          <w:sz w:val="20"/>
          <w:szCs w:val="20"/>
        </w:rPr>
        <w:t xml:space="preserve">HE </w:t>
      </w:r>
      <w:r>
        <w:rPr>
          <w:sz w:val="20"/>
          <w:szCs w:val="20"/>
        </w:rPr>
        <w:t xml:space="preserve">IV.13, </w:t>
      </w:r>
      <w:r w:rsidRPr="00CC310C">
        <w:rPr>
          <w:sz w:val="20"/>
          <w:szCs w:val="20"/>
        </w:rPr>
        <w:t xml:space="preserve">ed. </w:t>
      </w:r>
      <w:r>
        <w:rPr>
          <w:sz w:val="20"/>
          <w:szCs w:val="20"/>
        </w:rPr>
        <w:t>Colgrave and Mynors, p. 374.</w:t>
      </w:r>
    </w:p>
  </w:endnote>
  <w:endnote w:id="80">
    <w:p w14:paraId="42466D6A" w14:textId="1F697215" w:rsidR="0027490E" w:rsidRPr="0001029D" w:rsidRDefault="0027490E" w:rsidP="00907464">
      <w:pPr>
        <w:pStyle w:val="Footnote"/>
        <w:spacing w:after="120" w:line="480" w:lineRule="auto"/>
        <w:rPr>
          <w:i/>
        </w:rPr>
      </w:pPr>
      <w:r w:rsidRPr="0001029D">
        <w:rPr>
          <w:u w:color="000000"/>
          <w:vertAlign w:val="superscript"/>
        </w:rPr>
        <w:endnoteRef/>
      </w:r>
      <w:r w:rsidRPr="0001029D">
        <w:rPr>
          <w:u w:color="000000"/>
        </w:rPr>
        <w:t xml:space="preserve"> Bede, </w:t>
      </w:r>
      <w:r w:rsidRPr="0001029D">
        <w:rPr>
          <w:i/>
          <w:iCs/>
          <w:u w:color="000000"/>
        </w:rPr>
        <w:t xml:space="preserve">HE </w:t>
      </w:r>
      <w:r w:rsidRPr="0001029D">
        <w:rPr>
          <w:u w:color="000000"/>
        </w:rPr>
        <w:t>II.1, ed. Colgrave and Mynors, pp. 132–4.</w:t>
      </w:r>
    </w:p>
  </w:endnote>
  <w:endnote w:id="81">
    <w:p w14:paraId="22E04F34" w14:textId="2C6085D5" w:rsidR="0027490E" w:rsidRPr="0001029D" w:rsidRDefault="0027490E" w:rsidP="00907464">
      <w:pPr>
        <w:pStyle w:val="Footnote"/>
        <w:widowControl w:val="0"/>
        <w:suppressAutoHyphens/>
        <w:spacing w:after="120" w:line="480" w:lineRule="auto"/>
      </w:pPr>
      <w:r w:rsidRPr="0001029D">
        <w:rPr>
          <w:u w:color="000000"/>
          <w:vertAlign w:val="superscript"/>
        </w:rPr>
        <w:endnoteRef/>
      </w:r>
      <w:r w:rsidRPr="0001029D">
        <w:rPr>
          <w:kern w:val="1"/>
          <w:u w:color="000000"/>
        </w:rPr>
        <w:t xml:space="preserve"> D.A. Orsbon, ‘</w:t>
      </w:r>
      <w:r w:rsidRPr="0001029D">
        <w:rPr>
          <w:kern w:val="1"/>
        </w:rPr>
        <w:t xml:space="preserve">Bede’s Sacred Order: Schemes and Tropes in the </w:t>
      </w:r>
      <w:r w:rsidRPr="0001029D">
        <w:rPr>
          <w:i/>
          <w:kern w:val="1"/>
        </w:rPr>
        <w:t>Historia Ecclesiastica</w:t>
      </w:r>
      <w:r w:rsidRPr="0001029D">
        <w:rPr>
          <w:kern w:val="1"/>
          <w:u w:color="000000"/>
        </w:rPr>
        <w:t xml:space="preserve">’, </w:t>
      </w:r>
      <w:r w:rsidRPr="0001029D">
        <w:rPr>
          <w:i/>
          <w:iCs/>
          <w:kern w:val="1"/>
          <w:u w:color="000000"/>
        </w:rPr>
        <w:t>The American Benedictine Review</w:t>
      </w:r>
      <w:r w:rsidRPr="0001029D">
        <w:rPr>
          <w:kern w:val="1"/>
          <w:u w:color="000000"/>
        </w:rPr>
        <w:t xml:space="preserve"> 62 (2011), pp. 3–26, </w:t>
      </w:r>
      <w:r w:rsidRPr="0001029D">
        <w:rPr>
          <w:kern w:val="1"/>
        </w:rPr>
        <w:t>125–142,</w:t>
      </w:r>
      <w:r w:rsidRPr="0001029D">
        <w:rPr>
          <w:kern w:val="1"/>
          <w:u w:color="000000"/>
        </w:rPr>
        <w:t xml:space="preserve"> at p. 134.</w:t>
      </w:r>
    </w:p>
  </w:endnote>
  <w:endnote w:id="82">
    <w:p w14:paraId="124B539D" w14:textId="27F0E31A"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Bede, </w:t>
      </w:r>
      <w:r w:rsidRPr="0001029D">
        <w:rPr>
          <w:i/>
          <w:iCs/>
          <w:u w:color="000000"/>
        </w:rPr>
        <w:t xml:space="preserve">HE </w:t>
      </w:r>
      <w:r w:rsidRPr="0001029D">
        <w:rPr>
          <w:u w:color="000000"/>
        </w:rPr>
        <w:t>III.1, ed. and trans. Colgrave and Mynors, pp. 214–5.</w:t>
      </w:r>
    </w:p>
  </w:endnote>
  <w:endnote w:id="83">
    <w:p w14:paraId="6ED359B7" w14:textId="0D7D335E"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Bede, </w:t>
      </w:r>
      <w:r w:rsidRPr="0001029D">
        <w:rPr>
          <w:i/>
          <w:iCs/>
          <w:u w:color="000000"/>
        </w:rPr>
        <w:t xml:space="preserve">HE </w:t>
      </w:r>
      <w:r w:rsidRPr="0001029D">
        <w:rPr>
          <w:u w:color="000000"/>
        </w:rPr>
        <w:t>III.2, ed. and trans. Colgrave and Mynors, pp. 216–7: ‘</w:t>
      </w:r>
      <w:r w:rsidRPr="0001029D">
        <w:rPr>
          <w:u w:color="000000"/>
          <w:lang w:val="fr-FR"/>
        </w:rPr>
        <w:t>quod certo utique praesagio futurorum antiquitus … accepit; significans nimirum, quod ibidem caeleste erigendum tropaeum, caelestis inchoanda uictoria, caelestia usque hodie forent miracula celebranda’.</w:t>
      </w:r>
    </w:p>
  </w:endnote>
  <w:endnote w:id="84">
    <w:p w14:paraId="6BEBCF3F" w14:textId="2008420B" w:rsidR="0027490E" w:rsidRPr="0001029D" w:rsidRDefault="0027490E" w:rsidP="00907464">
      <w:pPr>
        <w:pStyle w:val="Footnote"/>
        <w:spacing w:after="120" w:line="480" w:lineRule="auto"/>
      </w:pPr>
      <w:r w:rsidRPr="0001029D">
        <w:rPr>
          <w:kern w:val="1"/>
          <w:u w:color="000000"/>
          <w:vertAlign w:val="superscript"/>
        </w:rPr>
        <w:endnoteRef/>
      </w:r>
      <w:r w:rsidRPr="0001029D">
        <w:rPr>
          <w:u w:color="000000"/>
        </w:rPr>
        <w:t xml:space="preserve"> </w:t>
      </w:r>
      <w:r w:rsidRPr="0001029D">
        <w:rPr>
          <w:kern w:val="1"/>
          <w:u w:color="000000"/>
        </w:rPr>
        <w:t xml:space="preserve">Bede, </w:t>
      </w:r>
      <w:r w:rsidRPr="0001029D">
        <w:rPr>
          <w:i/>
          <w:iCs/>
          <w:kern w:val="1"/>
          <w:u w:color="000000"/>
        </w:rPr>
        <w:t xml:space="preserve">HE </w:t>
      </w:r>
      <w:r w:rsidRPr="0001029D">
        <w:rPr>
          <w:kern w:val="1"/>
          <w:u w:color="000000"/>
        </w:rPr>
        <w:t>III.10, ed. and trans. Colgrave and Mynors, pp. 244–5: ‘</w:t>
      </w:r>
      <w:r w:rsidRPr="0001029D">
        <w:rPr>
          <w:kern w:val="1"/>
          <w:u w:color="000000"/>
          <w:lang w:val="it-IT"/>
        </w:rPr>
        <w:t>unius loci spatium cetero campo uiridius ac uenustius, coepitque sagaci animo conicere, quod nulla esset alia causa insolitae illo in loco uiriditatis, nisi quia ibidem sanctior cetero exercitu uir aliquis fuisset interfectus</w:t>
      </w:r>
      <w:r w:rsidRPr="0001029D">
        <w:rPr>
          <w:kern w:val="1"/>
          <w:u w:color="000000"/>
        </w:rPr>
        <w:t>’.</w:t>
      </w:r>
    </w:p>
  </w:endnote>
  <w:endnote w:id="85">
    <w:p w14:paraId="0C37F535" w14:textId="50A3F789" w:rsidR="0027490E" w:rsidRPr="0001029D" w:rsidRDefault="0027490E" w:rsidP="00907464">
      <w:pPr>
        <w:pStyle w:val="Footnote"/>
        <w:spacing w:after="120" w:line="480" w:lineRule="auto"/>
      </w:pPr>
      <w:r w:rsidRPr="0001029D">
        <w:rPr>
          <w:kern w:val="1"/>
          <w:u w:color="000000"/>
          <w:vertAlign w:val="superscript"/>
        </w:rPr>
        <w:endnoteRef/>
      </w:r>
      <w:r w:rsidRPr="0001029D">
        <w:rPr>
          <w:u w:color="000000"/>
        </w:rPr>
        <w:t xml:space="preserve"> </w:t>
      </w:r>
      <w:r w:rsidRPr="0001029D">
        <w:rPr>
          <w:kern w:val="1"/>
          <w:u w:color="000000"/>
        </w:rPr>
        <w:t xml:space="preserve">Bede, </w:t>
      </w:r>
      <w:r w:rsidRPr="0001029D">
        <w:rPr>
          <w:i/>
          <w:iCs/>
          <w:kern w:val="1"/>
          <w:u w:color="000000"/>
        </w:rPr>
        <w:t>HE</w:t>
      </w:r>
      <w:r w:rsidRPr="0001029D">
        <w:rPr>
          <w:kern w:val="1"/>
          <w:u w:color="000000"/>
        </w:rPr>
        <w:t xml:space="preserve"> I.7, ed. and trans. Colgrave and Mynors, pp. 32–3: ‘montem cum turbis reuerentissimus Dei confessor ascendit, qui oportune laetus gratia decentissima quingentis fere passibus ab harena situs est, uariis herbarum floribus depictus—immo usquequaque uestitus—in quo nihil repente arduum, nihil praeceps, nihil abruptum, quem lateribus longe late que deductum in modum aequoris natura complanat, dignum uidelicet eum pro insita sibi specie uenustatis iam olim reddens, qui beati martyris cruore dicaretur’.</w:t>
      </w:r>
    </w:p>
  </w:endnote>
  <w:endnote w:id="86">
    <w:p w14:paraId="59C6A128" w14:textId="01926A90" w:rsidR="0027490E" w:rsidRPr="0001029D" w:rsidRDefault="0027490E" w:rsidP="00907464">
      <w:pPr>
        <w:pStyle w:val="Footnote"/>
        <w:spacing w:after="120" w:line="480" w:lineRule="auto"/>
        <w:rPr>
          <w:u w:color="000000"/>
        </w:rPr>
      </w:pPr>
      <w:r w:rsidRPr="0001029D">
        <w:rPr>
          <w:kern w:val="1"/>
          <w:u w:color="000000"/>
          <w:vertAlign w:val="superscript"/>
        </w:rPr>
        <w:endnoteRef/>
      </w:r>
      <w:r w:rsidRPr="0001029D">
        <w:rPr>
          <w:u w:color="000000"/>
        </w:rPr>
        <w:t xml:space="preserve"> </w:t>
      </w:r>
      <w:r w:rsidRPr="0001029D">
        <w:rPr>
          <w:i/>
          <w:iCs/>
          <w:u w:color="000000"/>
        </w:rPr>
        <w:t>Passio Albani</w:t>
      </w:r>
      <w:r w:rsidRPr="0001029D">
        <w:rPr>
          <w:u w:color="000000"/>
        </w:rPr>
        <w:t>, transcription of the earliest manuscript</w:t>
      </w:r>
      <w:r w:rsidRPr="0001029D">
        <w:rPr>
          <w:i/>
          <w:u w:color="000000"/>
        </w:rPr>
        <w:t xml:space="preserve"> </w:t>
      </w:r>
      <w:r w:rsidRPr="0001029D">
        <w:rPr>
          <w:u w:color="000000"/>
        </w:rPr>
        <w:t xml:space="preserve">in I.N. Wood, ‘Levison and St Alban’, in M. Becher and Y. Hen (eds), </w:t>
      </w:r>
      <w:r w:rsidRPr="0001029D">
        <w:rPr>
          <w:i/>
          <w:iCs/>
          <w:u w:color="000000"/>
        </w:rPr>
        <w:t>Wilhelm Levison (1876–1947): ein jüdisches Forscherleben zwischen wissenschaftlicher Anerkennung und politischem Exil</w:t>
      </w:r>
      <w:r w:rsidRPr="0001029D">
        <w:rPr>
          <w:u w:color="000000"/>
        </w:rPr>
        <w:t xml:space="preserve"> (Siegburg, 2010), pp. 171–185, at p. 184.</w:t>
      </w:r>
    </w:p>
  </w:endnote>
  <w:endnote w:id="87">
    <w:p w14:paraId="15BE7944" w14:textId="7E570DD8" w:rsidR="0027490E" w:rsidRPr="0001029D" w:rsidRDefault="0027490E" w:rsidP="00907464">
      <w:pPr>
        <w:pStyle w:val="EndnoteText"/>
        <w:spacing w:after="120" w:line="480" w:lineRule="auto"/>
        <w:jc w:val="both"/>
        <w:rPr>
          <w:sz w:val="20"/>
          <w:szCs w:val="20"/>
        </w:rPr>
      </w:pPr>
      <w:r w:rsidRPr="0001029D">
        <w:rPr>
          <w:rStyle w:val="EndnoteReference"/>
          <w:sz w:val="20"/>
          <w:szCs w:val="20"/>
        </w:rPr>
        <w:endnoteRef/>
      </w:r>
      <w:r w:rsidRPr="0001029D">
        <w:rPr>
          <w:sz w:val="20"/>
          <w:szCs w:val="20"/>
        </w:rPr>
        <w:t xml:space="preserve"> Paulinus of Nola, </w:t>
      </w:r>
      <w:r w:rsidRPr="0001029D">
        <w:rPr>
          <w:i/>
          <w:iCs/>
          <w:sz w:val="20"/>
          <w:szCs w:val="20"/>
        </w:rPr>
        <w:t>Carmina</w:t>
      </w:r>
      <w:r w:rsidRPr="0001029D">
        <w:rPr>
          <w:sz w:val="20"/>
          <w:szCs w:val="20"/>
        </w:rPr>
        <w:t xml:space="preserve"> XVIII.133–4, ed. W. Hartel, CSEL 30 (Vienna, 1894), p. 103: ‘quasi praescia iam tunc /semper honorandi mundo uenerante sepulchri’; trans. P.G. Walsh, </w:t>
      </w:r>
      <w:r w:rsidRPr="0001029D">
        <w:rPr>
          <w:i/>
          <w:iCs/>
          <w:sz w:val="20"/>
          <w:szCs w:val="20"/>
        </w:rPr>
        <w:t>The Poems of St. Paulinus of Nola</w:t>
      </w:r>
      <w:r w:rsidRPr="0001029D">
        <w:rPr>
          <w:sz w:val="20"/>
          <w:szCs w:val="20"/>
        </w:rPr>
        <w:t>, Ancient Christian Writers 40 (New York, NY, 1975), pp. 118–9.</w:t>
      </w:r>
    </w:p>
  </w:endnote>
  <w:endnote w:id="88">
    <w:p w14:paraId="3421707F" w14:textId="17169A80" w:rsidR="0027490E" w:rsidRPr="0001029D" w:rsidRDefault="0027490E" w:rsidP="00907464">
      <w:pPr>
        <w:pStyle w:val="Footnote"/>
        <w:spacing w:after="120" w:line="480" w:lineRule="auto"/>
      </w:pPr>
      <w:r w:rsidRPr="0001029D">
        <w:rPr>
          <w:u w:color="000000"/>
          <w:vertAlign w:val="superscript"/>
        </w:rPr>
        <w:endnoteRef/>
      </w:r>
      <w:r w:rsidRPr="0001029D">
        <w:rPr>
          <w:u w:color="000000"/>
        </w:rPr>
        <w:t xml:space="preserve"> Orsbon, ‘Bede’s Sacred Order’, p. 134.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C2B1A" w14:textId="77777777" w:rsidR="0027490E" w:rsidRDefault="0027490E" w:rsidP="002749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578E7" w14:textId="77777777" w:rsidR="0027490E" w:rsidRDefault="0027490E" w:rsidP="001978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5457" w14:textId="77777777" w:rsidR="0027490E" w:rsidRDefault="0027490E" w:rsidP="002749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3D3">
      <w:rPr>
        <w:rStyle w:val="PageNumber"/>
        <w:noProof/>
      </w:rPr>
      <w:t>24</w:t>
    </w:r>
    <w:r>
      <w:rPr>
        <w:rStyle w:val="PageNumber"/>
      </w:rPr>
      <w:fldChar w:fldCharType="end"/>
    </w:r>
  </w:p>
  <w:p w14:paraId="06B2205D" w14:textId="77777777" w:rsidR="0027490E" w:rsidRDefault="0027490E" w:rsidP="001978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43759" w14:textId="77777777" w:rsidR="00213646" w:rsidRDefault="00213646">
      <w:r>
        <w:separator/>
      </w:r>
    </w:p>
  </w:footnote>
  <w:footnote w:type="continuationSeparator" w:id="0">
    <w:p w14:paraId="0FD5DA0C" w14:textId="77777777" w:rsidR="00213646" w:rsidRDefault="00213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C"/>
    <w:rsid w:val="00004B7C"/>
    <w:rsid w:val="00007599"/>
    <w:rsid w:val="0001029D"/>
    <w:rsid w:val="0002040A"/>
    <w:rsid w:val="00027E38"/>
    <w:rsid w:val="00032236"/>
    <w:rsid w:val="00044E8F"/>
    <w:rsid w:val="00052E45"/>
    <w:rsid w:val="0005306A"/>
    <w:rsid w:val="0005721B"/>
    <w:rsid w:val="0006020E"/>
    <w:rsid w:val="00061809"/>
    <w:rsid w:val="000618C1"/>
    <w:rsid w:val="0006460A"/>
    <w:rsid w:val="00064E16"/>
    <w:rsid w:val="00066451"/>
    <w:rsid w:val="0008029B"/>
    <w:rsid w:val="00080C0B"/>
    <w:rsid w:val="00084CBC"/>
    <w:rsid w:val="000922A9"/>
    <w:rsid w:val="000975BC"/>
    <w:rsid w:val="000B1E48"/>
    <w:rsid w:val="000D73AE"/>
    <w:rsid w:val="000D7613"/>
    <w:rsid w:val="000E08DF"/>
    <w:rsid w:val="000E66ED"/>
    <w:rsid w:val="000E69B1"/>
    <w:rsid w:val="000E7B14"/>
    <w:rsid w:val="000F1A19"/>
    <w:rsid w:val="000F5A56"/>
    <w:rsid w:val="000F75E0"/>
    <w:rsid w:val="00105FF9"/>
    <w:rsid w:val="001103BD"/>
    <w:rsid w:val="001138BA"/>
    <w:rsid w:val="001259FB"/>
    <w:rsid w:val="001305BC"/>
    <w:rsid w:val="00133DC1"/>
    <w:rsid w:val="00144088"/>
    <w:rsid w:val="0014456E"/>
    <w:rsid w:val="0015140C"/>
    <w:rsid w:val="001723B9"/>
    <w:rsid w:val="00180958"/>
    <w:rsid w:val="001833C5"/>
    <w:rsid w:val="00186E5E"/>
    <w:rsid w:val="001872DA"/>
    <w:rsid w:val="00187ABA"/>
    <w:rsid w:val="00190313"/>
    <w:rsid w:val="00194E28"/>
    <w:rsid w:val="00197832"/>
    <w:rsid w:val="001A0915"/>
    <w:rsid w:val="001A24AB"/>
    <w:rsid w:val="001B3A6F"/>
    <w:rsid w:val="001B656C"/>
    <w:rsid w:val="001C0773"/>
    <w:rsid w:val="001C5D68"/>
    <w:rsid w:val="001C74F3"/>
    <w:rsid w:val="001D29C9"/>
    <w:rsid w:val="001D3C18"/>
    <w:rsid w:val="001D52BE"/>
    <w:rsid w:val="001E112D"/>
    <w:rsid w:val="001E223D"/>
    <w:rsid w:val="001F616F"/>
    <w:rsid w:val="001F6281"/>
    <w:rsid w:val="001F66CE"/>
    <w:rsid w:val="00201629"/>
    <w:rsid w:val="002121E7"/>
    <w:rsid w:val="00212960"/>
    <w:rsid w:val="00213646"/>
    <w:rsid w:val="002320FF"/>
    <w:rsid w:val="00233BAF"/>
    <w:rsid w:val="00244C15"/>
    <w:rsid w:val="002465FA"/>
    <w:rsid w:val="00246F49"/>
    <w:rsid w:val="00250AB2"/>
    <w:rsid w:val="002537AD"/>
    <w:rsid w:val="00263306"/>
    <w:rsid w:val="00267C2A"/>
    <w:rsid w:val="0027490E"/>
    <w:rsid w:val="002B10DA"/>
    <w:rsid w:val="002C1267"/>
    <w:rsid w:val="002C1998"/>
    <w:rsid w:val="002C7902"/>
    <w:rsid w:val="002E0938"/>
    <w:rsid w:val="003167B5"/>
    <w:rsid w:val="00347269"/>
    <w:rsid w:val="003502C5"/>
    <w:rsid w:val="003503AE"/>
    <w:rsid w:val="00354364"/>
    <w:rsid w:val="00362C29"/>
    <w:rsid w:val="00364692"/>
    <w:rsid w:val="00390F0E"/>
    <w:rsid w:val="003940E2"/>
    <w:rsid w:val="003A709A"/>
    <w:rsid w:val="003B1116"/>
    <w:rsid w:val="003B3E83"/>
    <w:rsid w:val="003C202E"/>
    <w:rsid w:val="003C6E97"/>
    <w:rsid w:val="003D13ED"/>
    <w:rsid w:val="003E522C"/>
    <w:rsid w:val="003E7778"/>
    <w:rsid w:val="004106EB"/>
    <w:rsid w:val="00414BA8"/>
    <w:rsid w:val="00424F06"/>
    <w:rsid w:val="00425BCB"/>
    <w:rsid w:val="00433EEB"/>
    <w:rsid w:val="004340C3"/>
    <w:rsid w:val="004362F6"/>
    <w:rsid w:val="00453048"/>
    <w:rsid w:val="00460E4B"/>
    <w:rsid w:val="00462EFC"/>
    <w:rsid w:val="004646BB"/>
    <w:rsid w:val="00470A47"/>
    <w:rsid w:val="00481A05"/>
    <w:rsid w:val="00482BEC"/>
    <w:rsid w:val="004B08C8"/>
    <w:rsid w:val="004C1A90"/>
    <w:rsid w:val="004C5393"/>
    <w:rsid w:val="004E180E"/>
    <w:rsid w:val="004E4E80"/>
    <w:rsid w:val="005022F9"/>
    <w:rsid w:val="00520BE1"/>
    <w:rsid w:val="005243D7"/>
    <w:rsid w:val="00525055"/>
    <w:rsid w:val="00525E41"/>
    <w:rsid w:val="00540365"/>
    <w:rsid w:val="00540F15"/>
    <w:rsid w:val="005514F5"/>
    <w:rsid w:val="00561F29"/>
    <w:rsid w:val="005630C2"/>
    <w:rsid w:val="00565228"/>
    <w:rsid w:val="00566A9F"/>
    <w:rsid w:val="00571E89"/>
    <w:rsid w:val="005811E9"/>
    <w:rsid w:val="005814E6"/>
    <w:rsid w:val="00590518"/>
    <w:rsid w:val="005961AA"/>
    <w:rsid w:val="005A69BA"/>
    <w:rsid w:val="005B27A3"/>
    <w:rsid w:val="005C5E09"/>
    <w:rsid w:val="005C6361"/>
    <w:rsid w:val="005C707E"/>
    <w:rsid w:val="005D46B5"/>
    <w:rsid w:val="005D6742"/>
    <w:rsid w:val="005E453F"/>
    <w:rsid w:val="005F3380"/>
    <w:rsid w:val="0060297A"/>
    <w:rsid w:val="00623349"/>
    <w:rsid w:val="00630363"/>
    <w:rsid w:val="006443FA"/>
    <w:rsid w:val="006575DA"/>
    <w:rsid w:val="00685D0F"/>
    <w:rsid w:val="00686DF5"/>
    <w:rsid w:val="00694E6E"/>
    <w:rsid w:val="00696236"/>
    <w:rsid w:val="006A3D7E"/>
    <w:rsid w:val="006A4308"/>
    <w:rsid w:val="006A63AB"/>
    <w:rsid w:val="006B66D4"/>
    <w:rsid w:val="006B711D"/>
    <w:rsid w:val="006C212D"/>
    <w:rsid w:val="006C42FE"/>
    <w:rsid w:val="006C51B6"/>
    <w:rsid w:val="006D0C15"/>
    <w:rsid w:val="006D3275"/>
    <w:rsid w:val="006D5F96"/>
    <w:rsid w:val="006E1A3A"/>
    <w:rsid w:val="006F008E"/>
    <w:rsid w:val="00705144"/>
    <w:rsid w:val="00713C06"/>
    <w:rsid w:val="00714A93"/>
    <w:rsid w:val="00725352"/>
    <w:rsid w:val="00732164"/>
    <w:rsid w:val="00743DC0"/>
    <w:rsid w:val="00751717"/>
    <w:rsid w:val="00753CE9"/>
    <w:rsid w:val="00755DAC"/>
    <w:rsid w:val="00766926"/>
    <w:rsid w:val="00767981"/>
    <w:rsid w:val="0078520F"/>
    <w:rsid w:val="00785D6F"/>
    <w:rsid w:val="0078609B"/>
    <w:rsid w:val="00792D4E"/>
    <w:rsid w:val="007A4F6C"/>
    <w:rsid w:val="007A6F7B"/>
    <w:rsid w:val="007C2C1E"/>
    <w:rsid w:val="007D380B"/>
    <w:rsid w:val="007D38EF"/>
    <w:rsid w:val="007E3C3B"/>
    <w:rsid w:val="007F1110"/>
    <w:rsid w:val="007F30AD"/>
    <w:rsid w:val="00812506"/>
    <w:rsid w:val="008160A8"/>
    <w:rsid w:val="00823DDE"/>
    <w:rsid w:val="008320E7"/>
    <w:rsid w:val="00843548"/>
    <w:rsid w:val="008435B3"/>
    <w:rsid w:val="00846B1D"/>
    <w:rsid w:val="0085498F"/>
    <w:rsid w:val="00884AEE"/>
    <w:rsid w:val="0089098F"/>
    <w:rsid w:val="0089593A"/>
    <w:rsid w:val="008C78E6"/>
    <w:rsid w:val="008D75CF"/>
    <w:rsid w:val="008D784D"/>
    <w:rsid w:val="008E6119"/>
    <w:rsid w:val="008F3098"/>
    <w:rsid w:val="008F6987"/>
    <w:rsid w:val="00907464"/>
    <w:rsid w:val="009109F1"/>
    <w:rsid w:val="00911F44"/>
    <w:rsid w:val="009223B4"/>
    <w:rsid w:val="009226E1"/>
    <w:rsid w:val="009373D3"/>
    <w:rsid w:val="009379CB"/>
    <w:rsid w:val="00942470"/>
    <w:rsid w:val="009469E1"/>
    <w:rsid w:val="00946B77"/>
    <w:rsid w:val="00946DA5"/>
    <w:rsid w:val="00951BB0"/>
    <w:rsid w:val="00955F68"/>
    <w:rsid w:val="0095700B"/>
    <w:rsid w:val="009738C7"/>
    <w:rsid w:val="00973A12"/>
    <w:rsid w:val="00981A67"/>
    <w:rsid w:val="00997B54"/>
    <w:rsid w:val="009A1967"/>
    <w:rsid w:val="009A7EBD"/>
    <w:rsid w:val="009B1108"/>
    <w:rsid w:val="009B3773"/>
    <w:rsid w:val="009C71EC"/>
    <w:rsid w:val="009F4556"/>
    <w:rsid w:val="009F71EB"/>
    <w:rsid w:val="00A02C98"/>
    <w:rsid w:val="00A25A8C"/>
    <w:rsid w:val="00A326EA"/>
    <w:rsid w:val="00A60F60"/>
    <w:rsid w:val="00A62A3E"/>
    <w:rsid w:val="00A6723D"/>
    <w:rsid w:val="00A70749"/>
    <w:rsid w:val="00A75434"/>
    <w:rsid w:val="00A7646D"/>
    <w:rsid w:val="00A85FBD"/>
    <w:rsid w:val="00A91FDA"/>
    <w:rsid w:val="00A927C9"/>
    <w:rsid w:val="00AA0FA2"/>
    <w:rsid w:val="00AA4840"/>
    <w:rsid w:val="00AB3873"/>
    <w:rsid w:val="00AB3A35"/>
    <w:rsid w:val="00AC3AB5"/>
    <w:rsid w:val="00AD03D4"/>
    <w:rsid w:val="00AD298A"/>
    <w:rsid w:val="00AD3C07"/>
    <w:rsid w:val="00AE01BE"/>
    <w:rsid w:val="00AE25A9"/>
    <w:rsid w:val="00AE30EC"/>
    <w:rsid w:val="00AF12CA"/>
    <w:rsid w:val="00B07C8F"/>
    <w:rsid w:val="00B16BF2"/>
    <w:rsid w:val="00B21D7D"/>
    <w:rsid w:val="00B3088A"/>
    <w:rsid w:val="00B35ABC"/>
    <w:rsid w:val="00B4669B"/>
    <w:rsid w:val="00B56532"/>
    <w:rsid w:val="00B60CB0"/>
    <w:rsid w:val="00B72A1B"/>
    <w:rsid w:val="00B932AC"/>
    <w:rsid w:val="00BB6888"/>
    <w:rsid w:val="00BC20D5"/>
    <w:rsid w:val="00BC2677"/>
    <w:rsid w:val="00C05713"/>
    <w:rsid w:val="00C2017B"/>
    <w:rsid w:val="00C21C8B"/>
    <w:rsid w:val="00C22745"/>
    <w:rsid w:val="00C24ABA"/>
    <w:rsid w:val="00C4230B"/>
    <w:rsid w:val="00C53FEE"/>
    <w:rsid w:val="00C61DBA"/>
    <w:rsid w:val="00C629C2"/>
    <w:rsid w:val="00C70E24"/>
    <w:rsid w:val="00C804A3"/>
    <w:rsid w:val="00C855FC"/>
    <w:rsid w:val="00C97641"/>
    <w:rsid w:val="00CA2153"/>
    <w:rsid w:val="00CA568C"/>
    <w:rsid w:val="00CA7B94"/>
    <w:rsid w:val="00CB3F22"/>
    <w:rsid w:val="00CC2815"/>
    <w:rsid w:val="00CC310C"/>
    <w:rsid w:val="00CC59C2"/>
    <w:rsid w:val="00CD2E23"/>
    <w:rsid w:val="00CE1564"/>
    <w:rsid w:val="00CE67C0"/>
    <w:rsid w:val="00CE719D"/>
    <w:rsid w:val="00CE7283"/>
    <w:rsid w:val="00CF75B0"/>
    <w:rsid w:val="00D036EE"/>
    <w:rsid w:val="00D1257B"/>
    <w:rsid w:val="00D17403"/>
    <w:rsid w:val="00D20FC1"/>
    <w:rsid w:val="00D263FB"/>
    <w:rsid w:val="00D315B5"/>
    <w:rsid w:val="00D34C07"/>
    <w:rsid w:val="00D4024B"/>
    <w:rsid w:val="00D52AFA"/>
    <w:rsid w:val="00D6295F"/>
    <w:rsid w:val="00D64154"/>
    <w:rsid w:val="00D64FD1"/>
    <w:rsid w:val="00D70B6A"/>
    <w:rsid w:val="00D7225C"/>
    <w:rsid w:val="00D818EC"/>
    <w:rsid w:val="00D8380B"/>
    <w:rsid w:val="00D8469B"/>
    <w:rsid w:val="00DA5F6D"/>
    <w:rsid w:val="00DB1799"/>
    <w:rsid w:val="00DB605A"/>
    <w:rsid w:val="00DB7824"/>
    <w:rsid w:val="00DC3F77"/>
    <w:rsid w:val="00DC41C5"/>
    <w:rsid w:val="00DD4164"/>
    <w:rsid w:val="00DD4967"/>
    <w:rsid w:val="00DE00F4"/>
    <w:rsid w:val="00DE42C4"/>
    <w:rsid w:val="00E03AC5"/>
    <w:rsid w:val="00E05338"/>
    <w:rsid w:val="00E11E0C"/>
    <w:rsid w:val="00E259F8"/>
    <w:rsid w:val="00E27D69"/>
    <w:rsid w:val="00E34993"/>
    <w:rsid w:val="00E46367"/>
    <w:rsid w:val="00E524E3"/>
    <w:rsid w:val="00E54C38"/>
    <w:rsid w:val="00E72844"/>
    <w:rsid w:val="00E73FBC"/>
    <w:rsid w:val="00E80E79"/>
    <w:rsid w:val="00E90F17"/>
    <w:rsid w:val="00EB6BC8"/>
    <w:rsid w:val="00EC7624"/>
    <w:rsid w:val="00ED56E2"/>
    <w:rsid w:val="00ED6702"/>
    <w:rsid w:val="00ED7905"/>
    <w:rsid w:val="00EE283E"/>
    <w:rsid w:val="00EF5A9B"/>
    <w:rsid w:val="00F01A06"/>
    <w:rsid w:val="00F06B0D"/>
    <w:rsid w:val="00F33C7F"/>
    <w:rsid w:val="00F538BA"/>
    <w:rsid w:val="00F5502D"/>
    <w:rsid w:val="00F81E6B"/>
    <w:rsid w:val="00F906F6"/>
    <w:rsid w:val="00F94323"/>
    <w:rsid w:val="00F94A47"/>
    <w:rsid w:val="00F94CC7"/>
    <w:rsid w:val="00FA2096"/>
    <w:rsid w:val="00FB07E3"/>
    <w:rsid w:val="00FB2CE3"/>
    <w:rsid w:val="00FB2D1B"/>
    <w:rsid w:val="00FB6516"/>
    <w:rsid w:val="00FC718F"/>
    <w:rsid w:val="00FE1973"/>
    <w:rsid w:val="00FE43FE"/>
    <w:rsid w:val="00FF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D6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Footnote">
    <w:name w:val="Footnote"/>
    <w:pPr>
      <w:jc w:val="both"/>
    </w:pPr>
    <w:rPr>
      <w:rFonts w:eastAsia="Times New Roman"/>
      <w:color w:val="000000"/>
    </w:rPr>
  </w:style>
  <w:style w:type="paragraph" w:customStyle="1" w:styleId="BodyA">
    <w:name w:val="Body A"/>
    <w:rPr>
      <w:rFonts w:hAnsi="Arial Unicode MS" w:cs="Arial Unicode MS"/>
      <w:color w:val="000000"/>
      <w:sz w:val="24"/>
      <w:szCs w:val="24"/>
      <w:u w:color="000000"/>
    </w:rPr>
  </w:style>
  <w:style w:type="paragraph" w:styleId="FootnoteText">
    <w:name w:val="footnote text"/>
    <w:pPr>
      <w:jc w:val="both"/>
    </w:pPr>
    <w:rPr>
      <w:rFonts w:eastAsia="Times New Roman"/>
      <w:color w:val="000000"/>
      <w:u w:color="000000"/>
    </w:rPr>
  </w:style>
  <w:style w:type="paragraph" w:customStyle="1" w:styleId="BodyAA">
    <w:name w:val="Body A A"/>
    <w:rPr>
      <w:rFonts w:hAnsi="Arial Unicode MS" w:cs="Arial Unicode MS"/>
      <w:color w:val="000000"/>
      <w:sz w:val="24"/>
      <w:szCs w:val="24"/>
      <w:u w:color="000000"/>
    </w:rPr>
  </w:style>
  <w:style w:type="paragraph" w:styleId="EndnoteText">
    <w:name w:val="endnote text"/>
    <w:basedOn w:val="Normal"/>
    <w:link w:val="EndnoteTextChar"/>
    <w:uiPriority w:val="99"/>
    <w:unhideWhenUsed/>
    <w:rsid w:val="00785D6F"/>
    <w:pPr>
      <w:pBdr>
        <w:top w:val="nil"/>
        <w:left w:val="nil"/>
        <w:bottom w:val="nil"/>
        <w:right w:val="nil"/>
        <w:between w:val="nil"/>
        <w:bar w:val="nil"/>
      </w:pBdr>
    </w:pPr>
    <w:rPr>
      <w:bdr w:val="nil"/>
    </w:rPr>
  </w:style>
  <w:style w:type="character" w:customStyle="1" w:styleId="EndnoteTextChar">
    <w:name w:val="Endnote Text Char"/>
    <w:basedOn w:val="DefaultParagraphFont"/>
    <w:link w:val="EndnoteText"/>
    <w:uiPriority w:val="99"/>
    <w:rsid w:val="00785D6F"/>
    <w:rPr>
      <w:sz w:val="24"/>
      <w:szCs w:val="24"/>
    </w:rPr>
  </w:style>
  <w:style w:type="character" w:styleId="EndnoteReference">
    <w:name w:val="endnote reference"/>
    <w:basedOn w:val="DefaultParagraphFont"/>
    <w:uiPriority w:val="99"/>
    <w:unhideWhenUsed/>
    <w:rsid w:val="00785D6F"/>
    <w:rPr>
      <w:vertAlign w:val="superscript"/>
    </w:rPr>
  </w:style>
  <w:style w:type="character" w:styleId="FootnoteReference">
    <w:name w:val="footnote reference"/>
    <w:basedOn w:val="DefaultParagraphFont"/>
    <w:uiPriority w:val="99"/>
    <w:unhideWhenUsed/>
    <w:rsid w:val="00785D6F"/>
    <w:rPr>
      <w:vertAlign w:val="superscript"/>
    </w:rPr>
  </w:style>
  <w:style w:type="character" w:styleId="CommentReference">
    <w:name w:val="annotation reference"/>
    <w:basedOn w:val="DefaultParagraphFont"/>
    <w:uiPriority w:val="99"/>
    <w:semiHidden/>
    <w:unhideWhenUsed/>
    <w:rsid w:val="00CB3F22"/>
    <w:rPr>
      <w:sz w:val="18"/>
      <w:szCs w:val="18"/>
    </w:rPr>
  </w:style>
  <w:style w:type="paragraph" w:styleId="CommentText">
    <w:name w:val="annotation text"/>
    <w:basedOn w:val="Normal"/>
    <w:link w:val="CommentTextChar"/>
    <w:uiPriority w:val="99"/>
    <w:semiHidden/>
    <w:unhideWhenUsed/>
    <w:rsid w:val="00CB3F22"/>
  </w:style>
  <w:style w:type="character" w:customStyle="1" w:styleId="CommentTextChar">
    <w:name w:val="Comment Text Char"/>
    <w:basedOn w:val="DefaultParagraphFont"/>
    <w:link w:val="CommentText"/>
    <w:uiPriority w:val="99"/>
    <w:semiHidden/>
    <w:rsid w:val="00CB3F22"/>
    <w:rPr>
      <w:sz w:val="24"/>
      <w:szCs w:val="24"/>
    </w:rPr>
  </w:style>
  <w:style w:type="paragraph" w:styleId="BalloonText">
    <w:name w:val="Balloon Text"/>
    <w:basedOn w:val="Normal"/>
    <w:link w:val="BalloonTextChar"/>
    <w:uiPriority w:val="99"/>
    <w:semiHidden/>
    <w:unhideWhenUsed/>
    <w:rsid w:val="00CB3F22"/>
    <w:rPr>
      <w:sz w:val="18"/>
      <w:szCs w:val="18"/>
    </w:rPr>
  </w:style>
  <w:style w:type="character" w:customStyle="1" w:styleId="BalloonTextChar">
    <w:name w:val="Balloon Text Char"/>
    <w:basedOn w:val="DefaultParagraphFont"/>
    <w:link w:val="BalloonText"/>
    <w:uiPriority w:val="99"/>
    <w:semiHidden/>
    <w:rsid w:val="00CB3F22"/>
    <w:rPr>
      <w:sz w:val="18"/>
      <w:szCs w:val="18"/>
    </w:rPr>
  </w:style>
  <w:style w:type="paragraph" w:styleId="Header">
    <w:name w:val="header"/>
    <w:basedOn w:val="Normal"/>
    <w:link w:val="HeaderChar"/>
    <w:uiPriority w:val="99"/>
    <w:unhideWhenUsed/>
    <w:rsid w:val="00E72844"/>
    <w:pPr>
      <w:pBdr>
        <w:top w:val="nil"/>
        <w:left w:val="nil"/>
        <w:bottom w:val="nil"/>
        <w:right w:val="nil"/>
        <w:between w:val="nil"/>
        <w:bar w:val="nil"/>
      </w:pBdr>
      <w:tabs>
        <w:tab w:val="center" w:pos="4513"/>
        <w:tab w:val="right" w:pos="9026"/>
      </w:tabs>
    </w:pPr>
    <w:rPr>
      <w:bdr w:val="nil"/>
    </w:rPr>
  </w:style>
  <w:style w:type="character" w:customStyle="1" w:styleId="HeaderChar">
    <w:name w:val="Header Char"/>
    <w:basedOn w:val="DefaultParagraphFont"/>
    <w:link w:val="Header"/>
    <w:uiPriority w:val="99"/>
    <w:rsid w:val="00E72844"/>
    <w:rPr>
      <w:sz w:val="24"/>
      <w:szCs w:val="24"/>
    </w:rPr>
  </w:style>
  <w:style w:type="paragraph" w:styleId="Footer">
    <w:name w:val="footer"/>
    <w:basedOn w:val="Normal"/>
    <w:link w:val="FooterChar"/>
    <w:uiPriority w:val="99"/>
    <w:unhideWhenUsed/>
    <w:rsid w:val="00E72844"/>
    <w:pPr>
      <w:pBdr>
        <w:top w:val="nil"/>
        <w:left w:val="nil"/>
        <w:bottom w:val="nil"/>
        <w:right w:val="nil"/>
        <w:between w:val="nil"/>
        <w:bar w:val="nil"/>
      </w:pBdr>
      <w:tabs>
        <w:tab w:val="center" w:pos="4513"/>
        <w:tab w:val="right" w:pos="9026"/>
      </w:tabs>
    </w:pPr>
    <w:rPr>
      <w:bdr w:val="nil"/>
    </w:rPr>
  </w:style>
  <w:style w:type="character" w:customStyle="1" w:styleId="FooterChar">
    <w:name w:val="Footer Char"/>
    <w:basedOn w:val="DefaultParagraphFont"/>
    <w:link w:val="Footer"/>
    <w:uiPriority w:val="99"/>
    <w:rsid w:val="00E72844"/>
    <w:rPr>
      <w:sz w:val="24"/>
      <w:szCs w:val="24"/>
    </w:rPr>
  </w:style>
  <w:style w:type="paragraph" w:styleId="CommentSubject">
    <w:name w:val="annotation subject"/>
    <w:basedOn w:val="CommentText"/>
    <w:next w:val="CommentText"/>
    <w:link w:val="CommentSubjectChar"/>
    <w:uiPriority w:val="99"/>
    <w:semiHidden/>
    <w:unhideWhenUsed/>
    <w:rsid w:val="00C53FEE"/>
    <w:rPr>
      <w:b/>
      <w:bCs/>
      <w:sz w:val="20"/>
      <w:szCs w:val="20"/>
    </w:rPr>
  </w:style>
  <w:style w:type="character" w:customStyle="1" w:styleId="CommentSubjectChar">
    <w:name w:val="Comment Subject Char"/>
    <w:basedOn w:val="CommentTextChar"/>
    <w:link w:val="CommentSubject"/>
    <w:uiPriority w:val="99"/>
    <w:semiHidden/>
    <w:rsid w:val="00C53FEE"/>
    <w:rPr>
      <w:b/>
      <w:bCs/>
      <w:sz w:val="24"/>
      <w:szCs w:val="24"/>
      <w:bdr w:val="none" w:sz="0" w:space="0" w:color="auto"/>
    </w:rPr>
  </w:style>
  <w:style w:type="paragraph" w:styleId="Revision">
    <w:name w:val="Revision"/>
    <w:hidden/>
    <w:uiPriority w:val="99"/>
    <w:semiHidden/>
    <w:rsid w:val="003472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DocumentMap">
    <w:name w:val="Document Map"/>
    <w:basedOn w:val="Normal"/>
    <w:link w:val="DocumentMapChar"/>
    <w:uiPriority w:val="99"/>
    <w:semiHidden/>
    <w:unhideWhenUsed/>
    <w:rsid w:val="00C21C8B"/>
  </w:style>
  <w:style w:type="character" w:customStyle="1" w:styleId="DocumentMapChar">
    <w:name w:val="Document Map Char"/>
    <w:basedOn w:val="DefaultParagraphFont"/>
    <w:link w:val="DocumentMap"/>
    <w:uiPriority w:val="99"/>
    <w:semiHidden/>
    <w:rsid w:val="00C21C8B"/>
    <w:rPr>
      <w:sz w:val="24"/>
      <w:szCs w:val="24"/>
      <w:bdr w:val="none" w:sz="0" w:space="0" w:color="auto"/>
    </w:rPr>
  </w:style>
  <w:style w:type="character" w:styleId="PageNumber">
    <w:name w:val="page number"/>
    <w:basedOn w:val="DefaultParagraphFont"/>
    <w:uiPriority w:val="99"/>
    <w:semiHidden/>
    <w:unhideWhenUsed/>
    <w:rsid w:val="0019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551">
      <w:bodyDiv w:val="1"/>
      <w:marLeft w:val="0"/>
      <w:marRight w:val="0"/>
      <w:marTop w:val="0"/>
      <w:marBottom w:val="0"/>
      <w:divBdr>
        <w:top w:val="none" w:sz="0" w:space="0" w:color="auto"/>
        <w:left w:val="none" w:sz="0" w:space="0" w:color="auto"/>
        <w:bottom w:val="none" w:sz="0" w:space="0" w:color="auto"/>
        <w:right w:val="none" w:sz="0" w:space="0" w:color="auto"/>
      </w:divBdr>
    </w:div>
    <w:div w:id="289164335">
      <w:bodyDiv w:val="1"/>
      <w:marLeft w:val="0"/>
      <w:marRight w:val="0"/>
      <w:marTop w:val="0"/>
      <w:marBottom w:val="0"/>
      <w:divBdr>
        <w:top w:val="none" w:sz="0" w:space="0" w:color="auto"/>
        <w:left w:val="none" w:sz="0" w:space="0" w:color="auto"/>
        <w:bottom w:val="none" w:sz="0" w:space="0" w:color="auto"/>
        <w:right w:val="none" w:sz="0" w:space="0" w:color="auto"/>
      </w:divBdr>
    </w:div>
    <w:div w:id="560100146">
      <w:bodyDiv w:val="1"/>
      <w:marLeft w:val="0"/>
      <w:marRight w:val="0"/>
      <w:marTop w:val="0"/>
      <w:marBottom w:val="0"/>
      <w:divBdr>
        <w:top w:val="none" w:sz="0" w:space="0" w:color="auto"/>
        <w:left w:val="none" w:sz="0" w:space="0" w:color="auto"/>
        <w:bottom w:val="none" w:sz="0" w:space="0" w:color="auto"/>
        <w:right w:val="none" w:sz="0" w:space="0" w:color="auto"/>
      </w:divBdr>
    </w:div>
    <w:div w:id="620653600">
      <w:bodyDiv w:val="1"/>
      <w:marLeft w:val="0"/>
      <w:marRight w:val="0"/>
      <w:marTop w:val="0"/>
      <w:marBottom w:val="0"/>
      <w:divBdr>
        <w:top w:val="none" w:sz="0" w:space="0" w:color="auto"/>
        <w:left w:val="none" w:sz="0" w:space="0" w:color="auto"/>
        <w:bottom w:val="none" w:sz="0" w:space="0" w:color="auto"/>
        <w:right w:val="none" w:sz="0" w:space="0" w:color="auto"/>
      </w:divBdr>
    </w:div>
    <w:div w:id="773791598">
      <w:bodyDiv w:val="1"/>
      <w:marLeft w:val="0"/>
      <w:marRight w:val="0"/>
      <w:marTop w:val="0"/>
      <w:marBottom w:val="0"/>
      <w:divBdr>
        <w:top w:val="none" w:sz="0" w:space="0" w:color="auto"/>
        <w:left w:val="none" w:sz="0" w:space="0" w:color="auto"/>
        <w:bottom w:val="none" w:sz="0" w:space="0" w:color="auto"/>
        <w:right w:val="none" w:sz="0" w:space="0" w:color="auto"/>
      </w:divBdr>
    </w:div>
    <w:div w:id="907617866">
      <w:bodyDiv w:val="1"/>
      <w:marLeft w:val="0"/>
      <w:marRight w:val="0"/>
      <w:marTop w:val="0"/>
      <w:marBottom w:val="0"/>
      <w:divBdr>
        <w:top w:val="none" w:sz="0" w:space="0" w:color="auto"/>
        <w:left w:val="none" w:sz="0" w:space="0" w:color="auto"/>
        <w:bottom w:val="none" w:sz="0" w:space="0" w:color="auto"/>
        <w:right w:val="none" w:sz="0" w:space="0" w:color="auto"/>
      </w:divBdr>
    </w:div>
    <w:div w:id="1647931454">
      <w:bodyDiv w:val="1"/>
      <w:marLeft w:val="0"/>
      <w:marRight w:val="0"/>
      <w:marTop w:val="0"/>
      <w:marBottom w:val="0"/>
      <w:divBdr>
        <w:top w:val="none" w:sz="0" w:space="0" w:color="auto"/>
        <w:left w:val="none" w:sz="0" w:space="0" w:color="auto"/>
        <w:bottom w:val="none" w:sz="0" w:space="0" w:color="auto"/>
        <w:right w:val="none" w:sz="0" w:space="0" w:color="auto"/>
      </w:divBdr>
    </w:div>
    <w:div w:id="1720284367">
      <w:bodyDiv w:val="1"/>
      <w:marLeft w:val="0"/>
      <w:marRight w:val="0"/>
      <w:marTop w:val="0"/>
      <w:marBottom w:val="0"/>
      <w:divBdr>
        <w:top w:val="none" w:sz="0" w:space="0" w:color="auto"/>
        <w:left w:val="none" w:sz="0" w:space="0" w:color="auto"/>
        <w:bottom w:val="none" w:sz="0" w:space="0" w:color="auto"/>
        <w:right w:val="none" w:sz="0" w:space="0" w:color="auto"/>
      </w:divBdr>
    </w:div>
    <w:div w:id="1779255196">
      <w:bodyDiv w:val="1"/>
      <w:marLeft w:val="0"/>
      <w:marRight w:val="0"/>
      <w:marTop w:val="0"/>
      <w:marBottom w:val="0"/>
      <w:divBdr>
        <w:top w:val="none" w:sz="0" w:space="0" w:color="auto"/>
        <w:left w:val="none" w:sz="0" w:space="0" w:color="auto"/>
        <w:bottom w:val="none" w:sz="0" w:space="0" w:color="auto"/>
        <w:right w:val="none" w:sz="0" w:space="0" w:color="auto"/>
      </w:divBdr>
    </w:div>
    <w:div w:id="18702899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54A2-39FF-6245-B797-E303F58F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33</Pages>
  <Words>6705</Words>
  <Characters>38221</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cp:lastPrinted>2016-01-25T12:20:00Z</cp:lastPrinted>
  <dcterms:created xsi:type="dcterms:W3CDTF">2016-01-25T12:20:00Z</dcterms:created>
  <dcterms:modified xsi:type="dcterms:W3CDTF">2016-01-25T13:06:00Z</dcterms:modified>
</cp:coreProperties>
</file>